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1FF9" w:rsidR="00A06BB8" w:rsidP="00E355CC" w:rsidRDefault="00B80DC0">
      <w:pPr>
        <w:jc w:val="center"/>
        <w:rPr>
          <w:rFonts w:ascii="宋体" w:hAnsi="宋体"/>
          <w:b/>
          <w:sz w:val="28"/>
          <w:szCs w:val="28"/>
        </w:rPr>
      </w:pPr>
      <w:r w:rsidRPr="00C11FF9">
        <w:rPr>
          <w:rFonts w:ascii="宋体" w:hAnsi="宋体"/>
          <w:b/>
          <w:sz w:val="28"/>
          <w:szCs w:val="28"/>
        </w:rPr>
        <w:t>信诚金砖四国积极配置证券投资基金(LOF)2019年半年度报告摘要</w:t>
      </w:r>
    </w:p>
    <w:p w:rsidRPr="00C11FF9" w:rsidR="00B80DC0" w:rsidP="00E355CC" w:rsidRDefault="00B80DC0">
      <w:pPr>
        <w:jc w:val="center"/>
        <w:rPr>
          <w:rFonts w:ascii="宋体" w:hAnsi="宋体"/>
          <w:b/>
          <w:sz w:val="28"/>
          <w:szCs w:val="28"/>
        </w:rPr>
      </w:pPr>
    </w:p>
    <w:p w:rsidRPr="00C11FF9" w:rsidR="00B80DC0" w:rsidP="00E355CC" w:rsidRDefault="00B80DC0">
      <w:pPr>
        <w:jc w:val="center"/>
        <w:rPr>
          <w:rFonts w:ascii="宋体" w:hAnsi="宋体"/>
          <w:b/>
          <w:sz w:val="28"/>
          <w:szCs w:val="28"/>
        </w:rPr>
      </w:pPr>
      <w:r w:rsidRPr="00C11FF9">
        <w:rPr>
          <w:rFonts w:ascii="宋体" w:hAnsi="宋体"/>
          <w:b/>
          <w:sz w:val="28"/>
          <w:szCs w:val="28"/>
        </w:rPr>
        <w:t>2019年06月30日</w:t>
      </w: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355CC" w:rsidRDefault="009E5CF1">
      <w:pPr>
        <w:jc w:val="center"/>
        <w:rPr>
          <w:rFonts w:ascii="宋体" w:hAnsi="宋体"/>
          <w:b/>
          <w:szCs w:val="21"/>
        </w:rPr>
      </w:pPr>
    </w:p>
    <w:p w:rsidRPr="00C11FF9" w:rsidR="009E5CF1" w:rsidP="00E22419" w:rsidRDefault="00AC6B54">
      <w:pPr>
        <w:ind w:firstLine="420"/>
        <w:jc w:val="left"/>
        <w:rPr>
          <w:rFonts w:ascii="宋体" w:hAnsi="宋体"/>
          <w:b/>
          <w:color w:val="0000FF"/>
          <w:kern w:val="0"/>
          <w:sz w:val="28"/>
          <w:szCs w:val="28"/>
        </w:rPr>
      </w:pP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sidRPr="00C11FF9" w:rsidR="009E5CF1">
        <w:rPr>
          <w:rFonts w:hint="eastAsia" w:ascii="宋体" w:hAnsi="宋体"/>
          <w:b/>
          <w:sz w:val="28"/>
          <w:szCs w:val="28"/>
        </w:rPr>
        <w:t>基金管理人：</w:t>
      </w:r>
      <w:r w:rsidRPr="00C11FF9" w:rsidR="009E5CF1">
        <w:rPr>
          <w:rFonts w:hint="eastAsia" w:ascii="宋体" w:hAnsi="宋体"/>
          <w:b/>
          <w:color w:val="0000FF"/>
          <w:kern w:val="0"/>
          <w:sz w:val="28"/>
          <w:szCs w:val="28"/>
        </w:rPr>
        <w:t xml:space="preserve"> </w:t>
      </w:r>
      <w:r w:rsidRPr="00C11FF9" w:rsidR="00B80DC0">
        <w:rPr>
          <w:rFonts w:ascii="宋体" w:hAnsi="宋体"/>
          <w:b/>
          <w:kern w:val="0"/>
          <w:sz w:val="28"/>
          <w:szCs w:val="28"/>
        </w:rPr>
        <w:t>中信保诚基金管理有限公司</w:t>
      </w:r>
    </w:p>
    <w:p w:rsidRPr="00C11FF9" w:rsidR="009E5CF1" w:rsidP="00E22419" w:rsidRDefault="009E5CF1">
      <w:pPr>
        <w:ind w:left="1680" w:firstLine="420"/>
        <w:jc w:val="left"/>
        <w:rPr>
          <w:rFonts w:ascii="宋体" w:hAnsi="宋体"/>
          <w:b/>
          <w:sz w:val="28"/>
          <w:szCs w:val="28"/>
        </w:rPr>
      </w:pPr>
    </w:p>
    <w:p w:rsidRPr="00E22419" w:rsidR="009E5CF1" w:rsidP="00E22419" w:rsidRDefault="00AC6B54">
      <w:pPr>
        <w:ind w:firstLine="420"/>
        <w:jc w:val="left"/>
        <w:rPr>
          <w:rFonts w:ascii="宋体" w:hAnsi="宋体"/>
          <w:b/>
          <w:sz w:val="28"/>
          <w:szCs w:val="28"/>
        </w:rPr>
      </w:pP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sidRPr="00C11FF9" w:rsidR="009E5CF1">
        <w:rPr>
          <w:rFonts w:hint="eastAsia" w:ascii="宋体" w:hAnsi="宋体"/>
          <w:b/>
          <w:sz w:val="28"/>
          <w:szCs w:val="28"/>
        </w:rPr>
        <w:t>基金托管人：</w:t>
      </w:r>
      <w:r w:rsidRPr="00C11FF9" w:rsidR="00B80DC0">
        <w:rPr>
          <w:rFonts w:ascii="宋体" w:hAnsi="宋体"/>
          <w:b/>
          <w:sz w:val="28"/>
          <w:szCs w:val="28"/>
        </w:rPr>
        <w:t>中国银行股份有限公司</w:t>
      </w:r>
    </w:p>
    <w:p w:rsidRPr="00C11FF9" w:rsidR="009E5CF1" w:rsidP="00E22419" w:rsidRDefault="009E5CF1">
      <w:pPr>
        <w:ind w:left="1680" w:firstLine="420"/>
        <w:jc w:val="left"/>
        <w:rPr>
          <w:rFonts w:ascii="宋体" w:hAnsi="宋体"/>
          <w:b/>
          <w:sz w:val="28"/>
          <w:szCs w:val="28"/>
        </w:rPr>
      </w:pPr>
    </w:p>
    <w:p w:rsidRPr="00C11FF9" w:rsidR="009E5CF1" w:rsidP="00E22419" w:rsidRDefault="00AC6B54">
      <w:pPr>
        <w:ind w:firstLine="420"/>
        <w:jc w:val="left"/>
        <w:rPr>
          <w:rFonts w:ascii="宋体" w:hAnsi="宋体"/>
          <w:b/>
          <w:sz w:val="28"/>
          <w:szCs w:val="28"/>
        </w:rPr>
      </w:pP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sidRPr="00C11FF9" w:rsidR="009E5CF1">
        <w:rPr>
          <w:rFonts w:hint="eastAsia" w:ascii="宋体" w:hAnsi="宋体"/>
          <w:b/>
          <w:sz w:val="28"/>
          <w:szCs w:val="28"/>
        </w:rPr>
        <w:t>送出日期：</w:t>
      </w:r>
      <w:r w:rsidRPr="00C11FF9" w:rsidR="00B80DC0">
        <w:rPr>
          <w:rFonts w:ascii="宋体" w:hAnsi="宋体"/>
          <w:b/>
          <w:sz w:val="28"/>
          <w:szCs w:val="28"/>
        </w:rPr>
        <w:t>2019年08月26日</w:t>
      </w:r>
    </w:p>
    <w:p w:rsidRPr="00C11FF9" w:rsidR="009E5CF1" w:rsidP="00E355CC" w:rsidRDefault="009E5CF1">
      <w:pPr>
        <w:ind w:left="1680" w:firstLine="420"/>
        <w:rPr>
          <w:rFonts w:ascii="宋体" w:hAnsi="宋体"/>
          <w:b/>
          <w:szCs w:val="21"/>
        </w:rPr>
      </w:pPr>
    </w:p>
    <w:p w:rsidRPr="00C11FF9" w:rsidR="00EC1A31" w:rsidP="00E355CC" w:rsidRDefault="00EC1A31">
      <w:pPr>
        <w:rPr>
          <w:rFonts w:ascii="宋体" w:hAnsi="宋体"/>
          <w:szCs w:val="21"/>
        </w:rPr>
      </w:pPr>
    </w:p>
    <w:p w:rsidRPr="00C11FF9" w:rsidR="00EC1A31" w:rsidP="00E355CC" w:rsidRDefault="00EC1A31">
      <w:pPr>
        <w:rPr>
          <w:rFonts w:ascii="宋体" w:hAnsi="宋体"/>
          <w:szCs w:val="21"/>
        </w:rPr>
      </w:pPr>
    </w:p>
    <w:p w:rsidRPr="00C11FF9" w:rsidR="009E5CF1" w:rsidP="00E50060" w:rsidRDefault="009E5CF1">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lastRenderedPageBreak/>
        <w:t>重要提示</w:t>
      </w:r>
      <w:r w:rsidRPr="00C11FF9" w:rsidR="00744E35">
        <w:rPr>
          <w:rFonts w:hint="eastAsia" w:ascii="宋体" w:hAnsi="宋体"/>
          <w:sz w:val="21"/>
          <w:szCs w:val="21"/>
        </w:rPr>
        <w:t>及目录</w:t>
      </w:r>
    </w:p>
    <w:p w:rsidRPr="00C11FF9" w:rsidR="00744E35" w:rsidP="00E50060" w:rsidRDefault="00744E35">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重要提示</w:t>
      </w:r>
    </w:p>
    <w:p w:rsidR="002F269C" w:rsidP="00F2548B" w:rsidRDefault="00B80DC0">
      <w:pPr>
        <w:ind w:firstLine="420"/>
        <w:rPr>
          <w:rFonts w:ascii="宋体" w:hAnsi="宋体"/>
          <w:bCs/>
          <w:szCs w:val="21"/>
        </w:rPr>
      </w:pPr>
      <w:r w:rsidRPr="00C11FF9">
        <w:rPr>
          <w:rFonts w:ascii="宋体" w:hAnsi="宋体"/>
          <w:bCs/>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2F269C" w:rsidP="00F2548B" w:rsidRDefault="00B80DC0">
      <w:pPr>
        <w:ind w:firstLine="420"/>
        <w:rPr>
          <w:rFonts w:ascii="宋体" w:hAnsi="宋体"/>
          <w:bCs/>
          <w:szCs w:val="21"/>
        </w:rPr>
      </w:pPr>
      <w:r w:rsidRPr="00C11FF9">
        <w:rPr>
          <w:rFonts w:ascii="宋体" w:hAnsi="宋体"/>
          <w:bCs/>
          <w:szCs w:val="21"/>
        </w:rPr>
        <w:t>基金托管人中国银行股份有限公司根据本基金合同规定,于2019年8月23日复核了本报告中的财务指标、净值表现、利润分配情况、财务会计报告、投资组合报告等内容,保证复核内容不存在虚假记载、误导性陈述或者重大遗漏。</w:t>
      </w:r>
    </w:p>
    <w:p w:rsidR="002F269C" w:rsidP="00F2548B" w:rsidRDefault="00B80DC0">
      <w:pPr>
        <w:ind w:firstLine="420"/>
        <w:rPr>
          <w:rFonts w:ascii="宋体" w:hAnsi="宋体"/>
          <w:bCs/>
          <w:szCs w:val="21"/>
        </w:rPr>
      </w:pPr>
      <w:r w:rsidRPr="00C11FF9">
        <w:rPr>
          <w:rFonts w:ascii="宋体" w:hAnsi="宋体"/>
          <w:bCs/>
          <w:szCs w:val="21"/>
        </w:rPr>
        <w:t>基金管理人承诺以诚实信用、勤勉尽责的原则管理和运用基金资产,但不保证基金一定盈利。</w:t>
      </w:r>
    </w:p>
    <w:p w:rsidR="002F269C" w:rsidP="00F2548B" w:rsidRDefault="00B80DC0">
      <w:pPr>
        <w:ind w:firstLine="420"/>
        <w:rPr>
          <w:rFonts w:ascii="宋体" w:hAnsi="宋体"/>
          <w:bCs/>
          <w:szCs w:val="21"/>
        </w:rPr>
      </w:pPr>
      <w:r w:rsidRPr="00C11FF9">
        <w:rPr>
          <w:rFonts w:ascii="宋体" w:hAnsi="宋体"/>
          <w:bCs/>
          <w:szCs w:val="21"/>
        </w:rPr>
        <w:t>基金的过往业绩并不代表其未来表现。投资有风险,投资者在作出投资决策前应仔细阅读本基金的招募说明书及其更新。</w:t>
      </w:r>
    </w:p>
    <w:p w:rsidR="002F269C" w:rsidP="00F2548B" w:rsidRDefault="00B80DC0">
      <w:pPr>
        <w:ind w:firstLine="420"/>
        <w:rPr>
          <w:rFonts w:ascii="宋体" w:hAnsi="宋体"/>
          <w:bCs/>
          <w:szCs w:val="21"/>
        </w:rPr>
      </w:pPr>
      <w:r w:rsidRPr="00C11FF9">
        <w:rPr>
          <w:rFonts w:ascii="宋体" w:hAnsi="宋体"/>
          <w:bCs/>
          <w:szCs w:val="21"/>
        </w:rPr>
        <w:t>本报告中财务资料未经审计。</w:t>
      </w:r>
    </w:p>
    <w:p w:rsidR="002F269C" w:rsidP="00F2548B" w:rsidRDefault="00B80DC0">
      <w:pPr>
        <w:ind w:firstLine="420"/>
        <w:rPr>
          <w:rFonts w:ascii="宋体" w:hAnsi="宋体"/>
          <w:bCs/>
          <w:szCs w:val="21"/>
        </w:rPr>
      </w:pPr>
      <w:r w:rsidRPr="00C11FF9">
        <w:rPr>
          <w:rFonts w:ascii="宋体" w:hAnsi="宋体"/>
          <w:bCs/>
          <w:szCs w:val="21"/>
        </w:rPr>
        <w:t>本报告期自2019年1月1日起至2019年6月30日止。</w:t>
      </w:r>
    </w:p>
    <w:p w:rsidRPr="00C11FF9" w:rsidR="009E5CF1" w:rsidP="00E50060" w:rsidRDefault="009E5CF1">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t>基金简介</w:t>
      </w:r>
    </w:p>
    <w:p w:rsidRPr="00C11FF9" w:rsidR="009E5CF1" w:rsidP="00E50060" w:rsidRDefault="009E5CF1">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基金基本情况</w:t>
      </w:r>
    </w:p>
    <w:tbl>
      <w:tblPr>
        <w:tblW w:w="5000" w:type="pct"/>
        <w:tblLook w:val="01E0" w:firstRow="1" w:lastRow="1" w:firstColumn="1" w:lastColumn="1" w:noHBand="0" w:noVBand="0"/>
      </w:tblPr>
      <w:tblGrid>
        <w:gridCol w:w="4215"/>
        <w:gridCol w:w="5361"/>
      </w:tblGrid>
      <w:tr w:rsidRPr="00C11FF9" w:rsidR="009E5CF1">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b/>
                <w:szCs w:val="21"/>
              </w:rPr>
            </w:pPr>
            <w:r w:rsidRPr="00C11FF9">
              <w:rPr>
                <w:rFonts w:hint="eastAsia" w:ascii="宋体" w:hAnsi="宋体"/>
                <w:szCs w:val="21"/>
              </w:rPr>
              <w:t>基金简称</w:t>
            </w:r>
          </w:p>
        </w:tc>
        <w:tc>
          <w:tcPr>
            <w:tcW w:w="2799"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信诚四国配置(QDII-FOF-LOF)</w:t>
            </w:r>
          </w:p>
        </w:tc>
      </w:tr>
      <w:tr w:rsidRPr="00C11FF9" w:rsidR="009F6851">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9F6851" w:rsidP="00E355CC" w:rsidRDefault="009F6851">
            <w:pPr>
              <w:rPr>
                <w:rFonts w:ascii="宋体" w:hAnsi="宋体"/>
                <w:szCs w:val="21"/>
              </w:rPr>
            </w:pPr>
            <w:r w:rsidRPr="00C11FF9">
              <w:rPr>
                <w:rFonts w:hint="eastAsia" w:ascii="宋体" w:hAnsi="宋体"/>
                <w:szCs w:val="21"/>
              </w:rPr>
              <w:t>场内简称</w:t>
            </w:r>
          </w:p>
        </w:tc>
        <w:tc>
          <w:tcPr>
            <w:tcW w:w="2799" w:type="pct"/>
            <w:tcBorders>
              <w:top w:val="single" w:color="auto" w:sz="4" w:space="0"/>
              <w:left w:val="single" w:color="auto" w:sz="4" w:space="0"/>
              <w:bottom w:val="single" w:color="auto" w:sz="4" w:space="0"/>
              <w:right w:val="single" w:color="auto" w:sz="4" w:space="0"/>
            </w:tcBorders>
            <w:vAlign w:val="center"/>
          </w:tcPr>
          <w:p w:rsidRPr="00C11FF9" w:rsidR="009F6851" w:rsidP="00C45FBC" w:rsidRDefault="00B80DC0">
            <w:pPr>
              <w:jc w:val="left"/>
              <w:rPr>
                <w:rFonts w:ascii="宋体" w:hAnsi="宋体"/>
                <w:szCs w:val="21"/>
              </w:rPr>
            </w:pPr>
            <w:r w:rsidRPr="00C11FF9">
              <w:rPr>
                <w:rFonts w:ascii="宋体" w:hAnsi="宋体"/>
                <w:szCs w:val="21"/>
              </w:rPr>
              <w:t>信诚四国</w:t>
            </w:r>
          </w:p>
        </w:tc>
      </w:tr>
      <w:tr w:rsidRPr="00C11FF9" w:rsidR="00182860">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182860" w:rsidP="00E355CC" w:rsidRDefault="00E355CC">
            <w:pPr>
              <w:rPr>
                <w:rFonts w:ascii="宋体" w:hAnsi="宋体"/>
                <w:szCs w:val="21"/>
              </w:rPr>
            </w:pPr>
            <w:r w:rsidRPr="00C11FF9">
              <w:rPr>
                <w:rFonts w:hint="eastAsia" w:ascii="宋体" w:hAnsi="宋体"/>
                <w:szCs w:val="21"/>
              </w:rPr>
              <w:t>基金主</w:t>
            </w:r>
            <w:r w:rsidRPr="00C11FF9" w:rsidR="00182860">
              <w:rPr>
                <w:rFonts w:hint="eastAsia" w:ascii="宋体" w:hAnsi="宋体"/>
                <w:szCs w:val="21"/>
              </w:rPr>
              <w:t>代码</w:t>
            </w:r>
          </w:p>
        </w:tc>
        <w:tc>
          <w:tcPr>
            <w:tcW w:w="2799" w:type="pct"/>
            <w:tcBorders>
              <w:top w:val="single" w:color="auto" w:sz="4" w:space="0"/>
              <w:left w:val="single" w:color="auto" w:sz="4" w:space="0"/>
              <w:bottom w:val="single" w:color="auto" w:sz="4" w:space="0"/>
              <w:right w:val="single" w:color="auto" w:sz="4" w:space="0"/>
            </w:tcBorders>
            <w:vAlign w:val="center"/>
          </w:tcPr>
          <w:p w:rsidRPr="00C11FF9" w:rsidR="00182860" w:rsidP="00C45FBC" w:rsidRDefault="00B80DC0">
            <w:pPr>
              <w:jc w:val="left"/>
              <w:rPr>
                <w:rFonts w:ascii="宋体" w:hAnsi="宋体"/>
                <w:szCs w:val="21"/>
              </w:rPr>
            </w:pPr>
            <w:r w:rsidRPr="00C11FF9">
              <w:rPr>
                <w:rFonts w:ascii="宋体" w:hAnsi="宋体"/>
                <w:szCs w:val="21"/>
              </w:rPr>
              <w:t>165510</w:t>
            </w:r>
          </w:p>
        </w:tc>
      </w:tr>
      <w:tr w:rsidRPr="00C11FF9" w:rsidR="009E5CF1">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b/>
                <w:szCs w:val="21"/>
              </w:rPr>
            </w:pPr>
            <w:r w:rsidRPr="00C11FF9">
              <w:rPr>
                <w:rFonts w:hint="eastAsia" w:ascii="宋体" w:hAnsi="宋体"/>
                <w:szCs w:val="21"/>
              </w:rPr>
              <w:t>基金运作方式</w:t>
            </w:r>
          </w:p>
        </w:tc>
        <w:tc>
          <w:tcPr>
            <w:tcW w:w="2799"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上市型开放式</w:t>
            </w:r>
          </w:p>
        </w:tc>
      </w:tr>
      <w:tr w:rsidRPr="00C11FF9" w:rsidR="009E5CF1">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b/>
                <w:szCs w:val="21"/>
              </w:rPr>
            </w:pPr>
            <w:r w:rsidRPr="00C11FF9">
              <w:rPr>
                <w:rFonts w:hint="eastAsia" w:ascii="宋体" w:hAnsi="宋体"/>
                <w:szCs w:val="21"/>
              </w:rPr>
              <w:t>基金合同生效日</w:t>
            </w:r>
          </w:p>
        </w:tc>
        <w:tc>
          <w:tcPr>
            <w:tcW w:w="2799"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2010年12月17日</w:t>
            </w:r>
          </w:p>
        </w:tc>
      </w:tr>
      <w:tr w:rsidRPr="00C11FF9" w:rsidR="0043551A">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43551A" w:rsidP="00E355CC" w:rsidRDefault="0043551A">
            <w:pPr>
              <w:rPr>
                <w:rFonts w:ascii="宋体" w:hAnsi="宋体"/>
                <w:szCs w:val="21"/>
              </w:rPr>
            </w:pPr>
            <w:r w:rsidRPr="00C11FF9">
              <w:rPr>
                <w:rFonts w:hint="eastAsia" w:ascii="宋体" w:hAnsi="宋体"/>
                <w:szCs w:val="21"/>
              </w:rPr>
              <w:t>基金管理人</w:t>
            </w:r>
          </w:p>
        </w:tc>
        <w:tc>
          <w:tcPr>
            <w:tcW w:w="2799" w:type="pct"/>
            <w:tcBorders>
              <w:top w:val="single" w:color="auto" w:sz="4" w:space="0"/>
              <w:left w:val="single" w:color="auto" w:sz="4" w:space="0"/>
              <w:bottom w:val="single" w:color="auto" w:sz="4" w:space="0"/>
              <w:right w:val="single" w:color="auto" w:sz="4" w:space="0"/>
            </w:tcBorders>
            <w:vAlign w:val="center"/>
          </w:tcPr>
          <w:p w:rsidRPr="00C11FF9" w:rsidR="0043551A" w:rsidP="00C45FBC" w:rsidRDefault="00B80DC0">
            <w:pPr>
              <w:jc w:val="left"/>
              <w:rPr>
                <w:rFonts w:ascii="宋体" w:hAnsi="宋体"/>
                <w:szCs w:val="21"/>
              </w:rPr>
            </w:pPr>
            <w:r w:rsidRPr="00C11FF9">
              <w:rPr>
                <w:rFonts w:ascii="宋体" w:hAnsi="宋体"/>
                <w:szCs w:val="21"/>
              </w:rPr>
              <w:t>中信保诚基金管理有限公司</w:t>
            </w:r>
          </w:p>
        </w:tc>
      </w:tr>
      <w:tr w:rsidRPr="00C11FF9" w:rsidR="0043551A">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43551A" w:rsidP="00E355CC" w:rsidRDefault="0043551A">
            <w:pPr>
              <w:rPr>
                <w:rFonts w:ascii="宋体" w:hAnsi="宋体"/>
                <w:szCs w:val="21"/>
              </w:rPr>
            </w:pPr>
            <w:r w:rsidRPr="00C11FF9">
              <w:rPr>
                <w:rFonts w:hint="eastAsia" w:ascii="宋体" w:hAnsi="宋体"/>
                <w:szCs w:val="21"/>
              </w:rPr>
              <w:t>基金托管人</w:t>
            </w:r>
          </w:p>
        </w:tc>
        <w:tc>
          <w:tcPr>
            <w:tcW w:w="2799" w:type="pct"/>
            <w:tcBorders>
              <w:top w:val="single" w:color="auto" w:sz="4" w:space="0"/>
              <w:left w:val="single" w:color="auto" w:sz="4" w:space="0"/>
              <w:bottom w:val="single" w:color="auto" w:sz="4" w:space="0"/>
              <w:right w:val="single" w:color="auto" w:sz="4" w:space="0"/>
            </w:tcBorders>
            <w:vAlign w:val="center"/>
          </w:tcPr>
          <w:p w:rsidRPr="00C11FF9" w:rsidR="0043551A" w:rsidP="00C45FBC" w:rsidRDefault="00B80DC0">
            <w:pPr>
              <w:jc w:val="left"/>
              <w:rPr>
                <w:rFonts w:ascii="宋体" w:hAnsi="宋体"/>
                <w:szCs w:val="21"/>
              </w:rPr>
            </w:pPr>
            <w:r w:rsidRPr="00C11FF9">
              <w:rPr>
                <w:rFonts w:ascii="宋体" w:hAnsi="宋体"/>
                <w:szCs w:val="21"/>
              </w:rPr>
              <w:t>中国银行股份有限公司</w:t>
            </w:r>
          </w:p>
        </w:tc>
      </w:tr>
      <w:tr w:rsidRPr="00C11FF9" w:rsidR="009E5CF1" w:rsidTr="00CD61EF">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b/>
                <w:szCs w:val="21"/>
              </w:rPr>
            </w:pPr>
            <w:r w:rsidRPr="00C11FF9">
              <w:rPr>
                <w:rFonts w:hint="eastAsia" w:ascii="宋体" w:hAnsi="宋体"/>
                <w:szCs w:val="21"/>
              </w:rPr>
              <w:t>报告期末基金份额总额</w:t>
            </w:r>
          </w:p>
        </w:tc>
        <w:tc>
          <w:tcPr>
            <w:tcW w:w="2799"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9E5CF1" w:rsidP="00C45FBC" w:rsidRDefault="00CD61EF">
            <w:pPr>
              <w:jc w:val="left"/>
              <w:rPr>
                <w:rFonts w:ascii="宋体" w:hAnsi="宋体"/>
                <w:szCs w:val="21"/>
              </w:rPr>
            </w:pPr>
            <w:r w:rsidRPr="00C11FF9">
              <w:rPr>
                <w:rFonts w:hint="eastAsia" w:ascii="宋体" w:hAnsi="宋体"/>
                <w:szCs w:val="21"/>
              </w:rPr>
              <w:t>12,614,320.85</w:t>
            </w:r>
            <w:r w:rsidRPr="00C11FF9" w:rsidR="009C5328">
              <w:rPr>
                <w:rFonts w:hint="eastAsia" w:ascii="宋体" w:hAnsi="宋体"/>
                <w:szCs w:val="21"/>
              </w:rPr>
              <w:t>份</w:t>
            </w:r>
          </w:p>
        </w:tc>
      </w:tr>
      <w:tr w:rsidRPr="00C11FF9" w:rsidR="009E5CF1" w:rsidTr="00CD61EF">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b/>
                <w:szCs w:val="21"/>
              </w:rPr>
            </w:pPr>
            <w:r w:rsidRPr="00C11FF9">
              <w:rPr>
                <w:rFonts w:hint="eastAsia" w:ascii="宋体" w:hAnsi="宋体"/>
                <w:szCs w:val="21"/>
              </w:rPr>
              <w:t>基金合同存续期</w:t>
            </w:r>
          </w:p>
        </w:tc>
        <w:tc>
          <w:tcPr>
            <w:tcW w:w="2799"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9E5CF1" w:rsidP="00C45FBC" w:rsidRDefault="00CD61EF">
            <w:pPr>
              <w:jc w:val="left"/>
              <w:rPr>
                <w:rFonts w:ascii="宋体" w:hAnsi="宋体"/>
                <w:szCs w:val="21"/>
              </w:rPr>
            </w:pPr>
            <w:r w:rsidRPr="00C11FF9">
              <w:rPr>
                <w:rFonts w:hint="eastAsia" w:ascii="宋体" w:hAnsi="宋体"/>
                <w:szCs w:val="21"/>
              </w:rPr>
              <w:t>不定期</w:t>
            </w:r>
          </w:p>
        </w:tc>
      </w:tr>
      <w:tr w:rsidRPr="00C11FF9" w:rsidR="001B06B8" w:rsidTr="00CD61EF">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1B06B8" w:rsidP="00E355CC" w:rsidRDefault="001B06B8">
            <w:pPr>
              <w:rPr>
                <w:rFonts w:ascii="宋体" w:hAnsi="宋体"/>
                <w:szCs w:val="21"/>
              </w:rPr>
            </w:pPr>
            <w:r w:rsidRPr="00C11FF9">
              <w:rPr>
                <w:rFonts w:hint="eastAsia" w:ascii="宋体" w:hAnsi="宋体"/>
                <w:szCs w:val="21"/>
              </w:rPr>
              <w:t>基金份额上市的证券交易所</w:t>
            </w:r>
          </w:p>
        </w:tc>
        <w:tc>
          <w:tcPr>
            <w:tcW w:w="2799"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1B06B8" w:rsidP="00C45FBC" w:rsidRDefault="00CD61EF">
            <w:pPr>
              <w:jc w:val="left"/>
              <w:rPr>
                <w:rFonts w:ascii="宋体" w:hAnsi="宋体"/>
                <w:szCs w:val="21"/>
              </w:rPr>
            </w:pPr>
            <w:r w:rsidRPr="00C11FF9">
              <w:rPr>
                <w:rFonts w:hint="eastAsia" w:ascii="宋体" w:hAnsi="宋体"/>
                <w:szCs w:val="21"/>
              </w:rPr>
              <w:t>深圳证券交易所</w:t>
            </w:r>
          </w:p>
        </w:tc>
      </w:tr>
      <w:tr w:rsidRPr="00C11FF9" w:rsidR="001B06B8" w:rsidTr="00CD61EF">
        <w:trPr>
          <w:trHeight w:val="310"/>
        </w:trPr>
        <w:tc>
          <w:tcPr>
            <w:tcW w:w="2201" w:type="pct"/>
            <w:tcBorders>
              <w:top w:val="single" w:color="auto" w:sz="4" w:space="0"/>
              <w:left w:val="single" w:color="auto" w:sz="4" w:space="0"/>
              <w:bottom w:val="single" w:color="auto" w:sz="4" w:space="0"/>
              <w:right w:val="single" w:color="auto" w:sz="4" w:space="0"/>
            </w:tcBorders>
            <w:vAlign w:val="center"/>
          </w:tcPr>
          <w:p w:rsidRPr="00C11FF9" w:rsidR="001B06B8" w:rsidP="00E355CC" w:rsidRDefault="001B06B8">
            <w:pPr>
              <w:rPr>
                <w:rFonts w:ascii="宋体" w:hAnsi="宋体"/>
                <w:szCs w:val="21"/>
              </w:rPr>
            </w:pPr>
            <w:r w:rsidRPr="00C11FF9">
              <w:rPr>
                <w:rFonts w:hint="eastAsia" w:ascii="宋体" w:hAnsi="宋体"/>
                <w:szCs w:val="21"/>
              </w:rPr>
              <w:t>上市日期</w:t>
            </w:r>
          </w:p>
        </w:tc>
        <w:tc>
          <w:tcPr>
            <w:tcW w:w="2799"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1B06B8" w:rsidP="00C45FBC" w:rsidRDefault="00CD61EF">
            <w:pPr>
              <w:jc w:val="left"/>
              <w:rPr>
                <w:rFonts w:ascii="宋体" w:hAnsi="宋体"/>
                <w:szCs w:val="21"/>
              </w:rPr>
            </w:pPr>
            <w:r w:rsidRPr="00C11FF9">
              <w:rPr>
                <w:rFonts w:hint="eastAsia" w:ascii="宋体" w:hAnsi="宋体"/>
                <w:szCs w:val="21"/>
              </w:rPr>
              <w:t>2011年1月20日 </w:t>
            </w:r>
          </w:p>
        </w:tc>
      </w:tr>
    </w:tbl>
    <w:p w:rsidRPr="00C11FF9" w:rsidR="00B80DC0" w:rsidP="001C7FED" w:rsidRDefault="00B80DC0">
      <w:pPr>
        <w:ind w:firstLine="420" w:firstLineChars="200"/>
        <w:rPr>
          <w:rFonts w:ascii="宋体" w:hAnsi="宋体"/>
          <w:szCs w:val="21"/>
        </w:rPr>
      </w:pPr>
      <w:r w:rsidRPr="00C11FF9">
        <w:rPr>
          <w:rFonts w:ascii="宋体" w:hAnsi="宋体"/>
          <w:szCs w:val="21"/>
        </w:rPr>
        <w:t/>
      </w:r>
    </w:p>
    <w:p w:rsidRPr="00C11FF9" w:rsidR="009E5CF1" w:rsidP="00E50060" w:rsidRDefault="009E5CF1">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基金产品说明</w:t>
      </w:r>
    </w:p>
    <w:tbl>
      <w:tblPr>
        <w:tblW w:w="5000" w:type="pct"/>
        <w:tblLook w:val="01E0" w:firstRow="1" w:lastRow="1" w:firstColumn="1" w:lastColumn="1" w:noHBand="0" w:noVBand="0"/>
      </w:tblPr>
      <w:tblGrid>
        <w:gridCol w:w="3082"/>
        <w:gridCol w:w="6494"/>
      </w:tblGrid>
      <w:tr w:rsidRPr="00C11FF9" w:rsidR="009E5CF1">
        <w:tc>
          <w:tcPr>
            <w:tcW w:w="1609" w:type="pct"/>
            <w:tcBorders>
              <w:top w:val="single" w:color="auto" w:sz="4" w:space="0"/>
              <w:left w:val="single" w:color="auto" w:sz="4" w:space="0"/>
              <w:bottom w:val="single" w:color="auto" w:sz="4" w:space="0"/>
              <w:right w:val="single" w:color="auto" w:sz="4" w:space="0"/>
            </w:tcBorders>
          </w:tcPr>
          <w:p w:rsidRPr="00C11FF9" w:rsidR="009E5CF1" w:rsidP="00E355CC" w:rsidRDefault="009E5CF1">
            <w:pPr>
              <w:rPr>
                <w:rFonts w:ascii="宋体" w:hAnsi="宋体"/>
                <w:b/>
                <w:szCs w:val="21"/>
              </w:rPr>
            </w:pPr>
            <w:r w:rsidRPr="00C11FF9">
              <w:rPr>
                <w:rFonts w:hint="eastAsia" w:ascii="宋体" w:hAnsi="宋体"/>
                <w:szCs w:val="21"/>
              </w:rPr>
              <w:t>投资目标</w:t>
            </w:r>
          </w:p>
        </w:tc>
        <w:tc>
          <w:tcPr>
            <w:tcW w:w="3391"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通过对“金砖四国”各地区间的积极配置,以及对“金砖四国”相关ETF和股票的精选,在有效分散风险的基础上,追求基金资产的长期稳定增值。</w:t>
            </w:r>
          </w:p>
        </w:tc>
      </w:tr>
      <w:tr w:rsidRPr="00C11FF9" w:rsidR="009E5CF1">
        <w:tc>
          <w:tcPr>
            <w:tcW w:w="1609" w:type="pct"/>
            <w:tcBorders>
              <w:top w:val="single" w:color="auto" w:sz="4" w:space="0"/>
              <w:left w:val="single" w:color="auto" w:sz="4" w:space="0"/>
              <w:bottom w:val="single" w:color="auto" w:sz="4" w:space="0"/>
              <w:right w:val="single" w:color="auto" w:sz="4" w:space="0"/>
            </w:tcBorders>
          </w:tcPr>
          <w:p w:rsidRPr="00C11FF9" w:rsidR="009E5CF1" w:rsidP="00E355CC" w:rsidRDefault="009E5CF1">
            <w:pPr>
              <w:rPr>
                <w:rFonts w:ascii="宋体" w:hAnsi="宋体"/>
                <w:b/>
                <w:szCs w:val="21"/>
              </w:rPr>
            </w:pPr>
            <w:r w:rsidRPr="00C11FF9">
              <w:rPr>
                <w:rFonts w:hint="eastAsia" w:ascii="宋体" w:hAnsi="宋体"/>
                <w:szCs w:val="21"/>
              </w:rPr>
              <w:t>投资策略</w:t>
            </w:r>
          </w:p>
        </w:tc>
        <w:tc>
          <w:tcPr>
            <w:tcW w:w="3391" w:type="pct"/>
            <w:tcBorders>
              <w:top w:val="single" w:color="auto" w:sz="4" w:space="0"/>
              <w:left w:val="single" w:color="auto" w:sz="4" w:space="0"/>
              <w:bottom w:val="single" w:color="auto" w:sz="4" w:space="0"/>
              <w:right w:val="single" w:color="auto" w:sz="4" w:space="0"/>
            </w:tcBorders>
            <w:vAlign w:val="center"/>
          </w:tcPr>
          <w:p w:rsidRPr="00C11FF9" w:rsidR="009E5CF1" w:rsidP="00AF2FFF" w:rsidRDefault="00B80DC0">
            <w:pPr>
              <w:jc w:val="left"/>
              <w:rPr>
                <w:rFonts w:ascii="宋体" w:hAnsi="宋体"/>
                <w:szCs w:val="21"/>
              </w:rPr>
            </w:pPr>
            <w:r w:rsidRPr="00C11FF9">
              <w:rPr>
                <w:rFonts w:ascii="宋体" w:hAnsi="宋体"/>
                <w:szCs w:val="21"/>
              </w:rPr>
              <w:t>资产配置策略包括大类资产配置和地区配置两个层面。</w:t>
            </w:r>
          </w:p>
          <w:p w:rsidRPr="00C11FF9" w:rsidR="009E5CF1" w:rsidP="00AF2FFF" w:rsidRDefault="00B80DC0">
            <w:pPr>
              <w:jc w:val="left"/>
              <w:rPr>
                <w:rFonts w:ascii="宋体" w:hAnsi="宋体"/>
                <w:szCs w:val="21"/>
              </w:rPr>
            </w:pPr>
            <w:r w:rsidRPr="00C11FF9">
              <w:rPr>
                <w:rFonts w:ascii="宋体" w:hAnsi="宋体"/>
                <w:szCs w:val="21"/>
              </w:rPr>
              <w:t>  在大类资产配置层面,原则上,本基金将积极投资于ETF和股票等权益类资产。当权益类市场整体系统性风险突出,无法通过地区配置降低组合风险的市场情况下,本基金将降低权益类资产的配置比例,但权益类资产的比例不低于基金资产的60%。</w:t>
            </w:r>
          </w:p>
          <w:p w:rsidRPr="00C11FF9" w:rsidR="009E5CF1" w:rsidP="00AF2FFF" w:rsidRDefault="00B80DC0">
            <w:pPr>
              <w:jc w:val="left"/>
              <w:rPr>
                <w:rFonts w:ascii="宋体" w:hAnsi="宋体"/>
                <w:szCs w:val="21"/>
              </w:rPr>
            </w:pPr>
            <w:r w:rsidRPr="00C11FF9">
              <w:rPr>
                <w:rFonts w:ascii="宋体" w:hAnsi="宋体"/>
                <w:szCs w:val="21"/>
              </w:rPr>
              <w:t>同时,本基金将运用积极的地区配置策略,在追求超额收益的同时,分散组合风险。地区配置通过定量和定性分析相结合的方式,依据对全球和投资目标市场的经济和金融参数的分析,综合决定主要目标市场国家地区的投资吸引力和投资风险,进而决定各个国家地区市场的投资比例。</w:t>
            </w:r>
          </w:p>
        </w:tc>
      </w:tr>
      <w:tr w:rsidRPr="00C11FF9" w:rsidR="009E5CF1">
        <w:tc>
          <w:tcPr>
            <w:tcW w:w="1609" w:type="pct"/>
            <w:tcBorders>
              <w:top w:val="single" w:color="auto" w:sz="4" w:space="0"/>
              <w:left w:val="single" w:color="auto" w:sz="4" w:space="0"/>
              <w:bottom w:val="single" w:color="auto" w:sz="4" w:space="0"/>
              <w:right w:val="single" w:color="auto" w:sz="4" w:space="0"/>
            </w:tcBorders>
          </w:tcPr>
          <w:p w:rsidRPr="00C11FF9" w:rsidR="009E5CF1" w:rsidP="00E355CC" w:rsidRDefault="009E5CF1">
            <w:pPr>
              <w:rPr>
                <w:rFonts w:ascii="宋体" w:hAnsi="宋体"/>
                <w:b/>
                <w:szCs w:val="21"/>
              </w:rPr>
            </w:pPr>
            <w:r w:rsidRPr="00C11FF9">
              <w:rPr>
                <w:rFonts w:hint="eastAsia" w:ascii="宋体" w:hAnsi="宋体"/>
                <w:szCs w:val="21"/>
              </w:rPr>
              <w:t>业绩比较基准</w:t>
            </w:r>
          </w:p>
        </w:tc>
        <w:tc>
          <w:tcPr>
            <w:tcW w:w="3391"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标准普尔金砖四国(含香港)市场指数(总回报)</w:t>
            </w:r>
          </w:p>
        </w:tc>
      </w:tr>
      <w:tr w:rsidRPr="00C11FF9" w:rsidR="009E5CF1">
        <w:tc>
          <w:tcPr>
            <w:tcW w:w="1609" w:type="pct"/>
            <w:tcBorders>
              <w:top w:val="single" w:color="auto" w:sz="4" w:space="0"/>
              <w:left w:val="single" w:color="auto" w:sz="4" w:space="0"/>
              <w:bottom w:val="single" w:color="auto" w:sz="4" w:space="0"/>
              <w:right w:val="single" w:color="auto" w:sz="4" w:space="0"/>
            </w:tcBorders>
          </w:tcPr>
          <w:p w:rsidRPr="00C11FF9" w:rsidR="009E5CF1" w:rsidP="00E355CC" w:rsidRDefault="009E5CF1">
            <w:pPr>
              <w:rPr>
                <w:rFonts w:ascii="宋体" w:hAnsi="宋体"/>
                <w:b/>
                <w:szCs w:val="21"/>
              </w:rPr>
            </w:pPr>
            <w:r w:rsidRPr="00C11FF9">
              <w:rPr>
                <w:rFonts w:hint="eastAsia" w:ascii="宋体" w:hAnsi="宋体"/>
                <w:szCs w:val="21"/>
              </w:rPr>
              <w:t>风险收益特征</w:t>
            </w:r>
          </w:p>
        </w:tc>
        <w:tc>
          <w:tcPr>
            <w:tcW w:w="3391"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本基金主要投资于与“金砖四国”相关的权益类资产。从所投资市场看,“金砖四国”均属于新兴市场,其投资风险往往高于成熟市场;同时,“金砖四国”经济联动性和市场相关性存在日益加大的可能性,因此本基金国家配置的集中性风险也可能较其他分散化程度较高的新兴市场投资基金更高。从投资工具看,权益类投资的风险高于固定收益类投资的风险。因此,本基金是属于高预期风险和高预期收益的证券投资基金品种,其预期风险和预期收益水平高于一般的投资于全球或成熟市场的偏股型基金。</w:t>
            </w:r>
          </w:p>
        </w:tc>
      </w:tr>
    </w:tbl>
    <w:p w:rsidRPr="00C11FF9" w:rsidR="00B80DC0" w:rsidP="00B80DC0" w:rsidRDefault="00B80DC0">
      <w:pPr>
        <w:ind w:firstLine="420"/>
        <w:rPr>
          <w:rFonts w:ascii="宋体" w:hAnsi="宋体"/>
          <w:szCs w:val="21"/>
        </w:rPr>
      </w:pPr>
      <w:r w:rsidRPr="00C11FF9">
        <w:rPr>
          <w:rFonts w:ascii="宋体" w:hAnsi="宋体"/>
          <w:szCs w:val="21"/>
        </w:rPr>
        <w:t/>
      </w:r>
    </w:p>
    <w:p w:rsidRPr="00C11FF9" w:rsidR="009E5CF1" w:rsidP="00E50060" w:rsidRDefault="009E5CF1">
      <w:pPr>
        <w:pStyle w:val="2"/>
        <w:numPr>
          <w:ilvl w:val="1"/>
          <w:numId w:val="1"/>
        </w:numPr>
        <w:spacing w:before="0" w:after="0" w:line="240" w:lineRule="auto"/>
        <w:rPr>
          <w:rFonts w:ascii="宋体" w:hAnsi="宋体" w:eastAsia="宋体"/>
          <w:b w:val="0"/>
          <w:bCs/>
          <w:sz w:val="21"/>
          <w:szCs w:val="21"/>
        </w:rPr>
      </w:pPr>
      <w:r w:rsidRPr="00C11FF9">
        <w:rPr>
          <w:rFonts w:hint="eastAsia" w:ascii="宋体" w:hAnsi="宋体" w:eastAsia="宋体"/>
          <w:sz w:val="21"/>
          <w:szCs w:val="21"/>
        </w:rPr>
        <w:t>基金管理人和基金托管人</w:t>
      </w:r>
    </w:p>
    <w:tbl>
      <w:tblPr>
        <w:tblW w:w="5000" w:type="pct"/>
        <w:tblLook w:val="01E0" w:firstRow="1" w:lastRow="1" w:firstColumn="1" w:lastColumn="1" w:noHBand="0" w:noVBand="0"/>
      </w:tblPr>
      <w:tblGrid>
        <w:gridCol w:w="1809"/>
        <w:gridCol w:w="1383"/>
        <w:gridCol w:w="3191"/>
        <w:gridCol w:w="3193"/>
      </w:tblGrid>
      <w:tr w:rsidRPr="00C11FF9" w:rsidR="009E5CF1" w:rsidTr="00162FCC">
        <w:tc>
          <w:tcPr>
            <w:tcW w:w="1667" w:type="pct"/>
            <w:gridSpan w:val="2"/>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jc w:val="center"/>
              <w:rPr>
                <w:rFonts w:ascii="宋体" w:hAnsi="宋体"/>
                <w:b/>
                <w:szCs w:val="21"/>
              </w:rPr>
            </w:pPr>
            <w:r w:rsidRPr="00C11FF9">
              <w:rPr>
                <w:rFonts w:hint="eastAsia" w:ascii="宋体" w:hAnsi="宋体"/>
                <w:szCs w:val="21"/>
              </w:rPr>
              <w:t>项目</w:t>
            </w:r>
          </w:p>
        </w:tc>
        <w:tc>
          <w:tcPr>
            <w:tcW w:w="1666"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jc w:val="center"/>
              <w:rPr>
                <w:rFonts w:ascii="宋体" w:hAnsi="宋体"/>
                <w:b/>
                <w:szCs w:val="21"/>
              </w:rPr>
            </w:pPr>
            <w:r w:rsidRPr="00C11FF9">
              <w:rPr>
                <w:rFonts w:hint="eastAsia" w:ascii="宋体" w:hAnsi="宋体"/>
                <w:szCs w:val="21"/>
              </w:rPr>
              <w:t>基金管理人</w:t>
            </w:r>
          </w:p>
        </w:tc>
        <w:tc>
          <w:tcPr>
            <w:tcW w:w="1667"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jc w:val="center"/>
              <w:rPr>
                <w:rFonts w:ascii="宋体" w:hAnsi="宋体"/>
                <w:b/>
                <w:szCs w:val="21"/>
              </w:rPr>
            </w:pPr>
            <w:r w:rsidRPr="00C11FF9">
              <w:rPr>
                <w:rFonts w:hint="eastAsia" w:ascii="宋体" w:hAnsi="宋体"/>
                <w:szCs w:val="21"/>
              </w:rPr>
              <w:t>基金托管人</w:t>
            </w:r>
          </w:p>
        </w:tc>
      </w:tr>
      <w:tr w:rsidRPr="00C11FF9" w:rsidR="009E5CF1" w:rsidTr="00162FCC">
        <w:tc>
          <w:tcPr>
            <w:tcW w:w="1667" w:type="pct"/>
            <w:gridSpan w:val="2"/>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szCs w:val="21"/>
              </w:rPr>
            </w:pPr>
            <w:r w:rsidRPr="00C11FF9">
              <w:rPr>
                <w:rFonts w:hint="eastAsia" w:ascii="宋体" w:hAnsi="宋体"/>
                <w:szCs w:val="21"/>
              </w:rPr>
              <w:t>名称</w:t>
            </w:r>
          </w:p>
        </w:tc>
        <w:tc>
          <w:tcPr>
            <w:tcW w:w="1666"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中信保诚基金管理有限公司</w:t>
            </w:r>
          </w:p>
        </w:tc>
        <w:tc>
          <w:tcPr>
            <w:tcW w:w="1667"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中国银行股份有限公司</w:t>
            </w:r>
          </w:p>
        </w:tc>
      </w:tr>
      <w:tr w:rsidRPr="00C11FF9" w:rsidR="003B535A" w:rsidTr="00932199">
        <w:tc>
          <w:tcPr>
            <w:tcW w:w="945" w:type="pct"/>
            <w:vMerge w:val="restart"/>
            <w:tcBorders>
              <w:top w:val="single" w:color="auto" w:sz="4" w:space="0"/>
              <w:left w:val="single" w:color="auto" w:sz="4" w:space="0"/>
              <w:right w:val="single" w:color="auto" w:sz="4" w:space="0"/>
            </w:tcBorders>
            <w:vAlign w:val="center"/>
          </w:tcPr>
          <w:p w:rsidRPr="00C11FF9" w:rsidR="003B535A" w:rsidP="00E355CC" w:rsidRDefault="003B535A">
            <w:pPr>
              <w:rPr>
                <w:rFonts w:ascii="宋体" w:hAnsi="宋体"/>
                <w:szCs w:val="21"/>
              </w:rPr>
            </w:pPr>
            <w:r w:rsidRPr="00C11FF9">
              <w:rPr>
                <w:rFonts w:hint="eastAsia" w:ascii="宋体" w:hAnsi="宋体"/>
                <w:szCs w:val="21"/>
              </w:rPr>
              <w:t>信息披露负责人</w:t>
            </w:r>
          </w:p>
        </w:tc>
        <w:tc>
          <w:tcPr>
            <w:tcW w:w="722" w:type="pct"/>
            <w:tcBorders>
              <w:top w:val="single" w:color="auto" w:sz="4" w:space="0"/>
              <w:left w:val="single" w:color="auto" w:sz="4" w:space="0"/>
              <w:bottom w:val="single" w:color="auto" w:sz="4" w:space="0"/>
              <w:right w:val="single" w:color="auto" w:sz="4" w:space="0"/>
            </w:tcBorders>
            <w:vAlign w:val="center"/>
          </w:tcPr>
          <w:p w:rsidRPr="00C11FF9" w:rsidR="003B535A" w:rsidP="00A92F4E" w:rsidRDefault="003B535A">
            <w:pPr>
              <w:rPr>
                <w:rFonts w:ascii="宋体" w:hAnsi="宋体"/>
                <w:szCs w:val="21"/>
              </w:rPr>
            </w:pPr>
            <w:r w:rsidRPr="00C11FF9">
              <w:rPr>
                <w:rFonts w:hint="eastAsia" w:ascii="宋体" w:hAnsi="宋体"/>
                <w:szCs w:val="21"/>
              </w:rPr>
              <w:t>姓名</w:t>
            </w:r>
          </w:p>
        </w:tc>
        <w:tc>
          <w:tcPr>
            <w:tcW w:w="1666" w:type="pct"/>
            <w:tcBorders>
              <w:top w:val="single" w:color="auto" w:sz="4" w:space="0"/>
              <w:left w:val="single" w:color="auto" w:sz="4" w:space="0"/>
              <w:bottom w:val="single" w:color="auto" w:sz="4" w:space="0"/>
              <w:right w:val="single" w:color="auto" w:sz="4" w:space="0"/>
            </w:tcBorders>
            <w:vAlign w:val="center"/>
          </w:tcPr>
          <w:p w:rsidRPr="00C11FF9" w:rsidR="003B535A" w:rsidP="00C45FBC" w:rsidRDefault="00B80DC0">
            <w:pPr>
              <w:jc w:val="left"/>
              <w:rPr>
                <w:rFonts w:ascii="宋体" w:hAnsi="宋体"/>
                <w:szCs w:val="21"/>
              </w:rPr>
            </w:pPr>
            <w:r w:rsidRPr="00C11FF9">
              <w:rPr>
                <w:rFonts w:ascii="宋体" w:hAnsi="宋体"/>
                <w:szCs w:val="21"/>
              </w:rPr>
              <w:t>周浩</w:t>
            </w:r>
          </w:p>
        </w:tc>
        <w:tc>
          <w:tcPr>
            <w:tcW w:w="1667" w:type="pct"/>
            <w:tcBorders>
              <w:top w:val="single" w:color="auto" w:sz="4" w:space="0"/>
              <w:left w:val="single" w:color="auto" w:sz="4" w:space="0"/>
              <w:bottom w:val="single" w:color="auto" w:sz="4" w:space="0"/>
              <w:right w:val="single" w:color="auto" w:sz="4" w:space="0"/>
            </w:tcBorders>
            <w:vAlign w:val="center"/>
          </w:tcPr>
          <w:p w:rsidRPr="00C11FF9" w:rsidR="003B535A" w:rsidP="00C45FBC" w:rsidRDefault="00B80DC0">
            <w:pPr>
              <w:jc w:val="left"/>
              <w:rPr>
                <w:rFonts w:ascii="宋体" w:hAnsi="宋体"/>
                <w:szCs w:val="21"/>
              </w:rPr>
            </w:pPr>
            <w:r w:rsidRPr="00C11FF9">
              <w:rPr>
                <w:rFonts w:ascii="宋体" w:hAnsi="宋体"/>
                <w:szCs w:val="21"/>
              </w:rPr>
              <w:t>王永民</w:t>
            </w:r>
          </w:p>
        </w:tc>
      </w:tr>
      <w:tr w:rsidRPr="00C11FF9" w:rsidR="003B535A" w:rsidTr="00932199">
        <w:tc>
          <w:tcPr>
            <w:tcW w:w="945" w:type="pct"/>
            <w:vMerge/>
            <w:tcBorders>
              <w:left w:val="single" w:color="auto" w:sz="4" w:space="0"/>
              <w:right w:val="single" w:color="auto" w:sz="4" w:space="0"/>
            </w:tcBorders>
            <w:vAlign w:val="center"/>
          </w:tcPr>
          <w:p w:rsidRPr="00C11FF9" w:rsidR="003B535A" w:rsidP="00E355CC" w:rsidRDefault="003B535A">
            <w:pPr>
              <w:rPr>
                <w:rFonts w:ascii="宋体" w:hAnsi="宋体"/>
                <w:szCs w:val="21"/>
              </w:rPr>
            </w:pPr>
          </w:p>
        </w:tc>
        <w:tc>
          <w:tcPr>
            <w:tcW w:w="722" w:type="pct"/>
            <w:tcBorders>
              <w:top w:val="single" w:color="auto" w:sz="4" w:space="0"/>
              <w:left w:val="single" w:color="auto" w:sz="4" w:space="0"/>
              <w:bottom w:val="single" w:color="auto" w:sz="4" w:space="0"/>
              <w:right w:val="single" w:color="auto" w:sz="4" w:space="0"/>
            </w:tcBorders>
            <w:vAlign w:val="center"/>
          </w:tcPr>
          <w:p w:rsidRPr="00C11FF9" w:rsidR="003B535A" w:rsidP="00A92F4E" w:rsidRDefault="003B535A">
            <w:pPr>
              <w:rPr>
                <w:rFonts w:ascii="宋体" w:hAnsi="宋体"/>
                <w:szCs w:val="21"/>
              </w:rPr>
            </w:pPr>
            <w:r w:rsidRPr="00C11FF9">
              <w:rPr>
                <w:rFonts w:hint="eastAsia" w:ascii="宋体" w:hAnsi="宋体"/>
                <w:szCs w:val="21"/>
              </w:rPr>
              <w:t>联系电话</w:t>
            </w:r>
          </w:p>
        </w:tc>
        <w:tc>
          <w:tcPr>
            <w:tcW w:w="1666" w:type="pct"/>
            <w:tcBorders>
              <w:top w:val="single" w:color="auto" w:sz="4" w:space="0"/>
              <w:left w:val="single" w:color="auto" w:sz="4" w:space="0"/>
              <w:bottom w:val="single" w:color="auto" w:sz="4" w:space="0"/>
              <w:right w:val="single" w:color="auto" w:sz="4" w:space="0"/>
            </w:tcBorders>
            <w:vAlign w:val="center"/>
          </w:tcPr>
          <w:p w:rsidRPr="00C11FF9" w:rsidR="003B535A" w:rsidP="00C45FBC" w:rsidRDefault="00B80DC0">
            <w:pPr>
              <w:jc w:val="left"/>
              <w:rPr>
                <w:rFonts w:ascii="宋体" w:hAnsi="宋体"/>
                <w:szCs w:val="21"/>
              </w:rPr>
            </w:pPr>
            <w:r w:rsidRPr="00C11FF9">
              <w:rPr>
                <w:rFonts w:ascii="宋体" w:hAnsi="宋体"/>
                <w:szCs w:val="21"/>
              </w:rPr>
              <w:t>021-68649788</w:t>
            </w:r>
          </w:p>
        </w:tc>
        <w:tc>
          <w:tcPr>
            <w:tcW w:w="1667" w:type="pct"/>
            <w:tcBorders>
              <w:top w:val="single" w:color="auto" w:sz="4" w:space="0"/>
              <w:left w:val="single" w:color="auto" w:sz="4" w:space="0"/>
              <w:bottom w:val="single" w:color="auto" w:sz="4" w:space="0"/>
              <w:right w:val="single" w:color="auto" w:sz="4" w:space="0"/>
            </w:tcBorders>
            <w:vAlign w:val="center"/>
          </w:tcPr>
          <w:p w:rsidRPr="00C11FF9" w:rsidR="003B535A" w:rsidP="00C45FBC" w:rsidRDefault="00B80DC0">
            <w:pPr>
              <w:jc w:val="left"/>
              <w:rPr>
                <w:rFonts w:ascii="宋体" w:hAnsi="宋体"/>
                <w:szCs w:val="21"/>
              </w:rPr>
            </w:pPr>
            <w:r w:rsidRPr="00C11FF9">
              <w:rPr>
                <w:rFonts w:ascii="宋体" w:hAnsi="宋体"/>
                <w:szCs w:val="21"/>
              </w:rPr>
              <w:t>010-66594896</w:t>
            </w:r>
          </w:p>
        </w:tc>
      </w:tr>
      <w:tr w:rsidRPr="00C11FF9" w:rsidR="003B535A" w:rsidTr="00932199">
        <w:tc>
          <w:tcPr>
            <w:tcW w:w="945" w:type="pct"/>
            <w:vMerge/>
            <w:tcBorders>
              <w:left w:val="single" w:color="auto" w:sz="4" w:space="0"/>
              <w:bottom w:val="single" w:color="auto" w:sz="4" w:space="0"/>
              <w:right w:val="single" w:color="auto" w:sz="4" w:space="0"/>
            </w:tcBorders>
            <w:vAlign w:val="center"/>
          </w:tcPr>
          <w:p w:rsidRPr="00C11FF9" w:rsidR="003B535A" w:rsidP="00E355CC" w:rsidRDefault="003B535A">
            <w:pPr>
              <w:rPr>
                <w:rFonts w:ascii="宋体" w:hAnsi="宋体"/>
                <w:szCs w:val="21"/>
              </w:rPr>
            </w:pPr>
          </w:p>
        </w:tc>
        <w:tc>
          <w:tcPr>
            <w:tcW w:w="722" w:type="pct"/>
            <w:tcBorders>
              <w:top w:val="single" w:color="auto" w:sz="4" w:space="0"/>
              <w:left w:val="single" w:color="auto" w:sz="4" w:space="0"/>
              <w:bottom w:val="single" w:color="auto" w:sz="4" w:space="0"/>
              <w:right w:val="single" w:color="auto" w:sz="4" w:space="0"/>
            </w:tcBorders>
            <w:vAlign w:val="center"/>
          </w:tcPr>
          <w:p w:rsidRPr="00C11FF9" w:rsidR="003B535A" w:rsidP="00A92F4E" w:rsidRDefault="003B535A">
            <w:pPr>
              <w:rPr>
                <w:rFonts w:ascii="宋体" w:hAnsi="宋体"/>
                <w:szCs w:val="21"/>
              </w:rPr>
            </w:pPr>
            <w:r w:rsidRPr="00C11FF9">
              <w:rPr>
                <w:rFonts w:hint="eastAsia" w:ascii="宋体" w:hAnsi="宋体"/>
                <w:szCs w:val="21"/>
              </w:rPr>
              <w:t>电子邮箱</w:t>
            </w:r>
          </w:p>
        </w:tc>
        <w:tc>
          <w:tcPr>
            <w:tcW w:w="1666" w:type="pct"/>
            <w:tcBorders>
              <w:top w:val="single" w:color="auto" w:sz="4" w:space="0"/>
              <w:left w:val="single" w:color="auto" w:sz="4" w:space="0"/>
              <w:bottom w:val="single" w:color="auto" w:sz="4" w:space="0"/>
              <w:right w:val="single" w:color="auto" w:sz="4" w:space="0"/>
            </w:tcBorders>
            <w:vAlign w:val="center"/>
          </w:tcPr>
          <w:p w:rsidRPr="00C11FF9" w:rsidR="003B535A" w:rsidP="00C45FBC" w:rsidRDefault="00B80DC0">
            <w:pPr>
              <w:jc w:val="left"/>
              <w:rPr>
                <w:rFonts w:ascii="宋体" w:hAnsi="宋体"/>
                <w:szCs w:val="21"/>
              </w:rPr>
            </w:pPr>
            <w:r w:rsidRPr="00C11FF9">
              <w:rPr>
                <w:rFonts w:ascii="宋体" w:hAnsi="宋体"/>
                <w:szCs w:val="21"/>
              </w:rPr>
              <w:t>hao.zhou@citicprufunds.com.cn</w:t>
            </w:r>
          </w:p>
        </w:tc>
        <w:tc>
          <w:tcPr>
            <w:tcW w:w="1667" w:type="pct"/>
            <w:tcBorders>
              <w:top w:val="single" w:color="auto" w:sz="4" w:space="0"/>
              <w:left w:val="single" w:color="auto" w:sz="4" w:space="0"/>
              <w:bottom w:val="single" w:color="auto" w:sz="4" w:space="0"/>
              <w:right w:val="single" w:color="auto" w:sz="4" w:space="0"/>
            </w:tcBorders>
            <w:vAlign w:val="center"/>
          </w:tcPr>
          <w:p w:rsidRPr="00C11FF9" w:rsidR="003B535A" w:rsidP="00C45FBC" w:rsidRDefault="00B80DC0">
            <w:pPr>
              <w:jc w:val="left"/>
              <w:rPr>
                <w:rFonts w:ascii="宋体" w:hAnsi="宋体"/>
                <w:szCs w:val="21"/>
              </w:rPr>
            </w:pPr>
            <w:r w:rsidRPr="00C11FF9">
              <w:rPr>
                <w:rFonts w:ascii="宋体" w:hAnsi="宋体"/>
                <w:szCs w:val="21"/>
              </w:rPr>
              <w:t>fcid@bankofchina.com</w:t>
            </w:r>
          </w:p>
        </w:tc>
      </w:tr>
      <w:tr w:rsidRPr="00C11FF9" w:rsidR="009E5CF1" w:rsidTr="00162FCC">
        <w:tc>
          <w:tcPr>
            <w:tcW w:w="1667" w:type="pct"/>
            <w:gridSpan w:val="2"/>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szCs w:val="21"/>
              </w:rPr>
            </w:pPr>
            <w:r w:rsidRPr="00C11FF9">
              <w:rPr>
                <w:rFonts w:hint="eastAsia" w:ascii="宋体" w:hAnsi="宋体"/>
                <w:szCs w:val="21"/>
              </w:rPr>
              <w:t>客户服务电话</w:t>
            </w:r>
          </w:p>
        </w:tc>
        <w:tc>
          <w:tcPr>
            <w:tcW w:w="1666"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400-666-0066</w:t>
            </w:r>
          </w:p>
        </w:tc>
        <w:tc>
          <w:tcPr>
            <w:tcW w:w="1667"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95566</w:t>
            </w:r>
          </w:p>
        </w:tc>
      </w:tr>
      <w:tr w:rsidRPr="00C11FF9" w:rsidR="009E5CF1" w:rsidTr="00162FCC">
        <w:tc>
          <w:tcPr>
            <w:tcW w:w="1667" w:type="pct"/>
            <w:gridSpan w:val="2"/>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szCs w:val="21"/>
              </w:rPr>
            </w:pPr>
            <w:r w:rsidRPr="00C11FF9">
              <w:rPr>
                <w:rFonts w:hint="eastAsia" w:ascii="宋体" w:hAnsi="宋体"/>
                <w:szCs w:val="21"/>
              </w:rPr>
              <w:t>传真</w:t>
            </w:r>
          </w:p>
        </w:tc>
        <w:tc>
          <w:tcPr>
            <w:tcW w:w="1666"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021-50120888</w:t>
            </w:r>
          </w:p>
        </w:tc>
        <w:tc>
          <w:tcPr>
            <w:tcW w:w="1667"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B80DC0">
            <w:pPr>
              <w:jc w:val="left"/>
              <w:rPr>
                <w:rFonts w:ascii="宋体" w:hAnsi="宋体"/>
                <w:szCs w:val="21"/>
              </w:rPr>
            </w:pPr>
            <w:r w:rsidRPr="00C11FF9">
              <w:rPr>
                <w:rFonts w:ascii="宋体" w:hAnsi="宋体"/>
                <w:szCs w:val="21"/>
              </w:rPr>
              <w:t>010-66594942</w:t>
            </w:r>
          </w:p>
        </w:tc>
      </w:tr>
    </w:tbl>
    <w:p w:rsidRPr="00C11FF9" w:rsidR="00B80DC0" w:rsidP="00E355CC" w:rsidRDefault="00B80DC0">
      <w:pPr>
        <w:ind w:firstLine="465"/>
        <w:rPr>
          <w:rFonts w:ascii="宋体" w:hAnsi="宋体"/>
          <w:szCs w:val="21"/>
        </w:rPr>
      </w:pPr>
      <w:r w:rsidRPr="00C11FF9">
        <w:rPr>
          <w:rFonts w:ascii="宋体" w:hAnsi="宋体"/>
          <w:szCs w:val="21"/>
        </w:rPr>
        <w:t>注:本基金管理人法定名称于2017年12月18日起变更为“中信保诚基金管理有限公司”。</w:t>
      </w:r>
    </w:p>
    <w:p w:rsidRPr="00C11FF9" w:rsidR="00B80DC0" w:rsidP="00E355CC" w:rsidRDefault="00B80DC0">
      <w:pPr>
        <w:ind w:firstLine="465"/>
        <w:rPr>
          <w:rFonts w:ascii="宋体" w:hAnsi="宋体"/>
          <w:szCs w:val="21"/>
        </w:rPr>
      </w:pPr>
      <w:r w:rsidRPr="00C11FF9">
        <w:rPr>
          <w:rFonts w:ascii="宋体" w:hAnsi="宋体"/>
          <w:szCs w:val="21"/>
        </w:rPr>
        <w:t>  本基金管理人已于2017年12月20日在中国证监会指定媒介以及公司网站上刊登了公司法定名称变更的公告。</w:t>
      </w:r>
    </w:p>
    <w:p w:rsidRPr="002D6429" w:rsidR="00063853" w:rsidP="002D6429" w:rsidRDefault="00182860">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境外投资顾问和境外资产托管人</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18"/>
        <w:gridCol w:w="1379"/>
        <w:gridCol w:w="3296"/>
        <w:gridCol w:w="4083"/>
      </w:tblGrid>
      <w:tr w:rsidRPr="00C11FF9" w:rsidR="00063853" w:rsidTr="00162FCC">
        <w:trPr>
          <w:cantSplit/>
        </w:trPr>
        <w:tc>
          <w:tcPr>
            <w:tcW w:w="1146" w:type="pct"/>
            <w:gridSpan w:val="2"/>
            <w:tcBorders>
              <w:top w:val="single" w:color="auto" w:sz="4" w:space="0"/>
              <w:left w:val="single" w:color="auto" w:sz="4" w:space="0"/>
              <w:bottom w:val="single" w:color="auto" w:sz="4" w:space="0"/>
              <w:right w:val="single" w:color="auto" w:sz="4" w:space="0"/>
            </w:tcBorders>
            <w:vAlign w:val="center"/>
          </w:tcPr>
          <w:p w:rsidRPr="00C11FF9" w:rsidR="00063853" w:rsidP="00162FCC" w:rsidRDefault="00063853">
            <w:pPr>
              <w:jc w:val="center"/>
              <w:rPr>
                <w:rFonts w:ascii="宋体" w:hAnsi="宋体"/>
                <w:szCs w:val="21"/>
              </w:rPr>
            </w:pPr>
            <w:r w:rsidRPr="00C11FF9">
              <w:rPr>
                <w:rFonts w:hint="eastAsia" w:ascii="宋体" w:hAnsi="宋体"/>
                <w:szCs w:val="21"/>
              </w:rPr>
              <w:t>项目</w:t>
            </w:r>
          </w:p>
        </w:tc>
        <w:tc>
          <w:tcPr>
            <w:tcW w:w="1721" w:type="pct"/>
            <w:tcBorders>
              <w:top w:val="single" w:color="auto" w:sz="4" w:space="0"/>
              <w:left w:val="single" w:color="auto" w:sz="4" w:space="0"/>
              <w:bottom w:val="single" w:color="auto" w:sz="4" w:space="0"/>
              <w:right w:val="single" w:color="auto" w:sz="4" w:space="0"/>
            </w:tcBorders>
            <w:vAlign w:val="center"/>
          </w:tcPr>
          <w:p w:rsidRPr="00C11FF9" w:rsidR="00063853" w:rsidP="00162FCC" w:rsidRDefault="00063853">
            <w:pPr>
              <w:jc w:val="center"/>
              <w:rPr>
                <w:rFonts w:ascii="宋体" w:hAnsi="宋体"/>
                <w:szCs w:val="21"/>
              </w:rPr>
            </w:pPr>
            <w:r w:rsidRPr="00C11FF9">
              <w:rPr>
                <w:rFonts w:hint="eastAsia" w:ascii="宋体" w:hAnsi="宋体"/>
                <w:kern w:val="0"/>
                <w:szCs w:val="21"/>
              </w:rPr>
              <w:t>境外投资顾问</w:t>
            </w:r>
          </w:p>
        </w:tc>
        <w:tc>
          <w:tcPr>
            <w:tcW w:w="2133" w:type="pct"/>
            <w:tcBorders>
              <w:top w:val="single" w:color="auto" w:sz="4" w:space="0"/>
              <w:left w:val="single" w:color="auto" w:sz="4" w:space="0"/>
              <w:bottom w:val="single" w:color="auto" w:sz="4" w:space="0"/>
              <w:right w:val="single" w:color="auto" w:sz="4" w:space="0"/>
            </w:tcBorders>
            <w:vAlign w:val="center"/>
          </w:tcPr>
          <w:p w:rsidRPr="00C11FF9" w:rsidR="00063853" w:rsidP="00162FCC" w:rsidRDefault="00063853">
            <w:pPr>
              <w:jc w:val="center"/>
              <w:rPr>
                <w:rFonts w:ascii="宋体" w:hAnsi="宋体"/>
                <w:szCs w:val="21"/>
              </w:rPr>
            </w:pPr>
            <w:r w:rsidRPr="00C11FF9">
              <w:rPr>
                <w:rFonts w:hint="eastAsia" w:ascii="宋体" w:hAnsi="宋体"/>
                <w:kern w:val="0"/>
                <w:szCs w:val="21"/>
              </w:rPr>
              <w:t>境外资产托管人</w:t>
            </w:r>
          </w:p>
        </w:tc>
      </w:tr>
      <w:tr w:rsidRPr="00C11FF9" w:rsidR="007745DA" w:rsidTr="007745DA">
        <w:trPr>
          <w:cantSplit/>
        </w:trPr>
        <w:tc>
          <w:tcPr>
            <w:tcW w:w="427" w:type="pct"/>
            <w:vMerge w:val="restart"/>
            <w:tcBorders>
              <w:top w:val="single" w:color="auto" w:sz="4" w:space="0"/>
              <w:left w:val="single" w:color="auto" w:sz="4" w:space="0"/>
              <w:right w:val="single" w:color="auto" w:sz="4" w:space="0"/>
            </w:tcBorders>
            <w:shd w:val="clear" w:color="auto" w:fill="auto"/>
            <w:vAlign w:val="center"/>
          </w:tcPr>
          <w:p w:rsidRPr="00C11FF9" w:rsidR="007745DA" w:rsidP="007745DA" w:rsidRDefault="007745DA">
            <w:pPr>
              <w:jc w:val="center"/>
              <w:rPr>
                <w:rFonts w:ascii="宋体" w:hAnsi="宋体"/>
                <w:szCs w:val="21"/>
              </w:rPr>
            </w:pPr>
            <w:r w:rsidRPr="00C11FF9">
              <w:rPr>
                <w:rFonts w:hint="eastAsia" w:ascii="宋体" w:hAnsi="宋体"/>
                <w:szCs w:val="21"/>
              </w:rPr>
              <w:t>名称</w:t>
            </w:r>
          </w:p>
        </w:tc>
        <w:tc>
          <w:tcPr>
            <w:tcW w:w="72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7745DA" w:rsidP="00A43211" w:rsidRDefault="007745DA">
            <w:pPr>
              <w:jc w:val="left"/>
              <w:rPr>
                <w:rFonts w:ascii="宋体" w:hAnsi="宋体"/>
                <w:szCs w:val="21"/>
              </w:rPr>
            </w:pPr>
            <w:r w:rsidRPr="00C11FF9">
              <w:rPr>
                <w:rFonts w:hint="eastAsia" w:ascii="宋体" w:hAnsi="宋体"/>
                <w:szCs w:val="21"/>
              </w:rPr>
              <w:t>英文</w:t>
            </w:r>
          </w:p>
        </w:tc>
        <w:tc>
          <w:tcPr>
            <w:tcW w:w="1721" w:type="pct"/>
            <w:tcBorders>
              <w:top w:val="single" w:color="auto" w:sz="4" w:space="0"/>
              <w:left w:val="single" w:color="auto" w:sz="4" w:space="0"/>
              <w:bottom w:val="single" w:color="auto" w:sz="4" w:space="0"/>
              <w:right w:val="single" w:color="auto" w:sz="4" w:space="0"/>
            </w:tcBorders>
            <w:vAlign w:val="center"/>
          </w:tcPr>
          <w:p w:rsidRPr="00C11FF9" w:rsidR="007745DA" w:rsidP="00C45FBC" w:rsidRDefault="007745DA">
            <w:pPr>
              <w:jc w:val="left"/>
              <w:rPr>
                <w:rFonts w:ascii="宋体" w:hAnsi="宋体"/>
                <w:szCs w:val="21"/>
              </w:rPr>
            </w:pPr>
            <w:r w:rsidRPr="00C11FF9">
              <w:rPr>
                <w:rFonts w:ascii="宋体" w:hAnsi="宋体"/>
                <w:szCs w:val="21"/>
              </w:rPr>
              <w:t>-</w:t>
            </w:r>
          </w:p>
        </w:tc>
        <w:tc>
          <w:tcPr>
            <w:tcW w:w="2133" w:type="pct"/>
            <w:tcBorders>
              <w:top w:val="single" w:color="auto" w:sz="4" w:space="0"/>
              <w:left w:val="single" w:color="auto" w:sz="4" w:space="0"/>
              <w:bottom w:val="single" w:color="auto" w:sz="4" w:space="0"/>
              <w:right w:val="single" w:color="auto" w:sz="4" w:space="0"/>
            </w:tcBorders>
            <w:vAlign w:val="center"/>
          </w:tcPr>
          <w:p w:rsidRPr="00C11FF9" w:rsidR="007745DA" w:rsidP="00C45FBC" w:rsidRDefault="007745DA">
            <w:pPr>
              <w:jc w:val="left"/>
              <w:rPr>
                <w:rFonts w:ascii="宋体" w:hAnsi="宋体"/>
                <w:szCs w:val="21"/>
              </w:rPr>
            </w:pPr>
            <w:r w:rsidRPr="00C11FF9">
              <w:rPr>
                <w:rFonts w:ascii="宋体" w:hAnsi="宋体"/>
                <w:szCs w:val="21"/>
              </w:rPr>
              <w:t>Bank of China (Hong Kong) Limited</w:t>
            </w:r>
          </w:p>
        </w:tc>
      </w:tr>
      <w:tr w:rsidRPr="00C11FF9" w:rsidR="007745DA" w:rsidTr="007745DA">
        <w:trPr>
          <w:cantSplit/>
        </w:trPr>
        <w:tc>
          <w:tcPr>
            <w:tcW w:w="427" w:type="pct"/>
            <w:vMerge/>
            <w:tcBorders>
              <w:left w:val="single" w:color="auto" w:sz="4" w:space="0"/>
              <w:bottom w:val="single" w:color="auto" w:sz="4" w:space="0"/>
              <w:right w:val="single" w:color="auto" w:sz="4" w:space="0"/>
            </w:tcBorders>
            <w:shd w:val="clear" w:color="auto" w:fill="auto"/>
            <w:vAlign w:val="center"/>
          </w:tcPr>
          <w:p w:rsidRPr="00C11FF9" w:rsidR="007745DA" w:rsidP="007745DA" w:rsidRDefault="007745DA">
            <w:pPr>
              <w:jc w:val="left"/>
              <w:rPr>
                <w:rFonts w:ascii="宋体" w:hAnsi="宋体"/>
                <w:kern w:val="0"/>
                <w:szCs w:val="21"/>
              </w:rPr>
            </w:pPr>
          </w:p>
        </w:tc>
        <w:tc>
          <w:tcPr>
            <w:tcW w:w="72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7745DA" w:rsidP="00A43211" w:rsidRDefault="007745DA">
            <w:pPr>
              <w:jc w:val="left"/>
              <w:rPr>
                <w:rFonts w:ascii="宋体" w:hAnsi="宋体"/>
                <w:kern w:val="0"/>
                <w:szCs w:val="21"/>
              </w:rPr>
            </w:pPr>
            <w:r w:rsidRPr="00C11FF9">
              <w:rPr>
                <w:rFonts w:hint="eastAsia" w:ascii="宋体" w:hAnsi="宋体"/>
                <w:szCs w:val="21"/>
              </w:rPr>
              <w:t>中文</w:t>
            </w:r>
          </w:p>
        </w:tc>
        <w:tc>
          <w:tcPr>
            <w:tcW w:w="1721" w:type="pct"/>
            <w:tcBorders>
              <w:top w:val="single" w:color="auto" w:sz="4" w:space="0"/>
              <w:left w:val="single" w:color="auto" w:sz="4" w:space="0"/>
              <w:bottom w:val="single" w:color="auto" w:sz="4" w:space="0"/>
              <w:right w:val="single" w:color="auto" w:sz="4" w:space="0"/>
            </w:tcBorders>
            <w:vAlign w:val="center"/>
          </w:tcPr>
          <w:p w:rsidRPr="00C11FF9" w:rsidR="007745DA" w:rsidP="00C45FBC" w:rsidRDefault="007745DA">
            <w:pPr>
              <w:jc w:val="left"/>
              <w:rPr>
                <w:rFonts w:ascii="宋体" w:hAnsi="宋体"/>
                <w:szCs w:val="21"/>
              </w:rPr>
            </w:pPr>
            <w:r w:rsidRPr="00C11FF9">
              <w:rPr>
                <w:rFonts w:ascii="宋体" w:hAnsi="宋体"/>
                <w:szCs w:val="21"/>
              </w:rPr>
              <w:t>-</w:t>
            </w:r>
          </w:p>
        </w:tc>
        <w:tc>
          <w:tcPr>
            <w:tcW w:w="2133" w:type="pct"/>
            <w:tcBorders>
              <w:top w:val="single" w:color="auto" w:sz="4" w:space="0"/>
              <w:left w:val="single" w:color="auto" w:sz="4" w:space="0"/>
              <w:bottom w:val="single" w:color="auto" w:sz="4" w:space="0"/>
              <w:right w:val="single" w:color="auto" w:sz="4" w:space="0"/>
            </w:tcBorders>
            <w:vAlign w:val="center"/>
          </w:tcPr>
          <w:p w:rsidRPr="00C11FF9" w:rsidR="007745DA" w:rsidP="00C45FBC" w:rsidRDefault="007745DA">
            <w:pPr>
              <w:jc w:val="left"/>
              <w:rPr>
                <w:rFonts w:ascii="宋体" w:hAnsi="宋体"/>
                <w:szCs w:val="21"/>
              </w:rPr>
            </w:pPr>
            <w:r w:rsidRPr="00C11FF9">
              <w:rPr>
                <w:rFonts w:ascii="宋体" w:hAnsi="宋体"/>
                <w:szCs w:val="21"/>
              </w:rPr>
              <w:t>中国银行(香港)有限公司</w:t>
            </w:r>
          </w:p>
        </w:tc>
      </w:tr>
      <w:tr w:rsidRPr="00C11FF9" w:rsidR="00063853" w:rsidTr="00CD61EF">
        <w:trPr>
          <w:cantSplit/>
        </w:trPr>
        <w:tc>
          <w:tcPr>
            <w:tcW w:w="1146" w:type="pct"/>
            <w:gridSpan w:val="2"/>
            <w:tcBorders>
              <w:top w:val="single" w:color="auto" w:sz="4" w:space="0"/>
              <w:left w:val="single" w:color="auto" w:sz="4" w:space="0"/>
              <w:bottom w:val="single" w:color="auto" w:sz="4" w:space="0"/>
              <w:right w:val="single" w:color="auto" w:sz="4" w:space="0"/>
            </w:tcBorders>
            <w:vAlign w:val="center"/>
          </w:tcPr>
          <w:p w:rsidRPr="00C11FF9" w:rsidR="00063853" w:rsidP="00162FCC" w:rsidRDefault="00063853">
            <w:pPr>
              <w:rPr>
                <w:rFonts w:ascii="宋体" w:hAnsi="宋体"/>
                <w:szCs w:val="21"/>
              </w:rPr>
            </w:pPr>
            <w:r w:rsidRPr="00C11FF9">
              <w:rPr>
                <w:rFonts w:hint="eastAsia" w:ascii="宋体" w:hAnsi="宋体"/>
                <w:szCs w:val="21"/>
              </w:rPr>
              <w:t>注册地址</w:t>
            </w:r>
          </w:p>
        </w:tc>
        <w:tc>
          <w:tcPr>
            <w:tcW w:w="172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063853" w:rsidP="00C45FBC" w:rsidRDefault="00B63031">
            <w:pPr>
              <w:jc w:val="left"/>
              <w:rPr>
                <w:rFonts w:ascii="宋体" w:hAnsi="宋体"/>
                <w:szCs w:val="21"/>
              </w:rPr>
            </w:pPr>
            <w:r w:rsidRPr="00C11FF9">
              <w:rPr>
                <w:rFonts w:hint="eastAsia" w:ascii="宋体" w:hAnsi="宋体"/>
                <w:szCs w:val="21"/>
              </w:rPr>
              <w:t>-</w:t>
            </w:r>
          </w:p>
        </w:tc>
        <w:tc>
          <w:tcPr>
            <w:tcW w:w="2133"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063853" w:rsidP="00C45FBC" w:rsidRDefault="00B63031">
            <w:pPr>
              <w:jc w:val="left"/>
              <w:rPr>
                <w:rFonts w:ascii="宋体" w:hAnsi="宋体"/>
                <w:szCs w:val="21"/>
              </w:rPr>
            </w:pPr>
            <w:r w:rsidRPr="00C11FF9">
              <w:rPr>
                <w:rFonts w:hint="eastAsia" w:ascii="宋体" w:hAnsi="宋体"/>
                <w:szCs w:val="21"/>
              </w:rPr>
              <w:t>香港中环花园道1号中银大厦</w:t>
            </w:r>
          </w:p>
        </w:tc>
      </w:tr>
      <w:tr w:rsidRPr="00C11FF9" w:rsidR="00063853" w:rsidTr="00CD61EF">
        <w:trPr>
          <w:cantSplit/>
        </w:trPr>
        <w:tc>
          <w:tcPr>
            <w:tcW w:w="1146" w:type="pct"/>
            <w:gridSpan w:val="2"/>
            <w:tcBorders>
              <w:top w:val="single" w:color="auto" w:sz="4" w:space="0"/>
              <w:left w:val="single" w:color="auto" w:sz="4" w:space="0"/>
              <w:bottom w:val="single" w:color="auto" w:sz="4" w:space="0"/>
              <w:right w:val="single" w:color="auto" w:sz="4" w:space="0"/>
            </w:tcBorders>
            <w:vAlign w:val="center"/>
          </w:tcPr>
          <w:p w:rsidRPr="00C11FF9" w:rsidR="00063853" w:rsidP="00162FCC" w:rsidRDefault="00063853">
            <w:pPr>
              <w:rPr>
                <w:rFonts w:ascii="宋体" w:hAnsi="宋体"/>
                <w:szCs w:val="21"/>
              </w:rPr>
            </w:pPr>
            <w:r w:rsidRPr="00C11FF9">
              <w:rPr>
                <w:rFonts w:hint="eastAsia" w:ascii="宋体" w:hAnsi="宋体"/>
                <w:szCs w:val="21"/>
              </w:rPr>
              <w:t>办公地址</w:t>
            </w:r>
          </w:p>
        </w:tc>
        <w:tc>
          <w:tcPr>
            <w:tcW w:w="172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063853" w:rsidP="00C45FBC" w:rsidRDefault="00B63031">
            <w:pPr>
              <w:jc w:val="left"/>
              <w:rPr>
                <w:rFonts w:ascii="宋体" w:hAnsi="宋体"/>
                <w:szCs w:val="21"/>
              </w:rPr>
            </w:pPr>
            <w:r w:rsidRPr="00C11FF9">
              <w:rPr>
                <w:rFonts w:hint="eastAsia" w:ascii="宋体" w:hAnsi="宋体"/>
                <w:szCs w:val="21"/>
              </w:rPr>
              <w:t>-</w:t>
            </w:r>
          </w:p>
        </w:tc>
        <w:tc>
          <w:tcPr>
            <w:tcW w:w="2133"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063853" w:rsidP="00C45FBC" w:rsidRDefault="00B63031">
            <w:pPr>
              <w:jc w:val="left"/>
              <w:rPr>
                <w:rFonts w:ascii="宋体" w:hAnsi="宋体"/>
                <w:szCs w:val="21"/>
              </w:rPr>
            </w:pPr>
            <w:r w:rsidRPr="00C11FF9">
              <w:rPr>
                <w:rFonts w:hint="eastAsia" w:ascii="宋体" w:hAnsi="宋体"/>
                <w:szCs w:val="21"/>
              </w:rPr>
              <w:t>香港中环花园道1号中银大厦</w:t>
            </w:r>
          </w:p>
        </w:tc>
      </w:tr>
      <w:tr w:rsidRPr="00C11FF9" w:rsidR="00063853" w:rsidTr="00CD61EF">
        <w:trPr>
          <w:cantSplit/>
        </w:trPr>
        <w:tc>
          <w:tcPr>
            <w:tcW w:w="1146" w:type="pct"/>
            <w:gridSpan w:val="2"/>
            <w:tcBorders>
              <w:top w:val="single" w:color="auto" w:sz="4" w:space="0"/>
              <w:left w:val="single" w:color="auto" w:sz="4" w:space="0"/>
              <w:bottom w:val="single" w:color="auto" w:sz="4" w:space="0"/>
              <w:right w:val="single" w:color="auto" w:sz="4" w:space="0"/>
            </w:tcBorders>
            <w:vAlign w:val="center"/>
          </w:tcPr>
          <w:p w:rsidRPr="00C11FF9" w:rsidR="00063853" w:rsidP="00162FCC" w:rsidRDefault="00063853">
            <w:pPr>
              <w:rPr>
                <w:rFonts w:ascii="宋体" w:hAnsi="宋体"/>
                <w:szCs w:val="21"/>
              </w:rPr>
            </w:pPr>
            <w:r w:rsidRPr="00C11FF9">
              <w:rPr>
                <w:rFonts w:hint="eastAsia" w:ascii="宋体" w:hAnsi="宋体"/>
                <w:szCs w:val="21"/>
              </w:rPr>
              <w:t>邮政编码</w:t>
            </w:r>
          </w:p>
        </w:tc>
        <w:tc>
          <w:tcPr>
            <w:tcW w:w="172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063853" w:rsidP="00C45FBC" w:rsidRDefault="00B63031">
            <w:pPr>
              <w:jc w:val="left"/>
              <w:rPr>
                <w:rFonts w:ascii="宋体" w:hAnsi="宋体"/>
                <w:szCs w:val="21"/>
              </w:rPr>
            </w:pPr>
            <w:r w:rsidRPr="00C11FF9">
              <w:rPr>
                <w:rFonts w:hint="eastAsia" w:ascii="宋体" w:hAnsi="宋体"/>
                <w:szCs w:val="21"/>
              </w:rPr>
              <w:t>-</w:t>
            </w:r>
          </w:p>
        </w:tc>
        <w:tc>
          <w:tcPr>
            <w:tcW w:w="2133"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063853" w:rsidP="00C45FBC" w:rsidRDefault="00B63031">
            <w:pPr>
              <w:jc w:val="left"/>
              <w:rPr>
                <w:rFonts w:ascii="宋体" w:hAnsi="宋体"/>
                <w:szCs w:val="21"/>
              </w:rPr>
            </w:pPr>
            <w:r w:rsidRPr="00C11FF9">
              <w:rPr>
                <w:rFonts w:hint="eastAsia" w:ascii="宋体" w:hAnsi="宋体"/>
                <w:szCs w:val="21"/>
              </w:rPr>
              <w:t>-</w:t>
            </w:r>
          </w:p>
        </w:tc>
      </w:tr>
    </w:tbl>
    <w:p w:rsidRPr="00C11FF9" w:rsidR="00B63031" w:rsidP="00B63031" w:rsidRDefault="00B63031">
      <w:pPr>
        <w:tabs>
          <w:tab w:val="left" w:pos="2055"/>
        </w:tabs>
        <w:ind w:firstLine="420"/>
        <w:rPr>
          <w:rFonts w:ascii="宋体" w:hAnsi="宋体"/>
          <w:bCs/>
          <w:szCs w:val="21"/>
        </w:rPr>
      </w:pPr>
      <w:r w:rsidRPr="00C11FF9">
        <w:rPr>
          <w:rFonts w:hint="eastAsia" w:ascii="宋体" w:hAnsi="宋体"/>
          <w:bCs/>
          <w:szCs w:val="21"/>
        </w:rPr>
        <w:t/>
      </w:r>
    </w:p>
    <w:p w:rsidRPr="00C11FF9" w:rsidR="009E5CF1" w:rsidP="00E50060" w:rsidRDefault="009E5CF1">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lastRenderedPageBreak/>
        <w:t>信息披露方式</w:t>
      </w:r>
    </w:p>
    <w:tbl>
      <w:tblPr>
        <w:tblW w:w="5000" w:type="pct"/>
        <w:tblLook w:val="01E0" w:firstRow="1" w:lastRow="1" w:firstColumn="1" w:lastColumn="1" w:noHBand="0" w:noVBand="0"/>
      </w:tblPr>
      <w:tblGrid>
        <w:gridCol w:w="4788"/>
        <w:gridCol w:w="4788"/>
      </w:tblGrid>
      <w:tr w:rsidRPr="00C11FF9" w:rsidR="009E5CF1">
        <w:tc>
          <w:tcPr>
            <w:tcW w:w="2500"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szCs w:val="21"/>
              </w:rPr>
            </w:pPr>
            <w:r w:rsidRPr="00C11FF9">
              <w:rPr>
                <w:rFonts w:hint="eastAsia" w:ascii="宋体" w:hAnsi="宋体"/>
                <w:szCs w:val="21"/>
              </w:rPr>
              <w:t>登载基金半年度报告正文的管理人互联网网址</w:t>
            </w:r>
          </w:p>
        </w:tc>
        <w:tc>
          <w:tcPr>
            <w:tcW w:w="2500"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C96412">
            <w:pPr>
              <w:jc w:val="left"/>
              <w:rPr>
                <w:rFonts w:ascii="宋体" w:hAnsi="宋体"/>
                <w:szCs w:val="21"/>
              </w:rPr>
            </w:pPr>
            <w:r w:rsidRPr="00C11FF9">
              <w:rPr>
                <w:rFonts w:ascii="宋体" w:hAnsi="宋体"/>
                <w:szCs w:val="21"/>
              </w:rPr>
              <w:t>www.citicprufunds.com.cn</w:t>
            </w:r>
          </w:p>
        </w:tc>
      </w:tr>
      <w:tr w:rsidRPr="00C11FF9" w:rsidR="009E5CF1">
        <w:tc>
          <w:tcPr>
            <w:tcW w:w="2500" w:type="pct"/>
            <w:tcBorders>
              <w:top w:val="single" w:color="auto" w:sz="4" w:space="0"/>
              <w:left w:val="single" w:color="auto" w:sz="4" w:space="0"/>
              <w:bottom w:val="single" w:color="auto" w:sz="4" w:space="0"/>
              <w:right w:val="single" w:color="auto" w:sz="4" w:space="0"/>
            </w:tcBorders>
            <w:vAlign w:val="center"/>
          </w:tcPr>
          <w:p w:rsidRPr="00C11FF9" w:rsidR="009E5CF1" w:rsidP="00E355CC" w:rsidRDefault="009E5CF1">
            <w:pPr>
              <w:rPr>
                <w:rFonts w:ascii="宋体" w:hAnsi="宋体"/>
                <w:szCs w:val="21"/>
              </w:rPr>
            </w:pPr>
            <w:r w:rsidRPr="00C11FF9">
              <w:rPr>
                <w:rFonts w:hint="eastAsia" w:ascii="宋体" w:hAnsi="宋体"/>
                <w:szCs w:val="21"/>
              </w:rPr>
              <w:t>基金半年度报告备置地点</w:t>
            </w:r>
          </w:p>
        </w:tc>
        <w:tc>
          <w:tcPr>
            <w:tcW w:w="2500" w:type="pct"/>
            <w:tcBorders>
              <w:top w:val="single" w:color="auto" w:sz="4" w:space="0"/>
              <w:left w:val="single" w:color="auto" w:sz="4" w:space="0"/>
              <w:bottom w:val="single" w:color="auto" w:sz="4" w:space="0"/>
              <w:right w:val="single" w:color="auto" w:sz="4" w:space="0"/>
            </w:tcBorders>
            <w:vAlign w:val="center"/>
          </w:tcPr>
          <w:p w:rsidRPr="00C11FF9" w:rsidR="009E5CF1" w:rsidP="00C45FBC" w:rsidRDefault="00C96412">
            <w:pPr>
              <w:jc w:val="left"/>
              <w:rPr>
                <w:rFonts w:ascii="宋体" w:hAnsi="宋体"/>
                <w:szCs w:val="21"/>
              </w:rPr>
            </w:pPr>
            <w:r w:rsidRPr="00C11FF9">
              <w:rPr>
                <w:rFonts w:ascii="宋体" w:hAnsi="宋体"/>
                <w:szCs w:val="21"/>
              </w:rPr>
              <w:t>基金管理人及基金托管人住所</w:t>
            </w:r>
          </w:p>
        </w:tc>
      </w:tr>
    </w:tbl>
    <w:p w:rsidRPr="00C11FF9" w:rsidR="00C96412" w:rsidP="00E355CC" w:rsidRDefault="000B7904">
      <w:pPr>
        <w:rPr>
          <w:rFonts w:ascii="宋体" w:hAnsi="宋体"/>
          <w:szCs w:val="21"/>
        </w:rPr>
      </w:pPr>
      <w:r w:rsidRPr="00C11FF9">
        <w:rPr>
          <w:rFonts w:hint="eastAsia" w:ascii="宋体" w:hAnsi="宋体"/>
          <w:szCs w:val="21"/>
        </w:rPr>
        <w:t xml:space="preserve">     </w:t>
      </w:r>
      <w:r w:rsidRPr="00C11FF9" w:rsidR="00C96412">
        <w:rPr>
          <w:rFonts w:ascii="宋体" w:hAnsi="宋体"/>
          <w:szCs w:val="21"/>
        </w:rPr>
        <w:t/>
      </w:r>
    </w:p>
    <w:p w:rsidRPr="00C11FF9" w:rsidR="000B7904" w:rsidP="00162FCC" w:rsidRDefault="005740B7">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t>主要财务指标和</w:t>
      </w:r>
      <w:r w:rsidRPr="00C11FF9" w:rsidR="000B7904">
        <w:rPr>
          <w:rFonts w:hint="eastAsia" w:ascii="宋体" w:hAnsi="宋体"/>
          <w:sz w:val="21"/>
          <w:szCs w:val="21"/>
        </w:rPr>
        <w:t>基金净值表现</w:t>
      </w:r>
    </w:p>
    <w:p w:rsidRPr="00C11FF9" w:rsidR="000B7904" w:rsidP="00E50060" w:rsidRDefault="00791BBF">
      <w:pPr>
        <w:pStyle w:val="2"/>
        <w:numPr>
          <w:ilvl w:val="1"/>
          <w:numId w:val="1"/>
        </w:numPr>
        <w:spacing w:before="0" w:after="0" w:line="240" w:lineRule="auto"/>
        <w:rPr>
          <w:rFonts w:ascii="宋体" w:hAnsi="宋体" w:eastAsia="宋体"/>
          <w:sz w:val="21"/>
          <w:szCs w:val="21"/>
        </w:rPr>
      </w:pPr>
      <w:r w:rsidRPr="00C11FF9">
        <w:rPr>
          <w:rFonts w:ascii="宋体" w:hAnsi="宋体" w:eastAsia="宋体"/>
          <w:sz w:val="21"/>
          <w:szCs w:val="21"/>
        </w:rPr>
        <w:t>主要</w:t>
      </w:r>
      <w:r w:rsidRPr="00C11FF9">
        <w:rPr>
          <w:rFonts w:hint="eastAsia" w:ascii="宋体" w:hAnsi="宋体" w:eastAsia="宋体"/>
          <w:sz w:val="21"/>
          <w:szCs w:val="21"/>
        </w:rPr>
        <w:t>会计数据和</w:t>
      </w:r>
      <w:r w:rsidRPr="00C11FF9">
        <w:rPr>
          <w:rFonts w:ascii="宋体" w:hAnsi="宋体" w:eastAsia="宋体"/>
          <w:sz w:val="21"/>
          <w:szCs w:val="21"/>
        </w:rPr>
        <w:t>财务指标</w:t>
      </w:r>
    </w:p>
    <w:p w:rsidRPr="00C11FF9" w:rsidR="008B6E2E" w:rsidP="00E355CC" w:rsidRDefault="00A35E0C">
      <w:pPr>
        <w:jc w:val="right"/>
        <w:rPr>
          <w:rFonts w:ascii="宋体" w:hAnsi="宋体"/>
          <w:szCs w:val="21"/>
        </w:rPr>
      </w:pPr>
      <w:r w:rsidRPr="00C11FF9">
        <w:rPr>
          <w:rFonts w:hint="eastAsia" w:ascii="宋体" w:hAnsi="宋体"/>
          <w:szCs w:val="21"/>
        </w:rPr>
        <w:t>金额</w:t>
      </w:r>
      <w:r w:rsidRPr="00C11FF9" w:rsidR="008B6E2E">
        <w:rPr>
          <w:rFonts w:hint="eastAsia" w:ascii="宋体" w:hAnsi="宋体"/>
          <w:szCs w:val="21"/>
        </w:rPr>
        <w:t>单位：人民币元</w:t>
      </w:r>
    </w:p>
    <w:tbl>
      <w:tblPr>
        <w:tblW w:w="5000" w:type="pct"/>
        <w:tblLook w:val="01E0" w:firstRow="1" w:lastRow="1" w:firstColumn="1" w:lastColumn="1" w:noHBand="0" w:noVBand="0"/>
      </w:tblPr>
      <w:tblGrid>
        <w:gridCol w:w="4110"/>
        <w:gridCol w:w="5466"/>
      </w:tblGrid>
      <w:tr w:rsidRPr="00C11FF9" w:rsidR="00E966BF"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E966BF" w:rsidP="00E355CC" w:rsidRDefault="00586AB1">
            <w:pPr>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sidRPr="00C11FF9">
                <w:rPr>
                  <w:rFonts w:ascii="宋体" w:hAnsi="宋体"/>
                  <w:szCs w:val="21"/>
                </w:rPr>
                <w:t>3.1.1</w:t>
              </w:r>
            </w:smartTag>
            <w:r w:rsidRPr="00C11FF9">
              <w:rPr>
                <w:rFonts w:ascii="宋体" w:hAnsi="宋体"/>
                <w:szCs w:val="21"/>
              </w:rPr>
              <w:t xml:space="preserve"> </w:t>
            </w:r>
            <w:r w:rsidRPr="00C11FF9">
              <w:rPr>
                <w:rFonts w:hint="eastAsia" w:ascii="宋体" w:hAnsi="宋体"/>
                <w:szCs w:val="21"/>
              </w:rPr>
              <w:t>期间数据和指标</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E966BF" w:rsidP="003E3621" w:rsidRDefault="00850B33">
            <w:pPr>
              <w:jc w:val="center"/>
              <w:rPr>
                <w:rFonts w:ascii="宋体" w:hAnsi="宋体"/>
                <w:kern w:val="0"/>
                <w:szCs w:val="21"/>
              </w:rPr>
            </w:pPr>
            <w:r w:rsidRPr="00C11FF9">
              <w:rPr>
                <w:rFonts w:hint="eastAsia" w:ascii="宋体" w:hAnsi="宋体"/>
                <w:kern w:val="0"/>
                <w:szCs w:val="21"/>
              </w:rPr>
              <w:t>报告期(</w:t>
            </w:r>
            <w:r w:rsidRPr="00C11FF9">
              <w:rPr>
                <w:rFonts w:hint="eastAsia" w:ascii="宋体" w:hAnsi="宋体"/>
                <w:szCs w:val="21"/>
              </w:rPr>
              <w:t>2019年01月01日</w:t>
            </w:r>
            <w:r w:rsidR="003E3621">
              <w:rPr>
                <w:rFonts w:hint="eastAsia" w:ascii="宋体" w:hAnsi="宋体"/>
                <w:szCs w:val="21"/>
              </w:rPr>
              <w:t>至</w:t>
            </w:r>
            <w:r w:rsidRPr="00C11FF9">
              <w:rPr>
                <w:rFonts w:hint="eastAsia" w:ascii="宋体" w:hAnsi="宋体"/>
                <w:szCs w:val="21"/>
              </w:rPr>
              <w:t>2019年06月30日</w:t>
            </w:r>
            <w:r w:rsidRPr="00C11FF9">
              <w:rPr>
                <w:rFonts w:hint="eastAsia" w:ascii="宋体" w:hAnsi="宋体"/>
                <w:szCs w:val="21"/>
              </w:rPr>
              <w:t>)</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r w:rsidRPr="00C11FF9">
              <w:rPr>
                <w:rFonts w:hint="eastAsia"/>
                <w:sz w:val="21"/>
                <w:szCs w:val="21"/>
              </w:rPr>
              <w:t>本期已实现收益</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C96412">
            <w:pPr>
              <w:jc w:val="right"/>
              <w:rPr>
                <w:rFonts w:ascii="宋体" w:hAnsi="宋体"/>
                <w:szCs w:val="21"/>
              </w:rPr>
            </w:pPr>
            <w:r w:rsidRPr="00C11FF9">
              <w:rPr>
                <w:rFonts w:ascii="宋体" w:hAnsi="宋体"/>
                <w:szCs w:val="21"/>
              </w:rPr>
              <w:t>-163,383.76</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r w:rsidRPr="00C11FF9">
              <w:rPr>
                <w:rFonts w:hint="eastAsia"/>
                <w:sz w:val="21"/>
                <w:szCs w:val="21"/>
              </w:rPr>
              <w:t>本期利润</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117E99">
            <w:pPr>
              <w:jc w:val="right"/>
              <w:rPr>
                <w:rFonts w:ascii="宋体" w:hAnsi="宋体"/>
                <w:szCs w:val="21"/>
              </w:rPr>
            </w:pPr>
            <w:r w:rsidRPr="00C11FF9">
              <w:rPr>
                <w:rFonts w:ascii="宋体" w:hAnsi="宋体"/>
                <w:szCs w:val="21"/>
              </w:rPr>
              <w:t>752,707.53</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r w:rsidRPr="00C11FF9">
              <w:rPr>
                <w:rFonts w:hint="eastAsia"/>
                <w:color w:val="000000"/>
                <w:sz w:val="21"/>
                <w:szCs w:val="21"/>
              </w:rPr>
              <w:t>加权平均基金份额本期利润</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117E99">
            <w:pPr>
              <w:jc w:val="right"/>
              <w:rPr>
                <w:rFonts w:ascii="宋体" w:hAnsi="宋体"/>
                <w:szCs w:val="21"/>
              </w:rPr>
            </w:pPr>
            <w:r w:rsidRPr="00C11FF9">
              <w:rPr>
                <w:rFonts w:ascii="宋体" w:hAnsi="宋体"/>
                <w:szCs w:val="21"/>
              </w:rPr>
              <w:t>0.0581</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r w:rsidRPr="00C11FF9">
              <w:rPr>
                <w:rFonts w:hint="eastAsia"/>
                <w:color w:val="000000"/>
                <w:sz w:val="21"/>
                <w:szCs w:val="21"/>
              </w:rPr>
              <w:t>本期基金份额净值增长率</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117E99">
            <w:pPr>
              <w:jc w:val="right"/>
              <w:rPr>
                <w:rFonts w:ascii="宋体" w:hAnsi="宋体"/>
                <w:szCs w:val="21"/>
              </w:rPr>
            </w:pPr>
            <w:r w:rsidRPr="00C11FF9">
              <w:rPr>
                <w:rFonts w:ascii="宋体" w:hAnsi="宋体"/>
                <w:szCs w:val="21"/>
              </w:rPr>
              <w:t>8.17%</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C11FF9">
                <w:rPr>
                  <w:color w:val="000000"/>
                  <w:sz w:val="21"/>
                  <w:szCs w:val="21"/>
                </w:rPr>
                <w:t>3.1.2</w:t>
              </w:r>
            </w:smartTag>
            <w:r w:rsidRPr="00C11FF9">
              <w:rPr>
                <w:color w:val="000000"/>
                <w:sz w:val="21"/>
                <w:szCs w:val="21"/>
              </w:rPr>
              <w:t xml:space="preserve"> </w:t>
            </w:r>
            <w:r w:rsidRPr="00C11FF9">
              <w:rPr>
                <w:rFonts w:hint="eastAsia"/>
                <w:color w:val="000000"/>
                <w:sz w:val="21"/>
                <w:szCs w:val="21"/>
              </w:rPr>
              <w:t>期末数据和指标</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A06872" w:rsidRDefault="00A326A2">
            <w:pPr>
              <w:jc w:val="center"/>
              <w:rPr>
                <w:rFonts w:ascii="宋体" w:hAnsi="宋体"/>
                <w:szCs w:val="21"/>
              </w:rPr>
            </w:pPr>
            <w:r w:rsidRPr="00C11FF9">
              <w:rPr>
                <w:rFonts w:hint="eastAsia" w:ascii="宋体" w:hAnsi="宋体"/>
                <w:szCs w:val="21"/>
              </w:rPr>
              <w:t>报告期末(</w:t>
            </w:r>
            <w:r w:rsidRPr="00C11FF9" w:rsidR="002856D8">
              <w:rPr>
                <w:rFonts w:hint="eastAsia" w:ascii="宋体" w:hAnsi="宋体"/>
                <w:szCs w:val="21"/>
              </w:rPr>
              <w:t>2019年06月30日</w:t>
            </w:r>
            <w:r w:rsidRPr="00C11FF9">
              <w:rPr>
                <w:rFonts w:hint="eastAsia" w:ascii="宋体" w:hAnsi="宋体"/>
                <w:szCs w:val="21"/>
              </w:rPr>
              <w:t>)</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r w:rsidRPr="00C11FF9">
              <w:rPr>
                <w:rFonts w:hint="eastAsia"/>
                <w:color w:val="000000"/>
                <w:sz w:val="21"/>
                <w:szCs w:val="21"/>
              </w:rPr>
              <w:t>期末可供分配利润</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A06872">
            <w:pPr>
              <w:jc w:val="right"/>
              <w:rPr>
                <w:rFonts w:ascii="宋体" w:hAnsi="宋体"/>
                <w:szCs w:val="21"/>
              </w:rPr>
            </w:pPr>
            <w:r w:rsidRPr="00C11FF9">
              <w:rPr>
                <w:rFonts w:ascii="宋体" w:hAnsi="宋体"/>
                <w:szCs w:val="21"/>
              </w:rPr>
              <w:t>-3,745,652.82</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r w:rsidRPr="00C11FF9">
              <w:rPr>
                <w:rFonts w:hint="eastAsia"/>
                <w:color w:val="000000"/>
                <w:sz w:val="21"/>
                <w:szCs w:val="21"/>
              </w:rPr>
              <w:t>期末可供分配基金份额利润</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A06872">
            <w:pPr>
              <w:jc w:val="right"/>
              <w:rPr>
                <w:rFonts w:ascii="宋体" w:hAnsi="宋体"/>
                <w:szCs w:val="21"/>
              </w:rPr>
            </w:pPr>
            <w:r w:rsidRPr="00C11FF9">
              <w:rPr>
                <w:rFonts w:ascii="宋体" w:hAnsi="宋体"/>
                <w:szCs w:val="21"/>
              </w:rPr>
              <w:t>-0.2969</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r w:rsidRPr="00C11FF9">
              <w:rPr>
                <w:rFonts w:hint="eastAsia"/>
                <w:color w:val="000000"/>
                <w:sz w:val="21"/>
                <w:szCs w:val="21"/>
              </w:rPr>
              <w:t>期末基金资产净值</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A06872">
            <w:pPr>
              <w:jc w:val="right"/>
              <w:rPr>
                <w:rFonts w:ascii="宋体" w:hAnsi="宋体"/>
                <w:szCs w:val="21"/>
              </w:rPr>
            </w:pPr>
            <w:r w:rsidRPr="00C11FF9">
              <w:rPr>
                <w:rFonts w:ascii="宋体" w:hAnsi="宋体"/>
                <w:szCs w:val="21"/>
              </w:rPr>
              <w:t>9,528,906.99</w:t>
            </w:r>
          </w:p>
        </w:tc>
      </w:tr>
      <w:tr w:rsidRPr="00C11FF9" w:rsidR="00586AB1" w:rsidTr="00162FCC">
        <w:tc>
          <w:tcPr>
            <w:tcW w:w="2146"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586AB1">
            <w:pPr>
              <w:pStyle w:val="a3"/>
              <w:jc w:val="both"/>
              <w:rPr>
                <w:color w:val="000000"/>
                <w:sz w:val="21"/>
                <w:szCs w:val="21"/>
              </w:rPr>
            </w:pPr>
            <w:r w:rsidRPr="00C11FF9">
              <w:rPr>
                <w:rFonts w:hint="eastAsia"/>
                <w:color w:val="000000"/>
                <w:sz w:val="21"/>
                <w:szCs w:val="21"/>
              </w:rPr>
              <w:t>期末基金份额净值</w:t>
            </w:r>
          </w:p>
        </w:tc>
        <w:tc>
          <w:tcPr>
            <w:tcW w:w="2854" w:type="pct"/>
            <w:tcBorders>
              <w:top w:val="single" w:color="auto" w:sz="4" w:space="0"/>
              <w:left w:val="single" w:color="auto" w:sz="4" w:space="0"/>
              <w:bottom w:val="single" w:color="auto" w:sz="4" w:space="0"/>
              <w:right w:val="single" w:color="auto" w:sz="4" w:space="0"/>
            </w:tcBorders>
            <w:vAlign w:val="center"/>
          </w:tcPr>
          <w:p w:rsidRPr="00C11FF9" w:rsidR="00586AB1" w:rsidP="00E355CC" w:rsidRDefault="002D26DA">
            <w:pPr>
              <w:jc w:val="right"/>
              <w:rPr>
                <w:rFonts w:ascii="宋体" w:hAnsi="宋体"/>
                <w:szCs w:val="21"/>
              </w:rPr>
            </w:pPr>
            <w:r>
              <w:rPr>
                <w:rFonts w:hint="eastAsia" w:ascii="宋体" w:hAnsi="宋体"/>
                <w:szCs w:val="21"/>
              </w:rPr>
              <w:t>0.755</w:t>
            </w:r>
          </w:p>
        </w:tc>
      </w:tr>
    </w:tbl>
    <w:p w:rsidRPr="00C11FF9" w:rsidR="00A06872" w:rsidP="00907B0A" w:rsidRDefault="00A06872">
      <w:pPr>
        <w:ind w:firstLine="420"/>
        <w:rPr>
          <w:rFonts w:ascii="宋体" w:hAnsi="宋体"/>
          <w:szCs w:val="21"/>
        </w:rPr>
      </w:pPr>
      <w:r w:rsidRPr="00C11FF9">
        <w:rPr>
          <w:rFonts w:ascii="宋体" w:hAnsi="宋体"/>
          <w:szCs w:val="21"/>
        </w:rPr>
        <w:t>1、上述基金业绩指标不包括持有人认购或交易基金的各项费用,计入费用后实际收益水平要低于所列数字。</w:t>
      </w:r>
    </w:p>
    <w:p w:rsidRPr="00C11FF9" w:rsidR="00A06872" w:rsidP="00907B0A" w:rsidRDefault="00A06872">
      <w:pPr>
        <w:ind w:firstLine="420"/>
        <w:rPr>
          <w:rFonts w:ascii="宋体" w:hAnsi="宋体"/>
          <w:szCs w:val="21"/>
        </w:rPr>
      </w:pPr>
      <w:r w:rsidRPr="00C11FF9">
        <w:rPr>
          <w:rFonts w:ascii="宋体" w:hAnsi="宋体"/>
          <w:szCs w:val="21"/>
        </w:rPr>
        <w:t>  2、本期已实现收益指基金本期利息收入、投资收益、其他收入(不含公允价值变动收益)扣除相关费用后的余额,本期利润为本期已实现收益加上本期公允价值变动收益。</w:t>
      </w:r>
    </w:p>
    <w:p w:rsidRPr="00C11FF9" w:rsidR="00A06872" w:rsidP="00907B0A" w:rsidRDefault="00A06872">
      <w:pPr>
        <w:ind w:firstLine="420"/>
        <w:rPr>
          <w:rFonts w:ascii="宋体" w:hAnsi="宋体"/>
          <w:szCs w:val="21"/>
        </w:rPr>
      </w:pPr>
      <w:r w:rsidRPr="00C11FF9">
        <w:rPr>
          <w:rFonts w:ascii="宋体" w:hAnsi="宋体"/>
          <w:szCs w:val="21"/>
        </w:rPr>
        <w:t>3、期末可供分配利润,采用期末资产负债表中未分配利润与未分配利润中已实现部分的孰低数。</w:t>
      </w:r>
    </w:p>
    <w:p w:rsidRPr="00C11FF9" w:rsidR="000B7904" w:rsidP="00E50060" w:rsidRDefault="000B7904">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基金净值表现</w:t>
      </w:r>
    </w:p>
    <w:p w:rsidRPr="00C11FF9" w:rsidR="000B7904" w:rsidP="00E50060" w:rsidRDefault="000B7904">
      <w:pPr>
        <w:numPr>
          <w:ilvl w:val="2"/>
          <w:numId w:val="1"/>
        </w:numPr>
        <w:ind w:left="709" w:hanging="709"/>
        <w:rPr>
          <w:rFonts w:ascii="宋体" w:hAnsi="宋体"/>
          <w:b/>
          <w:bCs/>
          <w:szCs w:val="21"/>
        </w:rPr>
      </w:pPr>
      <w:r w:rsidRPr="00C11FF9">
        <w:rPr>
          <w:rFonts w:hint="eastAsia" w:ascii="宋体" w:hAnsi="宋体"/>
          <w:b/>
          <w:bCs/>
          <w:szCs w:val="21"/>
        </w:rPr>
        <w:t>基金份额净值</w:t>
      </w:r>
      <w:r w:rsidRPr="00C11FF9" w:rsidR="00A14CC2">
        <w:rPr>
          <w:rFonts w:hint="eastAsia" w:ascii="宋体" w:hAnsi="宋体"/>
          <w:b/>
          <w:bCs/>
          <w:szCs w:val="21"/>
        </w:rPr>
        <w:t>增长</w:t>
      </w:r>
      <w:r w:rsidRPr="00C11FF9">
        <w:rPr>
          <w:rFonts w:hint="eastAsia" w:ascii="宋体" w:hAnsi="宋体"/>
          <w:b/>
          <w:bCs/>
          <w:szCs w:val="21"/>
        </w:rPr>
        <w:t>率及其与同期业绩比较基准收益率的比较</w:t>
      </w:r>
    </w:p>
    <w:tbl>
      <w:tblPr>
        <w:tblW w:w="5000" w:type="pct"/>
        <w:tblLook w:val="01E0" w:firstRow="1" w:lastRow="1" w:firstColumn="1" w:lastColumn="1" w:noHBand="0" w:noVBand="0"/>
      </w:tblPr>
      <w:tblGrid>
        <w:gridCol w:w="1368"/>
        <w:gridCol w:w="1157"/>
        <w:gridCol w:w="1578"/>
        <w:gridCol w:w="1369"/>
        <w:gridCol w:w="1369"/>
        <w:gridCol w:w="1369"/>
        <w:gridCol w:w="1366"/>
      </w:tblGrid>
      <w:tr w:rsidRPr="00C11FF9" w:rsidR="000B7904">
        <w:tc>
          <w:tcPr>
            <w:tcW w:w="71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0B7904">
            <w:pPr>
              <w:jc w:val="center"/>
              <w:rPr>
                <w:rFonts w:ascii="宋体" w:hAnsi="宋体"/>
                <w:b/>
                <w:szCs w:val="21"/>
              </w:rPr>
            </w:pPr>
            <w:r w:rsidRPr="00C11FF9">
              <w:rPr>
                <w:rFonts w:hint="eastAsia" w:ascii="宋体" w:hAnsi="宋体"/>
                <w:szCs w:val="21"/>
              </w:rPr>
              <w:t>阶段</w:t>
            </w:r>
          </w:p>
        </w:tc>
        <w:tc>
          <w:tcPr>
            <w:tcW w:w="60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0B7904">
            <w:pPr>
              <w:snapToGrid w:val="0"/>
              <w:jc w:val="center"/>
              <w:rPr>
                <w:rFonts w:ascii="宋体" w:hAnsi="宋体"/>
                <w:szCs w:val="21"/>
              </w:rPr>
            </w:pPr>
            <w:r w:rsidRPr="00C11FF9">
              <w:rPr>
                <w:rFonts w:hint="eastAsia" w:ascii="宋体" w:hAnsi="宋体"/>
                <w:szCs w:val="21"/>
              </w:rPr>
              <w:t>份额净值</w:t>
            </w:r>
            <w:r w:rsidRPr="00C11FF9" w:rsidR="00A14CC2">
              <w:rPr>
                <w:rFonts w:hint="eastAsia" w:ascii="宋体" w:hAnsi="宋体"/>
                <w:szCs w:val="21"/>
              </w:rPr>
              <w:t>增长</w:t>
            </w:r>
            <w:r w:rsidRPr="00C11FF9">
              <w:rPr>
                <w:rFonts w:hint="eastAsia" w:ascii="宋体" w:hAnsi="宋体"/>
                <w:szCs w:val="21"/>
              </w:rPr>
              <w:t>率①</w:t>
            </w:r>
          </w:p>
        </w:tc>
        <w:tc>
          <w:tcPr>
            <w:tcW w:w="82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0B7904">
            <w:pPr>
              <w:snapToGrid w:val="0"/>
              <w:jc w:val="center"/>
              <w:rPr>
                <w:rFonts w:ascii="宋体" w:hAnsi="宋体"/>
                <w:szCs w:val="21"/>
              </w:rPr>
            </w:pPr>
            <w:r w:rsidRPr="00C11FF9">
              <w:rPr>
                <w:rFonts w:hint="eastAsia" w:ascii="宋体" w:hAnsi="宋体"/>
                <w:szCs w:val="21"/>
              </w:rPr>
              <w:t>份额净值</w:t>
            </w:r>
            <w:r w:rsidRPr="00C11FF9" w:rsidR="00A14CC2">
              <w:rPr>
                <w:rFonts w:hint="eastAsia" w:ascii="宋体" w:hAnsi="宋体"/>
                <w:szCs w:val="21"/>
              </w:rPr>
              <w:t>增长</w:t>
            </w:r>
            <w:r w:rsidRPr="00C11FF9">
              <w:rPr>
                <w:rFonts w:hint="eastAsia" w:ascii="宋体" w:hAnsi="宋体"/>
                <w:szCs w:val="21"/>
              </w:rPr>
              <w:t>率标准差②</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0B7904">
            <w:pPr>
              <w:snapToGrid w:val="0"/>
              <w:jc w:val="center"/>
              <w:rPr>
                <w:rFonts w:ascii="宋体" w:hAnsi="宋体"/>
                <w:szCs w:val="21"/>
              </w:rPr>
            </w:pPr>
            <w:r w:rsidRPr="00C11FF9">
              <w:rPr>
                <w:rFonts w:hint="eastAsia" w:ascii="宋体" w:hAnsi="宋体"/>
                <w:szCs w:val="21"/>
              </w:rPr>
              <w:t>业绩比较基准收益率③</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0B7904">
            <w:pPr>
              <w:snapToGrid w:val="0"/>
              <w:jc w:val="center"/>
              <w:rPr>
                <w:rFonts w:ascii="宋体" w:hAnsi="宋体"/>
                <w:szCs w:val="21"/>
              </w:rPr>
            </w:pPr>
            <w:r w:rsidRPr="00C11FF9">
              <w:rPr>
                <w:rFonts w:hint="eastAsia" w:ascii="宋体" w:hAnsi="宋体"/>
                <w:szCs w:val="21"/>
              </w:rPr>
              <w:t>业绩比较基准收益率标准差④</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0B7904">
            <w:pPr>
              <w:snapToGrid w:val="0"/>
              <w:jc w:val="center"/>
              <w:rPr>
                <w:rFonts w:ascii="宋体" w:hAnsi="宋体"/>
                <w:szCs w:val="21"/>
              </w:rPr>
            </w:pPr>
            <w:r w:rsidRPr="00C11FF9">
              <w:rPr>
                <w:rFonts w:hint="eastAsia" w:ascii="宋体" w:hAnsi="宋体"/>
                <w:szCs w:val="21"/>
              </w:rPr>
              <w:t>①－③</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0B7904">
            <w:pPr>
              <w:snapToGrid w:val="0"/>
              <w:jc w:val="center"/>
              <w:rPr>
                <w:rFonts w:ascii="宋体" w:hAnsi="宋体"/>
                <w:szCs w:val="21"/>
              </w:rPr>
            </w:pPr>
            <w:r w:rsidRPr="00C11FF9">
              <w:rPr>
                <w:rFonts w:hint="eastAsia" w:ascii="宋体" w:hAnsi="宋体"/>
                <w:szCs w:val="21"/>
              </w:rPr>
              <w:t>②－④</w:t>
            </w:r>
          </w:p>
        </w:tc>
      </w:tr>
      <w:tr w:rsidRPr="00C11FF9" w:rsidR="000B7904">
        <w:tc>
          <w:tcPr>
            <w:tcW w:w="71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rPr>
                <w:rFonts w:ascii="宋体" w:hAnsi="宋体"/>
                <w:szCs w:val="21"/>
              </w:rPr>
            </w:pPr>
            <w:r w:rsidRPr="00C11FF9">
              <w:rPr>
                <w:rFonts w:ascii="宋体" w:hAnsi="宋体"/>
                <w:szCs w:val="21"/>
              </w:rPr>
              <w:t>过去一个月</w:t>
            </w:r>
          </w:p>
        </w:tc>
        <w:tc>
          <w:tcPr>
            <w:tcW w:w="60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5.15%</w:t>
            </w:r>
          </w:p>
        </w:tc>
        <w:tc>
          <w:tcPr>
            <w:tcW w:w="82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0.99%</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5.34%</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0.76%</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-0.19%</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0.23%</w:t>
            </w:r>
          </w:p>
        </w:tc>
      </w:tr>
      <w:tr w:rsidRPr="00C11FF9" w:rsidR="000B7904">
        <w:tc>
          <w:tcPr>
            <w:tcW w:w="71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rPr>
                <w:rFonts w:ascii="宋体" w:hAnsi="宋体"/>
                <w:szCs w:val="21"/>
              </w:rPr>
            </w:pPr>
            <w:r w:rsidRPr="00C11FF9">
              <w:rPr>
                <w:rFonts w:ascii="宋体" w:hAnsi="宋体"/>
                <w:szCs w:val="21"/>
              </w:rPr>
              <w:t>过去三个月</w:t>
            </w:r>
          </w:p>
        </w:tc>
        <w:tc>
          <w:tcPr>
            <w:tcW w:w="60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0.94%</w:t>
            </w:r>
          </w:p>
        </w:tc>
        <w:tc>
          <w:tcPr>
            <w:tcW w:w="82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0.84%</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2.69%</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0.63%</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-1.75%</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0.21%</w:t>
            </w:r>
          </w:p>
        </w:tc>
      </w:tr>
      <w:tr w:rsidRPr="00C11FF9" w:rsidR="000B7904">
        <w:tc>
          <w:tcPr>
            <w:tcW w:w="71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rPr>
                <w:rFonts w:ascii="宋体" w:hAnsi="宋体"/>
                <w:szCs w:val="21"/>
              </w:rPr>
            </w:pPr>
            <w:r w:rsidRPr="00C11FF9">
              <w:rPr>
                <w:rFonts w:ascii="宋体" w:hAnsi="宋体"/>
                <w:szCs w:val="21"/>
              </w:rPr>
              <w:t>过去六个月</w:t>
            </w:r>
          </w:p>
        </w:tc>
        <w:tc>
          <w:tcPr>
            <w:tcW w:w="60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8.17%</w:t>
            </w:r>
          </w:p>
        </w:tc>
        <w:tc>
          <w:tcPr>
            <w:tcW w:w="82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0.91%</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13.74%</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0.70%</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-5.57%</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0.21%</w:t>
            </w:r>
          </w:p>
        </w:tc>
      </w:tr>
      <w:tr w:rsidRPr="00C11FF9" w:rsidR="000B7904">
        <w:tc>
          <w:tcPr>
            <w:tcW w:w="71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rPr>
                <w:rFonts w:ascii="宋体" w:hAnsi="宋体"/>
                <w:szCs w:val="21"/>
              </w:rPr>
            </w:pPr>
            <w:r w:rsidRPr="00C11FF9">
              <w:rPr>
                <w:rFonts w:ascii="宋体" w:hAnsi="宋体"/>
                <w:szCs w:val="21"/>
              </w:rPr>
              <w:t>过去一年</w:t>
            </w:r>
          </w:p>
        </w:tc>
        <w:tc>
          <w:tcPr>
            <w:tcW w:w="60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0.53%</w:t>
            </w:r>
          </w:p>
        </w:tc>
        <w:tc>
          <w:tcPr>
            <w:tcW w:w="82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0.97%</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7.87%</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0.84%</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-7.34%</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0.13%</w:t>
            </w:r>
          </w:p>
        </w:tc>
      </w:tr>
      <w:tr w:rsidRPr="00C11FF9" w:rsidR="000B7904">
        <w:tc>
          <w:tcPr>
            <w:tcW w:w="71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rPr>
                <w:rFonts w:ascii="宋体" w:hAnsi="宋体"/>
                <w:szCs w:val="21"/>
              </w:rPr>
            </w:pPr>
            <w:r w:rsidRPr="00C11FF9">
              <w:rPr>
                <w:rFonts w:ascii="宋体" w:hAnsi="宋体"/>
                <w:szCs w:val="21"/>
              </w:rPr>
              <w:t>过去三年</w:t>
            </w:r>
          </w:p>
        </w:tc>
        <w:tc>
          <w:tcPr>
            <w:tcW w:w="60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11.85%</w:t>
            </w:r>
          </w:p>
        </w:tc>
        <w:tc>
          <w:tcPr>
            <w:tcW w:w="82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0.99%</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53.03%</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0.78%</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-41.18%</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0.21%</w:t>
            </w:r>
          </w:p>
        </w:tc>
      </w:tr>
      <w:tr w:rsidRPr="00C11FF9" w:rsidR="000B7904">
        <w:tc>
          <w:tcPr>
            <w:tcW w:w="71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rPr>
                <w:rFonts w:ascii="宋体" w:hAnsi="宋体"/>
                <w:szCs w:val="21"/>
              </w:rPr>
            </w:pPr>
            <w:r w:rsidRPr="00C11FF9">
              <w:rPr>
                <w:rFonts w:ascii="宋体" w:hAnsi="宋体"/>
                <w:szCs w:val="21"/>
              </w:rPr>
              <w:t>自基金合同生效起至今</w:t>
            </w:r>
          </w:p>
        </w:tc>
        <w:tc>
          <w:tcPr>
            <w:tcW w:w="60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-24.50%</w:t>
            </w:r>
          </w:p>
        </w:tc>
        <w:tc>
          <w:tcPr>
            <w:tcW w:w="824"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1.00%</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34.48%</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0.99%</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-58.98%</w:t>
            </w:r>
          </w:p>
        </w:tc>
        <w:tc>
          <w:tcPr>
            <w:tcW w:w="715" w:type="pct"/>
            <w:tcBorders>
              <w:top w:val="single" w:color="auto" w:sz="4" w:space="0"/>
              <w:left w:val="single" w:color="auto" w:sz="4" w:space="0"/>
              <w:bottom w:val="single" w:color="auto" w:sz="4" w:space="0"/>
              <w:right w:val="single" w:color="auto" w:sz="4" w:space="0"/>
            </w:tcBorders>
            <w:vAlign w:val="center"/>
          </w:tcPr>
          <w:p w:rsidRPr="00C11FF9" w:rsidR="000B7904" w:rsidP="00E355CC" w:rsidRDefault="00A06872">
            <w:pPr>
              <w:jc w:val="right"/>
              <w:rPr>
                <w:rFonts w:ascii="宋体" w:hAnsi="宋体"/>
                <w:szCs w:val="21"/>
              </w:rPr>
            </w:pPr>
            <w:r w:rsidRPr="00C11FF9">
              <w:rPr>
                <w:rFonts w:ascii="宋体" w:hAnsi="宋体"/>
                <w:szCs w:val="21"/>
              </w:rPr>
              <w:t>0.01%</w:t>
            </w:r>
          </w:p>
        </w:tc>
      </w:tr>
    </w:tbl>
    <w:p w:rsidRPr="00C11FF9" w:rsidR="00A06872" w:rsidP="00907B0A" w:rsidRDefault="00A06872">
      <w:pPr>
        <w:ind w:firstLine="420"/>
        <w:rPr>
          <w:rFonts w:ascii="宋体" w:hAnsi="宋体"/>
          <w:szCs w:val="21"/>
        </w:rPr>
      </w:pPr>
      <w:r w:rsidRPr="00C11FF9">
        <w:rPr>
          <w:rFonts w:ascii="宋体" w:hAnsi="宋体"/>
          <w:szCs w:val="21"/>
        </w:rPr>
        <w:t>注:本基金的业绩比较标准为标准普尔金砖四国(含香港)市场指数(总回报) 。</w:t>
      </w:r>
    </w:p>
    <w:p w:rsidRPr="00C11FF9" w:rsidR="000B7904" w:rsidP="00E50060" w:rsidRDefault="000B7904">
      <w:pPr>
        <w:numPr>
          <w:ilvl w:val="2"/>
          <w:numId w:val="1"/>
        </w:numPr>
        <w:ind w:left="709" w:hanging="709"/>
        <w:rPr>
          <w:rFonts w:ascii="宋体" w:hAnsi="宋体"/>
          <w:b/>
          <w:bCs/>
          <w:szCs w:val="21"/>
        </w:rPr>
      </w:pPr>
      <w:r w:rsidRPr="00C11FF9">
        <w:rPr>
          <w:rFonts w:hint="eastAsia" w:ascii="宋体" w:hAnsi="宋体"/>
          <w:b/>
          <w:bCs/>
          <w:szCs w:val="21"/>
        </w:rPr>
        <w:t>自基金合同生效以来基金</w:t>
      </w:r>
      <w:r w:rsidRPr="00C11FF9" w:rsidR="00142083">
        <w:rPr>
          <w:rFonts w:hint="eastAsia" w:ascii="宋体" w:hAnsi="宋体"/>
          <w:b/>
          <w:bCs/>
          <w:szCs w:val="21"/>
        </w:rPr>
        <w:t>份额</w:t>
      </w:r>
      <w:r w:rsidRPr="00C11FF9">
        <w:rPr>
          <w:rFonts w:hint="eastAsia" w:ascii="宋体" w:hAnsi="宋体"/>
          <w:b/>
          <w:bCs/>
          <w:szCs w:val="21"/>
        </w:rPr>
        <w:t>累计净值</w:t>
      </w:r>
      <w:r w:rsidRPr="00C11FF9" w:rsidR="00A14CC2">
        <w:rPr>
          <w:rFonts w:hint="eastAsia" w:ascii="宋体" w:hAnsi="宋体"/>
          <w:b/>
          <w:szCs w:val="21"/>
        </w:rPr>
        <w:t>增长</w:t>
      </w:r>
      <w:r w:rsidRPr="00C11FF9">
        <w:rPr>
          <w:rFonts w:hint="eastAsia" w:ascii="宋体" w:hAnsi="宋体"/>
          <w:b/>
          <w:bCs/>
          <w:szCs w:val="21"/>
        </w:rPr>
        <w:t>率变动及其与同期业绩比较基准收益率变动的比较</w:t>
      </w:r>
    </w:p>
    <w:p w:rsidRPr="00C11FF9" w:rsidR="00B63031" w:rsidP="006E7F45" w:rsidRDefault="003825D6">
      <w:pPr>
        <w:ind w:firstLine="420"/>
        <w:jc w:val="center"/>
        <w:rPr>
          <w:rFonts w:ascii="宋体" w:hAnsi="宋体"/>
          <w:bCs/>
          <w:szCs w:val="21"/>
        </w:rPr>
      </w:pPr>
      <w:r w:rsidRPr="009B71C2">
        <w:rPr>
          <w:rFonts w:hint="eastAsia" w:ascii="宋体" w:hAnsi="宋体"/>
          <w:szCs w:val="21"/>
        </w:rPr>
        <w:t/>
      </w:r>
      <w:r>
        <w:drawing>
          <wp:inline distT="0" distB="0" distL="0" distR="0">
            <wp:extent cx="5179948" cy="31099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a:picLocks noChangeAspect="1" noChangeArrowheads="1"/>
                    </pic:cNvPicPr>
                  </pic:nvPicPr>
                  <pic:blipFill>
                    <a:blip r:embed="R3cce2425185d4680">
                      <a:extLst>
                        <a:ext uri="{28A0092B-C50C-407E-A947-70E740481C1C}"/>
                      </a:extLst>
                    </a:blip>
                    <a:srcRect/>
                    <a:stretch>
                      <a:fillRect/>
                    </a:stretch>
                  </pic:blipFill>
                  <pic:spPr bwMode="auto">
                    <a:xfrm>
                      <a:off x="0" y="0"/>
                      <a:ext cx="5179948" cy="3109964"/>
                    </a:xfrm>
                    <a:prstGeom prst="rect">
                      <a:avLst/>
                    </a:prstGeom>
                    <a:noFill/>
                    <a:ln>
                      <a:noFill/>
                    </a:ln>
                  </pic:spPr>
                </pic:pic>
              </a:graphicData>
            </a:graphic>
          </wp:inline>
        </w:drawing>
      </w:r>
    </w:p>
    <w:p w:rsidRPr="00C11FF9" w:rsidR="00B63031" w:rsidP="006E7F45" w:rsidRDefault="00B63031">
      <w:pPr>
        <w:ind w:firstLine="420"/>
        <w:jc w:val="left"/>
        <w:rPr>
          <w:rFonts w:ascii="宋体" w:hAnsi="宋体"/>
          <w:bCs/>
          <w:szCs w:val="21"/>
        </w:rPr>
      </w:pPr>
      <w:r w:rsidRPr="00C11FF9">
        <w:rPr>
          <w:rFonts w:hint="eastAsia" w:ascii="宋体" w:hAnsi="宋体"/>
          <w:bCs/>
          <w:szCs w:val="21"/>
        </w:rPr>
        <w:t>注:本基金建仓期自2010年12月17日至2011年6月16日,建仓期结束时资产配置比例符合本基金基金合同规定。</w:t>
      </w:r>
    </w:p>
    <w:p w:rsidRPr="00C11FF9" w:rsidR="00C658D4" w:rsidP="00E50060" w:rsidRDefault="00C658D4">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t>管理人报告</w:t>
      </w:r>
    </w:p>
    <w:p w:rsidRPr="00C11FF9" w:rsidR="00C658D4" w:rsidP="00E50060" w:rsidRDefault="00C658D4">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基金管理人及基金经理情况</w:t>
      </w:r>
    </w:p>
    <w:p w:rsidRPr="00C11FF9" w:rsidR="00C658D4" w:rsidP="00E50060" w:rsidRDefault="00C658D4">
      <w:pPr>
        <w:numPr>
          <w:ilvl w:val="2"/>
          <w:numId w:val="1"/>
        </w:numPr>
        <w:ind w:left="709" w:hanging="709"/>
        <w:rPr>
          <w:rFonts w:ascii="宋体" w:hAnsi="宋体"/>
          <w:b/>
          <w:szCs w:val="21"/>
        </w:rPr>
      </w:pPr>
      <w:r w:rsidRPr="00C11FF9">
        <w:rPr>
          <w:rFonts w:hint="eastAsia" w:ascii="宋体" w:hAnsi="宋体"/>
          <w:b/>
          <w:szCs w:val="21"/>
        </w:rPr>
        <w:t>基金管理人及其管理基金的经验</w:t>
      </w:r>
    </w:p>
    <w:p w:rsidRPr="00C11FF9" w:rsidR="00A06872" w:rsidP="00907B0A" w:rsidRDefault="00A06872">
      <w:pPr>
        <w:ind w:firstLine="420"/>
        <w:rPr>
          <w:rFonts w:ascii="宋体" w:hAnsi="宋体"/>
          <w:szCs w:val="21"/>
        </w:rPr>
      </w:pPr>
      <w:r w:rsidRPr="00C11FF9">
        <w:rPr>
          <w:rFonts w:ascii="宋体" w:hAnsi="宋体"/>
          <w:szCs w:val="21"/>
        </w:rPr>
        <w:t>本基金管理人中信保诚基金管理有限公司经中国证监会批准,于2005年9月30日正式成立,注册资本2亿元,注册地为上海。公司股东为中信信托有限责任公司、英国保诚集团股份有限公司和中新苏州工业园区创业投资有限公司,各股东出资比例分别为49%、49%、2%。因业务发展需要，经国家工商行政管理总局核准，本基金管理人法定名称于2017年12月18日起由“信诚基金管理有限公司”变更为“中信保诚基金管理有限公司”。本基金管理人已于2017年12月20日在中国证监会指定媒介以及公司网站上刊登了公司法定名称变更的公告。</w:t>
      </w:r>
    </w:p>
    <w:p w:rsidRPr="00C11FF9" w:rsidR="00A06872" w:rsidP="00907B0A" w:rsidRDefault="00A06872">
      <w:pPr>
        <w:ind w:firstLine="420"/>
        <w:rPr>
          <w:rFonts w:ascii="宋体" w:hAnsi="宋体"/>
          <w:szCs w:val="21"/>
        </w:rPr>
      </w:pPr>
      <w:r w:rsidRPr="00C11FF9">
        <w:rPr>
          <w:rFonts w:ascii="宋体" w:hAnsi="宋体"/>
          <w:szCs w:val="21"/>
        </w:rPr>
        <w:t>截至2019年6月30日,本基金管理人管理的运作中基金为67只, 分别为信诚四季红混合型证券投资基金、中信保诚精萃成长混合型证券投资基金、中信保诚盛世蓝筹混合型证券投资基金、信诚三得益债券型证券投资基金、信诚优胜精选混合型证券投资基金、信诚中小盘混合型证券投资基金、信诚深度价值混合型证券投资基金(LOF)、信诚增强收益债券型证券投资基金(LOF)、信诚金砖四国积极配置证券投资基金(LOF)、信诚中证500指数分级证券投资基金、信诚货币市场证券投资基金、信诚新机遇混合型证券投资基金(LOF)、信诚全球商品主题证券投资基金(LOF)、信诚沪深300指数分级证券投资基金、信诚双盈债券型证券投资基金(LOF)、信诚周期轮动混合型证券投资基金(LOF)、信诚理财7日盈债券型证券投资基金、信诚至远灵活配置混合型证券投资基金、信诚优质纯债债券型证券投资基金、信诚新双盈分级债券型证券投资基金、信诚新兴产业混合型证券投资基金、信诚中证800医药指数分级证券投资基金、信诚中证800有色指数分级证券投资基金、信诚年年有余定期开放债券型证券投资基金、信诚中证800金融指数分级证券投资基金、信诚幸福消费混合型证券投资基金、信诚薪金宝货币市场基金、信诚中证TMT产业主题指数分级证券投资基金、信诚新选回报灵活配置混合型证券投资基金、信诚新锐回报灵活配置混合型证券投资基金、信诚新旺回报灵活配置混合型证券投资基金(LOF)、信诚中证信息安全指数分级证券投资基金、信诚中证智能家居指数分级证券投资基金、信诚中证基建工程指数型证券投资基金（LOF）、信诚鼎利灵活配置混合型证券投资基金（LOF）、中信保诚稳利债券型证券投资基金、信诚惠盈债券型证券投资基金、信诚稳健债券型证券投资基金、信诚至利灵活配置混合型证券投资基金、中信保诚惠泽18个月定期开放债券型证券投资基金、信诚稳瑞债券型证券投资基金、中信保诚稳益债券型证券投资基金、信诚至裕灵活配置混合型证券投资基金、信诚至瑞灵活配置混合型证券投资基金、信诚至选灵活配置混合型证券投资基金、信诚景瑞债券型证券投资基金、信诚新悦回报灵活配置混合型证券投资基金、中信保诚稳丰债券型证券投资基金、信诚永益一年定期开放混合型证券投资基金、信诚稳悦债券型证券投资基金、信诚稳泰债券型证券投资基金、信诚稳鑫债券型证券投资基金、信诚至诚灵活配置混合型证券投资基金、信诚理财28日盈债券型证券投资基金、信诚至泰灵活配置混合型证券投资基金、信诚多策略灵活配置混合型证券投资基金（LOF）、信诚新泽回报灵活配置混合型证券投资基金、信诚量化阿尔法股票型证券投资基金、信诚智惠金货币市场基金、中信保诚嘉鑫定期开放债券型发起式证券投资基金、中信保诚稳鸿债券型证券投资基金、中信保诚至兴灵活配置混合型证券投资基金、中信保诚稳达债券型证券投资基金、中信保诚新蓝筹灵活配置混合型证券投资基金、中信保诚景泰债券型证券投资基金、中信保诚景丰债券型证券投资基金、中信保诚创新成长灵活配置混合型证券投资基金。</w:t>
      </w:r>
    </w:p>
    <w:p w:rsidRPr="00C11FF9" w:rsidR="00580DB2" w:rsidP="00E50060" w:rsidRDefault="00580DB2">
      <w:pPr>
        <w:numPr>
          <w:ilvl w:val="2"/>
          <w:numId w:val="1"/>
        </w:numPr>
        <w:ind w:left="709" w:hanging="709"/>
        <w:rPr>
          <w:rFonts w:ascii="宋体" w:hAnsi="宋体"/>
          <w:b/>
          <w:szCs w:val="21"/>
        </w:rPr>
      </w:pPr>
      <w:r w:rsidRPr="00C11FF9">
        <w:rPr>
          <w:rFonts w:hint="eastAsia" w:ascii="宋体" w:hAnsi="宋体"/>
          <w:b/>
          <w:szCs w:val="21"/>
        </w:rPr>
        <w:t>基金经理（或基金经理小组）及基金经理助理简介</w:t>
      </w:r>
    </w:p>
    <w:tbl>
      <w:tblPr>
        <w:tblW w:w="5000" w:type="pct"/>
        <w:tblLook w:val="01E0" w:firstRow="1" w:lastRow="1" w:firstColumn="1" w:lastColumn="1" w:noHBand="0" w:noVBand="0"/>
      </w:tblPr>
      <w:tblGrid>
        <w:gridCol w:w="1276"/>
        <w:gridCol w:w="1341"/>
        <w:gridCol w:w="1973"/>
        <w:gridCol w:w="1973"/>
        <w:gridCol w:w="958"/>
        <w:gridCol w:w="2055"/>
      </w:tblGrid>
      <w:tr w:rsidRPr="00C11FF9" w:rsidR="00580DB2" w:rsidTr="00162FCC">
        <w:tc>
          <w:tcPr>
            <w:tcW w:w="667" w:type="pct"/>
            <w:vMerge w:val="restart"/>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jc w:val="center"/>
              <w:rPr>
                <w:rFonts w:ascii="宋体" w:hAnsi="宋体"/>
                <w:b/>
                <w:szCs w:val="21"/>
              </w:rPr>
            </w:pPr>
            <w:r w:rsidRPr="00C11FF9">
              <w:rPr>
                <w:rFonts w:hint="eastAsia" w:ascii="宋体" w:hAnsi="宋体"/>
                <w:szCs w:val="21"/>
              </w:rPr>
              <w:t>姓名</w:t>
            </w:r>
          </w:p>
        </w:tc>
        <w:tc>
          <w:tcPr>
            <w:tcW w:w="700" w:type="pct"/>
            <w:vMerge w:val="restart"/>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jc w:val="center"/>
              <w:rPr>
                <w:rFonts w:ascii="宋体" w:hAnsi="宋体"/>
                <w:b/>
                <w:szCs w:val="21"/>
              </w:rPr>
            </w:pPr>
            <w:r w:rsidRPr="00C11FF9">
              <w:rPr>
                <w:rFonts w:hint="eastAsia" w:ascii="宋体" w:hAnsi="宋体"/>
                <w:szCs w:val="21"/>
              </w:rPr>
              <w:t>职务</w:t>
            </w:r>
          </w:p>
        </w:tc>
        <w:tc>
          <w:tcPr>
            <w:tcW w:w="1030" w:type="pct"/>
            <w:gridSpan w:val="2"/>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jc w:val="center"/>
              <w:rPr>
                <w:rFonts w:ascii="宋体" w:hAnsi="宋体"/>
                <w:b/>
                <w:szCs w:val="21"/>
              </w:rPr>
            </w:pPr>
            <w:r w:rsidRPr="00C11FF9">
              <w:rPr>
                <w:rFonts w:hint="eastAsia" w:ascii="宋体" w:hAnsi="宋体"/>
                <w:szCs w:val="21"/>
              </w:rPr>
              <w:t>任本基金的基金经理</w:t>
            </w:r>
            <w:r w:rsidRPr="00C11FF9" w:rsidR="00E1558C">
              <w:rPr>
                <w:rFonts w:hint="eastAsia" w:ascii="宋体" w:hAnsi="宋体"/>
                <w:szCs w:val="21"/>
              </w:rPr>
              <w:t>（助理）</w:t>
            </w:r>
            <w:r w:rsidRPr="00C11FF9">
              <w:rPr>
                <w:rFonts w:hint="eastAsia" w:ascii="宋体" w:hAnsi="宋体"/>
                <w:szCs w:val="21"/>
              </w:rPr>
              <w:t>期限</w:t>
            </w:r>
          </w:p>
        </w:tc>
        <w:tc>
          <w:tcPr>
            <w:tcW w:w="500" w:type="pct"/>
            <w:vMerge w:val="restart"/>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jc w:val="center"/>
              <w:rPr>
                <w:rFonts w:ascii="宋体" w:hAnsi="宋体"/>
                <w:b/>
                <w:szCs w:val="21"/>
              </w:rPr>
            </w:pPr>
            <w:r w:rsidRPr="00C11FF9">
              <w:rPr>
                <w:rFonts w:hint="eastAsia" w:ascii="宋体" w:hAnsi="宋体"/>
                <w:szCs w:val="21"/>
              </w:rPr>
              <w:t>证券从业年限</w:t>
            </w:r>
          </w:p>
        </w:tc>
        <w:tc>
          <w:tcPr>
            <w:tcW w:w="1200" w:type="pct"/>
            <w:vMerge w:val="restart"/>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jc w:val="center"/>
              <w:rPr>
                <w:rFonts w:ascii="宋体" w:hAnsi="宋体"/>
                <w:b/>
                <w:szCs w:val="21"/>
              </w:rPr>
            </w:pPr>
            <w:r w:rsidRPr="00C11FF9">
              <w:rPr>
                <w:rFonts w:hint="eastAsia" w:ascii="宋体" w:hAnsi="宋体"/>
                <w:szCs w:val="21"/>
              </w:rPr>
              <w:t>说明</w:t>
            </w:r>
          </w:p>
        </w:tc>
      </w:tr>
      <w:tr w:rsidRPr="00C11FF9" w:rsidR="00580DB2" w:rsidTr="00162FCC">
        <w:tc>
          <w:tcPr>
            <w:tcW w:w="667" w:type="pct"/>
            <w:vMerge/>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widowControl/>
              <w:jc w:val="left"/>
              <w:rPr>
                <w:rFonts w:ascii="宋体" w:hAnsi="宋体"/>
                <w:b/>
                <w:szCs w:val="21"/>
              </w:rPr>
            </w:pPr>
          </w:p>
        </w:tc>
        <w:tc>
          <w:tcPr>
            <w:tcW w:w="700" w:type="pct"/>
            <w:vMerge/>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widowControl/>
              <w:jc w:val="left"/>
              <w:rPr>
                <w:rFonts w:ascii="宋体" w:hAnsi="宋体"/>
                <w:b/>
                <w:szCs w:val="21"/>
              </w:rPr>
            </w:pPr>
          </w:p>
        </w:tc>
        <w:tc>
          <w:tcPr>
            <w:tcW w:w="1030" w:type="pct"/>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jc w:val="center"/>
              <w:rPr>
                <w:rFonts w:ascii="宋体" w:hAnsi="宋体"/>
                <w:b/>
                <w:szCs w:val="21"/>
              </w:rPr>
            </w:pPr>
            <w:r w:rsidRPr="00C11FF9">
              <w:rPr>
                <w:rFonts w:hint="eastAsia" w:ascii="宋体" w:hAnsi="宋体"/>
                <w:szCs w:val="21"/>
              </w:rPr>
              <w:t>任职日期</w:t>
            </w:r>
          </w:p>
        </w:tc>
        <w:tc>
          <w:tcPr>
            <w:tcW w:w="1030" w:type="pct"/>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jc w:val="center"/>
              <w:rPr>
                <w:rFonts w:ascii="宋体" w:hAnsi="宋体"/>
                <w:b/>
                <w:szCs w:val="21"/>
              </w:rPr>
            </w:pPr>
            <w:r w:rsidRPr="00C11FF9">
              <w:rPr>
                <w:rFonts w:hint="eastAsia" w:ascii="宋体" w:hAnsi="宋体"/>
                <w:szCs w:val="21"/>
              </w:rPr>
              <w:t>离任日期</w:t>
            </w:r>
          </w:p>
        </w:tc>
        <w:tc>
          <w:tcPr>
            <w:tcW w:w="500" w:type="pct"/>
            <w:vMerge/>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widowControl/>
              <w:jc w:val="left"/>
              <w:rPr>
                <w:rFonts w:ascii="宋体" w:hAnsi="宋体"/>
                <w:b/>
                <w:szCs w:val="21"/>
              </w:rPr>
            </w:pPr>
          </w:p>
        </w:tc>
        <w:tc>
          <w:tcPr>
            <w:tcW w:w="1200" w:type="pct"/>
            <w:vMerge/>
            <w:tcBorders>
              <w:top w:val="single" w:color="auto" w:sz="4" w:space="0"/>
              <w:left w:val="single" w:color="auto" w:sz="4" w:space="0"/>
              <w:bottom w:val="single" w:color="auto" w:sz="4" w:space="0"/>
              <w:right w:val="single" w:color="auto" w:sz="4" w:space="0"/>
            </w:tcBorders>
            <w:vAlign w:val="center"/>
          </w:tcPr>
          <w:p w:rsidRPr="00C11FF9" w:rsidR="00580DB2" w:rsidP="00E355CC" w:rsidRDefault="00580DB2">
            <w:pPr>
              <w:widowControl/>
              <w:jc w:val="left"/>
              <w:rPr>
                <w:rFonts w:ascii="宋体" w:hAnsi="宋体"/>
                <w:b/>
                <w:szCs w:val="21"/>
              </w:rPr>
            </w:pPr>
          </w:p>
        </w:tc>
      </w:tr>
      <w:tr w:rsidRPr="00C11FF9" w:rsidR="00580DB2" w:rsidTr="00162FCC">
        <w:tc>
          <w:tcPr>
            <w:tcW w:w="667" w:type="pct"/>
            <w:tcBorders>
              <w:top w:val="single" w:color="auto" w:sz="4" w:space="0"/>
              <w:left w:val="single" w:color="auto" w:sz="4" w:space="0"/>
              <w:bottom w:val="single" w:color="auto" w:sz="4" w:space="0"/>
              <w:right w:val="single" w:color="auto" w:sz="4" w:space="0"/>
            </w:tcBorders>
            <w:vAlign w:val="center"/>
          </w:tcPr>
          <w:p w:rsidRPr="00C11FF9" w:rsidR="00580DB2" w:rsidP="00D635ED" w:rsidRDefault="00A06872">
            <w:pPr>
              <w:jc w:val="left"/>
              <w:rPr>
                <w:rFonts w:ascii="宋体" w:hAnsi="宋体"/>
                <w:szCs w:val="21"/>
              </w:rPr>
            </w:pPr>
            <w:r w:rsidRPr="00C11FF9">
              <w:rPr>
                <w:rFonts w:ascii="宋体" w:hAnsi="宋体"/>
                <w:szCs w:val="21"/>
              </w:rPr>
              <w:t>刘儒明</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本基金基金经理</w:t>
            </w:r>
          </w:p>
        </w:tc>
        <w:tc>
          <w:tcPr>
            <w:tcW w:w="103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2010年12月17日</w:t>
            </w:r>
          </w:p>
        </w:tc>
        <w:tc>
          <w:tcPr>
            <w:tcW w:w="103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2019年01月25日</w:t>
            </w:r>
          </w:p>
        </w:tc>
        <w:tc>
          <w:tcPr>
            <w:tcW w:w="5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24</w:t>
            </w:r>
          </w:p>
        </w:tc>
        <w:tc>
          <w:tcPr>
            <w:tcW w:w="12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工学硕士。曾任职于永昌证券投资信托股份有限公司,担任基金经理;于富邦证券投资信托股份有限公司,担任基金经理;于金复华证券投资信托股份有限公司,担任基金经理;于台湾工银证券投资信托股份有限公司,担任基金经理;于富国基金管理有限公司,担任境外投资部经理;2009年6月加入中信保诚基金管理有限公司,担任海外投资副总监,信诚金砖四国积极配置证券投资基金(LOF)及信诚全球商品主题证券投资基金(LOF)的基金经理,于2019年1月离任上述职务。</w:t>
            </w:r>
          </w:p>
        </w:tc>
      </w:tr>
      <w:tr w:rsidRPr="00C11FF9" w:rsidR="00580DB2" w:rsidTr="00162FCC">
        <w:tc>
          <w:tcPr>
            <w:tcW w:w="667" w:type="pct"/>
            <w:tcBorders>
              <w:top w:val="single" w:color="auto" w:sz="4" w:space="0"/>
              <w:left w:val="single" w:color="auto" w:sz="4" w:space="0"/>
              <w:bottom w:val="single" w:color="auto" w:sz="4" w:space="0"/>
              <w:right w:val="single" w:color="auto" w:sz="4" w:space="0"/>
            </w:tcBorders>
            <w:vAlign w:val="center"/>
          </w:tcPr>
          <w:p w:rsidRPr="00C11FF9" w:rsidR="00580DB2" w:rsidP="00D635ED" w:rsidRDefault="00A06872">
            <w:pPr>
              <w:jc w:val="left"/>
              <w:rPr>
                <w:rFonts w:ascii="宋体" w:hAnsi="宋体"/>
                <w:szCs w:val="21"/>
              </w:rPr>
            </w:pPr>
            <w:r w:rsidRPr="00C11FF9">
              <w:rPr>
                <w:rFonts w:ascii="宋体" w:hAnsi="宋体"/>
                <w:szCs w:val="21"/>
              </w:rPr>
              <w:t>李舒禾</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本基金基金经理</w:t>
            </w:r>
          </w:p>
        </w:tc>
        <w:tc>
          <w:tcPr>
            <w:tcW w:w="103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2011年12月20日</w:t>
            </w:r>
          </w:p>
        </w:tc>
        <w:tc>
          <w:tcPr>
            <w:tcW w:w="103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2019年04月26日</w:t>
            </w:r>
          </w:p>
        </w:tc>
        <w:tc>
          <w:tcPr>
            <w:tcW w:w="5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14</w:t>
            </w:r>
          </w:p>
        </w:tc>
        <w:tc>
          <w:tcPr>
            <w:tcW w:w="12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商学硕士。曾任职于台湾证券投资信托股份有限公司,历任宝来全球ETF稳健组合证券投资信托基金经理、宝来黄金期货信托基金经理。2011年3月加入中信保诚基金管理有限公司,担任信诚全球商品主题证券投资基金(LOF)、信诚金砖四国积极配置证券投资基金(LOF)基金经理,于2019年4月离任上述职务。</w:t>
            </w:r>
          </w:p>
        </w:tc>
      </w:tr>
      <w:tr w:rsidRPr="00C11FF9" w:rsidR="00580DB2" w:rsidTr="00162FCC">
        <w:tc>
          <w:tcPr>
            <w:tcW w:w="667" w:type="pct"/>
            <w:tcBorders>
              <w:top w:val="single" w:color="auto" w:sz="4" w:space="0"/>
              <w:left w:val="single" w:color="auto" w:sz="4" w:space="0"/>
              <w:bottom w:val="single" w:color="auto" w:sz="4" w:space="0"/>
              <w:right w:val="single" w:color="auto" w:sz="4" w:space="0"/>
            </w:tcBorders>
            <w:vAlign w:val="center"/>
          </w:tcPr>
          <w:p w:rsidRPr="00C11FF9" w:rsidR="00580DB2" w:rsidP="00D635ED" w:rsidRDefault="00A06872">
            <w:pPr>
              <w:jc w:val="left"/>
              <w:rPr>
                <w:rFonts w:ascii="宋体" w:hAnsi="宋体"/>
                <w:szCs w:val="21"/>
              </w:rPr>
            </w:pPr>
            <w:r w:rsidRPr="00C11FF9">
              <w:rPr>
                <w:rFonts w:ascii="宋体" w:hAnsi="宋体"/>
                <w:szCs w:val="21"/>
              </w:rPr>
              <w:t>顾凡丁</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本基金基金经理,兼任信诚金砖四国积极配置证券投资基金(LOF)的基金经理。</w:t>
            </w:r>
          </w:p>
        </w:tc>
        <w:tc>
          <w:tcPr>
            <w:tcW w:w="103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2019年04月18日</w:t>
            </w:r>
          </w:p>
        </w:tc>
        <w:tc>
          <w:tcPr>
            <w:tcW w:w="103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w:t>
            </w:r>
          </w:p>
        </w:tc>
        <w:tc>
          <w:tcPr>
            <w:tcW w:w="5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4</w:t>
            </w:r>
          </w:p>
        </w:tc>
        <w:tc>
          <w:tcPr>
            <w:tcW w:w="1200" w:type="pct"/>
            <w:tcBorders>
              <w:top w:val="single" w:color="auto" w:sz="4" w:space="0"/>
              <w:left w:val="single" w:color="auto" w:sz="4" w:space="0"/>
              <w:bottom w:val="single" w:color="auto" w:sz="4" w:space="0"/>
              <w:right w:val="single" w:color="auto" w:sz="4" w:space="0"/>
            </w:tcBorders>
            <w:vAlign w:val="center"/>
          </w:tcPr>
          <w:p w:rsidRPr="00C11FF9" w:rsidR="00580DB2" w:rsidP="007D3A2B" w:rsidRDefault="00A06872">
            <w:pPr>
              <w:jc w:val="right"/>
              <w:rPr>
                <w:rFonts w:ascii="宋体" w:hAnsi="宋体"/>
                <w:szCs w:val="21"/>
              </w:rPr>
            </w:pPr>
            <w:r w:rsidRPr="00C11FF9">
              <w:rPr>
                <w:rFonts w:ascii="宋体" w:hAnsi="宋体"/>
                <w:szCs w:val="21"/>
              </w:rPr>
              <w:t>金融工程硕士、计量金融学硕士。曾任职于中国人寿资产管理有限公司,担任量化分析师。2015年7月加入中信保诚基金管理有限公司,历任金融工程师、投资经理。现任信诚全球商品主题证券投资基金(LOF)、信诚金砖四国积极配置证券投资基金(LOF)的基金经理。</w:t>
            </w:r>
          </w:p>
        </w:tc>
      </w:tr>
    </w:tbl>
    <w:p w:rsidRPr="00C11FF9" w:rsidR="00A06872" w:rsidP="00907B0A" w:rsidRDefault="00A06872">
      <w:pPr>
        <w:ind w:firstLine="420"/>
        <w:rPr>
          <w:rFonts w:ascii="宋体" w:hAnsi="宋体"/>
          <w:szCs w:val="21"/>
        </w:rPr>
      </w:pPr>
      <w:r w:rsidRPr="00C11FF9">
        <w:rPr>
          <w:rFonts w:ascii="宋体" w:hAnsi="宋体"/>
          <w:szCs w:val="21"/>
        </w:rPr>
        <w:t>注1.上述任职日期、离任日期根据本基金管理人对外披露的任免日期填写。</w:t>
      </w:r>
    </w:p>
    <w:p w:rsidRPr="00C11FF9" w:rsidR="00A06872" w:rsidP="00907B0A" w:rsidRDefault="00A06872">
      <w:pPr>
        <w:ind w:firstLine="420"/>
        <w:rPr>
          <w:rFonts w:ascii="宋体" w:hAnsi="宋体"/>
          <w:szCs w:val="21"/>
        </w:rPr>
      </w:pPr>
      <w:r w:rsidRPr="00C11FF9">
        <w:rPr>
          <w:rFonts w:ascii="宋体" w:hAnsi="宋体"/>
          <w:szCs w:val="21"/>
        </w:rPr>
        <w:t>2.证券从业的含义遵从行业协会《证券业从业人员资格管理办法》的相关规定。</w:t>
      </w:r>
    </w:p>
    <w:p w:rsidRPr="00C11FF9" w:rsidR="00147450" w:rsidP="00E50060" w:rsidRDefault="00147450">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境外投资顾问为本基金提供投资建议的主要成员简介</w:t>
      </w:r>
    </w:p>
    <w:p w:rsidRPr="00C11FF9" w:rsidR="00A06872" w:rsidP="00E355CC" w:rsidRDefault="00A06872">
      <w:pPr>
        <w:ind w:firstLine="420"/>
        <w:rPr>
          <w:rFonts w:ascii="宋体" w:hAnsi="宋体"/>
          <w:szCs w:val="21"/>
        </w:rPr>
      </w:pPr>
      <w:r w:rsidRPr="00C11FF9">
        <w:rPr>
          <w:rFonts w:ascii="宋体" w:hAnsi="宋体"/>
          <w:szCs w:val="21"/>
        </w:rPr>
        <w:t/>
      </w:r>
    </w:p>
    <w:p w:rsidRPr="00C11FF9" w:rsidR="00580DB2" w:rsidP="00E50060" w:rsidRDefault="00580DB2">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报告期内本基金运作遵规守信情况的说明</w:t>
      </w:r>
    </w:p>
    <w:p w:rsidRPr="00C11FF9" w:rsidR="00A06872" w:rsidP="00D635ED" w:rsidRDefault="00A06872">
      <w:pPr>
        <w:ind w:firstLine="420"/>
        <w:rPr>
          <w:rFonts w:ascii="宋体" w:hAnsi="宋体"/>
          <w:szCs w:val="21"/>
        </w:rPr>
      </w:pPr>
      <w:r w:rsidRPr="00C11FF9">
        <w:rPr>
          <w:rFonts w:ascii="宋体" w:hAnsi="宋体"/>
          <w:szCs w:val="21"/>
        </w:rPr>
        <w:t>在本报告期内,本基金管理人严格按照《证券投资基金法》和其他相关法律法规的规定以及《信诚金砖四国积极配置证券投资基金(LOF)基金合同》、《信诚金砖四国积极配置证券投资基金(LOF)招募说明书》的约定,本着诚实信用、勤勉尽职的原则管理和运用基金财产。本基金管理人通过不断完善法人治理结构和内部控制制度,加强内部管理,规范基金运作。本报告期内,基金运作合法合规,没有发生损害基金份额持有人利益的行为。</w:t>
      </w:r>
    </w:p>
    <w:p w:rsidRPr="00C11FF9" w:rsidR="00580DB2" w:rsidP="00E50060" w:rsidRDefault="00580DB2">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管理人对报告期内公平交易情况的专项说明</w:t>
      </w:r>
    </w:p>
    <w:p w:rsidRPr="00C11FF9" w:rsidR="00580DB2" w:rsidP="00E50060" w:rsidRDefault="00580DB2">
      <w:pPr>
        <w:numPr>
          <w:ilvl w:val="2"/>
          <w:numId w:val="1"/>
        </w:numPr>
        <w:ind w:left="709" w:hanging="709"/>
        <w:rPr>
          <w:rFonts w:ascii="宋体" w:hAnsi="宋体"/>
          <w:b/>
          <w:szCs w:val="21"/>
        </w:rPr>
      </w:pPr>
      <w:r w:rsidRPr="00C11FF9">
        <w:rPr>
          <w:rFonts w:hint="eastAsia" w:ascii="宋体" w:hAnsi="宋体"/>
          <w:b/>
          <w:bCs/>
          <w:szCs w:val="21"/>
        </w:rPr>
        <w:t>公平交易</w:t>
      </w:r>
      <w:r w:rsidRPr="00C11FF9">
        <w:rPr>
          <w:rFonts w:hint="eastAsia" w:ascii="宋体" w:hAnsi="宋体"/>
          <w:b/>
          <w:szCs w:val="21"/>
        </w:rPr>
        <w:t>制度的执行情况</w:t>
      </w:r>
    </w:p>
    <w:p w:rsidRPr="00C11FF9" w:rsidR="00A06872" w:rsidP="00D635ED" w:rsidRDefault="00A06872">
      <w:pPr>
        <w:ind w:firstLine="420"/>
        <w:rPr>
          <w:rFonts w:ascii="宋体" w:hAnsi="宋体"/>
          <w:szCs w:val="21"/>
        </w:rPr>
      </w:pPr>
      <w:r w:rsidRPr="00C11FF9">
        <w:rPr>
          <w:rFonts w:ascii="宋体" w:hAnsi="宋体"/>
          <w:szCs w:val="21"/>
        </w:rPr>
        <w:t>根据中国证监会颁布的《证券投资基金管理公司公平交易制度指导意见》,以及公司拟定的《信诚基金公平交易管理制度》,公司采取了一系列的行动实际落实公平交易管理的各项要求。各部门在公平交易执行中各司其职,投资研究前端不断完善研究方法和投资决策流程,确保各投资组合享有公平的投资决策机会,建立公平交易的制度环境;交易环节加强交易执行的内部控制,利用恒生交易系统公平交易相关程序,及其它的流程控制,确保不同基金在一、二级市场对同一证券交易时的公平;公司同时不断完善和改进公平交易分析系统,在事后加以了严格的行为监控,分析评估以及报告与信息披露。当期公司整体公平交易制度执行情况良好,未发现有违背公平交易的相关情况。</w:t>
      </w:r>
    </w:p>
    <w:p w:rsidRPr="00C11FF9" w:rsidR="00580DB2" w:rsidP="00E50060" w:rsidRDefault="00580DB2">
      <w:pPr>
        <w:numPr>
          <w:ilvl w:val="2"/>
          <w:numId w:val="1"/>
        </w:numPr>
        <w:ind w:left="709" w:hanging="709"/>
        <w:rPr>
          <w:rFonts w:ascii="宋体" w:hAnsi="宋体"/>
          <w:b/>
          <w:szCs w:val="21"/>
        </w:rPr>
      </w:pPr>
      <w:r w:rsidRPr="00C11FF9">
        <w:rPr>
          <w:rFonts w:hint="eastAsia" w:ascii="宋体" w:hAnsi="宋体"/>
          <w:b/>
          <w:szCs w:val="21"/>
        </w:rPr>
        <w:t>异常交易行为的专项说明</w:t>
      </w:r>
    </w:p>
    <w:p w:rsidRPr="00C11FF9" w:rsidR="00A06872" w:rsidP="00D635ED" w:rsidRDefault="00A06872">
      <w:pPr>
        <w:ind w:firstLine="420"/>
        <w:rPr>
          <w:rFonts w:ascii="宋体" w:hAnsi="宋体"/>
          <w:szCs w:val="21"/>
        </w:rPr>
      </w:pPr>
      <w:r w:rsidRPr="00C11FF9">
        <w:rPr>
          <w:rFonts w:ascii="宋体" w:hAnsi="宋体"/>
          <w:szCs w:val="21"/>
        </w:rPr>
        <w:t>本报告期内,未发现本基金与其它投资组合之间有可能导致不公平交易和利益输送的异常交易。报告期内,未出现参与交易所公开竞价同日反向交易成交较少的单边交易量超过该证券当日成交量5%的交易(完全复制的指数基金除外)。</w:t>
      </w:r>
    </w:p>
    <w:p w:rsidRPr="00C11FF9" w:rsidR="00580DB2" w:rsidP="00E50060" w:rsidRDefault="00AF3D14">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管理人对报告期内基金的投资策略和业绩表现的说明</w:t>
      </w:r>
    </w:p>
    <w:p w:rsidRPr="00C11FF9" w:rsidR="008174C2" w:rsidP="00E50060" w:rsidRDefault="008174C2">
      <w:pPr>
        <w:numPr>
          <w:ilvl w:val="2"/>
          <w:numId w:val="1"/>
        </w:numPr>
        <w:ind w:left="709" w:hanging="709"/>
        <w:rPr>
          <w:rFonts w:ascii="宋体" w:hAnsi="宋体"/>
          <w:b/>
          <w:szCs w:val="21"/>
        </w:rPr>
      </w:pPr>
      <w:r w:rsidRPr="00C11FF9">
        <w:rPr>
          <w:rFonts w:hint="eastAsia" w:ascii="宋体" w:hAnsi="宋体"/>
          <w:b/>
          <w:szCs w:val="21"/>
        </w:rPr>
        <w:t>报告期内基金投资策略和运作分析</w:t>
      </w:r>
    </w:p>
    <w:p w:rsidRPr="00C11FF9" w:rsidR="00A06872" w:rsidP="00D635ED" w:rsidRDefault="00A06872">
      <w:pPr>
        <w:ind w:firstLine="420"/>
        <w:rPr>
          <w:rFonts w:ascii="宋体" w:hAnsi="宋体"/>
          <w:szCs w:val="21"/>
        </w:rPr>
      </w:pPr>
      <w:r w:rsidRPr="00C11FF9">
        <w:rPr>
          <w:rFonts w:ascii="宋体" w:hAnsi="宋体"/>
          <w:szCs w:val="21"/>
        </w:rPr>
        <w:t>本基金重点投资于巴西、俄罗斯、印度和中国等新兴国家的权益资产。</w:t>
      </w:r>
    </w:p>
    <w:p w:rsidRPr="00C11FF9" w:rsidR="00A06872" w:rsidP="00D635ED" w:rsidRDefault="00A06872">
      <w:pPr>
        <w:ind w:firstLine="420"/>
        <w:rPr>
          <w:rFonts w:ascii="宋体" w:hAnsi="宋体"/>
          <w:szCs w:val="21"/>
        </w:rPr>
      </w:pPr>
      <w:r w:rsidRPr="00C11FF9">
        <w:rPr>
          <w:rFonts w:ascii="宋体" w:hAnsi="宋体"/>
          <w:szCs w:val="21"/>
        </w:rPr>
        <w:t>2019年上半年度，新兴市场权益资产震荡上行，中美关系的走向作为未来全球经济变化的关键因素，主导了上半年的新兴国家权益市场：前四个月，全球权益市场在中美关系缓的助推下扭转了去年的悲观预期，权益市场经历一轮估值修复的过程；随后，五月初中美矛盾又重新升级，引起全球股市大幅震荡；六月中美关系再次释放乐观信号，权益市场也再次随之反弹，印度、巴西、俄罗斯等国家的股票市场指数先后创出近三年来的新高。整个上半年度，中国和香港板块分别上涨11.3%、12.2%；印度板块受政府换届选情扰动震荡上涨，上半年累计上涨4.6%；巴西和俄罗斯股市表现相对强劲，分别上涨14.4%、17.5%。汇率方面：美元指数上涨0.1%，人民币升值0.2%、港币升值0.3%、印度卢比升值0.6%、巴西雷亚尔升值0.6%、俄罗斯卢布大幅升值10.3%。</w:t>
      </w:r>
    </w:p>
    <w:p w:rsidRPr="00C11FF9" w:rsidR="00A06872" w:rsidP="00D635ED" w:rsidRDefault="00A06872">
      <w:pPr>
        <w:ind w:firstLine="420"/>
        <w:rPr>
          <w:rFonts w:ascii="宋体" w:hAnsi="宋体"/>
          <w:szCs w:val="21"/>
        </w:rPr>
      </w:pPr>
      <w:r w:rsidRPr="00C11FF9">
        <w:rPr>
          <w:rFonts w:ascii="宋体" w:hAnsi="宋体"/>
          <w:szCs w:val="21"/>
        </w:rPr>
        <w:t>基金在上半年整体保持了高仓位紧跟市场反弹，在第二季度进行了较大幅度的资产配置调整，并随后增加了巴西、俄罗斯板块的配置权重并降低了印度板块的配置权重；在五月下旬市场调整后期，又增加了中国板块的配置权重。</w:t>
      </w:r>
    </w:p>
    <w:p w:rsidRPr="00C11FF9" w:rsidR="008174C2" w:rsidP="00E50060" w:rsidRDefault="008174C2">
      <w:pPr>
        <w:numPr>
          <w:ilvl w:val="2"/>
          <w:numId w:val="1"/>
        </w:numPr>
        <w:ind w:left="709" w:hanging="709"/>
        <w:rPr>
          <w:rFonts w:ascii="宋体" w:hAnsi="宋体"/>
          <w:b/>
          <w:szCs w:val="21"/>
        </w:rPr>
      </w:pPr>
      <w:r w:rsidRPr="00C11FF9">
        <w:rPr>
          <w:rFonts w:hint="eastAsia" w:ascii="宋体" w:hAnsi="宋体"/>
          <w:b/>
          <w:szCs w:val="21"/>
        </w:rPr>
        <w:t>报告期内基金的业绩表现</w:t>
      </w:r>
    </w:p>
    <w:p w:rsidRPr="00C11FF9" w:rsidR="00A06872" w:rsidP="00D635ED" w:rsidRDefault="00A06872">
      <w:pPr>
        <w:ind w:firstLine="420"/>
        <w:rPr>
          <w:rFonts w:ascii="宋体" w:hAnsi="宋体"/>
          <w:szCs w:val="21"/>
        </w:rPr>
      </w:pPr>
      <w:r w:rsidRPr="00C11FF9">
        <w:rPr>
          <w:rFonts w:ascii="宋体" w:hAnsi="宋体"/>
          <w:szCs w:val="21"/>
        </w:rPr>
        <w:t>本报告期内,本基金份额净值增长率为8.17%, 同期业绩比较基准收益率为13.74%,基金落后业绩比较基准5.57%。</w:t>
      </w:r>
    </w:p>
    <w:p w:rsidRPr="00C11FF9" w:rsidR="00580DB2" w:rsidP="00E50060" w:rsidRDefault="00AF3D14">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管理人对宏观经济、证券市场及行业走势的简要展望</w:t>
      </w:r>
    </w:p>
    <w:p w:rsidRPr="00D635ED" w:rsidR="00A06872" w:rsidP="00D635ED" w:rsidRDefault="00A06872">
      <w:pPr>
        <w:ind w:firstLine="420"/>
        <w:rPr>
          <w:rFonts w:ascii="宋体" w:hAnsi="宋体"/>
          <w:szCs w:val="21"/>
        </w:rPr>
      </w:pPr>
      <w:r w:rsidRPr="00D635ED">
        <w:rPr>
          <w:rFonts w:ascii="宋体" w:hAnsi="宋体"/>
          <w:szCs w:val="21"/>
        </w:rPr>
        <w:t>我们认为当前全球经济正处在重要转折点。2016年以来美联储退出QE并进入持续了3年的加息周期，全球经济在货币宽松时期形成的同步性开始减弱，各国经济周期又开始逐渐分化。当前，美联储逐渐明确的鸽派表态让市场预期新一轮货币宽松，而实际上印度、巴西、俄罗斯等国家均已经下调政策利率，使得各国经济周期分化进一步拉开。</w:t>
      </w:r>
    </w:p>
    <w:p w:rsidRPr="00D635ED" w:rsidR="00A06872" w:rsidP="00D635ED" w:rsidRDefault="00A06872">
      <w:pPr>
        <w:ind w:firstLine="420"/>
        <w:rPr>
          <w:rFonts w:ascii="宋体" w:hAnsi="宋体"/>
          <w:szCs w:val="21"/>
        </w:rPr>
      </w:pPr>
      <w:r w:rsidRPr="00D635ED">
        <w:rPr>
          <w:rFonts w:ascii="宋体" w:hAnsi="宋体"/>
          <w:szCs w:val="21"/>
        </w:rPr>
        <w:t>我们判断新兴市场和发达市场的走势或持续出现分化，美元和美股或进入弱势调整周期，新兴市场则可能提前触底进入新一轮上行周期。金砖四国中，俄罗斯和巴西的经济仍保持在周期高位，印度经济则可能正处在由盛转衰短周期的拐点，而中国经济则经过外部事件的刺激后提前释放了风险，或正处在周期底部即将迎来复苏。我们将保持对各国经济数据、汇率波动和股市表现的观察和跟踪分析，对各板块资产做出相应调整，同时在经济周期触底的过程中保持对权益市场风险的控制。</w:t>
      </w:r>
    </w:p>
    <w:p w:rsidRPr="00C11FF9" w:rsidR="00AF3D14" w:rsidP="00E50060" w:rsidRDefault="00AF3D14">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管理人对报告期内基金估值程序等事项的说明</w:t>
      </w:r>
    </w:p>
    <w:p w:rsidRPr="00D635ED" w:rsidR="00A06872" w:rsidP="00641A68" w:rsidRDefault="00A06872">
      <w:pPr>
        <w:ind w:firstLine="420"/>
        <w:rPr>
          <w:rFonts w:ascii="宋体" w:hAnsi="宋体"/>
          <w:szCs w:val="21"/>
        </w:rPr>
      </w:pPr>
      <w:r w:rsidRPr="00D635ED">
        <w:rPr>
          <w:rFonts w:ascii="宋体" w:hAnsi="宋体"/>
          <w:szCs w:val="21"/>
        </w:rPr>
        <w:t>1.基金估值程序</w:t>
      </w:r>
    </w:p>
    <w:p w:rsidRPr="00D635ED" w:rsidR="00A06872" w:rsidP="00641A68" w:rsidRDefault="00A06872">
      <w:pPr>
        <w:ind w:firstLine="420"/>
        <w:rPr>
          <w:rFonts w:ascii="宋体" w:hAnsi="宋体"/>
          <w:szCs w:val="21"/>
        </w:rPr>
      </w:pPr>
      <w:r w:rsidRPr="00D635ED">
        <w:rPr>
          <w:rFonts w:ascii="宋体" w:hAnsi="宋体"/>
          <w:szCs w:val="21"/>
        </w:rPr>
        <w:t>为了向基金投资人提供更好的证券投资管理服务,本基金管理人对估值和定价过程进行了严格控制。本基金管理人通过估值决策委员会来更有效的完善估值服务。估值决策委员会包括下列成员: 分管基金运营业务的领导（委员会主席）、风险管理部负责人、权益投资负责人、固定收益投资负责人、研究部负责人、交易部负责人、运营部负责人、基金会计主管（委员会秘书）。本基金管理人在充分衡量市场风险、信用风险、流动性风险、货币风险、衍生工具和结构性产品等影响估值和定价因素的基础上,综合运营部、稽核部、投资部、风控部和其它相关部门的意见,确定本基金管理人采用的估值政策。</w:t>
      </w:r>
    </w:p>
    <w:p w:rsidRPr="00D635ED" w:rsidR="00A06872" w:rsidP="00641A68" w:rsidRDefault="00A06872">
      <w:pPr>
        <w:ind w:firstLine="420"/>
        <w:rPr>
          <w:rFonts w:ascii="宋体" w:hAnsi="宋体"/>
          <w:szCs w:val="21"/>
        </w:rPr>
      </w:pPr>
      <w:r w:rsidRPr="00D635ED">
        <w:rPr>
          <w:rFonts w:ascii="宋体" w:hAnsi="宋体"/>
          <w:szCs w:val="21"/>
        </w:rPr>
        <w:t>估值政策和程序的确立和修订须经本基金管理人总经理批准后方可实行。基金在采用新投资策略或投资新品种时,应评价现有估值政策和程序的适用性,并在不适用的情况下,及时召开估值决策委员会。</w:t>
      </w:r>
    </w:p>
    <w:p w:rsidRPr="00D635ED" w:rsidR="00A06872" w:rsidP="00641A68" w:rsidRDefault="00A06872">
      <w:pPr>
        <w:ind w:firstLine="420"/>
        <w:rPr>
          <w:rFonts w:ascii="宋体" w:hAnsi="宋体"/>
          <w:szCs w:val="21"/>
        </w:rPr>
      </w:pPr>
      <w:r w:rsidRPr="00D635ED">
        <w:rPr>
          <w:rFonts w:ascii="宋体" w:hAnsi="宋体"/>
          <w:szCs w:val="21"/>
        </w:rPr>
        <w:t>在每个估值日,本基金管理人的运营部使用估值政策确定的估值方法,确定证券投资基金的份额净值。</w:t>
      </w:r>
    </w:p>
    <w:p w:rsidRPr="00D635ED" w:rsidR="00A06872" w:rsidP="00641A68" w:rsidRDefault="00A06872">
      <w:pPr>
        <w:ind w:firstLine="420"/>
        <w:rPr>
          <w:rFonts w:ascii="宋体" w:hAnsi="宋体"/>
          <w:szCs w:val="21"/>
        </w:rPr>
      </w:pPr>
      <w:r w:rsidRPr="00D635ED">
        <w:rPr>
          <w:rFonts w:ascii="宋体" w:hAnsi="宋体"/>
          <w:szCs w:val="21"/>
        </w:rPr>
        <w:t>基金管理人采用专用的估值业务系统进行基金核算及账务处理,对基金资产进行估值后,将基金份额净值结果发送基金托管人,基金托管人按照托管协议中“基金资产净值计算和会计核算”确定的规则复核,复核无误后,由基金管理人对外公布。</w:t>
      </w:r>
    </w:p>
    <w:p w:rsidRPr="00D635ED" w:rsidR="00A06872" w:rsidP="00641A68" w:rsidRDefault="00A06872">
      <w:pPr>
        <w:ind w:firstLine="420"/>
        <w:rPr>
          <w:rFonts w:ascii="宋体" w:hAnsi="宋体"/>
          <w:szCs w:val="21"/>
        </w:rPr>
      </w:pPr>
      <w:r w:rsidRPr="00D635ED">
        <w:rPr>
          <w:rFonts w:ascii="宋体" w:hAnsi="宋体"/>
          <w:szCs w:val="21"/>
        </w:rPr>
        <w:t>2.基金管理人估值业务的职责分工</w:t>
      </w:r>
    </w:p>
    <w:p w:rsidRPr="00D635ED" w:rsidR="00A06872" w:rsidP="00641A68" w:rsidRDefault="00A06872">
      <w:pPr>
        <w:ind w:firstLine="420"/>
        <w:rPr>
          <w:rFonts w:ascii="宋体" w:hAnsi="宋体"/>
          <w:szCs w:val="21"/>
        </w:rPr>
      </w:pPr>
      <w:r w:rsidRPr="00D635ED">
        <w:rPr>
          <w:rFonts w:ascii="宋体" w:hAnsi="宋体"/>
          <w:szCs w:val="21"/>
        </w:rPr>
        <w:t>本基金管理人的估值业务采用双人双岗,所有业务操作需经复核方可生效。</w:t>
      </w:r>
    </w:p>
    <w:p w:rsidRPr="00D635ED" w:rsidR="00A06872" w:rsidP="00641A68" w:rsidRDefault="00A06872">
      <w:pPr>
        <w:ind w:firstLine="420"/>
        <w:rPr>
          <w:rFonts w:ascii="宋体" w:hAnsi="宋体"/>
          <w:szCs w:val="21"/>
        </w:rPr>
      </w:pPr>
      <w:r w:rsidRPr="00D635ED">
        <w:rPr>
          <w:rFonts w:ascii="宋体" w:hAnsi="宋体"/>
          <w:szCs w:val="21"/>
        </w:rPr>
        <w:t>3.基金管理人估值人员的专业胜任能力和相关工作经历</w:t>
      </w:r>
    </w:p>
    <w:p w:rsidRPr="00D635ED" w:rsidR="00A06872" w:rsidP="00641A68" w:rsidRDefault="00A06872">
      <w:pPr>
        <w:ind w:firstLine="420"/>
        <w:rPr>
          <w:rFonts w:ascii="宋体" w:hAnsi="宋体"/>
          <w:szCs w:val="21"/>
        </w:rPr>
      </w:pPr>
      <w:r w:rsidRPr="00D635ED">
        <w:rPr>
          <w:rFonts w:ascii="宋体" w:hAnsi="宋体"/>
          <w:szCs w:val="21"/>
        </w:rPr>
        <w:t>本基金管理人的估值人员均具备估值业务所需的专业胜任能力,具有基金从业人员资格。</w:t>
      </w:r>
    </w:p>
    <w:p w:rsidRPr="00D635ED" w:rsidR="00A06872" w:rsidP="00641A68" w:rsidRDefault="00A06872">
      <w:pPr>
        <w:ind w:firstLine="420"/>
        <w:rPr>
          <w:rFonts w:ascii="宋体" w:hAnsi="宋体"/>
          <w:szCs w:val="21"/>
        </w:rPr>
      </w:pPr>
      <w:r w:rsidRPr="00D635ED">
        <w:rPr>
          <w:rFonts w:ascii="宋体" w:hAnsi="宋体"/>
          <w:szCs w:val="21"/>
        </w:rPr>
        <w:t>4.基金经理参与或决定估值的程度</w:t>
      </w:r>
    </w:p>
    <w:p w:rsidRPr="00D635ED" w:rsidR="00A06872" w:rsidP="00641A68" w:rsidRDefault="00A06872">
      <w:pPr>
        <w:ind w:firstLine="420"/>
        <w:rPr>
          <w:rFonts w:ascii="宋体" w:hAnsi="宋体"/>
          <w:szCs w:val="21"/>
        </w:rPr>
      </w:pPr>
      <w:r w:rsidRPr="00D635ED">
        <w:rPr>
          <w:rFonts w:ascii="宋体" w:hAnsi="宋体"/>
          <w:szCs w:val="21"/>
        </w:rPr>
        <w:t>本基金管理人的后台与投资业务隔离,基金经理不直接参与或决定估值。</w:t>
      </w:r>
    </w:p>
    <w:p w:rsidRPr="00D635ED" w:rsidR="00A06872" w:rsidP="00641A68" w:rsidRDefault="00A06872">
      <w:pPr>
        <w:ind w:firstLine="420"/>
        <w:rPr>
          <w:rFonts w:ascii="宋体" w:hAnsi="宋体"/>
          <w:szCs w:val="21"/>
        </w:rPr>
      </w:pPr>
      <w:r w:rsidRPr="00D635ED">
        <w:rPr>
          <w:rFonts w:ascii="宋体" w:hAnsi="宋体"/>
          <w:szCs w:val="21"/>
        </w:rPr>
        <w:t>基金经理持续保持对基金估值所采用估值价格的关注,在认为基金估值所采用的估值价格不足够公允时,可申请召开估值决策委员会临时会议,通过会议讨论决定是否调整基金管理人所采用的估值政策。</w:t>
      </w:r>
    </w:p>
    <w:p w:rsidRPr="00D635ED" w:rsidR="00A06872" w:rsidP="00641A68" w:rsidRDefault="00A06872">
      <w:pPr>
        <w:ind w:firstLine="420"/>
        <w:rPr>
          <w:rFonts w:ascii="宋体" w:hAnsi="宋体"/>
          <w:szCs w:val="21"/>
        </w:rPr>
      </w:pPr>
      <w:r w:rsidRPr="00D635ED">
        <w:rPr>
          <w:rFonts w:ascii="宋体" w:hAnsi="宋体"/>
          <w:szCs w:val="21"/>
        </w:rPr>
        <w:t>5.参与估值流程各方之间存在的任何重大利益冲突</w:t>
      </w:r>
    </w:p>
    <w:p w:rsidRPr="00D635ED" w:rsidR="00A06872" w:rsidP="00641A68" w:rsidRDefault="00A06872">
      <w:pPr>
        <w:ind w:firstLine="420"/>
        <w:rPr>
          <w:rFonts w:ascii="宋体" w:hAnsi="宋体"/>
          <w:szCs w:val="21"/>
        </w:rPr>
      </w:pPr>
      <w:r w:rsidRPr="00D635ED">
        <w:rPr>
          <w:rFonts w:ascii="宋体" w:hAnsi="宋体"/>
          <w:szCs w:val="21"/>
        </w:rPr>
        <w:t>参与估值流程各方之间不存在任何重大利益冲突。</w:t>
      </w:r>
    </w:p>
    <w:p w:rsidRPr="00D635ED" w:rsidR="00A06872" w:rsidP="00641A68" w:rsidRDefault="00A06872">
      <w:pPr>
        <w:ind w:firstLine="420"/>
        <w:rPr>
          <w:rFonts w:ascii="宋体" w:hAnsi="宋体"/>
          <w:szCs w:val="21"/>
        </w:rPr>
      </w:pPr>
      <w:r w:rsidRPr="00D635ED">
        <w:rPr>
          <w:rFonts w:ascii="宋体" w:hAnsi="宋体"/>
          <w:szCs w:val="21"/>
        </w:rPr>
        <w:t>6.已签约的与估值相关的任何定价服务的性质与程度</w:t>
      </w:r>
    </w:p>
    <w:p w:rsidRPr="00D635ED" w:rsidR="00A06872" w:rsidP="00641A68" w:rsidRDefault="00A06872">
      <w:pPr>
        <w:ind w:firstLine="420"/>
        <w:rPr>
          <w:rFonts w:ascii="宋体" w:hAnsi="宋体"/>
          <w:szCs w:val="21"/>
        </w:rPr>
      </w:pPr>
      <w:r w:rsidRPr="00D635ED">
        <w:rPr>
          <w:rFonts w:ascii="宋体" w:hAnsi="宋体"/>
          <w:szCs w:val="21"/>
        </w:rPr>
        <w:t>本基金未与任何第三方签订定价服务协议。</w:t>
      </w:r>
    </w:p>
    <w:p w:rsidRPr="00C11FF9" w:rsidR="00023B23" w:rsidP="00023B23" w:rsidRDefault="00023B23">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管理人对报告期内基金利润分配情况的说明</w:t>
      </w:r>
    </w:p>
    <w:p w:rsidRPr="00D635ED" w:rsidR="00023B23" w:rsidP="00D635ED" w:rsidRDefault="00023B23">
      <w:pPr>
        <w:ind w:firstLine="420"/>
        <w:rPr>
          <w:rFonts w:ascii="宋体" w:hAnsi="宋体"/>
          <w:szCs w:val="21"/>
        </w:rPr>
      </w:pPr>
      <w:r w:rsidRPr="00C11FF9">
        <w:rPr>
          <w:rFonts w:ascii="宋体" w:hAnsi="宋体"/>
          <w:szCs w:val="21"/>
        </w:rPr>
        <w:t>本基金收益分配应遵循下列原则: </w:t>
      </w:r>
    </w:p>
    <w:p w:rsidRPr="00D635ED" w:rsidR="00023B23" w:rsidP="00D635ED" w:rsidRDefault="00023B23">
      <w:pPr>
        <w:ind w:firstLine="420"/>
        <w:rPr>
          <w:rFonts w:ascii="宋体" w:hAnsi="宋体"/>
          <w:szCs w:val="21"/>
        </w:rPr>
      </w:pPr>
      <w:r w:rsidRPr="00C11FF9">
        <w:rPr>
          <w:rFonts w:ascii="宋体" w:hAnsi="宋体"/>
          <w:szCs w:val="21"/>
        </w:rPr>
        <w:t>  1、本基金的每份基金份额享有同等分配权; </w:t>
      </w:r>
    </w:p>
    <w:p w:rsidRPr="00D635ED" w:rsidR="00023B23" w:rsidP="00D635ED" w:rsidRDefault="00023B23">
      <w:pPr>
        <w:ind w:firstLine="420"/>
        <w:rPr>
          <w:rFonts w:ascii="宋体" w:hAnsi="宋体"/>
          <w:szCs w:val="21"/>
        </w:rPr>
      </w:pPr>
      <w:r w:rsidRPr="00C11FF9">
        <w:rPr>
          <w:rFonts w:ascii="宋体" w:hAnsi="宋体"/>
          <w:szCs w:val="21"/>
        </w:rPr>
        <w:t>2、基金收益分配采用现金方式或红利再投资方式。登记在注册登记系统的基金份额,其持有人可自行选择收益分配方式。基金份额持有人事先未做出选择的,默认的分红方式为现金红利;选择红利再投资的,现金红利则按除权后的基金份额净值自动转为基金份额进行再投资(具体日期以本基金分红公告为准); 登记在证券登记结算系统中的基金份额只支持现金红利方式,投资人不能选择其他的分红方式,具体权益分配程序等有关事项遵循深圳证券交易所及中国证券登记结算有限责任公司的相关规定; </w:t>
      </w:r>
    </w:p>
    <w:p w:rsidRPr="00D635ED" w:rsidR="00023B23" w:rsidP="00D635ED" w:rsidRDefault="00023B23">
      <w:pPr>
        <w:ind w:firstLine="420"/>
        <w:rPr>
          <w:rFonts w:ascii="宋体" w:hAnsi="宋体"/>
          <w:szCs w:val="21"/>
        </w:rPr>
      </w:pPr>
      <w:r w:rsidRPr="00C11FF9">
        <w:rPr>
          <w:rFonts w:ascii="宋体" w:hAnsi="宋体"/>
          <w:szCs w:val="21"/>
        </w:rPr>
        <w:t>3、在符合基金收益分配条件的情况下,本基金收益每年最多分配十二次; </w:t>
      </w:r>
    </w:p>
    <w:p w:rsidRPr="00D635ED" w:rsidR="00023B23" w:rsidP="00D635ED" w:rsidRDefault="00023B23">
      <w:pPr>
        <w:ind w:firstLine="420"/>
        <w:rPr>
          <w:rFonts w:ascii="宋体" w:hAnsi="宋体"/>
          <w:szCs w:val="21"/>
        </w:rPr>
      </w:pPr>
      <w:r w:rsidRPr="00C11FF9">
        <w:rPr>
          <w:rFonts w:ascii="宋体" w:hAnsi="宋体"/>
          <w:szCs w:val="21"/>
        </w:rPr>
        <w:t>4、若基金合同生效不满3个月则可不进行收益分配; </w:t>
      </w:r>
    </w:p>
    <w:p w:rsidRPr="00D635ED" w:rsidR="00023B23" w:rsidP="00D635ED" w:rsidRDefault="00023B23">
      <w:pPr>
        <w:ind w:firstLine="420"/>
        <w:rPr>
          <w:rFonts w:ascii="宋体" w:hAnsi="宋体"/>
          <w:szCs w:val="21"/>
        </w:rPr>
      </w:pPr>
      <w:r w:rsidRPr="00C11FF9">
        <w:rPr>
          <w:rFonts w:ascii="宋体" w:hAnsi="宋体"/>
          <w:szCs w:val="21"/>
        </w:rPr>
        <w:t>5、基金收益分配基准日的基金份额净值减去每单位基金份额收益分配金额后不能低于面值; </w:t>
      </w:r>
    </w:p>
    <w:p w:rsidRPr="00D635ED" w:rsidR="00023B23" w:rsidP="00D635ED" w:rsidRDefault="00023B23">
      <w:pPr>
        <w:ind w:firstLine="420"/>
        <w:rPr>
          <w:rFonts w:ascii="宋体" w:hAnsi="宋体"/>
          <w:szCs w:val="21"/>
        </w:rPr>
      </w:pPr>
      <w:r w:rsidRPr="00C11FF9">
        <w:rPr>
          <w:rFonts w:ascii="宋体" w:hAnsi="宋体"/>
          <w:szCs w:val="21"/>
        </w:rPr>
        <w:t>6、每次基金收益分配比例不低于收益分配基准日可供分配利润的25%(收益分配基准日可供分配利润指收益分配基准日资产负债表中未分配利润与未分配利润中已实现收益的孰低数); </w:t>
      </w:r>
    </w:p>
    <w:p w:rsidRPr="00D635ED" w:rsidR="00023B23" w:rsidP="00D635ED" w:rsidRDefault="00023B23">
      <w:pPr>
        <w:ind w:firstLine="420"/>
        <w:rPr>
          <w:rFonts w:ascii="宋体" w:hAnsi="宋体"/>
          <w:szCs w:val="21"/>
        </w:rPr>
      </w:pPr>
      <w:r w:rsidRPr="00C11FF9">
        <w:rPr>
          <w:rFonts w:ascii="宋体" w:hAnsi="宋体"/>
          <w:szCs w:val="21"/>
        </w:rPr>
        <w:t>7、基金红利发放日距离收益分配基准日(即可供分配利润计算截止日)的时间不得超过15个工作日; </w:t>
      </w:r>
    </w:p>
    <w:p w:rsidRPr="00D635ED" w:rsidR="00023B23" w:rsidP="00D635ED" w:rsidRDefault="00023B23">
      <w:pPr>
        <w:ind w:firstLine="420"/>
        <w:rPr>
          <w:rFonts w:ascii="宋体" w:hAnsi="宋体"/>
          <w:szCs w:val="21"/>
        </w:rPr>
      </w:pPr>
      <w:r w:rsidRPr="00C11FF9">
        <w:rPr>
          <w:rFonts w:ascii="宋体" w:hAnsi="宋体"/>
          <w:szCs w:val="21"/>
        </w:rPr>
        <w:t>8、法律法规或监管机构另有规定的从其规定。 </w:t>
      </w:r>
    </w:p>
    <w:p w:rsidRPr="00D635ED" w:rsidR="00023B23" w:rsidP="00D635ED" w:rsidRDefault="00023B23">
      <w:pPr>
        <w:ind w:firstLine="420"/>
        <w:rPr>
          <w:rFonts w:ascii="宋体" w:hAnsi="宋体"/>
          <w:szCs w:val="21"/>
        </w:rPr>
      </w:pPr>
      <w:r w:rsidRPr="00C11FF9">
        <w:rPr>
          <w:rFonts w:ascii="宋体" w:hAnsi="宋体"/>
          <w:szCs w:val="21"/>
        </w:rPr>
        <w:t>本基金于本报告期间未进行过利润分配,该处理符合基金利润分配原则。</w:t>
      </w:r>
    </w:p>
    <w:p w:rsidRPr="00C11FF9" w:rsidR="00530B85" w:rsidP="00E50060" w:rsidRDefault="00530B85">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t>托管人报告</w:t>
      </w:r>
    </w:p>
    <w:p w:rsidRPr="00C11FF9" w:rsidR="00530B85" w:rsidP="00E50060" w:rsidRDefault="00530B85">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报告期内本基金托管人遵规守信情况声明</w:t>
      </w:r>
    </w:p>
    <w:p w:rsidRPr="00C11FF9" w:rsidR="00A06872" w:rsidP="00C11FF9" w:rsidRDefault="00A06872">
      <w:pPr>
        <w:ind w:firstLine="420" w:firstLineChars="200"/>
        <w:rPr>
          <w:rFonts w:ascii="宋体" w:hAnsi="宋体"/>
          <w:bCs/>
          <w:szCs w:val="21"/>
        </w:rPr>
      </w:pPr>
      <w:r w:rsidRPr="00C11FF9">
        <w:rPr>
          <w:rFonts w:ascii="宋体" w:hAnsi="宋体"/>
          <w:bCs/>
          <w:szCs w:val="21"/>
        </w:rPr>
        <w:t>本报告期内,中国银行股份有限公司(以下称“本托管人”)在信诚金砖四国积极配置证券投资基金(LOF)(以下称“本基金”)的托管过程中,严格遵守《证券投资基金法》及其他有关法律法规、基金合同和托管协议的有关规定,不存在损害基金份额持有人利益的行为,完全尽职尽责地履行了应尽的义务。</w:t>
      </w:r>
    </w:p>
    <w:p w:rsidRPr="00C11FF9" w:rsidR="00530B85" w:rsidP="00E50060" w:rsidRDefault="00530B85">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托管人对报告期内本基金投资运作遵规守信、净值计算、利润分配等情况的说明</w:t>
      </w:r>
    </w:p>
    <w:p w:rsidRPr="00C11FF9" w:rsidR="00A06872" w:rsidP="00C11FF9" w:rsidRDefault="00A06872">
      <w:pPr>
        <w:ind w:firstLine="420" w:firstLineChars="200"/>
        <w:rPr>
          <w:rFonts w:ascii="宋体" w:hAnsi="宋体"/>
          <w:bCs/>
          <w:szCs w:val="21"/>
        </w:rPr>
      </w:pPr>
      <w:r w:rsidRPr="00C11FF9">
        <w:rPr>
          <w:rFonts w:ascii="宋体" w:hAnsi="宋体"/>
          <w:bCs/>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Pr="00C11FF9" w:rsidR="00530B85" w:rsidP="00E50060" w:rsidRDefault="00530B85">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托管人对本半年度报告中财务信息等内容的真实、准确和完整发表意见</w:t>
      </w:r>
    </w:p>
    <w:p w:rsidRPr="00C11FF9" w:rsidR="00A06872" w:rsidP="00C11FF9" w:rsidRDefault="00A06872">
      <w:pPr>
        <w:ind w:firstLine="420" w:firstLineChars="200"/>
        <w:rPr>
          <w:rFonts w:ascii="宋体" w:hAnsi="宋体"/>
          <w:bCs/>
          <w:szCs w:val="21"/>
        </w:rPr>
      </w:pPr>
      <w:r w:rsidRPr="00C11FF9">
        <w:rPr>
          <w:rFonts w:ascii="宋体" w:hAnsi="宋体"/>
          <w:bCs/>
          <w:szCs w:val="21"/>
        </w:rPr>
        <w:t>本报告中的财务指标、净值表现、收益分配情况、财务会计报告(注:财务会计报告中的“金融工具风险及管理”部分未在托管人复核范围内)、投资组合报告等数据真实、准确和完整。</w:t>
      </w:r>
    </w:p>
    <w:p w:rsidRPr="00C11FF9" w:rsidR="00530B85" w:rsidP="00E50060" w:rsidRDefault="0037507D">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t>半</w:t>
      </w:r>
      <w:r w:rsidRPr="00C11FF9" w:rsidR="00344AF8">
        <w:rPr>
          <w:rFonts w:hint="eastAsia" w:ascii="宋体" w:hAnsi="宋体"/>
          <w:sz w:val="21"/>
          <w:szCs w:val="21"/>
        </w:rPr>
        <w:t>年度财务</w:t>
      </w:r>
      <w:r w:rsidRPr="00C11FF9" w:rsidR="00DE7C2D">
        <w:rPr>
          <w:rFonts w:hint="eastAsia" w:ascii="宋体" w:hAnsi="宋体"/>
          <w:sz w:val="21"/>
          <w:szCs w:val="21"/>
        </w:rPr>
        <w:t>会计</w:t>
      </w:r>
      <w:r w:rsidRPr="00C11FF9" w:rsidR="008174C2">
        <w:rPr>
          <w:rFonts w:hint="eastAsia" w:ascii="宋体" w:hAnsi="宋体"/>
          <w:sz w:val="21"/>
          <w:szCs w:val="21"/>
        </w:rPr>
        <w:t>报</w:t>
      </w:r>
      <w:r w:rsidRPr="00C11FF9" w:rsidR="00BD6B14">
        <w:rPr>
          <w:rFonts w:hint="eastAsia" w:ascii="宋体" w:hAnsi="宋体"/>
          <w:sz w:val="21"/>
          <w:szCs w:val="21"/>
        </w:rPr>
        <w:t>告</w:t>
      </w:r>
      <w:r w:rsidRPr="00C11FF9" w:rsidR="00A92F4E">
        <w:rPr>
          <w:rFonts w:hint="eastAsia" w:ascii="宋体" w:hAnsi="宋体"/>
          <w:sz w:val="21"/>
          <w:szCs w:val="21"/>
        </w:rPr>
        <w:t>（未经审计）</w:t>
      </w:r>
    </w:p>
    <w:p w:rsidRPr="00C11FF9" w:rsidR="00344AF8" w:rsidP="00E50060" w:rsidRDefault="00344AF8">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资产负债表</w:t>
      </w:r>
    </w:p>
    <w:p w:rsidRPr="00C11FF9" w:rsidR="00A515BF" w:rsidP="00E355CC" w:rsidRDefault="00A515BF">
      <w:pPr>
        <w:rPr>
          <w:rFonts w:ascii="宋体" w:hAnsi="宋体"/>
          <w:szCs w:val="21"/>
        </w:rPr>
      </w:pPr>
      <w:r w:rsidRPr="00C11FF9">
        <w:rPr>
          <w:rFonts w:hint="eastAsia" w:ascii="宋体" w:hAnsi="宋体"/>
          <w:szCs w:val="21"/>
        </w:rPr>
        <w:t>会计主体：</w:t>
      </w:r>
      <w:r w:rsidRPr="00C11FF9" w:rsidR="00A305E3">
        <w:rPr>
          <w:rFonts w:hint="eastAsia" w:ascii="宋体" w:hAnsi="宋体"/>
          <w:szCs w:val="21"/>
        </w:rPr>
        <w:t>信诚金砖四国积极配置证券投资基金(LOF)</w:t>
      </w:r>
    </w:p>
    <w:p w:rsidRPr="00C11FF9" w:rsidR="00344AF8" w:rsidP="00E355CC" w:rsidRDefault="00344AF8">
      <w:pPr>
        <w:rPr>
          <w:rFonts w:ascii="宋体" w:hAnsi="宋体"/>
          <w:szCs w:val="21"/>
        </w:rPr>
      </w:pPr>
      <w:r w:rsidRPr="00C11FF9">
        <w:rPr>
          <w:rFonts w:hint="eastAsia" w:ascii="宋体" w:hAnsi="宋体"/>
          <w:szCs w:val="21"/>
        </w:rPr>
        <w:t>报告截止日：</w:t>
      </w:r>
      <w:r w:rsidRPr="00C11FF9" w:rsidR="00A305E3">
        <w:rPr>
          <w:rFonts w:hint="eastAsia" w:ascii="宋体" w:hAnsi="宋体"/>
          <w:szCs w:val="21"/>
        </w:rPr>
        <w:t>2019年06月30日</w:t>
      </w:r>
      <w:r w:rsidRPr="00C11FF9" w:rsidR="00A305E3">
        <w:rPr>
          <w:rFonts w:ascii="宋体" w:hAnsi="宋体"/>
          <w:szCs w:val="21"/>
        </w:rPr>
        <w:t xml:space="preserve"> </w:t>
      </w:r>
    </w:p>
    <w:p w:rsidRPr="00C11FF9" w:rsidR="009259C9" w:rsidP="00E355CC" w:rsidRDefault="009259C9">
      <w:pPr>
        <w:jc w:val="right"/>
        <w:rPr>
          <w:rFonts w:ascii="宋体" w:hAnsi="宋体"/>
          <w:szCs w:val="21"/>
        </w:rPr>
      </w:pPr>
      <w:r w:rsidRPr="00C11FF9">
        <w:rPr>
          <w:rFonts w:hint="eastAsia" w:ascii="宋体" w:hAnsi="宋体"/>
          <w:szCs w:val="21"/>
        </w:rPr>
        <w:t>单位：人民币元</w:t>
      </w:r>
    </w:p>
    <w:tbl>
      <w:tblPr>
        <w:tblW w:w="0" w:type="auto"/>
        <w:tblLayout w:type="fixed"/>
        <w:tblLook w:val="01E0" w:firstRow="1" w:lastRow="1" w:firstColumn="1" w:lastColumn="1" w:noHBand="0" w:noVBand="0"/>
      </w:tblPr>
      <w:tblGrid>
        <w:gridCol w:w="2585"/>
        <w:gridCol w:w="1245"/>
        <w:gridCol w:w="2873"/>
        <w:gridCol w:w="2873"/>
      </w:tblGrid>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ind w:right="960"/>
              <w:jc w:val="center"/>
              <w:rPr>
                <w:rFonts w:ascii="宋体" w:hAnsi="宋体"/>
                <w:b/>
                <w:szCs w:val="21"/>
              </w:rPr>
            </w:pPr>
            <w:r w:rsidRPr="00C11FF9">
              <w:rPr>
                <w:rFonts w:hint="eastAsia" w:ascii="宋体" w:hAnsi="宋体"/>
                <w:b/>
                <w:szCs w:val="21"/>
              </w:rPr>
              <w:t>资产</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center"/>
              <w:rPr>
                <w:b/>
                <w:kern w:val="2"/>
                <w:sz w:val="21"/>
                <w:szCs w:val="21"/>
              </w:rPr>
            </w:pPr>
            <w:r w:rsidRPr="00C11FF9">
              <w:rPr>
                <w:rFonts w:hint="eastAsia"/>
                <w:b/>
                <w:kern w:val="2"/>
                <w:sz w:val="21"/>
                <w:szCs w:val="21"/>
              </w:rPr>
              <w:t>附注号</w:t>
            </w:r>
          </w:p>
        </w:tc>
        <w:tc>
          <w:tcPr>
            <w:tcW w:w="2873" w:type="dxa"/>
            <w:tcBorders>
              <w:top w:val="single" w:color="auto" w:sz="4" w:space="0"/>
              <w:left w:val="single" w:color="auto" w:sz="4" w:space="0"/>
              <w:bottom w:val="single" w:color="auto" w:sz="4" w:space="0"/>
              <w:right w:val="single" w:color="auto" w:sz="4" w:space="0"/>
            </w:tcBorders>
          </w:tcPr>
          <w:p w:rsidRPr="00C11FF9" w:rsidR="00617416" w:rsidP="00E355CC" w:rsidRDefault="00617416">
            <w:pPr>
              <w:pStyle w:val="a3"/>
              <w:spacing w:before="0" w:beforeAutospacing="0" w:after="0" w:afterAutospacing="0"/>
              <w:jc w:val="center"/>
              <w:rPr>
                <w:b/>
                <w:sz w:val="21"/>
                <w:szCs w:val="21"/>
              </w:rPr>
            </w:pPr>
            <w:r w:rsidRPr="00C11FF9">
              <w:rPr>
                <w:rFonts w:hint="eastAsia"/>
                <w:b/>
                <w:sz w:val="21"/>
                <w:szCs w:val="21"/>
              </w:rPr>
              <w:t>本期末</w:t>
            </w:r>
          </w:p>
          <w:p w:rsidRPr="00C11FF9" w:rsidR="00617416" w:rsidP="00947A01" w:rsidRDefault="00947A01">
            <w:pPr>
              <w:jc w:val="center"/>
              <w:rPr>
                <w:rFonts w:ascii="宋体" w:hAnsi="宋体"/>
                <w:b/>
                <w:szCs w:val="21"/>
              </w:rPr>
            </w:pPr>
            <w:r w:rsidRPr="00C11FF9">
              <w:rPr>
                <w:rFonts w:hint="eastAsia" w:ascii="宋体" w:hAnsi="宋体"/>
                <w:szCs w:val="21"/>
              </w:rPr>
              <w:t>（</w:t>
            </w:r>
            <w:r w:rsidRPr="00C11FF9">
              <w:rPr>
                <w:rFonts w:hint="eastAsia" w:ascii="宋体" w:hAnsi="宋体"/>
                <w:szCs w:val="21"/>
              </w:rPr>
              <w:t>2019年06月30日</w:t>
            </w:r>
            <w:r w:rsidRPr="00C11FF9">
              <w:rPr>
                <w:rFonts w:hint="eastAsia"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spacing w:before="0" w:beforeAutospacing="0" w:after="0" w:afterAutospacing="0"/>
              <w:jc w:val="center"/>
              <w:rPr>
                <w:b/>
                <w:sz w:val="21"/>
                <w:szCs w:val="21"/>
              </w:rPr>
            </w:pPr>
            <w:r w:rsidRPr="00C11FF9">
              <w:rPr>
                <w:rFonts w:hint="eastAsia"/>
                <w:b/>
                <w:sz w:val="21"/>
                <w:szCs w:val="21"/>
              </w:rPr>
              <w:t>上年度末</w:t>
            </w:r>
          </w:p>
          <w:p w:rsidRPr="00C11FF9" w:rsidR="00617416" w:rsidP="005943B4" w:rsidRDefault="00947A01">
            <w:pPr>
              <w:jc w:val="center"/>
              <w:rPr>
                <w:rFonts w:ascii="宋体" w:hAnsi="宋体"/>
                <w:b/>
                <w:szCs w:val="21"/>
              </w:rPr>
            </w:pPr>
            <w:r w:rsidRPr="00C11FF9">
              <w:rPr>
                <w:rFonts w:hint="eastAsia" w:ascii="宋体" w:hAnsi="宋体"/>
                <w:szCs w:val="21"/>
              </w:rPr>
              <w:t>（</w:t>
            </w:r>
            <w:r w:rsidR="005943B4">
              <w:rPr>
                <w:rFonts w:hint="eastAsia" w:ascii="宋体" w:hAnsi="宋体"/>
                <w:szCs w:val="21"/>
              </w:rPr>
              <w:t>2018年12月31日</w:t>
            </w:r>
            <w:r w:rsidRPr="00C11FF9">
              <w:rPr>
                <w:rFonts w:hint="eastAsia"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b/>
                <w:sz w:val="21"/>
                <w:szCs w:val="21"/>
              </w:rPr>
            </w:pPr>
            <w:r w:rsidRPr="00C11FF9">
              <w:rPr>
                <w:rFonts w:hint="eastAsia"/>
                <w:b/>
                <w:sz w:val="21"/>
                <w:szCs w:val="21"/>
              </w:rPr>
              <w:t>资 产：</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b/>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162FCC" w:rsidRDefault="00617416">
            <w:pPr>
              <w:rPr>
                <w:rFonts w:ascii="宋体" w:hAnsi="宋体"/>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162FCC" w:rsidRDefault="00617416">
            <w:pPr>
              <w:rPr>
                <w:rFonts w:ascii="宋体" w:hAnsi="宋体"/>
                <w:szCs w:val="21"/>
              </w:rPr>
            </w:pP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银行存款</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6.4.7.1</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821,890.64</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808,257.35</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结算备付金</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存出保证金</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交易性金融资产</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8,732,608.31</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8,569,958.81</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其中：股票投资</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2,700,449.27</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lastRenderedPageBreak/>
              <w:t>基金投资</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8,732,608.31</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A06872">
            <w:pPr>
              <w:jc w:val="right"/>
              <w:rPr>
                <w:rFonts w:ascii="宋体" w:hAnsi="宋体"/>
                <w:szCs w:val="21"/>
              </w:rPr>
            </w:pPr>
            <w:r w:rsidRPr="00C11FF9">
              <w:rPr>
                <w:rFonts w:ascii="宋体" w:hAnsi="宋体"/>
                <w:szCs w:val="21"/>
              </w:rPr>
              <w:t>5,869,509.54</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债券投资</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资产支持证券投资</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r>
      <w:tr w:rsidRPr="00C11FF9" w:rsidR="00CD5D7C"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CD5D7C" w:rsidP="00C11FF9" w:rsidRDefault="00CD5D7C">
            <w:pPr>
              <w:pStyle w:val="a3"/>
              <w:ind w:firstLine="630" w:firstLineChars="300"/>
              <w:jc w:val="both"/>
              <w:rPr>
                <w:sz w:val="21"/>
                <w:szCs w:val="21"/>
              </w:rPr>
            </w:pPr>
            <w:r w:rsidRPr="00C11FF9">
              <w:rPr>
                <w:rFonts w:hint="eastAsia"/>
                <w:sz w:val="21"/>
                <w:szCs w:val="21"/>
              </w:rPr>
              <w:t>贵金属投资</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CD5D7C" w:rsidP="009937C1" w:rsidRDefault="00CD5D7C">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CD5D7C"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CD5D7C" w:rsidP="00E355CC" w:rsidRDefault="007917A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衍生金融资产</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6.4.7.3</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买入返售金融资产</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6.4.7.4</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应收证券清算款</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269,646.70</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应收利息</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6.4.7.5</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43.04</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48.35</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应收股利</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12,691.95</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2,520.85</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应收申购款</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9.98</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递延所得税资产</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kern w:val="0"/>
                <w:szCs w:val="21"/>
              </w:rPr>
            </w:pPr>
            <w:r w:rsidRPr="00C11FF9">
              <w:rPr>
                <w:rFonts w:ascii="宋体" w:hAnsi="宋体"/>
                <w:kern w:val="0"/>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kern w:val="0"/>
                <w:szCs w:val="21"/>
              </w:rPr>
            </w:pPr>
            <w:r w:rsidRPr="00C11FF9">
              <w:rPr>
                <w:rFonts w:ascii="宋体" w:hAnsi="宋体"/>
                <w:kern w:val="0"/>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其他资产</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6.4.7.6</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资产总计</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9,836,890.62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9,380,785.36</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center"/>
              <w:rPr>
                <w:b/>
                <w:sz w:val="21"/>
                <w:szCs w:val="21"/>
              </w:rPr>
            </w:pPr>
            <w:r w:rsidRPr="00C11FF9">
              <w:rPr>
                <w:rFonts w:hint="eastAsia"/>
                <w:b/>
                <w:sz w:val="21"/>
                <w:szCs w:val="21"/>
              </w:rPr>
              <w:t>负债和所有者权益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center"/>
              <w:rPr>
                <w:b/>
                <w:kern w:val="2"/>
                <w:sz w:val="21"/>
                <w:szCs w:val="21"/>
              </w:rPr>
            </w:pPr>
            <w:r w:rsidRPr="00C11FF9">
              <w:rPr>
                <w:rFonts w:hint="eastAsia"/>
                <w:b/>
                <w:kern w:val="2"/>
                <w:sz w:val="21"/>
                <w:szCs w:val="21"/>
              </w:rPr>
              <w:t>附注号</w:t>
            </w:r>
          </w:p>
        </w:tc>
        <w:tc>
          <w:tcPr>
            <w:tcW w:w="2873" w:type="dxa"/>
            <w:tcBorders>
              <w:top w:val="single" w:color="auto" w:sz="4" w:space="0"/>
              <w:left w:val="single" w:color="auto" w:sz="4" w:space="0"/>
              <w:bottom w:val="single" w:color="auto" w:sz="4" w:space="0"/>
              <w:right w:val="single" w:color="auto" w:sz="4" w:space="0"/>
            </w:tcBorders>
          </w:tcPr>
          <w:p w:rsidRPr="00C11FF9" w:rsidR="00617416" w:rsidP="00E355CC" w:rsidRDefault="00617416">
            <w:pPr>
              <w:pStyle w:val="a3"/>
              <w:spacing w:before="0" w:beforeAutospacing="0" w:after="0" w:afterAutospacing="0"/>
              <w:jc w:val="center"/>
              <w:rPr>
                <w:b/>
                <w:sz w:val="21"/>
                <w:szCs w:val="21"/>
              </w:rPr>
            </w:pPr>
            <w:r w:rsidRPr="00C11FF9">
              <w:rPr>
                <w:rFonts w:hint="eastAsia"/>
                <w:b/>
                <w:sz w:val="21"/>
                <w:szCs w:val="21"/>
              </w:rPr>
              <w:t>本期末</w:t>
            </w:r>
          </w:p>
          <w:p w:rsidRPr="00C11FF9" w:rsidR="00617416" w:rsidP="00E355CC" w:rsidRDefault="00947A01">
            <w:pPr>
              <w:pStyle w:val="a3"/>
              <w:spacing w:before="0" w:beforeAutospacing="0" w:after="0" w:afterAutospacing="0"/>
              <w:jc w:val="center"/>
              <w:rPr>
                <w:b/>
                <w:sz w:val="21"/>
                <w:szCs w:val="21"/>
              </w:rPr>
            </w:pPr>
            <w:r w:rsidRPr="00C11FF9">
              <w:rPr>
                <w:rFonts w:hint="eastAsia"/>
                <w:kern w:val="2"/>
                <w:sz w:val="21"/>
                <w:szCs w:val="21"/>
              </w:rPr>
              <w:t>（</w:t>
            </w:r>
            <w:r w:rsidRPr="00C11FF9">
              <w:rPr>
                <w:rFonts w:hint="eastAsia"/>
                <w:kern w:val="2"/>
                <w:sz w:val="21"/>
                <w:szCs w:val="21"/>
              </w:rPr>
              <w:t>2019年06月30日</w:t>
            </w:r>
            <w:r w:rsidRPr="00C11FF9">
              <w:rPr>
                <w:rFonts w:hint="eastAsia"/>
                <w:kern w:val="2"/>
                <w:sz w:val="21"/>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spacing w:before="0" w:beforeAutospacing="0" w:after="0" w:afterAutospacing="0"/>
              <w:jc w:val="center"/>
              <w:rPr>
                <w:b/>
                <w:sz w:val="21"/>
                <w:szCs w:val="21"/>
              </w:rPr>
            </w:pPr>
            <w:r w:rsidRPr="00C11FF9">
              <w:rPr>
                <w:rFonts w:hint="eastAsia"/>
                <w:b/>
                <w:sz w:val="21"/>
                <w:szCs w:val="21"/>
              </w:rPr>
              <w:t>上年度末</w:t>
            </w:r>
          </w:p>
          <w:p w:rsidRPr="00C11FF9" w:rsidR="00617416" w:rsidP="00940638" w:rsidRDefault="00947A01">
            <w:pPr>
              <w:pStyle w:val="a3"/>
              <w:spacing w:before="0" w:beforeAutospacing="0" w:after="0" w:afterAutospacing="0"/>
              <w:jc w:val="center"/>
              <w:rPr>
                <w:b/>
                <w:sz w:val="21"/>
                <w:szCs w:val="21"/>
              </w:rPr>
            </w:pPr>
            <w:r w:rsidRPr="00C11FF9">
              <w:rPr>
                <w:rFonts w:hint="eastAsia"/>
                <w:kern w:val="2"/>
                <w:sz w:val="21"/>
                <w:szCs w:val="21"/>
              </w:rPr>
              <w:t>（</w:t>
            </w:r>
            <w:r w:rsidR="00940638">
              <w:rPr>
                <w:rFonts w:hint="eastAsia"/>
                <w:kern w:val="2"/>
                <w:sz w:val="21"/>
                <w:szCs w:val="21"/>
              </w:rPr>
              <w:t>2018年12月31日</w:t>
            </w:r>
            <w:r w:rsidRPr="00C11FF9">
              <w:rPr>
                <w:rFonts w:hint="eastAsia"/>
                <w:kern w:val="2"/>
                <w:sz w:val="21"/>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b/>
                <w:sz w:val="21"/>
                <w:szCs w:val="21"/>
              </w:rPr>
            </w:pPr>
            <w:r w:rsidRPr="00C11FF9">
              <w:rPr>
                <w:rFonts w:hint="eastAsia"/>
                <w:b/>
                <w:sz w:val="21"/>
                <w:szCs w:val="21"/>
              </w:rPr>
              <w:t>负 债：</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b/>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162FCC" w:rsidRDefault="00617416">
            <w:pPr>
              <w:rPr>
                <w:rFonts w:ascii="宋体" w:hAnsi="宋体"/>
                <w:b/>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162FCC" w:rsidRDefault="00617416">
            <w:pPr>
              <w:ind w:right="-109" w:rightChars="-52"/>
              <w:rPr>
                <w:rFonts w:ascii="宋体" w:hAnsi="宋体"/>
                <w:b/>
                <w:szCs w:val="21"/>
              </w:rPr>
            </w:pP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短期借款</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交易性金融负债</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衍生金融负债</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6.4.7.3</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卖出回购金融资产款</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应付证券清算款</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应付赎回款</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119,778.12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应付管理人报酬</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13,461.80</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13,864.70</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应付托管费</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2,307.74</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2,376.81</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应付销售服务费</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应付交易费用</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r w:rsidRPr="00C11FF9">
              <w:rPr>
                <w:rFonts w:hint="eastAsia"/>
                <w:kern w:val="2"/>
              </w:rPr>
              <w:t>6.4.7.7</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应交税费</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7917A2">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应付利息</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应付利润</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递延所得税负债</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其他负债</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r w:rsidRPr="00C11FF9">
              <w:rPr>
                <w:rFonts w:hint="eastAsia"/>
                <w:kern w:val="2"/>
              </w:rPr>
              <w:t>6.4.7.8</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172,435.97</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165,000.00</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负债合计</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307,983.63</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181,241.51</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所有者权益：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jc w:val="right"/>
              <w:rPr>
                <w:rFonts w:ascii="宋体" w:hAnsi="宋体"/>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ind w:right="-109" w:rightChars="-52"/>
              <w:jc w:val="right"/>
              <w:rPr>
                <w:rFonts w:ascii="宋体" w:hAnsi="宋体"/>
                <w:szCs w:val="21"/>
              </w:rPr>
            </w:pP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实收基金</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r w:rsidRPr="00C11FF9">
              <w:rPr>
                <w:rFonts w:hint="eastAsia"/>
                <w:kern w:val="2"/>
              </w:rPr>
              <w:t>6.4.7.9</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12,614,320.85</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13,178,667.36</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未分配利润</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r w:rsidRPr="00C11FF9">
              <w:rPr>
                <w:rFonts w:hint="eastAsia"/>
                <w:kern w:val="2"/>
              </w:rPr>
              <w:t>6.4.7.10</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-3,085,413.86</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-3,979,123.51</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所有者权益合计</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9,528,906.99</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9,199,543.85</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负债和所有者权益总计</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kern w:val="2"/>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9,836,890.62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109" w:rightChars="-52"/>
              <w:jc w:val="right"/>
              <w:rPr>
                <w:rFonts w:ascii="宋体" w:hAnsi="宋体"/>
                <w:szCs w:val="21"/>
              </w:rPr>
            </w:pPr>
            <w:r w:rsidRPr="00C11FF9">
              <w:rPr>
                <w:rFonts w:ascii="宋体" w:hAnsi="宋体"/>
                <w:szCs w:val="21"/>
              </w:rPr>
              <w:t>9,380,785.36</w:t>
            </w:r>
          </w:p>
        </w:tc>
      </w:tr>
    </w:tbl>
    <w:p w:rsidRPr="00C11FF9" w:rsidR="00FA0225" w:rsidP="00C11FF9" w:rsidRDefault="00FA0225">
      <w:pPr>
        <w:ind w:right="480" w:firstLine="206" w:firstLineChars="98"/>
        <w:rPr>
          <w:rFonts w:ascii="宋体" w:hAnsi="宋体"/>
          <w:bCs/>
          <w:szCs w:val="21"/>
        </w:rPr>
      </w:pPr>
      <w:r w:rsidRPr="00C11FF9">
        <w:rPr>
          <w:rFonts w:ascii="宋体" w:hAnsi="宋体"/>
          <w:bCs/>
          <w:szCs w:val="21"/>
        </w:rPr>
        <w:t>注:截止本报告期末,基金份额净值0.755元,基金份额总额12,614,320.85份。</w:t>
      </w:r>
    </w:p>
    <w:p w:rsidRPr="00C11FF9" w:rsidR="00BA2C05" w:rsidP="00E50060" w:rsidRDefault="002A26A3">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利润表</w:t>
      </w:r>
    </w:p>
    <w:p w:rsidRPr="00C11FF9" w:rsidR="00A515BF" w:rsidP="00E355CC" w:rsidRDefault="00A515BF">
      <w:pPr>
        <w:rPr>
          <w:rFonts w:ascii="宋体" w:hAnsi="宋体"/>
          <w:szCs w:val="21"/>
        </w:rPr>
      </w:pPr>
      <w:r w:rsidRPr="00C11FF9">
        <w:rPr>
          <w:rFonts w:hint="eastAsia" w:ascii="宋体" w:hAnsi="宋体"/>
          <w:szCs w:val="21"/>
        </w:rPr>
        <w:t>会计主体：</w:t>
      </w:r>
      <w:r w:rsidRPr="00C11FF9" w:rsidR="00A305E3">
        <w:rPr>
          <w:rFonts w:hint="eastAsia" w:ascii="宋体" w:hAnsi="宋体"/>
          <w:szCs w:val="21"/>
        </w:rPr>
        <w:t>信诚金砖四国积极配置证券投资基金(LOF)</w:t>
      </w:r>
      <w:r w:rsidRPr="00C11FF9" w:rsidR="00A305E3">
        <w:rPr>
          <w:rFonts w:ascii="宋体" w:hAnsi="宋体"/>
          <w:szCs w:val="21"/>
        </w:rPr>
        <w:t xml:space="preserve"> </w:t>
      </w:r>
    </w:p>
    <w:p w:rsidRPr="00C11FF9" w:rsidR="00A515BF" w:rsidP="00E355CC" w:rsidRDefault="006662B3">
      <w:pPr>
        <w:rPr>
          <w:rFonts w:ascii="宋体" w:hAnsi="宋体"/>
          <w:szCs w:val="21"/>
        </w:rPr>
      </w:pPr>
      <w:r w:rsidRPr="00C11FF9">
        <w:rPr>
          <w:rFonts w:hint="eastAsia" w:ascii="宋体" w:hAnsi="宋体"/>
          <w:szCs w:val="21"/>
        </w:rPr>
        <w:t>本报告期</w:t>
      </w:r>
      <w:r w:rsidRPr="00C11FF9" w:rsidR="00A515BF">
        <w:rPr>
          <w:rFonts w:hint="eastAsia" w:ascii="宋体" w:hAnsi="宋体"/>
          <w:szCs w:val="21"/>
        </w:rPr>
        <w:t>：</w:t>
      </w:r>
      <w:r w:rsidRPr="00C11FF9" w:rsidR="00A305E3">
        <w:rPr>
          <w:rFonts w:hint="eastAsia" w:ascii="宋体" w:hAnsi="宋体"/>
          <w:szCs w:val="21"/>
        </w:rPr>
        <w:t>2019年01月01日</w:t>
      </w:r>
      <w:r w:rsidRPr="00C11FF9" w:rsidR="00A305E3">
        <w:rPr>
          <w:rFonts w:hint="eastAsia" w:ascii="宋体" w:hAnsi="宋体"/>
          <w:szCs w:val="21"/>
        </w:rPr>
        <w:t>至</w:t>
      </w:r>
      <w:r w:rsidRPr="00C11FF9" w:rsidR="00A305E3">
        <w:rPr>
          <w:rFonts w:hint="eastAsia" w:ascii="宋体" w:hAnsi="宋体"/>
          <w:szCs w:val="21"/>
        </w:rPr>
        <w:t>2019年06月30日</w:t>
      </w:r>
      <w:r w:rsidRPr="00C11FF9" w:rsidR="00A305E3">
        <w:rPr>
          <w:rFonts w:ascii="宋体" w:hAnsi="宋体"/>
          <w:szCs w:val="21"/>
        </w:rPr>
        <w:t xml:space="preserve"> </w:t>
      </w:r>
    </w:p>
    <w:p w:rsidRPr="00C11FF9" w:rsidR="009259C9" w:rsidP="00E355CC" w:rsidRDefault="009259C9">
      <w:pPr>
        <w:jc w:val="right"/>
        <w:rPr>
          <w:rFonts w:ascii="宋体" w:hAnsi="宋体"/>
          <w:szCs w:val="21"/>
        </w:rPr>
      </w:pPr>
      <w:r w:rsidRPr="00C11FF9">
        <w:rPr>
          <w:rFonts w:hint="eastAsia" w:ascii="宋体" w:hAnsi="宋体"/>
          <w:szCs w:val="21"/>
        </w:rPr>
        <w:t>单位：人民币元</w:t>
      </w:r>
    </w:p>
    <w:tbl>
      <w:tblPr>
        <w:tblW w:w="0" w:type="auto"/>
        <w:tblLayout w:type="fixed"/>
        <w:tblLook w:val="01E0" w:firstRow="1" w:lastRow="1" w:firstColumn="1" w:lastColumn="1" w:noHBand="0" w:noVBand="0"/>
      </w:tblPr>
      <w:tblGrid>
        <w:gridCol w:w="2585"/>
        <w:gridCol w:w="1245"/>
        <w:gridCol w:w="2873"/>
        <w:gridCol w:w="2873"/>
      </w:tblGrid>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ind w:right="480"/>
              <w:jc w:val="center"/>
              <w:rPr>
                <w:rFonts w:ascii="宋体" w:hAnsi="宋体"/>
                <w:szCs w:val="21"/>
              </w:rPr>
            </w:pPr>
            <w:r w:rsidRPr="00C11FF9">
              <w:rPr>
                <w:rFonts w:hint="eastAsia" w:ascii="宋体" w:hAnsi="宋体"/>
                <w:b/>
                <w:szCs w:val="21"/>
              </w:rPr>
              <w:t>项 目</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center"/>
              <w:rPr>
                <w:b/>
                <w:kern w:val="2"/>
                <w:sz w:val="21"/>
                <w:szCs w:val="21"/>
              </w:rPr>
            </w:pPr>
            <w:r w:rsidRPr="00C11FF9">
              <w:rPr>
                <w:rFonts w:hint="eastAsia"/>
                <w:b/>
                <w:kern w:val="2"/>
                <w:sz w:val="21"/>
                <w:szCs w:val="21"/>
              </w:rPr>
              <w:t>附注号</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spacing w:before="0" w:beforeAutospacing="0" w:after="0" w:afterAutospacing="0"/>
              <w:jc w:val="center"/>
              <w:rPr>
                <w:b/>
                <w:sz w:val="21"/>
                <w:szCs w:val="21"/>
              </w:rPr>
            </w:pPr>
            <w:r w:rsidRPr="00C11FF9">
              <w:rPr>
                <w:rFonts w:hint="eastAsia"/>
                <w:b/>
                <w:sz w:val="21"/>
                <w:szCs w:val="21"/>
              </w:rPr>
              <w:t>本期</w:t>
            </w:r>
          </w:p>
          <w:p w:rsidRPr="00C11FF9" w:rsidR="00617416" w:rsidP="00E355CC" w:rsidRDefault="007F1142">
            <w:pPr>
              <w:pStyle w:val="a3"/>
              <w:spacing w:before="0" w:beforeAutospacing="0" w:after="0" w:afterAutospacing="0"/>
              <w:jc w:val="center"/>
              <w:rPr>
                <w:b/>
                <w:sz w:val="21"/>
                <w:szCs w:val="21"/>
              </w:rPr>
            </w:pPr>
            <w:r w:rsidRPr="00C11FF9">
              <w:rPr>
                <w:rFonts w:hint="eastAsia"/>
                <w:kern w:val="2"/>
                <w:sz w:val="21"/>
                <w:szCs w:val="21"/>
              </w:rPr>
              <w:lastRenderedPageBreak/>
              <w:t>（</w:t>
            </w:r>
            <w:r w:rsidRPr="00C11FF9">
              <w:rPr>
                <w:rFonts w:hint="eastAsia"/>
                <w:kern w:val="2"/>
                <w:sz w:val="21"/>
                <w:szCs w:val="21"/>
              </w:rPr>
              <w:t>2019年01月01日</w:t>
            </w:r>
            <w:r w:rsidRPr="00C11FF9">
              <w:rPr>
                <w:rFonts w:hint="eastAsia"/>
                <w:kern w:val="2"/>
                <w:sz w:val="21"/>
                <w:szCs w:val="21"/>
              </w:rPr>
              <w:t>至</w:t>
            </w:r>
            <w:r w:rsidRPr="00C11FF9">
              <w:rPr>
                <w:rFonts w:hint="eastAsia"/>
                <w:kern w:val="2"/>
                <w:sz w:val="21"/>
                <w:szCs w:val="21"/>
              </w:rPr>
              <w:t>2019年06月30日</w:t>
            </w:r>
            <w:r w:rsidRPr="00C11FF9">
              <w:rPr>
                <w:rFonts w:hint="eastAsia"/>
                <w:kern w:val="2"/>
                <w:sz w:val="21"/>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spacing w:before="0" w:beforeAutospacing="0" w:after="0" w:afterAutospacing="0"/>
              <w:jc w:val="center"/>
              <w:rPr>
                <w:b/>
                <w:sz w:val="21"/>
                <w:szCs w:val="21"/>
              </w:rPr>
            </w:pPr>
            <w:r w:rsidRPr="00C11FF9">
              <w:rPr>
                <w:rFonts w:hint="eastAsia"/>
                <w:b/>
                <w:sz w:val="21"/>
                <w:szCs w:val="21"/>
              </w:rPr>
              <w:lastRenderedPageBreak/>
              <w:t>上年度可比期间</w:t>
            </w:r>
          </w:p>
          <w:p w:rsidRPr="00C11FF9" w:rsidR="00617416" w:rsidP="00940638" w:rsidRDefault="00EE28CB">
            <w:pPr>
              <w:pStyle w:val="a3"/>
              <w:spacing w:before="0" w:beforeAutospacing="0" w:after="0" w:afterAutospacing="0"/>
              <w:jc w:val="center"/>
              <w:rPr>
                <w:b/>
                <w:sz w:val="21"/>
                <w:szCs w:val="21"/>
              </w:rPr>
            </w:pPr>
            <w:r w:rsidRPr="00C11FF9">
              <w:rPr>
                <w:rFonts w:hint="eastAsia"/>
                <w:kern w:val="2"/>
                <w:sz w:val="21"/>
                <w:szCs w:val="21"/>
              </w:rPr>
              <w:lastRenderedPageBreak/>
              <w:t>（</w:t>
            </w:r>
            <w:r w:rsidR="00940638">
              <w:rPr>
                <w:rFonts w:hint="eastAsia"/>
                <w:kern w:val="2"/>
                <w:sz w:val="21"/>
                <w:szCs w:val="21"/>
              </w:rPr>
              <w:t>2018年01月01日</w:t>
            </w:r>
            <w:r w:rsidRPr="00C11FF9" w:rsidR="00940638">
              <w:rPr>
                <w:rFonts w:hint="eastAsia"/>
                <w:kern w:val="2"/>
                <w:sz w:val="21"/>
                <w:szCs w:val="21"/>
              </w:rPr>
              <w:t xml:space="preserve"> </w:t>
            </w:r>
            <w:r w:rsidRPr="00C11FF9" w:rsidR="00131C2C">
              <w:rPr>
                <w:rFonts w:hint="eastAsia"/>
                <w:kern w:val="2"/>
                <w:sz w:val="21"/>
                <w:szCs w:val="21"/>
              </w:rPr>
              <w:t>-</w:t>
            </w:r>
            <w:r w:rsidR="00940638">
              <w:rPr>
                <w:rFonts w:hint="eastAsia"/>
                <w:kern w:val="2"/>
                <w:sz w:val="21"/>
                <w:szCs w:val="21"/>
              </w:rPr>
              <w:t>2018年06月30日</w:t>
            </w:r>
            <w:r w:rsidRPr="00C11FF9">
              <w:rPr>
                <w:rFonts w:hint="eastAsia"/>
                <w:kern w:val="2"/>
                <w:sz w:val="21"/>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b/>
                <w:sz w:val="21"/>
                <w:szCs w:val="21"/>
              </w:rPr>
            </w:pPr>
            <w:r w:rsidRPr="00C11FF9">
              <w:rPr>
                <w:rFonts w:hint="eastAsia"/>
                <w:b/>
                <w:sz w:val="21"/>
                <w:szCs w:val="21"/>
              </w:rPr>
              <w:lastRenderedPageBreak/>
              <w:t>一、收入</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b/>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923,951.81</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-1,144,531.75</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1.利息收入</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681.62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1,121.54</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其中：存款利息收入</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6.4.7.11</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681.62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1,121.54</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债券利息收入</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资产支持证券利息收入</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买入返售金融资产收入</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其他利息收入</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2.投资收益（损失以“-”填列）</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-12,239.90</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251,261.48</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其中：股票投资收益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6.4.7.12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-342,676.38</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259,828.12</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 xml:space="preserve">      基金投资收益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a3"/>
              <w:jc w:val="both"/>
              <w:rPr>
                <w:kern w:val="2"/>
                <w:sz w:val="21"/>
                <w:szCs w:val="21"/>
              </w:rPr>
            </w:pPr>
            <w:r w:rsidRPr="00C11FF9">
              <w:rPr>
                <w:rFonts w:hint="eastAsia"/>
                <w:kern w:val="2"/>
                <w:sz w:val="21"/>
                <w:szCs w:val="21"/>
              </w:rPr>
              <w:t>6.4.7.13</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252,882.99</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-80,596.85</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债券投资收益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a3"/>
              <w:jc w:val="both"/>
              <w:rPr>
                <w:kern w:val="2"/>
                <w:sz w:val="21"/>
                <w:szCs w:val="21"/>
              </w:rPr>
            </w:pPr>
            <w:r w:rsidRPr="00C11FF9">
              <w:rPr>
                <w:rFonts w:hint="eastAsia"/>
                <w:kern w:val="2"/>
                <w:sz w:val="21"/>
                <w:szCs w:val="21"/>
              </w:rPr>
              <w:t>6.4.7.14</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资产支持证券投资收益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a3"/>
              <w:jc w:val="both"/>
              <w:rPr>
                <w:kern w:val="2"/>
                <w:sz w:val="21"/>
                <w:szCs w:val="21"/>
              </w:rPr>
            </w:pPr>
            <w:r w:rsidRPr="00C11FF9">
              <w:rPr>
                <w:rFonts w:hint="eastAsia"/>
                <w:kern w:val="2"/>
                <w:sz w:val="21"/>
                <w:szCs w:val="21"/>
              </w:rPr>
              <w:t>6.4.7.1</w:t>
            </w:r>
            <w:r w:rsidRPr="00C11FF9" w:rsidR="00CD5D7C">
              <w:rPr>
                <w:rFonts w:hint="eastAsia"/>
                <w:kern w:val="2"/>
                <w:sz w:val="21"/>
                <w:szCs w:val="21"/>
              </w:rPr>
              <w:t>4.1</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CD5D7C"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CD5D7C" w:rsidP="00C11FF9" w:rsidRDefault="00CD5D7C">
            <w:pPr>
              <w:pStyle w:val="a3"/>
              <w:ind w:firstLine="630" w:firstLineChars="300"/>
              <w:jc w:val="both"/>
              <w:rPr>
                <w:sz w:val="21"/>
                <w:szCs w:val="21"/>
              </w:rPr>
            </w:pPr>
            <w:r w:rsidRPr="00C11FF9">
              <w:rPr>
                <w:rFonts w:hint="eastAsia"/>
                <w:sz w:val="21"/>
                <w:szCs w:val="21"/>
              </w:rPr>
              <w:t>贵金属投资收益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CD5D7C" w:rsidP="00617416" w:rsidRDefault="00CD5D7C">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CD5D7C"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CD5D7C"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衍生工具收益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CD5D7C" w:rsidRDefault="00617416">
            <w:pPr>
              <w:pStyle w:val="a3"/>
              <w:jc w:val="both"/>
              <w:rPr>
                <w:kern w:val="2"/>
                <w:sz w:val="21"/>
                <w:szCs w:val="21"/>
              </w:rPr>
            </w:pPr>
            <w:r w:rsidRPr="00C11FF9">
              <w:rPr>
                <w:rFonts w:hint="eastAsia"/>
                <w:kern w:val="2"/>
                <w:sz w:val="21"/>
                <w:szCs w:val="21"/>
              </w:rPr>
              <w:t>6.4.7.1</w:t>
            </w:r>
            <w:r w:rsidRPr="00C11FF9" w:rsidR="00CD5D7C">
              <w:rPr>
                <w:rFonts w:hint="eastAsia"/>
                <w:kern w:val="2"/>
                <w:sz w:val="21"/>
                <w:szCs w:val="21"/>
              </w:rPr>
              <w:t>5</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C11FF9" w:rsidRDefault="00617416">
            <w:pPr>
              <w:pStyle w:val="a3"/>
              <w:ind w:firstLine="630" w:firstLineChars="300"/>
              <w:jc w:val="both"/>
              <w:rPr>
                <w:sz w:val="21"/>
                <w:szCs w:val="21"/>
              </w:rPr>
            </w:pPr>
            <w:r w:rsidRPr="00C11FF9">
              <w:rPr>
                <w:rFonts w:hint="eastAsia"/>
                <w:sz w:val="21"/>
                <w:szCs w:val="21"/>
              </w:rPr>
              <w:t>股利收益</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CD5D7C" w:rsidRDefault="00617416">
            <w:pPr>
              <w:pStyle w:val="a3"/>
              <w:jc w:val="both"/>
              <w:rPr>
                <w:kern w:val="2"/>
                <w:sz w:val="21"/>
                <w:szCs w:val="21"/>
              </w:rPr>
            </w:pPr>
            <w:r w:rsidRPr="00C11FF9">
              <w:rPr>
                <w:rFonts w:hint="eastAsia"/>
                <w:kern w:val="2"/>
                <w:sz w:val="21"/>
                <w:szCs w:val="21"/>
              </w:rPr>
              <w:t>6.4.7.1</w:t>
            </w:r>
            <w:r w:rsidRPr="00C11FF9" w:rsidR="00CD5D7C">
              <w:rPr>
                <w:rFonts w:hint="eastAsia"/>
                <w:kern w:val="2"/>
                <w:sz w:val="21"/>
                <w:szCs w:val="21"/>
              </w:rPr>
              <w:t>6</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77,553.49</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72,030.21</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3.公允价值变动收益（损失以“-”号填列）</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CD5D7C" w:rsidRDefault="00617416">
            <w:pPr>
              <w:pStyle w:val="a3"/>
              <w:jc w:val="both"/>
              <w:rPr>
                <w:kern w:val="2"/>
                <w:sz w:val="21"/>
                <w:szCs w:val="21"/>
              </w:rPr>
            </w:pPr>
            <w:r w:rsidRPr="00C11FF9">
              <w:rPr>
                <w:rFonts w:hint="eastAsia"/>
                <w:kern w:val="2"/>
                <w:sz w:val="21"/>
                <w:szCs w:val="21"/>
              </w:rPr>
              <w:t>6.4.7.</w:t>
            </w:r>
            <w:r w:rsidRPr="00C11FF9" w:rsidR="00CD5D7C">
              <w:rPr>
                <w:rFonts w:hint="eastAsia"/>
                <w:kern w:val="2"/>
                <w:sz w:val="21"/>
                <w:szCs w:val="21"/>
              </w:rPr>
              <w:t>17</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916,091.29</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-1,425,890.14</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sz w:val="21"/>
                <w:szCs w:val="21"/>
              </w:rPr>
              <w:t>4.</w:t>
            </w:r>
            <w:r w:rsidRPr="00C11FF9">
              <w:rPr>
                <w:rFonts w:hint="eastAsia"/>
                <w:sz w:val="21"/>
                <w:szCs w:val="21"/>
              </w:rPr>
              <w:t>汇兑收益(损失以“-”号填列)</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19,082.00</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27,681.02</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5.其他收入（损失以“-”号填列）</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a3"/>
              <w:jc w:val="both"/>
              <w:rPr>
                <w:kern w:val="2"/>
                <w:sz w:val="21"/>
                <w:szCs w:val="21"/>
              </w:rPr>
            </w:pPr>
            <w:r w:rsidRPr="00C11FF9">
              <w:rPr>
                <w:rFonts w:hint="eastAsia"/>
                <w:kern w:val="2"/>
                <w:sz w:val="21"/>
                <w:szCs w:val="21"/>
              </w:rPr>
              <w:t>6.4.7.1</w:t>
            </w:r>
            <w:r w:rsidRPr="00C11FF9" w:rsidR="00CD5D7C">
              <w:rPr>
                <w:rFonts w:hint="eastAsia"/>
                <w:kern w:val="2"/>
                <w:sz w:val="21"/>
                <w:szCs w:val="21"/>
              </w:rPr>
              <w:t>8</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336.80</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1,294.35</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b/>
                <w:sz w:val="21"/>
                <w:szCs w:val="21"/>
              </w:rPr>
            </w:pPr>
            <w:r w:rsidRPr="00C11FF9">
              <w:rPr>
                <w:rFonts w:hint="eastAsia"/>
                <w:b/>
                <w:sz w:val="21"/>
                <w:szCs w:val="21"/>
              </w:rPr>
              <w:t>减：二、费用</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171,244.28</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232,293.73</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1．管理人报酬</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rPr>
                <w:b/>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82,176.68</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107,396.06</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617416">
            <w:pPr>
              <w:pStyle w:val="a3"/>
              <w:jc w:val="both"/>
              <w:rPr>
                <w:sz w:val="21"/>
                <w:szCs w:val="21"/>
              </w:rPr>
            </w:pPr>
            <w:r w:rsidRPr="00C11FF9">
              <w:rPr>
                <w:rFonts w:hint="eastAsia"/>
                <w:sz w:val="21"/>
                <w:szCs w:val="21"/>
              </w:rPr>
              <w:t>2．托管费</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b/>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14,087.46</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18,410.71</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3．销售服务费</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4．交易费用</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a3"/>
              <w:jc w:val="both"/>
              <w:rPr>
                <w:kern w:val="2"/>
                <w:sz w:val="21"/>
                <w:szCs w:val="21"/>
              </w:rPr>
            </w:pPr>
            <w:r w:rsidRPr="00C11FF9">
              <w:rPr>
                <w:rFonts w:hint="eastAsia"/>
                <w:kern w:val="2"/>
                <w:sz w:val="21"/>
                <w:szCs w:val="21"/>
              </w:rPr>
              <w:t>6.4.7.</w:t>
            </w:r>
            <w:r w:rsidRPr="00C11FF9" w:rsidR="00CD5D7C">
              <w:rPr>
                <w:rFonts w:hint="eastAsia"/>
                <w:kern w:val="2"/>
                <w:sz w:val="21"/>
                <w:szCs w:val="21"/>
              </w:rPr>
              <w:t>19</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30,463.62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46,863.50</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5．利息支出</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其中：卖出回购金融资产支出</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6．其他费用</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r w:rsidRPr="00C11FF9">
              <w:rPr>
                <w:rFonts w:hint="eastAsia"/>
                <w:kern w:val="2"/>
                <w:sz w:val="21"/>
                <w:szCs w:val="21"/>
              </w:rPr>
              <w:t>6.4.7.2</w:t>
            </w:r>
            <w:r w:rsidRPr="00C11FF9" w:rsidR="00CD5D7C">
              <w:rPr>
                <w:rFonts w:hint="eastAsia"/>
                <w:kern w:val="2"/>
                <w:sz w:val="21"/>
                <w:szCs w:val="21"/>
              </w:rPr>
              <w:t>0</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44,516.52</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59,623.46</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三、利润总额（亏损总额以“-”号填列）</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752,707.53</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ind w:right="2"/>
              <w:jc w:val="right"/>
              <w:rPr>
                <w:rFonts w:ascii="宋体" w:hAnsi="宋体"/>
                <w:szCs w:val="21"/>
              </w:rPr>
            </w:pPr>
            <w:r w:rsidRPr="00C11FF9">
              <w:rPr>
                <w:rFonts w:ascii="宋体" w:hAnsi="宋体"/>
                <w:szCs w:val="21"/>
              </w:rPr>
              <w:t>-1,376,825.48</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rPr>
                <w:b/>
              </w:rPr>
            </w:pPr>
            <w:r w:rsidRPr="00C11FF9">
              <w:rPr>
                <w:rFonts w:hint="eastAsia"/>
              </w:rPr>
              <w:t>减：所得税费用</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FA0225">
            <w:pPr>
              <w:jc w:val="right"/>
              <w:rPr>
                <w:rFonts w:ascii="宋体" w:hAnsi="宋体"/>
                <w:szCs w:val="21"/>
              </w:rPr>
            </w:pPr>
            <w:r w:rsidRPr="00C11FF9">
              <w:rPr>
                <w:rFonts w:ascii="宋体" w:hAnsi="宋体"/>
                <w:szCs w:val="21"/>
              </w:rPr>
              <w:t>-</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B72569">
            <w:pPr>
              <w:ind w:right="2"/>
              <w:jc w:val="right"/>
              <w:rPr>
                <w:rFonts w:ascii="宋体" w:hAnsi="宋体"/>
                <w:szCs w:val="21"/>
              </w:rPr>
            </w:pPr>
            <w:r w:rsidRPr="00C11FF9">
              <w:rPr>
                <w:rFonts w:ascii="宋体" w:hAnsi="宋体"/>
                <w:szCs w:val="21"/>
              </w:rPr>
              <w:t>-</w:t>
            </w:r>
          </w:p>
        </w:tc>
      </w:tr>
      <w:tr w:rsidRPr="00C11FF9" w:rsidR="00617416" w:rsidTr="00617416">
        <w:tc>
          <w:tcPr>
            <w:tcW w:w="2585" w:type="dxa"/>
            <w:tcBorders>
              <w:top w:val="single" w:color="auto" w:sz="4" w:space="0"/>
              <w:left w:val="single" w:color="auto" w:sz="4" w:space="0"/>
              <w:bottom w:val="single" w:color="auto" w:sz="4" w:space="0"/>
              <w:right w:val="single" w:color="auto" w:sz="4" w:space="0"/>
            </w:tcBorders>
            <w:vAlign w:val="center"/>
          </w:tcPr>
          <w:p w:rsidRPr="00C11FF9" w:rsidR="00617416" w:rsidP="00617416" w:rsidRDefault="00617416">
            <w:pPr>
              <w:pStyle w:val="Char"/>
            </w:pPr>
            <w:r w:rsidRPr="00C11FF9">
              <w:rPr>
                <w:rFonts w:hint="eastAsia"/>
              </w:rPr>
              <w:t>四、净利润（净亏损以“</w:t>
            </w:r>
            <w:r w:rsidRPr="00C11FF9">
              <w:t>-</w:t>
            </w:r>
            <w:r w:rsidRPr="00C11FF9">
              <w:rPr>
                <w:rFonts w:hint="eastAsia"/>
              </w:rPr>
              <w:t>”号填列）</w:t>
            </w:r>
          </w:p>
        </w:tc>
        <w:tc>
          <w:tcPr>
            <w:tcW w:w="1245" w:type="dxa"/>
            <w:tcBorders>
              <w:top w:val="single" w:color="auto" w:sz="4" w:space="0"/>
              <w:left w:val="single" w:color="auto" w:sz="4" w:space="0"/>
              <w:bottom w:val="single" w:color="auto" w:sz="4" w:space="0"/>
              <w:right w:val="single" w:color="auto" w:sz="4" w:space="0"/>
            </w:tcBorders>
            <w:vAlign w:val="center"/>
          </w:tcPr>
          <w:p w:rsidRPr="00C11FF9" w:rsidR="00617416" w:rsidP="009937C1" w:rsidRDefault="00617416">
            <w:pPr>
              <w:pStyle w:val="a3"/>
              <w:jc w:val="both"/>
              <w:rPr>
                <w:kern w:val="2"/>
                <w:sz w:val="21"/>
                <w:szCs w:val="21"/>
              </w:rPr>
            </w:pP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B72569">
            <w:pPr>
              <w:jc w:val="right"/>
              <w:rPr>
                <w:rFonts w:ascii="宋体" w:hAnsi="宋体"/>
                <w:szCs w:val="21"/>
              </w:rPr>
            </w:pPr>
            <w:r w:rsidRPr="00C11FF9">
              <w:rPr>
                <w:rFonts w:ascii="宋体" w:hAnsi="宋体"/>
                <w:szCs w:val="21"/>
              </w:rPr>
              <w:t>752,707.53</w:t>
            </w:r>
          </w:p>
        </w:tc>
        <w:tc>
          <w:tcPr>
            <w:tcW w:w="2873" w:type="dxa"/>
            <w:tcBorders>
              <w:top w:val="single" w:color="auto" w:sz="4" w:space="0"/>
              <w:left w:val="single" w:color="auto" w:sz="4" w:space="0"/>
              <w:bottom w:val="single" w:color="auto" w:sz="4" w:space="0"/>
              <w:right w:val="single" w:color="auto" w:sz="4" w:space="0"/>
            </w:tcBorders>
            <w:vAlign w:val="center"/>
          </w:tcPr>
          <w:p w:rsidRPr="00C11FF9" w:rsidR="00617416" w:rsidP="00E355CC" w:rsidRDefault="00B72569">
            <w:pPr>
              <w:ind w:right="2"/>
              <w:jc w:val="right"/>
              <w:rPr>
                <w:rFonts w:ascii="宋体" w:hAnsi="宋体"/>
                <w:szCs w:val="21"/>
              </w:rPr>
            </w:pPr>
            <w:r w:rsidRPr="00C11FF9">
              <w:rPr>
                <w:rFonts w:ascii="宋体" w:hAnsi="宋体"/>
                <w:szCs w:val="21"/>
              </w:rPr>
              <w:t>-1,376,825.48</w:t>
            </w:r>
          </w:p>
        </w:tc>
      </w:tr>
    </w:tbl>
    <w:p w:rsidRPr="00C11FF9" w:rsidR="00B72569" w:rsidP="00C11FF9" w:rsidRDefault="00B72569">
      <w:pPr>
        <w:ind w:right="480" w:firstLine="420" w:firstLineChars="200"/>
        <w:rPr>
          <w:rFonts w:ascii="宋体" w:hAnsi="宋体"/>
          <w:szCs w:val="21"/>
        </w:rPr>
      </w:pPr>
      <w:r w:rsidRPr="00C11FF9">
        <w:rPr>
          <w:rFonts w:ascii="宋体" w:hAnsi="宋体"/>
          <w:szCs w:val="21"/>
        </w:rPr>
        <w:t/>
      </w:r>
    </w:p>
    <w:p w:rsidRPr="00C11FF9" w:rsidR="00497428" w:rsidP="00E50060" w:rsidRDefault="00497428">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所有者权益（基金净值）变动表</w:t>
      </w:r>
    </w:p>
    <w:p w:rsidRPr="00C11FF9" w:rsidR="00497428" w:rsidP="00E355CC" w:rsidRDefault="00497428">
      <w:pPr>
        <w:rPr>
          <w:rFonts w:ascii="宋体" w:hAnsi="宋体"/>
          <w:szCs w:val="21"/>
        </w:rPr>
      </w:pPr>
      <w:r w:rsidRPr="00C11FF9">
        <w:rPr>
          <w:rFonts w:hint="eastAsia" w:ascii="宋体" w:hAnsi="宋体"/>
          <w:szCs w:val="21"/>
        </w:rPr>
        <w:t>会计主体：</w:t>
      </w:r>
      <w:r w:rsidRPr="00C11FF9" w:rsidR="00A305E3">
        <w:rPr>
          <w:rFonts w:hint="eastAsia" w:ascii="宋体" w:hAnsi="宋体"/>
          <w:szCs w:val="21"/>
        </w:rPr>
        <w:t>信诚金砖四国积极配置证券投资基金(LOF)</w:t>
      </w:r>
      <w:r w:rsidRPr="00C11FF9" w:rsidR="00A305E3">
        <w:rPr>
          <w:rFonts w:ascii="宋体" w:hAnsi="宋体"/>
          <w:szCs w:val="21"/>
        </w:rPr>
        <w:t xml:space="preserve"> </w:t>
      </w:r>
    </w:p>
    <w:p w:rsidRPr="00C11FF9" w:rsidR="00BA2C05" w:rsidP="00E355CC" w:rsidRDefault="00497428">
      <w:pPr>
        <w:rPr>
          <w:rFonts w:ascii="宋体" w:hAnsi="宋体"/>
          <w:szCs w:val="21"/>
        </w:rPr>
      </w:pPr>
      <w:r w:rsidRPr="00C11FF9">
        <w:rPr>
          <w:rFonts w:hint="eastAsia" w:ascii="宋体" w:hAnsi="宋体"/>
          <w:szCs w:val="21"/>
        </w:rPr>
        <w:lastRenderedPageBreak/>
        <w:t>本报告期：</w:t>
      </w:r>
      <w:r w:rsidRPr="00C11FF9" w:rsidR="00A305E3">
        <w:rPr>
          <w:rFonts w:hint="eastAsia" w:ascii="宋体" w:hAnsi="宋体"/>
          <w:szCs w:val="21"/>
        </w:rPr>
        <w:t>2019年01月01日</w:t>
      </w:r>
      <w:r w:rsidRPr="00C11FF9" w:rsidR="00A305E3">
        <w:rPr>
          <w:rFonts w:hint="eastAsia" w:ascii="宋体" w:hAnsi="宋体"/>
          <w:szCs w:val="21"/>
        </w:rPr>
        <w:t>至</w:t>
      </w:r>
      <w:r w:rsidRPr="00C11FF9" w:rsidR="00A305E3">
        <w:rPr>
          <w:rFonts w:hint="eastAsia" w:ascii="宋体" w:hAnsi="宋体"/>
          <w:szCs w:val="21"/>
        </w:rPr>
        <w:t>2019年06月30日</w:t>
      </w:r>
      <w:r w:rsidRPr="00C11FF9" w:rsidR="00A305E3">
        <w:rPr>
          <w:rFonts w:ascii="宋体" w:hAnsi="宋体"/>
          <w:szCs w:val="21"/>
        </w:rPr>
        <w:t xml:space="preserve"> </w:t>
      </w:r>
    </w:p>
    <w:p w:rsidRPr="00C11FF9" w:rsidR="00497428" w:rsidP="00E355CC" w:rsidRDefault="00497428">
      <w:pPr>
        <w:jc w:val="right"/>
        <w:rPr>
          <w:rFonts w:ascii="宋体" w:hAnsi="宋体"/>
          <w:szCs w:val="21"/>
        </w:rPr>
      </w:pPr>
      <w:r w:rsidRPr="00C11FF9">
        <w:rPr>
          <w:rFonts w:hint="eastAsia" w:ascii="宋体" w:hAnsi="宋体"/>
          <w:szCs w:val="21"/>
        </w:rPr>
        <w:t>单位：人民币元</w:t>
      </w:r>
    </w:p>
    <w:tbl>
      <w:tblPr>
        <w:tblW w:w="5000" w:type="pct"/>
        <w:tblLook w:val="01E0" w:firstRow="1" w:lastRow="1" w:firstColumn="1" w:lastColumn="1" w:noHBand="0" w:noVBand="0"/>
      </w:tblPr>
      <w:tblGrid>
        <w:gridCol w:w="3528"/>
        <w:gridCol w:w="2340"/>
        <w:gridCol w:w="1892"/>
        <w:gridCol w:w="1816"/>
      </w:tblGrid>
      <w:tr w:rsidRPr="00C11FF9" w:rsidR="00497428">
        <w:trPr>
          <w:trHeight w:val="157"/>
        </w:trPr>
        <w:tc>
          <w:tcPr>
            <w:tcW w:w="1842" w:type="pct"/>
            <w:vMerge w:val="restar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ind w:right="480"/>
              <w:jc w:val="center"/>
              <w:rPr>
                <w:rFonts w:ascii="宋体" w:hAnsi="宋体"/>
                <w:szCs w:val="21"/>
              </w:rPr>
            </w:pPr>
            <w:r w:rsidRPr="00C11FF9">
              <w:rPr>
                <w:rFonts w:hint="eastAsia" w:ascii="宋体" w:hAnsi="宋体"/>
                <w:b/>
                <w:szCs w:val="21"/>
              </w:rPr>
              <w:t>项目</w:t>
            </w:r>
          </w:p>
        </w:tc>
        <w:tc>
          <w:tcPr>
            <w:tcW w:w="3158" w:type="pct"/>
            <w:gridSpan w:val="3"/>
            <w:tcBorders>
              <w:top w:val="single" w:color="auto" w:sz="4" w:space="0"/>
              <w:left w:val="single" w:color="auto" w:sz="4" w:space="0"/>
              <w:bottom w:val="single" w:color="auto" w:sz="4" w:space="0"/>
              <w:right w:val="single" w:color="auto" w:sz="4" w:space="0"/>
            </w:tcBorders>
            <w:vAlign w:val="center"/>
          </w:tcPr>
          <w:p w:rsidRPr="00C11FF9" w:rsidR="00497428" w:rsidP="00E355CC" w:rsidRDefault="009C5328">
            <w:pPr>
              <w:jc w:val="center"/>
              <w:rPr>
                <w:rFonts w:ascii="宋体" w:hAnsi="宋体"/>
                <w:b/>
                <w:szCs w:val="21"/>
              </w:rPr>
            </w:pPr>
            <w:r w:rsidRPr="00C11FF9">
              <w:rPr>
                <w:rFonts w:hint="eastAsia" w:ascii="宋体" w:hAnsi="宋体"/>
                <w:b/>
                <w:szCs w:val="21"/>
              </w:rPr>
              <w:t>本期</w:t>
            </w:r>
          </w:p>
          <w:p w:rsidRPr="00C11FF9" w:rsidR="00497428" w:rsidP="00E355CC" w:rsidRDefault="007F1142">
            <w:pPr>
              <w:jc w:val="center"/>
              <w:rPr>
                <w:rFonts w:ascii="宋体" w:hAnsi="宋体"/>
                <w:b/>
                <w:szCs w:val="21"/>
              </w:rPr>
            </w:pPr>
            <w:r w:rsidRPr="00C11FF9">
              <w:rPr>
                <w:rFonts w:hint="eastAsia" w:ascii="宋体" w:hAnsi="宋体"/>
                <w:szCs w:val="21"/>
              </w:rPr>
              <w:t>（</w:t>
            </w:r>
            <w:r w:rsidRPr="00C11FF9">
              <w:rPr>
                <w:rFonts w:hint="eastAsia" w:ascii="宋体" w:hAnsi="宋体"/>
                <w:szCs w:val="21"/>
              </w:rPr>
              <w:t>2019年01月01日</w:t>
            </w:r>
            <w:r w:rsidRPr="00C11FF9">
              <w:rPr>
                <w:rFonts w:hint="eastAsia" w:ascii="宋体" w:hAnsi="宋体"/>
                <w:szCs w:val="21"/>
              </w:rPr>
              <w:t>至</w:t>
            </w:r>
            <w:r w:rsidRPr="00C11FF9">
              <w:rPr>
                <w:rFonts w:hint="eastAsia" w:ascii="宋体" w:hAnsi="宋体"/>
                <w:szCs w:val="21"/>
              </w:rPr>
              <w:t>2019年06月30日</w:t>
            </w:r>
            <w:r w:rsidRPr="00C11FF9">
              <w:rPr>
                <w:rFonts w:hint="eastAsia" w:ascii="宋体" w:hAnsi="宋体"/>
                <w:szCs w:val="21"/>
              </w:rPr>
              <w:t>）</w:t>
            </w:r>
          </w:p>
        </w:tc>
      </w:tr>
      <w:tr w:rsidRPr="00C11FF9" w:rsidR="00497428">
        <w:trPr>
          <w:trHeight w:val="157"/>
        </w:trPr>
        <w:tc>
          <w:tcPr>
            <w:tcW w:w="1842" w:type="pct"/>
            <w:vMerge/>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widowControl/>
              <w:jc w:val="left"/>
              <w:rPr>
                <w:rFonts w:ascii="宋体" w:hAnsi="宋体"/>
                <w:szCs w:val="21"/>
              </w:rPr>
            </w:pP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jc w:val="center"/>
              <w:rPr>
                <w:rFonts w:ascii="宋体" w:hAnsi="宋体"/>
                <w:b/>
                <w:szCs w:val="21"/>
              </w:rPr>
            </w:pPr>
            <w:r w:rsidRPr="00C11FF9">
              <w:rPr>
                <w:rFonts w:hint="eastAsia" w:ascii="宋体" w:hAnsi="宋体"/>
                <w:b/>
                <w:szCs w:val="21"/>
              </w:rPr>
              <w:t>实收基金</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jc w:val="center"/>
              <w:rPr>
                <w:rFonts w:ascii="宋体" w:hAnsi="宋体"/>
                <w:b/>
                <w:szCs w:val="21"/>
              </w:rPr>
            </w:pPr>
            <w:r w:rsidRPr="00C11FF9">
              <w:rPr>
                <w:rFonts w:hint="eastAsia" w:ascii="宋体" w:hAnsi="宋体"/>
                <w:b/>
                <w:szCs w:val="21"/>
              </w:rPr>
              <w:t>未分配利润</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jc w:val="center"/>
              <w:rPr>
                <w:rFonts w:ascii="宋体" w:hAnsi="宋体"/>
                <w:b/>
                <w:szCs w:val="21"/>
              </w:rPr>
            </w:pPr>
            <w:r w:rsidRPr="00C11FF9">
              <w:rPr>
                <w:rFonts w:hint="eastAsia" w:ascii="宋体" w:hAnsi="宋体"/>
                <w:b/>
                <w:szCs w:val="21"/>
              </w:rPr>
              <w:t>所有者权益合计</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一、期初所有者权益（基金净值）</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194046">
            <w:pPr>
              <w:jc w:val="right"/>
              <w:rPr>
                <w:rFonts w:ascii="宋体" w:hAnsi="宋体"/>
                <w:szCs w:val="21"/>
              </w:rPr>
            </w:pPr>
            <w:r w:rsidRPr="00C11FF9">
              <w:rPr>
                <w:rFonts w:ascii="宋体" w:hAnsi="宋体"/>
                <w:szCs w:val="21"/>
              </w:rPr>
              <w:t>13,178,667.36</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194046">
            <w:pPr>
              <w:jc w:val="right"/>
              <w:rPr>
                <w:rFonts w:ascii="宋体" w:hAnsi="宋体"/>
                <w:szCs w:val="21"/>
              </w:rPr>
            </w:pPr>
            <w:r w:rsidRPr="00C11FF9">
              <w:rPr>
                <w:rFonts w:ascii="宋体" w:hAnsi="宋体"/>
                <w:szCs w:val="21"/>
              </w:rPr>
              <w:t>-3,979,123.51</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194046">
            <w:pPr>
              <w:jc w:val="right"/>
              <w:rPr>
                <w:rFonts w:ascii="宋体" w:hAnsi="宋体"/>
                <w:szCs w:val="21"/>
              </w:rPr>
            </w:pPr>
            <w:r w:rsidRPr="00C11FF9">
              <w:rPr>
                <w:rFonts w:ascii="宋体" w:hAnsi="宋体"/>
                <w:szCs w:val="21"/>
              </w:rPr>
              <w:t>9,199,543.85</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二、本期经营活动产生的基金净值变动数（本期利润）</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194046">
            <w:pPr>
              <w:jc w:val="right"/>
              <w:rPr>
                <w:rFonts w:ascii="宋体" w:hAnsi="宋体"/>
                <w:szCs w:val="21"/>
              </w:rPr>
            </w:pPr>
            <w:r w:rsidRPr="00C11FF9">
              <w:rPr>
                <w:rFonts w:ascii="宋体" w:hAnsi="宋体"/>
                <w:szCs w:val="21"/>
              </w:rPr>
              <w:t>-</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194046">
            <w:pPr>
              <w:jc w:val="right"/>
              <w:rPr>
                <w:rFonts w:ascii="宋体" w:hAnsi="宋体"/>
                <w:szCs w:val="21"/>
              </w:rPr>
            </w:pPr>
            <w:r w:rsidRPr="00C11FF9">
              <w:rPr>
                <w:rFonts w:ascii="宋体" w:hAnsi="宋体"/>
                <w:szCs w:val="21"/>
              </w:rPr>
              <w:t>752,707.53</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194046">
            <w:pPr>
              <w:jc w:val="right"/>
              <w:rPr>
                <w:rFonts w:ascii="宋体" w:hAnsi="宋体"/>
                <w:szCs w:val="21"/>
              </w:rPr>
            </w:pPr>
            <w:r w:rsidRPr="00C11FF9">
              <w:rPr>
                <w:rFonts w:ascii="宋体" w:hAnsi="宋体"/>
                <w:szCs w:val="21"/>
              </w:rPr>
              <w:t>752,707.53</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三、本期基金份额交易产生的基金净值变动数</w:t>
            </w:r>
          </w:p>
          <w:p w:rsidRPr="00C11FF9" w:rsidR="00497428" w:rsidP="00E355CC" w:rsidRDefault="00497428">
            <w:pPr>
              <w:rPr>
                <w:rFonts w:ascii="宋体" w:hAnsi="宋体"/>
                <w:szCs w:val="21"/>
              </w:rPr>
            </w:pPr>
            <w:r w:rsidRPr="00C11FF9">
              <w:rPr>
                <w:rFonts w:hint="eastAsia" w:ascii="宋体" w:hAnsi="宋体"/>
                <w:szCs w:val="21"/>
              </w:rPr>
              <w:t>（</w:t>
            </w:r>
            <w:r w:rsidRPr="00C11FF9" w:rsidR="00D975FE">
              <w:rPr>
                <w:rFonts w:hint="eastAsia" w:ascii="宋体" w:hAnsi="宋体"/>
                <w:szCs w:val="21"/>
              </w:rPr>
              <w:t>净值</w:t>
            </w:r>
            <w:r w:rsidRPr="00C11FF9">
              <w:rPr>
                <w:rFonts w:hint="eastAsia" w:ascii="宋体" w:hAnsi="宋体"/>
                <w:szCs w:val="21"/>
              </w:rPr>
              <w:t>减少以“-”号填列）</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-564,346.51</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141,002.12</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-423,344.39</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其中：1.基金申购款</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171,311.15</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-47,477.10</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123,834.05</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C11FF9" w:rsidRDefault="00497428">
            <w:pPr>
              <w:ind w:firstLine="630" w:firstLineChars="300"/>
              <w:rPr>
                <w:rFonts w:ascii="宋体" w:hAnsi="宋体"/>
                <w:szCs w:val="21"/>
              </w:rPr>
            </w:pPr>
            <w:r w:rsidRPr="00C11FF9">
              <w:rPr>
                <w:rFonts w:hint="eastAsia" w:ascii="宋体" w:hAnsi="宋体"/>
                <w:szCs w:val="21"/>
              </w:rPr>
              <w:t>2.基金赎回款</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-735,657.66</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188,479.22</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-547,178.44</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四、本期向基金份额持有人分配利润产生的基金净值变动（净值减少以“-”号填列）</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五、期末所有者权益（基金净值）</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12,614,320.85</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-3,085,413.86</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9,528,906.99</w:t>
            </w:r>
          </w:p>
        </w:tc>
      </w:tr>
      <w:tr w:rsidRPr="00C11FF9" w:rsidR="00497428">
        <w:trPr>
          <w:trHeight w:val="157"/>
        </w:trPr>
        <w:tc>
          <w:tcPr>
            <w:tcW w:w="1842" w:type="pct"/>
            <w:vMerge w:val="restar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ind w:right="480"/>
              <w:jc w:val="center"/>
              <w:rPr>
                <w:rFonts w:ascii="宋体" w:hAnsi="宋体"/>
                <w:szCs w:val="21"/>
              </w:rPr>
            </w:pPr>
            <w:r w:rsidRPr="00C11FF9">
              <w:rPr>
                <w:rFonts w:hint="eastAsia" w:ascii="宋体" w:hAnsi="宋体"/>
                <w:b/>
                <w:szCs w:val="21"/>
              </w:rPr>
              <w:t>项目</w:t>
            </w:r>
          </w:p>
        </w:tc>
        <w:tc>
          <w:tcPr>
            <w:tcW w:w="3158" w:type="pct"/>
            <w:gridSpan w:val="3"/>
            <w:tcBorders>
              <w:top w:val="single" w:color="auto" w:sz="4" w:space="0"/>
              <w:left w:val="single" w:color="auto" w:sz="4" w:space="0"/>
              <w:bottom w:val="single" w:color="auto" w:sz="4" w:space="0"/>
              <w:right w:val="single" w:color="auto" w:sz="4" w:space="0"/>
            </w:tcBorders>
            <w:vAlign w:val="center"/>
          </w:tcPr>
          <w:p w:rsidRPr="00C11FF9" w:rsidR="007F1142" w:rsidP="00E355CC" w:rsidRDefault="00497428">
            <w:pPr>
              <w:jc w:val="center"/>
              <w:rPr>
                <w:rFonts w:ascii="宋体" w:hAnsi="宋体"/>
                <w:b/>
                <w:szCs w:val="21"/>
              </w:rPr>
            </w:pPr>
            <w:r w:rsidRPr="00C11FF9">
              <w:rPr>
                <w:rFonts w:hint="eastAsia" w:ascii="宋体" w:hAnsi="宋体"/>
                <w:b/>
                <w:szCs w:val="21"/>
              </w:rPr>
              <w:t>上年度可比期间</w:t>
            </w:r>
          </w:p>
          <w:p w:rsidRPr="00C11FF9" w:rsidR="00497428" w:rsidP="006748AA" w:rsidRDefault="007F1142">
            <w:pPr>
              <w:jc w:val="center"/>
              <w:rPr>
                <w:rFonts w:ascii="宋体" w:hAnsi="宋体"/>
                <w:b/>
                <w:szCs w:val="21"/>
              </w:rPr>
            </w:pPr>
            <w:r w:rsidRPr="00C11FF9">
              <w:rPr>
                <w:rFonts w:hint="eastAsia" w:ascii="宋体" w:hAnsi="宋体"/>
                <w:szCs w:val="21"/>
              </w:rPr>
              <w:t>（</w:t>
            </w:r>
            <w:r w:rsidR="006748AA">
              <w:rPr>
                <w:rFonts w:hint="eastAsia" w:ascii="宋体" w:hAnsi="宋体"/>
                <w:szCs w:val="21"/>
              </w:rPr>
              <w:t>2018年01月01日</w:t>
            </w:r>
            <w:r w:rsidRPr="00C11FF9">
              <w:rPr>
                <w:rFonts w:hint="eastAsia" w:ascii="宋体" w:hAnsi="宋体"/>
                <w:szCs w:val="21"/>
              </w:rPr>
              <w:t>至</w:t>
            </w:r>
            <w:r w:rsidR="006748AA">
              <w:rPr>
                <w:rFonts w:hint="eastAsia" w:ascii="宋体" w:hAnsi="宋体"/>
                <w:szCs w:val="21"/>
              </w:rPr>
              <w:t>2018年06月30日</w:t>
            </w:r>
            <w:r w:rsidRPr="00C11FF9">
              <w:rPr>
                <w:rFonts w:hint="eastAsia" w:ascii="宋体" w:hAnsi="宋体"/>
                <w:szCs w:val="21"/>
              </w:rPr>
              <w:t>）</w:t>
            </w:r>
          </w:p>
        </w:tc>
      </w:tr>
      <w:tr w:rsidRPr="00C11FF9" w:rsidR="00497428">
        <w:trPr>
          <w:trHeight w:val="157"/>
        </w:trPr>
        <w:tc>
          <w:tcPr>
            <w:tcW w:w="1842" w:type="pct"/>
            <w:vMerge/>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widowControl/>
              <w:jc w:val="left"/>
              <w:rPr>
                <w:rFonts w:ascii="宋体" w:hAnsi="宋体"/>
                <w:szCs w:val="21"/>
              </w:rPr>
            </w:pP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jc w:val="center"/>
              <w:rPr>
                <w:rFonts w:ascii="宋体" w:hAnsi="宋体"/>
                <w:b/>
                <w:szCs w:val="21"/>
              </w:rPr>
            </w:pPr>
            <w:r w:rsidRPr="00C11FF9">
              <w:rPr>
                <w:rFonts w:hint="eastAsia" w:ascii="宋体" w:hAnsi="宋体"/>
                <w:b/>
                <w:szCs w:val="21"/>
              </w:rPr>
              <w:t>实收基金</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jc w:val="center"/>
              <w:rPr>
                <w:rFonts w:ascii="宋体" w:hAnsi="宋体"/>
                <w:b/>
                <w:szCs w:val="21"/>
              </w:rPr>
            </w:pPr>
            <w:r w:rsidRPr="00C11FF9">
              <w:rPr>
                <w:rFonts w:hint="eastAsia" w:ascii="宋体" w:hAnsi="宋体"/>
                <w:b/>
                <w:szCs w:val="21"/>
              </w:rPr>
              <w:t>未分配利润</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jc w:val="center"/>
              <w:rPr>
                <w:rFonts w:ascii="宋体" w:hAnsi="宋体"/>
                <w:b/>
                <w:szCs w:val="21"/>
              </w:rPr>
            </w:pPr>
            <w:r w:rsidRPr="00C11FF9">
              <w:rPr>
                <w:rFonts w:hint="eastAsia" w:ascii="宋体" w:hAnsi="宋体"/>
                <w:b/>
                <w:szCs w:val="21"/>
              </w:rPr>
              <w:t>所有者权益合计</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一、期初所有者权益（基金净值）</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16,624,082.17</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-2,505,830.19</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14,118,251.98</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二、本期经营活动产生的基金净值变动数（本期利润）</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-1,376,825.48</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-1,376,825.48</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三、本期基金份额交易产生的基金净值变动数</w:t>
            </w:r>
          </w:p>
          <w:p w:rsidRPr="00C11FF9" w:rsidR="00497428" w:rsidP="00E355CC" w:rsidRDefault="00497428">
            <w:pPr>
              <w:rPr>
                <w:rFonts w:ascii="宋体" w:hAnsi="宋体"/>
                <w:szCs w:val="21"/>
              </w:rPr>
            </w:pPr>
            <w:r w:rsidRPr="00C11FF9">
              <w:rPr>
                <w:rFonts w:hint="eastAsia" w:ascii="宋体" w:hAnsi="宋体"/>
                <w:szCs w:val="21"/>
              </w:rPr>
              <w:t>（</w:t>
            </w:r>
            <w:r w:rsidRPr="00C11FF9" w:rsidR="00D975FE">
              <w:rPr>
                <w:rFonts w:hint="eastAsia" w:ascii="宋体" w:hAnsi="宋体"/>
                <w:szCs w:val="21"/>
              </w:rPr>
              <w:t>净值</w:t>
            </w:r>
            <w:r w:rsidRPr="00C11FF9">
              <w:rPr>
                <w:rFonts w:hint="eastAsia" w:ascii="宋体" w:hAnsi="宋体"/>
                <w:szCs w:val="21"/>
              </w:rPr>
              <w:t>减少以“-”号填列）</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-2,067,852.93</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264,827.03</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-1,803,025.90</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其中：1.基金申购款</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596,327.05</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-107,068.34</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489,258.71</w:t>
            </w:r>
          </w:p>
        </w:tc>
      </w:tr>
      <w:tr w:rsidRPr="00C11FF9" w:rsidR="00497428">
        <w:trPr>
          <w:trHeight w:val="157"/>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C11FF9" w:rsidRDefault="00497428">
            <w:pPr>
              <w:ind w:firstLine="630" w:firstLineChars="300"/>
              <w:rPr>
                <w:rFonts w:ascii="宋体" w:hAnsi="宋体"/>
                <w:szCs w:val="21"/>
              </w:rPr>
            </w:pPr>
            <w:r w:rsidRPr="00C11FF9">
              <w:rPr>
                <w:rFonts w:hint="eastAsia" w:ascii="宋体" w:hAnsi="宋体"/>
                <w:szCs w:val="21"/>
              </w:rPr>
              <w:t>2.基金赎回款</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-2,664,179.98</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3E030D">
            <w:pPr>
              <w:jc w:val="right"/>
              <w:rPr>
                <w:rFonts w:ascii="宋体" w:hAnsi="宋体"/>
                <w:szCs w:val="21"/>
              </w:rPr>
            </w:pPr>
            <w:r w:rsidRPr="00C11FF9">
              <w:rPr>
                <w:rFonts w:ascii="宋体" w:hAnsi="宋体"/>
                <w:szCs w:val="21"/>
              </w:rPr>
              <w:t>371,895.37</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3E030D">
            <w:pPr>
              <w:jc w:val="right"/>
              <w:rPr>
                <w:rFonts w:ascii="宋体" w:hAnsi="宋体"/>
                <w:szCs w:val="21"/>
              </w:rPr>
            </w:pPr>
            <w:r w:rsidRPr="00C11FF9">
              <w:rPr>
                <w:rFonts w:ascii="宋体" w:hAnsi="宋体"/>
                <w:szCs w:val="21"/>
              </w:rPr>
              <w:t>-2,292,284.61</w:t>
            </w:r>
          </w:p>
        </w:tc>
      </w:tr>
      <w:tr w:rsidRPr="00C11FF9" w:rsidR="00497428" w:rsidTr="006345AB">
        <w:trPr>
          <w:trHeight w:val="920"/>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497428">
            <w:pPr>
              <w:rPr>
                <w:rFonts w:ascii="宋体" w:hAnsi="宋体"/>
                <w:szCs w:val="21"/>
              </w:rPr>
            </w:pPr>
            <w:r w:rsidRPr="00C11FF9">
              <w:rPr>
                <w:rFonts w:hint="eastAsia" w:ascii="宋体" w:hAnsi="宋体"/>
                <w:szCs w:val="21"/>
              </w:rPr>
              <w:t>四、本期向基金份额持有人分配利润产生的基金净值变动（净值减少以“-”号填列）</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A66ABA">
            <w:pPr>
              <w:jc w:val="right"/>
              <w:rPr>
                <w:rFonts w:ascii="宋体" w:hAnsi="宋体"/>
                <w:szCs w:val="21"/>
              </w:rPr>
            </w:pPr>
            <w:r w:rsidRPr="00C11FF9">
              <w:rPr>
                <w:rFonts w:ascii="宋体" w:hAnsi="宋体"/>
                <w:szCs w:val="21"/>
              </w:rPr>
              <w:t>-</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A66ABA">
            <w:pPr>
              <w:jc w:val="right"/>
              <w:rPr>
                <w:rFonts w:ascii="宋体" w:hAnsi="宋体"/>
                <w:szCs w:val="21"/>
              </w:rPr>
            </w:pPr>
            <w:r w:rsidRPr="00C11FF9">
              <w:rPr>
                <w:rFonts w:ascii="宋体" w:hAnsi="宋体"/>
                <w:szCs w:val="21"/>
              </w:rPr>
              <w:t>-</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A66ABA">
            <w:pPr>
              <w:jc w:val="right"/>
              <w:rPr>
                <w:rFonts w:ascii="宋体" w:hAnsi="宋体"/>
                <w:szCs w:val="21"/>
              </w:rPr>
            </w:pPr>
            <w:r w:rsidRPr="00C11FF9">
              <w:rPr>
                <w:rFonts w:ascii="宋体" w:hAnsi="宋体"/>
                <w:szCs w:val="21"/>
              </w:rPr>
              <w:t>-</w:t>
            </w:r>
          </w:p>
        </w:tc>
      </w:tr>
      <w:tr w:rsidRPr="00C11FF9" w:rsidR="00497428" w:rsidTr="006345AB">
        <w:trPr>
          <w:trHeight w:val="395"/>
        </w:trPr>
        <w:tc>
          <w:tcPr>
            <w:tcW w:w="1842" w:type="pct"/>
            <w:tcBorders>
              <w:top w:val="single" w:color="auto" w:sz="4" w:space="0"/>
              <w:left w:val="single" w:color="auto" w:sz="4" w:space="0"/>
              <w:bottom w:val="single" w:color="auto" w:sz="4" w:space="0"/>
              <w:right w:val="single" w:color="auto" w:sz="4" w:space="0"/>
            </w:tcBorders>
            <w:vAlign w:val="center"/>
          </w:tcPr>
          <w:p w:rsidRPr="00C11FF9" w:rsidR="00497428" w:rsidP="006345AB" w:rsidRDefault="00497428">
            <w:pPr>
              <w:jc w:val="left"/>
              <w:rPr>
                <w:rFonts w:ascii="宋体" w:hAnsi="宋体"/>
                <w:szCs w:val="21"/>
              </w:rPr>
            </w:pPr>
            <w:r w:rsidRPr="00C11FF9">
              <w:rPr>
                <w:rFonts w:hint="eastAsia" w:ascii="宋体" w:hAnsi="宋体"/>
                <w:szCs w:val="21"/>
              </w:rPr>
              <w:t>五、期末所有者权益（基金净值）</w:t>
            </w:r>
          </w:p>
        </w:tc>
        <w:tc>
          <w:tcPr>
            <w:tcW w:w="1222"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A66ABA">
            <w:pPr>
              <w:jc w:val="right"/>
              <w:rPr>
                <w:rFonts w:ascii="宋体" w:hAnsi="宋体"/>
                <w:szCs w:val="21"/>
              </w:rPr>
            </w:pPr>
            <w:r w:rsidRPr="00C11FF9">
              <w:rPr>
                <w:rFonts w:ascii="宋体" w:hAnsi="宋体"/>
                <w:szCs w:val="21"/>
              </w:rPr>
              <w:t>14,556,229.24</w:t>
            </w:r>
          </w:p>
        </w:tc>
        <w:tc>
          <w:tcPr>
            <w:tcW w:w="988" w:type="pct"/>
            <w:tcBorders>
              <w:top w:val="single" w:color="auto" w:sz="4" w:space="0"/>
              <w:left w:val="single" w:color="auto" w:sz="4" w:space="0"/>
              <w:bottom w:val="single" w:color="auto" w:sz="4" w:space="0"/>
              <w:right w:val="single" w:color="auto" w:sz="4" w:space="0"/>
            </w:tcBorders>
            <w:vAlign w:val="center"/>
          </w:tcPr>
          <w:p w:rsidRPr="00C11FF9" w:rsidR="00497428" w:rsidP="00E355CC" w:rsidRDefault="00A66ABA">
            <w:pPr>
              <w:jc w:val="right"/>
              <w:rPr>
                <w:rFonts w:ascii="宋体" w:hAnsi="宋体"/>
                <w:szCs w:val="21"/>
              </w:rPr>
            </w:pPr>
            <w:r w:rsidRPr="00C11FF9">
              <w:rPr>
                <w:rFonts w:ascii="宋体" w:hAnsi="宋体"/>
                <w:szCs w:val="21"/>
              </w:rPr>
              <w:t>-3,617,828.64</w:t>
            </w:r>
          </w:p>
        </w:tc>
        <w:tc>
          <w:tcPr>
            <w:tcW w:w="948" w:type="pct"/>
            <w:tcBorders>
              <w:top w:val="single" w:color="auto" w:sz="4" w:space="0"/>
              <w:left w:val="single" w:color="auto" w:sz="4" w:space="0"/>
              <w:bottom w:val="single" w:color="auto" w:sz="4" w:space="0"/>
              <w:right w:val="single" w:color="auto" w:sz="4" w:space="0"/>
            </w:tcBorders>
            <w:vAlign w:val="center"/>
          </w:tcPr>
          <w:p w:rsidRPr="00C11FF9" w:rsidR="00497428" w:rsidP="00E962F1" w:rsidRDefault="00A66ABA">
            <w:pPr>
              <w:jc w:val="right"/>
              <w:rPr>
                <w:rFonts w:ascii="宋体" w:hAnsi="宋体"/>
                <w:szCs w:val="21"/>
              </w:rPr>
            </w:pPr>
            <w:r w:rsidRPr="00C11FF9">
              <w:rPr>
                <w:rFonts w:ascii="宋体" w:hAnsi="宋体"/>
                <w:szCs w:val="21"/>
              </w:rPr>
              <w:t>10,938,400.60</w:t>
            </w:r>
          </w:p>
        </w:tc>
      </w:tr>
    </w:tbl>
    <w:p w:rsidRPr="00C11FF9" w:rsidR="00A66ABA" w:rsidP="00436940" w:rsidRDefault="00A66ABA">
      <w:pPr>
        <w:ind w:right="480" w:firstLine="420" w:firstLineChars="200"/>
        <w:rPr>
          <w:rFonts w:ascii="宋体" w:hAnsi="宋体"/>
          <w:szCs w:val="21"/>
        </w:rPr>
      </w:pPr>
      <w:r w:rsidRPr="00C11FF9">
        <w:rPr>
          <w:rFonts w:ascii="宋体" w:hAnsi="宋体"/>
          <w:szCs w:val="21"/>
        </w:rPr>
        <w:t/>
      </w:r>
    </w:p>
    <w:p w:rsidRPr="00C11FF9" w:rsidR="00E355CC" w:rsidP="00E355CC" w:rsidRDefault="00E355CC">
      <w:pPr>
        <w:rPr>
          <w:rFonts w:ascii="宋体" w:hAnsi="宋体"/>
          <w:kern w:val="0"/>
          <w:szCs w:val="21"/>
        </w:rPr>
      </w:pPr>
      <w:r w:rsidRPr="00C11FF9">
        <w:rPr>
          <w:rFonts w:hint="eastAsia" w:ascii="宋体" w:hAnsi="宋体"/>
          <w:kern w:val="0"/>
          <w:szCs w:val="21"/>
        </w:rPr>
        <w:t>报表附注为财务报表的组成部分。</w:t>
      </w:r>
    </w:p>
    <w:p w:rsidRPr="00C11FF9" w:rsidR="00E355CC" w:rsidP="00E355CC" w:rsidRDefault="00E355CC">
      <w:pPr>
        <w:rPr>
          <w:rFonts w:ascii="宋体" w:hAnsi="宋体"/>
          <w:kern w:val="0"/>
          <w:szCs w:val="21"/>
        </w:rPr>
      </w:pPr>
      <w:r w:rsidRPr="00C11FF9">
        <w:rPr>
          <w:rFonts w:hint="eastAsia" w:ascii="宋体" w:hAnsi="宋体"/>
          <w:kern w:val="0"/>
          <w:szCs w:val="21"/>
        </w:rPr>
        <w:t>本报告</w:t>
      </w:r>
      <w:r w:rsidRPr="00C11FF9" w:rsidR="00E903B5">
        <w:rPr>
          <w:rFonts w:hint="eastAsia" w:ascii="宋体" w:hAnsi="宋体"/>
          <w:kern w:val="0"/>
          <w:szCs w:val="21"/>
        </w:rPr>
        <w:t>6.1</w:t>
      </w:r>
      <w:r w:rsidRPr="00C11FF9">
        <w:rPr>
          <w:rFonts w:hint="eastAsia" w:ascii="宋体" w:hAnsi="宋体"/>
          <w:kern w:val="0"/>
          <w:szCs w:val="21"/>
        </w:rPr>
        <w:t>至</w:t>
      </w:r>
      <w:r w:rsidRPr="00C11FF9" w:rsidR="00E903B5">
        <w:rPr>
          <w:rFonts w:hint="eastAsia" w:ascii="宋体" w:hAnsi="宋体"/>
          <w:kern w:val="0"/>
          <w:szCs w:val="21"/>
        </w:rPr>
        <w:t>6.4</w:t>
      </w:r>
      <w:r w:rsidRPr="00C11FF9" w:rsidR="000B12BD">
        <w:rPr>
          <w:rFonts w:hint="eastAsia" w:ascii="宋体" w:hAnsi="宋体"/>
          <w:kern w:val="0"/>
          <w:szCs w:val="21"/>
        </w:rPr>
        <w:t>财务报表由下列负责人签署:</w:t>
      </w:r>
    </w:p>
    <w:p w:rsidRPr="00C11FF9" w:rsidR="00E355CC" w:rsidP="00E355CC" w:rsidRDefault="00E903B5">
      <w:pPr>
        <w:rPr>
          <w:rFonts w:ascii="宋体" w:hAnsi="宋体"/>
          <w:kern w:val="0"/>
          <w:szCs w:val="21"/>
        </w:rPr>
      </w:pPr>
      <w:r w:rsidRPr="00C11FF9">
        <w:rPr>
          <w:rFonts w:hint="eastAsia" w:ascii="宋体" w:hAnsi="宋体"/>
          <w:kern w:val="0"/>
          <w:szCs w:val="21"/>
          <w:u w:val="single"/>
        </w:rPr>
        <w:t>唐世春</w:t>
      </w:r>
      <w:r w:rsidRPr="00C11FF9" w:rsidR="00E355CC">
        <w:rPr>
          <w:rFonts w:hint="eastAsia" w:ascii="宋体" w:hAnsi="宋体"/>
          <w:kern w:val="0"/>
          <w:szCs w:val="21"/>
        </w:rPr>
        <w:tab/>
      </w:r>
      <w:r w:rsidRPr="00C11FF9" w:rsidR="00E355CC">
        <w:rPr>
          <w:rFonts w:hint="eastAsia" w:ascii="宋体" w:hAnsi="宋体"/>
          <w:kern w:val="0"/>
          <w:szCs w:val="21"/>
        </w:rPr>
        <w:tab/>
      </w:r>
      <w:r w:rsidRPr="00C11FF9">
        <w:rPr>
          <w:rFonts w:hint="eastAsia" w:ascii="宋体" w:hAnsi="宋体"/>
          <w:kern w:val="0"/>
          <w:szCs w:val="21"/>
        </w:rPr>
        <w:t xml:space="preserve">             </w:t>
      </w:r>
      <w:r w:rsidRPr="00C11FF9">
        <w:rPr>
          <w:rFonts w:hint="eastAsia" w:ascii="宋体" w:hAnsi="宋体"/>
          <w:kern w:val="0"/>
          <w:szCs w:val="21"/>
          <w:u w:val="single"/>
        </w:rPr>
        <w:t>陈逸辛</w:t>
      </w:r>
      <w:r w:rsidRPr="00C11FF9" w:rsidR="00E355CC">
        <w:rPr>
          <w:rFonts w:hint="eastAsia" w:ascii="宋体" w:hAnsi="宋体"/>
          <w:kern w:val="0"/>
          <w:szCs w:val="21"/>
        </w:rPr>
        <w:tab/>
      </w:r>
      <w:r w:rsidRPr="00C11FF9" w:rsidR="00E355CC">
        <w:rPr>
          <w:rFonts w:hint="eastAsia" w:ascii="宋体" w:hAnsi="宋体"/>
          <w:kern w:val="0"/>
          <w:szCs w:val="21"/>
        </w:rPr>
        <w:tab/>
      </w:r>
      <w:r w:rsidRPr="00C11FF9" w:rsidR="00E355CC">
        <w:rPr>
          <w:rFonts w:hint="eastAsia" w:ascii="宋体" w:hAnsi="宋体"/>
          <w:kern w:val="0"/>
          <w:szCs w:val="21"/>
        </w:rPr>
        <w:tab/>
      </w:r>
      <w:r w:rsidRPr="00C11FF9">
        <w:rPr>
          <w:rFonts w:hint="eastAsia" w:ascii="宋体" w:hAnsi="宋体"/>
          <w:kern w:val="0"/>
          <w:szCs w:val="21"/>
        </w:rPr>
        <w:t xml:space="preserve">            </w:t>
      </w:r>
      <w:r w:rsidRPr="00C11FF9">
        <w:rPr>
          <w:rFonts w:hint="eastAsia" w:ascii="宋体" w:hAnsi="宋体"/>
          <w:kern w:val="0"/>
          <w:szCs w:val="21"/>
          <w:u w:val="single"/>
        </w:rPr>
        <w:t>刘卓</w:t>
      </w:r>
    </w:p>
    <w:p w:rsidRPr="00C11FF9" w:rsidR="00E355CC" w:rsidP="00E355CC" w:rsidRDefault="00E355CC">
      <w:pPr>
        <w:rPr>
          <w:rFonts w:ascii="宋体" w:hAnsi="宋体"/>
          <w:kern w:val="0"/>
          <w:szCs w:val="21"/>
        </w:rPr>
      </w:pPr>
      <w:r w:rsidRPr="00C11FF9">
        <w:rPr>
          <w:rFonts w:hint="eastAsia"/>
          <w:szCs w:val="21"/>
        </w:rPr>
        <w:t>基金管理</w:t>
      </w:r>
      <w:r w:rsidRPr="00C11FF9" w:rsidR="00A47CAE">
        <w:rPr>
          <w:rFonts w:hint="eastAsia"/>
          <w:szCs w:val="21"/>
        </w:rPr>
        <w:t>人</w:t>
      </w:r>
      <w:r w:rsidRPr="00C11FF9">
        <w:rPr>
          <w:rFonts w:hint="eastAsia"/>
          <w:szCs w:val="21"/>
        </w:rPr>
        <w:t>负责人</w:t>
      </w:r>
      <w:r w:rsidRPr="00C11FF9" w:rsidR="007D3A2B">
        <w:rPr>
          <w:szCs w:val="21"/>
        </w:rPr>
        <w:tab/>
      </w:r>
      <w:r w:rsidRPr="00C11FF9">
        <w:rPr>
          <w:rFonts w:hint="eastAsia"/>
          <w:szCs w:val="21"/>
        </w:rPr>
        <w:t>主管会计工作负责人</w:t>
      </w:r>
      <w:r w:rsidRPr="00C11FF9">
        <w:rPr>
          <w:szCs w:val="21"/>
        </w:rPr>
        <w:t xml:space="preserve">  </w:t>
      </w:r>
      <w:r w:rsidRPr="00C11FF9">
        <w:rPr>
          <w:szCs w:val="21"/>
        </w:rPr>
        <w:tab/>
      </w:r>
      <w:r w:rsidRPr="00C11FF9">
        <w:rPr>
          <w:szCs w:val="21"/>
        </w:rPr>
        <w:tab/>
      </w:r>
      <w:r w:rsidRPr="00C11FF9">
        <w:rPr>
          <w:rFonts w:hint="eastAsia"/>
          <w:szCs w:val="21"/>
        </w:rPr>
        <w:t>会计机构负责人</w:t>
      </w:r>
    </w:p>
    <w:p w:rsidRPr="00C11FF9" w:rsidR="00976D25" w:rsidP="00E50060" w:rsidRDefault="00976D25">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报表附注</w:t>
      </w:r>
    </w:p>
    <w:p w:rsidRPr="00C11FF9" w:rsidR="00976D25" w:rsidP="003B4CEC" w:rsidRDefault="00976D25">
      <w:pPr>
        <w:numPr>
          <w:ilvl w:val="2"/>
          <w:numId w:val="1"/>
        </w:numPr>
        <w:ind w:left="713" w:hanging="713" w:hangingChars="338"/>
        <w:outlineLvl w:val="2"/>
        <w:rPr>
          <w:rFonts w:ascii="宋体" w:hAnsi="宋体"/>
          <w:b/>
          <w:szCs w:val="21"/>
        </w:rPr>
      </w:pPr>
      <w:r w:rsidRPr="00C11FF9">
        <w:rPr>
          <w:rFonts w:hint="eastAsia" w:ascii="宋体" w:hAnsi="宋体"/>
          <w:b/>
          <w:szCs w:val="21"/>
        </w:rPr>
        <w:t>基金基本情况</w:t>
      </w:r>
    </w:p>
    <w:p w:rsidRPr="00C11FF9" w:rsidR="00A66ABA" w:rsidP="00436940" w:rsidRDefault="00A66ABA">
      <w:pPr>
        <w:ind w:right="480" w:firstLine="420" w:firstLineChars="200"/>
        <w:rPr>
          <w:rFonts w:ascii="宋体" w:hAnsi="宋体"/>
          <w:szCs w:val="21"/>
        </w:rPr>
      </w:pPr>
      <w:r w:rsidRPr="00C11FF9">
        <w:rPr>
          <w:rFonts w:ascii="宋体" w:hAnsi="宋体"/>
          <w:szCs w:val="21"/>
        </w:rPr>
        <w:t>信诚金砖四国积极配置证券投资基金(LOF) (以下简称“本基金”) 经中国证券监督管理委员会(以下简称“中国证监会”)《关于核准信诚金砖四国积极配置证券投资基金(LOF) 募集的批复》(证监许可[2010] 1217号文) 批准，由中信保诚基金管理有限公司(原“信诚基金管理有限公司”) 依照《中华人民共和国证券投资基金法》等相关法规和《信诚金砖四国积极配置证券投资基金(LOF) 基金合同》发售，基金合同于2010年12月17日生效。本基金为契约型开放式，存续期限不定，首次设立募集资金总额人民币399,198,154.16元。上述募集资金已由会计师事务所验证，并出具了验资报告。本基金的基金管理人为中信保诚基金管理有限公司，基金托管人为中国银行股份有限公司(以下简称“中国银行”) 。本基金的境外资产托管人为中国银行(香港) 有限公司(以下简称“中银香港”) 。</w:t>
      </w:r>
    </w:p>
    <w:p w:rsidRPr="00C11FF9" w:rsidR="00A66ABA" w:rsidP="00436940" w:rsidRDefault="00A66ABA">
      <w:pPr>
        <w:ind w:right="480" w:firstLine="420" w:firstLineChars="200"/>
        <w:rPr>
          <w:rFonts w:ascii="宋体" w:hAnsi="宋体"/>
          <w:szCs w:val="21"/>
        </w:rPr>
      </w:pPr>
      <w:r w:rsidRPr="00C11FF9">
        <w:rPr>
          <w:rFonts w:ascii="宋体" w:hAnsi="宋体"/>
          <w:szCs w:val="21"/>
        </w:rPr>
        <w:t>根据中信保诚基金管理有限公司于 2017 年 12 月 20 日发布的《中信保诚基金管理有限公司关于公司名称变更的函》,经中华人民共和国国家工商行政管理总局核准,公司名称由“信诚基金管理有限公司”变更为“中信保诚基金管理有限公司”,并由上海市工商行政管理局于 2017 年 12 月 18 日核发新的营业执照。</w:t>
      </w:r>
    </w:p>
    <w:p w:rsidRPr="00C11FF9" w:rsidR="00A66ABA" w:rsidP="00436940" w:rsidRDefault="00A66ABA">
      <w:pPr>
        <w:ind w:right="480" w:firstLine="420" w:firstLineChars="200"/>
        <w:rPr>
          <w:rFonts w:ascii="宋体" w:hAnsi="宋体"/>
          <w:szCs w:val="21"/>
        </w:rPr>
      </w:pPr>
      <w:r w:rsidRPr="00C11FF9">
        <w:rPr>
          <w:rFonts w:ascii="宋体" w:hAnsi="宋体"/>
          <w:szCs w:val="21"/>
        </w:rPr>
        <w:t>经深圳证券交易所(以下简称“深交所”) 深证上字[2011] 第22号文审核同意，本基金14,891,642份基金份额于2011年1月20日在深交所挂牌交易。未上市交易的基金份额托管在场外，基金份额持有人可通过跨系统转托管业务将其转至深交所场内后即可上市流通。</w:t>
      </w:r>
    </w:p>
    <w:p w:rsidRPr="00C11FF9" w:rsidR="00A66ABA" w:rsidP="00436940" w:rsidRDefault="00A66ABA">
      <w:pPr>
        <w:ind w:right="480" w:firstLine="420" w:firstLineChars="200"/>
        <w:rPr>
          <w:rFonts w:ascii="宋体" w:hAnsi="宋体"/>
          <w:szCs w:val="21"/>
        </w:rPr>
      </w:pPr>
      <w:r w:rsidRPr="00C11FF9">
        <w:rPr>
          <w:rFonts w:ascii="宋体" w:hAnsi="宋体"/>
          <w:szCs w:val="21"/>
        </w:rPr>
        <w:t>根据《中华人民共和国证券投资基金法》及其配套规则、《信诚金砖四国积极配置证券投资基金(LOF) 基金合同》和《信诚金砖四国积极配置证券投资基金(LOF) 招募说明书》的有关规定，本基金可投资于下列金融产品及工具：交易型开放式指数基金(以下简称“ETF”)；普通股、优先股、全球存托凭证和美国存托凭证、房地产信托凭证；政府债券、公司债券、可转换债券、住房按揭支持证券、资产支持证券及经中国证监会认可的国际金融组织发行的证券；银行存款、可转让存单、银行承兑汇票、银行票据、商业票据、回购协议、短期政府债券等货币市场工具；金融衍生产品、结构性投资产品以及中国证监会允许基金投资的其他金融工具。如法律法规或监管机构以后允许基金投资的其他品种，基金管理人在履行适当程序后，可以将其纳入投资范围。</w:t>
      </w:r>
    </w:p>
    <w:p w:rsidRPr="00C11FF9" w:rsidR="00A66ABA" w:rsidP="00436940" w:rsidRDefault="00A66ABA">
      <w:pPr>
        <w:ind w:right="480" w:firstLine="420" w:firstLineChars="200"/>
        <w:rPr>
          <w:rFonts w:ascii="宋体" w:hAnsi="宋体"/>
          <w:szCs w:val="21"/>
        </w:rPr>
      </w:pPr>
      <w:r w:rsidRPr="00C11FF9">
        <w:rPr>
          <w:rFonts w:ascii="宋体" w:hAnsi="宋体"/>
          <w:szCs w:val="21"/>
        </w:rPr>
        <w:t>本基金定义的“金砖四国”是指巴西、俄罗斯、印度、中国(含香港) 。本基金主要投资于“金砖四国”相关的金融资产，包括以“金砖四国”至少一国/地区为主要投资范围的ETF以及两类上市公司的股票：(1) 在“金砖四国”登记注册的企业，(2) 主营业务收入主要来自于“金砖四国”的企业。本基金投资上述“金砖四国”相关的金融资产的比例不低于基金权益类资产的80%，其余不高于20%的权益类资产可投资于非符合本基金定义的“金砖四国”相关金融资产。本基金投资于ETF的比例不低于基金资产的60%，且本基金所投资的ETF应在与中国证监会签署双边管辖合作谅解备忘录的国家或地区证券监管机构登记注册。本基金投资于权益类资产的比例不低于基金资产的60% 。本基金持有现金或到期日在一年内的政府债券不低于基金资产净值的5%，其中现金不包括结算备付金、存出保证金、应收申购款等。本基金的业绩比较基准为标准普尔金砖四国(含香港) 市场指数(总回报) 。</w:t>
      </w:r>
    </w:p>
    <w:p w:rsidRPr="00C11FF9" w:rsidR="00A66ABA" w:rsidP="00436940" w:rsidRDefault="00A66ABA">
      <w:pPr>
        <w:ind w:right="480" w:firstLine="420" w:firstLineChars="200"/>
        <w:rPr>
          <w:rFonts w:ascii="宋体" w:hAnsi="宋体"/>
          <w:szCs w:val="21"/>
        </w:rPr>
      </w:pPr>
      <w:r w:rsidRPr="00C11FF9">
        <w:rPr>
          <w:rFonts w:ascii="宋体" w:hAnsi="宋体"/>
          <w:szCs w:val="21"/>
        </w:rPr>
        <w:t>根据《证券投资基金信息披露管理办法》，本基金定期报告在公开披露的第二个工作日，报中国证监会和基金管理人主要办公场所所在地中国证监会派出机构备案。</w:t>
      </w:r>
    </w:p>
    <w:p w:rsidRPr="00C11FF9" w:rsidR="00976D25" w:rsidP="003B4CEC" w:rsidRDefault="00976D25">
      <w:pPr>
        <w:numPr>
          <w:ilvl w:val="2"/>
          <w:numId w:val="1"/>
        </w:numPr>
        <w:ind w:left="713" w:hanging="713" w:hangingChars="338"/>
        <w:outlineLvl w:val="2"/>
        <w:rPr>
          <w:rFonts w:ascii="宋体" w:hAnsi="宋体"/>
          <w:b/>
          <w:szCs w:val="21"/>
        </w:rPr>
      </w:pPr>
      <w:r w:rsidRPr="003B4CEC">
        <w:rPr>
          <w:rFonts w:hint="eastAsia" w:ascii="宋体" w:hAnsi="宋体"/>
          <w:b/>
          <w:szCs w:val="21"/>
        </w:rPr>
        <w:t>会计报表</w:t>
      </w:r>
      <w:r w:rsidRPr="00C11FF9">
        <w:rPr>
          <w:rFonts w:hint="eastAsia" w:ascii="宋体" w:hAnsi="宋体"/>
          <w:b/>
          <w:szCs w:val="21"/>
        </w:rPr>
        <w:t>的编制基础</w:t>
      </w:r>
    </w:p>
    <w:p w:rsidRPr="00C11FF9" w:rsidR="00A66ABA" w:rsidP="00436940" w:rsidRDefault="00A66ABA">
      <w:pPr>
        <w:ind w:right="480" w:firstLine="420" w:firstLineChars="200"/>
        <w:rPr>
          <w:rFonts w:ascii="宋体" w:hAnsi="宋体"/>
          <w:szCs w:val="21"/>
        </w:rPr>
      </w:pPr>
      <w:r w:rsidRPr="00C11FF9">
        <w:rPr>
          <w:rFonts w:ascii="宋体" w:hAnsi="宋体"/>
          <w:szCs w:val="21"/>
        </w:rPr>
        <w:t>本基金以持续经营为基础。本财务报表符合中华人民共和国财政部(以下简称“财政部”)颁布的企业会计准则的要求，同时亦按照中国证监会颁布的《证券投资基金信息披露XBRL模板第3号&lt;年度报告和半年度报告&gt;》以及中国证券投资基金业协会于2012年11月16日颁布的《证券投资基金会计核算业务指引》编制财务报表。</w:t>
      </w:r>
    </w:p>
    <w:p w:rsidRPr="00C11FF9" w:rsidR="00976D25" w:rsidP="003B4CEC" w:rsidRDefault="00976D25">
      <w:pPr>
        <w:numPr>
          <w:ilvl w:val="2"/>
          <w:numId w:val="1"/>
        </w:numPr>
        <w:ind w:left="713" w:hanging="713" w:hangingChars="338"/>
        <w:outlineLvl w:val="2"/>
        <w:rPr>
          <w:rFonts w:ascii="宋体" w:hAnsi="宋体"/>
          <w:b/>
          <w:szCs w:val="21"/>
        </w:rPr>
      </w:pPr>
      <w:r w:rsidRPr="003B4CEC">
        <w:rPr>
          <w:rFonts w:hint="eastAsia" w:ascii="宋体" w:hAnsi="宋体"/>
          <w:b/>
          <w:szCs w:val="21"/>
        </w:rPr>
        <w:t>遵循</w:t>
      </w:r>
      <w:r w:rsidRPr="00C11FF9">
        <w:rPr>
          <w:rFonts w:hint="eastAsia" w:ascii="宋体" w:hAnsi="宋体"/>
          <w:b/>
          <w:szCs w:val="21"/>
        </w:rPr>
        <w:t>企业会计准则及其他有关规定的声明</w:t>
      </w:r>
    </w:p>
    <w:p w:rsidRPr="00C11FF9" w:rsidR="00A66ABA" w:rsidP="00436940" w:rsidRDefault="00A66ABA">
      <w:pPr>
        <w:ind w:right="480" w:firstLine="420" w:firstLineChars="200"/>
        <w:rPr>
          <w:rFonts w:ascii="宋体" w:hAnsi="宋体"/>
          <w:szCs w:val="21"/>
        </w:rPr>
      </w:pPr>
      <w:r w:rsidRPr="00C11FF9">
        <w:rPr>
          <w:rFonts w:ascii="宋体" w:hAnsi="宋体"/>
          <w:szCs w:val="21"/>
        </w:rPr>
        <w:lastRenderedPageBreak/>
        <w:t>本财务报表符合财政部颁布的企业会计准则及附注6.4.2中所列示的中国证监会和中国证券投资基金业协会发布的有关基金行业实务操作的规定的要求，真实、完整地反映了本基金2019年6月30日的财务状况、2019年1月1日至2019年6月30日止期间的经营成果和基金净值变动情况。</w:t>
      </w:r>
    </w:p>
    <w:p w:rsidRPr="00C11FF9" w:rsidR="00976D25" w:rsidP="00E50060" w:rsidRDefault="00976D25">
      <w:pPr>
        <w:numPr>
          <w:ilvl w:val="2"/>
          <w:numId w:val="1"/>
        </w:numPr>
        <w:ind w:left="709" w:hanging="709"/>
        <w:rPr>
          <w:rFonts w:ascii="宋体" w:hAnsi="宋体"/>
          <w:b/>
          <w:szCs w:val="21"/>
        </w:rPr>
      </w:pPr>
      <w:r w:rsidRPr="00C11FF9">
        <w:rPr>
          <w:rFonts w:hint="eastAsia" w:ascii="宋体" w:hAnsi="宋体"/>
          <w:b/>
          <w:szCs w:val="21"/>
        </w:rPr>
        <w:t>重要会计政策和会计估计</w:t>
      </w:r>
      <w:r w:rsidRPr="00C11FF9" w:rsidR="001236B5">
        <w:rPr>
          <w:rFonts w:hint="eastAsia" w:ascii="宋体" w:hAnsi="宋体"/>
          <w:b/>
          <w:szCs w:val="21"/>
        </w:rPr>
        <w:t>(本报告期所采用的会计政策、会计估计与最近一期年度报告相一致的说明)</w:t>
      </w:r>
    </w:p>
    <w:p w:rsidRPr="00C11FF9" w:rsidR="00A66ABA" w:rsidP="00436940" w:rsidRDefault="00A66ABA">
      <w:pPr>
        <w:ind w:right="480" w:firstLine="420" w:firstLineChars="200"/>
        <w:rPr>
          <w:rFonts w:ascii="宋体" w:hAnsi="宋体"/>
          <w:szCs w:val="21"/>
        </w:rPr>
      </w:pPr>
      <w:r w:rsidRPr="00C11FF9">
        <w:rPr>
          <w:rFonts w:ascii="宋体" w:hAnsi="宋体"/>
          <w:szCs w:val="21"/>
        </w:rPr>
        <w:t>本基金本报告期所采用的会计政策、会计估计除6.4.5所列变更外,与最近一期年度报告相一致。</w:t>
      </w:r>
    </w:p>
    <w:p w:rsidRPr="00C11FF9" w:rsidR="00B85DD6" w:rsidP="003B4CEC" w:rsidRDefault="00B85DD6">
      <w:pPr>
        <w:numPr>
          <w:ilvl w:val="2"/>
          <w:numId w:val="1"/>
        </w:numPr>
        <w:ind w:left="713" w:hanging="713" w:hangingChars="338"/>
        <w:outlineLvl w:val="2"/>
        <w:rPr>
          <w:rFonts w:ascii="宋体" w:hAnsi="宋体"/>
          <w:b/>
          <w:szCs w:val="21"/>
        </w:rPr>
      </w:pPr>
      <w:r w:rsidRPr="00C11FF9">
        <w:rPr>
          <w:rFonts w:hint="eastAsia" w:ascii="宋体" w:hAnsi="宋体"/>
          <w:b/>
          <w:szCs w:val="21"/>
        </w:rPr>
        <w:t>会计政策和会计估计变更以及差错更正的说明</w:t>
      </w:r>
    </w:p>
    <w:p w:rsidRPr="00C11FF9" w:rsidR="00AF3D14" w:rsidP="003B4CEC" w:rsidRDefault="00B85DD6">
      <w:pPr>
        <w:numPr>
          <w:ilvl w:val="3"/>
          <w:numId w:val="1"/>
        </w:numPr>
        <w:ind w:left="995" w:hanging="995" w:hangingChars="472"/>
        <w:outlineLvl w:val="3"/>
        <w:rPr>
          <w:rFonts w:ascii="宋体" w:hAnsi="宋体"/>
          <w:b/>
          <w:szCs w:val="21"/>
        </w:rPr>
      </w:pPr>
      <w:r w:rsidRPr="00C11FF9">
        <w:rPr>
          <w:rFonts w:hint="eastAsia" w:ascii="宋体" w:hAnsi="宋体"/>
          <w:b/>
          <w:szCs w:val="21"/>
        </w:rPr>
        <w:t>会计政策变更的说明</w:t>
      </w:r>
    </w:p>
    <w:p w:rsidRPr="00C11FF9" w:rsidR="00A66ABA" w:rsidP="00436940" w:rsidRDefault="00A66ABA">
      <w:pPr>
        <w:ind w:right="480" w:firstLine="420" w:firstLineChars="200"/>
        <w:rPr>
          <w:rFonts w:ascii="宋体" w:hAnsi="宋体"/>
          <w:szCs w:val="21"/>
        </w:rPr>
      </w:pPr>
      <w:r w:rsidRPr="00C11FF9">
        <w:rPr>
          <w:rFonts w:ascii="宋体" w:hAnsi="宋体"/>
          <w:szCs w:val="21"/>
        </w:rPr>
        <w:t>本基金本报告期未发生会计政策变更。</w:t>
      </w:r>
    </w:p>
    <w:p w:rsidRPr="003B4CEC" w:rsidR="00580DB2" w:rsidP="003B4CEC" w:rsidRDefault="00B85DD6">
      <w:pPr>
        <w:numPr>
          <w:ilvl w:val="3"/>
          <w:numId w:val="1"/>
        </w:numPr>
        <w:ind w:left="995" w:hanging="995" w:hangingChars="472"/>
        <w:outlineLvl w:val="3"/>
        <w:rPr>
          <w:rFonts w:ascii="宋体" w:hAnsi="宋体"/>
          <w:b/>
          <w:szCs w:val="21"/>
        </w:rPr>
      </w:pPr>
      <w:r w:rsidRPr="00C11FF9">
        <w:rPr>
          <w:rFonts w:hint="eastAsia" w:ascii="宋体" w:hAnsi="宋体"/>
          <w:b/>
          <w:szCs w:val="21"/>
        </w:rPr>
        <w:t>会计估计变更的说明</w:t>
      </w:r>
    </w:p>
    <w:p w:rsidRPr="00C11FF9" w:rsidR="00A66ABA" w:rsidP="00436940" w:rsidRDefault="00A66ABA">
      <w:pPr>
        <w:ind w:right="480" w:firstLine="420" w:firstLineChars="200"/>
        <w:rPr>
          <w:rFonts w:ascii="宋体" w:hAnsi="宋体"/>
          <w:szCs w:val="21"/>
        </w:rPr>
      </w:pPr>
      <w:r w:rsidRPr="00C11FF9">
        <w:rPr>
          <w:rFonts w:ascii="宋体" w:hAnsi="宋体"/>
          <w:szCs w:val="21"/>
        </w:rPr>
        <w:t>本基金本报告期未发生会计估计变更。</w:t>
      </w:r>
    </w:p>
    <w:p w:rsidRPr="003B4CEC" w:rsidR="00C658D4" w:rsidP="003B4CEC" w:rsidRDefault="00B85DD6">
      <w:pPr>
        <w:numPr>
          <w:ilvl w:val="3"/>
          <w:numId w:val="1"/>
        </w:numPr>
        <w:ind w:left="995" w:hanging="995" w:hangingChars="472"/>
        <w:outlineLvl w:val="3"/>
        <w:rPr>
          <w:rFonts w:ascii="宋体" w:hAnsi="宋体"/>
          <w:b/>
          <w:szCs w:val="21"/>
        </w:rPr>
      </w:pPr>
      <w:r w:rsidRPr="00C11FF9">
        <w:rPr>
          <w:rFonts w:hint="eastAsia" w:ascii="宋体" w:hAnsi="宋体"/>
          <w:b/>
          <w:szCs w:val="21"/>
        </w:rPr>
        <w:t>差错更正的说明</w:t>
      </w:r>
    </w:p>
    <w:p w:rsidRPr="00C11FF9" w:rsidR="00A66ABA" w:rsidP="00436940" w:rsidRDefault="00A66ABA">
      <w:pPr>
        <w:ind w:right="480" w:firstLine="420" w:firstLineChars="200"/>
        <w:rPr>
          <w:rFonts w:ascii="宋体" w:hAnsi="宋体"/>
          <w:szCs w:val="21"/>
        </w:rPr>
      </w:pPr>
      <w:r w:rsidRPr="00C11FF9">
        <w:rPr>
          <w:rFonts w:ascii="宋体" w:hAnsi="宋体"/>
          <w:szCs w:val="21"/>
        </w:rPr>
        <w:t>本基金在本报告期内无须说明的会计差错更正。</w:t>
      </w:r>
    </w:p>
    <w:p w:rsidRPr="00C11FF9" w:rsidR="00C658D4" w:rsidP="003B4CEC" w:rsidRDefault="00B85DD6">
      <w:pPr>
        <w:numPr>
          <w:ilvl w:val="2"/>
          <w:numId w:val="1"/>
        </w:numPr>
        <w:ind w:left="713" w:hanging="713" w:hangingChars="338"/>
        <w:outlineLvl w:val="2"/>
        <w:rPr>
          <w:rFonts w:ascii="宋体" w:hAnsi="宋体"/>
          <w:b/>
          <w:szCs w:val="21"/>
        </w:rPr>
      </w:pPr>
      <w:r w:rsidRPr="00C11FF9">
        <w:rPr>
          <w:rFonts w:hint="eastAsia" w:ascii="宋体" w:hAnsi="宋体"/>
          <w:b/>
          <w:szCs w:val="21"/>
        </w:rPr>
        <w:t>税项</w:t>
      </w:r>
    </w:p>
    <w:p w:rsidRPr="00C11FF9" w:rsidR="00A66ABA" w:rsidP="00436940" w:rsidRDefault="00A66ABA">
      <w:pPr>
        <w:ind w:right="480" w:firstLine="420" w:firstLineChars="200"/>
        <w:rPr>
          <w:rFonts w:ascii="宋体" w:hAnsi="宋体"/>
          <w:szCs w:val="21"/>
        </w:rPr>
      </w:pPr>
      <w:r w:rsidRPr="00C11FF9">
        <w:rPr>
          <w:rFonts w:ascii="宋体" w:hAnsi="宋体"/>
          <w:szCs w:val="21"/>
        </w:rPr>
        <w:t>根据财税[2004]78号文《关于证券投资基金税收政策的通知》、财税[2008]1号文《财政部、国家税务总局关于企业所得税若干优惠政策的通知》、财税[2016]36号文《财政部、国家税务总局关于全面推开营业税改征增值税试点的通知》财税[2016]140号文《关于明确金融、房地产开发、教育辅助服务等增值税政策的通知》、财税[2017]2号文《关于资管产品增值税政策有关问题的补充通知》、财税[2017] 56号《关于资管产品增值税有关问题的通知》及其他相关税务法规和实务操作，本基金适用的主要税项列示如下：</w:t>
      </w:r>
    </w:p>
    <w:p w:rsidRPr="00C11FF9" w:rsidR="00A66ABA" w:rsidP="00436940" w:rsidRDefault="00A66ABA">
      <w:pPr>
        <w:ind w:right="480" w:firstLine="420" w:firstLineChars="200"/>
        <w:rPr>
          <w:rFonts w:ascii="宋体" w:hAnsi="宋体"/>
          <w:szCs w:val="21"/>
        </w:rPr>
      </w:pPr>
      <w:r w:rsidRPr="00C11FF9">
        <w:rPr>
          <w:rFonts w:ascii="宋体" w:hAnsi="宋体"/>
          <w:szCs w:val="21"/>
        </w:rPr>
        <w:t>(a)	目前税收政策法规未对合格境内机构投资者（“QDII”）产品的税收处理给予特别的说明。在法规未有明确说明的情况下，参考现有的针对证券投资基金的税收法规进行处理。</w:t>
      </w:r>
    </w:p>
    <w:p w:rsidRPr="00C11FF9" w:rsidR="00A66ABA" w:rsidP="00436940" w:rsidRDefault="00A66ABA">
      <w:pPr>
        <w:ind w:right="480" w:firstLine="420" w:firstLineChars="200"/>
        <w:rPr>
          <w:rFonts w:ascii="宋体" w:hAnsi="宋体"/>
          <w:szCs w:val="21"/>
        </w:rPr>
      </w:pPr>
      <w:r w:rsidRPr="00C11FF9">
        <w:rPr>
          <w:rFonts w:ascii="宋体" w:hAnsi="宋体"/>
          <w:szCs w:val="21"/>
        </w:rPr>
        <w:t>(b)	目前基金取得的源自境外的差价收入和股利收益，其涉及的境外所得税税收政策，按照相关国家或地区税收法律和法规执行。</w:t>
      </w:r>
    </w:p>
    <w:p w:rsidRPr="00C11FF9" w:rsidR="00A66ABA" w:rsidP="00436940" w:rsidRDefault="00A66ABA">
      <w:pPr>
        <w:ind w:right="480" w:firstLine="420" w:firstLineChars="200"/>
        <w:rPr>
          <w:rFonts w:ascii="宋体" w:hAnsi="宋体"/>
          <w:szCs w:val="21"/>
        </w:rPr>
      </w:pPr>
      <w:r w:rsidRPr="00C11FF9">
        <w:rPr>
          <w:rFonts w:ascii="宋体" w:hAnsi="宋体"/>
          <w:szCs w:val="21"/>
        </w:rPr>
        <w:t>(c)	对证券投资基金从证券市场中取得的收入，包括买卖股票、债券的差价收入，股权的股息、红利收入，债券的利息收入及其他收入，暂不征收企业所得税。</w:t>
      </w:r>
    </w:p>
    <w:p w:rsidRPr="00C11FF9" w:rsidR="00A66ABA" w:rsidP="00436940" w:rsidRDefault="00A66ABA">
      <w:pPr>
        <w:ind w:right="480" w:firstLine="420" w:firstLineChars="200"/>
        <w:rPr>
          <w:rFonts w:ascii="宋体" w:hAnsi="宋体"/>
          <w:szCs w:val="21"/>
        </w:rPr>
      </w:pPr>
      <w:r w:rsidRPr="00C11FF9">
        <w:rPr>
          <w:rFonts w:ascii="宋体" w:hAnsi="宋体"/>
          <w:szCs w:val="21"/>
        </w:rPr>
        <w:t>(d)	对投资者从证券投资基金分配中取得的收入，暂不征收企业所得税。</w:t>
      </w:r>
    </w:p>
    <w:p w:rsidRPr="00C11FF9" w:rsidR="00A66ABA" w:rsidP="00436940" w:rsidRDefault="00A66ABA">
      <w:pPr>
        <w:ind w:right="480" w:firstLine="420" w:firstLineChars="200"/>
        <w:rPr>
          <w:rFonts w:ascii="宋体" w:hAnsi="宋体"/>
          <w:szCs w:val="21"/>
        </w:rPr>
      </w:pPr>
      <w:r w:rsidRPr="00C11FF9">
        <w:rPr>
          <w:rFonts w:ascii="宋体" w:hAnsi="宋体"/>
          <w:szCs w:val="21"/>
        </w:rPr>
        <w:t>(e)	2018年1月1日（含）以后，资管产品管理人（以下称管理人）运营资管产品过程中发生的增值税应税行为（以下称资管产品运营业务），以管理人为增值税纳税人，暂适用简易计税方法，按照3%的征收率缴纳增值税。对资管产品在2018年1月1日以前运营过程中发生的增值税应税行为，未缴纳增值税的，不再缴纳；已缴纳增值税的，已纳税额从管理人以后月份的增值税应纳税额中抵减。</w:t>
      </w:r>
    </w:p>
    <w:p w:rsidRPr="00C11FF9" w:rsidR="00A66ABA" w:rsidP="00436940" w:rsidRDefault="00A66ABA">
      <w:pPr>
        <w:ind w:right="480" w:firstLine="420" w:firstLineChars="200"/>
        <w:rPr>
          <w:rFonts w:ascii="宋体" w:hAnsi="宋体"/>
          <w:szCs w:val="21"/>
        </w:rPr>
      </w:pPr>
      <w:r w:rsidRPr="00C11FF9">
        <w:rPr>
          <w:rFonts w:ascii="宋体" w:hAnsi="宋体"/>
          <w:szCs w:val="21"/>
        </w:rPr>
        <w:t>(f)	证券投资基金管理人运用基金买卖股票、债券取得的金融商品转让收入免征增值税；对自国债、地方政府债利息收入以及金融同业往来取得的利息收入免征增值税；同业存款利息收入免征增值税以及一般存款利息收入不征收增值税。</w:t>
      </w:r>
    </w:p>
    <w:p w:rsidRPr="00C11FF9" w:rsidR="00A66ABA" w:rsidP="00436940" w:rsidRDefault="00A66ABA">
      <w:pPr>
        <w:ind w:right="480" w:firstLine="420" w:firstLineChars="200"/>
        <w:rPr>
          <w:rFonts w:ascii="宋体" w:hAnsi="宋体"/>
          <w:szCs w:val="21"/>
        </w:rPr>
      </w:pPr>
      <w:r w:rsidRPr="00C11FF9">
        <w:rPr>
          <w:rFonts w:ascii="宋体" w:hAnsi="宋体"/>
          <w:szCs w:val="21"/>
        </w:rPr>
        <w:t>(g)	对基金在2018年1月1日 (含) 以后运营过程中缴纳的增值税，分别按照证券投资基金管理人所在地适用的税率，计算缴纳城市维护建设税、教育费附加和地方教育费附加。</w:t>
      </w:r>
    </w:p>
    <w:p w:rsidRPr="00C11FF9" w:rsidR="001E096E" w:rsidP="003B4CEC" w:rsidRDefault="001E096E">
      <w:pPr>
        <w:numPr>
          <w:ilvl w:val="2"/>
          <w:numId w:val="1"/>
        </w:numPr>
        <w:ind w:left="713" w:hanging="713" w:hangingChars="338"/>
        <w:outlineLvl w:val="2"/>
        <w:rPr>
          <w:rFonts w:ascii="宋体" w:hAnsi="宋体"/>
          <w:b/>
          <w:szCs w:val="21"/>
        </w:rPr>
      </w:pPr>
      <w:r w:rsidRPr="00C11FF9">
        <w:rPr>
          <w:rFonts w:hint="eastAsia" w:ascii="宋体" w:hAnsi="宋体"/>
          <w:b/>
          <w:szCs w:val="21"/>
        </w:rPr>
        <w:t>关联方关系</w:t>
      </w:r>
    </w:p>
    <w:p w:rsidRPr="00C11FF9" w:rsidR="001E096E" w:rsidP="003B4CEC" w:rsidRDefault="001E096E">
      <w:pPr>
        <w:numPr>
          <w:ilvl w:val="3"/>
          <w:numId w:val="1"/>
        </w:numPr>
        <w:ind w:left="995" w:hanging="995" w:hangingChars="472"/>
        <w:outlineLvl w:val="3"/>
        <w:rPr>
          <w:rFonts w:ascii="宋体" w:hAnsi="宋体"/>
          <w:b/>
          <w:szCs w:val="21"/>
        </w:rPr>
      </w:pPr>
      <w:r w:rsidRPr="00C11FF9">
        <w:rPr>
          <w:rFonts w:hint="eastAsia" w:ascii="宋体" w:hAnsi="宋体"/>
          <w:b/>
          <w:szCs w:val="21"/>
        </w:rPr>
        <w:t>本报告期存在控制关系或其他重大利害关系的关联方发生变化的情况</w:t>
      </w:r>
    </w:p>
    <w:p w:rsidRPr="00C11FF9" w:rsidR="00120F5C" w:rsidP="00436940" w:rsidRDefault="00120F5C">
      <w:pPr>
        <w:ind w:right="480" w:firstLine="420" w:firstLineChars="200"/>
        <w:rPr>
          <w:rFonts w:ascii="宋体" w:hAnsi="宋体"/>
          <w:szCs w:val="21"/>
        </w:rPr>
      </w:pPr>
      <w:r w:rsidRPr="00C11FF9">
        <w:rPr>
          <w:rFonts w:ascii="宋体" w:hAnsi="宋体"/>
          <w:szCs w:val="21"/>
        </w:rPr>
        <w:t>本报告期存在控制关系或其他重大利害关系的关联方未发生变化。</w:t>
      </w:r>
    </w:p>
    <w:p w:rsidRPr="00C11FF9" w:rsidR="001E096E" w:rsidP="003B4CEC" w:rsidRDefault="001E096E">
      <w:pPr>
        <w:numPr>
          <w:ilvl w:val="3"/>
          <w:numId w:val="1"/>
        </w:numPr>
        <w:ind w:left="995" w:hanging="995" w:hangingChars="472"/>
        <w:outlineLvl w:val="3"/>
        <w:rPr>
          <w:rFonts w:ascii="宋体" w:hAnsi="宋体"/>
          <w:b/>
          <w:szCs w:val="21"/>
        </w:rPr>
      </w:pPr>
      <w:r w:rsidRPr="00C11FF9">
        <w:rPr>
          <w:rFonts w:hint="eastAsia" w:ascii="宋体" w:hAnsi="宋体"/>
          <w:b/>
          <w:szCs w:val="21"/>
        </w:rPr>
        <w:t>本报告期与基金发生关联交易的各关联方</w:t>
      </w:r>
    </w:p>
    <w:tbl>
      <w:tblPr>
        <w:tblW w:w="5000" w:type="pct"/>
        <w:tblLook w:val="01E0" w:firstRow="1" w:lastRow="1" w:firstColumn="1" w:lastColumn="1" w:noHBand="0" w:noVBand="0"/>
      </w:tblPr>
      <w:tblGrid>
        <w:gridCol w:w="4788"/>
        <w:gridCol w:w="4788"/>
      </w:tblGrid>
      <w:tr w:rsidRPr="00C11FF9" w:rsidR="001E096E">
        <w:tc>
          <w:tcPr>
            <w:tcW w:w="2500" w:type="pct"/>
            <w:tcBorders>
              <w:top w:val="single" w:color="auto" w:sz="4" w:space="0"/>
              <w:left w:val="single" w:color="auto" w:sz="4" w:space="0"/>
              <w:bottom w:val="single" w:color="auto" w:sz="4" w:space="0"/>
              <w:right w:val="single" w:color="auto" w:sz="4" w:space="0"/>
            </w:tcBorders>
            <w:vAlign w:val="center"/>
          </w:tcPr>
          <w:p w:rsidRPr="00C11FF9" w:rsidR="001E096E" w:rsidP="00E355CC" w:rsidRDefault="001E096E">
            <w:pPr>
              <w:ind w:right="480"/>
              <w:jc w:val="center"/>
              <w:rPr>
                <w:rFonts w:ascii="宋体" w:hAnsi="宋体"/>
                <w:szCs w:val="21"/>
              </w:rPr>
            </w:pPr>
            <w:r w:rsidRPr="00C11FF9">
              <w:rPr>
                <w:rFonts w:hint="eastAsia" w:ascii="宋体" w:hAnsi="宋体"/>
                <w:szCs w:val="21"/>
              </w:rPr>
              <w:t>关联方名称</w:t>
            </w:r>
          </w:p>
        </w:tc>
        <w:tc>
          <w:tcPr>
            <w:tcW w:w="2500" w:type="pct"/>
            <w:tcBorders>
              <w:top w:val="single" w:color="auto" w:sz="4" w:space="0"/>
              <w:left w:val="single" w:color="auto" w:sz="4" w:space="0"/>
              <w:bottom w:val="single" w:color="auto" w:sz="4" w:space="0"/>
              <w:right w:val="single" w:color="auto" w:sz="4" w:space="0"/>
            </w:tcBorders>
            <w:vAlign w:val="center"/>
          </w:tcPr>
          <w:p w:rsidRPr="00C11FF9" w:rsidR="001E096E" w:rsidP="00E355CC" w:rsidRDefault="001E096E">
            <w:pPr>
              <w:ind w:right="480"/>
              <w:jc w:val="center"/>
              <w:rPr>
                <w:rFonts w:ascii="宋体" w:hAnsi="宋体"/>
                <w:szCs w:val="21"/>
              </w:rPr>
            </w:pPr>
            <w:r w:rsidRPr="00C11FF9">
              <w:rPr>
                <w:rFonts w:hint="eastAsia" w:ascii="宋体" w:hAnsi="宋体"/>
                <w:szCs w:val="21"/>
              </w:rPr>
              <w:t>与本基金的关系</w:t>
            </w:r>
          </w:p>
        </w:tc>
      </w:tr>
      <w:tr w:rsidRPr="00C11FF9" w:rsidR="001E096E" w:rsidTr="00162FCC">
        <w:tc>
          <w:tcPr>
            <w:tcW w:w="2500" w:type="pct"/>
            <w:tcBorders>
              <w:top w:val="single" w:color="auto" w:sz="4" w:space="0"/>
              <w:left w:val="single" w:color="auto" w:sz="4" w:space="0"/>
              <w:bottom w:val="single" w:color="auto" w:sz="4" w:space="0"/>
              <w:right w:val="single" w:color="auto" w:sz="4" w:space="0"/>
            </w:tcBorders>
            <w:vAlign w:val="center"/>
          </w:tcPr>
          <w:p w:rsidRPr="00C11FF9" w:rsidR="001E096E" w:rsidP="00162FCC" w:rsidRDefault="00120F5C">
            <w:pPr>
              <w:ind w:right="-73"/>
              <w:rPr>
                <w:rFonts w:ascii="宋体" w:hAnsi="宋体"/>
                <w:szCs w:val="21"/>
              </w:rPr>
            </w:pPr>
            <w:r w:rsidRPr="00C11FF9">
              <w:rPr>
                <w:rFonts w:ascii="宋体" w:hAnsi="宋体"/>
                <w:szCs w:val="21"/>
              </w:rPr>
              <w:t>中信保诚基金管理有限公司(“中信保诚基金”)</w:t>
            </w:r>
          </w:p>
        </w:tc>
        <w:tc>
          <w:tcPr>
            <w:tcW w:w="2500" w:type="pct"/>
            <w:tcBorders>
              <w:top w:val="single" w:color="auto" w:sz="4" w:space="0"/>
              <w:left w:val="single" w:color="auto" w:sz="4" w:space="0"/>
              <w:bottom w:val="single" w:color="auto" w:sz="4" w:space="0"/>
              <w:right w:val="single" w:color="auto" w:sz="4" w:space="0"/>
            </w:tcBorders>
            <w:vAlign w:val="center"/>
          </w:tcPr>
          <w:p w:rsidRPr="00C11FF9" w:rsidR="001E096E" w:rsidP="00162FCC" w:rsidRDefault="00120F5C">
            <w:pPr>
              <w:rPr>
                <w:rFonts w:ascii="宋体" w:hAnsi="宋体"/>
                <w:szCs w:val="21"/>
              </w:rPr>
            </w:pPr>
            <w:r w:rsidRPr="00C11FF9">
              <w:rPr>
                <w:rFonts w:ascii="宋体" w:hAnsi="宋体"/>
                <w:szCs w:val="21"/>
              </w:rPr>
              <w:t>基金管理人、基金销售机构</w:t>
            </w:r>
          </w:p>
        </w:tc>
      </w:tr>
      <w:tr w:rsidRPr="00C11FF9" w:rsidR="001E096E" w:rsidTr="00162FCC">
        <w:tc>
          <w:tcPr>
            <w:tcW w:w="2500" w:type="pct"/>
            <w:tcBorders>
              <w:top w:val="single" w:color="auto" w:sz="4" w:space="0"/>
              <w:left w:val="single" w:color="auto" w:sz="4" w:space="0"/>
              <w:bottom w:val="single" w:color="auto" w:sz="4" w:space="0"/>
              <w:right w:val="single" w:color="auto" w:sz="4" w:space="0"/>
            </w:tcBorders>
            <w:vAlign w:val="center"/>
          </w:tcPr>
          <w:p w:rsidRPr="00C11FF9" w:rsidR="001E096E" w:rsidP="00162FCC" w:rsidRDefault="00120F5C">
            <w:pPr>
              <w:ind w:right="-73"/>
              <w:rPr>
                <w:rFonts w:ascii="宋体" w:hAnsi="宋体"/>
                <w:szCs w:val="21"/>
              </w:rPr>
            </w:pPr>
            <w:r w:rsidRPr="00C11FF9">
              <w:rPr>
                <w:rFonts w:ascii="宋体" w:hAnsi="宋体"/>
                <w:szCs w:val="21"/>
              </w:rPr>
              <w:t>中国银行股份有限公司(“中国银行”)</w:t>
            </w:r>
          </w:p>
        </w:tc>
        <w:tc>
          <w:tcPr>
            <w:tcW w:w="2500" w:type="pct"/>
            <w:tcBorders>
              <w:top w:val="single" w:color="auto" w:sz="4" w:space="0"/>
              <w:left w:val="single" w:color="auto" w:sz="4" w:space="0"/>
              <w:bottom w:val="single" w:color="auto" w:sz="4" w:space="0"/>
              <w:right w:val="single" w:color="auto" w:sz="4" w:space="0"/>
            </w:tcBorders>
            <w:vAlign w:val="center"/>
          </w:tcPr>
          <w:p w:rsidRPr="00C11FF9" w:rsidR="001E096E" w:rsidP="00162FCC" w:rsidRDefault="00120F5C">
            <w:pPr>
              <w:rPr>
                <w:rFonts w:ascii="宋体" w:hAnsi="宋体"/>
                <w:szCs w:val="21"/>
              </w:rPr>
            </w:pPr>
            <w:r w:rsidRPr="00C11FF9">
              <w:rPr>
                <w:rFonts w:ascii="宋体" w:hAnsi="宋体"/>
                <w:szCs w:val="21"/>
              </w:rPr>
              <w:t>基金托管人、基金销售机构</w:t>
            </w:r>
          </w:p>
        </w:tc>
      </w:tr>
      <w:tr w:rsidRPr="00C11FF9" w:rsidR="001E096E" w:rsidTr="00162FCC">
        <w:tc>
          <w:tcPr>
            <w:tcW w:w="2500" w:type="pct"/>
            <w:tcBorders>
              <w:top w:val="single" w:color="auto" w:sz="4" w:space="0"/>
              <w:left w:val="single" w:color="auto" w:sz="4" w:space="0"/>
              <w:bottom w:val="single" w:color="auto" w:sz="4" w:space="0"/>
              <w:right w:val="single" w:color="auto" w:sz="4" w:space="0"/>
            </w:tcBorders>
            <w:vAlign w:val="center"/>
          </w:tcPr>
          <w:p w:rsidRPr="00C11FF9" w:rsidR="001E096E" w:rsidP="00162FCC" w:rsidRDefault="00120F5C">
            <w:pPr>
              <w:ind w:right="-73"/>
              <w:rPr>
                <w:rFonts w:ascii="宋体" w:hAnsi="宋体"/>
                <w:szCs w:val="21"/>
              </w:rPr>
            </w:pPr>
            <w:r w:rsidRPr="00C11FF9">
              <w:rPr>
                <w:rFonts w:ascii="宋体" w:hAnsi="宋体"/>
                <w:szCs w:val="21"/>
              </w:rPr>
              <w:t>中国银行(香港)有限公司(“中银香港”)</w:t>
            </w:r>
          </w:p>
        </w:tc>
        <w:tc>
          <w:tcPr>
            <w:tcW w:w="2500" w:type="pct"/>
            <w:tcBorders>
              <w:top w:val="single" w:color="auto" w:sz="4" w:space="0"/>
              <w:left w:val="single" w:color="auto" w:sz="4" w:space="0"/>
              <w:bottom w:val="single" w:color="auto" w:sz="4" w:space="0"/>
              <w:right w:val="single" w:color="auto" w:sz="4" w:space="0"/>
            </w:tcBorders>
            <w:vAlign w:val="center"/>
          </w:tcPr>
          <w:p w:rsidRPr="00C11FF9" w:rsidR="001E096E" w:rsidP="00162FCC" w:rsidRDefault="00120F5C">
            <w:pPr>
              <w:rPr>
                <w:rFonts w:ascii="宋体" w:hAnsi="宋体"/>
                <w:szCs w:val="21"/>
              </w:rPr>
            </w:pPr>
            <w:r w:rsidRPr="00C11FF9">
              <w:rPr>
                <w:rFonts w:ascii="宋体" w:hAnsi="宋体"/>
                <w:szCs w:val="21"/>
              </w:rPr>
              <w:t>基金境外托管人</w:t>
            </w:r>
          </w:p>
        </w:tc>
      </w:tr>
    </w:tbl>
    <w:p w:rsidRPr="00C11FF9" w:rsidR="00120F5C" w:rsidP="00436940" w:rsidRDefault="00120F5C">
      <w:pPr>
        <w:ind w:right="480" w:firstLine="420" w:firstLineChars="200"/>
        <w:rPr>
          <w:rFonts w:ascii="宋体" w:hAnsi="宋体"/>
          <w:szCs w:val="21"/>
        </w:rPr>
      </w:pPr>
      <w:r w:rsidRPr="00C11FF9">
        <w:rPr>
          <w:rFonts w:ascii="宋体" w:hAnsi="宋体"/>
          <w:szCs w:val="21"/>
        </w:rPr>
        <w:t>注:下述关联交易均在正常业务范围内按一般商业条款订立。</w:t>
      </w:r>
    </w:p>
    <w:p w:rsidRPr="00C11FF9" w:rsidR="001E096E" w:rsidP="003B4CEC" w:rsidRDefault="001E096E">
      <w:pPr>
        <w:numPr>
          <w:ilvl w:val="2"/>
          <w:numId w:val="1"/>
        </w:numPr>
        <w:ind w:left="713" w:hanging="713" w:hangingChars="338"/>
        <w:outlineLvl w:val="2"/>
        <w:rPr>
          <w:rFonts w:ascii="宋体" w:hAnsi="宋体"/>
          <w:b/>
          <w:szCs w:val="21"/>
        </w:rPr>
      </w:pPr>
      <w:r w:rsidRPr="00C11FF9">
        <w:rPr>
          <w:rFonts w:hint="eastAsia" w:ascii="宋体" w:hAnsi="宋体"/>
          <w:b/>
          <w:szCs w:val="21"/>
        </w:rPr>
        <w:t>本报告期及上年度可比期间的关联方交易</w:t>
      </w:r>
    </w:p>
    <w:p w:rsidRPr="00C11FF9" w:rsidR="00120F5C" w:rsidP="00436940" w:rsidRDefault="00120F5C">
      <w:pPr>
        <w:ind w:right="480" w:firstLine="420" w:firstLineChars="200"/>
        <w:rPr>
          <w:rFonts w:ascii="宋体" w:hAnsi="宋体"/>
          <w:szCs w:val="21"/>
        </w:rPr>
      </w:pPr>
      <w:r w:rsidRPr="00C11FF9">
        <w:rPr>
          <w:rFonts w:ascii="宋体" w:hAnsi="宋体"/>
          <w:szCs w:val="21"/>
        </w:rPr>
        <w:t>下述关联交易均根据正常的商业交易条件进行,并以一般交易价格为定价基础。</w:t>
      </w:r>
    </w:p>
    <w:p w:rsidRPr="00C11FF9" w:rsidR="001E096E" w:rsidP="003B4CEC" w:rsidRDefault="001E096E">
      <w:pPr>
        <w:numPr>
          <w:ilvl w:val="3"/>
          <w:numId w:val="1"/>
        </w:numPr>
        <w:ind w:left="995" w:hanging="995" w:hangingChars="472"/>
        <w:outlineLvl w:val="3"/>
        <w:rPr>
          <w:rFonts w:ascii="宋体" w:hAnsi="宋体"/>
          <w:b/>
          <w:szCs w:val="21"/>
        </w:rPr>
      </w:pPr>
      <w:r w:rsidRPr="00C11FF9">
        <w:rPr>
          <w:rFonts w:hint="eastAsia" w:ascii="宋体" w:hAnsi="宋体"/>
          <w:b/>
          <w:szCs w:val="21"/>
        </w:rPr>
        <w:t>通过关联方交易单元进行的交易</w:t>
      </w:r>
    </w:p>
    <w:p w:rsidRPr="00C11FF9" w:rsidR="001E096E" w:rsidP="00824B1C" w:rsidRDefault="001E096E">
      <w:pPr>
        <w:numPr>
          <w:ilvl w:val="4"/>
          <w:numId w:val="1"/>
        </w:numPr>
        <w:ind w:right="960"/>
        <w:rPr>
          <w:rFonts w:ascii="宋体" w:hAnsi="宋体"/>
          <w:b/>
          <w:szCs w:val="21"/>
        </w:rPr>
      </w:pPr>
      <w:r w:rsidRPr="00C11FF9">
        <w:rPr>
          <w:rFonts w:hint="eastAsia" w:ascii="宋体" w:hAnsi="宋体"/>
          <w:b/>
          <w:szCs w:val="21"/>
        </w:rPr>
        <w:t>股票交易</w:t>
      </w:r>
    </w:p>
    <w:p w:rsidRPr="00C11FF9" w:rsidR="00120F5C" w:rsidP="00436940" w:rsidRDefault="00120F5C">
      <w:pPr>
        <w:ind w:right="480" w:firstLine="420" w:firstLineChars="200"/>
        <w:rPr>
          <w:rFonts w:ascii="宋体" w:hAnsi="宋体"/>
          <w:szCs w:val="21"/>
        </w:rPr>
      </w:pPr>
      <w:r w:rsidRPr="00C11FF9">
        <w:rPr>
          <w:rFonts w:ascii="宋体" w:hAnsi="宋体"/>
          <w:szCs w:val="21"/>
        </w:rPr>
        <w:t>本基金本报告期内及上年度可比期间无通过关联方交易单元进行的交易。</w:t>
      </w:r>
    </w:p>
    <w:p w:rsidRPr="00C11FF9" w:rsidR="001E096E" w:rsidP="00824B1C" w:rsidRDefault="001E096E">
      <w:pPr>
        <w:numPr>
          <w:ilvl w:val="4"/>
          <w:numId w:val="1"/>
        </w:numPr>
        <w:ind w:right="960"/>
        <w:rPr>
          <w:rFonts w:ascii="宋体" w:hAnsi="宋体"/>
          <w:b/>
          <w:szCs w:val="21"/>
        </w:rPr>
      </w:pPr>
      <w:r w:rsidRPr="00C11FF9">
        <w:rPr>
          <w:rFonts w:hint="eastAsia" w:ascii="宋体" w:hAnsi="宋体"/>
          <w:b/>
          <w:szCs w:val="21"/>
        </w:rPr>
        <w:t>权证交易</w:t>
      </w:r>
    </w:p>
    <w:p w:rsidRPr="00C11FF9" w:rsidR="00120F5C" w:rsidP="00436940" w:rsidRDefault="00120F5C">
      <w:pPr>
        <w:ind w:right="480" w:firstLine="420" w:firstLineChars="200"/>
        <w:rPr>
          <w:rFonts w:ascii="宋体" w:hAnsi="宋体"/>
          <w:szCs w:val="21"/>
        </w:rPr>
      </w:pPr>
      <w:r w:rsidRPr="00C11FF9">
        <w:rPr>
          <w:rFonts w:ascii="宋体" w:hAnsi="宋体"/>
          <w:szCs w:val="21"/>
        </w:rPr>
        <w:t>本基金本报告期内及上年度可比期间无通过关联方交易单元进行的交易。</w:t>
      </w:r>
    </w:p>
    <w:p w:rsidRPr="00C11FF9" w:rsidR="001E096E" w:rsidP="00824B1C" w:rsidRDefault="001E096E">
      <w:pPr>
        <w:numPr>
          <w:ilvl w:val="4"/>
          <w:numId w:val="1"/>
        </w:numPr>
        <w:ind w:right="960"/>
        <w:rPr>
          <w:rFonts w:ascii="宋体" w:hAnsi="宋体"/>
          <w:b/>
          <w:bCs/>
          <w:szCs w:val="21"/>
        </w:rPr>
      </w:pPr>
      <w:r w:rsidRPr="00C11FF9">
        <w:rPr>
          <w:rFonts w:hint="eastAsia" w:ascii="宋体" w:hAnsi="宋体"/>
          <w:b/>
          <w:bCs/>
          <w:szCs w:val="21"/>
        </w:rPr>
        <w:t>债券交易</w:t>
      </w:r>
    </w:p>
    <w:p w:rsidRPr="00436940" w:rsidR="001E096E" w:rsidP="00436940" w:rsidRDefault="00921FB3">
      <w:pPr>
        <w:ind w:right="480" w:firstLine="420" w:firstLineChars="200"/>
        <w:rPr>
          <w:rFonts w:ascii="宋体" w:hAnsi="宋体"/>
          <w:szCs w:val="21"/>
        </w:rPr>
      </w:pPr>
      <w:r w:rsidRPr="00C11FF9">
        <w:rPr>
          <w:rFonts w:hint="eastAsia" w:ascii="宋体" w:hAnsi="宋体"/>
          <w:szCs w:val="21"/>
        </w:rPr>
        <w:t>本基金本报告期内及上年度可比期间无通过关联方交易单元进行的交易。</w:t>
      </w:r>
    </w:p>
    <w:p w:rsidRPr="00C11FF9" w:rsidR="001E096E" w:rsidP="00824B1C" w:rsidRDefault="001E096E">
      <w:pPr>
        <w:numPr>
          <w:ilvl w:val="4"/>
          <w:numId w:val="1"/>
        </w:numPr>
        <w:ind w:right="960"/>
        <w:rPr>
          <w:rFonts w:ascii="宋体" w:hAnsi="宋体"/>
          <w:b/>
          <w:bCs/>
          <w:szCs w:val="21"/>
        </w:rPr>
      </w:pPr>
      <w:r w:rsidRPr="00C11FF9">
        <w:rPr>
          <w:rFonts w:hint="eastAsia" w:ascii="宋体" w:hAnsi="宋体"/>
          <w:b/>
          <w:bCs/>
          <w:szCs w:val="21"/>
        </w:rPr>
        <w:t>债券回购交易</w:t>
      </w:r>
    </w:p>
    <w:p w:rsidRPr="00C11FF9" w:rsidR="00AA69D3" w:rsidP="00436940" w:rsidRDefault="00921FB3">
      <w:pPr>
        <w:ind w:right="480" w:firstLine="420" w:firstLineChars="200"/>
        <w:rPr>
          <w:rFonts w:ascii="宋体" w:hAnsi="宋体"/>
          <w:szCs w:val="21"/>
        </w:rPr>
      </w:pPr>
      <w:r w:rsidRPr="00C11FF9">
        <w:rPr>
          <w:rFonts w:hint="eastAsia" w:ascii="宋体" w:hAnsi="宋体"/>
          <w:szCs w:val="21"/>
        </w:rPr>
        <w:t>本基金本报告期内及上年度可比期间无通过关联方交易单元进行的交易。</w:t>
      </w:r>
    </w:p>
    <w:p w:rsidRPr="00C11FF9" w:rsidR="004B49D4" w:rsidP="00824B1C" w:rsidRDefault="004B49D4">
      <w:pPr>
        <w:numPr>
          <w:ilvl w:val="4"/>
          <w:numId w:val="1"/>
        </w:numPr>
        <w:ind w:right="960"/>
        <w:rPr>
          <w:rFonts w:ascii="宋体" w:hAnsi="宋体"/>
          <w:b/>
          <w:bCs/>
          <w:szCs w:val="21"/>
        </w:rPr>
      </w:pPr>
      <w:r w:rsidRPr="00C11FF9">
        <w:rPr>
          <w:rFonts w:hint="eastAsia" w:ascii="宋体" w:hAnsi="宋体"/>
          <w:b/>
          <w:szCs w:val="21"/>
        </w:rPr>
        <w:t>基金</w:t>
      </w:r>
      <w:r w:rsidRPr="00C11FF9">
        <w:rPr>
          <w:rFonts w:hint="eastAsia" w:ascii="宋体" w:hAnsi="宋体"/>
          <w:b/>
          <w:bCs/>
          <w:szCs w:val="21"/>
        </w:rPr>
        <w:t>交易</w:t>
      </w:r>
    </w:p>
    <w:p w:rsidRPr="00C11FF9" w:rsidR="00895017" w:rsidP="00436940" w:rsidRDefault="00921FB3">
      <w:pPr>
        <w:ind w:right="480" w:firstLine="420" w:firstLineChars="200"/>
        <w:rPr>
          <w:rFonts w:ascii="宋体" w:hAnsi="宋体"/>
          <w:szCs w:val="21"/>
        </w:rPr>
      </w:pPr>
      <w:r w:rsidRPr="00C11FF9">
        <w:rPr>
          <w:rFonts w:hint="eastAsia" w:ascii="宋体" w:hAnsi="宋体"/>
          <w:szCs w:val="21"/>
        </w:rPr>
        <w:t>本基金本报告期内及上年度可比期间无通过关联方交易单元进行的交易。</w:t>
      </w:r>
    </w:p>
    <w:p w:rsidRPr="00C11FF9" w:rsidR="00895017" w:rsidP="00824B1C" w:rsidRDefault="00895017">
      <w:pPr>
        <w:numPr>
          <w:ilvl w:val="4"/>
          <w:numId w:val="1"/>
        </w:numPr>
        <w:ind w:right="960"/>
        <w:rPr>
          <w:rFonts w:ascii="宋体" w:hAnsi="宋体"/>
          <w:b/>
          <w:szCs w:val="21"/>
        </w:rPr>
      </w:pPr>
      <w:r w:rsidRPr="00C11FF9">
        <w:rPr>
          <w:rFonts w:hint="eastAsia" w:ascii="宋体" w:hAnsi="宋体"/>
          <w:b/>
          <w:szCs w:val="21"/>
        </w:rPr>
        <w:t>应支付关联方的佣金</w:t>
      </w:r>
    </w:p>
    <w:p w:rsidRPr="00C11FF9" w:rsidR="0085375E" w:rsidP="00436940" w:rsidRDefault="0085375E">
      <w:pPr>
        <w:ind w:right="480" w:firstLine="420" w:firstLineChars="200"/>
        <w:rPr>
          <w:rFonts w:ascii="宋体" w:hAnsi="宋体"/>
          <w:szCs w:val="21"/>
        </w:rPr>
      </w:pPr>
      <w:r w:rsidRPr="00C11FF9">
        <w:rPr>
          <w:rFonts w:ascii="宋体" w:hAnsi="宋体"/>
          <w:szCs w:val="21"/>
        </w:rPr>
        <w:t>本基金本报告期内及上年度可比期间无通过关联方交易单元进行的交易。</w:t>
      </w:r>
    </w:p>
    <w:p w:rsidRPr="00C11FF9" w:rsidR="00AA69D3" w:rsidP="003B4CEC" w:rsidRDefault="00AA69D3">
      <w:pPr>
        <w:numPr>
          <w:ilvl w:val="3"/>
          <w:numId w:val="1"/>
        </w:numPr>
        <w:ind w:left="995" w:hanging="995" w:hangingChars="472"/>
        <w:outlineLvl w:val="3"/>
        <w:rPr>
          <w:rFonts w:ascii="宋体" w:hAnsi="宋体"/>
          <w:b/>
          <w:szCs w:val="21"/>
        </w:rPr>
      </w:pPr>
      <w:r w:rsidRPr="00C11FF9">
        <w:rPr>
          <w:rFonts w:hint="eastAsia" w:ascii="宋体" w:hAnsi="宋体"/>
          <w:b/>
          <w:szCs w:val="21"/>
        </w:rPr>
        <w:t>关联方报酬</w:t>
      </w:r>
    </w:p>
    <w:p w:rsidRPr="00C11FF9" w:rsidR="00AA69D3" w:rsidP="00824B1C" w:rsidRDefault="00AA69D3">
      <w:pPr>
        <w:numPr>
          <w:ilvl w:val="4"/>
          <w:numId w:val="1"/>
        </w:numPr>
        <w:ind w:right="960"/>
        <w:rPr>
          <w:rFonts w:ascii="宋体" w:hAnsi="宋体"/>
          <w:b/>
          <w:szCs w:val="21"/>
        </w:rPr>
      </w:pPr>
      <w:r w:rsidRPr="00C11FF9">
        <w:rPr>
          <w:rFonts w:hint="eastAsia" w:ascii="宋体" w:hAnsi="宋体"/>
          <w:b/>
          <w:szCs w:val="21"/>
        </w:rPr>
        <w:t>基金管理费</w:t>
      </w:r>
    </w:p>
    <w:p w:rsidRPr="00C11FF9" w:rsidR="00AA69D3" w:rsidP="00E355CC" w:rsidRDefault="00BD5FFB">
      <w:pPr>
        <w:ind w:right="60"/>
        <w:jc w:val="right"/>
        <w:rPr>
          <w:rFonts w:ascii="宋体" w:hAnsi="宋体"/>
          <w:szCs w:val="21"/>
        </w:rPr>
      </w:pPr>
      <w:r w:rsidRPr="00C11FF9">
        <w:rPr>
          <w:rFonts w:hint="eastAsia" w:ascii="宋体" w:hAnsi="宋体"/>
          <w:szCs w:val="21"/>
        </w:rPr>
        <w:t xml:space="preserve"> </w:t>
      </w:r>
      <w:r w:rsidRPr="00C11FF9" w:rsidR="00AA69D3">
        <w:rPr>
          <w:rFonts w:hint="eastAsia" w:ascii="宋体" w:hAnsi="宋体"/>
          <w:szCs w:val="21"/>
        </w:rPr>
        <w:t>单位：</w:t>
      </w:r>
      <w:r w:rsidRPr="00C11FF9" w:rsidR="00AA69D3">
        <w:rPr>
          <w:rFonts w:hint="eastAsia" w:ascii="宋体" w:hAnsi="宋体"/>
          <w:bCs/>
          <w:szCs w:val="21"/>
        </w:rPr>
        <w:t>人民币元</w:t>
      </w:r>
    </w:p>
    <w:tbl>
      <w:tblPr>
        <w:tblW w:w="5000" w:type="pct"/>
        <w:tblLook w:val="01E0" w:firstRow="1" w:lastRow="1" w:firstColumn="1" w:lastColumn="1" w:noHBand="0" w:noVBand="0"/>
      </w:tblPr>
      <w:tblGrid>
        <w:gridCol w:w="3448"/>
        <w:gridCol w:w="3064"/>
        <w:gridCol w:w="3064"/>
      </w:tblGrid>
      <w:tr w:rsidRPr="00C11FF9" w:rsidR="00244AC0" w:rsidTr="004D5316">
        <w:tc>
          <w:tcPr>
            <w:tcW w:w="1800" w:type="pct"/>
            <w:tcBorders>
              <w:top w:val="single" w:color="auto" w:sz="4" w:space="0"/>
              <w:left w:val="single" w:color="auto" w:sz="4" w:space="0"/>
              <w:bottom w:val="single" w:color="auto" w:sz="4" w:space="0"/>
              <w:right w:val="single" w:color="auto" w:sz="4" w:space="0"/>
            </w:tcBorders>
            <w:vAlign w:val="center"/>
          </w:tcPr>
          <w:p w:rsidRPr="00C11FF9" w:rsidR="00244AC0" w:rsidP="00E355CC" w:rsidRDefault="00244AC0">
            <w:pPr>
              <w:ind w:right="960"/>
              <w:jc w:val="center"/>
              <w:rPr>
                <w:rFonts w:ascii="宋体" w:hAnsi="宋体"/>
                <w:szCs w:val="21"/>
              </w:rPr>
            </w:pPr>
            <w:r w:rsidRPr="00C11FF9">
              <w:rPr>
                <w:rFonts w:hint="eastAsia" w:ascii="宋体" w:hAnsi="宋体"/>
                <w:szCs w:val="21"/>
              </w:rPr>
              <w:t>项目</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280176" w:rsidP="00E355CC" w:rsidRDefault="00244AC0">
            <w:pPr>
              <w:jc w:val="center"/>
              <w:rPr>
                <w:rFonts w:ascii="宋体" w:hAnsi="宋体"/>
                <w:szCs w:val="21"/>
              </w:rPr>
            </w:pPr>
            <w:r w:rsidRPr="00C11FF9">
              <w:rPr>
                <w:rFonts w:hint="eastAsia" w:ascii="宋体" w:hAnsi="宋体"/>
                <w:szCs w:val="21"/>
              </w:rPr>
              <w:t>本</w:t>
            </w:r>
            <w:r w:rsidRPr="00C11FF9" w:rsidR="00280176">
              <w:rPr>
                <w:rFonts w:hint="eastAsia" w:ascii="宋体" w:hAnsi="宋体"/>
                <w:szCs w:val="21"/>
              </w:rPr>
              <w:t>期</w:t>
            </w:r>
          </w:p>
          <w:p w:rsidRPr="00C11FF9" w:rsidR="00244AC0" w:rsidP="00E355CC" w:rsidRDefault="00BB74F7">
            <w:pPr>
              <w:jc w:val="center"/>
              <w:rPr>
                <w:rFonts w:ascii="宋体" w:hAnsi="宋体"/>
                <w:szCs w:val="21"/>
              </w:rPr>
            </w:pPr>
            <w:r w:rsidRPr="00C11FF9">
              <w:rPr>
                <w:rFonts w:hint="eastAsia" w:ascii="宋体" w:hAnsi="宋体"/>
                <w:szCs w:val="21"/>
              </w:rPr>
              <w:t>（</w:t>
            </w:r>
            <w:r w:rsidRPr="00C11FF9">
              <w:rPr>
                <w:rFonts w:hint="eastAsia" w:ascii="宋体" w:hAnsi="宋体"/>
                <w:szCs w:val="21"/>
              </w:rPr>
              <w:t>2019年01月01日</w:t>
            </w:r>
            <w:r w:rsidRPr="00C11FF9">
              <w:rPr>
                <w:rFonts w:hint="eastAsia" w:ascii="宋体" w:hAnsi="宋体"/>
                <w:szCs w:val="21"/>
              </w:rPr>
              <w:t>至</w:t>
            </w:r>
            <w:r w:rsidRPr="00C11FF9">
              <w:rPr>
                <w:rFonts w:hint="eastAsia" w:ascii="宋体" w:hAnsi="宋体"/>
                <w:szCs w:val="21"/>
              </w:rPr>
              <w:t>2019年06月30日</w:t>
            </w:r>
            <w:r w:rsidRPr="00C11FF9">
              <w:rPr>
                <w:rFonts w:hint="eastAsia" w:ascii="宋体" w:hAnsi="宋体"/>
                <w:szCs w:val="21"/>
              </w:rPr>
              <w:t>）</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244AC0" w:rsidP="00E355CC" w:rsidRDefault="00244AC0">
            <w:pPr>
              <w:ind w:right="15"/>
              <w:jc w:val="center"/>
              <w:rPr>
                <w:rFonts w:ascii="宋体" w:hAnsi="宋体"/>
                <w:bCs/>
                <w:szCs w:val="21"/>
              </w:rPr>
            </w:pPr>
            <w:r w:rsidRPr="00C11FF9">
              <w:rPr>
                <w:rFonts w:hint="eastAsia" w:ascii="宋体" w:hAnsi="宋体"/>
                <w:bCs/>
                <w:szCs w:val="21"/>
              </w:rPr>
              <w:t>上年度可比期间</w:t>
            </w:r>
          </w:p>
          <w:p w:rsidRPr="00C11FF9" w:rsidR="00244AC0" w:rsidP="00A8283F" w:rsidRDefault="00EE28CB">
            <w:pPr>
              <w:jc w:val="center"/>
              <w:rPr>
                <w:rFonts w:ascii="宋体" w:hAnsi="宋体"/>
                <w:szCs w:val="21"/>
              </w:rPr>
            </w:pPr>
            <w:r w:rsidRPr="00C11FF9">
              <w:rPr>
                <w:rFonts w:hint="eastAsia" w:ascii="宋体" w:hAnsi="宋体"/>
                <w:szCs w:val="21"/>
              </w:rPr>
              <w:t>（</w:t>
            </w:r>
            <w:r w:rsidR="00A8283F">
              <w:rPr>
                <w:rFonts w:hint="eastAsia" w:ascii="宋体" w:hAnsi="宋体"/>
                <w:szCs w:val="21"/>
              </w:rPr>
              <w:t>2018年01月01日</w:t>
            </w:r>
            <w:r w:rsidRPr="00C11FF9">
              <w:rPr>
                <w:rFonts w:hint="eastAsia" w:ascii="宋体" w:hAnsi="宋体"/>
                <w:szCs w:val="21"/>
              </w:rPr>
              <w:t>至</w:t>
            </w:r>
            <w:r w:rsidR="00A8283F">
              <w:rPr>
                <w:rFonts w:hint="eastAsia" w:ascii="宋体" w:hAnsi="宋体"/>
                <w:szCs w:val="21"/>
              </w:rPr>
              <w:t>2018年06月30日</w:t>
            </w:r>
            <w:r w:rsidRPr="00C11FF9">
              <w:rPr>
                <w:rFonts w:hint="eastAsia" w:ascii="宋体" w:hAnsi="宋体"/>
                <w:szCs w:val="21"/>
              </w:rPr>
              <w:t>）</w:t>
            </w:r>
          </w:p>
        </w:tc>
      </w:tr>
      <w:tr w:rsidRPr="00C11FF9" w:rsidR="000B12BD" w:rsidTr="004D5316">
        <w:tc>
          <w:tcPr>
            <w:tcW w:w="1800" w:type="pct"/>
            <w:tcBorders>
              <w:top w:val="single" w:color="auto" w:sz="4" w:space="0"/>
              <w:left w:val="single" w:color="auto" w:sz="4" w:space="0"/>
              <w:bottom w:val="single" w:color="auto" w:sz="4" w:space="0"/>
              <w:right w:val="single" w:color="auto" w:sz="4" w:space="0"/>
            </w:tcBorders>
            <w:vAlign w:val="center"/>
          </w:tcPr>
          <w:p w:rsidRPr="00C11FF9" w:rsidR="000B12BD" w:rsidRDefault="000B12BD">
            <w:pPr>
              <w:rPr>
                <w:rFonts w:ascii="宋体" w:hAnsi="宋体"/>
                <w:szCs w:val="21"/>
              </w:rPr>
            </w:pPr>
            <w:r w:rsidRPr="00C11FF9">
              <w:rPr>
                <w:rFonts w:hint="eastAsia" w:ascii="宋体" w:hAnsi="宋体"/>
                <w:szCs w:val="21"/>
              </w:rPr>
              <w:lastRenderedPageBreak/>
              <w:t>当期发生的基金应支付的管理费</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0B12BD" w:rsidP="00E355CC" w:rsidRDefault="0085375E">
            <w:pPr>
              <w:ind w:right="-34" w:rightChars="-16"/>
              <w:jc w:val="right"/>
              <w:rPr>
                <w:rFonts w:ascii="宋体" w:hAnsi="宋体"/>
                <w:szCs w:val="21"/>
              </w:rPr>
            </w:pPr>
            <w:r w:rsidRPr="00C11FF9">
              <w:rPr>
                <w:rFonts w:ascii="宋体" w:hAnsi="宋体"/>
                <w:szCs w:val="21"/>
              </w:rPr>
              <w:t>82,176.68</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0B12BD" w:rsidP="00E355CC" w:rsidRDefault="0085375E">
            <w:pPr>
              <w:ind w:right="-34" w:rightChars="-16"/>
              <w:jc w:val="right"/>
              <w:rPr>
                <w:rFonts w:ascii="宋体" w:hAnsi="宋体"/>
                <w:szCs w:val="21"/>
              </w:rPr>
            </w:pPr>
            <w:r w:rsidRPr="00C11FF9">
              <w:rPr>
                <w:rFonts w:ascii="宋体" w:hAnsi="宋体"/>
                <w:szCs w:val="21"/>
              </w:rPr>
              <w:t>107,396.06</w:t>
            </w:r>
          </w:p>
        </w:tc>
      </w:tr>
      <w:tr w:rsidRPr="00C11FF9" w:rsidR="000B12BD" w:rsidTr="004D5316">
        <w:tc>
          <w:tcPr>
            <w:tcW w:w="1800" w:type="pct"/>
            <w:tcBorders>
              <w:top w:val="single" w:color="auto" w:sz="4" w:space="0"/>
              <w:left w:val="single" w:color="auto" w:sz="4" w:space="0"/>
              <w:bottom w:val="single" w:color="auto" w:sz="4" w:space="0"/>
              <w:right w:val="single" w:color="auto" w:sz="4" w:space="0"/>
            </w:tcBorders>
            <w:vAlign w:val="center"/>
          </w:tcPr>
          <w:p w:rsidRPr="00C11FF9" w:rsidR="000B12BD" w:rsidRDefault="000B12BD">
            <w:pPr>
              <w:rPr>
                <w:rFonts w:ascii="宋体" w:hAnsi="宋体"/>
                <w:szCs w:val="21"/>
              </w:rPr>
            </w:pPr>
            <w:r w:rsidRPr="00C11FF9">
              <w:rPr>
                <w:rFonts w:hint="eastAsia" w:ascii="宋体" w:hAnsi="宋体"/>
                <w:szCs w:val="21"/>
              </w:rPr>
              <w:t>其中：支付销售机构的客户维护费</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0B12BD" w:rsidP="00E355CC" w:rsidRDefault="0085375E">
            <w:pPr>
              <w:ind w:right="-34" w:rightChars="-16"/>
              <w:jc w:val="right"/>
              <w:rPr>
                <w:rFonts w:ascii="宋体" w:hAnsi="宋体"/>
                <w:szCs w:val="21"/>
              </w:rPr>
            </w:pPr>
            <w:r w:rsidRPr="00C11FF9">
              <w:rPr>
                <w:rFonts w:ascii="宋体" w:hAnsi="宋体"/>
                <w:szCs w:val="21"/>
              </w:rPr>
              <w:t>30,215.97</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0B12BD" w:rsidP="00E355CC" w:rsidRDefault="0085375E">
            <w:pPr>
              <w:ind w:right="-34" w:rightChars="-16"/>
              <w:jc w:val="right"/>
              <w:rPr>
                <w:rFonts w:ascii="宋体" w:hAnsi="宋体"/>
                <w:szCs w:val="21"/>
              </w:rPr>
            </w:pPr>
            <w:r w:rsidRPr="00C11FF9">
              <w:rPr>
                <w:rFonts w:ascii="宋体" w:hAnsi="宋体"/>
                <w:szCs w:val="21"/>
              </w:rPr>
              <w:t>40,553.20</w:t>
            </w:r>
          </w:p>
        </w:tc>
      </w:tr>
    </w:tbl>
    <w:p w:rsidRPr="00C11FF9" w:rsidR="0085375E" w:rsidP="00436940" w:rsidRDefault="0085375E">
      <w:pPr>
        <w:ind w:right="480" w:firstLine="420" w:firstLineChars="200"/>
        <w:rPr>
          <w:rFonts w:ascii="宋体" w:hAnsi="宋体"/>
          <w:szCs w:val="21"/>
        </w:rPr>
      </w:pPr>
      <w:r w:rsidRPr="00C11FF9">
        <w:rPr>
          <w:rFonts w:ascii="宋体" w:hAnsi="宋体"/>
          <w:szCs w:val="21"/>
        </w:rPr>
        <w:t>注:支付基金管理人中信保诚基金管理有限公司的基金管理费按前一日基金资产净值1.75%的年费率计提,逐日累计至每月月底,按月支付。计算公式为: </w:t>
      </w:r>
    </w:p>
    <w:p w:rsidRPr="00C11FF9" w:rsidR="0085375E" w:rsidP="00436940" w:rsidRDefault="0085375E">
      <w:pPr>
        <w:ind w:right="480" w:firstLine="420" w:firstLineChars="200"/>
        <w:rPr>
          <w:rFonts w:ascii="宋体" w:hAnsi="宋体"/>
          <w:szCs w:val="21"/>
        </w:rPr>
      </w:pPr>
      <w:r w:rsidRPr="00C11FF9">
        <w:rPr>
          <w:rFonts w:ascii="宋体" w:hAnsi="宋体"/>
          <w:szCs w:val="21"/>
        </w:rPr>
        <w:t>  日基金管理费=前一日基金资产净值×1.75% / 当年天数</w:t>
      </w:r>
    </w:p>
    <w:p w:rsidRPr="00C11FF9" w:rsidR="00AA69D3" w:rsidP="00824B1C" w:rsidRDefault="00AA69D3">
      <w:pPr>
        <w:numPr>
          <w:ilvl w:val="4"/>
          <w:numId w:val="1"/>
        </w:numPr>
        <w:ind w:right="960"/>
        <w:rPr>
          <w:rFonts w:ascii="宋体" w:hAnsi="宋体"/>
          <w:b/>
          <w:szCs w:val="21"/>
        </w:rPr>
      </w:pPr>
      <w:r w:rsidRPr="00C11FF9">
        <w:rPr>
          <w:rFonts w:hint="eastAsia" w:ascii="宋体" w:hAnsi="宋体"/>
          <w:b/>
          <w:szCs w:val="21"/>
        </w:rPr>
        <w:t>基金托管费</w:t>
      </w:r>
    </w:p>
    <w:p w:rsidRPr="00C11FF9" w:rsidR="00AA69D3" w:rsidP="00E355CC" w:rsidRDefault="00BD5FFB">
      <w:pPr>
        <w:ind w:right="60"/>
        <w:jc w:val="right"/>
        <w:rPr>
          <w:rFonts w:ascii="宋体" w:hAnsi="宋体"/>
          <w:szCs w:val="21"/>
        </w:rPr>
      </w:pPr>
      <w:r w:rsidRPr="00C11FF9">
        <w:rPr>
          <w:rFonts w:hint="eastAsia" w:ascii="宋体" w:hAnsi="宋体"/>
          <w:szCs w:val="21"/>
        </w:rPr>
        <w:t xml:space="preserve">  </w:t>
      </w:r>
      <w:r w:rsidRPr="00C11FF9" w:rsidR="00AA69D3">
        <w:rPr>
          <w:rFonts w:hint="eastAsia" w:ascii="宋体" w:hAnsi="宋体"/>
          <w:szCs w:val="21"/>
        </w:rPr>
        <w:t>单位：</w:t>
      </w:r>
      <w:r w:rsidRPr="00C11FF9" w:rsidR="00AA69D3">
        <w:rPr>
          <w:rFonts w:hint="eastAsia" w:ascii="宋体" w:hAnsi="宋体"/>
          <w:bCs/>
          <w:szCs w:val="21"/>
        </w:rPr>
        <w:t>人民币元</w:t>
      </w:r>
    </w:p>
    <w:tbl>
      <w:tblPr>
        <w:tblW w:w="5000" w:type="pct"/>
        <w:tblLook w:val="01E0" w:firstRow="1" w:lastRow="1" w:firstColumn="1" w:lastColumn="1" w:noHBand="0" w:noVBand="0"/>
      </w:tblPr>
      <w:tblGrid>
        <w:gridCol w:w="3448"/>
        <w:gridCol w:w="3064"/>
        <w:gridCol w:w="3064"/>
      </w:tblGrid>
      <w:tr w:rsidRPr="00C11FF9" w:rsidR="00244AC0" w:rsidTr="004D5316">
        <w:tc>
          <w:tcPr>
            <w:tcW w:w="1800" w:type="pct"/>
            <w:tcBorders>
              <w:top w:val="single" w:color="auto" w:sz="4" w:space="0"/>
              <w:left w:val="single" w:color="auto" w:sz="4" w:space="0"/>
              <w:bottom w:val="single" w:color="auto" w:sz="4" w:space="0"/>
              <w:right w:val="single" w:color="auto" w:sz="4" w:space="0"/>
            </w:tcBorders>
            <w:vAlign w:val="center"/>
          </w:tcPr>
          <w:p w:rsidRPr="00C11FF9" w:rsidR="00244AC0" w:rsidP="00E355CC" w:rsidRDefault="00244AC0">
            <w:pPr>
              <w:ind w:right="960"/>
              <w:jc w:val="center"/>
              <w:rPr>
                <w:rFonts w:ascii="宋体" w:hAnsi="宋体"/>
                <w:szCs w:val="21"/>
              </w:rPr>
            </w:pPr>
            <w:r w:rsidRPr="00C11FF9">
              <w:rPr>
                <w:rFonts w:hint="eastAsia" w:ascii="宋体" w:hAnsi="宋体"/>
                <w:szCs w:val="21"/>
              </w:rPr>
              <w:t>项目</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244AC0" w:rsidP="00E355CC" w:rsidRDefault="00244AC0">
            <w:pPr>
              <w:jc w:val="center"/>
              <w:rPr>
                <w:rFonts w:ascii="宋体" w:hAnsi="宋体"/>
                <w:szCs w:val="21"/>
              </w:rPr>
            </w:pPr>
            <w:r w:rsidRPr="00C11FF9">
              <w:rPr>
                <w:rFonts w:hint="eastAsia" w:ascii="宋体" w:hAnsi="宋体"/>
                <w:szCs w:val="21"/>
              </w:rPr>
              <w:t>本期</w:t>
            </w:r>
          </w:p>
          <w:p w:rsidRPr="00C11FF9" w:rsidR="00244AC0" w:rsidP="00E355CC" w:rsidRDefault="00BB74F7">
            <w:pPr>
              <w:jc w:val="center"/>
              <w:rPr>
                <w:rFonts w:ascii="宋体" w:hAnsi="宋体"/>
                <w:szCs w:val="21"/>
              </w:rPr>
            </w:pPr>
            <w:r w:rsidRPr="00C11FF9">
              <w:rPr>
                <w:rFonts w:hint="eastAsia" w:ascii="宋体" w:hAnsi="宋体"/>
                <w:szCs w:val="21"/>
              </w:rPr>
              <w:t>（</w:t>
            </w:r>
            <w:r w:rsidRPr="00C11FF9">
              <w:rPr>
                <w:rFonts w:hint="eastAsia" w:ascii="宋体" w:hAnsi="宋体"/>
                <w:szCs w:val="21"/>
              </w:rPr>
              <w:t>2019年01月01日</w:t>
            </w:r>
            <w:r w:rsidRPr="00C11FF9">
              <w:rPr>
                <w:rFonts w:hint="eastAsia" w:ascii="宋体" w:hAnsi="宋体"/>
                <w:szCs w:val="21"/>
              </w:rPr>
              <w:t>至</w:t>
            </w:r>
            <w:r w:rsidRPr="00C11FF9">
              <w:rPr>
                <w:rFonts w:hint="eastAsia" w:ascii="宋体" w:hAnsi="宋体"/>
                <w:szCs w:val="21"/>
              </w:rPr>
              <w:t>2019年06月30日</w:t>
            </w:r>
            <w:r w:rsidRPr="00C11FF9">
              <w:rPr>
                <w:rFonts w:hint="eastAsia" w:ascii="宋体" w:hAnsi="宋体"/>
                <w:szCs w:val="21"/>
              </w:rPr>
              <w:t>）</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244AC0" w:rsidP="00E355CC" w:rsidRDefault="00244AC0">
            <w:pPr>
              <w:ind w:right="15"/>
              <w:jc w:val="center"/>
              <w:rPr>
                <w:rFonts w:ascii="宋体" w:hAnsi="宋体"/>
                <w:bCs/>
                <w:szCs w:val="21"/>
              </w:rPr>
            </w:pPr>
            <w:r w:rsidRPr="00C11FF9">
              <w:rPr>
                <w:rFonts w:hint="eastAsia" w:ascii="宋体" w:hAnsi="宋体"/>
                <w:bCs/>
                <w:szCs w:val="21"/>
              </w:rPr>
              <w:t>上年度可比期间</w:t>
            </w:r>
          </w:p>
          <w:p w:rsidRPr="00C11FF9" w:rsidR="00244AC0" w:rsidP="00A8283F" w:rsidRDefault="00EE28CB">
            <w:pPr>
              <w:jc w:val="center"/>
              <w:rPr>
                <w:rFonts w:ascii="宋体" w:hAnsi="宋体"/>
                <w:szCs w:val="21"/>
              </w:rPr>
            </w:pPr>
            <w:r w:rsidRPr="00C11FF9">
              <w:rPr>
                <w:rFonts w:hint="eastAsia" w:ascii="宋体" w:hAnsi="宋体"/>
                <w:szCs w:val="21"/>
              </w:rPr>
              <w:t>（</w:t>
            </w:r>
            <w:r w:rsidR="00A8283F">
              <w:rPr>
                <w:rFonts w:hint="eastAsia" w:ascii="宋体" w:hAnsi="宋体"/>
                <w:szCs w:val="21"/>
              </w:rPr>
              <w:t>2018年01月01日</w:t>
            </w:r>
            <w:r w:rsidRPr="00C11FF9">
              <w:rPr>
                <w:rFonts w:hint="eastAsia" w:ascii="宋体" w:hAnsi="宋体"/>
                <w:szCs w:val="21"/>
              </w:rPr>
              <w:t>至</w:t>
            </w:r>
            <w:r w:rsidR="00A8283F">
              <w:rPr>
                <w:rFonts w:hint="eastAsia" w:ascii="宋体" w:hAnsi="宋体"/>
                <w:szCs w:val="21"/>
              </w:rPr>
              <w:t>2018年06月30日</w:t>
            </w:r>
            <w:r w:rsidRPr="00C11FF9">
              <w:rPr>
                <w:rFonts w:hint="eastAsia" w:ascii="宋体" w:hAnsi="宋体"/>
                <w:szCs w:val="21"/>
              </w:rPr>
              <w:t>）</w:t>
            </w:r>
          </w:p>
        </w:tc>
      </w:tr>
      <w:tr w:rsidRPr="00C11FF9" w:rsidR="00244AC0" w:rsidTr="004D5316">
        <w:tc>
          <w:tcPr>
            <w:tcW w:w="1800" w:type="pct"/>
            <w:tcBorders>
              <w:top w:val="single" w:color="auto" w:sz="4" w:space="0"/>
              <w:left w:val="single" w:color="auto" w:sz="4" w:space="0"/>
              <w:bottom w:val="single" w:color="auto" w:sz="4" w:space="0"/>
              <w:right w:val="single" w:color="auto" w:sz="4" w:space="0"/>
            </w:tcBorders>
            <w:vAlign w:val="center"/>
          </w:tcPr>
          <w:p w:rsidRPr="00C11FF9" w:rsidR="00244AC0" w:rsidP="00E355CC" w:rsidRDefault="00FB3D95">
            <w:pPr>
              <w:rPr>
                <w:rFonts w:ascii="宋体" w:hAnsi="宋体"/>
                <w:szCs w:val="21"/>
              </w:rPr>
            </w:pPr>
            <w:r w:rsidRPr="00C11FF9">
              <w:rPr>
                <w:rFonts w:hint="eastAsia" w:ascii="宋体" w:hAnsi="宋体"/>
                <w:szCs w:val="21"/>
              </w:rPr>
              <w:t>当期发生的基金应支付的托管费</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244AC0" w:rsidP="00E355CC" w:rsidRDefault="0085375E">
            <w:pPr>
              <w:tabs>
                <w:tab w:val="center" w:pos="2879"/>
              </w:tabs>
              <w:jc w:val="right"/>
              <w:rPr>
                <w:rFonts w:ascii="宋体" w:hAnsi="宋体"/>
                <w:szCs w:val="21"/>
              </w:rPr>
            </w:pPr>
            <w:r w:rsidRPr="00C11FF9">
              <w:rPr>
                <w:rFonts w:ascii="宋体" w:hAnsi="宋体"/>
                <w:szCs w:val="21"/>
              </w:rPr>
              <w:t>14,087.46</w:t>
            </w:r>
          </w:p>
        </w:tc>
        <w:tc>
          <w:tcPr>
            <w:tcW w:w="1600" w:type="pct"/>
            <w:tcBorders>
              <w:top w:val="single" w:color="auto" w:sz="4" w:space="0"/>
              <w:left w:val="single" w:color="auto" w:sz="4" w:space="0"/>
              <w:bottom w:val="single" w:color="auto" w:sz="4" w:space="0"/>
              <w:right w:val="single" w:color="auto" w:sz="4" w:space="0"/>
            </w:tcBorders>
            <w:vAlign w:val="center"/>
          </w:tcPr>
          <w:p w:rsidRPr="00C11FF9" w:rsidR="00244AC0" w:rsidP="00E355CC" w:rsidRDefault="0085375E">
            <w:pPr>
              <w:tabs>
                <w:tab w:val="center" w:pos="2879"/>
              </w:tabs>
              <w:jc w:val="right"/>
              <w:rPr>
                <w:rFonts w:ascii="宋体" w:hAnsi="宋体"/>
                <w:szCs w:val="21"/>
              </w:rPr>
            </w:pPr>
            <w:r w:rsidRPr="00C11FF9">
              <w:rPr>
                <w:rFonts w:ascii="宋体" w:hAnsi="宋体"/>
                <w:szCs w:val="21"/>
              </w:rPr>
              <w:t>18,410.71</w:t>
            </w:r>
          </w:p>
        </w:tc>
      </w:tr>
    </w:tbl>
    <w:p w:rsidRPr="00C11FF9" w:rsidR="0085375E" w:rsidP="00436940" w:rsidRDefault="0085375E">
      <w:pPr>
        <w:ind w:right="480" w:firstLine="420" w:firstLineChars="200"/>
        <w:rPr>
          <w:rFonts w:ascii="宋体" w:hAnsi="宋体"/>
          <w:szCs w:val="21"/>
        </w:rPr>
      </w:pPr>
      <w:r w:rsidRPr="00C11FF9">
        <w:rPr>
          <w:rFonts w:ascii="宋体" w:hAnsi="宋体"/>
          <w:szCs w:val="21"/>
        </w:rPr>
        <w:t>注:支付基金托管人中国银行的基金托管费按前一日基金资产净值0.30%的年费率计提,逐日累计至每月月底,按月支付。计算公式为: </w:t>
      </w:r>
    </w:p>
    <w:p w:rsidRPr="00C11FF9" w:rsidR="0085375E" w:rsidP="00436940" w:rsidRDefault="0085375E">
      <w:pPr>
        <w:ind w:right="480" w:firstLine="420" w:firstLineChars="200"/>
        <w:rPr>
          <w:rFonts w:ascii="宋体" w:hAnsi="宋体"/>
          <w:szCs w:val="21"/>
        </w:rPr>
      </w:pPr>
      <w:r w:rsidRPr="00C11FF9">
        <w:rPr>
          <w:rFonts w:ascii="宋体" w:hAnsi="宋体"/>
          <w:szCs w:val="21"/>
        </w:rPr>
        <w:t>  日基金托管费=前一日基金资产净值×0.30% / 当年天数</w:t>
      </w:r>
    </w:p>
    <w:p w:rsidRPr="00C11FF9" w:rsidR="0085375E" w:rsidP="00436940" w:rsidRDefault="0085375E">
      <w:pPr>
        <w:ind w:right="480" w:firstLine="420" w:firstLineChars="200"/>
        <w:rPr>
          <w:rFonts w:ascii="宋体" w:hAnsi="宋体"/>
          <w:szCs w:val="21"/>
        </w:rPr>
      </w:pPr>
      <w:r w:rsidRPr="00C11FF9">
        <w:rPr>
          <w:rFonts w:ascii="宋体" w:hAnsi="宋体"/>
          <w:szCs w:val="21"/>
        </w:rPr>
        <w:t/>
      </w:r>
    </w:p>
    <w:p w:rsidRPr="00C11FF9" w:rsidR="00AA69D3" w:rsidP="003B4CEC" w:rsidRDefault="00AA69D3">
      <w:pPr>
        <w:numPr>
          <w:ilvl w:val="3"/>
          <w:numId w:val="1"/>
        </w:numPr>
        <w:ind w:left="995" w:hanging="995" w:hangingChars="472"/>
        <w:outlineLvl w:val="3"/>
        <w:rPr>
          <w:rFonts w:ascii="宋体" w:hAnsi="宋体"/>
          <w:b/>
          <w:szCs w:val="21"/>
        </w:rPr>
      </w:pPr>
      <w:r w:rsidRPr="00C11FF9">
        <w:rPr>
          <w:rFonts w:hint="eastAsia" w:ascii="宋体" w:hAnsi="宋体"/>
          <w:b/>
          <w:szCs w:val="21"/>
        </w:rPr>
        <w:t>与关联方进行银行间同业市场的债券(含回购)交易</w:t>
      </w:r>
      <w:r w:rsidRPr="00C11FF9" w:rsidR="00BD5FFB">
        <w:rPr>
          <w:rFonts w:hint="eastAsia" w:ascii="宋体" w:hAnsi="宋体"/>
          <w:b/>
          <w:szCs w:val="21"/>
        </w:rPr>
        <w:t xml:space="preserve"> </w:t>
      </w:r>
    </w:p>
    <w:p w:rsidRPr="00C11FF9" w:rsidR="0085375E" w:rsidP="00436940" w:rsidRDefault="0085375E">
      <w:pPr>
        <w:ind w:right="480" w:firstLine="420" w:firstLineChars="200"/>
        <w:rPr>
          <w:rFonts w:ascii="宋体" w:hAnsi="宋体"/>
          <w:szCs w:val="21"/>
        </w:rPr>
      </w:pPr>
      <w:r w:rsidRPr="00C11FF9">
        <w:rPr>
          <w:rFonts w:ascii="宋体" w:hAnsi="宋体"/>
          <w:szCs w:val="21"/>
        </w:rPr>
        <w:t>本基金本报告期内及上年度可比期间未与关联方进行银行间同业市场的债券(含回购)交易。</w:t>
      </w:r>
    </w:p>
    <w:p w:rsidRPr="00C11FF9" w:rsidR="00A15022" w:rsidP="003B4CEC" w:rsidRDefault="00A15022">
      <w:pPr>
        <w:numPr>
          <w:ilvl w:val="3"/>
          <w:numId w:val="1"/>
        </w:numPr>
        <w:ind w:left="995" w:hanging="995" w:hangingChars="472"/>
        <w:outlineLvl w:val="3"/>
        <w:rPr>
          <w:rFonts w:ascii="宋体" w:hAnsi="宋体"/>
          <w:b/>
          <w:szCs w:val="21"/>
        </w:rPr>
      </w:pPr>
      <w:r w:rsidRPr="00C11FF9">
        <w:rPr>
          <w:rFonts w:hint="eastAsia" w:ascii="宋体" w:hAnsi="宋体"/>
          <w:b/>
          <w:szCs w:val="21"/>
        </w:rPr>
        <w:t>各关联方投资本基金的情况</w:t>
      </w:r>
    </w:p>
    <w:p w:rsidRPr="00C11FF9" w:rsidR="00A15022" w:rsidP="00824B1C" w:rsidRDefault="00A15022">
      <w:pPr>
        <w:numPr>
          <w:ilvl w:val="4"/>
          <w:numId w:val="1"/>
        </w:numPr>
        <w:rPr>
          <w:rFonts w:ascii="宋体" w:hAnsi="宋体"/>
          <w:b/>
          <w:szCs w:val="21"/>
        </w:rPr>
      </w:pPr>
      <w:r w:rsidRPr="00C11FF9">
        <w:rPr>
          <w:rFonts w:hint="eastAsia" w:ascii="宋体" w:hAnsi="宋体"/>
          <w:b/>
          <w:szCs w:val="21"/>
        </w:rPr>
        <w:t>报告期内基金管理人运用固有资金投资本基金的情况</w:t>
      </w:r>
    </w:p>
    <w:p w:rsidRPr="00C11FF9" w:rsidR="002366C3" w:rsidP="00436940" w:rsidRDefault="002366C3">
      <w:pPr>
        <w:ind w:right="480" w:firstLine="420" w:firstLineChars="200"/>
        <w:rPr>
          <w:rFonts w:ascii="宋体" w:hAnsi="宋体"/>
          <w:szCs w:val="21"/>
        </w:rPr>
      </w:pPr>
      <w:r w:rsidRPr="00C11FF9">
        <w:rPr>
          <w:rFonts w:hint="eastAsia" w:ascii="宋体" w:hAnsi="宋体"/>
          <w:szCs w:val="21"/>
        </w:rPr>
        <w:t>本基金的基金管理人运用固有资金投资本基金费率按本基金基金合同公布的费率执行,本基金本报告期内及上年度可比期间基金管理人未运用固有资金投资本基金。</w:t>
      </w:r>
    </w:p>
    <w:p w:rsidRPr="00C11FF9" w:rsidR="00A15022" w:rsidP="00824B1C" w:rsidRDefault="00A15022">
      <w:pPr>
        <w:numPr>
          <w:ilvl w:val="4"/>
          <w:numId w:val="1"/>
        </w:numPr>
        <w:rPr>
          <w:rFonts w:ascii="宋体" w:hAnsi="宋体"/>
          <w:b/>
          <w:szCs w:val="21"/>
        </w:rPr>
      </w:pPr>
      <w:r w:rsidRPr="00C11FF9">
        <w:rPr>
          <w:rFonts w:hint="eastAsia" w:ascii="宋体" w:hAnsi="宋体"/>
          <w:b/>
          <w:szCs w:val="21"/>
        </w:rPr>
        <w:t>报告期末除基金管理人之外的其他关联方投资本基金的情况</w:t>
      </w:r>
    </w:p>
    <w:p w:rsidRPr="00C11FF9" w:rsidR="002366C3" w:rsidP="00F946F7" w:rsidRDefault="002366C3">
      <w:pPr>
        <w:ind w:right="480" w:firstLine="420" w:firstLineChars="200"/>
        <w:rPr>
          <w:rFonts w:ascii="宋体" w:hAnsi="宋体"/>
          <w:szCs w:val="21"/>
        </w:rPr>
      </w:pPr>
      <w:r w:rsidRPr="00C11FF9">
        <w:rPr>
          <w:rFonts w:hint="eastAsia" w:ascii="宋体" w:hAnsi="宋体"/>
          <w:szCs w:val="21"/>
        </w:rPr>
        <w:t>除基金管理人之外的其他关联方投资本基金费率按本基金基金合同公布的费率执行,本基金本报告期末及上年度末无除基金管理人之外的其他关联方投资本基金的情况。</w:t>
      </w:r>
    </w:p>
    <w:p w:rsidRPr="00C11FF9" w:rsidR="00A15022" w:rsidP="003B4CEC" w:rsidRDefault="00A15022">
      <w:pPr>
        <w:numPr>
          <w:ilvl w:val="3"/>
          <w:numId w:val="1"/>
        </w:numPr>
        <w:ind w:left="995" w:hanging="995" w:hangingChars="472"/>
        <w:outlineLvl w:val="3"/>
        <w:rPr>
          <w:rFonts w:ascii="宋体" w:hAnsi="宋体"/>
          <w:b/>
          <w:szCs w:val="21"/>
        </w:rPr>
      </w:pPr>
      <w:r w:rsidRPr="00C11FF9">
        <w:rPr>
          <w:rFonts w:hint="eastAsia" w:ascii="宋体" w:hAnsi="宋体"/>
          <w:b/>
          <w:szCs w:val="21"/>
        </w:rPr>
        <w:t>由关联方保管的银行存款余额及当期产生的利息收入</w:t>
      </w:r>
    </w:p>
    <w:p w:rsidRPr="00C11FF9" w:rsidR="00A15022" w:rsidP="00E355CC" w:rsidRDefault="000C7EAA">
      <w:pPr>
        <w:jc w:val="right"/>
        <w:rPr>
          <w:rFonts w:ascii="宋体" w:hAnsi="宋体"/>
          <w:szCs w:val="21"/>
        </w:rPr>
      </w:pPr>
      <w:r w:rsidRPr="00C11FF9">
        <w:rPr>
          <w:rFonts w:hint="eastAsia" w:ascii="宋体" w:hAnsi="宋体"/>
          <w:szCs w:val="21"/>
        </w:rPr>
        <w:t>金额</w:t>
      </w:r>
      <w:r w:rsidRPr="00C11FF9" w:rsidR="00A15022">
        <w:rPr>
          <w:rFonts w:hint="eastAsia" w:ascii="宋体" w:hAnsi="宋体"/>
          <w:szCs w:val="21"/>
        </w:rPr>
        <w:t>单位：人民币元</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15"/>
        <w:gridCol w:w="2513"/>
        <w:gridCol w:w="1318"/>
        <w:gridCol w:w="2463"/>
        <w:gridCol w:w="1367"/>
      </w:tblGrid>
      <w:tr w:rsidRPr="00C11FF9" w:rsidR="00244AC0" w:rsidTr="004D5316">
        <w:tc>
          <w:tcPr>
            <w:tcW w:w="1000" w:type="pct"/>
            <w:vMerge w:val="restart"/>
            <w:vAlign w:val="center"/>
          </w:tcPr>
          <w:p w:rsidRPr="00C11FF9" w:rsidR="00244AC0" w:rsidP="00C63254" w:rsidRDefault="00244AC0">
            <w:pPr>
              <w:ind w:right="15"/>
              <w:jc w:val="center"/>
              <w:rPr>
                <w:rFonts w:ascii="宋体" w:hAnsi="宋体"/>
                <w:b/>
                <w:bCs/>
                <w:szCs w:val="21"/>
              </w:rPr>
            </w:pPr>
            <w:r w:rsidRPr="00C11FF9">
              <w:rPr>
                <w:rFonts w:hint="eastAsia" w:ascii="宋体" w:hAnsi="宋体"/>
                <w:bCs/>
                <w:szCs w:val="21"/>
              </w:rPr>
              <w:t>关联方名称</w:t>
            </w:r>
          </w:p>
        </w:tc>
        <w:tc>
          <w:tcPr>
            <w:tcW w:w="2000" w:type="pct"/>
            <w:gridSpan w:val="2"/>
            <w:vAlign w:val="center"/>
          </w:tcPr>
          <w:p w:rsidRPr="00C11FF9" w:rsidR="00244AC0" w:rsidP="00C63254" w:rsidRDefault="00244AC0">
            <w:pPr>
              <w:jc w:val="center"/>
              <w:rPr>
                <w:rFonts w:ascii="宋体" w:hAnsi="宋体"/>
                <w:szCs w:val="21"/>
              </w:rPr>
            </w:pPr>
            <w:r w:rsidRPr="00C11FF9">
              <w:rPr>
                <w:rFonts w:hint="eastAsia" w:ascii="宋体" w:hAnsi="宋体"/>
                <w:szCs w:val="21"/>
              </w:rPr>
              <w:t>本期</w:t>
            </w:r>
          </w:p>
          <w:p w:rsidRPr="00C11FF9" w:rsidR="00244AC0" w:rsidP="00C63254" w:rsidRDefault="00BB74F7">
            <w:pPr>
              <w:ind w:right="15"/>
              <w:jc w:val="center"/>
              <w:rPr>
                <w:rFonts w:ascii="宋体" w:hAnsi="宋体"/>
                <w:bCs/>
                <w:szCs w:val="21"/>
              </w:rPr>
            </w:pPr>
            <w:r w:rsidRPr="00C11FF9">
              <w:rPr>
                <w:rFonts w:hint="eastAsia" w:ascii="宋体" w:hAnsi="宋体"/>
                <w:szCs w:val="21"/>
              </w:rPr>
              <w:t>（</w:t>
            </w:r>
            <w:r w:rsidRPr="00C11FF9">
              <w:rPr>
                <w:rFonts w:hint="eastAsia" w:ascii="宋体" w:hAnsi="宋体"/>
                <w:szCs w:val="21"/>
              </w:rPr>
              <w:t>2019年01月01日</w:t>
            </w:r>
            <w:r w:rsidRPr="00C11FF9">
              <w:rPr>
                <w:rFonts w:hint="eastAsia" w:ascii="宋体" w:hAnsi="宋体"/>
                <w:szCs w:val="21"/>
              </w:rPr>
              <w:t>至</w:t>
            </w:r>
            <w:r w:rsidRPr="00C11FF9">
              <w:rPr>
                <w:rFonts w:hint="eastAsia" w:ascii="宋体" w:hAnsi="宋体"/>
                <w:szCs w:val="21"/>
              </w:rPr>
              <w:t>2019年06月30日</w:t>
            </w:r>
            <w:r w:rsidRPr="00C11FF9">
              <w:rPr>
                <w:rFonts w:hint="eastAsia" w:ascii="宋体" w:hAnsi="宋体"/>
                <w:szCs w:val="21"/>
              </w:rPr>
              <w:t>）</w:t>
            </w:r>
          </w:p>
        </w:tc>
        <w:tc>
          <w:tcPr>
            <w:tcW w:w="2000" w:type="pct"/>
            <w:gridSpan w:val="2"/>
            <w:vAlign w:val="center"/>
          </w:tcPr>
          <w:p w:rsidRPr="00C11FF9" w:rsidR="00244AC0" w:rsidP="00C63254" w:rsidRDefault="00244AC0">
            <w:pPr>
              <w:ind w:right="15"/>
              <w:jc w:val="center"/>
              <w:rPr>
                <w:rFonts w:ascii="宋体" w:hAnsi="宋体"/>
                <w:bCs/>
                <w:szCs w:val="21"/>
              </w:rPr>
            </w:pPr>
            <w:r w:rsidRPr="00C11FF9">
              <w:rPr>
                <w:rFonts w:hint="eastAsia" w:ascii="宋体" w:hAnsi="宋体"/>
                <w:bCs/>
                <w:szCs w:val="21"/>
              </w:rPr>
              <w:t>上年度可比期间</w:t>
            </w:r>
          </w:p>
          <w:p w:rsidRPr="00C11FF9" w:rsidR="00244AC0" w:rsidP="00A07EB8" w:rsidRDefault="0050577D">
            <w:pPr>
              <w:ind w:right="15"/>
              <w:jc w:val="center"/>
              <w:rPr>
                <w:rFonts w:ascii="宋体" w:hAnsi="宋体"/>
                <w:bCs/>
                <w:szCs w:val="21"/>
              </w:rPr>
            </w:pPr>
            <w:r w:rsidRPr="00C11FF9">
              <w:rPr>
                <w:rFonts w:hint="eastAsia" w:ascii="宋体" w:hAnsi="宋体"/>
                <w:szCs w:val="21"/>
              </w:rPr>
              <w:t>（</w:t>
            </w:r>
            <w:r w:rsidR="00A07EB8">
              <w:rPr>
                <w:rFonts w:hint="eastAsia" w:ascii="宋体" w:hAnsi="宋体"/>
                <w:szCs w:val="21"/>
              </w:rPr>
              <w:t>2018年01月01日</w:t>
            </w:r>
            <w:r w:rsidRPr="00C11FF9">
              <w:rPr>
                <w:rFonts w:hint="eastAsia" w:ascii="宋体" w:hAnsi="宋体"/>
                <w:szCs w:val="21"/>
              </w:rPr>
              <w:t>至</w:t>
            </w:r>
            <w:r w:rsidR="00A07EB8">
              <w:rPr>
                <w:rFonts w:hint="eastAsia" w:ascii="宋体" w:hAnsi="宋体"/>
                <w:szCs w:val="21"/>
              </w:rPr>
              <w:t>2018年06月30日</w:t>
            </w:r>
            <w:r w:rsidRPr="00C11FF9">
              <w:rPr>
                <w:rFonts w:hint="eastAsia" w:ascii="宋体" w:hAnsi="宋体"/>
                <w:szCs w:val="21"/>
              </w:rPr>
              <w:t>）</w:t>
            </w:r>
          </w:p>
        </w:tc>
      </w:tr>
      <w:tr w:rsidRPr="00C11FF9" w:rsidR="00BD42EA" w:rsidTr="004D5316">
        <w:tc>
          <w:tcPr>
            <w:tcW w:w="1000" w:type="pct"/>
            <w:vMerge/>
          </w:tcPr>
          <w:p w:rsidRPr="00C11FF9" w:rsidR="00BD42EA" w:rsidP="00C63254" w:rsidRDefault="00BD42EA">
            <w:pPr>
              <w:ind w:right="15"/>
              <w:rPr>
                <w:rFonts w:ascii="宋体" w:hAnsi="宋体"/>
                <w:b/>
                <w:bCs/>
                <w:szCs w:val="21"/>
              </w:rPr>
            </w:pPr>
          </w:p>
        </w:tc>
        <w:tc>
          <w:tcPr>
            <w:tcW w:w="1312" w:type="pct"/>
            <w:vAlign w:val="center"/>
          </w:tcPr>
          <w:p w:rsidRPr="00C11FF9" w:rsidR="00BD42EA" w:rsidP="003F6D1D" w:rsidRDefault="00BD42EA">
            <w:pPr>
              <w:jc w:val="center"/>
              <w:rPr>
                <w:rFonts w:ascii="宋体" w:hAnsi="宋体"/>
                <w:szCs w:val="21"/>
              </w:rPr>
            </w:pPr>
            <w:r w:rsidRPr="00C11FF9">
              <w:rPr>
                <w:rFonts w:hint="eastAsia" w:ascii="宋体" w:hAnsi="宋体"/>
                <w:szCs w:val="21"/>
              </w:rPr>
              <w:t>期</w:t>
            </w:r>
            <w:r w:rsidRPr="00C11FF9">
              <w:rPr>
                <w:rFonts w:ascii="宋体" w:hAnsi="宋体"/>
                <w:szCs w:val="21"/>
              </w:rPr>
              <w:t>末余额</w:t>
            </w:r>
          </w:p>
        </w:tc>
        <w:tc>
          <w:tcPr>
            <w:tcW w:w="688" w:type="pct"/>
            <w:vAlign w:val="center"/>
          </w:tcPr>
          <w:p w:rsidRPr="00C11FF9" w:rsidR="00BD42EA" w:rsidP="003F6D1D" w:rsidRDefault="00BD42EA">
            <w:pPr>
              <w:jc w:val="center"/>
              <w:rPr>
                <w:rFonts w:ascii="宋体" w:hAnsi="宋体"/>
                <w:szCs w:val="21"/>
              </w:rPr>
            </w:pPr>
            <w:r w:rsidRPr="00C11FF9">
              <w:rPr>
                <w:rFonts w:hint="eastAsia" w:ascii="宋体" w:hAnsi="宋体"/>
                <w:szCs w:val="21"/>
              </w:rPr>
              <w:t>当期</w:t>
            </w:r>
            <w:r w:rsidRPr="00C11FF9">
              <w:rPr>
                <w:rFonts w:ascii="宋体" w:hAnsi="宋体"/>
                <w:szCs w:val="21"/>
              </w:rPr>
              <w:t>利息收入</w:t>
            </w:r>
          </w:p>
        </w:tc>
        <w:tc>
          <w:tcPr>
            <w:tcW w:w="1286" w:type="pct"/>
            <w:vAlign w:val="center"/>
          </w:tcPr>
          <w:p w:rsidRPr="00C11FF9" w:rsidR="00BD42EA" w:rsidP="003F6D1D" w:rsidRDefault="00BD42EA">
            <w:pPr>
              <w:jc w:val="center"/>
              <w:rPr>
                <w:rFonts w:ascii="宋体" w:hAnsi="宋体"/>
                <w:szCs w:val="21"/>
              </w:rPr>
            </w:pPr>
            <w:r w:rsidRPr="00C11FF9">
              <w:rPr>
                <w:rFonts w:hint="eastAsia" w:ascii="宋体" w:hAnsi="宋体"/>
                <w:szCs w:val="21"/>
              </w:rPr>
              <w:t>期</w:t>
            </w:r>
            <w:r w:rsidRPr="00C11FF9">
              <w:rPr>
                <w:rFonts w:ascii="宋体" w:hAnsi="宋体"/>
                <w:szCs w:val="21"/>
              </w:rPr>
              <w:t>末余额</w:t>
            </w:r>
          </w:p>
        </w:tc>
        <w:tc>
          <w:tcPr>
            <w:tcW w:w="714" w:type="pct"/>
            <w:vAlign w:val="center"/>
          </w:tcPr>
          <w:p w:rsidRPr="00C11FF9" w:rsidR="00BD42EA" w:rsidP="003F6D1D" w:rsidRDefault="00BD42EA">
            <w:pPr>
              <w:jc w:val="center"/>
              <w:rPr>
                <w:rFonts w:ascii="宋体" w:hAnsi="宋体"/>
                <w:szCs w:val="21"/>
              </w:rPr>
            </w:pPr>
            <w:r w:rsidRPr="00C11FF9">
              <w:rPr>
                <w:rFonts w:hint="eastAsia" w:ascii="宋体" w:hAnsi="宋体"/>
                <w:szCs w:val="21"/>
              </w:rPr>
              <w:t>当期</w:t>
            </w:r>
            <w:r w:rsidRPr="00C11FF9">
              <w:rPr>
                <w:rFonts w:ascii="宋体" w:hAnsi="宋体"/>
                <w:szCs w:val="21"/>
              </w:rPr>
              <w:t>利息收入</w:t>
            </w:r>
          </w:p>
        </w:tc>
      </w:tr>
      <w:tr w:rsidRPr="00C11FF9" w:rsidR="00C63254" w:rsidTr="004D5316">
        <w:tc>
          <w:tcPr>
            <w:tcW w:w="1000" w:type="pct"/>
            <w:vAlign w:val="center"/>
          </w:tcPr>
          <w:p w:rsidRPr="00C11FF9" w:rsidR="00244AC0" w:rsidP="00C63254" w:rsidRDefault="0085375E">
            <w:pPr>
              <w:ind w:right="15"/>
              <w:rPr>
                <w:rFonts w:ascii="宋体" w:hAnsi="宋体"/>
                <w:bCs/>
                <w:szCs w:val="21"/>
              </w:rPr>
            </w:pPr>
            <w:r w:rsidRPr="00C11FF9">
              <w:rPr>
                <w:rFonts w:ascii="宋体" w:hAnsi="宋体"/>
                <w:bCs/>
                <w:szCs w:val="21"/>
              </w:rPr>
              <w:t>中国银行</w:t>
            </w:r>
          </w:p>
        </w:tc>
        <w:tc>
          <w:tcPr>
            <w:tcW w:w="1312" w:type="pct"/>
            <w:vAlign w:val="center"/>
          </w:tcPr>
          <w:p w:rsidRPr="00C11FF9" w:rsidR="00244AC0" w:rsidP="00C63254" w:rsidRDefault="0085375E">
            <w:pPr>
              <w:ind w:right="15"/>
              <w:jc w:val="right"/>
              <w:rPr>
                <w:rFonts w:ascii="宋体" w:hAnsi="宋体"/>
                <w:bCs/>
                <w:szCs w:val="21"/>
              </w:rPr>
            </w:pPr>
            <w:r w:rsidRPr="00C11FF9">
              <w:rPr>
                <w:rFonts w:ascii="宋体" w:hAnsi="宋体"/>
                <w:bCs/>
                <w:szCs w:val="21"/>
              </w:rPr>
              <w:t>821,890.64</w:t>
            </w:r>
          </w:p>
        </w:tc>
        <w:tc>
          <w:tcPr>
            <w:tcW w:w="688" w:type="pct"/>
            <w:vAlign w:val="center"/>
          </w:tcPr>
          <w:p w:rsidRPr="00C11FF9" w:rsidR="00244AC0" w:rsidP="00C63254" w:rsidRDefault="0085375E">
            <w:pPr>
              <w:ind w:right="15"/>
              <w:jc w:val="right"/>
              <w:rPr>
                <w:rFonts w:ascii="宋体" w:hAnsi="宋体"/>
                <w:bCs/>
                <w:szCs w:val="21"/>
              </w:rPr>
            </w:pPr>
            <w:r w:rsidRPr="00C11FF9">
              <w:rPr>
                <w:rFonts w:ascii="宋体" w:hAnsi="宋体"/>
                <w:bCs/>
                <w:szCs w:val="21"/>
              </w:rPr>
              <w:t>681.62</w:t>
            </w:r>
          </w:p>
        </w:tc>
        <w:tc>
          <w:tcPr>
            <w:tcW w:w="1286" w:type="pct"/>
            <w:vAlign w:val="center"/>
          </w:tcPr>
          <w:p w:rsidRPr="00C11FF9" w:rsidR="00244AC0" w:rsidP="00C63254" w:rsidRDefault="0085375E">
            <w:pPr>
              <w:ind w:right="15"/>
              <w:jc w:val="right"/>
              <w:rPr>
                <w:rFonts w:ascii="宋体" w:hAnsi="宋体"/>
                <w:bCs/>
                <w:szCs w:val="21"/>
              </w:rPr>
            </w:pPr>
            <w:r w:rsidRPr="00C11FF9">
              <w:rPr>
                <w:rFonts w:ascii="宋体" w:hAnsi="宋体"/>
                <w:bCs/>
                <w:szCs w:val="21"/>
              </w:rPr>
              <w:t>287,585.57</w:t>
            </w:r>
          </w:p>
        </w:tc>
        <w:tc>
          <w:tcPr>
            <w:tcW w:w="714" w:type="pct"/>
            <w:vAlign w:val="center"/>
          </w:tcPr>
          <w:p w:rsidRPr="00C11FF9" w:rsidR="00244AC0" w:rsidP="00C63254" w:rsidRDefault="0085375E">
            <w:pPr>
              <w:ind w:right="15"/>
              <w:jc w:val="right"/>
              <w:rPr>
                <w:rFonts w:ascii="宋体" w:hAnsi="宋体"/>
                <w:bCs/>
                <w:szCs w:val="21"/>
              </w:rPr>
            </w:pPr>
            <w:r w:rsidRPr="00C11FF9">
              <w:rPr>
                <w:rFonts w:ascii="宋体" w:hAnsi="宋体"/>
                <w:bCs/>
                <w:szCs w:val="21"/>
              </w:rPr>
              <w:t>1,121.54</w:t>
            </w:r>
          </w:p>
        </w:tc>
      </w:tr>
      <w:tr w:rsidRPr="00C11FF9" w:rsidR="00C63254" w:rsidTr="004D5316">
        <w:tc>
          <w:tcPr>
            <w:tcW w:w="1000" w:type="pct"/>
            <w:vAlign w:val="center"/>
          </w:tcPr>
          <w:p w:rsidRPr="00C11FF9" w:rsidR="00244AC0" w:rsidP="00C63254" w:rsidRDefault="0085375E">
            <w:pPr>
              <w:ind w:right="15"/>
              <w:rPr>
                <w:rFonts w:ascii="宋体" w:hAnsi="宋体"/>
                <w:bCs/>
                <w:szCs w:val="21"/>
              </w:rPr>
            </w:pPr>
            <w:r w:rsidRPr="00C11FF9">
              <w:rPr>
                <w:rFonts w:ascii="宋体" w:hAnsi="宋体"/>
                <w:bCs/>
                <w:szCs w:val="21"/>
              </w:rPr>
              <w:t>中银香港</w:t>
            </w:r>
          </w:p>
        </w:tc>
        <w:tc>
          <w:tcPr>
            <w:tcW w:w="1312" w:type="pct"/>
            <w:vAlign w:val="center"/>
          </w:tcPr>
          <w:p w:rsidRPr="00C11FF9" w:rsidR="00244AC0" w:rsidP="00C63254" w:rsidRDefault="0085375E">
            <w:pPr>
              <w:ind w:right="15"/>
              <w:jc w:val="right"/>
              <w:rPr>
                <w:rFonts w:ascii="宋体" w:hAnsi="宋体"/>
                <w:bCs/>
                <w:szCs w:val="21"/>
              </w:rPr>
            </w:pPr>
            <w:r w:rsidRPr="00C11FF9">
              <w:rPr>
                <w:rFonts w:ascii="宋体" w:hAnsi="宋体"/>
                <w:bCs/>
                <w:szCs w:val="21"/>
              </w:rPr>
              <w:t>-</w:t>
            </w:r>
          </w:p>
        </w:tc>
        <w:tc>
          <w:tcPr>
            <w:tcW w:w="688" w:type="pct"/>
            <w:vAlign w:val="center"/>
          </w:tcPr>
          <w:p w:rsidRPr="00C11FF9" w:rsidR="00244AC0" w:rsidP="00C63254" w:rsidRDefault="0085375E">
            <w:pPr>
              <w:ind w:right="15"/>
              <w:jc w:val="right"/>
              <w:rPr>
                <w:rFonts w:ascii="宋体" w:hAnsi="宋体"/>
                <w:bCs/>
                <w:szCs w:val="21"/>
              </w:rPr>
            </w:pPr>
            <w:r w:rsidRPr="00C11FF9">
              <w:rPr>
                <w:rFonts w:ascii="宋体" w:hAnsi="宋体"/>
                <w:bCs/>
                <w:szCs w:val="21"/>
              </w:rPr>
              <w:t/>
            </w:r>
          </w:p>
        </w:tc>
        <w:tc>
          <w:tcPr>
            <w:tcW w:w="1286" w:type="pct"/>
            <w:vAlign w:val="center"/>
          </w:tcPr>
          <w:p w:rsidRPr="00C11FF9" w:rsidR="00244AC0" w:rsidP="00C63254" w:rsidRDefault="0085375E">
            <w:pPr>
              <w:ind w:right="15"/>
              <w:jc w:val="right"/>
              <w:rPr>
                <w:rFonts w:ascii="宋体" w:hAnsi="宋体"/>
                <w:bCs/>
                <w:szCs w:val="21"/>
              </w:rPr>
            </w:pPr>
            <w:r w:rsidRPr="00C11FF9">
              <w:rPr>
                <w:rFonts w:ascii="宋体" w:hAnsi="宋体"/>
                <w:bCs/>
                <w:szCs w:val="21"/>
              </w:rPr>
              <w:t>1,794,843.93</w:t>
            </w:r>
          </w:p>
        </w:tc>
        <w:tc>
          <w:tcPr>
            <w:tcW w:w="714" w:type="pct"/>
            <w:vAlign w:val="center"/>
          </w:tcPr>
          <w:p w:rsidRPr="00C11FF9" w:rsidR="00244AC0" w:rsidP="00C63254" w:rsidRDefault="0085375E">
            <w:pPr>
              <w:ind w:right="15"/>
              <w:jc w:val="right"/>
              <w:rPr>
                <w:rFonts w:ascii="宋体" w:hAnsi="宋体"/>
                <w:bCs/>
                <w:szCs w:val="21"/>
              </w:rPr>
            </w:pPr>
            <w:r w:rsidRPr="00C11FF9">
              <w:rPr>
                <w:rFonts w:ascii="宋体" w:hAnsi="宋体"/>
                <w:bCs/>
                <w:szCs w:val="21"/>
              </w:rPr>
              <w:t>-</w:t>
            </w:r>
          </w:p>
        </w:tc>
      </w:tr>
    </w:tbl>
    <w:p w:rsidRPr="00C11FF9" w:rsidR="0085375E" w:rsidP="00436940" w:rsidRDefault="0085375E">
      <w:pPr>
        <w:ind w:right="480" w:firstLine="420" w:firstLineChars="200"/>
        <w:rPr>
          <w:rFonts w:ascii="宋体" w:hAnsi="宋体"/>
          <w:szCs w:val="21"/>
        </w:rPr>
      </w:pPr>
      <w:r w:rsidRPr="00C11FF9">
        <w:rPr>
          <w:rFonts w:ascii="宋体" w:hAnsi="宋体"/>
          <w:szCs w:val="21"/>
        </w:rPr>
        <w:t/>
      </w:r>
    </w:p>
    <w:p w:rsidRPr="00C11FF9" w:rsidR="00A15022" w:rsidP="003B4CEC" w:rsidRDefault="00A15022">
      <w:pPr>
        <w:numPr>
          <w:ilvl w:val="3"/>
          <w:numId w:val="1"/>
        </w:numPr>
        <w:ind w:left="995" w:hanging="995" w:hangingChars="472"/>
        <w:outlineLvl w:val="3"/>
        <w:rPr>
          <w:rFonts w:ascii="宋体" w:hAnsi="宋体"/>
          <w:b/>
          <w:szCs w:val="21"/>
        </w:rPr>
      </w:pPr>
      <w:r w:rsidRPr="00C11FF9">
        <w:rPr>
          <w:rFonts w:hint="eastAsia" w:ascii="宋体" w:hAnsi="宋体"/>
          <w:b/>
          <w:szCs w:val="21"/>
        </w:rPr>
        <w:t>本基金在承销期内参与关联方承销证券的情况</w:t>
      </w:r>
    </w:p>
    <w:p w:rsidRPr="00C11FF9" w:rsidR="0085375E" w:rsidP="00436940" w:rsidRDefault="0085375E">
      <w:pPr>
        <w:ind w:right="480" w:firstLine="420" w:firstLineChars="200"/>
        <w:rPr>
          <w:rFonts w:ascii="宋体" w:hAnsi="宋体"/>
          <w:szCs w:val="21"/>
        </w:rPr>
      </w:pPr>
      <w:r w:rsidRPr="00C11FF9">
        <w:rPr>
          <w:rFonts w:ascii="宋体" w:hAnsi="宋体"/>
          <w:szCs w:val="21"/>
        </w:rPr>
        <w:t>本基金本报告期内及上年度可比期间未在承销期内参与关联方承销的证券。</w:t>
      </w:r>
    </w:p>
    <w:p w:rsidRPr="00C11FF9" w:rsidR="00004F06" w:rsidP="003B4CEC" w:rsidRDefault="00004F06">
      <w:pPr>
        <w:numPr>
          <w:ilvl w:val="3"/>
          <w:numId w:val="1"/>
        </w:numPr>
        <w:ind w:left="995" w:hanging="995" w:hangingChars="472"/>
        <w:outlineLvl w:val="3"/>
        <w:rPr>
          <w:rFonts w:ascii="宋体" w:hAnsi="宋体"/>
          <w:b/>
          <w:szCs w:val="21"/>
        </w:rPr>
      </w:pPr>
      <w:r w:rsidRPr="00C11FF9">
        <w:rPr>
          <w:rFonts w:hint="eastAsia" w:ascii="宋体" w:hAnsi="宋体"/>
          <w:b/>
          <w:szCs w:val="21"/>
        </w:rPr>
        <w:t>其他关联交易事项的说明</w:t>
      </w:r>
    </w:p>
    <w:p w:rsidRPr="00C11FF9" w:rsidR="002366C3" w:rsidP="00436940" w:rsidRDefault="002366C3">
      <w:pPr>
        <w:ind w:right="480" w:firstLine="420" w:firstLineChars="200"/>
        <w:rPr>
          <w:rFonts w:ascii="宋体" w:hAnsi="宋体"/>
          <w:szCs w:val="21"/>
        </w:rPr>
      </w:pPr>
      <w:r w:rsidRPr="00C11FF9">
        <w:rPr>
          <w:rFonts w:hint="eastAsia" w:ascii="宋体" w:hAnsi="宋体"/>
          <w:szCs w:val="21"/>
        </w:rPr>
        <w:lastRenderedPageBreak/>
        <w:t>本基金本报告期内及上年度可比期间无其他关联交易事项。</w:t>
      </w:r>
    </w:p>
    <w:p w:rsidRPr="00C11FF9" w:rsidR="00A15022" w:rsidP="003B4CEC" w:rsidRDefault="00464384">
      <w:pPr>
        <w:numPr>
          <w:ilvl w:val="2"/>
          <w:numId w:val="1"/>
        </w:numPr>
        <w:ind w:left="713" w:hanging="713" w:hangingChars="338"/>
        <w:outlineLvl w:val="2"/>
        <w:rPr>
          <w:rFonts w:ascii="宋体" w:hAnsi="宋体"/>
          <w:b/>
          <w:szCs w:val="21"/>
        </w:rPr>
      </w:pPr>
      <w:r w:rsidRPr="00C11FF9">
        <w:rPr>
          <w:rFonts w:hint="eastAsia" w:ascii="宋体" w:hAnsi="宋体"/>
          <w:b/>
          <w:szCs w:val="21"/>
        </w:rPr>
        <w:t>期末（</w:t>
      </w:r>
      <w:r w:rsidR="0050101A">
        <w:rPr>
          <w:rFonts w:hint="eastAsia" w:ascii="宋体" w:hAnsi="宋体"/>
          <w:b/>
          <w:szCs w:val="21"/>
        </w:rPr>
        <w:t>2019年06月30日</w:t>
      </w:r>
      <w:r w:rsidRPr="00C11FF9">
        <w:rPr>
          <w:rFonts w:hint="eastAsia" w:ascii="宋体" w:hAnsi="宋体"/>
          <w:b/>
          <w:szCs w:val="21"/>
        </w:rPr>
        <w:t>）本基金持有的流通受限证券</w:t>
      </w:r>
    </w:p>
    <w:p w:rsidRPr="00C11FF9" w:rsidR="00816E91" w:rsidP="003B4CEC" w:rsidRDefault="00816E91">
      <w:pPr>
        <w:numPr>
          <w:ilvl w:val="3"/>
          <w:numId w:val="1"/>
        </w:numPr>
        <w:ind w:left="995" w:hanging="995" w:hangingChars="472"/>
        <w:outlineLvl w:val="3"/>
        <w:rPr>
          <w:rFonts w:ascii="宋体" w:hAnsi="宋体"/>
          <w:b/>
          <w:szCs w:val="21"/>
        </w:rPr>
      </w:pPr>
      <w:r w:rsidRPr="00C11FF9">
        <w:rPr>
          <w:rFonts w:hint="eastAsia" w:ascii="宋体" w:hAnsi="宋体"/>
          <w:b/>
          <w:szCs w:val="21"/>
        </w:rPr>
        <w:t>因认购新发/增发证券而于期末持有的流通受限证券</w:t>
      </w:r>
    </w:p>
    <w:p w:rsidRPr="00C11FF9" w:rsidR="0050084B" w:rsidP="00E355CC" w:rsidRDefault="0050084B">
      <w:pPr>
        <w:rPr>
          <w:rFonts w:ascii="宋体" w:hAnsi="宋体"/>
          <w:szCs w:val="21"/>
        </w:rPr>
      </w:pPr>
    </w:p>
    <w:p w:rsidRPr="00C11FF9" w:rsidR="00464384" w:rsidP="00E355CC" w:rsidRDefault="00464384">
      <w:pPr>
        <w:rPr>
          <w:rFonts w:ascii="宋体" w:hAnsi="宋体"/>
          <w:szCs w:val="21"/>
        </w:rPr>
      </w:pPr>
    </w:p>
    <w:p w:rsidRPr="00C11FF9" w:rsidR="00D64F8F" w:rsidP="00436940" w:rsidRDefault="00D64F8F">
      <w:pPr>
        <w:ind w:right="480" w:firstLine="420" w:firstLineChars="200"/>
        <w:rPr>
          <w:rFonts w:ascii="宋体" w:hAnsi="宋体"/>
          <w:szCs w:val="21"/>
        </w:rPr>
      </w:pPr>
      <w:r w:rsidRPr="00C11FF9">
        <w:rPr>
          <w:rFonts w:ascii="宋体" w:hAnsi="宋体"/>
          <w:szCs w:val="21"/>
        </w:rPr>
        <w:t>本基金本报告期末未持有因认购新发/增发流通受限证券。</w:t>
      </w:r>
    </w:p>
    <w:p w:rsidRPr="00C11FF9" w:rsidR="00816E91" w:rsidP="003B4CEC" w:rsidRDefault="00816E91">
      <w:pPr>
        <w:numPr>
          <w:ilvl w:val="3"/>
          <w:numId w:val="1"/>
        </w:numPr>
        <w:ind w:left="995" w:hanging="995" w:hangingChars="472"/>
        <w:outlineLvl w:val="3"/>
        <w:rPr>
          <w:rFonts w:ascii="宋体" w:hAnsi="宋体"/>
          <w:b/>
          <w:szCs w:val="21"/>
        </w:rPr>
      </w:pPr>
      <w:r w:rsidRPr="00C11FF9">
        <w:rPr>
          <w:rFonts w:hint="eastAsia" w:ascii="宋体" w:hAnsi="宋体"/>
          <w:b/>
          <w:szCs w:val="21"/>
        </w:rPr>
        <w:t>期末持有的暂时停牌股票</w:t>
      </w:r>
    </w:p>
    <w:p w:rsidRPr="00C11FF9" w:rsidR="00D64F8F" w:rsidP="00436940" w:rsidRDefault="00D64F8F">
      <w:pPr>
        <w:ind w:right="480" w:firstLine="420" w:firstLineChars="200"/>
        <w:rPr>
          <w:rFonts w:ascii="宋体" w:hAnsi="宋体"/>
          <w:szCs w:val="21"/>
        </w:rPr>
      </w:pPr>
      <w:r w:rsidRPr="00C11FF9">
        <w:rPr>
          <w:rFonts w:ascii="宋体" w:hAnsi="宋体"/>
          <w:szCs w:val="21"/>
        </w:rPr>
        <w:t>本基金本期末未持有暂时停牌等流通受限股票。</w:t>
      </w:r>
    </w:p>
    <w:p w:rsidRPr="00C11FF9" w:rsidR="00816E91" w:rsidP="003B4CEC" w:rsidRDefault="00816E91">
      <w:pPr>
        <w:numPr>
          <w:ilvl w:val="3"/>
          <w:numId w:val="1"/>
        </w:numPr>
        <w:ind w:left="995" w:hanging="995" w:hangingChars="472"/>
        <w:outlineLvl w:val="3"/>
        <w:rPr>
          <w:rFonts w:ascii="宋体" w:hAnsi="宋体"/>
          <w:b/>
          <w:szCs w:val="21"/>
        </w:rPr>
      </w:pPr>
      <w:r w:rsidRPr="00C11FF9">
        <w:rPr>
          <w:rFonts w:hint="eastAsia" w:ascii="宋体" w:hAnsi="宋体"/>
          <w:b/>
          <w:szCs w:val="21"/>
        </w:rPr>
        <w:t>期末债券正回购交易中作为抵押的债券</w:t>
      </w:r>
    </w:p>
    <w:p w:rsidRPr="00C11FF9" w:rsidR="00816E91" w:rsidP="00686B00" w:rsidRDefault="00816E91">
      <w:pPr>
        <w:numPr>
          <w:ilvl w:val="4"/>
          <w:numId w:val="1"/>
        </w:numPr>
        <w:rPr>
          <w:rFonts w:ascii="宋体" w:hAnsi="宋体"/>
          <w:szCs w:val="21"/>
          <w:lang w:val="en-AU"/>
        </w:rPr>
      </w:pPr>
      <w:r w:rsidRPr="00C11FF9">
        <w:rPr>
          <w:rFonts w:hint="eastAsia" w:ascii="宋体" w:hAnsi="宋体"/>
          <w:b/>
          <w:szCs w:val="21"/>
        </w:rPr>
        <w:t>银行间市场债券正回购</w:t>
      </w:r>
    </w:p>
    <w:p w:rsidRPr="00C11FF9" w:rsidR="00D64F8F" w:rsidP="005C4780" w:rsidRDefault="00D64F8F">
      <w:pPr>
        <w:ind w:right="480" w:firstLine="420" w:firstLineChars="200"/>
        <w:rPr>
          <w:rFonts w:ascii="宋体" w:hAnsi="宋体"/>
          <w:szCs w:val="21"/>
        </w:rPr>
      </w:pPr>
      <w:r w:rsidRPr="00C11FF9">
        <w:rPr>
          <w:rFonts w:ascii="宋体" w:hAnsi="宋体"/>
          <w:szCs w:val="21"/>
        </w:rPr>
        <w:t>-</w:t>
      </w:r>
    </w:p>
    <w:p w:rsidRPr="00C11FF9" w:rsidR="00D64F8F" w:rsidP="00436940" w:rsidRDefault="00D64F8F">
      <w:pPr>
        <w:ind w:right="480" w:firstLine="420" w:firstLineChars="200"/>
        <w:rPr>
          <w:rFonts w:ascii="宋体" w:hAnsi="宋体"/>
          <w:szCs w:val="21"/>
        </w:rPr>
      </w:pPr>
      <w:r w:rsidRPr="00C11FF9">
        <w:rPr>
          <w:rFonts w:ascii="宋体" w:hAnsi="宋体"/>
          <w:szCs w:val="21"/>
        </w:rPr>
        <w:t>本基金本报告期末无从事银行间债券正回购交易形成的卖出回购证券款余额。</w:t>
      </w:r>
    </w:p>
    <w:p w:rsidRPr="00C11FF9" w:rsidR="00816E91" w:rsidP="00824B1C" w:rsidRDefault="00816E91">
      <w:pPr>
        <w:numPr>
          <w:ilvl w:val="4"/>
          <w:numId w:val="1"/>
        </w:numPr>
        <w:rPr>
          <w:rFonts w:ascii="宋体" w:hAnsi="宋体"/>
          <w:szCs w:val="21"/>
          <w:lang w:val="en-AU"/>
        </w:rPr>
      </w:pPr>
      <w:r w:rsidRPr="00C11FF9">
        <w:rPr>
          <w:rFonts w:hint="eastAsia" w:ascii="宋体" w:hAnsi="宋体"/>
          <w:b/>
          <w:szCs w:val="21"/>
        </w:rPr>
        <w:t>交易所市场债券正回购</w:t>
      </w:r>
    </w:p>
    <w:p w:rsidRPr="00C11FF9" w:rsidR="00D64F8F" w:rsidP="00436940" w:rsidRDefault="00D64F8F">
      <w:pPr>
        <w:ind w:right="480" w:firstLine="420" w:firstLineChars="200"/>
        <w:rPr>
          <w:rFonts w:ascii="宋体" w:hAnsi="宋体"/>
          <w:szCs w:val="21"/>
        </w:rPr>
      </w:pPr>
      <w:r w:rsidRPr="00C11FF9">
        <w:rPr>
          <w:rFonts w:ascii="宋体" w:hAnsi="宋体"/>
          <w:szCs w:val="21"/>
        </w:rPr>
        <w:t>本基金本报告期末无从事交易所债券正回购交易形成的卖出回购证券款余额。</w:t>
      </w:r>
    </w:p>
    <w:p w:rsidRPr="00C11FF9" w:rsidR="00D96671" w:rsidP="003B4CEC" w:rsidRDefault="00D96671">
      <w:pPr>
        <w:numPr>
          <w:ilvl w:val="2"/>
          <w:numId w:val="1"/>
        </w:numPr>
        <w:ind w:left="713" w:hanging="713" w:hangingChars="338"/>
        <w:outlineLvl w:val="2"/>
        <w:rPr>
          <w:rFonts w:ascii="宋体" w:hAnsi="宋体"/>
          <w:b/>
          <w:szCs w:val="21"/>
        </w:rPr>
      </w:pPr>
      <w:r w:rsidRPr="00C11FF9">
        <w:rPr>
          <w:rFonts w:hint="eastAsia" w:ascii="宋体" w:hAnsi="宋体"/>
          <w:b/>
          <w:szCs w:val="21"/>
        </w:rPr>
        <w:lastRenderedPageBreak/>
        <w:t>有助于理解和分析会计报表需要说明的其他事项</w:t>
      </w:r>
    </w:p>
    <w:p w:rsidRPr="00C11FF9" w:rsidR="00832692" w:rsidP="00436940" w:rsidRDefault="00832692">
      <w:pPr>
        <w:ind w:right="480" w:firstLine="420" w:firstLineChars="200"/>
        <w:rPr>
          <w:rFonts w:ascii="宋体" w:hAnsi="宋体"/>
          <w:szCs w:val="21"/>
        </w:rPr>
      </w:pPr>
      <w:r w:rsidRPr="00C11FF9">
        <w:rPr>
          <w:rFonts w:ascii="宋体" w:hAnsi="宋体"/>
          <w:szCs w:val="21"/>
        </w:rPr>
        <w:t>(1) 以公允价值计量的资产和负债</w:t>
      </w:r>
    </w:p>
    <w:p w:rsidRPr="00C11FF9" w:rsidR="00832692" w:rsidP="00436940" w:rsidRDefault="00832692">
      <w:pPr>
        <w:ind w:right="480" w:firstLine="420" w:firstLineChars="200"/>
        <w:rPr>
          <w:rFonts w:ascii="宋体" w:hAnsi="宋体"/>
          <w:szCs w:val="21"/>
        </w:rPr>
      </w:pPr>
      <w:r w:rsidRPr="00C11FF9">
        <w:rPr>
          <w:rFonts w:ascii="宋体" w:hAnsi="宋体"/>
          <w:szCs w:val="21"/>
        </w:rPr>
        <w:t>如下列示了本基金在每个资产负债表日持续和非持续以公允价值计量的资产和负债于本报告期末的公允价值信息及其公允价值计量的层次。公允价值计量结果所属层次取决于对公允价值计量整体而言具有重要意义的最低层次的输入值。三个层次输入值的定义如下:</w:t>
      </w:r>
    </w:p>
    <w:p w:rsidRPr="00C11FF9" w:rsidR="00832692" w:rsidP="00436940" w:rsidRDefault="00832692">
      <w:pPr>
        <w:ind w:right="480" w:firstLine="420" w:firstLineChars="200"/>
        <w:rPr>
          <w:rFonts w:ascii="宋体" w:hAnsi="宋体"/>
          <w:szCs w:val="21"/>
        </w:rPr>
      </w:pPr>
      <w:r w:rsidRPr="00C11FF9">
        <w:rPr>
          <w:rFonts w:ascii="宋体" w:hAnsi="宋体"/>
          <w:szCs w:val="21"/>
        </w:rPr>
        <w:t>第一层次输入值: 在计量日能够取得的相同资产或负债在活跃市场上未经调整的报价;</w:t>
      </w:r>
    </w:p>
    <w:p w:rsidRPr="00C11FF9" w:rsidR="00832692" w:rsidP="00436940" w:rsidRDefault="00832692">
      <w:pPr>
        <w:ind w:right="480" w:firstLine="420" w:firstLineChars="200"/>
        <w:rPr>
          <w:rFonts w:ascii="宋体" w:hAnsi="宋体"/>
          <w:szCs w:val="21"/>
        </w:rPr>
      </w:pPr>
      <w:r w:rsidRPr="00C11FF9">
        <w:rPr>
          <w:rFonts w:ascii="宋体" w:hAnsi="宋体"/>
          <w:szCs w:val="21"/>
        </w:rPr>
        <w:t>第二层次输入值: 除第一层次输入值外相关资产或负债直接或间接可观察到的输入值;</w:t>
      </w:r>
    </w:p>
    <w:p w:rsidRPr="00C11FF9" w:rsidR="00832692" w:rsidP="00436940" w:rsidRDefault="00832692">
      <w:pPr>
        <w:ind w:right="480" w:firstLine="420" w:firstLineChars="200"/>
        <w:rPr>
          <w:rFonts w:ascii="宋体" w:hAnsi="宋体"/>
          <w:szCs w:val="21"/>
        </w:rPr>
      </w:pPr>
      <w:r w:rsidRPr="00C11FF9">
        <w:rPr>
          <w:rFonts w:ascii="宋体" w:hAnsi="宋体"/>
          <w:szCs w:val="21"/>
        </w:rPr>
        <w:t>第三层次输入值: 相关资产或负债的不可观察输入值。</w:t>
      </w:r>
    </w:p>
    <w:p w:rsidRPr="00C11FF9" w:rsidR="00832692" w:rsidP="00436940" w:rsidRDefault="00832692">
      <w:pPr>
        <w:ind w:right="480" w:firstLine="420" w:firstLineChars="200"/>
        <w:rPr>
          <w:rFonts w:ascii="宋体" w:hAnsi="宋体"/>
          <w:szCs w:val="21"/>
        </w:rPr>
      </w:pPr>
      <w:r w:rsidRPr="00C11FF9">
        <w:rPr>
          <w:rFonts w:ascii="宋体" w:hAnsi="宋体"/>
          <w:szCs w:val="21"/>
        </w:rPr>
        <w:t>于2019年6月30日,本基金持有的以公允价值计量且其变动计入当期损益的金融工具中属于第一层次的余额为人民币8,732,608.31元,无属于第二层次和第三层次的余额(2018年12月31日:属于第一层次的余额为人民币8,569,958.81元,无属于第二层次和第三层次的余额)。</w:t>
      </w:r>
    </w:p>
    <w:p w:rsidRPr="00C11FF9" w:rsidR="00832692" w:rsidP="00436940" w:rsidRDefault="00832692">
      <w:pPr>
        <w:ind w:right="480" w:firstLine="420" w:firstLineChars="200"/>
        <w:rPr>
          <w:rFonts w:ascii="宋体" w:hAnsi="宋体"/>
          <w:szCs w:val="21"/>
        </w:rPr>
      </w:pPr>
      <w:r w:rsidRPr="00C11FF9">
        <w:rPr>
          <w:rFonts w:ascii="宋体" w:hAnsi="宋体"/>
          <w:szCs w:val="21"/>
        </w:rPr>
        <w:t>(a) 第二层次的公允价值计量</w:t>
      </w:r>
    </w:p>
    <w:p w:rsidRPr="00C11FF9" w:rsidR="00832692" w:rsidP="00436940" w:rsidRDefault="00832692">
      <w:pPr>
        <w:ind w:right="480" w:firstLine="420" w:firstLineChars="200"/>
        <w:rPr>
          <w:rFonts w:ascii="宋体" w:hAnsi="宋体"/>
          <w:szCs w:val="21"/>
        </w:rPr>
      </w:pPr>
      <w:r w:rsidRPr="00C11FF9">
        <w:rPr>
          <w:rFonts w:ascii="宋体" w:hAnsi="宋体"/>
          <w:szCs w:val="21"/>
        </w:rPr>
        <w:t>对于本基金投资的证券交易所上市的证券,若出现重大事项停牌、交易不活跃 (包括涨跌停时的交易不活跃) 、或属于非公开发行等情况时,本基金不会于停牌期间、交易不活跃期间及限售期间将相关证券的公允价值列入第一层次。本基金综合考虑估值调整中采用的不可观察输入值对于公允价值的影响程度,确定相关证券公允价值的层次。</w:t>
      </w:r>
    </w:p>
    <w:p w:rsidRPr="00C11FF9" w:rsidR="00832692" w:rsidP="00436940" w:rsidRDefault="00832692">
      <w:pPr>
        <w:ind w:right="480" w:firstLine="420" w:firstLineChars="200"/>
        <w:rPr>
          <w:rFonts w:ascii="宋体" w:hAnsi="宋体"/>
          <w:szCs w:val="21"/>
        </w:rPr>
      </w:pPr>
      <w:r w:rsidRPr="00C11FF9">
        <w:rPr>
          <w:rFonts w:ascii="宋体" w:hAnsi="宋体"/>
          <w:szCs w:val="21"/>
        </w:rPr>
        <w:t>(b) 非持续的以公允价值计量的金融工具</w:t>
      </w:r>
    </w:p>
    <w:p w:rsidRPr="00C11FF9" w:rsidR="00832692" w:rsidP="00436940" w:rsidRDefault="00832692">
      <w:pPr>
        <w:ind w:right="480" w:firstLine="420" w:firstLineChars="200"/>
        <w:rPr>
          <w:rFonts w:ascii="宋体" w:hAnsi="宋体"/>
          <w:szCs w:val="21"/>
        </w:rPr>
      </w:pPr>
      <w:r w:rsidRPr="00C11FF9">
        <w:rPr>
          <w:rFonts w:ascii="宋体" w:hAnsi="宋体"/>
          <w:szCs w:val="21"/>
        </w:rPr>
        <w:t>于2019年6月30日,本基金无非持续的以公允价值计量的金融工具(2018年12月31日:无)。</w:t>
      </w:r>
    </w:p>
    <w:p w:rsidRPr="00C11FF9" w:rsidR="00832692" w:rsidP="00436940" w:rsidRDefault="00832692">
      <w:pPr>
        <w:ind w:right="480" w:firstLine="420" w:firstLineChars="200"/>
        <w:rPr>
          <w:rFonts w:ascii="宋体" w:hAnsi="宋体"/>
          <w:szCs w:val="21"/>
        </w:rPr>
      </w:pPr>
      <w:r w:rsidRPr="00C11FF9">
        <w:rPr>
          <w:rFonts w:ascii="宋体" w:hAnsi="宋体"/>
          <w:szCs w:val="21"/>
        </w:rPr>
        <w:t>(2) 其他金融工具的公允价值 (非以公允价值计量的项目)</w:t>
      </w:r>
    </w:p>
    <w:p w:rsidRPr="00C11FF9" w:rsidR="00832692" w:rsidP="00436940" w:rsidRDefault="00832692">
      <w:pPr>
        <w:ind w:right="480" w:firstLine="420" w:firstLineChars="200"/>
        <w:rPr>
          <w:rFonts w:ascii="宋体" w:hAnsi="宋体"/>
          <w:szCs w:val="21"/>
        </w:rPr>
      </w:pPr>
      <w:r w:rsidRPr="00C11FF9">
        <w:rPr>
          <w:rFonts w:ascii="宋体" w:hAnsi="宋体"/>
          <w:szCs w:val="21"/>
        </w:rPr>
        <w:t>其他金融工具主要包括应收账款和其他金融负债，其账面价值与公允价值之间无重大差异。</w:t>
      </w:r>
    </w:p>
    <w:p w:rsidRPr="00C11FF9" w:rsidR="00832692" w:rsidP="00436940" w:rsidRDefault="00832692">
      <w:pPr>
        <w:ind w:right="480" w:firstLine="420" w:firstLineChars="200"/>
        <w:rPr>
          <w:rFonts w:ascii="宋体" w:hAnsi="宋体"/>
          <w:szCs w:val="21"/>
        </w:rPr>
      </w:pPr>
      <w:r w:rsidRPr="00C11FF9">
        <w:rPr>
          <w:rFonts w:ascii="宋体" w:hAnsi="宋体"/>
          <w:szCs w:val="21"/>
        </w:rPr>
        <w:t>（3）除以上事项外，截至本报告期末本基金无需说明的其他重要事项。</w:t>
      </w:r>
    </w:p>
    <w:p w:rsidRPr="00C11FF9" w:rsidR="00D96671" w:rsidP="00E50060" w:rsidRDefault="00D96671">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t>投资组合报告</w:t>
      </w:r>
    </w:p>
    <w:p w:rsidRPr="00C11FF9" w:rsidR="00D96671" w:rsidP="00686B00" w:rsidRDefault="00D96671">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期末基金资产组合情况</w:t>
      </w:r>
    </w:p>
    <w:p w:rsidRPr="00C11FF9" w:rsidR="00D96671" w:rsidP="00E355CC" w:rsidRDefault="00D96671">
      <w:pPr>
        <w:ind w:right="60"/>
        <w:jc w:val="right"/>
        <w:rPr>
          <w:rFonts w:ascii="宋体" w:hAnsi="宋体"/>
          <w:bCs/>
          <w:szCs w:val="21"/>
        </w:rPr>
      </w:pPr>
      <w:r w:rsidRPr="00C11FF9">
        <w:rPr>
          <w:rFonts w:hint="eastAsia" w:ascii="宋体" w:hAnsi="宋体"/>
          <w:bCs/>
          <w:szCs w:val="21"/>
        </w:rPr>
        <w:t>金额单位：人民币元</w:t>
      </w:r>
    </w:p>
    <w:tbl>
      <w:tblPr>
        <w:tblW w:w="5000" w:type="pct"/>
        <w:tblLook w:val="01E0" w:firstRow="1" w:lastRow="1" w:firstColumn="1" w:lastColumn="1" w:noHBand="0" w:noVBand="0"/>
      </w:tblPr>
      <w:tblGrid>
        <w:gridCol w:w="862"/>
        <w:gridCol w:w="3924"/>
        <w:gridCol w:w="2779"/>
        <w:gridCol w:w="2011"/>
      </w:tblGrid>
      <w:tr w:rsidRPr="00C11FF9" w:rsidR="00D96671"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D96671" w:rsidP="00727EDE" w:rsidRDefault="00D96671">
            <w:pPr>
              <w:jc w:val="center"/>
              <w:rPr>
                <w:rFonts w:ascii="宋体" w:hAnsi="宋体"/>
                <w:szCs w:val="21"/>
              </w:rPr>
            </w:pPr>
            <w:r w:rsidRPr="00C11FF9">
              <w:rPr>
                <w:rFonts w:hint="eastAsia" w:ascii="宋体" w:hAnsi="宋体"/>
                <w:szCs w:val="21"/>
              </w:rPr>
              <w:t>序号</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D96671" w:rsidP="00727EDE" w:rsidRDefault="00D96671">
            <w:pPr>
              <w:jc w:val="center"/>
              <w:rPr>
                <w:rFonts w:ascii="宋体" w:hAnsi="宋体"/>
                <w:szCs w:val="21"/>
              </w:rPr>
            </w:pPr>
            <w:r w:rsidRPr="00C11FF9">
              <w:rPr>
                <w:rFonts w:hint="eastAsia" w:ascii="宋体" w:hAnsi="宋体"/>
                <w:szCs w:val="21"/>
              </w:rPr>
              <w:t>项目</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D96671" w:rsidP="00727EDE" w:rsidRDefault="00D96671">
            <w:pPr>
              <w:jc w:val="center"/>
              <w:rPr>
                <w:rFonts w:ascii="宋体" w:hAnsi="宋体"/>
                <w:szCs w:val="21"/>
              </w:rPr>
            </w:pPr>
            <w:r w:rsidRPr="00C11FF9">
              <w:rPr>
                <w:rFonts w:hint="eastAsia" w:ascii="宋体" w:hAnsi="宋体"/>
                <w:szCs w:val="21"/>
              </w:rPr>
              <w:t>金额</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D96671" w:rsidP="00727EDE" w:rsidRDefault="00D96671">
            <w:pPr>
              <w:jc w:val="center"/>
              <w:rPr>
                <w:rFonts w:ascii="宋体" w:hAnsi="宋体"/>
                <w:szCs w:val="21"/>
              </w:rPr>
            </w:pPr>
            <w:r w:rsidRPr="00C11FF9">
              <w:rPr>
                <w:rFonts w:hint="eastAsia" w:ascii="宋体" w:hAnsi="宋体"/>
                <w:szCs w:val="21"/>
              </w:rPr>
              <w:t>占基金总资产的比例（%）</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r w:rsidRPr="00C11FF9">
              <w:rPr>
                <w:rFonts w:hint="eastAsia" w:ascii="宋体" w:hAnsi="宋体"/>
                <w:szCs w:val="21"/>
              </w:rPr>
              <w:t>1</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权益投资</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其中：普通股</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C11FF9" w:rsidRDefault="006103D4">
            <w:pPr>
              <w:ind w:firstLine="630" w:firstLineChars="300"/>
              <w:rPr>
                <w:rFonts w:ascii="宋体" w:hAnsi="宋体"/>
                <w:szCs w:val="21"/>
              </w:rPr>
            </w:pPr>
            <w:r w:rsidRPr="00C11FF9">
              <w:rPr>
                <w:rFonts w:hint="eastAsia" w:ascii="宋体" w:hAnsi="宋体"/>
                <w:szCs w:val="21"/>
              </w:rPr>
              <w:t>存托凭证</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r w:rsidRPr="00C11FF9">
              <w:rPr>
                <w:rFonts w:hint="eastAsia" w:ascii="宋体" w:hAnsi="宋体"/>
                <w:szCs w:val="21"/>
              </w:rPr>
              <w:t>2</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基金投资</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ind w:right="-8" w:rightChars="-4"/>
              <w:jc w:val="right"/>
              <w:rPr>
                <w:rFonts w:ascii="宋体" w:hAnsi="宋体"/>
                <w:szCs w:val="21"/>
              </w:rPr>
            </w:pPr>
            <w:r w:rsidRPr="00C11FF9">
              <w:rPr>
                <w:rFonts w:ascii="宋体" w:hAnsi="宋体"/>
                <w:szCs w:val="21"/>
              </w:rPr>
              <w:t>8,732,608.31</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tabs>
                <w:tab w:val="center" w:pos="2493"/>
              </w:tabs>
              <w:jc w:val="right"/>
              <w:rPr>
                <w:rFonts w:ascii="宋体" w:hAnsi="宋体"/>
                <w:szCs w:val="21"/>
              </w:rPr>
            </w:pPr>
            <w:r w:rsidRPr="00C11FF9">
              <w:rPr>
                <w:rFonts w:ascii="宋体" w:hAnsi="宋体"/>
                <w:szCs w:val="21"/>
              </w:rPr>
              <w:t>88.77</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r w:rsidRPr="00C11FF9">
              <w:rPr>
                <w:rFonts w:hint="eastAsia" w:ascii="宋体" w:hAnsi="宋体"/>
                <w:szCs w:val="21"/>
              </w:rPr>
              <w:t>3</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固定收益投资</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832692">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其中：债券</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C11FF9" w:rsidRDefault="006103D4">
            <w:pPr>
              <w:ind w:firstLine="630" w:firstLineChars="300"/>
              <w:rPr>
                <w:rFonts w:ascii="宋体" w:hAnsi="宋体"/>
                <w:szCs w:val="21"/>
              </w:rPr>
            </w:pPr>
            <w:r w:rsidRPr="00C11FF9">
              <w:rPr>
                <w:rFonts w:hint="eastAsia" w:ascii="宋体" w:hAnsi="宋体"/>
                <w:szCs w:val="21"/>
              </w:rPr>
              <w:t>资产支持证券</w:t>
            </w:r>
          </w:p>
        </w:tc>
        <w:tc>
          <w:tcPr>
            <w:tcW w:w="1451" w:type="pct"/>
            <w:tcBorders>
              <w:top w:val="single" w:color="auto" w:sz="4" w:space="0"/>
              <w:left w:val="single" w:color="auto" w:sz="4" w:space="0"/>
              <w:bottom w:val="single" w:color="auto" w:sz="4" w:space="0"/>
              <w:right w:val="single" w:color="auto" w:sz="4" w:space="0"/>
            </w:tcBorders>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r w:rsidRPr="00C11FF9">
              <w:rPr>
                <w:rFonts w:hint="eastAsia" w:ascii="宋体" w:hAnsi="宋体"/>
                <w:szCs w:val="21"/>
              </w:rPr>
              <w:t>4</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金融衍生品投资</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其中：远期</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C11FF9" w:rsidRDefault="006103D4">
            <w:pPr>
              <w:ind w:firstLine="630" w:firstLineChars="300"/>
              <w:rPr>
                <w:rFonts w:ascii="宋体" w:hAnsi="宋体"/>
                <w:szCs w:val="21"/>
              </w:rPr>
            </w:pPr>
            <w:r w:rsidRPr="00C11FF9">
              <w:rPr>
                <w:rFonts w:hint="eastAsia" w:ascii="宋体" w:hAnsi="宋体"/>
                <w:szCs w:val="21"/>
              </w:rPr>
              <w:t>期货</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C11FF9" w:rsidRDefault="006103D4">
            <w:pPr>
              <w:ind w:firstLine="630" w:firstLineChars="300"/>
              <w:rPr>
                <w:rFonts w:ascii="宋体" w:hAnsi="宋体"/>
                <w:szCs w:val="21"/>
              </w:rPr>
            </w:pPr>
            <w:r w:rsidRPr="00C11FF9">
              <w:rPr>
                <w:rFonts w:hint="eastAsia" w:ascii="宋体" w:hAnsi="宋体"/>
                <w:szCs w:val="21"/>
              </w:rPr>
              <w:t>期权</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C11FF9" w:rsidRDefault="006103D4">
            <w:pPr>
              <w:ind w:firstLine="630" w:firstLineChars="300"/>
              <w:rPr>
                <w:rFonts w:ascii="宋体" w:hAnsi="宋体"/>
                <w:szCs w:val="21"/>
              </w:rPr>
            </w:pPr>
            <w:r w:rsidRPr="00C11FF9">
              <w:rPr>
                <w:rFonts w:hint="eastAsia" w:ascii="宋体" w:hAnsi="宋体"/>
                <w:szCs w:val="21"/>
              </w:rPr>
              <w:t>权证</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r w:rsidRPr="00C11FF9">
              <w:rPr>
                <w:rFonts w:hint="eastAsia" w:ascii="宋体" w:hAnsi="宋体"/>
                <w:szCs w:val="21"/>
              </w:rPr>
              <w:t>5</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买入返售金融资产</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其中：买断式回购的买入返售金融资产</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r w:rsidRPr="00C11FF9">
              <w:rPr>
                <w:rFonts w:hint="eastAsia" w:ascii="宋体" w:hAnsi="宋体"/>
                <w:szCs w:val="21"/>
              </w:rPr>
              <w:t>6</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货币市场工具</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jc w:val="center"/>
              <w:rPr>
                <w:rFonts w:ascii="宋体" w:hAnsi="宋体"/>
                <w:szCs w:val="21"/>
              </w:rPr>
            </w:pPr>
            <w:r w:rsidRPr="00C11FF9">
              <w:rPr>
                <w:rFonts w:hint="eastAsia" w:ascii="宋体" w:hAnsi="宋体"/>
                <w:szCs w:val="21"/>
              </w:rPr>
              <w:t>7</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widowControl/>
              <w:rPr>
                <w:rFonts w:ascii="宋体" w:hAnsi="宋体" w:cs="宋体"/>
                <w:kern w:val="0"/>
                <w:szCs w:val="21"/>
              </w:rPr>
            </w:pPr>
            <w:r w:rsidRPr="00C11FF9">
              <w:rPr>
                <w:rFonts w:hint="eastAsia" w:ascii="宋体" w:hAnsi="宋体"/>
                <w:szCs w:val="21"/>
              </w:rPr>
              <w:t>银行存款和</w:t>
            </w:r>
            <w:r w:rsidRPr="00C11FF9">
              <w:rPr>
                <w:rFonts w:hint="eastAsia" w:ascii="宋体" w:hAnsi="宋体" w:cs="Arial Unicode MS"/>
                <w:szCs w:val="21"/>
              </w:rPr>
              <w:t>结算</w:t>
            </w:r>
            <w:r w:rsidRPr="00C11FF9">
              <w:rPr>
                <w:rFonts w:hint="eastAsia" w:ascii="宋体" w:hAnsi="宋体"/>
                <w:szCs w:val="21"/>
              </w:rPr>
              <w:t>备付金合计</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821,890.64</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8.36</w:t>
            </w:r>
          </w:p>
        </w:tc>
      </w:tr>
    </w:tbl>
    <w:tbl>
      <w:tblPr>
        <w:tblW w:w="5000" w:type="pct"/>
        <w:tblLook w:val="01E0" w:firstRow="1" w:lastRow="1" w:firstColumn="1" w:lastColumn="1" w:noHBand="0" w:noVBand="0"/>
      </w:tblPr>
      <w:tblGrid>
        <w:gridCol w:w="862"/>
        <w:gridCol w:w="3924"/>
        <w:gridCol w:w="2779"/>
        <w:gridCol w:w="2011"/>
      </w:tblGrid>
    </w:tbl>
    <w:tbl>
      <w:tblPr>
        <w:tblW w:w="5000" w:type="pct"/>
        <w:tblLook w:val="01E0" w:firstRow="1" w:lastRow="1" w:firstColumn="1" w:lastColumn="1" w:noHBand="0" w:noVBand="0"/>
      </w:tblPr>
      <w:tblGrid>
        <w:gridCol w:w="862"/>
        <w:gridCol w:w="3924"/>
        <w:gridCol w:w="2779"/>
        <w:gridCol w:w="2011"/>
      </w:tblGrid>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3B394E">
            <w:pPr>
              <w:jc w:val="center"/>
              <w:rPr>
                <w:rFonts w:ascii="宋体" w:hAnsi="宋体"/>
                <w:szCs w:val="21"/>
              </w:rPr>
            </w:pPr>
            <w:r>
              <w:rPr>
                <w:rFonts w:hint="eastAsia" w:ascii="宋体" w:hAnsi="宋体"/>
                <w:szCs w:val="21"/>
              </w:rPr>
              <w:t>8</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其他</w:t>
            </w:r>
            <w:r w:rsidRPr="00C11FF9" w:rsidR="007A64B3">
              <w:rPr>
                <w:rFonts w:hint="eastAsia" w:ascii="宋体" w:hAnsi="宋体"/>
                <w:szCs w:val="21"/>
              </w:rPr>
              <w:t>各项</w:t>
            </w:r>
            <w:r w:rsidRPr="00C11FF9">
              <w:rPr>
                <w:rFonts w:hint="eastAsia" w:ascii="宋体" w:hAnsi="宋体"/>
                <w:szCs w:val="21"/>
              </w:rPr>
              <w:t>资产</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282,391.67</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2.87</w:t>
            </w:r>
          </w:p>
        </w:tc>
      </w:tr>
      <w:tr w:rsidRPr="00C11FF9" w:rsidR="006103D4" w:rsidTr="00C30A43">
        <w:tc>
          <w:tcPr>
            <w:tcW w:w="4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3B394E">
            <w:pPr>
              <w:jc w:val="center"/>
              <w:rPr>
                <w:rFonts w:ascii="宋体" w:hAnsi="宋体"/>
                <w:szCs w:val="21"/>
              </w:rPr>
            </w:pPr>
            <w:r>
              <w:rPr>
                <w:rFonts w:hint="eastAsia" w:ascii="宋体" w:hAnsi="宋体"/>
                <w:szCs w:val="21"/>
              </w:rPr>
              <w:t>9</w:t>
            </w:r>
          </w:p>
        </w:tc>
        <w:tc>
          <w:tcPr>
            <w:tcW w:w="2049"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6103D4">
            <w:pPr>
              <w:rPr>
                <w:rFonts w:ascii="宋体" w:hAnsi="宋体"/>
                <w:szCs w:val="21"/>
              </w:rPr>
            </w:pPr>
            <w:r w:rsidRPr="00C11FF9">
              <w:rPr>
                <w:rFonts w:hint="eastAsia" w:ascii="宋体" w:hAnsi="宋体"/>
                <w:szCs w:val="21"/>
              </w:rPr>
              <w:t>合计</w:t>
            </w:r>
          </w:p>
        </w:tc>
        <w:tc>
          <w:tcPr>
            <w:tcW w:w="1451"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ind w:right="-8" w:rightChars="-4"/>
              <w:jc w:val="right"/>
              <w:rPr>
                <w:rFonts w:ascii="宋体" w:hAnsi="宋体"/>
                <w:szCs w:val="21"/>
              </w:rPr>
            </w:pPr>
            <w:r w:rsidRPr="00C11FF9">
              <w:rPr>
                <w:rFonts w:ascii="宋体" w:hAnsi="宋体"/>
                <w:szCs w:val="21"/>
              </w:rPr>
              <w:t>9,836,890.62</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6103D4" w:rsidP="00E355CC" w:rsidRDefault="00D221D1">
            <w:pPr>
              <w:tabs>
                <w:tab w:val="center" w:pos="2493"/>
              </w:tabs>
              <w:jc w:val="right"/>
              <w:rPr>
                <w:rFonts w:ascii="宋体" w:hAnsi="宋体"/>
                <w:szCs w:val="21"/>
              </w:rPr>
            </w:pPr>
            <w:r w:rsidRPr="00C11FF9">
              <w:rPr>
                <w:rFonts w:ascii="宋体" w:hAnsi="宋体"/>
                <w:szCs w:val="21"/>
              </w:rPr>
              <w:t>100.00</w:t>
            </w:r>
          </w:p>
        </w:tc>
      </w:tr>
    </w:tbl>
    <w:p w:rsidRPr="00C11FF9" w:rsidR="00D221D1" w:rsidP="00436940" w:rsidRDefault="00D221D1">
      <w:pPr>
        <w:ind w:right="480" w:firstLine="420" w:firstLineChars="200"/>
        <w:rPr>
          <w:rFonts w:ascii="宋体" w:hAnsi="宋体"/>
          <w:szCs w:val="21"/>
        </w:rPr>
      </w:pPr>
      <w:r w:rsidRPr="00C11FF9">
        <w:rPr>
          <w:rFonts w:ascii="宋体" w:hAnsi="宋体"/>
          <w:szCs w:val="21"/>
        </w:rPr>
        <w:t/>
      </w:r>
    </w:p>
    <w:p w:rsidRPr="00C11FF9" w:rsidR="00E13118" w:rsidP="00686B00" w:rsidRDefault="00BE513D">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期末在各个国家（地区）证券市场的权益投资分布</w:t>
      </w:r>
    </w:p>
    <w:p w:rsidRPr="00436940" w:rsidR="00B95CC6" w:rsidP="00436940" w:rsidRDefault="00B95CC6">
      <w:pPr>
        <w:ind w:right="480" w:firstLine="420" w:firstLineChars="200"/>
        <w:rPr>
          <w:rFonts w:ascii="宋体" w:hAnsi="宋体"/>
          <w:szCs w:val="21"/>
        </w:rPr>
      </w:pPr>
      <w:r w:rsidRPr="00436940">
        <w:rPr>
          <w:rFonts w:hint="eastAsia" w:ascii="宋体" w:hAnsi="宋体"/>
          <w:szCs w:val="21"/>
        </w:rPr>
        <w:t>本基金本报告期末未持有股票及存托凭证。</w:t>
      </w:r>
    </w:p>
    <w:p w:rsidRPr="00C11FF9" w:rsidR="00FA0F10" w:rsidP="00686B00" w:rsidRDefault="006776AA">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期末按行业分类的权益投资组合</w:t>
      </w:r>
    </w:p>
    <w:p w:rsidRPr="00C11FF9" w:rsidR="00D221D1" w:rsidP="00436940" w:rsidRDefault="00D221D1">
      <w:pPr>
        <w:ind w:right="480" w:firstLine="420" w:firstLineChars="200"/>
        <w:rPr>
          <w:rFonts w:ascii="宋体" w:hAnsi="宋体"/>
          <w:szCs w:val="21"/>
        </w:rPr>
      </w:pPr>
      <w:r w:rsidRPr="00C11FF9">
        <w:rPr>
          <w:rFonts w:ascii="宋体" w:hAnsi="宋体"/>
          <w:szCs w:val="21"/>
        </w:rPr>
        <w:t>本基金本报告期末未持有股票及存托凭证。</w:t>
      </w:r>
    </w:p>
    <w:p w:rsidRPr="00C11FF9" w:rsidR="006776AA" w:rsidP="00C43A35" w:rsidRDefault="006776AA">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期末按公允价值占基金资产净值比例大小排序的</w:t>
      </w:r>
      <w:r w:rsidRPr="00C11FF9" w:rsidR="009D508B">
        <w:rPr>
          <w:rFonts w:hint="eastAsia" w:ascii="宋体" w:hAnsi="宋体" w:eastAsia="宋体"/>
          <w:sz w:val="21"/>
          <w:szCs w:val="21"/>
        </w:rPr>
        <w:t>所有</w:t>
      </w:r>
      <w:r w:rsidRPr="00C11FF9">
        <w:rPr>
          <w:rFonts w:hint="eastAsia" w:ascii="宋体" w:hAnsi="宋体" w:eastAsia="宋体"/>
          <w:sz w:val="21"/>
          <w:szCs w:val="21"/>
        </w:rPr>
        <w:t>权益投资明细</w:t>
      </w:r>
    </w:p>
    <w:p w:rsidRPr="00C11FF9" w:rsidR="00D221D1" w:rsidP="009F54B8" w:rsidRDefault="00D221D1">
      <w:pPr>
        <w:ind w:right="480" w:firstLine="420" w:firstLineChars="200"/>
        <w:rPr>
          <w:rFonts w:ascii="宋体" w:hAnsi="宋体"/>
          <w:szCs w:val="21"/>
        </w:rPr>
      </w:pPr>
      <w:r w:rsidRPr="00C11FF9">
        <w:rPr>
          <w:rFonts w:ascii="宋体" w:hAnsi="宋体"/>
          <w:szCs w:val="21"/>
        </w:rPr>
        <w:t>本基金本报告期末未持有股票及存托凭证。</w:t>
      </w:r>
    </w:p>
    <w:p w:rsidRPr="00C11FF9" w:rsidR="006776AA" w:rsidP="00C43A35" w:rsidRDefault="006776AA">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报告期内权益投资组合的重大变动</w:t>
      </w:r>
    </w:p>
    <w:p w:rsidRPr="00C11FF9" w:rsidR="006776AA" w:rsidP="00C43A35" w:rsidRDefault="006776AA">
      <w:pPr>
        <w:numPr>
          <w:ilvl w:val="2"/>
          <w:numId w:val="1"/>
        </w:numPr>
        <w:ind w:left="709" w:hanging="709"/>
        <w:rPr>
          <w:rFonts w:ascii="宋体" w:hAnsi="宋体"/>
          <w:b/>
          <w:szCs w:val="21"/>
        </w:rPr>
      </w:pPr>
      <w:r w:rsidRPr="00C11FF9">
        <w:rPr>
          <w:rFonts w:hint="eastAsia" w:ascii="宋体" w:hAnsi="宋体"/>
          <w:b/>
          <w:szCs w:val="21"/>
        </w:rPr>
        <w:t>累计买入金额超出</w:t>
      </w:r>
      <w:r w:rsidRPr="00975175" w:rsidR="006359C2">
        <w:rPr>
          <w:rFonts w:hint="eastAsia" w:ascii="宋体" w:hAnsi="宋体"/>
          <w:b/>
          <w:szCs w:val="21"/>
        </w:rPr>
        <w:t>期初</w:t>
      </w:r>
      <w:r w:rsidRPr="00C11FF9">
        <w:rPr>
          <w:rFonts w:hint="eastAsia" w:ascii="宋体" w:hAnsi="宋体"/>
          <w:b/>
          <w:szCs w:val="21"/>
        </w:rPr>
        <w:t>基金资产净值</w:t>
      </w:r>
      <w:r w:rsidRPr="00C11FF9">
        <w:rPr>
          <w:rFonts w:ascii="宋体" w:hAnsi="宋体"/>
          <w:b/>
          <w:szCs w:val="21"/>
        </w:rPr>
        <w:t>2%</w:t>
      </w:r>
      <w:r w:rsidRPr="00C11FF9">
        <w:rPr>
          <w:rFonts w:hint="eastAsia" w:ascii="宋体" w:hAnsi="宋体"/>
          <w:b/>
          <w:szCs w:val="21"/>
        </w:rPr>
        <w:t>或前</w:t>
      </w:r>
      <w:r w:rsidRPr="00C11FF9">
        <w:rPr>
          <w:rFonts w:ascii="宋体" w:hAnsi="宋体"/>
          <w:b/>
          <w:szCs w:val="21"/>
        </w:rPr>
        <w:t>20</w:t>
      </w:r>
      <w:r w:rsidRPr="00C11FF9">
        <w:rPr>
          <w:rFonts w:hint="eastAsia" w:ascii="宋体" w:hAnsi="宋体"/>
          <w:b/>
          <w:szCs w:val="21"/>
        </w:rPr>
        <w:t>名的权益投资明细</w:t>
      </w:r>
    </w:p>
    <w:p w:rsidRPr="00C11FF9" w:rsidR="006776AA" w:rsidP="00E355CC" w:rsidRDefault="006776AA">
      <w:pPr>
        <w:ind w:right="60"/>
        <w:jc w:val="right"/>
        <w:rPr>
          <w:rFonts w:ascii="宋体" w:hAnsi="宋体"/>
          <w:bCs/>
          <w:szCs w:val="21"/>
        </w:rPr>
      </w:pPr>
      <w:r w:rsidRPr="00C11FF9">
        <w:rPr>
          <w:rFonts w:hint="eastAsia" w:ascii="宋体" w:hAnsi="宋体"/>
          <w:bCs/>
          <w:szCs w:val="21"/>
        </w:rPr>
        <w:t>金额单位：人民币元</w:t>
      </w:r>
    </w:p>
    <w:tbl>
      <w:tblPr>
        <w:tblW w:w="5000" w:type="pct"/>
        <w:tblLook w:val="01E0" w:firstRow="1" w:lastRow="1" w:firstColumn="1" w:lastColumn="1" w:noHBand="0" w:noVBand="0"/>
      </w:tblPr>
      <w:tblGrid>
        <w:gridCol w:w="958"/>
        <w:gridCol w:w="1915"/>
        <w:gridCol w:w="1915"/>
        <w:gridCol w:w="2394"/>
        <w:gridCol w:w="2394"/>
      </w:tblGrid>
      <w:tr w:rsidRPr="00C11FF9" w:rsidR="00004F06"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004F06">
            <w:pPr>
              <w:jc w:val="center"/>
              <w:rPr>
                <w:rFonts w:ascii="宋体" w:hAnsi="宋体"/>
                <w:szCs w:val="21"/>
              </w:rPr>
            </w:pPr>
            <w:r w:rsidRPr="00C11FF9">
              <w:rPr>
                <w:rFonts w:hint="eastAsia" w:ascii="宋体" w:hAnsi="宋体"/>
                <w:szCs w:val="21"/>
              </w:rPr>
              <w:t>序号</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370392" w:rsidRDefault="00004F06">
            <w:pPr>
              <w:jc w:val="center"/>
              <w:rPr>
                <w:rFonts w:ascii="宋体" w:hAnsi="宋体"/>
                <w:szCs w:val="21"/>
              </w:rPr>
            </w:pPr>
            <w:r w:rsidRPr="00C11FF9">
              <w:rPr>
                <w:rFonts w:hint="eastAsia" w:ascii="宋体" w:hAnsi="宋体"/>
                <w:szCs w:val="21"/>
              </w:rPr>
              <w:t>公司名称（英文）</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370392">
            <w:pPr>
              <w:jc w:val="center"/>
              <w:rPr>
                <w:rFonts w:ascii="宋体" w:hAnsi="宋体"/>
                <w:szCs w:val="21"/>
              </w:rPr>
            </w:pPr>
            <w:r w:rsidRPr="00C11FF9">
              <w:rPr>
                <w:rFonts w:hint="eastAsia" w:ascii="宋体" w:hAnsi="宋体"/>
                <w:szCs w:val="21"/>
              </w:rPr>
              <w:t>证券</w:t>
            </w:r>
            <w:r w:rsidRPr="00C11FF9" w:rsidR="00004F06">
              <w:rPr>
                <w:rFonts w:hint="eastAsia" w:ascii="宋体" w:hAnsi="宋体"/>
                <w:szCs w:val="21"/>
              </w:rPr>
              <w:t>代码</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004F06">
            <w:pPr>
              <w:jc w:val="center"/>
              <w:rPr>
                <w:rFonts w:ascii="宋体" w:hAnsi="宋体"/>
                <w:szCs w:val="21"/>
              </w:rPr>
            </w:pPr>
            <w:r w:rsidRPr="00C11FF9">
              <w:rPr>
                <w:rFonts w:hint="eastAsia" w:ascii="宋体" w:hAnsi="宋体"/>
                <w:szCs w:val="21"/>
              </w:rPr>
              <w:t>本期累计买入金额</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004F06">
            <w:pPr>
              <w:jc w:val="center"/>
              <w:rPr>
                <w:rFonts w:ascii="宋体" w:hAnsi="宋体"/>
                <w:szCs w:val="21"/>
              </w:rPr>
            </w:pPr>
            <w:r w:rsidRPr="00C11FF9">
              <w:rPr>
                <w:rFonts w:hint="eastAsia" w:ascii="宋体" w:hAnsi="宋体"/>
                <w:szCs w:val="21"/>
              </w:rPr>
              <w:t>占</w:t>
            </w:r>
            <w:r w:rsidRPr="00D55579" w:rsidR="006359C2">
              <w:rPr>
                <w:rFonts w:ascii="宋体" w:hAnsi="宋体"/>
                <w:szCs w:val="21"/>
              </w:rPr>
              <w:t>期初</w:t>
            </w:r>
            <w:r w:rsidRPr="00C11FF9">
              <w:rPr>
                <w:rFonts w:hint="eastAsia" w:ascii="宋体" w:hAnsi="宋体"/>
                <w:szCs w:val="21"/>
              </w:rPr>
              <w:t>基金资产净值比例（</w:t>
            </w:r>
            <w:r w:rsidRPr="00C11FF9" w:rsidR="00DE508E">
              <w:rPr>
                <w:rFonts w:hint="eastAsia" w:ascii="宋体" w:hAnsi="宋体"/>
                <w:szCs w:val="21"/>
              </w:rPr>
              <w:t>%</w:t>
            </w:r>
            <w:r w:rsidRPr="00C11FF9">
              <w:rPr>
                <w:rFonts w:hint="eastAsia" w:ascii="宋体" w:hAnsi="宋体"/>
                <w:szCs w:val="21"/>
              </w:rPr>
              <w:t>）</w:t>
            </w:r>
          </w:p>
        </w:tc>
      </w:tr>
      <w:tr w:rsidRPr="00C11FF9" w:rsidR="00004F06"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1</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CHINA EVERBRIGHT INTL LTD</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257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106,645.92</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1.16</w:t>
            </w:r>
          </w:p>
        </w:tc>
      </w:tr>
      <w:tr w:rsidRPr="00C11FF9" w:rsidR="00004F06"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2</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HAITONG SECURITIES CO LTDH</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6837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99,173.08</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1.08</w:t>
            </w:r>
          </w:p>
        </w:tc>
      </w:tr>
      <w:tr w:rsidRPr="00C11FF9" w:rsidR="00004F06"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3</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HUATAI SECURITIES CO LTDH</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6886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96,437.05</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1.05</w:t>
            </w:r>
          </w:p>
        </w:tc>
      </w:tr>
      <w:tr w:rsidRPr="00C11FF9" w:rsidR="00004F06"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4</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CHINA EVERBRIGHT GREENTECH L</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1257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40,497.13</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0.44</w:t>
            </w:r>
          </w:p>
        </w:tc>
      </w:tr>
      <w:tr w:rsidRPr="00C11FF9" w:rsidR="00004F06"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5</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CHINA TRADITIONAL CHINESE ME</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rPr>
                <w:rFonts w:ascii="宋体" w:hAnsi="宋体"/>
                <w:szCs w:val="21"/>
              </w:rPr>
            </w:pPr>
            <w:r w:rsidRPr="00C11FF9">
              <w:rPr>
                <w:rFonts w:ascii="宋体" w:hAnsi="宋体"/>
                <w:szCs w:val="21"/>
              </w:rPr>
              <w:t>570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24,626.79</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D221D1">
            <w:pPr>
              <w:jc w:val="right"/>
              <w:rPr>
                <w:rFonts w:ascii="宋体" w:hAnsi="宋体"/>
                <w:szCs w:val="21"/>
              </w:rPr>
            </w:pPr>
            <w:r w:rsidRPr="00C11FF9">
              <w:rPr>
                <w:rFonts w:ascii="宋体" w:hAnsi="宋体"/>
                <w:szCs w:val="21"/>
              </w:rPr>
              <w:t>0.27</w:t>
            </w:r>
          </w:p>
        </w:tc>
      </w:tr>
    </w:tbl>
    <w:p w:rsidRPr="00C11FF9" w:rsidR="00D221D1" w:rsidP="00436940" w:rsidRDefault="00544EA7">
      <w:pPr>
        <w:ind w:right="480" w:firstLine="420" w:firstLineChars="200"/>
        <w:rPr>
          <w:rFonts w:ascii="宋体" w:hAnsi="宋体"/>
          <w:szCs w:val="21"/>
        </w:rPr>
      </w:pPr>
      <w:r w:rsidRPr="00C11FF9">
        <w:rPr>
          <w:rFonts w:ascii="宋体" w:hAnsi="宋体"/>
          <w:szCs w:val="21"/>
        </w:rPr>
        <w:t>买入金额按成交金额(成交单价乘以成交数量)填列,不考虑相关交易费用。</w:t>
      </w:r>
    </w:p>
    <w:p w:rsidRPr="00C11FF9" w:rsidR="006776AA" w:rsidP="00C43A35" w:rsidRDefault="006776AA">
      <w:pPr>
        <w:numPr>
          <w:ilvl w:val="2"/>
          <w:numId w:val="1"/>
        </w:numPr>
        <w:ind w:left="709" w:hanging="709"/>
        <w:rPr>
          <w:rFonts w:ascii="宋体" w:hAnsi="宋体"/>
          <w:b/>
          <w:szCs w:val="21"/>
        </w:rPr>
      </w:pPr>
      <w:r w:rsidRPr="00C11FF9">
        <w:rPr>
          <w:rFonts w:hint="eastAsia" w:ascii="宋体" w:hAnsi="宋体"/>
          <w:b/>
          <w:szCs w:val="21"/>
        </w:rPr>
        <w:t>累计卖出金额超出</w:t>
      </w:r>
      <w:r w:rsidRPr="00975175" w:rsidR="006359C2">
        <w:rPr>
          <w:rFonts w:ascii="宋体" w:hAnsi="宋体"/>
          <w:b/>
          <w:szCs w:val="21"/>
        </w:rPr>
        <w:t>期初</w:t>
      </w:r>
      <w:r w:rsidRPr="00C11FF9">
        <w:rPr>
          <w:rFonts w:hint="eastAsia" w:ascii="宋体" w:hAnsi="宋体"/>
          <w:b/>
          <w:szCs w:val="21"/>
        </w:rPr>
        <w:t>基金资产净值2%或前20名的权益投资明细</w:t>
      </w:r>
    </w:p>
    <w:p w:rsidRPr="00C11FF9" w:rsidR="006776AA" w:rsidP="00E355CC" w:rsidRDefault="006776AA">
      <w:pPr>
        <w:ind w:right="60"/>
        <w:jc w:val="right"/>
        <w:rPr>
          <w:rFonts w:ascii="宋体" w:hAnsi="宋体"/>
          <w:bCs/>
          <w:szCs w:val="21"/>
        </w:rPr>
      </w:pPr>
      <w:r w:rsidRPr="00C11FF9">
        <w:rPr>
          <w:rFonts w:hint="eastAsia" w:ascii="宋体" w:hAnsi="宋体"/>
          <w:bCs/>
          <w:szCs w:val="21"/>
        </w:rPr>
        <w:t>金额单位：人民币元</w:t>
      </w:r>
    </w:p>
    <w:tbl>
      <w:tblPr>
        <w:tblW w:w="5000" w:type="pct"/>
        <w:tblLook w:val="01E0" w:firstRow="1" w:lastRow="1" w:firstColumn="1" w:lastColumn="1" w:noHBand="0" w:noVBand="0"/>
      </w:tblPr>
      <w:tblGrid>
        <w:gridCol w:w="958"/>
        <w:gridCol w:w="1915"/>
        <w:gridCol w:w="1915"/>
        <w:gridCol w:w="2394"/>
        <w:gridCol w:w="2394"/>
      </w:tblGrid>
      <w:tr w:rsidRPr="00C11FF9" w:rsidR="006776AA"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6776AA" w:rsidP="00E355CC" w:rsidRDefault="006776AA">
            <w:pPr>
              <w:jc w:val="center"/>
              <w:rPr>
                <w:rFonts w:ascii="宋体" w:hAnsi="宋体"/>
                <w:szCs w:val="21"/>
              </w:rPr>
            </w:pPr>
            <w:r w:rsidRPr="00C11FF9">
              <w:rPr>
                <w:rFonts w:hint="eastAsia" w:ascii="宋体" w:hAnsi="宋体"/>
                <w:szCs w:val="21"/>
              </w:rPr>
              <w:t>序号</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004F06" w:rsidP="00E355CC" w:rsidRDefault="00004F06">
            <w:pPr>
              <w:jc w:val="center"/>
              <w:rPr>
                <w:rFonts w:ascii="宋体" w:hAnsi="宋体"/>
                <w:szCs w:val="21"/>
              </w:rPr>
            </w:pPr>
            <w:r w:rsidRPr="00C11FF9">
              <w:rPr>
                <w:rFonts w:hint="eastAsia" w:ascii="宋体" w:hAnsi="宋体"/>
                <w:szCs w:val="21"/>
              </w:rPr>
              <w:t>公司名称</w:t>
            </w:r>
          </w:p>
          <w:p w:rsidRPr="00C11FF9" w:rsidR="006776AA" w:rsidP="00E355CC" w:rsidRDefault="00004F06">
            <w:pPr>
              <w:jc w:val="center"/>
              <w:rPr>
                <w:rFonts w:ascii="宋体" w:hAnsi="宋体"/>
                <w:szCs w:val="21"/>
              </w:rPr>
            </w:pPr>
            <w:r w:rsidRPr="00C11FF9">
              <w:rPr>
                <w:rFonts w:hint="eastAsia" w:ascii="宋体" w:hAnsi="宋体"/>
                <w:szCs w:val="21"/>
              </w:rPr>
              <w:t>（英文）</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6776AA" w:rsidP="00E355CC" w:rsidRDefault="00370392">
            <w:pPr>
              <w:jc w:val="center"/>
              <w:rPr>
                <w:rFonts w:ascii="宋体" w:hAnsi="宋体"/>
                <w:szCs w:val="21"/>
              </w:rPr>
            </w:pPr>
            <w:r w:rsidRPr="00C11FF9">
              <w:rPr>
                <w:rFonts w:hint="eastAsia" w:ascii="宋体" w:hAnsi="宋体"/>
                <w:szCs w:val="21"/>
              </w:rPr>
              <w:t>证券</w:t>
            </w:r>
            <w:r w:rsidRPr="00C11FF9" w:rsidR="00004F06">
              <w:rPr>
                <w:rFonts w:hint="eastAsia" w:ascii="宋体" w:hAnsi="宋体"/>
                <w:szCs w:val="21"/>
              </w:rPr>
              <w:t>代码</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6776AA" w:rsidP="00E355CC" w:rsidRDefault="006776AA">
            <w:pPr>
              <w:jc w:val="center"/>
              <w:rPr>
                <w:rFonts w:ascii="宋体" w:hAnsi="宋体"/>
                <w:szCs w:val="21"/>
              </w:rPr>
            </w:pPr>
            <w:r w:rsidRPr="00C11FF9">
              <w:rPr>
                <w:rFonts w:hint="eastAsia" w:ascii="宋体" w:hAnsi="宋体"/>
                <w:szCs w:val="21"/>
              </w:rPr>
              <w:t>本期累计卖出金额</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6776AA" w:rsidP="00E355CC" w:rsidRDefault="006776AA">
            <w:pPr>
              <w:jc w:val="center"/>
              <w:rPr>
                <w:rFonts w:ascii="宋体" w:hAnsi="宋体"/>
                <w:szCs w:val="21"/>
              </w:rPr>
            </w:pPr>
            <w:r w:rsidRPr="00C11FF9">
              <w:rPr>
                <w:rFonts w:hint="eastAsia" w:ascii="宋体" w:hAnsi="宋体"/>
                <w:szCs w:val="21"/>
              </w:rPr>
              <w:t>占</w:t>
            </w:r>
            <w:r w:rsidRPr="00667638" w:rsidR="006359C2">
              <w:rPr>
                <w:rFonts w:ascii="宋体" w:hAnsi="宋体"/>
                <w:szCs w:val="21"/>
              </w:rPr>
              <w:t>期初</w:t>
            </w:r>
            <w:r w:rsidRPr="00C11FF9">
              <w:rPr>
                <w:rFonts w:hint="eastAsia" w:ascii="宋体" w:hAnsi="宋体"/>
                <w:szCs w:val="21"/>
              </w:rPr>
              <w:t>基金资产净值比例（</w:t>
            </w:r>
            <w:r w:rsidRPr="00C11FF9" w:rsidR="00DE508E">
              <w:rPr>
                <w:rFonts w:hint="eastAsia" w:ascii="宋体" w:hAnsi="宋体"/>
                <w:szCs w:val="21"/>
              </w:rPr>
              <w:t>%</w:t>
            </w:r>
            <w:r w:rsidRPr="00C11FF9">
              <w:rPr>
                <w:rFonts w:hint="eastAsia" w:ascii="宋体" w:hAnsi="宋体"/>
                <w:szCs w:val="21"/>
              </w:rPr>
              <w:t>）</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1</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CHINA EVERBRIGHT GREENTECH L</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1257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357,978.93</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3.89</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2</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VITASOY INTL HOLDINGS LTD</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345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333,671.27</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3.63</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3</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DALI FOODS GROUP CO LTD</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3799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313,363.92</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3.41</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4</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ALIVING SERVICES CO LTDH</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3319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311,984.15</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3.39</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5</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ALIBABA GROUP HOLDINGSP ADR</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BABA US</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310,790.67</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3.38</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6</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TENCENT HOLDINGS LTD</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700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282,244.69</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3.07</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7</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BESTWAY GLOBAL HOLDING INC</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3358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227,948.76</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2.48</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8</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SEMICONDUCTOR MANUFACTURING</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981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224,442.50</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2.44</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9</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GREENTOWN SERVICE GROUP CO L</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2869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216,479.36</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2.35</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10</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CHINA TRADITIONAL CHINESE ME</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570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200,826.62</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2.18</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11</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XIAOMI CORPCLASS B</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1810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162,813.35</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1.77</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12</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CHINA EVERBRIGHT INTL LTD</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257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102,772.62</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1.12</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13</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HAITONG SECURITIES CO LTDH</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6837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88,654.77</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0.96</w:t>
            </w:r>
          </w:p>
        </w:tc>
      </w:tr>
      <w:tr w:rsidRPr="00C11FF9" w:rsidR="00AC7F69" w:rsidTr="00727EDE">
        <w:tc>
          <w:tcPr>
            <w:tcW w:w="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14</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HUATAI SECURITIES CO LTDH</w:t>
            </w:r>
          </w:p>
        </w:tc>
        <w:tc>
          <w:tcPr>
            <w:tcW w:w="10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6886 HK</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81,480.96</w:t>
            </w:r>
          </w:p>
        </w:tc>
        <w:tc>
          <w:tcPr>
            <w:tcW w:w="12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0.89</w:t>
            </w:r>
          </w:p>
        </w:tc>
      </w:tr>
    </w:tbl>
    <w:p w:rsidRPr="00C11FF9" w:rsidR="00544EA7" w:rsidP="00436940" w:rsidRDefault="00544EA7">
      <w:pPr>
        <w:ind w:right="480" w:firstLine="420" w:firstLineChars="200"/>
        <w:rPr>
          <w:rFonts w:ascii="宋体" w:hAnsi="宋体"/>
          <w:szCs w:val="21"/>
        </w:rPr>
      </w:pPr>
      <w:r w:rsidRPr="00C11FF9">
        <w:rPr>
          <w:rFonts w:ascii="宋体" w:hAnsi="宋体"/>
          <w:szCs w:val="21"/>
        </w:rPr>
        <w:t>卖出金额按成交金额(成交单价乘以成交数量)填列,不考虑相关交易费用。</w:t>
      </w:r>
    </w:p>
    <w:p w:rsidRPr="00C11FF9" w:rsidR="00AC7F69" w:rsidP="00C43A35" w:rsidRDefault="00AC7F69">
      <w:pPr>
        <w:numPr>
          <w:ilvl w:val="2"/>
          <w:numId w:val="1"/>
        </w:numPr>
        <w:ind w:left="709" w:hanging="709"/>
        <w:rPr>
          <w:rFonts w:ascii="宋体" w:hAnsi="宋体"/>
          <w:b/>
          <w:szCs w:val="21"/>
        </w:rPr>
      </w:pPr>
      <w:r w:rsidRPr="00C11FF9">
        <w:rPr>
          <w:rFonts w:hint="eastAsia" w:ascii="宋体" w:hAnsi="宋体"/>
          <w:b/>
          <w:szCs w:val="21"/>
        </w:rPr>
        <w:t>权益投资的买入成本总额及卖出收入总额</w:t>
      </w:r>
    </w:p>
    <w:p w:rsidRPr="00C11FF9" w:rsidR="00AC7F69" w:rsidP="00E355CC" w:rsidRDefault="00AC7F69">
      <w:pPr>
        <w:ind w:right="60"/>
        <w:jc w:val="right"/>
        <w:rPr>
          <w:rFonts w:ascii="宋体" w:hAnsi="宋体"/>
          <w:bCs/>
          <w:szCs w:val="21"/>
        </w:rPr>
      </w:pPr>
      <w:r w:rsidRPr="00C11FF9">
        <w:rPr>
          <w:rFonts w:hint="eastAsia" w:ascii="宋体" w:hAnsi="宋体"/>
          <w:bCs/>
          <w:szCs w:val="21"/>
        </w:rPr>
        <w:t>金额单位：人民币元</w:t>
      </w:r>
    </w:p>
    <w:tbl>
      <w:tblPr>
        <w:tblW w:w="5000" w:type="pct"/>
        <w:tblLook w:val="01E0" w:firstRow="1" w:lastRow="1" w:firstColumn="1" w:lastColumn="1" w:noHBand="0" w:noVBand="0"/>
      </w:tblPr>
      <w:tblGrid>
        <w:gridCol w:w="4788"/>
        <w:gridCol w:w="4788"/>
      </w:tblGrid>
      <w:tr w:rsidRPr="00C11FF9" w:rsidR="00AC7F69" w:rsidTr="00727EDE">
        <w:tc>
          <w:tcPr>
            <w:tcW w:w="2500" w:type="pct"/>
            <w:tcBorders>
              <w:top w:val="single" w:color="auto" w:sz="4" w:space="0"/>
              <w:left w:val="single" w:color="auto" w:sz="4" w:space="0"/>
              <w:bottom w:val="single" w:color="auto" w:sz="4" w:space="0"/>
              <w:right w:val="single" w:color="auto" w:sz="4" w:space="0"/>
            </w:tcBorders>
            <w:vAlign w:val="center"/>
          </w:tcPr>
          <w:p w:rsidRPr="00C11FF9" w:rsidR="00AC7F69" w:rsidP="00727EDE" w:rsidRDefault="00AC7F69">
            <w:pPr>
              <w:ind w:right="1440"/>
              <w:rPr>
                <w:rFonts w:ascii="宋体" w:hAnsi="宋体"/>
                <w:szCs w:val="21"/>
              </w:rPr>
            </w:pPr>
            <w:r w:rsidRPr="00C11FF9">
              <w:rPr>
                <w:rFonts w:hint="eastAsia" w:ascii="宋体" w:hAnsi="宋体"/>
                <w:szCs w:val="21"/>
              </w:rPr>
              <w:t>买入成本（成交）总额</w:t>
            </w:r>
          </w:p>
        </w:tc>
        <w:tc>
          <w:tcPr>
            <w:tcW w:w="2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367,379.97</w:t>
            </w:r>
          </w:p>
        </w:tc>
      </w:tr>
      <w:tr w:rsidRPr="00C11FF9" w:rsidR="00AC7F69" w:rsidTr="00727EDE">
        <w:tc>
          <w:tcPr>
            <w:tcW w:w="2500" w:type="pct"/>
            <w:tcBorders>
              <w:top w:val="single" w:color="auto" w:sz="4" w:space="0"/>
              <w:left w:val="single" w:color="auto" w:sz="4" w:space="0"/>
              <w:bottom w:val="single" w:color="auto" w:sz="4" w:space="0"/>
              <w:right w:val="single" w:color="auto" w:sz="4" w:space="0"/>
            </w:tcBorders>
            <w:vAlign w:val="center"/>
          </w:tcPr>
          <w:p w:rsidRPr="00C11FF9" w:rsidR="00AC7F69" w:rsidP="00727EDE" w:rsidRDefault="00AC7F69">
            <w:pPr>
              <w:ind w:right="1440"/>
              <w:rPr>
                <w:rFonts w:ascii="宋体" w:hAnsi="宋体"/>
                <w:szCs w:val="21"/>
              </w:rPr>
            </w:pPr>
            <w:r w:rsidRPr="00C11FF9">
              <w:rPr>
                <w:rFonts w:hint="eastAsia" w:ascii="宋体" w:hAnsi="宋体"/>
                <w:szCs w:val="21"/>
              </w:rPr>
              <w:t>卖出收入（成交）总额</w:t>
            </w:r>
          </w:p>
        </w:tc>
        <w:tc>
          <w:tcPr>
            <w:tcW w:w="25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3,215,452.59</w:t>
            </w:r>
          </w:p>
        </w:tc>
      </w:tr>
    </w:tbl>
    <w:p w:rsidRPr="00436940" w:rsidR="00544EA7" w:rsidP="00436940" w:rsidRDefault="00544EA7">
      <w:pPr>
        <w:ind w:right="480" w:firstLine="420" w:firstLineChars="200"/>
        <w:rPr>
          <w:rFonts w:ascii="宋体" w:hAnsi="宋体"/>
          <w:szCs w:val="21"/>
        </w:rPr>
      </w:pPr>
      <w:r w:rsidRPr="00436940">
        <w:rPr>
          <w:rFonts w:ascii="宋体" w:hAnsi="宋体"/>
          <w:szCs w:val="21"/>
        </w:rPr>
        <w:t>买入股票成本和卖出股票收入按成交金额(成交单价乘以成交数量)填列,不考虑相关交易费用。</w:t>
      </w:r>
    </w:p>
    <w:p w:rsidRPr="00C11FF9" w:rsidR="00AC7F69" w:rsidP="00C43A35" w:rsidRDefault="00AC7F69">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期末按债券信用等级分类的债券投资组合</w:t>
      </w:r>
    </w:p>
    <w:p w:rsidRPr="00436940" w:rsidR="00544EA7" w:rsidP="00436940" w:rsidRDefault="00544EA7">
      <w:pPr>
        <w:ind w:right="480" w:firstLine="420" w:firstLineChars="200"/>
        <w:rPr>
          <w:rFonts w:ascii="宋体" w:hAnsi="宋体"/>
          <w:szCs w:val="21"/>
        </w:rPr>
      </w:pPr>
      <w:r w:rsidRPr="00436940">
        <w:rPr>
          <w:rFonts w:ascii="宋体" w:hAnsi="宋体"/>
          <w:szCs w:val="21"/>
        </w:rPr>
        <w:t>本基金本报告期末未持有债券。</w:t>
      </w:r>
    </w:p>
    <w:p w:rsidRPr="00C11FF9" w:rsidR="00AC7F69" w:rsidP="00C43A35" w:rsidRDefault="00AC7F69">
      <w:pPr>
        <w:pStyle w:val="2"/>
        <w:numPr>
          <w:ilvl w:val="1"/>
          <w:numId w:val="1"/>
        </w:numPr>
        <w:spacing w:before="0" w:after="0" w:line="240" w:lineRule="auto"/>
        <w:rPr>
          <w:rFonts w:ascii="宋体" w:hAnsi="宋体" w:eastAsia="宋体"/>
          <w:b w:val="0"/>
          <w:sz w:val="21"/>
          <w:szCs w:val="21"/>
        </w:rPr>
      </w:pPr>
      <w:r w:rsidRPr="00C11FF9">
        <w:rPr>
          <w:rFonts w:hint="eastAsia" w:ascii="宋体" w:hAnsi="宋体" w:eastAsia="宋体"/>
          <w:sz w:val="21"/>
          <w:szCs w:val="21"/>
        </w:rPr>
        <w:t>期末按公允价值占基金资产净值比例大小排名的前五名债券投资明细</w:t>
      </w:r>
    </w:p>
    <w:p w:rsidRPr="00436940" w:rsidR="00544EA7" w:rsidP="00436940" w:rsidRDefault="00544EA7">
      <w:pPr>
        <w:ind w:right="480" w:firstLine="420" w:firstLineChars="200"/>
        <w:rPr>
          <w:rFonts w:ascii="宋体" w:hAnsi="宋体"/>
          <w:szCs w:val="21"/>
        </w:rPr>
      </w:pPr>
      <w:r w:rsidRPr="00436940">
        <w:rPr>
          <w:rFonts w:ascii="宋体" w:hAnsi="宋体"/>
          <w:szCs w:val="21"/>
        </w:rPr>
        <w:t>本基金本报告期末未持有债券。</w:t>
      </w:r>
    </w:p>
    <w:p w:rsidRPr="00C11FF9" w:rsidR="00AC7F69" w:rsidP="00C43A35" w:rsidRDefault="00AC7F69">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期末按公允价值占基金资产净值比例大小排名的</w:t>
      </w:r>
      <w:r w:rsidRPr="00C11FF9" w:rsidR="009D508B">
        <w:rPr>
          <w:rFonts w:hint="eastAsia" w:ascii="宋体" w:hAnsi="宋体" w:eastAsia="宋体"/>
          <w:sz w:val="21"/>
          <w:szCs w:val="21"/>
        </w:rPr>
        <w:t>所有</w:t>
      </w:r>
      <w:r w:rsidRPr="00C11FF9">
        <w:rPr>
          <w:rFonts w:hint="eastAsia" w:ascii="宋体" w:hAnsi="宋体" w:eastAsia="宋体"/>
          <w:sz w:val="21"/>
          <w:szCs w:val="21"/>
        </w:rPr>
        <w:t>资产支持证券投资明细</w:t>
      </w:r>
    </w:p>
    <w:p w:rsidRPr="00436940" w:rsidR="00544EA7" w:rsidP="00436940" w:rsidRDefault="00544EA7">
      <w:pPr>
        <w:ind w:right="480" w:firstLine="420" w:firstLineChars="200"/>
        <w:rPr>
          <w:rFonts w:ascii="宋体" w:hAnsi="宋体"/>
          <w:szCs w:val="21"/>
        </w:rPr>
      </w:pPr>
      <w:r w:rsidRPr="00436940">
        <w:rPr>
          <w:rFonts w:ascii="宋体" w:hAnsi="宋体"/>
          <w:szCs w:val="21"/>
        </w:rPr>
        <w:t>本基金本报告期末未持有资产支持证券。</w:t>
      </w:r>
    </w:p>
    <w:p w:rsidRPr="00C11FF9" w:rsidR="00AC7F69" w:rsidP="00C43A35" w:rsidRDefault="00AC7F69">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期末按公允价值占基金资产净值比例大小排名的前五名金融衍生品投资明细</w:t>
      </w:r>
    </w:p>
    <w:p w:rsidRPr="00436940" w:rsidR="00544EA7" w:rsidP="00436940" w:rsidRDefault="00544EA7">
      <w:pPr>
        <w:ind w:right="480" w:firstLine="420" w:firstLineChars="200"/>
        <w:rPr>
          <w:rFonts w:ascii="宋体" w:hAnsi="宋体"/>
          <w:szCs w:val="21"/>
        </w:rPr>
      </w:pPr>
      <w:r w:rsidRPr="00436940">
        <w:rPr>
          <w:rFonts w:ascii="宋体" w:hAnsi="宋体"/>
          <w:szCs w:val="21"/>
        </w:rPr>
        <w:t>本基金本报告期末未持有金融衍生品。</w:t>
      </w:r>
    </w:p>
    <w:p w:rsidRPr="00C11FF9" w:rsidR="00AC7F69" w:rsidP="00C43A35" w:rsidRDefault="00AC7F69">
      <w:pPr>
        <w:pStyle w:val="2"/>
        <w:numPr>
          <w:ilvl w:val="1"/>
          <w:numId w:val="1"/>
        </w:numPr>
        <w:spacing w:before="0" w:after="0" w:line="240" w:lineRule="auto"/>
        <w:ind w:left="567" w:hanging="567"/>
        <w:rPr>
          <w:rFonts w:ascii="宋体" w:hAnsi="宋体" w:eastAsia="宋体"/>
          <w:b w:val="0"/>
          <w:sz w:val="21"/>
          <w:szCs w:val="21"/>
        </w:rPr>
      </w:pPr>
      <w:r w:rsidRPr="00C11FF9">
        <w:rPr>
          <w:rFonts w:hint="eastAsia" w:ascii="宋体" w:hAnsi="宋体" w:eastAsia="宋体"/>
          <w:sz w:val="21"/>
          <w:szCs w:val="21"/>
        </w:rPr>
        <w:t>期末按公允价值占基金资产净值比例大小排序的</w:t>
      </w:r>
      <w:r w:rsidRPr="00C11FF9" w:rsidR="003C3C9B">
        <w:rPr>
          <w:rFonts w:hint="eastAsia" w:ascii="宋体" w:hAnsi="宋体" w:eastAsia="宋体"/>
          <w:sz w:val="21"/>
          <w:szCs w:val="21"/>
        </w:rPr>
        <w:t>前十大</w:t>
      </w:r>
      <w:r w:rsidRPr="00C11FF9">
        <w:rPr>
          <w:rFonts w:hint="eastAsia" w:ascii="宋体" w:hAnsi="宋体" w:eastAsia="宋体"/>
          <w:sz w:val="21"/>
          <w:szCs w:val="21"/>
        </w:rPr>
        <w:t>基金投资明细</w:t>
      </w:r>
    </w:p>
    <w:p w:rsidRPr="009F54B8" w:rsidR="000C7EAA" w:rsidP="009F54B8" w:rsidRDefault="000C7EAA">
      <w:pPr>
        <w:ind w:right="60"/>
        <w:jc w:val="right"/>
        <w:rPr>
          <w:rFonts w:ascii="宋体" w:hAnsi="宋体"/>
          <w:bCs/>
          <w:szCs w:val="21"/>
        </w:rPr>
      </w:pPr>
      <w:r w:rsidRPr="009F54B8">
        <w:rPr>
          <w:rFonts w:hint="eastAsia" w:ascii="宋体" w:hAnsi="宋体"/>
          <w:bCs/>
          <w:szCs w:val="21"/>
        </w:rPr>
        <w:t>金额单位：人民币元</w:t>
      </w:r>
    </w:p>
    <w:tbl>
      <w:tblPr>
        <w:tblW w:w="5000" w:type="pct"/>
        <w:tblLook w:val="01E0" w:firstRow="1" w:lastRow="1" w:firstColumn="1" w:lastColumn="1" w:noHBand="0" w:noVBand="0"/>
      </w:tblPr>
      <w:tblGrid>
        <w:gridCol w:w="767"/>
        <w:gridCol w:w="1436"/>
        <w:gridCol w:w="1149"/>
        <w:gridCol w:w="1436"/>
        <w:gridCol w:w="1436"/>
        <w:gridCol w:w="2011"/>
        <w:gridCol w:w="1341"/>
      </w:tblGrid>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AC7F69">
            <w:pPr>
              <w:tabs>
                <w:tab w:val="left" w:pos="1620"/>
              </w:tabs>
              <w:ind w:right="60"/>
              <w:jc w:val="center"/>
              <w:rPr>
                <w:rFonts w:ascii="宋体" w:hAnsi="宋体"/>
                <w:szCs w:val="21"/>
              </w:rPr>
            </w:pPr>
            <w:r w:rsidRPr="00C11FF9">
              <w:rPr>
                <w:rFonts w:hint="eastAsia" w:ascii="宋体" w:hAnsi="宋体"/>
                <w:szCs w:val="21"/>
              </w:rPr>
              <w:t>序号</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AC7F69">
            <w:pPr>
              <w:jc w:val="center"/>
              <w:rPr>
                <w:rFonts w:ascii="宋体" w:hAnsi="宋体"/>
                <w:szCs w:val="21"/>
              </w:rPr>
            </w:pPr>
            <w:r w:rsidRPr="00C11FF9">
              <w:rPr>
                <w:rFonts w:hint="eastAsia" w:ascii="宋体" w:hAnsi="宋体"/>
                <w:szCs w:val="21"/>
              </w:rPr>
              <w:t>基金名称</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AC7F69">
            <w:pPr>
              <w:jc w:val="center"/>
              <w:rPr>
                <w:rFonts w:ascii="宋体" w:hAnsi="宋体"/>
                <w:szCs w:val="21"/>
              </w:rPr>
            </w:pPr>
            <w:r w:rsidRPr="00C11FF9">
              <w:rPr>
                <w:rFonts w:hint="eastAsia" w:ascii="宋体" w:hAnsi="宋体"/>
                <w:szCs w:val="21"/>
              </w:rPr>
              <w:t>基金类型</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AC7F69">
            <w:pPr>
              <w:jc w:val="center"/>
              <w:rPr>
                <w:rFonts w:ascii="宋体" w:hAnsi="宋体"/>
                <w:szCs w:val="21"/>
              </w:rPr>
            </w:pPr>
            <w:r w:rsidRPr="00C11FF9">
              <w:rPr>
                <w:rFonts w:hint="eastAsia" w:ascii="宋体" w:hAnsi="宋体"/>
                <w:szCs w:val="21"/>
              </w:rPr>
              <w:t>运作方式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AC7F69">
            <w:pPr>
              <w:jc w:val="center"/>
              <w:rPr>
                <w:rFonts w:ascii="宋体" w:hAnsi="宋体"/>
                <w:szCs w:val="21"/>
              </w:rPr>
            </w:pPr>
            <w:r w:rsidRPr="00C11FF9">
              <w:rPr>
                <w:rFonts w:hint="eastAsia" w:ascii="宋体" w:hAnsi="宋体"/>
                <w:szCs w:val="21"/>
              </w:rPr>
              <w:t>管理人</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AC7F69">
            <w:pPr>
              <w:jc w:val="center"/>
              <w:rPr>
                <w:rFonts w:ascii="宋体" w:hAnsi="宋体"/>
                <w:szCs w:val="21"/>
              </w:rPr>
            </w:pPr>
            <w:r w:rsidRPr="00C11FF9">
              <w:rPr>
                <w:rFonts w:hint="eastAsia" w:ascii="宋体" w:hAnsi="宋体"/>
                <w:szCs w:val="21"/>
              </w:rPr>
              <w:t>公允价值</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AC7F69">
            <w:pPr>
              <w:jc w:val="center"/>
              <w:rPr>
                <w:rFonts w:ascii="宋体" w:hAnsi="宋体"/>
                <w:szCs w:val="21"/>
              </w:rPr>
            </w:pPr>
            <w:r w:rsidRPr="00C11FF9">
              <w:rPr>
                <w:rFonts w:hint="eastAsia" w:ascii="宋体" w:hAnsi="宋体"/>
                <w:szCs w:val="21"/>
              </w:rPr>
              <w:t>占基金资产净值比例(%)</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1</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SPDR S&amp;P CHINA ETF</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1,475,964.68</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15.49</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2</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ISHARES MSCI HONG KONG ETF</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1,464,614.69</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15.37</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3</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ISHARES CORE MSCI CH IND ETF</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1,321,178.95</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13.86</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4</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ISHARES MSCI CHINA ETF</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1,098,588.06</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11.53</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5</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ISHARES MSCI INDIA ETF</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918,046.75</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9.63</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6</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ISHARES MSCI BRAZIL ETF</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790,778.32</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8.30</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7</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WISDOMTREE INDIA EARNINGS</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452,903.04</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4.75</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8</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iShares MSCI Russia ETF</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377,566.43</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3.96</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9</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DRX DLY CHINA ASHR BULL 2X</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249,957.42</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2.62</w:t>
            </w:r>
          </w:p>
        </w:tc>
      </w:tr>
      <w:tr w:rsidRPr="00C11FF9" w:rsidR="00AC7F69" w:rsidTr="00727EDE">
        <w:tc>
          <w:tcPr>
            <w:tcW w:w="4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tabs>
                <w:tab w:val="left" w:pos="1620"/>
              </w:tabs>
              <w:ind w:right="60"/>
              <w:rPr>
                <w:rFonts w:ascii="宋体" w:hAnsi="宋体"/>
                <w:szCs w:val="21"/>
              </w:rPr>
            </w:pPr>
            <w:r w:rsidRPr="00C11FF9">
              <w:rPr>
                <w:rFonts w:ascii="宋体" w:hAnsi="宋体"/>
                <w:szCs w:val="21"/>
              </w:rPr>
              <w:t>10</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VANECK VECTORS RUSSIA ETF</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ETF基金</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契约型开放式</w:t>
            </w:r>
          </w:p>
        </w:tc>
        <w:tc>
          <w:tcPr>
            <w:tcW w:w="7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196,888.38</w:t>
            </w:r>
          </w:p>
        </w:tc>
        <w:tc>
          <w:tcPr>
            <w:tcW w:w="700" w:type="pct"/>
            <w:tcBorders>
              <w:top w:val="single" w:color="auto" w:sz="4" w:space="0"/>
              <w:left w:val="single" w:color="auto" w:sz="4" w:space="0"/>
              <w:bottom w:val="single" w:color="auto" w:sz="4" w:space="0"/>
              <w:right w:val="single" w:color="auto" w:sz="4" w:space="0"/>
            </w:tcBorders>
            <w:vAlign w:val="center"/>
          </w:tcPr>
          <w:p w:rsidRPr="00C11FF9" w:rsidR="00AC7F69" w:rsidP="00E355CC" w:rsidRDefault="00544EA7">
            <w:pPr>
              <w:jc w:val="right"/>
              <w:rPr>
                <w:rFonts w:ascii="宋体" w:hAnsi="宋体"/>
                <w:szCs w:val="21"/>
              </w:rPr>
            </w:pPr>
            <w:r w:rsidRPr="00C11FF9">
              <w:rPr>
                <w:rFonts w:ascii="宋体" w:hAnsi="宋体"/>
                <w:szCs w:val="21"/>
              </w:rPr>
              <w:t>2.07</w:t>
            </w:r>
          </w:p>
        </w:tc>
      </w:tr>
    </w:tbl>
    <w:p w:rsidRPr="00436940" w:rsidR="00544EA7" w:rsidP="00436940" w:rsidRDefault="00544EA7">
      <w:pPr>
        <w:ind w:right="480" w:firstLine="420" w:firstLineChars="200"/>
        <w:rPr>
          <w:rFonts w:ascii="宋体" w:hAnsi="宋体"/>
          <w:szCs w:val="21"/>
        </w:rPr>
      </w:pPr>
      <w:r w:rsidRPr="00436940">
        <w:rPr>
          <w:rFonts w:ascii="宋体" w:hAnsi="宋体"/>
          <w:szCs w:val="21"/>
        </w:rPr>
        <w:t/>
      </w:r>
    </w:p>
    <w:p w:rsidRPr="00C11FF9" w:rsidR="00FA0F10" w:rsidP="00C43A35" w:rsidRDefault="00FA0F10">
      <w:pPr>
        <w:pStyle w:val="2"/>
        <w:numPr>
          <w:ilvl w:val="1"/>
          <w:numId w:val="1"/>
        </w:numPr>
        <w:spacing w:before="0" w:after="0" w:line="240" w:lineRule="auto"/>
        <w:ind w:left="567" w:hanging="567"/>
        <w:rPr>
          <w:rFonts w:ascii="宋体" w:hAnsi="宋体" w:eastAsia="宋体"/>
          <w:sz w:val="21"/>
          <w:szCs w:val="21"/>
        </w:rPr>
      </w:pPr>
      <w:r w:rsidRPr="00C11FF9">
        <w:rPr>
          <w:rFonts w:hint="eastAsia" w:ascii="宋体" w:hAnsi="宋体" w:eastAsia="宋体"/>
          <w:sz w:val="21"/>
          <w:szCs w:val="21"/>
        </w:rPr>
        <w:t>投资组合报告附注</w:t>
      </w:r>
    </w:p>
    <w:p w:rsidR="00630AA7" w:rsidP="00C43A35" w:rsidRDefault="00047834">
      <w:pPr>
        <w:numPr>
          <w:ilvl w:val="2"/>
          <w:numId w:val="1"/>
        </w:numPr>
        <w:ind w:left="709" w:hanging="709"/>
        <w:rPr>
          <w:rFonts w:ascii="宋体" w:hAnsi="宋体"/>
          <w:szCs w:val="21"/>
        </w:rPr>
      </w:pPr>
      <w:r w:rsidRPr="00FE6B8D">
        <w:rPr>
          <w:rFonts w:hint="eastAsia" w:ascii="宋体" w:hAnsi="宋体"/>
          <w:b/>
          <w:szCs w:val="21"/>
        </w:rPr>
        <w:t>基金投资前十名证券的发行主体被监管部门立案调查或编制日前一年内受到公开谴责、处罚说明</w:t>
      </w:r>
    </w:p>
    <w:p w:rsidRPr="00C11FF9" w:rsidR="00544EA7" w:rsidP="00630AA7" w:rsidRDefault="00544EA7">
      <w:pPr>
        <w:ind w:right="480" w:firstLine="420" w:firstLineChars="200"/>
        <w:rPr>
          <w:rFonts w:ascii="宋体" w:hAnsi="宋体"/>
          <w:szCs w:val="21"/>
        </w:rPr>
      </w:pPr>
      <w:r w:rsidRPr="00C11FF9">
        <w:rPr>
          <w:rFonts w:ascii="宋体" w:hAnsi="宋体"/>
          <w:szCs w:val="21"/>
        </w:rPr>
        <w:t>本基金投资前十名证券的发行主体没有被监管部门立案调查或编制日前一年内受到公开谴责、处罚。</w:t>
      </w:r>
    </w:p>
    <w:p w:rsidR="00630AA7" w:rsidP="00C43A35" w:rsidRDefault="00047834">
      <w:pPr>
        <w:numPr>
          <w:ilvl w:val="2"/>
          <w:numId w:val="1"/>
        </w:numPr>
        <w:ind w:left="709" w:hanging="709"/>
        <w:rPr>
          <w:rFonts w:ascii="宋体" w:hAnsi="宋体"/>
          <w:szCs w:val="21"/>
        </w:rPr>
      </w:pPr>
      <w:r w:rsidRPr="00A03268">
        <w:rPr>
          <w:rFonts w:hint="eastAsia" w:ascii="宋体" w:hAnsi="宋体"/>
          <w:b/>
          <w:szCs w:val="21"/>
        </w:rPr>
        <w:t>声明基金投资的前十名股票是否超出基金合同规定的备选股票库</w:t>
      </w:r>
    </w:p>
    <w:p w:rsidRPr="00C11FF9" w:rsidR="00544EA7" w:rsidP="00630AA7" w:rsidRDefault="00544EA7">
      <w:pPr>
        <w:ind w:right="480" w:firstLine="420" w:firstLineChars="200"/>
        <w:rPr>
          <w:rFonts w:ascii="宋体" w:hAnsi="宋体"/>
          <w:szCs w:val="21"/>
        </w:rPr>
      </w:pPr>
      <w:r w:rsidRPr="00C11FF9">
        <w:rPr>
          <w:rFonts w:ascii="宋体" w:hAnsi="宋体"/>
          <w:szCs w:val="21"/>
        </w:rPr>
        <w:t>本基金投资的前十名股票中,没有超出基金合同规定备选库之外的股票。</w:t>
      </w:r>
    </w:p>
    <w:p w:rsidRPr="00C11FF9" w:rsidR="00FA0F10" w:rsidP="00C43A35" w:rsidRDefault="00004F06">
      <w:pPr>
        <w:numPr>
          <w:ilvl w:val="2"/>
          <w:numId w:val="1"/>
        </w:numPr>
        <w:ind w:left="709" w:hanging="709"/>
        <w:rPr>
          <w:rFonts w:ascii="宋体" w:hAnsi="宋体"/>
          <w:b/>
          <w:szCs w:val="21"/>
        </w:rPr>
      </w:pPr>
      <w:r w:rsidRPr="00C11FF9">
        <w:rPr>
          <w:rFonts w:hint="eastAsia" w:ascii="宋体" w:hAnsi="宋体"/>
          <w:b/>
          <w:szCs w:val="21"/>
        </w:rPr>
        <w:t>期末</w:t>
      </w:r>
      <w:r w:rsidRPr="00C11FF9" w:rsidR="00FA0F10">
        <w:rPr>
          <w:rFonts w:hint="eastAsia" w:ascii="宋体" w:hAnsi="宋体"/>
          <w:b/>
          <w:szCs w:val="21"/>
        </w:rPr>
        <w:t>其他</w:t>
      </w:r>
      <w:r w:rsidRPr="00C11FF9">
        <w:rPr>
          <w:rFonts w:hint="eastAsia" w:ascii="宋体" w:hAnsi="宋体"/>
          <w:b/>
          <w:szCs w:val="21"/>
        </w:rPr>
        <w:t>各项</w:t>
      </w:r>
      <w:r w:rsidRPr="00C11FF9" w:rsidR="00FA0F10">
        <w:rPr>
          <w:rFonts w:hint="eastAsia" w:ascii="宋体" w:hAnsi="宋体"/>
          <w:b/>
          <w:szCs w:val="21"/>
        </w:rPr>
        <w:t>资产构成</w:t>
      </w:r>
    </w:p>
    <w:p w:rsidRPr="009F54B8" w:rsidR="00FA0F10" w:rsidP="009F54B8" w:rsidRDefault="00FA0F10">
      <w:pPr>
        <w:ind w:right="60"/>
        <w:jc w:val="right"/>
        <w:rPr>
          <w:rFonts w:ascii="宋体" w:hAnsi="宋体"/>
          <w:bCs/>
          <w:szCs w:val="21"/>
        </w:rPr>
      </w:pPr>
      <w:r w:rsidRPr="00C11FF9">
        <w:rPr>
          <w:rFonts w:hint="eastAsia" w:ascii="宋体" w:hAnsi="宋体"/>
          <w:bCs/>
          <w:szCs w:val="21"/>
        </w:rPr>
        <w:t>单位：人民币元</w:t>
      </w:r>
    </w:p>
    <w:tbl>
      <w:tblPr>
        <w:tblW w:w="5000" w:type="pct"/>
        <w:tblLook w:val="01E0" w:firstRow="1" w:lastRow="1" w:firstColumn="1" w:lastColumn="1" w:noHBand="0" w:noVBand="0"/>
      </w:tblPr>
      <w:tblGrid>
        <w:gridCol w:w="862"/>
        <w:gridCol w:w="3256"/>
        <w:gridCol w:w="5458"/>
      </w:tblGrid>
      <w:tr w:rsidRPr="00C11FF9" w:rsidR="00660661" w:rsidTr="00727EDE">
        <w:tc>
          <w:tcPr>
            <w:tcW w:w="4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660661">
            <w:pPr>
              <w:tabs>
                <w:tab w:val="left" w:pos="2879"/>
              </w:tabs>
              <w:ind w:right="30"/>
              <w:jc w:val="center"/>
              <w:rPr>
                <w:rFonts w:ascii="宋体" w:hAnsi="宋体"/>
                <w:szCs w:val="21"/>
              </w:rPr>
            </w:pPr>
            <w:r w:rsidRPr="00C11FF9">
              <w:rPr>
                <w:rFonts w:hint="eastAsia" w:ascii="宋体" w:hAnsi="宋体"/>
                <w:szCs w:val="21"/>
              </w:rPr>
              <w:t>序号</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660661">
            <w:pPr>
              <w:jc w:val="center"/>
              <w:rPr>
                <w:rFonts w:ascii="宋体" w:hAnsi="宋体"/>
                <w:szCs w:val="21"/>
              </w:rPr>
            </w:pPr>
            <w:r w:rsidRPr="00C11FF9">
              <w:rPr>
                <w:rFonts w:hint="eastAsia" w:ascii="宋体" w:hAnsi="宋体"/>
                <w:szCs w:val="21"/>
              </w:rPr>
              <w:t>名称</w:t>
            </w:r>
          </w:p>
        </w:tc>
        <w:tc>
          <w:tcPr>
            <w:tcW w:w="28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660661">
            <w:pPr>
              <w:jc w:val="center"/>
              <w:rPr>
                <w:rFonts w:ascii="宋体" w:hAnsi="宋体"/>
                <w:szCs w:val="21"/>
              </w:rPr>
            </w:pPr>
            <w:r w:rsidRPr="00C11FF9">
              <w:rPr>
                <w:rFonts w:hint="eastAsia" w:ascii="宋体" w:hAnsi="宋体"/>
                <w:szCs w:val="21"/>
              </w:rPr>
              <w:t>金额</w:t>
            </w:r>
          </w:p>
        </w:tc>
      </w:tr>
      <w:tr w:rsidRPr="00C11FF9" w:rsidR="00660661" w:rsidTr="001F253C">
        <w:tc>
          <w:tcPr>
            <w:tcW w:w="4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660661">
            <w:pPr>
              <w:tabs>
                <w:tab w:val="left" w:pos="2879"/>
              </w:tabs>
              <w:ind w:right="30"/>
              <w:jc w:val="center"/>
              <w:rPr>
                <w:rFonts w:ascii="宋体" w:hAnsi="宋体"/>
                <w:szCs w:val="21"/>
              </w:rPr>
            </w:pPr>
            <w:r w:rsidRPr="00C11FF9">
              <w:rPr>
                <w:rFonts w:hint="eastAsia" w:ascii="宋体" w:hAnsi="宋体"/>
                <w:szCs w:val="21"/>
              </w:rPr>
              <w:t>1</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660661">
            <w:pPr>
              <w:rPr>
                <w:rFonts w:ascii="宋体" w:hAnsi="宋体"/>
                <w:szCs w:val="21"/>
              </w:rPr>
            </w:pPr>
            <w:r w:rsidRPr="00C11FF9">
              <w:rPr>
                <w:rFonts w:hint="eastAsia" w:ascii="宋体" w:hAnsi="宋体"/>
                <w:color w:val="000000"/>
                <w:szCs w:val="21"/>
              </w:rPr>
              <w:t>存出保证金</w:t>
            </w:r>
          </w:p>
        </w:tc>
        <w:tc>
          <w:tcPr>
            <w:tcW w:w="285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660661" w:rsidP="00727EDE" w:rsidRDefault="001F253C">
            <w:pPr>
              <w:jc w:val="right"/>
              <w:rPr>
                <w:rFonts w:ascii="宋体" w:hAnsi="宋体"/>
                <w:color w:val="000000"/>
                <w:szCs w:val="21"/>
              </w:rPr>
            </w:pPr>
            <w:r w:rsidRPr="00C11FF9">
              <w:rPr>
                <w:rFonts w:ascii="宋体" w:hAnsi="宋体"/>
                <w:color w:val="000000"/>
                <w:szCs w:val="21"/>
              </w:rPr>
              <w:t>-</w:t>
            </w:r>
          </w:p>
        </w:tc>
      </w:tr>
      <w:tr w:rsidRPr="00C11FF9" w:rsidR="00660661" w:rsidTr="001F253C">
        <w:tc>
          <w:tcPr>
            <w:tcW w:w="4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660661">
            <w:pPr>
              <w:tabs>
                <w:tab w:val="left" w:pos="2879"/>
              </w:tabs>
              <w:ind w:right="30"/>
              <w:jc w:val="center"/>
              <w:rPr>
                <w:rFonts w:ascii="宋体" w:hAnsi="宋体"/>
                <w:szCs w:val="21"/>
              </w:rPr>
            </w:pPr>
            <w:r w:rsidRPr="00C11FF9">
              <w:rPr>
                <w:rFonts w:hint="eastAsia" w:ascii="宋体" w:hAnsi="宋体"/>
                <w:szCs w:val="21"/>
              </w:rPr>
              <w:t>2</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660661">
            <w:pPr>
              <w:rPr>
                <w:rFonts w:ascii="宋体" w:hAnsi="宋体"/>
                <w:szCs w:val="21"/>
              </w:rPr>
            </w:pPr>
            <w:r w:rsidRPr="00C11FF9">
              <w:rPr>
                <w:rFonts w:hint="eastAsia" w:ascii="宋体" w:hAnsi="宋体"/>
                <w:color w:val="000000"/>
                <w:szCs w:val="21"/>
              </w:rPr>
              <w:t>应收证券清算款</w:t>
            </w:r>
          </w:p>
        </w:tc>
        <w:tc>
          <w:tcPr>
            <w:tcW w:w="285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660661" w:rsidP="00727EDE" w:rsidRDefault="001F253C">
            <w:pPr>
              <w:jc w:val="right"/>
              <w:rPr>
                <w:rFonts w:ascii="宋体" w:hAnsi="宋体"/>
                <w:color w:val="000000"/>
                <w:szCs w:val="21"/>
              </w:rPr>
            </w:pPr>
            <w:r w:rsidRPr="00C11FF9">
              <w:rPr>
                <w:rFonts w:ascii="宋体" w:hAnsi="宋体"/>
                <w:color w:val="000000"/>
                <w:szCs w:val="21"/>
              </w:rPr>
              <w:t>269,646.70</w:t>
            </w:r>
          </w:p>
        </w:tc>
      </w:tr>
      <w:tr w:rsidRPr="00C11FF9" w:rsidR="00C65C91" w:rsidTr="001F253C">
        <w:tc>
          <w:tcPr>
            <w:tcW w:w="450" w:type="pct"/>
            <w:tcBorders>
              <w:top w:val="single" w:color="auto" w:sz="4" w:space="0"/>
              <w:left w:val="single" w:color="auto" w:sz="4" w:space="0"/>
              <w:bottom w:val="single" w:color="auto" w:sz="4" w:space="0"/>
              <w:right w:val="single" w:color="auto" w:sz="4" w:space="0"/>
            </w:tcBorders>
            <w:vAlign w:val="center"/>
          </w:tcPr>
          <w:p w:rsidRPr="00C11FF9" w:rsidR="00C65C91" w:rsidP="00E355CC" w:rsidRDefault="00C65C91">
            <w:pPr>
              <w:tabs>
                <w:tab w:val="left" w:pos="2879"/>
              </w:tabs>
              <w:ind w:right="30"/>
              <w:jc w:val="center"/>
              <w:rPr>
                <w:rFonts w:ascii="宋体" w:hAnsi="宋体"/>
                <w:szCs w:val="21"/>
              </w:rPr>
            </w:pPr>
            <w:r w:rsidRPr="00C11FF9">
              <w:rPr>
                <w:rFonts w:hint="eastAsia" w:ascii="宋体" w:hAnsi="宋体"/>
                <w:szCs w:val="21"/>
              </w:rPr>
              <w:t>3</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C65C91" w:rsidP="00727EDE" w:rsidRDefault="00C65C91">
            <w:pPr>
              <w:rPr>
                <w:rFonts w:ascii="宋体" w:hAnsi="宋体"/>
                <w:color w:val="000000"/>
                <w:szCs w:val="21"/>
              </w:rPr>
            </w:pPr>
            <w:r w:rsidRPr="00C11FF9">
              <w:rPr>
                <w:rFonts w:hint="eastAsia" w:ascii="宋体" w:hAnsi="宋体"/>
                <w:color w:val="000000"/>
                <w:szCs w:val="21"/>
              </w:rPr>
              <w:t>应收股利</w:t>
            </w:r>
          </w:p>
        </w:tc>
        <w:tc>
          <w:tcPr>
            <w:tcW w:w="285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C65C91" w:rsidP="00727EDE" w:rsidRDefault="001F253C">
            <w:pPr>
              <w:jc w:val="right"/>
              <w:rPr>
                <w:rFonts w:ascii="宋体" w:hAnsi="宋体"/>
                <w:color w:val="000000"/>
                <w:szCs w:val="21"/>
              </w:rPr>
            </w:pPr>
            <w:r w:rsidRPr="00C11FF9">
              <w:rPr>
                <w:rFonts w:ascii="宋体" w:hAnsi="宋体"/>
                <w:color w:val="000000"/>
                <w:szCs w:val="21"/>
              </w:rPr>
              <w:t>12,691.95</w:t>
            </w:r>
          </w:p>
        </w:tc>
      </w:tr>
      <w:tr w:rsidRPr="00C11FF9" w:rsidR="00660661" w:rsidTr="001F253C">
        <w:tc>
          <w:tcPr>
            <w:tcW w:w="4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C65C91">
            <w:pPr>
              <w:tabs>
                <w:tab w:val="left" w:pos="2879"/>
              </w:tabs>
              <w:ind w:right="30"/>
              <w:jc w:val="center"/>
              <w:rPr>
                <w:rFonts w:ascii="宋体" w:hAnsi="宋体"/>
                <w:szCs w:val="21"/>
              </w:rPr>
            </w:pPr>
            <w:r w:rsidRPr="00C11FF9">
              <w:rPr>
                <w:rFonts w:hint="eastAsia" w:ascii="宋体" w:hAnsi="宋体"/>
                <w:szCs w:val="21"/>
              </w:rPr>
              <w:t>4</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660661">
            <w:pPr>
              <w:rPr>
                <w:rFonts w:ascii="宋体" w:hAnsi="宋体"/>
                <w:szCs w:val="21"/>
              </w:rPr>
            </w:pPr>
            <w:r w:rsidRPr="00C11FF9">
              <w:rPr>
                <w:rFonts w:hint="eastAsia" w:ascii="宋体" w:hAnsi="宋体"/>
                <w:color w:val="000000"/>
                <w:szCs w:val="21"/>
              </w:rPr>
              <w:t>应收利息</w:t>
            </w:r>
          </w:p>
        </w:tc>
        <w:tc>
          <w:tcPr>
            <w:tcW w:w="285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660661" w:rsidP="00727EDE" w:rsidRDefault="001F253C">
            <w:pPr>
              <w:jc w:val="right"/>
              <w:rPr>
                <w:rFonts w:ascii="宋体" w:hAnsi="宋体"/>
                <w:color w:val="000000"/>
                <w:szCs w:val="21"/>
              </w:rPr>
            </w:pPr>
            <w:r w:rsidRPr="00C11FF9">
              <w:rPr>
                <w:rFonts w:ascii="宋体" w:hAnsi="宋体"/>
                <w:color w:val="000000"/>
                <w:szCs w:val="21"/>
              </w:rPr>
              <w:t>43.04</w:t>
            </w:r>
          </w:p>
        </w:tc>
      </w:tr>
      <w:tr w:rsidRPr="00C11FF9" w:rsidR="00660661" w:rsidTr="001F253C">
        <w:tc>
          <w:tcPr>
            <w:tcW w:w="4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C65C91">
            <w:pPr>
              <w:tabs>
                <w:tab w:val="left" w:pos="2879"/>
              </w:tabs>
              <w:ind w:right="30"/>
              <w:jc w:val="center"/>
              <w:rPr>
                <w:rFonts w:ascii="宋体" w:hAnsi="宋体"/>
                <w:szCs w:val="21"/>
              </w:rPr>
            </w:pPr>
            <w:r w:rsidRPr="00C11FF9">
              <w:rPr>
                <w:rFonts w:hint="eastAsia" w:ascii="宋体" w:hAnsi="宋体"/>
                <w:szCs w:val="21"/>
              </w:rPr>
              <w:t>5</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660661">
            <w:pPr>
              <w:rPr>
                <w:rFonts w:ascii="宋体" w:hAnsi="宋体"/>
                <w:szCs w:val="21"/>
              </w:rPr>
            </w:pPr>
            <w:r w:rsidRPr="00C11FF9">
              <w:rPr>
                <w:rFonts w:hint="eastAsia" w:ascii="宋体" w:hAnsi="宋体"/>
                <w:color w:val="000000"/>
                <w:szCs w:val="21"/>
              </w:rPr>
              <w:t>应收申购款</w:t>
            </w:r>
          </w:p>
        </w:tc>
        <w:tc>
          <w:tcPr>
            <w:tcW w:w="285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660661" w:rsidP="00727EDE" w:rsidRDefault="001F253C">
            <w:pPr>
              <w:jc w:val="right"/>
              <w:rPr>
                <w:rFonts w:ascii="宋体" w:hAnsi="宋体"/>
                <w:color w:val="000000"/>
                <w:szCs w:val="21"/>
              </w:rPr>
            </w:pPr>
            <w:r w:rsidRPr="00C11FF9">
              <w:rPr>
                <w:rFonts w:ascii="宋体" w:hAnsi="宋体"/>
                <w:color w:val="000000"/>
                <w:szCs w:val="21"/>
              </w:rPr>
              <w:t>9.98</w:t>
            </w:r>
          </w:p>
        </w:tc>
      </w:tr>
      <w:tr w:rsidRPr="00C11FF9" w:rsidR="00660661" w:rsidTr="001F253C">
        <w:tc>
          <w:tcPr>
            <w:tcW w:w="4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C65C91">
            <w:pPr>
              <w:tabs>
                <w:tab w:val="left" w:pos="2879"/>
              </w:tabs>
              <w:ind w:right="30"/>
              <w:jc w:val="center"/>
              <w:rPr>
                <w:rFonts w:ascii="宋体" w:hAnsi="宋体"/>
                <w:szCs w:val="21"/>
              </w:rPr>
            </w:pPr>
            <w:r w:rsidRPr="00C11FF9">
              <w:rPr>
                <w:rFonts w:hint="eastAsia" w:ascii="宋体" w:hAnsi="宋体"/>
                <w:szCs w:val="21"/>
              </w:rPr>
              <w:t>6</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660661">
            <w:pPr>
              <w:rPr>
                <w:rFonts w:ascii="宋体" w:hAnsi="宋体"/>
                <w:szCs w:val="21"/>
              </w:rPr>
            </w:pPr>
            <w:r w:rsidRPr="00C11FF9">
              <w:rPr>
                <w:rFonts w:hint="eastAsia" w:ascii="宋体" w:hAnsi="宋体"/>
                <w:color w:val="000000"/>
                <w:szCs w:val="21"/>
              </w:rPr>
              <w:t>其他应收款</w:t>
            </w:r>
          </w:p>
        </w:tc>
        <w:tc>
          <w:tcPr>
            <w:tcW w:w="285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660661" w:rsidP="00727EDE" w:rsidRDefault="001F253C">
            <w:pPr>
              <w:jc w:val="right"/>
              <w:rPr>
                <w:rFonts w:ascii="宋体" w:hAnsi="宋体"/>
                <w:color w:val="000000"/>
                <w:szCs w:val="21"/>
              </w:rPr>
            </w:pPr>
            <w:r w:rsidRPr="00C11FF9">
              <w:rPr>
                <w:rFonts w:ascii="宋体" w:hAnsi="宋体"/>
                <w:color w:val="000000"/>
                <w:szCs w:val="21"/>
              </w:rPr>
              <w:t>-</w:t>
            </w:r>
          </w:p>
        </w:tc>
      </w:tr>
      <w:tr w:rsidRPr="00C11FF9" w:rsidR="00724491" w:rsidTr="001F253C">
        <w:tc>
          <w:tcPr>
            <w:tcW w:w="450" w:type="pct"/>
            <w:tcBorders>
              <w:top w:val="single" w:color="auto" w:sz="4" w:space="0"/>
              <w:left w:val="single" w:color="auto" w:sz="4" w:space="0"/>
              <w:bottom w:val="single" w:color="auto" w:sz="4" w:space="0"/>
              <w:right w:val="single" w:color="auto" w:sz="4" w:space="0"/>
            </w:tcBorders>
            <w:vAlign w:val="center"/>
          </w:tcPr>
          <w:p w:rsidRPr="00C11FF9" w:rsidR="00724491" w:rsidP="00E355CC" w:rsidRDefault="00C65C91">
            <w:pPr>
              <w:tabs>
                <w:tab w:val="left" w:pos="2879"/>
              </w:tabs>
              <w:ind w:right="30"/>
              <w:jc w:val="center"/>
              <w:rPr>
                <w:rFonts w:ascii="宋体" w:hAnsi="宋体"/>
                <w:szCs w:val="21"/>
              </w:rPr>
            </w:pPr>
            <w:r w:rsidRPr="00C11FF9">
              <w:rPr>
                <w:rFonts w:hint="eastAsia" w:ascii="宋体" w:hAnsi="宋体"/>
                <w:szCs w:val="21"/>
              </w:rPr>
              <w:t>7</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724491" w:rsidP="00727EDE" w:rsidRDefault="00724491">
            <w:pPr>
              <w:rPr>
                <w:rFonts w:ascii="宋体" w:hAnsi="宋体"/>
                <w:color w:val="000000"/>
                <w:szCs w:val="21"/>
              </w:rPr>
            </w:pPr>
            <w:r w:rsidRPr="00C11FF9">
              <w:rPr>
                <w:rFonts w:hint="eastAsia" w:ascii="宋体" w:hAnsi="宋体"/>
                <w:color w:val="000000"/>
                <w:szCs w:val="21"/>
              </w:rPr>
              <w:t>待摊费用</w:t>
            </w:r>
          </w:p>
        </w:tc>
        <w:tc>
          <w:tcPr>
            <w:tcW w:w="285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724491" w:rsidP="00727EDE" w:rsidRDefault="001F253C">
            <w:pPr>
              <w:jc w:val="right"/>
              <w:rPr>
                <w:rFonts w:ascii="宋体" w:hAnsi="宋体"/>
                <w:color w:val="000000"/>
                <w:szCs w:val="21"/>
              </w:rPr>
            </w:pPr>
            <w:r w:rsidRPr="00C11FF9">
              <w:rPr>
                <w:rFonts w:ascii="宋体" w:hAnsi="宋体"/>
                <w:color w:val="000000"/>
                <w:szCs w:val="21"/>
              </w:rPr>
              <w:t>-</w:t>
            </w:r>
          </w:p>
        </w:tc>
      </w:tr>
    </w:tbl>
    <w:tbl>
      <w:tblPr>
        <w:tblW w:w="5000" w:type="pct"/>
        <w:tblLook w:val="01E0" w:firstRow="1" w:lastRow="1" w:firstColumn="1" w:lastColumn="1" w:noHBand="0" w:noVBand="0"/>
      </w:tblPr>
      <w:tblGrid>
        <w:gridCol w:w="862"/>
        <w:gridCol w:w="3256"/>
        <w:gridCol w:w="5458"/>
      </w:tblGrid>
    </w:tbl>
    <w:tbl>
      <w:tblPr>
        <w:tblW w:w="5000" w:type="pct"/>
        <w:tblLook w:val="01E0" w:firstRow="1" w:lastRow="1" w:firstColumn="1" w:lastColumn="1" w:noHBand="0" w:noVBand="0"/>
      </w:tblPr>
      <w:tblGrid>
        <w:gridCol w:w="862"/>
        <w:gridCol w:w="3256"/>
        <w:gridCol w:w="5458"/>
      </w:tblGrid>
      <w:tr w:rsidRPr="00C11FF9" w:rsidR="00660661" w:rsidTr="00727EDE">
        <w:tc>
          <w:tcPr>
            <w:tcW w:w="4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121638">
            <w:pPr>
              <w:tabs>
                <w:tab w:val="left" w:pos="2879"/>
              </w:tabs>
              <w:ind w:right="30"/>
              <w:jc w:val="center"/>
              <w:rPr>
                <w:rFonts w:ascii="宋体" w:hAnsi="宋体"/>
                <w:szCs w:val="21"/>
              </w:rPr>
            </w:pPr>
            <w:r>
              <w:rPr>
                <w:rFonts w:hint="eastAsia" w:ascii="宋体" w:hAnsi="宋体"/>
                <w:szCs w:val="21"/>
              </w:rPr>
              <w:t>8</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660661">
            <w:pPr>
              <w:rPr>
                <w:rFonts w:ascii="宋体" w:hAnsi="宋体"/>
                <w:szCs w:val="21"/>
              </w:rPr>
            </w:pPr>
            <w:r w:rsidRPr="00C11FF9">
              <w:rPr>
                <w:rFonts w:hint="eastAsia" w:ascii="宋体" w:hAnsi="宋体"/>
                <w:color w:val="000000"/>
                <w:szCs w:val="21"/>
              </w:rPr>
              <w:t>其他</w:t>
            </w:r>
          </w:p>
        </w:tc>
        <w:tc>
          <w:tcPr>
            <w:tcW w:w="285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544EA7">
            <w:pPr>
              <w:jc w:val="right"/>
              <w:rPr>
                <w:rFonts w:ascii="宋体" w:hAnsi="宋体"/>
                <w:color w:val="000000"/>
                <w:szCs w:val="21"/>
              </w:rPr>
            </w:pPr>
            <w:r w:rsidRPr="00C11FF9">
              <w:rPr>
                <w:rFonts w:ascii="宋体" w:hAnsi="宋体"/>
                <w:color w:val="000000"/>
                <w:szCs w:val="21"/>
              </w:rPr>
              <w:t>-</w:t>
            </w:r>
          </w:p>
        </w:tc>
      </w:tr>
      <w:tr w:rsidRPr="00C11FF9" w:rsidR="00660661" w:rsidTr="00727EDE">
        <w:tc>
          <w:tcPr>
            <w:tcW w:w="450" w:type="pct"/>
            <w:tcBorders>
              <w:top w:val="single" w:color="auto" w:sz="4" w:space="0"/>
              <w:left w:val="single" w:color="auto" w:sz="4" w:space="0"/>
              <w:bottom w:val="single" w:color="auto" w:sz="4" w:space="0"/>
              <w:right w:val="single" w:color="auto" w:sz="4" w:space="0"/>
            </w:tcBorders>
            <w:vAlign w:val="center"/>
          </w:tcPr>
          <w:p w:rsidRPr="00C11FF9" w:rsidR="00660661" w:rsidP="00E355CC" w:rsidRDefault="00121638">
            <w:pPr>
              <w:tabs>
                <w:tab w:val="left" w:pos="2879"/>
              </w:tabs>
              <w:ind w:right="30"/>
              <w:jc w:val="center"/>
              <w:rPr>
                <w:rFonts w:ascii="宋体" w:hAnsi="宋体"/>
                <w:szCs w:val="21"/>
              </w:rPr>
            </w:pPr>
            <w:r>
              <w:rPr>
                <w:rFonts w:hint="eastAsia" w:ascii="宋体" w:hAnsi="宋体"/>
                <w:szCs w:val="21"/>
              </w:rPr>
              <w:t>9</w:t>
            </w:r>
          </w:p>
        </w:tc>
        <w:tc>
          <w:tcPr>
            <w:tcW w:w="170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660661">
            <w:pPr>
              <w:rPr>
                <w:rFonts w:ascii="宋体" w:hAnsi="宋体"/>
                <w:szCs w:val="21"/>
              </w:rPr>
            </w:pPr>
            <w:r w:rsidRPr="00C11FF9">
              <w:rPr>
                <w:rFonts w:hint="eastAsia" w:ascii="宋体" w:hAnsi="宋体"/>
                <w:color w:val="000000"/>
                <w:szCs w:val="21"/>
              </w:rPr>
              <w:t>合计</w:t>
            </w:r>
          </w:p>
        </w:tc>
        <w:tc>
          <w:tcPr>
            <w:tcW w:w="2850" w:type="pct"/>
            <w:tcBorders>
              <w:top w:val="single" w:color="auto" w:sz="4" w:space="0"/>
              <w:left w:val="single" w:color="auto" w:sz="4" w:space="0"/>
              <w:bottom w:val="single" w:color="auto" w:sz="4" w:space="0"/>
              <w:right w:val="single" w:color="auto" w:sz="4" w:space="0"/>
            </w:tcBorders>
            <w:vAlign w:val="center"/>
          </w:tcPr>
          <w:p w:rsidRPr="00C11FF9" w:rsidR="00660661" w:rsidP="00727EDE" w:rsidRDefault="00544EA7">
            <w:pPr>
              <w:jc w:val="right"/>
              <w:rPr>
                <w:rFonts w:ascii="宋体" w:hAnsi="宋体"/>
                <w:color w:val="000000"/>
                <w:szCs w:val="21"/>
              </w:rPr>
            </w:pPr>
            <w:r w:rsidRPr="00C11FF9">
              <w:rPr>
                <w:rFonts w:ascii="宋体" w:hAnsi="宋体"/>
                <w:color w:val="000000"/>
                <w:szCs w:val="21"/>
              </w:rPr>
              <w:t>282,391.67</w:t>
            </w:r>
          </w:p>
        </w:tc>
      </w:tr>
    </w:tbl>
    <w:p w:rsidRPr="00C11FF9" w:rsidR="00544EA7" w:rsidP="00436940" w:rsidRDefault="00544EA7">
      <w:pPr>
        <w:ind w:right="480" w:firstLine="420" w:firstLineChars="200"/>
        <w:rPr>
          <w:rFonts w:ascii="宋体" w:hAnsi="宋体"/>
          <w:szCs w:val="21"/>
        </w:rPr>
      </w:pPr>
      <w:r w:rsidRPr="00C11FF9">
        <w:rPr>
          <w:rFonts w:ascii="宋体" w:hAnsi="宋体"/>
          <w:szCs w:val="21"/>
        </w:rPr>
        <w:t/>
      </w:r>
    </w:p>
    <w:p w:rsidRPr="00C11FF9" w:rsidR="003175F8" w:rsidP="00C43A35" w:rsidRDefault="003175F8">
      <w:pPr>
        <w:numPr>
          <w:ilvl w:val="2"/>
          <w:numId w:val="1"/>
        </w:numPr>
        <w:ind w:left="709" w:hanging="709"/>
        <w:rPr>
          <w:rFonts w:ascii="宋体" w:hAnsi="宋体"/>
          <w:b/>
          <w:szCs w:val="21"/>
        </w:rPr>
      </w:pPr>
      <w:r w:rsidRPr="00C11FF9">
        <w:rPr>
          <w:rFonts w:hint="eastAsia" w:ascii="宋体" w:hAnsi="宋体"/>
          <w:b/>
          <w:szCs w:val="21"/>
        </w:rPr>
        <w:t>期末持有的处于转股期的可转换债券明细</w:t>
      </w:r>
    </w:p>
    <w:p w:rsidRPr="00C11FF9" w:rsidR="00544EA7" w:rsidP="00436940" w:rsidRDefault="00544EA7">
      <w:pPr>
        <w:ind w:right="480" w:firstLine="420" w:firstLineChars="200"/>
        <w:rPr>
          <w:rFonts w:ascii="宋体" w:hAnsi="宋体"/>
          <w:szCs w:val="21"/>
        </w:rPr>
      </w:pPr>
      <w:r w:rsidRPr="00C11FF9">
        <w:rPr>
          <w:rFonts w:ascii="宋体" w:hAnsi="宋体"/>
          <w:szCs w:val="21"/>
        </w:rPr>
        <w:lastRenderedPageBreak/>
        <w:t>本基金本报告期末未持有处于转股期的可转换债券。</w:t>
      </w:r>
    </w:p>
    <w:p w:rsidRPr="00C11FF9" w:rsidR="003175F8" w:rsidP="00C43A35" w:rsidRDefault="003175F8">
      <w:pPr>
        <w:numPr>
          <w:ilvl w:val="2"/>
          <w:numId w:val="1"/>
        </w:numPr>
        <w:ind w:left="709" w:hanging="709"/>
        <w:rPr>
          <w:rFonts w:ascii="宋体" w:hAnsi="宋体"/>
          <w:b/>
          <w:szCs w:val="21"/>
        </w:rPr>
      </w:pPr>
      <w:r w:rsidRPr="00C11FF9">
        <w:rPr>
          <w:rFonts w:hint="eastAsia" w:ascii="宋体" w:hAnsi="宋体"/>
          <w:b/>
          <w:szCs w:val="21"/>
        </w:rPr>
        <w:t>期末前十名股票中存在流通受限情况的说明</w:t>
      </w:r>
    </w:p>
    <w:p w:rsidRPr="00C11FF9" w:rsidR="00ED446A" w:rsidP="000F71E9" w:rsidRDefault="00ED446A">
      <w:pPr>
        <w:ind w:right="480" w:firstLine="420" w:firstLineChars="200"/>
        <w:rPr>
          <w:rFonts w:ascii="宋体" w:hAnsi="宋体"/>
          <w:szCs w:val="21"/>
        </w:rPr>
      </w:pPr>
      <w:r w:rsidRPr="00C11FF9">
        <w:rPr>
          <w:rFonts w:ascii="宋体" w:hAnsi="宋体"/>
          <w:szCs w:val="21"/>
        </w:rPr>
        <w:t>本基金本报告期末前十名股票中不存在流通受限情况。</w:t>
      </w:r>
    </w:p>
    <w:p w:rsidRPr="00C11FF9" w:rsidR="00FA0F10" w:rsidP="00C43A35" w:rsidRDefault="00ED0E08">
      <w:pPr>
        <w:numPr>
          <w:ilvl w:val="2"/>
          <w:numId w:val="1"/>
        </w:numPr>
        <w:ind w:left="709" w:hanging="709"/>
        <w:rPr>
          <w:rFonts w:ascii="宋体" w:hAnsi="宋体"/>
          <w:bCs/>
          <w:szCs w:val="21"/>
        </w:rPr>
      </w:pPr>
      <w:r w:rsidRPr="00C11FF9">
        <w:rPr>
          <w:rFonts w:hint="eastAsia" w:ascii="宋体" w:hAnsi="宋体"/>
          <w:b/>
          <w:bCs/>
          <w:szCs w:val="21"/>
        </w:rPr>
        <w:t>投资</w:t>
      </w:r>
      <w:r w:rsidRPr="00C11FF9">
        <w:rPr>
          <w:rFonts w:hint="eastAsia" w:ascii="宋体" w:hAnsi="宋体"/>
          <w:b/>
          <w:szCs w:val="21"/>
        </w:rPr>
        <w:t>组合</w:t>
      </w:r>
      <w:r w:rsidRPr="00C11FF9">
        <w:rPr>
          <w:rFonts w:hint="eastAsia" w:ascii="宋体" w:hAnsi="宋体"/>
          <w:b/>
          <w:bCs/>
          <w:szCs w:val="21"/>
        </w:rPr>
        <w:t>报告附注的其他文字描述部分</w:t>
      </w:r>
      <w:r w:rsidRPr="00C11FF9">
        <w:rPr>
          <w:rFonts w:hint="eastAsia" w:ascii="宋体" w:hAnsi="宋体"/>
          <w:bCs/>
          <w:szCs w:val="21"/>
        </w:rPr>
        <w:t>。</w:t>
      </w:r>
    </w:p>
    <w:p w:rsidRPr="00C11FF9" w:rsidR="00ED446A" w:rsidP="00436940" w:rsidRDefault="00ED446A">
      <w:pPr>
        <w:ind w:right="480" w:firstLine="420" w:firstLineChars="200"/>
        <w:rPr>
          <w:rFonts w:ascii="宋体" w:hAnsi="宋体"/>
          <w:szCs w:val="21"/>
        </w:rPr>
      </w:pPr>
      <w:r w:rsidRPr="00C11FF9">
        <w:rPr>
          <w:rFonts w:ascii="宋体" w:hAnsi="宋体"/>
          <w:szCs w:val="21"/>
        </w:rPr>
        <w:t>因四舍五入原因,投资组合报告中市值占净值比例的分项之和与合计可能存在尾差。</w:t>
      </w:r>
    </w:p>
    <w:p w:rsidRPr="00C11FF9" w:rsidR="00ED0E08" w:rsidP="00E50060" w:rsidRDefault="00ED0E08">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t>基金份额持有人</w:t>
      </w:r>
      <w:r w:rsidRPr="00C11FF9">
        <w:rPr>
          <w:rFonts w:hint="eastAsia" w:ascii="宋体" w:hAnsi="宋体"/>
          <w:sz w:val="21"/>
          <w:szCs w:val="21"/>
        </w:rPr>
        <w:t>信息</w:t>
      </w:r>
    </w:p>
    <w:p w:rsidRPr="00C11FF9" w:rsidR="00ED0E08" w:rsidP="00E50060" w:rsidRDefault="00ED0E08">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期末基金份额持有人户数及持有人结构</w:t>
      </w:r>
    </w:p>
    <w:p w:rsidRPr="00F50CA3" w:rsidR="008A47F5" w:rsidP="00F50CA3" w:rsidRDefault="008A47F5">
      <w:pPr>
        <w:jc w:val="right"/>
        <w:rPr>
          <w:rFonts w:ascii="宋体" w:hAnsi="宋体"/>
          <w:szCs w:val="21"/>
        </w:rPr>
      </w:pPr>
      <w:r w:rsidRPr="00F50CA3">
        <w:rPr>
          <w:rFonts w:hint="eastAsia" w:ascii="宋体" w:hAnsi="宋体"/>
          <w:szCs w:val="21"/>
        </w:rPr>
        <w:t>份额单位：份</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84"/>
        <w:gridCol w:w="2268"/>
        <w:gridCol w:w="1856"/>
        <w:gridCol w:w="1080"/>
        <w:gridCol w:w="1904"/>
        <w:gridCol w:w="1084"/>
      </w:tblGrid>
      <w:tr w:rsidRPr="00C11FF9" w:rsidR="00ED0E08" w:rsidTr="00815BA3">
        <w:trPr>
          <w:cantSplit/>
          <w:trHeight w:val="251"/>
          <w:jc w:val="center"/>
        </w:trPr>
        <w:tc>
          <w:tcPr>
            <w:tcW w:w="1384" w:type="dxa"/>
            <w:vMerge w:val="restart"/>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tabs>
                <w:tab w:val="num" w:pos="420"/>
              </w:tabs>
              <w:jc w:val="center"/>
              <w:rPr>
                <w:rFonts w:ascii="宋体" w:hAnsi="宋体"/>
                <w:bCs/>
                <w:szCs w:val="21"/>
              </w:rPr>
            </w:pPr>
            <w:r w:rsidRPr="00C11FF9">
              <w:rPr>
                <w:rFonts w:hint="eastAsia" w:ascii="宋体" w:hAnsi="宋体"/>
                <w:bCs/>
                <w:szCs w:val="21"/>
              </w:rPr>
              <w:t>持有人户数(户)</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tabs>
                <w:tab w:val="num" w:pos="420"/>
              </w:tabs>
              <w:jc w:val="center"/>
              <w:rPr>
                <w:rFonts w:ascii="宋体" w:hAnsi="宋体"/>
                <w:bCs/>
                <w:szCs w:val="21"/>
              </w:rPr>
            </w:pPr>
            <w:r w:rsidRPr="00C11FF9">
              <w:rPr>
                <w:rFonts w:hint="eastAsia" w:ascii="宋体" w:hAnsi="宋体"/>
                <w:bCs/>
                <w:szCs w:val="21"/>
              </w:rPr>
              <w:t>户均持有的基金份额</w:t>
            </w:r>
          </w:p>
        </w:tc>
        <w:tc>
          <w:tcPr>
            <w:tcW w:w="5924" w:type="dxa"/>
            <w:gridSpan w:val="4"/>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tabs>
                <w:tab w:val="num" w:pos="420"/>
              </w:tabs>
              <w:jc w:val="center"/>
              <w:rPr>
                <w:rFonts w:ascii="宋体" w:hAnsi="宋体"/>
                <w:bCs/>
                <w:szCs w:val="21"/>
              </w:rPr>
            </w:pPr>
            <w:r w:rsidRPr="00C11FF9">
              <w:rPr>
                <w:rFonts w:hint="eastAsia" w:ascii="宋体" w:hAnsi="宋体"/>
                <w:bCs/>
                <w:szCs w:val="21"/>
              </w:rPr>
              <w:t>持有人结构</w:t>
            </w:r>
          </w:p>
        </w:tc>
      </w:tr>
      <w:tr w:rsidRPr="00C11FF9" w:rsidR="00ED0E08" w:rsidTr="00815BA3">
        <w:trPr>
          <w:cantSplit/>
          <w:trHeight w:val="307"/>
          <w:jc w:val="center"/>
        </w:trPr>
        <w:tc>
          <w:tcPr>
            <w:tcW w:w="1384" w:type="dxa"/>
            <w:vMerge/>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widowControl/>
              <w:jc w:val="left"/>
              <w:rPr>
                <w:rFonts w:ascii="宋体" w:hAnsi="宋体"/>
                <w:bCs/>
                <w:szCs w:val="21"/>
              </w:rPr>
            </w:pPr>
          </w:p>
        </w:tc>
        <w:tc>
          <w:tcPr>
            <w:tcW w:w="2268" w:type="dxa"/>
            <w:vMerge/>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widowControl/>
              <w:jc w:val="left"/>
              <w:rPr>
                <w:rFonts w:ascii="宋体" w:hAnsi="宋体"/>
                <w:bCs/>
                <w:szCs w:val="21"/>
              </w:rPr>
            </w:pPr>
          </w:p>
        </w:tc>
        <w:tc>
          <w:tcPr>
            <w:tcW w:w="2936" w:type="dxa"/>
            <w:gridSpan w:val="2"/>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tabs>
                <w:tab w:val="num" w:pos="420"/>
              </w:tabs>
              <w:jc w:val="center"/>
              <w:rPr>
                <w:rFonts w:ascii="宋体" w:hAnsi="宋体"/>
                <w:bCs/>
                <w:szCs w:val="21"/>
              </w:rPr>
            </w:pPr>
            <w:r w:rsidRPr="00C11FF9">
              <w:rPr>
                <w:rFonts w:hint="eastAsia" w:ascii="宋体" w:hAnsi="宋体"/>
                <w:bCs/>
                <w:szCs w:val="21"/>
              </w:rPr>
              <w:t>机构投资者</w:t>
            </w:r>
          </w:p>
        </w:tc>
        <w:tc>
          <w:tcPr>
            <w:tcW w:w="2988" w:type="dxa"/>
            <w:gridSpan w:val="2"/>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tabs>
                <w:tab w:val="num" w:pos="420"/>
              </w:tabs>
              <w:jc w:val="center"/>
              <w:rPr>
                <w:rFonts w:ascii="宋体" w:hAnsi="宋体"/>
                <w:bCs/>
                <w:szCs w:val="21"/>
              </w:rPr>
            </w:pPr>
            <w:r w:rsidRPr="00C11FF9">
              <w:rPr>
                <w:rFonts w:hint="eastAsia" w:ascii="宋体" w:hAnsi="宋体"/>
                <w:bCs/>
                <w:szCs w:val="21"/>
              </w:rPr>
              <w:t>个人投资者</w:t>
            </w:r>
          </w:p>
        </w:tc>
      </w:tr>
      <w:tr w:rsidRPr="00C11FF9" w:rsidR="00ED0E08" w:rsidTr="00815BA3">
        <w:trPr>
          <w:cantSplit/>
          <w:trHeight w:val="304"/>
          <w:jc w:val="center"/>
        </w:trPr>
        <w:tc>
          <w:tcPr>
            <w:tcW w:w="1384" w:type="dxa"/>
            <w:vMerge/>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widowControl/>
              <w:jc w:val="left"/>
              <w:rPr>
                <w:rFonts w:ascii="宋体" w:hAnsi="宋体"/>
                <w:bCs/>
                <w:szCs w:val="21"/>
              </w:rPr>
            </w:pPr>
          </w:p>
        </w:tc>
        <w:tc>
          <w:tcPr>
            <w:tcW w:w="2268" w:type="dxa"/>
            <w:vMerge/>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widowControl/>
              <w:jc w:val="left"/>
              <w:rPr>
                <w:rFonts w:ascii="宋体" w:hAnsi="宋体"/>
                <w:bCs/>
                <w:szCs w:val="21"/>
              </w:rPr>
            </w:pPr>
          </w:p>
        </w:tc>
        <w:tc>
          <w:tcPr>
            <w:tcW w:w="1856" w:type="dxa"/>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spacing w:before="120"/>
              <w:jc w:val="center"/>
              <w:rPr>
                <w:rFonts w:ascii="宋体" w:hAnsi="宋体" w:cs="Arial"/>
                <w:szCs w:val="21"/>
              </w:rPr>
            </w:pPr>
            <w:r w:rsidRPr="00C11FF9">
              <w:rPr>
                <w:rFonts w:hint="eastAsia" w:ascii="宋体" w:hAnsi="宋体"/>
                <w:bCs/>
                <w:szCs w:val="21"/>
              </w:rPr>
              <w:t>持有份额</w:t>
            </w:r>
          </w:p>
        </w:tc>
        <w:tc>
          <w:tcPr>
            <w:tcW w:w="1080" w:type="dxa"/>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spacing w:before="120"/>
              <w:jc w:val="center"/>
              <w:rPr>
                <w:rFonts w:ascii="宋体" w:hAnsi="宋体" w:cs="Arial"/>
                <w:szCs w:val="21"/>
              </w:rPr>
            </w:pPr>
            <w:r w:rsidRPr="00C11FF9">
              <w:rPr>
                <w:rFonts w:hint="eastAsia" w:ascii="宋体" w:hAnsi="宋体"/>
                <w:bCs/>
                <w:szCs w:val="21"/>
              </w:rPr>
              <w:t>占总份额比例</w:t>
            </w:r>
          </w:p>
        </w:tc>
        <w:tc>
          <w:tcPr>
            <w:tcW w:w="1904" w:type="dxa"/>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spacing w:before="120"/>
              <w:jc w:val="center"/>
              <w:rPr>
                <w:rFonts w:ascii="宋体" w:hAnsi="宋体" w:cs="Arial"/>
                <w:szCs w:val="21"/>
              </w:rPr>
            </w:pPr>
            <w:r w:rsidRPr="00C11FF9">
              <w:rPr>
                <w:rFonts w:hint="eastAsia" w:ascii="宋体" w:hAnsi="宋体"/>
                <w:bCs/>
                <w:szCs w:val="21"/>
              </w:rPr>
              <w:t>持有份额</w:t>
            </w:r>
          </w:p>
        </w:tc>
        <w:tc>
          <w:tcPr>
            <w:tcW w:w="1084" w:type="dxa"/>
            <w:tcBorders>
              <w:top w:val="single" w:color="auto" w:sz="4" w:space="0"/>
              <w:left w:val="single" w:color="auto" w:sz="4" w:space="0"/>
              <w:bottom w:val="single" w:color="auto" w:sz="4" w:space="0"/>
              <w:right w:val="single" w:color="auto" w:sz="4" w:space="0"/>
            </w:tcBorders>
            <w:vAlign w:val="center"/>
          </w:tcPr>
          <w:p w:rsidRPr="00C11FF9" w:rsidR="00ED0E08" w:rsidP="00E355CC" w:rsidRDefault="00ED0E08">
            <w:pPr>
              <w:spacing w:before="120"/>
              <w:jc w:val="center"/>
              <w:rPr>
                <w:rFonts w:ascii="宋体" w:hAnsi="宋体" w:cs="Arial"/>
                <w:szCs w:val="21"/>
              </w:rPr>
            </w:pPr>
            <w:r w:rsidRPr="00C11FF9">
              <w:rPr>
                <w:rFonts w:hint="eastAsia" w:ascii="宋体" w:hAnsi="宋体"/>
                <w:bCs/>
                <w:szCs w:val="21"/>
              </w:rPr>
              <w:t>占总份额比例</w:t>
            </w:r>
          </w:p>
        </w:tc>
      </w:tr>
      <w:tr w:rsidRPr="00C11FF9" w:rsidR="00ED0E08" w:rsidTr="00134418">
        <w:trPr>
          <w:cantSplit/>
          <w:trHeight w:val="309"/>
          <w:jc w:val="center"/>
        </w:trPr>
        <w:tc>
          <w:tcPr>
            <w:tcW w:w="1384" w:type="dxa"/>
            <w:tcBorders>
              <w:top w:val="single" w:color="auto" w:sz="4" w:space="0"/>
              <w:left w:val="single" w:color="auto" w:sz="4" w:space="0"/>
              <w:bottom w:val="single" w:color="auto" w:sz="4" w:space="0"/>
              <w:right w:val="single" w:color="auto" w:sz="4" w:space="0"/>
            </w:tcBorders>
            <w:vAlign w:val="center"/>
          </w:tcPr>
          <w:p w:rsidRPr="00C11FF9" w:rsidR="00ED0E08" w:rsidP="00134418" w:rsidRDefault="00ED446A">
            <w:pPr>
              <w:widowControl/>
              <w:rPr>
                <w:rFonts w:ascii="宋体" w:hAnsi="宋体"/>
                <w:bCs/>
                <w:szCs w:val="21"/>
              </w:rPr>
            </w:pPr>
            <w:r w:rsidRPr="00C11FF9">
              <w:rPr>
                <w:rFonts w:ascii="宋体" w:hAnsi="宋体"/>
                <w:bCs/>
                <w:szCs w:val="21"/>
              </w:rPr>
              <w:t>808</w:t>
            </w:r>
          </w:p>
        </w:tc>
        <w:tc>
          <w:tcPr>
            <w:tcW w:w="2268" w:type="dxa"/>
            <w:tcBorders>
              <w:top w:val="single" w:color="auto" w:sz="4" w:space="0"/>
              <w:left w:val="single" w:color="auto" w:sz="4" w:space="0"/>
              <w:bottom w:val="single" w:color="auto" w:sz="4" w:space="0"/>
              <w:right w:val="single" w:color="auto" w:sz="4" w:space="0"/>
            </w:tcBorders>
            <w:vAlign w:val="center"/>
          </w:tcPr>
          <w:p w:rsidRPr="00C11FF9" w:rsidR="00ED0E08" w:rsidP="00134418" w:rsidRDefault="00ED446A">
            <w:pPr>
              <w:widowControl/>
              <w:jc w:val="right"/>
              <w:rPr>
                <w:rFonts w:ascii="宋体" w:hAnsi="宋体"/>
                <w:bCs/>
                <w:szCs w:val="21"/>
              </w:rPr>
            </w:pPr>
            <w:r w:rsidRPr="00C11FF9">
              <w:rPr>
                <w:rFonts w:ascii="宋体" w:hAnsi="宋体"/>
                <w:bCs/>
                <w:szCs w:val="21"/>
              </w:rPr>
              <w:t>15,611.78</w:t>
            </w:r>
          </w:p>
        </w:tc>
        <w:tc>
          <w:tcPr>
            <w:tcW w:w="1856" w:type="dxa"/>
            <w:tcBorders>
              <w:top w:val="single" w:color="auto" w:sz="4" w:space="0"/>
              <w:left w:val="single" w:color="auto" w:sz="4" w:space="0"/>
              <w:bottom w:val="single" w:color="auto" w:sz="4" w:space="0"/>
              <w:right w:val="single" w:color="auto" w:sz="4" w:space="0"/>
            </w:tcBorders>
            <w:vAlign w:val="center"/>
          </w:tcPr>
          <w:p w:rsidRPr="00C11FF9" w:rsidR="00ED0E08" w:rsidP="00134418" w:rsidRDefault="00ED446A">
            <w:pPr>
              <w:widowControl/>
              <w:jc w:val="right"/>
              <w:rPr>
                <w:rFonts w:ascii="宋体" w:hAnsi="宋体"/>
                <w:bCs/>
                <w:szCs w:val="21"/>
              </w:rPr>
            </w:pPr>
            <w:r w:rsidRPr="00C11FF9">
              <w:rPr>
                <w:rFonts w:ascii="宋体" w:hAnsi="宋体"/>
                <w:bCs/>
                <w:szCs w:val="21"/>
              </w:rPr>
              <w:t>19,863.55</w:t>
            </w:r>
          </w:p>
        </w:tc>
        <w:tc>
          <w:tcPr>
            <w:tcW w:w="1080" w:type="dxa"/>
            <w:tcBorders>
              <w:top w:val="single" w:color="auto" w:sz="4" w:space="0"/>
              <w:left w:val="single" w:color="auto" w:sz="4" w:space="0"/>
              <w:bottom w:val="single" w:color="auto" w:sz="4" w:space="0"/>
              <w:right w:val="single" w:color="auto" w:sz="4" w:space="0"/>
            </w:tcBorders>
            <w:vAlign w:val="center"/>
          </w:tcPr>
          <w:p w:rsidRPr="00C11FF9" w:rsidR="00ED0E08" w:rsidP="00311596" w:rsidRDefault="00ED446A">
            <w:pPr>
              <w:widowControl/>
              <w:jc w:val="right"/>
              <w:rPr>
                <w:rFonts w:ascii="宋体" w:hAnsi="宋体"/>
                <w:bCs/>
                <w:szCs w:val="21"/>
              </w:rPr>
            </w:pPr>
            <w:r w:rsidRPr="00C11FF9">
              <w:rPr>
                <w:rFonts w:ascii="宋体" w:hAnsi="宋体"/>
                <w:bCs/>
                <w:szCs w:val="21"/>
              </w:rPr>
              <w:t>0.16%</w:t>
            </w:r>
          </w:p>
        </w:tc>
        <w:tc>
          <w:tcPr>
            <w:tcW w:w="1904" w:type="dxa"/>
            <w:tcBorders>
              <w:top w:val="single" w:color="auto" w:sz="4" w:space="0"/>
              <w:left w:val="single" w:color="auto" w:sz="4" w:space="0"/>
              <w:bottom w:val="single" w:color="auto" w:sz="4" w:space="0"/>
              <w:right w:val="single" w:color="auto" w:sz="4" w:space="0"/>
            </w:tcBorders>
            <w:vAlign w:val="center"/>
          </w:tcPr>
          <w:p w:rsidRPr="00C11FF9" w:rsidR="00ED0E08" w:rsidP="00311596" w:rsidRDefault="00ED446A">
            <w:pPr>
              <w:widowControl/>
              <w:jc w:val="right"/>
              <w:rPr>
                <w:rFonts w:ascii="宋体" w:hAnsi="宋体"/>
                <w:bCs/>
                <w:szCs w:val="21"/>
              </w:rPr>
            </w:pPr>
            <w:r w:rsidRPr="00C11FF9">
              <w:rPr>
                <w:rFonts w:ascii="宋体" w:hAnsi="宋体"/>
                <w:bCs/>
                <w:szCs w:val="21"/>
              </w:rPr>
              <w:t>12,594,457.30</w:t>
            </w:r>
          </w:p>
        </w:tc>
        <w:tc>
          <w:tcPr>
            <w:tcW w:w="1084" w:type="dxa"/>
            <w:tcBorders>
              <w:top w:val="single" w:color="auto" w:sz="4" w:space="0"/>
              <w:left w:val="single" w:color="auto" w:sz="4" w:space="0"/>
              <w:bottom w:val="single" w:color="auto" w:sz="4" w:space="0"/>
              <w:right w:val="single" w:color="auto" w:sz="4" w:space="0"/>
            </w:tcBorders>
            <w:vAlign w:val="center"/>
          </w:tcPr>
          <w:p w:rsidRPr="00C11FF9" w:rsidR="00ED0E08" w:rsidP="00311596" w:rsidRDefault="00ED446A">
            <w:pPr>
              <w:widowControl/>
              <w:jc w:val="right"/>
              <w:rPr>
                <w:rFonts w:ascii="宋体" w:hAnsi="宋体"/>
                <w:bCs/>
                <w:szCs w:val="21"/>
              </w:rPr>
            </w:pPr>
            <w:r w:rsidRPr="00C11FF9">
              <w:rPr>
                <w:rFonts w:ascii="宋体" w:hAnsi="宋体"/>
                <w:bCs/>
                <w:szCs w:val="21"/>
              </w:rPr>
              <w:t>99.84%</w:t>
            </w:r>
          </w:p>
        </w:tc>
      </w:tr>
    </w:tbl>
    <w:p w:rsidRPr="00C11FF9" w:rsidR="00ED446A" w:rsidP="00436940" w:rsidRDefault="00ED446A">
      <w:pPr>
        <w:ind w:right="480" w:firstLine="420" w:firstLineChars="200"/>
        <w:rPr>
          <w:rFonts w:ascii="宋体" w:hAnsi="宋体"/>
          <w:szCs w:val="21"/>
        </w:rPr>
      </w:pPr>
      <w:r w:rsidRPr="00C11FF9">
        <w:rPr>
          <w:rFonts w:ascii="宋体" w:hAnsi="宋体"/>
          <w:szCs w:val="21"/>
        </w:rPr>
        <w:t/>
      </w:r>
    </w:p>
    <w:p w:rsidRPr="00C11FF9" w:rsidR="00ED0E08" w:rsidP="00E50060" w:rsidRDefault="00ED0E08">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期末上市基金前十名持有人</w:t>
      </w:r>
    </w:p>
    <w:tbl>
      <w:tblPr>
        <w:tblW w:w="5000" w:type="pct"/>
        <w:tblLook w:val="01E0" w:firstRow="1" w:lastRow="1" w:firstColumn="1" w:lastColumn="1" w:noHBand="0" w:noVBand="0"/>
      </w:tblPr>
      <w:tblGrid>
        <w:gridCol w:w="959"/>
        <w:gridCol w:w="2873"/>
        <w:gridCol w:w="3476"/>
        <w:gridCol w:w="2268"/>
      </w:tblGrid>
      <w:tr w:rsidRPr="00C11FF9" w:rsidR="00ED0E08" w:rsidTr="00727EDE">
        <w:tc>
          <w:tcPr>
            <w:tcW w:w="501" w:type="pct"/>
            <w:tcBorders>
              <w:top w:val="single" w:color="auto" w:sz="4" w:space="0"/>
              <w:left w:val="single" w:color="auto" w:sz="4" w:space="0"/>
              <w:bottom w:val="single" w:color="auto" w:sz="4" w:space="0"/>
              <w:right w:val="single" w:color="auto" w:sz="4" w:space="0"/>
            </w:tcBorders>
            <w:vAlign w:val="center"/>
          </w:tcPr>
          <w:p w:rsidRPr="00C11FF9" w:rsidR="00ED0E08" w:rsidP="00727EDE" w:rsidRDefault="00ED0E08">
            <w:pPr>
              <w:jc w:val="center"/>
              <w:rPr>
                <w:rFonts w:ascii="宋体" w:hAnsi="宋体"/>
                <w:szCs w:val="21"/>
              </w:rPr>
            </w:pPr>
            <w:r w:rsidRPr="00C11FF9">
              <w:rPr>
                <w:rFonts w:hint="eastAsia" w:ascii="宋体" w:hAnsi="宋体"/>
                <w:szCs w:val="21"/>
              </w:rPr>
              <w:t>序号</w:t>
            </w:r>
          </w:p>
        </w:tc>
        <w:tc>
          <w:tcPr>
            <w:tcW w:w="1500" w:type="pct"/>
            <w:tcBorders>
              <w:top w:val="single" w:color="auto" w:sz="4" w:space="0"/>
              <w:left w:val="single" w:color="auto" w:sz="4" w:space="0"/>
              <w:bottom w:val="single" w:color="auto" w:sz="4" w:space="0"/>
              <w:right w:val="single" w:color="auto" w:sz="4" w:space="0"/>
            </w:tcBorders>
            <w:vAlign w:val="center"/>
          </w:tcPr>
          <w:p w:rsidRPr="00C11FF9" w:rsidR="00ED0E08" w:rsidP="00727EDE" w:rsidRDefault="00ED0E08">
            <w:pPr>
              <w:jc w:val="center"/>
              <w:rPr>
                <w:rFonts w:ascii="宋体" w:hAnsi="宋体"/>
                <w:szCs w:val="21"/>
              </w:rPr>
            </w:pPr>
            <w:r w:rsidRPr="00C11FF9">
              <w:rPr>
                <w:rFonts w:hint="eastAsia" w:ascii="宋体" w:hAnsi="宋体"/>
                <w:szCs w:val="21"/>
              </w:rPr>
              <w:t>持有人名称</w:t>
            </w:r>
          </w:p>
        </w:tc>
        <w:tc>
          <w:tcPr>
            <w:tcW w:w="1815" w:type="pct"/>
            <w:tcBorders>
              <w:top w:val="single" w:color="auto" w:sz="4" w:space="0"/>
              <w:left w:val="single" w:color="auto" w:sz="4" w:space="0"/>
              <w:bottom w:val="single" w:color="auto" w:sz="4" w:space="0"/>
              <w:right w:val="single" w:color="auto" w:sz="4" w:space="0"/>
            </w:tcBorders>
            <w:vAlign w:val="center"/>
          </w:tcPr>
          <w:p w:rsidRPr="00C11FF9" w:rsidR="00ED0E08" w:rsidP="00727EDE" w:rsidRDefault="00ED0E08">
            <w:pPr>
              <w:jc w:val="center"/>
              <w:rPr>
                <w:rFonts w:ascii="宋体" w:hAnsi="宋体"/>
                <w:szCs w:val="21"/>
              </w:rPr>
            </w:pPr>
            <w:r w:rsidRPr="00C11FF9">
              <w:rPr>
                <w:rFonts w:hint="eastAsia" w:ascii="宋体" w:hAnsi="宋体"/>
                <w:szCs w:val="21"/>
              </w:rPr>
              <w:t>持有份额（份）</w:t>
            </w:r>
          </w:p>
        </w:tc>
        <w:tc>
          <w:tcPr>
            <w:tcW w:w="1184" w:type="pct"/>
            <w:tcBorders>
              <w:top w:val="single" w:color="auto" w:sz="4" w:space="0"/>
              <w:left w:val="single" w:color="auto" w:sz="4" w:space="0"/>
              <w:bottom w:val="single" w:color="auto" w:sz="4" w:space="0"/>
              <w:right w:val="single" w:color="auto" w:sz="4" w:space="0"/>
            </w:tcBorders>
            <w:vAlign w:val="center"/>
          </w:tcPr>
          <w:p w:rsidRPr="00C11FF9" w:rsidR="00ED0E08" w:rsidP="00727EDE" w:rsidRDefault="00ED0E08">
            <w:pPr>
              <w:jc w:val="center"/>
              <w:rPr>
                <w:rFonts w:ascii="宋体" w:hAnsi="宋体"/>
                <w:szCs w:val="21"/>
              </w:rPr>
            </w:pPr>
            <w:r w:rsidRPr="00C11FF9">
              <w:rPr>
                <w:rFonts w:hint="eastAsia" w:ascii="宋体" w:hAnsi="宋体"/>
                <w:szCs w:val="21"/>
              </w:rPr>
              <w:t>占上市总份额比例</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1</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OOI HOE SEONG</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494,158.65</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3.92%</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2</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雷四成</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296,453.19</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2.35%</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3</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许泽娜</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256,926.10</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2.04%</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4</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李秀珍</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247,228.07</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1.96%</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5</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孙琪琪</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237,347.35</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1.88%</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6</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赵爱英</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226,264.82</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1.79%</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7</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黄伟强</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197,873.46</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1.57%</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8</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余献</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197,761.46</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1.57%</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9</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黄林</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197,642.46</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1.57%</w:t>
            </w:r>
          </w:p>
        </w:tc>
      </w:tr>
      <w:tr w:rsidRPr="00C11FF9" w:rsidR="00ED0E08" w:rsidTr="00B26379">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center"/>
              <w:rPr>
                <w:rFonts w:ascii="宋体" w:hAnsi="宋体"/>
                <w:szCs w:val="21"/>
              </w:rPr>
            </w:pPr>
            <w:r w:rsidRPr="00C11FF9">
              <w:rPr>
                <w:rFonts w:ascii="宋体" w:hAnsi="宋体"/>
                <w:szCs w:val="21"/>
              </w:rPr>
              <w:t>10</w:t>
            </w:r>
          </w:p>
        </w:tc>
        <w:tc>
          <w:tcPr>
            <w:tcW w:w="1500"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rPr>
                <w:rFonts w:ascii="宋体" w:hAnsi="宋体"/>
                <w:szCs w:val="21"/>
              </w:rPr>
            </w:pPr>
            <w:r w:rsidRPr="00C11FF9">
              <w:rPr>
                <w:rFonts w:ascii="宋体" w:hAnsi="宋体"/>
                <w:szCs w:val="21"/>
              </w:rPr>
              <w:t>赵芳</w:t>
            </w:r>
          </w:p>
        </w:tc>
        <w:tc>
          <w:tcPr>
            <w:tcW w:w="1815"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197,635.46</w:t>
            </w:r>
          </w:p>
        </w:tc>
        <w:tc>
          <w:tcPr>
            <w:tcW w:w="1184" w:type="pct"/>
            <w:tcBorders>
              <w:top w:val="single" w:color="auto" w:sz="4" w:space="0"/>
              <w:left w:val="single" w:color="auto" w:sz="4" w:space="0"/>
              <w:bottom w:val="single" w:color="auto" w:sz="4" w:space="0"/>
              <w:right w:val="single" w:color="auto" w:sz="4" w:space="0"/>
            </w:tcBorders>
            <w:shd w:val="clear" w:color="auto" w:fill="auto"/>
            <w:vAlign w:val="center"/>
          </w:tcPr>
          <w:p w:rsidRPr="00C11FF9" w:rsidR="00ED0E08" w:rsidP="00B26379" w:rsidRDefault="007B1A6B">
            <w:pPr>
              <w:jc w:val="right"/>
              <w:rPr>
                <w:rFonts w:ascii="宋体" w:hAnsi="宋体"/>
                <w:szCs w:val="21"/>
              </w:rPr>
            </w:pPr>
            <w:r w:rsidRPr="00C11FF9">
              <w:rPr>
                <w:rFonts w:ascii="宋体" w:hAnsi="宋体"/>
                <w:szCs w:val="21"/>
              </w:rPr>
              <w:t>1.57%</w:t>
            </w:r>
          </w:p>
        </w:tc>
      </w:tr>
    </w:tbl>
    <w:p w:rsidRPr="00C11FF9" w:rsidR="007B1A6B" w:rsidP="00436940" w:rsidRDefault="00ED0E08">
      <w:pPr>
        <w:ind w:right="480" w:firstLine="420" w:firstLineChars="200"/>
        <w:rPr>
          <w:rFonts w:ascii="宋体" w:hAnsi="宋体"/>
          <w:szCs w:val="21"/>
        </w:rPr>
      </w:pPr>
      <w:r w:rsidRPr="00C11FF9">
        <w:rPr>
          <w:rFonts w:hint="eastAsia" w:ascii="宋体" w:hAnsi="宋体"/>
          <w:szCs w:val="21"/>
        </w:rPr>
        <w:tab/>
      </w:r>
      <w:r w:rsidRPr="00C11FF9" w:rsidR="007B1A6B">
        <w:rPr>
          <w:rFonts w:ascii="宋体" w:hAnsi="宋体"/>
          <w:szCs w:val="21"/>
        </w:rPr>
        <w:t/>
      </w:r>
    </w:p>
    <w:p w:rsidRPr="00C11FF9" w:rsidR="00ED0E08" w:rsidP="00E50060" w:rsidRDefault="00ED0E08">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期末基金管理人的从业人员持有本基金的情况</w:t>
      </w:r>
    </w:p>
    <w:p w:rsidRPr="00C11FF9" w:rsidR="007B1A6B" w:rsidP="00436940" w:rsidRDefault="007B1A6B">
      <w:pPr>
        <w:ind w:right="480" w:firstLine="420" w:firstLineChars="200"/>
        <w:rPr>
          <w:rFonts w:ascii="宋体" w:hAnsi="宋体"/>
          <w:szCs w:val="21"/>
        </w:rPr>
      </w:pPr>
      <w:r w:rsidRPr="00C11FF9">
        <w:rPr>
          <w:rFonts w:hint="eastAsia" w:ascii="宋体" w:hAnsi="宋体"/>
          <w:szCs w:val="21"/>
        </w:rPr>
        <w:t>期末本基金管理人的从业人员未持有本基金的基金份额。</w:t>
      </w:r>
    </w:p>
    <w:p w:rsidRPr="00C11FF9" w:rsidR="00AF125E" w:rsidP="00AF125E" w:rsidRDefault="00AF125E">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期末基金管理人的从业人员持有本开放式基金份额总量区间的情况</w:t>
      </w:r>
    </w:p>
    <w:tbl>
      <w:tblPr>
        <w:tblW w:w="0" w:type="auto"/>
        <w:tblLayout w:type="fixed"/>
        <w:tblLook w:val="0000" w:firstRow="0" w:lastRow="0" w:firstColumn="0" w:lastColumn="0" w:noHBand="0" w:noVBand="0"/>
      </w:tblPr>
      <w:tblGrid>
        <w:gridCol w:w="4786"/>
        <w:gridCol w:w="4790"/>
      </w:tblGrid>
      <w:tr w:rsidRPr="00C11FF9" w:rsidR="00A05987" w:rsidTr="0090233C">
        <w:trPr>
          <w:trHeight w:val="285"/>
        </w:trPr>
        <w:tc>
          <w:tcPr>
            <w:tcW w:w="4786" w:type="dxa"/>
            <w:tcBorders>
              <w:top w:val="single" w:color="auto" w:sz="4" w:space="0"/>
              <w:left w:val="single" w:color="auto" w:sz="4" w:space="0"/>
              <w:bottom w:val="single" w:color="auto" w:sz="4" w:space="0"/>
              <w:right w:val="single" w:color="auto" w:sz="4" w:space="0"/>
            </w:tcBorders>
            <w:noWrap/>
            <w:vAlign w:val="center"/>
          </w:tcPr>
          <w:p w:rsidRPr="00C11FF9" w:rsidR="00A05987" w:rsidP="00FD3032" w:rsidRDefault="00A05987">
            <w:pPr>
              <w:widowControl/>
              <w:jc w:val="center"/>
              <w:rPr>
                <w:rFonts w:ascii="宋体" w:hAnsi="宋体" w:cs="宋体"/>
                <w:kern w:val="0"/>
                <w:szCs w:val="21"/>
              </w:rPr>
            </w:pPr>
            <w:r w:rsidRPr="00C11FF9">
              <w:rPr>
                <w:rFonts w:hint="eastAsia" w:ascii="宋体" w:hAnsi="宋体" w:cs="宋体"/>
                <w:kern w:val="0"/>
                <w:szCs w:val="21"/>
              </w:rPr>
              <w:t>项目</w:t>
            </w:r>
          </w:p>
        </w:tc>
        <w:tc>
          <w:tcPr>
            <w:tcW w:w="4790" w:type="dxa"/>
            <w:tcBorders>
              <w:top w:val="single" w:color="auto" w:sz="4" w:space="0"/>
              <w:left w:val="single" w:color="auto" w:sz="4" w:space="0"/>
              <w:bottom w:val="single" w:color="auto" w:sz="4" w:space="0"/>
              <w:right w:val="single" w:color="auto" w:sz="4" w:space="0"/>
            </w:tcBorders>
            <w:noWrap/>
            <w:vAlign w:val="center"/>
          </w:tcPr>
          <w:p w:rsidRPr="00C11FF9" w:rsidR="00A05987" w:rsidP="00FD3032" w:rsidRDefault="00A05987">
            <w:pPr>
              <w:widowControl/>
              <w:jc w:val="center"/>
              <w:rPr>
                <w:rFonts w:ascii="宋体" w:hAnsi="宋体"/>
                <w:kern w:val="0"/>
                <w:szCs w:val="21"/>
              </w:rPr>
            </w:pPr>
            <w:r w:rsidRPr="00C11FF9">
              <w:rPr>
                <w:rFonts w:hint="eastAsia" w:ascii="宋体" w:hAnsi="宋体"/>
                <w:kern w:val="0"/>
                <w:szCs w:val="21"/>
              </w:rPr>
              <w:t>持有基金份额总量的数量区间（万份）</w:t>
            </w:r>
          </w:p>
        </w:tc>
      </w:tr>
      <w:tr w:rsidRPr="00C11FF9" w:rsidR="00A05987" w:rsidTr="0090233C">
        <w:trPr>
          <w:trHeight w:val="285"/>
        </w:trPr>
        <w:tc>
          <w:tcPr>
            <w:tcW w:w="4786" w:type="dxa"/>
            <w:tcBorders>
              <w:top w:val="single" w:color="auto" w:sz="4" w:space="0"/>
              <w:left w:val="single" w:color="auto" w:sz="4" w:space="0"/>
              <w:bottom w:val="single" w:color="auto" w:sz="4" w:space="0"/>
              <w:right w:val="single" w:color="auto" w:sz="4" w:space="0"/>
            </w:tcBorders>
            <w:noWrap/>
            <w:vAlign w:val="center"/>
          </w:tcPr>
          <w:p w:rsidRPr="00C11FF9" w:rsidR="00A05987" w:rsidP="00FD3032" w:rsidRDefault="00A05987">
            <w:pPr>
              <w:widowControl/>
              <w:rPr>
                <w:rFonts w:ascii="宋体" w:hAnsi="宋体" w:cs="宋体"/>
                <w:kern w:val="0"/>
                <w:szCs w:val="21"/>
              </w:rPr>
            </w:pPr>
            <w:r w:rsidRPr="00C11FF9">
              <w:rPr>
                <w:rFonts w:hint="eastAsia" w:ascii="宋体" w:hAnsi="宋体"/>
                <w:color w:val="000000"/>
                <w:szCs w:val="21"/>
              </w:rPr>
              <w:t>本公司高级管理人员、基金投资和研究部门负责人持有本开放式基金</w:t>
            </w:r>
          </w:p>
        </w:tc>
        <w:tc>
          <w:tcPr>
            <w:tcW w:w="479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11FF9" w:rsidR="00A05987" w:rsidP="00FD3032" w:rsidRDefault="00A05987">
            <w:pPr>
              <w:widowControl/>
              <w:jc w:val="right"/>
              <w:rPr>
                <w:rFonts w:ascii="宋体" w:hAnsi="宋体"/>
                <w:kern w:val="0"/>
                <w:szCs w:val="21"/>
              </w:rPr>
            </w:pPr>
            <w:r w:rsidRPr="00C11FF9">
              <w:rPr>
                <w:rFonts w:hint="eastAsia" w:ascii="宋体" w:hAnsi="宋体"/>
                <w:kern w:val="0"/>
                <w:szCs w:val="21"/>
              </w:rPr>
              <w:t>0</w:t>
            </w:r>
          </w:p>
        </w:tc>
      </w:tr>
      <w:tr w:rsidRPr="00C11FF9" w:rsidR="00A05987" w:rsidTr="0090233C">
        <w:trPr>
          <w:trHeight w:val="285"/>
        </w:trPr>
        <w:tc>
          <w:tcPr>
            <w:tcW w:w="4786" w:type="dxa"/>
            <w:tcBorders>
              <w:top w:val="single" w:color="auto" w:sz="4" w:space="0"/>
              <w:left w:val="single" w:color="auto" w:sz="4" w:space="0"/>
              <w:bottom w:val="single" w:color="auto" w:sz="4" w:space="0"/>
              <w:right w:val="single" w:color="auto" w:sz="4" w:space="0"/>
            </w:tcBorders>
            <w:noWrap/>
            <w:vAlign w:val="center"/>
          </w:tcPr>
          <w:p w:rsidRPr="00C11FF9" w:rsidR="00A05987" w:rsidP="00FD3032" w:rsidRDefault="00A05987">
            <w:pPr>
              <w:widowControl/>
              <w:rPr>
                <w:rFonts w:ascii="宋体" w:hAnsi="宋体"/>
                <w:color w:val="000000"/>
                <w:szCs w:val="21"/>
              </w:rPr>
            </w:pPr>
            <w:r w:rsidRPr="00C11FF9">
              <w:rPr>
                <w:rFonts w:hint="eastAsia" w:ascii="宋体" w:hAnsi="宋体"/>
                <w:color w:val="000000"/>
                <w:szCs w:val="21"/>
              </w:rPr>
              <w:t>本基金基金经理持有本开放式基金</w:t>
            </w:r>
          </w:p>
        </w:tc>
        <w:tc>
          <w:tcPr>
            <w:tcW w:w="479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11FF9" w:rsidR="00A05987" w:rsidP="00FD3032" w:rsidRDefault="00A05987">
            <w:pPr>
              <w:widowControl/>
              <w:jc w:val="right"/>
              <w:rPr>
                <w:rFonts w:ascii="宋体" w:hAnsi="宋体"/>
                <w:kern w:val="0"/>
                <w:szCs w:val="21"/>
              </w:rPr>
            </w:pPr>
            <w:r w:rsidRPr="00C11FF9">
              <w:rPr>
                <w:rFonts w:hint="eastAsia" w:ascii="宋体" w:hAnsi="宋体"/>
                <w:kern w:val="0"/>
                <w:szCs w:val="21"/>
              </w:rPr>
              <w:t>0</w:t>
            </w:r>
          </w:p>
        </w:tc>
      </w:tr>
    </w:tbl>
    <w:p w:rsidRPr="00C11FF9" w:rsidR="003947BC" w:rsidP="00436940" w:rsidRDefault="003947BC">
      <w:pPr>
        <w:ind w:right="480" w:firstLine="420" w:firstLineChars="200"/>
        <w:rPr>
          <w:rFonts w:ascii="宋体" w:hAnsi="宋体"/>
          <w:szCs w:val="21"/>
        </w:rPr>
      </w:pPr>
      <w:r w:rsidRPr="00C11FF9">
        <w:rPr>
          <w:rFonts w:hint="eastAsia" w:ascii="宋体" w:hAnsi="宋体"/>
          <w:szCs w:val="21"/>
        </w:rPr>
        <w:t>1、期末本基金管理人的高级管理人员、基金投资和研究部门负责人未持有本基金的基金份额。</w:t>
      </w:r>
    </w:p>
    <w:p w:rsidRPr="00C11FF9" w:rsidR="003947BC" w:rsidP="00436940" w:rsidRDefault="003947BC">
      <w:pPr>
        <w:ind w:right="480" w:firstLine="420" w:firstLineChars="200"/>
        <w:rPr>
          <w:rFonts w:ascii="宋体" w:hAnsi="宋体"/>
          <w:szCs w:val="21"/>
        </w:rPr>
      </w:pPr>
      <w:r w:rsidRPr="00C11FF9">
        <w:rPr>
          <w:rFonts w:hint="eastAsia" w:ascii="宋体" w:hAnsi="宋体"/>
          <w:szCs w:val="21"/>
        </w:rPr>
        <w:t>2、期末本基金的基金经理未持有本基金的基金份额。</w:t>
      </w:r>
    </w:p>
    <w:p w:rsidRPr="00C11FF9" w:rsidR="001909A4" w:rsidP="001909A4" w:rsidRDefault="001909A4">
      <w:pPr>
        <w:pStyle w:val="2"/>
        <w:numPr>
          <w:ilvl w:val="1"/>
          <w:numId w:val="1"/>
        </w:numPr>
        <w:spacing w:before="0" w:after="0" w:line="240" w:lineRule="auto"/>
        <w:rPr>
          <w:rFonts w:ascii="宋体" w:hAnsi="宋体" w:eastAsia="宋体"/>
          <w:sz w:val="21"/>
          <w:szCs w:val="21"/>
        </w:rPr>
      </w:pPr>
      <w:r w:rsidRPr="00C11FF9">
        <w:rPr>
          <w:rFonts w:hint="eastAsia" w:ascii="宋体" w:hAnsi="宋体" w:eastAsia="宋体"/>
          <w:sz w:val="21"/>
          <w:szCs w:val="21"/>
        </w:rPr>
        <w:t>发起式基金发起资金持有份额情况</w:t>
      </w:r>
    </w:p>
    <w:p w:rsidRPr="00436940" w:rsidR="001909A4" w:rsidP="00436940" w:rsidRDefault="00143817">
      <w:pPr>
        <w:ind w:right="480" w:firstLine="420" w:firstLineChars="200"/>
        <w:rPr>
          <w:rFonts w:ascii="宋体" w:hAnsi="宋体"/>
          <w:szCs w:val="21"/>
        </w:rPr>
      </w:pPr>
      <w:r w:rsidRPr="00436940">
        <w:rPr>
          <w:rFonts w:ascii="宋体" w:hAnsi="宋体"/>
          <w:szCs w:val="21"/>
        </w:rPr>
        <w:t>无</w:t>
      </w:r>
    </w:p>
    <w:p w:rsidRPr="00C11FF9" w:rsidR="00211B3B" w:rsidP="00E50060" w:rsidRDefault="00211B3B">
      <w:pPr>
        <w:pStyle w:val="1"/>
        <w:numPr>
          <w:ilvl w:val="0"/>
          <w:numId w:val="1"/>
        </w:numPr>
        <w:spacing w:line="240" w:lineRule="auto"/>
        <w:jc w:val="center"/>
        <w:rPr>
          <w:rFonts w:ascii="宋体" w:hAnsi="宋体"/>
          <w:sz w:val="21"/>
          <w:szCs w:val="21"/>
        </w:rPr>
      </w:pPr>
      <w:r w:rsidRPr="00C11FF9">
        <w:rPr>
          <w:rFonts w:hint="eastAsia" w:ascii="宋体" w:hAnsi="宋体"/>
          <w:sz w:val="21"/>
          <w:szCs w:val="21"/>
        </w:rPr>
        <w:t>开放式基金份额变动</w:t>
      </w:r>
    </w:p>
    <w:p w:rsidRPr="00C11FF9" w:rsidR="00ED0E08" w:rsidP="00E355CC" w:rsidRDefault="00211B3B">
      <w:pPr>
        <w:ind w:right="69" w:rightChars="33"/>
        <w:jc w:val="right"/>
        <w:rPr>
          <w:rFonts w:ascii="宋体" w:hAnsi="宋体"/>
          <w:szCs w:val="21"/>
        </w:rPr>
      </w:pPr>
      <w:r w:rsidRPr="00C11FF9">
        <w:rPr>
          <w:rFonts w:hint="eastAsia" w:ascii="宋体" w:hAnsi="宋体"/>
          <w:szCs w:val="21"/>
        </w:rPr>
        <w:t>单位：份</w:t>
      </w:r>
    </w:p>
    <w:tbl>
      <w:tblPr>
        <w:tblW w:w="0" w:type="auto"/>
        <w:tblLayout w:type="fixed"/>
        <w:tblLook w:val="01E0" w:firstRow="1" w:lastRow="1" w:firstColumn="1" w:lastColumn="1" w:noHBand="0" w:noVBand="0"/>
      </w:tblPr>
      <w:tblGrid>
        <w:gridCol w:w="5602"/>
        <w:gridCol w:w="3974"/>
      </w:tblGrid>
      <w:tr w:rsidRPr="00C11FF9" w:rsidR="00211B3B" w:rsidTr="003D08E2">
        <w:tc>
          <w:tcPr>
            <w:tcW w:w="5602" w:type="dxa"/>
            <w:tcBorders>
              <w:top w:val="single" w:color="auto" w:sz="4" w:space="0"/>
              <w:left w:val="single" w:color="auto" w:sz="4" w:space="0"/>
              <w:bottom w:val="single" w:color="auto" w:sz="4" w:space="0"/>
              <w:right w:val="single" w:color="auto" w:sz="4" w:space="0"/>
            </w:tcBorders>
            <w:vAlign w:val="center"/>
          </w:tcPr>
          <w:p w:rsidRPr="00C11FF9" w:rsidR="00211B3B" w:rsidP="002471BE" w:rsidRDefault="00211B3B">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C11FF9">
              <w:rPr>
                <w:rFonts w:hint="eastAsia" w:ascii="宋体" w:hAnsi="宋体" w:eastAsia="宋体"/>
                <w:kern w:val="2"/>
                <w:sz w:val="21"/>
                <w:szCs w:val="21"/>
              </w:rPr>
              <w:t>基金合同生效日</w:t>
            </w:r>
            <w:r w:rsidRPr="00C11FF9" w:rsidR="00A06BB8">
              <w:rPr>
                <w:rFonts w:hint="eastAsia" w:ascii="宋体" w:hAnsi="宋体" w:eastAsia="宋体"/>
                <w:kern w:val="2"/>
                <w:sz w:val="21"/>
                <w:szCs w:val="21"/>
              </w:rPr>
              <w:t>(</w:t>
            </w:r>
            <w:r w:rsidRPr="00C11FF9" w:rsidR="002471BE">
              <w:rPr>
                <w:rFonts w:ascii="宋体" w:hAnsi="宋体" w:eastAsia="宋体"/>
                <w:kern w:val="2"/>
                <w:sz w:val="21"/>
                <w:szCs w:val="21"/>
              </w:rPr>
              <w:t>2010年12月17日</w:t>
            </w:r>
            <w:r w:rsidRPr="00C11FF9" w:rsidR="00A06BB8">
              <w:rPr>
                <w:rFonts w:hint="eastAsia" w:ascii="宋体" w:hAnsi="宋体" w:eastAsia="宋体"/>
                <w:kern w:val="2"/>
                <w:sz w:val="21"/>
                <w:szCs w:val="21"/>
              </w:rPr>
              <w:t>)</w:t>
            </w:r>
            <w:r w:rsidRPr="00C11FF9">
              <w:rPr>
                <w:rFonts w:hint="eastAsia" w:ascii="宋体" w:hAnsi="宋体" w:eastAsia="宋体"/>
                <w:kern w:val="2"/>
                <w:sz w:val="21"/>
                <w:szCs w:val="21"/>
              </w:rPr>
              <w:t>基金份额总额</w:t>
            </w:r>
          </w:p>
        </w:tc>
        <w:tc>
          <w:tcPr>
            <w:tcW w:w="3974" w:type="dxa"/>
            <w:tcBorders>
              <w:top w:val="single" w:color="auto" w:sz="4" w:space="0"/>
              <w:left w:val="single" w:color="auto" w:sz="4" w:space="0"/>
              <w:bottom w:val="single" w:color="auto" w:sz="4" w:space="0"/>
              <w:right w:val="single" w:color="auto" w:sz="4" w:space="0"/>
            </w:tcBorders>
            <w:shd w:val="clear" w:color="auto" w:fill="auto"/>
            <w:vAlign w:val="center"/>
          </w:tcPr>
          <w:p w:rsidRPr="00C11FF9" w:rsidR="00211B3B" w:rsidP="00E355CC" w:rsidRDefault="00143817">
            <w:pPr>
              <w:jc w:val="right"/>
              <w:rPr>
                <w:rFonts w:ascii="宋体" w:hAnsi="宋体"/>
                <w:bCs/>
                <w:szCs w:val="21"/>
              </w:rPr>
            </w:pPr>
            <w:r w:rsidRPr="00C11FF9">
              <w:rPr>
                <w:rFonts w:ascii="宋体" w:hAnsi="宋体"/>
                <w:bCs/>
                <w:szCs w:val="21"/>
              </w:rPr>
              <w:t>399,198,154.16</w:t>
            </w:r>
          </w:p>
        </w:tc>
      </w:tr>
      <w:tr w:rsidRPr="00C11FF9" w:rsidR="00211B3B" w:rsidTr="003D08E2">
        <w:tc>
          <w:tcPr>
            <w:tcW w:w="5602" w:type="dxa"/>
            <w:tcBorders>
              <w:top w:val="single" w:color="auto" w:sz="4" w:space="0"/>
              <w:left w:val="single" w:color="auto" w:sz="4" w:space="0"/>
              <w:bottom w:val="single" w:color="auto" w:sz="4" w:space="0"/>
              <w:right w:val="single" w:color="auto" w:sz="4" w:space="0"/>
            </w:tcBorders>
            <w:vAlign w:val="center"/>
          </w:tcPr>
          <w:p w:rsidRPr="00C11FF9" w:rsidR="00211B3B" w:rsidP="00E355CC" w:rsidRDefault="00EF34E4">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C11FF9">
              <w:rPr>
                <w:rFonts w:hint="eastAsia" w:ascii="宋体" w:hAnsi="宋体" w:eastAsia="宋体"/>
                <w:kern w:val="2"/>
                <w:sz w:val="21"/>
                <w:szCs w:val="21"/>
              </w:rPr>
              <w:t>本</w:t>
            </w:r>
            <w:r w:rsidRPr="00C11FF9" w:rsidR="00211B3B">
              <w:rPr>
                <w:rFonts w:hint="eastAsia" w:ascii="宋体" w:hAnsi="宋体" w:eastAsia="宋体"/>
                <w:kern w:val="2"/>
                <w:sz w:val="21"/>
                <w:szCs w:val="21"/>
              </w:rPr>
              <w:t>报告期期初基金份额总额</w:t>
            </w:r>
          </w:p>
        </w:tc>
        <w:tc>
          <w:tcPr>
            <w:tcW w:w="3974" w:type="dxa"/>
            <w:tcBorders>
              <w:top w:val="single" w:color="auto" w:sz="4" w:space="0"/>
              <w:left w:val="single" w:color="auto" w:sz="4" w:space="0"/>
              <w:bottom w:val="single" w:color="auto" w:sz="4" w:space="0"/>
              <w:right w:val="single" w:color="auto" w:sz="4" w:space="0"/>
            </w:tcBorders>
            <w:shd w:val="clear" w:color="auto" w:fill="auto"/>
            <w:vAlign w:val="center"/>
          </w:tcPr>
          <w:p w:rsidRPr="00C11FF9" w:rsidR="00211B3B" w:rsidP="008C5A2A" w:rsidRDefault="00143817">
            <w:pPr>
              <w:jc w:val="right"/>
              <w:rPr>
                <w:rFonts w:ascii="宋体" w:hAnsi="宋体"/>
                <w:bCs/>
                <w:szCs w:val="21"/>
              </w:rPr>
            </w:pPr>
            <w:r w:rsidRPr="00C11FF9">
              <w:rPr>
                <w:rFonts w:ascii="宋体" w:hAnsi="宋体"/>
                <w:bCs/>
                <w:szCs w:val="21"/>
              </w:rPr>
              <w:t>13,178,667.36</w:t>
            </w:r>
          </w:p>
        </w:tc>
      </w:tr>
      <w:tr w:rsidRPr="00C11FF9" w:rsidR="00211B3B" w:rsidTr="003D08E2">
        <w:tc>
          <w:tcPr>
            <w:tcW w:w="5602" w:type="dxa"/>
            <w:tcBorders>
              <w:top w:val="single" w:color="auto" w:sz="4" w:space="0"/>
              <w:left w:val="single" w:color="auto" w:sz="4" w:space="0"/>
              <w:bottom w:val="single" w:color="auto" w:sz="4" w:space="0"/>
              <w:right w:val="single" w:color="auto" w:sz="4" w:space="0"/>
            </w:tcBorders>
            <w:vAlign w:val="center"/>
          </w:tcPr>
          <w:p w:rsidRPr="00C11FF9" w:rsidR="00211B3B" w:rsidP="00E355CC" w:rsidRDefault="00EF34E4">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C11FF9">
              <w:rPr>
                <w:rFonts w:hint="eastAsia" w:ascii="宋体" w:hAnsi="宋体" w:eastAsia="宋体"/>
                <w:kern w:val="2"/>
                <w:sz w:val="21"/>
                <w:szCs w:val="21"/>
              </w:rPr>
              <w:t>本</w:t>
            </w:r>
            <w:r w:rsidRPr="00C11FF9" w:rsidR="00211B3B">
              <w:rPr>
                <w:rFonts w:hint="eastAsia" w:ascii="宋体" w:hAnsi="宋体" w:eastAsia="宋体"/>
                <w:kern w:val="2"/>
                <w:sz w:val="21"/>
                <w:szCs w:val="21"/>
              </w:rPr>
              <w:t>报告期基金总申购份额</w:t>
            </w:r>
          </w:p>
        </w:tc>
        <w:tc>
          <w:tcPr>
            <w:tcW w:w="3974" w:type="dxa"/>
            <w:tcBorders>
              <w:top w:val="single" w:color="auto" w:sz="4" w:space="0"/>
              <w:left w:val="single" w:color="auto" w:sz="4" w:space="0"/>
              <w:bottom w:val="single" w:color="auto" w:sz="4" w:space="0"/>
              <w:right w:val="single" w:color="auto" w:sz="4" w:space="0"/>
            </w:tcBorders>
            <w:shd w:val="clear" w:color="auto" w:fill="auto"/>
            <w:vAlign w:val="center"/>
          </w:tcPr>
          <w:p w:rsidRPr="00C11FF9" w:rsidR="00211B3B" w:rsidP="00E355CC" w:rsidRDefault="00143817">
            <w:pPr>
              <w:jc w:val="right"/>
              <w:rPr>
                <w:rFonts w:ascii="宋体" w:hAnsi="宋体"/>
                <w:bCs/>
                <w:szCs w:val="21"/>
              </w:rPr>
            </w:pPr>
            <w:r w:rsidRPr="00C11FF9">
              <w:rPr>
                <w:rFonts w:ascii="宋体" w:hAnsi="宋体"/>
                <w:bCs/>
                <w:szCs w:val="21"/>
              </w:rPr>
              <w:t>171,311.15</w:t>
            </w:r>
          </w:p>
        </w:tc>
      </w:tr>
      <w:tr w:rsidRPr="00C11FF9" w:rsidR="00211B3B" w:rsidTr="003D08E2">
        <w:tc>
          <w:tcPr>
            <w:tcW w:w="5602" w:type="dxa"/>
            <w:tcBorders>
              <w:top w:val="single" w:color="auto" w:sz="4" w:space="0"/>
              <w:left w:val="single" w:color="auto" w:sz="4" w:space="0"/>
              <w:bottom w:val="single" w:color="auto" w:sz="4" w:space="0"/>
              <w:right w:val="single" w:color="auto" w:sz="4" w:space="0"/>
            </w:tcBorders>
            <w:vAlign w:val="center"/>
          </w:tcPr>
          <w:p w:rsidRPr="00C11FF9" w:rsidR="00211B3B" w:rsidP="00E355CC" w:rsidRDefault="00EA6125">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C11FF9">
              <w:rPr>
                <w:rFonts w:hint="eastAsia" w:ascii="宋体" w:hAnsi="宋体" w:eastAsia="宋体"/>
                <w:kern w:val="2"/>
                <w:sz w:val="21"/>
                <w:szCs w:val="21"/>
              </w:rPr>
              <w:t>减:</w:t>
            </w:r>
            <w:r w:rsidRPr="00C11FF9" w:rsidR="00EF34E4">
              <w:rPr>
                <w:rFonts w:hint="eastAsia" w:ascii="宋体" w:hAnsi="宋体" w:eastAsia="宋体"/>
                <w:kern w:val="2"/>
                <w:sz w:val="21"/>
                <w:szCs w:val="21"/>
              </w:rPr>
              <w:t>本报告期</w:t>
            </w:r>
            <w:r w:rsidRPr="00C11FF9" w:rsidR="00211B3B">
              <w:rPr>
                <w:rFonts w:hint="eastAsia" w:ascii="宋体" w:hAnsi="宋体" w:eastAsia="宋体"/>
                <w:kern w:val="2"/>
                <w:sz w:val="21"/>
                <w:szCs w:val="21"/>
              </w:rPr>
              <w:t>基金总赎回份额</w:t>
            </w:r>
          </w:p>
        </w:tc>
        <w:tc>
          <w:tcPr>
            <w:tcW w:w="3974" w:type="dxa"/>
            <w:tcBorders>
              <w:top w:val="single" w:color="auto" w:sz="4" w:space="0"/>
              <w:left w:val="single" w:color="auto" w:sz="4" w:space="0"/>
              <w:bottom w:val="single" w:color="auto" w:sz="4" w:space="0"/>
              <w:right w:val="single" w:color="auto" w:sz="4" w:space="0"/>
            </w:tcBorders>
            <w:shd w:val="clear" w:color="auto" w:fill="auto"/>
            <w:vAlign w:val="center"/>
          </w:tcPr>
          <w:p w:rsidRPr="00C11FF9" w:rsidR="00211B3B" w:rsidP="00E355CC" w:rsidRDefault="00143817">
            <w:pPr>
              <w:jc w:val="right"/>
              <w:rPr>
                <w:rFonts w:ascii="宋体" w:hAnsi="宋体"/>
                <w:bCs/>
                <w:szCs w:val="21"/>
              </w:rPr>
            </w:pPr>
            <w:r w:rsidRPr="00C11FF9">
              <w:rPr>
                <w:rFonts w:ascii="宋体" w:hAnsi="宋体"/>
                <w:bCs/>
                <w:szCs w:val="21"/>
              </w:rPr>
              <w:t>735,657.66</w:t>
            </w:r>
          </w:p>
        </w:tc>
      </w:tr>
      <w:tr w:rsidRPr="00C11FF9" w:rsidR="00211B3B" w:rsidTr="003D08E2">
        <w:tc>
          <w:tcPr>
            <w:tcW w:w="5602" w:type="dxa"/>
            <w:tcBorders>
              <w:top w:val="single" w:color="auto" w:sz="4" w:space="0"/>
              <w:left w:val="single" w:color="auto" w:sz="4" w:space="0"/>
              <w:bottom w:val="single" w:color="auto" w:sz="4" w:space="0"/>
              <w:right w:val="single" w:color="auto" w:sz="4" w:space="0"/>
            </w:tcBorders>
            <w:vAlign w:val="center"/>
          </w:tcPr>
          <w:p w:rsidRPr="00C11FF9" w:rsidR="00211B3B" w:rsidP="00E355CC" w:rsidRDefault="00EF34E4">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C11FF9">
              <w:rPr>
                <w:rFonts w:hint="eastAsia" w:ascii="宋体" w:hAnsi="宋体" w:eastAsia="宋体"/>
                <w:kern w:val="2"/>
                <w:sz w:val="21"/>
                <w:szCs w:val="21"/>
              </w:rPr>
              <w:t>本报告期</w:t>
            </w:r>
            <w:r w:rsidRPr="00C11FF9" w:rsidR="00211B3B">
              <w:rPr>
                <w:rFonts w:hint="eastAsia" w:ascii="宋体" w:hAnsi="宋体" w:eastAsia="宋体"/>
                <w:kern w:val="2"/>
                <w:sz w:val="21"/>
                <w:szCs w:val="21"/>
              </w:rPr>
              <w:t>基金拆分变动份额</w:t>
            </w:r>
          </w:p>
        </w:tc>
        <w:tc>
          <w:tcPr>
            <w:tcW w:w="3974" w:type="dxa"/>
            <w:tcBorders>
              <w:top w:val="single" w:color="auto" w:sz="4" w:space="0"/>
              <w:left w:val="single" w:color="auto" w:sz="4" w:space="0"/>
              <w:bottom w:val="single" w:color="auto" w:sz="4" w:space="0"/>
              <w:right w:val="single" w:color="auto" w:sz="4" w:space="0"/>
            </w:tcBorders>
            <w:shd w:val="clear" w:color="auto" w:fill="auto"/>
            <w:vAlign w:val="center"/>
          </w:tcPr>
          <w:p w:rsidRPr="00C11FF9" w:rsidR="00211B3B" w:rsidP="00E355CC" w:rsidRDefault="00143817">
            <w:pPr>
              <w:jc w:val="right"/>
              <w:rPr>
                <w:rFonts w:ascii="宋体" w:hAnsi="宋体"/>
                <w:bCs/>
                <w:szCs w:val="21"/>
              </w:rPr>
            </w:pPr>
            <w:r w:rsidRPr="00C11FF9">
              <w:rPr>
                <w:rFonts w:ascii="宋体" w:hAnsi="宋体"/>
                <w:bCs/>
                <w:szCs w:val="21"/>
              </w:rPr>
              <w:t>-</w:t>
            </w:r>
          </w:p>
        </w:tc>
      </w:tr>
      <w:tr w:rsidRPr="00C11FF9" w:rsidR="00211B3B" w:rsidTr="003D08E2">
        <w:tc>
          <w:tcPr>
            <w:tcW w:w="5602" w:type="dxa"/>
            <w:tcBorders>
              <w:top w:val="single" w:color="auto" w:sz="4" w:space="0"/>
              <w:left w:val="single" w:color="auto" w:sz="4" w:space="0"/>
              <w:bottom w:val="single" w:color="auto" w:sz="4" w:space="0"/>
              <w:right w:val="single" w:color="auto" w:sz="4" w:space="0"/>
            </w:tcBorders>
            <w:vAlign w:val="center"/>
          </w:tcPr>
          <w:p w:rsidRPr="00C11FF9" w:rsidR="00211B3B" w:rsidP="00E355CC" w:rsidRDefault="00EF34E4">
            <w:pPr>
              <w:rPr>
                <w:rFonts w:ascii="宋体" w:hAnsi="宋体"/>
                <w:szCs w:val="21"/>
              </w:rPr>
            </w:pPr>
            <w:r w:rsidRPr="00C11FF9">
              <w:rPr>
                <w:rFonts w:hint="eastAsia" w:ascii="宋体" w:hAnsi="宋体"/>
                <w:szCs w:val="21"/>
              </w:rPr>
              <w:t>本</w:t>
            </w:r>
            <w:r w:rsidRPr="00C11FF9" w:rsidR="00211B3B">
              <w:rPr>
                <w:rFonts w:hint="eastAsia" w:ascii="宋体" w:hAnsi="宋体"/>
                <w:szCs w:val="21"/>
              </w:rPr>
              <w:t>报告期期末基金份额总额</w:t>
            </w:r>
          </w:p>
        </w:tc>
        <w:tc>
          <w:tcPr>
            <w:tcW w:w="3974" w:type="dxa"/>
            <w:tcBorders>
              <w:top w:val="single" w:color="auto" w:sz="4" w:space="0"/>
              <w:left w:val="single" w:color="auto" w:sz="4" w:space="0"/>
              <w:bottom w:val="single" w:color="auto" w:sz="4" w:space="0"/>
              <w:right w:val="single" w:color="auto" w:sz="4" w:space="0"/>
            </w:tcBorders>
            <w:shd w:val="clear" w:color="auto" w:fill="auto"/>
            <w:vAlign w:val="center"/>
          </w:tcPr>
          <w:p w:rsidRPr="00C11FF9" w:rsidR="00211B3B" w:rsidP="00E355CC" w:rsidRDefault="00143817">
            <w:pPr>
              <w:jc w:val="right"/>
              <w:rPr>
                <w:rFonts w:ascii="宋体" w:hAnsi="宋体"/>
                <w:bCs/>
                <w:szCs w:val="21"/>
              </w:rPr>
            </w:pPr>
            <w:r w:rsidRPr="00C11FF9">
              <w:rPr>
                <w:rFonts w:ascii="宋体" w:hAnsi="宋体"/>
                <w:bCs/>
                <w:szCs w:val="21"/>
              </w:rPr>
              <w:t>12,614,320.85</w:t>
            </w:r>
          </w:p>
        </w:tc>
      </w:tr>
    </w:tbl>
    <w:p w:rsidRPr="00C11FF9" w:rsidR="00ED446A" w:rsidP="003A666D" w:rsidRDefault="00ED446A">
      <w:pPr>
        <w:ind w:right="480" w:firstLine="420" w:firstLineChars="200"/>
        <w:rPr>
          <w:rFonts w:ascii="宋体" w:hAnsi="宋体"/>
          <w:szCs w:val="21"/>
        </w:rPr>
      </w:pPr>
      <w:r w:rsidRPr="00C11FF9">
        <w:rPr>
          <w:rFonts w:ascii="宋体" w:hAnsi="宋体"/>
          <w:szCs w:val="21"/>
        </w:rPr>
        <w:t/>
      </w:r>
    </w:p>
    <w:p w:rsidRPr="00C11FF9" w:rsidR="00211B3B" w:rsidP="00E50060" w:rsidRDefault="00211B3B">
      <w:pPr>
        <w:pStyle w:val="1"/>
        <w:numPr>
          <w:ilvl w:val="0"/>
          <w:numId w:val="1"/>
        </w:numPr>
        <w:spacing w:line="240" w:lineRule="auto"/>
        <w:ind w:left="567" w:hanging="567"/>
        <w:jc w:val="center"/>
        <w:rPr>
          <w:rFonts w:ascii="宋体" w:hAnsi="宋体"/>
          <w:b w:val="0"/>
          <w:bCs w:val="0"/>
          <w:sz w:val="21"/>
          <w:szCs w:val="21"/>
        </w:rPr>
      </w:pPr>
      <w:r w:rsidRPr="00C11FF9">
        <w:rPr>
          <w:rFonts w:hint="eastAsia" w:ascii="宋体" w:hAnsi="宋体"/>
          <w:sz w:val="21"/>
          <w:szCs w:val="21"/>
        </w:rPr>
        <w:t>重大事件揭示</w:t>
      </w:r>
    </w:p>
    <w:p w:rsidRPr="00C11FF9" w:rsidR="00211B3B" w:rsidP="00E50060" w:rsidRDefault="00211B3B">
      <w:pPr>
        <w:pStyle w:val="2"/>
        <w:numPr>
          <w:ilvl w:val="1"/>
          <w:numId w:val="1"/>
        </w:numPr>
        <w:spacing w:before="0" w:after="0" w:line="240" w:lineRule="auto"/>
        <w:ind w:left="567" w:hanging="567"/>
        <w:rPr>
          <w:rFonts w:ascii="宋体" w:hAnsi="宋体" w:eastAsia="宋体"/>
          <w:sz w:val="21"/>
          <w:szCs w:val="21"/>
        </w:rPr>
      </w:pPr>
      <w:r w:rsidRPr="00C11FF9">
        <w:rPr>
          <w:rFonts w:hint="eastAsia" w:ascii="宋体" w:hAnsi="宋体" w:eastAsia="宋体"/>
          <w:sz w:val="21"/>
          <w:szCs w:val="21"/>
        </w:rPr>
        <w:t>基金份额持有人大会决议</w:t>
      </w:r>
    </w:p>
    <w:p w:rsidRPr="00C11FF9" w:rsidR="00ED446A" w:rsidP="00436940" w:rsidRDefault="00ED446A">
      <w:pPr>
        <w:ind w:right="480" w:firstLine="420" w:firstLineChars="200"/>
        <w:rPr>
          <w:rFonts w:ascii="宋体" w:hAnsi="宋体"/>
          <w:szCs w:val="21"/>
        </w:rPr>
      </w:pPr>
      <w:r w:rsidRPr="00C11FF9">
        <w:rPr>
          <w:rFonts w:ascii="宋体" w:hAnsi="宋体"/>
          <w:szCs w:val="21"/>
        </w:rPr>
        <w:t>报告期内无基金份额持有人大会决议。</w:t>
      </w:r>
    </w:p>
    <w:p w:rsidRPr="00C11FF9" w:rsidR="00211B3B" w:rsidP="00E50060" w:rsidRDefault="00211B3B">
      <w:pPr>
        <w:pStyle w:val="2"/>
        <w:numPr>
          <w:ilvl w:val="1"/>
          <w:numId w:val="1"/>
        </w:numPr>
        <w:spacing w:before="0" w:after="0" w:line="240" w:lineRule="auto"/>
        <w:ind w:left="567" w:hanging="567"/>
        <w:rPr>
          <w:rFonts w:ascii="宋体" w:hAnsi="宋体" w:eastAsia="宋体"/>
          <w:sz w:val="21"/>
          <w:szCs w:val="21"/>
        </w:rPr>
      </w:pPr>
      <w:r w:rsidRPr="00C11FF9">
        <w:rPr>
          <w:rFonts w:hint="eastAsia" w:ascii="宋体" w:hAnsi="宋体" w:eastAsia="宋体"/>
          <w:sz w:val="21"/>
          <w:szCs w:val="21"/>
        </w:rPr>
        <w:t>基金管理人、基金托管人的专门基金托管部门的重大人事变动</w:t>
      </w:r>
    </w:p>
    <w:p w:rsidRPr="00C11FF9" w:rsidR="00ED446A" w:rsidP="00436940" w:rsidRDefault="00ED446A">
      <w:pPr>
        <w:ind w:right="480" w:firstLine="420" w:firstLineChars="200"/>
        <w:rPr>
          <w:rFonts w:ascii="宋体" w:hAnsi="宋体"/>
          <w:szCs w:val="21"/>
        </w:rPr>
      </w:pPr>
      <w:r w:rsidRPr="00C11FF9">
        <w:rPr>
          <w:rFonts w:ascii="宋体" w:hAnsi="宋体"/>
          <w:szCs w:val="21"/>
        </w:rPr>
        <w:t>1、报告期内基金管理人的重大人事变动:</w:t>
      </w:r>
    </w:p>
    <w:p w:rsidRPr="00C11FF9" w:rsidR="00ED446A" w:rsidP="00436940" w:rsidRDefault="00ED446A">
      <w:pPr>
        <w:ind w:right="480" w:firstLine="420" w:firstLineChars="200"/>
        <w:rPr>
          <w:rFonts w:ascii="宋体" w:hAnsi="宋体"/>
          <w:szCs w:val="21"/>
        </w:rPr>
      </w:pPr>
      <w:r w:rsidRPr="00C11FF9">
        <w:rPr>
          <w:rFonts w:ascii="宋体" w:hAnsi="宋体"/>
          <w:szCs w:val="21"/>
        </w:rPr>
        <w:t>  吕涛先生于2019年3月6日离任公司总经理职务，同日起公司董事长张翔燕女士代为履行总经理职务；唐世春先生于2019年6月3日新任公司总经理职务，同日起，唐世春先生离任公司副总经理职务、张翔燕女士不再代为履行总经理职务。上述事项已按监管要求备案并公告。</w:t>
      </w:r>
    </w:p>
    <w:p w:rsidRPr="00C11FF9" w:rsidR="00ED446A" w:rsidP="00436940" w:rsidRDefault="00ED446A">
      <w:pPr>
        <w:ind w:right="480" w:firstLine="420" w:firstLineChars="200"/>
        <w:rPr>
          <w:rFonts w:ascii="宋体" w:hAnsi="宋体"/>
          <w:szCs w:val="21"/>
        </w:rPr>
      </w:pPr>
      <w:r w:rsidRPr="00C11FF9">
        <w:rPr>
          <w:rFonts w:ascii="宋体" w:hAnsi="宋体"/>
          <w:szCs w:val="21"/>
        </w:rPr>
        <w:t>2、报告期内基金托管人的专门基金托管部门的重大人事变动:</w:t>
      </w:r>
    </w:p>
    <w:p w:rsidRPr="00C11FF9" w:rsidR="00ED446A" w:rsidP="00436940" w:rsidRDefault="00ED446A">
      <w:pPr>
        <w:ind w:right="480" w:firstLine="420" w:firstLineChars="200"/>
        <w:rPr>
          <w:rFonts w:ascii="宋体" w:hAnsi="宋体"/>
          <w:szCs w:val="21"/>
        </w:rPr>
      </w:pPr>
      <w:r w:rsidRPr="00C11FF9">
        <w:rPr>
          <w:rFonts w:ascii="宋体" w:hAnsi="宋体"/>
          <w:szCs w:val="21"/>
        </w:rPr>
        <w:t>  2019年5月，陈四清先生因工作调动，辞去中国银行股份有限公司董事长职务。上述人事变动已按相关规定备案、公告。</w:t>
      </w:r>
    </w:p>
    <w:p w:rsidRPr="00C11FF9" w:rsidR="00211B3B" w:rsidP="00E50060" w:rsidRDefault="00211B3B">
      <w:pPr>
        <w:pStyle w:val="2"/>
        <w:numPr>
          <w:ilvl w:val="1"/>
          <w:numId w:val="1"/>
        </w:numPr>
        <w:spacing w:before="0" w:after="0" w:line="240" w:lineRule="auto"/>
        <w:ind w:left="567" w:hanging="567"/>
        <w:rPr>
          <w:rFonts w:ascii="宋体" w:hAnsi="宋体" w:eastAsia="宋体"/>
          <w:sz w:val="21"/>
          <w:szCs w:val="21"/>
        </w:rPr>
      </w:pPr>
      <w:r w:rsidRPr="00C11FF9">
        <w:rPr>
          <w:rFonts w:hint="eastAsia" w:ascii="宋体" w:hAnsi="宋体" w:eastAsia="宋体"/>
          <w:sz w:val="21"/>
          <w:szCs w:val="21"/>
        </w:rPr>
        <w:t>涉及基金管理人、基金财产、基金托管业务的诉讼</w:t>
      </w:r>
    </w:p>
    <w:p w:rsidRPr="00C11FF9" w:rsidR="00ED446A" w:rsidP="00436940" w:rsidRDefault="00ED446A">
      <w:pPr>
        <w:ind w:right="480" w:firstLine="420" w:firstLineChars="200"/>
        <w:rPr>
          <w:rFonts w:ascii="宋体" w:hAnsi="宋体"/>
          <w:szCs w:val="21"/>
        </w:rPr>
      </w:pPr>
      <w:r w:rsidRPr="00C11FF9">
        <w:rPr>
          <w:rFonts w:ascii="宋体" w:hAnsi="宋体"/>
          <w:szCs w:val="21"/>
        </w:rPr>
        <w:t>报告期内无涉及基金管理人、基金财产、基金托管业务的诉讼。</w:t>
      </w:r>
    </w:p>
    <w:p w:rsidRPr="00C11FF9" w:rsidR="00211B3B" w:rsidP="00E50060" w:rsidRDefault="00211B3B">
      <w:pPr>
        <w:pStyle w:val="2"/>
        <w:numPr>
          <w:ilvl w:val="1"/>
          <w:numId w:val="1"/>
        </w:numPr>
        <w:spacing w:before="0" w:after="0" w:line="240" w:lineRule="auto"/>
        <w:ind w:left="567" w:hanging="567"/>
        <w:rPr>
          <w:rFonts w:ascii="宋体" w:hAnsi="宋体" w:eastAsia="宋体"/>
          <w:sz w:val="21"/>
          <w:szCs w:val="21"/>
        </w:rPr>
      </w:pPr>
      <w:r w:rsidRPr="00C11FF9">
        <w:rPr>
          <w:rFonts w:hint="eastAsia" w:ascii="宋体" w:hAnsi="宋体" w:eastAsia="宋体"/>
          <w:sz w:val="21"/>
          <w:szCs w:val="21"/>
        </w:rPr>
        <w:t>基金投资策略的改变</w:t>
      </w:r>
    </w:p>
    <w:p w:rsidRPr="00C11FF9" w:rsidR="00ED446A" w:rsidP="00436940" w:rsidRDefault="00ED446A">
      <w:pPr>
        <w:ind w:right="480" w:firstLine="420" w:firstLineChars="200"/>
        <w:rPr>
          <w:rFonts w:ascii="宋体" w:hAnsi="宋体"/>
          <w:szCs w:val="21"/>
        </w:rPr>
      </w:pPr>
      <w:r w:rsidRPr="00C11FF9">
        <w:rPr>
          <w:rFonts w:ascii="宋体" w:hAnsi="宋体"/>
          <w:szCs w:val="21"/>
        </w:rPr>
        <w:t>报告期内基金投资策略无改变。</w:t>
      </w:r>
    </w:p>
    <w:p w:rsidRPr="00C11FF9" w:rsidR="00211B3B" w:rsidP="00E50060" w:rsidRDefault="00211B3B">
      <w:pPr>
        <w:pStyle w:val="2"/>
        <w:numPr>
          <w:ilvl w:val="1"/>
          <w:numId w:val="1"/>
        </w:numPr>
        <w:spacing w:before="0" w:after="0" w:line="240" w:lineRule="auto"/>
        <w:ind w:left="567" w:hanging="567"/>
        <w:rPr>
          <w:rFonts w:ascii="宋体" w:hAnsi="宋体" w:eastAsia="宋体"/>
          <w:sz w:val="21"/>
          <w:szCs w:val="21"/>
        </w:rPr>
      </w:pPr>
      <w:r w:rsidRPr="00C11FF9">
        <w:rPr>
          <w:rFonts w:hint="eastAsia" w:ascii="宋体" w:hAnsi="宋体" w:eastAsia="宋体"/>
          <w:sz w:val="21"/>
          <w:szCs w:val="21"/>
        </w:rPr>
        <w:t>为基金进行审计的会计师事务所情况</w:t>
      </w:r>
    </w:p>
    <w:p w:rsidRPr="00C11FF9" w:rsidR="00ED446A" w:rsidP="00436940" w:rsidRDefault="00ED446A">
      <w:pPr>
        <w:ind w:right="480" w:firstLine="420" w:firstLineChars="200"/>
        <w:rPr>
          <w:rFonts w:ascii="宋体" w:hAnsi="宋体"/>
          <w:szCs w:val="21"/>
        </w:rPr>
      </w:pPr>
      <w:r w:rsidRPr="00C11FF9">
        <w:rPr>
          <w:rFonts w:ascii="宋体" w:hAnsi="宋体"/>
          <w:szCs w:val="21"/>
        </w:rPr>
        <w:t>为本基金进行审计的会计师事务所是毕马威华振会计师事务所。该会计师事务所自本基金基金合同生效日起为本基金提供审计服务至今。</w:t>
      </w:r>
    </w:p>
    <w:p w:rsidRPr="00C11FF9" w:rsidR="00211B3B" w:rsidP="00E50060" w:rsidRDefault="00211B3B">
      <w:pPr>
        <w:pStyle w:val="2"/>
        <w:numPr>
          <w:ilvl w:val="1"/>
          <w:numId w:val="1"/>
        </w:numPr>
        <w:spacing w:before="0" w:after="0" w:line="240" w:lineRule="auto"/>
        <w:ind w:left="567" w:hanging="567"/>
        <w:rPr>
          <w:rFonts w:ascii="宋体" w:hAnsi="宋体" w:eastAsia="宋体"/>
          <w:b w:val="0"/>
          <w:sz w:val="21"/>
          <w:szCs w:val="21"/>
        </w:rPr>
      </w:pPr>
      <w:r w:rsidRPr="00C11FF9">
        <w:rPr>
          <w:rFonts w:hint="eastAsia" w:ascii="宋体" w:hAnsi="宋体" w:eastAsia="宋体"/>
          <w:sz w:val="21"/>
          <w:szCs w:val="21"/>
        </w:rPr>
        <w:t>管理人、托管人及其高级管理人员受稽查或处罚等情况</w:t>
      </w:r>
    </w:p>
    <w:p w:rsidRPr="00C11FF9" w:rsidR="00ED446A" w:rsidP="00436940" w:rsidRDefault="00ED446A">
      <w:pPr>
        <w:ind w:right="480" w:firstLine="420" w:firstLineChars="200"/>
        <w:rPr>
          <w:rFonts w:ascii="宋体" w:hAnsi="宋体"/>
          <w:szCs w:val="21"/>
        </w:rPr>
      </w:pPr>
      <w:r w:rsidRPr="00C11FF9">
        <w:rPr>
          <w:rFonts w:ascii="宋体" w:hAnsi="宋体"/>
          <w:szCs w:val="21"/>
        </w:rPr>
        <w:t>报告期内管理人、托管人的托管业务部门及其相关高级管理人员无受稽查或处罚等情况。</w:t>
      </w:r>
    </w:p>
    <w:p w:rsidRPr="00C11FF9" w:rsidR="00211B3B" w:rsidP="00E50060" w:rsidRDefault="00211B3B">
      <w:pPr>
        <w:pStyle w:val="2"/>
        <w:numPr>
          <w:ilvl w:val="1"/>
          <w:numId w:val="1"/>
        </w:numPr>
        <w:spacing w:before="0" w:after="0" w:line="240" w:lineRule="auto"/>
        <w:ind w:left="567" w:hanging="567"/>
        <w:rPr>
          <w:rFonts w:ascii="宋体" w:hAnsi="宋体" w:eastAsia="宋体"/>
          <w:sz w:val="21"/>
          <w:szCs w:val="21"/>
        </w:rPr>
      </w:pPr>
      <w:r w:rsidRPr="00C11FF9">
        <w:rPr>
          <w:rFonts w:hint="eastAsia" w:ascii="宋体" w:hAnsi="宋体" w:eastAsia="宋体"/>
          <w:sz w:val="21"/>
          <w:szCs w:val="21"/>
        </w:rPr>
        <w:t>基金租用证券公司交易单元的有关情况</w:t>
      </w:r>
    </w:p>
    <w:p w:rsidRPr="00C11FF9" w:rsidR="00EF34E4" w:rsidP="00E50060" w:rsidRDefault="00EF34E4">
      <w:pPr>
        <w:numPr>
          <w:ilvl w:val="2"/>
          <w:numId w:val="1"/>
        </w:numPr>
        <w:rPr>
          <w:rFonts w:ascii="宋体" w:hAnsi="宋体"/>
          <w:b/>
          <w:szCs w:val="21"/>
        </w:rPr>
      </w:pPr>
      <w:r w:rsidRPr="00C11FF9">
        <w:rPr>
          <w:rFonts w:hint="eastAsia" w:ascii="宋体" w:hAnsi="宋体"/>
          <w:b/>
          <w:szCs w:val="21"/>
        </w:rPr>
        <w:t>基金租用证券公司交易单元进行股票投资及佣金支付情况</w:t>
      </w:r>
    </w:p>
    <w:p w:rsidRPr="00C11FF9" w:rsidR="00211B3B" w:rsidP="00E355CC" w:rsidRDefault="00211B3B">
      <w:pPr>
        <w:jc w:val="right"/>
        <w:rPr>
          <w:rFonts w:ascii="宋体" w:hAnsi="宋体"/>
          <w:szCs w:val="21"/>
        </w:rPr>
      </w:pPr>
      <w:r w:rsidRPr="00C11FF9">
        <w:rPr>
          <w:rFonts w:hint="eastAsia" w:ascii="宋体" w:hAnsi="宋体"/>
          <w:szCs w:val="21"/>
        </w:rPr>
        <w:t>金额单位：人民币元</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71"/>
        <w:gridCol w:w="825"/>
        <w:gridCol w:w="1974"/>
        <w:gridCol w:w="1112"/>
        <w:gridCol w:w="1974"/>
        <w:gridCol w:w="1112"/>
        <w:gridCol w:w="1208"/>
      </w:tblGrid>
      <w:tr w:rsidRPr="00C11FF9" w:rsidR="003A666D" w:rsidTr="003A666D">
        <w:tc>
          <w:tcPr>
            <w:tcW w:w="600" w:type="pct"/>
            <w:vMerge w:val="restart"/>
            <w:tcBorders>
              <w:top w:val="single" w:color="auto" w:sz="4" w:space="0"/>
              <w:left w:val="single" w:color="auto" w:sz="4" w:space="0"/>
              <w:right w:val="single" w:color="auto" w:sz="4" w:space="0"/>
            </w:tcBorders>
            <w:vAlign w:val="center"/>
          </w:tcPr>
          <w:p w:rsidRPr="00C11FF9" w:rsidR="003A666D" w:rsidP="00C63254" w:rsidRDefault="003A666D">
            <w:pPr>
              <w:jc w:val="center"/>
              <w:rPr>
                <w:rFonts w:ascii="宋体" w:hAnsi="宋体"/>
                <w:b/>
                <w:szCs w:val="21"/>
              </w:rPr>
            </w:pPr>
            <w:r w:rsidRPr="00C11FF9">
              <w:rPr>
                <w:rFonts w:hint="eastAsia" w:ascii="宋体" w:hAnsi="宋体"/>
                <w:szCs w:val="21"/>
              </w:rPr>
              <w:t>券商名称</w:t>
            </w:r>
          </w:p>
        </w:tc>
        <w:tc>
          <w:tcPr>
            <w:tcW w:w="450" w:type="pct"/>
            <w:vMerge w:val="restart"/>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b/>
                <w:szCs w:val="21"/>
              </w:rPr>
            </w:pPr>
            <w:r w:rsidRPr="00C11FF9">
              <w:rPr>
                <w:rFonts w:hint="eastAsia" w:ascii="宋体" w:hAnsi="宋体"/>
                <w:szCs w:val="21"/>
              </w:rPr>
              <w:t>交易单元数量</w:t>
            </w:r>
          </w:p>
        </w:tc>
        <w:tc>
          <w:tcPr>
            <w:tcW w:w="1650" w:type="pct"/>
            <w:gridSpan w:val="2"/>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szCs w:val="21"/>
              </w:rPr>
            </w:pPr>
            <w:r w:rsidRPr="00C11FF9">
              <w:rPr>
                <w:rFonts w:hint="eastAsia" w:ascii="宋体" w:hAnsi="宋体"/>
                <w:szCs w:val="21"/>
              </w:rPr>
              <w:t>股票交易</w:t>
            </w:r>
          </w:p>
        </w:tc>
        <w:tc>
          <w:tcPr>
            <w:tcW w:w="1650" w:type="pct"/>
            <w:gridSpan w:val="2"/>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b/>
                <w:szCs w:val="21"/>
              </w:rPr>
            </w:pPr>
            <w:r w:rsidRPr="00C11FF9">
              <w:rPr>
                <w:rFonts w:hint="eastAsia" w:ascii="宋体" w:hAnsi="宋体"/>
                <w:szCs w:val="21"/>
              </w:rPr>
              <w:t>应支付该券商的佣金</w:t>
            </w:r>
          </w:p>
        </w:tc>
        <w:tc>
          <w:tcPr>
            <w:tcW w:w="650" w:type="pct"/>
            <w:vMerge w:val="restart"/>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b/>
                <w:szCs w:val="21"/>
              </w:rPr>
            </w:pPr>
            <w:r w:rsidRPr="00C11FF9">
              <w:rPr>
                <w:rFonts w:hint="eastAsia" w:ascii="宋体" w:hAnsi="宋体"/>
                <w:szCs w:val="21"/>
              </w:rPr>
              <w:t>备注</w:t>
            </w:r>
          </w:p>
        </w:tc>
      </w:tr>
      <w:tr w:rsidRPr="00C11FF9" w:rsidR="003A666D" w:rsidTr="00F16D1D">
        <w:tc>
          <w:tcPr>
            <w:tcW w:w="600" w:type="pct"/>
            <w:vMerge/>
            <w:tcBorders>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b/>
                <w:szCs w:val="21"/>
              </w:rPr>
            </w:pPr>
          </w:p>
        </w:tc>
        <w:tc>
          <w:tcPr>
            <w:tcW w:w="450" w:type="pct"/>
            <w:vMerge/>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widowControl/>
              <w:jc w:val="left"/>
              <w:rPr>
                <w:rFonts w:ascii="宋体" w:hAnsi="宋体"/>
                <w:b/>
                <w:szCs w:val="21"/>
              </w:rPr>
            </w:pP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szCs w:val="21"/>
              </w:rPr>
            </w:pPr>
            <w:r w:rsidRPr="00C11FF9">
              <w:rPr>
                <w:rFonts w:hint="eastAsia" w:ascii="宋体" w:hAnsi="宋体"/>
                <w:szCs w:val="21"/>
              </w:rPr>
              <w:t>成交金额</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szCs w:val="21"/>
              </w:rPr>
            </w:pPr>
            <w:r w:rsidRPr="00C11FF9">
              <w:rPr>
                <w:rFonts w:hint="eastAsia" w:ascii="宋体" w:hAnsi="宋体"/>
                <w:szCs w:val="21"/>
              </w:rPr>
              <w:t>占当期股票成交总额的比例</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b/>
                <w:szCs w:val="21"/>
              </w:rPr>
            </w:pPr>
            <w:r w:rsidRPr="00C11FF9">
              <w:rPr>
                <w:rFonts w:hint="eastAsia" w:ascii="宋体" w:hAnsi="宋体"/>
                <w:szCs w:val="21"/>
              </w:rPr>
              <w:t>佣金</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jc w:val="center"/>
              <w:rPr>
                <w:rFonts w:ascii="宋体" w:hAnsi="宋体"/>
                <w:szCs w:val="21"/>
              </w:rPr>
            </w:pPr>
            <w:r w:rsidRPr="00C11FF9">
              <w:rPr>
                <w:rFonts w:hint="eastAsia" w:ascii="宋体" w:hAnsi="宋体"/>
                <w:szCs w:val="21"/>
              </w:rPr>
              <w:t>占当期佣金</w:t>
            </w:r>
          </w:p>
          <w:p w:rsidRPr="00C11FF9" w:rsidR="003A666D" w:rsidP="00C63254" w:rsidRDefault="003A666D">
            <w:pPr>
              <w:jc w:val="center"/>
              <w:rPr>
                <w:rFonts w:ascii="宋体" w:hAnsi="宋体"/>
                <w:b/>
                <w:szCs w:val="21"/>
              </w:rPr>
            </w:pPr>
            <w:r w:rsidRPr="00C11FF9">
              <w:rPr>
                <w:rFonts w:hint="eastAsia" w:ascii="宋体" w:hAnsi="宋体"/>
                <w:szCs w:val="21"/>
              </w:rPr>
              <w:t>总量的比例</w:t>
            </w:r>
          </w:p>
        </w:tc>
        <w:tc>
          <w:tcPr>
            <w:tcW w:w="650" w:type="pct"/>
            <w:vMerge/>
            <w:tcBorders>
              <w:top w:val="single" w:color="auto" w:sz="4" w:space="0"/>
              <w:left w:val="single" w:color="auto" w:sz="4" w:space="0"/>
              <w:bottom w:val="single" w:color="auto" w:sz="4" w:space="0"/>
              <w:right w:val="single" w:color="auto" w:sz="4" w:space="0"/>
            </w:tcBorders>
            <w:vAlign w:val="center"/>
          </w:tcPr>
          <w:p w:rsidRPr="00C11FF9" w:rsidR="003A666D" w:rsidP="00C63254" w:rsidRDefault="003A666D">
            <w:pPr>
              <w:widowControl/>
              <w:jc w:val="left"/>
              <w:rPr>
                <w:rFonts w:ascii="宋体" w:hAnsi="宋体"/>
                <w:b/>
                <w:szCs w:val="21"/>
              </w:rPr>
            </w:pPr>
          </w:p>
        </w:tc>
      </w:tr>
      <w:tr w:rsidRPr="00C11FF9" w:rsidR="00C63254" w:rsidTr="00DE508E">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C24FBB">
            <w:pPr>
              <w:rPr>
                <w:rFonts w:ascii="宋体" w:hAnsi="宋体"/>
                <w:szCs w:val="21"/>
              </w:rPr>
            </w:pPr>
            <w:r w:rsidRPr="009B71C2">
              <w:rPr>
                <w:rFonts w:hint="eastAsia" w:ascii="宋体" w:hAnsi="宋体"/>
                <w:szCs w:val="21"/>
              </w:rPr>
              <w:t>Shenwan Hongyuan Securities (H.K.) Limited</w:t>
            </w:r>
          </w:p>
        </w:tc>
        <w:tc>
          <w:tcPr>
            <w:tcW w:w="4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1,227,490.16</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34.26%</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1,472.97</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41.55%</w:t>
            </w:r>
          </w:p>
        </w:tc>
        <w:tc>
          <w:tcPr>
            <w:tcW w:w="65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ED446A">
            <w:pPr>
              <w:rPr>
                <w:rFonts w:ascii="宋体" w:hAnsi="宋体"/>
                <w:szCs w:val="21"/>
              </w:rPr>
            </w:pPr>
            <w:r w:rsidRPr="00C11FF9">
              <w:rPr>
                <w:rFonts w:ascii="宋体" w:hAnsi="宋体"/>
                <w:szCs w:val="21"/>
              </w:rPr>
              <w:t>-</w:t>
            </w:r>
          </w:p>
        </w:tc>
      </w:tr>
      <w:tr w:rsidRPr="00C11FF9" w:rsidR="00C63254" w:rsidTr="00DE508E">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C24FBB">
            <w:pPr>
              <w:rPr>
                <w:rFonts w:ascii="宋体" w:hAnsi="宋体"/>
                <w:szCs w:val="21"/>
              </w:rPr>
            </w:pPr>
            <w:r w:rsidRPr="009B71C2">
              <w:rPr>
                <w:rFonts w:hint="eastAsia" w:ascii="宋体" w:hAnsi="宋体"/>
                <w:szCs w:val="21"/>
              </w:rPr>
              <w:t>China Securities (International) Brokerage Co. Ltd</w:t>
            </w:r>
          </w:p>
        </w:tc>
        <w:tc>
          <w:tcPr>
            <w:tcW w:w="4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876,959.29</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24.48%</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438.48</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12.37%</w:t>
            </w:r>
          </w:p>
        </w:tc>
        <w:tc>
          <w:tcPr>
            <w:tcW w:w="65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ED446A">
            <w:pPr>
              <w:rPr>
                <w:rFonts w:ascii="宋体" w:hAnsi="宋体"/>
                <w:szCs w:val="21"/>
              </w:rPr>
            </w:pPr>
            <w:r w:rsidRPr="00C11FF9">
              <w:rPr>
                <w:rFonts w:ascii="宋体" w:hAnsi="宋体"/>
                <w:szCs w:val="21"/>
              </w:rPr>
              <w:t>-</w:t>
            </w:r>
          </w:p>
        </w:tc>
      </w:tr>
      <w:tr w:rsidRPr="00C11FF9" w:rsidR="00C63254" w:rsidTr="00DE508E">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C24FBB">
            <w:pPr>
              <w:rPr>
                <w:rFonts w:ascii="宋体" w:hAnsi="宋体"/>
                <w:szCs w:val="21"/>
              </w:rPr>
            </w:pPr>
            <w:r w:rsidRPr="009B71C2">
              <w:rPr>
                <w:rFonts w:hint="eastAsia" w:ascii="宋体" w:hAnsi="宋体"/>
                <w:szCs w:val="21"/>
              </w:rPr>
              <w:t>China Merchants Securities (HK) Co. Ltd</w:t>
            </w:r>
          </w:p>
        </w:tc>
        <w:tc>
          <w:tcPr>
            <w:tcW w:w="4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1,167,592.42</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32.59%</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1,167.58</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32.93%</w:t>
            </w:r>
          </w:p>
        </w:tc>
        <w:tc>
          <w:tcPr>
            <w:tcW w:w="65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ED446A">
            <w:pPr>
              <w:rPr>
                <w:rFonts w:ascii="宋体" w:hAnsi="宋体"/>
                <w:szCs w:val="21"/>
              </w:rPr>
            </w:pPr>
            <w:r w:rsidRPr="00C11FF9">
              <w:rPr>
                <w:rFonts w:ascii="宋体" w:hAnsi="宋体"/>
                <w:szCs w:val="21"/>
              </w:rPr>
              <w:t>-</w:t>
            </w:r>
          </w:p>
        </w:tc>
      </w:tr>
      <w:tr w:rsidRPr="00C11FF9" w:rsidR="00C63254" w:rsidTr="00DE508E">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C24FBB">
            <w:pPr>
              <w:rPr>
                <w:rFonts w:ascii="宋体" w:hAnsi="宋体"/>
                <w:szCs w:val="21"/>
              </w:rPr>
            </w:pPr>
            <w:r w:rsidRPr="009B71C2">
              <w:rPr>
                <w:rFonts w:hint="eastAsia" w:ascii="宋体" w:hAnsi="宋体"/>
                <w:szCs w:val="21"/>
              </w:rPr>
              <w:t>Cathay Securities (Hong Kong) Limited</w:t>
            </w:r>
          </w:p>
        </w:tc>
        <w:tc>
          <w:tcPr>
            <w:tcW w:w="4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65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ED446A">
            <w:pPr>
              <w:rPr>
                <w:rFonts w:ascii="宋体" w:hAnsi="宋体"/>
                <w:szCs w:val="21"/>
              </w:rPr>
            </w:pPr>
            <w:r w:rsidRPr="00C11FF9">
              <w:rPr>
                <w:rFonts w:ascii="宋体" w:hAnsi="宋体"/>
                <w:szCs w:val="21"/>
              </w:rPr>
              <w:t>-</w:t>
            </w:r>
          </w:p>
        </w:tc>
      </w:tr>
      <w:tr w:rsidRPr="00C11FF9" w:rsidR="00C63254" w:rsidTr="00DE508E">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C24FBB">
            <w:pPr>
              <w:rPr>
                <w:rFonts w:ascii="宋体" w:hAnsi="宋体"/>
                <w:szCs w:val="21"/>
              </w:rPr>
            </w:pPr>
            <w:r w:rsidRPr="009B71C2">
              <w:rPr>
                <w:rFonts w:hint="eastAsia" w:ascii="宋体" w:hAnsi="宋体"/>
                <w:szCs w:val="21"/>
              </w:rPr>
              <w:t>Bank of Nova Scotia (The)</w:t>
            </w:r>
          </w:p>
        </w:tc>
        <w:tc>
          <w:tcPr>
            <w:tcW w:w="4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310,790.67</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8.67%</w:t>
            </w:r>
          </w:p>
        </w:tc>
        <w:tc>
          <w:tcPr>
            <w:tcW w:w="105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466.23</w:t>
            </w:r>
          </w:p>
        </w:tc>
        <w:tc>
          <w:tcPr>
            <w:tcW w:w="600" w:type="pct"/>
            <w:tcBorders>
              <w:top w:val="single" w:color="auto" w:sz="4" w:space="0"/>
              <w:left w:val="single" w:color="auto" w:sz="4" w:space="0"/>
              <w:bottom w:val="single" w:color="auto" w:sz="4" w:space="0"/>
              <w:right w:val="single" w:color="auto" w:sz="4" w:space="0"/>
            </w:tcBorders>
            <w:vAlign w:val="center"/>
          </w:tcPr>
          <w:p w:rsidRPr="00C11FF9" w:rsidR="00EF34E4" w:rsidP="00C63254" w:rsidRDefault="00ED446A">
            <w:pPr>
              <w:jc w:val="right"/>
              <w:rPr>
                <w:rFonts w:ascii="宋体" w:hAnsi="宋体"/>
                <w:szCs w:val="21"/>
              </w:rPr>
            </w:pPr>
            <w:r w:rsidRPr="00C11FF9">
              <w:rPr>
                <w:rFonts w:ascii="宋体" w:hAnsi="宋体"/>
                <w:szCs w:val="21"/>
              </w:rPr>
              <w:t>13.15%</w:t>
            </w:r>
          </w:p>
        </w:tc>
        <w:tc>
          <w:tcPr>
            <w:tcW w:w="650" w:type="pct"/>
            <w:tcBorders>
              <w:top w:val="single" w:color="auto" w:sz="4" w:space="0"/>
              <w:left w:val="single" w:color="auto" w:sz="4" w:space="0"/>
              <w:bottom w:val="single" w:color="auto" w:sz="4" w:space="0"/>
              <w:right w:val="single" w:color="auto" w:sz="4" w:space="0"/>
            </w:tcBorders>
            <w:vAlign w:val="center"/>
          </w:tcPr>
          <w:p w:rsidRPr="00C11FF9" w:rsidR="00EF34E4" w:rsidP="00E355CC" w:rsidRDefault="00ED446A">
            <w:pPr>
              <w:rPr>
                <w:rFonts w:ascii="宋体" w:hAnsi="宋体"/>
                <w:szCs w:val="21"/>
              </w:rPr>
            </w:pPr>
            <w:r w:rsidRPr="00C11FF9">
              <w:rPr>
                <w:rFonts w:ascii="宋体" w:hAnsi="宋体"/>
                <w:szCs w:val="21"/>
              </w:rPr>
              <w:t>-</w:t>
            </w:r>
          </w:p>
        </w:tc>
      </w:tr>
    </w:tbl>
    <w:p w:rsidRPr="00C11FF9" w:rsidR="00ED446A" w:rsidP="00436940" w:rsidRDefault="00ED446A">
      <w:pPr>
        <w:ind w:right="480" w:firstLine="420" w:firstLineChars="200"/>
        <w:rPr>
          <w:rFonts w:ascii="宋体" w:hAnsi="宋体"/>
          <w:szCs w:val="21"/>
        </w:rPr>
      </w:pPr>
      <w:r w:rsidRPr="00C11FF9">
        <w:rPr>
          <w:rFonts w:ascii="宋体" w:hAnsi="宋体"/>
          <w:szCs w:val="21"/>
        </w:rPr>
        <w:t>本基金根据券商的研究实力和服务水平选择选择券商以及分配交易量。由研究部牵头对席位候选券商的研究实力和服务质量进行评估,并综合考虑候选券商的综合实力,由研究总监和投资总监审核批准。</w:t>
      </w:r>
    </w:p>
    <w:p w:rsidRPr="009F643D" w:rsidR="00EF34E4" w:rsidP="00E50060" w:rsidRDefault="00EF34E4">
      <w:pPr>
        <w:numPr>
          <w:ilvl w:val="2"/>
          <w:numId w:val="1"/>
        </w:numPr>
        <w:rPr>
          <w:rFonts w:ascii="宋体" w:hAnsi="宋体"/>
          <w:b/>
          <w:szCs w:val="21"/>
        </w:rPr>
      </w:pPr>
      <w:r w:rsidRPr="009F643D">
        <w:rPr>
          <w:rFonts w:hint="eastAsia" w:ascii="宋体" w:hAnsi="宋体"/>
          <w:b/>
          <w:szCs w:val="21"/>
        </w:rPr>
        <w:t>基金租用证券公司交易单元进行其他证券投资的情况</w:t>
      </w:r>
    </w:p>
    <w:p w:rsidRPr="00C11FF9" w:rsidR="00EF34E4" w:rsidP="00E355CC" w:rsidRDefault="00EF34E4">
      <w:pPr>
        <w:jc w:val="right"/>
        <w:rPr>
          <w:rFonts w:ascii="宋体" w:hAnsi="宋体"/>
          <w:szCs w:val="21"/>
        </w:rPr>
      </w:pPr>
      <w:r w:rsidRPr="00C11FF9">
        <w:rPr>
          <w:rFonts w:hint="eastAsia" w:ascii="宋体" w:hAnsi="宋体"/>
          <w:szCs w:val="21"/>
        </w:rPr>
        <w:t>金额单位：人民币元</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58"/>
        <w:gridCol w:w="990"/>
        <w:gridCol w:w="994"/>
        <w:gridCol w:w="988"/>
        <w:gridCol w:w="990"/>
        <w:gridCol w:w="990"/>
        <w:gridCol w:w="990"/>
        <w:gridCol w:w="990"/>
        <w:gridCol w:w="986"/>
      </w:tblGrid>
      <w:tr w:rsidRPr="00C11FF9" w:rsidR="00AF5AB4" w:rsidTr="00B311D7">
        <w:tc>
          <w:tcPr>
            <w:tcW w:w="1658" w:type="dxa"/>
            <w:vMerge w:val="restart"/>
            <w:vAlign w:val="center"/>
          </w:tcPr>
          <w:p w:rsidRPr="00C11FF9" w:rsidR="00AF5AB4" w:rsidP="00C63254" w:rsidRDefault="00AF5AB4">
            <w:pPr>
              <w:jc w:val="center"/>
              <w:rPr>
                <w:rFonts w:ascii="宋体" w:hAnsi="宋体"/>
                <w:szCs w:val="21"/>
              </w:rPr>
            </w:pPr>
            <w:r w:rsidRPr="00C11FF9">
              <w:rPr>
                <w:rFonts w:hint="eastAsia" w:ascii="宋体" w:hAnsi="宋体"/>
                <w:szCs w:val="21"/>
              </w:rPr>
              <w:t>券商名称</w:t>
            </w:r>
          </w:p>
        </w:tc>
        <w:tc>
          <w:tcPr>
            <w:tcW w:w="1984" w:type="dxa"/>
            <w:gridSpan w:val="2"/>
            <w:vAlign w:val="center"/>
          </w:tcPr>
          <w:p w:rsidRPr="00C11FF9" w:rsidR="00AF5AB4" w:rsidP="00C63254" w:rsidRDefault="00AF5AB4">
            <w:pPr>
              <w:jc w:val="center"/>
              <w:rPr>
                <w:rFonts w:ascii="宋体" w:hAnsi="宋体"/>
                <w:szCs w:val="21"/>
              </w:rPr>
            </w:pPr>
            <w:r w:rsidRPr="00C11FF9">
              <w:rPr>
                <w:rFonts w:hint="eastAsia" w:ascii="宋体" w:hAnsi="宋体"/>
                <w:szCs w:val="21"/>
              </w:rPr>
              <w:t>债券交易</w:t>
            </w:r>
          </w:p>
        </w:tc>
        <w:tc>
          <w:tcPr>
            <w:tcW w:w="1978" w:type="dxa"/>
            <w:gridSpan w:val="2"/>
            <w:vAlign w:val="center"/>
          </w:tcPr>
          <w:p w:rsidRPr="00C11FF9" w:rsidR="00AF5AB4" w:rsidP="00C63254" w:rsidRDefault="00AF5AB4">
            <w:pPr>
              <w:jc w:val="center"/>
              <w:rPr>
                <w:rFonts w:ascii="宋体" w:hAnsi="宋体"/>
                <w:szCs w:val="21"/>
              </w:rPr>
            </w:pPr>
            <w:r w:rsidRPr="00C11FF9">
              <w:rPr>
                <w:rFonts w:hint="eastAsia" w:ascii="宋体" w:hAnsi="宋体"/>
                <w:szCs w:val="21"/>
              </w:rPr>
              <w:t>回购交易</w:t>
            </w:r>
          </w:p>
        </w:tc>
        <w:tc>
          <w:tcPr>
            <w:tcW w:w="1980" w:type="dxa"/>
            <w:gridSpan w:val="2"/>
            <w:vAlign w:val="center"/>
          </w:tcPr>
          <w:p w:rsidRPr="00C11FF9" w:rsidR="00AF5AB4" w:rsidP="00C63254" w:rsidRDefault="00AF5AB4">
            <w:pPr>
              <w:jc w:val="center"/>
              <w:rPr>
                <w:rFonts w:ascii="宋体" w:hAnsi="宋体"/>
                <w:szCs w:val="21"/>
              </w:rPr>
            </w:pPr>
            <w:r w:rsidRPr="00C11FF9">
              <w:rPr>
                <w:rFonts w:hint="eastAsia" w:ascii="宋体" w:hAnsi="宋体"/>
                <w:szCs w:val="21"/>
              </w:rPr>
              <w:t>权证交易</w:t>
            </w:r>
          </w:p>
        </w:tc>
        <w:tc>
          <w:tcPr>
            <w:tcW w:w="1976" w:type="dxa"/>
            <w:gridSpan w:val="2"/>
            <w:vAlign w:val="center"/>
          </w:tcPr>
          <w:p w:rsidRPr="00C11FF9" w:rsidR="00AF5AB4" w:rsidP="00C63254" w:rsidRDefault="00AF5AB4">
            <w:pPr>
              <w:jc w:val="center"/>
              <w:rPr>
                <w:rFonts w:ascii="宋体" w:hAnsi="宋体"/>
                <w:szCs w:val="21"/>
              </w:rPr>
            </w:pPr>
            <w:r w:rsidRPr="00C11FF9">
              <w:rPr>
                <w:rFonts w:hint="eastAsia" w:ascii="宋体" w:hAnsi="宋体"/>
                <w:szCs w:val="21"/>
              </w:rPr>
              <w:t>基金交易</w:t>
            </w:r>
          </w:p>
        </w:tc>
      </w:tr>
      <w:tr w:rsidRPr="00C11FF9" w:rsidR="00AF5AB4" w:rsidTr="002F1A6C">
        <w:tc>
          <w:tcPr>
            <w:tcW w:w="1658" w:type="dxa"/>
            <w:vMerge/>
            <w:shd w:val="clear" w:color="auto" w:fill="auto"/>
            <w:vAlign w:val="center"/>
          </w:tcPr>
          <w:p w:rsidRPr="009B71C2" w:rsidR="00AF5AB4" w:rsidP="00F52989" w:rsidRDefault="00AF5AB4">
            <w:pPr>
              <w:jc w:val="left"/>
              <w:rPr>
                <w:rFonts w:ascii="宋体" w:hAnsi="宋体"/>
                <w:szCs w:val="21"/>
              </w:rPr>
            </w:pPr>
          </w:p>
        </w:tc>
        <w:tc>
          <w:tcPr>
            <w:tcW w:w="990" w:type="dxa"/>
            <w:shd w:val="clear" w:color="auto" w:fill="auto"/>
            <w:vAlign w:val="center"/>
          </w:tcPr>
          <w:p w:rsidRPr="00C11FF9" w:rsidR="00AF5AB4" w:rsidP="002F1A6C" w:rsidRDefault="00AF5AB4">
            <w:pPr>
              <w:jc w:val="center"/>
              <w:rPr>
                <w:rFonts w:ascii="宋体" w:hAnsi="宋体"/>
                <w:color w:val="000000"/>
                <w:szCs w:val="21"/>
              </w:rPr>
            </w:pPr>
            <w:r w:rsidRPr="00C11FF9">
              <w:rPr>
                <w:rFonts w:hint="eastAsia" w:ascii="宋体" w:hAnsi="宋体"/>
                <w:szCs w:val="21"/>
              </w:rPr>
              <w:t>成交金</w:t>
            </w:r>
            <w:r w:rsidRPr="00C11FF9">
              <w:rPr>
                <w:rFonts w:hint="eastAsia" w:ascii="宋体" w:hAnsi="宋体"/>
                <w:szCs w:val="21"/>
              </w:rPr>
              <w:lastRenderedPageBreak/>
              <w:t>额</w:t>
            </w:r>
          </w:p>
        </w:tc>
        <w:tc>
          <w:tcPr>
            <w:tcW w:w="994" w:type="dxa"/>
            <w:shd w:val="clear" w:color="auto" w:fill="auto"/>
            <w:vAlign w:val="center"/>
          </w:tcPr>
          <w:p w:rsidRPr="00C11FF9" w:rsidR="00AF5AB4" w:rsidP="002F1A6C" w:rsidRDefault="00AF5AB4">
            <w:pPr>
              <w:jc w:val="center"/>
              <w:rPr>
                <w:rFonts w:ascii="宋体" w:hAnsi="宋体"/>
                <w:color w:val="000000"/>
                <w:szCs w:val="21"/>
              </w:rPr>
            </w:pPr>
            <w:r w:rsidRPr="00C11FF9">
              <w:rPr>
                <w:rFonts w:hint="eastAsia" w:ascii="宋体" w:hAnsi="宋体"/>
                <w:szCs w:val="21"/>
              </w:rPr>
              <w:lastRenderedPageBreak/>
              <w:t>占当期</w:t>
            </w:r>
            <w:r w:rsidRPr="00C11FF9">
              <w:rPr>
                <w:rFonts w:hint="eastAsia" w:ascii="宋体" w:hAnsi="宋体"/>
                <w:szCs w:val="21"/>
              </w:rPr>
              <w:lastRenderedPageBreak/>
              <w:t>成交总额的比例</w:t>
            </w:r>
          </w:p>
        </w:tc>
        <w:tc>
          <w:tcPr>
            <w:tcW w:w="988" w:type="dxa"/>
            <w:shd w:val="clear" w:color="auto" w:fill="auto"/>
            <w:vAlign w:val="center"/>
          </w:tcPr>
          <w:p w:rsidRPr="00C11FF9" w:rsidR="00AF5AB4" w:rsidP="002F1A6C" w:rsidRDefault="00AF5AB4">
            <w:pPr>
              <w:jc w:val="center"/>
              <w:rPr>
                <w:rFonts w:ascii="宋体" w:hAnsi="宋体"/>
                <w:color w:val="000000"/>
                <w:szCs w:val="21"/>
              </w:rPr>
            </w:pPr>
            <w:r w:rsidRPr="00C11FF9">
              <w:rPr>
                <w:rFonts w:hint="eastAsia" w:ascii="宋体" w:hAnsi="宋体"/>
                <w:szCs w:val="21"/>
              </w:rPr>
              <w:lastRenderedPageBreak/>
              <w:t>成交金</w:t>
            </w:r>
            <w:r w:rsidRPr="00C11FF9">
              <w:rPr>
                <w:rFonts w:hint="eastAsia" w:ascii="宋体" w:hAnsi="宋体"/>
                <w:szCs w:val="21"/>
              </w:rPr>
              <w:lastRenderedPageBreak/>
              <w:t>额</w:t>
            </w:r>
          </w:p>
        </w:tc>
        <w:tc>
          <w:tcPr>
            <w:tcW w:w="990" w:type="dxa"/>
            <w:shd w:val="clear" w:color="auto" w:fill="auto"/>
            <w:vAlign w:val="center"/>
          </w:tcPr>
          <w:p w:rsidRPr="00C11FF9" w:rsidR="00AF5AB4" w:rsidP="002F1A6C" w:rsidRDefault="00AF5AB4">
            <w:pPr>
              <w:jc w:val="center"/>
              <w:rPr>
                <w:rFonts w:ascii="宋体" w:hAnsi="宋体"/>
                <w:color w:val="000000"/>
                <w:szCs w:val="21"/>
              </w:rPr>
            </w:pPr>
            <w:r>
              <w:rPr>
                <w:rFonts w:hint="eastAsia" w:ascii="宋体" w:hAnsi="宋体"/>
                <w:szCs w:val="21"/>
              </w:rPr>
              <w:lastRenderedPageBreak/>
              <w:t>占当期</w:t>
            </w:r>
            <w:r w:rsidRPr="00C11FF9">
              <w:rPr>
                <w:rFonts w:hint="eastAsia" w:ascii="宋体" w:hAnsi="宋体"/>
                <w:szCs w:val="21"/>
              </w:rPr>
              <w:lastRenderedPageBreak/>
              <w:t>成交总额的比例</w:t>
            </w:r>
          </w:p>
        </w:tc>
        <w:tc>
          <w:tcPr>
            <w:tcW w:w="990" w:type="dxa"/>
            <w:shd w:val="clear" w:color="auto" w:fill="auto"/>
            <w:vAlign w:val="center"/>
          </w:tcPr>
          <w:p w:rsidRPr="00C11FF9" w:rsidR="00AF5AB4" w:rsidP="002F1A6C" w:rsidRDefault="00AF5AB4">
            <w:pPr>
              <w:jc w:val="center"/>
              <w:rPr>
                <w:rFonts w:ascii="宋体" w:hAnsi="宋体"/>
                <w:color w:val="000000"/>
                <w:szCs w:val="21"/>
              </w:rPr>
            </w:pPr>
            <w:r w:rsidRPr="00C11FF9">
              <w:rPr>
                <w:rFonts w:hint="eastAsia" w:ascii="宋体" w:hAnsi="宋体"/>
                <w:szCs w:val="21"/>
              </w:rPr>
              <w:lastRenderedPageBreak/>
              <w:t>成交金</w:t>
            </w:r>
            <w:r w:rsidRPr="00C11FF9">
              <w:rPr>
                <w:rFonts w:hint="eastAsia" w:ascii="宋体" w:hAnsi="宋体"/>
                <w:szCs w:val="21"/>
              </w:rPr>
              <w:lastRenderedPageBreak/>
              <w:t>额</w:t>
            </w:r>
          </w:p>
        </w:tc>
        <w:tc>
          <w:tcPr>
            <w:tcW w:w="990" w:type="dxa"/>
            <w:shd w:val="clear" w:color="auto" w:fill="auto"/>
            <w:vAlign w:val="center"/>
          </w:tcPr>
          <w:p w:rsidRPr="00C11FF9" w:rsidR="00AF5AB4" w:rsidP="002F1A6C" w:rsidRDefault="00AF5AB4">
            <w:pPr>
              <w:jc w:val="center"/>
              <w:rPr>
                <w:rFonts w:ascii="宋体" w:hAnsi="宋体"/>
                <w:color w:val="000000"/>
                <w:szCs w:val="21"/>
              </w:rPr>
            </w:pPr>
            <w:r>
              <w:rPr>
                <w:rFonts w:hint="eastAsia" w:ascii="宋体" w:hAnsi="宋体"/>
                <w:szCs w:val="21"/>
              </w:rPr>
              <w:lastRenderedPageBreak/>
              <w:t>占当期</w:t>
            </w:r>
            <w:r w:rsidRPr="00C11FF9">
              <w:rPr>
                <w:rFonts w:hint="eastAsia" w:ascii="宋体" w:hAnsi="宋体"/>
                <w:szCs w:val="21"/>
              </w:rPr>
              <w:lastRenderedPageBreak/>
              <w:t>成交总额的比例</w:t>
            </w:r>
          </w:p>
        </w:tc>
        <w:tc>
          <w:tcPr>
            <w:tcW w:w="990" w:type="dxa"/>
            <w:shd w:val="clear" w:color="auto" w:fill="auto"/>
            <w:vAlign w:val="center"/>
          </w:tcPr>
          <w:p w:rsidRPr="00C11FF9" w:rsidR="00AF5AB4" w:rsidP="002F1A6C" w:rsidRDefault="00AF5AB4">
            <w:pPr>
              <w:jc w:val="center"/>
              <w:rPr>
                <w:rFonts w:ascii="宋体" w:hAnsi="宋体"/>
                <w:color w:val="000000"/>
                <w:szCs w:val="21"/>
              </w:rPr>
            </w:pPr>
            <w:r w:rsidRPr="00C11FF9">
              <w:rPr>
                <w:rFonts w:hint="eastAsia" w:ascii="宋体" w:hAnsi="宋体"/>
                <w:szCs w:val="21"/>
              </w:rPr>
              <w:lastRenderedPageBreak/>
              <w:t>成交金</w:t>
            </w:r>
            <w:r w:rsidRPr="00C11FF9">
              <w:rPr>
                <w:rFonts w:hint="eastAsia" w:ascii="宋体" w:hAnsi="宋体"/>
                <w:szCs w:val="21"/>
              </w:rPr>
              <w:lastRenderedPageBreak/>
              <w:t>额</w:t>
            </w:r>
          </w:p>
        </w:tc>
        <w:tc>
          <w:tcPr>
            <w:tcW w:w="986" w:type="dxa"/>
            <w:shd w:val="clear" w:color="auto" w:fill="auto"/>
            <w:vAlign w:val="center"/>
          </w:tcPr>
          <w:p w:rsidRPr="00C11FF9" w:rsidR="00AF5AB4" w:rsidP="002F1A6C" w:rsidRDefault="00AF5AB4">
            <w:pPr>
              <w:jc w:val="center"/>
              <w:rPr>
                <w:rFonts w:ascii="宋体" w:hAnsi="宋体"/>
                <w:color w:val="000000"/>
                <w:szCs w:val="21"/>
              </w:rPr>
            </w:pPr>
            <w:r>
              <w:rPr>
                <w:rFonts w:hint="eastAsia" w:ascii="宋体" w:hAnsi="宋体"/>
                <w:szCs w:val="21"/>
              </w:rPr>
              <w:lastRenderedPageBreak/>
              <w:t>占当期</w:t>
            </w:r>
            <w:r w:rsidRPr="00C11FF9">
              <w:rPr>
                <w:rFonts w:hint="eastAsia" w:ascii="宋体" w:hAnsi="宋体"/>
                <w:szCs w:val="21"/>
              </w:rPr>
              <w:lastRenderedPageBreak/>
              <w:t>成交总额的比例</w:t>
            </w:r>
          </w:p>
        </w:tc>
      </w:tr>
      <w:tr w:rsidRPr="00C11FF9" w:rsidR="00B311D7" w:rsidTr="00B311D7">
        <w:tc>
          <w:tcPr>
            <w:tcW w:w="1658" w:type="dxa"/>
            <w:shd w:val="clear" w:color="auto" w:fill="auto"/>
            <w:vAlign w:val="center"/>
          </w:tcPr>
          <w:p w:rsidRPr="00C11FF9" w:rsidR="00B311D7" w:rsidP="00F52989" w:rsidRDefault="00B311D7">
            <w:pPr>
              <w:jc w:val="left"/>
              <w:rPr>
                <w:rFonts w:ascii="宋体" w:hAnsi="宋体"/>
                <w:color w:val="000000"/>
                <w:szCs w:val="21"/>
              </w:rPr>
            </w:pPr>
            <w:r w:rsidRPr="009B71C2">
              <w:rPr>
                <w:rFonts w:hint="eastAsia" w:ascii="宋体" w:hAnsi="宋体"/>
                <w:szCs w:val="21"/>
              </w:rPr>
              <w:lastRenderedPageBreak/>
              <w:t>Shenwan Hongyuan Securities (H.K.) Limited</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4"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8"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6"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r>
      <w:tr w:rsidRPr="00C11FF9" w:rsidR="00B311D7" w:rsidTr="00B311D7">
        <w:tc>
          <w:tcPr>
            <w:tcW w:w="1658" w:type="dxa"/>
            <w:shd w:val="clear" w:color="auto" w:fill="auto"/>
            <w:vAlign w:val="center"/>
          </w:tcPr>
          <w:p w:rsidRPr="00C11FF9" w:rsidR="00B311D7" w:rsidP="00F52989" w:rsidRDefault="00B311D7">
            <w:pPr>
              <w:jc w:val="left"/>
              <w:rPr>
                <w:rFonts w:ascii="宋体" w:hAnsi="宋体"/>
                <w:color w:val="000000"/>
                <w:szCs w:val="21"/>
              </w:rPr>
            </w:pPr>
            <w:r w:rsidRPr="009B71C2">
              <w:rPr>
                <w:rFonts w:hint="eastAsia" w:ascii="宋体" w:hAnsi="宋体"/>
                <w:szCs w:val="21"/>
              </w:rPr>
              <w:lastRenderedPageBreak/>
              <w:t>China Securities (International) Brokerage Co. Ltd</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4"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8"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6"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r>
      <w:tr w:rsidRPr="00C11FF9" w:rsidR="00B311D7" w:rsidTr="00B311D7">
        <w:tc>
          <w:tcPr>
            <w:tcW w:w="1658" w:type="dxa"/>
            <w:shd w:val="clear" w:color="auto" w:fill="auto"/>
            <w:vAlign w:val="center"/>
          </w:tcPr>
          <w:p w:rsidRPr="00C11FF9" w:rsidR="00B311D7" w:rsidP="00F52989" w:rsidRDefault="00B311D7">
            <w:pPr>
              <w:jc w:val="left"/>
              <w:rPr>
                <w:rFonts w:ascii="宋体" w:hAnsi="宋体"/>
                <w:color w:val="000000"/>
                <w:szCs w:val="21"/>
              </w:rPr>
            </w:pPr>
            <w:r w:rsidRPr="009B71C2">
              <w:rPr>
                <w:rFonts w:hint="eastAsia" w:ascii="宋体" w:hAnsi="宋体"/>
                <w:szCs w:val="21"/>
              </w:rPr>
              <w:lastRenderedPageBreak/>
              <w:t>China Merchants Securities (HK) Co. Ltd</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4"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8"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6"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r>
      <w:tr w:rsidRPr="00C11FF9" w:rsidR="00B311D7" w:rsidTr="00B311D7">
        <w:tc>
          <w:tcPr>
            <w:tcW w:w="1658" w:type="dxa"/>
            <w:shd w:val="clear" w:color="auto" w:fill="auto"/>
            <w:vAlign w:val="center"/>
          </w:tcPr>
          <w:p w:rsidRPr="00C11FF9" w:rsidR="00B311D7" w:rsidP="00F52989" w:rsidRDefault="00B311D7">
            <w:pPr>
              <w:jc w:val="left"/>
              <w:rPr>
                <w:rFonts w:ascii="宋体" w:hAnsi="宋体"/>
                <w:color w:val="000000"/>
                <w:szCs w:val="21"/>
              </w:rPr>
            </w:pPr>
            <w:r w:rsidRPr="009B71C2">
              <w:rPr>
                <w:rFonts w:hint="eastAsia" w:ascii="宋体" w:hAnsi="宋体"/>
                <w:szCs w:val="21"/>
              </w:rPr>
              <w:lastRenderedPageBreak/>
              <w:t>Cathay Securities (Hong Kong) Limited</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4"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8"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6"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r>
      <w:tr w:rsidRPr="00C11FF9" w:rsidR="00B311D7" w:rsidTr="00B311D7">
        <w:tc>
          <w:tcPr>
            <w:tcW w:w="1658" w:type="dxa"/>
            <w:shd w:val="clear" w:color="auto" w:fill="auto"/>
            <w:vAlign w:val="center"/>
          </w:tcPr>
          <w:p w:rsidRPr="00C11FF9" w:rsidR="00B311D7" w:rsidP="00F52989" w:rsidRDefault="00B311D7">
            <w:pPr>
              <w:jc w:val="left"/>
              <w:rPr>
                <w:rFonts w:ascii="宋体" w:hAnsi="宋体"/>
                <w:color w:val="000000"/>
                <w:szCs w:val="21"/>
              </w:rPr>
            </w:pPr>
            <w:r w:rsidRPr="009B71C2">
              <w:rPr>
                <w:rFonts w:hint="eastAsia" w:ascii="宋体" w:hAnsi="宋体"/>
                <w:szCs w:val="21"/>
              </w:rPr>
              <w:lastRenderedPageBreak/>
              <w:t>Bank of Nova Scotia (The)</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4"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8"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90"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c>
          <w:tcPr>
            <w:tcW w:w="986" w:type="dxa"/>
            <w:shd w:val="clear" w:color="auto" w:fill="auto"/>
            <w:vAlign w:val="center"/>
          </w:tcPr>
          <w:p w:rsidRPr="00C11FF9" w:rsidR="00B311D7" w:rsidP="001B4287" w:rsidRDefault="00B311D7">
            <w:pPr>
              <w:jc w:val="right"/>
              <w:rPr>
                <w:rFonts w:ascii="宋体" w:hAnsi="宋体"/>
                <w:color w:val="000000"/>
                <w:szCs w:val="21"/>
              </w:rPr>
            </w:pPr>
            <w:r w:rsidRPr="00C11FF9">
              <w:rPr>
                <w:rFonts w:hint="eastAsia" w:ascii="宋体" w:hAnsi="宋体"/>
                <w:color w:val="000000"/>
                <w:szCs w:val="21"/>
              </w:rPr>
              <w:t>-</w:t>
            </w:r>
          </w:p>
        </w:tc>
      </w:tr>
    </w:tbl>
    <w:p w:rsidRPr="00C11FF9" w:rsidR="00143817" w:rsidP="00436940" w:rsidRDefault="00143817">
      <w:pPr>
        <w:ind w:right="480" w:firstLine="420" w:firstLineChars="200"/>
        <w:rPr>
          <w:rFonts w:ascii="宋体" w:hAnsi="宋体"/>
          <w:szCs w:val="21"/>
        </w:rPr>
      </w:pPr>
      <w:r w:rsidRPr="00C11FF9">
        <w:rPr>
          <w:rFonts w:hint="eastAsia" w:ascii="宋体" w:hAnsi="宋体"/>
          <w:szCs w:val="21"/>
        </w:rPr>
        <w:t>本基金根据券商的研究实力和服务水平选择选择券商以及分配交易量。由研究部牵头对席位候选券商的研究实力和服务质量进行评估,并综合考虑候选券商的综合实力,由研究总监和投资总监审核批准。</w:t>
      </w:r>
    </w:p>
    <w:p w:rsidRPr="00C11FF9" w:rsidR="00AF0B61" w:rsidP="00E50060" w:rsidRDefault="00AF0B61">
      <w:pPr>
        <w:pStyle w:val="1"/>
        <w:numPr>
          <w:ilvl w:val="0"/>
          <w:numId w:val="1"/>
        </w:numPr>
        <w:spacing w:line="240" w:lineRule="auto"/>
        <w:ind w:left="567" w:hanging="567"/>
        <w:jc w:val="center"/>
        <w:rPr>
          <w:rFonts w:ascii="宋体" w:hAnsi="宋体"/>
          <w:sz w:val="21"/>
          <w:szCs w:val="21"/>
        </w:rPr>
      </w:pPr>
      <w:r w:rsidRPr="00C11FF9">
        <w:rPr>
          <w:rFonts w:hint="eastAsia" w:ascii="宋体" w:hAnsi="宋体"/>
          <w:sz w:val="21"/>
          <w:szCs w:val="21"/>
        </w:rPr>
        <w:t>影响投资者决策的其他重要信息</w:t>
      </w:r>
    </w:p>
    <w:p w:rsidRPr="00C11FF9" w:rsidR="004622D4" w:rsidP="004622D4" w:rsidRDefault="004622D4">
      <w:pPr>
        <w:rPr>
          <w:szCs w:val="21"/>
        </w:rPr>
      </w:pPr>
      <w:r w:rsidRPr="00C11FF9">
        <w:rPr>
          <w:rFonts w:hint="eastAsia" w:ascii="宋体" w:hAnsi="宋体"/>
          <w:b/>
          <w:color w:val="000000"/>
          <w:kern w:val="0"/>
          <w:szCs w:val="21"/>
        </w:rPr>
        <w:t>11.1报告期内单一投资者持有基金份额比例达到或超过20%的情况</w:t>
      </w:r>
    </w:p>
    <w:p w:rsidRPr="002F3611" w:rsidR="004622D4" w:rsidP="002F3611" w:rsidRDefault="00ED446A">
      <w:pPr>
        <w:ind w:right="480" w:firstLine="420" w:firstLineChars="200"/>
        <w:rPr>
          <w:rFonts w:ascii="宋体" w:hAnsi="宋体"/>
          <w:szCs w:val="21"/>
        </w:rPr>
      </w:pPr>
      <w:r w:rsidRPr="00C11FF9">
        <w:rPr>
          <w:rFonts w:ascii="宋体" w:hAnsi="宋体"/>
          <w:szCs w:val="21"/>
        </w:rPr>
        <w:t/>
      </w:r>
    </w:p>
    <w:p w:rsidRPr="00C11FF9" w:rsidR="004622D4" w:rsidP="004622D4" w:rsidRDefault="004622D4">
      <w:pPr>
        <w:rPr>
          <w:szCs w:val="21"/>
        </w:rPr>
      </w:pPr>
      <w:r w:rsidRPr="00C11FF9">
        <w:rPr>
          <w:rFonts w:hint="eastAsia" w:ascii="宋体" w:hAnsi="宋体"/>
          <w:b/>
          <w:color w:val="000000"/>
          <w:kern w:val="0"/>
          <w:szCs w:val="21"/>
        </w:rPr>
        <w:t>11.2 影响投资者决策的其他重要信息</w:t>
      </w:r>
    </w:p>
    <w:p w:rsidRPr="00C11FF9" w:rsidR="00ED446A" w:rsidP="00436940" w:rsidRDefault="00ED446A">
      <w:pPr>
        <w:ind w:right="480" w:firstLine="420" w:firstLineChars="200"/>
        <w:rPr>
          <w:rFonts w:ascii="宋体" w:hAnsi="宋体"/>
          <w:szCs w:val="21"/>
        </w:rPr>
      </w:pPr>
      <w:r w:rsidRPr="00C11FF9">
        <w:rPr>
          <w:rFonts w:ascii="宋体" w:hAnsi="宋体"/>
          <w:szCs w:val="21"/>
        </w:rPr>
        <w:t>无</w:t>
      </w:r>
    </w:p>
    <w:p w:rsidRPr="00C11FF9" w:rsidR="00AF0B61" w:rsidP="00E355CC" w:rsidRDefault="00AF0B61">
      <w:pPr>
        <w:jc w:val="left"/>
        <w:rPr>
          <w:rFonts w:ascii="宋体" w:hAnsi="宋体"/>
          <w:szCs w:val="21"/>
        </w:rPr>
      </w:pPr>
    </w:p>
    <w:p w:rsidRPr="00C11FF9" w:rsidR="000410C6" w:rsidP="00E355CC" w:rsidRDefault="000410C6">
      <w:pPr>
        <w:jc w:val="left"/>
        <w:rPr>
          <w:rFonts w:ascii="宋体" w:hAnsi="宋体"/>
          <w:szCs w:val="21"/>
        </w:rPr>
      </w:pPr>
    </w:p>
    <w:p w:rsidRPr="00C11FF9" w:rsidR="00AF0B61" w:rsidP="00E355CC" w:rsidRDefault="00AF0B61">
      <w:pPr>
        <w:jc w:val="left"/>
        <w:rPr>
          <w:rFonts w:ascii="宋体" w:hAnsi="宋体"/>
          <w:szCs w:val="21"/>
        </w:rPr>
      </w:pPr>
    </w:p>
    <w:p w:rsidRPr="00C11FF9" w:rsidR="002471BE" w:rsidP="00E355CC" w:rsidRDefault="002471BE">
      <w:pPr>
        <w:jc w:val="right"/>
        <w:rPr>
          <w:rFonts w:ascii="宋体" w:hAnsi="宋体"/>
          <w:szCs w:val="21"/>
        </w:rPr>
      </w:pPr>
      <w:r w:rsidRPr="00C11FF9">
        <w:rPr>
          <w:rFonts w:ascii="宋体" w:hAnsi="宋体"/>
          <w:szCs w:val="21"/>
        </w:rPr>
        <w:t>中信保诚基金管理有限公司</w:t>
      </w:r>
    </w:p>
    <w:p w:rsidRPr="00C11FF9" w:rsidR="002471BE" w:rsidP="00E355CC" w:rsidRDefault="002471BE">
      <w:pPr>
        <w:jc w:val="right"/>
        <w:rPr>
          <w:rFonts w:ascii="宋体" w:hAnsi="宋体"/>
          <w:szCs w:val="21"/>
        </w:rPr>
      </w:pPr>
      <w:r w:rsidRPr="00C11FF9">
        <w:rPr>
          <w:rFonts w:ascii="宋体" w:hAnsi="宋体"/>
          <w:szCs w:val="21"/>
        </w:rPr>
        <w:t>2019年08月26日</w:t>
      </w:r>
    </w:p>
    <w:sectPr w:rsidRPr="00C11FF9" w:rsidR="002471BE" w:rsidSect="00BD5FFB">
      <w:headerReference w:type="default" r:id="rId9"/>
      <w:footerReference w:type="default" r:id="rId10"/>
      <w:pgSz w:w="11906" w:h="16838"/>
      <w:pgMar w:top="1440" w:right="1286" w:bottom="1440" w:left="12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7B" w:rsidRDefault="00A7477B">
      <w:r>
        <w:separator/>
      </w:r>
    </w:p>
  </w:endnote>
  <w:endnote w:type="continuationSeparator" w:id="0">
    <w:p w:rsidR="00A7477B" w:rsidRDefault="00A7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1D" w:rsidP="00162FCC" w:rsidRDefault="00F16D1D">
    <w:pPr>
      <w:pStyle w:val="ab"/>
      <w:framePr w:wrap="around" w:hAnchor="margin" w:vAnchor="text" w:xAlign="center" w:y="1"/>
      <w:rPr>
        <w:rStyle w:val="ad"/>
      </w:rPr>
    </w:pPr>
    <w:r>
      <w:rPr>
        <w:rStyle w:val="ad"/>
      </w:rPr>
      <w:fldChar w:fldCharType="begin"/>
    </w:r>
    <w:r>
      <w:rPr>
        <w:rStyle w:val="ad"/>
      </w:rPr>
      <w:instrText xml:space="preserve">PAGE  </w:instrText>
    </w:r>
    <w:r>
      <w:rPr>
        <w:rStyle w:val="ad"/>
      </w:rPr>
      <w:fldChar w:fldCharType="separate"/>
    </w:r>
    <w:r w:rsidR="00B26A99">
      <w:rPr>
        <w:rStyle w:val="ad"/>
        <w:noProof/>
      </w:rPr>
      <w:t>3</w:t>
    </w:r>
    <w:r>
      <w:rPr>
        <w:rStyle w:val="ad"/>
      </w:rPr>
      <w:fldChar w:fldCharType="end"/>
    </w:r>
  </w:p>
  <w:p w:rsidR="00F16D1D" w:rsidP="00162FCC" w:rsidRDefault="00F16D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7B" w:rsidRDefault="00A7477B">
      <w:r>
        <w:separator/>
      </w:r>
    </w:p>
  </w:footnote>
  <w:footnote w:type="continuationSeparator" w:id="0">
    <w:p w:rsidR="00A7477B" w:rsidRDefault="00A74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1D" w:rsidP="001B1A5C" w:rsidRDefault="00F16D1D">
    <w:pPr>
      <w:pStyle w:val="aa"/>
      <w:jc w:val="right"/>
    </w:pPr>
    <w:r>
      <w:rPr>
        <w:rFonts w:hint="eastAsia"/>
      </w:rPr>
      <w:t>信诚金砖四国积极配置证券投资基金(LOF)2019年半年度报告摘要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F14"/>
    <w:multiLevelType w:val="multilevel"/>
    <w:tmpl w:val="484AA1FA"/>
    <w:lvl w:ilvl="0">
      <w:start w:val="1"/>
      <w:numFmt w:val="decimal"/>
      <w:lvlText w:val="§%1"/>
      <w:lvlJc w:val="left"/>
      <w:pPr>
        <w:ind w:left="0" w:firstLine="0"/>
      </w:pPr>
      <w:rPr>
        <w:rFonts w:hint="eastAsia"/>
        <w:b/>
        <w:sz w:val="21"/>
        <w:szCs w:val="21"/>
      </w:rPr>
    </w:lvl>
    <w:lvl w:ilvl="1">
      <w:start w:val="1"/>
      <w:numFmt w:val="decimal"/>
      <w:lvlText w:val="%1.%2"/>
      <w:lvlJc w:val="left"/>
      <w:pPr>
        <w:ind w:left="0" w:firstLine="0"/>
      </w:pPr>
      <w:rPr>
        <w:rFonts w:hint="eastAsia"/>
        <w:b/>
        <w:sz w:val="21"/>
        <w:szCs w:val="21"/>
      </w:rPr>
    </w:lvl>
    <w:lvl w:ilvl="2">
      <w:start w:val="1"/>
      <w:numFmt w:val="decimal"/>
      <w:lvlText w:val="%1.%2.%3"/>
      <w:lvlJc w:val="left"/>
      <w:pPr>
        <w:ind w:left="0" w:firstLine="0"/>
      </w:pPr>
      <w:rPr>
        <w:rFonts w:ascii="宋体" w:eastAsia="宋体" w:hAnsi="宋体" w:hint="eastAsia"/>
        <w:b/>
      </w:rPr>
    </w:lvl>
    <w:lvl w:ilvl="3">
      <w:start w:val="1"/>
      <w:numFmt w:val="decimal"/>
      <w:lvlText w:val="%1.%2.%3.%4"/>
      <w:lvlJc w:val="left"/>
      <w:pPr>
        <w:ind w:left="0" w:firstLine="0"/>
      </w:pPr>
      <w:rPr>
        <w:rFonts w:hint="eastAsia"/>
        <w:b/>
        <w:color w:val="auto"/>
      </w:rPr>
    </w:lvl>
    <w:lvl w:ilvl="4">
      <w:start w:val="1"/>
      <w:numFmt w:val="decimal"/>
      <w:lvlText w:val="%1.%2.%3.%4.%5"/>
      <w:lvlJc w:val="left"/>
      <w:pPr>
        <w:ind w:left="0" w:firstLine="0"/>
      </w:pPr>
      <w:rPr>
        <w:rFonts w:hint="eastAsia"/>
        <w:b/>
        <w:lang w:val="en-US"/>
      </w:rPr>
    </w:lvl>
    <w:lvl w:ilvl="5">
      <w:start w:val="1"/>
      <w:numFmt w:val="decimal"/>
      <w:lvlText w:val="%1.%2.%3.%4.%5.%6"/>
      <w:lvlJc w:val="left"/>
      <w:pPr>
        <w:ind w:left="0" w:firstLine="0"/>
      </w:pPr>
      <w:rPr>
        <w:rFonts w:hint="eastAsia"/>
        <w:b/>
        <w:color w:val="auto"/>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21B557C9"/>
    <w:multiLevelType w:val="multilevel"/>
    <w:tmpl w:val="A17A3E6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992"/>
      </w:pPr>
      <w:rPr>
        <w:b/>
        <w:sz w:val="21"/>
        <w:szCs w:val="21"/>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1984"/>
      </w:pPr>
      <w:rPr>
        <w:b/>
        <w:color w:val="auto"/>
      </w:rPr>
    </w:lvl>
    <w:lvl w:ilvl="4">
      <w:start w:val="1"/>
      <w:numFmt w:val="decimal"/>
      <w:lvlText w:val="%1.%2.%3.%4.%5"/>
      <w:lvlJc w:val="left"/>
      <w:pPr>
        <w:ind w:left="2551" w:hanging="2551"/>
      </w:pPr>
      <w:rPr>
        <w:b/>
      </w:rPr>
    </w:lvl>
    <w:lvl w:ilvl="5">
      <w:start w:val="1"/>
      <w:numFmt w:val="decimal"/>
      <w:lvlText w:val="%1.%2.%3.%4.%5.%6"/>
      <w:lvlJc w:val="left"/>
      <w:pPr>
        <w:ind w:left="3260" w:hanging="3260"/>
      </w:pPr>
      <w:rPr>
        <w:b/>
        <w:color w:val="auto"/>
      </w:rPr>
    </w:lvl>
    <w:lvl w:ilvl="6">
      <w:start w:val="1"/>
      <w:numFmt w:val="decimal"/>
      <w:lvlText w:val="%1.%2.%3.%4.%5.%6.%7"/>
      <w:lvlJc w:val="left"/>
      <w:pPr>
        <w:ind w:left="3827" w:hanging="3827"/>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47460E50"/>
    <w:multiLevelType w:val="multilevel"/>
    <w:tmpl w:val="E36E7424"/>
    <w:lvl w:ilvl="0">
      <w:start w:val="1"/>
      <w:numFmt w:val="decimal"/>
      <w:lvlText w:val="§%1"/>
      <w:lvlJc w:val="left"/>
      <w:pPr>
        <w:ind w:left="425" w:hanging="425"/>
      </w:pPr>
      <w:rPr>
        <w:rFonts w:ascii="宋体"/>
        <w:sz w:val="21"/>
        <w:szCs w:val="21"/>
      </w:rPr>
    </w:lvl>
    <w:lvl w:ilvl="1">
      <w:start w:val="1"/>
      <w:numFmt w:val="decimal"/>
      <w:lvlText w:val="%1.%2"/>
      <w:lvlJc w:val="left"/>
      <w:pPr>
        <w:ind w:left="992" w:hanging="992"/>
      </w:pPr>
    </w:lvl>
    <w:lvl w:ilvl="2">
      <w:start w:val="1"/>
      <w:numFmt w:val="decimal"/>
      <w:lvlText w:val="%1.%2.%3"/>
      <w:lvlJc w:val="left"/>
      <w:pPr>
        <w:ind w:left="1418" w:hanging="1418"/>
      </w:pPr>
      <w:rPr>
        <w:b/>
      </w:rPr>
    </w:lvl>
    <w:lvl w:ilvl="3">
      <w:start w:val="1"/>
      <w:numFmt w:val="decimal"/>
      <w:lvlText w:val="%1.%2.%3.%4"/>
      <w:lvlJc w:val="left"/>
      <w:pPr>
        <w:ind w:left="1984" w:hanging="1984"/>
      </w:pPr>
      <w:rPr>
        <w:rFonts w:ascii="宋体" w:eastAsia="宋体" w:hAnsi="宋体" w:hint="eastAsia"/>
      </w:rPr>
    </w:lvl>
    <w:lvl w:ilvl="4">
      <w:start w:val="1"/>
      <w:numFmt w:val="decimal"/>
      <w:lvlText w:val="%1.%2.%3.%4.%5"/>
      <w:lvlJc w:val="left"/>
      <w:pPr>
        <w:ind w:left="2551" w:hanging="2551"/>
      </w:pPr>
    </w:lvl>
    <w:lvl w:ilvl="5">
      <w:start w:val="1"/>
      <w:numFmt w:val="decimal"/>
      <w:lvlText w:val="%1.%2.%3.%4.%5.%6"/>
      <w:lvlJc w:val="left"/>
      <w:pPr>
        <w:ind w:left="3260" w:hanging="326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D4"/>
    <w:rsid w:val="00002E36"/>
    <w:rsid w:val="00004F06"/>
    <w:rsid w:val="0001457B"/>
    <w:rsid w:val="0002254D"/>
    <w:rsid w:val="00023B23"/>
    <w:rsid w:val="00024568"/>
    <w:rsid w:val="000252AE"/>
    <w:rsid w:val="0002580A"/>
    <w:rsid w:val="00025BE7"/>
    <w:rsid w:val="0003340C"/>
    <w:rsid w:val="000410C6"/>
    <w:rsid w:val="0004200E"/>
    <w:rsid w:val="0004446A"/>
    <w:rsid w:val="00044685"/>
    <w:rsid w:val="00045273"/>
    <w:rsid w:val="00047834"/>
    <w:rsid w:val="00050971"/>
    <w:rsid w:val="00053B29"/>
    <w:rsid w:val="00061C5A"/>
    <w:rsid w:val="00063853"/>
    <w:rsid w:val="000659A6"/>
    <w:rsid w:val="00067B34"/>
    <w:rsid w:val="00070219"/>
    <w:rsid w:val="00072DEC"/>
    <w:rsid w:val="0008215B"/>
    <w:rsid w:val="0008278B"/>
    <w:rsid w:val="00082D6A"/>
    <w:rsid w:val="000831AA"/>
    <w:rsid w:val="00084254"/>
    <w:rsid w:val="0008535C"/>
    <w:rsid w:val="0008603D"/>
    <w:rsid w:val="0008747A"/>
    <w:rsid w:val="00090129"/>
    <w:rsid w:val="000A0845"/>
    <w:rsid w:val="000A0C85"/>
    <w:rsid w:val="000A56A4"/>
    <w:rsid w:val="000A69E8"/>
    <w:rsid w:val="000A7603"/>
    <w:rsid w:val="000A7C26"/>
    <w:rsid w:val="000B0DE5"/>
    <w:rsid w:val="000B126A"/>
    <w:rsid w:val="000B12BD"/>
    <w:rsid w:val="000B3FE1"/>
    <w:rsid w:val="000B7904"/>
    <w:rsid w:val="000C0EFF"/>
    <w:rsid w:val="000C2374"/>
    <w:rsid w:val="000C6C61"/>
    <w:rsid w:val="000C7EAA"/>
    <w:rsid w:val="000D37CD"/>
    <w:rsid w:val="000D4993"/>
    <w:rsid w:val="000E1AEC"/>
    <w:rsid w:val="000E2AF5"/>
    <w:rsid w:val="000E2C89"/>
    <w:rsid w:val="000E595B"/>
    <w:rsid w:val="000F71E9"/>
    <w:rsid w:val="000F767C"/>
    <w:rsid w:val="000F7AD9"/>
    <w:rsid w:val="0010049D"/>
    <w:rsid w:val="00104398"/>
    <w:rsid w:val="00105864"/>
    <w:rsid w:val="001141AF"/>
    <w:rsid w:val="00115151"/>
    <w:rsid w:val="001176BF"/>
    <w:rsid w:val="00117E99"/>
    <w:rsid w:val="00120F5C"/>
    <w:rsid w:val="00121638"/>
    <w:rsid w:val="00121D3C"/>
    <w:rsid w:val="00122869"/>
    <w:rsid w:val="00122E0B"/>
    <w:rsid w:val="001236B5"/>
    <w:rsid w:val="001248BF"/>
    <w:rsid w:val="00124F56"/>
    <w:rsid w:val="0012557F"/>
    <w:rsid w:val="00125BF3"/>
    <w:rsid w:val="00126695"/>
    <w:rsid w:val="00130791"/>
    <w:rsid w:val="00131C2C"/>
    <w:rsid w:val="00132596"/>
    <w:rsid w:val="00132C31"/>
    <w:rsid w:val="0013406A"/>
    <w:rsid w:val="00134418"/>
    <w:rsid w:val="00142083"/>
    <w:rsid w:val="00143817"/>
    <w:rsid w:val="0014397E"/>
    <w:rsid w:val="00143F90"/>
    <w:rsid w:val="00145CAC"/>
    <w:rsid w:val="0014667D"/>
    <w:rsid w:val="001469D0"/>
    <w:rsid w:val="00147450"/>
    <w:rsid w:val="0015623F"/>
    <w:rsid w:val="00161093"/>
    <w:rsid w:val="00162FCC"/>
    <w:rsid w:val="0016559C"/>
    <w:rsid w:val="00170864"/>
    <w:rsid w:val="00171E69"/>
    <w:rsid w:val="00173626"/>
    <w:rsid w:val="001753CF"/>
    <w:rsid w:val="001762C3"/>
    <w:rsid w:val="00180A12"/>
    <w:rsid w:val="00182860"/>
    <w:rsid w:val="00183F35"/>
    <w:rsid w:val="00185A20"/>
    <w:rsid w:val="0019064A"/>
    <w:rsid w:val="00190821"/>
    <w:rsid w:val="001909A4"/>
    <w:rsid w:val="00194046"/>
    <w:rsid w:val="001A3608"/>
    <w:rsid w:val="001A4697"/>
    <w:rsid w:val="001B06B8"/>
    <w:rsid w:val="001B14DF"/>
    <w:rsid w:val="001B1A5C"/>
    <w:rsid w:val="001B383F"/>
    <w:rsid w:val="001B3BEF"/>
    <w:rsid w:val="001B4287"/>
    <w:rsid w:val="001C0DF5"/>
    <w:rsid w:val="001C266F"/>
    <w:rsid w:val="001C3D98"/>
    <w:rsid w:val="001C556A"/>
    <w:rsid w:val="001C5B7B"/>
    <w:rsid w:val="001C675F"/>
    <w:rsid w:val="001C7FED"/>
    <w:rsid w:val="001C7FF4"/>
    <w:rsid w:val="001D48C8"/>
    <w:rsid w:val="001D4B8D"/>
    <w:rsid w:val="001D65C5"/>
    <w:rsid w:val="001D666C"/>
    <w:rsid w:val="001E096E"/>
    <w:rsid w:val="001E41D3"/>
    <w:rsid w:val="001F253C"/>
    <w:rsid w:val="001F2661"/>
    <w:rsid w:val="001F52F7"/>
    <w:rsid w:val="00205BE2"/>
    <w:rsid w:val="00211B3B"/>
    <w:rsid w:val="00213B23"/>
    <w:rsid w:val="002157BC"/>
    <w:rsid w:val="00217A74"/>
    <w:rsid w:val="00223D91"/>
    <w:rsid w:val="00225A7F"/>
    <w:rsid w:val="002262AB"/>
    <w:rsid w:val="0023021B"/>
    <w:rsid w:val="00233B79"/>
    <w:rsid w:val="002366C3"/>
    <w:rsid w:val="00244AC0"/>
    <w:rsid w:val="002471BE"/>
    <w:rsid w:val="002509C0"/>
    <w:rsid w:val="00251751"/>
    <w:rsid w:val="00254961"/>
    <w:rsid w:val="00255565"/>
    <w:rsid w:val="00255C46"/>
    <w:rsid w:val="00256D0D"/>
    <w:rsid w:val="00256D7B"/>
    <w:rsid w:val="002571A8"/>
    <w:rsid w:val="0025729E"/>
    <w:rsid w:val="0026065E"/>
    <w:rsid w:val="002667DA"/>
    <w:rsid w:val="002672FE"/>
    <w:rsid w:val="002707B4"/>
    <w:rsid w:val="002718D1"/>
    <w:rsid w:val="002758E3"/>
    <w:rsid w:val="00280176"/>
    <w:rsid w:val="002856D8"/>
    <w:rsid w:val="0029325B"/>
    <w:rsid w:val="0029540C"/>
    <w:rsid w:val="002A15F5"/>
    <w:rsid w:val="002A26A3"/>
    <w:rsid w:val="002A46C8"/>
    <w:rsid w:val="002B2585"/>
    <w:rsid w:val="002B77A6"/>
    <w:rsid w:val="002C0388"/>
    <w:rsid w:val="002C06DA"/>
    <w:rsid w:val="002C3795"/>
    <w:rsid w:val="002C50D2"/>
    <w:rsid w:val="002C7E79"/>
    <w:rsid w:val="002D0C08"/>
    <w:rsid w:val="002D16BB"/>
    <w:rsid w:val="002D26DA"/>
    <w:rsid w:val="002D4AED"/>
    <w:rsid w:val="002D6429"/>
    <w:rsid w:val="002E1949"/>
    <w:rsid w:val="002E2233"/>
    <w:rsid w:val="002E446C"/>
    <w:rsid w:val="002F0EED"/>
    <w:rsid w:val="002F1A6C"/>
    <w:rsid w:val="002F269C"/>
    <w:rsid w:val="002F2FDF"/>
    <w:rsid w:val="002F3611"/>
    <w:rsid w:val="00300899"/>
    <w:rsid w:val="00310120"/>
    <w:rsid w:val="0031018A"/>
    <w:rsid w:val="0031122E"/>
    <w:rsid w:val="00311596"/>
    <w:rsid w:val="0031207B"/>
    <w:rsid w:val="0031598F"/>
    <w:rsid w:val="0031714B"/>
    <w:rsid w:val="003175F8"/>
    <w:rsid w:val="00323B4B"/>
    <w:rsid w:val="00326696"/>
    <w:rsid w:val="003271EF"/>
    <w:rsid w:val="00333A83"/>
    <w:rsid w:val="00334988"/>
    <w:rsid w:val="003353CD"/>
    <w:rsid w:val="00336485"/>
    <w:rsid w:val="003434B6"/>
    <w:rsid w:val="00344AF8"/>
    <w:rsid w:val="003477EA"/>
    <w:rsid w:val="0035285D"/>
    <w:rsid w:val="00353B72"/>
    <w:rsid w:val="00362969"/>
    <w:rsid w:val="00366B21"/>
    <w:rsid w:val="00370392"/>
    <w:rsid w:val="0037246D"/>
    <w:rsid w:val="0037507D"/>
    <w:rsid w:val="003764F1"/>
    <w:rsid w:val="00380410"/>
    <w:rsid w:val="003825D6"/>
    <w:rsid w:val="00382E43"/>
    <w:rsid w:val="0038492D"/>
    <w:rsid w:val="00385256"/>
    <w:rsid w:val="00387AFD"/>
    <w:rsid w:val="003905B1"/>
    <w:rsid w:val="003916A6"/>
    <w:rsid w:val="00391ED2"/>
    <w:rsid w:val="003947BC"/>
    <w:rsid w:val="003A666D"/>
    <w:rsid w:val="003B35FF"/>
    <w:rsid w:val="003B394E"/>
    <w:rsid w:val="003B4CEC"/>
    <w:rsid w:val="003B535A"/>
    <w:rsid w:val="003B5BE9"/>
    <w:rsid w:val="003C3BD7"/>
    <w:rsid w:val="003C3C9B"/>
    <w:rsid w:val="003C4DEA"/>
    <w:rsid w:val="003C5389"/>
    <w:rsid w:val="003D08E2"/>
    <w:rsid w:val="003D2F44"/>
    <w:rsid w:val="003D3BEA"/>
    <w:rsid w:val="003D4B6C"/>
    <w:rsid w:val="003D54BB"/>
    <w:rsid w:val="003E030D"/>
    <w:rsid w:val="003E0995"/>
    <w:rsid w:val="003E0B7A"/>
    <w:rsid w:val="003E1672"/>
    <w:rsid w:val="003E1F97"/>
    <w:rsid w:val="003E32F1"/>
    <w:rsid w:val="003E3621"/>
    <w:rsid w:val="003E777C"/>
    <w:rsid w:val="003E7B9A"/>
    <w:rsid w:val="003F3589"/>
    <w:rsid w:val="003F4454"/>
    <w:rsid w:val="003F5BD9"/>
    <w:rsid w:val="003F6D1D"/>
    <w:rsid w:val="0040418A"/>
    <w:rsid w:val="00406BFA"/>
    <w:rsid w:val="00410254"/>
    <w:rsid w:val="0041132F"/>
    <w:rsid w:val="00411450"/>
    <w:rsid w:val="00416798"/>
    <w:rsid w:val="004237C5"/>
    <w:rsid w:val="00426815"/>
    <w:rsid w:val="004270FA"/>
    <w:rsid w:val="00427415"/>
    <w:rsid w:val="00432779"/>
    <w:rsid w:val="004341C4"/>
    <w:rsid w:val="0043551A"/>
    <w:rsid w:val="004357C0"/>
    <w:rsid w:val="00436940"/>
    <w:rsid w:val="00436B4D"/>
    <w:rsid w:val="00450CBB"/>
    <w:rsid w:val="0045126E"/>
    <w:rsid w:val="00451D59"/>
    <w:rsid w:val="0045433B"/>
    <w:rsid w:val="0045610E"/>
    <w:rsid w:val="004565B5"/>
    <w:rsid w:val="004622D4"/>
    <w:rsid w:val="00462CA8"/>
    <w:rsid w:val="00464384"/>
    <w:rsid w:val="00466CE5"/>
    <w:rsid w:val="0047021D"/>
    <w:rsid w:val="004711C0"/>
    <w:rsid w:val="004724A1"/>
    <w:rsid w:val="00473CEC"/>
    <w:rsid w:val="004744C4"/>
    <w:rsid w:val="00480373"/>
    <w:rsid w:val="00480FF8"/>
    <w:rsid w:val="00485EC4"/>
    <w:rsid w:val="0049425D"/>
    <w:rsid w:val="004953A6"/>
    <w:rsid w:val="0049619C"/>
    <w:rsid w:val="00497428"/>
    <w:rsid w:val="00497481"/>
    <w:rsid w:val="004B0DA3"/>
    <w:rsid w:val="004B0EF6"/>
    <w:rsid w:val="004B49D4"/>
    <w:rsid w:val="004C5720"/>
    <w:rsid w:val="004C6C98"/>
    <w:rsid w:val="004C703D"/>
    <w:rsid w:val="004C7E89"/>
    <w:rsid w:val="004C7F8B"/>
    <w:rsid w:val="004D019C"/>
    <w:rsid w:val="004D1CBE"/>
    <w:rsid w:val="004D2BF9"/>
    <w:rsid w:val="004D3D1E"/>
    <w:rsid w:val="004D5316"/>
    <w:rsid w:val="004D7683"/>
    <w:rsid w:val="004E75E2"/>
    <w:rsid w:val="004F70F0"/>
    <w:rsid w:val="0050084B"/>
    <w:rsid w:val="0050101A"/>
    <w:rsid w:val="0050577D"/>
    <w:rsid w:val="00510F56"/>
    <w:rsid w:val="005213B7"/>
    <w:rsid w:val="005257FB"/>
    <w:rsid w:val="00530B85"/>
    <w:rsid w:val="00541C43"/>
    <w:rsid w:val="0054370B"/>
    <w:rsid w:val="00544EA7"/>
    <w:rsid w:val="00550FC9"/>
    <w:rsid w:val="00554152"/>
    <w:rsid w:val="00563975"/>
    <w:rsid w:val="00564986"/>
    <w:rsid w:val="00564DEE"/>
    <w:rsid w:val="005650F4"/>
    <w:rsid w:val="00570444"/>
    <w:rsid w:val="005718E3"/>
    <w:rsid w:val="005740B7"/>
    <w:rsid w:val="00576901"/>
    <w:rsid w:val="00580DB2"/>
    <w:rsid w:val="0058270A"/>
    <w:rsid w:val="00586AB1"/>
    <w:rsid w:val="00587214"/>
    <w:rsid w:val="00587EB4"/>
    <w:rsid w:val="00590167"/>
    <w:rsid w:val="00592203"/>
    <w:rsid w:val="005943B4"/>
    <w:rsid w:val="005956D7"/>
    <w:rsid w:val="00596164"/>
    <w:rsid w:val="005A3ADF"/>
    <w:rsid w:val="005B10DF"/>
    <w:rsid w:val="005B470B"/>
    <w:rsid w:val="005B4A48"/>
    <w:rsid w:val="005B6887"/>
    <w:rsid w:val="005B6EEA"/>
    <w:rsid w:val="005C0E4A"/>
    <w:rsid w:val="005C0EB8"/>
    <w:rsid w:val="005C3711"/>
    <w:rsid w:val="005C4780"/>
    <w:rsid w:val="005C49EC"/>
    <w:rsid w:val="005D25D9"/>
    <w:rsid w:val="005D63B8"/>
    <w:rsid w:val="005D76D0"/>
    <w:rsid w:val="005E5F02"/>
    <w:rsid w:val="006043E7"/>
    <w:rsid w:val="00605295"/>
    <w:rsid w:val="00605340"/>
    <w:rsid w:val="0060607D"/>
    <w:rsid w:val="006103D4"/>
    <w:rsid w:val="00617416"/>
    <w:rsid w:val="00620BE3"/>
    <w:rsid w:val="00622B69"/>
    <w:rsid w:val="00623020"/>
    <w:rsid w:val="00630AA7"/>
    <w:rsid w:val="00631405"/>
    <w:rsid w:val="006345AB"/>
    <w:rsid w:val="006359C2"/>
    <w:rsid w:val="00635FA3"/>
    <w:rsid w:val="00640B9C"/>
    <w:rsid w:val="00641196"/>
    <w:rsid w:val="00641A68"/>
    <w:rsid w:val="006422DE"/>
    <w:rsid w:val="00644BC8"/>
    <w:rsid w:val="00646AFE"/>
    <w:rsid w:val="006526BD"/>
    <w:rsid w:val="00657646"/>
    <w:rsid w:val="00660661"/>
    <w:rsid w:val="00660D60"/>
    <w:rsid w:val="006613D5"/>
    <w:rsid w:val="00661481"/>
    <w:rsid w:val="00661C6E"/>
    <w:rsid w:val="00662934"/>
    <w:rsid w:val="006650AB"/>
    <w:rsid w:val="006662B3"/>
    <w:rsid w:val="00667593"/>
    <w:rsid w:val="006748AA"/>
    <w:rsid w:val="006776AA"/>
    <w:rsid w:val="00677AC1"/>
    <w:rsid w:val="00682FFE"/>
    <w:rsid w:val="006849B4"/>
    <w:rsid w:val="00686B00"/>
    <w:rsid w:val="00687CDE"/>
    <w:rsid w:val="0069132D"/>
    <w:rsid w:val="00692738"/>
    <w:rsid w:val="00693023"/>
    <w:rsid w:val="006964C7"/>
    <w:rsid w:val="006A0637"/>
    <w:rsid w:val="006A1D27"/>
    <w:rsid w:val="006A2B4A"/>
    <w:rsid w:val="006A5708"/>
    <w:rsid w:val="006B7D10"/>
    <w:rsid w:val="006C1778"/>
    <w:rsid w:val="006D0727"/>
    <w:rsid w:val="006D28D1"/>
    <w:rsid w:val="006D564E"/>
    <w:rsid w:val="006D60C0"/>
    <w:rsid w:val="006D68C7"/>
    <w:rsid w:val="006E0A30"/>
    <w:rsid w:val="006E3731"/>
    <w:rsid w:val="006E702A"/>
    <w:rsid w:val="006E729E"/>
    <w:rsid w:val="006E7E06"/>
    <w:rsid w:val="006E7F45"/>
    <w:rsid w:val="006F6C86"/>
    <w:rsid w:val="006F799A"/>
    <w:rsid w:val="007035BB"/>
    <w:rsid w:val="007073E1"/>
    <w:rsid w:val="00714D71"/>
    <w:rsid w:val="00715CDC"/>
    <w:rsid w:val="00724491"/>
    <w:rsid w:val="00725CF4"/>
    <w:rsid w:val="00727EDE"/>
    <w:rsid w:val="00731334"/>
    <w:rsid w:val="007404BA"/>
    <w:rsid w:val="00741C3B"/>
    <w:rsid w:val="00743FBF"/>
    <w:rsid w:val="00744E35"/>
    <w:rsid w:val="00745074"/>
    <w:rsid w:val="00747978"/>
    <w:rsid w:val="00750791"/>
    <w:rsid w:val="00754E95"/>
    <w:rsid w:val="00756D9C"/>
    <w:rsid w:val="00761576"/>
    <w:rsid w:val="00762B7B"/>
    <w:rsid w:val="00765404"/>
    <w:rsid w:val="007745DA"/>
    <w:rsid w:val="0078005B"/>
    <w:rsid w:val="00785CFC"/>
    <w:rsid w:val="00787D46"/>
    <w:rsid w:val="007917A2"/>
    <w:rsid w:val="00791BBF"/>
    <w:rsid w:val="00796455"/>
    <w:rsid w:val="007978B4"/>
    <w:rsid w:val="007A64B3"/>
    <w:rsid w:val="007A7A2D"/>
    <w:rsid w:val="007B1A6B"/>
    <w:rsid w:val="007B3A19"/>
    <w:rsid w:val="007B54CD"/>
    <w:rsid w:val="007C1C16"/>
    <w:rsid w:val="007C3CC4"/>
    <w:rsid w:val="007C6DFB"/>
    <w:rsid w:val="007C6EC0"/>
    <w:rsid w:val="007C7DE3"/>
    <w:rsid w:val="007D329F"/>
    <w:rsid w:val="007D3A2B"/>
    <w:rsid w:val="007E12A9"/>
    <w:rsid w:val="007E1934"/>
    <w:rsid w:val="007E49A1"/>
    <w:rsid w:val="007F1142"/>
    <w:rsid w:val="007F1890"/>
    <w:rsid w:val="007F72B5"/>
    <w:rsid w:val="00807618"/>
    <w:rsid w:val="00811496"/>
    <w:rsid w:val="00814E5A"/>
    <w:rsid w:val="00815BA3"/>
    <w:rsid w:val="00816E91"/>
    <w:rsid w:val="008174C2"/>
    <w:rsid w:val="00822124"/>
    <w:rsid w:val="00824470"/>
    <w:rsid w:val="00824B1C"/>
    <w:rsid w:val="00832692"/>
    <w:rsid w:val="008437E9"/>
    <w:rsid w:val="00845404"/>
    <w:rsid w:val="00850B33"/>
    <w:rsid w:val="00850D9F"/>
    <w:rsid w:val="0085375E"/>
    <w:rsid w:val="0086044A"/>
    <w:rsid w:val="008604C6"/>
    <w:rsid w:val="00860FA5"/>
    <w:rsid w:val="008613D5"/>
    <w:rsid w:val="008642EF"/>
    <w:rsid w:val="0087219A"/>
    <w:rsid w:val="00873646"/>
    <w:rsid w:val="00874053"/>
    <w:rsid w:val="00875AB3"/>
    <w:rsid w:val="0087726E"/>
    <w:rsid w:val="00877C5F"/>
    <w:rsid w:val="008806E0"/>
    <w:rsid w:val="008838F3"/>
    <w:rsid w:val="008906EB"/>
    <w:rsid w:val="00892062"/>
    <w:rsid w:val="00892CE5"/>
    <w:rsid w:val="00895017"/>
    <w:rsid w:val="00896E71"/>
    <w:rsid w:val="008A47F5"/>
    <w:rsid w:val="008A4F2D"/>
    <w:rsid w:val="008A524D"/>
    <w:rsid w:val="008A5A9D"/>
    <w:rsid w:val="008B0B93"/>
    <w:rsid w:val="008B17DB"/>
    <w:rsid w:val="008B57CA"/>
    <w:rsid w:val="008B6E2E"/>
    <w:rsid w:val="008C5A2A"/>
    <w:rsid w:val="008D06AE"/>
    <w:rsid w:val="008D5B86"/>
    <w:rsid w:val="008D7BDB"/>
    <w:rsid w:val="008E0790"/>
    <w:rsid w:val="008E7735"/>
    <w:rsid w:val="008E7FEA"/>
    <w:rsid w:val="008F224A"/>
    <w:rsid w:val="008F4FE3"/>
    <w:rsid w:val="009006A1"/>
    <w:rsid w:val="009009AB"/>
    <w:rsid w:val="009015F6"/>
    <w:rsid w:val="0090233C"/>
    <w:rsid w:val="00903423"/>
    <w:rsid w:val="009042E2"/>
    <w:rsid w:val="0090462D"/>
    <w:rsid w:val="00907B0A"/>
    <w:rsid w:val="00907E56"/>
    <w:rsid w:val="00910198"/>
    <w:rsid w:val="00911738"/>
    <w:rsid w:val="009122E4"/>
    <w:rsid w:val="00912C3B"/>
    <w:rsid w:val="00915D68"/>
    <w:rsid w:val="009173B7"/>
    <w:rsid w:val="009201A3"/>
    <w:rsid w:val="00920920"/>
    <w:rsid w:val="00921FB3"/>
    <w:rsid w:val="009251E0"/>
    <w:rsid w:val="00925939"/>
    <w:rsid w:val="009259C9"/>
    <w:rsid w:val="00925A40"/>
    <w:rsid w:val="0092679F"/>
    <w:rsid w:val="00930CDD"/>
    <w:rsid w:val="00932199"/>
    <w:rsid w:val="00933CD5"/>
    <w:rsid w:val="009344A0"/>
    <w:rsid w:val="009373B5"/>
    <w:rsid w:val="00940638"/>
    <w:rsid w:val="009473D1"/>
    <w:rsid w:val="00947A01"/>
    <w:rsid w:val="00951CEE"/>
    <w:rsid w:val="009531C6"/>
    <w:rsid w:val="00954777"/>
    <w:rsid w:val="009601A3"/>
    <w:rsid w:val="00960C6C"/>
    <w:rsid w:val="009639AD"/>
    <w:rsid w:val="00965FCF"/>
    <w:rsid w:val="00966ED8"/>
    <w:rsid w:val="00972E4B"/>
    <w:rsid w:val="00976D25"/>
    <w:rsid w:val="00980020"/>
    <w:rsid w:val="009829C8"/>
    <w:rsid w:val="0098420C"/>
    <w:rsid w:val="00985759"/>
    <w:rsid w:val="0099017C"/>
    <w:rsid w:val="00990D67"/>
    <w:rsid w:val="009914D7"/>
    <w:rsid w:val="009937C1"/>
    <w:rsid w:val="0099556E"/>
    <w:rsid w:val="009A7069"/>
    <w:rsid w:val="009A7F83"/>
    <w:rsid w:val="009B1BD3"/>
    <w:rsid w:val="009B29BF"/>
    <w:rsid w:val="009C5328"/>
    <w:rsid w:val="009C6CBF"/>
    <w:rsid w:val="009D0724"/>
    <w:rsid w:val="009D0989"/>
    <w:rsid w:val="009D2F6E"/>
    <w:rsid w:val="009D31EF"/>
    <w:rsid w:val="009D355B"/>
    <w:rsid w:val="009D508B"/>
    <w:rsid w:val="009E0A65"/>
    <w:rsid w:val="009E2AE3"/>
    <w:rsid w:val="009E5CF1"/>
    <w:rsid w:val="009E660E"/>
    <w:rsid w:val="009F0B9D"/>
    <w:rsid w:val="009F5295"/>
    <w:rsid w:val="009F54B8"/>
    <w:rsid w:val="009F643D"/>
    <w:rsid w:val="009F6851"/>
    <w:rsid w:val="00A01CEF"/>
    <w:rsid w:val="00A03A86"/>
    <w:rsid w:val="00A05987"/>
    <w:rsid w:val="00A05E4C"/>
    <w:rsid w:val="00A06872"/>
    <w:rsid w:val="00A06BB8"/>
    <w:rsid w:val="00A07EB8"/>
    <w:rsid w:val="00A116DD"/>
    <w:rsid w:val="00A1346A"/>
    <w:rsid w:val="00A13586"/>
    <w:rsid w:val="00A14CC2"/>
    <w:rsid w:val="00A15022"/>
    <w:rsid w:val="00A16F1A"/>
    <w:rsid w:val="00A204EC"/>
    <w:rsid w:val="00A20C5F"/>
    <w:rsid w:val="00A2458D"/>
    <w:rsid w:val="00A25922"/>
    <w:rsid w:val="00A305E3"/>
    <w:rsid w:val="00A30FBA"/>
    <w:rsid w:val="00A326A2"/>
    <w:rsid w:val="00A34B03"/>
    <w:rsid w:val="00A35E0C"/>
    <w:rsid w:val="00A37255"/>
    <w:rsid w:val="00A4156C"/>
    <w:rsid w:val="00A42EE5"/>
    <w:rsid w:val="00A43211"/>
    <w:rsid w:val="00A441B6"/>
    <w:rsid w:val="00A4542B"/>
    <w:rsid w:val="00A47CAE"/>
    <w:rsid w:val="00A50511"/>
    <w:rsid w:val="00A515BF"/>
    <w:rsid w:val="00A52717"/>
    <w:rsid w:val="00A541AF"/>
    <w:rsid w:val="00A6015B"/>
    <w:rsid w:val="00A621A1"/>
    <w:rsid w:val="00A625A1"/>
    <w:rsid w:val="00A664AF"/>
    <w:rsid w:val="00A66ABA"/>
    <w:rsid w:val="00A73B56"/>
    <w:rsid w:val="00A7477B"/>
    <w:rsid w:val="00A75C94"/>
    <w:rsid w:val="00A77A2C"/>
    <w:rsid w:val="00A8283F"/>
    <w:rsid w:val="00A82C25"/>
    <w:rsid w:val="00A84CE4"/>
    <w:rsid w:val="00A8584C"/>
    <w:rsid w:val="00A90FF1"/>
    <w:rsid w:val="00A91686"/>
    <w:rsid w:val="00A91A5C"/>
    <w:rsid w:val="00A92F4E"/>
    <w:rsid w:val="00A9399F"/>
    <w:rsid w:val="00A95863"/>
    <w:rsid w:val="00AA44B3"/>
    <w:rsid w:val="00AA69D3"/>
    <w:rsid w:val="00AB1115"/>
    <w:rsid w:val="00AB252A"/>
    <w:rsid w:val="00AB26FE"/>
    <w:rsid w:val="00AB4088"/>
    <w:rsid w:val="00AB5FA0"/>
    <w:rsid w:val="00AC1F47"/>
    <w:rsid w:val="00AC6B54"/>
    <w:rsid w:val="00AC7F69"/>
    <w:rsid w:val="00AE5253"/>
    <w:rsid w:val="00AE7773"/>
    <w:rsid w:val="00AF0B61"/>
    <w:rsid w:val="00AF125E"/>
    <w:rsid w:val="00AF2FFF"/>
    <w:rsid w:val="00AF3D14"/>
    <w:rsid w:val="00AF5AB4"/>
    <w:rsid w:val="00AF5BA2"/>
    <w:rsid w:val="00AF6271"/>
    <w:rsid w:val="00B0103B"/>
    <w:rsid w:val="00B038B5"/>
    <w:rsid w:val="00B03D7E"/>
    <w:rsid w:val="00B04CB3"/>
    <w:rsid w:val="00B064DF"/>
    <w:rsid w:val="00B11A83"/>
    <w:rsid w:val="00B11DC1"/>
    <w:rsid w:val="00B13856"/>
    <w:rsid w:val="00B13AEC"/>
    <w:rsid w:val="00B1461B"/>
    <w:rsid w:val="00B2462F"/>
    <w:rsid w:val="00B26379"/>
    <w:rsid w:val="00B26A99"/>
    <w:rsid w:val="00B30433"/>
    <w:rsid w:val="00B311D7"/>
    <w:rsid w:val="00B36B39"/>
    <w:rsid w:val="00B36C3C"/>
    <w:rsid w:val="00B3759E"/>
    <w:rsid w:val="00B402C0"/>
    <w:rsid w:val="00B428D2"/>
    <w:rsid w:val="00B43903"/>
    <w:rsid w:val="00B47C69"/>
    <w:rsid w:val="00B511F4"/>
    <w:rsid w:val="00B53061"/>
    <w:rsid w:val="00B56BB5"/>
    <w:rsid w:val="00B63031"/>
    <w:rsid w:val="00B6719A"/>
    <w:rsid w:val="00B673A5"/>
    <w:rsid w:val="00B71D97"/>
    <w:rsid w:val="00B72569"/>
    <w:rsid w:val="00B77B9D"/>
    <w:rsid w:val="00B80DC0"/>
    <w:rsid w:val="00B81C7B"/>
    <w:rsid w:val="00B83A73"/>
    <w:rsid w:val="00B83BCF"/>
    <w:rsid w:val="00B85016"/>
    <w:rsid w:val="00B85DD6"/>
    <w:rsid w:val="00B86E27"/>
    <w:rsid w:val="00B875C7"/>
    <w:rsid w:val="00B95CC6"/>
    <w:rsid w:val="00B9680F"/>
    <w:rsid w:val="00BA215E"/>
    <w:rsid w:val="00BA2C05"/>
    <w:rsid w:val="00BA3944"/>
    <w:rsid w:val="00BB0E06"/>
    <w:rsid w:val="00BB2EEB"/>
    <w:rsid w:val="00BB74F7"/>
    <w:rsid w:val="00BC0B9B"/>
    <w:rsid w:val="00BC4F90"/>
    <w:rsid w:val="00BC5330"/>
    <w:rsid w:val="00BC7A0C"/>
    <w:rsid w:val="00BD0925"/>
    <w:rsid w:val="00BD1F6D"/>
    <w:rsid w:val="00BD319E"/>
    <w:rsid w:val="00BD3415"/>
    <w:rsid w:val="00BD3E66"/>
    <w:rsid w:val="00BD3F9C"/>
    <w:rsid w:val="00BD42EA"/>
    <w:rsid w:val="00BD5533"/>
    <w:rsid w:val="00BD5FFB"/>
    <w:rsid w:val="00BD6B14"/>
    <w:rsid w:val="00BD6BC3"/>
    <w:rsid w:val="00BE513D"/>
    <w:rsid w:val="00BF2F02"/>
    <w:rsid w:val="00BF3B97"/>
    <w:rsid w:val="00BF5533"/>
    <w:rsid w:val="00C02DD7"/>
    <w:rsid w:val="00C03BDF"/>
    <w:rsid w:val="00C03ED1"/>
    <w:rsid w:val="00C057E8"/>
    <w:rsid w:val="00C065BA"/>
    <w:rsid w:val="00C1178B"/>
    <w:rsid w:val="00C11FF9"/>
    <w:rsid w:val="00C12D8E"/>
    <w:rsid w:val="00C14C01"/>
    <w:rsid w:val="00C17AAD"/>
    <w:rsid w:val="00C24FBB"/>
    <w:rsid w:val="00C2632F"/>
    <w:rsid w:val="00C30A43"/>
    <w:rsid w:val="00C33912"/>
    <w:rsid w:val="00C349E7"/>
    <w:rsid w:val="00C36A19"/>
    <w:rsid w:val="00C43A35"/>
    <w:rsid w:val="00C45FBC"/>
    <w:rsid w:val="00C50C06"/>
    <w:rsid w:val="00C52B5C"/>
    <w:rsid w:val="00C54525"/>
    <w:rsid w:val="00C5692C"/>
    <w:rsid w:val="00C6127A"/>
    <w:rsid w:val="00C6245E"/>
    <w:rsid w:val="00C63254"/>
    <w:rsid w:val="00C640C0"/>
    <w:rsid w:val="00C653FC"/>
    <w:rsid w:val="00C658D4"/>
    <w:rsid w:val="00C65C91"/>
    <w:rsid w:val="00C71277"/>
    <w:rsid w:val="00C719D3"/>
    <w:rsid w:val="00C7263E"/>
    <w:rsid w:val="00C72EFB"/>
    <w:rsid w:val="00C765B0"/>
    <w:rsid w:val="00C81F0E"/>
    <w:rsid w:val="00C83838"/>
    <w:rsid w:val="00C848D9"/>
    <w:rsid w:val="00C9364B"/>
    <w:rsid w:val="00C959ED"/>
    <w:rsid w:val="00C96412"/>
    <w:rsid w:val="00C97168"/>
    <w:rsid w:val="00C97916"/>
    <w:rsid w:val="00CA051D"/>
    <w:rsid w:val="00CA3C01"/>
    <w:rsid w:val="00CB0077"/>
    <w:rsid w:val="00CB074B"/>
    <w:rsid w:val="00CB0BAB"/>
    <w:rsid w:val="00CB0D91"/>
    <w:rsid w:val="00CB2374"/>
    <w:rsid w:val="00CB3AAD"/>
    <w:rsid w:val="00CB7B36"/>
    <w:rsid w:val="00CC0E3E"/>
    <w:rsid w:val="00CC1A0D"/>
    <w:rsid w:val="00CC4258"/>
    <w:rsid w:val="00CD47CB"/>
    <w:rsid w:val="00CD5B8C"/>
    <w:rsid w:val="00CD5D7C"/>
    <w:rsid w:val="00CD61EF"/>
    <w:rsid w:val="00CE1ABA"/>
    <w:rsid w:val="00CE1DDA"/>
    <w:rsid w:val="00CE2F5E"/>
    <w:rsid w:val="00CE3860"/>
    <w:rsid w:val="00CE3B81"/>
    <w:rsid w:val="00CF2032"/>
    <w:rsid w:val="00CF348D"/>
    <w:rsid w:val="00CF4F5B"/>
    <w:rsid w:val="00D00D3C"/>
    <w:rsid w:val="00D01161"/>
    <w:rsid w:val="00D028D6"/>
    <w:rsid w:val="00D036C3"/>
    <w:rsid w:val="00D0421F"/>
    <w:rsid w:val="00D072D3"/>
    <w:rsid w:val="00D077E7"/>
    <w:rsid w:val="00D07ADD"/>
    <w:rsid w:val="00D11F2A"/>
    <w:rsid w:val="00D120E2"/>
    <w:rsid w:val="00D142D8"/>
    <w:rsid w:val="00D16509"/>
    <w:rsid w:val="00D171AD"/>
    <w:rsid w:val="00D17F8B"/>
    <w:rsid w:val="00D202EC"/>
    <w:rsid w:val="00D221D1"/>
    <w:rsid w:val="00D26734"/>
    <w:rsid w:val="00D27CBD"/>
    <w:rsid w:val="00D30B29"/>
    <w:rsid w:val="00D317CB"/>
    <w:rsid w:val="00D324F6"/>
    <w:rsid w:val="00D33AA8"/>
    <w:rsid w:val="00D33B30"/>
    <w:rsid w:val="00D4782C"/>
    <w:rsid w:val="00D51FBB"/>
    <w:rsid w:val="00D527FB"/>
    <w:rsid w:val="00D53873"/>
    <w:rsid w:val="00D55F47"/>
    <w:rsid w:val="00D56608"/>
    <w:rsid w:val="00D635ED"/>
    <w:rsid w:val="00D64F8F"/>
    <w:rsid w:val="00D675DC"/>
    <w:rsid w:val="00D77BB7"/>
    <w:rsid w:val="00D811B0"/>
    <w:rsid w:val="00D91564"/>
    <w:rsid w:val="00D93FA8"/>
    <w:rsid w:val="00D96671"/>
    <w:rsid w:val="00D975FE"/>
    <w:rsid w:val="00D97BDF"/>
    <w:rsid w:val="00DA06E5"/>
    <w:rsid w:val="00DA08AC"/>
    <w:rsid w:val="00DA30AF"/>
    <w:rsid w:val="00DA37FD"/>
    <w:rsid w:val="00DA57F7"/>
    <w:rsid w:val="00DB6A96"/>
    <w:rsid w:val="00DB75F8"/>
    <w:rsid w:val="00DC10FA"/>
    <w:rsid w:val="00DC15A5"/>
    <w:rsid w:val="00DC32A6"/>
    <w:rsid w:val="00DC35C5"/>
    <w:rsid w:val="00DC4EFF"/>
    <w:rsid w:val="00DD42A2"/>
    <w:rsid w:val="00DD7934"/>
    <w:rsid w:val="00DE026A"/>
    <w:rsid w:val="00DE43AA"/>
    <w:rsid w:val="00DE508E"/>
    <w:rsid w:val="00DE677A"/>
    <w:rsid w:val="00DE7C2D"/>
    <w:rsid w:val="00DF05D4"/>
    <w:rsid w:val="00DF3BE8"/>
    <w:rsid w:val="00DF4CE1"/>
    <w:rsid w:val="00E00462"/>
    <w:rsid w:val="00E00595"/>
    <w:rsid w:val="00E01A3C"/>
    <w:rsid w:val="00E02924"/>
    <w:rsid w:val="00E034E1"/>
    <w:rsid w:val="00E03C17"/>
    <w:rsid w:val="00E03D6A"/>
    <w:rsid w:val="00E05A8A"/>
    <w:rsid w:val="00E0731A"/>
    <w:rsid w:val="00E13118"/>
    <w:rsid w:val="00E1558C"/>
    <w:rsid w:val="00E2215C"/>
    <w:rsid w:val="00E22419"/>
    <w:rsid w:val="00E25F68"/>
    <w:rsid w:val="00E26385"/>
    <w:rsid w:val="00E3195B"/>
    <w:rsid w:val="00E31CDE"/>
    <w:rsid w:val="00E355CC"/>
    <w:rsid w:val="00E42BEC"/>
    <w:rsid w:val="00E441B1"/>
    <w:rsid w:val="00E44E5E"/>
    <w:rsid w:val="00E467D3"/>
    <w:rsid w:val="00E46BA7"/>
    <w:rsid w:val="00E50060"/>
    <w:rsid w:val="00E55E52"/>
    <w:rsid w:val="00E61E2E"/>
    <w:rsid w:val="00E70FC8"/>
    <w:rsid w:val="00E826A5"/>
    <w:rsid w:val="00E84A4F"/>
    <w:rsid w:val="00E86CA2"/>
    <w:rsid w:val="00E873D3"/>
    <w:rsid w:val="00E9007A"/>
    <w:rsid w:val="00E903B5"/>
    <w:rsid w:val="00E90FDA"/>
    <w:rsid w:val="00E9142E"/>
    <w:rsid w:val="00E92C89"/>
    <w:rsid w:val="00E962F1"/>
    <w:rsid w:val="00E966BF"/>
    <w:rsid w:val="00EA0C7D"/>
    <w:rsid w:val="00EA14C4"/>
    <w:rsid w:val="00EA3086"/>
    <w:rsid w:val="00EA51DF"/>
    <w:rsid w:val="00EA5B3B"/>
    <w:rsid w:val="00EA6125"/>
    <w:rsid w:val="00EB5FC7"/>
    <w:rsid w:val="00EC1A31"/>
    <w:rsid w:val="00EC3D76"/>
    <w:rsid w:val="00EC54CD"/>
    <w:rsid w:val="00EC63B3"/>
    <w:rsid w:val="00EC7E4A"/>
    <w:rsid w:val="00ED0E08"/>
    <w:rsid w:val="00ED0FD8"/>
    <w:rsid w:val="00ED446A"/>
    <w:rsid w:val="00ED7716"/>
    <w:rsid w:val="00EE102B"/>
    <w:rsid w:val="00EE28CB"/>
    <w:rsid w:val="00EE4671"/>
    <w:rsid w:val="00EE601E"/>
    <w:rsid w:val="00EE769A"/>
    <w:rsid w:val="00EE78E4"/>
    <w:rsid w:val="00EF34E4"/>
    <w:rsid w:val="00EF3775"/>
    <w:rsid w:val="00EF7772"/>
    <w:rsid w:val="00F004C1"/>
    <w:rsid w:val="00F00D53"/>
    <w:rsid w:val="00F01FFA"/>
    <w:rsid w:val="00F0525B"/>
    <w:rsid w:val="00F06777"/>
    <w:rsid w:val="00F06ACB"/>
    <w:rsid w:val="00F11A45"/>
    <w:rsid w:val="00F14770"/>
    <w:rsid w:val="00F15A09"/>
    <w:rsid w:val="00F16385"/>
    <w:rsid w:val="00F16706"/>
    <w:rsid w:val="00F16CC1"/>
    <w:rsid w:val="00F16D1D"/>
    <w:rsid w:val="00F21239"/>
    <w:rsid w:val="00F2393F"/>
    <w:rsid w:val="00F2548B"/>
    <w:rsid w:val="00F3030C"/>
    <w:rsid w:val="00F330F3"/>
    <w:rsid w:val="00F33AE9"/>
    <w:rsid w:val="00F35549"/>
    <w:rsid w:val="00F35F9C"/>
    <w:rsid w:val="00F40FD4"/>
    <w:rsid w:val="00F42AE7"/>
    <w:rsid w:val="00F441EE"/>
    <w:rsid w:val="00F475C3"/>
    <w:rsid w:val="00F505EB"/>
    <w:rsid w:val="00F50CA3"/>
    <w:rsid w:val="00F511BD"/>
    <w:rsid w:val="00F52989"/>
    <w:rsid w:val="00F60956"/>
    <w:rsid w:val="00F6206F"/>
    <w:rsid w:val="00F72DE1"/>
    <w:rsid w:val="00F759EA"/>
    <w:rsid w:val="00F763B6"/>
    <w:rsid w:val="00F8292D"/>
    <w:rsid w:val="00F91CF1"/>
    <w:rsid w:val="00F91E17"/>
    <w:rsid w:val="00F92EB4"/>
    <w:rsid w:val="00F946F7"/>
    <w:rsid w:val="00F96B7F"/>
    <w:rsid w:val="00F96F1A"/>
    <w:rsid w:val="00F9729D"/>
    <w:rsid w:val="00FA0225"/>
    <w:rsid w:val="00FA0F10"/>
    <w:rsid w:val="00FA48FE"/>
    <w:rsid w:val="00FA75C9"/>
    <w:rsid w:val="00FB3D95"/>
    <w:rsid w:val="00FC0B73"/>
    <w:rsid w:val="00FC1B4E"/>
    <w:rsid w:val="00FC3D3F"/>
    <w:rsid w:val="00FC5201"/>
    <w:rsid w:val="00FC5A42"/>
    <w:rsid w:val="00FD3032"/>
    <w:rsid w:val="00FD72AA"/>
    <w:rsid w:val="00FE4796"/>
    <w:rsid w:val="00FE6AC0"/>
    <w:rsid w:val="00FE6F12"/>
    <w:rsid w:val="00FF1DE2"/>
    <w:rsid w:val="00FF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CF1"/>
    <w:pPr>
      <w:widowControl w:val="0"/>
      <w:jc w:val="both"/>
    </w:pPr>
    <w:rPr>
      <w:kern w:val="2"/>
      <w:sz w:val="21"/>
      <w:szCs w:val="24"/>
    </w:rPr>
  </w:style>
  <w:style w:type="paragraph" w:styleId="1">
    <w:name w:val="heading 1"/>
    <w:basedOn w:val="a"/>
    <w:next w:val="a"/>
    <w:qFormat/>
    <w:rsid w:val="00744E35"/>
    <w:pPr>
      <w:keepNext/>
      <w:keepLines/>
      <w:spacing w:before="340" w:after="330" w:line="578" w:lineRule="auto"/>
      <w:outlineLvl w:val="0"/>
    </w:pPr>
    <w:rPr>
      <w:b/>
      <w:bCs/>
      <w:kern w:val="44"/>
      <w:sz w:val="44"/>
      <w:szCs w:val="44"/>
    </w:rPr>
  </w:style>
  <w:style w:type="paragraph" w:styleId="2">
    <w:name w:val="heading 2"/>
    <w:basedOn w:val="a"/>
    <w:next w:val="a"/>
    <w:qFormat/>
    <w:rsid w:val="00C658D4"/>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EF34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
    <w:name w:val="Char Char Char Char Char Char1 Char Char Char"/>
    <w:basedOn w:val="a"/>
    <w:rsid w:val="009E5CF1"/>
    <w:pPr>
      <w:autoSpaceDE w:val="0"/>
      <w:autoSpaceDN w:val="0"/>
      <w:adjustRightInd w:val="0"/>
      <w:jc w:val="left"/>
    </w:pPr>
    <w:rPr>
      <w:rFonts w:ascii="宋体"/>
      <w:kern w:val="0"/>
      <w:sz w:val="34"/>
      <w:szCs w:val="20"/>
    </w:rPr>
  </w:style>
  <w:style w:type="paragraph" w:styleId="a3">
    <w:name w:val="Normal (Web)"/>
    <w:basedOn w:val="a"/>
    <w:rsid w:val="000B7904"/>
    <w:pPr>
      <w:widowControl/>
      <w:spacing w:before="100" w:beforeAutospacing="1" w:after="100" w:afterAutospacing="1"/>
      <w:jc w:val="left"/>
    </w:pPr>
    <w:rPr>
      <w:rFonts w:ascii="宋体" w:hAnsi="宋体"/>
      <w:kern w:val="0"/>
      <w:sz w:val="24"/>
    </w:rPr>
  </w:style>
  <w:style w:type="table" w:styleId="a4">
    <w:name w:val="Table Grid"/>
    <w:basedOn w:val="a1"/>
    <w:rsid w:val="00C658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rsid w:val="00AF3D14"/>
    <w:pPr>
      <w:snapToGrid w:val="0"/>
      <w:jc w:val="left"/>
    </w:pPr>
    <w:rPr>
      <w:sz w:val="18"/>
      <w:szCs w:val="20"/>
    </w:rPr>
  </w:style>
  <w:style w:type="character" w:styleId="a6">
    <w:name w:val="footnote reference"/>
    <w:rsid w:val="00AF3D14"/>
    <w:rPr>
      <w:vertAlign w:val="superscript"/>
    </w:rPr>
  </w:style>
  <w:style w:type="paragraph" w:customStyle="1" w:styleId="Char">
    <w:name w:val="Char"/>
    <w:basedOn w:val="a"/>
    <w:autoRedefine/>
    <w:rsid w:val="00617416"/>
    <w:pPr>
      <w:tabs>
        <w:tab w:val="num" w:pos="840"/>
      </w:tabs>
      <w:adjustRightInd w:val="0"/>
    </w:pPr>
    <w:rPr>
      <w:rFonts w:ascii="宋体" w:hAnsi="宋体"/>
      <w:color w:val="000000"/>
      <w:kern w:val="0"/>
      <w:szCs w:val="21"/>
    </w:rPr>
  </w:style>
  <w:style w:type="paragraph" w:styleId="a7">
    <w:name w:val="Date"/>
    <w:basedOn w:val="a"/>
    <w:next w:val="a"/>
    <w:link w:val="Char0"/>
    <w:rsid w:val="00A15022"/>
    <w:rPr>
      <w:sz w:val="24"/>
      <w:szCs w:val="20"/>
    </w:rPr>
  </w:style>
  <w:style w:type="paragraph" w:customStyle="1" w:styleId="xl33">
    <w:name w:val="xl33"/>
    <w:basedOn w:val="a"/>
    <w:rsid w:val="00211B3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8">
    <w:name w:val="Document Map"/>
    <w:basedOn w:val="a"/>
    <w:semiHidden/>
    <w:rsid w:val="00744E35"/>
    <w:pPr>
      <w:shd w:val="clear" w:color="auto" w:fill="000080"/>
    </w:pPr>
  </w:style>
  <w:style w:type="paragraph" w:styleId="10">
    <w:name w:val="toc 1"/>
    <w:basedOn w:val="a"/>
    <w:next w:val="a"/>
    <w:autoRedefine/>
    <w:uiPriority w:val="39"/>
    <w:rsid w:val="0045610E"/>
    <w:pPr>
      <w:tabs>
        <w:tab w:val="left" w:pos="426"/>
        <w:tab w:val="right" w:leader="dot" w:pos="9350"/>
      </w:tabs>
    </w:pPr>
  </w:style>
  <w:style w:type="paragraph" w:styleId="20">
    <w:name w:val="toc 2"/>
    <w:basedOn w:val="a"/>
    <w:next w:val="a"/>
    <w:autoRedefine/>
    <w:uiPriority w:val="39"/>
    <w:rsid w:val="00C5692C"/>
    <w:pPr>
      <w:tabs>
        <w:tab w:val="left" w:pos="851"/>
        <w:tab w:val="right" w:leader="dot" w:pos="9350"/>
      </w:tabs>
      <w:ind w:leftChars="200" w:left="420"/>
    </w:pPr>
  </w:style>
  <w:style w:type="character" w:styleId="a9">
    <w:name w:val="Hyperlink"/>
    <w:uiPriority w:val="99"/>
    <w:rsid w:val="00FE6AC0"/>
    <w:rPr>
      <w:color w:val="0000FF"/>
      <w:u w:val="single"/>
    </w:rPr>
  </w:style>
  <w:style w:type="paragraph" w:styleId="aa">
    <w:name w:val="header"/>
    <w:basedOn w:val="a"/>
    <w:rsid w:val="001B1A5C"/>
    <w:pPr>
      <w:pBdr>
        <w:bottom w:val="single" w:sz="6" w:space="1" w:color="auto"/>
      </w:pBdr>
      <w:tabs>
        <w:tab w:val="center" w:pos="4153"/>
        <w:tab w:val="right" w:pos="8306"/>
      </w:tabs>
      <w:snapToGrid w:val="0"/>
      <w:jc w:val="center"/>
    </w:pPr>
    <w:rPr>
      <w:sz w:val="18"/>
      <w:szCs w:val="18"/>
    </w:rPr>
  </w:style>
  <w:style w:type="paragraph" w:styleId="ab">
    <w:name w:val="footer"/>
    <w:basedOn w:val="a"/>
    <w:rsid w:val="001B1A5C"/>
    <w:pPr>
      <w:tabs>
        <w:tab w:val="center" w:pos="4153"/>
        <w:tab w:val="right" w:pos="8306"/>
      </w:tabs>
      <w:snapToGrid w:val="0"/>
      <w:jc w:val="left"/>
    </w:pPr>
    <w:rPr>
      <w:sz w:val="18"/>
      <w:szCs w:val="18"/>
    </w:rPr>
  </w:style>
  <w:style w:type="character" w:styleId="ac">
    <w:name w:val="FollowedHyperlink"/>
    <w:rsid w:val="00903423"/>
    <w:rPr>
      <w:color w:val="800080"/>
      <w:u w:val="single"/>
    </w:rPr>
  </w:style>
  <w:style w:type="character" w:styleId="ad">
    <w:name w:val="page number"/>
    <w:basedOn w:val="a0"/>
    <w:rsid w:val="00162FCC"/>
  </w:style>
  <w:style w:type="character" w:customStyle="1" w:styleId="Char0">
    <w:name w:val="日期 Char"/>
    <w:link w:val="a7"/>
    <w:rsid w:val="00850D9F"/>
    <w:rPr>
      <w:kern w:val="2"/>
      <w:sz w:val="24"/>
    </w:rPr>
  </w:style>
  <w:style w:type="paragraph" w:styleId="ae">
    <w:name w:val="List Paragraph"/>
    <w:basedOn w:val="a"/>
    <w:uiPriority w:val="34"/>
    <w:qFormat/>
    <w:rsid w:val="00A06872"/>
    <w:pPr>
      <w:ind w:firstLineChars="200" w:firstLine="420"/>
    </w:pPr>
  </w:style>
  <w:style w:type="paragraph" w:styleId="af">
    <w:name w:val="Balloon Text"/>
    <w:basedOn w:val="a"/>
    <w:link w:val="Char1"/>
    <w:rsid w:val="00932199"/>
    <w:rPr>
      <w:sz w:val="18"/>
      <w:szCs w:val="18"/>
    </w:rPr>
  </w:style>
  <w:style w:type="character" w:customStyle="1" w:styleId="Char1">
    <w:name w:val="批注框文本 Char"/>
    <w:basedOn w:val="a0"/>
    <w:link w:val="af"/>
    <w:rsid w:val="009321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CF1"/>
    <w:pPr>
      <w:widowControl w:val="0"/>
      <w:jc w:val="both"/>
    </w:pPr>
    <w:rPr>
      <w:kern w:val="2"/>
      <w:sz w:val="21"/>
      <w:szCs w:val="24"/>
    </w:rPr>
  </w:style>
  <w:style w:type="paragraph" w:styleId="1">
    <w:name w:val="heading 1"/>
    <w:basedOn w:val="a"/>
    <w:next w:val="a"/>
    <w:qFormat/>
    <w:rsid w:val="00744E35"/>
    <w:pPr>
      <w:keepNext/>
      <w:keepLines/>
      <w:spacing w:before="340" w:after="330" w:line="578" w:lineRule="auto"/>
      <w:outlineLvl w:val="0"/>
    </w:pPr>
    <w:rPr>
      <w:b/>
      <w:bCs/>
      <w:kern w:val="44"/>
      <w:sz w:val="44"/>
      <w:szCs w:val="44"/>
    </w:rPr>
  </w:style>
  <w:style w:type="paragraph" w:styleId="2">
    <w:name w:val="heading 2"/>
    <w:basedOn w:val="a"/>
    <w:next w:val="a"/>
    <w:qFormat/>
    <w:rsid w:val="00C658D4"/>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EF34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
    <w:name w:val="Char Char Char Char Char Char1 Char Char Char"/>
    <w:basedOn w:val="a"/>
    <w:rsid w:val="009E5CF1"/>
    <w:pPr>
      <w:autoSpaceDE w:val="0"/>
      <w:autoSpaceDN w:val="0"/>
      <w:adjustRightInd w:val="0"/>
      <w:jc w:val="left"/>
    </w:pPr>
    <w:rPr>
      <w:rFonts w:ascii="宋体"/>
      <w:kern w:val="0"/>
      <w:sz w:val="34"/>
      <w:szCs w:val="20"/>
    </w:rPr>
  </w:style>
  <w:style w:type="paragraph" w:styleId="a3">
    <w:name w:val="Normal (Web)"/>
    <w:basedOn w:val="a"/>
    <w:rsid w:val="000B7904"/>
    <w:pPr>
      <w:widowControl/>
      <w:spacing w:before="100" w:beforeAutospacing="1" w:after="100" w:afterAutospacing="1"/>
      <w:jc w:val="left"/>
    </w:pPr>
    <w:rPr>
      <w:rFonts w:ascii="宋体" w:hAnsi="宋体"/>
      <w:kern w:val="0"/>
      <w:sz w:val="24"/>
    </w:rPr>
  </w:style>
  <w:style w:type="table" w:styleId="a4">
    <w:name w:val="Table Grid"/>
    <w:basedOn w:val="a1"/>
    <w:rsid w:val="00C658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rsid w:val="00AF3D14"/>
    <w:pPr>
      <w:snapToGrid w:val="0"/>
      <w:jc w:val="left"/>
    </w:pPr>
    <w:rPr>
      <w:sz w:val="18"/>
      <w:szCs w:val="20"/>
    </w:rPr>
  </w:style>
  <w:style w:type="character" w:styleId="a6">
    <w:name w:val="footnote reference"/>
    <w:rsid w:val="00AF3D14"/>
    <w:rPr>
      <w:vertAlign w:val="superscript"/>
    </w:rPr>
  </w:style>
  <w:style w:type="paragraph" w:customStyle="1" w:styleId="Char">
    <w:name w:val="Char"/>
    <w:basedOn w:val="a"/>
    <w:autoRedefine/>
    <w:rsid w:val="00617416"/>
    <w:pPr>
      <w:tabs>
        <w:tab w:val="num" w:pos="840"/>
      </w:tabs>
      <w:adjustRightInd w:val="0"/>
    </w:pPr>
    <w:rPr>
      <w:rFonts w:ascii="宋体" w:hAnsi="宋体"/>
      <w:color w:val="000000"/>
      <w:kern w:val="0"/>
      <w:szCs w:val="21"/>
    </w:rPr>
  </w:style>
  <w:style w:type="paragraph" w:styleId="a7">
    <w:name w:val="Date"/>
    <w:basedOn w:val="a"/>
    <w:next w:val="a"/>
    <w:link w:val="Char0"/>
    <w:rsid w:val="00A15022"/>
    <w:rPr>
      <w:sz w:val="24"/>
      <w:szCs w:val="20"/>
    </w:rPr>
  </w:style>
  <w:style w:type="paragraph" w:customStyle="1" w:styleId="xl33">
    <w:name w:val="xl33"/>
    <w:basedOn w:val="a"/>
    <w:rsid w:val="00211B3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8">
    <w:name w:val="Document Map"/>
    <w:basedOn w:val="a"/>
    <w:semiHidden/>
    <w:rsid w:val="00744E35"/>
    <w:pPr>
      <w:shd w:val="clear" w:color="auto" w:fill="000080"/>
    </w:pPr>
  </w:style>
  <w:style w:type="paragraph" w:styleId="10">
    <w:name w:val="toc 1"/>
    <w:basedOn w:val="a"/>
    <w:next w:val="a"/>
    <w:autoRedefine/>
    <w:uiPriority w:val="39"/>
    <w:rsid w:val="0045610E"/>
    <w:pPr>
      <w:tabs>
        <w:tab w:val="left" w:pos="426"/>
        <w:tab w:val="right" w:leader="dot" w:pos="9350"/>
      </w:tabs>
    </w:pPr>
  </w:style>
  <w:style w:type="paragraph" w:styleId="20">
    <w:name w:val="toc 2"/>
    <w:basedOn w:val="a"/>
    <w:next w:val="a"/>
    <w:autoRedefine/>
    <w:uiPriority w:val="39"/>
    <w:rsid w:val="00C5692C"/>
    <w:pPr>
      <w:tabs>
        <w:tab w:val="left" w:pos="851"/>
        <w:tab w:val="right" w:leader="dot" w:pos="9350"/>
      </w:tabs>
      <w:ind w:leftChars="200" w:left="420"/>
    </w:pPr>
  </w:style>
  <w:style w:type="character" w:styleId="a9">
    <w:name w:val="Hyperlink"/>
    <w:uiPriority w:val="99"/>
    <w:rsid w:val="00FE6AC0"/>
    <w:rPr>
      <w:color w:val="0000FF"/>
      <w:u w:val="single"/>
    </w:rPr>
  </w:style>
  <w:style w:type="paragraph" w:styleId="aa">
    <w:name w:val="header"/>
    <w:basedOn w:val="a"/>
    <w:rsid w:val="001B1A5C"/>
    <w:pPr>
      <w:pBdr>
        <w:bottom w:val="single" w:sz="6" w:space="1" w:color="auto"/>
      </w:pBdr>
      <w:tabs>
        <w:tab w:val="center" w:pos="4153"/>
        <w:tab w:val="right" w:pos="8306"/>
      </w:tabs>
      <w:snapToGrid w:val="0"/>
      <w:jc w:val="center"/>
    </w:pPr>
    <w:rPr>
      <w:sz w:val="18"/>
      <w:szCs w:val="18"/>
    </w:rPr>
  </w:style>
  <w:style w:type="paragraph" w:styleId="ab">
    <w:name w:val="footer"/>
    <w:basedOn w:val="a"/>
    <w:rsid w:val="001B1A5C"/>
    <w:pPr>
      <w:tabs>
        <w:tab w:val="center" w:pos="4153"/>
        <w:tab w:val="right" w:pos="8306"/>
      </w:tabs>
      <w:snapToGrid w:val="0"/>
      <w:jc w:val="left"/>
    </w:pPr>
    <w:rPr>
      <w:sz w:val="18"/>
      <w:szCs w:val="18"/>
    </w:rPr>
  </w:style>
  <w:style w:type="character" w:styleId="ac">
    <w:name w:val="FollowedHyperlink"/>
    <w:rsid w:val="00903423"/>
    <w:rPr>
      <w:color w:val="800080"/>
      <w:u w:val="single"/>
    </w:rPr>
  </w:style>
  <w:style w:type="character" w:styleId="ad">
    <w:name w:val="page number"/>
    <w:basedOn w:val="a0"/>
    <w:rsid w:val="00162FCC"/>
  </w:style>
  <w:style w:type="character" w:customStyle="1" w:styleId="Char0">
    <w:name w:val="日期 Char"/>
    <w:link w:val="a7"/>
    <w:rsid w:val="00850D9F"/>
    <w:rPr>
      <w:kern w:val="2"/>
      <w:sz w:val="24"/>
    </w:rPr>
  </w:style>
  <w:style w:type="paragraph" w:styleId="ae">
    <w:name w:val="List Paragraph"/>
    <w:basedOn w:val="a"/>
    <w:uiPriority w:val="34"/>
    <w:qFormat/>
    <w:rsid w:val="00A06872"/>
    <w:pPr>
      <w:ind w:firstLineChars="200" w:firstLine="420"/>
    </w:pPr>
  </w:style>
  <w:style w:type="paragraph" w:styleId="af">
    <w:name w:val="Balloon Text"/>
    <w:basedOn w:val="a"/>
    <w:link w:val="Char1"/>
    <w:rsid w:val="00932199"/>
    <w:rPr>
      <w:sz w:val="18"/>
      <w:szCs w:val="18"/>
    </w:rPr>
  </w:style>
  <w:style w:type="character" w:customStyle="1" w:styleId="Char1">
    <w:name w:val="批注框文本 Char"/>
    <w:basedOn w:val="a0"/>
    <w:link w:val="af"/>
    <w:rsid w:val="009321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06">
      <w:bodyDiv w:val="1"/>
      <w:marLeft w:val="0"/>
      <w:marRight w:val="0"/>
      <w:marTop w:val="0"/>
      <w:marBottom w:val="0"/>
      <w:divBdr>
        <w:top w:val="none" w:sz="0" w:space="0" w:color="auto"/>
        <w:left w:val="none" w:sz="0" w:space="0" w:color="auto"/>
        <w:bottom w:val="none" w:sz="0" w:space="0" w:color="auto"/>
        <w:right w:val="none" w:sz="0" w:space="0" w:color="auto"/>
      </w:divBdr>
    </w:div>
    <w:div w:id="3940153">
      <w:bodyDiv w:val="1"/>
      <w:marLeft w:val="0"/>
      <w:marRight w:val="0"/>
      <w:marTop w:val="0"/>
      <w:marBottom w:val="0"/>
      <w:divBdr>
        <w:top w:val="none" w:sz="0" w:space="0" w:color="auto"/>
        <w:left w:val="none" w:sz="0" w:space="0" w:color="auto"/>
        <w:bottom w:val="none" w:sz="0" w:space="0" w:color="auto"/>
        <w:right w:val="none" w:sz="0" w:space="0" w:color="auto"/>
      </w:divBdr>
    </w:div>
    <w:div w:id="6370737">
      <w:bodyDiv w:val="1"/>
      <w:marLeft w:val="0"/>
      <w:marRight w:val="0"/>
      <w:marTop w:val="0"/>
      <w:marBottom w:val="0"/>
      <w:divBdr>
        <w:top w:val="none" w:sz="0" w:space="0" w:color="auto"/>
        <w:left w:val="none" w:sz="0" w:space="0" w:color="auto"/>
        <w:bottom w:val="none" w:sz="0" w:space="0" w:color="auto"/>
        <w:right w:val="none" w:sz="0" w:space="0" w:color="auto"/>
      </w:divBdr>
    </w:div>
    <w:div w:id="19628022">
      <w:bodyDiv w:val="1"/>
      <w:marLeft w:val="0"/>
      <w:marRight w:val="0"/>
      <w:marTop w:val="0"/>
      <w:marBottom w:val="0"/>
      <w:divBdr>
        <w:top w:val="none" w:sz="0" w:space="0" w:color="auto"/>
        <w:left w:val="none" w:sz="0" w:space="0" w:color="auto"/>
        <w:bottom w:val="none" w:sz="0" w:space="0" w:color="auto"/>
        <w:right w:val="none" w:sz="0" w:space="0" w:color="auto"/>
      </w:divBdr>
    </w:div>
    <w:div w:id="25982894">
      <w:bodyDiv w:val="1"/>
      <w:marLeft w:val="0"/>
      <w:marRight w:val="0"/>
      <w:marTop w:val="0"/>
      <w:marBottom w:val="0"/>
      <w:divBdr>
        <w:top w:val="none" w:sz="0" w:space="0" w:color="auto"/>
        <w:left w:val="none" w:sz="0" w:space="0" w:color="auto"/>
        <w:bottom w:val="none" w:sz="0" w:space="0" w:color="auto"/>
        <w:right w:val="none" w:sz="0" w:space="0" w:color="auto"/>
      </w:divBdr>
    </w:div>
    <w:div w:id="31537413">
      <w:bodyDiv w:val="1"/>
      <w:marLeft w:val="0"/>
      <w:marRight w:val="0"/>
      <w:marTop w:val="0"/>
      <w:marBottom w:val="0"/>
      <w:divBdr>
        <w:top w:val="none" w:sz="0" w:space="0" w:color="auto"/>
        <w:left w:val="none" w:sz="0" w:space="0" w:color="auto"/>
        <w:bottom w:val="none" w:sz="0" w:space="0" w:color="auto"/>
        <w:right w:val="none" w:sz="0" w:space="0" w:color="auto"/>
      </w:divBdr>
    </w:div>
    <w:div w:id="55326710">
      <w:bodyDiv w:val="1"/>
      <w:marLeft w:val="0"/>
      <w:marRight w:val="0"/>
      <w:marTop w:val="0"/>
      <w:marBottom w:val="0"/>
      <w:divBdr>
        <w:top w:val="none" w:sz="0" w:space="0" w:color="auto"/>
        <w:left w:val="none" w:sz="0" w:space="0" w:color="auto"/>
        <w:bottom w:val="none" w:sz="0" w:space="0" w:color="auto"/>
        <w:right w:val="none" w:sz="0" w:space="0" w:color="auto"/>
      </w:divBdr>
    </w:div>
    <w:div w:id="74866743">
      <w:bodyDiv w:val="1"/>
      <w:marLeft w:val="0"/>
      <w:marRight w:val="0"/>
      <w:marTop w:val="0"/>
      <w:marBottom w:val="0"/>
      <w:divBdr>
        <w:top w:val="none" w:sz="0" w:space="0" w:color="auto"/>
        <w:left w:val="none" w:sz="0" w:space="0" w:color="auto"/>
        <w:bottom w:val="none" w:sz="0" w:space="0" w:color="auto"/>
        <w:right w:val="none" w:sz="0" w:space="0" w:color="auto"/>
      </w:divBdr>
    </w:div>
    <w:div w:id="104616344">
      <w:bodyDiv w:val="1"/>
      <w:marLeft w:val="0"/>
      <w:marRight w:val="0"/>
      <w:marTop w:val="0"/>
      <w:marBottom w:val="0"/>
      <w:divBdr>
        <w:top w:val="none" w:sz="0" w:space="0" w:color="auto"/>
        <w:left w:val="none" w:sz="0" w:space="0" w:color="auto"/>
        <w:bottom w:val="none" w:sz="0" w:space="0" w:color="auto"/>
        <w:right w:val="none" w:sz="0" w:space="0" w:color="auto"/>
      </w:divBdr>
    </w:div>
    <w:div w:id="114912975">
      <w:bodyDiv w:val="1"/>
      <w:marLeft w:val="0"/>
      <w:marRight w:val="0"/>
      <w:marTop w:val="0"/>
      <w:marBottom w:val="0"/>
      <w:divBdr>
        <w:top w:val="none" w:sz="0" w:space="0" w:color="auto"/>
        <w:left w:val="none" w:sz="0" w:space="0" w:color="auto"/>
        <w:bottom w:val="none" w:sz="0" w:space="0" w:color="auto"/>
        <w:right w:val="none" w:sz="0" w:space="0" w:color="auto"/>
      </w:divBdr>
    </w:div>
    <w:div w:id="144588024">
      <w:bodyDiv w:val="1"/>
      <w:marLeft w:val="0"/>
      <w:marRight w:val="0"/>
      <w:marTop w:val="0"/>
      <w:marBottom w:val="0"/>
      <w:divBdr>
        <w:top w:val="none" w:sz="0" w:space="0" w:color="auto"/>
        <w:left w:val="none" w:sz="0" w:space="0" w:color="auto"/>
        <w:bottom w:val="none" w:sz="0" w:space="0" w:color="auto"/>
        <w:right w:val="none" w:sz="0" w:space="0" w:color="auto"/>
      </w:divBdr>
    </w:div>
    <w:div w:id="147748712">
      <w:bodyDiv w:val="1"/>
      <w:marLeft w:val="0"/>
      <w:marRight w:val="0"/>
      <w:marTop w:val="0"/>
      <w:marBottom w:val="0"/>
      <w:divBdr>
        <w:top w:val="none" w:sz="0" w:space="0" w:color="auto"/>
        <w:left w:val="none" w:sz="0" w:space="0" w:color="auto"/>
        <w:bottom w:val="none" w:sz="0" w:space="0" w:color="auto"/>
        <w:right w:val="none" w:sz="0" w:space="0" w:color="auto"/>
      </w:divBdr>
    </w:div>
    <w:div w:id="153302188">
      <w:bodyDiv w:val="1"/>
      <w:marLeft w:val="0"/>
      <w:marRight w:val="0"/>
      <w:marTop w:val="0"/>
      <w:marBottom w:val="0"/>
      <w:divBdr>
        <w:top w:val="none" w:sz="0" w:space="0" w:color="auto"/>
        <w:left w:val="none" w:sz="0" w:space="0" w:color="auto"/>
        <w:bottom w:val="none" w:sz="0" w:space="0" w:color="auto"/>
        <w:right w:val="none" w:sz="0" w:space="0" w:color="auto"/>
      </w:divBdr>
    </w:div>
    <w:div w:id="153957473">
      <w:bodyDiv w:val="1"/>
      <w:marLeft w:val="0"/>
      <w:marRight w:val="0"/>
      <w:marTop w:val="0"/>
      <w:marBottom w:val="0"/>
      <w:divBdr>
        <w:top w:val="none" w:sz="0" w:space="0" w:color="auto"/>
        <w:left w:val="none" w:sz="0" w:space="0" w:color="auto"/>
        <w:bottom w:val="none" w:sz="0" w:space="0" w:color="auto"/>
        <w:right w:val="none" w:sz="0" w:space="0" w:color="auto"/>
      </w:divBdr>
    </w:div>
    <w:div w:id="156501444">
      <w:bodyDiv w:val="1"/>
      <w:marLeft w:val="0"/>
      <w:marRight w:val="0"/>
      <w:marTop w:val="0"/>
      <w:marBottom w:val="0"/>
      <w:divBdr>
        <w:top w:val="none" w:sz="0" w:space="0" w:color="auto"/>
        <w:left w:val="none" w:sz="0" w:space="0" w:color="auto"/>
        <w:bottom w:val="none" w:sz="0" w:space="0" w:color="auto"/>
        <w:right w:val="none" w:sz="0" w:space="0" w:color="auto"/>
      </w:divBdr>
    </w:div>
    <w:div w:id="160123099">
      <w:bodyDiv w:val="1"/>
      <w:marLeft w:val="0"/>
      <w:marRight w:val="0"/>
      <w:marTop w:val="0"/>
      <w:marBottom w:val="0"/>
      <w:divBdr>
        <w:top w:val="none" w:sz="0" w:space="0" w:color="auto"/>
        <w:left w:val="none" w:sz="0" w:space="0" w:color="auto"/>
        <w:bottom w:val="none" w:sz="0" w:space="0" w:color="auto"/>
        <w:right w:val="none" w:sz="0" w:space="0" w:color="auto"/>
      </w:divBdr>
    </w:div>
    <w:div w:id="161238641">
      <w:bodyDiv w:val="1"/>
      <w:marLeft w:val="0"/>
      <w:marRight w:val="0"/>
      <w:marTop w:val="0"/>
      <w:marBottom w:val="0"/>
      <w:divBdr>
        <w:top w:val="none" w:sz="0" w:space="0" w:color="auto"/>
        <w:left w:val="none" w:sz="0" w:space="0" w:color="auto"/>
        <w:bottom w:val="none" w:sz="0" w:space="0" w:color="auto"/>
        <w:right w:val="none" w:sz="0" w:space="0" w:color="auto"/>
      </w:divBdr>
    </w:div>
    <w:div w:id="166989574">
      <w:bodyDiv w:val="1"/>
      <w:marLeft w:val="0"/>
      <w:marRight w:val="0"/>
      <w:marTop w:val="0"/>
      <w:marBottom w:val="0"/>
      <w:divBdr>
        <w:top w:val="none" w:sz="0" w:space="0" w:color="auto"/>
        <w:left w:val="none" w:sz="0" w:space="0" w:color="auto"/>
        <w:bottom w:val="none" w:sz="0" w:space="0" w:color="auto"/>
        <w:right w:val="none" w:sz="0" w:space="0" w:color="auto"/>
      </w:divBdr>
    </w:div>
    <w:div w:id="172574529">
      <w:bodyDiv w:val="1"/>
      <w:marLeft w:val="0"/>
      <w:marRight w:val="0"/>
      <w:marTop w:val="0"/>
      <w:marBottom w:val="0"/>
      <w:divBdr>
        <w:top w:val="none" w:sz="0" w:space="0" w:color="auto"/>
        <w:left w:val="none" w:sz="0" w:space="0" w:color="auto"/>
        <w:bottom w:val="none" w:sz="0" w:space="0" w:color="auto"/>
        <w:right w:val="none" w:sz="0" w:space="0" w:color="auto"/>
      </w:divBdr>
    </w:div>
    <w:div w:id="185366518">
      <w:bodyDiv w:val="1"/>
      <w:marLeft w:val="0"/>
      <w:marRight w:val="0"/>
      <w:marTop w:val="0"/>
      <w:marBottom w:val="0"/>
      <w:divBdr>
        <w:top w:val="none" w:sz="0" w:space="0" w:color="auto"/>
        <w:left w:val="none" w:sz="0" w:space="0" w:color="auto"/>
        <w:bottom w:val="none" w:sz="0" w:space="0" w:color="auto"/>
        <w:right w:val="none" w:sz="0" w:space="0" w:color="auto"/>
      </w:divBdr>
    </w:div>
    <w:div w:id="198860991">
      <w:bodyDiv w:val="1"/>
      <w:marLeft w:val="0"/>
      <w:marRight w:val="0"/>
      <w:marTop w:val="0"/>
      <w:marBottom w:val="0"/>
      <w:divBdr>
        <w:top w:val="none" w:sz="0" w:space="0" w:color="auto"/>
        <w:left w:val="none" w:sz="0" w:space="0" w:color="auto"/>
        <w:bottom w:val="none" w:sz="0" w:space="0" w:color="auto"/>
        <w:right w:val="none" w:sz="0" w:space="0" w:color="auto"/>
      </w:divBdr>
    </w:div>
    <w:div w:id="207230427">
      <w:bodyDiv w:val="1"/>
      <w:marLeft w:val="0"/>
      <w:marRight w:val="0"/>
      <w:marTop w:val="0"/>
      <w:marBottom w:val="0"/>
      <w:divBdr>
        <w:top w:val="none" w:sz="0" w:space="0" w:color="auto"/>
        <w:left w:val="none" w:sz="0" w:space="0" w:color="auto"/>
        <w:bottom w:val="none" w:sz="0" w:space="0" w:color="auto"/>
        <w:right w:val="none" w:sz="0" w:space="0" w:color="auto"/>
      </w:divBdr>
    </w:div>
    <w:div w:id="226694142">
      <w:bodyDiv w:val="1"/>
      <w:marLeft w:val="0"/>
      <w:marRight w:val="0"/>
      <w:marTop w:val="0"/>
      <w:marBottom w:val="0"/>
      <w:divBdr>
        <w:top w:val="none" w:sz="0" w:space="0" w:color="auto"/>
        <w:left w:val="none" w:sz="0" w:space="0" w:color="auto"/>
        <w:bottom w:val="none" w:sz="0" w:space="0" w:color="auto"/>
        <w:right w:val="none" w:sz="0" w:space="0" w:color="auto"/>
      </w:divBdr>
    </w:div>
    <w:div w:id="239758872">
      <w:bodyDiv w:val="1"/>
      <w:marLeft w:val="0"/>
      <w:marRight w:val="0"/>
      <w:marTop w:val="0"/>
      <w:marBottom w:val="0"/>
      <w:divBdr>
        <w:top w:val="none" w:sz="0" w:space="0" w:color="auto"/>
        <w:left w:val="none" w:sz="0" w:space="0" w:color="auto"/>
        <w:bottom w:val="none" w:sz="0" w:space="0" w:color="auto"/>
        <w:right w:val="none" w:sz="0" w:space="0" w:color="auto"/>
      </w:divBdr>
    </w:div>
    <w:div w:id="245962227">
      <w:bodyDiv w:val="1"/>
      <w:marLeft w:val="0"/>
      <w:marRight w:val="0"/>
      <w:marTop w:val="0"/>
      <w:marBottom w:val="0"/>
      <w:divBdr>
        <w:top w:val="none" w:sz="0" w:space="0" w:color="auto"/>
        <w:left w:val="none" w:sz="0" w:space="0" w:color="auto"/>
        <w:bottom w:val="none" w:sz="0" w:space="0" w:color="auto"/>
        <w:right w:val="none" w:sz="0" w:space="0" w:color="auto"/>
      </w:divBdr>
    </w:div>
    <w:div w:id="251160151">
      <w:bodyDiv w:val="1"/>
      <w:marLeft w:val="0"/>
      <w:marRight w:val="0"/>
      <w:marTop w:val="0"/>
      <w:marBottom w:val="0"/>
      <w:divBdr>
        <w:top w:val="none" w:sz="0" w:space="0" w:color="auto"/>
        <w:left w:val="none" w:sz="0" w:space="0" w:color="auto"/>
        <w:bottom w:val="none" w:sz="0" w:space="0" w:color="auto"/>
        <w:right w:val="none" w:sz="0" w:space="0" w:color="auto"/>
      </w:divBdr>
    </w:div>
    <w:div w:id="274945322">
      <w:bodyDiv w:val="1"/>
      <w:marLeft w:val="0"/>
      <w:marRight w:val="0"/>
      <w:marTop w:val="0"/>
      <w:marBottom w:val="0"/>
      <w:divBdr>
        <w:top w:val="none" w:sz="0" w:space="0" w:color="auto"/>
        <w:left w:val="none" w:sz="0" w:space="0" w:color="auto"/>
        <w:bottom w:val="none" w:sz="0" w:space="0" w:color="auto"/>
        <w:right w:val="none" w:sz="0" w:space="0" w:color="auto"/>
      </w:divBdr>
    </w:div>
    <w:div w:id="279648665">
      <w:bodyDiv w:val="1"/>
      <w:marLeft w:val="0"/>
      <w:marRight w:val="0"/>
      <w:marTop w:val="0"/>
      <w:marBottom w:val="0"/>
      <w:divBdr>
        <w:top w:val="none" w:sz="0" w:space="0" w:color="auto"/>
        <w:left w:val="none" w:sz="0" w:space="0" w:color="auto"/>
        <w:bottom w:val="none" w:sz="0" w:space="0" w:color="auto"/>
        <w:right w:val="none" w:sz="0" w:space="0" w:color="auto"/>
      </w:divBdr>
    </w:div>
    <w:div w:id="280692218">
      <w:bodyDiv w:val="1"/>
      <w:marLeft w:val="0"/>
      <w:marRight w:val="0"/>
      <w:marTop w:val="0"/>
      <w:marBottom w:val="0"/>
      <w:divBdr>
        <w:top w:val="none" w:sz="0" w:space="0" w:color="auto"/>
        <w:left w:val="none" w:sz="0" w:space="0" w:color="auto"/>
        <w:bottom w:val="none" w:sz="0" w:space="0" w:color="auto"/>
        <w:right w:val="none" w:sz="0" w:space="0" w:color="auto"/>
      </w:divBdr>
    </w:div>
    <w:div w:id="290400324">
      <w:bodyDiv w:val="1"/>
      <w:marLeft w:val="0"/>
      <w:marRight w:val="0"/>
      <w:marTop w:val="0"/>
      <w:marBottom w:val="0"/>
      <w:divBdr>
        <w:top w:val="none" w:sz="0" w:space="0" w:color="auto"/>
        <w:left w:val="none" w:sz="0" w:space="0" w:color="auto"/>
        <w:bottom w:val="none" w:sz="0" w:space="0" w:color="auto"/>
        <w:right w:val="none" w:sz="0" w:space="0" w:color="auto"/>
      </w:divBdr>
    </w:div>
    <w:div w:id="300238017">
      <w:bodyDiv w:val="1"/>
      <w:marLeft w:val="0"/>
      <w:marRight w:val="0"/>
      <w:marTop w:val="0"/>
      <w:marBottom w:val="0"/>
      <w:divBdr>
        <w:top w:val="none" w:sz="0" w:space="0" w:color="auto"/>
        <w:left w:val="none" w:sz="0" w:space="0" w:color="auto"/>
        <w:bottom w:val="none" w:sz="0" w:space="0" w:color="auto"/>
        <w:right w:val="none" w:sz="0" w:space="0" w:color="auto"/>
      </w:divBdr>
    </w:div>
    <w:div w:id="311301729">
      <w:bodyDiv w:val="1"/>
      <w:marLeft w:val="0"/>
      <w:marRight w:val="0"/>
      <w:marTop w:val="0"/>
      <w:marBottom w:val="0"/>
      <w:divBdr>
        <w:top w:val="none" w:sz="0" w:space="0" w:color="auto"/>
        <w:left w:val="none" w:sz="0" w:space="0" w:color="auto"/>
        <w:bottom w:val="none" w:sz="0" w:space="0" w:color="auto"/>
        <w:right w:val="none" w:sz="0" w:space="0" w:color="auto"/>
      </w:divBdr>
    </w:div>
    <w:div w:id="311756046">
      <w:bodyDiv w:val="1"/>
      <w:marLeft w:val="0"/>
      <w:marRight w:val="0"/>
      <w:marTop w:val="0"/>
      <w:marBottom w:val="0"/>
      <w:divBdr>
        <w:top w:val="none" w:sz="0" w:space="0" w:color="auto"/>
        <w:left w:val="none" w:sz="0" w:space="0" w:color="auto"/>
        <w:bottom w:val="none" w:sz="0" w:space="0" w:color="auto"/>
        <w:right w:val="none" w:sz="0" w:space="0" w:color="auto"/>
      </w:divBdr>
    </w:div>
    <w:div w:id="315300176">
      <w:bodyDiv w:val="1"/>
      <w:marLeft w:val="0"/>
      <w:marRight w:val="0"/>
      <w:marTop w:val="0"/>
      <w:marBottom w:val="0"/>
      <w:divBdr>
        <w:top w:val="none" w:sz="0" w:space="0" w:color="auto"/>
        <w:left w:val="none" w:sz="0" w:space="0" w:color="auto"/>
        <w:bottom w:val="none" w:sz="0" w:space="0" w:color="auto"/>
        <w:right w:val="none" w:sz="0" w:space="0" w:color="auto"/>
      </w:divBdr>
    </w:div>
    <w:div w:id="332032121">
      <w:bodyDiv w:val="1"/>
      <w:marLeft w:val="0"/>
      <w:marRight w:val="0"/>
      <w:marTop w:val="0"/>
      <w:marBottom w:val="0"/>
      <w:divBdr>
        <w:top w:val="none" w:sz="0" w:space="0" w:color="auto"/>
        <w:left w:val="none" w:sz="0" w:space="0" w:color="auto"/>
        <w:bottom w:val="none" w:sz="0" w:space="0" w:color="auto"/>
        <w:right w:val="none" w:sz="0" w:space="0" w:color="auto"/>
      </w:divBdr>
    </w:div>
    <w:div w:id="346175371">
      <w:bodyDiv w:val="1"/>
      <w:marLeft w:val="0"/>
      <w:marRight w:val="0"/>
      <w:marTop w:val="0"/>
      <w:marBottom w:val="0"/>
      <w:divBdr>
        <w:top w:val="none" w:sz="0" w:space="0" w:color="auto"/>
        <w:left w:val="none" w:sz="0" w:space="0" w:color="auto"/>
        <w:bottom w:val="none" w:sz="0" w:space="0" w:color="auto"/>
        <w:right w:val="none" w:sz="0" w:space="0" w:color="auto"/>
      </w:divBdr>
    </w:div>
    <w:div w:id="362100898">
      <w:bodyDiv w:val="1"/>
      <w:marLeft w:val="0"/>
      <w:marRight w:val="0"/>
      <w:marTop w:val="0"/>
      <w:marBottom w:val="0"/>
      <w:divBdr>
        <w:top w:val="none" w:sz="0" w:space="0" w:color="auto"/>
        <w:left w:val="none" w:sz="0" w:space="0" w:color="auto"/>
        <w:bottom w:val="none" w:sz="0" w:space="0" w:color="auto"/>
        <w:right w:val="none" w:sz="0" w:space="0" w:color="auto"/>
      </w:divBdr>
    </w:div>
    <w:div w:id="374283428">
      <w:bodyDiv w:val="1"/>
      <w:marLeft w:val="0"/>
      <w:marRight w:val="0"/>
      <w:marTop w:val="0"/>
      <w:marBottom w:val="0"/>
      <w:divBdr>
        <w:top w:val="none" w:sz="0" w:space="0" w:color="auto"/>
        <w:left w:val="none" w:sz="0" w:space="0" w:color="auto"/>
        <w:bottom w:val="none" w:sz="0" w:space="0" w:color="auto"/>
        <w:right w:val="none" w:sz="0" w:space="0" w:color="auto"/>
      </w:divBdr>
    </w:div>
    <w:div w:id="378166581">
      <w:bodyDiv w:val="1"/>
      <w:marLeft w:val="0"/>
      <w:marRight w:val="0"/>
      <w:marTop w:val="0"/>
      <w:marBottom w:val="0"/>
      <w:divBdr>
        <w:top w:val="none" w:sz="0" w:space="0" w:color="auto"/>
        <w:left w:val="none" w:sz="0" w:space="0" w:color="auto"/>
        <w:bottom w:val="none" w:sz="0" w:space="0" w:color="auto"/>
        <w:right w:val="none" w:sz="0" w:space="0" w:color="auto"/>
      </w:divBdr>
    </w:div>
    <w:div w:id="392585856">
      <w:bodyDiv w:val="1"/>
      <w:marLeft w:val="0"/>
      <w:marRight w:val="0"/>
      <w:marTop w:val="0"/>
      <w:marBottom w:val="0"/>
      <w:divBdr>
        <w:top w:val="none" w:sz="0" w:space="0" w:color="auto"/>
        <w:left w:val="none" w:sz="0" w:space="0" w:color="auto"/>
        <w:bottom w:val="none" w:sz="0" w:space="0" w:color="auto"/>
        <w:right w:val="none" w:sz="0" w:space="0" w:color="auto"/>
      </w:divBdr>
    </w:div>
    <w:div w:id="394743587">
      <w:bodyDiv w:val="1"/>
      <w:marLeft w:val="0"/>
      <w:marRight w:val="0"/>
      <w:marTop w:val="0"/>
      <w:marBottom w:val="0"/>
      <w:divBdr>
        <w:top w:val="none" w:sz="0" w:space="0" w:color="auto"/>
        <w:left w:val="none" w:sz="0" w:space="0" w:color="auto"/>
        <w:bottom w:val="none" w:sz="0" w:space="0" w:color="auto"/>
        <w:right w:val="none" w:sz="0" w:space="0" w:color="auto"/>
      </w:divBdr>
    </w:div>
    <w:div w:id="400490694">
      <w:bodyDiv w:val="1"/>
      <w:marLeft w:val="0"/>
      <w:marRight w:val="0"/>
      <w:marTop w:val="0"/>
      <w:marBottom w:val="0"/>
      <w:divBdr>
        <w:top w:val="none" w:sz="0" w:space="0" w:color="auto"/>
        <w:left w:val="none" w:sz="0" w:space="0" w:color="auto"/>
        <w:bottom w:val="none" w:sz="0" w:space="0" w:color="auto"/>
        <w:right w:val="none" w:sz="0" w:space="0" w:color="auto"/>
      </w:divBdr>
    </w:div>
    <w:div w:id="403338705">
      <w:bodyDiv w:val="1"/>
      <w:marLeft w:val="0"/>
      <w:marRight w:val="0"/>
      <w:marTop w:val="0"/>
      <w:marBottom w:val="0"/>
      <w:divBdr>
        <w:top w:val="none" w:sz="0" w:space="0" w:color="auto"/>
        <w:left w:val="none" w:sz="0" w:space="0" w:color="auto"/>
        <w:bottom w:val="none" w:sz="0" w:space="0" w:color="auto"/>
        <w:right w:val="none" w:sz="0" w:space="0" w:color="auto"/>
      </w:divBdr>
    </w:div>
    <w:div w:id="405807844">
      <w:bodyDiv w:val="1"/>
      <w:marLeft w:val="0"/>
      <w:marRight w:val="0"/>
      <w:marTop w:val="0"/>
      <w:marBottom w:val="0"/>
      <w:divBdr>
        <w:top w:val="none" w:sz="0" w:space="0" w:color="auto"/>
        <w:left w:val="none" w:sz="0" w:space="0" w:color="auto"/>
        <w:bottom w:val="none" w:sz="0" w:space="0" w:color="auto"/>
        <w:right w:val="none" w:sz="0" w:space="0" w:color="auto"/>
      </w:divBdr>
    </w:div>
    <w:div w:id="412707557">
      <w:bodyDiv w:val="1"/>
      <w:marLeft w:val="0"/>
      <w:marRight w:val="0"/>
      <w:marTop w:val="0"/>
      <w:marBottom w:val="0"/>
      <w:divBdr>
        <w:top w:val="none" w:sz="0" w:space="0" w:color="auto"/>
        <w:left w:val="none" w:sz="0" w:space="0" w:color="auto"/>
        <w:bottom w:val="none" w:sz="0" w:space="0" w:color="auto"/>
        <w:right w:val="none" w:sz="0" w:space="0" w:color="auto"/>
      </w:divBdr>
    </w:div>
    <w:div w:id="415517046">
      <w:bodyDiv w:val="1"/>
      <w:marLeft w:val="0"/>
      <w:marRight w:val="0"/>
      <w:marTop w:val="0"/>
      <w:marBottom w:val="0"/>
      <w:divBdr>
        <w:top w:val="none" w:sz="0" w:space="0" w:color="auto"/>
        <w:left w:val="none" w:sz="0" w:space="0" w:color="auto"/>
        <w:bottom w:val="none" w:sz="0" w:space="0" w:color="auto"/>
        <w:right w:val="none" w:sz="0" w:space="0" w:color="auto"/>
      </w:divBdr>
    </w:div>
    <w:div w:id="418408291">
      <w:bodyDiv w:val="1"/>
      <w:marLeft w:val="0"/>
      <w:marRight w:val="0"/>
      <w:marTop w:val="0"/>
      <w:marBottom w:val="0"/>
      <w:divBdr>
        <w:top w:val="none" w:sz="0" w:space="0" w:color="auto"/>
        <w:left w:val="none" w:sz="0" w:space="0" w:color="auto"/>
        <w:bottom w:val="none" w:sz="0" w:space="0" w:color="auto"/>
        <w:right w:val="none" w:sz="0" w:space="0" w:color="auto"/>
      </w:divBdr>
    </w:div>
    <w:div w:id="423578479">
      <w:bodyDiv w:val="1"/>
      <w:marLeft w:val="0"/>
      <w:marRight w:val="0"/>
      <w:marTop w:val="0"/>
      <w:marBottom w:val="0"/>
      <w:divBdr>
        <w:top w:val="none" w:sz="0" w:space="0" w:color="auto"/>
        <w:left w:val="none" w:sz="0" w:space="0" w:color="auto"/>
        <w:bottom w:val="none" w:sz="0" w:space="0" w:color="auto"/>
        <w:right w:val="none" w:sz="0" w:space="0" w:color="auto"/>
      </w:divBdr>
    </w:div>
    <w:div w:id="426270486">
      <w:bodyDiv w:val="1"/>
      <w:marLeft w:val="0"/>
      <w:marRight w:val="0"/>
      <w:marTop w:val="0"/>
      <w:marBottom w:val="0"/>
      <w:divBdr>
        <w:top w:val="none" w:sz="0" w:space="0" w:color="auto"/>
        <w:left w:val="none" w:sz="0" w:space="0" w:color="auto"/>
        <w:bottom w:val="none" w:sz="0" w:space="0" w:color="auto"/>
        <w:right w:val="none" w:sz="0" w:space="0" w:color="auto"/>
      </w:divBdr>
    </w:div>
    <w:div w:id="427892948">
      <w:bodyDiv w:val="1"/>
      <w:marLeft w:val="0"/>
      <w:marRight w:val="0"/>
      <w:marTop w:val="0"/>
      <w:marBottom w:val="0"/>
      <w:divBdr>
        <w:top w:val="none" w:sz="0" w:space="0" w:color="auto"/>
        <w:left w:val="none" w:sz="0" w:space="0" w:color="auto"/>
        <w:bottom w:val="none" w:sz="0" w:space="0" w:color="auto"/>
        <w:right w:val="none" w:sz="0" w:space="0" w:color="auto"/>
      </w:divBdr>
    </w:div>
    <w:div w:id="462162712">
      <w:bodyDiv w:val="1"/>
      <w:marLeft w:val="0"/>
      <w:marRight w:val="0"/>
      <w:marTop w:val="0"/>
      <w:marBottom w:val="0"/>
      <w:divBdr>
        <w:top w:val="none" w:sz="0" w:space="0" w:color="auto"/>
        <w:left w:val="none" w:sz="0" w:space="0" w:color="auto"/>
        <w:bottom w:val="none" w:sz="0" w:space="0" w:color="auto"/>
        <w:right w:val="none" w:sz="0" w:space="0" w:color="auto"/>
      </w:divBdr>
    </w:div>
    <w:div w:id="522062280">
      <w:bodyDiv w:val="1"/>
      <w:marLeft w:val="0"/>
      <w:marRight w:val="0"/>
      <w:marTop w:val="0"/>
      <w:marBottom w:val="0"/>
      <w:divBdr>
        <w:top w:val="none" w:sz="0" w:space="0" w:color="auto"/>
        <w:left w:val="none" w:sz="0" w:space="0" w:color="auto"/>
        <w:bottom w:val="none" w:sz="0" w:space="0" w:color="auto"/>
        <w:right w:val="none" w:sz="0" w:space="0" w:color="auto"/>
      </w:divBdr>
    </w:div>
    <w:div w:id="543717693">
      <w:bodyDiv w:val="1"/>
      <w:marLeft w:val="0"/>
      <w:marRight w:val="0"/>
      <w:marTop w:val="0"/>
      <w:marBottom w:val="0"/>
      <w:divBdr>
        <w:top w:val="none" w:sz="0" w:space="0" w:color="auto"/>
        <w:left w:val="none" w:sz="0" w:space="0" w:color="auto"/>
        <w:bottom w:val="none" w:sz="0" w:space="0" w:color="auto"/>
        <w:right w:val="none" w:sz="0" w:space="0" w:color="auto"/>
      </w:divBdr>
    </w:div>
    <w:div w:id="559947197">
      <w:bodyDiv w:val="1"/>
      <w:marLeft w:val="0"/>
      <w:marRight w:val="0"/>
      <w:marTop w:val="0"/>
      <w:marBottom w:val="0"/>
      <w:divBdr>
        <w:top w:val="none" w:sz="0" w:space="0" w:color="auto"/>
        <w:left w:val="none" w:sz="0" w:space="0" w:color="auto"/>
        <w:bottom w:val="none" w:sz="0" w:space="0" w:color="auto"/>
        <w:right w:val="none" w:sz="0" w:space="0" w:color="auto"/>
      </w:divBdr>
    </w:div>
    <w:div w:id="569342760">
      <w:bodyDiv w:val="1"/>
      <w:marLeft w:val="0"/>
      <w:marRight w:val="0"/>
      <w:marTop w:val="0"/>
      <w:marBottom w:val="0"/>
      <w:divBdr>
        <w:top w:val="none" w:sz="0" w:space="0" w:color="auto"/>
        <w:left w:val="none" w:sz="0" w:space="0" w:color="auto"/>
        <w:bottom w:val="none" w:sz="0" w:space="0" w:color="auto"/>
        <w:right w:val="none" w:sz="0" w:space="0" w:color="auto"/>
      </w:divBdr>
    </w:div>
    <w:div w:id="569847658">
      <w:bodyDiv w:val="1"/>
      <w:marLeft w:val="0"/>
      <w:marRight w:val="0"/>
      <w:marTop w:val="0"/>
      <w:marBottom w:val="0"/>
      <w:divBdr>
        <w:top w:val="none" w:sz="0" w:space="0" w:color="auto"/>
        <w:left w:val="none" w:sz="0" w:space="0" w:color="auto"/>
        <w:bottom w:val="none" w:sz="0" w:space="0" w:color="auto"/>
        <w:right w:val="none" w:sz="0" w:space="0" w:color="auto"/>
      </w:divBdr>
    </w:div>
    <w:div w:id="571548454">
      <w:bodyDiv w:val="1"/>
      <w:marLeft w:val="0"/>
      <w:marRight w:val="0"/>
      <w:marTop w:val="0"/>
      <w:marBottom w:val="0"/>
      <w:divBdr>
        <w:top w:val="none" w:sz="0" w:space="0" w:color="auto"/>
        <w:left w:val="none" w:sz="0" w:space="0" w:color="auto"/>
        <w:bottom w:val="none" w:sz="0" w:space="0" w:color="auto"/>
        <w:right w:val="none" w:sz="0" w:space="0" w:color="auto"/>
      </w:divBdr>
    </w:div>
    <w:div w:id="583957267">
      <w:bodyDiv w:val="1"/>
      <w:marLeft w:val="0"/>
      <w:marRight w:val="0"/>
      <w:marTop w:val="0"/>
      <w:marBottom w:val="0"/>
      <w:divBdr>
        <w:top w:val="none" w:sz="0" w:space="0" w:color="auto"/>
        <w:left w:val="none" w:sz="0" w:space="0" w:color="auto"/>
        <w:bottom w:val="none" w:sz="0" w:space="0" w:color="auto"/>
        <w:right w:val="none" w:sz="0" w:space="0" w:color="auto"/>
      </w:divBdr>
    </w:div>
    <w:div w:id="591934592">
      <w:bodyDiv w:val="1"/>
      <w:marLeft w:val="0"/>
      <w:marRight w:val="0"/>
      <w:marTop w:val="0"/>
      <w:marBottom w:val="0"/>
      <w:divBdr>
        <w:top w:val="none" w:sz="0" w:space="0" w:color="auto"/>
        <w:left w:val="none" w:sz="0" w:space="0" w:color="auto"/>
        <w:bottom w:val="none" w:sz="0" w:space="0" w:color="auto"/>
        <w:right w:val="none" w:sz="0" w:space="0" w:color="auto"/>
      </w:divBdr>
    </w:div>
    <w:div w:id="621306708">
      <w:bodyDiv w:val="1"/>
      <w:marLeft w:val="0"/>
      <w:marRight w:val="0"/>
      <w:marTop w:val="0"/>
      <w:marBottom w:val="0"/>
      <w:divBdr>
        <w:top w:val="none" w:sz="0" w:space="0" w:color="auto"/>
        <w:left w:val="none" w:sz="0" w:space="0" w:color="auto"/>
        <w:bottom w:val="none" w:sz="0" w:space="0" w:color="auto"/>
        <w:right w:val="none" w:sz="0" w:space="0" w:color="auto"/>
      </w:divBdr>
    </w:div>
    <w:div w:id="623079518">
      <w:bodyDiv w:val="1"/>
      <w:marLeft w:val="0"/>
      <w:marRight w:val="0"/>
      <w:marTop w:val="0"/>
      <w:marBottom w:val="0"/>
      <w:divBdr>
        <w:top w:val="none" w:sz="0" w:space="0" w:color="auto"/>
        <w:left w:val="none" w:sz="0" w:space="0" w:color="auto"/>
        <w:bottom w:val="none" w:sz="0" w:space="0" w:color="auto"/>
        <w:right w:val="none" w:sz="0" w:space="0" w:color="auto"/>
      </w:divBdr>
    </w:div>
    <w:div w:id="625501830">
      <w:bodyDiv w:val="1"/>
      <w:marLeft w:val="0"/>
      <w:marRight w:val="0"/>
      <w:marTop w:val="0"/>
      <w:marBottom w:val="0"/>
      <w:divBdr>
        <w:top w:val="none" w:sz="0" w:space="0" w:color="auto"/>
        <w:left w:val="none" w:sz="0" w:space="0" w:color="auto"/>
        <w:bottom w:val="none" w:sz="0" w:space="0" w:color="auto"/>
        <w:right w:val="none" w:sz="0" w:space="0" w:color="auto"/>
      </w:divBdr>
    </w:div>
    <w:div w:id="628785025">
      <w:bodyDiv w:val="1"/>
      <w:marLeft w:val="0"/>
      <w:marRight w:val="0"/>
      <w:marTop w:val="0"/>
      <w:marBottom w:val="0"/>
      <w:divBdr>
        <w:top w:val="none" w:sz="0" w:space="0" w:color="auto"/>
        <w:left w:val="none" w:sz="0" w:space="0" w:color="auto"/>
        <w:bottom w:val="none" w:sz="0" w:space="0" w:color="auto"/>
        <w:right w:val="none" w:sz="0" w:space="0" w:color="auto"/>
      </w:divBdr>
    </w:div>
    <w:div w:id="630088696">
      <w:bodyDiv w:val="1"/>
      <w:marLeft w:val="0"/>
      <w:marRight w:val="0"/>
      <w:marTop w:val="0"/>
      <w:marBottom w:val="0"/>
      <w:divBdr>
        <w:top w:val="none" w:sz="0" w:space="0" w:color="auto"/>
        <w:left w:val="none" w:sz="0" w:space="0" w:color="auto"/>
        <w:bottom w:val="none" w:sz="0" w:space="0" w:color="auto"/>
        <w:right w:val="none" w:sz="0" w:space="0" w:color="auto"/>
      </w:divBdr>
    </w:div>
    <w:div w:id="634917563">
      <w:bodyDiv w:val="1"/>
      <w:marLeft w:val="0"/>
      <w:marRight w:val="0"/>
      <w:marTop w:val="0"/>
      <w:marBottom w:val="0"/>
      <w:divBdr>
        <w:top w:val="none" w:sz="0" w:space="0" w:color="auto"/>
        <w:left w:val="none" w:sz="0" w:space="0" w:color="auto"/>
        <w:bottom w:val="none" w:sz="0" w:space="0" w:color="auto"/>
        <w:right w:val="none" w:sz="0" w:space="0" w:color="auto"/>
      </w:divBdr>
    </w:div>
    <w:div w:id="641885189">
      <w:bodyDiv w:val="1"/>
      <w:marLeft w:val="0"/>
      <w:marRight w:val="0"/>
      <w:marTop w:val="0"/>
      <w:marBottom w:val="0"/>
      <w:divBdr>
        <w:top w:val="none" w:sz="0" w:space="0" w:color="auto"/>
        <w:left w:val="none" w:sz="0" w:space="0" w:color="auto"/>
        <w:bottom w:val="none" w:sz="0" w:space="0" w:color="auto"/>
        <w:right w:val="none" w:sz="0" w:space="0" w:color="auto"/>
      </w:divBdr>
    </w:div>
    <w:div w:id="644630777">
      <w:bodyDiv w:val="1"/>
      <w:marLeft w:val="0"/>
      <w:marRight w:val="0"/>
      <w:marTop w:val="0"/>
      <w:marBottom w:val="0"/>
      <w:divBdr>
        <w:top w:val="none" w:sz="0" w:space="0" w:color="auto"/>
        <w:left w:val="none" w:sz="0" w:space="0" w:color="auto"/>
        <w:bottom w:val="none" w:sz="0" w:space="0" w:color="auto"/>
        <w:right w:val="none" w:sz="0" w:space="0" w:color="auto"/>
      </w:divBdr>
    </w:div>
    <w:div w:id="650644303">
      <w:bodyDiv w:val="1"/>
      <w:marLeft w:val="0"/>
      <w:marRight w:val="0"/>
      <w:marTop w:val="0"/>
      <w:marBottom w:val="0"/>
      <w:divBdr>
        <w:top w:val="none" w:sz="0" w:space="0" w:color="auto"/>
        <w:left w:val="none" w:sz="0" w:space="0" w:color="auto"/>
        <w:bottom w:val="none" w:sz="0" w:space="0" w:color="auto"/>
        <w:right w:val="none" w:sz="0" w:space="0" w:color="auto"/>
      </w:divBdr>
    </w:div>
    <w:div w:id="652686719">
      <w:bodyDiv w:val="1"/>
      <w:marLeft w:val="0"/>
      <w:marRight w:val="0"/>
      <w:marTop w:val="0"/>
      <w:marBottom w:val="0"/>
      <w:divBdr>
        <w:top w:val="none" w:sz="0" w:space="0" w:color="auto"/>
        <w:left w:val="none" w:sz="0" w:space="0" w:color="auto"/>
        <w:bottom w:val="none" w:sz="0" w:space="0" w:color="auto"/>
        <w:right w:val="none" w:sz="0" w:space="0" w:color="auto"/>
      </w:divBdr>
    </w:div>
    <w:div w:id="686560673">
      <w:bodyDiv w:val="1"/>
      <w:marLeft w:val="0"/>
      <w:marRight w:val="0"/>
      <w:marTop w:val="0"/>
      <w:marBottom w:val="0"/>
      <w:divBdr>
        <w:top w:val="none" w:sz="0" w:space="0" w:color="auto"/>
        <w:left w:val="none" w:sz="0" w:space="0" w:color="auto"/>
        <w:bottom w:val="none" w:sz="0" w:space="0" w:color="auto"/>
        <w:right w:val="none" w:sz="0" w:space="0" w:color="auto"/>
      </w:divBdr>
    </w:div>
    <w:div w:id="705835065">
      <w:bodyDiv w:val="1"/>
      <w:marLeft w:val="0"/>
      <w:marRight w:val="0"/>
      <w:marTop w:val="0"/>
      <w:marBottom w:val="0"/>
      <w:divBdr>
        <w:top w:val="none" w:sz="0" w:space="0" w:color="auto"/>
        <w:left w:val="none" w:sz="0" w:space="0" w:color="auto"/>
        <w:bottom w:val="none" w:sz="0" w:space="0" w:color="auto"/>
        <w:right w:val="none" w:sz="0" w:space="0" w:color="auto"/>
      </w:divBdr>
    </w:div>
    <w:div w:id="707874870">
      <w:bodyDiv w:val="1"/>
      <w:marLeft w:val="0"/>
      <w:marRight w:val="0"/>
      <w:marTop w:val="0"/>
      <w:marBottom w:val="0"/>
      <w:divBdr>
        <w:top w:val="none" w:sz="0" w:space="0" w:color="auto"/>
        <w:left w:val="none" w:sz="0" w:space="0" w:color="auto"/>
        <w:bottom w:val="none" w:sz="0" w:space="0" w:color="auto"/>
        <w:right w:val="none" w:sz="0" w:space="0" w:color="auto"/>
      </w:divBdr>
    </w:div>
    <w:div w:id="719131741">
      <w:bodyDiv w:val="1"/>
      <w:marLeft w:val="0"/>
      <w:marRight w:val="0"/>
      <w:marTop w:val="0"/>
      <w:marBottom w:val="0"/>
      <w:divBdr>
        <w:top w:val="none" w:sz="0" w:space="0" w:color="auto"/>
        <w:left w:val="none" w:sz="0" w:space="0" w:color="auto"/>
        <w:bottom w:val="none" w:sz="0" w:space="0" w:color="auto"/>
        <w:right w:val="none" w:sz="0" w:space="0" w:color="auto"/>
      </w:divBdr>
    </w:div>
    <w:div w:id="726951371">
      <w:bodyDiv w:val="1"/>
      <w:marLeft w:val="0"/>
      <w:marRight w:val="0"/>
      <w:marTop w:val="0"/>
      <w:marBottom w:val="0"/>
      <w:divBdr>
        <w:top w:val="none" w:sz="0" w:space="0" w:color="auto"/>
        <w:left w:val="none" w:sz="0" w:space="0" w:color="auto"/>
        <w:bottom w:val="none" w:sz="0" w:space="0" w:color="auto"/>
        <w:right w:val="none" w:sz="0" w:space="0" w:color="auto"/>
      </w:divBdr>
    </w:div>
    <w:div w:id="729350596">
      <w:bodyDiv w:val="1"/>
      <w:marLeft w:val="0"/>
      <w:marRight w:val="0"/>
      <w:marTop w:val="0"/>
      <w:marBottom w:val="0"/>
      <w:divBdr>
        <w:top w:val="none" w:sz="0" w:space="0" w:color="auto"/>
        <w:left w:val="none" w:sz="0" w:space="0" w:color="auto"/>
        <w:bottom w:val="none" w:sz="0" w:space="0" w:color="auto"/>
        <w:right w:val="none" w:sz="0" w:space="0" w:color="auto"/>
      </w:divBdr>
    </w:div>
    <w:div w:id="737747976">
      <w:bodyDiv w:val="1"/>
      <w:marLeft w:val="0"/>
      <w:marRight w:val="0"/>
      <w:marTop w:val="0"/>
      <w:marBottom w:val="0"/>
      <w:divBdr>
        <w:top w:val="none" w:sz="0" w:space="0" w:color="auto"/>
        <w:left w:val="none" w:sz="0" w:space="0" w:color="auto"/>
        <w:bottom w:val="none" w:sz="0" w:space="0" w:color="auto"/>
        <w:right w:val="none" w:sz="0" w:space="0" w:color="auto"/>
      </w:divBdr>
    </w:div>
    <w:div w:id="741683525">
      <w:bodyDiv w:val="1"/>
      <w:marLeft w:val="0"/>
      <w:marRight w:val="0"/>
      <w:marTop w:val="0"/>
      <w:marBottom w:val="0"/>
      <w:divBdr>
        <w:top w:val="none" w:sz="0" w:space="0" w:color="auto"/>
        <w:left w:val="none" w:sz="0" w:space="0" w:color="auto"/>
        <w:bottom w:val="none" w:sz="0" w:space="0" w:color="auto"/>
        <w:right w:val="none" w:sz="0" w:space="0" w:color="auto"/>
      </w:divBdr>
    </w:div>
    <w:div w:id="760218630">
      <w:bodyDiv w:val="1"/>
      <w:marLeft w:val="0"/>
      <w:marRight w:val="0"/>
      <w:marTop w:val="0"/>
      <w:marBottom w:val="0"/>
      <w:divBdr>
        <w:top w:val="none" w:sz="0" w:space="0" w:color="auto"/>
        <w:left w:val="none" w:sz="0" w:space="0" w:color="auto"/>
        <w:bottom w:val="none" w:sz="0" w:space="0" w:color="auto"/>
        <w:right w:val="none" w:sz="0" w:space="0" w:color="auto"/>
      </w:divBdr>
    </w:div>
    <w:div w:id="787822489">
      <w:bodyDiv w:val="1"/>
      <w:marLeft w:val="0"/>
      <w:marRight w:val="0"/>
      <w:marTop w:val="0"/>
      <w:marBottom w:val="0"/>
      <w:divBdr>
        <w:top w:val="none" w:sz="0" w:space="0" w:color="auto"/>
        <w:left w:val="none" w:sz="0" w:space="0" w:color="auto"/>
        <w:bottom w:val="none" w:sz="0" w:space="0" w:color="auto"/>
        <w:right w:val="none" w:sz="0" w:space="0" w:color="auto"/>
      </w:divBdr>
    </w:div>
    <w:div w:id="799807926">
      <w:bodyDiv w:val="1"/>
      <w:marLeft w:val="0"/>
      <w:marRight w:val="0"/>
      <w:marTop w:val="0"/>
      <w:marBottom w:val="0"/>
      <w:divBdr>
        <w:top w:val="none" w:sz="0" w:space="0" w:color="auto"/>
        <w:left w:val="none" w:sz="0" w:space="0" w:color="auto"/>
        <w:bottom w:val="none" w:sz="0" w:space="0" w:color="auto"/>
        <w:right w:val="none" w:sz="0" w:space="0" w:color="auto"/>
      </w:divBdr>
    </w:div>
    <w:div w:id="816845775">
      <w:bodyDiv w:val="1"/>
      <w:marLeft w:val="0"/>
      <w:marRight w:val="0"/>
      <w:marTop w:val="0"/>
      <w:marBottom w:val="0"/>
      <w:divBdr>
        <w:top w:val="none" w:sz="0" w:space="0" w:color="auto"/>
        <w:left w:val="none" w:sz="0" w:space="0" w:color="auto"/>
        <w:bottom w:val="none" w:sz="0" w:space="0" w:color="auto"/>
        <w:right w:val="none" w:sz="0" w:space="0" w:color="auto"/>
      </w:divBdr>
    </w:div>
    <w:div w:id="819275856">
      <w:bodyDiv w:val="1"/>
      <w:marLeft w:val="0"/>
      <w:marRight w:val="0"/>
      <w:marTop w:val="0"/>
      <w:marBottom w:val="0"/>
      <w:divBdr>
        <w:top w:val="none" w:sz="0" w:space="0" w:color="auto"/>
        <w:left w:val="none" w:sz="0" w:space="0" w:color="auto"/>
        <w:bottom w:val="none" w:sz="0" w:space="0" w:color="auto"/>
        <w:right w:val="none" w:sz="0" w:space="0" w:color="auto"/>
      </w:divBdr>
    </w:div>
    <w:div w:id="842164063">
      <w:bodyDiv w:val="1"/>
      <w:marLeft w:val="0"/>
      <w:marRight w:val="0"/>
      <w:marTop w:val="0"/>
      <w:marBottom w:val="0"/>
      <w:divBdr>
        <w:top w:val="none" w:sz="0" w:space="0" w:color="auto"/>
        <w:left w:val="none" w:sz="0" w:space="0" w:color="auto"/>
        <w:bottom w:val="none" w:sz="0" w:space="0" w:color="auto"/>
        <w:right w:val="none" w:sz="0" w:space="0" w:color="auto"/>
      </w:divBdr>
    </w:div>
    <w:div w:id="847132234">
      <w:bodyDiv w:val="1"/>
      <w:marLeft w:val="0"/>
      <w:marRight w:val="0"/>
      <w:marTop w:val="0"/>
      <w:marBottom w:val="0"/>
      <w:divBdr>
        <w:top w:val="none" w:sz="0" w:space="0" w:color="auto"/>
        <w:left w:val="none" w:sz="0" w:space="0" w:color="auto"/>
        <w:bottom w:val="none" w:sz="0" w:space="0" w:color="auto"/>
        <w:right w:val="none" w:sz="0" w:space="0" w:color="auto"/>
      </w:divBdr>
    </w:div>
    <w:div w:id="868377468">
      <w:bodyDiv w:val="1"/>
      <w:marLeft w:val="0"/>
      <w:marRight w:val="0"/>
      <w:marTop w:val="0"/>
      <w:marBottom w:val="0"/>
      <w:divBdr>
        <w:top w:val="none" w:sz="0" w:space="0" w:color="auto"/>
        <w:left w:val="none" w:sz="0" w:space="0" w:color="auto"/>
        <w:bottom w:val="none" w:sz="0" w:space="0" w:color="auto"/>
        <w:right w:val="none" w:sz="0" w:space="0" w:color="auto"/>
      </w:divBdr>
    </w:div>
    <w:div w:id="871000106">
      <w:bodyDiv w:val="1"/>
      <w:marLeft w:val="0"/>
      <w:marRight w:val="0"/>
      <w:marTop w:val="0"/>
      <w:marBottom w:val="0"/>
      <w:divBdr>
        <w:top w:val="none" w:sz="0" w:space="0" w:color="auto"/>
        <w:left w:val="none" w:sz="0" w:space="0" w:color="auto"/>
        <w:bottom w:val="none" w:sz="0" w:space="0" w:color="auto"/>
        <w:right w:val="none" w:sz="0" w:space="0" w:color="auto"/>
      </w:divBdr>
    </w:div>
    <w:div w:id="884372674">
      <w:bodyDiv w:val="1"/>
      <w:marLeft w:val="0"/>
      <w:marRight w:val="0"/>
      <w:marTop w:val="0"/>
      <w:marBottom w:val="0"/>
      <w:divBdr>
        <w:top w:val="none" w:sz="0" w:space="0" w:color="auto"/>
        <w:left w:val="none" w:sz="0" w:space="0" w:color="auto"/>
        <w:bottom w:val="none" w:sz="0" w:space="0" w:color="auto"/>
        <w:right w:val="none" w:sz="0" w:space="0" w:color="auto"/>
      </w:divBdr>
    </w:div>
    <w:div w:id="889003115">
      <w:bodyDiv w:val="1"/>
      <w:marLeft w:val="0"/>
      <w:marRight w:val="0"/>
      <w:marTop w:val="0"/>
      <w:marBottom w:val="0"/>
      <w:divBdr>
        <w:top w:val="none" w:sz="0" w:space="0" w:color="auto"/>
        <w:left w:val="none" w:sz="0" w:space="0" w:color="auto"/>
        <w:bottom w:val="none" w:sz="0" w:space="0" w:color="auto"/>
        <w:right w:val="none" w:sz="0" w:space="0" w:color="auto"/>
      </w:divBdr>
    </w:div>
    <w:div w:id="896277563">
      <w:bodyDiv w:val="1"/>
      <w:marLeft w:val="0"/>
      <w:marRight w:val="0"/>
      <w:marTop w:val="0"/>
      <w:marBottom w:val="0"/>
      <w:divBdr>
        <w:top w:val="none" w:sz="0" w:space="0" w:color="auto"/>
        <w:left w:val="none" w:sz="0" w:space="0" w:color="auto"/>
        <w:bottom w:val="none" w:sz="0" w:space="0" w:color="auto"/>
        <w:right w:val="none" w:sz="0" w:space="0" w:color="auto"/>
      </w:divBdr>
    </w:div>
    <w:div w:id="898437521">
      <w:bodyDiv w:val="1"/>
      <w:marLeft w:val="0"/>
      <w:marRight w:val="0"/>
      <w:marTop w:val="0"/>
      <w:marBottom w:val="0"/>
      <w:divBdr>
        <w:top w:val="none" w:sz="0" w:space="0" w:color="auto"/>
        <w:left w:val="none" w:sz="0" w:space="0" w:color="auto"/>
        <w:bottom w:val="none" w:sz="0" w:space="0" w:color="auto"/>
        <w:right w:val="none" w:sz="0" w:space="0" w:color="auto"/>
      </w:divBdr>
    </w:div>
    <w:div w:id="918369948">
      <w:bodyDiv w:val="1"/>
      <w:marLeft w:val="0"/>
      <w:marRight w:val="0"/>
      <w:marTop w:val="0"/>
      <w:marBottom w:val="0"/>
      <w:divBdr>
        <w:top w:val="none" w:sz="0" w:space="0" w:color="auto"/>
        <w:left w:val="none" w:sz="0" w:space="0" w:color="auto"/>
        <w:bottom w:val="none" w:sz="0" w:space="0" w:color="auto"/>
        <w:right w:val="none" w:sz="0" w:space="0" w:color="auto"/>
      </w:divBdr>
    </w:div>
    <w:div w:id="926040934">
      <w:bodyDiv w:val="1"/>
      <w:marLeft w:val="0"/>
      <w:marRight w:val="0"/>
      <w:marTop w:val="0"/>
      <w:marBottom w:val="0"/>
      <w:divBdr>
        <w:top w:val="none" w:sz="0" w:space="0" w:color="auto"/>
        <w:left w:val="none" w:sz="0" w:space="0" w:color="auto"/>
        <w:bottom w:val="none" w:sz="0" w:space="0" w:color="auto"/>
        <w:right w:val="none" w:sz="0" w:space="0" w:color="auto"/>
      </w:divBdr>
    </w:div>
    <w:div w:id="935091265">
      <w:bodyDiv w:val="1"/>
      <w:marLeft w:val="0"/>
      <w:marRight w:val="0"/>
      <w:marTop w:val="0"/>
      <w:marBottom w:val="0"/>
      <w:divBdr>
        <w:top w:val="none" w:sz="0" w:space="0" w:color="auto"/>
        <w:left w:val="none" w:sz="0" w:space="0" w:color="auto"/>
        <w:bottom w:val="none" w:sz="0" w:space="0" w:color="auto"/>
        <w:right w:val="none" w:sz="0" w:space="0" w:color="auto"/>
      </w:divBdr>
    </w:div>
    <w:div w:id="937717623">
      <w:bodyDiv w:val="1"/>
      <w:marLeft w:val="0"/>
      <w:marRight w:val="0"/>
      <w:marTop w:val="0"/>
      <w:marBottom w:val="0"/>
      <w:divBdr>
        <w:top w:val="none" w:sz="0" w:space="0" w:color="auto"/>
        <w:left w:val="none" w:sz="0" w:space="0" w:color="auto"/>
        <w:bottom w:val="none" w:sz="0" w:space="0" w:color="auto"/>
        <w:right w:val="none" w:sz="0" w:space="0" w:color="auto"/>
      </w:divBdr>
    </w:div>
    <w:div w:id="944386459">
      <w:bodyDiv w:val="1"/>
      <w:marLeft w:val="0"/>
      <w:marRight w:val="0"/>
      <w:marTop w:val="0"/>
      <w:marBottom w:val="0"/>
      <w:divBdr>
        <w:top w:val="none" w:sz="0" w:space="0" w:color="auto"/>
        <w:left w:val="none" w:sz="0" w:space="0" w:color="auto"/>
        <w:bottom w:val="none" w:sz="0" w:space="0" w:color="auto"/>
        <w:right w:val="none" w:sz="0" w:space="0" w:color="auto"/>
      </w:divBdr>
    </w:div>
    <w:div w:id="1014108481">
      <w:bodyDiv w:val="1"/>
      <w:marLeft w:val="0"/>
      <w:marRight w:val="0"/>
      <w:marTop w:val="0"/>
      <w:marBottom w:val="0"/>
      <w:divBdr>
        <w:top w:val="none" w:sz="0" w:space="0" w:color="auto"/>
        <w:left w:val="none" w:sz="0" w:space="0" w:color="auto"/>
        <w:bottom w:val="none" w:sz="0" w:space="0" w:color="auto"/>
        <w:right w:val="none" w:sz="0" w:space="0" w:color="auto"/>
      </w:divBdr>
    </w:div>
    <w:div w:id="1057124720">
      <w:bodyDiv w:val="1"/>
      <w:marLeft w:val="0"/>
      <w:marRight w:val="0"/>
      <w:marTop w:val="0"/>
      <w:marBottom w:val="0"/>
      <w:divBdr>
        <w:top w:val="none" w:sz="0" w:space="0" w:color="auto"/>
        <w:left w:val="none" w:sz="0" w:space="0" w:color="auto"/>
        <w:bottom w:val="none" w:sz="0" w:space="0" w:color="auto"/>
        <w:right w:val="none" w:sz="0" w:space="0" w:color="auto"/>
      </w:divBdr>
    </w:div>
    <w:div w:id="1064329907">
      <w:bodyDiv w:val="1"/>
      <w:marLeft w:val="0"/>
      <w:marRight w:val="0"/>
      <w:marTop w:val="0"/>
      <w:marBottom w:val="0"/>
      <w:divBdr>
        <w:top w:val="none" w:sz="0" w:space="0" w:color="auto"/>
        <w:left w:val="none" w:sz="0" w:space="0" w:color="auto"/>
        <w:bottom w:val="none" w:sz="0" w:space="0" w:color="auto"/>
        <w:right w:val="none" w:sz="0" w:space="0" w:color="auto"/>
      </w:divBdr>
    </w:div>
    <w:div w:id="1071462095">
      <w:bodyDiv w:val="1"/>
      <w:marLeft w:val="0"/>
      <w:marRight w:val="0"/>
      <w:marTop w:val="0"/>
      <w:marBottom w:val="0"/>
      <w:divBdr>
        <w:top w:val="none" w:sz="0" w:space="0" w:color="auto"/>
        <w:left w:val="none" w:sz="0" w:space="0" w:color="auto"/>
        <w:bottom w:val="none" w:sz="0" w:space="0" w:color="auto"/>
        <w:right w:val="none" w:sz="0" w:space="0" w:color="auto"/>
      </w:divBdr>
    </w:div>
    <w:div w:id="1072431679">
      <w:bodyDiv w:val="1"/>
      <w:marLeft w:val="0"/>
      <w:marRight w:val="0"/>
      <w:marTop w:val="0"/>
      <w:marBottom w:val="0"/>
      <w:divBdr>
        <w:top w:val="none" w:sz="0" w:space="0" w:color="auto"/>
        <w:left w:val="none" w:sz="0" w:space="0" w:color="auto"/>
        <w:bottom w:val="none" w:sz="0" w:space="0" w:color="auto"/>
        <w:right w:val="none" w:sz="0" w:space="0" w:color="auto"/>
      </w:divBdr>
    </w:div>
    <w:div w:id="1082025728">
      <w:bodyDiv w:val="1"/>
      <w:marLeft w:val="0"/>
      <w:marRight w:val="0"/>
      <w:marTop w:val="0"/>
      <w:marBottom w:val="0"/>
      <w:divBdr>
        <w:top w:val="none" w:sz="0" w:space="0" w:color="auto"/>
        <w:left w:val="none" w:sz="0" w:space="0" w:color="auto"/>
        <w:bottom w:val="none" w:sz="0" w:space="0" w:color="auto"/>
        <w:right w:val="none" w:sz="0" w:space="0" w:color="auto"/>
      </w:divBdr>
    </w:div>
    <w:div w:id="1098061318">
      <w:bodyDiv w:val="1"/>
      <w:marLeft w:val="0"/>
      <w:marRight w:val="0"/>
      <w:marTop w:val="0"/>
      <w:marBottom w:val="0"/>
      <w:divBdr>
        <w:top w:val="none" w:sz="0" w:space="0" w:color="auto"/>
        <w:left w:val="none" w:sz="0" w:space="0" w:color="auto"/>
        <w:bottom w:val="none" w:sz="0" w:space="0" w:color="auto"/>
        <w:right w:val="none" w:sz="0" w:space="0" w:color="auto"/>
      </w:divBdr>
    </w:div>
    <w:div w:id="1111508994">
      <w:bodyDiv w:val="1"/>
      <w:marLeft w:val="0"/>
      <w:marRight w:val="0"/>
      <w:marTop w:val="0"/>
      <w:marBottom w:val="0"/>
      <w:divBdr>
        <w:top w:val="none" w:sz="0" w:space="0" w:color="auto"/>
        <w:left w:val="none" w:sz="0" w:space="0" w:color="auto"/>
        <w:bottom w:val="none" w:sz="0" w:space="0" w:color="auto"/>
        <w:right w:val="none" w:sz="0" w:space="0" w:color="auto"/>
      </w:divBdr>
    </w:div>
    <w:div w:id="1116371367">
      <w:bodyDiv w:val="1"/>
      <w:marLeft w:val="0"/>
      <w:marRight w:val="0"/>
      <w:marTop w:val="0"/>
      <w:marBottom w:val="0"/>
      <w:divBdr>
        <w:top w:val="none" w:sz="0" w:space="0" w:color="auto"/>
        <w:left w:val="none" w:sz="0" w:space="0" w:color="auto"/>
        <w:bottom w:val="none" w:sz="0" w:space="0" w:color="auto"/>
        <w:right w:val="none" w:sz="0" w:space="0" w:color="auto"/>
      </w:divBdr>
    </w:div>
    <w:div w:id="1138844782">
      <w:bodyDiv w:val="1"/>
      <w:marLeft w:val="0"/>
      <w:marRight w:val="0"/>
      <w:marTop w:val="0"/>
      <w:marBottom w:val="0"/>
      <w:divBdr>
        <w:top w:val="none" w:sz="0" w:space="0" w:color="auto"/>
        <w:left w:val="none" w:sz="0" w:space="0" w:color="auto"/>
        <w:bottom w:val="none" w:sz="0" w:space="0" w:color="auto"/>
        <w:right w:val="none" w:sz="0" w:space="0" w:color="auto"/>
      </w:divBdr>
    </w:div>
    <w:div w:id="1139106822">
      <w:bodyDiv w:val="1"/>
      <w:marLeft w:val="0"/>
      <w:marRight w:val="0"/>
      <w:marTop w:val="0"/>
      <w:marBottom w:val="0"/>
      <w:divBdr>
        <w:top w:val="none" w:sz="0" w:space="0" w:color="auto"/>
        <w:left w:val="none" w:sz="0" w:space="0" w:color="auto"/>
        <w:bottom w:val="none" w:sz="0" w:space="0" w:color="auto"/>
        <w:right w:val="none" w:sz="0" w:space="0" w:color="auto"/>
      </w:divBdr>
    </w:div>
    <w:div w:id="1142624758">
      <w:bodyDiv w:val="1"/>
      <w:marLeft w:val="0"/>
      <w:marRight w:val="0"/>
      <w:marTop w:val="0"/>
      <w:marBottom w:val="0"/>
      <w:divBdr>
        <w:top w:val="none" w:sz="0" w:space="0" w:color="auto"/>
        <w:left w:val="none" w:sz="0" w:space="0" w:color="auto"/>
        <w:bottom w:val="none" w:sz="0" w:space="0" w:color="auto"/>
        <w:right w:val="none" w:sz="0" w:space="0" w:color="auto"/>
      </w:divBdr>
    </w:div>
    <w:div w:id="1147238107">
      <w:bodyDiv w:val="1"/>
      <w:marLeft w:val="0"/>
      <w:marRight w:val="0"/>
      <w:marTop w:val="0"/>
      <w:marBottom w:val="0"/>
      <w:divBdr>
        <w:top w:val="none" w:sz="0" w:space="0" w:color="auto"/>
        <w:left w:val="none" w:sz="0" w:space="0" w:color="auto"/>
        <w:bottom w:val="none" w:sz="0" w:space="0" w:color="auto"/>
        <w:right w:val="none" w:sz="0" w:space="0" w:color="auto"/>
      </w:divBdr>
    </w:div>
    <w:div w:id="1149008764">
      <w:bodyDiv w:val="1"/>
      <w:marLeft w:val="0"/>
      <w:marRight w:val="0"/>
      <w:marTop w:val="0"/>
      <w:marBottom w:val="0"/>
      <w:divBdr>
        <w:top w:val="none" w:sz="0" w:space="0" w:color="auto"/>
        <w:left w:val="none" w:sz="0" w:space="0" w:color="auto"/>
        <w:bottom w:val="none" w:sz="0" w:space="0" w:color="auto"/>
        <w:right w:val="none" w:sz="0" w:space="0" w:color="auto"/>
      </w:divBdr>
    </w:div>
    <w:div w:id="1156142431">
      <w:bodyDiv w:val="1"/>
      <w:marLeft w:val="0"/>
      <w:marRight w:val="0"/>
      <w:marTop w:val="0"/>
      <w:marBottom w:val="0"/>
      <w:divBdr>
        <w:top w:val="none" w:sz="0" w:space="0" w:color="auto"/>
        <w:left w:val="none" w:sz="0" w:space="0" w:color="auto"/>
        <w:bottom w:val="none" w:sz="0" w:space="0" w:color="auto"/>
        <w:right w:val="none" w:sz="0" w:space="0" w:color="auto"/>
      </w:divBdr>
    </w:div>
    <w:div w:id="1157038265">
      <w:bodyDiv w:val="1"/>
      <w:marLeft w:val="0"/>
      <w:marRight w:val="0"/>
      <w:marTop w:val="0"/>
      <w:marBottom w:val="0"/>
      <w:divBdr>
        <w:top w:val="none" w:sz="0" w:space="0" w:color="auto"/>
        <w:left w:val="none" w:sz="0" w:space="0" w:color="auto"/>
        <w:bottom w:val="none" w:sz="0" w:space="0" w:color="auto"/>
        <w:right w:val="none" w:sz="0" w:space="0" w:color="auto"/>
      </w:divBdr>
    </w:div>
    <w:div w:id="1168210041">
      <w:bodyDiv w:val="1"/>
      <w:marLeft w:val="0"/>
      <w:marRight w:val="0"/>
      <w:marTop w:val="0"/>
      <w:marBottom w:val="0"/>
      <w:divBdr>
        <w:top w:val="none" w:sz="0" w:space="0" w:color="auto"/>
        <w:left w:val="none" w:sz="0" w:space="0" w:color="auto"/>
        <w:bottom w:val="none" w:sz="0" w:space="0" w:color="auto"/>
        <w:right w:val="none" w:sz="0" w:space="0" w:color="auto"/>
      </w:divBdr>
    </w:div>
    <w:div w:id="1178732588">
      <w:bodyDiv w:val="1"/>
      <w:marLeft w:val="0"/>
      <w:marRight w:val="0"/>
      <w:marTop w:val="0"/>
      <w:marBottom w:val="0"/>
      <w:divBdr>
        <w:top w:val="none" w:sz="0" w:space="0" w:color="auto"/>
        <w:left w:val="none" w:sz="0" w:space="0" w:color="auto"/>
        <w:bottom w:val="none" w:sz="0" w:space="0" w:color="auto"/>
        <w:right w:val="none" w:sz="0" w:space="0" w:color="auto"/>
      </w:divBdr>
    </w:div>
    <w:div w:id="1188638770">
      <w:bodyDiv w:val="1"/>
      <w:marLeft w:val="0"/>
      <w:marRight w:val="0"/>
      <w:marTop w:val="0"/>
      <w:marBottom w:val="0"/>
      <w:divBdr>
        <w:top w:val="none" w:sz="0" w:space="0" w:color="auto"/>
        <w:left w:val="none" w:sz="0" w:space="0" w:color="auto"/>
        <w:bottom w:val="none" w:sz="0" w:space="0" w:color="auto"/>
        <w:right w:val="none" w:sz="0" w:space="0" w:color="auto"/>
      </w:divBdr>
    </w:div>
    <w:div w:id="1191261912">
      <w:bodyDiv w:val="1"/>
      <w:marLeft w:val="0"/>
      <w:marRight w:val="0"/>
      <w:marTop w:val="0"/>
      <w:marBottom w:val="0"/>
      <w:divBdr>
        <w:top w:val="none" w:sz="0" w:space="0" w:color="auto"/>
        <w:left w:val="none" w:sz="0" w:space="0" w:color="auto"/>
        <w:bottom w:val="none" w:sz="0" w:space="0" w:color="auto"/>
        <w:right w:val="none" w:sz="0" w:space="0" w:color="auto"/>
      </w:divBdr>
    </w:div>
    <w:div w:id="1193878360">
      <w:bodyDiv w:val="1"/>
      <w:marLeft w:val="0"/>
      <w:marRight w:val="0"/>
      <w:marTop w:val="0"/>
      <w:marBottom w:val="0"/>
      <w:divBdr>
        <w:top w:val="none" w:sz="0" w:space="0" w:color="auto"/>
        <w:left w:val="none" w:sz="0" w:space="0" w:color="auto"/>
        <w:bottom w:val="none" w:sz="0" w:space="0" w:color="auto"/>
        <w:right w:val="none" w:sz="0" w:space="0" w:color="auto"/>
      </w:divBdr>
    </w:div>
    <w:div w:id="1199665388">
      <w:bodyDiv w:val="1"/>
      <w:marLeft w:val="0"/>
      <w:marRight w:val="0"/>
      <w:marTop w:val="0"/>
      <w:marBottom w:val="0"/>
      <w:divBdr>
        <w:top w:val="none" w:sz="0" w:space="0" w:color="auto"/>
        <w:left w:val="none" w:sz="0" w:space="0" w:color="auto"/>
        <w:bottom w:val="none" w:sz="0" w:space="0" w:color="auto"/>
        <w:right w:val="none" w:sz="0" w:space="0" w:color="auto"/>
      </w:divBdr>
    </w:div>
    <w:div w:id="1209996681">
      <w:bodyDiv w:val="1"/>
      <w:marLeft w:val="0"/>
      <w:marRight w:val="0"/>
      <w:marTop w:val="0"/>
      <w:marBottom w:val="0"/>
      <w:divBdr>
        <w:top w:val="none" w:sz="0" w:space="0" w:color="auto"/>
        <w:left w:val="none" w:sz="0" w:space="0" w:color="auto"/>
        <w:bottom w:val="none" w:sz="0" w:space="0" w:color="auto"/>
        <w:right w:val="none" w:sz="0" w:space="0" w:color="auto"/>
      </w:divBdr>
    </w:div>
    <w:div w:id="1212959354">
      <w:bodyDiv w:val="1"/>
      <w:marLeft w:val="0"/>
      <w:marRight w:val="0"/>
      <w:marTop w:val="0"/>
      <w:marBottom w:val="0"/>
      <w:divBdr>
        <w:top w:val="none" w:sz="0" w:space="0" w:color="auto"/>
        <w:left w:val="none" w:sz="0" w:space="0" w:color="auto"/>
        <w:bottom w:val="none" w:sz="0" w:space="0" w:color="auto"/>
        <w:right w:val="none" w:sz="0" w:space="0" w:color="auto"/>
      </w:divBdr>
    </w:div>
    <w:div w:id="1219970866">
      <w:bodyDiv w:val="1"/>
      <w:marLeft w:val="0"/>
      <w:marRight w:val="0"/>
      <w:marTop w:val="0"/>
      <w:marBottom w:val="0"/>
      <w:divBdr>
        <w:top w:val="none" w:sz="0" w:space="0" w:color="auto"/>
        <w:left w:val="none" w:sz="0" w:space="0" w:color="auto"/>
        <w:bottom w:val="none" w:sz="0" w:space="0" w:color="auto"/>
        <w:right w:val="none" w:sz="0" w:space="0" w:color="auto"/>
      </w:divBdr>
    </w:div>
    <w:div w:id="1235555849">
      <w:bodyDiv w:val="1"/>
      <w:marLeft w:val="0"/>
      <w:marRight w:val="0"/>
      <w:marTop w:val="0"/>
      <w:marBottom w:val="0"/>
      <w:divBdr>
        <w:top w:val="none" w:sz="0" w:space="0" w:color="auto"/>
        <w:left w:val="none" w:sz="0" w:space="0" w:color="auto"/>
        <w:bottom w:val="none" w:sz="0" w:space="0" w:color="auto"/>
        <w:right w:val="none" w:sz="0" w:space="0" w:color="auto"/>
      </w:divBdr>
    </w:div>
    <w:div w:id="1246305031">
      <w:bodyDiv w:val="1"/>
      <w:marLeft w:val="0"/>
      <w:marRight w:val="0"/>
      <w:marTop w:val="0"/>
      <w:marBottom w:val="0"/>
      <w:divBdr>
        <w:top w:val="none" w:sz="0" w:space="0" w:color="auto"/>
        <w:left w:val="none" w:sz="0" w:space="0" w:color="auto"/>
        <w:bottom w:val="none" w:sz="0" w:space="0" w:color="auto"/>
        <w:right w:val="none" w:sz="0" w:space="0" w:color="auto"/>
      </w:divBdr>
    </w:div>
    <w:div w:id="1261452845">
      <w:bodyDiv w:val="1"/>
      <w:marLeft w:val="0"/>
      <w:marRight w:val="0"/>
      <w:marTop w:val="0"/>
      <w:marBottom w:val="0"/>
      <w:divBdr>
        <w:top w:val="none" w:sz="0" w:space="0" w:color="auto"/>
        <w:left w:val="none" w:sz="0" w:space="0" w:color="auto"/>
        <w:bottom w:val="none" w:sz="0" w:space="0" w:color="auto"/>
        <w:right w:val="none" w:sz="0" w:space="0" w:color="auto"/>
      </w:divBdr>
    </w:div>
    <w:div w:id="1267349252">
      <w:bodyDiv w:val="1"/>
      <w:marLeft w:val="0"/>
      <w:marRight w:val="0"/>
      <w:marTop w:val="0"/>
      <w:marBottom w:val="0"/>
      <w:divBdr>
        <w:top w:val="none" w:sz="0" w:space="0" w:color="auto"/>
        <w:left w:val="none" w:sz="0" w:space="0" w:color="auto"/>
        <w:bottom w:val="none" w:sz="0" w:space="0" w:color="auto"/>
        <w:right w:val="none" w:sz="0" w:space="0" w:color="auto"/>
      </w:divBdr>
    </w:div>
    <w:div w:id="1269854272">
      <w:bodyDiv w:val="1"/>
      <w:marLeft w:val="0"/>
      <w:marRight w:val="0"/>
      <w:marTop w:val="0"/>
      <w:marBottom w:val="0"/>
      <w:divBdr>
        <w:top w:val="none" w:sz="0" w:space="0" w:color="auto"/>
        <w:left w:val="none" w:sz="0" w:space="0" w:color="auto"/>
        <w:bottom w:val="none" w:sz="0" w:space="0" w:color="auto"/>
        <w:right w:val="none" w:sz="0" w:space="0" w:color="auto"/>
      </w:divBdr>
    </w:div>
    <w:div w:id="1275986838">
      <w:bodyDiv w:val="1"/>
      <w:marLeft w:val="0"/>
      <w:marRight w:val="0"/>
      <w:marTop w:val="0"/>
      <w:marBottom w:val="0"/>
      <w:divBdr>
        <w:top w:val="none" w:sz="0" w:space="0" w:color="auto"/>
        <w:left w:val="none" w:sz="0" w:space="0" w:color="auto"/>
        <w:bottom w:val="none" w:sz="0" w:space="0" w:color="auto"/>
        <w:right w:val="none" w:sz="0" w:space="0" w:color="auto"/>
      </w:divBdr>
    </w:div>
    <w:div w:id="1289892740">
      <w:bodyDiv w:val="1"/>
      <w:marLeft w:val="0"/>
      <w:marRight w:val="0"/>
      <w:marTop w:val="0"/>
      <w:marBottom w:val="0"/>
      <w:divBdr>
        <w:top w:val="none" w:sz="0" w:space="0" w:color="auto"/>
        <w:left w:val="none" w:sz="0" w:space="0" w:color="auto"/>
        <w:bottom w:val="none" w:sz="0" w:space="0" w:color="auto"/>
        <w:right w:val="none" w:sz="0" w:space="0" w:color="auto"/>
      </w:divBdr>
    </w:div>
    <w:div w:id="1297295937">
      <w:bodyDiv w:val="1"/>
      <w:marLeft w:val="0"/>
      <w:marRight w:val="0"/>
      <w:marTop w:val="0"/>
      <w:marBottom w:val="0"/>
      <w:divBdr>
        <w:top w:val="none" w:sz="0" w:space="0" w:color="auto"/>
        <w:left w:val="none" w:sz="0" w:space="0" w:color="auto"/>
        <w:bottom w:val="none" w:sz="0" w:space="0" w:color="auto"/>
        <w:right w:val="none" w:sz="0" w:space="0" w:color="auto"/>
      </w:divBdr>
    </w:div>
    <w:div w:id="1298295207">
      <w:bodyDiv w:val="1"/>
      <w:marLeft w:val="0"/>
      <w:marRight w:val="0"/>
      <w:marTop w:val="0"/>
      <w:marBottom w:val="0"/>
      <w:divBdr>
        <w:top w:val="none" w:sz="0" w:space="0" w:color="auto"/>
        <w:left w:val="none" w:sz="0" w:space="0" w:color="auto"/>
        <w:bottom w:val="none" w:sz="0" w:space="0" w:color="auto"/>
        <w:right w:val="none" w:sz="0" w:space="0" w:color="auto"/>
      </w:divBdr>
    </w:div>
    <w:div w:id="1312834277">
      <w:bodyDiv w:val="1"/>
      <w:marLeft w:val="0"/>
      <w:marRight w:val="0"/>
      <w:marTop w:val="0"/>
      <w:marBottom w:val="0"/>
      <w:divBdr>
        <w:top w:val="none" w:sz="0" w:space="0" w:color="auto"/>
        <w:left w:val="none" w:sz="0" w:space="0" w:color="auto"/>
        <w:bottom w:val="none" w:sz="0" w:space="0" w:color="auto"/>
        <w:right w:val="none" w:sz="0" w:space="0" w:color="auto"/>
      </w:divBdr>
    </w:div>
    <w:div w:id="1338850814">
      <w:bodyDiv w:val="1"/>
      <w:marLeft w:val="0"/>
      <w:marRight w:val="0"/>
      <w:marTop w:val="0"/>
      <w:marBottom w:val="0"/>
      <w:divBdr>
        <w:top w:val="none" w:sz="0" w:space="0" w:color="auto"/>
        <w:left w:val="none" w:sz="0" w:space="0" w:color="auto"/>
        <w:bottom w:val="none" w:sz="0" w:space="0" w:color="auto"/>
        <w:right w:val="none" w:sz="0" w:space="0" w:color="auto"/>
      </w:divBdr>
    </w:div>
    <w:div w:id="1342972064">
      <w:bodyDiv w:val="1"/>
      <w:marLeft w:val="0"/>
      <w:marRight w:val="0"/>
      <w:marTop w:val="0"/>
      <w:marBottom w:val="0"/>
      <w:divBdr>
        <w:top w:val="none" w:sz="0" w:space="0" w:color="auto"/>
        <w:left w:val="none" w:sz="0" w:space="0" w:color="auto"/>
        <w:bottom w:val="none" w:sz="0" w:space="0" w:color="auto"/>
        <w:right w:val="none" w:sz="0" w:space="0" w:color="auto"/>
      </w:divBdr>
    </w:div>
    <w:div w:id="1346437767">
      <w:bodyDiv w:val="1"/>
      <w:marLeft w:val="0"/>
      <w:marRight w:val="0"/>
      <w:marTop w:val="0"/>
      <w:marBottom w:val="0"/>
      <w:divBdr>
        <w:top w:val="none" w:sz="0" w:space="0" w:color="auto"/>
        <w:left w:val="none" w:sz="0" w:space="0" w:color="auto"/>
        <w:bottom w:val="none" w:sz="0" w:space="0" w:color="auto"/>
        <w:right w:val="none" w:sz="0" w:space="0" w:color="auto"/>
      </w:divBdr>
    </w:div>
    <w:div w:id="1350063240">
      <w:bodyDiv w:val="1"/>
      <w:marLeft w:val="0"/>
      <w:marRight w:val="0"/>
      <w:marTop w:val="0"/>
      <w:marBottom w:val="0"/>
      <w:divBdr>
        <w:top w:val="none" w:sz="0" w:space="0" w:color="auto"/>
        <w:left w:val="none" w:sz="0" w:space="0" w:color="auto"/>
        <w:bottom w:val="none" w:sz="0" w:space="0" w:color="auto"/>
        <w:right w:val="none" w:sz="0" w:space="0" w:color="auto"/>
      </w:divBdr>
    </w:div>
    <w:div w:id="1354376409">
      <w:bodyDiv w:val="1"/>
      <w:marLeft w:val="0"/>
      <w:marRight w:val="0"/>
      <w:marTop w:val="0"/>
      <w:marBottom w:val="0"/>
      <w:divBdr>
        <w:top w:val="none" w:sz="0" w:space="0" w:color="auto"/>
        <w:left w:val="none" w:sz="0" w:space="0" w:color="auto"/>
        <w:bottom w:val="none" w:sz="0" w:space="0" w:color="auto"/>
        <w:right w:val="none" w:sz="0" w:space="0" w:color="auto"/>
      </w:divBdr>
    </w:div>
    <w:div w:id="1377663476">
      <w:bodyDiv w:val="1"/>
      <w:marLeft w:val="0"/>
      <w:marRight w:val="0"/>
      <w:marTop w:val="0"/>
      <w:marBottom w:val="0"/>
      <w:divBdr>
        <w:top w:val="none" w:sz="0" w:space="0" w:color="auto"/>
        <w:left w:val="none" w:sz="0" w:space="0" w:color="auto"/>
        <w:bottom w:val="none" w:sz="0" w:space="0" w:color="auto"/>
        <w:right w:val="none" w:sz="0" w:space="0" w:color="auto"/>
      </w:divBdr>
    </w:div>
    <w:div w:id="1385106466">
      <w:bodyDiv w:val="1"/>
      <w:marLeft w:val="0"/>
      <w:marRight w:val="0"/>
      <w:marTop w:val="0"/>
      <w:marBottom w:val="0"/>
      <w:divBdr>
        <w:top w:val="none" w:sz="0" w:space="0" w:color="auto"/>
        <w:left w:val="none" w:sz="0" w:space="0" w:color="auto"/>
        <w:bottom w:val="none" w:sz="0" w:space="0" w:color="auto"/>
        <w:right w:val="none" w:sz="0" w:space="0" w:color="auto"/>
      </w:divBdr>
    </w:div>
    <w:div w:id="1395737836">
      <w:bodyDiv w:val="1"/>
      <w:marLeft w:val="0"/>
      <w:marRight w:val="0"/>
      <w:marTop w:val="0"/>
      <w:marBottom w:val="0"/>
      <w:divBdr>
        <w:top w:val="none" w:sz="0" w:space="0" w:color="auto"/>
        <w:left w:val="none" w:sz="0" w:space="0" w:color="auto"/>
        <w:bottom w:val="none" w:sz="0" w:space="0" w:color="auto"/>
        <w:right w:val="none" w:sz="0" w:space="0" w:color="auto"/>
      </w:divBdr>
    </w:div>
    <w:div w:id="1396396808">
      <w:bodyDiv w:val="1"/>
      <w:marLeft w:val="0"/>
      <w:marRight w:val="0"/>
      <w:marTop w:val="0"/>
      <w:marBottom w:val="0"/>
      <w:divBdr>
        <w:top w:val="none" w:sz="0" w:space="0" w:color="auto"/>
        <w:left w:val="none" w:sz="0" w:space="0" w:color="auto"/>
        <w:bottom w:val="none" w:sz="0" w:space="0" w:color="auto"/>
        <w:right w:val="none" w:sz="0" w:space="0" w:color="auto"/>
      </w:divBdr>
    </w:div>
    <w:div w:id="1398816789">
      <w:bodyDiv w:val="1"/>
      <w:marLeft w:val="0"/>
      <w:marRight w:val="0"/>
      <w:marTop w:val="0"/>
      <w:marBottom w:val="0"/>
      <w:divBdr>
        <w:top w:val="none" w:sz="0" w:space="0" w:color="auto"/>
        <w:left w:val="none" w:sz="0" w:space="0" w:color="auto"/>
        <w:bottom w:val="none" w:sz="0" w:space="0" w:color="auto"/>
        <w:right w:val="none" w:sz="0" w:space="0" w:color="auto"/>
      </w:divBdr>
    </w:div>
    <w:div w:id="1404836345">
      <w:bodyDiv w:val="1"/>
      <w:marLeft w:val="0"/>
      <w:marRight w:val="0"/>
      <w:marTop w:val="0"/>
      <w:marBottom w:val="0"/>
      <w:divBdr>
        <w:top w:val="none" w:sz="0" w:space="0" w:color="auto"/>
        <w:left w:val="none" w:sz="0" w:space="0" w:color="auto"/>
        <w:bottom w:val="none" w:sz="0" w:space="0" w:color="auto"/>
        <w:right w:val="none" w:sz="0" w:space="0" w:color="auto"/>
      </w:divBdr>
    </w:div>
    <w:div w:id="1411540910">
      <w:bodyDiv w:val="1"/>
      <w:marLeft w:val="0"/>
      <w:marRight w:val="0"/>
      <w:marTop w:val="0"/>
      <w:marBottom w:val="0"/>
      <w:divBdr>
        <w:top w:val="none" w:sz="0" w:space="0" w:color="auto"/>
        <w:left w:val="none" w:sz="0" w:space="0" w:color="auto"/>
        <w:bottom w:val="none" w:sz="0" w:space="0" w:color="auto"/>
        <w:right w:val="none" w:sz="0" w:space="0" w:color="auto"/>
      </w:divBdr>
    </w:div>
    <w:div w:id="1447653913">
      <w:bodyDiv w:val="1"/>
      <w:marLeft w:val="0"/>
      <w:marRight w:val="0"/>
      <w:marTop w:val="0"/>
      <w:marBottom w:val="0"/>
      <w:divBdr>
        <w:top w:val="none" w:sz="0" w:space="0" w:color="auto"/>
        <w:left w:val="none" w:sz="0" w:space="0" w:color="auto"/>
        <w:bottom w:val="none" w:sz="0" w:space="0" w:color="auto"/>
        <w:right w:val="none" w:sz="0" w:space="0" w:color="auto"/>
      </w:divBdr>
    </w:div>
    <w:div w:id="1448432817">
      <w:bodyDiv w:val="1"/>
      <w:marLeft w:val="0"/>
      <w:marRight w:val="0"/>
      <w:marTop w:val="0"/>
      <w:marBottom w:val="0"/>
      <w:divBdr>
        <w:top w:val="none" w:sz="0" w:space="0" w:color="auto"/>
        <w:left w:val="none" w:sz="0" w:space="0" w:color="auto"/>
        <w:bottom w:val="none" w:sz="0" w:space="0" w:color="auto"/>
        <w:right w:val="none" w:sz="0" w:space="0" w:color="auto"/>
      </w:divBdr>
    </w:div>
    <w:div w:id="1458256959">
      <w:bodyDiv w:val="1"/>
      <w:marLeft w:val="0"/>
      <w:marRight w:val="0"/>
      <w:marTop w:val="0"/>
      <w:marBottom w:val="0"/>
      <w:divBdr>
        <w:top w:val="none" w:sz="0" w:space="0" w:color="auto"/>
        <w:left w:val="none" w:sz="0" w:space="0" w:color="auto"/>
        <w:bottom w:val="none" w:sz="0" w:space="0" w:color="auto"/>
        <w:right w:val="none" w:sz="0" w:space="0" w:color="auto"/>
      </w:divBdr>
    </w:div>
    <w:div w:id="1468472986">
      <w:bodyDiv w:val="1"/>
      <w:marLeft w:val="0"/>
      <w:marRight w:val="0"/>
      <w:marTop w:val="0"/>
      <w:marBottom w:val="0"/>
      <w:divBdr>
        <w:top w:val="none" w:sz="0" w:space="0" w:color="auto"/>
        <w:left w:val="none" w:sz="0" w:space="0" w:color="auto"/>
        <w:bottom w:val="none" w:sz="0" w:space="0" w:color="auto"/>
        <w:right w:val="none" w:sz="0" w:space="0" w:color="auto"/>
      </w:divBdr>
    </w:div>
    <w:div w:id="1487933764">
      <w:bodyDiv w:val="1"/>
      <w:marLeft w:val="0"/>
      <w:marRight w:val="0"/>
      <w:marTop w:val="0"/>
      <w:marBottom w:val="0"/>
      <w:divBdr>
        <w:top w:val="none" w:sz="0" w:space="0" w:color="auto"/>
        <w:left w:val="none" w:sz="0" w:space="0" w:color="auto"/>
        <w:bottom w:val="none" w:sz="0" w:space="0" w:color="auto"/>
        <w:right w:val="none" w:sz="0" w:space="0" w:color="auto"/>
      </w:divBdr>
    </w:div>
    <w:div w:id="1491750974">
      <w:bodyDiv w:val="1"/>
      <w:marLeft w:val="0"/>
      <w:marRight w:val="0"/>
      <w:marTop w:val="0"/>
      <w:marBottom w:val="0"/>
      <w:divBdr>
        <w:top w:val="none" w:sz="0" w:space="0" w:color="auto"/>
        <w:left w:val="none" w:sz="0" w:space="0" w:color="auto"/>
        <w:bottom w:val="none" w:sz="0" w:space="0" w:color="auto"/>
        <w:right w:val="none" w:sz="0" w:space="0" w:color="auto"/>
      </w:divBdr>
    </w:div>
    <w:div w:id="1495149480">
      <w:bodyDiv w:val="1"/>
      <w:marLeft w:val="0"/>
      <w:marRight w:val="0"/>
      <w:marTop w:val="0"/>
      <w:marBottom w:val="0"/>
      <w:divBdr>
        <w:top w:val="none" w:sz="0" w:space="0" w:color="auto"/>
        <w:left w:val="none" w:sz="0" w:space="0" w:color="auto"/>
        <w:bottom w:val="none" w:sz="0" w:space="0" w:color="auto"/>
        <w:right w:val="none" w:sz="0" w:space="0" w:color="auto"/>
      </w:divBdr>
    </w:div>
    <w:div w:id="1499227953">
      <w:bodyDiv w:val="1"/>
      <w:marLeft w:val="0"/>
      <w:marRight w:val="0"/>
      <w:marTop w:val="0"/>
      <w:marBottom w:val="0"/>
      <w:divBdr>
        <w:top w:val="none" w:sz="0" w:space="0" w:color="auto"/>
        <w:left w:val="none" w:sz="0" w:space="0" w:color="auto"/>
        <w:bottom w:val="none" w:sz="0" w:space="0" w:color="auto"/>
        <w:right w:val="none" w:sz="0" w:space="0" w:color="auto"/>
      </w:divBdr>
    </w:div>
    <w:div w:id="1515807497">
      <w:bodyDiv w:val="1"/>
      <w:marLeft w:val="0"/>
      <w:marRight w:val="0"/>
      <w:marTop w:val="0"/>
      <w:marBottom w:val="0"/>
      <w:divBdr>
        <w:top w:val="none" w:sz="0" w:space="0" w:color="auto"/>
        <w:left w:val="none" w:sz="0" w:space="0" w:color="auto"/>
        <w:bottom w:val="none" w:sz="0" w:space="0" w:color="auto"/>
        <w:right w:val="none" w:sz="0" w:space="0" w:color="auto"/>
      </w:divBdr>
    </w:div>
    <w:div w:id="1538350653">
      <w:bodyDiv w:val="1"/>
      <w:marLeft w:val="0"/>
      <w:marRight w:val="0"/>
      <w:marTop w:val="0"/>
      <w:marBottom w:val="0"/>
      <w:divBdr>
        <w:top w:val="none" w:sz="0" w:space="0" w:color="auto"/>
        <w:left w:val="none" w:sz="0" w:space="0" w:color="auto"/>
        <w:bottom w:val="none" w:sz="0" w:space="0" w:color="auto"/>
        <w:right w:val="none" w:sz="0" w:space="0" w:color="auto"/>
      </w:divBdr>
    </w:div>
    <w:div w:id="1547258796">
      <w:bodyDiv w:val="1"/>
      <w:marLeft w:val="0"/>
      <w:marRight w:val="0"/>
      <w:marTop w:val="0"/>
      <w:marBottom w:val="0"/>
      <w:divBdr>
        <w:top w:val="none" w:sz="0" w:space="0" w:color="auto"/>
        <w:left w:val="none" w:sz="0" w:space="0" w:color="auto"/>
        <w:bottom w:val="none" w:sz="0" w:space="0" w:color="auto"/>
        <w:right w:val="none" w:sz="0" w:space="0" w:color="auto"/>
      </w:divBdr>
    </w:div>
    <w:div w:id="1548712717">
      <w:bodyDiv w:val="1"/>
      <w:marLeft w:val="0"/>
      <w:marRight w:val="0"/>
      <w:marTop w:val="0"/>
      <w:marBottom w:val="0"/>
      <w:divBdr>
        <w:top w:val="none" w:sz="0" w:space="0" w:color="auto"/>
        <w:left w:val="none" w:sz="0" w:space="0" w:color="auto"/>
        <w:bottom w:val="none" w:sz="0" w:space="0" w:color="auto"/>
        <w:right w:val="none" w:sz="0" w:space="0" w:color="auto"/>
      </w:divBdr>
    </w:div>
    <w:div w:id="1558659838">
      <w:bodyDiv w:val="1"/>
      <w:marLeft w:val="0"/>
      <w:marRight w:val="0"/>
      <w:marTop w:val="0"/>
      <w:marBottom w:val="0"/>
      <w:divBdr>
        <w:top w:val="none" w:sz="0" w:space="0" w:color="auto"/>
        <w:left w:val="none" w:sz="0" w:space="0" w:color="auto"/>
        <w:bottom w:val="none" w:sz="0" w:space="0" w:color="auto"/>
        <w:right w:val="none" w:sz="0" w:space="0" w:color="auto"/>
      </w:divBdr>
    </w:div>
    <w:div w:id="1567060442">
      <w:bodyDiv w:val="1"/>
      <w:marLeft w:val="0"/>
      <w:marRight w:val="0"/>
      <w:marTop w:val="0"/>
      <w:marBottom w:val="0"/>
      <w:divBdr>
        <w:top w:val="none" w:sz="0" w:space="0" w:color="auto"/>
        <w:left w:val="none" w:sz="0" w:space="0" w:color="auto"/>
        <w:bottom w:val="none" w:sz="0" w:space="0" w:color="auto"/>
        <w:right w:val="none" w:sz="0" w:space="0" w:color="auto"/>
      </w:divBdr>
    </w:div>
    <w:div w:id="1591625149">
      <w:bodyDiv w:val="1"/>
      <w:marLeft w:val="0"/>
      <w:marRight w:val="0"/>
      <w:marTop w:val="0"/>
      <w:marBottom w:val="0"/>
      <w:divBdr>
        <w:top w:val="none" w:sz="0" w:space="0" w:color="auto"/>
        <w:left w:val="none" w:sz="0" w:space="0" w:color="auto"/>
        <w:bottom w:val="none" w:sz="0" w:space="0" w:color="auto"/>
        <w:right w:val="none" w:sz="0" w:space="0" w:color="auto"/>
      </w:divBdr>
    </w:div>
    <w:div w:id="1608275867">
      <w:bodyDiv w:val="1"/>
      <w:marLeft w:val="0"/>
      <w:marRight w:val="0"/>
      <w:marTop w:val="0"/>
      <w:marBottom w:val="0"/>
      <w:divBdr>
        <w:top w:val="none" w:sz="0" w:space="0" w:color="auto"/>
        <w:left w:val="none" w:sz="0" w:space="0" w:color="auto"/>
        <w:bottom w:val="none" w:sz="0" w:space="0" w:color="auto"/>
        <w:right w:val="none" w:sz="0" w:space="0" w:color="auto"/>
      </w:divBdr>
    </w:div>
    <w:div w:id="1614434097">
      <w:bodyDiv w:val="1"/>
      <w:marLeft w:val="0"/>
      <w:marRight w:val="0"/>
      <w:marTop w:val="0"/>
      <w:marBottom w:val="0"/>
      <w:divBdr>
        <w:top w:val="none" w:sz="0" w:space="0" w:color="auto"/>
        <w:left w:val="none" w:sz="0" w:space="0" w:color="auto"/>
        <w:bottom w:val="none" w:sz="0" w:space="0" w:color="auto"/>
        <w:right w:val="none" w:sz="0" w:space="0" w:color="auto"/>
      </w:divBdr>
    </w:div>
    <w:div w:id="1615988198">
      <w:bodyDiv w:val="1"/>
      <w:marLeft w:val="0"/>
      <w:marRight w:val="0"/>
      <w:marTop w:val="0"/>
      <w:marBottom w:val="0"/>
      <w:divBdr>
        <w:top w:val="none" w:sz="0" w:space="0" w:color="auto"/>
        <w:left w:val="none" w:sz="0" w:space="0" w:color="auto"/>
        <w:bottom w:val="none" w:sz="0" w:space="0" w:color="auto"/>
        <w:right w:val="none" w:sz="0" w:space="0" w:color="auto"/>
      </w:divBdr>
    </w:div>
    <w:div w:id="1631281330">
      <w:bodyDiv w:val="1"/>
      <w:marLeft w:val="0"/>
      <w:marRight w:val="0"/>
      <w:marTop w:val="0"/>
      <w:marBottom w:val="0"/>
      <w:divBdr>
        <w:top w:val="none" w:sz="0" w:space="0" w:color="auto"/>
        <w:left w:val="none" w:sz="0" w:space="0" w:color="auto"/>
        <w:bottom w:val="none" w:sz="0" w:space="0" w:color="auto"/>
        <w:right w:val="none" w:sz="0" w:space="0" w:color="auto"/>
      </w:divBdr>
    </w:div>
    <w:div w:id="1653604515">
      <w:bodyDiv w:val="1"/>
      <w:marLeft w:val="0"/>
      <w:marRight w:val="0"/>
      <w:marTop w:val="0"/>
      <w:marBottom w:val="0"/>
      <w:divBdr>
        <w:top w:val="none" w:sz="0" w:space="0" w:color="auto"/>
        <w:left w:val="none" w:sz="0" w:space="0" w:color="auto"/>
        <w:bottom w:val="none" w:sz="0" w:space="0" w:color="auto"/>
        <w:right w:val="none" w:sz="0" w:space="0" w:color="auto"/>
      </w:divBdr>
    </w:div>
    <w:div w:id="1654947658">
      <w:bodyDiv w:val="1"/>
      <w:marLeft w:val="0"/>
      <w:marRight w:val="0"/>
      <w:marTop w:val="0"/>
      <w:marBottom w:val="0"/>
      <w:divBdr>
        <w:top w:val="none" w:sz="0" w:space="0" w:color="auto"/>
        <w:left w:val="none" w:sz="0" w:space="0" w:color="auto"/>
        <w:bottom w:val="none" w:sz="0" w:space="0" w:color="auto"/>
        <w:right w:val="none" w:sz="0" w:space="0" w:color="auto"/>
      </w:divBdr>
    </w:div>
    <w:div w:id="1666854921">
      <w:bodyDiv w:val="1"/>
      <w:marLeft w:val="0"/>
      <w:marRight w:val="0"/>
      <w:marTop w:val="0"/>
      <w:marBottom w:val="0"/>
      <w:divBdr>
        <w:top w:val="none" w:sz="0" w:space="0" w:color="auto"/>
        <w:left w:val="none" w:sz="0" w:space="0" w:color="auto"/>
        <w:bottom w:val="none" w:sz="0" w:space="0" w:color="auto"/>
        <w:right w:val="none" w:sz="0" w:space="0" w:color="auto"/>
      </w:divBdr>
    </w:div>
    <w:div w:id="1679967622">
      <w:bodyDiv w:val="1"/>
      <w:marLeft w:val="0"/>
      <w:marRight w:val="0"/>
      <w:marTop w:val="0"/>
      <w:marBottom w:val="0"/>
      <w:divBdr>
        <w:top w:val="none" w:sz="0" w:space="0" w:color="auto"/>
        <w:left w:val="none" w:sz="0" w:space="0" w:color="auto"/>
        <w:bottom w:val="none" w:sz="0" w:space="0" w:color="auto"/>
        <w:right w:val="none" w:sz="0" w:space="0" w:color="auto"/>
      </w:divBdr>
    </w:div>
    <w:div w:id="1694920624">
      <w:bodyDiv w:val="1"/>
      <w:marLeft w:val="0"/>
      <w:marRight w:val="0"/>
      <w:marTop w:val="0"/>
      <w:marBottom w:val="0"/>
      <w:divBdr>
        <w:top w:val="none" w:sz="0" w:space="0" w:color="auto"/>
        <w:left w:val="none" w:sz="0" w:space="0" w:color="auto"/>
        <w:bottom w:val="none" w:sz="0" w:space="0" w:color="auto"/>
        <w:right w:val="none" w:sz="0" w:space="0" w:color="auto"/>
      </w:divBdr>
    </w:div>
    <w:div w:id="1695574477">
      <w:bodyDiv w:val="1"/>
      <w:marLeft w:val="0"/>
      <w:marRight w:val="0"/>
      <w:marTop w:val="0"/>
      <w:marBottom w:val="0"/>
      <w:divBdr>
        <w:top w:val="none" w:sz="0" w:space="0" w:color="auto"/>
        <w:left w:val="none" w:sz="0" w:space="0" w:color="auto"/>
        <w:bottom w:val="none" w:sz="0" w:space="0" w:color="auto"/>
        <w:right w:val="none" w:sz="0" w:space="0" w:color="auto"/>
      </w:divBdr>
    </w:div>
    <w:div w:id="1705252353">
      <w:bodyDiv w:val="1"/>
      <w:marLeft w:val="0"/>
      <w:marRight w:val="0"/>
      <w:marTop w:val="0"/>
      <w:marBottom w:val="0"/>
      <w:divBdr>
        <w:top w:val="none" w:sz="0" w:space="0" w:color="auto"/>
        <w:left w:val="none" w:sz="0" w:space="0" w:color="auto"/>
        <w:bottom w:val="none" w:sz="0" w:space="0" w:color="auto"/>
        <w:right w:val="none" w:sz="0" w:space="0" w:color="auto"/>
      </w:divBdr>
    </w:div>
    <w:div w:id="1708410072">
      <w:bodyDiv w:val="1"/>
      <w:marLeft w:val="0"/>
      <w:marRight w:val="0"/>
      <w:marTop w:val="0"/>
      <w:marBottom w:val="0"/>
      <w:divBdr>
        <w:top w:val="none" w:sz="0" w:space="0" w:color="auto"/>
        <w:left w:val="none" w:sz="0" w:space="0" w:color="auto"/>
        <w:bottom w:val="none" w:sz="0" w:space="0" w:color="auto"/>
        <w:right w:val="none" w:sz="0" w:space="0" w:color="auto"/>
      </w:divBdr>
    </w:div>
    <w:div w:id="1725330746">
      <w:bodyDiv w:val="1"/>
      <w:marLeft w:val="0"/>
      <w:marRight w:val="0"/>
      <w:marTop w:val="0"/>
      <w:marBottom w:val="0"/>
      <w:divBdr>
        <w:top w:val="none" w:sz="0" w:space="0" w:color="auto"/>
        <w:left w:val="none" w:sz="0" w:space="0" w:color="auto"/>
        <w:bottom w:val="none" w:sz="0" w:space="0" w:color="auto"/>
        <w:right w:val="none" w:sz="0" w:space="0" w:color="auto"/>
      </w:divBdr>
    </w:div>
    <w:div w:id="1738820474">
      <w:bodyDiv w:val="1"/>
      <w:marLeft w:val="0"/>
      <w:marRight w:val="0"/>
      <w:marTop w:val="0"/>
      <w:marBottom w:val="0"/>
      <w:divBdr>
        <w:top w:val="none" w:sz="0" w:space="0" w:color="auto"/>
        <w:left w:val="none" w:sz="0" w:space="0" w:color="auto"/>
        <w:bottom w:val="none" w:sz="0" w:space="0" w:color="auto"/>
        <w:right w:val="none" w:sz="0" w:space="0" w:color="auto"/>
      </w:divBdr>
    </w:div>
    <w:div w:id="1754863163">
      <w:bodyDiv w:val="1"/>
      <w:marLeft w:val="0"/>
      <w:marRight w:val="0"/>
      <w:marTop w:val="0"/>
      <w:marBottom w:val="0"/>
      <w:divBdr>
        <w:top w:val="none" w:sz="0" w:space="0" w:color="auto"/>
        <w:left w:val="none" w:sz="0" w:space="0" w:color="auto"/>
        <w:bottom w:val="none" w:sz="0" w:space="0" w:color="auto"/>
        <w:right w:val="none" w:sz="0" w:space="0" w:color="auto"/>
      </w:divBdr>
    </w:div>
    <w:div w:id="1755587645">
      <w:bodyDiv w:val="1"/>
      <w:marLeft w:val="0"/>
      <w:marRight w:val="0"/>
      <w:marTop w:val="0"/>
      <w:marBottom w:val="0"/>
      <w:divBdr>
        <w:top w:val="none" w:sz="0" w:space="0" w:color="auto"/>
        <w:left w:val="none" w:sz="0" w:space="0" w:color="auto"/>
        <w:bottom w:val="none" w:sz="0" w:space="0" w:color="auto"/>
        <w:right w:val="none" w:sz="0" w:space="0" w:color="auto"/>
      </w:divBdr>
    </w:div>
    <w:div w:id="1756170499">
      <w:bodyDiv w:val="1"/>
      <w:marLeft w:val="0"/>
      <w:marRight w:val="0"/>
      <w:marTop w:val="0"/>
      <w:marBottom w:val="0"/>
      <w:divBdr>
        <w:top w:val="none" w:sz="0" w:space="0" w:color="auto"/>
        <w:left w:val="none" w:sz="0" w:space="0" w:color="auto"/>
        <w:bottom w:val="none" w:sz="0" w:space="0" w:color="auto"/>
        <w:right w:val="none" w:sz="0" w:space="0" w:color="auto"/>
      </w:divBdr>
    </w:div>
    <w:div w:id="1777939502">
      <w:bodyDiv w:val="1"/>
      <w:marLeft w:val="0"/>
      <w:marRight w:val="0"/>
      <w:marTop w:val="0"/>
      <w:marBottom w:val="0"/>
      <w:divBdr>
        <w:top w:val="none" w:sz="0" w:space="0" w:color="auto"/>
        <w:left w:val="none" w:sz="0" w:space="0" w:color="auto"/>
        <w:bottom w:val="none" w:sz="0" w:space="0" w:color="auto"/>
        <w:right w:val="none" w:sz="0" w:space="0" w:color="auto"/>
      </w:divBdr>
    </w:div>
    <w:div w:id="1786727735">
      <w:bodyDiv w:val="1"/>
      <w:marLeft w:val="0"/>
      <w:marRight w:val="0"/>
      <w:marTop w:val="0"/>
      <w:marBottom w:val="0"/>
      <w:divBdr>
        <w:top w:val="none" w:sz="0" w:space="0" w:color="auto"/>
        <w:left w:val="none" w:sz="0" w:space="0" w:color="auto"/>
        <w:bottom w:val="none" w:sz="0" w:space="0" w:color="auto"/>
        <w:right w:val="none" w:sz="0" w:space="0" w:color="auto"/>
      </w:divBdr>
    </w:div>
    <w:div w:id="1809394970">
      <w:bodyDiv w:val="1"/>
      <w:marLeft w:val="0"/>
      <w:marRight w:val="0"/>
      <w:marTop w:val="0"/>
      <w:marBottom w:val="0"/>
      <w:divBdr>
        <w:top w:val="none" w:sz="0" w:space="0" w:color="auto"/>
        <w:left w:val="none" w:sz="0" w:space="0" w:color="auto"/>
        <w:bottom w:val="none" w:sz="0" w:space="0" w:color="auto"/>
        <w:right w:val="none" w:sz="0" w:space="0" w:color="auto"/>
      </w:divBdr>
    </w:div>
    <w:div w:id="1826630776">
      <w:bodyDiv w:val="1"/>
      <w:marLeft w:val="0"/>
      <w:marRight w:val="0"/>
      <w:marTop w:val="0"/>
      <w:marBottom w:val="0"/>
      <w:divBdr>
        <w:top w:val="none" w:sz="0" w:space="0" w:color="auto"/>
        <w:left w:val="none" w:sz="0" w:space="0" w:color="auto"/>
        <w:bottom w:val="none" w:sz="0" w:space="0" w:color="auto"/>
        <w:right w:val="none" w:sz="0" w:space="0" w:color="auto"/>
      </w:divBdr>
    </w:div>
    <w:div w:id="1838308363">
      <w:bodyDiv w:val="1"/>
      <w:marLeft w:val="0"/>
      <w:marRight w:val="0"/>
      <w:marTop w:val="0"/>
      <w:marBottom w:val="0"/>
      <w:divBdr>
        <w:top w:val="none" w:sz="0" w:space="0" w:color="auto"/>
        <w:left w:val="none" w:sz="0" w:space="0" w:color="auto"/>
        <w:bottom w:val="none" w:sz="0" w:space="0" w:color="auto"/>
        <w:right w:val="none" w:sz="0" w:space="0" w:color="auto"/>
      </w:divBdr>
    </w:div>
    <w:div w:id="1839494571">
      <w:bodyDiv w:val="1"/>
      <w:marLeft w:val="0"/>
      <w:marRight w:val="0"/>
      <w:marTop w:val="0"/>
      <w:marBottom w:val="0"/>
      <w:divBdr>
        <w:top w:val="none" w:sz="0" w:space="0" w:color="auto"/>
        <w:left w:val="none" w:sz="0" w:space="0" w:color="auto"/>
        <w:bottom w:val="none" w:sz="0" w:space="0" w:color="auto"/>
        <w:right w:val="none" w:sz="0" w:space="0" w:color="auto"/>
      </w:divBdr>
    </w:div>
    <w:div w:id="1844316086">
      <w:bodyDiv w:val="1"/>
      <w:marLeft w:val="0"/>
      <w:marRight w:val="0"/>
      <w:marTop w:val="0"/>
      <w:marBottom w:val="0"/>
      <w:divBdr>
        <w:top w:val="none" w:sz="0" w:space="0" w:color="auto"/>
        <w:left w:val="none" w:sz="0" w:space="0" w:color="auto"/>
        <w:bottom w:val="none" w:sz="0" w:space="0" w:color="auto"/>
        <w:right w:val="none" w:sz="0" w:space="0" w:color="auto"/>
      </w:divBdr>
    </w:div>
    <w:div w:id="1850367676">
      <w:bodyDiv w:val="1"/>
      <w:marLeft w:val="0"/>
      <w:marRight w:val="0"/>
      <w:marTop w:val="0"/>
      <w:marBottom w:val="0"/>
      <w:divBdr>
        <w:top w:val="none" w:sz="0" w:space="0" w:color="auto"/>
        <w:left w:val="none" w:sz="0" w:space="0" w:color="auto"/>
        <w:bottom w:val="none" w:sz="0" w:space="0" w:color="auto"/>
        <w:right w:val="none" w:sz="0" w:space="0" w:color="auto"/>
      </w:divBdr>
    </w:div>
    <w:div w:id="1853299578">
      <w:bodyDiv w:val="1"/>
      <w:marLeft w:val="0"/>
      <w:marRight w:val="0"/>
      <w:marTop w:val="0"/>
      <w:marBottom w:val="0"/>
      <w:divBdr>
        <w:top w:val="none" w:sz="0" w:space="0" w:color="auto"/>
        <w:left w:val="none" w:sz="0" w:space="0" w:color="auto"/>
        <w:bottom w:val="none" w:sz="0" w:space="0" w:color="auto"/>
        <w:right w:val="none" w:sz="0" w:space="0" w:color="auto"/>
      </w:divBdr>
    </w:div>
    <w:div w:id="1855076159">
      <w:bodyDiv w:val="1"/>
      <w:marLeft w:val="0"/>
      <w:marRight w:val="0"/>
      <w:marTop w:val="0"/>
      <w:marBottom w:val="0"/>
      <w:divBdr>
        <w:top w:val="none" w:sz="0" w:space="0" w:color="auto"/>
        <w:left w:val="none" w:sz="0" w:space="0" w:color="auto"/>
        <w:bottom w:val="none" w:sz="0" w:space="0" w:color="auto"/>
        <w:right w:val="none" w:sz="0" w:space="0" w:color="auto"/>
      </w:divBdr>
    </w:div>
    <w:div w:id="1856113269">
      <w:bodyDiv w:val="1"/>
      <w:marLeft w:val="0"/>
      <w:marRight w:val="0"/>
      <w:marTop w:val="0"/>
      <w:marBottom w:val="0"/>
      <w:divBdr>
        <w:top w:val="none" w:sz="0" w:space="0" w:color="auto"/>
        <w:left w:val="none" w:sz="0" w:space="0" w:color="auto"/>
        <w:bottom w:val="none" w:sz="0" w:space="0" w:color="auto"/>
        <w:right w:val="none" w:sz="0" w:space="0" w:color="auto"/>
      </w:divBdr>
    </w:div>
    <w:div w:id="1869951675">
      <w:bodyDiv w:val="1"/>
      <w:marLeft w:val="0"/>
      <w:marRight w:val="0"/>
      <w:marTop w:val="0"/>
      <w:marBottom w:val="0"/>
      <w:divBdr>
        <w:top w:val="none" w:sz="0" w:space="0" w:color="auto"/>
        <w:left w:val="none" w:sz="0" w:space="0" w:color="auto"/>
        <w:bottom w:val="none" w:sz="0" w:space="0" w:color="auto"/>
        <w:right w:val="none" w:sz="0" w:space="0" w:color="auto"/>
      </w:divBdr>
    </w:div>
    <w:div w:id="1876697011">
      <w:bodyDiv w:val="1"/>
      <w:marLeft w:val="0"/>
      <w:marRight w:val="0"/>
      <w:marTop w:val="0"/>
      <w:marBottom w:val="0"/>
      <w:divBdr>
        <w:top w:val="none" w:sz="0" w:space="0" w:color="auto"/>
        <w:left w:val="none" w:sz="0" w:space="0" w:color="auto"/>
        <w:bottom w:val="none" w:sz="0" w:space="0" w:color="auto"/>
        <w:right w:val="none" w:sz="0" w:space="0" w:color="auto"/>
      </w:divBdr>
    </w:div>
    <w:div w:id="1882395520">
      <w:bodyDiv w:val="1"/>
      <w:marLeft w:val="0"/>
      <w:marRight w:val="0"/>
      <w:marTop w:val="0"/>
      <w:marBottom w:val="0"/>
      <w:divBdr>
        <w:top w:val="none" w:sz="0" w:space="0" w:color="auto"/>
        <w:left w:val="none" w:sz="0" w:space="0" w:color="auto"/>
        <w:bottom w:val="none" w:sz="0" w:space="0" w:color="auto"/>
        <w:right w:val="none" w:sz="0" w:space="0" w:color="auto"/>
      </w:divBdr>
    </w:div>
    <w:div w:id="1882593787">
      <w:bodyDiv w:val="1"/>
      <w:marLeft w:val="0"/>
      <w:marRight w:val="0"/>
      <w:marTop w:val="0"/>
      <w:marBottom w:val="0"/>
      <w:divBdr>
        <w:top w:val="none" w:sz="0" w:space="0" w:color="auto"/>
        <w:left w:val="none" w:sz="0" w:space="0" w:color="auto"/>
        <w:bottom w:val="none" w:sz="0" w:space="0" w:color="auto"/>
        <w:right w:val="none" w:sz="0" w:space="0" w:color="auto"/>
      </w:divBdr>
    </w:div>
    <w:div w:id="1883247528">
      <w:bodyDiv w:val="1"/>
      <w:marLeft w:val="0"/>
      <w:marRight w:val="0"/>
      <w:marTop w:val="0"/>
      <w:marBottom w:val="0"/>
      <w:divBdr>
        <w:top w:val="none" w:sz="0" w:space="0" w:color="auto"/>
        <w:left w:val="none" w:sz="0" w:space="0" w:color="auto"/>
        <w:bottom w:val="none" w:sz="0" w:space="0" w:color="auto"/>
        <w:right w:val="none" w:sz="0" w:space="0" w:color="auto"/>
      </w:divBdr>
    </w:div>
    <w:div w:id="1883706648">
      <w:bodyDiv w:val="1"/>
      <w:marLeft w:val="0"/>
      <w:marRight w:val="0"/>
      <w:marTop w:val="0"/>
      <w:marBottom w:val="0"/>
      <w:divBdr>
        <w:top w:val="none" w:sz="0" w:space="0" w:color="auto"/>
        <w:left w:val="none" w:sz="0" w:space="0" w:color="auto"/>
        <w:bottom w:val="none" w:sz="0" w:space="0" w:color="auto"/>
        <w:right w:val="none" w:sz="0" w:space="0" w:color="auto"/>
      </w:divBdr>
    </w:div>
    <w:div w:id="1885946648">
      <w:bodyDiv w:val="1"/>
      <w:marLeft w:val="0"/>
      <w:marRight w:val="0"/>
      <w:marTop w:val="0"/>
      <w:marBottom w:val="0"/>
      <w:divBdr>
        <w:top w:val="none" w:sz="0" w:space="0" w:color="auto"/>
        <w:left w:val="none" w:sz="0" w:space="0" w:color="auto"/>
        <w:bottom w:val="none" w:sz="0" w:space="0" w:color="auto"/>
        <w:right w:val="none" w:sz="0" w:space="0" w:color="auto"/>
      </w:divBdr>
    </w:div>
    <w:div w:id="1892962603">
      <w:bodyDiv w:val="1"/>
      <w:marLeft w:val="0"/>
      <w:marRight w:val="0"/>
      <w:marTop w:val="0"/>
      <w:marBottom w:val="0"/>
      <w:divBdr>
        <w:top w:val="none" w:sz="0" w:space="0" w:color="auto"/>
        <w:left w:val="none" w:sz="0" w:space="0" w:color="auto"/>
        <w:bottom w:val="none" w:sz="0" w:space="0" w:color="auto"/>
        <w:right w:val="none" w:sz="0" w:space="0" w:color="auto"/>
      </w:divBdr>
    </w:div>
    <w:div w:id="1901094343">
      <w:bodyDiv w:val="1"/>
      <w:marLeft w:val="0"/>
      <w:marRight w:val="0"/>
      <w:marTop w:val="0"/>
      <w:marBottom w:val="0"/>
      <w:divBdr>
        <w:top w:val="none" w:sz="0" w:space="0" w:color="auto"/>
        <w:left w:val="none" w:sz="0" w:space="0" w:color="auto"/>
        <w:bottom w:val="none" w:sz="0" w:space="0" w:color="auto"/>
        <w:right w:val="none" w:sz="0" w:space="0" w:color="auto"/>
      </w:divBdr>
    </w:div>
    <w:div w:id="1941788633">
      <w:bodyDiv w:val="1"/>
      <w:marLeft w:val="0"/>
      <w:marRight w:val="0"/>
      <w:marTop w:val="0"/>
      <w:marBottom w:val="0"/>
      <w:divBdr>
        <w:top w:val="none" w:sz="0" w:space="0" w:color="auto"/>
        <w:left w:val="none" w:sz="0" w:space="0" w:color="auto"/>
        <w:bottom w:val="none" w:sz="0" w:space="0" w:color="auto"/>
        <w:right w:val="none" w:sz="0" w:space="0" w:color="auto"/>
      </w:divBdr>
    </w:div>
    <w:div w:id="1948390185">
      <w:bodyDiv w:val="1"/>
      <w:marLeft w:val="0"/>
      <w:marRight w:val="0"/>
      <w:marTop w:val="0"/>
      <w:marBottom w:val="0"/>
      <w:divBdr>
        <w:top w:val="none" w:sz="0" w:space="0" w:color="auto"/>
        <w:left w:val="none" w:sz="0" w:space="0" w:color="auto"/>
        <w:bottom w:val="none" w:sz="0" w:space="0" w:color="auto"/>
        <w:right w:val="none" w:sz="0" w:space="0" w:color="auto"/>
      </w:divBdr>
    </w:div>
    <w:div w:id="1960066480">
      <w:bodyDiv w:val="1"/>
      <w:marLeft w:val="0"/>
      <w:marRight w:val="0"/>
      <w:marTop w:val="0"/>
      <w:marBottom w:val="0"/>
      <w:divBdr>
        <w:top w:val="none" w:sz="0" w:space="0" w:color="auto"/>
        <w:left w:val="none" w:sz="0" w:space="0" w:color="auto"/>
        <w:bottom w:val="none" w:sz="0" w:space="0" w:color="auto"/>
        <w:right w:val="none" w:sz="0" w:space="0" w:color="auto"/>
      </w:divBdr>
    </w:div>
    <w:div w:id="1965303639">
      <w:bodyDiv w:val="1"/>
      <w:marLeft w:val="0"/>
      <w:marRight w:val="0"/>
      <w:marTop w:val="0"/>
      <w:marBottom w:val="0"/>
      <w:divBdr>
        <w:top w:val="none" w:sz="0" w:space="0" w:color="auto"/>
        <w:left w:val="none" w:sz="0" w:space="0" w:color="auto"/>
        <w:bottom w:val="none" w:sz="0" w:space="0" w:color="auto"/>
        <w:right w:val="none" w:sz="0" w:space="0" w:color="auto"/>
      </w:divBdr>
    </w:div>
    <w:div w:id="1970476643">
      <w:bodyDiv w:val="1"/>
      <w:marLeft w:val="0"/>
      <w:marRight w:val="0"/>
      <w:marTop w:val="0"/>
      <w:marBottom w:val="0"/>
      <w:divBdr>
        <w:top w:val="none" w:sz="0" w:space="0" w:color="auto"/>
        <w:left w:val="none" w:sz="0" w:space="0" w:color="auto"/>
        <w:bottom w:val="none" w:sz="0" w:space="0" w:color="auto"/>
        <w:right w:val="none" w:sz="0" w:space="0" w:color="auto"/>
      </w:divBdr>
    </w:div>
    <w:div w:id="1973904780">
      <w:bodyDiv w:val="1"/>
      <w:marLeft w:val="0"/>
      <w:marRight w:val="0"/>
      <w:marTop w:val="0"/>
      <w:marBottom w:val="0"/>
      <w:divBdr>
        <w:top w:val="none" w:sz="0" w:space="0" w:color="auto"/>
        <w:left w:val="none" w:sz="0" w:space="0" w:color="auto"/>
        <w:bottom w:val="none" w:sz="0" w:space="0" w:color="auto"/>
        <w:right w:val="none" w:sz="0" w:space="0" w:color="auto"/>
      </w:divBdr>
    </w:div>
    <w:div w:id="1978609271">
      <w:bodyDiv w:val="1"/>
      <w:marLeft w:val="0"/>
      <w:marRight w:val="0"/>
      <w:marTop w:val="0"/>
      <w:marBottom w:val="0"/>
      <w:divBdr>
        <w:top w:val="none" w:sz="0" w:space="0" w:color="auto"/>
        <w:left w:val="none" w:sz="0" w:space="0" w:color="auto"/>
        <w:bottom w:val="none" w:sz="0" w:space="0" w:color="auto"/>
        <w:right w:val="none" w:sz="0" w:space="0" w:color="auto"/>
      </w:divBdr>
    </w:div>
    <w:div w:id="1982926520">
      <w:bodyDiv w:val="1"/>
      <w:marLeft w:val="0"/>
      <w:marRight w:val="0"/>
      <w:marTop w:val="0"/>
      <w:marBottom w:val="0"/>
      <w:divBdr>
        <w:top w:val="none" w:sz="0" w:space="0" w:color="auto"/>
        <w:left w:val="none" w:sz="0" w:space="0" w:color="auto"/>
        <w:bottom w:val="none" w:sz="0" w:space="0" w:color="auto"/>
        <w:right w:val="none" w:sz="0" w:space="0" w:color="auto"/>
      </w:divBdr>
    </w:div>
    <w:div w:id="1988167696">
      <w:bodyDiv w:val="1"/>
      <w:marLeft w:val="0"/>
      <w:marRight w:val="0"/>
      <w:marTop w:val="0"/>
      <w:marBottom w:val="0"/>
      <w:divBdr>
        <w:top w:val="none" w:sz="0" w:space="0" w:color="auto"/>
        <w:left w:val="none" w:sz="0" w:space="0" w:color="auto"/>
        <w:bottom w:val="none" w:sz="0" w:space="0" w:color="auto"/>
        <w:right w:val="none" w:sz="0" w:space="0" w:color="auto"/>
      </w:divBdr>
    </w:div>
    <w:div w:id="1994020556">
      <w:bodyDiv w:val="1"/>
      <w:marLeft w:val="0"/>
      <w:marRight w:val="0"/>
      <w:marTop w:val="0"/>
      <w:marBottom w:val="0"/>
      <w:divBdr>
        <w:top w:val="none" w:sz="0" w:space="0" w:color="auto"/>
        <w:left w:val="none" w:sz="0" w:space="0" w:color="auto"/>
        <w:bottom w:val="none" w:sz="0" w:space="0" w:color="auto"/>
        <w:right w:val="none" w:sz="0" w:space="0" w:color="auto"/>
      </w:divBdr>
    </w:div>
    <w:div w:id="2009941893">
      <w:bodyDiv w:val="1"/>
      <w:marLeft w:val="0"/>
      <w:marRight w:val="0"/>
      <w:marTop w:val="0"/>
      <w:marBottom w:val="0"/>
      <w:divBdr>
        <w:top w:val="none" w:sz="0" w:space="0" w:color="auto"/>
        <w:left w:val="none" w:sz="0" w:space="0" w:color="auto"/>
        <w:bottom w:val="none" w:sz="0" w:space="0" w:color="auto"/>
        <w:right w:val="none" w:sz="0" w:space="0" w:color="auto"/>
      </w:divBdr>
    </w:div>
    <w:div w:id="2023702426">
      <w:bodyDiv w:val="1"/>
      <w:marLeft w:val="0"/>
      <w:marRight w:val="0"/>
      <w:marTop w:val="0"/>
      <w:marBottom w:val="0"/>
      <w:divBdr>
        <w:top w:val="none" w:sz="0" w:space="0" w:color="auto"/>
        <w:left w:val="none" w:sz="0" w:space="0" w:color="auto"/>
        <w:bottom w:val="none" w:sz="0" w:space="0" w:color="auto"/>
        <w:right w:val="none" w:sz="0" w:space="0" w:color="auto"/>
      </w:divBdr>
    </w:div>
    <w:div w:id="2035383653">
      <w:bodyDiv w:val="1"/>
      <w:marLeft w:val="0"/>
      <w:marRight w:val="0"/>
      <w:marTop w:val="0"/>
      <w:marBottom w:val="0"/>
      <w:divBdr>
        <w:top w:val="none" w:sz="0" w:space="0" w:color="auto"/>
        <w:left w:val="none" w:sz="0" w:space="0" w:color="auto"/>
        <w:bottom w:val="none" w:sz="0" w:space="0" w:color="auto"/>
        <w:right w:val="none" w:sz="0" w:space="0" w:color="auto"/>
      </w:divBdr>
    </w:div>
    <w:div w:id="2072145599">
      <w:bodyDiv w:val="1"/>
      <w:marLeft w:val="0"/>
      <w:marRight w:val="0"/>
      <w:marTop w:val="0"/>
      <w:marBottom w:val="0"/>
      <w:divBdr>
        <w:top w:val="none" w:sz="0" w:space="0" w:color="auto"/>
        <w:left w:val="none" w:sz="0" w:space="0" w:color="auto"/>
        <w:bottom w:val="none" w:sz="0" w:space="0" w:color="auto"/>
        <w:right w:val="none" w:sz="0" w:space="0" w:color="auto"/>
      </w:divBdr>
    </w:div>
    <w:div w:id="2082873466">
      <w:bodyDiv w:val="1"/>
      <w:marLeft w:val="0"/>
      <w:marRight w:val="0"/>
      <w:marTop w:val="0"/>
      <w:marBottom w:val="0"/>
      <w:divBdr>
        <w:top w:val="none" w:sz="0" w:space="0" w:color="auto"/>
        <w:left w:val="none" w:sz="0" w:space="0" w:color="auto"/>
        <w:bottom w:val="none" w:sz="0" w:space="0" w:color="auto"/>
        <w:right w:val="none" w:sz="0" w:space="0" w:color="auto"/>
      </w:divBdr>
    </w:div>
    <w:div w:id="2083327365">
      <w:bodyDiv w:val="1"/>
      <w:marLeft w:val="0"/>
      <w:marRight w:val="0"/>
      <w:marTop w:val="0"/>
      <w:marBottom w:val="0"/>
      <w:divBdr>
        <w:top w:val="none" w:sz="0" w:space="0" w:color="auto"/>
        <w:left w:val="none" w:sz="0" w:space="0" w:color="auto"/>
        <w:bottom w:val="none" w:sz="0" w:space="0" w:color="auto"/>
        <w:right w:val="none" w:sz="0" w:space="0" w:color="auto"/>
      </w:divBdr>
    </w:div>
    <w:div w:id="2088843612">
      <w:bodyDiv w:val="1"/>
      <w:marLeft w:val="0"/>
      <w:marRight w:val="0"/>
      <w:marTop w:val="0"/>
      <w:marBottom w:val="0"/>
      <w:divBdr>
        <w:top w:val="none" w:sz="0" w:space="0" w:color="auto"/>
        <w:left w:val="none" w:sz="0" w:space="0" w:color="auto"/>
        <w:bottom w:val="none" w:sz="0" w:space="0" w:color="auto"/>
        <w:right w:val="none" w:sz="0" w:space="0" w:color="auto"/>
      </w:divBdr>
    </w:div>
    <w:div w:id="2093352803">
      <w:bodyDiv w:val="1"/>
      <w:marLeft w:val="0"/>
      <w:marRight w:val="0"/>
      <w:marTop w:val="0"/>
      <w:marBottom w:val="0"/>
      <w:divBdr>
        <w:top w:val="none" w:sz="0" w:space="0" w:color="auto"/>
        <w:left w:val="none" w:sz="0" w:space="0" w:color="auto"/>
        <w:bottom w:val="none" w:sz="0" w:space="0" w:color="auto"/>
        <w:right w:val="none" w:sz="0" w:space="0" w:color="auto"/>
      </w:divBdr>
    </w:div>
    <w:div w:id="2120296366">
      <w:bodyDiv w:val="1"/>
      <w:marLeft w:val="0"/>
      <w:marRight w:val="0"/>
      <w:marTop w:val="0"/>
      <w:marBottom w:val="0"/>
      <w:divBdr>
        <w:top w:val="none" w:sz="0" w:space="0" w:color="auto"/>
        <w:left w:val="none" w:sz="0" w:space="0" w:color="auto"/>
        <w:bottom w:val="none" w:sz="0" w:space="0" w:color="auto"/>
        <w:right w:val="none" w:sz="0" w:space="0" w:color="auto"/>
      </w:divBdr>
    </w:div>
    <w:div w:id="21384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media/image.jpg" Id="R3cce2425185d4680"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D204-576A-4070-B9D1-DE3279F5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1793</Words>
  <Characters>10222</Characters>
  <Application>Microsoft Office Word</Application>
  <DocSecurity>0</DocSecurity>
  <Lines>85</Lines>
  <Paragraphs>23</Paragraphs>
  <ScaleCrop>false</ScaleCrop>
  <Company>www.Convers.com.cn</Company>
  <LinksUpToDate>false</LinksUpToDate>
  <CharactersWithSpaces>11992</CharactersWithSpaces>
  <SharedDoc>false</SharedDoc>
  <HLinks>
    <vt:vector size="390" baseType="variant">
      <vt:variant>
        <vt:i4>1572919</vt:i4>
      </vt:variant>
      <vt:variant>
        <vt:i4>386</vt:i4>
      </vt:variant>
      <vt:variant>
        <vt:i4>0</vt:i4>
      </vt:variant>
      <vt:variant>
        <vt:i4>5</vt:i4>
      </vt:variant>
      <vt:variant>
        <vt:lpwstr/>
      </vt:variant>
      <vt:variant>
        <vt:lpwstr>_Toc395526357</vt:lpwstr>
      </vt:variant>
      <vt:variant>
        <vt:i4>1572919</vt:i4>
      </vt:variant>
      <vt:variant>
        <vt:i4>380</vt:i4>
      </vt:variant>
      <vt:variant>
        <vt:i4>0</vt:i4>
      </vt:variant>
      <vt:variant>
        <vt:i4>5</vt:i4>
      </vt:variant>
      <vt:variant>
        <vt:lpwstr/>
      </vt:variant>
      <vt:variant>
        <vt:lpwstr>_Toc395526356</vt:lpwstr>
      </vt:variant>
      <vt:variant>
        <vt:i4>1572919</vt:i4>
      </vt:variant>
      <vt:variant>
        <vt:i4>374</vt:i4>
      </vt:variant>
      <vt:variant>
        <vt:i4>0</vt:i4>
      </vt:variant>
      <vt:variant>
        <vt:i4>5</vt:i4>
      </vt:variant>
      <vt:variant>
        <vt:lpwstr/>
      </vt:variant>
      <vt:variant>
        <vt:lpwstr>_Toc395526355</vt:lpwstr>
      </vt:variant>
      <vt:variant>
        <vt:i4>1572919</vt:i4>
      </vt:variant>
      <vt:variant>
        <vt:i4>368</vt:i4>
      </vt:variant>
      <vt:variant>
        <vt:i4>0</vt:i4>
      </vt:variant>
      <vt:variant>
        <vt:i4>5</vt:i4>
      </vt:variant>
      <vt:variant>
        <vt:lpwstr/>
      </vt:variant>
      <vt:variant>
        <vt:lpwstr>_Toc395526354</vt:lpwstr>
      </vt:variant>
      <vt:variant>
        <vt:i4>1572919</vt:i4>
      </vt:variant>
      <vt:variant>
        <vt:i4>362</vt:i4>
      </vt:variant>
      <vt:variant>
        <vt:i4>0</vt:i4>
      </vt:variant>
      <vt:variant>
        <vt:i4>5</vt:i4>
      </vt:variant>
      <vt:variant>
        <vt:lpwstr/>
      </vt:variant>
      <vt:variant>
        <vt:lpwstr>_Toc395526353</vt:lpwstr>
      </vt:variant>
      <vt:variant>
        <vt:i4>1572919</vt:i4>
      </vt:variant>
      <vt:variant>
        <vt:i4>356</vt:i4>
      </vt:variant>
      <vt:variant>
        <vt:i4>0</vt:i4>
      </vt:variant>
      <vt:variant>
        <vt:i4>5</vt:i4>
      </vt:variant>
      <vt:variant>
        <vt:lpwstr/>
      </vt:variant>
      <vt:variant>
        <vt:lpwstr>_Toc395526352</vt:lpwstr>
      </vt:variant>
      <vt:variant>
        <vt:i4>1572919</vt:i4>
      </vt:variant>
      <vt:variant>
        <vt:i4>350</vt:i4>
      </vt:variant>
      <vt:variant>
        <vt:i4>0</vt:i4>
      </vt:variant>
      <vt:variant>
        <vt:i4>5</vt:i4>
      </vt:variant>
      <vt:variant>
        <vt:lpwstr/>
      </vt:variant>
      <vt:variant>
        <vt:lpwstr>_Toc395526351</vt:lpwstr>
      </vt:variant>
      <vt:variant>
        <vt:i4>1572919</vt:i4>
      </vt:variant>
      <vt:variant>
        <vt:i4>344</vt:i4>
      </vt:variant>
      <vt:variant>
        <vt:i4>0</vt:i4>
      </vt:variant>
      <vt:variant>
        <vt:i4>5</vt:i4>
      </vt:variant>
      <vt:variant>
        <vt:lpwstr/>
      </vt:variant>
      <vt:variant>
        <vt:lpwstr>_Toc395526350</vt:lpwstr>
      </vt:variant>
      <vt:variant>
        <vt:i4>1638455</vt:i4>
      </vt:variant>
      <vt:variant>
        <vt:i4>338</vt:i4>
      </vt:variant>
      <vt:variant>
        <vt:i4>0</vt:i4>
      </vt:variant>
      <vt:variant>
        <vt:i4>5</vt:i4>
      </vt:variant>
      <vt:variant>
        <vt:lpwstr/>
      </vt:variant>
      <vt:variant>
        <vt:lpwstr>_Toc395526349</vt:lpwstr>
      </vt:variant>
      <vt:variant>
        <vt:i4>1638455</vt:i4>
      </vt:variant>
      <vt:variant>
        <vt:i4>332</vt:i4>
      </vt:variant>
      <vt:variant>
        <vt:i4>0</vt:i4>
      </vt:variant>
      <vt:variant>
        <vt:i4>5</vt:i4>
      </vt:variant>
      <vt:variant>
        <vt:lpwstr/>
      </vt:variant>
      <vt:variant>
        <vt:lpwstr>_Toc395526348</vt:lpwstr>
      </vt:variant>
      <vt:variant>
        <vt:i4>1638455</vt:i4>
      </vt:variant>
      <vt:variant>
        <vt:i4>326</vt:i4>
      </vt:variant>
      <vt:variant>
        <vt:i4>0</vt:i4>
      </vt:variant>
      <vt:variant>
        <vt:i4>5</vt:i4>
      </vt:variant>
      <vt:variant>
        <vt:lpwstr/>
      </vt:variant>
      <vt:variant>
        <vt:lpwstr>_Toc395526347</vt:lpwstr>
      </vt:variant>
      <vt:variant>
        <vt:i4>1638455</vt:i4>
      </vt:variant>
      <vt:variant>
        <vt:i4>320</vt:i4>
      </vt:variant>
      <vt:variant>
        <vt:i4>0</vt:i4>
      </vt:variant>
      <vt:variant>
        <vt:i4>5</vt:i4>
      </vt:variant>
      <vt:variant>
        <vt:lpwstr/>
      </vt:variant>
      <vt:variant>
        <vt:lpwstr>_Toc395526346</vt:lpwstr>
      </vt:variant>
      <vt:variant>
        <vt:i4>1638455</vt:i4>
      </vt:variant>
      <vt:variant>
        <vt:i4>314</vt:i4>
      </vt:variant>
      <vt:variant>
        <vt:i4>0</vt:i4>
      </vt:variant>
      <vt:variant>
        <vt:i4>5</vt:i4>
      </vt:variant>
      <vt:variant>
        <vt:lpwstr/>
      </vt:variant>
      <vt:variant>
        <vt:lpwstr>_Toc395526345</vt:lpwstr>
      </vt:variant>
      <vt:variant>
        <vt:i4>1638455</vt:i4>
      </vt:variant>
      <vt:variant>
        <vt:i4>308</vt:i4>
      </vt:variant>
      <vt:variant>
        <vt:i4>0</vt:i4>
      </vt:variant>
      <vt:variant>
        <vt:i4>5</vt:i4>
      </vt:variant>
      <vt:variant>
        <vt:lpwstr/>
      </vt:variant>
      <vt:variant>
        <vt:lpwstr>_Toc395526344</vt:lpwstr>
      </vt:variant>
      <vt:variant>
        <vt:i4>1638455</vt:i4>
      </vt:variant>
      <vt:variant>
        <vt:i4>302</vt:i4>
      </vt:variant>
      <vt:variant>
        <vt:i4>0</vt:i4>
      </vt:variant>
      <vt:variant>
        <vt:i4>5</vt:i4>
      </vt:variant>
      <vt:variant>
        <vt:lpwstr/>
      </vt:variant>
      <vt:variant>
        <vt:lpwstr>_Toc395526343</vt:lpwstr>
      </vt:variant>
      <vt:variant>
        <vt:i4>1638455</vt:i4>
      </vt:variant>
      <vt:variant>
        <vt:i4>296</vt:i4>
      </vt:variant>
      <vt:variant>
        <vt:i4>0</vt:i4>
      </vt:variant>
      <vt:variant>
        <vt:i4>5</vt:i4>
      </vt:variant>
      <vt:variant>
        <vt:lpwstr/>
      </vt:variant>
      <vt:variant>
        <vt:lpwstr>_Toc395526342</vt:lpwstr>
      </vt:variant>
      <vt:variant>
        <vt:i4>1638455</vt:i4>
      </vt:variant>
      <vt:variant>
        <vt:i4>290</vt:i4>
      </vt:variant>
      <vt:variant>
        <vt:i4>0</vt:i4>
      </vt:variant>
      <vt:variant>
        <vt:i4>5</vt:i4>
      </vt:variant>
      <vt:variant>
        <vt:lpwstr/>
      </vt:variant>
      <vt:variant>
        <vt:lpwstr>_Toc395526341</vt:lpwstr>
      </vt:variant>
      <vt:variant>
        <vt:i4>1638455</vt:i4>
      </vt:variant>
      <vt:variant>
        <vt:i4>284</vt:i4>
      </vt:variant>
      <vt:variant>
        <vt:i4>0</vt:i4>
      </vt:variant>
      <vt:variant>
        <vt:i4>5</vt:i4>
      </vt:variant>
      <vt:variant>
        <vt:lpwstr/>
      </vt:variant>
      <vt:variant>
        <vt:lpwstr>_Toc395526340</vt:lpwstr>
      </vt:variant>
      <vt:variant>
        <vt:i4>1966135</vt:i4>
      </vt:variant>
      <vt:variant>
        <vt:i4>278</vt:i4>
      </vt:variant>
      <vt:variant>
        <vt:i4>0</vt:i4>
      </vt:variant>
      <vt:variant>
        <vt:i4>5</vt:i4>
      </vt:variant>
      <vt:variant>
        <vt:lpwstr/>
      </vt:variant>
      <vt:variant>
        <vt:lpwstr>_Toc395526339</vt:lpwstr>
      </vt:variant>
      <vt:variant>
        <vt:i4>1966135</vt:i4>
      </vt:variant>
      <vt:variant>
        <vt:i4>272</vt:i4>
      </vt:variant>
      <vt:variant>
        <vt:i4>0</vt:i4>
      </vt:variant>
      <vt:variant>
        <vt:i4>5</vt:i4>
      </vt:variant>
      <vt:variant>
        <vt:lpwstr/>
      </vt:variant>
      <vt:variant>
        <vt:lpwstr>_Toc395526338</vt:lpwstr>
      </vt:variant>
      <vt:variant>
        <vt:i4>1966135</vt:i4>
      </vt:variant>
      <vt:variant>
        <vt:i4>266</vt:i4>
      </vt:variant>
      <vt:variant>
        <vt:i4>0</vt:i4>
      </vt:variant>
      <vt:variant>
        <vt:i4>5</vt:i4>
      </vt:variant>
      <vt:variant>
        <vt:lpwstr/>
      </vt:variant>
      <vt:variant>
        <vt:lpwstr>_Toc395526337</vt:lpwstr>
      </vt:variant>
      <vt:variant>
        <vt:i4>1966135</vt:i4>
      </vt:variant>
      <vt:variant>
        <vt:i4>260</vt:i4>
      </vt:variant>
      <vt:variant>
        <vt:i4>0</vt:i4>
      </vt:variant>
      <vt:variant>
        <vt:i4>5</vt:i4>
      </vt:variant>
      <vt:variant>
        <vt:lpwstr/>
      </vt:variant>
      <vt:variant>
        <vt:lpwstr>_Toc395526336</vt:lpwstr>
      </vt:variant>
      <vt:variant>
        <vt:i4>1966135</vt:i4>
      </vt:variant>
      <vt:variant>
        <vt:i4>254</vt:i4>
      </vt:variant>
      <vt:variant>
        <vt:i4>0</vt:i4>
      </vt:variant>
      <vt:variant>
        <vt:i4>5</vt:i4>
      </vt:variant>
      <vt:variant>
        <vt:lpwstr/>
      </vt:variant>
      <vt:variant>
        <vt:lpwstr>_Toc395526335</vt:lpwstr>
      </vt:variant>
      <vt:variant>
        <vt:i4>1966135</vt:i4>
      </vt:variant>
      <vt:variant>
        <vt:i4>248</vt:i4>
      </vt:variant>
      <vt:variant>
        <vt:i4>0</vt:i4>
      </vt:variant>
      <vt:variant>
        <vt:i4>5</vt:i4>
      </vt:variant>
      <vt:variant>
        <vt:lpwstr/>
      </vt:variant>
      <vt:variant>
        <vt:lpwstr>_Toc395526334</vt:lpwstr>
      </vt:variant>
      <vt:variant>
        <vt:i4>1966135</vt:i4>
      </vt:variant>
      <vt:variant>
        <vt:i4>242</vt:i4>
      </vt:variant>
      <vt:variant>
        <vt:i4>0</vt:i4>
      </vt:variant>
      <vt:variant>
        <vt:i4>5</vt:i4>
      </vt:variant>
      <vt:variant>
        <vt:lpwstr/>
      </vt:variant>
      <vt:variant>
        <vt:lpwstr>_Toc395526333</vt:lpwstr>
      </vt:variant>
      <vt:variant>
        <vt:i4>1966135</vt:i4>
      </vt:variant>
      <vt:variant>
        <vt:i4>236</vt:i4>
      </vt:variant>
      <vt:variant>
        <vt:i4>0</vt:i4>
      </vt:variant>
      <vt:variant>
        <vt:i4>5</vt:i4>
      </vt:variant>
      <vt:variant>
        <vt:lpwstr/>
      </vt:variant>
      <vt:variant>
        <vt:lpwstr>_Toc395526332</vt:lpwstr>
      </vt:variant>
      <vt:variant>
        <vt:i4>1966135</vt:i4>
      </vt:variant>
      <vt:variant>
        <vt:i4>230</vt:i4>
      </vt:variant>
      <vt:variant>
        <vt:i4>0</vt:i4>
      </vt:variant>
      <vt:variant>
        <vt:i4>5</vt:i4>
      </vt:variant>
      <vt:variant>
        <vt:lpwstr/>
      </vt:variant>
      <vt:variant>
        <vt:lpwstr>_Toc395526331</vt:lpwstr>
      </vt:variant>
      <vt:variant>
        <vt:i4>1966135</vt:i4>
      </vt:variant>
      <vt:variant>
        <vt:i4>224</vt:i4>
      </vt:variant>
      <vt:variant>
        <vt:i4>0</vt:i4>
      </vt:variant>
      <vt:variant>
        <vt:i4>5</vt:i4>
      </vt:variant>
      <vt:variant>
        <vt:lpwstr/>
      </vt:variant>
      <vt:variant>
        <vt:lpwstr>_Toc395526330</vt:lpwstr>
      </vt:variant>
      <vt:variant>
        <vt:i4>2031671</vt:i4>
      </vt:variant>
      <vt:variant>
        <vt:i4>218</vt:i4>
      </vt:variant>
      <vt:variant>
        <vt:i4>0</vt:i4>
      </vt:variant>
      <vt:variant>
        <vt:i4>5</vt:i4>
      </vt:variant>
      <vt:variant>
        <vt:lpwstr/>
      </vt:variant>
      <vt:variant>
        <vt:lpwstr>_Toc395526329</vt:lpwstr>
      </vt:variant>
      <vt:variant>
        <vt:i4>2031671</vt:i4>
      </vt:variant>
      <vt:variant>
        <vt:i4>212</vt:i4>
      </vt:variant>
      <vt:variant>
        <vt:i4>0</vt:i4>
      </vt:variant>
      <vt:variant>
        <vt:i4>5</vt:i4>
      </vt:variant>
      <vt:variant>
        <vt:lpwstr/>
      </vt:variant>
      <vt:variant>
        <vt:lpwstr>_Toc395526328</vt:lpwstr>
      </vt:variant>
      <vt:variant>
        <vt:i4>2031671</vt:i4>
      </vt:variant>
      <vt:variant>
        <vt:i4>206</vt:i4>
      </vt:variant>
      <vt:variant>
        <vt:i4>0</vt:i4>
      </vt:variant>
      <vt:variant>
        <vt:i4>5</vt:i4>
      </vt:variant>
      <vt:variant>
        <vt:lpwstr/>
      </vt:variant>
      <vt:variant>
        <vt:lpwstr>_Toc395526327</vt:lpwstr>
      </vt:variant>
      <vt:variant>
        <vt:i4>2031671</vt:i4>
      </vt:variant>
      <vt:variant>
        <vt:i4>200</vt:i4>
      </vt:variant>
      <vt:variant>
        <vt:i4>0</vt:i4>
      </vt:variant>
      <vt:variant>
        <vt:i4>5</vt:i4>
      </vt:variant>
      <vt:variant>
        <vt:lpwstr/>
      </vt:variant>
      <vt:variant>
        <vt:lpwstr>_Toc395526326</vt:lpwstr>
      </vt:variant>
      <vt:variant>
        <vt:i4>2031671</vt:i4>
      </vt:variant>
      <vt:variant>
        <vt:i4>194</vt:i4>
      </vt:variant>
      <vt:variant>
        <vt:i4>0</vt:i4>
      </vt:variant>
      <vt:variant>
        <vt:i4>5</vt:i4>
      </vt:variant>
      <vt:variant>
        <vt:lpwstr/>
      </vt:variant>
      <vt:variant>
        <vt:lpwstr>_Toc395526325</vt:lpwstr>
      </vt:variant>
      <vt:variant>
        <vt:i4>2031671</vt:i4>
      </vt:variant>
      <vt:variant>
        <vt:i4>188</vt:i4>
      </vt:variant>
      <vt:variant>
        <vt:i4>0</vt:i4>
      </vt:variant>
      <vt:variant>
        <vt:i4>5</vt:i4>
      </vt:variant>
      <vt:variant>
        <vt:lpwstr/>
      </vt:variant>
      <vt:variant>
        <vt:lpwstr>_Toc395526324</vt:lpwstr>
      </vt:variant>
      <vt:variant>
        <vt:i4>2031671</vt:i4>
      </vt:variant>
      <vt:variant>
        <vt:i4>182</vt:i4>
      </vt:variant>
      <vt:variant>
        <vt:i4>0</vt:i4>
      </vt:variant>
      <vt:variant>
        <vt:i4>5</vt:i4>
      </vt:variant>
      <vt:variant>
        <vt:lpwstr/>
      </vt:variant>
      <vt:variant>
        <vt:lpwstr>_Toc395526323</vt:lpwstr>
      </vt:variant>
      <vt:variant>
        <vt:i4>2031671</vt:i4>
      </vt:variant>
      <vt:variant>
        <vt:i4>176</vt:i4>
      </vt:variant>
      <vt:variant>
        <vt:i4>0</vt:i4>
      </vt:variant>
      <vt:variant>
        <vt:i4>5</vt:i4>
      </vt:variant>
      <vt:variant>
        <vt:lpwstr/>
      </vt:variant>
      <vt:variant>
        <vt:lpwstr>_Toc395526322</vt:lpwstr>
      </vt:variant>
      <vt:variant>
        <vt:i4>2031671</vt:i4>
      </vt:variant>
      <vt:variant>
        <vt:i4>170</vt:i4>
      </vt:variant>
      <vt:variant>
        <vt:i4>0</vt:i4>
      </vt:variant>
      <vt:variant>
        <vt:i4>5</vt:i4>
      </vt:variant>
      <vt:variant>
        <vt:lpwstr/>
      </vt:variant>
      <vt:variant>
        <vt:lpwstr>_Toc395526321</vt:lpwstr>
      </vt:variant>
      <vt:variant>
        <vt:i4>2031671</vt:i4>
      </vt:variant>
      <vt:variant>
        <vt:i4>164</vt:i4>
      </vt:variant>
      <vt:variant>
        <vt:i4>0</vt:i4>
      </vt:variant>
      <vt:variant>
        <vt:i4>5</vt:i4>
      </vt:variant>
      <vt:variant>
        <vt:lpwstr/>
      </vt:variant>
      <vt:variant>
        <vt:lpwstr>_Toc395526320</vt:lpwstr>
      </vt:variant>
      <vt:variant>
        <vt:i4>1835063</vt:i4>
      </vt:variant>
      <vt:variant>
        <vt:i4>158</vt:i4>
      </vt:variant>
      <vt:variant>
        <vt:i4>0</vt:i4>
      </vt:variant>
      <vt:variant>
        <vt:i4>5</vt:i4>
      </vt:variant>
      <vt:variant>
        <vt:lpwstr/>
      </vt:variant>
      <vt:variant>
        <vt:lpwstr>_Toc395526319</vt:lpwstr>
      </vt:variant>
      <vt:variant>
        <vt:i4>1835063</vt:i4>
      </vt:variant>
      <vt:variant>
        <vt:i4>152</vt:i4>
      </vt:variant>
      <vt:variant>
        <vt:i4>0</vt:i4>
      </vt:variant>
      <vt:variant>
        <vt:i4>5</vt:i4>
      </vt:variant>
      <vt:variant>
        <vt:lpwstr/>
      </vt:variant>
      <vt:variant>
        <vt:lpwstr>_Toc395526318</vt:lpwstr>
      </vt:variant>
      <vt:variant>
        <vt:i4>1835063</vt:i4>
      </vt:variant>
      <vt:variant>
        <vt:i4>146</vt:i4>
      </vt:variant>
      <vt:variant>
        <vt:i4>0</vt:i4>
      </vt:variant>
      <vt:variant>
        <vt:i4>5</vt:i4>
      </vt:variant>
      <vt:variant>
        <vt:lpwstr/>
      </vt:variant>
      <vt:variant>
        <vt:lpwstr>_Toc395526317</vt:lpwstr>
      </vt:variant>
      <vt:variant>
        <vt:i4>1835063</vt:i4>
      </vt:variant>
      <vt:variant>
        <vt:i4>140</vt:i4>
      </vt:variant>
      <vt:variant>
        <vt:i4>0</vt:i4>
      </vt:variant>
      <vt:variant>
        <vt:i4>5</vt:i4>
      </vt:variant>
      <vt:variant>
        <vt:lpwstr/>
      </vt:variant>
      <vt:variant>
        <vt:lpwstr>_Toc395526316</vt:lpwstr>
      </vt:variant>
      <vt:variant>
        <vt:i4>1835063</vt:i4>
      </vt:variant>
      <vt:variant>
        <vt:i4>134</vt:i4>
      </vt:variant>
      <vt:variant>
        <vt:i4>0</vt:i4>
      </vt:variant>
      <vt:variant>
        <vt:i4>5</vt:i4>
      </vt:variant>
      <vt:variant>
        <vt:lpwstr/>
      </vt:variant>
      <vt:variant>
        <vt:lpwstr>_Toc395526315</vt:lpwstr>
      </vt:variant>
      <vt:variant>
        <vt:i4>1835063</vt:i4>
      </vt:variant>
      <vt:variant>
        <vt:i4>128</vt:i4>
      </vt:variant>
      <vt:variant>
        <vt:i4>0</vt:i4>
      </vt:variant>
      <vt:variant>
        <vt:i4>5</vt:i4>
      </vt:variant>
      <vt:variant>
        <vt:lpwstr/>
      </vt:variant>
      <vt:variant>
        <vt:lpwstr>_Toc395526314</vt:lpwstr>
      </vt:variant>
      <vt:variant>
        <vt:i4>1835063</vt:i4>
      </vt:variant>
      <vt:variant>
        <vt:i4>122</vt:i4>
      </vt:variant>
      <vt:variant>
        <vt:i4>0</vt:i4>
      </vt:variant>
      <vt:variant>
        <vt:i4>5</vt:i4>
      </vt:variant>
      <vt:variant>
        <vt:lpwstr/>
      </vt:variant>
      <vt:variant>
        <vt:lpwstr>_Toc395526313</vt:lpwstr>
      </vt:variant>
      <vt:variant>
        <vt:i4>1835063</vt:i4>
      </vt:variant>
      <vt:variant>
        <vt:i4>116</vt:i4>
      </vt:variant>
      <vt:variant>
        <vt:i4>0</vt:i4>
      </vt:variant>
      <vt:variant>
        <vt:i4>5</vt:i4>
      </vt:variant>
      <vt:variant>
        <vt:lpwstr/>
      </vt:variant>
      <vt:variant>
        <vt:lpwstr>_Toc395526312</vt:lpwstr>
      </vt:variant>
      <vt:variant>
        <vt:i4>1835063</vt:i4>
      </vt:variant>
      <vt:variant>
        <vt:i4>110</vt:i4>
      </vt:variant>
      <vt:variant>
        <vt:i4>0</vt:i4>
      </vt:variant>
      <vt:variant>
        <vt:i4>5</vt:i4>
      </vt:variant>
      <vt:variant>
        <vt:lpwstr/>
      </vt:variant>
      <vt:variant>
        <vt:lpwstr>_Toc395526311</vt:lpwstr>
      </vt:variant>
      <vt:variant>
        <vt:i4>1835063</vt:i4>
      </vt:variant>
      <vt:variant>
        <vt:i4>104</vt:i4>
      </vt:variant>
      <vt:variant>
        <vt:i4>0</vt:i4>
      </vt:variant>
      <vt:variant>
        <vt:i4>5</vt:i4>
      </vt:variant>
      <vt:variant>
        <vt:lpwstr/>
      </vt:variant>
      <vt:variant>
        <vt:lpwstr>_Toc395526310</vt:lpwstr>
      </vt:variant>
      <vt:variant>
        <vt:i4>1900599</vt:i4>
      </vt:variant>
      <vt:variant>
        <vt:i4>98</vt:i4>
      </vt:variant>
      <vt:variant>
        <vt:i4>0</vt:i4>
      </vt:variant>
      <vt:variant>
        <vt:i4>5</vt:i4>
      </vt:variant>
      <vt:variant>
        <vt:lpwstr/>
      </vt:variant>
      <vt:variant>
        <vt:lpwstr>_Toc395526309</vt:lpwstr>
      </vt:variant>
      <vt:variant>
        <vt:i4>1900599</vt:i4>
      </vt:variant>
      <vt:variant>
        <vt:i4>92</vt:i4>
      </vt:variant>
      <vt:variant>
        <vt:i4>0</vt:i4>
      </vt:variant>
      <vt:variant>
        <vt:i4>5</vt:i4>
      </vt:variant>
      <vt:variant>
        <vt:lpwstr/>
      </vt:variant>
      <vt:variant>
        <vt:lpwstr>_Toc395526308</vt:lpwstr>
      </vt:variant>
      <vt:variant>
        <vt:i4>1900599</vt:i4>
      </vt:variant>
      <vt:variant>
        <vt:i4>86</vt:i4>
      </vt:variant>
      <vt:variant>
        <vt:i4>0</vt:i4>
      </vt:variant>
      <vt:variant>
        <vt:i4>5</vt:i4>
      </vt:variant>
      <vt:variant>
        <vt:lpwstr/>
      </vt:variant>
      <vt:variant>
        <vt:lpwstr>_Toc395526307</vt:lpwstr>
      </vt:variant>
      <vt:variant>
        <vt:i4>1900599</vt:i4>
      </vt:variant>
      <vt:variant>
        <vt:i4>80</vt:i4>
      </vt:variant>
      <vt:variant>
        <vt:i4>0</vt:i4>
      </vt:variant>
      <vt:variant>
        <vt:i4>5</vt:i4>
      </vt:variant>
      <vt:variant>
        <vt:lpwstr/>
      </vt:variant>
      <vt:variant>
        <vt:lpwstr>_Toc395526306</vt:lpwstr>
      </vt:variant>
      <vt:variant>
        <vt:i4>1900599</vt:i4>
      </vt:variant>
      <vt:variant>
        <vt:i4>74</vt:i4>
      </vt:variant>
      <vt:variant>
        <vt:i4>0</vt:i4>
      </vt:variant>
      <vt:variant>
        <vt:i4>5</vt:i4>
      </vt:variant>
      <vt:variant>
        <vt:lpwstr/>
      </vt:variant>
      <vt:variant>
        <vt:lpwstr>_Toc395526305</vt:lpwstr>
      </vt:variant>
      <vt:variant>
        <vt:i4>1900599</vt:i4>
      </vt:variant>
      <vt:variant>
        <vt:i4>68</vt:i4>
      </vt:variant>
      <vt:variant>
        <vt:i4>0</vt:i4>
      </vt:variant>
      <vt:variant>
        <vt:i4>5</vt:i4>
      </vt:variant>
      <vt:variant>
        <vt:lpwstr/>
      </vt:variant>
      <vt:variant>
        <vt:lpwstr>_Toc395526304</vt:lpwstr>
      </vt:variant>
      <vt:variant>
        <vt:i4>1900599</vt:i4>
      </vt:variant>
      <vt:variant>
        <vt:i4>62</vt:i4>
      </vt:variant>
      <vt:variant>
        <vt:i4>0</vt:i4>
      </vt:variant>
      <vt:variant>
        <vt:i4>5</vt:i4>
      </vt:variant>
      <vt:variant>
        <vt:lpwstr/>
      </vt:variant>
      <vt:variant>
        <vt:lpwstr>_Toc395526303</vt:lpwstr>
      </vt:variant>
      <vt:variant>
        <vt:i4>1900599</vt:i4>
      </vt:variant>
      <vt:variant>
        <vt:i4>56</vt:i4>
      </vt:variant>
      <vt:variant>
        <vt:i4>0</vt:i4>
      </vt:variant>
      <vt:variant>
        <vt:i4>5</vt:i4>
      </vt:variant>
      <vt:variant>
        <vt:lpwstr/>
      </vt:variant>
      <vt:variant>
        <vt:lpwstr>_Toc395526302</vt:lpwstr>
      </vt:variant>
      <vt:variant>
        <vt:i4>1900599</vt:i4>
      </vt:variant>
      <vt:variant>
        <vt:i4>50</vt:i4>
      </vt:variant>
      <vt:variant>
        <vt:i4>0</vt:i4>
      </vt:variant>
      <vt:variant>
        <vt:i4>5</vt:i4>
      </vt:variant>
      <vt:variant>
        <vt:lpwstr/>
      </vt:variant>
      <vt:variant>
        <vt:lpwstr>_Toc395526301</vt:lpwstr>
      </vt:variant>
      <vt:variant>
        <vt:i4>1900599</vt:i4>
      </vt:variant>
      <vt:variant>
        <vt:i4>44</vt:i4>
      </vt:variant>
      <vt:variant>
        <vt:i4>0</vt:i4>
      </vt:variant>
      <vt:variant>
        <vt:i4>5</vt:i4>
      </vt:variant>
      <vt:variant>
        <vt:lpwstr/>
      </vt:variant>
      <vt:variant>
        <vt:lpwstr>_Toc395526300</vt:lpwstr>
      </vt:variant>
      <vt:variant>
        <vt:i4>1310774</vt:i4>
      </vt:variant>
      <vt:variant>
        <vt:i4>38</vt:i4>
      </vt:variant>
      <vt:variant>
        <vt:i4>0</vt:i4>
      </vt:variant>
      <vt:variant>
        <vt:i4>5</vt:i4>
      </vt:variant>
      <vt:variant>
        <vt:lpwstr/>
      </vt:variant>
      <vt:variant>
        <vt:lpwstr>_Toc395526299</vt:lpwstr>
      </vt:variant>
      <vt:variant>
        <vt:i4>1310774</vt:i4>
      </vt:variant>
      <vt:variant>
        <vt:i4>32</vt:i4>
      </vt:variant>
      <vt:variant>
        <vt:i4>0</vt:i4>
      </vt:variant>
      <vt:variant>
        <vt:i4>5</vt:i4>
      </vt:variant>
      <vt:variant>
        <vt:lpwstr/>
      </vt:variant>
      <vt:variant>
        <vt:lpwstr>_Toc395526298</vt:lpwstr>
      </vt:variant>
      <vt:variant>
        <vt:i4>1310774</vt:i4>
      </vt:variant>
      <vt:variant>
        <vt:i4>26</vt:i4>
      </vt:variant>
      <vt:variant>
        <vt:i4>0</vt:i4>
      </vt:variant>
      <vt:variant>
        <vt:i4>5</vt:i4>
      </vt:variant>
      <vt:variant>
        <vt:lpwstr/>
      </vt:variant>
      <vt:variant>
        <vt:lpwstr>_Toc395526297</vt:lpwstr>
      </vt:variant>
      <vt:variant>
        <vt:i4>1310774</vt:i4>
      </vt:variant>
      <vt:variant>
        <vt:i4>20</vt:i4>
      </vt:variant>
      <vt:variant>
        <vt:i4>0</vt:i4>
      </vt:variant>
      <vt:variant>
        <vt:i4>5</vt:i4>
      </vt:variant>
      <vt:variant>
        <vt:lpwstr/>
      </vt:variant>
      <vt:variant>
        <vt:lpwstr>_Toc395526296</vt:lpwstr>
      </vt:variant>
      <vt:variant>
        <vt:i4>1310774</vt:i4>
      </vt:variant>
      <vt:variant>
        <vt:i4>14</vt:i4>
      </vt:variant>
      <vt:variant>
        <vt:i4>0</vt:i4>
      </vt:variant>
      <vt:variant>
        <vt:i4>5</vt:i4>
      </vt:variant>
      <vt:variant>
        <vt:lpwstr/>
      </vt:variant>
      <vt:variant>
        <vt:lpwstr>_Toc395526295</vt:lpwstr>
      </vt:variant>
      <vt:variant>
        <vt:i4>1310774</vt:i4>
      </vt:variant>
      <vt:variant>
        <vt:i4>8</vt:i4>
      </vt:variant>
      <vt:variant>
        <vt:i4>0</vt:i4>
      </vt:variant>
      <vt:variant>
        <vt:i4>5</vt:i4>
      </vt:variant>
      <vt:variant>
        <vt:lpwstr/>
      </vt:variant>
      <vt:variant>
        <vt:lpwstr>_Toc395526294</vt:lpwstr>
      </vt:variant>
      <vt:variant>
        <vt:i4>1310774</vt:i4>
      </vt:variant>
      <vt:variant>
        <vt:i4>2</vt:i4>
      </vt:variant>
      <vt:variant>
        <vt:i4>0</vt:i4>
      </vt:variant>
      <vt:variant>
        <vt:i4>5</vt:i4>
      </vt:variant>
      <vt:variant>
        <vt:lpwstr/>
      </vt:variant>
      <vt:variant>
        <vt:lpwstr>_Toc395526293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公告标识</dc:title>
  <dc:creator>User</dc:creator>
  <cp:lastModifiedBy>User</cp:lastModifiedBy>
  <cp:revision>18</cp:revision>
  <cp:lastPrinted>1900-12-31T16:00:00Z</cp:lastPrinted>
  <dcterms:created xsi:type="dcterms:W3CDTF">2018-09-05T05:25:00Z</dcterms:created>
  <dcterms:modified xsi:type="dcterms:W3CDTF">2019-08-23T07:55:00Z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QDII</vt:lpwstr>
  </property>
  <property fmtid="{D5CDD505-2E9C-101B-9397-08002B2CF9AE}" pid="3" name="ReportType">
    <vt:lpwstr>FB020</vt:lpwstr>
  </property>
  <property fmtid="{D5CDD505-2E9C-101B-9397-08002B2CF9AE}" pid="4" name="XmlPath">
    <vt:lpwstr>C:\Documents and Settings\Administrator\桌面\年报Word模板\货币年报模板配置文件.xml</vt:lpwstr>
  </property>
  <property fmtid="{D5CDD505-2E9C-101B-9397-08002B2CF9AE}" pid="5" name="FundId">
    <vt:lpwstr>82</vt:lpwstr>
  </property>
</Properties>
</file>