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47" w:rsidRDefault="00104447">
      <w:pPr>
        <w:spacing w:line="360" w:lineRule="auto"/>
        <w:jc w:val="center"/>
        <w:rPr>
          <w:rFonts w:ascii="黑体" w:eastAsia="黑体" w:hAnsi="黑体"/>
          <w:b/>
          <w:sz w:val="30"/>
          <w:szCs w:val="30"/>
        </w:rPr>
      </w:pPr>
      <w:r>
        <w:rPr>
          <w:rFonts w:ascii="黑体" w:eastAsia="黑体" w:hAnsi="黑体" w:hint="eastAsia"/>
          <w:b/>
          <w:sz w:val="30"/>
          <w:szCs w:val="30"/>
        </w:rPr>
        <w:t>天弘基金管理有限公司关于增加渤海银行股份有限公司为天弘弘运宝货币市场基金销售机构并开通申购、赎回、定投、转换业务的公告</w:t>
      </w:r>
    </w:p>
    <w:p w:rsidR="00104447" w:rsidRDefault="00104447">
      <w:pPr>
        <w:spacing w:line="500" w:lineRule="exact"/>
        <w:jc w:val="center"/>
        <w:rPr>
          <w:rFonts w:ascii="黑体" w:eastAsia="黑体" w:hAnsi="黑体"/>
          <w:b/>
          <w:sz w:val="30"/>
          <w:szCs w:val="30"/>
        </w:rPr>
      </w:pPr>
    </w:p>
    <w:p w:rsidR="00104447" w:rsidRDefault="00104447" w:rsidP="00781153">
      <w:pPr>
        <w:spacing w:line="500" w:lineRule="exact"/>
        <w:ind w:firstLineChars="200" w:firstLine="31680"/>
        <w:rPr>
          <w:rFonts w:ascii="仿宋_GB2312" w:eastAsia="仿宋_GB2312" w:hAnsiTheme="minorEastAsia"/>
          <w:kern w:val="0"/>
          <w:sz w:val="24"/>
          <w:szCs w:val="24"/>
        </w:rPr>
      </w:pPr>
      <w:r>
        <w:rPr>
          <w:rFonts w:ascii="仿宋_GB2312" w:eastAsia="仿宋_GB2312" w:hAnsiTheme="minorEastAsia" w:hint="eastAsia"/>
          <w:kern w:val="0"/>
          <w:sz w:val="24"/>
          <w:szCs w:val="24"/>
        </w:rPr>
        <w:t>根据天弘基金管理有限公司（以下简称“本公司”）与渤海银行股份有限公司（以下简称“渤海银行”）签署的相关基金销售服务协议，自</w:t>
      </w:r>
      <w:r>
        <w:rPr>
          <w:rFonts w:ascii="仿宋_GB2312" w:eastAsia="仿宋_GB2312" w:hAnsiTheme="minorEastAsia"/>
          <w:kern w:val="0"/>
          <w:sz w:val="24"/>
          <w:szCs w:val="24"/>
        </w:rPr>
        <w:t>2019</w:t>
      </w:r>
      <w:r>
        <w:rPr>
          <w:rFonts w:ascii="仿宋_GB2312" w:eastAsia="仿宋_GB2312" w:hAnsiTheme="minorEastAsia" w:hint="eastAsia"/>
          <w:kern w:val="0"/>
          <w:sz w:val="24"/>
          <w:szCs w:val="24"/>
        </w:rPr>
        <w:t>年</w:t>
      </w:r>
      <w:r>
        <w:rPr>
          <w:rFonts w:ascii="仿宋_GB2312" w:eastAsia="仿宋_GB2312" w:hAnsiTheme="minorEastAsia"/>
          <w:kern w:val="0"/>
          <w:sz w:val="24"/>
          <w:szCs w:val="24"/>
        </w:rPr>
        <w:t>08</w:t>
      </w:r>
      <w:r>
        <w:rPr>
          <w:rFonts w:ascii="仿宋_GB2312" w:eastAsia="仿宋_GB2312" w:hAnsiTheme="minorEastAsia" w:hint="eastAsia"/>
          <w:kern w:val="0"/>
          <w:sz w:val="24"/>
          <w:szCs w:val="24"/>
        </w:rPr>
        <w:t>月</w:t>
      </w:r>
      <w:r>
        <w:rPr>
          <w:rFonts w:ascii="仿宋_GB2312" w:eastAsia="仿宋_GB2312" w:hAnsiTheme="minorEastAsia"/>
          <w:kern w:val="0"/>
          <w:sz w:val="24"/>
          <w:szCs w:val="24"/>
        </w:rPr>
        <w:t>26</w:t>
      </w:r>
      <w:r>
        <w:rPr>
          <w:rFonts w:ascii="仿宋_GB2312" w:eastAsia="仿宋_GB2312" w:hAnsiTheme="minorEastAsia" w:hint="eastAsia"/>
          <w:kern w:val="0"/>
          <w:sz w:val="24"/>
          <w:szCs w:val="24"/>
        </w:rPr>
        <w:t>日起，本公司增加渤海银行为天弘弘运宝货币市场基金（以下简称“本基金”）的销售机构并开通申购、赎回、定期定额投资（以下简称“定投”）、转换业务。详情如下：</w:t>
      </w:r>
    </w:p>
    <w:p w:rsidR="00104447" w:rsidRDefault="00104447" w:rsidP="00781153">
      <w:pPr>
        <w:spacing w:line="500" w:lineRule="exact"/>
        <w:ind w:firstLineChars="200" w:firstLine="31680"/>
        <w:rPr>
          <w:rFonts w:ascii="仿宋_GB2312" w:eastAsia="仿宋_GB2312" w:hAnsiTheme="minorEastAsia"/>
          <w:kern w:val="0"/>
          <w:sz w:val="24"/>
          <w:szCs w:val="24"/>
        </w:rPr>
      </w:pPr>
      <w:r>
        <w:rPr>
          <w:rFonts w:ascii="仿宋_GB2312" w:eastAsia="仿宋_GB2312" w:hAnsiTheme="minorEastAsia" w:hint="eastAsia"/>
          <w:kern w:val="0"/>
          <w:sz w:val="24"/>
          <w:szCs w:val="24"/>
        </w:rPr>
        <w:t>一、适用的投资者范围</w:t>
      </w:r>
    </w:p>
    <w:p w:rsidR="00104447" w:rsidRDefault="00104447" w:rsidP="00781153">
      <w:pPr>
        <w:spacing w:line="500" w:lineRule="exact"/>
        <w:ind w:firstLineChars="200" w:firstLine="31680"/>
        <w:rPr>
          <w:rFonts w:ascii="仿宋_GB2312" w:eastAsia="仿宋_GB2312" w:hAnsiTheme="minorEastAsia"/>
          <w:kern w:val="0"/>
          <w:sz w:val="24"/>
          <w:szCs w:val="24"/>
        </w:rPr>
      </w:pPr>
      <w:r>
        <w:rPr>
          <w:rFonts w:ascii="仿宋_GB2312" w:eastAsia="仿宋_GB2312" w:hAnsiTheme="minorEastAsia" w:hint="eastAsia"/>
          <w:kern w:val="0"/>
          <w:sz w:val="24"/>
          <w:szCs w:val="24"/>
        </w:rPr>
        <w:t>通过渤海银行指定平台办理本基金的申购、赎回、定投、转换业务且符合基金合同约定的投资者。</w:t>
      </w:r>
    </w:p>
    <w:p w:rsidR="00104447" w:rsidRDefault="00104447" w:rsidP="00781153">
      <w:pPr>
        <w:spacing w:line="500" w:lineRule="exact"/>
        <w:ind w:firstLineChars="200" w:firstLine="31680"/>
        <w:rPr>
          <w:rFonts w:ascii="仿宋_GB2312" w:eastAsia="仿宋_GB2312" w:hAnsiTheme="minorEastAsia"/>
          <w:kern w:val="0"/>
          <w:sz w:val="24"/>
          <w:szCs w:val="24"/>
        </w:rPr>
      </w:pPr>
      <w:r>
        <w:rPr>
          <w:rFonts w:ascii="仿宋_GB2312" w:eastAsia="仿宋_GB2312" w:hAnsiTheme="minorEastAsia" w:hint="eastAsia"/>
          <w:kern w:val="0"/>
          <w:sz w:val="24"/>
          <w:szCs w:val="24"/>
        </w:rPr>
        <w:t>二、适用的基金范围</w:t>
      </w:r>
    </w:p>
    <w:tbl>
      <w:tblPr>
        <w:tblW w:w="5000" w:type="pct"/>
        <w:tblLook w:val="04A0"/>
      </w:tblPr>
      <w:tblGrid>
        <w:gridCol w:w="2948"/>
        <w:gridCol w:w="1731"/>
        <w:gridCol w:w="1531"/>
        <w:gridCol w:w="1156"/>
        <w:gridCol w:w="1156"/>
      </w:tblGrid>
      <w:tr w:rsidR="00104447" w:rsidRPr="00781153" w:rsidTr="001B6FDC">
        <w:trPr>
          <w:trHeight w:val="640"/>
        </w:trPr>
        <w:tc>
          <w:tcPr>
            <w:tcW w:w="1730" w:type="pct"/>
            <w:tcBorders>
              <w:top w:val="single" w:sz="4" w:space="0" w:color="auto"/>
              <w:left w:val="single" w:sz="4" w:space="0" w:color="auto"/>
              <w:bottom w:val="single" w:sz="4" w:space="0" w:color="auto"/>
              <w:right w:val="single" w:sz="4" w:space="0" w:color="auto"/>
            </w:tcBorders>
            <w:vAlign w:val="center"/>
            <w:hideMark/>
          </w:tcPr>
          <w:p w:rsidR="00104447" w:rsidRPr="00781153" w:rsidRDefault="00104447" w:rsidP="00B84C37">
            <w:pPr>
              <w:rPr>
                <w:rFonts w:ascii="仿宋_GB2312" w:eastAsia="仿宋_GB2312" w:hAnsiTheme="minorEastAsia" w:cstheme="minorBidi"/>
                <w:kern w:val="0"/>
                <w:sz w:val="24"/>
                <w:szCs w:val="24"/>
              </w:rPr>
            </w:pPr>
            <w:r w:rsidRPr="00781153">
              <w:rPr>
                <w:rFonts w:ascii="仿宋_GB2312" w:eastAsia="仿宋_GB2312" w:hAnsiTheme="minorEastAsia" w:cstheme="minorBidi" w:hint="eastAsia"/>
                <w:kern w:val="0"/>
                <w:sz w:val="24"/>
                <w:szCs w:val="24"/>
              </w:rPr>
              <w:t>基金名称</w:t>
            </w:r>
          </w:p>
        </w:tc>
        <w:tc>
          <w:tcPr>
            <w:tcW w:w="1016" w:type="pct"/>
            <w:tcBorders>
              <w:top w:val="single" w:sz="4" w:space="0" w:color="auto"/>
              <w:left w:val="nil"/>
              <w:bottom w:val="single" w:sz="4" w:space="0" w:color="auto"/>
              <w:right w:val="single" w:sz="4" w:space="0" w:color="auto"/>
            </w:tcBorders>
            <w:vAlign w:val="center"/>
            <w:hideMark/>
          </w:tcPr>
          <w:p w:rsidR="00104447" w:rsidRPr="00781153" w:rsidRDefault="00104447" w:rsidP="00B84C37">
            <w:pPr>
              <w:rPr>
                <w:rFonts w:ascii="仿宋_GB2312" w:eastAsia="仿宋_GB2312" w:hAnsiTheme="minorEastAsia" w:cstheme="minorBidi"/>
                <w:kern w:val="0"/>
                <w:sz w:val="24"/>
                <w:szCs w:val="24"/>
              </w:rPr>
            </w:pPr>
            <w:r w:rsidRPr="00781153">
              <w:rPr>
                <w:rFonts w:ascii="仿宋_GB2312" w:eastAsia="仿宋_GB2312" w:hAnsiTheme="minorEastAsia" w:cstheme="minorBidi" w:hint="eastAsia"/>
                <w:kern w:val="0"/>
                <w:sz w:val="24"/>
                <w:szCs w:val="24"/>
              </w:rPr>
              <w:t>基金代码</w:t>
            </w:r>
          </w:p>
        </w:tc>
        <w:tc>
          <w:tcPr>
            <w:tcW w:w="898" w:type="pct"/>
            <w:tcBorders>
              <w:top w:val="single" w:sz="4" w:space="0" w:color="auto"/>
              <w:left w:val="nil"/>
              <w:bottom w:val="single" w:sz="4" w:space="0" w:color="auto"/>
              <w:right w:val="single" w:sz="4" w:space="0" w:color="auto"/>
            </w:tcBorders>
            <w:vAlign w:val="center"/>
            <w:hideMark/>
          </w:tcPr>
          <w:p w:rsidR="00104447" w:rsidRPr="00781153" w:rsidRDefault="00104447" w:rsidP="00B84C37">
            <w:pPr>
              <w:rPr>
                <w:rFonts w:ascii="仿宋_GB2312" w:eastAsia="仿宋_GB2312" w:hAnsiTheme="minorEastAsia" w:cstheme="minorBidi"/>
                <w:kern w:val="0"/>
                <w:sz w:val="24"/>
                <w:szCs w:val="24"/>
              </w:rPr>
            </w:pPr>
            <w:r w:rsidRPr="00781153">
              <w:rPr>
                <w:rFonts w:ascii="仿宋_GB2312" w:eastAsia="仿宋_GB2312" w:hAnsiTheme="minorEastAsia" w:cstheme="minorBidi" w:hint="eastAsia"/>
                <w:kern w:val="0"/>
                <w:sz w:val="24"/>
                <w:szCs w:val="24"/>
              </w:rPr>
              <w:t>是否开通申购、赎回</w:t>
            </w:r>
          </w:p>
        </w:tc>
        <w:tc>
          <w:tcPr>
            <w:tcW w:w="678" w:type="pct"/>
            <w:tcBorders>
              <w:top w:val="single" w:sz="4" w:space="0" w:color="auto"/>
              <w:left w:val="nil"/>
              <w:bottom w:val="single" w:sz="4" w:space="0" w:color="auto"/>
              <w:right w:val="single" w:sz="4" w:space="0" w:color="auto"/>
            </w:tcBorders>
            <w:vAlign w:val="center"/>
            <w:hideMark/>
          </w:tcPr>
          <w:p w:rsidR="00104447" w:rsidRPr="00781153" w:rsidRDefault="00104447" w:rsidP="00B84C37">
            <w:pPr>
              <w:rPr>
                <w:rFonts w:ascii="仿宋_GB2312" w:eastAsia="仿宋_GB2312" w:hAnsiTheme="minorEastAsia" w:cstheme="minorBidi"/>
                <w:kern w:val="0"/>
                <w:sz w:val="24"/>
                <w:szCs w:val="24"/>
              </w:rPr>
            </w:pPr>
            <w:r w:rsidRPr="00781153">
              <w:rPr>
                <w:rFonts w:ascii="仿宋_GB2312" w:eastAsia="仿宋_GB2312" w:hAnsiTheme="minorEastAsia" w:cstheme="minorBidi" w:hint="eastAsia"/>
                <w:kern w:val="0"/>
                <w:sz w:val="24"/>
                <w:szCs w:val="24"/>
              </w:rPr>
              <w:t>是否开通定投</w:t>
            </w:r>
          </w:p>
        </w:tc>
        <w:tc>
          <w:tcPr>
            <w:tcW w:w="678" w:type="pct"/>
            <w:tcBorders>
              <w:top w:val="single" w:sz="4" w:space="0" w:color="auto"/>
              <w:left w:val="nil"/>
              <w:bottom w:val="single" w:sz="4" w:space="0" w:color="auto"/>
              <w:right w:val="single" w:sz="4" w:space="0" w:color="auto"/>
            </w:tcBorders>
            <w:vAlign w:val="center"/>
            <w:hideMark/>
          </w:tcPr>
          <w:p w:rsidR="00104447" w:rsidRPr="00781153" w:rsidRDefault="00104447" w:rsidP="00B84C37">
            <w:pPr>
              <w:rPr>
                <w:rFonts w:ascii="仿宋_GB2312" w:eastAsia="仿宋_GB2312" w:hAnsiTheme="minorEastAsia" w:cstheme="minorBidi"/>
                <w:kern w:val="0"/>
                <w:sz w:val="24"/>
                <w:szCs w:val="24"/>
              </w:rPr>
            </w:pPr>
            <w:r w:rsidRPr="00781153">
              <w:rPr>
                <w:rFonts w:ascii="仿宋_GB2312" w:eastAsia="仿宋_GB2312" w:hAnsiTheme="minorEastAsia" w:cstheme="minorBidi" w:hint="eastAsia"/>
                <w:kern w:val="0"/>
                <w:sz w:val="24"/>
                <w:szCs w:val="24"/>
              </w:rPr>
              <w:t>是否开通转换</w:t>
            </w:r>
          </w:p>
        </w:tc>
      </w:tr>
      <w:tr w:rsidR="00104447" w:rsidRPr="00781153" w:rsidTr="00F054F2">
        <w:trPr>
          <w:trHeight w:val="340"/>
        </w:trPr>
        <w:tc>
          <w:tcPr>
            <w:tcW w:w="1730" w:type="pct"/>
            <w:vMerge w:val="restart"/>
            <w:tcBorders>
              <w:top w:val="single" w:sz="4" w:space="0" w:color="auto"/>
              <w:left w:val="single" w:sz="4" w:space="0" w:color="auto"/>
              <w:right w:val="single" w:sz="4" w:space="0" w:color="auto"/>
            </w:tcBorders>
            <w:vAlign w:val="center"/>
            <w:hideMark/>
          </w:tcPr>
          <w:p w:rsidR="00104447" w:rsidRPr="00781153" w:rsidRDefault="00104447" w:rsidP="00B84C37">
            <w:pPr>
              <w:rPr>
                <w:rFonts w:ascii="仿宋_GB2312" w:eastAsia="仿宋_GB2312" w:hAnsiTheme="minorEastAsia" w:cstheme="minorBidi"/>
                <w:kern w:val="0"/>
                <w:sz w:val="24"/>
                <w:szCs w:val="24"/>
              </w:rPr>
            </w:pPr>
            <w:bookmarkStart w:id="0" w:name="_GoBack" w:colFirst="4" w:colLast="4"/>
            <w:r w:rsidRPr="00781153">
              <w:rPr>
                <w:rFonts w:ascii="仿宋_GB2312" w:eastAsia="仿宋_GB2312" w:hAnsiTheme="minorEastAsia" w:cstheme="minorBidi" w:hint="eastAsia"/>
                <w:kern w:val="0"/>
                <w:sz w:val="24"/>
                <w:szCs w:val="24"/>
              </w:rPr>
              <w:t>天弘弘运宝货币市场基金</w:t>
            </w:r>
          </w:p>
        </w:tc>
        <w:tc>
          <w:tcPr>
            <w:tcW w:w="1016" w:type="pct"/>
            <w:tcBorders>
              <w:top w:val="single" w:sz="4" w:space="0" w:color="auto"/>
              <w:left w:val="nil"/>
              <w:bottom w:val="single" w:sz="4" w:space="0" w:color="auto"/>
              <w:right w:val="single" w:sz="4" w:space="0" w:color="auto"/>
            </w:tcBorders>
            <w:noWrap/>
            <w:vAlign w:val="center"/>
            <w:hideMark/>
          </w:tcPr>
          <w:p w:rsidR="00104447" w:rsidRPr="00781153" w:rsidRDefault="00104447" w:rsidP="00B84C37">
            <w:pPr>
              <w:rPr>
                <w:rFonts w:ascii="仿宋_GB2312" w:eastAsia="仿宋_GB2312" w:hAnsiTheme="minorEastAsia" w:cstheme="minorBidi"/>
                <w:kern w:val="0"/>
                <w:sz w:val="24"/>
                <w:szCs w:val="24"/>
              </w:rPr>
            </w:pPr>
            <w:r w:rsidRPr="00781153">
              <w:rPr>
                <w:rFonts w:ascii="仿宋_GB2312" w:eastAsia="仿宋_GB2312" w:hAnsiTheme="minorEastAsia" w:cstheme="minorBidi"/>
                <w:kern w:val="0"/>
                <w:sz w:val="24"/>
                <w:szCs w:val="24"/>
              </w:rPr>
              <w:t>A</w:t>
            </w:r>
            <w:r w:rsidRPr="00781153">
              <w:rPr>
                <w:rFonts w:ascii="仿宋_GB2312" w:eastAsia="仿宋_GB2312" w:hAnsiTheme="minorEastAsia" w:cstheme="minorBidi" w:hint="eastAsia"/>
                <w:kern w:val="0"/>
                <w:sz w:val="24"/>
                <w:szCs w:val="24"/>
              </w:rPr>
              <w:t>类：</w:t>
            </w:r>
            <w:r w:rsidRPr="00781153">
              <w:rPr>
                <w:rFonts w:ascii="仿宋_GB2312" w:eastAsia="仿宋_GB2312" w:hAnsiTheme="minorEastAsia" w:cstheme="minorBidi"/>
                <w:kern w:val="0"/>
                <w:sz w:val="24"/>
                <w:szCs w:val="24"/>
              </w:rPr>
              <w:t>001386</w:t>
            </w:r>
          </w:p>
        </w:tc>
        <w:tc>
          <w:tcPr>
            <w:tcW w:w="898" w:type="pct"/>
            <w:vMerge w:val="restart"/>
            <w:tcBorders>
              <w:top w:val="single" w:sz="4" w:space="0" w:color="auto"/>
              <w:left w:val="nil"/>
              <w:right w:val="single" w:sz="4" w:space="0" w:color="auto"/>
            </w:tcBorders>
            <w:noWrap/>
            <w:vAlign w:val="center"/>
            <w:hideMark/>
          </w:tcPr>
          <w:p w:rsidR="00104447" w:rsidRPr="00781153" w:rsidRDefault="00104447" w:rsidP="00B84C37">
            <w:pPr>
              <w:rPr>
                <w:rFonts w:ascii="仿宋_GB2312" w:eastAsia="仿宋_GB2312" w:hAnsiTheme="minorEastAsia" w:cstheme="minorBidi"/>
                <w:kern w:val="0"/>
                <w:sz w:val="24"/>
                <w:szCs w:val="24"/>
              </w:rPr>
            </w:pPr>
            <w:r w:rsidRPr="00781153">
              <w:rPr>
                <w:rFonts w:ascii="仿宋_GB2312" w:eastAsia="仿宋_GB2312" w:hAnsiTheme="minorEastAsia" w:cstheme="minorBidi" w:hint="eastAsia"/>
                <w:kern w:val="0"/>
                <w:sz w:val="24"/>
                <w:szCs w:val="24"/>
              </w:rPr>
              <w:t>是</w:t>
            </w:r>
          </w:p>
        </w:tc>
        <w:tc>
          <w:tcPr>
            <w:tcW w:w="678" w:type="pct"/>
            <w:vMerge w:val="restart"/>
            <w:tcBorders>
              <w:top w:val="single" w:sz="4" w:space="0" w:color="auto"/>
              <w:left w:val="nil"/>
              <w:right w:val="single" w:sz="4" w:space="0" w:color="auto"/>
            </w:tcBorders>
            <w:noWrap/>
            <w:vAlign w:val="center"/>
            <w:hideMark/>
          </w:tcPr>
          <w:p w:rsidR="00104447" w:rsidRPr="00781153" w:rsidRDefault="00104447" w:rsidP="00B84C37">
            <w:pPr>
              <w:rPr>
                <w:rFonts w:ascii="仿宋_GB2312" w:eastAsia="仿宋_GB2312" w:hAnsiTheme="minorEastAsia" w:cstheme="minorBidi"/>
                <w:kern w:val="0"/>
                <w:sz w:val="24"/>
                <w:szCs w:val="24"/>
              </w:rPr>
            </w:pPr>
            <w:r w:rsidRPr="00781153">
              <w:rPr>
                <w:rFonts w:ascii="仿宋_GB2312" w:eastAsia="仿宋_GB2312" w:hAnsiTheme="minorEastAsia" w:cstheme="minorBidi" w:hint="eastAsia"/>
                <w:kern w:val="0"/>
                <w:sz w:val="24"/>
                <w:szCs w:val="24"/>
              </w:rPr>
              <w:t>是</w:t>
            </w:r>
          </w:p>
        </w:tc>
        <w:tc>
          <w:tcPr>
            <w:tcW w:w="678" w:type="pct"/>
            <w:vMerge w:val="restart"/>
            <w:tcBorders>
              <w:top w:val="single" w:sz="4" w:space="0" w:color="auto"/>
              <w:left w:val="nil"/>
              <w:right w:val="single" w:sz="4" w:space="0" w:color="auto"/>
            </w:tcBorders>
            <w:noWrap/>
            <w:vAlign w:val="center"/>
            <w:hideMark/>
          </w:tcPr>
          <w:p w:rsidR="00104447" w:rsidRPr="00781153" w:rsidRDefault="00104447" w:rsidP="00B84C37">
            <w:pPr>
              <w:rPr>
                <w:rFonts w:ascii="仿宋_GB2312" w:eastAsia="仿宋_GB2312" w:hAnsiTheme="minorEastAsia" w:cstheme="minorBidi"/>
                <w:kern w:val="0"/>
                <w:sz w:val="24"/>
                <w:szCs w:val="24"/>
              </w:rPr>
            </w:pPr>
            <w:r w:rsidRPr="00781153">
              <w:rPr>
                <w:rFonts w:ascii="仿宋_GB2312" w:eastAsia="仿宋_GB2312" w:hAnsiTheme="minorEastAsia" w:cstheme="minorBidi" w:hint="eastAsia"/>
                <w:kern w:val="0"/>
                <w:sz w:val="24"/>
                <w:szCs w:val="24"/>
              </w:rPr>
              <w:t>是</w:t>
            </w:r>
          </w:p>
        </w:tc>
      </w:tr>
      <w:bookmarkEnd w:id="0"/>
      <w:tr w:rsidR="00104447" w:rsidRPr="00781153" w:rsidTr="00F054F2">
        <w:trPr>
          <w:trHeight w:val="340"/>
        </w:trPr>
        <w:tc>
          <w:tcPr>
            <w:tcW w:w="1730" w:type="pct"/>
            <w:vMerge/>
            <w:tcBorders>
              <w:left w:val="single" w:sz="4" w:space="0" w:color="auto"/>
              <w:bottom w:val="single" w:sz="4" w:space="0" w:color="auto"/>
              <w:right w:val="single" w:sz="4" w:space="0" w:color="auto"/>
            </w:tcBorders>
            <w:vAlign w:val="center"/>
            <w:hideMark/>
          </w:tcPr>
          <w:p w:rsidR="00104447" w:rsidRPr="00781153" w:rsidRDefault="00104447" w:rsidP="00B84C37">
            <w:pPr>
              <w:rPr>
                <w:rFonts w:ascii="仿宋_GB2312" w:eastAsia="仿宋_GB2312" w:hAnsiTheme="minorEastAsia" w:cstheme="minorBidi"/>
                <w:kern w:val="0"/>
                <w:sz w:val="24"/>
                <w:szCs w:val="24"/>
              </w:rPr>
            </w:pPr>
          </w:p>
        </w:tc>
        <w:tc>
          <w:tcPr>
            <w:tcW w:w="1016" w:type="pct"/>
            <w:tcBorders>
              <w:top w:val="single" w:sz="4" w:space="0" w:color="auto"/>
              <w:left w:val="nil"/>
              <w:bottom w:val="single" w:sz="4" w:space="0" w:color="auto"/>
              <w:right w:val="single" w:sz="4" w:space="0" w:color="auto"/>
            </w:tcBorders>
            <w:noWrap/>
            <w:vAlign w:val="center"/>
            <w:hideMark/>
          </w:tcPr>
          <w:p w:rsidR="00104447" w:rsidRPr="00781153" w:rsidRDefault="00104447" w:rsidP="00B84C37">
            <w:pPr>
              <w:rPr>
                <w:rFonts w:ascii="仿宋_GB2312" w:eastAsia="仿宋_GB2312" w:hAnsiTheme="minorEastAsia" w:cstheme="minorBidi"/>
                <w:kern w:val="0"/>
                <w:sz w:val="24"/>
                <w:szCs w:val="24"/>
              </w:rPr>
            </w:pPr>
            <w:r w:rsidRPr="00781153">
              <w:rPr>
                <w:rFonts w:ascii="仿宋_GB2312" w:eastAsia="仿宋_GB2312" w:hAnsiTheme="minorEastAsia" w:cstheme="minorBidi"/>
                <w:kern w:val="0"/>
                <w:sz w:val="24"/>
                <w:szCs w:val="24"/>
              </w:rPr>
              <w:t>B</w:t>
            </w:r>
            <w:r w:rsidRPr="00781153">
              <w:rPr>
                <w:rFonts w:ascii="仿宋_GB2312" w:eastAsia="仿宋_GB2312" w:hAnsiTheme="minorEastAsia" w:cstheme="minorBidi" w:hint="eastAsia"/>
                <w:kern w:val="0"/>
                <w:sz w:val="24"/>
                <w:szCs w:val="24"/>
              </w:rPr>
              <w:t>类：</w:t>
            </w:r>
            <w:r w:rsidRPr="00781153">
              <w:rPr>
                <w:rFonts w:ascii="仿宋_GB2312" w:eastAsia="仿宋_GB2312" w:hAnsiTheme="minorEastAsia" w:cstheme="minorBidi"/>
                <w:kern w:val="0"/>
                <w:sz w:val="24"/>
                <w:szCs w:val="24"/>
              </w:rPr>
              <w:t>001391</w:t>
            </w:r>
          </w:p>
        </w:tc>
        <w:tc>
          <w:tcPr>
            <w:tcW w:w="898" w:type="pct"/>
            <w:vMerge/>
            <w:tcBorders>
              <w:left w:val="nil"/>
              <w:bottom w:val="single" w:sz="4" w:space="0" w:color="auto"/>
              <w:right w:val="single" w:sz="4" w:space="0" w:color="auto"/>
            </w:tcBorders>
            <w:noWrap/>
            <w:vAlign w:val="center"/>
            <w:hideMark/>
          </w:tcPr>
          <w:p w:rsidR="00104447" w:rsidRPr="00781153" w:rsidRDefault="00104447" w:rsidP="00B84C37">
            <w:pPr>
              <w:rPr>
                <w:rFonts w:ascii="仿宋_GB2312" w:eastAsia="仿宋_GB2312" w:hAnsiTheme="minorEastAsia" w:cstheme="minorBidi"/>
                <w:kern w:val="0"/>
                <w:sz w:val="24"/>
                <w:szCs w:val="24"/>
              </w:rPr>
            </w:pPr>
          </w:p>
        </w:tc>
        <w:tc>
          <w:tcPr>
            <w:tcW w:w="678" w:type="pct"/>
            <w:vMerge/>
            <w:tcBorders>
              <w:left w:val="nil"/>
              <w:bottom w:val="single" w:sz="4" w:space="0" w:color="auto"/>
              <w:right w:val="single" w:sz="4" w:space="0" w:color="auto"/>
            </w:tcBorders>
            <w:noWrap/>
            <w:vAlign w:val="center"/>
            <w:hideMark/>
          </w:tcPr>
          <w:p w:rsidR="00104447" w:rsidRPr="00781153" w:rsidRDefault="00104447" w:rsidP="00B84C37">
            <w:pPr>
              <w:rPr>
                <w:rFonts w:ascii="仿宋_GB2312" w:eastAsia="仿宋_GB2312" w:hAnsiTheme="minorEastAsia" w:cstheme="minorBidi"/>
                <w:kern w:val="0"/>
                <w:sz w:val="24"/>
                <w:szCs w:val="24"/>
              </w:rPr>
            </w:pPr>
          </w:p>
        </w:tc>
        <w:tc>
          <w:tcPr>
            <w:tcW w:w="678" w:type="pct"/>
            <w:vMerge/>
            <w:tcBorders>
              <w:left w:val="nil"/>
              <w:bottom w:val="single" w:sz="4" w:space="0" w:color="auto"/>
              <w:right w:val="single" w:sz="4" w:space="0" w:color="auto"/>
            </w:tcBorders>
            <w:noWrap/>
            <w:vAlign w:val="center"/>
            <w:hideMark/>
          </w:tcPr>
          <w:p w:rsidR="00104447" w:rsidRPr="00781153" w:rsidRDefault="00104447" w:rsidP="00B84C37">
            <w:pPr>
              <w:rPr>
                <w:rFonts w:ascii="仿宋_GB2312" w:eastAsia="仿宋_GB2312" w:hAnsiTheme="minorEastAsia" w:cstheme="minorBidi"/>
                <w:kern w:val="0"/>
                <w:sz w:val="24"/>
                <w:szCs w:val="24"/>
              </w:rPr>
            </w:pPr>
          </w:p>
        </w:tc>
      </w:tr>
    </w:tbl>
    <w:p w:rsidR="00104447" w:rsidRDefault="00104447" w:rsidP="00104447">
      <w:pPr>
        <w:spacing w:line="500" w:lineRule="exact"/>
        <w:ind w:firstLineChars="200" w:firstLine="31680"/>
        <w:rPr>
          <w:rFonts w:ascii="仿宋_GB2312" w:eastAsia="仿宋_GB2312" w:hAnsiTheme="minorEastAsia"/>
          <w:kern w:val="0"/>
          <w:sz w:val="24"/>
          <w:szCs w:val="24"/>
        </w:rPr>
      </w:pPr>
      <w:r>
        <w:rPr>
          <w:rFonts w:ascii="仿宋_GB2312" w:eastAsia="仿宋_GB2312" w:hAnsiTheme="minorEastAsia" w:hint="eastAsia"/>
          <w:kern w:val="0"/>
          <w:sz w:val="24"/>
          <w:szCs w:val="24"/>
        </w:rPr>
        <w:t>注：</w:t>
      </w:r>
      <w:r>
        <w:rPr>
          <w:rFonts w:ascii="仿宋_GB2312" w:eastAsia="仿宋_GB2312" w:hAnsiTheme="minorEastAsia"/>
          <w:kern w:val="0"/>
          <w:sz w:val="24"/>
          <w:szCs w:val="24"/>
        </w:rPr>
        <w:t>1</w:t>
      </w:r>
      <w:r>
        <w:rPr>
          <w:rFonts w:ascii="仿宋_GB2312" w:eastAsia="仿宋_GB2312" w:hAnsiTheme="minorEastAsia" w:hint="eastAsia"/>
          <w:kern w:val="0"/>
          <w:sz w:val="24"/>
          <w:szCs w:val="24"/>
        </w:rPr>
        <w:t>、同一基金的不同基金份额类别之间不得互相转换。</w:t>
      </w:r>
    </w:p>
    <w:p w:rsidR="00104447" w:rsidRDefault="00104447" w:rsidP="00781153">
      <w:pPr>
        <w:spacing w:line="500" w:lineRule="exact"/>
        <w:ind w:firstLineChars="400" w:firstLine="31680"/>
        <w:rPr>
          <w:rFonts w:ascii="仿宋_GB2312" w:eastAsia="仿宋_GB2312" w:hAnsiTheme="minorEastAsia"/>
          <w:color w:val="FF0000"/>
          <w:kern w:val="0"/>
          <w:sz w:val="24"/>
          <w:szCs w:val="24"/>
        </w:rPr>
      </w:pPr>
      <w:r>
        <w:rPr>
          <w:rFonts w:ascii="仿宋_GB2312" w:eastAsia="仿宋_GB2312" w:hAnsiTheme="minorEastAsia"/>
          <w:kern w:val="0"/>
          <w:sz w:val="24"/>
          <w:szCs w:val="24"/>
        </w:rPr>
        <w:t>2</w:t>
      </w:r>
      <w:r>
        <w:rPr>
          <w:rFonts w:ascii="仿宋_GB2312" w:eastAsia="仿宋_GB2312" w:hAnsiTheme="minorEastAsia" w:hint="eastAsia"/>
          <w:kern w:val="0"/>
          <w:sz w:val="24"/>
          <w:szCs w:val="24"/>
        </w:rPr>
        <w:t>、具体的转换范围请以渤海银行指定平台公示的信息为准。</w:t>
      </w:r>
    </w:p>
    <w:p w:rsidR="00104447" w:rsidRDefault="00104447" w:rsidP="00781153">
      <w:pPr>
        <w:spacing w:line="500" w:lineRule="exact"/>
        <w:ind w:firstLineChars="200" w:firstLine="31680"/>
        <w:rPr>
          <w:rFonts w:ascii="仿宋_GB2312" w:eastAsia="仿宋_GB2312" w:hAnsiTheme="minorEastAsia"/>
          <w:kern w:val="0"/>
          <w:sz w:val="24"/>
          <w:szCs w:val="24"/>
        </w:rPr>
      </w:pPr>
      <w:r>
        <w:rPr>
          <w:rFonts w:ascii="仿宋_GB2312" w:eastAsia="仿宋_GB2312" w:hAnsiTheme="minorEastAsia" w:hint="eastAsia"/>
          <w:kern w:val="0"/>
          <w:sz w:val="24"/>
          <w:szCs w:val="24"/>
        </w:rPr>
        <w:t>三、重要提示</w:t>
      </w:r>
    </w:p>
    <w:p w:rsidR="00104447" w:rsidRDefault="00104447" w:rsidP="00781153">
      <w:pPr>
        <w:spacing w:line="500" w:lineRule="exact"/>
        <w:ind w:firstLineChars="200" w:firstLine="31680"/>
        <w:rPr>
          <w:rFonts w:ascii="仿宋_GB2312" w:eastAsia="仿宋_GB2312" w:hAnsiTheme="minorEastAsia"/>
          <w:kern w:val="0"/>
          <w:sz w:val="24"/>
          <w:szCs w:val="24"/>
        </w:rPr>
      </w:pPr>
      <w:r>
        <w:rPr>
          <w:rFonts w:ascii="仿宋_GB2312" w:eastAsia="仿宋_GB2312" w:hAnsiTheme="minorEastAsia"/>
          <w:kern w:val="0"/>
          <w:sz w:val="24"/>
          <w:szCs w:val="24"/>
        </w:rPr>
        <w:t>1</w:t>
      </w:r>
      <w:r>
        <w:rPr>
          <w:rFonts w:ascii="仿宋_GB2312" w:eastAsia="仿宋_GB2312" w:hAnsiTheme="minorEastAsia" w:hint="eastAsia"/>
          <w:kern w:val="0"/>
          <w:sz w:val="24"/>
          <w:szCs w:val="24"/>
        </w:rPr>
        <w:t>、本基金遵循的转换业务规则详见本公司</w:t>
      </w:r>
      <w:r>
        <w:rPr>
          <w:rFonts w:ascii="仿宋_GB2312" w:eastAsia="仿宋_GB2312" w:hAnsiTheme="minorEastAsia"/>
          <w:kern w:val="0"/>
          <w:sz w:val="24"/>
          <w:szCs w:val="24"/>
        </w:rPr>
        <w:t>2014</w:t>
      </w:r>
      <w:r>
        <w:rPr>
          <w:rFonts w:ascii="仿宋_GB2312" w:eastAsia="仿宋_GB2312" w:hAnsiTheme="minorEastAsia" w:hint="eastAsia"/>
          <w:kern w:val="0"/>
          <w:sz w:val="24"/>
          <w:szCs w:val="24"/>
        </w:rPr>
        <w:t>年</w:t>
      </w:r>
      <w:r>
        <w:rPr>
          <w:rFonts w:ascii="仿宋_GB2312" w:eastAsia="仿宋_GB2312" w:hAnsiTheme="minorEastAsia"/>
          <w:kern w:val="0"/>
          <w:sz w:val="24"/>
          <w:szCs w:val="24"/>
        </w:rPr>
        <w:t>12</w:t>
      </w:r>
      <w:r>
        <w:rPr>
          <w:rFonts w:ascii="仿宋_GB2312" w:eastAsia="仿宋_GB2312" w:hAnsiTheme="minorEastAsia" w:hint="eastAsia"/>
          <w:kern w:val="0"/>
          <w:sz w:val="24"/>
          <w:szCs w:val="24"/>
        </w:rPr>
        <w:t>月</w:t>
      </w:r>
      <w:r>
        <w:rPr>
          <w:rFonts w:ascii="仿宋_GB2312" w:eastAsia="仿宋_GB2312" w:hAnsiTheme="minorEastAsia"/>
          <w:kern w:val="0"/>
          <w:sz w:val="24"/>
          <w:szCs w:val="24"/>
        </w:rPr>
        <w:t>15</w:t>
      </w:r>
      <w:r>
        <w:rPr>
          <w:rFonts w:ascii="仿宋_GB2312" w:eastAsia="仿宋_GB2312" w:hAnsiTheme="minorEastAsia" w:hint="eastAsia"/>
          <w:kern w:val="0"/>
          <w:sz w:val="24"/>
          <w:szCs w:val="24"/>
        </w:rPr>
        <w:t>日披露的《天弘基金管理有限公司关于公司旗下开放式基金转换业务规则说明的公告》。</w:t>
      </w:r>
    </w:p>
    <w:p w:rsidR="00104447" w:rsidRDefault="00104447" w:rsidP="00781153">
      <w:pPr>
        <w:spacing w:line="500" w:lineRule="exact"/>
        <w:ind w:firstLineChars="200" w:firstLine="31680"/>
        <w:rPr>
          <w:rFonts w:ascii="仿宋_GB2312" w:eastAsia="仿宋_GB2312" w:hAnsiTheme="minorEastAsia"/>
          <w:kern w:val="0"/>
          <w:sz w:val="24"/>
          <w:szCs w:val="24"/>
        </w:rPr>
      </w:pPr>
      <w:r>
        <w:rPr>
          <w:rFonts w:ascii="仿宋_GB2312" w:eastAsia="仿宋_GB2312" w:hAnsiTheme="minorEastAsia"/>
          <w:kern w:val="0"/>
          <w:sz w:val="24"/>
          <w:szCs w:val="24"/>
        </w:rPr>
        <w:t>2</w:t>
      </w:r>
      <w:r>
        <w:rPr>
          <w:rFonts w:ascii="仿宋_GB2312" w:eastAsia="仿宋_GB2312" w:hAnsiTheme="minorEastAsia" w:hint="eastAsia"/>
          <w:kern w:val="0"/>
          <w:sz w:val="24"/>
          <w:szCs w:val="24"/>
        </w:rPr>
        <w:t>、投资者欲了解本基金的详细情况，请仔细阅读本基金的基金合同、招募说明书等法律文件。</w:t>
      </w:r>
    </w:p>
    <w:p w:rsidR="00104447" w:rsidRDefault="00104447" w:rsidP="00781153">
      <w:pPr>
        <w:spacing w:line="500" w:lineRule="exact"/>
        <w:ind w:firstLineChars="200" w:firstLine="31680"/>
        <w:rPr>
          <w:rFonts w:ascii="仿宋_GB2312" w:eastAsia="仿宋_GB2312" w:hAnsiTheme="minorEastAsia"/>
          <w:kern w:val="0"/>
          <w:sz w:val="24"/>
          <w:szCs w:val="24"/>
        </w:rPr>
      </w:pPr>
      <w:r>
        <w:rPr>
          <w:rFonts w:ascii="仿宋_GB2312" w:eastAsia="仿宋_GB2312" w:hAnsiTheme="minorEastAsia"/>
          <w:kern w:val="0"/>
          <w:sz w:val="24"/>
          <w:szCs w:val="24"/>
        </w:rPr>
        <w:t>3</w:t>
      </w:r>
      <w:r>
        <w:rPr>
          <w:rFonts w:ascii="仿宋_GB2312" w:eastAsia="仿宋_GB2312" w:hAnsiTheme="minorEastAsia" w:hint="eastAsia"/>
          <w:kern w:val="0"/>
          <w:sz w:val="24"/>
          <w:szCs w:val="24"/>
        </w:rPr>
        <w:t>、上述相关业务办理规则的具体内容请以渤海银行的规定、公告或通知为准。</w:t>
      </w:r>
    </w:p>
    <w:p w:rsidR="00104447" w:rsidRDefault="00104447" w:rsidP="00781153">
      <w:pPr>
        <w:spacing w:line="500" w:lineRule="exact"/>
        <w:ind w:firstLineChars="200" w:firstLine="31680"/>
        <w:rPr>
          <w:rFonts w:ascii="仿宋_GB2312" w:eastAsia="仿宋_GB2312" w:hAnsiTheme="minorEastAsia"/>
          <w:kern w:val="0"/>
          <w:sz w:val="24"/>
          <w:szCs w:val="24"/>
        </w:rPr>
      </w:pPr>
    </w:p>
    <w:p w:rsidR="00104447" w:rsidRDefault="00104447" w:rsidP="00781153">
      <w:pPr>
        <w:spacing w:line="500" w:lineRule="exact"/>
        <w:ind w:firstLineChars="200" w:firstLine="31680"/>
        <w:rPr>
          <w:rFonts w:ascii="仿宋_GB2312" w:eastAsia="仿宋_GB2312" w:hAnsiTheme="minorEastAsia"/>
          <w:kern w:val="0"/>
          <w:sz w:val="24"/>
          <w:szCs w:val="24"/>
        </w:rPr>
      </w:pPr>
      <w:r>
        <w:rPr>
          <w:rFonts w:ascii="仿宋_GB2312" w:eastAsia="仿宋_GB2312" w:hAnsiTheme="minorEastAsia" w:hint="eastAsia"/>
          <w:kern w:val="0"/>
          <w:sz w:val="24"/>
          <w:szCs w:val="24"/>
        </w:rPr>
        <w:t>投资者可以通过以下途径咨询有关情况：</w:t>
      </w:r>
    </w:p>
    <w:p w:rsidR="00104447" w:rsidRDefault="00104447" w:rsidP="00781153">
      <w:pPr>
        <w:spacing w:line="500" w:lineRule="exact"/>
        <w:ind w:firstLineChars="200" w:firstLine="31680"/>
        <w:rPr>
          <w:rFonts w:ascii="仿宋_GB2312" w:eastAsia="仿宋_GB2312" w:hAnsiTheme="minorEastAsia"/>
          <w:kern w:val="0"/>
          <w:sz w:val="24"/>
          <w:szCs w:val="24"/>
        </w:rPr>
      </w:pPr>
      <w:r>
        <w:rPr>
          <w:rFonts w:ascii="仿宋_GB2312" w:eastAsia="仿宋_GB2312" w:hAnsiTheme="minorEastAsia"/>
          <w:kern w:val="0"/>
          <w:sz w:val="24"/>
          <w:szCs w:val="24"/>
        </w:rPr>
        <w:t>(1)</w:t>
      </w:r>
      <w:r>
        <w:rPr>
          <w:rFonts w:ascii="仿宋_GB2312" w:eastAsia="仿宋_GB2312" w:hAnsiTheme="minorEastAsia" w:hint="eastAsia"/>
          <w:kern w:val="0"/>
          <w:sz w:val="24"/>
          <w:szCs w:val="24"/>
        </w:rPr>
        <w:t>天弘基金管理有限公司</w:t>
      </w:r>
    </w:p>
    <w:p w:rsidR="00104447" w:rsidRDefault="00104447" w:rsidP="00781153">
      <w:pPr>
        <w:spacing w:line="500" w:lineRule="exact"/>
        <w:ind w:firstLineChars="200" w:firstLine="31680"/>
        <w:rPr>
          <w:rFonts w:ascii="仿宋_GB2312" w:eastAsia="仿宋_GB2312" w:hAnsiTheme="minorEastAsia"/>
          <w:kern w:val="0"/>
          <w:sz w:val="24"/>
          <w:szCs w:val="24"/>
        </w:rPr>
      </w:pPr>
      <w:r>
        <w:rPr>
          <w:rFonts w:ascii="仿宋_GB2312" w:eastAsia="仿宋_GB2312" w:hAnsiTheme="minorEastAsia" w:hint="eastAsia"/>
          <w:kern w:val="0"/>
          <w:sz w:val="24"/>
          <w:szCs w:val="24"/>
        </w:rPr>
        <w:t>客服热线：</w:t>
      </w:r>
      <w:r>
        <w:rPr>
          <w:rFonts w:ascii="仿宋_GB2312" w:eastAsia="仿宋_GB2312" w:hAnsiTheme="minorEastAsia"/>
          <w:kern w:val="0"/>
          <w:sz w:val="24"/>
          <w:szCs w:val="24"/>
        </w:rPr>
        <w:t>95046</w:t>
      </w:r>
    </w:p>
    <w:p w:rsidR="00104447" w:rsidRDefault="00104447" w:rsidP="00781153">
      <w:pPr>
        <w:spacing w:line="500" w:lineRule="exact"/>
        <w:ind w:firstLineChars="200" w:firstLine="31680"/>
        <w:rPr>
          <w:rFonts w:ascii="仿宋_GB2312" w:eastAsia="仿宋_GB2312" w:hAnsiTheme="minorEastAsia"/>
          <w:kern w:val="0"/>
          <w:sz w:val="24"/>
          <w:szCs w:val="24"/>
        </w:rPr>
      </w:pPr>
      <w:r>
        <w:rPr>
          <w:rFonts w:ascii="仿宋_GB2312" w:eastAsia="仿宋_GB2312" w:hAnsiTheme="minorEastAsia" w:hint="eastAsia"/>
          <w:kern w:val="0"/>
          <w:sz w:val="24"/>
          <w:szCs w:val="24"/>
        </w:rPr>
        <w:t>网站：</w:t>
      </w:r>
      <w:r>
        <w:rPr>
          <w:rFonts w:ascii="仿宋_GB2312" w:eastAsia="仿宋_GB2312" w:hAnsiTheme="minorEastAsia"/>
          <w:kern w:val="0"/>
          <w:sz w:val="24"/>
          <w:szCs w:val="24"/>
        </w:rPr>
        <w:t>www.thfund.com.cn</w:t>
      </w:r>
    </w:p>
    <w:p w:rsidR="00104447" w:rsidRDefault="00104447" w:rsidP="00781153">
      <w:pPr>
        <w:spacing w:line="500" w:lineRule="exact"/>
        <w:ind w:firstLineChars="200" w:firstLine="31680"/>
        <w:rPr>
          <w:rFonts w:ascii="仿宋_GB2312" w:eastAsia="仿宋_GB2312" w:hAnsiTheme="minorEastAsia"/>
          <w:kern w:val="0"/>
          <w:sz w:val="24"/>
          <w:szCs w:val="24"/>
        </w:rPr>
      </w:pPr>
      <w:r>
        <w:rPr>
          <w:rFonts w:ascii="仿宋_GB2312" w:eastAsia="仿宋_GB2312" w:hAnsiTheme="minorEastAsia"/>
          <w:kern w:val="0"/>
          <w:sz w:val="24"/>
          <w:szCs w:val="24"/>
        </w:rPr>
        <w:t>(2)</w:t>
      </w:r>
      <w:r>
        <w:rPr>
          <w:rFonts w:ascii="仿宋_GB2312" w:eastAsia="仿宋_GB2312" w:hAnsiTheme="minorEastAsia" w:hint="eastAsia"/>
          <w:kern w:val="0"/>
          <w:sz w:val="24"/>
          <w:szCs w:val="24"/>
        </w:rPr>
        <w:t>渤海银行股份有限公司</w:t>
      </w:r>
    </w:p>
    <w:p w:rsidR="00104447" w:rsidRDefault="00104447" w:rsidP="00781153">
      <w:pPr>
        <w:spacing w:line="500" w:lineRule="exact"/>
        <w:ind w:firstLineChars="200" w:firstLine="31680"/>
        <w:rPr>
          <w:rFonts w:ascii="仿宋_GB2312" w:eastAsia="仿宋_GB2312" w:hAnsiTheme="minorEastAsia"/>
          <w:kern w:val="0"/>
          <w:sz w:val="24"/>
          <w:szCs w:val="24"/>
        </w:rPr>
      </w:pPr>
      <w:r>
        <w:rPr>
          <w:rFonts w:ascii="仿宋_GB2312" w:eastAsia="仿宋_GB2312" w:hAnsiTheme="minorEastAsia" w:hint="eastAsia"/>
          <w:kern w:val="0"/>
          <w:sz w:val="24"/>
          <w:szCs w:val="24"/>
        </w:rPr>
        <w:t>客服热线：</w:t>
      </w:r>
      <w:r>
        <w:rPr>
          <w:rFonts w:ascii="仿宋_GB2312" w:eastAsia="仿宋_GB2312" w:hAnsiTheme="minorEastAsia"/>
          <w:kern w:val="0"/>
          <w:sz w:val="24"/>
          <w:szCs w:val="24"/>
        </w:rPr>
        <w:t>400 888 8811</w:t>
      </w:r>
    </w:p>
    <w:p w:rsidR="00104447" w:rsidRDefault="00104447" w:rsidP="00781153">
      <w:pPr>
        <w:spacing w:line="500" w:lineRule="exact"/>
        <w:ind w:firstLineChars="200" w:firstLine="31680"/>
        <w:rPr>
          <w:rFonts w:ascii="仿宋_GB2312" w:eastAsia="仿宋_GB2312" w:hAnsiTheme="minorEastAsia"/>
          <w:kern w:val="0"/>
          <w:sz w:val="24"/>
          <w:szCs w:val="24"/>
        </w:rPr>
      </w:pPr>
      <w:r>
        <w:rPr>
          <w:rFonts w:ascii="仿宋_GB2312" w:eastAsia="仿宋_GB2312" w:hAnsiTheme="minorEastAsia" w:hint="eastAsia"/>
          <w:kern w:val="0"/>
          <w:sz w:val="24"/>
          <w:szCs w:val="24"/>
        </w:rPr>
        <w:t>网站：</w:t>
      </w:r>
      <w:r>
        <w:rPr>
          <w:rFonts w:ascii="仿宋_GB2312" w:eastAsia="仿宋_GB2312" w:hAnsiTheme="minorEastAsia"/>
          <w:kern w:val="0"/>
          <w:sz w:val="24"/>
          <w:szCs w:val="24"/>
        </w:rPr>
        <w:t>www.cbhb.com.cn</w:t>
      </w:r>
    </w:p>
    <w:p w:rsidR="00104447" w:rsidRDefault="00104447" w:rsidP="00781153">
      <w:pPr>
        <w:spacing w:line="500" w:lineRule="exact"/>
        <w:ind w:firstLineChars="200" w:firstLine="31680"/>
        <w:rPr>
          <w:rFonts w:ascii="仿宋_GB2312" w:eastAsia="仿宋_GB2312" w:hAnsiTheme="minorEastAsia"/>
          <w:kern w:val="0"/>
          <w:sz w:val="24"/>
          <w:szCs w:val="24"/>
        </w:rPr>
      </w:pPr>
    </w:p>
    <w:p w:rsidR="00104447" w:rsidRDefault="00104447" w:rsidP="00781153">
      <w:pPr>
        <w:spacing w:line="500" w:lineRule="exact"/>
        <w:ind w:firstLineChars="200" w:firstLine="31680"/>
        <w:rPr>
          <w:rFonts w:ascii="仿宋_GB2312" w:eastAsia="仿宋_GB2312" w:hAnsiTheme="minorEastAsia"/>
          <w:kern w:val="0"/>
          <w:sz w:val="24"/>
          <w:szCs w:val="24"/>
        </w:rPr>
      </w:pPr>
      <w:r>
        <w:rPr>
          <w:rFonts w:ascii="仿宋_GB2312" w:eastAsia="仿宋_GB2312" w:hAnsiTheme="minorEastAsia" w:hint="eastAsia"/>
          <w:kern w:val="0"/>
          <w:sz w:val="24"/>
          <w:szCs w:val="24"/>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104447" w:rsidRDefault="00104447" w:rsidP="00781153">
      <w:pPr>
        <w:spacing w:line="500" w:lineRule="exact"/>
        <w:ind w:firstLineChars="200" w:firstLine="31680"/>
        <w:rPr>
          <w:rFonts w:ascii="仿宋_GB2312" w:eastAsia="仿宋_GB2312" w:hAnsiTheme="minorEastAsia"/>
          <w:kern w:val="0"/>
          <w:sz w:val="24"/>
          <w:szCs w:val="24"/>
        </w:rPr>
      </w:pPr>
      <w:r>
        <w:rPr>
          <w:rFonts w:ascii="仿宋_GB2312" w:eastAsia="仿宋_GB2312" w:hAnsiTheme="minorEastAsia" w:hint="eastAsia"/>
          <w:kern w:val="0"/>
          <w:sz w:val="24"/>
          <w:szCs w:val="24"/>
        </w:rPr>
        <w:t>特此公告。</w:t>
      </w:r>
    </w:p>
    <w:p w:rsidR="00104447" w:rsidRDefault="00104447" w:rsidP="00781153">
      <w:pPr>
        <w:spacing w:line="500" w:lineRule="exact"/>
        <w:ind w:firstLineChars="200" w:firstLine="31680"/>
        <w:rPr>
          <w:rFonts w:ascii="仿宋_GB2312" w:eastAsia="仿宋_GB2312" w:hAnsiTheme="minorEastAsia"/>
          <w:kern w:val="0"/>
          <w:sz w:val="24"/>
          <w:szCs w:val="24"/>
        </w:rPr>
      </w:pPr>
    </w:p>
    <w:p w:rsidR="00104447" w:rsidRDefault="00104447" w:rsidP="00781153">
      <w:pPr>
        <w:spacing w:line="500" w:lineRule="exact"/>
        <w:ind w:firstLineChars="200" w:firstLine="31680"/>
        <w:jc w:val="right"/>
        <w:rPr>
          <w:rFonts w:ascii="仿宋_GB2312" w:eastAsia="仿宋_GB2312" w:hAnsiTheme="minorEastAsia"/>
          <w:kern w:val="0"/>
          <w:sz w:val="24"/>
          <w:szCs w:val="24"/>
        </w:rPr>
      </w:pPr>
      <w:r>
        <w:rPr>
          <w:rFonts w:ascii="仿宋_GB2312" w:eastAsia="仿宋_GB2312" w:hAnsiTheme="minorEastAsia" w:hint="eastAsia"/>
          <w:kern w:val="0"/>
          <w:sz w:val="24"/>
          <w:szCs w:val="24"/>
        </w:rPr>
        <w:t>天弘基金管理有限公司</w:t>
      </w:r>
    </w:p>
    <w:p w:rsidR="00104447" w:rsidRDefault="00104447" w:rsidP="00781153">
      <w:pPr>
        <w:spacing w:line="500" w:lineRule="exact"/>
        <w:ind w:firstLineChars="200" w:firstLine="31680"/>
        <w:jc w:val="right"/>
        <w:rPr>
          <w:rFonts w:ascii="仿宋_GB2312" w:eastAsia="仿宋_GB2312" w:hAnsiTheme="minorEastAsia"/>
          <w:kern w:val="0"/>
          <w:sz w:val="24"/>
          <w:szCs w:val="24"/>
        </w:rPr>
      </w:pPr>
      <w:r>
        <w:rPr>
          <w:rFonts w:ascii="仿宋_GB2312" w:eastAsia="仿宋_GB2312" w:hAnsiTheme="minorEastAsia" w:hint="eastAsia"/>
          <w:kern w:val="0"/>
          <w:sz w:val="24"/>
          <w:szCs w:val="24"/>
        </w:rPr>
        <w:t>二〇一九年八月二十六日</w:t>
      </w:r>
    </w:p>
    <w:p w:rsidR="00104447" w:rsidRDefault="00104447"/>
    <w:sectPr w:rsidR="00104447" w:rsidSect="00512E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447" w:rsidRDefault="00104447" w:rsidP="00650CD5">
      <w:r>
        <w:separator/>
      </w:r>
    </w:p>
  </w:endnote>
  <w:endnote w:type="continuationSeparator" w:id="0">
    <w:p w:rsidR="00104447" w:rsidRDefault="00104447" w:rsidP="00650C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libri 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447" w:rsidRDefault="00104447" w:rsidP="00650CD5">
      <w:r>
        <w:separator/>
      </w:r>
    </w:p>
  </w:footnote>
  <w:footnote w:type="continuationSeparator" w:id="0">
    <w:p w:rsidR="00104447" w:rsidRDefault="00104447" w:rsidP="00650C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5D57"/>
    <w:rsid w:val="000F6E6E"/>
    <w:rsid w:val="00104447"/>
    <w:rsid w:val="00196A4A"/>
    <w:rsid w:val="001A3889"/>
    <w:rsid w:val="001B6FDC"/>
    <w:rsid w:val="002B3CCC"/>
    <w:rsid w:val="002E4340"/>
    <w:rsid w:val="00331674"/>
    <w:rsid w:val="00356495"/>
    <w:rsid w:val="003619A9"/>
    <w:rsid w:val="004F4E49"/>
    <w:rsid w:val="004F6463"/>
    <w:rsid w:val="00512E2F"/>
    <w:rsid w:val="005860F1"/>
    <w:rsid w:val="00650CD5"/>
    <w:rsid w:val="00676E63"/>
    <w:rsid w:val="006C1230"/>
    <w:rsid w:val="007313D0"/>
    <w:rsid w:val="00781153"/>
    <w:rsid w:val="007D6643"/>
    <w:rsid w:val="007F1F52"/>
    <w:rsid w:val="008105CA"/>
    <w:rsid w:val="00816251"/>
    <w:rsid w:val="00864BA1"/>
    <w:rsid w:val="00891A42"/>
    <w:rsid w:val="008F410B"/>
    <w:rsid w:val="0092667D"/>
    <w:rsid w:val="00933705"/>
    <w:rsid w:val="009B7DBB"/>
    <w:rsid w:val="00A43AC9"/>
    <w:rsid w:val="00A77F25"/>
    <w:rsid w:val="00A87A36"/>
    <w:rsid w:val="00AD61F4"/>
    <w:rsid w:val="00B62D55"/>
    <w:rsid w:val="00B720FF"/>
    <w:rsid w:val="00B84C37"/>
    <w:rsid w:val="00B92D98"/>
    <w:rsid w:val="00B935AD"/>
    <w:rsid w:val="00B9612F"/>
    <w:rsid w:val="00BD1473"/>
    <w:rsid w:val="00BD3B13"/>
    <w:rsid w:val="00BF34A8"/>
    <w:rsid w:val="00C572F2"/>
    <w:rsid w:val="00C871D6"/>
    <w:rsid w:val="00CF13F6"/>
    <w:rsid w:val="00DA27CB"/>
    <w:rsid w:val="00E608C2"/>
    <w:rsid w:val="00E73379"/>
    <w:rsid w:val="00E95D57"/>
    <w:rsid w:val="00F054F2"/>
    <w:rsid w:val="00F85F97"/>
    <w:rsid w:val="07B44795"/>
    <w:rsid w:val="0A3B1E81"/>
    <w:rsid w:val="0C056191"/>
    <w:rsid w:val="0C696660"/>
    <w:rsid w:val="0F782FE4"/>
    <w:rsid w:val="12171AB2"/>
    <w:rsid w:val="15E62014"/>
    <w:rsid w:val="18CC21C7"/>
    <w:rsid w:val="18DF7303"/>
    <w:rsid w:val="1D3B3FD8"/>
    <w:rsid w:val="1D7F11DA"/>
    <w:rsid w:val="1F735E29"/>
    <w:rsid w:val="1FAC2991"/>
    <w:rsid w:val="21E12B39"/>
    <w:rsid w:val="227043A6"/>
    <w:rsid w:val="256143C6"/>
    <w:rsid w:val="26221A5A"/>
    <w:rsid w:val="279B616B"/>
    <w:rsid w:val="29453B56"/>
    <w:rsid w:val="2D0C6008"/>
    <w:rsid w:val="32D46979"/>
    <w:rsid w:val="34B97D51"/>
    <w:rsid w:val="3530527A"/>
    <w:rsid w:val="35C924BF"/>
    <w:rsid w:val="37B87A9E"/>
    <w:rsid w:val="3BC350E6"/>
    <w:rsid w:val="3E33185B"/>
    <w:rsid w:val="3FB64504"/>
    <w:rsid w:val="3FEE33A5"/>
    <w:rsid w:val="40282EB0"/>
    <w:rsid w:val="41540218"/>
    <w:rsid w:val="41F34A63"/>
    <w:rsid w:val="42C24312"/>
    <w:rsid w:val="45675F1B"/>
    <w:rsid w:val="46446852"/>
    <w:rsid w:val="469D0119"/>
    <w:rsid w:val="46BB285C"/>
    <w:rsid w:val="47631DC3"/>
    <w:rsid w:val="47A01B78"/>
    <w:rsid w:val="47DB44C7"/>
    <w:rsid w:val="49536C69"/>
    <w:rsid w:val="4B812093"/>
    <w:rsid w:val="4E695F14"/>
    <w:rsid w:val="4E9A792C"/>
    <w:rsid w:val="50D928F7"/>
    <w:rsid w:val="51FA3FE2"/>
    <w:rsid w:val="522E40FC"/>
    <w:rsid w:val="547513DF"/>
    <w:rsid w:val="57520238"/>
    <w:rsid w:val="57AB5D88"/>
    <w:rsid w:val="5898194D"/>
    <w:rsid w:val="5BBC24C8"/>
    <w:rsid w:val="5CAE4F92"/>
    <w:rsid w:val="5CD50F5C"/>
    <w:rsid w:val="5E3F035F"/>
    <w:rsid w:val="5E8A02CA"/>
    <w:rsid w:val="60A1312D"/>
    <w:rsid w:val="63783296"/>
    <w:rsid w:val="64993B6C"/>
    <w:rsid w:val="65A93367"/>
    <w:rsid w:val="65FB6554"/>
    <w:rsid w:val="66422E0D"/>
    <w:rsid w:val="667E3AE7"/>
    <w:rsid w:val="66E453F8"/>
    <w:rsid w:val="69ED1A07"/>
    <w:rsid w:val="6A7E1495"/>
    <w:rsid w:val="6B104E50"/>
    <w:rsid w:val="6B8A6615"/>
    <w:rsid w:val="6C181A9C"/>
    <w:rsid w:val="6EF554E8"/>
    <w:rsid w:val="707476D8"/>
    <w:rsid w:val="72A4405A"/>
    <w:rsid w:val="72FD289A"/>
    <w:rsid w:val="73842332"/>
    <w:rsid w:val="7457554C"/>
    <w:rsid w:val="777420B9"/>
    <w:rsid w:val="78907CB8"/>
    <w:rsid w:val="7C0166BA"/>
    <w:rsid w:val="7F6818C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E2F"/>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12E2F"/>
    <w:pPr>
      <w:jc w:val="left"/>
    </w:pPr>
  </w:style>
  <w:style w:type="character" w:customStyle="1" w:styleId="CommentTextChar">
    <w:name w:val="Comment Text Char"/>
    <w:basedOn w:val="DefaultParagraphFont"/>
    <w:link w:val="CommentText"/>
    <w:uiPriority w:val="99"/>
    <w:semiHidden/>
    <w:locked/>
    <w:rsid w:val="00512E2F"/>
    <w:rPr>
      <w:rFonts w:cs="Times New Roman"/>
    </w:rPr>
  </w:style>
  <w:style w:type="paragraph" w:styleId="BalloonText">
    <w:name w:val="Balloon Text"/>
    <w:basedOn w:val="Normal"/>
    <w:link w:val="BalloonTextChar"/>
    <w:uiPriority w:val="99"/>
    <w:semiHidden/>
    <w:unhideWhenUsed/>
    <w:qFormat/>
    <w:rsid w:val="00512E2F"/>
    <w:rPr>
      <w:sz w:val="18"/>
      <w:szCs w:val="18"/>
    </w:rPr>
  </w:style>
  <w:style w:type="character" w:customStyle="1" w:styleId="BalloonTextChar">
    <w:name w:val="Balloon Text Char"/>
    <w:basedOn w:val="DefaultParagraphFont"/>
    <w:link w:val="BalloonText"/>
    <w:uiPriority w:val="99"/>
    <w:semiHidden/>
    <w:locked/>
    <w:rsid w:val="00512E2F"/>
    <w:rPr>
      <w:rFonts w:cs="Times New Roman"/>
      <w:sz w:val="18"/>
      <w:szCs w:val="18"/>
    </w:rPr>
  </w:style>
  <w:style w:type="paragraph" w:styleId="Footer">
    <w:name w:val="footer"/>
    <w:basedOn w:val="Normal"/>
    <w:link w:val="FooterChar"/>
    <w:uiPriority w:val="99"/>
    <w:unhideWhenUsed/>
    <w:qFormat/>
    <w:rsid w:val="00512E2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qFormat/>
    <w:locked/>
    <w:rsid w:val="00512E2F"/>
    <w:rPr>
      <w:rFonts w:cs="Times New Roman"/>
      <w:sz w:val="18"/>
      <w:szCs w:val="18"/>
    </w:rPr>
  </w:style>
  <w:style w:type="paragraph" w:styleId="Header">
    <w:name w:val="header"/>
    <w:basedOn w:val="Normal"/>
    <w:link w:val="HeaderChar"/>
    <w:uiPriority w:val="99"/>
    <w:unhideWhenUsed/>
    <w:qFormat/>
    <w:rsid w:val="00512E2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qFormat/>
    <w:locked/>
    <w:rsid w:val="00512E2F"/>
    <w:rPr>
      <w:rFonts w:cs="Times New Roman"/>
      <w:sz w:val="18"/>
      <w:szCs w:val="18"/>
    </w:rPr>
  </w:style>
  <w:style w:type="character" w:styleId="CommentReference">
    <w:name w:val="annotation reference"/>
    <w:basedOn w:val="DefaultParagraphFont"/>
    <w:uiPriority w:val="99"/>
    <w:semiHidden/>
    <w:unhideWhenUsed/>
    <w:qFormat/>
    <w:rsid w:val="00512E2F"/>
    <w:rPr>
      <w:rFont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张圆辉</dc:creator>
  <cp:keywords/>
  <dc:description/>
  <cp:lastModifiedBy>ZHONGM</cp:lastModifiedBy>
  <cp:revision>2</cp:revision>
  <dcterms:created xsi:type="dcterms:W3CDTF">2019-08-25T16:01:00Z</dcterms:created>
  <dcterms:modified xsi:type="dcterms:W3CDTF">2019-08-25T16:01:00Z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