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B7" w:rsidRDefault="009166DE" w:rsidP="00DD79B7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 w:rsidRPr="009166DE">
        <w:rPr>
          <w:rFonts w:hint="eastAsia"/>
          <w:b/>
          <w:bCs/>
          <w:color w:val="000000"/>
          <w:sz w:val="30"/>
          <w:szCs w:val="30"/>
        </w:rPr>
        <w:t>摩根士丹利华鑫多因子精选策略混合型证券投资基金</w:t>
      </w:r>
    </w:p>
    <w:p w:rsidR="00E32195" w:rsidRDefault="00872813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基金经理变更公告</w:t>
      </w:r>
    </w:p>
    <w:p w:rsidR="00872813" w:rsidRPr="00355EE5" w:rsidRDefault="00872813" w:rsidP="00872813">
      <w:pPr>
        <w:spacing w:line="360" w:lineRule="auto"/>
        <w:jc w:val="center"/>
        <w:rPr>
          <w:rFonts w:ascii="宋体" w:hAnsi="宋体"/>
          <w:b/>
          <w:sz w:val="24"/>
        </w:rPr>
      </w:pPr>
      <w:r w:rsidRPr="00355EE5">
        <w:rPr>
          <w:rFonts w:ascii="宋体" w:hAnsi="宋体" w:hint="eastAsia"/>
          <w:b/>
          <w:sz w:val="24"/>
        </w:rPr>
        <w:t>公告</w:t>
      </w:r>
      <w:r w:rsidRPr="00355EE5">
        <w:rPr>
          <w:rFonts w:ascii="宋体" w:hAnsi="宋体"/>
          <w:b/>
          <w:sz w:val="24"/>
        </w:rPr>
        <w:t>送出日</w:t>
      </w:r>
      <w:r w:rsidRPr="00073777">
        <w:rPr>
          <w:rFonts w:ascii="宋体" w:hAnsi="宋体"/>
          <w:b/>
          <w:sz w:val="24"/>
        </w:rPr>
        <w:t>期：</w:t>
      </w:r>
      <w:r w:rsidR="00CA5AA8" w:rsidRPr="00073777">
        <w:rPr>
          <w:rFonts w:ascii="宋体" w:hAnsi="宋体"/>
          <w:b/>
          <w:sz w:val="24"/>
        </w:rPr>
        <w:t>201</w:t>
      </w:r>
      <w:r w:rsidR="009166DE">
        <w:rPr>
          <w:rFonts w:ascii="宋体" w:hAnsi="宋体"/>
          <w:b/>
          <w:sz w:val="24"/>
        </w:rPr>
        <w:t>9</w:t>
      </w:r>
      <w:r w:rsidR="00CA5AA8" w:rsidRPr="00073777">
        <w:rPr>
          <w:rFonts w:ascii="宋体" w:hAnsi="宋体"/>
          <w:b/>
          <w:sz w:val="24"/>
        </w:rPr>
        <w:t>年</w:t>
      </w:r>
      <w:r w:rsidR="009166DE">
        <w:rPr>
          <w:rFonts w:ascii="宋体" w:hAnsi="宋体"/>
          <w:b/>
          <w:sz w:val="24"/>
        </w:rPr>
        <w:t>8</w:t>
      </w:r>
      <w:r w:rsidR="00881BBE" w:rsidRPr="00073777">
        <w:rPr>
          <w:rFonts w:ascii="宋体" w:hAnsi="宋体"/>
          <w:b/>
          <w:sz w:val="24"/>
        </w:rPr>
        <w:t>月</w:t>
      </w:r>
      <w:r w:rsidR="00BB2650">
        <w:rPr>
          <w:rFonts w:ascii="宋体" w:hAnsi="宋体"/>
          <w:b/>
          <w:sz w:val="24"/>
        </w:rPr>
        <w:t>24</w:t>
      </w:r>
      <w:r w:rsidRPr="00073777">
        <w:rPr>
          <w:rFonts w:ascii="宋体" w:hAnsi="宋体"/>
          <w:b/>
          <w:sz w:val="24"/>
        </w:rPr>
        <w:t>日</w:t>
      </w:r>
    </w:p>
    <w:p w:rsidR="00872813" w:rsidRPr="00355EE5" w:rsidRDefault="00872813" w:rsidP="00872813">
      <w:pPr>
        <w:spacing w:line="360" w:lineRule="auto"/>
        <w:jc w:val="center"/>
        <w:rPr>
          <w:color w:val="000000"/>
          <w:sz w:val="24"/>
        </w:rPr>
      </w:pPr>
    </w:p>
    <w:bookmarkEnd w:id="0"/>
    <w:p w:rsidR="00872813" w:rsidRPr="00355EE5" w:rsidRDefault="00872813" w:rsidP="008B1106">
      <w:pPr>
        <w:pStyle w:val="3"/>
        <w:keepNext w:val="0"/>
        <w:keepLines w:val="0"/>
        <w:spacing w:beforeLines="50" w:afterLines="50" w:line="360" w:lineRule="auto"/>
        <w:rPr>
          <w:rFonts w:ascii="宋体" w:hAnsi="宋体"/>
          <w:bCs w:val="0"/>
          <w:sz w:val="24"/>
          <w:szCs w:val="24"/>
        </w:rPr>
      </w:pPr>
      <w:r w:rsidRPr="00355EE5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1"/>
        <w:gridCol w:w="5751"/>
      </w:tblGrid>
      <w:tr w:rsidR="00DD79B7" w:rsidRPr="00355EE5" w:rsidTr="00993D14">
        <w:trPr>
          <w:jc w:val="center"/>
        </w:trPr>
        <w:tc>
          <w:tcPr>
            <w:tcW w:w="1626" w:type="pct"/>
            <w:vAlign w:val="center"/>
          </w:tcPr>
          <w:p w:rsidR="00DD79B7" w:rsidRPr="00355EE5" w:rsidRDefault="00DD79B7" w:rsidP="00DD79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374" w:type="pct"/>
            <w:vAlign w:val="center"/>
          </w:tcPr>
          <w:p w:rsidR="00DD79B7" w:rsidRPr="00355EE5" w:rsidRDefault="009166DE" w:rsidP="00FB124B">
            <w:pPr>
              <w:rPr>
                <w:sz w:val="24"/>
              </w:rPr>
            </w:pPr>
            <w:r w:rsidRPr="009166DE">
              <w:rPr>
                <w:rFonts w:hint="eastAsia"/>
                <w:sz w:val="24"/>
              </w:rPr>
              <w:t>摩根士丹利华鑫多因子精选策略混合型证券投资基金</w:t>
            </w:r>
          </w:p>
        </w:tc>
      </w:tr>
      <w:tr w:rsidR="00DD79B7" w:rsidRPr="00355EE5" w:rsidTr="00993D14">
        <w:trPr>
          <w:jc w:val="center"/>
        </w:trPr>
        <w:tc>
          <w:tcPr>
            <w:tcW w:w="1626" w:type="pct"/>
            <w:vAlign w:val="center"/>
          </w:tcPr>
          <w:p w:rsidR="00DD79B7" w:rsidRDefault="00DD79B7" w:rsidP="00DD79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374" w:type="pct"/>
            <w:vAlign w:val="center"/>
          </w:tcPr>
          <w:p w:rsidR="00DD79B7" w:rsidRDefault="00830CE0" w:rsidP="00DD79B7">
            <w:pPr>
              <w:rPr>
                <w:sz w:val="24"/>
              </w:rPr>
            </w:pPr>
            <w:r w:rsidRPr="00830CE0">
              <w:rPr>
                <w:rFonts w:hint="eastAsia"/>
                <w:sz w:val="24"/>
              </w:rPr>
              <w:t>大摩多因子策略混合</w:t>
            </w:r>
          </w:p>
        </w:tc>
      </w:tr>
      <w:tr w:rsidR="00DD79B7" w:rsidRPr="00355EE5" w:rsidTr="00993D14">
        <w:trPr>
          <w:jc w:val="center"/>
        </w:trPr>
        <w:tc>
          <w:tcPr>
            <w:tcW w:w="1626" w:type="pct"/>
            <w:vAlign w:val="center"/>
          </w:tcPr>
          <w:p w:rsidR="00DD79B7" w:rsidRDefault="00DD79B7" w:rsidP="00DD79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374" w:type="pct"/>
            <w:vAlign w:val="center"/>
          </w:tcPr>
          <w:p w:rsidR="00DD79B7" w:rsidRPr="00AE69BE" w:rsidRDefault="00830CE0" w:rsidP="00FB124B">
            <w:pPr>
              <w:rPr>
                <w:rFonts w:asciiTheme="minorEastAsia" w:eastAsiaTheme="minorEastAsia" w:hAnsiTheme="minorEastAsia"/>
                <w:sz w:val="24"/>
              </w:rPr>
            </w:pPr>
            <w:r w:rsidRPr="00830CE0">
              <w:rPr>
                <w:rFonts w:asciiTheme="minorEastAsia" w:eastAsiaTheme="minorEastAsia" w:hAnsiTheme="minorEastAsia"/>
                <w:sz w:val="24"/>
              </w:rPr>
              <w:t>233009</w:t>
            </w:r>
          </w:p>
        </w:tc>
      </w:tr>
      <w:tr w:rsidR="00DD79B7" w:rsidRPr="00355EE5" w:rsidTr="00993D14">
        <w:trPr>
          <w:jc w:val="center"/>
        </w:trPr>
        <w:tc>
          <w:tcPr>
            <w:tcW w:w="1626" w:type="pct"/>
            <w:vAlign w:val="center"/>
          </w:tcPr>
          <w:p w:rsidR="00DD79B7" w:rsidRDefault="00DD79B7" w:rsidP="00DD79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374" w:type="pct"/>
            <w:vAlign w:val="center"/>
          </w:tcPr>
          <w:p w:rsidR="00DD79B7" w:rsidRDefault="00DD79B7" w:rsidP="00DD79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摩根士丹利华鑫基金管理有限公司</w:t>
            </w:r>
          </w:p>
        </w:tc>
      </w:tr>
      <w:tr w:rsidR="00DD79B7" w:rsidRPr="00355EE5" w:rsidTr="00993D14">
        <w:trPr>
          <w:jc w:val="center"/>
        </w:trPr>
        <w:tc>
          <w:tcPr>
            <w:tcW w:w="1626" w:type="pct"/>
            <w:vAlign w:val="center"/>
          </w:tcPr>
          <w:p w:rsidR="00DD79B7" w:rsidRDefault="00DD79B7" w:rsidP="00DD79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374" w:type="pct"/>
            <w:vAlign w:val="center"/>
          </w:tcPr>
          <w:p w:rsidR="00DD79B7" w:rsidRDefault="00DD79B7" w:rsidP="00DD79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《证券投资基金信息披露管理办法》、《基金管理公司投资管理人员管理指导意见》等有关法规</w:t>
            </w:r>
          </w:p>
        </w:tc>
      </w:tr>
      <w:tr w:rsidR="00CA48C6" w:rsidRPr="00355EE5" w:rsidTr="00993D14">
        <w:trPr>
          <w:jc w:val="center"/>
        </w:trPr>
        <w:tc>
          <w:tcPr>
            <w:tcW w:w="1626" w:type="pct"/>
            <w:vAlign w:val="center"/>
          </w:tcPr>
          <w:p w:rsidR="00CA48C6" w:rsidRDefault="00CA48C6" w:rsidP="00CA48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基金经理变更类型</w:t>
            </w:r>
          </w:p>
        </w:tc>
        <w:tc>
          <w:tcPr>
            <w:tcW w:w="3374" w:type="pct"/>
            <w:vAlign w:val="center"/>
          </w:tcPr>
          <w:p w:rsidR="00CA48C6" w:rsidRPr="00355EE5" w:rsidRDefault="0076581F" w:rsidP="00CA48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解聘</w:t>
            </w:r>
            <w:r>
              <w:rPr>
                <w:sz w:val="24"/>
              </w:rPr>
              <w:t>基金经理</w:t>
            </w:r>
          </w:p>
        </w:tc>
      </w:tr>
      <w:tr w:rsidR="00723F85" w:rsidRPr="00355EE5" w:rsidTr="00993D14">
        <w:trPr>
          <w:jc w:val="center"/>
        </w:trPr>
        <w:tc>
          <w:tcPr>
            <w:tcW w:w="1626" w:type="pct"/>
            <w:vAlign w:val="center"/>
          </w:tcPr>
          <w:p w:rsidR="00723F85" w:rsidRDefault="00723F85" w:rsidP="00993D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新任基金经理姓名</w:t>
            </w:r>
          </w:p>
        </w:tc>
        <w:tc>
          <w:tcPr>
            <w:tcW w:w="3374" w:type="pct"/>
            <w:vAlign w:val="center"/>
          </w:tcPr>
          <w:p w:rsidR="00723F85" w:rsidRDefault="00723F85" w:rsidP="00993D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</w:tr>
      <w:tr w:rsidR="00723F85" w:rsidRPr="00355EE5" w:rsidTr="00993D14">
        <w:trPr>
          <w:jc w:val="center"/>
        </w:trPr>
        <w:tc>
          <w:tcPr>
            <w:tcW w:w="1626" w:type="pct"/>
            <w:vAlign w:val="center"/>
          </w:tcPr>
          <w:p w:rsidR="00723F85" w:rsidRDefault="00723F85" w:rsidP="00993D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共同管理本基金的其他基金经理姓名</w:t>
            </w:r>
          </w:p>
        </w:tc>
        <w:tc>
          <w:tcPr>
            <w:tcW w:w="3374" w:type="pct"/>
            <w:vAlign w:val="center"/>
          </w:tcPr>
          <w:p w:rsidR="00723F85" w:rsidRDefault="009166DE" w:rsidP="00ED41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余斌</w:t>
            </w:r>
          </w:p>
        </w:tc>
      </w:tr>
      <w:tr w:rsidR="00723F85" w:rsidRPr="00355EE5" w:rsidTr="00993D14">
        <w:trPr>
          <w:jc w:val="center"/>
        </w:trPr>
        <w:tc>
          <w:tcPr>
            <w:tcW w:w="1626" w:type="pct"/>
            <w:vAlign w:val="center"/>
          </w:tcPr>
          <w:p w:rsidR="00723F85" w:rsidRDefault="00723F85" w:rsidP="00993D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离任基金经理姓名</w:t>
            </w:r>
          </w:p>
        </w:tc>
        <w:tc>
          <w:tcPr>
            <w:tcW w:w="3374" w:type="pct"/>
            <w:vAlign w:val="center"/>
          </w:tcPr>
          <w:p w:rsidR="00723F85" w:rsidRDefault="009166DE" w:rsidP="00993D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夏青</w:t>
            </w:r>
          </w:p>
        </w:tc>
      </w:tr>
    </w:tbl>
    <w:p w:rsidR="00482F35" w:rsidRPr="00355EE5" w:rsidRDefault="00267640" w:rsidP="00482F35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2</w:t>
      </w:r>
      <w:r w:rsidR="00482F35">
        <w:rPr>
          <w:rFonts w:ascii="宋体" w:hAnsi="宋体"/>
          <w:bCs w:val="0"/>
          <w:sz w:val="24"/>
          <w:szCs w:val="24"/>
        </w:rPr>
        <w:t>.离任基金经理的相关信息</w:t>
      </w:r>
    </w:p>
    <w:tbl>
      <w:tblPr>
        <w:tblW w:w="8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2"/>
        <w:gridCol w:w="5689"/>
      </w:tblGrid>
      <w:tr w:rsidR="00C36F78" w:rsidRPr="00355EE5" w:rsidTr="00482F35">
        <w:trPr>
          <w:jc w:val="center"/>
        </w:trPr>
        <w:tc>
          <w:tcPr>
            <w:tcW w:w="2892" w:type="dxa"/>
            <w:vAlign w:val="center"/>
          </w:tcPr>
          <w:p w:rsidR="00C36F78" w:rsidRPr="00355EE5" w:rsidRDefault="00C36F78" w:rsidP="00993D14">
            <w:pPr>
              <w:rPr>
                <w:sz w:val="24"/>
              </w:rPr>
            </w:pPr>
            <w:r w:rsidRPr="00355EE5">
              <w:rPr>
                <w:rFonts w:hint="eastAsia"/>
                <w:sz w:val="24"/>
              </w:rPr>
              <w:t>离任基金经理姓名</w:t>
            </w:r>
          </w:p>
        </w:tc>
        <w:tc>
          <w:tcPr>
            <w:tcW w:w="5689" w:type="dxa"/>
            <w:vAlign w:val="center"/>
          </w:tcPr>
          <w:p w:rsidR="00C36F78" w:rsidRDefault="009166DE" w:rsidP="00E82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夏青</w:t>
            </w:r>
          </w:p>
        </w:tc>
      </w:tr>
      <w:tr w:rsidR="00482F35" w:rsidRPr="00355EE5" w:rsidTr="00482F35">
        <w:trPr>
          <w:jc w:val="center"/>
        </w:trPr>
        <w:tc>
          <w:tcPr>
            <w:tcW w:w="2892" w:type="dxa"/>
            <w:vAlign w:val="center"/>
          </w:tcPr>
          <w:p w:rsidR="00482F35" w:rsidRPr="00355EE5" w:rsidRDefault="00482F35" w:rsidP="00993D14">
            <w:pPr>
              <w:rPr>
                <w:sz w:val="24"/>
              </w:rPr>
            </w:pPr>
            <w:r w:rsidRPr="00355EE5">
              <w:rPr>
                <w:rFonts w:hint="eastAsia"/>
                <w:sz w:val="24"/>
              </w:rPr>
              <w:t>离任原因</w:t>
            </w:r>
          </w:p>
        </w:tc>
        <w:tc>
          <w:tcPr>
            <w:tcW w:w="5689" w:type="dxa"/>
            <w:vAlign w:val="center"/>
          </w:tcPr>
          <w:p w:rsidR="00482F35" w:rsidRPr="00073916" w:rsidRDefault="00854336" w:rsidP="00F00D24">
            <w:pPr>
              <w:rPr>
                <w:sz w:val="24"/>
              </w:rPr>
            </w:pPr>
            <w:r w:rsidRPr="00073916">
              <w:rPr>
                <w:rFonts w:hint="eastAsia"/>
                <w:sz w:val="24"/>
              </w:rPr>
              <w:t>个人</w:t>
            </w:r>
            <w:r w:rsidR="00F00D24" w:rsidRPr="00073916">
              <w:rPr>
                <w:rFonts w:hint="eastAsia"/>
                <w:sz w:val="24"/>
              </w:rPr>
              <w:t>原因离职</w:t>
            </w:r>
          </w:p>
        </w:tc>
      </w:tr>
      <w:tr w:rsidR="00482F35" w:rsidRPr="00355EE5" w:rsidTr="00482F35">
        <w:trPr>
          <w:jc w:val="center"/>
        </w:trPr>
        <w:tc>
          <w:tcPr>
            <w:tcW w:w="2892" w:type="dxa"/>
            <w:vAlign w:val="center"/>
          </w:tcPr>
          <w:p w:rsidR="00482F35" w:rsidRPr="00355EE5" w:rsidRDefault="00482F35" w:rsidP="00993D14">
            <w:pPr>
              <w:rPr>
                <w:sz w:val="24"/>
              </w:rPr>
            </w:pPr>
            <w:r w:rsidRPr="00355EE5">
              <w:rPr>
                <w:rFonts w:hint="eastAsia"/>
                <w:sz w:val="24"/>
              </w:rPr>
              <w:t>离任日期</w:t>
            </w:r>
          </w:p>
        </w:tc>
        <w:tc>
          <w:tcPr>
            <w:tcW w:w="5689" w:type="dxa"/>
            <w:vAlign w:val="center"/>
          </w:tcPr>
          <w:p w:rsidR="00482F35" w:rsidRPr="00073916" w:rsidRDefault="00CA5AA8" w:rsidP="00BB2650">
            <w:pPr>
              <w:rPr>
                <w:sz w:val="24"/>
              </w:rPr>
            </w:pPr>
            <w:r w:rsidRPr="00073916">
              <w:rPr>
                <w:rFonts w:hint="eastAsia"/>
                <w:sz w:val="24"/>
              </w:rPr>
              <w:t>201</w:t>
            </w:r>
            <w:r w:rsidR="009166DE">
              <w:rPr>
                <w:sz w:val="24"/>
              </w:rPr>
              <w:t>9</w:t>
            </w:r>
            <w:r w:rsidRPr="00073916">
              <w:rPr>
                <w:rFonts w:hint="eastAsia"/>
                <w:sz w:val="24"/>
              </w:rPr>
              <w:t>年</w:t>
            </w:r>
            <w:r w:rsidR="009166DE">
              <w:rPr>
                <w:sz w:val="24"/>
              </w:rPr>
              <w:t>8</w:t>
            </w:r>
            <w:r w:rsidR="00482F35" w:rsidRPr="00073916">
              <w:rPr>
                <w:rFonts w:hint="eastAsia"/>
                <w:sz w:val="24"/>
              </w:rPr>
              <w:t>月</w:t>
            </w:r>
            <w:r w:rsidR="00BB2650">
              <w:rPr>
                <w:sz w:val="24"/>
              </w:rPr>
              <w:t>24</w:t>
            </w:r>
            <w:r w:rsidR="00482F35" w:rsidRPr="00073777">
              <w:rPr>
                <w:rFonts w:hint="eastAsia"/>
                <w:sz w:val="24"/>
              </w:rPr>
              <w:t>日</w:t>
            </w:r>
          </w:p>
        </w:tc>
      </w:tr>
      <w:tr w:rsidR="00482F35" w:rsidRPr="00355EE5" w:rsidTr="00482F35">
        <w:trPr>
          <w:jc w:val="center"/>
        </w:trPr>
        <w:tc>
          <w:tcPr>
            <w:tcW w:w="2892" w:type="dxa"/>
            <w:vAlign w:val="center"/>
          </w:tcPr>
          <w:p w:rsidR="00482F35" w:rsidRPr="00355EE5" w:rsidRDefault="00482F35" w:rsidP="00993D14">
            <w:pPr>
              <w:rPr>
                <w:sz w:val="24"/>
              </w:rPr>
            </w:pPr>
            <w:r w:rsidRPr="00555170">
              <w:rPr>
                <w:rFonts w:hint="eastAsia"/>
                <w:sz w:val="24"/>
              </w:rPr>
              <w:t>转任本公司其他工作岗位的说明</w:t>
            </w:r>
          </w:p>
        </w:tc>
        <w:tc>
          <w:tcPr>
            <w:tcW w:w="5689" w:type="dxa"/>
            <w:vAlign w:val="center"/>
          </w:tcPr>
          <w:p w:rsidR="00482F35" w:rsidRPr="008524A1" w:rsidRDefault="0088357C" w:rsidP="00993D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</w:tr>
      <w:tr w:rsidR="00482F35" w:rsidRPr="00355EE5" w:rsidTr="00482F35">
        <w:trPr>
          <w:jc w:val="center"/>
        </w:trPr>
        <w:tc>
          <w:tcPr>
            <w:tcW w:w="2892" w:type="dxa"/>
            <w:vAlign w:val="center"/>
          </w:tcPr>
          <w:p w:rsidR="00482F35" w:rsidRPr="00555170" w:rsidRDefault="00482F35" w:rsidP="00993D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是否已按规定在中国</w:t>
            </w:r>
            <w:r w:rsidR="00E919D2">
              <w:rPr>
                <w:rFonts w:hint="eastAsia"/>
                <w:sz w:val="24"/>
              </w:rPr>
              <w:t>基金</w:t>
            </w:r>
            <w:r>
              <w:rPr>
                <w:rFonts w:hint="eastAsia"/>
                <w:sz w:val="24"/>
              </w:rPr>
              <w:t>业协会办理变更手续</w:t>
            </w:r>
          </w:p>
        </w:tc>
        <w:tc>
          <w:tcPr>
            <w:tcW w:w="5689" w:type="dxa"/>
            <w:vAlign w:val="center"/>
          </w:tcPr>
          <w:p w:rsidR="00482F35" w:rsidRPr="00B73B71" w:rsidRDefault="00F31875" w:rsidP="00993D14">
            <w:pPr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  <w:bookmarkStart w:id="1" w:name="_GoBack"/>
            <w:bookmarkEnd w:id="1"/>
          </w:p>
        </w:tc>
      </w:tr>
      <w:tr w:rsidR="00482F35" w:rsidRPr="00355EE5" w:rsidTr="00482F35">
        <w:trPr>
          <w:jc w:val="center"/>
        </w:trPr>
        <w:tc>
          <w:tcPr>
            <w:tcW w:w="2892" w:type="dxa"/>
            <w:vAlign w:val="center"/>
          </w:tcPr>
          <w:p w:rsidR="00482F35" w:rsidRDefault="00482F35" w:rsidP="00993D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是否已按规定在中国</w:t>
            </w:r>
            <w:r w:rsidR="00E919D2">
              <w:rPr>
                <w:rFonts w:hint="eastAsia"/>
                <w:sz w:val="24"/>
              </w:rPr>
              <w:t>基金</w:t>
            </w:r>
            <w:r>
              <w:rPr>
                <w:rFonts w:hint="eastAsia"/>
                <w:sz w:val="24"/>
              </w:rPr>
              <w:t>业协会办理注销手续</w:t>
            </w:r>
          </w:p>
        </w:tc>
        <w:tc>
          <w:tcPr>
            <w:tcW w:w="5689" w:type="dxa"/>
            <w:vAlign w:val="center"/>
          </w:tcPr>
          <w:p w:rsidR="00482F35" w:rsidRDefault="00993D14" w:rsidP="00993D14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</w:t>
            </w:r>
          </w:p>
        </w:tc>
      </w:tr>
    </w:tbl>
    <w:p w:rsidR="00872813" w:rsidRPr="00371AB5" w:rsidRDefault="00267640" w:rsidP="008B1106">
      <w:pPr>
        <w:pStyle w:val="3"/>
        <w:keepNext w:val="0"/>
        <w:keepLines w:val="0"/>
        <w:spacing w:beforeLines="50" w:afterLines="5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3</w:t>
      </w:r>
      <w:r w:rsidR="00872813" w:rsidRPr="00371AB5">
        <w:rPr>
          <w:rFonts w:ascii="宋体" w:hAnsi="宋体" w:hint="eastAsia"/>
          <w:bCs w:val="0"/>
          <w:sz w:val="24"/>
          <w:szCs w:val="24"/>
        </w:rPr>
        <w:t>.其他需要提示的事项</w:t>
      </w:r>
    </w:p>
    <w:p w:rsidR="00872813" w:rsidRPr="00355EE5" w:rsidRDefault="00872813" w:rsidP="00872813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上述调整事项已按规定在中国证券</w:t>
      </w:r>
      <w:r w:rsidR="00DC0A99">
        <w:rPr>
          <w:rFonts w:hint="eastAsia"/>
          <w:color w:val="000000"/>
          <w:sz w:val="24"/>
        </w:rPr>
        <w:t>投资基金</w:t>
      </w:r>
      <w:r>
        <w:rPr>
          <w:rFonts w:hint="eastAsia"/>
          <w:color w:val="000000"/>
          <w:sz w:val="24"/>
        </w:rPr>
        <w:t>业协会办理完毕基金经理</w:t>
      </w:r>
      <w:r w:rsidR="00854336">
        <w:rPr>
          <w:rFonts w:hint="eastAsia"/>
          <w:color w:val="000000"/>
          <w:sz w:val="24"/>
        </w:rPr>
        <w:t>注销</w:t>
      </w:r>
      <w:r>
        <w:rPr>
          <w:rFonts w:hint="eastAsia"/>
          <w:color w:val="000000"/>
          <w:sz w:val="24"/>
        </w:rPr>
        <w:t>手续，并报中国证监会深圳监管局备案。</w:t>
      </w:r>
    </w:p>
    <w:p w:rsidR="00913CDC" w:rsidRDefault="00913C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</w:rPr>
      </w:pPr>
    </w:p>
    <w:p w:rsidR="00913CDC" w:rsidRDefault="00872813">
      <w:pPr>
        <w:ind w:firstLineChars="177" w:firstLine="425"/>
        <w:rPr>
          <w:sz w:val="24"/>
        </w:rPr>
      </w:pPr>
      <w:r>
        <w:rPr>
          <w:rFonts w:hint="eastAsia"/>
          <w:sz w:val="24"/>
        </w:rPr>
        <w:t>特此公告。</w:t>
      </w:r>
    </w:p>
    <w:p w:rsidR="00913CDC" w:rsidRDefault="00913CDC">
      <w:pPr>
        <w:rPr>
          <w:sz w:val="24"/>
        </w:rPr>
      </w:pPr>
    </w:p>
    <w:p w:rsidR="00913CDC" w:rsidRDefault="008728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摩根士丹利华鑫</w:t>
      </w:r>
      <w:r w:rsidRPr="005F0A50">
        <w:rPr>
          <w:rFonts w:ascii="宋体" w:hAnsi="宋体" w:cs="宋体"/>
          <w:kern w:val="0"/>
          <w:sz w:val="24"/>
        </w:rPr>
        <w:t>基金管理有限公司</w:t>
      </w:r>
    </w:p>
    <w:p w:rsidR="00872813" w:rsidRPr="00267640" w:rsidRDefault="00872813" w:rsidP="008728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</w:rPr>
      </w:pPr>
    </w:p>
    <w:p w:rsidR="00760F23" w:rsidRPr="00073916" w:rsidRDefault="00872813">
      <w:pPr>
        <w:rPr>
          <w:rFonts w:ascii="宋体" w:hAnsi="宋体" w:cs="宋体"/>
          <w:kern w:val="0"/>
          <w:sz w:val="24"/>
        </w:rPr>
      </w:pPr>
      <w:r w:rsidRPr="00073916">
        <w:rPr>
          <w:rFonts w:ascii="宋体" w:hAnsi="宋体" w:cs="宋体"/>
          <w:kern w:val="0"/>
          <w:sz w:val="24"/>
        </w:rPr>
        <w:t>二○</w:t>
      </w:r>
      <w:r w:rsidR="00DC0A99" w:rsidRPr="00073916">
        <w:rPr>
          <w:rFonts w:ascii="宋体" w:hAnsi="宋体" w:cs="宋体" w:hint="eastAsia"/>
          <w:kern w:val="0"/>
          <w:sz w:val="24"/>
        </w:rPr>
        <w:t>一</w:t>
      </w:r>
      <w:r w:rsidR="009166DE">
        <w:rPr>
          <w:rFonts w:ascii="宋体" w:hAnsi="宋体" w:cs="宋体" w:hint="eastAsia"/>
          <w:kern w:val="0"/>
          <w:sz w:val="24"/>
        </w:rPr>
        <w:t>九</w:t>
      </w:r>
      <w:r w:rsidRPr="00073777">
        <w:rPr>
          <w:rFonts w:ascii="宋体" w:hAnsi="宋体" w:cs="宋体"/>
          <w:kern w:val="0"/>
          <w:sz w:val="24"/>
        </w:rPr>
        <w:t>年</w:t>
      </w:r>
      <w:r w:rsidR="009166DE">
        <w:rPr>
          <w:rFonts w:ascii="宋体" w:hAnsi="宋体" w:cs="宋体" w:hint="eastAsia"/>
          <w:kern w:val="0"/>
          <w:sz w:val="24"/>
        </w:rPr>
        <w:t>八</w:t>
      </w:r>
      <w:r w:rsidRPr="00073777">
        <w:rPr>
          <w:rFonts w:ascii="宋体" w:hAnsi="宋体" w:cs="宋体"/>
          <w:kern w:val="0"/>
          <w:sz w:val="24"/>
        </w:rPr>
        <w:t>月</w:t>
      </w:r>
      <w:r w:rsidR="00BB2650">
        <w:rPr>
          <w:rFonts w:ascii="宋体" w:hAnsi="宋体" w:cs="宋体" w:hint="eastAsia"/>
          <w:kern w:val="0"/>
          <w:sz w:val="24"/>
        </w:rPr>
        <w:t>二十四</w:t>
      </w:r>
      <w:r w:rsidR="00CA5AA8" w:rsidRPr="00073777">
        <w:rPr>
          <w:rFonts w:ascii="宋体" w:hAnsi="宋体" w:cs="宋体"/>
          <w:kern w:val="0"/>
          <w:sz w:val="24"/>
        </w:rPr>
        <w:t>日</w:t>
      </w:r>
    </w:p>
    <w:sectPr w:rsidR="00760F23" w:rsidRPr="00073916" w:rsidSect="00760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9D2" w:rsidRDefault="00D369D2" w:rsidP="00872813">
      <w:r>
        <w:separator/>
      </w:r>
    </w:p>
  </w:endnote>
  <w:endnote w:type="continuationSeparator" w:id="1">
    <w:p w:rsidR="00D369D2" w:rsidRDefault="00D369D2" w:rsidP="00872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9D2" w:rsidRDefault="00D369D2" w:rsidP="00872813">
      <w:r>
        <w:separator/>
      </w:r>
    </w:p>
  </w:footnote>
  <w:footnote w:type="continuationSeparator" w:id="1">
    <w:p w:rsidR="00D369D2" w:rsidRDefault="00D369D2" w:rsidP="00872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813"/>
    <w:rsid w:val="0000740A"/>
    <w:rsid w:val="0002124F"/>
    <w:rsid w:val="00073777"/>
    <w:rsid w:val="00073916"/>
    <w:rsid w:val="000750C9"/>
    <w:rsid w:val="0009624A"/>
    <w:rsid w:val="000C39B6"/>
    <w:rsid w:val="000D7B80"/>
    <w:rsid w:val="000F7945"/>
    <w:rsid w:val="001176EE"/>
    <w:rsid w:val="00166C28"/>
    <w:rsid w:val="00174081"/>
    <w:rsid w:val="001759B6"/>
    <w:rsid w:val="00191C95"/>
    <w:rsid w:val="00196738"/>
    <w:rsid w:val="001B3D91"/>
    <w:rsid w:val="001C5822"/>
    <w:rsid w:val="001D22EE"/>
    <w:rsid w:val="001E3170"/>
    <w:rsid w:val="00211312"/>
    <w:rsid w:val="00242123"/>
    <w:rsid w:val="00252F89"/>
    <w:rsid w:val="002609D7"/>
    <w:rsid w:val="00267640"/>
    <w:rsid w:val="002F3589"/>
    <w:rsid w:val="00315788"/>
    <w:rsid w:val="0032580F"/>
    <w:rsid w:val="00326B55"/>
    <w:rsid w:val="00363513"/>
    <w:rsid w:val="00396DF8"/>
    <w:rsid w:val="003A5652"/>
    <w:rsid w:val="003D6B5C"/>
    <w:rsid w:val="003D6E08"/>
    <w:rsid w:val="003F64AB"/>
    <w:rsid w:val="00421F1C"/>
    <w:rsid w:val="00463DDB"/>
    <w:rsid w:val="00482F35"/>
    <w:rsid w:val="004909DE"/>
    <w:rsid w:val="004B40BB"/>
    <w:rsid w:val="004B47C6"/>
    <w:rsid w:val="00520E43"/>
    <w:rsid w:val="0053786E"/>
    <w:rsid w:val="0056180E"/>
    <w:rsid w:val="005679EA"/>
    <w:rsid w:val="00594440"/>
    <w:rsid w:val="005A7D14"/>
    <w:rsid w:val="005E74D3"/>
    <w:rsid w:val="0060062A"/>
    <w:rsid w:val="00625849"/>
    <w:rsid w:val="0066394B"/>
    <w:rsid w:val="006C3A7A"/>
    <w:rsid w:val="006D0DD2"/>
    <w:rsid w:val="006D4CC5"/>
    <w:rsid w:val="006F40EB"/>
    <w:rsid w:val="006F4F8F"/>
    <w:rsid w:val="00700A3A"/>
    <w:rsid w:val="00723F85"/>
    <w:rsid w:val="00760F23"/>
    <w:rsid w:val="0076581F"/>
    <w:rsid w:val="007704D3"/>
    <w:rsid w:val="007F3A45"/>
    <w:rsid w:val="00815E15"/>
    <w:rsid w:val="00830CE0"/>
    <w:rsid w:val="008348FB"/>
    <w:rsid w:val="008432D9"/>
    <w:rsid w:val="008524A1"/>
    <w:rsid w:val="00853806"/>
    <w:rsid w:val="00854336"/>
    <w:rsid w:val="00865408"/>
    <w:rsid w:val="00872813"/>
    <w:rsid w:val="00877464"/>
    <w:rsid w:val="00881BBE"/>
    <w:rsid w:val="0088357C"/>
    <w:rsid w:val="00892858"/>
    <w:rsid w:val="008B1106"/>
    <w:rsid w:val="008E7788"/>
    <w:rsid w:val="008F46CA"/>
    <w:rsid w:val="00913CDC"/>
    <w:rsid w:val="009166DE"/>
    <w:rsid w:val="00935BCA"/>
    <w:rsid w:val="0095499E"/>
    <w:rsid w:val="00993D14"/>
    <w:rsid w:val="009A057C"/>
    <w:rsid w:val="009B12AE"/>
    <w:rsid w:val="009B35CC"/>
    <w:rsid w:val="009D018D"/>
    <w:rsid w:val="009E673C"/>
    <w:rsid w:val="00A10E51"/>
    <w:rsid w:val="00A26B10"/>
    <w:rsid w:val="00A73A64"/>
    <w:rsid w:val="00A869DF"/>
    <w:rsid w:val="00AA6A44"/>
    <w:rsid w:val="00AB0107"/>
    <w:rsid w:val="00AD4409"/>
    <w:rsid w:val="00AE69BE"/>
    <w:rsid w:val="00B73B71"/>
    <w:rsid w:val="00B862C8"/>
    <w:rsid w:val="00BB2525"/>
    <w:rsid w:val="00BB2650"/>
    <w:rsid w:val="00BE5C06"/>
    <w:rsid w:val="00C36F78"/>
    <w:rsid w:val="00C43AF7"/>
    <w:rsid w:val="00C464B9"/>
    <w:rsid w:val="00C752C5"/>
    <w:rsid w:val="00CA48C6"/>
    <w:rsid w:val="00CA5AA8"/>
    <w:rsid w:val="00CD5080"/>
    <w:rsid w:val="00CE78DF"/>
    <w:rsid w:val="00D125C4"/>
    <w:rsid w:val="00D13EC8"/>
    <w:rsid w:val="00D369D2"/>
    <w:rsid w:val="00D673F1"/>
    <w:rsid w:val="00D712E3"/>
    <w:rsid w:val="00D75B99"/>
    <w:rsid w:val="00D93933"/>
    <w:rsid w:val="00DB60E4"/>
    <w:rsid w:val="00DC0A99"/>
    <w:rsid w:val="00DC2F8D"/>
    <w:rsid w:val="00DD79B7"/>
    <w:rsid w:val="00E03259"/>
    <w:rsid w:val="00E125F3"/>
    <w:rsid w:val="00E219D2"/>
    <w:rsid w:val="00E24B37"/>
    <w:rsid w:val="00E32195"/>
    <w:rsid w:val="00E4647B"/>
    <w:rsid w:val="00E50F4E"/>
    <w:rsid w:val="00E919D2"/>
    <w:rsid w:val="00EA3517"/>
    <w:rsid w:val="00EA51F3"/>
    <w:rsid w:val="00EB0ADF"/>
    <w:rsid w:val="00EB117C"/>
    <w:rsid w:val="00EB5435"/>
    <w:rsid w:val="00ED4165"/>
    <w:rsid w:val="00F00D24"/>
    <w:rsid w:val="00F11817"/>
    <w:rsid w:val="00F31875"/>
    <w:rsid w:val="00F345EE"/>
    <w:rsid w:val="00F7010A"/>
    <w:rsid w:val="00F7204B"/>
    <w:rsid w:val="00FB124B"/>
    <w:rsid w:val="00FD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87281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8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813"/>
    <w:rPr>
      <w:sz w:val="18"/>
      <w:szCs w:val="18"/>
    </w:rPr>
  </w:style>
  <w:style w:type="character" w:customStyle="1" w:styleId="3Char">
    <w:name w:val="标题 3 Char"/>
    <w:basedOn w:val="a0"/>
    <w:link w:val="3"/>
    <w:rsid w:val="00872813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520E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0E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4</DocSecurity>
  <Lines>3</Lines>
  <Paragraphs>1</Paragraphs>
  <ScaleCrop>false</ScaleCrop>
  <Company>MSHF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赵恒</dc:creator>
  <cp:lastModifiedBy>ZHONGM</cp:lastModifiedBy>
  <cp:revision>2</cp:revision>
  <cp:lastPrinted>2015-08-12T06:38:00Z</cp:lastPrinted>
  <dcterms:created xsi:type="dcterms:W3CDTF">2019-08-23T16:00:00Z</dcterms:created>
  <dcterms:modified xsi:type="dcterms:W3CDTF">2019-08-23T16:00:00Z</dcterms:modified>
</cp:coreProperties>
</file>