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1.0.0 -->
  <w:body>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金鹰持久增利债券型证券投资基金(LOF)</w:t>
      </w: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2019年半年度报告</w:t>
      </w:r>
      <w:r w:rsidRPr="0045565B" w:rsidR="00835AA6">
        <w:rPr>
          <w:rFonts w:eastAsiaTheme="minorEastAsia"/>
          <w:b/>
          <w:sz w:val="36"/>
          <w:szCs w:val="36"/>
        </w:rPr>
        <w:t>摘要</w:t>
      </w: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2019年6月30日</w:t>
      </w: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rPr>
          <w:rFonts w:eastAsiaTheme="minorEastAsia"/>
          <w:b/>
          <w:color w:val="000000"/>
          <w:szCs w:val="21"/>
        </w:rPr>
      </w:pP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基金管理人：</w:t>
      </w:r>
      <w:r w:rsidRPr="0045565B">
        <w:rPr>
          <w:rFonts w:eastAsiaTheme="minorEastAsia"/>
          <w:color w:val="000000"/>
          <w:sz w:val="24"/>
        </w:rPr>
        <w:t>金鹰基金管理有限公司</w:t>
      </w: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基金托管人：</w:t>
      </w:r>
      <w:r w:rsidRPr="0045565B">
        <w:rPr>
          <w:rFonts w:eastAsiaTheme="minorEastAsia"/>
          <w:color w:val="000000"/>
          <w:sz w:val="24"/>
        </w:rPr>
        <w:t>中国邮政储蓄银行股份有限公司</w:t>
      </w: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报告送出日期：</w:t>
      </w:r>
      <w:r w:rsidRPr="0045565B">
        <w:rPr>
          <w:rFonts w:eastAsiaTheme="minorEastAsia"/>
          <w:color w:val="000000"/>
          <w:sz w:val="24"/>
        </w:rPr>
        <w:t>二〇一九年八月二十三日</w:t>
      </w:r>
    </w:p>
    <w:p w:rsidR="001548F9" w:rsidRPr="0045565B" w:rsidP="006D141C">
      <w:pPr>
        <w:widowControl/>
        <w:jc w:val="left"/>
        <w:rPr>
          <w:rFonts w:eastAsiaTheme="minorEastAsia"/>
          <w:color w:val="000000"/>
          <w:szCs w:val="21"/>
        </w:rPr>
        <w:sectPr>
          <w:headerReference w:type="default" r:id="rId4"/>
          <w:pgSz w:w="11926" w:h="15840"/>
          <w:pgMar w:top="1418" w:right="1418" w:bottom="851" w:left="1418" w:header="851" w:footer="992" w:gutter="0"/>
          <w:cols w:space="720"/>
        </w:sectPr>
      </w:pP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0" w:name="_Toc331410066"/>
      <w:bookmarkStart w:id="1" w:name="_Toc225498243"/>
      <w:r w:rsidRPr="0045565B">
        <w:rPr>
          <w:rFonts w:eastAsiaTheme="minorEastAsia"/>
          <w:b/>
          <w:bCs/>
          <w:sz w:val="21"/>
          <w:szCs w:val="21"/>
          <w:lang w:val="en-US"/>
        </w:rPr>
        <w:t xml:space="preserve">1  </w:t>
      </w:r>
      <w:r w:rsidRPr="0045565B">
        <w:rPr>
          <w:rFonts w:eastAsiaTheme="minorEastAsia"/>
          <w:b/>
          <w:bCs/>
          <w:sz w:val="21"/>
          <w:szCs w:val="21"/>
          <w:lang w:val="en-US"/>
        </w:rPr>
        <w:t>重要提示</w:t>
      </w:r>
      <w:bookmarkEnd w:id="0"/>
      <w:bookmarkEnd w:id="1"/>
    </w:p>
    <w:p w:rsidR="001548F9" w:rsidRPr="0045565B" w:rsidP="00D24622">
      <w:pPr>
        <w:pStyle w:val="Heading2"/>
        <w:spacing w:before="0" w:after="0"/>
        <w:rPr>
          <w:rFonts w:ascii="Times New Roman" w:hAnsi="Times New Roman" w:eastAsiaTheme="minorEastAsia"/>
          <w:kern w:val="0"/>
          <w:sz w:val="21"/>
          <w:szCs w:val="21"/>
        </w:rPr>
      </w:pPr>
      <w:bookmarkStart w:id="2" w:name="_Toc331410067"/>
      <w:r w:rsidRPr="0045565B">
        <w:rPr>
          <w:rFonts w:ascii="Times New Roman" w:hAnsi="Times New Roman" w:eastAsiaTheme="minorEastAsia"/>
          <w:kern w:val="0"/>
          <w:sz w:val="21"/>
          <w:szCs w:val="21"/>
        </w:rPr>
        <w:t xml:space="preserve">1.1 </w:t>
      </w:r>
      <w:r w:rsidRPr="0045565B">
        <w:rPr>
          <w:rFonts w:ascii="Times New Roman" w:hAnsi="Times New Roman" w:eastAsiaTheme="minorEastAsia"/>
          <w:kern w:val="0"/>
          <w:sz w:val="21"/>
          <w:szCs w:val="21"/>
        </w:rPr>
        <w:t>重要提示</w:t>
      </w:r>
      <w:bookmarkEnd w:id="2"/>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基金托管人</w:t>
      </w:r>
      <w:r w:rsidRPr="0045565B">
        <w:rPr>
          <w:rFonts w:eastAsiaTheme="minorEastAsia"/>
          <w:szCs w:val="21"/>
        </w:rPr>
        <w:t>中国邮政储蓄银行股份有限公司</w:t>
      </w:r>
      <w:r w:rsidRPr="0045565B">
        <w:rPr>
          <w:rFonts w:eastAsiaTheme="minorEastAsia"/>
          <w:color w:val="000000"/>
          <w:szCs w:val="21"/>
        </w:rPr>
        <w:t>根据本基金合同规定，于</w:t>
      </w:r>
      <w:r w:rsidRPr="0045565B">
        <w:rPr>
          <w:rFonts w:eastAsiaTheme="minorEastAsia"/>
          <w:color w:val="000000"/>
          <w:szCs w:val="21"/>
        </w:rPr>
        <w:t>2019年8月22日</w:t>
      </w:r>
      <w:r w:rsidRPr="0045565B">
        <w:rPr>
          <w:rFonts w:eastAsiaTheme="minorEastAsia"/>
          <w:color w:val="000000"/>
          <w:szCs w:val="21"/>
        </w:rPr>
        <w:t>复核了本报告中的财务指标、净值表现、利润分配情况、财务会计报告、投资组合报告等内容，保证复核内容不存在虚假记载、误导性陈述或者重大遗漏。</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基金管理人承诺以诚实信用、勤勉尽责的原则管理和运用基金资产，但不保证基金一定盈利。</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基金的过往业绩并不代表其未来表现。投资有风险，投资者在作出投资决策前应仔细阅读本基金的招募说明书及其更新。</w:t>
      </w:r>
    </w:p>
    <w:p w:rsidR="00F222D7" w:rsidRPr="0045565B" w:rsidP="00F222D7">
      <w:pPr>
        <w:ind w:firstLine="420" w:firstLineChars="200"/>
        <w:rPr>
          <w:rFonts w:eastAsiaTheme="minorEastAsia"/>
          <w:color w:val="000000"/>
          <w:szCs w:val="21"/>
        </w:rPr>
      </w:pPr>
      <w:r w:rsidRPr="0045565B">
        <w:rPr>
          <w:rFonts w:eastAsiaTheme="minorEastAsia"/>
          <w:color w:val="000000"/>
          <w:szCs w:val="21"/>
        </w:rPr>
        <w:t>本半年度报告摘要摘自半年度报告正文，投资者欲了解详细内容，应阅读半年度报告正文。</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本报告中财务资料未经审计。</w:t>
      </w:r>
    </w:p>
    <w:p w:rsidR="00BC5DB0" w:rsidRPr="0045565B" w:rsidP="00D24622">
      <w:pPr>
        <w:spacing w:line="360" w:lineRule="auto"/>
        <w:ind w:firstLine="420" w:firstLineChars="200"/>
        <w:rPr>
          <w:rFonts w:eastAsiaTheme="minorEastAsia"/>
          <w:kern w:val="0"/>
          <w:szCs w:val="21"/>
        </w:rPr>
      </w:pPr>
      <w:r w:rsidRPr="0045565B">
        <w:rPr>
          <w:rFonts w:eastAsiaTheme="minorEastAsia"/>
          <w:kern w:val="0"/>
          <w:szCs w:val="21"/>
        </w:rPr>
        <w:t>本报告期自</w:t>
      </w:r>
      <w:r w:rsidRPr="0045565B">
        <w:rPr>
          <w:rFonts w:eastAsiaTheme="minorEastAsia"/>
          <w:kern w:val="0"/>
          <w:szCs w:val="21"/>
        </w:rPr>
        <w:t>2019年1月1日</w:t>
      </w:r>
      <w:r w:rsidRPr="0045565B">
        <w:rPr>
          <w:rFonts w:eastAsiaTheme="minorEastAsia"/>
          <w:kern w:val="0"/>
          <w:szCs w:val="21"/>
        </w:rPr>
        <w:t>起至</w:t>
      </w:r>
      <w:r w:rsidRPr="0045565B">
        <w:rPr>
          <w:rFonts w:eastAsiaTheme="minorEastAsia"/>
          <w:kern w:val="0"/>
          <w:szCs w:val="21"/>
        </w:rPr>
        <w:t>6月30日</w:t>
      </w:r>
      <w:r w:rsidRPr="0045565B">
        <w:rPr>
          <w:rFonts w:eastAsiaTheme="minorEastAsia"/>
          <w:kern w:val="0"/>
          <w:szCs w:val="21"/>
        </w:rPr>
        <w:t>止。</w:t>
      </w:r>
    </w:p>
    <w:p w:rsidR="00816848" w:rsidRPr="0045565B" w:rsidP="00D24622">
      <w:pPr>
        <w:spacing w:line="288" w:lineRule="auto"/>
        <w:ind w:firstLine="420" w:firstLineChars="200"/>
        <w:rPr>
          <w:rFonts w:eastAsiaTheme="minorEastAsia"/>
          <w:color w:val="000000"/>
          <w:szCs w:val="21"/>
        </w:rPr>
      </w:pPr>
    </w:p>
    <w:p w:rsidR="00EB2B24" w:rsidRPr="0045565B" w:rsidP="00D24622">
      <w:pPr>
        <w:spacing w:line="288" w:lineRule="auto"/>
        <w:ind w:firstLine="420" w:firstLineChars="200"/>
        <w:rPr>
          <w:rFonts w:eastAsiaTheme="minorEastAsia"/>
          <w:b/>
          <w:color w:val="000000"/>
          <w:kern w:val="0"/>
          <w:szCs w:val="21"/>
        </w:rPr>
      </w:pPr>
      <w:r w:rsidRPr="0045565B">
        <w:rPr>
          <w:rFonts w:eastAsiaTheme="minorEastAsia"/>
          <w:szCs w:val="21"/>
        </w:rPr>
        <w:br w:type="page"/>
      </w:r>
    </w:p>
    <w:p w:rsidR="001548F9" w:rsidRPr="0045565B" w:rsidP="0025572E">
      <w:pPr>
        <w:pStyle w:val="Heading1"/>
        <w:keepNext/>
        <w:keepLines/>
        <w:widowControl w:val="0"/>
        <w:spacing w:before="312" w:beforeLines="100" w:after="312" w:afterLines="100" w:line="360" w:lineRule="auto"/>
        <w:jc w:val="center"/>
        <w:rPr>
          <w:rFonts w:eastAsiaTheme="minorEastAsia"/>
          <w:sz w:val="21"/>
          <w:szCs w:val="21"/>
          <w:lang w:val="en-US"/>
        </w:rPr>
      </w:pPr>
      <w:bookmarkStart w:id="3" w:name="_Toc331410068"/>
      <w:bookmarkStart w:id="4" w:name="_Toc225498244"/>
      <w:r w:rsidRPr="0045565B">
        <w:rPr>
          <w:rFonts w:eastAsiaTheme="minorEastAsia"/>
          <w:b/>
          <w:bCs/>
          <w:sz w:val="21"/>
          <w:szCs w:val="21"/>
          <w:lang w:val="en-US"/>
        </w:rPr>
        <w:t xml:space="preserve">2  </w:t>
      </w:r>
      <w:r w:rsidRPr="0045565B">
        <w:rPr>
          <w:rFonts w:eastAsiaTheme="minorEastAsia"/>
          <w:b/>
          <w:bCs/>
          <w:sz w:val="21"/>
          <w:szCs w:val="21"/>
          <w:lang w:val="en-US"/>
        </w:rPr>
        <w:t>基金简介</w:t>
      </w:r>
      <w:bookmarkEnd w:id="3"/>
      <w:bookmarkEnd w:id="4"/>
    </w:p>
    <w:p w:rsidR="001548F9" w:rsidRPr="0045565B" w:rsidP="00D24622">
      <w:pPr>
        <w:pStyle w:val="Heading2"/>
        <w:spacing w:before="0" w:after="0"/>
        <w:rPr>
          <w:rFonts w:ascii="Times New Roman" w:hAnsi="Times New Roman" w:eastAsiaTheme="minorEastAsia"/>
          <w:color w:val="000000"/>
          <w:sz w:val="21"/>
          <w:szCs w:val="21"/>
        </w:rPr>
      </w:pPr>
      <w:bookmarkStart w:id="5" w:name="_Toc331410069"/>
      <w:r w:rsidRPr="0045565B">
        <w:rPr>
          <w:rFonts w:ascii="Times New Roman" w:hAnsi="Times New Roman" w:eastAsiaTheme="minorEastAsia"/>
          <w:kern w:val="0"/>
          <w:sz w:val="21"/>
          <w:szCs w:val="21"/>
        </w:rPr>
        <w:t>2.1</w:t>
      </w:r>
      <w:r w:rsidRPr="0045565B">
        <w:rPr>
          <w:rFonts w:ascii="Times New Roman" w:hAnsi="Times New Roman" w:eastAsiaTheme="minorEastAsia"/>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3"/>
        <w:gridCol w:w="2664"/>
        <w:gridCol w:w="2553"/>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33" w:type="dxa"/>
          </w:tcPr>
          <w:p w:rsidR="001548F9" w:rsidRPr="0045565B">
            <w:pPr>
              <w:rPr>
                <w:rFonts w:eastAsiaTheme="minorEastAsia"/>
                <w:color w:val="000000"/>
                <w:kern w:val="0"/>
                <w:szCs w:val="21"/>
              </w:rPr>
            </w:pPr>
            <w:r w:rsidRPr="0045565B">
              <w:rPr>
                <w:rFonts w:eastAsiaTheme="minorEastAsia"/>
                <w:szCs w:val="21"/>
              </w:rPr>
              <w:t>基金简称</w:t>
            </w:r>
          </w:p>
        </w:tc>
        <w:tc>
          <w:tcPr>
            <w:tcW w:w="5217" w:type="dxa"/>
            <w:gridSpan w:val="2"/>
            <w:vAlign w:val="center"/>
          </w:tcPr>
          <w:p w:rsidR="001548F9" w:rsidRPr="0045565B" w:rsidP="00801E52">
            <w:pPr>
              <w:jc w:val="right"/>
              <w:rPr>
                <w:rFonts w:eastAsiaTheme="minorEastAsia"/>
                <w:szCs w:val="21"/>
              </w:rPr>
            </w:pPr>
            <w:r w:rsidRPr="0045565B">
              <w:rPr>
                <w:rFonts w:eastAsiaTheme="minorEastAsia"/>
                <w:szCs w:val="21"/>
              </w:rPr>
              <w:t>金鹰持久增利债券</w:t>
            </w:r>
          </w:p>
        </w:tc>
      </w:tr>
      <w:tr w:rsidTr="0045565B">
        <w:tblPrEx>
          <w:tblW w:w="0" w:type="auto"/>
          <w:tblInd w:w="108" w:type="dxa"/>
          <w:tblLayout w:type="fixed"/>
          <w:tblLook w:val="00A0"/>
        </w:tblPrEx>
        <w:tc>
          <w:tcPr>
            <w:tcW w:w="3633" w:type="dxa"/>
          </w:tcPr>
          <w:p w:rsidR="007C0B47" w:rsidRPr="0045565B" w:rsidP="004B3136">
            <w:pPr>
              <w:rPr>
                <w:rFonts w:eastAsiaTheme="minorEastAsia"/>
                <w:szCs w:val="21"/>
              </w:rPr>
            </w:pPr>
            <w:r w:rsidRPr="0045565B">
              <w:rPr>
                <w:rFonts w:eastAsiaTheme="minorEastAsia"/>
                <w:szCs w:val="21"/>
              </w:rPr>
              <w:t>场内简称</w:t>
            </w:r>
          </w:p>
        </w:tc>
        <w:tc>
          <w:tcPr>
            <w:tcW w:w="5217" w:type="dxa"/>
            <w:gridSpan w:val="2"/>
            <w:vAlign w:val="center"/>
          </w:tcPr>
          <w:p w:rsidR="007C0B47" w:rsidRPr="0045565B" w:rsidP="004B3136">
            <w:pPr>
              <w:jc w:val="right"/>
              <w:rPr>
                <w:rFonts w:eastAsiaTheme="minorEastAsia"/>
                <w:szCs w:val="21"/>
              </w:rPr>
            </w:pPr>
            <w:r w:rsidRPr="0045565B">
              <w:rPr>
                <w:rFonts w:eastAsiaTheme="minorEastAsia"/>
                <w:szCs w:val="21"/>
              </w:rPr>
              <w:t>持久增利</w:t>
            </w:r>
          </w:p>
        </w:tc>
      </w:tr>
      <w:tr w:rsidTr="0045565B">
        <w:tblPrEx>
          <w:tblW w:w="0" w:type="auto"/>
          <w:tblInd w:w="108" w:type="dxa"/>
          <w:tblLayout w:type="fixed"/>
          <w:tblLook w:val="00A0"/>
        </w:tblPrEx>
        <w:tc>
          <w:tcPr>
            <w:tcW w:w="3633" w:type="dxa"/>
            <w:vAlign w:val="center"/>
          </w:tcPr>
          <w:p w:rsidR="001548F9" w:rsidRPr="0045565B">
            <w:pPr>
              <w:rPr>
                <w:rFonts w:eastAsiaTheme="minorEastAsia"/>
                <w:color w:val="000000"/>
                <w:kern w:val="0"/>
                <w:szCs w:val="21"/>
              </w:rPr>
            </w:pPr>
            <w:r w:rsidRPr="0045565B">
              <w:rPr>
                <w:rFonts w:eastAsiaTheme="minorEastAsia"/>
                <w:szCs w:val="21"/>
              </w:rPr>
              <w:t>基金主代码</w:t>
            </w:r>
          </w:p>
        </w:tc>
        <w:tc>
          <w:tcPr>
            <w:tcW w:w="5217" w:type="dxa"/>
            <w:gridSpan w:val="2"/>
            <w:vAlign w:val="center"/>
          </w:tcPr>
          <w:p w:rsidR="001548F9" w:rsidRPr="0045565B" w:rsidP="00801E52">
            <w:pPr>
              <w:jc w:val="right"/>
              <w:rPr>
                <w:rFonts w:eastAsiaTheme="minorEastAsia"/>
                <w:szCs w:val="21"/>
              </w:rPr>
            </w:pPr>
            <w:r w:rsidRPr="0045565B">
              <w:rPr>
                <w:rFonts w:eastAsiaTheme="minorEastAsia"/>
                <w:szCs w:val="21"/>
              </w:rPr>
              <w:t>162105</w:t>
            </w:r>
          </w:p>
        </w:tc>
      </w:tr>
      <w:tr w:rsidTr="0045565B">
        <w:tblPrEx>
          <w:tblW w:w="0" w:type="auto"/>
          <w:tblInd w:w="108" w:type="dxa"/>
          <w:tblLayout w:type="fixed"/>
          <w:tblLook w:val="00A0"/>
        </w:tblPrEx>
        <w:tc>
          <w:tcPr>
            <w:tcW w:w="3633" w:type="dxa"/>
            <w:vAlign w:val="center"/>
          </w:tcPr>
          <w:p w:rsidR="00F00927" w:rsidRPr="0045565B" w:rsidP="0086710F">
            <w:pPr>
              <w:spacing w:line="360" w:lineRule="auto"/>
              <w:rPr>
                <w:rFonts w:eastAsiaTheme="minorEastAsia"/>
                <w:szCs w:val="21"/>
              </w:rPr>
            </w:pPr>
            <w:r w:rsidRPr="0045565B">
              <w:rPr>
                <w:rFonts w:eastAsiaTheme="minorEastAsia"/>
                <w:color w:val="000000"/>
                <w:kern w:val="0"/>
                <w:szCs w:val="21"/>
              </w:rPr>
              <w:t>交易代码</w:t>
            </w:r>
          </w:p>
        </w:tc>
        <w:tc>
          <w:tcPr>
            <w:tcW w:w="5217" w:type="dxa"/>
            <w:gridSpan w:val="2"/>
            <w:vAlign w:val="center"/>
          </w:tcPr>
          <w:p w:rsidR="00F00927" w:rsidRPr="0045565B" w:rsidP="00801E52">
            <w:pPr>
              <w:spacing w:line="360" w:lineRule="auto"/>
              <w:jc w:val="right"/>
              <w:rPr>
                <w:rFonts w:eastAsiaTheme="minorEastAsia"/>
                <w:szCs w:val="21"/>
              </w:rPr>
            </w:pPr>
            <w:r w:rsidRPr="0045565B">
              <w:rPr>
                <w:rFonts w:eastAsiaTheme="minorEastAsia"/>
                <w:szCs w:val="21"/>
              </w:rPr>
              <w:t>162105</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基金运作方式</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契约型</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基金合同生效日</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2015年3月10日</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基金管理人</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金鹰基金管理有限公司</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基金托管人</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中国邮政储蓄银行股份有限公司</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报告期末基金份额总额</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56,687,632.61</w:t>
            </w:r>
            <w:r w:rsidRPr="0045565B">
              <w:rPr>
                <w:rFonts w:eastAsiaTheme="minorEastAsia"/>
                <w:szCs w:val="21"/>
              </w:rPr>
              <w:t>份</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基金合同存续期</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不定期</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基金份额上市的证券交易所</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深圳证券交易所</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上市日期</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2015年3月20日</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下属分级基金的基金简称</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金鹰持久增利债券(LOF)C</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金鹰持久增利债券(LOF)E</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下属分级基金的交易代码</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162105</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004267</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报告期末下属分级基金的份额总额</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52,778,613.34</w:t>
            </w:r>
            <w:r w:rsidRPr="0045565B">
              <w:rPr>
                <w:rFonts w:eastAsiaTheme="minorEastAsia"/>
                <w:szCs w:val="21"/>
              </w:rPr>
              <w:t>份</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3,909,019.27</w:t>
            </w:r>
            <w:r w:rsidRPr="0045565B">
              <w:rPr>
                <w:rFonts w:eastAsiaTheme="minorEastAsia"/>
                <w:szCs w:val="21"/>
              </w:rPr>
              <w:t>份</w:t>
            </w:r>
          </w:p>
        </w:tc>
      </w:tr>
    </w:tbl>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注：本基金于2017年1月20日增加E类份额。</w:t>
      </w:r>
    </w:p>
    <w:p w:rsidR="001548F9" w:rsidRPr="0045565B" w:rsidP="0045565B">
      <w:pPr>
        <w:pStyle w:val="Heading2"/>
        <w:spacing w:before="312" w:beforeLines="100" w:after="0"/>
        <w:jc w:val="left"/>
        <w:rPr>
          <w:rFonts w:ascii="Times New Roman" w:hAnsi="Times New Roman" w:eastAsiaTheme="minorEastAsia"/>
          <w:color w:val="000000"/>
          <w:sz w:val="21"/>
          <w:szCs w:val="21"/>
        </w:rPr>
      </w:pPr>
      <w:bookmarkStart w:id="6" w:name="_Toc331410070"/>
      <w:r w:rsidRPr="0045565B">
        <w:rPr>
          <w:rFonts w:ascii="Times New Roman" w:hAnsi="Times New Roman" w:eastAsiaTheme="minorEastAsia"/>
          <w:kern w:val="0"/>
          <w:sz w:val="21"/>
          <w:szCs w:val="21"/>
        </w:rPr>
        <w:t xml:space="preserve">2.2 </w:t>
      </w:r>
      <w:r w:rsidRPr="0045565B">
        <w:rPr>
          <w:rFonts w:ascii="Times New Roman" w:hAnsi="Times New Roman" w:eastAsiaTheme="minorEastAsia"/>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投资目标</w:t>
            </w:r>
          </w:p>
        </w:tc>
        <w:tc>
          <w:tcPr>
            <w:tcW w:w="6873" w:type="dxa"/>
            <w:vAlign w:val="bottom"/>
          </w:tcPr>
          <w:p w:rsidR="001548F9" w:rsidRPr="0045565B">
            <w:pPr>
              <w:rPr>
                <w:rFonts w:eastAsiaTheme="minorEastAsia"/>
                <w:szCs w:val="21"/>
              </w:rPr>
            </w:pPr>
            <w:r w:rsidRPr="0045565B">
              <w:rPr>
                <w:rFonts w:eastAsiaTheme="minorEastAsia"/>
                <w:szCs w:val="21"/>
              </w:rPr>
              <w:t>在严格控制投资风险的前提下，力争为基金份额持有人获取超越业绩比较基准的投资回报。</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投资策略</w:t>
            </w:r>
          </w:p>
        </w:tc>
        <w:tc>
          <w:tcPr>
            <w:tcW w:w="6873" w:type="dxa"/>
            <w:vAlign w:val="bottom"/>
          </w:tcPr>
          <w:p>
            <w:pPr>
              <w:rPr>
                <w:rFonts w:eastAsiaTheme="minorEastAsia"/>
                <w:szCs w:val="21"/>
              </w:rPr>
            </w:pPr>
            <w:r>
              <w:rPr>
                <w:rFonts w:eastAsiaTheme="minorEastAsia"/>
                <w:szCs w:val="21"/>
              </w:rPr>
              <w:t>本基金借鉴投资时钟的分析框架，结合国内外政治经济环境、政策形势、未来利率的变化趋势、股票市场估值状况与未来可能的运行区间，确定债券类、权益类、货币类资产配置比例的目标区间。</w:t>
            </w:r>
          </w:p>
          <w:p w:rsidR="001548F9" w:rsidRPr="0045565B">
            <w:pPr>
              <w:rPr>
                <w:rFonts w:eastAsiaTheme="minorEastAsia"/>
                <w:szCs w:val="21"/>
              </w:rPr>
            </w:pPr>
            <w:r w:rsidRPr="0045565B">
              <w:rPr>
                <w:rFonts w:eastAsiaTheme="minorEastAsia"/>
                <w:szCs w:val="21"/>
              </w:rPr>
              <w:t>本基金对固定收益类品种的投资比例不低于基金资产净值的80%；对股票、权证等其它金融工具的投资比例不超过 基金资产净值的20%， 其中，权证投资的比例范围占基金资产净值的0～3%。</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业绩比较基准</w:t>
            </w:r>
          </w:p>
        </w:tc>
        <w:tc>
          <w:tcPr>
            <w:tcW w:w="6873" w:type="dxa"/>
            <w:vAlign w:val="bottom"/>
          </w:tcPr>
          <w:p>
            <w:pPr>
              <w:rPr>
                <w:rFonts w:eastAsiaTheme="minorEastAsia"/>
                <w:szCs w:val="21"/>
              </w:rPr>
            </w:pPr>
            <w:r>
              <w:rPr>
                <w:rFonts w:eastAsiaTheme="minorEastAsia"/>
                <w:szCs w:val="21"/>
              </w:rPr>
              <w:t xml:space="preserve">基金合同生效之日起3年内：中国债券综合指数（财富）增长率 </w:t>
            </w:r>
          </w:p>
          <w:p w:rsidR="001548F9" w:rsidRPr="0045565B">
            <w:pPr>
              <w:rPr>
                <w:rFonts w:eastAsiaTheme="minorEastAsia"/>
                <w:szCs w:val="21"/>
              </w:rPr>
            </w:pPr>
            <w:r w:rsidRPr="0045565B">
              <w:rPr>
                <w:rFonts w:eastAsiaTheme="minorEastAsia"/>
                <w:szCs w:val="21"/>
              </w:rPr>
              <w:t>基金合同生效后3年期届满：中国债券综合指数（财富）增长率×95%＋沪深300指数增长率×5%。</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风险收益特征</w:t>
            </w:r>
          </w:p>
        </w:tc>
        <w:tc>
          <w:tcPr>
            <w:tcW w:w="6873" w:type="dxa"/>
            <w:vAlign w:val="bottom"/>
          </w:tcPr>
          <w:p w:rsidR="001548F9" w:rsidRPr="0045565B">
            <w:pPr>
              <w:rPr>
                <w:rFonts w:eastAsiaTheme="minorEastAsia"/>
                <w:szCs w:val="21"/>
              </w:rPr>
            </w:pPr>
            <w:r w:rsidRPr="0045565B">
              <w:rPr>
                <w:rFonts w:eastAsiaTheme="minorEastAsia"/>
                <w:szCs w:val="21"/>
              </w:rPr>
              <w:t>本基金转型为上市开放式基金（LOF），为积极配置的债券型基金，属于证券投资基金当中风险较低的品种，其长期平均风险与预期收益率低于股票型基金、混合型基金，但高于货币市场基金。</w:t>
            </w:r>
          </w:p>
        </w:tc>
      </w:tr>
    </w:tbl>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注：本基金于2017年1月20日增加E类份额。</w:t>
      </w:r>
    </w:p>
    <w:p w:rsidR="001548F9" w:rsidRPr="0045565B" w:rsidP="0045565B">
      <w:pPr>
        <w:pStyle w:val="Heading2"/>
        <w:spacing w:before="312" w:beforeLines="100" w:after="0"/>
        <w:jc w:val="left"/>
        <w:rPr>
          <w:rFonts w:ascii="Times New Roman" w:hAnsi="Times New Roman" w:eastAsiaTheme="minorEastAsia"/>
          <w:kern w:val="0"/>
          <w:sz w:val="21"/>
          <w:szCs w:val="21"/>
        </w:rPr>
      </w:pPr>
      <w:bookmarkStart w:id="7" w:name="_Toc331410071"/>
      <w:bookmarkStart w:id="8" w:name="_Toc225498247"/>
      <w:r w:rsidRPr="0045565B">
        <w:rPr>
          <w:rFonts w:ascii="Times New Roman" w:hAnsi="Times New Roman" w:eastAsiaTheme="minorEastAsia"/>
          <w:kern w:val="0"/>
          <w:sz w:val="21"/>
          <w:szCs w:val="21"/>
        </w:rPr>
        <w:t xml:space="preserve">2.3 </w:t>
      </w:r>
      <w:r w:rsidRPr="0045565B">
        <w:rPr>
          <w:rFonts w:ascii="Times New Roman" w:hAnsi="Times New Roman" w:eastAsiaTheme="minorEastAsia"/>
          <w:kern w:val="0"/>
          <w:sz w:val="21"/>
          <w:szCs w:val="21"/>
        </w:rPr>
        <w:t>基金</w:t>
      </w:r>
      <w:r w:rsidRPr="0045565B">
        <w:rPr>
          <w:rFonts w:ascii="Times New Roman" w:hAnsi="Times New Roman" w:eastAsiaTheme="minorEastAsia"/>
          <w:color w:val="000000"/>
          <w:sz w:val="21"/>
          <w:szCs w:val="21"/>
        </w:rPr>
        <w:t>管理</w:t>
      </w:r>
      <w:r w:rsidRPr="0045565B">
        <w:rPr>
          <w:rFonts w:ascii="Times New Roman" w:hAnsi="Times New Roman" w:eastAsiaTheme="minorEastAsia"/>
          <w:kern w:val="0"/>
          <w:sz w:val="21"/>
          <w:szCs w:val="21"/>
        </w:rPr>
        <w:t>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631" w:type="dxa"/>
            <w:gridSpan w:val="2"/>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项目</w:t>
            </w:r>
          </w:p>
        </w:tc>
        <w:tc>
          <w:tcPr>
            <w:tcW w:w="3060" w:type="dxa"/>
            <w:vAlign w:val="center"/>
          </w:tcPr>
          <w:p w:rsidR="001548F9" w:rsidRPr="0045565B">
            <w:pPr>
              <w:jc w:val="center"/>
              <w:rPr>
                <w:rFonts w:eastAsiaTheme="minorEastAsia"/>
                <w:color w:val="000000"/>
                <w:szCs w:val="21"/>
              </w:rPr>
            </w:pPr>
            <w:r w:rsidRPr="0045565B">
              <w:rPr>
                <w:rFonts w:eastAsiaTheme="minorEastAsia"/>
                <w:color w:val="000000"/>
                <w:szCs w:val="21"/>
              </w:rPr>
              <w:t>基金管理人</w:t>
            </w:r>
          </w:p>
        </w:tc>
        <w:tc>
          <w:tcPr>
            <w:tcW w:w="3060" w:type="dxa"/>
            <w:vAlign w:val="center"/>
          </w:tcPr>
          <w:p w:rsidR="001548F9" w:rsidRPr="0045565B">
            <w:pPr>
              <w:jc w:val="center"/>
              <w:rPr>
                <w:rFonts w:eastAsiaTheme="minorEastAsia"/>
                <w:color w:val="000000"/>
                <w:szCs w:val="21"/>
              </w:rPr>
            </w:pPr>
            <w:r w:rsidRPr="0045565B">
              <w:rPr>
                <w:rFonts w:eastAsiaTheme="minorEastAsia"/>
                <w:color w:val="000000"/>
                <w:szCs w:val="21"/>
              </w:rPr>
              <w:t>基金托管人</w:t>
            </w:r>
          </w:p>
        </w:tc>
      </w:tr>
      <w:tr w:rsidTr="0045565B">
        <w:tblPrEx>
          <w:tblW w:w="0" w:type="auto"/>
          <w:tblInd w:w="108" w:type="dxa"/>
          <w:tblLayout w:type="fixed"/>
          <w:tblLook w:val="00A0"/>
        </w:tblPrEx>
        <w:tc>
          <w:tcPr>
            <w:tcW w:w="2631" w:type="dxa"/>
            <w:gridSpan w:val="2"/>
            <w:vAlign w:val="center"/>
          </w:tcPr>
          <w:p w:rsidR="001548F9" w:rsidRPr="0045565B">
            <w:pPr>
              <w:autoSpaceDE w:val="0"/>
              <w:autoSpaceDN w:val="0"/>
              <w:adjustRightInd w:val="0"/>
              <w:spacing w:before="29" w:line="288" w:lineRule="auto"/>
              <w:ind w:left="15"/>
              <w:rPr>
                <w:rFonts w:eastAsiaTheme="minorEastAsia"/>
                <w:color w:val="000000"/>
                <w:kern w:val="0"/>
                <w:szCs w:val="21"/>
              </w:rPr>
            </w:pPr>
            <w:r w:rsidRPr="0045565B">
              <w:rPr>
                <w:rFonts w:eastAsiaTheme="minorEastAsia"/>
                <w:color w:val="000000"/>
                <w:kern w:val="0"/>
                <w:szCs w:val="21"/>
              </w:rPr>
              <w:t>名称</w:t>
            </w:r>
          </w:p>
        </w:tc>
        <w:tc>
          <w:tcPr>
            <w:tcW w:w="3060" w:type="dxa"/>
            <w:vAlign w:val="center"/>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金鹰基金管理有限公司</w:t>
            </w:r>
          </w:p>
        </w:tc>
        <w:tc>
          <w:tcPr>
            <w:tcW w:w="3060" w:type="dxa"/>
            <w:vAlign w:val="center"/>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中国邮政储蓄银行股份有限公司</w:t>
            </w:r>
          </w:p>
        </w:tc>
      </w:tr>
      <w:tr w:rsidTr="0045565B">
        <w:tblPrEx>
          <w:tblW w:w="0" w:type="auto"/>
          <w:tblInd w:w="108" w:type="dxa"/>
          <w:tblLayout w:type="fixed"/>
          <w:tblLook w:val="00A0"/>
        </w:tblPrEx>
        <w:tc>
          <w:tcPr>
            <w:tcW w:w="1260" w:type="dxa"/>
            <w:vMerge w:val="restart"/>
            <w:vAlign w:val="center"/>
          </w:tcPr>
          <w:p w:rsidR="001548F9" w:rsidRPr="0045565B">
            <w:pPr>
              <w:autoSpaceDE w:val="0"/>
              <w:autoSpaceDN w:val="0"/>
              <w:adjustRightInd w:val="0"/>
              <w:spacing w:before="29" w:line="360" w:lineRule="auto"/>
              <w:ind w:left="15"/>
              <w:rPr>
                <w:rFonts w:eastAsiaTheme="minorEastAsia"/>
                <w:color w:val="000000"/>
                <w:kern w:val="0"/>
                <w:szCs w:val="21"/>
              </w:rPr>
            </w:pPr>
            <w:r w:rsidRPr="0045565B">
              <w:rPr>
                <w:rFonts w:eastAsiaTheme="minorEastAsia"/>
                <w:color w:val="000000"/>
                <w:szCs w:val="21"/>
              </w:rPr>
              <w:t>信息披露负责人</w:t>
            </w:r>
          </w:p>
        </w:tc>
        <w:tc>
          <w:tcPr>
            <w:tcW w:w="1371" w:type="dxa"/>
            <w:vAlign w:val="center"/>
          </w:tcPr>
          <w:p w:rsidR="001548F9" w:rsidRPr="0045565B">
            <w:pPr>
              <w:jc w:val="center"/>
              <w:rPr>
                <w:rFonts w:eastAsiaTheme="minorEastAsia"/>
                <w:color w:val="000000"/>
                <w:szCs w:val="21"/>
              </w:rPr>
            </w:pPr>
            <w:r w:rsidRPr="0045565B">
              <w:rPr>
                <w:rFonts w:eastAsiaTheme="minorEastAsia"/>
                <w:color w:val="000000"/>
                <w:szCs w:val="21"/>
              </w:rPr>
              <w:t>姓名</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曾长兴</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田东辉</w:t>
            </w:r>
          </w:p>
        </w:tc>
      </w:tr>
      <w:tr w:rsidTr="0045565B">
        <w:tblPrEx>
          <w:tblW w:w="0" w:type="auto"/>
          <w:tblInd w:w="108" w:type="dxa"/>
          <w:tblLayout w:type="fixed"/>
          <w:tblLook w:val="00A0"/>
        </w:tblPrEx>
        <w:tc>
          <w:tcPr>
            <w:tcW w:w="1260" w:type="dxa"/>
            <w:vMerge/>
            <w:vAlign w:val="center"/>
          </w:tcPr>
          <w:p w:rsidR="001548F9" w:rsidRPr="0045565B">
            <w:pPr>
              <w:widowControl/>
              <w:jc w:val="left"/>
              <w:rPr>
                <w:rFonts w:eastAsiaTheme="minorEastAsia"/>
                <w:color w:val="000000"/>
                <w:kern w:val="0"/>
                <w:szCs w:val="21"/>
              </w:rPr>
            </w:pPr>
          </w:p>
        </w:tc>
        <w:tc>
          <w:tcPr>
            <w:tcW w:w="1371" w:type="dxa"/>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联系电话</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020-38898996</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010-68858113</w:t>
            </w:r>
          </w:p>
        </w:tc>
      </w:tr>
      <w:tr w:rsidTr="0045565B">
        <w:tblPrEx>
          <w:tblW w:w="0" w:type="auto"/>
          <w:tblInd w:w="108" w:type="dxa"/>
          <w:tblLayout w:type="fixed"/>
          <w:tblLook w:val="00A0"/>
        </w:tblPrEx>
        <w:tc>
          <w:tcPr>
            <w:tcW w:w="1260" w:type="dxa"/>
            <w:vMerge/>
            <w:vAlign w:val="center"/>
          </w:tcPr>
          <w:p w:rsidR="001548F9" w:rsidRPr="0045565B">
            <w:pPr>
              <w:widowControl/>
              <w:jc w:val="left"/>
              <w:rPr>
                <w:rFonts w:eastAsiaTheme="minorEastAsia"/>
                <w:color w:val="000000"/>
                <w:kern w:val="0"/>
                <w:szCs w:val="21"/>
              </w:rPr>
            </w:pPr>
          </w:p>
        </w:tc>
        <w:tc>
          <w:tcPr>
            <w:tcW w:w="1371" w:type="dxa"/>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电子邮箱</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csmail@gefund.com.cn</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tiandonghui@psbc.com.cn</w:t>
            </w:r>
          </w:p>
        </w:tc>
      </w:tr>
      <w:tr w:rsidTr="0045565B">
        <w:tblPrEx>
          <w:tblW w:w="0" w:type="auto"/>
          <w:tblInd w:w="108" w:type="dxa"/>
          <w:tblLayout w:type="fixed"/>
          <w:tblLook w:val="00A0"/>
        </w:tblPrEx>
        <w:tc>
          <w:tcPr>
            <w:tcW w:w="2631" w:type="dxa"/>
            <w:gridSpan w:val="2"/>
            <w:vAlign w:val="center"/>
          </w:tcPr>
          <w:p w:rsidR="001548F9" w:rsidRPr="0045565B">
            <w:pPr>
              <w:rPr>
                <w:rFonts w:eastAsiaTheme="minorEastAsia"/>
                <w:color w:val="000000"/>
                <w:szCs w:val="21"/>
              </w:rPr>
            </w:pPr>
            <w:r w:rsidRPr="0045565B">
              <w:rPr>
                <w:rFonts w:eastAsiaTheme="minorEastAsia"/>
                <w:color w:val="000000"/>
                <w:szCs w:val="21"/>
              </w:rPr>
              <w:t>客户服务电话</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4006135888,020-83936180</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95580</w:t>
            </w:r>
          </w:p>
        </w:tc>
      </w:tr>
      <w:tr w:rsidTr="0045565B">
        <w:tblPrEx>
          <w:tblW w:w="0" w:type="auto"/>
          <w:tblInd w:w="108" w:type="dxa"/>
          <w:tblLayout w:type="fixed"/>
          <w:tblLook w:val="00A0"/>
        </w:tblPrEx>
        <w:tc>
          <w:tcPr>
            <w:tcW w:w="2631" w:type="dxa"/>
            <w:gridSpan w:val="2"/>
            <w:vAlign w:val="center"/>
          </w:tcPr>
          <w:p w:rsidR="001548F9" w:rsidRPr="0045565B">
            <w:pPr>
              <w:rPr>
                <w:rFonts w:eastAsiaTheme="minorEastAsia"/>
                <w:color w:val="000000"/>
                <w:szCs w:val="21"/>
              </w:rPr>
            </w:pPr>
            <w:r w:rsidRPr="0045565B">
              <w:rPr>
                <w:rFonts w:eastAsiaTheme="minorEastAsia"/>
                <w:color w:val="000000"/>
                <w:szCs w:val="21"/>
              </w:rPr>
              <w:t>传真</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020-83282856</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010-68858120</w:t>
            </w:r>
          </w:p>
        </w:tc>
      </w:tr>
    </w:tbl>
    <w:p w:rsidR="001548F9" w:rsidRPr="0045565B" w:rsidP="0045565B">
      <w:pPr>
        <w:pStyle w:val="Heading2"/>
        <w:spacing w:before="312" w:beforeLines="100" w:after="0"/>
        <w:jc w:val="left"/>
        <w:rPr>
          <w:rFonts w:ascii="Times New Roman" w:hAnsi="Times New Roman" w:eastAsiaTheme="minorEastAsia"/>
          <w:kern w:val="0"/>
          <w:sz w:val="21"/>
          <w:szCs w:val="21"/>
        </w:rPr>
      </w:pPr>
      <w:bookmarkStart w:id="9" w:name="_Toc331410072"/>
      <w:bookmarkStart w:id="10" w:name="_Toc225498248"/>
      <w:r w:rsidRPr="0045565B">
        <w:rPr>
          <w:rFonts w:ascii="Times New Roman" w:hAnsi="Times New Roman" w:eastAsiaTheme="minorEastAsia"/>
          <w:kern w:val="0"/>
          <w:sz w:val="21"/>
          <w:szCs w:val="21"/>
        </w:rPr>
        <w:t xml:space="preserve">2.4 </w:t>
      </w:r>
      <w:r w:rsidRPr="0045565B">
        <w:rPr>
          <w:rFonts w:ascii="Times New Roman" w:hAnsi="Times New Roman" w:eastAsiaTheme="minorEastAsia"/>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4820" w:type="dxa"/>
            <w:vAlign w:val="center"/>
          </w:tcPr>
          <w:p w:rsidR="001548F9" w:rsidRPr="0045565B" w:rsidP="00752ACD">
            <w:pPr>
              <w:tabs>
                <w:tab w:val="left" w:pos="1740"/>
              </w:tabs>
              <w:rPr>
                <w:rFonts w:eastAsiaTheme="minorEastAsia"/>
                <w:color w:val="000000"/>
                <w:szCs w:val="21"/>
              </w:rPr>
            </w:pPr>
            <w:r w:rsidRPr="0045565B">
              <w:rPr>
                <w:rFonts w:eastAsiaTheme="minorEastAsia"/>
                <w:color w:val="000000"/>
                <w:szCs w:val="21"/>
              </w:rPr>
              <w:t>登载基金</w:t>
            </w:r>
            <w:r w:rsidRPr="0045565B" w:rsidR="00106605">
              <w:rPr>
                <w:rFonts w:eastAsiaTheme="minorEastAsia"/>
                <w:color w:val="000000"/>
                <w:szCs w:val="21"/>
              </w:rPr>
              <w:t>半</w:t>
            </w:r>
            <w:r w:rsidRPr="0045565B" w:rsidR="001C03A0">
              <w:rPr>
                <w:rFonts w:eastAsiaTheme="minorEastAsia"/>
                <w:color w:val="000000"/>
                <w:szCs w:val="21"/>
              </w:rPr>
              <w:t>年度报告摘要</w:t>
            </w:r>
            <w:r w:rsidRPr="0045565B">
              <w:rPr>
                <w:rFonts w:eastAsiaTheme="minorEastAsia"/>
                <w:color w:val="000000"/>
                <w:szCs w:val="21"/>
              </w:rPr>
              <w:t>的管理人互联网网址</w:t>
            </w:r>
          </w:p>
        </w:tc>
        <w:tc>
          <w:tcPr>
            <w:tcW w:w="4180" w:type="dxa"/>
            <w:vAlign w:val="center"/>
          </w:tcPr>
          <w:p w:rsidR="001548F9" w:rsidRPr="0045565B" w:rsidP="00A9431A">
            <w:pPr>
              <w:tabs>
                <w:tab w:val="left" w:pos="1740"/>
              </w:tabs>
              <w:rPr>
                <w:rFonts w:eastAsiaTheme="minorEastAsia"/>
                <w:color w:val="000000"/>
                <w:szCs w:val="21"/>
              </w:rPr>
            </w:pPr>
            <w:r w:rsidRPr="0045565B">
              <w:rPr>
                <w:rFonts w:eastAsiaTheme="minorEastAsia"/>
                <w:color w:val="000000"/>
                <w:szCs w:val="21"/>
              </w:rPr>
              <w:t>http://www.gefund.com.cn</w:t>
            </w:r>
          </w:p>
        </w:tc>
      </w:tr>
      <w:tr w:rsidTr="0045565B">
        <w:tblPrEx>
          <w:tblW w:w="0" w:type="auto"/>
          <w:tblInd w:w="108" w:type="dxa"/>
          <w:tblLayout w:type="fixed"/>
          <w:tblLook w:val="00A0"/>
        </w:tblPrEx>
        <w:tc>
          <w:tcPr>
            <w:tcW w:w="4820" w:type="dxa"/>
            <w:vAlign w:val="center"/>
          </w:tcPr>
          <w:p w:rsidR="001548F9" w:rsidRPr="0045565B" w:rsidP="00752ACD">
            <w:pPr>
              <w:tabs>
                <w:tab w:val="left" w:pos="1740"/>
              </w:tabs>
              <w:rPr>
                <w:rFonts w:eastAsiaTheme="minorEastAsia"/>
                <w:color w:val="000000"/>
                <w:szCs w:val="21"/>
              </w:rPr>
            </w:pPr>
            <w:r w:rsidRPr="0045565B">
              <w:rPr>
                <w:rFonts w:eastAsiaTheme="minorEastAsia"/>
                <w:color w:val="000000"/>
                <w:szCs w:val="21"/>
              </w:rPr>
              <w:t>基金</w:t>
            </w:r>
            <w:r w:rsidRPr="0045565B" w:rsidR="00813F84">
              <w:rPr>
                <w:rFonts w:eastAsiaTheme="minorEastAsia"/>
                <w:color w:val="000000"/>
                <w:szCs w:val="21"/>
              </w:rPr>
              <w:t>半</w:t>
            </w:r>
            <w:r w:rsidRPr="0045565B">
              <w:rPr>
                <w:rFonts w:eastAsiaTheme="minorEastAsia"/>
                <w:color w:val="000000"/>
                <w:szCs w:val="21"/>
              </w:rPr>
              <w:t>年度报告备置地点</w:t>
            </w:r>
          </w:p>
        </w:tc>
        <w:tc>
          <w:tcPr>
            <w:tcW w:w="4180" w:type="dxa"/>
            <w:vAlign w:val="center"/>
          </w:tcPr>
          <w:p w:rsidR="001548F9" w:rsidRPr="0045565B" w:rsidP="00A9431A">
            <w:pPr>
              <w:tabs>
                <w:tab w:val="left" w:pos="1740"/>
              </w:tabs>
              <w:rPr>
                <w:rFonts w:eastAsiaTheme="minorEastAsia"/>
                <w:color w:val="000000"/>
                <w:szCs w:val="21"/>
              </w:rPr>
            </w:pPr>
            <w:r w:rsidRPr="0045565B">
              <w:rPr>
                <w:rFonts w:eastAsiaTheme="minorEastAsia"/>
                <w:color w:val="000000"/>
                <w:szCs w:val="21"/>
              </w:rPr>
              <w:t>基金管理人及基金托管人住所</w:t>
            </w:r>
          </w:p>
        </w:tc>
      </w:tr>
    </w:tbl>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45565B">
        <w:rPr>
          <w:rFonts w:eastAsiaTheme="minorEastAsia"/>
          <w:b/>
          <w:bCs/>
          <w:sz w:val="21"/>
          <w:szCs w:val="21"/>
          <w:lang w:val="en-US"/>
        </w:rPr>
        <w:t xml:space="preserve">3  </w:t>
      </w:r>
      <w:r w:rsidRPr="0045565B">
        <w:rPr>
          <w:rFonts w:eastAsiaTheme="minorEastAsia"/>
          <w:b/>
          <w:bCs/>
          <w:sz w:val="21"/>
          <w:szCs w:val="21"/>
          <w:lang w:val="en-US"/>
        </w:rPr>
        <w:t>主要财务指标和基金净值表现</w:t>
      </w:r>
      <w:bookmarkEnd w:id="11"/>
      <w:bookmarkEnd w:id="12"/>
    </w:p>
    <w:p w:rsidR="001548F9" w:rsidRPr="0045565B" w:rsidP="00D24622">
      <w:pPr>
        <w:pStyle w:val="Heading2"/>
        <w:spacing w:before="0" w:after="0"/>
        <w:rPr>
          <w:rFonts w:ascii="Times New Roman" w:hAnsi="Times New Roman" w:eastAsiaTheme="minorEastAsia"/>
          <w:kern w:val="0"/>
          <w:sz w:val="21"/>
          <w:szCs w:val="21"/>
        </w:rPr>
      </w:pPr>
      <w:bookmarkStart w:id="15" w:name="_Toc286996129"/>
      <w:r w:rsidRPr="0045565B">
        <w:rPr>
          <w:rFonts w:ascii="Times New Roman" w:hAnsi="Times New Roman" w:eastAsiaTheme="minorEastAsia"/>
          <w:kern w:val="0"/>
          <w:sz w:val="21"/>
          <w:szCs w:val="21"/>
        </w:rPr>
        <w:t xml:space="preserve">3.1 </w:t>
      </w:r>
      <w:r w:rsidRPr="0045565B">
        <w:rPr>
          <w:rFonts w:ascii="Times New Roman" w:hAnsi="Times New Roman" w:eastAsiaTheme="minorEastAsia"/>
          <w:kern w:val="0"/>
          <w:sz w:val="21"/>
          <w:szCs w:val="21"/>
        </w:rPr>
        <w:t>主要会计数据和财务指标</w:t>
      </w:r>
      <w:bookmarkEnd w:id="15"/>
    </w:p>
    <w:p w:rsidR="00A929AA" w:rsidRPr="0045565B" w:rsidP="00A929AA">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Tr="0045565B">
        <w:tblPrEx>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487"/>
        </w:trPr>
        <w:tc>
          <w:tcPr>
            <w:tcW w:w="4404" w:type="dxa"/>
            <w:vMerge w:val="restart"/>
            <w:vAlign w:val="center"/>
          </w:tcPr>
          <w:p w:rsidR="001548F9" w:rsidRPr="0045565B" w:rsidP="00752ACD">
            <w:pPr>
              <w:ind w:left="-107" w:right="-107" w:leftChars="-51" w:rightChars="-51"/>
              <w:rPr>
                <w:rFonts w:eastAsiaTheme="minorEastAsia"/>
                <w:b/>
                <w:color w:val="000000"/>
                <w:szCs w:val="21"/>
              </w:rPr>
            </w:pPr>
            <w:bookmarkEnd w:id="13"/>
            <w:bookmarkEnd w:id="14"/>
            <w:r w:rsidRPr="0045565B">
              <w:rPr>
                <w:rFonts w:eastAsiaTheme="minorEastAsia"/>
                <w:b/>
                <w:color w:val="000000"/>
                <w:szCs w:val="21"/>
              </w:rPr>
              <w:t>3.1.1</w:t>
            </w:r>
            <w:r w:rsidRPr="0045565B">
              <w:rPr>
                <w:rFonts w:eastAsiaTheme="minorEastAsia"/>
                <w:b/>
                <w:color w:val="000000"/>
                <w:szCs w:val="21"/>
              </w:rPr>
              <w:t>期间数据和指标</w:t>
            </w:r>
          </w:p>
        </w:tc>
        <w:tc>
          <w:tcPr>
            <w:tcW w:w="4968" w:type="dxa"/>
            <w:gridSpan w:val="2"/>
            <w:vAlign w:val="center"/>
          </w:tcPr>
          <w:p w:rsidR="001548F9" w:rsidRPr="0045565B" w:rsidP="00A062B7">
            <w:pPr>
              <w:jc w:val="center"/>
              <w:rPr>
                <w:rFonts w:eastAsiaTheme="minorEastAsia"/>
                <w:b/>
                <w:szCs w:val="21"/>
              </w:rPr>
            </w:pPr>
            <w:r w:rsidRPr="0045565B">
              <w:rPr>
                <w:rFonts w:eastAsiaTheme="minorEastAsia"/>
                <w:b/>
                <w:szCs w:val="21"/>
              </w:rPr>
              <w:t>报告期（</w:t>
            </w:r>
            <w:r w:rsidRPr="0045565B" w:rsidR="0058437B">
              <w:rPr>
                <w:rFonts w:eastAsiaTheme="minorEastAsia"/>
                <w:b/>
                <w:szCs w:val="21"/>
              </w:rPr>
              <w:t>2019年1月1日</w:t>
            </w:r>
            <w:r w:rsidRPr="0045565B" w:rsidR="0058437B">
              <w:rPr>
                <w:rFonts w:eastAsiaTheme="minorEastAsia"/>
                <w:b/>
                <w:szCs w:val="21"/>
              </w:rPr>
              <w:t>至</w:t>
            </w:r>
            <w:r w:rsidRPr="0045565B">
              <w:rPr>
                <w:rFonts w:eastAsiaTheme="minorEastAsia"/>
                <w:b/>
                <w:szCs w:val="21"/>
              </w:rPr>
              <w:t>2019年6月30日</w:t>
            </w:r>
            <w:r w:rsidRPr="0045565B">
              <w:rPr>
                <w:rFonts w:eastAsiaTheme="minorEastAsia"/>
                <w:b/>
                <w:szCs w:val="21"/>
              </w:rPr>
              <w:t>）</w:t>
            </w:r>
          </w:p>
        </w:tc>
      </w:tr>
      <w:tr w:rsidTr="0045565B">
        <w:tblPrEx>
          <w:tblW w:w="9372" w:type="dxa"/>
          <w:tblInd w:w="108" w:type="dxa"/>
          <w:tblLayout w:type="fixed"/>
          <w:tblLook w:val="00A0"/>
        </w:tblPrEx>
        <w:trPr>
          <w:trHeight w:val="487"/>
        </w:trPr>
        <w:tc>
          <w:tcPr>
            <w:tcW w:w="4404" w:type="dxa"/>
            <w:vMerge/>
            <w:vAlign w:val="center"/>
          </w:tcPr>
          <w:p w:rsidR="001548F9" w:rsidRPr="0045565B">
            <w:pPr>
              <w:widowControl/>
              <w:jc w:val="left"/>
              <w:rPr>
                <w:rFonts w:eastAsiaTheme="minorEastAsia"/>
                <w:b/>
                <w:color w:val="000000"/>
                <w:szCs w:val="21"/>
              </w:rPr>
            </w:pPr>
          </w:p>
        </w:tc>
        <w:tc>
          <w:tcPr>
            <w:tcW w:w="2410" w:type="dxa"/>
            <w:vAlign w:val="center"/>
          </w:tcPr>
          <w:p w:rsidR="001548F9" w:rsidRPr="0045565B" w:rsidP="00801E52">
            <w:pPr>
              <w:jc w:val="right"/>
              <w:rPr>
                <w:rFonts w:eastAsiaTheme="minorEastAsia"/>
                <w:szCs w:val="21"/>
              </w:rPr>
            </w:pPr>
            <w:r w:rsidRPr="0045565B">
              <w:rPr>
                <w:rFonts w:eastAsiaTheme="minorEastAsia"/>
                <w:szCs w:val="21"/>
              </w:rPr>
              <w:t>金鹰持久增利债券(LOF)C</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金鹰持久增利债券(LOF)E</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本期已实现收益</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3,514,950.65</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248,613.28</w:t>
            </w:r>
          </w:p>
        </w:tc>
      </w:tr>
      <w:tr w:rsidTr="0045565B">
        <w:tblPrEx>
          <w:tblW w:w="9372" w:type="dxa"/>
          <w:tblInd w:w="108" w:type="dxa"/>
          <w:tblLayout w:type="fixed"/>
          <w:tblLook w:val="00A0"/>
        </w:tblPrEx>
        <w:trPr>
          <w:trHeight w:val="754"/>
        </w:trPr>
        <w:tc>
          <w:tcPr>
            <w:tcW w:w="4404" w:type="dxa"/>
            <w:vAlign w:val="center"/>
          </w:tcPr>
          <w:p w:rsidR="001548F9" w:rsidRPr="0045565B">
            <w:pPr>
              <w:rPr>
                <w:rFonts w:eastAsiaTheme="minorEastAsia"/>
                <w:szCs w:val="21"/>
              </w:rPr>
            </w:pPr>
            <w:r w:rsidRPr="0045565B">
              <w:rPr>
                <w:rFonts w:eastAsiaTheme="minorEastAsia"/>
                <w:szCs w:val="21"/>
              </w:rPr>
              <w:t>本期利润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4,301,702.20</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278,663.54</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加权平均基金份额本期利润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0.0806</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0.0763</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本期基金份额净值增长率</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9.91%</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10.19%</w:t>
            </w:r>
          </w:p>
        </w:tc>
      </w:tr>
      <w:tr w:rsidTr="0045565B">
        <w:tblPrEx>
          <w:tblW w:w="9372" w:type="dxa"/>
          <w:tblInd w:w="108" w:type="dxa"/>
          <w:tblLayout w:type="fixed"/>
          <w:tblLook w:val="00A0"/>
        </w:tblPrEx>
        <w:tc>
          <w:tcPr>
            <w:tcW w:w="4404" w:type="dxa"/>
            <w:vMerge w:val="restart"/>
            <w:vAlign w:val="center"/>
          </w:tcPr>
          <w:p w:rsidR="001548F9" w:rsidRPr="0045565B" w:rsidP="005D2F95">
            <w:pPr>
              <w:ind w:left="-107" w:right="-107" w:leftChars="-51" w:rightChars="-51"/>
              <w:rPr>
                <w:rFonts w:eastAsiaTheme="minorEastAsia"/>
                <w:b/>
                <w:color w:val="000000"/>
                <w:szCs w:val="21"/>
              </w:rPr>
            </w:pPr>
            <w:r w:rsidRPr="0045565B">
              <w:rPr>
                <w:rFonts w:eastAsiaTheme="minorEastAsia"/>
                <w:b/>
                <w:color w:val="000000"/>
                <w:szCs w:val="21"/>
              </w:rPr>
              <w:t>3.1.2</w:t>
            </w:r>
            <w:r w:rsidRPr="0045565B">
              <w:rPr>
                <w:rFonts w:eastAsiaTheme="minorEastAsia"/>
                <w:b/>
                <w:color w:val="000000"/>
                <w:szCs w:val="21"/>
              </w:rPr>
              <w:t>期末数据和指标</w:t>
            </w:r>
          </w:p>
        </w:tc>
        <w:tc>
          <w:tcPr>
            <w:tcW w:w="4968" w:type="dxa"/>
            <w:gridSpan w:val="2"/>
            <w:vAlign w:val="center"/>
          </w:tcPr>
          <w:p w:rsidR="001548F9" w:rsidRPr="0045565B" w:rsidP="00A062B7">
            <w:pPr>
              <w:jc w:val="center"/>
              <w:rPr>
                <w:rFonts w:eastAsiaTheme="minorEastAsia"/>
                <w:b/>
                <w:szCs w:val="21"/>
              </w:rPr>
            </w:pPr>
            <w:r w:rsidRPr="0045565B">
              <w:rPr>
                <w:rFonts w:eastAsiaTheme="minorEastAsia"/>
                <w:b/>
                <w:szCs w:val="21"/>
              </w:rPr>
              <w:t>报告期末</w:t>
            </w:r>
            <w:r w:rsidRPr="0045565B">
              <w:rPr>
                <w:rFonts w:eastAsiaTheme="minorEastAsia"/>
                <w:b/>
                <w:szCs w:val="21"/>
              </w:rPr>
              <w:t>(2019年6月30日)</w:t>
            </w:r>
          </w:p>
        </w:tc>
      </w:tr>
      <w:tr w:rsidTr="0045565B">
        <w:tblPrEx>
          <w:tblW w:w="9372" w:type="dxa"/>
          <w:tblInd w:w="108" w:type="dxa"/>
          <w:tblLayout w:type="fixed"/>
          <w:tblLook w:val="00A0"/>
        </w:tblPrEx>
        <w:trPr>
          <w:trHeight w:val="373"/>
        </w:trPr>
        <w:tc>
          <w:tcPr>
            <w:tcW w:w="4404" w:type="dxa"/>
            <w:vMerge/>
            <w:vAlign w:val="center"/>
          </w:tcPr>
          <w:p w:rsidR="001548F9" w:rsidRPr="0045565B">
            <w:pPr>
              <w:widowControl/>
              <w:jc w:val="left"/>
              <w:rPr>
                <w:rFonts w:eastAsiaTheme="minorEastAsia"/>
                <w:b/>
                <w:color w:val="000000"/>
                <w:szCs w:val="21"/>
              </w:rPr>
            </w:pPr>
          </w:p>
        </w:tc>
        <w:tc>
          <w:tcPr>
            <w:tcW w:w="2410" w:type="dxa"/>
            <w:vAlign w:val="center"/>
          </w:tcPr>
          <w:p w:rsidR="001548F9" w:rsidRPr="0045565B" w:rsidP="00801E52">
            <w:pPr>
              <w:ind w:left="-107" w:right="-107" w:leftChars="-51" w:rightChars="-51"/>
              <w:jc w:val="right"/>
              <w:rPr>
                <w:rFonts w:eastAsiaTheme="minorEastAsia"/>
                <w:color w:val="000000"/>
                <w:szCs w:val="21"/>
              </w:rPr>
            </w:pPr>
            <w:r w:rsidRPr="0045565B">
              <w:rPr>
                <w:rFonts w:eastAsiaTheme="minorEastAsia"/>
                <w:color w:val="000000"/>
                <w:szCs w:val="21"/>
              </w:rPr>
              <w:t>金鹰持久增利债券(LOF)C</w:t>
            </w:r>
          </w:p>
        </w:tc>
        <w:tc>
          <w:tcPr>
            <w:tcW w:w="2558" w:type="dxa"/>
            <w:vAlign w:val="center"/>
          </w:tcPr>
          <w:p w:rsidR="001548F9" w:rsidRPr="0045565B" w:rsidP="00801E52">
            <w:pPr>
              <w:ind w:left="-107" w:right="-107" w:leftChars="-51" w:rightChars="-51"/>
              <w:jc w:val="right"/>
              <w:rPr>
                <w:rFonts w:eastAsiaTheme="minorEastAsia"/>
                <w:color w:val="000000"/>
                <w:szCs w:val="21"/>
              </w:rPr>
            </w:pPr>
            <w:r w:rsidRPr="0045565B">
              <w:rPr>
                <w:rFonts w:eastAsiaTheme="minorEastAsia"/>
                <w:color w:val="000000"/>
                <w:szCs w:val="21"/>
              </w:rPr>
              <w:t>金鹰持久增利债券(LOF)E</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期末可供分配基金份额利润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0.3315</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0.0798</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期末基金资产净值</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56,029,918.32</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4,221,127.09</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期末基金份额净值</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1.0616</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1.0798</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注：1、本基金于2017年1月20日公告增加E份额。</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2、本期已实现收益指基金本期利息收入、投资收益、其他收入（不含公允价值变动收益）扣除相关费用后的余额，本期利润为本期已实现收益加上本期公允价值变动收益；</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3、上述基金业绩指标不包括持有人认购或交易基金的各项费用，计入费用后实际收益水平要低于所列数字；</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4、期末可供分配利润，指期末资产负债表中未分配利润与未分配利润中已实现部分的孰低数（为期末余额，不是当期发生数）。</w:t>
      </w:r>
    </w:p>
    <w:p w:rsidR="001548F9" w:rsidRPr="0045565B" w:rsidP="0045565B">
      <w:pPr>
        <w:pStyle w:val="Heading2"/>
        <w:spacing w:before="312" w:beforeLines="100" w:after="0"/>
        <w:rPr>
          <w:rFonts w:ascii="Times New Roman" w:hAnsi="Times New Roman" w:eastAsiaTheme="minorEastAsia"/>
          <w:kern w:val="0"/>
          <w:sz w:val="21"/>
          <w:szCs w:val="21"/>
        </w:rPr>
      </w:pPr>
      <w:bookmarkStart w:id="16" w:name="_Toc331410076"/>
      <w:bookmarkStart w:id="17" w:name="_Toc225498252"/>
      <w:r w:rsidRPr="0045565B">
        <w:rPr>
          <w:rFonts w:ascii="Times New Roman" w:hAnsi="Times New Roman" w:eastAsiaTheme="minorEastAsia"/>
          <w:kern w:val="0"/>
          <w:sz w:val="21"/>
          <w:szCs w:val="21"/>
        </w:rPr>
        <w:t xml:space="preserve">3.2 </w:t>
      </w:r>
      <w:r w:rsidRPr="0045565B">
        <w:rPr>
          <w:rFonts w:ascii="Times New Roman" w:hAnsi="Times New Roman" w:eastAsiaTheme="minorEastAsia"/>
          <w:kern w:val="0"/>
          <w:sz w:val="21"/>
          <w:szCs w:val="21"/>
        </w:rPr>
        <w:t>基金净值表现</w:t>
      </w:r>
      <w:bookmarkEnd w:id="16"/>
      <w:bookmarkEnd w:id="17"/>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3.2.1 </w:t>
      </w:r>
      <w:r w:rsidRPr="0045565B">
        <w:rPr>
          <w:rFonts w:eastAsiaTheme="minorEastAsia"/>
          <w:b/>
          <w:color w:val="000000"/>
          <w:kern w:val="0"/>
          <w:szCs w:val="21"/>
        </w:rPr>
        <w:t>基金份额净值增长率及其与同期业绩比较基准收益率的比较</w:t>
      </w:r>
    </w:p>
    <w:p w:rsidR="001548F9" w:rsidRPr="0045565B" w:rsidP="00D24622">
      <w:pPr>
        <w:pStyle w:val="BodyTextIndent2"/>
        <w:spacing w:line="360"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金鹰持久增利债券(LOF)C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Tr="0045565B">
        <w:tblPrEx>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20" w:type="dxa"/>
            <w:vAlign w:val="center"/>
          </w:tcPr>
          <w:p w:rsidR="001548F9" w:rsidRPr="0045565B">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tblPrEx>
          <w:tblW w:w="9720" w:type="dxa"/>
          <w:tblInd w:w="108" w:type="dxa"/>
          <w:tblLayout w:type="fixed"/>
          <w:tblLook w:val="00A0"/>
        </w:tblPrEx>
        <w:tc>
          <w:tcPr>
            <w:vAlign w:val="center"/>
          </w:tcPr>
          <w:p>
            <w:pPr>
              <w:jc w:val="left"/>
            </w:pPr>
            <w:r>
              <w:rPr>
                <w:rFonts w:eastAsiaTheme="minorEastAsia"/>
                <w:color w:val="000000"/>
                <w:szCs w:val="21"/>
              </w:rPr>
              <w:t>过去一个月</w:t>
            </w:r>
          </w:p>
        </w:tc>
        <w:tc>
          <w:tcPr>
            <w:vAlign w:val="center"/>
          </w:tcPr>
          <w:p>
            <w:pPr>
              <w:jc w:val="center"/>
            </w:pPr>
            <w:r>
              <w:rPr>
                <w:rFonts w:eastAsiaTheme="minorEastAsia"/>
                <w:color w:val="000000"/>
                <w:szCs w:val="21"/>
              </w:rPr>
              <w:t>1.67%</w:t>
            </w:r>
          </w:p>
        </w:tc>
        <w:tc>
          <w:tcPr>
            <w:vAlign w:val="center"/>
          </w:tcPr>
          <w:p>
            <w:pPr>
              <w:jc w:val="center"/>
            </w:pPr>
            <w:r>
              <w:rPr>
                <w:rFonts w:eastAsiaTheme="minorEastAsia"/>
                <w:color w:val="000000"/>
                <w:szCs w:val="21"/>
              </w:rPr>
              <w:t>0.52%</w:t>
            </w:r>
          </w:p>
        </w:tc>
        <w:tc>
          <w:tcPr>
            <w:vAlign w:val="center"/>
          </w:tcPr>
          <w:p>
            <w:pPr>
              <w:jc w:val="center"/>
            </w:pPr>
            <w:r>
              <w:rPr>
                <w:rFonts w:eastAsiaTheme="minorEastAsia"/>
                <w:color w:val="000000"/>
                <w:szCs w:val="21"/>
              </w:rPr>
              <w:t>0.77%</w:t>
            </w:r>
          </w:p>
        </w:tc>
        <w:tc>
          <w:tcPr>
            <w:vAlign w:val="center"/>
          </w:tcPr>
          <w:p>
            <w:pPr>
              <w:jc w:val="center"/>
            </w:pPr>
            <w:r>
              <w:rPr>
                <w:rFonts w:eastAsiaTheme="minorEastAsia"/>
                <w:color w:val="000000"/>
                <w:szCs w:val="21"/>
              </w:rPr>
              <w:t>0.05%</w:t>
            </w:r>
          </w:p>
        </w:tc>
        <w:tc>
          <w:tcPr>
            <w:vAlign w:val="center"/>
          </w:tcPr>
          <w:p>
            <w:pPr>
              <w:jc w:val="center"/>
            </w:pPr>
            <w:r>
              <w:rPr>
                <w:rFonts w:eastAsiaTheme="minorEastAsia"/>
                <w:color w:val="000000"/>
                <w:szCs w:val="21"/>
              </w:rPr>
              <w:t>0.90%</w:t>
            </w:r>
          </w:p>
        </w:tc>
        <w:tc>
          <w:tcPr>
            <w:vAlign w:val="center"/>
          </w:tcPr>
          <w:p>
            <w:pPr>
              <w:jc w:val="center"/>
            </w:pPr>
            <w:r>
              <w:rPr>
                <w:rFonts w:eastAsiaTheme="minorEastAsia"/>
                <w:color w:val="000000"/>
                <w:szCs w:val="21"/>
              </w:rPr>
              <w:t>0.47%</w:t>
            </w:r>
          </w:p>
        </w:tc>
      </w:tr>
      <w:tr>
        <w:tblPrEx>
          <w:tblW w:w="9720" w:type="dxa"/>
          <w:tblInd w:w="108" w:type="dxa"/>
          <w:tblLayout w:type="fixed"/>
          <w:tblLook w:val="00A0"/>
        </w:tblPrEx>
        <w:tc>
          <w:tcPr>
            <w:vAlign w:val="center"/>
          </w:tcPr>
          <w:p>
            <w:pPr>
              <w:jc w:val="left"/>
            </w:pPr>
            <w:r>
              <w:rPr>
                <w:rFonts w:eastAsiaTheme="minorEastAsia"/>
                <w:color w:val="000000"/>
                <w:szCs w:val="21"/>
              </w:rPr>
              <w:t>过去三个月</w:t>
            </w:r>
          </w:p>
        </w:tc>
        <w:tc>
          <w:tcPr>
            <w:vAlign w:val="center"/>
          </w:tcPr>
          <w:p>
            <w:pPr>
              <w:jc w:val="center"/>
            </w:pPr>
            <w:r>
              <w:rPr>
                <w:rFonts w:eastAsiaTheme="minorEastAsia"/>
                <w:color w:val="000000"/>
                <w:szCs w:val="21"/>
              </w:rPr>
              <w:t>-1.31%</w:t>
            </w:r>
          </w:p>
        </w:tc>
        <w:tc>
          <w:tcPr>
            <w:vAlign w:val="center"/>
          </w:tcPr>
          <w:p>
            <w:pPr>
              <w:jc w:val="center"/>
            </w:pPr>
            <w:r>
              <w:rPr>
                <w:rFonts w:eastAsiaTheme="minorEastAsia"/>
                <w:color w:val="000000"/>
                <w:szCs w:val="21"/>
              </w:rPr>
              <w:t>0.46%</w:t>
            </w:r>
          </w:p>
        </w:tc>
        <w:tc>
          <w:tcPr>
            <w:vAlign w:val="center"/>
          </w:tcPr>
          <w:p>
            <w:pPr>
              <w:jc w:val="center"/>
            </w:pPr>
            <w:r>
              <w:rPr>
                <w:rFonts w:eastAsiaTheme="minorEastAsia"/>
                <w:color w:val="000000"/>
                <w:szCs w:val="21"/>
              </w:rPr>
              <w:t>0.59%</w:t>
            </w:r>
          </w:p>
        </w:tc>
        <w:tc>
          <w:tcPr>
            <w:vAlign w:val="center"/>
          </w:tcPr>
          <w:p>
            <w:pPr>
              <w:jc w:val="center"/>
            </w:pPr>
            <w:r>
              <w:rPr>
                <w:rFonts w:eastAsiaTheme="minorEastAsia"/>
                <w:color w:val="000000"/>
                <w:szCs w:val="21"/>
              </w:rPr>
              <w:t>0.07%</w:t>
            </w:r>
          </w:p>
        </w:tc>
        <w:tc>
          <w:tcPr>
            <w:vAlign w:val="center"/>
          </w:tcPr>
          <w:p>
            <w:pPr>
              <w:jc w:val="center"/>
            </w:pPr>
            <w:r>
              <w:rPr>
                <w:rFonts w:eastAsiaTheme="minorEastAsia"/>
                <w:color w:val="000000"/>
                <w:szCs w:val="21"/>
              </w:rPr>
              <w:t>-1.90%</w:t>
            </w:r>
          </w:p>
        </w:tc>
        <w:tc>
          <w:tcPr>
            <w:vAlign w:val="center"/>
          </w:tcPr>
          <w:p>
            <w:pPr>
              <w:jc w:val="center"/>
            </w:pPr>
            <w:r>
              <w:rPr>
                <w:rFonts w:eastAsiaTheme="minorEastAsia"/>
                <w:color w:val="000000"/>
                <w:szCs w:val="21"/>
              </w:rPr>
              <w:t>0.39%</w:t>
            </w:r>
          </w:p>
        </w:tc>
      </w:tr>
      <w:tr>
        <w:tblPrEx>
          <w:tblW w:w="9720" w:type="dxa"/>
          <w:tblInd w:w="108" w:type="dxa"/>
          <w:tblLayout w:type="fixed"/>
          <w:tblLook w:val="00A0"/>
        </w:tblPrEx>
        <w:tc>
          <w:tcPr>
            <w:vAlign w:val="center"/>
          </w:tcPr>
          <w:p>
            <w:pPr>
              <w:jc w:val="left"/>
            </w:pPr>
            <w:r>
              <w:rPr>
                <w:rFonts w:eastAsiaTheme="minorEastAsia"/>
                <w:color w:val="000000"/>
                <w:szCs w:val="21"/>
              </w:rPr>
              <w:t>过去六个月</w:t>
            </w:r>
          </w:p>
        </w:tc>
        <w:tc>
          <w:tcPr>
            <w:vAlign w:val="center"/>
          </w:tcPr>
          <w:p>
            <w:pPr>
              <w:jc w:val="center"/>
            </w:pPr>
            <w:r>
              <w:rPr>
                <w:rFonts w:eastAsiaTheme="minorEastAsia"/>
                <w:color w:val="000000"/>
                <w:szCs w:val="21"/>
              </w:rPr>
              <w:t>9.91%</w:t>
            </w:r>
          </w:p>
        </w:tc>
        <w:tc>
          <w:tcPr>
            <w:vAlign w:val="center"/>
          </w:tcPr>
          <w:p>
            <w:pPr>
              <w:jc w:val="center"/>
            </w:pPr>
            <w:r>
              <w:rPr>
                <w:rFonts w:eastAsiaTheme="minorEastAsia"/>
                <w:color w:val="000000"/>
                <w:szCs w:val="21"/>
              </w:rPr>
              <w:t>0.47%</w:t>
            </w:r>
          </w:p>
        </w:tc>
        <w:tc>
          <w:tcPr>
            <w:vAlign w:val="center"/>
          </w:tcPr>
          <w:p>
            <w:pPr>
              <w:jc w:val="center"/>
            </w:pPr>
            <w:r>
              <w:rPr>
                <w:rFonts w:eastAsiaTheme="minorEastAsia"/>
                <w:color w:val="000000"/>
                <w:szCs w:val="21"/>
              </w:rPr>
              <w:t>3.03%</w:t>
            </w:r>
          </w:p>
        </w:tc>
        <w:tc>
          <w:tcPr>
            <w:vAlign w:val="center"/>
          </w:tcPr>
          <w:p>
            <w:pPr>
              <w:jc w:val="center"/>
            </w:pPr>
            <w:r>
              <w:rPr>
                <w:rFonts w:eastAsiaTheme="minorEastAsia"/>
                <w:color w:val="000000"/>
                <w:szCs w:val="21"/>
              </w:rPr>
              <w:t>0.08%</w:t>
            </w:r>
          </w:p>
        </w:tc>
        <w:tc>
          <w:tcPr>
            <w:vAlign w:val="center"/>
          </w:tcPr>
          <w:p>
            <w:pPr>
              <w:jc w:val="center"/>
            </w:pPr>
            <w:r>
              <w:rPr>
                <w:rFonts w:eastAsiaTheme="minorEastAsia"/>
                <w:color w:val="000000"/>
                <w:szCs w:val="21"/>
              </w:rPr>
              <w:t>6.88%</w:t>
            </w:r>
          </w:p>
        </w:tc>
        <w:tc>
          <w:tcPr>
            <w:vAlign w:val="center"/>
          </w:tcPr>
          <w:p>
            <w:pPr>
              <w:jc w:val="center"/>
            </w:pPr>
            <w:r>
              <w:rPr>
                <w:rFonts w:eastAsiaTheme="minorEastAsia"/>
                <w:color w:val="000000"/>
                <w:szCs w:val="21"/>
              </w:rPr>
              <w:t>0.39%</w:t>
            </w:r>
          </w:p>
        </w:tc>
      </w:tr>
      <w:tr>
        <w:tblPrEx>
          <w:tblW w:w="9720" w:type="dxa"/>
          <w:tblInd w:w="108" w:type="dxa"/>
          <w:tblLayout w:type="fixed"/>
          <w:tblLook w:val="00A0"/>
        </w:tblPrEx>
        <w:tc>
          <w:tcPr>
            <w:vAlign w:val="center"/>
          </w:tcPr>
          <w:p>
            <w:pPr>
              <w:jc w:val="left"/>
            </w:pPr>
            <w:r>
              <w:rPr>
                <w:rFonts w:eastAsiaTheme="minorEastAsia"/>
                <w:color w:val="000000"/>
                <w:szCs w:val="21"/>
              </w:rPr>
              <w:t>过去一年</w:t>
            </w:r>
          </w:p>
        </w:tc>
        <w:tc>
          <w:tcPr>
            <w:vAlign w:val="center"/>
          </w:tcPr>
          <w:p>
            <w:pPr>
              <w:jc w:val="center"/>
            </w:pPr>
            <w:r>
              <w:rPr>
                <w:rFonts w:eastAsiaTheme="minorEastAsia"/>
                <w:color w:val="000000"/>
                <w:szCs w:val="21"/>
              </w:rPr>
              <w:t>2.98%</w:t>
            </w:r>
          </w:p>
        </w:tc>
        <w:tc>
          <w:tcPr>
            <w:vAlign w:val="center"/>
          </w:tcPr>
          <w:p>
            <w:pPr>
              <w:jc w:val="center"/>
            </w:pPr>
            <w:r>
              <w:rPr>
                <w:rFonts w:eastAsiaTheme="minorEastAsia"/>
                <w:color w:val="000000"/>
                <w:szCs w:val="21"/>
              </w:rPr>
              <w:t>0.49%</w:t>
            </w:r>
          </w:p>
        </w:tc>
        <w:tc>
          <w:tcPr>
            <w:vAlign w:val="center"/>
          </w:tcPr>
          <w:p>
            <w:pPr>
              <w:jc w:val="center"/>
            </w:pPr>
            <w:r>
              <w:rPr>
                <w:rFonts w:eastAsiaTheme="minorEastAsia"/>
                <w:color w:val="000000"/>
                <w:szCs w:val="21"/>
              </w:rPr>
              <w:t>6.37%</w:t>
            </w:r>
          </w:p>
        </w:tc>
        <w:tc>
          <w:tcPr>
            <w:vAlign w:val="center"/>
          </w:tcPr>
          <w:p>
            <w:pPr>
              <w:jc w:val="center"/>
            </w:pPr>
            <w:r>
              <w:rPr>
                <w:rFonts w:eastAsiaTheme="minorEastAsia"/>
                <w:color w:val="000000"/>
                <w:szCs w:val="21"/>
              </w:rPr>
              <w:t>0.08%</w:t>
            </w:r>
          </w:p>
        </w:tc>
        <w:tc>
          <w:tcPr>
            <w:vAlign w:val="center"/>
          </w:tcPr>
          <w:p>
            <w:pPr>
              <w:jc w:val="center"/>
            </w:pPr>
            <w:r>
              <w:rPr>
                <w:rFonts w:eastAsiaTheme="minorEastAsia"/>
                <w:color w:val="000000"/>
                <w:szCs w:val="21"/>
              </w:rPr>
              <w:t>-3.39%</w:t>
            </w:r>
          </w:p>
        </w:tc>
        <w:tc>
          <w:tcPr>
            <w:vAlign w:val="center"/>
          </w:tcPr>
          <w:p>
            <w:pPr>
              <w:jc w:val="center"/>
            </w:pPr>
            <w:r>
              <w:rPr>
                <w:rFonts w:eastAsiaTheme="minorEastAsia"/>
                <w:color w:val="000000"/>
                <w:szCs w:val="21"/>
              </w:rPr>
              <w:t>0.41%</w:t>
            </w:r>
          </w:p>
        </w:tc>
      </w:tr>
      <w:tr>
        <w:tblPrEx>
          <w:tblW w:w="9720" w:type="dxa"/>
          <w:tblInd w:w="108" w:type="dxa"/>
          <w:tblLayout w:type="fixed"/>
          <w:tblLook w:val="00A0"/>
        </w:tblPrEx>
        <w:tc>
          <w:tcPr>
            <w:vAlign w:val="center"/>
          </w:tcPr>
          <w:p>
            <w:pPr>
              <w:jc w:val="left"/>
            </w:pPr>
            <w:r>
              <w:rPr>
                <w:rFonts w:eastAsiaTheme="minorEastAsia"/>
                <w:color w:val="000000"/>
                <w:szCs w:val="21"/>
              </w:rPr>
              <w:t>过去三年</w:t>
            </w:r>
          </w:p>
        </w:tc>
        <w:tc>
          <w:tcPr>
            <w:vAlign w:val="center"/>
          </w:tcPr>
          <w:p>
            <w:pPr>
              <w:jc w:val="center"/>
            </w:pPr>
            <w:r>
              <w:rPr>
                <w:rFonts w:eastAsiaTheme="minorEastAsia"/>
                <w:color w:val="000000"/>
                <w:szCs w:val="21"/>
              </w:rPr>
              <w:t>-0.84%</w:t>
            </w:r>
          </w:p>
        </w:tc>
        <w:tc>
          <w:tcPr>
            <w:vAlign w:val="center"/>
          </w:tcPr>
          <w:p>
            <w:pPr>
              <w:jc w:val="center"/>
            </w:pPr>
            <w:r>
              <w:rPr>
                <w:rFonts w:eastAsiaTheme="minorEastAsia"/>
                <w:color w:val="000000"/>
                <w:szCs w:val="21"/>
              </w:rPr>
              <w:t>0.35%</w:t>
            </w:r>
          </w:p>
        </w:tc>
        <w:tc>
          <w:tcPr>
            <w:vAlign w:val="center"/>
          </w:tcPr>
          <w:p>
            <w:pPr>
              <w:jc w:val="center"/>
            </w:pPr>
            <w:r>
              <w:rPr>
                <w:rFonts w:eastAsiaTheme="minorEastAsia"/>
                <w:color w:val="000000"/>
                <w:szCs w:val="21"/>
              </w:rPr>
              <w:t>11.51%</w:t>
            </w:r>
          </w:p>
        </w:tc>
        <w:tc>
          <w:tcPr>
            <w:vAlign w:val="center"/>
          </w:tcPr>
          <w:p>
            <w:pPr>
              <w:jc w:val="center"/>
            </w:pPr>
            <w:r>
              <w:rPr>
                <w:rFonts w:eastAsiaTheme="minorEastAsia"/>
                <w:color w:val="000000"/>
                <w:szCs w:val="21"/>
              </w:rPr>
              <w:t>0.09%</w:t>
            </w:r>
          </w:p>
        </w:tc>
        <w:tc>
          <w:tcPr>
            <w:vAlign w:val="center"/>
          </w:tcPr>
          <w:p>
            <w:pPr>
              <w:jc w:val="center"/>
            </w:pPr>
            <w:r>
              <w:rPr>
                <w:rFonts w:eastAsiaTheme="minorEastAsia"/>
                <w:color w:val="000000"/>
                <w:szCs w:val="21"/>
              </w:rPr>
              <w:t>-12.35%</w:t>
            </w:r>
          </w:p>
        </w:tc>
        <w:tc>
          <w:tcPr>
            <w:vAlign w:val="center"/>
          </w:tcPr>
          <w:p>
            <w:pPr>
              <w:jc w:val="center"/>
            </w:pPr>
            <w:r>
              <w:rPr>
                <w:rFonts w:eastAsiaTheme="minorEastAsia"/>
                <w:color w:val="000000"/>
                <w:szCs w:val="21"/>
              </w:rPr>
              <w:t>0.26%</w:t>
            </w:r>
          </w:p>
        </w:tc>
      </w:tr>
      <w:tr>
        <w:tblPrEx>
          <w:tblW w:w="9720" w:type="dxa"/>
          <w:tblInd w:w="108" w:type="dxa"/>
          <w:tblLayout w:type="fixed"/>
          <w:tblLook w:val="00A0"/>
        </w:tblPrEx>
        <w:tc>
          <w:tcPr>
            <w:vAlign w:val="center"/>
          </w:tcPr>
          <w:p>
            <w:pPr>
              <w:jc w:val="left"/>
            </w:pPr>
            <w:r>
              <w:rPr>
                <w:rFonts w:eastAsiaTheme="minorEastAsia"/>
                <w:color w:val="000000"/>
                <w:szCs w:val="21"/>
              </w:rPr>
              <w:t>自基金合同生效起至今</w:t>
            </w:r>
          </w:p>
        </w:tc>
        <w:tc>
          <w:tcPr>
            <w:vAlign w:val="center"/>
          </w:tcPr>
          <w:p>
            <w:pPr>
              <w:jc w:val="center"/>
            </w:pPr>
            <w:r>
              <w:rPr>
                <w:rFonts w:eastAsiaTheme="minorEastAsia"/>
                <w:color w:val="000000"/>
                <w:szCs w:val="21"/>
              </w:rPr>
              <w:t>6.16%</w:t>
            </w:r>
          </w:p>
        </w:tc>
        <w:tc>
          <w:tcPr>
            <w:vAlign w:val="center"/>
          </w:tcPr>
          <w:p>
            <w:pPr>
              <w:jc w:val="center"/>
            </w:pPr>
            <w:r>
              <w:rPr>
                <w:rFonts w:eastAsiaTheme="minorEastAsia"/>
                <w:color w:val="000000"/>
                <w:szCs w:val="21"/>
              </w:rPr>
              <w:t>0.32%</w:t>
            </w:r>
          </w:p>
        </w:tc>
        <w:tc>
          <w:tcPr>
            <w:vAlign w:val="center"/>
          </w:tcPr>
          <w:p>
            <w:pPr>
              <w:jc w:val="center"/>
            </w:pPr>
            <w:r>
              <w:rPr>
                <w:rFonts w:eastAsiaTheme="minorEastAsia"/>
                <w:color w:val="000000"/>
                <w:szCs w:val="21"/>
              </w:rPr>
              <w:t>20.03%</w:t>
            </w:r>
          </w:p>
        </w:tc>
        <w:tc>
          <w:tcPr>
            <w:vAlign w:val="center"/>
          </w:tcPr>
          <w:p>
            <w:pPr>
              <w:jc w:val="center"/>
            </w:pPr>
            <w:r>
              <w:rPr>
                <w:rFonts w:eastAsiaTheme="minorEastAsia"/>
                <w:color w:val="000000"/>
                <w:szCs w:val="21"/>
              </w:rPr>
              <w:t>0.10%</w:t>
            </w:r>
          </w:p>
        </w:tc>
        <w:tc>
          <w:tcPr>
            <w:vAlign w:val="center"/>
          </w:tcPr>
          <w:p>
            <w:pPr>
              <w:jc w:val="center"/>
            </w:pPr>
            <w:r>
              <w:rPr>
                <w:rFonts w:eastAsiaTheme="minorEastAsia"/>
                <w:color w:val="000000"/>
                <w:szCs w:val="21"/>
              </w:rPr>
              <w:t>-13.87%</w:t>
            </w:r>
          </w:p>
        </w:tc>
        <w:tc>
          <w:tcPr>
            <w:vAlign w:val="center"/>
          </w:tcPr>
          <w:p>
            <w:pPr>
              <w:jc w:val="center"/>
            </w:pPr>
            <w:r>
              <w:rPr>
                <w:rFonts w:eastAsiaTheme="minorEastAsia"/>
                <w:color w:val="000000"/>
                <w:szCs w:val="21"/>
              </w:rPr>
              <w:t>0.22%</w:t>
            </w:r>
          </w:p>
        </w:tc>
      </w:tr>
    </w:tbl>
    <w:p w:rsidR="001548F9" w:rsidRPr="0045565B" w:rsidP="00D24622">
      <w:pPr>
        <w:pStyle w:val="BodyTextIndent2"/>
        <w:spacing w:line="360"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金鹰持久增利债券(LOF)E</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Tr="0045565B">
        <w:tblPrEx>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20" w:type="dxa"/>
            <w:vAlign w:val="center"/>
          </w:tcPr>
          <w:p w:rsidR="001548F9" w:rsidRPr="0045565B">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tblPrEx>
          <w:tblW w:w="9720" w:type="dxa"/>
          <w:tblInd w:w="108" w:type="dxa"/>
          <w:tblLayout w:type="fixed"/>
          <w:tblLook w:val="00A0"/>
        </w:tblPrEx>
        <w:tc>
          <w:tcPr>
            <w:vAlign w:val="center"/>
          </w:tcPr>
          <w:p>
            <w:pPr>
              <w:jc w:val="left"/>
            </w:pPr>
            <w:r>
              <w:rPr>
                <w:rFonts w:eastAsiaTheme="minorEastAsia"/>
                <w:color w:val="000000"/>
                <w:szCs w:val="21"/>
              </w:rPr>
              <w:t>过去一个月</w:t>
            </w:r>
          </w:p>
        </w:tc>
        <w:tc>
          <w:tcPr>
            <w:vAlign w:val="center"/>
          </w:tcPr>
          <w:p>
            <w:pPr>
              <w:jc w:val="center"/>
            </w:pPr>
            <w:r>
              <w:rPr>
                <w:rFonts w:eastAsiaTheme="minorEastAsia"/>
                <w:color w:val="000000"/>
                <w:szCs w:val="21"/>
              </w:rPr>
              <w:t>1.70%</w:t>
            </w:r>
          </w:p>
        </w:tc>
        <w:tc>
          <w:tcPr>
            <w:vAlign w:val="center"/>
          </w:tcPr>
          <w:p>
            <w:pPr>
              <w:jc w:val="center"/>
            </w:pPr>
            <w:r>
              <w:rPr>
                <w:rFonts w:eastAsiaTheme="minorEastAsia"/>
                <w:color w:val="000000"/>
                <w:szCs w:val="21"/>
              </w:rPr>
              <w:t>0.52%</w:t>
            </w:r>
          </w:p>
        </w:tc>
        <w:tc>
          <w:tcPr>
            <w:vAlign w:val="center"/>
          </w:tcPr>
          <w:p>
            <w:pPr>
              <w:jc w:val="center"/>
            </w:pPr>
            <w:r>
              <w:rPr>
                <w:rFonts w:eastAsiaTheme="minorEastAsia"/>
                <w:color w:val="000000"/>
                <w:szCs w:val="21"/>
              </w:rPr>
              <w:t>0.77%</w:t>
            </w:r>
          </w:p>
        </w:tc>
        <w:tc>
          <w:tcPr>
            <w:vAlign w:val="center"/>
          </w:tcPr>
          <w:p>
            <w:pPr>
              <w:jc w:val="center"/>
            </w:pPr>
            <w:r>
              <w:rPr>
                <w:rFonts w:eastAsiaTheme="minorEastAsia"/>
                <w:color w:val="000000"/>
                <w:szCs w:val="21"/>
              </w:rPr>
              <w:t>0.05%</w:t>
            </w:r>
          </w:p>
        </w:tc>
        <w:tc>
          <w:tcPr>
            <w:vAlign w:val="center"/>
          </w:tcPr>
          <w:p>
            <w:pPr>
              <w:jc w:val="center"/>
            </w:pPr>
            <w:r>
              <w:rPr>
                <w:rFonts w:eastAsiaTheme="minorEastAsia"/>
                <w:color w:val="000000"/>
                <w:szCs w:val="21"/>
              </w:rPr>
              <w:t>0.93%</w:t>
            </w:r>
          </w:p>
        </w:tc>
        <w:tc>
          <w:tcPr>
            <w:vAlign w:val="center"/>
          </w:tcPr>
          <w:p>
            <w:pPr>
              <w:jc w:val="center"/>
            </w:pPr>
            <w:r>
              <w:rPr>
                <w:rFonts w:eastAsiaTheme="minorEastAsia"/>
                <w:color w:val="000000"/>
                <w:szCs w:val="21"/>
              </w:rPr>
              <w:t>0.47%</w:t>
            </w:r>
          </w:p>
        </w:tc>
      </w:tr>
      <w:tr>
        <w:tblPrEx>
          <w:tblW w:w="9720" w:type="dxa"/>
          <w:tblInd w:w="108" w:type="dxa"/>
          <w:tblLayout w:type="fixed"/>
          <w:tblLook w:val="00A0"/>
        </w:tblPrEx>
        <w:tc>
          <w:tcPr>
            <w:vAlign w:val="center"/>
          </w:tcPr>
          <w:p>
            <w:pPr>
              <w:jc w:val="left"/>
            </w:pPr>
            <w:r>
              <w:rPr>
                <w:rFonts w:eastAsiaTheme="minorEastAsia"/>
                <w:color w:val="000000"/>
                <w:szCs w:val="21"/>
              </w:rPr>
              <w:t>过去三个月</w:t>
            </w:r>
          </w:p>
        </w:tc>
        <w:tc>
          <w:tcPr>
            <w:vAlign w:val="center"/>
          </w:tcPr>
          <w:p>
            <w:pPr>
              <w:jc w:val="center"/>
            </w:pPr>
            <w:r>
              <w:rPr>
                <w:rFonts w:eastAsiaTheme="minorEastAsia"/>
                <w:color w:val="000000"/>
                <w:szCs w:val="21"/>
              </w:rPr>
              <w:t>-1.17%</w:t>
            </w:r>
          </w:p>
        </w:tc>
        <w:tc>
          <w:tcPr>
            <w:vAlign w:val="center"/>
          </w:tcPr>
          <w:p>
            <w:pPr>
              <w:jc w:val="center"/>
            </w:pPr>
            <w:r>
              <w:rPr>
                <w:rFonts w:eastAsiaTheme="minorEastAsia"/>
                <w:color w:val="000000"/>
                <w:szCs w:val="21"/>
              </w:rPr>
              <w:t>0.46%</w:t>
            </w:r>
          </w:p>
        </w:tc>
        <w:tc>
          <w:tcPr>
            <w:vAlign w:val="center"/>
          </w:tcPr>
          <w:p>
            <w:pPr>
              <w:jc w:val="center"/>
            </w:pPr>
            <w:r>
              <w:rPr>
                <w:rFonts w:eastAsiaTheme="minorEastAsia"/>
                <w:color w:val="000000"/>
                <w:szCs w:val="21"/>
              </w:rPr>
              <w:t>0.59%</w:t>
            </w:r>
          </w:p>
        </w:tc>
        <w:tc>
          <w:tcPr>
            <w:vAlign w:val="center"/>
          </w:tcPr>
          <w:p>
            <w:pPr>
              <w:jc w:val="center"/>
            </w:pPr>
            <w:r>
              <w:rPr>
                <w:rFonts w:eastAsiaTheme="minorEastAsia"/>
                <w:color w:val="000000"/>
                <w:szCs w:val="21"/>
              </w:rPr>
              <w:t>0.07%</w:t>
            </w:r>
          </w:p>
        </w:tc>
        <w:tc>
          <w:tcPr>
            <w:vAlign w:val="center"/>
          </w:tcPr>
          <w:p>
            <w:pPr>
              <w:jc w:val="center"/>
            </w:pPr>
            <w:r>
              <w:rPr>
                <w:rFonts w:eastAsiaTheme="minorEastAsia"/>
                <w:color w:val="000000"/>
                <w:szCs w:val="21"/>
              </w:rPr>
              <w:t>-1.76%</w:t>
            </w:r>
          </w:p>
        </w:tc>
        <w:tc>
          <w:tcPr>
            <w:vAlign w:val="center"/>
          </w:tcPr>
          <w:p>
            <w:pPr>
              <w:jc w:val="center"/>
            </w:pPr>
            <w:r>
              <w:rPr>
                <w:rFonts w:eastAsiaTheme="minorEastAsia"/>
                <w:color w:val="000000"/>
                <w:szCs w:val="21"/>
              </w:rPr>
              <w:t>0.39%</w:t>
            </w:r>
          </w:p>
        </w:tc>
      </w:tr>
      <w:tr>
        <w:tblPrEx>
          <w:tblW w:w="9720" w:type="dxa"/>
          <w:tblInd w:w="108" w:type="dxa"/>
          <w:tblLayout w:type="fixed"/>
          <w:tblLook w:val="00A0"/>
        </w:tblPrEx>
        <w:tc>
          <w:tcPr>
            <w:vAlign w:val="center"/>
          </w:tcPr>
          <w:p>
            <w:pPr>
              <w:jc w:val="left"/>
            </w:pPr>
            <w:r>
              <w:rPr>
                <w:rFonts w:eastAsiaTheme="minorEastAsia"/>
                <w:color w:val="000000"/>
                <w:szCs w:val="21"/>
              </w:rPr>
              <w:t>过去六个月</w:t>
            </w:r>
          </w:p>
        </w:tc>
        <w:tc>
          <w:tcPr>
            <w:vAlign w:val="center"/>
          </w:tcPr>
          <w:p>
            <w:pPr>
              <w:jc w:val="center"/>
            </w:pPr>
            <w:r>
              <w:rPr>
                <w:rFonts w:eastAsiaTheme="minorEastAsia"/>
                <w:color w:val="000000"/>
                <w:szCs w:val="21"/>
              </w:rPr>
              <w:t>10.19%</w:t>
            </w:r>
          </w:p>
        </w:tc>
        <w:tc>
          <w:tcPr>
            <w:vAlign w:val="center"/>
          </w:tcPr>
          <w:p>
            <w:pPr>
              <w:jc w:val="center"/>
            </w:pPr>
            <w:r>
              <w:rPr>
                <w:rFonts w:eastAsiaTheme="minorEastAsia"/>
                <w:color w:val="000000"/>
                <w:szCs w:val="21"/>
              </w:rPr>
              <w:t>0.47%</w:t>
            </w:r>
          </w:p>
        </w:tc>
        <w:tc>
          <w:tcPr>
            <w:vAlign w:val="center"/>
          </w:tcPr>
          <w:p>
            <w:pPr>
              <w:jc w:val="center"/>
            </w:pPr>
            <w:r>
              <w:rPr>
                <w:rFonts w:eastAsiaTheme="minorEastAsia"/>
                <w:color w:val="000000"/>
                <w:szCs w:val="21"/>
              </w:rPr>
              <w:t>3.03%</w:t>
            </w:r>
          </w:p>
        </w:tc>
        <w:tc>
          <w:tcPr>
            <w:vAlign w:val="center"/>
          </w:tcPr>
          <w:p>
            <w:pPr>
              <w:jc w:val="center"/>
            </w:pPr>
            <w:r>
              <w:rPr>
                <w:rFonts w:eastAsiaTheme="minorEastAsia"/>
                <w:color w:val="000000"/>
                <w:szCs w:val="21"/>
              </w:rPr>
              <w:t>0.08%</w:t>
            </w:r>
          </w:p>
        </w:tc>
        <w:tc>
          <w:tcPr>
            <w:vAlign w:val="center"/>
          </w:tcPr>
          <w:p>
            <w:pPr>
              <w:jc w:val="center"/>
            </w:pPr>
            <w:r>
              <w:rPr>
                <w:rFonts w:eastAsiaTheme="minorEastAsia"/>
                <w:color w:val="000000"/>
                <w:szCs w:val="21"/>
              </w:rPr>
              <w:t>7.16%</w:t>
            </w:r>
          </w:p>
        </w:tc>
        <w:tc>
          <w:tcPr>
            <w:vAlign w:val="center"/>
          </w:tcPr>
          <w:p>
            <w:pPr>
              <w:jc w:val="center"/>
            </w:pPr>
            <w:r>
              <w:rPr>
                <w:rFonts w:eastAsiaTheme="minorEastAsia"/>
                <w:color w:val="000000"/>
                <w:szCs w:val="21"/>
              </w:rPr>
              <w:t>0.39%</w:t>
            </w:r>
          </w:p>
        </w:tc>
      </w:tr>
      <w:tr>
        <w:tblPrEx>
          <w:tblW w:w="9720" w:type="dxa"/>
          <w:tblInd w:w="108" w:type="dxa"/>
          <w:tblLayout w:type="fixed"/>
          <w:tblLook w:val="00A0"/>
        </w:tblPrEx>
        <w:tc>
          <w:tcPr>
            <w:vAlign w:val="center"/>
          </w:tcPr>
          <w:p>
            <w:pPr>
              <w:jc w:val="left"/>
            </w:pPr>
            <w:r>
              <w:rPr>
                <w:rFonts w:eastAsiaTheme="minorEastAsia"/>
                <w:color w:val="000000"/>
                <w:szCs w:val="21"/>
              </w:rPr>
              <w:t>过去一年</w:t>
            </w:r>
          </w:p>
        </w:tc>
        <w:tc>
          <w:tcPr>
            <w:vAlign w:val="center"/>
          </w:tcPr>
          <w:p>
            <w:pPr>
              <w:jc w:val="center"/>
            </w:pPr>
            <w:r>
              <w:rPr>
                <w:rFonts w:eastAsiaTheme="minorEastAsia"/>
                <w:color w:val="000000"/>
                <w:szCs w:val="21"/>
              </w:rPr>
              <w:t>4.12%</w:t>
            </w:r>
          </w:p>
        </w:tc>
        <w:tc>
          <w:tcPr>
            <w:vAlign w:val="center"/>
          </w:tcPr>
          <w:p>
            <w:pPr>
              <w:jc w:val="center"/>
            </w:pPr>
            <w:r>
              <w:rPr>
                <w:rFonts w:eastAsiaTheme="minorEastAsia"/>
                <w:color w:val="000000"/>
                <w:szCs w:val="21"/>
              </w:rPr>
              <w:t>0.49%</w:t>
            </w:r>
          </w:p>
        </w:tc>
        <w:tc>
          <w:tcPr>
            <w:vAlign w:val="center"/>
          </w:tcPr>
          <w:p>
            <w:pPr>
              <w:jc w:val="center"/>
            </w:pPr>
            <w:r>
              <w:rPr>
                <w:rFonts w:eastAsiaTheme="minorEastAsia"/>
                <w:color w:val="000000"/>
                <w:szCs w:val="21"/>
              </w:rPr>
              <w:t>6.37%</w:t>
            </w:r>
          </w:p>
        </w:tc>
        <w:tc>
          <w:tcPr>
            <w:vAlign w:val="center"/>
          </w:tcPr>
          <w:p>
            <w:pPr>
              <w:jc w:val="center"/>
            </w:pPr>
            <w:r>
              <w:rPr>
                <w:rFonts w:eastAsiaTheme="minorEastAsia"/>
                <w:color w:val="000000"/>
                <w:szCs w:val="21"/>
              </w:rPr>
              <w:t>0.08%</w:t>
            </w:r>
          </w:p>
        </w:tc>
        <w:tc>
          <w:tcPr>
            <w:vAlign w:val="center"/>
          </w:tcPr>
          <w:p>
            <w:pPr>
              <w:jc w:val="center"/>
            </w:pPr>
            <w:r>
              <w:rPr>
                <w:rFonts w:eastAsiaTheme="minorEastAsia"/>
                <w:color w:val="000000"/>
                <w:szCs w:val="21"/>
              </w:rPr>
              <w:t>-2.25%</w:t>
            </w:r>
          </w:p>
        </w:tc>
        <w:tc>
          <w:tcPr>
            <w:vAlign w:val="center"/>
          </w:tcPr>
          <w:p>
            <w:pPr>
              <w:jc w:val="center"/>
            </w:pPr>
            <w:r>
              <w:rPr>
                <w:rFonts w:eastAsiaTheme="minorEastAsia"/>
                <w:color w:val="000000"/>
                <w:szCs w:val="21"/>
              </w:rPr>
              <w:t>0.41%</w:t>
            </w:r>
          </w:p>
        </w:tc>
      </w:tr>
      <w:tr>
        <w:tblPrEx>
          <w:tblW w:w="9720" w:type="dxa"/>
          <w:tblInd w:w="108" w:type="dxa"/>
          <w:tblLayout w:type="fixed"/>
          <w:tblLook w:val="00A0"/>
        </w:tblPrEx>
        <w:tc>
          <w:tcPr>
            <w:vAlign w:val="center"/>
          </w:tcPr>
          <w:p>
            <w:pPr>
              <w:jc w:val="left"/>
            </w:pPr>
            <w:r>
              <w:rPr>
                <w:rFonts w:eastAsiaTheme="minorEastAsia"/>
                <w:color w:val="000000"/>
                <w:szCs w:val="21"/>
              </w:rPr>
              <w:t>自基金合同生效起至今</w:t>
            </w:r>
          </w:p>
        </w:tc>
        <w:tc>
          <w:tcPr>
            <w:vAlign w:val="center"/>
          </w:tcPr>
          <w:p>
            <w:pPr>
              <w:jc w:val="center"/>
            </w:pPr>
            <w:r>
              <w:rPr>
                <w:rFonts w:eastAsiaTheme="minorEastAsia"/>
                <w:color w:val="000000"/>
                <w:szCs w:val="21"/>
              </w:rPr>
              <w:t>-1.11%</w:t>
            </w:r>
          </w:p>
        </w:tc>
        <w:tc>
          <w:tcPr>
            <w:vAlign w:val="center"/>
          </w:tcPr>
          <w:p>
            <w:pPr>
              <w:jc w:val="center"/>
            </w:pPr>
            <w:r>
              <w:rPr>
                <w:rFonts w:eastAsiaTheme="minorEastAsia"/>
                <w:color w:val="000000"/>
                <w:szCs w:val="21"/>
              </w:rPr>
              <w:t>0.40%</w:t>
            </w:r>
          </w:p>
        </w:tc>
        <w:tc>
          <w:tcPr>
            <w:vAlign w:val="center"/>
          </w:tcPr>
          <w:p>
            <w:pPr>
              <w:jc w:val="center"/>
            </w:pPr>
            <w:r>
              <w:rPr>
                <w:rFonts w:eastAsiaTheme="minorEastAsia"/>
                <w:color w:val="000000"/>
                <w:szCs w:val="21"/>
              </w:rPr>
              <w:t>10.01%</w:t>
            </w:r>
          </w:p>
        </w:tc>
        <w:tc>
          <w:tcPr>
            <w:vAlign w:val="center"/>
          </w:tcPr>
          <w:p>
            <w:pPr>
              <w:jc w:val="center"/>
            </w:pPr>
            <w:r>
              <w:rPr>
                <w:rFonts w:eastAsiaTheme="minorEastAsia"/>
                <w:color w:val="000000"/>
                <w:szCs w:val="21"/>
              </w:rPr>
              <w:t>0.08%</w:t>
            </w:r>
          </w:p>
        </w:tc>
        <w:tc>
          <w:tcPr>
            <w:vAlign w:val="center"/>
          </w:tcPr>
          <w:p>
            <w:pPr>
              <w:jc w:val="center"/>
            </w:pPr>
            <w:r>
              <w:rPr>
                <w:rFonts w:eastAsiaTheme="minorEastAsia"/>
                <w:color w:val="000000"/>
                <w:szCs w:val="21"/>
              </w:rPr>
              <w:t>-11.12%</w:t>
            </w:r>
          </w:p>
        </w:tc>
        <w:tc>
          <w:tcPr>
            <w:vAlign w:val="center"/>
          </w:tcPr>
          <w:p>
            <w:pPr>
              <w:jc w:val="center"/>
            </w:pPr>
            <w:r>
              <w:rPr>
                <w:rFonts w:eastAsiaTheme="minorEastAsia"/>
                <w:color w:val="000000"/>
                <w:szCs w:val="21"/>
              </w:rPr>
              <w:t>0.32%</w:t>
            </w:r>
          </w:p>
        </w:tc>
      </w:tr>
    </w:tbl>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注：金鹰持久增利E类份额于2017年1月20日新增，自2017年8月3日起有申购资金进入。</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本基金业绩比较基准为：中国债券综合指数（财富）增长率×95%＋沪深300指数增长率×5%。</w:t>
      </w:r>
    </w:p>
    <w:p w:rsidR="001548F9" w:rsidRPr="0045565B" w:rsidP="0045565B">
      <w:pPr>
        <w:spacing w:before="312" w:beforeLines="100" w:line="360" w:lineRule="auto"/>
        <w:rPr>
          <w:rFonts w:eastAsiaTheme="minorEastAsia"/>
          <w:b/>
          <w:kern w:val="0"/>
          <w:szCs w:val="21"/>
        </w:rPr>
      </w:pPr>
      <w:r w:rsidRPr="0045565B">
        <w:rPr>
          <w:rFonts w:eastAsiaTheme="minorEastAsia"/>
          <w:b/>
          <w:kern w:val="0"/>
          <w:szCs w:val="21"/>
        </w:rPr>
        <w:t>3.2.2</w:t>
      </w:r>
      <w:r w:rsidRPr="0045565B" w:rsidR="00E335EC">
        <w:rPr>
          <w:rStyle w:val="Strong"/>
          <w:rFonts w:eastAsiaTheme="minorEastAsia"/>
          <w:color w:val="000000"/>
          <w:szCs w:val="21"/>
          <w:shd w:val="clear" w:color="auto" w:fill="FFFFFF"/>
        </w:rPr>
        <w:t>自基金转型以来</w:t>
      </w:r>
      <w:r w:rsidRPr="0045565B">
        <w:rPr>
          <w:rFonts w:eastAsiaTheme="minorEastAsia"/>
          <w:b/>
          <w:kern w:val="0"/>
          <w:szCs w:val="21"/>
        </w:rPr>
        <w:t>基金份额累计净值增长率变动及其与同期业绩比较基准收益率变动的比较</w:t>
      </w:r>
    </w:p>
    <w:p w:rsidR="001548F9" w:rsidRPr="0045565B" w:rsidP="00D24622">
      <w:pPr>
        <w:spacing w:line="360" w:lineRule="auto"/>
        <w:ind w:firstLine="420"/>
        <w:jc w:val="center"/>
        <w:rPr>
          <w:rFonts w:eastAsiaTheme="minorEastAsia"/>
          <w:kern w:val="0"/>
          <w:szCs w:val="21"/>
        </w:rPr>
      </w:pPr>
      <w:r w:rsidRPr="0045565B">
        <w:rPr>
          <w:rFonts w:eastAsiaTheme="minorEastAsia"/>
          <w:kern w:val="0"/>
          <w:szCs w:val="21"/>
        </w:rPr>
        <w:t>金鹰持久增利债券型证券投资基金(LOF)</w:t>
      </w:r>
    </w:p>
    <w:p w:rsidR="001548F9" w:rsidRPr="0045565B" w:rsidP="00D24622">
      <w:pPr>
        <w:spacing w:line="360" w:lineRule="auto"/>
        <w:ind w:firstLine="420"/>
        <w:jc w:val="center"/>
        <w:rPr>
          <w:rFonts w:eastAsiaTheme="minorEastAsia"/>
          <w:kern w:val="0"/>
          <w:szCs w:val="21"/>
        </w:rPr>
      </w:pPr>
      <w:r w:rsidRPr="0045565B">
        <w:rPr>
          <w:rFonts w:eastAsiaTheme="minorEastAsia"/>
          <w:kern w:val="0"/>
          <w:szCs w:val="21"/>
        </w:rPr>
        <w:t>份额累计净值增长率与业绩比较基准收益率</w:t>
      </w:r>
      <w:r w:rsidRPr="0045565B">
        <w:rPr>
          <w:rFonts w:eastAsiaTheme="minorEastAsia"/>
          <w:kern w:val="0"/>
          <w:szCs w:val="21"/>
        </w:rPr>
        <w:t>历史走势对比图</w:t>
      </w:r>
    </w:p>
    <w:p w:rsidR="001548F9" w:rsidRPr="0045565B" w:rsidP="00D24622">
      <w:pPr>
        <w:pStyle w:val="PlainText"/>
        <w:snapToGrid w:val="0"/>
        <w:spacing w:line="360" w:lineRule="auto"/>
        <w:ind w:firstLine="480"/>
        <w:jc w:val="center"/>
        <w:rPr>
          <w:rFonts w:ascii="Times New Roman" w:hAnsi="Times New Roman" w:eastAsiaTheme="minorEastAsia"/>
        </w:rPr>
      </w:pPr>
      <w:r w:rsidRPr="0045565B">
        <w:rPr>
          <w:rFonts w:ascii="Times New Roman" w:hAnsi="Times New Roman" w:eastAsiaTheme="minorEastAsia"/>
        </w:rPr>
        <w:t>（</w:t>
      </w:r>
      <w:r w:rsidRPr="0045565B">
        <w:rPr>
          <w:rFonts w:ascii="Times New Roman" w:hAnsi="Times New Roman" w:eastAsiaTheme="minorEastAsia"/>
        </w:rPr>
        <w:t>2015年3月10日</w:t>
      </w:r>
      <w:r w:rsidRPr="0045565B">
        <w:rPr>
          <w:rFonts w:ascii="Times New Roman" w:hAnsi="Times New Roman" w:eastAsiaTheme="minorEastAsia"/>
        </w:rPr>
        <w:t>至</w:t>
      </w:r>
      <w:r w:rsidRPr="0045565B">
        <w:rPr>
          <w:rFonts w:ascii="Times New Roman" w:hAnsi="Times New Roman" w:eastAsiaTheme="minorEastAsia"/>
        </w:rPr>
        <w:t>2019年6月30日</w:t>
      </w:r>
      <w:r w:rsidRPr="0045565B">
        <w:rPr>
          <w:rFonts w:ascii="Times New Roman" w:hAnsi="Times New Roman" w:eastAsiaTheme="minorEastAsia"/>
        </w:rPr>
        <w:t>）</w:t>
      </w:r>
    </w:p>
    <w:p w:rsidR="002C42E4" w:rsidRPr="0045565B" w:rsidP="00D24622">
      <w:pPr>
        <w:pStyle w:val="BodyTextIndent2"/>
        <w:spacing w:line="360" w:lineRule="auto"/>
        <w:ind w:firstLine="0" w:firstLineChars="0"/>
        <w:rPr>
          <w:rFonts w:ascii="Times New Roman" w:hAnsi="Times New Roman" w:eastAsiaTheme="minorEastAsia"/>
          <w:sz w:val="21"/>
          <w:szCs w:val="21"/>
        </w:rPr>
      </w:pPr>
      <w:r w:rsidRPr="0045565B">
        <w:rPr>
          <w:rFonts w:ascii="Times New Roman" w:hAnsi="Times New Roman" w:eastAsiaTheme="minorEastAsia"/>
          <w:color w:val="auto"/>
          <w:sz w:val="21"/>
          <w:szCs w:val="21"/>
        </w:rPr>
        <w:t>金鹰持久增利债券(LOF)C</w:t>
      </w:r>
    </w:p>
    <w:p w:rsidR="001548F9" w:rsidRPr="0045565B"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注：1、截至本报告期末，本基金的各项投资比例已符合基金合同约定。</w:t>
      </w:r>
    </w:p>
    <w:p w:rsidR="002C42E4" w:rsidRPr="0045565B" w:rsidP="00A94139">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2、本基金业绩比较基准为：中国债券综合指数（财富）增长率×95%＋沪深300指数增长率×5%。</w:t>
      </w:r>
    </w:p>
    <w:p w:rsidR="002C42E4" w:rsidRPr="0045565B" w:rsidP="002C42E4">
      <w:pPr>
        <w:pStyle w:val="BodyTextIndent2"/>
        <w:spacing w:line="288"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金鹰持久增利债券(LOF)E</w:t>
      </w:r>
    </w:p>
    <w:p w:rsidR="002C42E4" w:rsidRPr="0045565B"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注：1、金鹰持久增利E类份额于2017年1月20日新增，自2017年8月3日起有申购资金进入。</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2、截至本报告期末，本基金的各项投资比例已符合基金合同约定。</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3、本基金业绩比较基准为：中国债券综合指数（财富）增长率×95%＋沪深300指数增长率×5%。</w:t>
      </w:r>
    </w:p>
    <w:p w:rsidR="001548F9" w:rsidRPr="0045565B" w:rsidP="0045565B">
      <w:pPr>
        <w:tabs>
          <w:tab w:val="left" w:pos="426"/>
        </w:tabs>
        <w:spacing w:line="360" w:lineRule="auto"/>
        <w:ind w:firstLine="420" w:firstLineChars="200"/>
        <w:jc w:val="left"/>
        <w:rPr>
          <w:rFonts w:eastAsiaTheme="minorEastAsia"/>
          <w:kern w:val="0"/>
          <w:szCs w:val="21"/>
        </w:rPr>
      </w:pPr>
    </w:p>
    <w:p w:rsidR="0036247E" w:rsidRPr="0045565B" w:rsidP="0036247E">
      <w:pPr>
        <w:tabs>
          <w:tab w:val="left" w:pos="1800"/>
        </w:tabs>
        <w:spacing w:line="360" w:lineRule="auto"/>
        <w:rPr>
          <w:rFonts w:eastAsiaTheme="minorEastAsia"/>
          <w:color w:val="000000"/>
          <w:szCs w:val="21"/>
        </w:rPr>
      </w:pP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18" w:name="_Toc331410078"/>
      <w:bookmarkStart w:id="19" w:name="_Toc225498254"/>
      <w:r w:rsidRPr="0045565B">
        <w:rPr>
          <w:rFonts w:eastAsiaTheme="minorEastAsia"/>
          <w:b/>
          <w:bCs/>
          <w:sz w:val="21"/>
          <w:szCs w:val="21"/>
          <w:lang w:val="en-US"/>
        </w:rPr>
        <w:t xml:space="preserve">4  </w:t>
      </w:r>
      <w:r w:rsidRPr="0045565B">
        <w:rPr>
          <w:rFonts w:eastAsiaTheme="minorEastAsia"/>
          <w:b/>
          <w:bCs/>
          <w:sz w:val="21"/>
          <w:szCs w:val="21"/>
          <w:lang w:val="en-US"/>
        </w:rPr>
        <w:t>管理人报告</w:t>
      </w:r>
      <w:bookmarkEnd w:id="18"/>
      <w:bookmarkEnd w:id="19"/>
    </w:p>
    <w:p w:rsidR="001548F9" w:rsidRPr="0045565B" w:rsidP="00D24622">
      <w:pPr>
        <w:pStyle w:val="Heading2"/>
        <w:spacing w:before="0" w:after="0"/>
        <w:rPr>
          <w:rFonts w:ascii="Times New Roman" w:hAnsi="Times New Roman" w:eastAsiaTheme="minorEastAsia"/>
          <w:kern w:val="0"/>
          <w:sz w:val="21"/>
          <w:szCs w:val="21"/>
        </w:rPr>
      </w:pPr>
      <w:bookmarkStart w:id="20" w:name="_Toc331410079"/>
      <w:r w:rsidRPr="0045565B">
        <w:rPr>
          <w:rFonts w:ascii="Times New Roman" w:hAnsi="Times New Roman" w:eastAsiaTheme="minorEastAsia"/>
          <w:kern w:val="0"/>
          <w:sz w:val="21"/>
          <w:szCs w:val="21"/>
        </w:rPr>
        <w:t xml:space="preserve">4.1 </w:t>
      </w:r>
      <w:r w:rsidRPr="0045565B">
        <w:rPr>
          <w:rFonts w:ascii="Times New Roman" w:hAnsi="Times New Roman" w:eastAsiaTheme="minorEastAsia"/>
          <w:kern w:val="0"/>
          <w:sz w:val="21"/>
          <w:szCs w:val="21"/>
        </w:rPr>
        <w:t>基金管理人及基金经理情况</w:t>
      </w:r>
      <w:bookmarkEnd w:id="20"/>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4.1.1 </w:t>
      </w:r>
      <w:r w:rsidRPr="0045565B">
        <w:rPr>
          <w:rFonts w:eastAsiaTheme="minorEastAsia"/>
          <w:b/>
          <w:color w:val="000000"/>
          <w:kern w:val="0"/>
          <w:szCs w:val="21"/>
        </w:rPr>
        <w:t>基金管理人及其管理基金的经验</w:t>
      </w:r>
    </w:p>
    <w:p>
      <w:pPr>
        <w:spacing w:line="360" w:lineRule="auto"/>
        <w:ind w:firstLine="420" w:firstLineChars="200"/>
        <w:rPr>
          <w:rFonts w:eastAsiaTheme="minorEastAsia"/>
          <w:color w:val="000000"/>
          <w:szCs w:val="21"/>
        </w:rPr>
      </w:pPr>
      <w:r>
        <w:rPr>
          <w:rFonts w:eastAsiaTheme="minorEastAsia"/>
          <w:color w:val="000000"/>
          <w:szCs w:val="21"/>
        </w:rPr>
        <w:t>经中国证监会证监基字[2002]97号文批准，金鹰基金管理有限公司于2002年12月25日成立，注册资本5.102亿元人民币。2011年12月公司获得特定客户资产管理计划业务资格，2013年7月子公司——广州金鹰资产管理有限公司成立。</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以人为本、互信协作；创新谋变、挑战超越”是金鹰人的核心价值观。公司坚持价值投资为导向，着力打造高水准的投研团队，努力为投资者创造丰厚回报。截至报告期末，公司共有46只公募基金，管理规模550.88亿元。</w:t>
      </w:r>
    </w:p>
    <w:p w:rsidR="001548F9" w:rsidRPr="0045565B" w:rsidP="0045565B">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4.1.2 </w:t>
      </w:r>
      <w:r w:rsidRPr="0045565B">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Tr="0045565B">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90"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姓名</w:t>
            </w:r>
          </w:p>
        </w:tc>
        <w:tc>
          <w:tcPr>
            <w:tcW w:w="1500"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职务</w:t>
            </w:r>
          </w:p>
        </w:tc>
        <w:tc>
          <w:tcPr>
            <w:tcW w:w="2450" w:type="dxa"/>
            <w:gridSpan w:val="2"/>
          </w:tcPr>
          <w:p w:rsidR="001548F9" w:rsidRPr="0045565B">
            <w:pPr>
              <w:jc w:val="center"/>
              <w:rPr>
                <w:rFonts w:eastAsiaTheme="minorEastAsia"/>
                <w:color w:val="000000"/>
                <w:szCs w:val="21"/>
              </w:rPr>
            </w:pPr>
            <w:r w:rsidRPr="0045565B">
              <w:rPr>
                <w:rFonts w:eastAsiaTheme="minorEastAsia"/>
                <w:color w:val="000000"/>
                <w:szCs w:val="21"/>
              </w:rPr>
              <w:t>任本基金的基金经理（助理）期限</w:t>
            </w:r>
          </w:p>
        </w:tc>
        <w:tc>
          <w:tcPr>
            <w:tcW w:w="1236"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证券从业年限</w:t>
            </w:r>
          </w:p>
        </w:tc>
        <w:tc>
          <w:tcPr>
            <w:tcW w:w="3264"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说明</w:t>
            </w:r>
          </w:p>
        </w:tc>
      </w:tr>
      <w:tr w:rsidTr="0045565B">
        <w:tblPrEx>
          <w:tblW w:w="9540" w:type="dxa"/>
          <w:tblInd w:w="108" w:type="dxa"/>
          <w:tblLayout w:type="fixed"/>
          <w:tblLook w:val="00A0"/>
        </w:tblPrEx>
        <w:tc>
          <w:tcPr>
            <w:tcW w:w="1090" w:type="dxa"/>
            <w:vMerge/>
            <w:vAlign w:val="center"/>
          </w:tcPr>
          <w:p w:rsidR="001548F9" w:rsidRPr="0045565B">
            <w:pPr>
              <w:widowControl/>
              <w:jc w:val="left"/>
              <w:rPr>
                <w:rFonts w:eastAsiaTheme="minorEastAsia"/>
                <w:color w:val="000000"/>
                <w:szCs w:val="21"/>
              </w:rPr>
            </w:pPr>
          </w:p>
        </w:tc>
        <w:tc>
          <w:tcPr>
            <w:tcW w:w="1500" w:type="dxa"/>
            <w:vMerge/>
            <w:vAlign w:val="center"/>
          </w:tcPr>
          <w:p w:rsidR="001548F9" w:rsidRPr="0045565B">
            <w:pPr>
              <w:widowControl/>
              <w:jc w:val="left"/>
              <w:rPr>
                <w:rFonts w:eastAsiaTheme="minorEastAsia"/>
                <w:color w:val="000000"/>
                <w:szCs w:val="21"/>
              </w:rPr>
            </w:pPr>
          </w:p>
        </w:tc>
        <w:tc>
          <w:tcPr>
            <w:tcW w:w="1190" w:type="dxa"/>
            <w:vAlign w:val="center"/>
          </w:tcPr>
          <w:p w:rsidR="001548F9" w:rsidRPr="0045565B">
            <w:pPr>
              <w:jc w:val="center"/>
              <w:rPr>
                <w:rFonts w:eastAsiaTheme="minorEastAsia"/>
                <w:color w:val="000000"/>
                <w:szCs w:val="21"/>
              </w:rPr>
            </w:pPr>
            <w:r w:rsidRPr="0045565B">
              <w:rPr>
                <w:rFonts w:eastAsiaTheme="minorEastAsia"/>
                <w:color w:val="000000"/>
                <w:szCs w:val="21"/>
              </w:rPr>
              <w:t>任职日期</w:t>
            </w:r>
          </w:p>
        </w:tc>
        <w:tc>
          <w:tcPr>
            <w:tcW w:w="1260" w:type="dxa"/>
            <w:vAlign w:val="center"/>
          </w:tcPr>
          <w:p w:rsidR="001548F9" w:rsidRPr="0045565B">
            <w:pPr>
              <w:jc w:val="center"/>
              <w:rPr>
                <w:rFonts w:eastAsiaTheme="minorEastAsia"/>
                <w:color w:val="000000"/>
                <w:szCs w:val="21"/>
              </w:rPr>
            </w:pPr>
            <w:r w:rsidRPr="0045565B">
              <w:rPr>
                <w:rFonts w:eastAsiaTheme="minorEastAsia"/>
                <w:color w:val="000000"/>
                <w:szCs w:val="21"/>
              </w:rPr>
              <w:t>离任日期</w:t>
            </w:r>
          </w:p>
        </w:tc>
        <w:tc>
          <w:tcPr>
            <w:tcW w:w="1236" w:type="dxa"/>
            <w:vMerge/>
            <w:vAlign w:val="center"/>
          </w:tcPr>
          <w:p w:rsidR="001548F9" w:rsidRPr="0045565B">
            <w:pPr>
              <w:widowControl/>
              <w:jc w:val="left"/>
              <w:rPr>
                <w:rFonts w:eastAsiaTheme="minorEastAsia"/>
                <w:color w:val="000000"/>
                <w:szCs w:val="21"/>
              </w:rPr>
            </w:pPr>
          </w:p>
        </w:tc>
        <w:tc>
          <w:tcPr>
            <w:tcW w:w="3264" w:type="dxa"/>
            <w:vMerge/>
            <w:vAlign w:val="center"/>
          </w:tcPr>
          <w:p w:rsidR="001548F9" w:rsidRPr="0045565B">
            <w:pPr>
              <w:widowControl/>
              <w:jc w:val="left"/>
              <w:rPr>
                <w:rFonts w:eastAsiaTheme="minorEastAsia"/>
                <w:color w:val="000000"/>
                <w:szCs w:val="21"/>
              </w:rPr>
            </w:pPr>
          </w:p>
        </w:tc>
      </w:tr>
      <w:tr>
        <w:tblPrEx>
          <w:tblW w:w="9540" w:type="dxa"/>
          <w:tblInd w:w="108" w:type="dxa"/>
          <w:tblLayout w:type="fixed"/>
          <w:tblLook w:val="00A0"/>
        </w:tblPrEx>
        <w:tc>
          <w:tcPr>
            <w:vAlign w:val="center"/>
          </w:tcPr>
          <w:p>
            <w:pPr>
              <w:jc w:val="center"/>
            </w:pPr>
            <w:r>
              <w:rPr>
                <w:rFonts w:eastAsiaTheme="minorEastAsia"/>
                <w:color w:val="000000"/>
                <w:szCs w:val="21"/>
              </w:rPr>
              <w:t>林龙军</w:t>
            </w:r>
          </w:p>
        </w:tc>
        <w:tc>
          <w:tcPr>
            <w:vAlign w:val="center"/>
          </w:tcPr>
          <w:p>
            <w:pPr>
              <w:jc w:val="center"/>
            </w:pPr>
            <w:r>
              <w:rPr>
                <w:rFonts w:eastAsiaTheme="minorEastAsia"/>
                <w:color w:val="000000"/>
                <w:szCs w:val="21"/>
              </w:rPr>
              <w:t>本基金的基金经理，公司绝对收益投资部总监</w:t>
            </w:r>
          </w:p>
        </w:tc>
        <w:tc>
          <w:tcPr>
            <w:vAlign w:val="center"/>
          </w:tcPr>
          <w:p>
            <w:pPr>
              <w:jc w:val="center"/>
            </w:pPr>
            <w:r>
              <w:rPr>
                <w:rFonts w:eastAsiaTheme="minorEastAsia"/>
                <w:color w:val="000000"/>
                <w:szCs w:val="21"/>
              </w:rPr>
              <w:t>2018-05-17</w:t>
            </w:r>
          </w:p>
        </w:tc>
        <w:tc>
          <w:tcPr>
            <w:vAlign w:val="center"/>
          </w:tcPr>
          <w:p>
            <w:pPr>
              <w:jc w:val="center"/>
            </w:pPr>
            <w:r>
              <w:rPr>
                <w:rFonts w:eastAsiaTheme="minorEastAsia"/>
                <w:color w:val="000000"/>
                <w:szCs w:val="21"/>
              </w:rPr>
              <w:t>-</w:t>
            </w:r>
          </w:p>
        </w:tc>
        <w:tc>
          <w:tcPr>
            <w:vAlign w:val="center"/>
          </w:tcPr>
          <w:p>
            <w:pPr>
              <w:jc w:val="center"/>
            </w:pPr>
            <w:r>
              <w:rPr>
                <w:rFonts w:eastAsiaTheme="minorEastAsia"/>
                <w:color w:val="000000"/>
                <w:szCs w:val="21"/>
              </w:rPr>
              <w:t>11</w:t>
            </w:r>
          </w:p>
        </w:tc>
        <w:tc>
          <w:tcPr>
            <w:vAlign w:val="center"/>
          </w:tcPr>
          <w:p>
            <w:pPr>
              <w:jc w:val="both"/>
            </w:pPr>
            <w:r>
              <w:rPr>
                <w:rFonts w:eastAsiaTheme="minorEastAsia"/>
                <w:color w:val="000000"/>
                <w:szCs w:val="21"/>
              </w:rPr>
              <w:t>林龙军先生，曾任兴全基金管理有限公司产品经理、研究员、基金经理助理、投资经理兼固收投委会委员等职务。2018年3月加入金鹰基金管理有限公司，现任绝对收益投资部基金经理。</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注：1、任职日期和离任日期指公司公告聘任或解聘日期；</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2、证券从业的含义遵从行业协会《证券业从业人员资格管理办法》的相关规定。</w:t>
      </w:r>
    </w:p>
    <w:p w:rsidR="001548F9" w:rsidRPr="0045565B" w:rsidP="0045565B">
      <w:pPr>
        <w:pStyle w:val="Heading2"/>
        <w:spacing w:before="312" w:beforeLines="100" w:after="0"/>
        <w:rPr>
          <w:rFonts w:ascii="Times New Roman" w:hAnsi="Times New Roman" w:eastAsiaTheme="minorEastAsia"/>
          <w:kern w:val="0"/>
          <w:sz w:val="21"/>
          <w:szCs w:val="21"/>
        </w:rPr>
      </w:pPr>
      <w:bookmarkStart w:id="21" w:name="_Toc331410080"/>
      <w:bookmarkStart w:id="22" w:name="_Toc225498256"/>
      <w:r w:rsidRPr="0045565B">
        <w:rPr>
          <w:rFonts w:ascii="Times New Roman" w:hAnsi="Times New Roman" w:eastAsiaTheme="minorEastAsia"/>
          <w:kern w:val="0"/>
          <w:sz w:val="21"/>
          <w:szCs w:val="21"/>
        </w:rPr>
        <w:t xml:space="preserve">4.2 </w:t>
      </w:r>
      <w:r w:rsidRPr="0045565B">
        <w:rPr>
          <w:rFonts w:ascii="Times New Roman" w:hAnsi="Times New Roman" w:eastAsiaTheme="minorEastAsia"/>
          <w:kern w:val="0"/>
          <w:sz w:val="21"/>
          <w:szCs w:val="21"/>
        </w:rPr>
        <w:t>管理人对报告期内本基金运作遵规守信情况的说明</w:t>
      </w:r>
      <w:bookmarkEnd w:id="21"/>
      <w:bookmarkEnd w:id="22"/>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本基金管理人严格遵守《证券投资基金法》和其他有关法律法规及其各项实施准则、基金合同的规定，本着诚实信用、勤勉尽责的原则管理和运用基金资产，在严格控制风险的基础上，为基金份额持有人谋求最大利益。本报告期内，基金运作合法合规，无出现重大违法违规或违反基金合同的行为，无损害基金份额持有人利益的行为。</w:t>
      </w:r>
    </w:p>
    <w:p w:rsidR="001548F9" w:rsidRPr="0045565B" w:rsidP="0045565B">
      <w:pPr>
        <w:pStyle w:val="Heading2"/>
        <w:spacing w:before="312" w:beforeLines="100" w:after="0"/>
        <w:rPr>
          <w:rFonts w:ascii="Times New Roman" w:hAnsi="Times New Roman" w:eastAsiaTheme="minorEastAsia"/>
          <w:kern w:val="0"/>
          <w:sz w:val="21"/>
          <w:szCs w:val="21"/>
        </w:rPr>
      </w:pPr>
      <w:bookmarkStart w:id="23" w:name="_Toc331410081"/>
      <w:bookmarkStart w:id="24" w:name="_Toc225498257"/>
      <w:r w:rsidRPr="0045565B">
        <w:rPr>
          <w:rFonts w:ascii="Times New Roman" w:hAnsi="Times New Roman" w:eastAsiaTheme="minorEastAsia"/>
          <w:kern w:val="0"/>
          <w:sz w:val="21"/>
          <w:szCs w:val="21"/>
        </w:rPr>
        <w:t xml:space="preserve">4.3 </w:t>
      </w:r>
      <w:r w:rsidRPr="0045565B">
        <w:rPr>
          <w:rFonts w:ascii="Times New Roman" w:hAnsi="Times New Roman" w:eastAsiaTheme="minorEastAsia"/>
          <w:kern w:val="0"/>
          <w:sz w:val="21"/>
          <w:szCs w:val="21"/>
        </w:rPr>
        <w:t>管理人对报告期内公平交易情况的专项说明</w:t>
      </w:r>
      <w:bookmarkEnd w:id="23"/>
      <w:bookmarkEnd w:id="24"/>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4.3.1 </w:t>
      </w:r>
      <w:r w:rsidRPr="0045565B">
        <w:rPr>
          <w:rFonts w:eastAsiaTheme="minorEastAsia"/>
          <w:b/>
          <w:color w:val="000000"/>
          <w:kern w:val="0"/>
          <w:szCs w:val="21"/>
        </w:rPr>
        <w:t>公平交易制度的执行情况</w:t>
      </w:r>
    </w:p>
    <w:p>
      <w:pPr>
        <w:spacing w:line="360" w:lineRule="auto"/>
        <w:ind w:firstLine="420" w:firstLineChars="200"/>
        <w:rPr>
          <w:rFonts w:eastAsiaTheme="minorEastAsia"/>
          <w:color w:val="000000"/>
          <w:szCs w:val="21"/>
        </w:rPr>
      </w:pPr>
      <w:r>
        <w:rPr>
          <w:rFonts w:eastAsiaTheme="minorEastAsia"/>
          <w:color w:val="000000"/>
          <w:szCs w:val="21"/>
        </w:rPr>
        <w:t>报告期内，公司严格执行证监会《证券投资基金管理公司公平交易制度指导意见》和公司内部公平交易制度，各投资组合按投资管理制度和流程独立决策，并在获得投资信息、投资建议和实施投资决策方面享有公平的机会。公司通过完善交易范围内各类交易的公平交易执行细则、严格的流程控制、持续的技术改进，确保公平交易原则的实现。同时通过投资交易系统中的公平交易功能执行交易，以尽可能确保公平对待各投资组合。</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报告期，公司对连续四个季度期间内、不同时间窗下（日内、3日内、5日内）公司管理的不同投资组合同向交易的交易价差进行分析，未发现违反公平交易制度的异常行为。</w:t>
      </w:r>
    </w:p>
    <w:p w:rsidR="001548F9" w:rsidRPr="0045565B" w:rsidP="0045565B">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4.3.2 </w:t>
      </w:r>
      <w:r w:rsidRPr="0045565B">
        <w:rPr>
          <w:rFonts w:eastAsiaTheme="minorEastAsia"/>
          <w:b/>
          <w:color w:val="000000"/>
          <w:kern w:val="0"/>
          <w:szCs w:val="21"/>
        </w:rPr>
        <w:t>异常交易行为的专项说明</w:t>
      </w:r>
    </w:p>
    <w:p>
      <w:pPr>
        <w:spacing w:line="360" w:lineRule="auto"/>
        <w:ind w:firstLine="420" w:firstLineChars="200"/>
        <w:rPr>
          <w:rFonts w:eastAsiaTheme="minorEastAsia"/>
          <w:color w:val="000000"/>
          <w:szCs w:val="21"/>
        </w:rPr>
      </w:pPr>
      <w:r>
        <w:rPr>
          <w:rFonts w:eastAsiaTheme="minorEastAsia"/>
          <w:color w:val="000000"/>
          <w:szCs w:val="21"/>
        </w:rPr>
        <w:t>本报告期内，公司旗下所有投资组合参与的交易所公开竞价交易中，未出现同日反向交易成交较少的单边交易量超过该证券当日成交量的5%的情况。</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本报告期内，未发现本基金有可能导致不公平交易和利益输送的异常交易。</w:t>
      </w:r>
    </w:p>
    <w:p w:rsidR="00C02A8F" w:rsidRPr="0045565B" w:rsidP="0045565B">
      <w:pPr>
        <w:pStyle w:val="Heading2"/>
        <w:spacing w:before="312" w:beforeLines="100" w:after="0"/>
        <w:rPr>
          <w:rFonts w:ascii="Times New Roman" w:hAnsi="Times New Roman" w:eastAsiaTheme="minorEastAsia"/>
          <w:kern w:val="0"/>
          <w:sz w:val="21"/>
          <w:szCs w:val="21"/>
        </w:rPr>
      </w:pPr>
      <w:bookmarkStart w:id="25" w:name="_Toc331410082"/>
      <w:bookmarkStart w:id="26" w:name="_Toc225498258"/>
      <w:r w:rsidRPr="0045565B">
        <w:rPr>
          <w:rFonts w:ascii="Times New Roman" w:hAnsi="Times New Roman" w:eastAsiaTheme="minorEastAsia"/>
          <w:kern w:val="0"/>
          <w:sz w:val="21"/>
          <w:szCs w:val="21"/>
        </w:rPr>
        <w:t xml:space="preserve">4.4 </w:t>
      </w:r>
      <w:r w:rsidRPr="0045565B">
        <w:rPr>
          <w:rFonts w:ascii="Times New Roman" w:hAnsi="Times New Roman" w:eastAsiaTheme="minorEastAsia"/>
          <w:kern w:val="0"/>
          <w:sz w:val="21"/>
          <w:szCs w:val="21"/>
        </w:rPr>
        <w:t>管理人对报告期内基金的投资策略和业绩表现的说明</w:t>
      </w:r>
      <w:bookmarkEnd w:id="25"/>
      <w:bookmarkEnd w:id="26"/>
    </w:p>
    <w:p w:rsidR="00C02A8F" w:rsidRPr="0045565B" w:rsidP="00D24622">
      <w:pPr>
        <w:spacing w:line="360" w:lineRule="auto"/>
        <w:rPr>
          <w:rFonts w:eastAsiaTheme="minorEastAsia"/>
          <w:b/>
          <w:szCs w:val="21"/>
        </w:rPr>
      </w:pPr>
      <w:r w:rsidRPr="0045565B">
        <w:rPr>
          <w:rFonts w:eastAsiaTheme="minorEastAsia"/>
          <w:b/>
          <w:szCs w:val="21"/>
        </w:rPr>
        <w:t>4.4.1</w:t>
      </w:r>
      <w:r w:rsidRPr="0045565B">
        <w:rPr>
          <w:rFonts w:eastAsiaTheme="minorEastAsia"/>
          <w:b/>
          <w:szCs w:val="21"/>
        </w:rPr>
        <w:t>报告期内基金投资策略和运作分析</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2019年上半年大类资产走势经历了从逐险到避险的切换，波动率总体上升，因而主要资产在不同阶段呈现出不同的机会。背后主要的宏观演绎是从衰退预期到滞涨预期的变化，因而总体而言，一季度风险资产的机会好于二季度，避险资产尤其是贵金属的机会二季度好于一季度。债券资产尤其是国内债券资产整体比较纠结，相对难以把握。从全年角度，一季度的资产配置情况基本已经决定了全年的收益分位和绝对收益水平的高低。上半年，我们的组合里重配了转债资产，用以应对债市未落股市未起的资产局面和库存向下货币摇摆的宏观局面。同时，在债券上我们采用短久期信用+长久期利率的哑铃策略，在不同时点对于久期的调整存在较大的波动。在权益上，我们相对去年增加了权益的平均仓位，并在6月底一定程度做了风格上的切换。</w:t>
      </w:r>
    </w:p>
    <w:p w:rsidR="001548F9" w:rsidRPr="0045565B" w:rsidP="0045565B">
      <w:pPr>
        <w:autoSpaceDE w:val="0"/>
        <w:autoSpaceDN w:val="0"/>
        <w:adjustRightInd w:val="0"/>
        <w:spacing w:before="312" w:beforeLines="100" w:line="360" w:lineRule="auto"/>
        <w:jc w:val="left"/>
        <w:rPr>
          <w:rFonts w:eastAsiaTheme="minorEastAsia"/>
          <w:b/>
          <w:szCs w:val="21"/>
        </w:rPr>
      </w:pPr>
      <w:r w:rsidRPr="0045565B">
        <w:rPr>
          <w:rFonts w:eastAsiaTheme="minorEastAsia"/>
          <w:b/>
          <w:szCs w:val="21"/>
        </w:rPr>
        <w:t xml:space="preserve">4.4.2 </w:t>
      </w:r>
      <w:r w:rsidRPr="0045565B">
        <w:rPr>
          <w:rFonts w:eastAsiaTheme="minorEastAsia"/>
          <w:b/>
          <w:szCs w:val="21"/>
        </w:rPr>
        <w:t>报告期内基金的业绩表现</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截至2019年6月30日，本基金C份额净值1.0616元，本报告期份额净值增长9.91%，同期业绩比较基准增长率为3.03%；E份额净值1.0798元，本报告期份额净值增长10.19%，同期业绩比较基准增长率为3.03%。</w:t>
      </w:r>
    </w:p>
    <w:p w:rsidR="001548F9" w:rsidRPr="0045565B" w:rsidP="0045565B">
      <w:pPr>
        <w:pStyle w:val="Heading2"/>
        <w:spacing w:before="312" w:beforeLines="100" w:after="0"/>
        <w:rPr>
          <w:rFonts w:ascii="Times New Roman" w:hAnsi="Times New Roman" w:eastAsiaTheme="minorEastAsia"/>
          <w:kern w:val="0"/>
          <w:sz w:val="21"/>
          <w:szCs w:val="21"/>
        </w:rPr>
      </w:pPr>
      <w:bookmarkStart w:id="27" w:name="_Toc331410083"/>
      <w:bookmarkStart w:id="28" w:name="_Toc225498259"/>
      <w:r w:rsidRPr="0045565B">
        <w:rPr>
          <w:rFonts w:ascii="Times New Roman" w:hAnsi="Times New Roman" w:eastAsiaTheme="minorEastAsia"/>
          <w:kern w:val="0"/>
          <w:sz w:val="21"/>
          <w:szCs w:val="21"/>
        </w:rPr>
        <w:t xml:space="preserve">4.5 </w:t>
      </w:r>
      <w:r w:rsidRPr="0045565B">
        <w:rPr>
          <w:rFonts w:ascii="Times New Roman" w:hAnsi="Times New Roman" w:eastAsiaTheme="minorEastAsia"/>
          <w:kern w:val="0"/>
          <w:sz w:val="21"/>
          <w:szCs w:val="21"/>
        </w:rPr>
        <w:t>管理人对宏观经济、证券市场及行业走势的简要展望</w:t>
      </w:r>
      <w:bookmarkEnd w:id="27"/>
      <w:bookmarkEnd w:id="28"/>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展望下半年，二季度滞涨的格局会得到改善，国内的权益市场和固收市场都存在相比二季度有不同程度的机会。信用二元化的出现，我们会在下半年把投资研究重心放在长端利率品上，从容但不麻木，积极但不冒进。对于转债而言，会更多运用自下而上的手法，严格控制总体仓位。权益层面，鉴于决策层对于地产的态度，结合成长行业的相对业绩表现，我们认为下半年成长行情是值得期待的。汽车、新能源、新能源汽车、电子等行业我们会花更多精力去跟踪。</w:t>
      </w:r>
    </w:p>
    <w:p w:rsidR="001548F9" w:rsidRPr="0045565B" w:rsidP="0045565B">
      <w:pPr>
        <w:pStyle w:val="Heading2"/>
        <w:spacing w:before="312" w:beforeLines="100" w:after="0"/>
        <w:rPr>
          <w:rFonts w:ascii="Times New Roman" w:hAnsi="Times New Roman" w:eastAsiaTheme="minorEastAsia"/>
          <w:kern w:val="0"/>
          <w:sz w:val="21"/>
          <w:szCs w:val="21"/>
        </w:rPr>
      </w:pPr>
      <w:bookmarkStart w:id="29" w:name="_Toc331410085"/>
      <w:bookmarkStart w:id="30" w:name="_Toc247959457"/>
      <w:bookmarkStart w:id="31" w:name="_Toc225570083"/>
      <w:r w:rsidRPr="0045565B">
        <w:rPr>
          <w:rFonts w:ascii="Times New Roman" w:hAnsi="Times New Roman" w:eastAsiaTheme="minorEastAsia"/>
          <w:kern w:val="0"/>
          <w:sz w:val="21"/>
          <w:szCs w:val="21"/>
        </w:rPr>
        <w:t xml:space="preserve">4.6 </w:t>
      </w:r>
      <w:r w:rsidRPr="0045565B">
        <w:rPr>
          <w:rFonts w:ascii="Times New Roman" w:hAnsi="Times New Roman" w:eastAsiaTheme="minorEastAsia"/>
          <w:kern w:val="0"/>
          <w:sz w:val="21"/>
          <w:szCs w:val="21"/>
        </w:rPr>
        <w:t>管理人对报告期内基金估值程序等事项的说明</w:t>
      </w:r>
      <w:bookmarkEnd w:id="29"/>
      <w:bookmarkEnd w:id="30"/>
      <w:bookmarkEnd w:id="31"/>
    </w:p>
    <w:p>
      <w:pPr>
        <w:spacing w:line="360" w:lineRule="auto"/>
        <w:ind w:firstLine="420" w:firstLineChars="20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p>
    <w:p>
      <w:pPr>
        <w:spacing w:line="360" w:lineRule="auto"/>
        <w:ind w:firstLine="420" w:firstLineChars="200"/>
        <w:rPr>
          <w:rFonts w:eastAsiaTheme="minorEastAsia"/>
          <w:color w:val="000000"/>
          <w:szCs w:val="21"/>
        </w:rPr>
      </w:pPr>
      <w:r>
        <w:rPr>
          <w:rFonts w:eastAsiaTheme="minorEastAsia"/>
          <w:color w:val="000000"/>
          <w:szCs w:val="21"/>
        </w:rPr>
        <w:t>本基金管理人设有估值委员会，估值委员会由基金估值业务分管领导、督察长、基金事务部负责人、基金会计、合规风控部人员及相关投研人员等组成。在特殊情况下，公司召集估值委员会会议，讨论和决策特殊估值事项，估值委员会集体决策，需到会的三分之二估值委员会成员表决通过。估值委员会负责组织制定和适时修订基金估值政策和程序，指导和监督整个估值流程。以上所有相关人员具备较高的专业能力和丰富的行业从业经验。为保证基金估值的客观独立，基金经理、投资经理可参与估值原则和方法的讨论，但不参与估值原则和方法的最终决策和日常估值的执行，一切以维护基金持有人利益为准则。</w:t>
      </w:r>
    </w:p>
    <w:p>
      <w:pPr>
        <w:spacing w:line="360" w:lineRule="auto"/>
        <w:ind w:firstLine="420" w:firstLineChars="200"/>
        <w:rPr>
          <w:rFonts w:eastAsiaTheme="minorEastAsia"/>
          <w:color w:val="000000"/>
          <w:szCs w:val="21"/>
        </w:rPr>
      </w:pPr>
      <w:r>
        <w:rPr>
          <w:rFonts w:eastAsiaTheme="minorEastAsia"/>
          <w:color w:val="000000"/>
          <w:szCs w:val="21"/>
        </w:rPr>
        <w:t xml:space="preserve">本报告期内，参与估值流程各方之间不存在任何重大利益冲突。 </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本基金管理人已与中央国债登记结算有限责任公司及中证指数有限公司签署服务协议，由其按约定分别提供银行间同业市场债券品种的估值数据及交易所交易的债券品种的估值数据、流通受限股票流动性折扣。</w:t>
      </w:r>
    </w:p>
    <w:p w:rsidR="001548F9" w:rsidRPr="0045565B" w:rsidP="0045565B">
      <w:pPr>
        <w:pStyle w:val="Heading2"/>
        <w:spacing w:before="312" w:beforeLines="100" w:after="0"/>
        <w:rPr>
          <w:rFonts w:ascii="Times New Roman" w:hAnsi="Times New Roman" w:eastAsiaTheme="minorEastAsia"/>
          <w:kern w:val="0"/>
          <w:sz w:val="21"/>
          <w:szCs w:val="21"/>
        </w:rPr>
      </w:pPr>
      <w:bookmarkStart w:id="32" w:name="_Toc331410086"/>
      <w:bookmarkStart w:id="33" w:name="_Toc247959458"/>
      <w:bookmarkStart w:id="34" w:name="_Toc225570084"/>
      <w:r w:rsidRPr="0045565B">
        <w:rPr>
          <w:rFonts w:ascii="Times New Roman" w:hAnsi="Times New Roman" w:eastAsiaTheme="minorEastAsia"/>
          <w:kern w:val="0"/>
          <w:sz w:val="21"/>
          <w:szCs w:val="21"/>
        </w:rPr>
        <w:t xml:space="preserve">4.7 </w:t>
      </w:r>
      <w:r w:rsidRPr="0045565B">
        <w:rPr>
          <w:rFonts w:ascii="Times New Roman" w:hAnsi="Times New Roman" w:eastAsiaTheme="minorEastAsia"/>
          <w:kern w:val="0"/>
          <w:sz w:val="21"/>
          <w:szCs w:val="21"/>
        </w:rPr>
        <w:t>管理人对报告期内基金利润分配情况的说明</w:t>
      </w:r>
      <w:bookmarkEnd w:id="32"/>
      <w:bookmarkEnd w:id="33"/>
      <w:bookmarkEnd w:id="34"/>
    </w:p>
    <w:p w:rsidR="001548F9" w:rsidP="00D24622">
      <w:pPr>
        <w:spacing w:line="360" w:lineRule="auto"/>
        <w:ind w:firstLine="420" w:firstLineChars="200"/>
        <w:rPr>
          <w:rFonts w:eastAsiaTheme="minorEastAsia"/>
          <w:color w:val="000000"/>
          <w:szCs w:val="21"/>
        </w:rPr>
      </w:pPr>
      <w:r w:rsidRPr="0045565B">
        <w:rPr>
          <w:rFonts w:eastAsiaTheme="minorEastAsia"/>
          <w:color w:val="000000"/>
          <w:szCs w:val="21"/>
        </w:rPr>
        <w:t>本基金本报告期内未实施利润分配。</w:t>
      </w:r>
    </w:p>
    <w:p w:rsidR="008D4738" w:rsidRPr="00C56D9D" w:rsidP="002F3CF2">
      <w:pPr>
        <w:pStyle w:val="Heading2"/>
        <w:spacing w:before="312" w:beforeLines="100" w:after="0"/>
        <w:rPr>
          <w:rFonts w:eastAsiaTheme="minorEastAsia"/>
          <w:color w:val="000000" w:themeColor="text1"/>
          <w:szCs w:val="21"/>
        </w:rPr>
      </w:pPr>
      <w:r w:rsidRPr="002F3CF2">
        <w:rPr>
          <w:rFonts w:ascii="Times New Roman" w:hAnsi="Times New Roman" w:eastAsiaTheme="minorEastAsia" w:hint="eastAsia"/>
          <w:kern w:val="0"/>
          <w:sz w:val="21"/>
          <w:szCs w:val="21"/>
        </w:rPr>
        <w:t xml:space="preserve">4.8 </w:t>
      </w:r>
      <w:r w:rsidRPr="002F3CF2">
        <w:rPr>
          <w:rFonts w:ascii="Times New Roman" w:hAnsi="Times New Roman" w:eastAsiaTheme="minorEastAsia" w:hint="eastAsia"/>
          <w:kern w:val="0"/>
          <w:sz w:val="21"/>
          <w:szCs w:val="21"/>
        </w:rPr>
        <w:t>报告期内管理人对本基金持有人数或基金资产净值预警情形的说明</w:t>
      </w:r>
    </w:p>
    <w:p w:rsidR="008D4738" w:rsidRPr="0045565B" w:rsidP="008D4738">
      <w:pPr>
        <w:spacing w:line="360" w:lineRule="auto"/>
        <w:ind w:firstLine="420" w:firstLineChars="200"/>
        <w:rPr>
          <w:rFonts w:eastAsiaTheme="minorEastAsia"/>
          <w:color w:val="000000"/>
          <w:szCs w:val="21"/>
        </w:rPr>
      </w:pPr>
      <w:r w:rsidRPr="00C56D9D">
        <w:rPr>
          <w:rFonts w:eastAsiaTheme="minorEastAsia"/>
          <w:color w:val="000000" w:themeColor="text1"/>
          <w:kern w:val="0"/>
          <w:szCs w:val="21"/>
        </w:rPr>
        <w:t>本报告期内无应当说明的预警事项。</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35" w:name="_Toc331410088"/>
      <w:bookmarkStart w:id="36" w:name="_Toc225498263"/>
      <w:r w:rsidRPr="0045565B">
        <w:rPr>
          <w:rFonts w:eastAsiaTheme="minorEastAsia"/>
          <w:b/>
          <w:bCs/>
          <w:sz w:val="21"/>
          <w:szCs w:val="21"/>
          <w:lang w:val="en-US"/>
        </w:rPr>
        <w:t xml:space="preserve">5  </w:t>
      </w:r>
      <w:r w:rsidRPr="0045565B">
        <w:rPr>
          <w:rFonts w:eastAsiaTheme="minorEastAsia"/>
          <w:b/>
          <w:bCs/>
          <w:sz w:val="21"/>
          <w:szCs w:val="21"/>
          <w:lang w:val="en-US"/>
        </w:rPr>
        <w:t>托管人报告</w:t>
      </w:r>
      <w:bookmarkEnd w:id="35"/>
      <w:bookmarkEnd w:id="36"/>
    </w:p>
    <w:p w:rsidR="001548F9" w:rsidRPr="0045565B" w:rsidP="00D24622">
      <w:pPr>
        <w:pStyle w:val="Heading2"/>
        <w:spacing w:before="0" w:after="0"/>
        <w:rPr>
          <w:rFonts w:ascii="Times New Roman" w:hAnsi="Times New Roman" w:eastAsiaTheme="minorEastAsia"/>
          <w:kern w:val="0"/>
          <w:sz w:val="21"/>
          <w:szCs w:val="21"/>
        </w:rPr>
      </w:pPr>
      <w:bookmarkStart w:id="37" w:name="_Toc331410089"/>
      <w:bookmarkStart w:id="38" w:name="_Toc225498264"/>
      <w:r w:rsidRPr="0045565B">
        <w:rPr>
          <w:rFonts w:ascii="Times New Roman" w:hAnsi="Times New Roman" w:eastAsiaTheme="minorEastAsia"/>
          <w:kern w:val="0"/>
          <w:sz w:val="21"/>
          <w:szCs w:val="21"/>
        </w:rPr>
        <w:t xml:space="preserve">5.1 </w:t>
      </w:r>
      <w:r w:rsidRPr="0045565B">
        <w:rPr>
          <w:rFonts w:ascii="Times New Roman" w:hAnsi="Times New Roman" w:eastAsiaTheme="minorEastAsia"/>
          <w:kern w:val="0"/>
          <w:sz w:val="21"/>
          <w:szCs w:val="21"/>
        </w:rPr>
        <w:t>报告期内本基金托管人遵规守信情况声明</w:t>
      </w:r>
      <w:bookmarkEnd w:id="37"/>
      <w:bookmarkEnd w:id="38"/>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中国邮政储蓄银行股份有限公司（以下称“本托管人”）在金鹰持久增利债券型证券投资基金（以下称“本基金”）的托管过程中，严格遵守《证券投资基金法》及其他有关法律法规、基金合同和托管协议的有关规定，不存在损害基金份额持有人利益的行为，完全尽职尽责地履行了应尽的义务。</w:t>
      </w:r>
    </w:p>
    <w:p w:rsidR="001548F9" w:rsidRPr="0045565B" w:rsidP="0045565B">
      <w:pPr>
        <w:pStyle w:val="Heading2"/>
        <w:spacing w:before="312" w:beforeLines="100" w:after="0"/>
        <w:rPr>
          <w:rFonts w:ascii="Times New Roman" w:hAnsi="Times New Roman" w:eastAsiaTheme="minorEastAsia"/>
          <w:kern w:val="0"/>
          <w:sz w:val="21"/>
          <w:szCs w:val="21"/>
        </w:rPr>
      </w:pPr>
      <w:bookmarkStart w:id="39" w:name="_Toc225498265"/>
      <w:bookmarkStart w:id="40" w:name="_Toc331410090"/>
      <w:r w:rsidRPr="0045565B">
        <w:rPr>
          <w:rFonts w:ascii="Times New Roman" w:hAnsi="Times New Roman" w:eastAsiaTheme="minorEastAsia"/>
          <w:kern w:val="0"/>
          <w:sz w:val="21"/>
          <w:szCs w:val="21"/>
        </w:rPr>
        <w:t xml:space="preserve">5.2 </w:t>
      </w:r>
      <w:r w:rsidRPr="0045565B">
        <w:rPr>
          <w:rFonts w:ascii="Times New Roman" w:hAnsi="Times New Roman" w:eastAsiaTheme="minorEastAsia"/>
          <w:kern w:val="0"/>
          <w:sz w:val="21"/>
          <w:szCs w:val="21"/>
        </w:rPr>
        <w:t>托管人对报告期内本基金投资运作遵规守信、净值计算、利润分配等情况的</w:t>
      </w:r>
      <w:bookmarkEnd w:id="39"/>
      <w:r w:rsidRPr="0045565B">
        <w:rPr>
          <w:rFonts w:ascii="Times New Roman" w:hAnsi="Times New Roman" w:eastAsiaTheme="minorEastAsia"/>
          <w:kern w:val="0"/>
          <w:sz w:val="21"/>
          <w:szCs w:val="21"/>
        </w:rPr>
        <w:t>说明</w:t>
      </w:r>
      <w:bookmarkEnd w:id="40"/>
    </w:p>
    <w:p>
      <w:pPr>
        <w:spacing w:line="360" w:lineRule="auto"/>
        <w:ind w:firstLine="420" w:firstLineChars="20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本报告期内，本基金未进行利润分配。</w:t>
      </w:r>
    </w:p>
    <w:p w:rsidR="001548F9" w:rsidRPr="0045565B" w:rsidP="0045565B">
      <w:pPr>
        <w:pStyle w:val="Heading2"/>
        <w:spacing w:before="312" w:beforeLines="100" w:after="0"/>
        <w:rPr>
          <w:rFonts w:ascii="Times New Roman" w:hAnsi="Times New Roman" w:eastAsiaTheme="minorEastAsia"/>
          <w:kern w:val="0"/>
          <w:sz w:val="21"/>
          <w:szCs w:val="21"/>
        </w:rPr>
      </w:pPr>
      <w:bookmarkStart w:id="41" w:name="_Toc331410091"/>
      <w:bookmarkStart w:id="42" w:name="_Toc225498266"/>
      <w:r w:rsidRPr="0045565B">
        <w:rPr>
          <w:rFonts w:ascii="Times New Roman" w:hAnsi="Times New Roman" w:eastAsiaTheme="minorEastAsia"/>
          <w:kern w:val="0"/>
          <w:sz w:val="21"/>
          <w:szCs w:val="21"/>
        </w:rPr>
        <w:t xml:space="preserve">5.3 </w:t>
      </w:r>
      <w:r w:rsidRPr="0045565B">
        <w:rPr>
          <w:rFonts w:ascii="Times New Roman" w:hAnsi="Times New Roman" w:eastAsiaTheme="minorEastAsia"/>
          <w:kern w:val="0"/>
          <w:sz w:val="21"/>
          <w:szCs w:val="21"/>
        </w:rPr>
        <w:t>托管人对本半年度报告中财务信息等内容的真实、准确和完整发表意见</w:t>
      </w:r>
      <w:bookmarkEnd w:id="41"/>
      <w:bookmarkEnd w:id="42"/>
    </w:p>
    <w:p w:rsidR="001548F9"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本报告中的财务指标、净值表现、收益分配情况、财务会计报告，投资组合报告等数据真实、准确和完整。</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43" w:name="_Toc331410096"/>
      <w:r w:rsidRPr="0045565B">
        <w:rPr>
          <w:rFonts w:eastAsiaTheme="minorEastAsia"/>
          <w:b/>
          <w:bCs/>
          <w:sz w:val="21"/>
          <w:szCs w:val="21"/>
          <w:lang w:val="en-US"/>
        </w:rPr>
        <w:t>6</w:t>
      </w:r>
      <w:bookmarkEnd w:id="43"/>
      <w:r w:rsidRPr="0045565B">
        <w:rPr>
          <w:rFonts w:eastAsiaTheme="minorEastAsia"/>
          <w:b/>
          <w:bCs/>
          <w:sz w:val="21"/>
          <w:szCs w:val="21"/>
          <w:lang w:val="en-US"/>
        </w:rPr>
        <w:tab/>
      </w:r>
      <w:r w:rsidRPr="0045565B">
        <w:rPr>
          <w:rFonts w:eastAsiaTheme="minorEastAsia"/>
          <w:b/>
          <w:bCs/>
          <w:sz w:val="21"/>
          <w:szCs w:val="21"/>
          <w:lang w:val="en-US"/>
        </w:rPr>
        <w:t>半年度财务会计报告（未经审计）</w:t>
      </w:r>
    </w:p>
    <w:p w:rsidR="001548F9" w:rsidRPr="0045565B" w:rsidP="00D24622">
      <w:pPr>
        <w:pStyle w:val="Heading2"/>
        <w:spacing w:before="0" w:after="0"/>
        <w:rPr>
          <w:rFonts w:ascii="Times New Roman" w:hAnsi="Times New Roman" w:eastAsiaTheme="minorEastAsia"/>
          <w:kern w:val="0"/>
          <w:sz w:val="21"/>
          <w:szCs w:val="21"/>
        </w:rPr>
      </w:pPr>
      <w:bookmarkStart w:id="44" w:name="_Toc331410097"/>
      <w:bookmarkStart w:id="45" w:name="_Toc225498268"/>
      <w:r w:rsidRPr="0045565B">
        <w:rPr>
          <w:rFonts w:ascii="Times New Roman" w:hAnsi="Times New Roman" w:eastAsiaTheme="minorEastAsia"/>
          <w:kern w:val="0"/>
          <w:sz w:val="21"/>
          <w:szCs w:val="21"/>
        </w:rPr>
        <w:t xml:space="preserve">6.1 </w:t>
      </w:r>
      <w:r w:rsidRPr="0045565B">
        <w:rPr>
          <w:rFonts w:ascii="Times New Roman" w:hAnsi="Times New Roman" w:eastAsiaTheme="minorEastAsia"/>
          <w:kern w:val="0"/>
          <w:sz w:val="21"/>
          <w:szCs w:val="21"/>
        </w:rPr>
        <w:t>资产负债表</w:t>
      </w:r>
      <w:bookmarkEnd w:id="44"/>
      <w:bookmarkEnd w:id="45"/>
    </w:p>
    <w:p w:rsidR="001548F9" w:rsidRPr="0045565B" w:rsidP="00D24622">
      <w:pPr>
        <w:spacing w:line="360" w:lineRule="auto"/>
        <w:rPr>
          <w:rFonts w:eastAsiaTheme="minorEastAsia"/>
          <w:color w:val="000000"/>
          <w:szCs w:val="21"/>
        </w:rPr>
      </w:pPr>
      <w:r w:rsidRPr="0045565B">
        <w:rPr>
          <w:rFonts w:eastAsiaTheme="minorEastAsia"/>
          <w:color w:val="000000"/>
          <w:szCs w:val="21"/>
        </w:rPr>
        <w:t>会计主体：</w:t>
      </w:r>
      <w:r w:rsidRPr="0045565B">
        <w:rPr>
          <w:rFonts w:eastAsiaTheme="minorEastAsia"/>
          <w:color w:val="000000"/>
          <w:szCs w:val="21"/>
        </w:rPr>
        <w:t>金鹰持久增利债券型证券投资基金(LOF)</w:t>
      </w:r>
    </w:p>
    <w:p w:rsidR="001548F9" w:rsidRPr="0045565B" w:rsidP="00D24622">
      <w:pPr>
        <w:spacing w:line="360" w:lineRule="auto"/>
        <w:rPr>
          <w:rFonts w:eastAsiaTheme="minorEastAsia"/>
          <w:color w:val="000000"/>
          <w:szCs w:val="21"/>
        </w:rPr>
      </w:pPr>
      <w:r w:rsidRPr="0045565B">
        <w:rPr>
          <w:rFonts w:eastAsiaTheme="minorEastAsia"/>
          <w:color w:val="000000"/>
          <w:szCs w:val="21"/>
        </w:rPr>
        <w:t>报告截止日：</w:t>
      </w:r>
      <w:r w:rsidRPr="0045565B">
        <w:rPr>
          <w:rFonts w:eastAsiaTheme="minorEastAsia"/>
          <w:color w:val="00000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7"/>
        <w:gridCol w:w="2520"/>
        <w:gridCol w:w="2520"/>
      </w:tblGrid>
      <w:tr w:rsidTr="0045565B">
        <w:tblPrEx>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57" w:type="dxa"/>
            <w:vAlign w:val="center"/>
          </w:tcPr>
          <w:p w:rsidR="00D711B4" w:rsidRPr="0045565B" w:rsidP="00F73D0C">
            <w:pPr>
              <w:pStyle w:val="NormalWeb"/>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资产</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本期末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kern w:val="2"/>
                <w:sz w:val="21"/>
                <w:szCs w:val="21"/>
              </w:rPr>
              <w:t>2019年6月30日</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上年度末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2018年12月31日</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b/>
                <w:color w:val="000000"/>
                <w:szCs w:val="21"/>
              </w:rPr>
            </w:pPr>
            <w:r w:rsidRPr="0045565B">
              <w:rPr>
                <w:rFonts w:eastAsiaTheme="minorEastAsia"/>
                <w:b/>
                <w:color w:val="000000"/>
                <w:szCs w:val="21"/>
              </w:rPr>
              <w:t>资产：</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银行存款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366,431.47</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210,572.33</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结算备付金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1,603,457.97</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417,264.35</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存出保证金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47,000.28</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38,922.17</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交易性金融资产</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76,194,444.34</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52,807,272.04</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其中：股票投资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7,817,902.00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9,370,866.00</w:t>
            </w:r>
          </w:p>
        </w:tc>
      </w:tr>
      <w:tr w:rsidTr="0045565B">
        <w:tblPrEx>
          <w:tblW w:w="8997" w:type="dxa"/>
          <w:tblInd w:w="108" w:type="dxa"/>
          <w:tblLayout w:type="fixed"/>
          <w:tblLook w:val="00A0"/>
        </w:tblPrEx>
        <w:tc>
          <w:tcPr>
            <w:tcW w:w="3957" w:type="dxa"/>
            <w:vAlign w:val="center"/>
          </w:tcPr>
          <w:p w:rsidR="00D711B4" w:rsidRPr="0045565B" w:rsidP="00D24622">
            <w:pPr>
              <w:pStyle w:val="NormalWeb"/>
              <w:ind w:firstLine="630" w:firstLineChars="300"/>
              <w:jc w:val="both"/>
              <w:rPr>
                <w:rFonts w:ascii="Times New Roman" w:hAnsi="Times New Roman" w:eastAsiaTheme="minorEastAsia"/>
                <w:color w:val="000000"/>
                <w:sz w:val="21"/>
                <w:szCs w:val="21"/>
              </w:rPr>
            </w:pPr>
            <w:r w:rsidRPr="0045565B">
              <w:rPr>
                <w:rFonts w:ascii="Times New Roman" w:hAnsi="Times New Roman" w:eastAsiaTheme="minorEastAsia"/>
                <w:color w:val="000000"/>
                <w:sz w:val="21"/>
                <w:szCs w:val="21"/>
              </w:rPr>
              <w:t>基金投资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D711B4" w:rsidRPr="0045565B" w:rsidP="00D24622">
            <w:pPr>
              <w:ind w:firstLine="630" w:firstLineChars="300"/>
              <w:rPr>
                <w:rFonts w:eastAsiaTheme="minorEastAsia"/>
                <w:color w:val="000000"/>
                <w:szCs w:val="21"/>
              </w:rPr>
            </w:pPr>
            <w:r w:rsidRPr="0045565B">
              <w:rPr>
                <w:rFonts w:eastAsiaTheme="minorEastAsia"/>
                <w:color w:val="000000"/>
                <w:szCs w:val="21"/>
              </w:rPr>
              <w:t>债券投资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68,376,542.34</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43,436,406.04</w:t>
            </w:r>
          </w:p>
        </w:tc>
      </w:tr>
      <w:tr w:rsidTr="0045565B">
        <w:tblPrEx>
          <w:tblW w:w="8997" w:type="dxa"/>
          <w:tblInd w:w="108" w:type="dxa"/>
          <w:tblLayout w:type="fixed"/>
          <w:tblLook w:val="00A0"/>
        </w:tblPrEx>
        <w:tc>
          <w:tcPr>
            <w:tcW w:w="3957" w:type="dxa"/>
            <w:vAlign w:val="center"/>
          </w:tcPr>
          <w:p w:rsidR="00D711B4" w:rsidRPr="0045565B" w:rsidP="00D24622">
            <w:pPr>
              <w:ind w:firstLine="630" w:firstLineChars="300"/>
              <w:rPr>
                <w:rFonts w:eastAsiaTheme="minorEastAsia"/>
                <w:color w:val="000000"/>
                <w:szCs w:val="21"/>
              </w:rPr>
            </w:pPr>
            <w:r w:rsidRPr="0045565B">
              <w:rPr>
                <w:rFonts w:eastAsiaTheme="minorEastAsia"/>
                <w:color w:val="000000"/>
                <w:szCs w:val="21"/>
              </w:rPr>
              <w:t>资产支持证券投资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86710F">
            <w:pPr>
              <w:spacing w:line="360" w:lineRule="auto"/>
              <w:ind w:firstLine="630" w:firstLineChars="300"/>
              <w:rPr>
                <w:rFonts w:eastAsiaTheme="minorEastAsia"/>
                <w:color w:val="000000"/>
                <w:szCs w:val="21"/>
              </w:rPr>
            </w:pPr>
            <w:r w:rsidRPr="0045565B">
              <w:rPr>
                <w:rFonts w:eastAsiaTheme="minorEastAsia"/>
              </w:rPr>
              <w:t>贵金属投资</w:t>
            </w:r>
          </w:p>
        </w:tc>
        <w:tc>
          <w:tcPr>
            <w:tcW w:w="2520" w:type="dxa"/>
            <w:vAlign w:val="center"/>
          </w:tcPr>
          <w:p w:rsidR="00F64CEB" w:rsidRPr="0045565B" w:rsidP="0086710F">
            <w:pPr>
              <w:spacing w:line="360" w:lineRule="auto"/>
              <w:jc w:val="right"/>
              <w:rPr>
                <w:rFonts w:eastAsiaTheme="minorEastAsia"/>
                <w:color w:val="000000"/>
                <w:szCs w:val="21"/>
              </w:rPr>
            </w:pPr>
            <w:r w:rsidRPr="0045565B">
              <w:rPr>
                <w:rFonts w:eastAsiaTheme="minorEastAsia"/>
                <w:color w:val="000000"/>
                <w:szCs w:val="21"/>
              </w:rPr>
              <w:t>-</w:t>
            </w:r>
          </w:p>
        </w:tc>
        <w:tc>
          <w:tcPr>
            <w:tcW w:w="2520" w:type="dxa"/>
            <w:vAlign w:val="center"/>
          </w:tcPr>
          <w:p w:rsidR="00F64CEB" w:rsidRPr="0045565B" w:rsidP="0086710F">
            <w:pPr>
              <w:spacing w:line="360" w:lineRule="auto"/>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衍生金融资产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买入返售金融资产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应收证券清算款</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196,693.00</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应收利息</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851,734.09</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410,299.91</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应收股利</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应收申购款</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2,059.99</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2,994,011.98</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递延所得税资产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其他资产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资产总计</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79,261,821.14</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56,878,342.78</w:t>
            </w:r>
          </w:p>
        </w:tc>
      </w:tr>
    </w:tbl>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8"/>
        <w:gridCol w:w="2520"/>
        <w:gridCol w:w="2520"/>
      </w:tblGrid>
      <w:tr w:rsidTr="0045565B">
        <w:tblPrEx>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58" w:type="dxa"/>
            <w:vAlign w:val="center"/>
          </w:tcPr>
          <w:p w:rsidR="00D711B4" w:rsidRPr="0045565B" w:rsidP="00F73D0C">
            <w:pPr>
              <w:pStyle w:val="NormalWeb"/>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负债和所有者权益</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本期末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kern w:val="2"/>
                <w:sz w:val="21"/>
                <w:szCs w:val="21"/>
              </w:rPr>
              <w:t>2019年6月30日</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上年度末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2018年12月31日</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b/>
                <w:color w:val="000000"/>
                <w:szCs w:val="21"/>
              </w:rPr>
            </w:pPr>
            <w:r w:rsidRPr="0045565B">
              <w:rPr>
                <w:rFonts w:eastAsiaTheme="minorEastAsia"/>
                <w:b/>
                <w:color w:val="000000"/>
                <w:szCs w:val="21"/>
              </w:rPr>
              <w:t>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短期借款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交易性金融负债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衍生金融负债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卖出回购金融资产款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18,200,000.00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5,700,000.00</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应付证券清算款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295,962.81</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107,834.46</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应付赎回款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25,632.03</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5,019.98</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应付管理人报酬</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34,611.01</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28,938.58</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应付托管费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9,888.85</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8,268.15</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应付销售服务费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16,097.01</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14,469.29</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应付交易费用</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37,952.52</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10,465.80</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应交税费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2,089.58</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739.31</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应付利息</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-187.34</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应付利润</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递延所得税负债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其他负债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388,541.92</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401,919.64</w:t>
            </w:r>
          </w:p>
        </w:tc>
      </w:tr>
      <w:tr w:rsidTr="0045565B">
        <w:tblPrEx>
          <w:tblW w:w="8998" w:type="dxa"/>
          <w:tblInd w:w="108" w:type="dxa"/>
          <w:tblLayout w:type="fixed"/>
          <w:tblLook w:val="00A0"/>
        </w:tblPrEx>
        <w:tc>
          <w:tcPr>
            <w:tcW w:w="3958" w:type="dxa"/>
            <w:vAlign w:val="center"/>
          </w:tcPr>
          <w:p w:rsidR="00D711B4" w:rsidRPr="0045565B" w:rsidP="00F73D0C">
            <w:pPr>
              <w:pStyle w:val="NormalWeb"/>
              <w:jc w:val="both"/>
              <w:rPr>
                <w:rFonts w:ascii="Times New Roman" w:hAnsi="Times New Roman" w:eastAsiaTheme="minorEastAsia"/>
                <w:color w:val="000000"/>
                <w:sz w:val="21"/>
                <w:szCs w:val="21"/>
              </w:rPr>
            </w:pPr>
            <w:r w:rsidRPr="0045565B">
              <w:rPr>
                <w:rFonts w:ascii="Times New Roman" w:hAnsi="Times New Roman" w:eastAsiaTheme="minorEastAsia"/>
                <w:color w:val="000000"/>
                <w:sz w:val="21"/>
                <w:szCs w:val="21"/>
              </w:rPr>
              <w:t>负债合计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19,010,775.73</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6,277,467.87</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b/>
                <w:color w:val="000000"/>
                <w:szCs w:val="21"/>
              </w:rPr>
            </w:pPr>
            <w:r w:rsidRPr="0045565B">
              <w:rPr>
                <w:rFonts w:eastAsiaTheme="minorEastAsia"/>
                <w:b/>
                <w:color w:val="000000"/>
                <w:szCs w:val="21"/>
              </w:rPr>
              <w:t>所有者权益：</w:t>
            </w:r>
          </w:p>
        </w:tc>
        <w:tc>
          <w:tcPr>
            <w:tcW w:w="2520" w:type="dxa"/>
            <w:vAlign w:val="bottom"/>
          </w:tcPr>
          <w:p w:rsidR="00D711B4" w:rsidRPr="0045565B">
            <w:pPr>
              <w:jc w:val="right"/>
              <w:rPr>
                <w:rFonts w:eastAsiaTheme="minorEastAsia"/>
                <w:b/>
                <w:color w:val="000000"/>
                <w:szCs w:val="21"/>
              </w:rPr>
            </w:pPr>
            <w:r w:rsidRPr="0045565B">
              <w:rPr>
                <w:rFonts w:eastAsiaTheme="minorEastAsia"/>
                <w:b/>
                <w:color w:val="000000"/>
                <w:szCs w:val="21"/>
              </w:rPr>
              <w:t>-</w:t>
            </w:r>
          </w:p>
        </w:tc>
        <w:tc>
          <w:tcPr>
            <w:tcW w:w="2520" w:type="dxa"/>
            <w:vAlign w:val="bottom"/>
          </w:tcPr>
          <w:p w:rsidR="00D711B4" w:rsidRPr="0045565B">
            <w:pPr>
              <w:jc w:val="right"/>
              <w:rPr>
                <w:rFonts w:eastAsiaTheme="minorEastAsia"/>
                <w:b/>
                <w:color w:val="000000"/>
                <w:szCs w:val="21"/>
              </w:rPr>
            </w:pPr>
            <w:r w:rsidRPr="0045565B">
              <w:rPr>
                <w:rFonts w:eastAsiaTheme="minorEastAsia"/>
                <w:b/>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实收基金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42,444,510.64</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39,043,103.35</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未分配利润</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17,806,534.77</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11,557,771.56</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所有者权益合计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60,251,045.41</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50,600,874.91</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负债和所有者权益总计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79,261,821.14</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56,878,342.78</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注：1、截至本报告期末2019年6月30日，本基金C类基金份额净值为1.0616元，C类基金份额为52,778,613.34份；本基金E类基金份额净值为1.0798元，E类基金份额为3,909,019.27份。</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2、本基金于2017年1月20日公告增加E类基金份额。</w:t>
      </w:r>
    </w:p>
    <w:p w:rsidR="001548F9" w:rsidRPr="0045565B" w:rsidP="0045565B">
      <w:pPr>
        <w:pStyle w:val="Heading2"/>
        <w:spacing w:before="312" w:beforeLines="100" w:after="0"/>
        <w:rPr>
          <w:rFonts w:ascii="Times New Roman" w:hAnsi="Times New Roman" w:eastAsiaTheme="minorEastAsia"/>
          <w:kern w:val="0"/>
          <w:sz w:val="21"/>
          <w:szCs w:val="21"/>
        </w:rPr>
      </w:pPr>
      <w:bookmarkStart w:id="46" w:name="_Toc331410098"/>
      <w:bookmarkStart w:id="47" w:name="_Toc225498269"/>
      <w:r w:rsidRPr="0045565B">
        <w:rPr>
          <w:rFonts w:ascii="Times New Roman" w:hAnsi="Times New Roman" w:eastAsiaTheme="minorEastAsia"/>
          <w:kern w:val="0"/>
          <w:sz w:val="21"/>
          <w:szCs w:val="21"/>
        </w:rPr>
        <w:t xml:space="preserve">6.2 </w:t>
      </w:r>
      <w:r w:rsidRPr="0045565B">
        <w:rPr>
          <w:rFonts w:ascii="Times New Roman" w:hAnsi="Times New Roman" w:eastAsiaTheme="minorEastAsia"/>
          <w:kern w:val="0"/>
          <w:sz w:val="21"/>
          <w:szCs w:val="21"/>
        </w:rPr>
        <w:t>利润表</w:t>
      </w:r>
      <w:bookmarkEnd w:id="46"/>
      <w:bookmarkEnd w:id="47"/>
    </w:p>
    <w:p w:rsidR="001548F9" w:rsidRPr="0045565B" w:rsidP="00D24622">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金鹰持久增利债券型证券投资基金(LOF)</w:t>
      </w:r>
    </w:p>
    <w:p w:rsidR="001548F9" w:rsidRPr="0045565B" w:rsidP="00D24622">
      <w:pPr>
        <w:spacing w:line="360" w:lineRule="auto"/>
        <w:rPr>
          <w:rFonts w:eastAsiaTheme="minorEastAsia"/>
          <w:color w:val="000000"/>
          <w:kern w:val="0"/>
          <w:szCs w:val="21"/>
        </w:rPr>
      </w:pPr>
      <w:r w:rsidRPr="0045565B">
        <w:rPr>
          <w:rFonts w:eastAsiaTheme="minorEastAsia"/>
          <w:color w:val="000000"/>
          <w:szCs w:val="21"/>
        </w:rPr>
        <w:t>本报告期：</w:t>
      </w:r>
      <w:r w:rsidRPr="0045565B">
        <w:rPr>
          <w:rFonts w:eastAsiaTheme="minorEastAsia"/>
          <w:kern w:val="0"/>
          <w:szCs w:val="21"/>
        </w:rPr>
        <w:t>2019年1月1日</w:t>
      </w:r>
      <w:r w:rsidRPr="0045565B">
        <w:rPr>
          <w:rFonts w:eastAsiaTheme="minorEastAsia"/>
          <w:kern w:val="0"/>
          <w:szCs w:val="21"/>
        </w:rPr>
        <w:t>至</w:t>
      </w:r>
      <w:r w:rsidRPr="0045565B">
        <w:rPr>
          <w:rFonts w:eastAsiaTheme="minorEastAsia"/>
          <w:kern w:val="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Tr="000B3954">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420" w:type="dxa"/>
            <w:vAlign w:val="center"/>
          </w:tcPr>
          <w:p w:rsidR="00CC45C6" w:rsidRPr="007715BA" w:rsidP="000B3954">
            <w:pPr>
              <w:pStyle w:val="NormalWeb"/>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项目</w:t>
            </w:r>
          </w:p>
        </w:tc>
        <w:tc>
          <w:tcPr>
            <w:tcW w:w="108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附注号</w:t>
            </w:r>
          </w:p>
        </w:tc>
        <w:tc>
          <w:tcPr>
            <w:tcW w:w="225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本期</w:t>
            </w:r>
          </w:p>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sz w:val="21"/>
                <w:szCs w:val="21"/>
              </w:rPr>
              <w:t>2019年1月1日</w:t>
            </w:r>
            <w:r w:rsidRPr="007715BA">
              <w:rPr>
                <w:rFonts w:ascii="Times New Roman" w:hAnsi="Times New Roman" w:eastAsiaTheme="minorEastAsia"/>
                <w:b/>
                <w:sz w:val="21"/>
                <w:szCs w:val="21"/>
              </w:rPr>
              <w:t>至</w:t>
            </w:r>
            <w:r w:rsidRPr="007715BA">
              <w:rPr>
                <w:rFonts w:ascii="Times New Roman" w:hAnsi="Times New Roman" w:eastAsiaTheme="minorEastAsia"/>
                <w:b/>
                <w:sz w:val="21"/>
                <w:szCs w:val="21"/>
              </w:rPr>
              <w:t>2019年6月30日</w:t>
            </w:r>
          </w:p>
        </w:tc>
        <w:tc>
          <w:tcPr>
            <w:tcW w:w="225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上年度可比期间</w:t>
            </w:r>
          </w:p>
          <w:p w:rsidR="00CC45C6" w:rsidRPr="007715BA" w:rsidP="000B3954">
            <w:pPr>
              <w:pStyle w:val="NormalWeb"/>
              <w:spacing w:before="0" w:beforeAutospacing="0" w:after="0" w:afterAutospacing="0"/>
              <w:jc w:val="center"/>
              <w:rPr>
                <w:rFonts w:ascii="Times New Roman" w:hAnsi="Times New Roman" w:eastAsiaTheme="minorEastAsia"/>
                <w:color w:val="000000"/>
                <w:sz w:val="21"/>
                <w:szCs w:val="21"/>
              </w:rPr>
            </w:pPr>
            <w:r w:rsidRPr="007715BA">
              <w:rPr>
                <w:rFonts w:ascii="Times New Roman" w:hAnsi="Times New Roman" w:eastAsiaTheme="minorEastAsia"/>
                <w:b/>
                <w:color w:val="000000"/>
                <w:sz w:val="21"/>
                <w:szCs w:val="21"/>
              </w:rPr>
              <w:t>2018年1月1日至2018年6月30日</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5,310,411.05</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-338,577.99</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767,475.92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732,558.17</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9,715.24</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6,775.31</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757,760.68</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724,069.85</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1,713.01</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3,716,357.22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-1,514,428.63</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6.4.7.11</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1,810,545.29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-1,870,190.66</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1,859,801.93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281,876.93</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6.4.7.14</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spacing w:line="360" w:lineRule="auto"/>
              <w:ind w:firstLine="630" w:firstLineChars="300"/>
              <w:rPr>
                <w:rFonts w:eastAsiaTheme="minorEastAsia"/>
                <w:color w:val="000000"/>
                <w:szCs w:val="21"/>
              </w:rPr>
            </w:pPr>
            <w:r w:rsidRPr="007715BA">
              <w:rPr>
                <w:rFonts w:eastAsiaTheme="minorEastAsia"/>
              </w:rPr>
              <w:t>贵金属投资收益</w:t>
            </w:r>
          </w:p>
        </w:tc>
        <w:tc>
          <w:tcPr>
            <w:tcW w:w="1080" w:type="dxa"/>
            <w:vAlign w:val="center"/>
          </w:tcPr>
          <w:p w:rsidR="00CC45C6" w:rsidRPr="007715BA" w:rsidP="000B3954">
            <w:pPr>
              <w:pStyle w:val="NormalWeb"/>
              <w:spacing w:line="360" w:lineRule="auto"/>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6.4.7.15</w:t>
            </w:r>
          </w:p>
        </w:tc>
        <w:tc>
          <w:tcPr>
            <w:tcW w:w="2250" w:type="dxa"/>
            <w:vAlign w:val="center"/>
          </w:tcPr>
          <w:p w:rsidR="00CC45C6" w:rsidRPr="007715BA" w:rsidP="000B3954">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CC45C6" w:rsidRPr="007715BA" w:rsidP="000B3954">
            <w:pPr>
              <w:spacing w:line="360" w:lineRule="auto"/>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6.4.7.16</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股利收益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6.4.7.17</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46,010.00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73,885.10</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6.4.7.18</w:t>
            </w:r>
          </w:p>
        </w:tc>
        <w:tc>
          <w:tcPr>
            <w:tcW w:w="2250" w:type="dxa"/>
            <w:vAlign w:val="center"/>
          </w:tcPr>
          <w:p w:rsidR="00CC45C6" w:rsidRPr="007715BA" w:rsidP="000B3954">
            <w:pPr>
              <w:jc w:val="right"/>
              <w:rPr>
                <w:rFonts w:eastAsiaTheme="minorEastAsia"/>
                <w:color w:val="000000"/>
                <w:szCs w:val="21"/>
              </w:rPr>
            </w:pPr>
            <w:r w:rsidRPr="007715BA">
              <w:rPr>
                <w:rFonts w:eastAsiaTheme="minorEastAsia"/>
                <w:color w:val="000000"/>
                <w:szCs w:val="21"/>
              </w:rPr>
              <w:t>816,801.81</w:t>
            </w:r>
          </w:p>
        </w:tc>
        <w:tc>
          <w:tcPr>
            <w:tcW w:w="2250" w:type="dxa"/>
            <w:vAlign w:val="center"/>
          </w:tcPr>
          <w:p w:rsidR="00CC45C6" w:rsidRPr="007715BA" w:rsidP="000B3954">
            <w:pPr>
              <w:jc w:val="right"/>
              <w:rPr>
                <w:rFonts w:eastAsiaTheme="minorEastAsia"/>
                <w:color w:val="000000"/>
                <w:szCs w:val="21"/>
              </w:rPr>
            </w:pPr>
            <w:r w:rsidRPr="007715BA">
              <w:rPr>
                <w:rFonts w:eastAsiaTheme="minorEastAsia"/>
                <w:color w:val="000000"/>
                <w:szCs w:val="21"/>
              </w:rPr>
              <w:t>443,204.72</w:t>
            </w:r>
          </w:p>
        </w:tc>
      </w:tr>
      <w:tr w:rsidTr="000B3954">
        <w:tblPrEx>
          <w:tblW w:w="9000" w:type="dxa"/>
          <w:tblInd w:w="108" w:type="dxa"/>
          <w:tblLayout w:type="fixed"/>
          <w:tblLook w:val="00A0"/>
        </w:tblPrEx>
        <w:tc>
          <w:tcPr>
            <w:tcW w:w="3420" w:type="dxa"/>
            <w:vAlign w:val="center"/>
          </w:tcPr>
          <w:p w:rsidR="00CC45C6" w:rsidRPr="007715BA" w:rsidP="000B3954">
            <w:pPr>
              <w:pStyle w:val="NormalWeb"/>
              <w:jc w:val="both"/>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4.</w:t>
            </w:r>
            <w:r w:rsidRPr="007715BA">
              <w:rPr>
                <w:rFonts w:ascii="Times New Roman" w:hAnsi="Times New Roman" w:eastAsiaTheme="minorEastAsia"/>
                <w:color w:val="000000"/>
                <w:sz w:val="21"/>
                <w:szCs w:val="21"/>
              </w:rPr>
              <w:t>汇兑收益（损失以</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9,776.10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87.75</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730,045.31</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641,453.95</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206,000.47</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185,466.12</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58,857.29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52,990.28</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96,305.23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92,733.07</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6.4.7.20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130,171.35</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103,466.65</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112,102.42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52,716.68</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112,102.42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52,716.68</w:t>
            </w:r>
          </w:p>
        </w:tc>
      </w:tr>
      <w:tr w:rsidTr="000B3954">
        <w:tblPrEx>
          <w:tblW w:w="9000" w:type="dxa"/>
          <w:tblInd w:w="108" w:type="dxa"/>
          <w:tblLayout w:type="fixed"/>
          <w:tblLook w:val="00A0"/>
        </w:tblPrEx>
        <w:tc>
          <w:tcPr>
            <w:tcW w:w="3420" w:type="dxa"/>
            <w:vAlign w:val="center"/>
          </w:tcPr>
          <w:p w:rsidR="00CC45C6" w:rsidRPr="003A4FDF" w:rsidP="000B3954">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CC45C6" w:rsidRPr="003A4FDF" w:rsidP="000B3954">
            <w:pPr>
              <w:pStyle w:val="NormalWeb"/>
              <w:jc w:val="center"/>
              <w:rPr>
                <w:rFonts w:ascii="Times New Roman" w:hAnsi="Times New Roman" w:eastAsiaTheme="minorEastAsia"/>
                <w:color w:val="000000"/>
                <w:sz w:val="21"/>
                <w:szCs w:val="21"/>
                <w:highlight w:val="red"/>
              </w:rPr>
            </w:pPr>
          </w:p>
        </w:tc>
        <w:tc>
          <w:tcPr>
            <w:tcW w:w="2250" w:type="dxa"/>
            <w:vAlign w:val="bottom"/>
          </w:tcPr>
          <w:p w:rsidR="00CC45C6" w:rsidRPr="001F5788" w:rsidP="000B3954">
            <w:pPr>
              <w:jc w:val="right"/>
              <w:rPr>
                <w:rFonts w:eastAsiaTheme="minorEastAsia"/>
                <w:color w:val="000000"/>
                <w:szCs w:val="21"/>
              </w:rPr>
            </w:pPr>
            <w:r w:rsidRPr="001F5788">
              <w:rPr>
                <w:rFonts w:eastAsiaTheme="minorEastAsia"/>
                <w:color w:val="000000"/>
                <w:szCs w:val="21"/>
              </w:rPr>
              <w:t>1,394.12</w:t>
            </w:r>
          </w:p>
        </w:tc>
        <w:tc>
          <w:tcPr>
            <w:tcW w:w="2250" w:type="dxa"/>
            <w:vAlign w:val="bottom"/>
          </w:tcPr>
          <w:p w:rsidR="00CC45C6" w:rsidRPr="001F5788" w:rsidP="000B3954">
            <w:pPr>
              <w:jc w:val="right"/>
              <w:rPr>
                <w:rFonts w:eastAsiaTheme="minorEastAsia"/>
                <w:color w:val="000000"/>
                <w:szCs w:val="21"/>
              </w:rPr>
            </w:pPr>
            <w:r w:rsidRPr="001F5788">
              <w:rPr>
                <w:rFonts w:eastAsiaTheme="minorEastAsia"/>
                <w:color w:val="000000"/>
                <w:szCs w:val="21"/>
              </w:rPr>
              <w:t>1,393.64</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6.4.7.21</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125,214.43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152,687.51</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center"/>
          </w:tcPr>
          <w:p w:rsidR="00CC45C6" w:rsidRPr="007715BA" w:rsidP="000B3954">
            <w:pPr>
              <w:jc w:val="right"/>
              <w:rPr>
                <w:rFonts w:eastAsiaTheme="minorEastAsia"/>
                <w:b/>
                <w:color w:val="000000"/>
                <w:szCs w:val="21"/>
              </w:rPr>
            </w:pPr>
            <w:r w:rsidRPr="007715BA">
              <w:rPr>
                <w:rFonts w:eastAsiaTheme="minorEastAsia"/>
                <w:b/>
                <w:color w:val="000000"/>
                <w:szCs w:val="21"/>
              </w:rPr>
              <w:t>4,580,365.74</w:t>
            </w:r>
          </w:p>
        </w:tc>
        <w:tc>
          <w:tcPr>
            <w:tcW w:w="2250" w:type="dxa"/>
            <w:vAlign w:val="center"/>
          </w:tcPr>
          <w:p w:rsidR="00CC45C6" w:rsidRPr="007715BA" w:rsidP="000B3954">
            <w:pPr>
              <w:jc w:val="right"/>
              <w:rPr>
                <w:rFonts w:eastAsiaTheme="minorEastAsia"/>
                <w:b/>
                <w:color w:val="000000"/>
                <w:szCs w:val="21"/>
              </w:rPr>
            </w:pPr>
            <w:r w:rsidRPr="007715BA">
              <w:rPr>
                <w:rFonts w:eastAsiaTheme="minorEastAsia"/>
                <w:b/>
                <w:color w:val="000000"/>
                <w:szCs w:val="21"/>
              </w:rPr>
              <w:t>-980,031.94</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szCs w:val="21"/>
              </w:rPr>
              <w:t>减：所得税费用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4,580,365.74</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-980,031.94</w:t>
            </w:r>
          </w:p>
        </w:tc>
      </w:tr>
    </w:tbl>
    <w:p w:rsidR="001548F9" w:rsidRPr="0045565B" w:rsidP="0045565B">
      <w:pPr>
        <w:pStyle w:val="Heading2"/>
        <w:spacing w:before="312" w:beforeLines="100" w:after="0"/>
        <w:rPr>
          <w:rFonts w:ascii="Times New Roman" w:hAnsi="Times New Roman" w:eastAsiaTheme="minorEastAsia"/>
          <w:kern w:val="0"/>
          <w:sz w:val="21"/>
          <w:szCs w:val="21"/>
        </w:rPr>
      </w:pPr>
      <w:bookmarkStart w:id="48" w:name="_Toc331410099"/>
      <w:bookmarkStart w:id="49" w:name="_Toc225498270"/>
      <w:r w:rsidRPr="0045565B">
        <w:rPr>
          <w:rFonts w:ascii="Times New Roman" w:hAnsi="Times New Roman" w:eastAsiaTheme="minorEastAsia"/>
          <w:kern w:val="0"/>
          <w:sz w:val="21"/>
          <w:szCs w:val="21"/>
        </w:rPr>
        <w:t xml:space="preserve">6.3 </w:t>
      </w:r>
      <w:r w:rsidRPr="0045565B">
        <w:rPr>
          <w:rFonts w:ascii="Times New Roman" w:hAnsi="Times New Roman" w:eastAsiaTheme="minorEastAsia"/>
          <w:kern w:val="0"/>
          <w:sz w:val="21"/>
          <w:szCs w:val="21"/>
        </w:rPr>
        <w:t>所有者权益（基金净值）变动表</w:t>
      </w:r>
      <w:bookmarkEnd w:id="48"/>
      <w:bookmarkEnd w:id="49"/>
    </w:p>
    <w:p w:rsidR="001548F9" w:rsidRPr="0045565B" w:rsidP="001F7147">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金鹰持久增利债券型证券投资基金(LOF)</w:t>
      </w:r>
    </w:p>
    <w:p w:rsidR="001548F9" w:rsidRPr="0045565B" w:rsidP="001F7147">
      <w:pPr>
        <w:spacing w:line="360" w:lineRule="auto"/>
        <w:rPr>
          <w:rFonts w:eastAsiaTheme="minorEastAsia"/>
          <w:kern w:val="0"/>
          <w:szCs w:val="21"/>
        </w:rPr>
      </w:pPr>
      <w:r w:rsidRPr="0045565B">
        <w:rPr>
          <w:rFonts w:eastAsiaTheme="minorEastAsia"/>
          <w:color w:val="000000"/>
          <w:szCs w:val="21"/>
        </w:rPr>
        <w:t>本报告期：</w:t>
      </w:r>
      <w:r w:rsidRPr="0045565B">
        <w:rPr>
          <w:rFonts w:eastAsiaTheme="minorEastAsia"/>
          <w:kern w:val="0"/>
          <w:szCs w:val="21"/>
        </w:rPr>
        <w:t>2019年1月1日</w:t>
      </w:r>
      <w:r w:rsidRPr="0045565B">
        <w:rPr>
          <w:rFonts w:eastAsiaTheme="minorEastAsia"/>
          <w:kern w:val="0"/>
          <w:szCs w:val="21"/>
        </w:rPr>
        <w:t>至</w:t>
      </w:r>
      <w:r w:rsidRPr="0045565B">
        <w:rPr>
          <w:rFonts w:eastAsiaTheme="minorEastAsia"/>
          <w:kern w:val="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Tr="001A4BE3">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552" w:type="dxa"/>
            <w:vMerge w:val="restart"/>
            <w:vAlign w:val="center"/>
          </w:tcPr>
          <w:p w:rsidR="001548F9" w:rsidRPr="0045565B">
            <w:pPr>
              <w:jc w:val="center"/>
              <w:rPr>
                <w:rFonts w:eastAsiaTheme="minorEastAsia"/>
                <w:b/>
                <w:color w:val="000000"/>
                <w:szCs w:val="21"/>
              </w:rPr>
            </w:pPr>
            <w:r w:rsidRPr="0045565B">
              <w:rPr>
                <w:rFonts w:eastAsiaTheme="minorEastAsia"/>
                <w:b/>
                <w:color w:val="000000"/>
                <w:szCs w:val="21"/>
              </w:rPr>
              <w:t>项目</w:t>
            </w:r>
          </w:p>
        </w:tc>
        <w:tc>
          <w:tcPr>
            <w:tcW w:w="6448" w:type="dxa"/>
            <w:gridSpan w:val="3"/>
            <w:vAlign w:val="center"/>
          </w:tcPr>
          <w:p w:rsidR="001548F9" w:rsidRPr="0045565B">
            <w:pPr>
              <w:jc w:val="center"/>
              <w:rPr>
                <w:rFonts w:eastAsiaTheme="minorEastAsia"/>
                <w:b/>
                <w:color w:val="000000"/>
                <w:szCs w:val="21"/>
              </w:rPr>
            </w:pPr>
            <w:r w:rsidRPr="0045565B">
              <w:rPr>
                <w:rFonts w:eastAsiaTheme="minorEastAsia"/>
                <w:b/>
                <w:color w:val="000000"/>
                <w:szCs w:val="21"/>
              </w:rPr>
              <w:t>本期</w:t>
            </w:r>
          </w:p>
          <w:p w:rsidR="001548F9"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sz w:val="21"/>
                <w:szCs w:val="21"/>
              </w:rPr>
              <w:t>2019年1月1日</w:t>
            </w:r>
            <w:r w:rsidRPr="0045565B">
              <w:rPr>
                <w:rFonts w:ascii="Times New Roman" w:hAnsi="Times New Roman" w:eastAsiaTheme="minorEastAsia"/>
                <w:b/>
                <w:sz w:val="21"/>
                <w:szCs w:val="21"/>
              </w:rPr>
              <w:t>至</w:t>
            </w:r>
            <w:r w:rsidRPr="0045565B">
              <w:rPr>
                <w:rFonts w:ascii="Times New Roman" w:hAnsi="Times New Roman" w:eastAsiaTheme="minorEastAsia"/>
                <w:b/>
                <w:sz w:val="21"/>
                <w:szCs w:val="21"/>
              </w:rPr>
              <w:t>2019年6月30日</w:t>
            </w:r>
          </w:p>
        </w:tc>
      </w:tr>
      <w:tr w:rsidTr="001A4BE3">
        <w:tblPrEx>
          <w:tblW w:w="9000" w:type="dxa"/>
          <w:tblInd w:w="108" w:type="dxa"/>
          <w:tblLayout w:type="fixed"/>
          <w:tblLook w:val="00A0"/>
        </w:tblPrEx>
        <w:tc>
          <w:tcPr>
            <w:tcW w:w="2552" w:type="dxa"/>
            <w:vMerge/>
            <w:vAlign w:val="center"/>
          </w:tcPr>
          <w:p w:rsidR="001548F9" w:rsidRPr="0045565B">
            <w:pPr>
              <w:widowControl/>
              <w:jc w:val="left"/>
              <w:rPr>
                <w:rFonts w:eastAsiaTheme="minorEastAsia"/>
                <w:b/>
                <w:color w:val="000000"/>
                <w:szCs w:val="21"/>
              </w:rPr>
            </w:pPr>
          </w:p>
        </w:tc>
        <w:tc>
          <w:tcPr>
            <w:tcW w:w="2149" w:type="dxa"/>
            <w:vAlign w:val="center"/>
          </w:tcPr>
          <w:p w:rsidR="001548F9" w:rsidRPr="0045565B">
            <w:pPr>
              <w:jc w:val="center"/>
              <w:rPr>
                <w:rFonts w:eastAsiaTheme="minorEastAsia"/>
                <w:b/>
                <w:color w:val="000000"/>
                <w:szCs w:val="21"/>
              </w:rPr>
            </w:pPr>
            <w:r w:rsidRPr="0045565B">
              <w:rPr>
                <w:rFonts w:eastAsiaTheme="minorEastAsia"/>
                <w:b/>
                <w:color w:val="000000"/>
                <w:szCs w:val="21"/>
              </w:rPr>
              <w:t>实收基金</w:t>
            </w:r>
          </w:p>
        </w:tc>
        <w:tc>
          <w:tcPr>
            <w:tcW w:w="2149" w:type="dxa"/>
            <w:vAlign w:val="center"/>
          </w:tcPr>
          <w:p w:rsidR="001548F9" w:rsidRPr="0045565B">
            <w:pPr>
              <w:jc w:val="center"/>
              <w:rPr>
                <w:rFonts w:eastAsiaTheme="minorEastAsia"/>
                <w:b/>
                <w:color w:val="000000"/>
                <w:szCs w:val="21"/>
              </w:rPr>
            </w:pPr>
            <w:r w:rsidRPr="0045565B">
              <w:rPr>
                <w:rFonts w:eastAsiaTheme="minorEastAsia"/>
                <w:b/>
                <w:color w:val="000000"/>
                <w:szCs w:val="21"/>
              </w:rPr>
              <w:t>未分配利润</w:t>
            </w:r>
          </w:p>
        </w:tc>
        <w:tc>
          <w:tcPr>
            <w:tcW w:w="2150" w:type="dxa"/>
            <w:vAlign w:val="center"/>
          </w:tcPr>
          <w:p w:rsidR="001548F9" w:rsidRPr="0045565B">
            <w:pPr>
              <w:jc w:val="center"/>
              <w:rPr>
                <w:rFonts w:eastAsiaTheme="minorEastAsia"/>
                <w:color w:val="000000"/>
                <w:szCs w:val="21"/>
              </w:rPr>
            </w:pPr>
            <w:r w:rsidRPr="0045565B">
              <w:rPr>
                <w:rFonts w:eastAsiaTheme="minorEastAsia"/>
                <w:b/>
                <w:color w:val="000000"/>
                <w:szCs w:val="21"/>
              </w:rPr>
              <w:t>所有者权益合计</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39,043,103.35</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11,557,771.56</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50,600,874.91</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4,580,365.74</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4,580,365.74</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3,401,407.29</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1,668,397.47</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5,069,804.76</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18,807,461.78</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8,259,503.72</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27,066,965.50</w:t>
            </w:r>
          </w:p>
        </w:tc>
      </w:tr>
      <w:tr w:rsidTr="00801E52">
        <w:tblPrEx>
          <w:tblW w:w="9000" w:type="dxa"/>
          <w:tblInd w:w="108" w:type="dxa"/>
          <w:tblLayout w:type="fixed"/>
          <w:tblLook w:val="00A0"/>
        </w:tblPrEx>
        <w:tc>
          <w:tcPr>
            <w:tcW w:w="2552" w:type="dxa"/>
            <w:vAlign w:val="center"/>
          </w:tcPr>
          <w:p w:rsidR="001548F9" w:rsidRPr="0045565B" w:rsidP="00801E52">
            <w:pPr>
              <w:ind w:firstLine="630" w:firstLineChars="30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-15,406,054.49</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-6,591,106.25</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-21,997,160.74</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42,444,510.64</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17,806,534.77</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60,251,045.41</w:t>
            </w:r>
          </w:p>
        </w:tc>
      </w:tr>
      <w:tr w:rsidTr="001A4BE3">
        <w:tblPrEx>
          <w:tblW w:w="9000" w:type="dxa"/>
          <w:tblInd w:w="108" w:type="dxa"/>
          <w:tblLayout w:type="fixed"/>
          <w:tblLook w:val="00A0"/>
        </w:tblPrEx>
        <w:tc>
          <w:tcPr>
            <w:tcW w:w="2552" w:type="dxa"/>
            <w:vMerge w:val="restart"/>
            <w:vAlign w:val="center"/>
          </w:tcPr>
          <w:p w:rsidR="001548F9" w:rsidRPr="0045565B">
            <w:pPr>
              <w:jc w:val="center"/>
              <w:rPr>
                <w:rFonts w:eastAsiaTheme="minorEastAsia"/>
                <w:color w:val="000000"/>
                <w:szCs w:val="21"/>
              </w:rPr>
            </w:pPr>
            <w:r w:rsidRPr="0045565B">
              <w:rPr>
                <w:rFonts w:eastAsiaTheme="minorEastAsia"/>
                <w:b/>
                <w:color w:val="000000"/>
                <w:szCs w:val="21"/>
              </w:rPr>
              <w:t>项目</w:t>
            </w:r>
          </w:p>
        </w:tc>
        <w:tc>
          <w:tcPr>
            <w:tcW w:w="6448" w:type="dxa"/>
            <w:gridSpan w:val="3"/>
            <w:vAlign w:val="center"/>
          </w:tcPr>
          <w:p w:rsidR="001548F9" w:rsidRPr="0045565B">
            <w:pPr>
              <w:jc w:val="center"/>
              <w:rPr>
                <w:rFonts w:eastAsiaTheme="minorEastAsia"/>
                <w:b/>
                <w:color w:val="000000"/>
                <w:szCs w:val="21"/>
              </w:rPr>
            </w:pPr>
            <w:r w:rsidRPr="0045565B">
              <w:rPr>
                <w:rFonts w:eastAsiaTheme="minorEastAsia"/>
                <w:b/>
                <w:color w:val="000000"/>
                <w:szCs w:val="21"/>
              </w:rPr>
              <w:t>上年度可比期间</w:t>
            </w:r>
          </w:p>
          <w:p w:rsidR="001548F9"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2018年1月1日至2018年6月30日</w:t>
            </w:r>
          </w:p>
        </w:tc>
      </w:tr>
      <w:tr w:rsidTr="001A4BE3">
        <w:tblPrEx>
          <w:tblW w:w="9000" w:type="dxa"/>
          <w:tblInd w:w="108" w:type="dxa"/>
          <w:tblLayout w:type="fixed"/>
          <w:tblLook w:val="00A0"/>
        </w:tblPrEx>
        <w:tc>
          <w:tcPr>
            <w:tcW w:w="2552" w:type="dxa"/>
            <w:vMerge/>
            <w:vAlign w:val="center"/>
          </w:tcPr>
          <w:p w:rsidR="001548F9" w:rsidRPr="0045565B">
            <w:pPr>
              <w:widowControl/>
              <w:jc w:val="left"/>
              <w:rPr>
                <w:rFonts w:eastAsiaTheme="minorEastAsia"/>
                <w:color w:val="000000"/>
                <w:szCs w:val="21"/>
              </w:rPr>
            </w:pPr>
          </w:p>
        </w:tc>
        <w:tc>
          <w:tcPr>
            <w:tcW w:w="2149" w:type="dxa"/>
            <w:vAlign w:val="center"/>
          </w:tcPr>
          <w:p w:rsidR="001548F9" w:rsidRPr="0045565B">
            <w:pPr>
              <w:jc w:val="center"/>
              <w:rPr>
                <w:rFonts w:eastAsiaTheme="minorEastAsia"/>
                <w:color w:val="000000"/>
                <w:szCs w:val="21"/>
              </w:rPr>
            </w:pPr>
            <w:r w:rsidRPr="0045565B">
              <w:rPr>
                <w:rFonts w:eastAsiaTheme="minorEastAsia"/>
                <w:b/>
                <w:color w:val="000000"/>
                <w:szCs w:val="21"/>
              </w:rPr>
              <w:t>实收基金</w:t>
            </w:r>
          </w:p>
        </w:tc>
        <w:tc>
          <w:tcPr>
            <w:tcW w:w="2149" w:type="dxa"/>
          </w:tcPr>
          <w:p w:rsidR="001548F9" w:rsidRPr="0045565B">
            <w:pPr>
              <w:jc w:val="center"/>
              <w:rPr>
                <w:rFonts w:eastAsiaTheme="minorEastAsia"/>
                <w:color w:val="000000"/>
                <w:szCs w:val="21"/>
              </w:rPr>
            </w:pPr>
            <w:r w:rsidRPr="0045565B">
              <w:rPr>
                <w:rFonts w:eastAsiaTheme="minorEastAsia"/>
                <w:b/>
                <w:color w:val="000000"/>
                <w:szCs w:val="21"/>
              </w:rPr>
              <w:t>未分配利润</w:t>
            </w:r>
          </w:p>
        </w:tc>
        <w:tc>
          <w:tcPr>
            <w:tcW w:w="2150" w:type="dxa"/>
            <w:vAlign w:val="center"/>
          </w:tcPr>
          <w:p w:rsidR="001548F9" w:rsidRPr="0045565B">
            <w:pPr>
              <w:jc w:val="center"/>
              <w:rPr>
                <w:rFonts w:eastAsiaTheme="minorEastAsia"/>
                <w:b/>
                <w:color w:val="000000"/>
                <w:szCs w:val="21"/>
              </w:rPr>
            </w:pPr>
            <w:r w:rsidRPr="0045565B">
              <w:rPr>
                <w:rFonts w:eastAsiaTheme="minorEastAsia"/>
                <w:b/>
                <w:color w:val="000000"/>
                <w:szCs w:val="21"/>
              </w:rPr>
              <w:t>所有者权益合计</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37,362,834.51</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16,410,007.00</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53,772,841.51</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-980,031.94</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-980,031.94</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三、本期基金份额交易产</w:t>
            </w:r>
            <w:r w:rsidRPr="0045565B">
              <w:rPr>
                <w:rFonts w:eastAsiaTheme="minorEastAsia"/>
                <w:color w:val="000000"/>
                <w:szCs w:val="21"/>
              </w:rPr>
              <w:t>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-862,288.10</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-397,446.43</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-1,259,734.53</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112,701.90</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42,936.09</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155,637.99</w:t>
            </w:r>
          </w:p>
        </w:tc>
      </w:tr>
      <w:tr w:rsidTr="00801E52">
        <w:tblPrEx>
          <w:tblW w:w="9000" w:type="dxa"/>
          <w:tblInd w:w="108" w:type="dxa"/>
          <w:tblLayout w:type="fixed"/>
          <w:tblLook w:val="00A0"/>
        </w:tblPrEx>
        <w:tc>
          <w:tcPr>
            <w:tcW w:w="2552" w:type="dxa"/>
            <w:vAlign w:val="center"/>
          </w:tcPr>
          <w:p w:rsidR="001548F9" w:rsidRPr="0045565B" w:rsidP="00801E52">
            <w:pPr>
              <w:ind w:firstLine="630" w:firstLineChars="30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-974,990.00</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-440,382.52</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-1,415,372.52</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36,500,546.41</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15,032,528.63</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51,533,075.04</w:t>
            </w:r>
          </w:p>
        </w:tc>
      </w:tr>
    </w:tbl>
    <w:p w:rsidR="0039626A" w:rsidRPr="0045565B" w:rsidP="0072541E">
      <w:pPr>
        <w:spacing w:before="312" w:beforeLines="100" w:line="360" w:lineRule="auto"/>
        <w:rPr>
          <w:rFonts w:eastAsiaTheme="minorEastAsia"/>
          <w:szCs w:val="21"/>
        </w:rPr>
      </w:pPr>
      <w:r w:rsidRPr="0045565B">
        <w:rPr>
          <w:rFonts w:eastAsiaTheme="minorEastAsia"/>
          <w:szCs w:val="21"/>
        </w:rPr>
        <w:t>报表附注为财务报表的组成部分。</w:t>
      </w:r>
    </w:p>
    <w:p w:rsidR="0039626A" w:rsidRPr="0045565B" w:rsidP="001F7147">
      <w:pPr>
        <w:spacing w:line="360" w:lineRule="auto"/>
        <w:rPr>
          <w:rFonts w:eastAsiaTheme="minorEastAsia"/>
          <w:szCs w:val="21"/>
        </w:rPr>
      </w:pPr>
      <w:r w:rsidRPr="0045565B">
        <w:rPr>
          <w:rFonts w:eastAsiaTheme="minorEastAsia"/>
          <w:szCs w:val="21"/>
        </w:rPr>
        <w:t>本报告</w:t>
      </w:r>
      <w:r w:rsidRPr="0045565B">
        <w:rPr>
          <w:rFonts w:eastAsiaTheme="minorEastAsia"/>
          <w:szCs w:val="21"/>
        </w:rPr>
        <w:t>6.1</w:t>
      </w:r>
      <w:r w:rsidRPr="0045565B">
        <w:rPr>
          <w:rFonts w:eastAsiaTheme="minorEastAsia"/>
          <w:szCs w:val="21"/>
        </w:rPr>
        <w:t>至</w:t>
      </w:r>
      <w:r w:rsidRPr="0045565B">
        <w:rPr>
          <w:rFonts w:eastAsiaTheme="minorEastAsia"/>
          <w:szCs w:val="21"/>
        </w:rPr>
        <w:t>6.4</w:t>
      </w:r>
      <w:r w:rsidRPr="0045565B">
        <w:rPr>
          <w:rFonts w:eastAsiaTheme="minorEastAsia"/>
          <w:szCs w:val="21"/>
        </w:rPr>
        <w:t>，财务报表由下列负责人签署：</w:t>
      </w:r>
    </w:p>
    <w:p w:rsidR="001548F9" w:rsidRPr="0072541E" w:rsidP="0072541E">
      <w:pPr>
        <w:spacing w:line="360" w:lineRule="auto"/>
        <w:rPr>
          <w:rFonts w:eastAsiaTheme="minorEastAsia"/>
          <w:szCs w:val="21"/>
        </w:rPr>
      </w:pPr>
      <w:r w:rsidRPr="0045565B">
        <w:rPr>
          <w:rFonts w:eastAsiaTheme="minorEastAsia"/>
          <w:szCs w:val="21"/>
        </w:rPr>
        <w:t>基金管理人</w:t>
      </w:r>
      <w:r w:rsidRPr="0045565B" w:rsidR="0039626A">
        <w:rPr>
          <w:rFonts w:eastAsiaTheme="minorEastAsia"/>
          <w:szCs w:val="21"/>
        </w:rPr>
        <w:t>负责人：</w:t>
      </w:r>
      <w:r w:rsidRPr="0045565B" w:rsidR="0039626A">
        <w:rPr>
          <w:rFonts w:eastAsiaTheme="minorEastAsia"/>
          <w:szCs w:val="21"/>
        </w:rPr>
        <w:t>刘志刚</w:t>
      </w:r>
      <w:r w:rsidRPr="0045565B" w:rsidR="0039626A">
        <w:rPr>
          <w:rFonts w:eastAsiaTheme="minorEastAsia"/>
          <w:szCs w:val="21"/>
        </w:rPr>
        <w:t>，主管会计工作负责人：</w:t>
      </w:r>
      <w:r w:rsidRPr="0045565B" w:rsidR="0039626A">
        <w:rPr>
          <w:rFonts w:eastAsiaTheme="minorEastAsia"/>
          <w:szCs w:val="21"/>
        </w:rPr>
        <w:t>刘志刚</w:t>
      </w:r>
      <w:r w:rsidRPr="0045565B" w:rsidR="0039626A">
        <w:rPr>
          <w:rFonts w:eastAsiaTheme="minorEastAsia"/>
          <w:szCs w:val="21"/>
        </w:rPr>
        <w:t>，会计机构负责人：</w:t>
      </w:r>
      <w:r w:rsidRPr="0045565B" w:rsidR="0039626A">
        <w:rPr>
          <w:rFonts w:eastAsiaTheme="minorEastAsia"/>
          <w:szCs w:val="21"/>
        </w:rPr>
        <w:t>谢文君</w:t>
      </w:r>
    </w:p>
    <w:p w:rsidR="001548F9" w:rsidRPr="0045565B" w:rsidP="0072541E">
      <w:pPr>
        <w:pStyle w:val="Heading2"/>
        <w:spacing w:before="312" w:beforeLines="100" w:after="0"/>
        <w:rPr>
          <w:rFonts w:ascii="Times New Roman" w:hAnsi="Times New Roman" w:eastAsiaTheme="minorEastAsia"/>
          <w:kern w:val="0"/>
          <w:sz w:val="21"/>
          <w:szCs w:val="21"/>
        </w:rPr>
      </w:pPr>
      <w:bookmarkStart w:id="50" w:name="_Toc331410100"/>
      <w:bookmarkStart w:id="51" w:name="_Toc225498271"/>
      <w:r w:rsidRPr="0045565B">
        <w:rPr>
          <w:rFonts w:ascii="Times New Roman" w:hAnsi="Times New Roman" w:eastAsiaTheme="minorEastAsia"/>
          <w:kern w:val="0"/>
          <w:sz w:val="21"/>
          <w:szCs w:val="21"/>
        </w:rPr>
        <w:t xml:space="preserve">6.4 </w:t>
      </w:r>
      <w:r w:rsidRPr="0045565B">
        <w:rPr>
          <w:rFonts w:ascii="Times New Roman" w:hAnsi="Times New Roman" w:eastAsiaTheme="minorEastAsia"/>
          <w:kern w:val="0"/>
          <w:sz w:val="21"/>
          <w:szCs w:val="21"/>
        </w:rPr>
        <w:t>报表附注</w:t>
      </w:r>
      <w:bookmarkEnd w:id="50"/>
      <w:bookmarkEnd w:id="51"/>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6.4.1 </w:t>
      </w:r>
      <w:r w:rsidRPr="0045565B">
        <w:rPr>
          <w:rFonts w:eastAsiaTheme="minorEastAsia"/>
          <w:b/>
          <w:color w:val="000000"/>
          <w:kern w:val="0"/>
          <w:szCs w:val="21"/>
        </w:rPr>
        <w:t>基金基本情况</w:t>
      </w:r>
    </w:p>
    <w:p w:rsidR="001548F9" w:rsidRPr="0045565B" w:rsidP="0072541E">
      <w:pPr>
        <w:spacing w:line="360" w:lineRule="auto"/>
        <w:ind w:firstLine="420" w:firstLineChars="200"/>
        <w:rPr>
          <w:rFonts w:eastAsiaTheme="minorEastAsia"/>
          <w:color w:val="000000"/>
          <w:szCs w:val="21"/>
        </w:rPr>
      </w:pPr>
      <w:r w:rsidRPr="0045565B">
        <w:rPr>
          <w:rFonts w:eastAsiaTheme="minorEastAsia"/>
          <w:color w:val="000000"/>
          <w:szCs w:val="21"/>
        </w:rPr>
        <w:t>金鹰持久回报分级债券型证券投资基金（以下简称"本基金"）经中国证监会证监许可【2012】111号文核准《关于核准金鹰持久回报分级债券型证券投资基金募集的批复》批准募集，于2012年3月9日正式成立。本基金为契约型，存续期限不定。本基金的基金管理人为金鹰基金管理有限公司，基金托管人为中国邮政储蓄银行股份有限公司 。 根据本基金合同规定，本基金于3年期届满日2015年3月9日转型为上市开放式基金(LOF)。</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6.4.2 </w:t>
      </w:r>
      <w:r w:rsidRPr="0045565B">
        <w:rPr>
          <w:rFonts w:eastAsiaTheme="minorEastAsia"/>
          <w:b/>
          <w:color w:val="000000"/>
          <w:kern w:val="0"/>
          <w:szCs w:val="21"/>
        </w:rPr>
        <w:t>会计报表的编制基础</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的财务报表按照财政部颁布的企业会计准则(以下简称“企业会计准则”)和中国证监会发布的关于基金行业实务操作的有关规定编制，同时在具体会计核算和信息披露方面也参考了中国证券投资基金业协会发布的若干基金行业实务操作。</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6.4.3 </w:t>
      </w:r>
      <w:r w:rsidRPr="0045565B">
        <w:rPr>
          <w:rFonts w:eastAsiaTheme="minorEastAsia"/>
          <w:b/>
          <w:color w:val="000000"/>
          <w:kern w:val="0"/>
          <w:szCs w:val="21"/>
        </w:rPr>
        <w:t>遵循企业会计准则及其他有关规定的声明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财务报表的编制符合企业会计准则和中国证监会发布的关于基金行业实务操作的有关规定的要求，真实、完整地反映了本基金2019年6月30日的财务状况以及2019年1月1日起至2019年6月30日止期间的经营成果和基金净值变动情况。</w:t>
      </w:r>
    </w:p>
    <w:p w:rsidR="00445FEE" w:rsidRPr="0045565B" w:rsidP="0072541E">
      <w:pPr>
        <w:autoSpaceDE w:val="0"/>
        <w:autoSpaceDN w:val="0"/>
        <w:adjustRightInd w:val="0"/>
        <w:spacing w:before="312" w:beforeLines="100" w:line="360" w:lineRule="auto"/>
        <w:jc w:val="left"/>
        <w:rPr>
          <w:rFonts w:eastAsiaTheme="minorEastAsia"/>
          <w:b/>
          <w:bCs/>
          <w:color w:val="000000"/>
          <w:kern w:val="0"/>
          <w:szCs w:val="21"/>
        </w:rPr>
      </w:pPr>
      <w:r w:rsidRPr="0045565B">
        <w:rPr>
          <w:rFonts w:eastAsiaTheme="minorEastAsia"/>
          <w:b/>
          <w:bCs/>
          <w:color w:val="000000"/>
          <w:kern w:val="0"/>
          <w:szCs w:val="21"/>
        </w:rPr>
        <w:t xml:space="preserve">6.4.4 </w:t>
      </w:r>
      <w:r w:rsidRPr="0045565B" w:rsidR="006E3669">
        <w:rPr>
          <w:rFonts w:eastAsiaTheme="minorEastAsia"/>
          <w:b/>
          <w:kern w:val="0"/>
          <w:szCs w:val="21"/>
        </w:rPr>
        <w:t>本报告期所采用的会计政策、会计估计与最近一期年度报告相一致的说明</w:t>
      </w:r>
    </w:p>
    <w:p w:rsidR="002E1DC2"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本基金本报告期所采用的会计政策与上年度会计报表一致。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6.4.5 </w:t>
      </w:r>
      <w:r w:rsidRPr="0045565B">
        <w:rPr>
          <w:rFonts w:eastAsiaTheme="minorEastAsia"/>
          <w:b/>
          <w:color w:val="000000"/>
          <w:kern w:val="0"/>
          <w:szCs w:val="21"/>
        </w:rPr>
        <w:t>会计政策和会计估计变更以及差错更正的说明</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6.4.5.1</w:t>
      </w:r>
      <w:r w:rsidRPr="0045565B">
        <w:rPr>
          <w:rFonts w:eastAsiaTheme="minorEastAsia"/>
          <w:b/>
          <w:color w:val="000000"/>
          <w:kern w:val="0"/>
          <w:szCs w:val="21"/>
        </w:rPr>
        <w:t>会计政策变更的说明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本基金在本报告期间无需说明的重大会计政策变更。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6.4.5.2</w:t>
      </w:r>
      <w:r w:rsidRPr="0045565B">
        <w:rPr>
          <w:rFonts w:eastAsiaTheme="minorEastAsia"/>
          <w:b/>
          <w:color w:val="000000"/>
          <w:kern w:val="0"/>
          <w:szCs w:val="21"/>
        </w:rPr>
        <w:t>会计估计变更的说明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本基金在本报告期间无需说明的重大会计估计变更。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6.4.5.3</w:t>
      </w:r>
      <w:r w:rsidRPr="0045565B">
        <w:rPr>
          <w:rFonts w:eastAsiaTheme="minorEastAsia"/>
          <w:b/>
          <w:color w:val="000000"/>
          <w:kern w:val="0"/>
          <w:szCs w:val="21"/>
        </w:rPr>
        <w:t>差错更正的说明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本基金在本报告期间无需说明的重大会计差错更正。</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6.4.6 </w:t>
      </w:r>
      <w:r w:rsidRPr="0045565B">
        <w:rPr>
          <w:rFonts w:eastAsiaTheme="minorEastAsia"/>
          <w:b/>
          <w:color w:val="000000"/>
          <w:kern w:val="0"/>
          <w:szCs w:val="21"/>
        </w:rPr>
        <w:t>税项</w:t>
      </w:r>
    </w:p>
    <w:p>
      <w:pPr>
        <w:spacing w:line="360" w:lineRule="auto"/>
        <w:ind w:firstLine="420" w:firstLineChars="200"/>
        <w:rPr>
          <w:rFonts w:eastAsiaTheme="minorEastAsia"/>
          <w:color w:val="000000"/>
          <w:szCs w:val="21"/>
        </w:rPr>
      </w:pPr>
      <w:r>
        <w:rPr>
          <w:rFonts w:eastAsiaTheme="minorEastAsia"/>
          <w:color w:val="000000"/>
          <w:szCs w:val="21"/>
        </w:rPr>
        <w:t>根据财政部、国家税务总局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pPr>
        <w:spacing w:line="360" w:lineRule="auto"/>
        <w:ind w:firstLine="420" w:firstLineChars="200"/>
        <w:rPr>
          <w:rFonts w:eastAsiaTheme="minorEastAsia"/>
          <w:color w:val="000000"/>
          <w:szCs w:val="21"/>
        </w:rPr>
      </w:pPr>
      <w:r>
        <w:rPr>
          <w:rFonts w:eastAsiaTheme="minorEastAsia"/>
          <w:color w:val="000000"/>
          <w:szCs w:val="21"/>
        </w:rPr>
        <w:t>1. 证券投资基金(封闭式证券投资基金，开放式证券投资基金)管理人运用基金买卖股票、债券免征增值税；2018年1月1日起，公开募集证券投资基金运营过程中发生的其他增值税应税行为，以基金管理人为增值税纳税人，暂适用简易计税方法，按照3%的征收率缴纳增值税。</w:t>
      </w:r>
    </w:p>
    <w:p>
      <w:pPr>
        <w:spacing w:line="360" w:lineRule="auto"/>
        <w:ind w:firstLine="420" w:firstLineChars="200"/>
        <w:rPr>
          <w:rFonts w:eastAsiaTheme="minorEastAsia"/>
          <w:color w:val="000000"/>
          <w:szCs w:val="21"/>
        </w:rPr>
      </w:pPr>
      <w:r>
        <w:rPr>
          <w:rFonts w:eastAsiaTheme="minorEastAsia"/>
          <w:color w:val="000000"/>
          <w:szCs w:val="21"/>
        </w:rPr>
        <w:t>2. 对证券投资基金从证券市场中取得的收入，包括买卖股票、债券的差价收入，股权的股息、红利收入，债券的利息收入及其他收入，暂不缴纳企业所得税。</w:t>
      </w:r>
    </w:p>
    <w:p>
      <w:pPr>
        <w:spacing w:line="360" w:lineRule="auto"/>
        <w:ind w:firstLine="420" w:firstLineChars="200"/>
        <w:rPr>
          <w:rFonts w:eastAsiaTheme="minorEastAsia"/>
          <w:color w:val="000000"/>
          <w:szCs w:val="21"/>
        </w:rPr>
      </w:pPr>
      <w:r>
        <w:rPr>
          <w:rFonts w:eastAsiaTheme="minorEastAsia"/>
          <w:color w:val="000000"/>
          <w:szCs w:val="21"/>
        </w:rPr>
        <w:t>3. 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pPr>
        <w:spacing w:line="360" w:lineRule="auto"/>
        <w:ind w:firstLine="420" w:firstLineChars="200"/>
        <w:rPr>
          <w:rFonts w:eastAsiaTheme="minorEastAsia"/>
          <w:color w:val="000000"/>
          <w:szCs w:val="21"/>
        </w:rPr>
      </w:pPr>
      <w:r>
        <w:rPr>
          <w:rFonts w:eastAsiaTheme="minorEastAsia"/>
          <w:color w:val="000000"/>
          <w:szCs w:val="21"/>
        </w:rPr>
        <w:t>4. 对基金取得的债券利息收入，由发行债券的企业在向基金支付上述收入时代扣代缴20%的个人所得税，暂不缴纳企业所得税。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5. 对于基金从事A股买卖，出让方按0.10%的税率缴纳证券(股票)交易印花税，对受让方不再缴纳印花税。</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6.4.7 </w:t>
      </w:r>
      <w:r w:rsidRPr="0045565B">
        <w:rPr>
          <w:rFonts w:eastAsiaTheme="minorEastAsia"/>
          <w:b/>
          <w:color w:val="000000"/>
          <w:kern w:val="0"/>
          <w:szCs w:val="21"/>
        </w:rPr>
        <w:t>关联方关系</w:t>
      </w:r>
    </w:p>
    <w:p w:rsidR="001548F9" w:rsidRPr="0045565B" w:rsidP="001F7147">
      <w:pPr>
        <w:spacing w:line="360" w:lineRule="auto"/>
        <w:rPr>
          <w:rFonts w:eastAsiaTheme="minorEastAsia"/>
          <w:b/>
          <w:kern w:val="0"/>
          <w:szCs w:val="21"/>
        </w:rPr>
      </w:pPr>
      <w:r w:rsidRPr="0045565B">
        <w:rPr>
          <w:rFonts w:eastAsiaTheme="minorEastAsia"/>
          <w:b/>
          <w:bCs/>
          <w:color w:val="000000"/>
          <w:kern w:val="0"/>
          <w:szCs w:val="21"/>
        </w:rPr>
        <w:t>6.4.7.1</w:t>
      </w:r>
      <w:r w:rsidRPr="0045565B">
        <w:rPr>
          <w:rFonts w:eastAsiaTheme="minorEastAsia"/>
          <w:b/>
          <w:kern w:val="0"/>
          <w:szCs w:val="21"/>
        </w:rPr>
        <w:t>本报告期存在控制关系或其他重大利害关系的关联方发生变化的情况</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本报告期存在控制关系或其他重大利害关系的关联方未发生变化。</w:t>
      </w:r>
    </w:p>
    <w:p w:rsidR="001548F9" w:rsidRPr="0045565B" w:rsidP="0072541E">
      <w:pPr>
        <w:autoSpaceDE w:val="0"/>
        <w:autoSpaceDN w:val="0"/>
        <w:adjustRightInd w:val="0"/>
        <w:spacing w:before="312" w:beforeLines="100" w:line="360" w:lineRule="auto"/>
        <w:jc w:val="left"/>
        <w:rPr>
          <w:rFonts w:eastAsiaTheme="minorEastAsia"/>
          <w:b/>
          <w:kern w:val="0"/>
          <w:szCs w:val="21"/>
        </w:rPr>
      </w:pPr>
      <w:r w:rsidRPr="0045565B">
        <w:rPr>
          <w:rFonts w:eastAsiaTheme="minorEastAsia"/>
          <w:b/>
          <w:bCs/>
          <w:color w:val="000000"/>
          <w:kern w:val="0"/>
          <w:szCs w:val="21"/>
        </w:rPr>
        <w:t xml:space="preserve">6.4.7.2 </w:t>
      </w:r>
      <w:r w:rsidRPr="0045565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5220" w:type="dxa"/>
          </w:tcPr>
          <w:p w:rsidR="001548F9" w:rsidRPr="0045565B" w:rsidP="0070173B">
            <w:pPr>
              <w:jc w:val="center"/>
              <w:rPr>
                <w:rFonts w:eastAsiaTheme="minorEastAsia"/>
                <w:color w:val="000000"/>
                <w:szCs w:val="21"/>
              </w:rPr>
            </w:pPr>
            <w:r w:rsidRPr="0045565B">
              <w:rPr>
                <w:rFonts w:eastAsiaTheme="minorEastAsia"/>
                <w:color w:val="000000"/>
                <w:szCs w:val="21"/>
              </w:rPr>
              <w:t>关联方名称</w:t>
            </w:r>
          </w:p>
        </w:tc>
        <w:tc>
          <w:tcPr>
            <w:tcW w:w="3780" w:type="dxa"/>
          </w:tcPr>
          <w:p w:rsidR="001548F9" w:rsidRPr="0045565B" w:rsidP="0070173B">
            <w:pPr>
              <w:jc w:val="center"/>
              <w:rPr>
                <w:rFonts w:eastAsiaTheme="minorEastAsia"/>
                <w:color w:val="000000"/>
                <w:szCs w:val="21"/>
              </w:rPr>
            </w:pPr>
            <w:r w:rsidRPr="0045565B">
              <w:rPr>
                <w:rFonts w:eastAsiaTheme="minorEastAsia"/>
                <w:color w:val="000000"/>
                <w:szCs w:val="21"/>
              </w:rPr>
              <w:t>与本基金的关系</w:t>
            </w:r>
          </w:p>
        </w:tc>
      </w:tr>
      <w:tr>
        <w:tblPrEx>
          <w:tblW w:w="0" w:type="auto"/>
          <w:tblInd w:w="108" w:type="dxa"/>
          <w:tblLayout w:type="fixed"/>
          <w:tblLook w:val="00A0"/>
        </w:tblPrEx>
        <w:tc>
          <w:tcPr>
            <w:vAlign w:val="center"/>
          </w:tcPr>
          <w:p>
            <w:pPr>
              <w:jc w:val="left"/>
            </w:pPr>
            <w:r>
              <w:rPr>
                <w:rFonts w:eastAsiaTheme="minorEastAsia"/>
                <w:color w:val="000000"/>
                <w:szCs w:val="21"/>
              </w:rPr>
              <w:t>广州证券股份有限公司</w:t>
            </w:r>
          </w:p>
        </w:tc>
        <w:tc>
          <w:tcPr>
            <w:vAlign w:val="center"/>
          </w:tcPr>
          <w:p>
            <w:pPr>
              <w:jc w:val="right"/>
            </w:pPr>
            <w:r>
              <w:rPr>
                <w:rFonts w:eastAsiaTheme="minorEastAsia"/>
                <w:color w:val="000000"/>
                <w:szCs w:val="21"/>
              </w:rPr>
              <w:t>基金管理人股东</w:t>
            </w:r>
          </w:p>
        </w:tc>
      </w:tr>
      <w:tr>
        <w:tblPrEx>
          <w:tblW w:w="0" w:type="auto"/>
          <w:tblInd w:w="108" w:type="dxa"/>
          <w:tblLayout w:type="fixed"/>
          <w:tblLook w:val="00A0"/>
        </w:tblPrEx>
        <w:tc>
          <w:tcPr>
            <w:vAlign w:val="center"/>
          </w:tcPr>
          <w:p>
            <w:pPr>
              <w:jc w:val="left"/>
            </w:pPr>
            <w:r>
              <w:rPr>
                <w:rFonts w:eastAsiaTheme="minorEastAsia"/>
                <w:color w:val="000000"/>
                <w:szCs w:val="21"/>
              </w:rPr>
              <w:t>金鹰基金管理有限公司</w:t>
            </w:r>
          </w:p>
        </w:tc>
        <w:tc>
          <w:tcPr>
            <w:vAlign w:val="center"/>
          </w:tcPr>
          <w:p>
            <w:pPr>
              <w:jc w:val="right"/>
            </w:pPr>
            <w:r>
              <w:rPr>
                <w:rFonts w:eastAsiaTheme="minorEastAsia"/>
                <w:color w:val="000000"/>
                <w:szCs w:val="21"/>
              </w:rPr>
              <w:t>基金管理人、销售机构</w:t>
            </w:r>
          </w:p>
        </w:tc>
      </w:tr>
      <w:tr>
        <w:tblPrEx>
          <w:tblW w:w="0" w:type="auto"/>
          <w:tblInd w:w="108" w:type="dxa"/>
          <w:tblLayout w:type="fixed"/>
          <w:tblLook w:val="00A0"/>
        </w:tblPrEx>
        <w:tc>
          <w:tcPr>
            <w:vAlign w:val="center"/>
          </w:tcPr>
          <w:p>
            <w:pPr>
              <w:jc w:val="left"/>
            </w:pPr>
            <w:r>
              <w:rPr>
                <w:rFonts w:eastAsiaTheme="minorEastAsia"/>
                <w:color w:val="000000"/>
                <w:szCs w:val="21"/>
              </w:rPr>
              <w:t>中国邮政储蓄银行股份有限公司</w:t>
            </w:r>
          </w:p>
        </w:tc>
        <w:tc>
          <w:tcPr>
            <w:vAlign w:val="center"/>
          </w:tcPr>
          <w:p>
            <w:pPr>
              <w:jc w:val="right"/>
            </w:pPr>
            <w:r>
              <w:rPr>
                <w:rFonts w:eastAsiaTheme="minorEastAsia"/>
                <w:color w:val="000000"/>
                <w:szCs w:val="21"/>
              </w:rPr>
              <w:t>基金托管人</w:t>
            </w:r>
          </w:p>
        </w:tc>
      </w:tr>
    </w:tbl>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 </w:t>
      </w:r>
      <w:r w:rsidRPr="0045565B">
        <w:rPr>
          <w:rFonts w:eastAsiaTheme="minorEastAsia"/>
          <w:b/>
          <w:color w:val="000000"/>
          <w:kern w:val="0"/>
          <w:szCs w:val="21"/>
        </w:rPr>
        <w:t>本报告期及上年度可比期间的关联方交易</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6.4.8.1 </w:t>
      </w:r>
      <w:r w:rsidRPr="0045565B">
        <w:rPr>
          <w:rFonts w:eastAsiaTheme="minorEastAsia"/>
          <w:b/>
          <w:color w:val="000000"/>
          <w:kern w:val="0"/>
          <w:szCs w:val="21"/>
        </w:rPr>
        <w:t>通过关联方交易单元进行的交易</w:t>
      </w:r>
    </w:p>
    <w:p w:rsidR="001548F9" w:rsidRPr="0045565B" w:rsidP="001F7147">
      <w:pPr>
        <w:spacing w:line="360" w:lineRule="auto"/>
        <w:rPr>
          <w:rFonts w:eastAsiaTheme="minorEastAsia"/>
          <w:color w:val="000000"/>
          <w:szCs w:val="21"/>
        </w:rPr>
      </w:pPr>
      <w:r w:rsidRPr="0045565B">
        <w:rPr>
          <w:rFonts w:eastAsiaTheme="minorEastAsia"/>
          <w:b/>
          <w:bCs/>
          <w:color w:val="000000"/>
          <w:kern w:val="0"/>
          <w:szCs w:val="21"/>
        </w:rPr>
        <w:t xml:space="preserve">6.4.8.1.1 </w:t>
      </w:r>
      <w:r w:rsidRPr="0045565B">
        <w:rPr>
          <w:rFonts w:eastAsiaTheme="minorEastAsia"/>
          <w:b/>
          <w:color w:val="000000"/>
          <w:szCs w:val="21"/>
        </w:rPr>
        <w:t>股票交易</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Tr="003C0EC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980" w:type="dxa"/>
            <w:vMerge w:val="restart"/>
            <w:vAlign w:val="center"/>
          </w:tcPr>
          <w:p w:rsidR="004D0D2C" w:rsidRPr="0045565B" w:rsidP="003C0ECA">
            <w:pPr>
              <w:autoSpaceDE w:val="0"/>
              <w:autoSpaceDN w:val="0"/>
              <w:spacing w:line="360" w:lineRule="auto"/>
              <w:jc w:val="center"/>
              <w:textAlignment w:val="bottom"/>
              <w:rPr>
                <w:rFonts w:eastAsiaTheme="minorEastAsia"/>
                <w:bCs/>
                <w:color w:val="000000"/>
                <w:szCs w:val="21"/>
              </w:rPr>
            </w:pPr>
            <w:r w:rsidRPr="0045565B">
              <w:rPr>
                <w:rFonts w:eastAsiaTheme="minorEastAsia"/>
                <w:bCs/>
                <w:color w:val="000000"/>
                <w:szCs w:val="21"/>
              </w:rPr>
              <w:t>关联方名称</w:t>
            </w:r>
          </w:p>
        </w:tc>
        <w:tc>
          <w:tcPr>
            <w:tcW w:w="3600" w:type="dxa"/>
            <w:gridSpan w:val="2"/>
          </w:tcPr>
          <w:p w:rsidR="004D0D2C" w:rsidRPr="0045565B" w:rsidP="003C0ECA">
            <w:pPr>
              <w:spacing w:line="360" w:lineRule="auto"/>
              <w:jc w:val="center"/>
              <w:rPr>
                <w:rFonts w:eastAsiaTheme="minorEastAsia"/>
                <w:color w:val="000000"/>
                <w:szCs w:val="21"/>
              </w:rPr>
            </w:pPr>
            <w:r w:rsidRPr="0045565B">
              <w:rPr>
                <w:rFonts w:eastAsiaTheme="minorEastAsia"/>
                <w:color w:val="000000"/>
                <w:szCs w:val="21"/>
              </w:rPr>
              <w:t>本期</w:t>
            </w:r>
          </w:p>
          <w:p w:rsidR="004D0D2C" w:rsidRPr="0045565B"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c>
          <w:tcPr>
            <w:tcW w:w="3420" w:type="dxa"/>
            <w:gridSpan w:val="2"/>
          </w:tcPr>
          <w:p w:rsidR="004D0D2C" w:rsidRPr="0045565B" w:rsidP="003C0ECA">
            <w:pPr>
              <w:tabs>
                <w:tab w:val="left" w:pos="555"/>
                <w:tab w:val="center" w:pos="1472"/>
              </w:tabs>
              <w:spacing w:line="360" w:lineRule="auto"/>
              <w:jc w:val="left"/>
              <w:rPr>
                <w:rFonts w:eastAsiaTheme="minorEastAsia"/>
                <w:color w:val="000000"/>
                <w:szCs w:val="21"/>
              </w:rPr>
            </w:pPr>
            <w:r w:rsidRPr="0045565B">
              <w:rPr>
                <w:rFonts w:eastAsiaTheme="minorEastAsia"/>
                <w:color w:val="000000"/>
                <w:szCs w:val="21"/>
              </w:rPr>
              <w:tab/>
            </w:r>
            <w:r w:rsidRPr="0045565B">
              <w:rPr>
                <w:rFonts w:eastAsiaTheme="minorEastAsia"/>
                <w:color w:val="000000"/>
                <w:szCs w:val="21"/>
              </w:rPr>
              <w:tab/>
            </w:r>
            <w:r w:rsidRPr="0045565B">
              <w:rPr>
                <w:rFonts w:eastAsiaTheme="minorEastAsia"/>
                <w:color w:val="000000"/>
                <w:szCs w:val="21"/>
              </w:rPr>
              <w:t>上年度可比期间</w:t>
            </w:r>
          </w:p>
          <w:p w:rsidR="004D0D2C" w:rsidRPr="0045565B" w:rsidP="003C0ECA">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E15BDF">
        <w:tblPrEx>
          <w:tblW w:w="0" w:type="auto"/>
          <w:tblInd w:w="108" w:type="dxa"/>
          <w:tblLayout w:type="fixed"/>
          <w:tblLook w:val="00A0"/>
        </w:tblPrEx>
        <w:tc>
          <w:tcPr>
            <w:tcW w:w="1980" w:type="dxa"/>
            <w:vMerge/>
            <w:vAlign w:val="center"/>
          </w:tcPr>
          <w:p w:rsidR="004D0D2C" w:rsidRPr="0045565B" w:rsidP="003C0ECA">
            <w:pPr>
              <w:widowControl/>
              <w:spacing w:line="360" w:lineRule="auto"/>
              <w:jc w:val="left"/>
              <w:rPr>
                <w:rFonts w:eastAsiaTheme="minorEastAsia"/>
                <w:bCs/>
                <w:color w:val="000000"/>
                <w:szCs w:val="21"/>
              </w:rPr>
            </w:pPr>
          </w:p>
        </w:tc>
        <w:tc>
          <w:tcPr>
            <w:tcW w:w="2340" w:type="dxa"/>
            <w:vAlign w:val="center"/>
          </w:tcPr>
          <w:p w:rsidR="004D0D2C" w:rsidRPr="0045565B" w:rsidP="00E15BDF">
            <w:pPr>
              <w:spacing w:line="360" w:lineRule="auto"/>
              <w:jc w:val="center"/>
              <w:rPr>
                <w:rFonts w:eastAsiaTheme="minorEastAsia"/>
                <w:color w:val="000000"/>
                <w:szCs w:val="21"/>
              </w:rPr>
            </w:pPr>
            <w:r w:rsidRPr="0045565B">
              <w:rPr>
                <w:rFonts w:eastAsiaTheme="minorEastAsia"/>
                <w:bCs/>
                <w:color w:val="000000"/>
                <w:szCs w:val="21"/>
              </w:rPr>
              <w:t>成交金额</w:t>
            </w:r>
          </w:p>
        </w:tc>
        <w:tc>
          <w:tcPr>
            <w:tcW w:w="1260" w:type="dxa"/>
            <w:vAlign w:val="center"/>
          </w:tcPr>
          <w:p w:rsidR="004D0D2C" w:rsidRPr="0045565B" w:rsidP="00E15BDF">
            <w:pPr>
              <w:spacing w:line="360" w:lineRule="auto"/>
              <w:jc w:val="center"/>
              <w:rPr>
                <w:rFonts w:eastAsiaTheme="minorEastAsia"/>
                <w:color w:val="000000"/>
                <w:szCs w:val="21"/>
              </w:rPr>
            </w:pPr>
            <w:r w:rsidRPr="0045565B">
              <w:rPr>
                <w:rFonts w:eastAsiaTheme="minorEastAsia"/>
                <w:color w:val="000000"/>
                <w:szCs w:val="21"/>
              </w:rPr>
              <w:t>占当期股票成交总额的比例</w:t>
            </w:r>
          </w:p>
        </w:tc>
        <w:tc>
          <w:tcPr>
            <w:tcW w:w="2160" w:type="dxa"/>
            <w:vAlign w:val="center"/>
          </w:tcPr>
          <w:p w:rsidR="004D0D2C" w:rsidRPr="0045565B" w:rsidP="00E15BDF">
            <w:pPr>
              <w:pStyle w:val="Footer"/>
              <w:widowControl/>
              <w:autoSpaceDE w:val="0"/>
              <w:autoSpaceDN w:val="0"/>
              <w:spacing w:line="360" w:lineRule="auto"/>
              <w:jc w:val="center"/>
              <w:textAlignment w:val="bottom"/>
              <w:rPr>
                <w:rFonts w:eastAsiaTheme="minorEastAsia"/>
                <w:bCs/>
                <w:color w:val="000000"/>
                <w:sz w:val="21"/>
                <w:szCs w:val="21"/>
              </w:rPr>
            </w:pPr>
            <w:r w:rsidRPr="0045565B">
              <w:rPr>
                <w:rFonts w:eastAsiaTheme="minorEastAsia"/>
                <w:bCs/>
                <w:color w:val="000000"/>
                <w:sz w:val="21"/>
                <w:szCs w:val="21"/>
              </w:rPr>
              <w:t>成交金额</w:t>
            </w:r>
          </w:p>
        </w:tc>
        <w:tc>
          <w:tcPr>
            <w:tcW w:w="1260" w:type="dxa"/>
            <w:vAlign w:val="center"/>
          </w:tcPr>
          <w:p w:rsidR="004D0D2C" w:rsidRPr="0045565B" w:rsidP="00E15BDF">
            <w:pPr>
              <w:autoSpaceDE w:val="0"/>
              <w:autoSpaceDN w:val="0"/>
              <w:spacing w:line="360" w:lineRule="auto"/>
              <w:jc w:val="center"/>
              <w:textAlignment w:val="bottom"/>
              <w:rPr>
                <w:rFonts w:eastAsiaTheme="minorEastAsia"/>
                <w:bCs/>
                <w:color w:val="000000"/>
                <w:szCs w:val="21"/>
              </w:rPr>
            </w:pPr>
            <w:r w:rsidRPr="0045565B">
              <w:rPr>
                <w:rFonts w:eastAsiaTheme="minorEastAsia"/>
                <w:color w:val="000000"/>
                <w:szCs w:val="21"/>
              </w:rPr>
              <w:t>占当期股票成交总额的比例</w:t>
            </w:r>
          </w:p>
        </w:tc>
      </w:tr>
      <w:tr>
        <w:tblPrEx>
          <w:tblW w:w="0" w:type="auto"/>
          <w:tblInd w:w="108" w:type="dxa"/>
          <w:tblLayout w:type="fixed"/>
          <w:tblLook w:val="00A0"/>
        </w:tblPrEx>
        <w:tc>
          <w:tcPr>
            <w:vAlign w:val="center"/>
          </w:tcPr>
          <w:p>
            <w:pPr>
              <w:jc w:val="left"/>
            </w:pPr>
            <w:r>
              <w:rPr>
                <w:rFonts w:eastAsiaTheme="minorEastAsia"/>
                <w:bCs/>
                <w:color w:val="000000"/>
                <w:szCs w:val="21"/>
              </w:rPr>
              <w:t>广州证券股份有限公司</w:t>
            </w:r>
          </w:p>
        </w:tc>
        <w:tc>
          <w:tcPr>
            <w:vAlign w:val="center"/>
          </w:tcPr>
          <w:p>
            <w:pPr>
              <w:jc w:val="right"/>
            </w:pPr>
            <w:r>
              <w:rPr>
                <w:rFonts w:eastAsiaTheme="minorEastAsia"/>
                <w:bCs/>
                <w:color w:val="000000"/>
                <w:szCs w:val="21"/>
              </w:rPr>
              <w:t>84,270,229.74</w:t>
            </w:r>
          </w:p>
        </w:tc>
        <w:tc>
          <w:tcPr>
            <w:vAlign w:val="center"/>
          </w:tcPr>
          <w:p>
            <w:pPr>
              <w:jc w:val="right"/>
            </w:pPr>
            <w:r>
              <w:rPr>
                <w:rFonts w:eastAsiaTheme="minorEastAsia"/>
                <w:bCs/>
                <w:color w:val="000000"/>
                <w:szCs w:val="21"/>
              </w:rPr>
              <w:t>100.00%</w:t>
            </w:r>
          </w:p>
        </w:tc>
        <w:tc>
          <w:tcPr>
            <w:vAlign w:val="center"/>
          </w:tcPr>
          <w:p>
            <w:pPr>
              <w:jc w:val="right"/>
            </w:pPr>
            <w:r>
              <w:rPr>
                <w:rFonts w:eastAsiaTheme="minorEastAsia"/>
                <w:bCs/>
                <w:color w:val="000000"/>
                <w:szCs w:val="21"/>
              </w:rPr>
              <w:t>66,410,130.53</w:t>
            </w:r>
          </w:p>
        </w:tc>
        <w:tc>
          <w:tcPr>
            <w:vAlign w:val="center"/>
          </w:tcPr>
          <w:p>
            <w:pPr>
              <w:jc w:val="right"/>
            </w:pPr>
            <w:r>
              <w:rPr>
                <w:rFonts w:eastAsiaTheme="minorEastAsia"/>
                <w:bCs/>
                <w:color w:val="000000"/>
                <w:szCs w:val="21"/>
              </w:rPr>
              <w:t>100.00%</w:t>
            </w:r>
          </w:p>
        </w:tc>
      </w:tr>
    </w:tbl>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6.4.8.1.2 </w:t>
      </w:r>
      <w:r w:rsidRPr="0045565B">
        <w:rPr>
          <w:rFonts w:eastAsiaTheme="minorEastAsia"/>
          <w:b/>
          <w:color w:val="000000"/>
          <w:szCs w:val="21"/>
        </w:rPr>
        <w:t>权证交易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本基金报告期内及上年度可比期间内均未通过关联方进行权证交易。</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6.4.8.1.3 </w:t>
      </w:r>
      <w:r w:rsidRPr="0045565B">
        <w:rPr>
          <w:rFonts w:eastAsiaTheme="minorEastAsia"/>
          <w:b/>
          <w:color w:val="000000"/>
          <w:szCs w:val="21"/>
        </w:rPr>
        <w:t>债券交易</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w:t>
      </w:r>
      <w:r w:rsidRPr="0045565B">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Tr="003C0EC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106" w:type="dxa"/>
            <w:vMerge w:val="restart"/>
            <w:vAlign w:val="center"/>
          </w:tcPr>
          <w:p w:rsidR="00A1308A" w:rsidRPr="0045565B" w:rsidP="003C0ECA">
            <w:pPr>
              <w:autoSpaceDE w:val="0"/>
              <w:autoSpaceDN w:val="0"/>
              <w:spacing w:line="360" w:lineRule="auto"/>
              <w:jc w:val="center"/>
              <w:textAlignment w:val="bottom"/>
              <w:rPr>
                <w:rFonts w:eastAsiaTheme="minorEastAsia"/>
                <w:bCs/>
                <w:color w:val="000000"/>
                <w:szCs w:val="21"/>
              </w:rPr>
            </w:pPr>
            <w:r w:rsidRPr="0045565B">
              <w:rPr>
                <w:rFonts w:eastAsiaTheme="minorEastAsia"/>
                <w:bCs/>
                <w:color w:val="000000"/>
                <w:szCs w:val="21"/>
              </w:rPr>
              <w:t>关联方名称</w:t>
            </w:r>
          </w:p>
        </w:tc>
        <w:tc>
          <w:tcPr>
            <w:tcW w:w="3474" w:type="dxa"/>
            <w:gridSpan w:val="2"/>
          </w:tcPr>
          <w:p w:rsidR="00A1308A" w:rsidRPr="0045565B" w:rsidP="003C0ECA">
            <w:pPr>
              <w:spacing w:line="360" w:lineRule="auto"/>
              <w:jc w:val="center"/>
              <w:rPr>
                <w:rFonts w:eastAsiaTheme="minorEastAsia"/>
                <w:color w:val="000000"/>
                <w:szCs w:val="21"/>
              </w:rPr>
            </w:pPr>
            <w:r w:rsidRPr="0045565B">
              <w:rPr>
                <w:rFonts w:eastAsiaTheme="minorEastAsia"/>
                <w:color w:val="000000"/>
                <w:szCs w:val="21"/>
              </w:rPr>
              <w:t>本期</w:t>
            </w:r>
          </w:p>
          <w:p w:rsidR="00A1308A" w:rsidRPr="0045565B"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c>
          <w:tcPr>
            <w:tcW w:w="3420" w:type="dxa"/>
            <w:gridSpan w:val="2"/>
          </w:tcPr>
          <w:p w:rsidR="00A1308A" w:rsidRPr="0045565B" w:rsidP="003C0ECA">
            <w:pPr>
              <w:tabs>
                <w:tab w:val="left" w:pos="555"/>
                <w:tab w:val="center" w:pos="1472"/>
              </w:tabs>
              <w:spacing w:line="360" w:lineRule="auto"/>
              <w:jc w:val="left"/>
              <w:rPr>
                <w:rFonts w:eastAsiaTheme="minorEastAsia"/>
                <w:color w:val="000000"/>
                <w:szCs w:val="21"/>
              </w:rPr>
            </w:pPr>
            <w:r w:rsidRPr="0045565B">
              <w:rPr>
                <w:rFonts w:eastAsiaTheme="minorEastAsia"/>
                <w:color w:val="000000"/>
                <w:szCs w:val="21"/>
              </w:rPr>
              <w:tab/>
            </w:r>
            <w:r w:rsidRPr="0045565B">
              <w:rPr>
                <w:rFonts w:eastAsiaTheme="minorEastAsia"/>
                <w:color w:val="000000"/>
                <w:szCs w:val="21"/>
              </w:rPr>
              <w:tab/>
            </w:r>
            <w:r w:rsidRPr="0045565B">
              <w:rPr>
                <w:rFonts w:eastAsiaTheme="minorEastAsia"/>
                <w:color w:val="000000"/>
                <w:szCs w:val="21"/>
              </w:rPr>
              <w:t>上年度可比期间</w:t>
            </w:r>
          </w:p>
          <w:p w:rsidR="00A1308A" w:rsidRPr="0045565B" w:rsidP="003C0ECA">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BF4798">
        <w:tblPrEx>
          <w:tblW w:w="0" w:type="auto"/>
          <w:tblInd w:w="108" w:type="dxa"/>
          <w:tblLayout w:type="fixed"/>
          <w:tblLook w:val="00A0"/>
        </w:tblPrEx>
        <w:tc>
          <w:tcPr>
            <w:tcW w:w="2106" w:type="dxa"/>
            <w:vMerge/>
            <w:vAlign w:val="center"/>
          </w:tcPr>
          <w:p w:rsidR="00A1308A" w:rsidRPr="0045565B" w:rsidP="003C0ECA">
            <w:pPr>
              <w:widowControl/>
              <w:spacing w:line="360" w:lineRule="auto"/>
              <w:jc w:val="left"/>
              <w:rPr>
                <w:rFonts w:eastAsiaTheme="minorEastAsia"/>
                <w:bCs/>
                <w:color w:val="000000"/>
                <w:szCs w:val="21"/>
              </w:rPr>
            </w:pPr>
          </w:p>
        </w:tc>
        <w:tc>
          <w:tcPr>
            <w:tcW w:w="2214" w:type="dxa"/>
            <w:vAlign w:val="center"/>
          </w:tcPr>
          <w:p w:rsidR="00A1308A" w:rsidRPr="0045565B" w:rsidP="00BF4798">
            <w:pPr>
              <w:spacing w:line="360" w:lineRule="auto"/>
              <w:jc w:val="center"/>
              <w:rPr>
                <w:rFonts w:eastAsiaTheme="minorEastAsia"/>
                <w:color w:val="000000"/>
                <w:szCs w:val="21"/>
              </w:rPr>
            </w:pPr>
            <w:r w:rsidRPr="0045565B">
              <w:rPr>
                <w:rFonts w:eastAsiaTheme="minorEastAsia"/>
                <w:bCs/>
                <w:color w:val="000000"/>
                <w:szCs w:val="21"/>
              </w:rPr>
              <w:t>成交金额</w:t>
            </w:r>
          </w:p>
        </w:tc>
        <w:tc>
          <w:tcPr>
            <w:tcW w:w="1260" w:type="dxa"/>
            <w:vAlign w:val="center"/>
          </w:tcPr>
          <w:p w:rsidR="00A1308A" w:rsidRPr="0045565B" w:rsidP="00BF4798">
            <w:pPr>
              <w:spacing w:line="360" w:lineRule="auto"/>
              <w:jc w:val="center"/>
              <w:rPr>
                <w:rFonts w:eastAsiaTheme="minorEastAsia"/>
                <w:color w:val="000000"/>
                <w:szCs w:val="21"/>
              </w:rPr>
            </w:pPr>
            <w:r w:rsidRPr="0045565B">
              <w:rPr>
                <w:rFonts w:eastAsiaTheme="minorEastAsia"/>
                <w:color w:val="000000"/>
                <w:szCs w:val="21"/>
              </w:rPr>
              <w:t>占当期债券成交总额的比例</w:t>
            </w:r>
          </w:p>
        </w:tc>
        <w:tc>
          <w:tcPr>
            <w:tcW w:w="2160" w:type="dxa"/>
            <w:vAlign w:val="center"/>
          </w:tcPr>
          <w:p w:rsidR="00A1308A" w:rsidRPr="0045565B" w:rsidP="00BF4798">
            <w:pPr>
              <w:pStyle w:val="Footer"/>
              <w:widowControl/>
              <w:autoSpaceDE w:val="0"/>
              <w:autoSpaceDN w:val="0"/>
              <w:spacing w:line="360" w:lineRule="auto"/>
              <w:jc w:val="center"/>
              <w:textAlignment w:val="bottom"/>
              <w:rPr>
                <w:rFonts w:eastAsiaTheme="minorEastAsia"/>
                <w:bCs/>
                <w:color w:val="000000"/>
                <w:sz w:val="21"/>
                <w:szCs w:val="21"/>
              </w:rPr>
            </w:pPr>
            <w:r w:rsidRPr="0045565B">
              <w:rPr>
                <w:rFonts w:eastAsiaTheme="minorEastAsia"/>
                <w:bCs/>
                <w:color w:val="000000"/>
                <w:sz w:val="21"/>
                <w:szCs w:val="21"/>
              </w:rPr>
              <w:t>成交金额</w:t>
            </w:r>
          </w:p>
        </w:tc>
        <w:tc>
          <w:tcPr>
            <w:tcW w:w="1260" w:type="dxa"/>
            <w:vAlign w:val="center"/>
          </w:tcPr>
          <w:p w:rsidR="00A1308A" w:rsidRPr="0045565B" w:rsidP="00BF4798">
            <w:pPr>
              <w:autoSpaceDE w:val="0"/>
              <w:autoSpaceDN w:val="0"/>
              <w:spacing w:line="360" w:lineRule="auto"/>
              <w:jc w:val="center"/>
              <w:textAlignment w:val="bottom"/>
              <w:rPr>
                <w:rFonts w:eastAsiaTheme="minorEastAsia"/>
                <w:bCs/>
                <w:color w:val="000000"/>
                <w:szCs w:val="21"/>
              </w:rPr>
            </w:pPr>
            <w:r w:rsidRPr="0045565B">
              <w:rPr>
                <w:rFonts w:eastAsiaTheme="minorEastAsia"/>
                <w:color w:val="000000"/>
                <w:szCs w:val="21"/>
              </w:rPr>
              <w:t>占当期债券成交总额的比例</w:t>
            </w:r>
          </w:p>
        </w:tc>
      </w:tr>
      <w:tr>
        <w:tblPrEx>
          <w:tblW w:w="0" w:type="auto"/>
          <w:tblInd w:w="108" w:type="dxa"/>
          <w:tblLayout w:type="fixed"/>
          <w:tblLook w:val="00A0"/>
        </w:tblPrEx>
        <w:tc>
          <w:tcPr>
            <w:vAlign w:val="center"/>
          </w:tcPr>
          <w:p>
            <w:pPr>
              <w:jc w:val="left"/>
            </w:pPr>
            <w:r>
              <w:rPr>
                <w:rFonts w:eastAsiaTheme="minorEastAsia"/>
                <w:szCs w:val="21"/>
              </w:rPr>
              <w:t>广州证券股份有限公司</w:t>
            </w:r>
          </w:p>
        </w:tc>
        <w:tc>
          <w:tcPr>
            <w:vAlign w:val="center"/>
          </w:tcPr>
          <w:p>
            <w:pPr>
              <w:jc w:val="right"/>
            </w:pPr>
            <w:r>
              <w:rPr>
                <w:rFonts w:eastAsiaTheme="minorEastAsia"/>
                <w:szCs w:val="21"/>
              </w:rPr>
              <w:t>146,984,468.43</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82,934,888.31</w:t>
            </w:r>
          </w:p>
        </w:tc>
        <w:tc>
          <w:tcPr>
            <w:vAlign w:val="center"/>
          </w:tcPr>
          <w:p>
            <w:pPr>
              <w:jc w:val="right"/>
            </w:pPr>
            <w:r>
              <w:rPr>
                <w:rFonts w:eastAsiaTheme="minorEastAsia"/>
                <w:szCs w:val="21"/>
              </w:rPr>
              <w:t>100.00%</w:t>
            </w:r>
          </w:p>
        </w:tc>
      </w:tr>
    </w:tbl>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6.4.8.1.4 </w:t>
      </w:r>
      <w:r w:rsidRPr="0045565B">
        <w:rPr>
          <w:rFonts w:eastAsiaTheme="minorEastAsia"/>
          <w:b/>
          <w:color w:val="000000"/>
          <w:szCs w:val="21"/>
        </w:rPr>
        <w:t>债券回购交易</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w:t>
      </w:r>
      <w:r w:rsidRPr="0045565B">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Tr="003C0EC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106" w:type="dxa"/>
            <w:vMerge w:val="restart"/>
            <w:vAlign w:val="center"/>
          </w:tcPr>
          <w:p w:rsidR="00E93721" w:rsidRPr="0045565B" w:rsidP="003C0ECA">
            <w:pPr>
              <w:autoSpaceDE w:val="0"/>
              <w:autoSpaceDN w:val="0"/>
              <w:spacing w:line="360" w:lineRule="auto"/>
              <w:jc w:val="center"/>
              <w:textAlignment w:val="bottom"/>
              <w:rPr>
                <w:rFonts w:eastAsiaTheme="minorEastAsia"/>
                <w:bCs/>
                <w:color w:val="000000"/>
                <w:szCs w:val="21"/>
              </w:rPr>
            </w:pPr>
            <w:r w:rsidRPr="0045565B">
              <w:rPr>
                <w:rFonts w:eastAsiaTheme="minorEastAsia"/>
                <w:bCs/>
                <w:color w:val="000000"/>
                <w:szCs w:val="21"/>
              </w:rPr>
              <w:t>关联方名称</w:t>
            </w:r>
          </w:p>
        </w:tc>
        <w:tc>
          <w:tcPr>
            <w:tcW w:w="3474" w:type="dxa"/>
            <w:gridSpan w:val="2"/>
          </w:tcPr>
          <w:p w:rsidR="00E93721" w:rsidRPr="0045565B" w:rsidP="003C0ECA">
            <w:pPr>
              <w:spacing w:line="360" w:lineRule="auto"/>
              <w:jc w:val="center"/>
              <w:rPr>
                <w:rFonts w:eastAsiaTheme="minorEastAsia"/>
                <w:color w:val="000000"/>
                <w:szCs w:val="21"/>
              </w:rPr>
            </w:pPr>
            <w:r w:rsidRPr="0045565B">
              <w:rPr>
                <w:rFonts w:eastAsiaTheme="minorEastAsia"/>
                <w:color w:val="000000"/>
                <w:szCs w:val="21"/>
              </w:rPr>
              <w:t>本期</w:t>
            </w:r>
          </w:p>
          <w:p w:rsidR="00E93721" w:rsidRPr="0045565B"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c>
          <w:tcPr>
            <w:tcW w:w="3420" w:type="dxa"/>
            <w:gridSpan w:val="2"/>
          </w:tcPr>
          <w:p w:rsidR="00E93721" w:rsidRPr="0045565B" w:rsidP="003C0ECA">
            <w:pPr>
              <w:tabs>
                <w:tab w:val="left" w:pos="555"/>
                <w:tab w:val="center" w:pos="1472"/>
              </w:tabs>
              <w:spacing w:line="360" w:lineRule="auto"/>
              <w:jc w:val="left"/>
              <w:rPr>
                <w:rFonts w:eastAsiaTheme="minorEastAsia"/>
                <w:color w:val="000000"/>
                <w:szCs w:val="21"/>
              </w:rPr>
            </w:pPr>
            <w:r w:rsidRPr="0045565B">
              <w:rPr>
                <w:rFonts w:eastAsiaTheme="minorEastAsia"/>
                <w:color w:val="000000"/>
                <w:szCs w:val="21"/>
              </w:rPr>
              <w:tab/>
            </w:r>
            <w:r w:rsidRPr="0045565B">
              <w:rPr>
                <w:rFonts w:eastAsiaTheme="minorEastAsia"/>
                <w:color w:val="000000"/>
                <w:szCs w:val="21"/>
              </w:rPr>
              <w:tab/>
            </w:r>
            <w:r w:rsidRPr="0045565B">
              <w:rPr>
                <w:rFonts w:eastAsiaTheme="minorEastAsia"/>
                <w:color w:val="000000"/>
                <w:szCs w:val="21"/>
              </w:rPr>
              <w:t>上年度可比期间</w:t>
            </w:r>
          </w:p>
          <w:p w:rsidR="00E93721" w:rsidRPr="0045565B" w:rsidP="003C0ECA">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BF4798">
        <w:tblPrEx>
          <w:tblW w:w="0" w:type="auto"/>
          <w:tblInd w:w="108" w:type="dxa"/>
          <w:tblLayout w:type="fixed"/>
          <w:tblLook w:val="00A0"/>
        </w:tblPrEx>
        <w:tc>
          <w:tcPr>
            <w:tcW w:w="2106" w:type="dxa"/>
            <w:vMerge/>
            <w:vAlign w:val="center"/>
          </w:tcPr>
          <w:p w:rsidR="00E93721" w:rsidRPr="0045565B" w:rsidP="003C0ECA">
            <w:pPr>
              <w:widowControl/>
              <w:spacing w:line="360" w:lineRule="auto"/>
              <w:jc w:val="left"/>
              <w:rPr>
                <w:rFonts w:eastAsiaTheme="minorEastAsia"/>
                <w:bCs/>
                <w:color w:val="000000"/>
                <w:szCs w:val="21"/>
              </w:rPr>
            </w:pPr>
          </w:p>
        </w:tc>
        <w:tc>
          <w:tcPr>
            <w:tcW w:w="2214" w:type="dxa"/>
            <w:vAlign w:val="center"/>
          </w:tcPr>
          <w:p w:rsidR="00E93721" w:rsidRPr="0045565B" w:rsidP="00BF4798">
            <w:pPr>
              <w:spacing w:line="360" w:lineRule="auto"/>
              <w:jc w:val="center"/>
              <w:rPr>
                <w:rFonts w:eastAsiaTheme="minorEastAsia"/>
                <w:color w:val="000000"/>
                <w:szCs w:val="21"/>
              </w:rPr>
            </w:pPr>
            <w:r w:rsidRPr="0045565B">
              <w:rPr>
                <w:rFonts w:eastAsiaTheme="minorEastAsia"/>
                <w:bCs/>
                <w:color w:val="000000"/>
                <w:szCs w:val="21"/>
              </w:rPr>
              <w:t>成交金额</w:t>
            </w:r>
          </w:p>
        </w:tc>
        <w:tc>
          <w:tcPr>
            <w:tcW w:w="1260" w:type="dxa"/>
            <w:vAlign w:val="center"/>
          </w:tcPr>
          <w:p w:rsidR="00E93721" w:rsidRPr="0045565B" w:rsidP="00BF4798">
            <w:pPr>
              <w:spacing w:line="360" w:lineRule="auto"/>
              <w:jc w:val="center"/>
              <w:rPr>
                <w:rFonts w:eastAsiaTheme="minorEastAsia"/>
                <w:color w:val="000000"/>
                <w:szCs w:val="21"/>
              </w:rPr>
            </w:pPr>
            <w:r w:rsidRPr="0045565B">
              <w:rPr>
                <w:rFonts w:eastAsiaTheme="minorEastAsia"/>
                <w:color w:val="000000"/>
                <w:szCs w:val="21"/>
              </w:rPr>
              <w:t>占当期债券回购成交总额的比例</w:t>
            </w:r>
          </w:p>
        </w:tc>
        <w:tc>
          <w:tcPr>
            <w:tcW w:w="2160" w:type="dxa"/>
            <w:vAlign w:val="center"/>
          </w:tcPr>
          <w:p w:rsidR="00E93721" w:rsidRPr="0045565B" w:rsidP="00BF4798">
            <w:pPr>
              <w:pStyle w:val="Footer"/>
              <w:widowControl/>
              <w:autoSpaceDE w:val="0"/>
              <w:autoSpaceDN w:val="0"/>
              <w:spacing w:line="360" w:lineRule="auto"/>
              <w:jc w:val="center"/>
              <w:textAlignment w:val="bottom"/>
              <w:rPr>
                <w:rFonts w:eastAsiaTheme="minorEastAsia"/>
                <w:bCs/>
                <w:color w:val="000000"/>
                <w:sz w:val="21"/>
                <w:szCs w:val="21"/>
              </w:rPr>
            </w:pPr>
            <w:r w:rsidRPr="0045565B">
              <w:rPr>
                <w:rFonts w:eastAsiaTheme="minorEastAsia"/>
                <w:bCs/>
                <w:color w:val="000000"/>
                <w:sz w:val="21"/>
                <w:szCs w:val="21"/>
              </w:rPr>
              <w:t>成交金额</w:t>
            </w:r>
          </w:p>
        </w:tc>
        <w:tc>
          <w:tcPr>
            <w:tcW w:w="1260" w:type="dxa"/>
            <w:vAlign w:val="center"/>
          </w:tcPr>
          <w:p w:rsidR="00E93721" w:rsidRPr="0045565B" w:rsidP="00BF4798">
            <w:pPr>
              <w:autoSpaceDE w:val="0"/>
              <w:autoSpaceDN w:val="0"/>
              <w:spacing w:line="360" w:lineRule="auto"/>
              <w:jc w:val="center"/>
              <w:textAlignment w:val="bottom"/>
              <w:rPr>
                <w:rFonts w:eastAsiaTheme="minorEastAsia"/>
                <w:bCs/>
                <w:color w:val="000000"/>
                <w:szCs w:val="21"/>
              </w:rPr>
            </w:pPr>
            <w:r w:rsidRPr="0045565B">
              <w:rPr>
                <w:rFonts w:eastAsiaTheme="minorEastAsia"/>
                <w:color w:val="000000"/>
                <w:szCs w:val="21"/>
              </w:rPr>
              <w:t>占当期债券回购成交总额的比例</w:t>
            </w:r>
          </w:p>
        </w:tc>
      </w:tr>
      <w:tr>
        <w:tblPrEx>
          <w:tblW w:w="0" w:type="auto"/>
          <w:tblInd w:w="108" w:type="dxa"/>
          <w:tblLayout w:type="fixed"/>
          <w:tblLook w:val="00A0"/>
        </w:tblPrEx>
        <w:tc>
          <w:tcPr>
            <w:vAlign w:val="center"/>
          </w:tcPr>
          <w:p>
            <w:pPr>
              <w:jc w:val="left"/>
            </w:pPr>
            <w:r>
              <w:rPr>
                <w:rFonts w:eastAsiaTheme="minorEastAsia"/>
                <w:szCs w:val="21"/>
              </w:rPr>
              <w:t>广州证券股份有限公司</w:t>
            </w:r>
          </w:p>
        </w:tc>
        <w:tc>
          <w:tcPr>
            <w:vAlign w:val="center"/>
          </w:tcPr>
          <w:p>
            <w:pPr>
              <w:jc w:val="right"/>
            </w:pPr>
            <w:r>
              <w:rPr>
                <w:rFonts w:eastAsiaTheme="minorEastAsia"/>
                <w:szCs w:val="21"/>
              </w:rPr>
              <w:t>930,700,000.00</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266,400,000.00</w:t>
            </w:r>
          </w:p>
        </w:tc>
        <w:tc>
          <w:tcPr>
            <w:vAlign w:val="center"/>
          </w:tcPr>
          <w:p>
            <w:pPr>
              <w:jc w:val="right"/>
            </w:pPr>
            <w:r>
              <w:rPr>
                <w:rFonts w:eastAsiaTheme="minorEastAsia"/>
                <w:szCs w:val="21"/>
              </w:rPr>
              <w:t>100.00%</w:t>
            </w:r>
          </w:p>
        </w:tc>
      </w:tr>
    </w:tbl>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6.4.8.1.5 </w:t>
      </w:r>
      <w:r w:rsidRPr="0045565B">
        <w:rPr>
          <w:rFonts w:eastAsiaTheme="minorEastAsia"/>
          <w:b/>
          <w:color w:val="000000"/>
          <w:szCs w:val="21"/>
        </w:rPr>
        <w:t>应支付关联方的佣金</w:t>
      </w:r>
    </w:p>
    <w:p w:rsidR="00AD59BD" w:rsidRPr="0045565B" w:rsidP="00AD59BD">
      <w:pPr>
        <w:rPr>
          <w:rFonts w:eastAsiaTheme="minorEastAsia"/>
          <w:color w:val="000000"/>
          <w:szCs w:val="21"/>
        </w:rPr>
      </w:pPr>
      <w:r w:rsidRPr="0045565B">
        <w:rPr>
          <w:rFonts w:eastAsiaTheme="minorEastAsia"/>
          <w:color w:val="000000"/>
          <w:szCs w:val="21"/>
        </w:rPr>
        <w:t xml:space="preserve">                                                     </w:t>
      </w:r>
      <w:r w:rsidRPr="0045565B">
        <w:rPr>
          <w:rFonts w:eastAsiaTheme="minorEastAsia"/>
          <w:color w:val="000000"/>
          <w:szCs w:val="21"/>
        </w:rPr>
        <w:t>金额单位</w:t>
      </w:r>
      <w:r w:rsidRPr="0045565B">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Tr="004B3136">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AD59BD" w:rsidRPr="0045565B" w:rsidP="004B3136">
            <w:pPr>
              <w:autoSpaceDE w:val="0"/>
              <w:autoSpaceDN w:val="0"/>
              <w:jc w:val="center"/>
              <w:textAlignment w:val="bottom"/>
              <w:rPr>
                <w:rFonts w:eastAsiaTheme="minorEastAsia"/>
                <w:bCs/>
                <w:color w:val="000000"/>
                <w:szCs w:val="21"/>
              </w:rPr>
            </w:pPr>
            <w:r w:rsidRPr="0045565B">
              <w:rPr>
                <w:rFonts w:eastAsiaTheme="minorEastAsia"/>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AD59BD" w:rsidRPr="0045565B" w:rsidP="004B3136">
            <w:pPr>
              <w:jc w:val="center"/>
              <w:rPr>
                <w:rFonts w:eastAsiaTheme="minorEastAsia"/>
                <w:color w:val="000000"/>
                <w:szCs w:val="21"/>
              </w:rPr>
            </w:pPr>
            <w:r w:rsidRPr="0045565B">
              <w:rPr>
                <w:rFonts w:eastAsiaTheme="minorEastAsia"/>
                <w:color w:val="000000"/>
                <w:szCs w:val="21"/>
              </w:rPr>
              <w:t>本期</w:t>
            </w:r>
          </w:p>
          <w:p w:rsidR="00AD59BD" w:rsidRPr="0045565B" w:rsidP="004B3136">
            <w:pPr>
              <w:jc w:val="center"/>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r>
      <w:tr w:rsidTr="004B3136">
        <w:tblPrEx>
          <w:tblW w:w="0" w:type="auto"/>
          <w:tblInd w:w="108" w:type="dxa"/>
          <w:tblLayout w:type="fixed"/>
          <w:tblLook w:val="00A0"/>
        </w:tblPrEx>
        <w:tc>
          <w:tcPr>
            <w:tcW w:w="2106" w:type="dxa"/>
            <w:vMerge/>
            <w:vAlign w:val="center"/>
          </w:tcPr>
          <w:p w:rsidR="00AD59BD" w:rsidRPr="0045565B" w:rsidP="004B3136">
            <w:pPr>
              <w:widowControl/>
              <w:jc w:val="left"/>
              <w:rPr>
                <w:rFonts w:eastAsiaTheme="minorEastAsia"/>
                <w:bCs/>
                <w:color w:val="000000"/>
                <w:szCs w:val="21"/>
              </w:rPr>
            </w:pPr>
          </w:p>
        </w:tc>
        <w:tc>
          <w:tcPr>
            <w:tcW w:w="1854"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当期</w:t>
            </w:r>
          </w:p>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佣金</w:t>
            </w:r>
          </w:p>
        </w:tc>
        <w:tc>
          <w:tcPr>
            <w:tcW w:w="130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占当期佣金总量的比例</w:t>
            </w:r>
          </w:p>
        </w:tc>
        <w:tc>
          <w:tcPr>
            <w:tcW w:w="212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期末应付佣金余额</w:t>
            </w:r>
          </w:p>
        </w:tc>
        <w:tc>
          <w:tcPr>
            <w:tcW w:w="162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占期末应付佣金总额的比例</w:t>
            </w:r>
          </w:p>
        </w:tc>
      </w:tr>
      <w:tr>
        <w:tblPrEx>
          <w:tblW w:w="0" w:type="auto"/>
          <w:tblInd w:w="108" w:type="dxa"/>
          <w:tblLayout w:type="fixed"/>
          <w:tblLook w:val="00A0"/>
        </w:tblPrEx>
        <w:tc>
          <w:tcPr>
            <w:vAlign w:val="center"/>
          </w:tcPr>
          <w:p>
            <w:pPr>
              <w:jc w:val="both"/>
            </w:pPr>
            <w:r>
              <w:rPr>
                <w:rFonts w:eastAsiaTheme="minorEastAsia"/>
                <w:szCs w:val="21"/>
              </w:rPr>
              <w:t>广州证券股份有限公司</w:t>
            </w:r>
          </w:p>
        </w:tc>
        <w:tc>
          <w:tcPr>
            <w:vAlign w:val="center"/>
          </w:tcPr>
          <w:p>
            <w:pPr>
              <w:jc w:val="right"/>
            </w:pPr>
            <w:r>
              <w:rPr>
                <w:rFonts w:eastAsiaTheme="minorEastAsia"/>
                <w:szCs w:val="21"/>
              </w:rPr>
              <w:t>76,797.25</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37,952.52</w:t>
            </w:r>
          </w:p>
        </w:tc>
        <w:tc>
          <w:tcPr>
            <w:vAlign w:val="center"/>
          </w:tcPr>
          <w:p>
            <w:pPr>
              <w:jc w:val="right"/>
            </w:pPr>
            <w:r>
              <w:rPr>
                <w:rFonts w:eastAsiaTheme="minorEastAsia"/>
                <w:szCs w:val="21"/>
              </w:rPr>
              <w:t>100.00%</w:t>
            </w:r>
          </w:p>
        </w:tc>
      </w:tr>
      <w:tr w:rsidTr="004B3136">
        <w:tblPrEx>
          <w:tblW w:w="0" w:type="auto"/>
          <w:tblInd w:w="108" w:type="dxa"/>
          <w:tblLayout w:type="fixed"/>
          <w:tblLook w:val="00A0"/>
        </w:tblPrEx>
        <w:tc>
          <w:tcPr>
            <w:tcW w:w="2106" w:type="dxa"/>
            <w:vMerge w:val="restart"/>
            <w:vAlign w:val="center"/>
          </w:tcPr>
          <w:p w:rsidR="00AD59BD" w:rsidRPr="0045565B" w:rsidP="004B3136">
            <w:pPr>
              <w:autoSpaceDE w:val="0"/>
              <w:autoSpaceDN w:val="0"/>
              <w:jc w:val="center"/>
              <w:textAlignment w:val="bottom"/>
              <w:rPr>
                <w:rFonts w:eastAsiaTheme="minorEastAsia"/>
                <w:bCs/>
                <w:color w:val="000000"/>
                <w:szCs w:val="21"/>
              </w:rPr>
            </w:pPr>
            <w:r w:rsidRPr="0045565B">
              <w:rPr>
                <w:rFonts w:eastAsiaTheme="minorEastAsia"/>
                <w:bCs/>
                <w:color w:val="000000"/>
                <w:szCs w:val="21"/>
              </w:rPr>
              <w:t>关联方名称</w:t>
            </w:r>
          </w:p>
        </w:tc>
        <w:tc>
          <w:tcPr>
            <w:tcW w:w="6894" w:type="dxa"/>
            <w:gridSpan w:val="4"/>
          </w:tcPr>
          <w:p w:rsidR="00AD59BD" w:rsidRPr="0045565B" w:rsidP="004B3136">
            <w:pPr>
              <w:jc w:val="center"/>
              <w:rPr>
                <w:rFonts w:eastAsiaTheme="minorEastAsia"/>
                <w:color w:val="000000"/>
                <w:szCs w:val="21"/>
              </w:rPr>
            </w:pPr>
            <w:r w:rsidRPr="0045565B">
              <w:rPr>
                <w:rFonts w:eastAsiaTheme="minorEastAsia"/>
                <w:color w:val="000000"/>
                <w:szCs w:val="21"/>
              </w:rPr>
              <w:t>上年度可比期间</w:t>
            </w:r>
          </w:p>
          <w:p w:rsidR="00AD59BD" w:rsidRPr="0045565B" w:rsidP="004B3136">
            <w:pPr>
              <w:widowControl/>
              <w:autoSpaceDE w:val="0"/>
              <w:autoSpaceDN w:val="0"/>
              <w:ind w:right="-15"/>
              <w:jc w:val="center"/>
              <w:textAlignment w:val="bottom"/>
              <w:rPr>
                <w:rFonts w:eastAsiaTheme="minorEastAsia"/>
                <w:color w:val="000000"/>
                <w:szCs w:val="21"/>
              </w:rPr>
            </w:pPr>
            <w:r w:rsidRPr="0045565B">
              <w:rPr>
                <w:rFonts w:eastAsiaTheme="minorEastAsia"/>
                <w:color w:val="000000"/>
                <w:szCs w:val="21"/>
              </w:rPr>
              <w:t>2018年1月1日至2018年6月30日</w:t>
            </w:r>
          </w:p>
        </w:tc>
      </w:tr>
      <w:tr w:rsidTr="004B3136">
        <w:tblPrEx>
          <w:tblW w:w="0" w:type="auto"/>
          <w:tblInd w:w="108" w:type="dxa"/>
          <w:tblLayout w:type="fixed"/>
          <w:tblLook w:val="00A0"/>
        </w:tblPrEx>
        <w:tc>
          <w:tcPr>
            <w:tcW w:w="2106" w:type="dxa"/>
            <w:vMerge/>
            <w:vAlign w:val="center"/>
          </w:tcPr>
          <w:p w:rsidR="00AD59BD" w:rsidRPr="0045565B" w:rsidP="004B3136">
            <w:pPr>
              <w:widowControl/>
              <w:jc w:val="left"/>
              <w:rPr>
                <w:rFonts w:eastAsiaTheme="minorEastAsia"/>
                <w:bCs/>
                <w:color w:val="000000"/>
                <w:szCs w:val="21"/>
              </w:rPr>
            </w:pPr>
          </w:p>
        </w:tc>
        <w:tc>
          <w:tcPr>
            <w:tcW w:w="1854"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当期</w:t>
            </w:r>
          </w:p>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佣金</w:t>
            </w:r>
          </w:p>
        </w:tc>
        <w:tc>
          <w:tcPr>
            <w:tcW w:w="130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占当期佣金总量的比例</w:t>
            </w:r>
          </w:p>
        </w:tc>
        <w:tc>
          <w:tcPr>
            <w:tcW w:w="212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期末应付佣金余额</w:t>
            </w:r>
          </w:p>
        </w:tc>
        <w:tc>
          <w:tcPr>
            <w:tcW w:w="1620" w:type="dxa"/>
            <w:vAlign w:val="center"/>
          </w:tcPr>
          <w:p w:rsidR="00AD59BD" w:rsidRPr="0045565B" w:rsidP="004B3136">
            <w:pPr>
              <w:autoSpaceDE w:val="0"/>
              <w:autoSpaceDN w:val="0"/>
              <w:jc w:val="center"/>
              <w:textAlignment w:val="bottom"/>
              <w:rPr>
                <w:rFonts w:eastAsiaTheme="minorEastAsia"/>
                <w:color w:val="000000"/>
                <w:szCs w:val="21"/>
              </w:rPr>
            </w:pPr>
            <w:r w:rsidRPr="0045565B">
              <w:rPr>
                <w:rFonts w:eastAsiaTheme="minorEastAsia"/>
                <w:color w:val="000000"/>
                <w:szCs w:val="21"/>
              </w:rPr>
              <w:t>占期末应付佣金总额的比例</w:t>
            </w:r>
          </w:p>
        </w:tc>
      </w:tr>
      <w:tr>
        <w:tblPrEx>
          <w:tblW w:w="0" w:type="auto"/>
          <w:tblInd w:w="108" w:type="dxa"/>
          <w:tblLayout w:type="fixed"/>
          <w:tblLook w:val="00A0"/>
        </w:tblPrEx>
        <w:tc>
          <w:tcPr>
            <w:vAlign w:val="center"/>
          </w:tcPr>
          <w:p>
            <w:pPr>
              <w:jc w:val="both"/>
            </w:pPr>
            <w:r>
              <w:rPr>
                <w:rFonts w:eastAsiaTheme="minorEastAsia"/>
                <w:szCs w:val="21"/>
              </w:rPr>
              <w:t>广州证券股份有限公司</w:t>
            </w:r>
          </w:p>
        </w:tc>
        <w:tc>
          <w:tcPr>
            <w:vAlign w:val="center"/>
          </w:tcPr>
          <w:p>
            <w:pPr>
              <w:jc w:val="right"/>
            </w:pPr>
            <w:r>
              <w:rPr>
                <w:rFonts w:eastAsiaTheme="minorEastAsia"/>
                <w:szCs w:val="21"/>
              </w:rPr>
              <w:t>60,519.23</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25,721.08</w:t>
            </w:r>
          </w:p>
        </w:tc>
        <w:tc>
          <w:tcPr>
            <w:vAlign w:val="center"/>
          </w:tcPr>
          <w:p>
            <w:pPr>
              <w:jc w:val="right"/>
            </w:pPr>
            <w:r>
              <w:rPr>
                <w:rFonts w:eastAsiaTheme="minorEastAsia"/>
                <w:szCs w:val="21"/>
              </w:rPr>
              <w:t>100.00%</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注：上述佣金按市场佣金率计算，以扣除中国证券登记结算公司收取的证管费、经手费和使用期间内由券商承担的证券结算风险基金后的净额列示。债券及权证交易不计佣金。</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该类佣金协议的服务范围还包括佣金收取方为本基金提供的证券投资研究成果和市场信息服务等。</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 </w:t>
      </w:r>
      <w:r w:rsidRPr="0045565B">
        <w:rPr>
          <w:rFonts w:eastAsiaTheme="minorEastAsia"/>
          <w:b/>
          <w:color w:val="000000"/>
          <w:kern w:val="0"/>
          <w:szCs w:val="21"/>
        </w:rPr>
        <w:t>关联方报酬</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6.4.8.2.1 </w:t>
      </w:r>
      <w:r w:rsidRPr="0045565B">
        <w:rPr>
          <w:rFonts w:eastAsiaTheme="minorEastAsia"/>
          <w:b/>
          <w:color w:val="000000"/>
          <w:kern w:val="0"/>
          <w:szCs w:val="21"/>
        </w:rPr>
        <w:t>基金管理费</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Tr="00B945E3">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86"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本期</w:t>
            </w:r>
          </w:p>
          <w:p w:rsidR="001548F9" w:rsidRPr="0045565B"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BF4798">
        <w:tblPrEx>
          <w:tblW w:w="0" w:type="auto"/>
          <w:tblInd w:w="108" w:type="dxa"/>
          <w:tblLayout w:type="fixed"/>
          <w:tblLook w:val="00A0"/>
        </w:tblPrEx>
        <w:tc>
          <w:tcPr>
            <w:tcW w:w="3686" w:type="dxa"/>
            <w:vAlign w:val="center"/>
          </w:tcPr>
          <w:p w:rsidR="001548F9" w:rsidRPr="0045565B" w:rsidP="00505CB1">
            <w:pPr>
              <w:rPr>
                <w:rFonts w:eastAsiaTheme="minorEastAsia"/>
                <w:color w:val="000000"/>
                <w:szCs w:val="21"/>
              </w:rPr>
            </w:pPr>
            <w:r w:rsidRPr="0045565B">
              <w:rPr>
                <w:rFonts w:eastAsiaTheme="minorEastAsia"/>
                <w:szCs w:val="21"/>
              </w:rPr>
              <w:t>当期发生的基金应支付的管理费</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206,000.47</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185,466.12</w:t>
            </w:r>
          </w:p>
        </w:tc>
      </w:tr>
      <w:tr w:rsidTr="00BF4798">
        <w:tblPrEx>
          <w:tblW w:w="0" w:type="auto"/>
          <w:tblInd w:w="108" w:type="dxa"/>
          <w:tblLayout w:type="fixed"/>
          <w:tblLook w:val="00A0"/>
        </w:tblPrEx>
        <w:tc>
          <w:tcPr>
            <w:tcW w:w="3686" w:type="dxa"/>
            <w:vAlign w:val="center"/>
          </w:tcPr>
          <w:p w:rsidR="001548F9" w:rsidRPr="0045565B" w:rsidP="00505CB1">
            <w:pPr>
              <w:rPr>
                <w:rFonts w:eastAsiaTheme="minorEastAsia"/>
                <w:color w:val="000000"/>
                <w:szCs w:val="21"/>
              </w:rPr>
            </w:pPr>
            <w:r w:rsidRPr="0045565B">
              <w:rPr>
                <w:rFonts w:eastAsiaTheme="minorEastAsia"/>
                <w:szCs w:val="21"/>
              </w:rPr>
              <w:t>其中：支付销售机构的客户维护费</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17,338.95</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12,673.28</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注：在通常情况下，基金管理费按前一日基金资产净值0.70%的年费率计提。计算方法如下：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H＝E×年管理费率÷当年天数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H为每日应计提的基金管理费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E为前一日基金资产净值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基金管理费每日计提，按月支付。由基金管理人向基金托管人发送基金管理费划付指令，经基金托管人复核后于次月首日起3个工作日内从基金财产中一次性支付给基金管理人，若遇法定节假日、休息日或不可抗力致使无法按时支付的，支付日期顺延至法定节假日、公休日结束之日起3个工作日内或不可抗力情形消除之日起3个工作日内支付。</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6.4.8.2.2 </w:t>
      </w:r>
      <w:r w:rsidRPr="0045565B">
        <w:rPr>
          <w:rFonts w:eastAsiaTheme="minorEastAsia"/>
          <w:b/>
          <w:color w:val="000000"/>
          <w:kern w:val="0"/>
          <w:szCs w:val="21"/>
        </w:rPr>
        <w:t>基金托管费</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Tr="00B945E3">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86"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本期</w:t>
            </w:r>
          </w:p>
          <w:p w:rsidR="001548F9" w:rsidRPr="0045565B"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BF4798">
        <w:tblPrEx>
          <w:tblW w:w="0" w:type="auto"/>
          <w:tblInd w:w="108" w:type="dxa"/>
          <w:tblLayout w:type="fixed"/>
          <w:tblLook w:val="00A0"/>
        </w:tblPrEx>
        <w:tc>
          <w:tcPr>
            <w:tcW w:w="3686" w:type="dxa"/>
            <w:vAlign w:val="center"/>
          </w:tcPr>
          <w:p w:rsidR="001548F9" w:rsidRPr="0045565B" w:rsidP="0070173B">
            <w:pPr>
              <w:rPr>
                <w:rFonts w:eastAsiaTheme="minorEastAsia"/>
                <w:color w:val="000000"/>
                <w:szCs w:val="21"/>
              </w:rPr>
            </w:pPr>
            <w:r w:rsidRPr="0045565B">
              <w:rPr>
                <w:rFonts w:eastAsiaTheme="minorEastAsia"/>
                <w:szCs w:val="21"/>
              </w:rPr>
              <w:t>当期发生的基金应支付的托管费</w:t>
            </w:r>
          </w:p>
        </w:tc>
        <w:tc>
          <w:tcPr>
            <w:tcW w:w="2657" w:type="dxa"/>
            <w:vAlign w:val="center"/>
          </w:tcPr>
          <w:p w:rsidR="001548F9" w:rsidRPr="0045565B" w:rsidP="00BF4798">
            <w:pPr>
              <w:jc w:val="right"/>
              <w:rPr>
                <w:rFonts w:eastAsiaTheme="minorEastAsia"/>
                <w:color w:val="000000"/>
                <w:kern w:val="0"/>
                <w:szCs w:val="21"/>
              </w:rPr>
            </w:pPr>
            <w:r w:rsidRPr="0045565B">
              <w:rPr>
                <w:rFonts w:eastAsiaTheme="minorEastAsia"/>
                <w:szCs w:val="21"/>
              </w:rPr>
              <w:t>58,857.29</w:t>
            </w:r>
          </w:p>
        </w:tc>
        <w:tc>
          <w:tcPr>
            <w:tcW w:w="2657" w:type="dxa"/>
            <w:vAlign w:val="center"/>
          </w:tcPr>
          <w:p w:rsidR="001548F9" w:rsidRPr="0045565B" w:rsidP="00BF4798">
            <w:pPr>
              <w:jc w:val="right"/>
              <w:rPr>
                <w:rFonts w:eastAsiaTheme="minorEastAsia"/>
                <w:color w:val="000000"/>
                <w:szCs w:val="21"/>
              </w:rPr>
            </w:pPr>
            <w:r w:rsidRPr="0045565B">
              <w:rPr>
                <w:rFonts w:eastAsiaTheme="minorEastAsia"/>
                <w:szCs w:val="21"/>
              </w:rPr>
              <w:t>52,990.28</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注：在通常情况下，基金托管费按前一日基金资产净值0.20%的年费率计提。计算方法如下：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H＝E×年托管费率÷当年天数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H为每日应计提的基金托管费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E为前一日基金资产净值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基金托管费每日计提，按月支付。由基金管理人向基金托管人发送基金托管费划付指令，经基金托管人复核后于次月首日起3个工作日内从基金财产中一次性支付给基金托管人，若遇法定节假日、休息日或不可抗力致使无法按时支付的，支付日期顺延至法定节假日、公休日结束之日起3个工作日内或不可抗力情形消除之日起3个工作日内支付。</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6.4.8.2.3 </w:t>
      </w:r>
      <w:r w:rsidRPr="0045565B">
        <w:rPr>
          <w:rFonts w:eastAsiaTheme="minorEastAsia"/>
          <w:b/>
          <w:color w:val="000000"/>
          <w:kern w:val="0"/>
          <w:szCs w:val="21"/>
        </w:rPr>
        <w:t>销售服务费</w:t>
      </w:r>
    </w:p>
    <w:p w:rsidR="001548F9" w:rsidRPr="0045565B" w:rsidP="00C958E3">
      <w:pPr>
        <w:wordWrap w:val="0"/>
        <w:autoSpaceDE w:val="0"/>
        <w:autoSpaceDN w:val="0"/>
        <w:adjustRightInd w:val="0"/>
        <w:spacing w:before="29" w:line="288" w:lineRule="auto"/>
        <w:ind w:left="15"/>
        <w:jc w:val="right"/>
        <w:rPr>
          <w:rFonts w:eastAsiaTheme="minorEastAsia"/>
          <w:color w:val="000000"/>
          <w:szCs w:val="21"/>
        </w:rPr>
      </w:pPr>
      <w:r w:rsidRPr="0045565B">
        <w:rPr>
          <w:rFonts w:eastAsiaTheme="minorEastAsia"/>
          <w:color w:val="000000"/>
          <w:szCs w:val="21"/>
        </w:rPr>
        <w:t xml:space="preserve">    </w:t>
      </w:r>
      <w:r w:rsidRPr="0045565B">
        <w:rPr>
          <w:rFonts w:eastAsiaTheme="minorEastAsia"/>
          <w:color w:val="000000"/>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Tr="00FD6648">
        <w:tblPrEx>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本期</w:t>
            </w:r>
          </w:p>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r>
      <w:tr w:rsidTr="00FD6648">
        <w:tblPrEx>
          <w:tblW w:w="9501" w:type="dxa"/>
          <w:tblInd w:w="108" w:type="dxa"/>
          <w:tblLayout w:type="fixed"/>
          <w:tblLook w:val="01E0"/>
        </w:tblPrEx>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当期发生的基金应支付的销售服务费</w:t>
            </w:r>
          </w:p>
        </w:tc>
      </w:tr>
      <w:tr w:rsidTr="00FD6648">
        <w:tblPrEx>
          <w:tblW w:w="9501" w:type="dxa"/>
          <w:tblInd w:w="108" w:type="dxa"/>
          <w:tblLayout w:type="fixed"/>
          <w:tblLook w:val="01E0"/>
        </w:tblPrEx>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金鹰持久增利债券(LOF)C</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3F7B50">
            <w:pPr>
              <w:widowControl/>
              <w:ind w:left="-107" w:right="-107" w:leftChars="-51" w:rightChars="-51"/>
              <w:jc w:val="center"/>
              <w:rPr>
                <w:rFonts w:eastAsiaTheme="minorEastAsia"/>
                <w:szCs w:val="21"/>
              </w:rPr>
            </w:pPr>
            <w:r w:rsidRPr="0045565B">
              <w:rPr>
                <w:rFonts w:eastAsiaTheme="minorEastAsia"/>
                <w:szCs w:val="21"/>
              </w:rPr>
              <w:t>金鹰持久增利债券(LOF)E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合计</w:t>
            </w:r>
          </w:p>
        </w:tc>
      </w:tr>
      <w:tr>
        <w:tblPrEx>
          <w:tblW w:w="9501" w:type="dxa"/>
          <w:tblInd w:w="108" w:type="dxa"/>
          <w:tblLayout w:type="fixed"/>
          <w:tblLook w:val="01E0"/>
        </w:tblPrEx>
        <w:tc>
          <w:tcPr>
            <w:vAlign w:val="center"/>
          </w:tcPr>
          <w:p>
            <w:pPr>
              <w:jc w:val="left"/>
            </w:pPr>
            <w:r>
              <w:rPr>
                <w:rFonts w:eastAsiaTheme="minorEastAsia"/>
                <w:szCs w:val="21"/>
              </w:rPr>
              <w:t>中国邮政储蓄银行</w:t>
            </w:r>
          </w:p>
        </w:tc>
        <w:tc>
          <w:tcPr>
            <w:vAlign w:val="center"/>
          </w:tcPr>
          <w:p>
            <w:pPr>
              <w:jc w:val="right"/>
            </w:pPr>
            <w:r>
              <w:rPr>
                <w:rFonts w:eastAsiaTheme="minorEastAsia"/>
                <w:szCs w:val="21"/>
              </w:rPr>
              <w:t>7,249.71</w:t>
            </w:r>
          </w:p>
        </w:tc>
        <w:tc>
          <w:tcPr>
            <w:vAlign w:val="center"/>
          </w:tcPr>
          <w:p>
            <w:pPr>
              <w:jc w:val="right"/>
            </w:pPr>
            <w:r>
              <w:rPr>
                <w:rFonts w:eastAsiaTheme="minorEastAsia"/>
                <w:szCs w:val="21"/>
              </w:rPr>
              <w:t>-</w:t>
            </w:r>
          </w:p>
        </w:tc>
        <w:tc>
          <w:tcPr>
            <w:vAlign w:val="center"/>
          </w:tcPr>
          <w:p>
            <w:pPr>
              <w:jc w:val="right"/>
            </w:pPr>
            <w:r>
              <w:rPr>
                <w:rFonts w:eastAsiaTheme="minorEastAsia"/>
                <w:szCs w:val="21"/>
              </w:rPr>
              <w:t>7,249.71</w:t>
            </w:r>
          </w:p>
        </w:tc>
      </w:tr>
      <w:tr>
        <w:tblPrEx>
          <w:tblW w:w="9501" w:type="dxa"/>
          <w:tblInd w:w="108" w:type="dxa"/>
          <w:tblLayout w:type="fixed"/>
          <w:tblLook w:val="01E0"/>
        </w:tblPrEx>
        <w:tc>
          <w:tcPr>
            <w:vAlign w:val="center"/>
          </w:tcPr>
          <w:p>
            <w:pPr>
              <w:jc w:val="left"/>
            </w:pPr>
            <w:r>
              <w:rPr>
                <w:rFonts w:eastAsiaTheme="minorEastAsia"/>
                <w:szCs w:val="21"/>
              </w:rPr>
              <w:t>金鹰基金管理有限公司</w:t>
            </w:r>
          </w:p>
        </w:tc>
        <w:tc>
          <w:tcPr>
            <w:vAlign w:val="center"/>
          </w:tcPr>
          <w:p>
            <w:pPr>
              <w:jc w:val="right"/>
            </w:pPr>
            <w:r>
              <w:rPr>
                <w:rFonts w:eastAsiaTheme="minorEastAsia"/>
                <w:szCs w:val="21"/>
              </w:rPr>
              <w:t>76,480.38</w:t>
            </w:r>
          </w:p>
        </w:tc>
        <w:tc>
          <w:tcPr>
            <w:vAlign w:val="center"/>
          </w:tcPr>
          <w:p>
            <w:pPr>
              <w:jc w:val="right"/>
            </w:pPr>
            <w:r>
              <w:rPr>
                <w:rFonts w:eastAsiaTheme="minorEastAsia"/>
                <w:szCs w:val="21"/>
              </w:rPr>
              <w:t>-</w:t>
            </w:r>
          </w:p>
        </w:tc>
        <w:tc>
          <w:tcPr>
            <w:vAlign w:val="center"/>
          </w:tcPr>
          <w:p>
            <w:pPr>
              <w:jc w:val="right"/>
            </w:pPr>
            <w:r>
              <w:rPr>
                <w:rFonts w:eastAsiaTheme="minorEastAsia"/>
                <w:szCs w:val="21"/>
              </w:rPr>
              <w:t>76,480.38</w:t>
            </w:r>
          </w:p>
        </w:tc>
      </w:tr>
      <w:tr w:rsidTr="00283A78">
        <w:tblPrEx>
          <w:tblW w:w="9501" w:type="dxa"/>
          <w:tblInd w:w="108" w:type="dxa"/>
          <w:tblLayout w:type="fixed"/>
          <w:tblLook w:val="01E0"/>
        </w:tblPrEx>
        <w:tc>
          <w:tcPr>
            <w:tcW w:w="2110"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83,730.09</w:t>
            </w:r>
          </w:p>
        </w:tc>
        <w:tc>
          <w:tcPr>
            <w:tcW w:w="2282"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83,730.09</w:t>
            </w:r>
          </w:p>
        </w:tc>
      </w:tr>
      <w:tr w:rsidTr="00FD6648">
        <w:tblPrEx>
          <w:tblW w:w="9501" w:type="dxa"/>
          <w:tblInd w:w="108" w:type="dxa"/>
          <w:tblLayout w:type="fixed"/>
          <w:tblLook w:val="01E0"/>
        </w:tblPrEx>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ind w:left="-107" w:right="-107" w:leftChars="-51" w:rightChars="-51"/>
              <w:jc w:val="center"/>
              <w:rPr>
                <w:rFonts w:eastAsiaTheme="minorEastAsia"/>
                <w:szCs w:val="21"/>
              </w:rPr>
            </w:pPr>
            <w:r w:rsidRPr="0045565B">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上年度可比期间</w:t>
            </w:r>
          </w:p>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2018年1月1日至2018年6月30日</w:t>
            </w:r>
          </w:p>
        </w:tc>
      </w:tr>
      <w:tr w:rsidTr="00FD6648">
        <w:tblPrEx>
          <w:tblW w:w="9501" w:type="dxa"/>
          <w:tblInd w:w="108" w:type="dxa"/>
          <w:tblLayout w:type="fixed"/>
          <w:tblLook w:val="01E0"/>
        </w:tblPrEx>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当期发生的基金应支付的销售服务费</w:t>
            </w:r>
          </w:p>
        </w:tc>
      </w:tr>
      <w:tr w:rsidTr="00FD6648">
        <w:tblPrEx>
          <w:tblW w:w="9501" w:type="dxa"/>
          <w:tblInd w:w="108" w:type="dxa"/>
          <w:tblLayout w:type="fixed"/>
          <w:tblLook w:val="01E0"/>
        </w:tblPrEx>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金鹰持久增利债券(LOF)C</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金鹰持久增利债券(LOF)E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合计</w:t>
            </w:r>
          </w:p>
        </w:tc>
      </w:tr>
      <w:tr>
        <w:tblPrEx>
          <w:tblW w:w="9501" w:type="dxa"/>
          <w:tblInd w:w="108" w:type="dxa"/>
          <w:tblLayout w:type="fixed"/>
          <w:tblLook w:val="01E0"/>
        </w:tblPrEx>
        <w:tc>
          <w:tcPr>
            <w:vAlign w:val="center"/>
          </w:tcPr>
          <w:p>
            <w:pPr>
              <w:jc w:val="left"/>
            </w:pPr>
            <w:r>
              <w:rPr>
                <w:rFonts w:eastAsiaTheme="minorEastAsia"/>
                <w:szCs w:val="21"/>
              </w:rPr>
              <w:t>中国邮政储蓄银行</w:t>
            </w:r>
          </w:p>
        </w:tc>
        <w:tc>
          <w:tcPr>
            <w:vAlign w:val="center"/>
          </w:tcPr>
          <w:p>
            <w:pPr>
              <w:jc w:val="right"/>
            </w:pPr>
            <w:r>
              <w:rPr>
                <w:rFonts w:eastAsiaTheme="minorEastAsia"/>
                <w:szCs w:val="21"/>
              </w:rPr>
              <w:t>9,016.52</w:t>
            </w:r>
          </w:p>
        </w:tc>
        <w:tc>
          <w:tcPr>
            <w:vAlign w:val="center"/>
          </w:tcPr>
          <w:p>
            <w:pPr>
              <w:jc w:val="right"/>
            </w:pPr>
            <w:r>
              <w:rPr>
                <w:rFonts w:eastAsiaTheme="minorEastAsia"/>
                <w:szCs w:val="21"/>
              </w:rPr>
              <w:t>-</w:t>
            </w:r>
          </w:p>
        </w:tc>
        <w:tc>
          <w:tcPr>
            <w:vAlign w:val="center"/>
          </w:tcPr>
          <w:p>
            <w:pPr>
              <w:jc w:val="right"/>
            </w:pPr>
            <w:r>
              <w:rPr>
                <w:rFonts w:eastAsiaTheme="minorEastAsia"/>
                <w:szCs w:val="21"/>
              </w:rPr>
              <w:t>9,016.52</w:t>
            </w:r>
          </w:p>
        </w:tc>
      </w:tr>
      <w:tr>
        <w:tblPrEx>
          <w:tblW w:w="9501" w:type="dxa"/>
          <w:tblInd w:w="108" w:type="dxa"/>
          <w:tblLayout w:type="fixed"/>
          <w:tblLook w:val="01E0"/>
        </w:tblPrEx>
        <w:tc>
          <w:tcPr>
            <w:vAlign w:val="center"/>
          </w:tcPr>
          <w:p>
            <w:pPr>
              <w:jc w:val="left"/>
            </w:pPr>
            <w:r>
              <w:rPr>
                <w:rFonts w:eastAsiaTheme="minorEastAsia"/>
                <w:szCs w:val="21"/>
              </w:rPr>
              <w:t>金鹰基金管理有限公司</w:t>
            </w:r>
          </w:p>
        </w:tc>
        <w:tc>
          <w:tcPr>
            <w:vAlign w:val="center"/>
          </w:tcPr>
          <w:p>
            <w:pPr>
              <w:jc w:val="right"/>
            </w:pPr>
            <w:r>
              <w:rPr>
                <w:rFonts w:eastAsiaTheme="minorEastAsia"/>
                <w:szCs w:val="21"/>
              </w:rPr>
              <w:t>78,218.11</w:t>
            </w:r>
          </w:p>
        </w:tc>
        <w:tc>
          <w:tcPr>
            <w:vAlign w:val="center"/>
          </w:tcPr>
          <w:p>
            <w:pPr>
              <w:jc w:val="right"/>
            </w:pPr>
            <w:r>
              <w:rPr>
                <w:rFonts w:eastAsiaTheme="minorEastAsia"/>
                <w:szCs w:val="21"/>
              </w:rPr>
              <w:t>-</w:t>
            </w:r>
          </w:p>
        </w:tc>
        <w:tc>
          <w:tcPr>
            <w:vAlign w:val="center"/>
          </w:tcPr>
          <w:p>
            <w:pPr>
              <w:jc w:val="right"/>
            </w:pPr>
            <w:r>
              <w:rPr>
                <w:rFonts w:eastAsiaTheme="minorEastAsia"/>
                <w:szCs w:val="21"/>
              </w:rPr>
              <w:t>78,218.11</w:t>
            </w:r>
          </w:p>
        </w:tc>
      </w:tr>
      <w:tr w:rsidTr="00283A78">
        <w:tblPrEx>
          <w:tblW w:w="9501" w:type="dxa"/>
          <w:tblInd w:w="108" w:type="dxa"/>
          <w:tblLayout w:type="fixed"/>
          <w:tblLook w:val="01E0"/>
        </w:tblPrEx>
        <w:tc>
          <w:tcPr>
            <w:tcW w:w="2110"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87,234.63</w:t>
            </w:r>
          </w:p>
        </w:tc>
        <w:tc>
          <w:tcPr>
            <w:tcW w:w="2282"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87,234.63</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注：本基金E类基金份额不收取销售服务费，C类基金份额销售服务费按前一日的基金资产净值的0.35%的年费率逐日计提。基金销售服务费的计算方法如下：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H＝E×年销售服务费率÷当年天数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H为每日应计提的基金销售服务费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E为C类基金份额前一日的基金资产净值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 xml:space="preserve">  基金销售服务费每日计提，按月支付。由基金管理人向基金托管人发送基金销售服务费划款指令，经基金托管人复核后于次月首日起3个工作日内从基金财产中划出，由基金管理人按相关合同规定支付给基金销售机构。若遇法定节假日、休息日或不可抗力致使无法按时支付的，支付日期顺延至法定节假日、公休日结束之日起3个工作日内或不可抗力情形消除之日起3个工作日内支付。</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6.4.8.3 </w:t>
      </w:r>
      <w:r w:rsidRPr="0045565B">
        <w:rPr>
          <w:rFonts w:eastAsiaTheme="minorEastAsia"/>
          <w:b/>
          <w:bCs/>
          <w:color w:val="000000"/>
          <w:szCs w:val="21"/>
        </w:rPr>
        <w:t>与关联方进行银行间同业市场的债券</w:t>
      </w:r>
      <w:r w:rsidRPr="0045565B">
        <w:rPr>
          <w:rFonts w:eastAsiaTheme="minorEastAsia"/>
          <w:b/>
          <w:bCs/>
          <w:color w:val="000000"/>
          <w:szCs w:val="21"/>
        </w:rPr>
        <w:t>(</w:t>
      </w:r>
      <w:r w:rsidRPr="0045565B">
        <w:rPr>
          <w:rFonts w:eastAsiaTheme="minorEastAsia"/>
          <w:b/>
          <w:bCs/>
          <w:color w:val="000000"/>
          <w:szCs w:val="21"/>
        </w:rPr>
        <w:t>含回购</w:t>
      </w:r>
      <w:r w:rsidRPr="0045565B">
        <w:rPr>
          <w:rFonts w:eastAsiaTheme="minorEastAsia"/>
          <w:b/>
          <w:bCs/>
          <w:color w:val="000000"/>
          <w:szCs w:val="21"/>
        </w:rPr>
        <w:t>)</w:t>
      </w:r>
      <w:r w:rsidRPr="0045565B">
        <w:rPr>
          <w:rFonts w:eastAsiaTheme="minorEastAsia"/>
          <w:b/>
          <w:bCs/>
          <w:color w:val="000000"/>
          <w:szCs w:val="21"/>
        </w:rPr>
        <w:t>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本基金本报告期及上年度可比期间均未与关联方进行银行间同业市场的债券(含回购)交易。</w:t>
      </w:r>
    </w:p>
    <w:p w:rsidR="001548F9"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6.4.8.4 </w:t>
      </w:r>
      <w:r w:rsidRPr="0045565B">
        <w:rPr>
          <w:rFonts w:eastAsiaTheme="minorEastAsia"/>
          <w:b/>
          <w:bCs/>
          <w:color w:val="000000"/>
          <w:szCs w:val="21"/>
        </w:rPr>
        <w:t>各关联方投资本基金的情况</w:t>
      </w:r>
    </w:p>
    <w:p w:rsidR="001548F9" w:rsidRPr="0045565B" w:rsidP="001F7147">
      <w:pPr>
        <w:adjustRightInd w:val="0"/>
        <w:snapToGrid w:val="0"/>
        <w:spacing w:line="360" w:lineRule="auto"/>
        <w:jc w:val="left"/>
        <w:rPr>
          <w:rFonts w:eastAsiaTheme="minorEastAsia"/>
          <w:b/>
          <w:bCs/>
          <w:color w:val="000000"/>
          <w:szCs w:val="21"/>
        </w:rPr>
      </w:pPr>
      <w:r w:rsidRPr="0045565B">
        <w:rPr>
          <w:rFonts w:eastAsiaTheme="minorEastAsia"/>
          <w:b/>
          <w:bCs/>
          <w:color w:val="000000"/>
          <w:kern w:val="0"/>
          <w:szCs w:val="21"/>
        </w:rPr>
        <w:t xml:space="preserve">6.4.8.4.1 </w:t>
      </w:r>
      <w:r w:rsidRPr="0045565B">
        <w:rPr>
          <w:rFonts w:eastAsiaTheme="minorEastAsia"/>
          <w:b/>
          <w:bCs/>
          <w:color w:val="000000"/>
          <w:szCs w:val="21"/>
        </w:rPr>
        <w:t>报告期内基金管理人运用固有资金投资本基金的情况</w:t>
      </w:r>
    </w:p>
    <w:p w:rsidR="001548F9" w:rsidRPr="0045565B" w:rsidP="00A0463A">
      <w:pPr>
        <w:autoSpaceDE w:val="0"/>
        <w:autoSpaceDN w:val="0"/>
        <w:adjustRightInd w:val="0"/>
        <w:spacing w:before="29" w:line="288" w:lineRule="auto"/>
        <w:ind w:left="15" w:right="90"/>
        <w:jc w:val="right"/>
        <w:rPr>
          <w:rFonts w:eastAsiaTheme="minorEastAsia"/>
          <w:color w:val="000000"/>
          <w:szCs w:val="21"/>
        </w:rPr>
      </w:pPr>
      <w:r w:rsidRPr="0045565B">
        <w:rPr>
          <w:rFonts w:eastAsiaTheme="minorEastAsia"/>
          <w:color w:val="000000"/>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1"/>
        <w:gridCol w:w="1703"/>
        <w:gridCol w:w="5616"/>
      </w:tblGrid>
      <w:tr w:rsidTr="0072541E">
        <w:tblPrEx>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40"/>
        </w:trPr>
        <w:tc>
          <w:tcPr>
            <w:tcW w:w="2041" w:type="dxa"/>
            <w:vMerge w:val="restart"/>
            <w:vAlign w:val="center"/>
          </w:tcPr>
          <w:p w:rsidR="001548F9" w:rsidRPr="0045565B" w:rsidP="005D2F95">
            <w:pPr>
              <w:widowControl/>
              <w:autoSpaceDE w:val="0"/>
              <w:autoSpaceDN w:val="0"/>
              <w:ind w:left="-107" w:right="-107" w:leftChars="-51" w:rightChars="-51"/>
              <w:jc w:val="center"/>
              <w:textAlignment w:val="bottom"/>
              <w:rPr>
                <w:rFonts w:eastAsiaTheme="minorEastAsia"/>
                <w:color w:val="000000"/>
                <w:szCs w:val="21"/>
              </w:rPr>
            </w:pPr>
            <w:r w:rsidRPr="0045565B">
              <w:rPr>
                <w:rFonts w:eastAsiaTheme="minorEastAsia"/>
                <w:color w:val="000000"/>
                <w:szCs w:val="21"/>
              </w:rPr>
              <w:t>项目</w:t>
            </w:r>
          </w:p>
        </w:tc>
        <w:tc>
          <w:tcPr>
            <w:tcW w:w="11057" w:type="dxa"/>
            <w:gridSpan w:val="2"/>
            <w:vAlign w:val="center"/>
          </w:tcPr>
          <w:p w:rsidR="001548F9" w:rsidRPr="0045565B" w:rsidP="005D2F95">
            <w:pPr>
              <w:widowControl/>
              <w:autoSpaceDE w:val="0"/>
              <w:autoSpaceDN w:val="0"/>
              <w:ind w:left="-107" w:right="-107" w:leftChars="-51" w:rightChars="-51"/>
              <w:jc w:val="center"/>
              <w:textAlignment w:val="bottom"/>
              <w:rPr>
                <w:rFonts w:eastAsiaTheme="minorEastAsia"/>
                <w:color w:val="000000"/>
                <w:szCs w:val="21"/>
              </w:rPr>
            </w:pPr>
            <w:r w:rsidRPr="0045565B">
              <w:rPr>
                <w:rFonts w:eastAsiaTheme="minorEastAsia"/>
                <w:color w:val="000000"/>
                <w:szCs w:val="21"/>
              </w:rPr>
              <w:t>本期</w:t>
            </w:r>
          </w:p>
          <w:p w:rsidR="001548F9" w:rsidRPr="0045565B" w:rsidP="005D2F95">
            <w:pPr>
              <w:widowControl/>
              <w:autoSpaceDE w:val="0"/>
              <w:autoSpaceDN w:val="0"/>
              <w:ind w:left="-107" w:right="-107" w:leftChars="-51" w:rightChars="-51"/>
              <w:jc w:val="center"/>
              <w:textAlignment w:val="bottom"/>
              <w:rPr>
                <w:rFonts w:eastAsiaTheme="minorEastAsia"/>
                <w:color w:val="000000"/>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r>
      <w:tr w:rsidTr="0072541E">
        <w:tblPrEx>
          <w:tblW w:w="9360" w:type="dxa"/>
          <w:tblInd w:w="108" w:type="dxa"/>
          <w:tblLayout w:type="fixed"/>
          <w:tblLook w:val="00A0"/>
        </w:tblPrEx>
        <w:trPr>
          <w:trHeight w:val="340"/>
        </w:trPr>
        <w:tc>
          <w:tcPr>
            <w:tcW w:w="2041" w:type="dxa"/>
            <w:vMerge/>
            <w:vAlign w:val="center"/>
          </w:tcPr>
          <w:p w:rsidR="001548F9" w:rsidRPr="0045565B" w:rsidP="0070173B">
            <w:pPr>
              <w:widowControl/>
              <w:jc w:val="left"/>
              <w:rPr>
                <w:rFonts w:eastAsiaTheme="minorEastAsia"/>
                <w:color w:val="000000"/>
                <w:szCs w:val="21"/>
              </w:rPr>
            </w:pPr>
          </w:p>
        </w:tc>
        <w:tc>
          <w:tcPr>
            <w:tcW w:w="1702" w:type="dxa"/>
            <w:vAlign w:val="center"/>
          </w:tcPr>
          <w:p w:rsidR="001548F9" w:rsidRPr="0045565B" w:rsidP="0086710F">
            <w:pPr>
              <w:widowControl/>
              <w:autoSpaceDE w:val="0"/>
              <w:autoSpaceDN w:val="0"/>
              <w:ind w:left="-107" w:right="-107" w:leftChars="-51" w:rightChars="-51"/>
              <w:jc w:val="right"/>
              <w:textAlignment w:val="bottom"/>
              <w:rPr>
                <w:rFonts w:eastAsiaTheme="minorEastAsia"/>
                <w:color w:val="000000"/>
                <w:szCs w:val="21"/>
              </w:rPr>
            </w:pPr>
            <w:r w:rsidRPr="0045565B">
              <w:rPr>
                <w:rFonts w:eastAsiaTheme="minorEastAsia"/>
                <w:color w:val="000000"/>
                <w:szCs w:val="21"/>
              </w:rPr>
              <w:t>金鹰持久增利债券(LOF)C</w:t>
            </w:r>
          </w:p>
        </w:tc>
        <w:tc>
          <w:tcPr>
            <w:tcW w:w="9355" w:type="dxa"/>
            <w:vAlign w:val="center"/>
          </w:tcPr>
          <w:p w:rsidR="001548F9" w:rsidRPr="0045565B" w:rsidP="0086710F">
            <w:pPr>
              <w:widowControl/>
              <w:autoSpaceDE w:val="0"/>
              <w:autoSpaceDN w:val="0"/>
              <w:ind w:left="-107" w:right="-107" w:leftChars="-51" w:rightChars="-51"/>
              <w:jc w:val="right"/>
              <w:textAlignment w:val="bottom"/>
              <w:rPr>
                <w:rFonts w:eastAsiaTheme="minorEastAsia"/>
                <w:color w:val="000000"/>
                <w:szCs w:val="21"/>
              </w:rPr>
            </w:pPr>
            <w:r w:rsidRPr="0045565B">
              <w:rPr>
                <w:rFonts w:eastAsiaTheme="minorEastAsia"/>
                <w:color w:val="000000"/>
                <w:szCs w:val="21"/>
              </w:rPr>
              <w:t>金鹰持久增利债券(LOF)E</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pStyle w:val="Date"/>
              <w:rPr>
                <w:rFonts w:eastAsiaTheme="minorEastAsia"/>
                <w:color w:val="000000"/>
                <w:sz w:val="21"/>
                <w:szCs w:val="21"/>
              </w:rPr>
            </w:pPr>
            <w:r w:rsidRPr="0045565B">
              <w:rPr>
                <w:rFonts w:eastAsiaTheme="minorEastAsia"/>
                <w:sz w:val="21"/>
                <w:szCs w:val="21"/>
              </w:rPr>
              <w:t>基金合同生效日（</w:t>
            </w:r>
            <w:r w:rsidRPr="0045565B">
              <w:rPr>
                <w:rFonts w:eastAsiaTheme="minorEastAsia"/>
                <w:sz w:val="21"/>
                <w:szCs w:val="21"/>
              </w:rPr>
              <w:t>2015年3月10日</w:t>
            </w:r>
            <w:r w:rsidRPr="0045565B">
              <w:rPr>
                <w:rFonts w:eastAsiaTheme="minorEastAsia"/>
                <w:sz w:val="21"/>
                <w:szCs w:val="21"/>
              </w:rPr>
              <w:t>）持有的基金份额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0.00</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pStyle w:val="Date"/>
              <w:rPr>
                <w:rFonts w:eastAsiaTheme="minorEastAsia"/>
                <w:color w:val="000000"/>
                <w:sz w:val="21"/>
                <w:szCs w:val="21"/>
              </w:rPr>
            </w:pPr>
            <w:r w:rsidRPr="0045565B">
              <w:rPr>
                <w:rFonts w:eastAsiaTheme="minorEastAsia"/>
                <w:sz w:val="21"/>
                <w:szCs w:val="21"/>
              </w:rPr>
              <w:t>期初持有的基金份额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3,058,547.33</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rPr>
                <w:rFonts w:eastAsiaTheme="minorEastAsia"/>
                <w:color w:val="000000"/>
                <w:szCs w:val="21"/>
              </w:rPr>
            </w:pPr>
            <w:r w:rsidRPr="0045565B">
              <w:rPr>
                <w:rFonts w:eastAsiaTheme="minorEastAsia"/>
                <w:szCs w:val="21"/>
              </w:rPr>
              <w:t>期间申购</w:t>
            </w:r>
            <w:r w:rsidRPr="0045565B">
              <w:rPr>
                <w:rFonts w:eastAsiaTheme="minorEastAsia"/>
                <w:szCs w:val="21"/>
              </w:rPr>
              <w:t>/</w:t>
            </w:r>
            <w:r w:rsidRPr="0045565B">
              <w:rPr>
                <w:rFonts w:eastAsiaTheme="minorEastAsia"/>
                <w:szCs w:val="21"/>
              </w:rPr>
              <w:t>买入总份额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0.00</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rPr>
                <w:rFonts w:eastAsiaTheme="minorEastAsia"/>
                <w:color w:val="000000"/>
                <w:szCs w:val="21"/>
              </w:rPr>
            </w:pPr>
            <w:r w:rsidRPr="0045565B">
              <w:rPr>
                <w:rFonts w:eastAsiaTheme="minorEastAsia"/>
                <w:szCs w:val="21"/>
              </w:rPr>
              <w:t>期间因拆分变动份额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0.00</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rPr>
                <w:rFonts w:eastAsiaTheme="minorEastAsia"/>
                <w:color w:val="000000"/>
                <w:szCs w:val="21"/>
              </w:rPr>
            </w:pPr>
            <w:r w:rsidRPr="0045565B">
              <w:rPr>
                <w:rFonts w:eastAsiaTheme="minorEastAsia"/>
                <w:szCs w:val="21"/>
              </w:rPr>
              <w:t>减：期间赎回</w:t>
            </w:r>
            <w:r w:rsidRPr="0045565B">
              <w:rPr>
                <w:rFonts w:eastAsiaTheme="minorEastAsia"/>
                <w:szCs w:val="21"/>
              </w:rPr>
              <w:t>/</w:t>
            </w:r>
            <w:r w:rsidRPr="0045565B">
              <w:rPr>
                <w:rFonts w:eastAsiaTheme="minorEastAsia"/>
                <w:szCs w:val="21"/>
              </w:rPr>
              <w:t>卖出总份额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0.00</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rPr>
                <w:rFonts w:eastAsiaTheme="minorEastAsia"/>
                <w:color w:val="000000"/>
                <w:szCs w:val="21"/>
              </w:rPr>
            </w:pPr>
            <w:r w:rsidRPr="0045565B">
              <w:rPr>
                <w:rFonts w:eastAsiaTheme="minorEastAsia"/>
                <w:szCs w:val="21"/>
              </w:rPr>
              <w:t>期末持有的基金份额</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3,058,547.33</w:t>
            </w:r>
          </w:p>
        </w:tc>
      </w:tr>
      <w:tr w:rsidTr="0072541E">
        <w:tblPrEx>
          <w:tblW w:w="9360" w:type="dxa"/>
          <w:tblInd w:w="108" w:type="dxa"/>
          <w:tblLayout w:type="fixed"/>
          <w:tblLook w:val="00A0"/>
        </w:tblPrEx>
        <w:trPr>
          <w:trHeight w:val="340"/>
        </w:trPr>
        <w:tc>
          <w:tcPr>
            <w:tcW w:w="2041" w:type="dxa"/>
            <w:vAlign w:val="center"/>
          </w:tcPr>
          <w:p w:rsidR="001548F9" w:rsidRPr="0045565B" w:rsidP="0070173B">
            <w:pPr>
              <w:rPr>
                <w:rFonts w:eastAsiaTheme="minorEastAsia"/>
                <w:szCs w:val="21"/>
              </w:rPr>
            </w:pPr>
            <w:r w:rsidRPr="0045565B">
              <w:rPr>
                <w:rFonts w:eastAsiaTheme="minorEastAsia"/>
                <w:szCs w:val="21"/>
              </w:rPr>
              <w:t>期末持有的基金份额占基金总份额比例</w:t>
            </w:r>
          </w:p>
        </w:tc>
        <w:tc>
          <w:tcPr>
            <w:tcW w:w="1702" w:type="dxa"/>
            <w:vAlign w:val="center"/>
          </w:tcPr>
          <w:p w:rsidR="001548F9" w:rsidRPr="0045565B" w:rsidP="0086710F">
            <w:pPr>
              <w:jc w:val="right"/>
              <w:rPr>
                <w:rFonts w:eastAsiaTheme="minorEastAsia"/>
                <w:szCs w:val="21"/>
              </w:rPr>
            </w:pPr>
            <w:r w:rsidRPr="0045565B">
              <w:rPr>
                <w:rFonts w:eastAsiaTheme="minorEastAsia"/>
                <w:szCs w:val="21"/>
              </w:rPr>
              <w:t>0.00%</w:t>
            </w:r>
          </w:p>
        </w:tc>
        <w:tc>
          <w:tcPr>
            <w:tcW w:w="9355" w:type="dxa"/>
            <w:vAlign w:val="center"/>
          </w:tcPr>
          <w:p w:rsidR="001548F9" w:rsidRPr="0045565B" w:rsidP="0086710F">
            <w:pPr>
              <w:jc w:val="right"/>
              <w:rPr>
                <w:rFonts w:eastAsiaTheme="minorEastAsia"/>
                <w:szCs w:val="21"/>
              </w:rPr>
            </w:pPr>
            <w:r w:rsidRPr="0045565B">
              <w:rPr>
                <w:rFonts w:eastAsiaTheme="minorEastAsia"/>
                <w:szCs w:val="21"/>
              </w:rPr>
              <w:t>78.24%</w:t>
            </w:r>
          </w:p>
        </w:tc>
      </w:tr>
    </w:tbl>
    <w:p w:rsidR="001548F9" w:rsidRPr="0045565B" w:rsidP="0072541E">
      <w:pPr>
        <w:adjustRightInd w:val="0"/>
        <w:snapToGrid w:val="0"/>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6.4.8.4.2 </w:t>
      </w:r>
      <w:r w:rsidRPr="0045565B">
        <w:rPr>
          <w:rFonts w:eastAsiaTheme="minorEastAsia"/>
          <w:b/>
          <w:bCs/>
          <w:color w:val="000000"/>
          <w:szCs w:val="21"/>
        </w:rPr>
        <w:t>报告期末除基金管理人之外的其他关联方投资本基金的情况</w:t>
      </w:r>
    </w:p>
    <w:p w:rsidR="00105388" w:rsidRPr="0045565B" w:rsidP="001F7147">
      <w:pPr>
        <w:adjustRightInd w:val="0"/>
        <w:snapToGrid w:val="0"/>
        <w:spacing w:line="360" w:lineRule="auto"/>
        <w:rPr>
          <w:rFonts w:eastAsiaTheme="minorEastAsia"/>
          <w:b/>
          <w:bCs/>
          <w:color w:val="000000"/>
          <w:szCs w:val="21"/>
        </w:rPr>
      </w:pPr>
      <w:r w:rsidRPr="0045565B">
        <w:rPr>
          <w:rFonts w:eastAsiaTheme="minorEastAsia"/>
          <w:szCs w:val="21"/>
        </w:rPr>
        <w:t>金鹰持久增利债券(LOF)C</w:t>
      </w:r>
    </w:p>
    <w:p w:rsidR="008C10DC" w:rsidRPr="0045565B"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本报告期末及上年度末无除基金管理人之外的其他关联方投资本基金的情况。</w:t>
      </w:r>
      <w:r w:rsidRPr="0045565B" w:rsidR="00105388">
        <w:rPr>
          <w:rFonts w:eastAsiaTheme="minorEastAsia"/>
          <w:kern w:val="0"/>
          <w:szCs w:val="21"/>
        </w:rPr>
        <w:t>、</w:t>
      </w:r>
    </w:p>
    <w:p w:rsidR="00105388" w:rsidRPr="0045565B" w:rsidP="00105388">
      <w:pPr>
        <w:adjustRightInd w:val="0"/>
        <w:snapToGrid w:val="0"/>
        <w:spacing w:line="288" w:lineRule="auto"/>
        <w:rPr>
          <w:rFonts w:eastAsiaTheme="minorEastAsia"/>
          <w:b/>
          <w:bCs/>
          <w:color w:val="000000"/>
          <w:szCs w:val="21"/>
        </w:rPr>
      </w:pPr>
      <w:r w:rsidRPr="0045565B">
        <w:rPr>
          <w:rFonts w:eastAsiaTheme="minorEastAsia"/>
          <w:szCs w:val="21"/>
        </w:rPr>
        <w:t>金鹰持久增利债券(LOF)E</w:t>
      </w:r>
    </w:p>
    <w:p w:rsidR="008C10DC" w:rsidRPr="0045565B"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本报告期末及上年度末无除基金管理人之外的其他关联方投资本基金的情况。</w:t>
      </w:r>
    </w:p>
    <w:p w:rsidR="001548F9"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6.4.8.5 </w:t>
      </w:r>
      <w:r w:rsidRPr="0045565B">
        <w:rPr>
          <w:rFonts w:eastAsiaTheme="minorEastAsia"/>
          <w:b/>
          <w:bCs/>
          <w:color w:val="000000"/>
          <w:szCs w:val="21"/>
        </w:rPr>
        <w:t>由关联方保管的银行存款余额及当期产生的利息收入</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Tr="003C0EC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694" w:type="dxa"/>
            <w:vMerge w:val="restart"/>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关联方名称</w:t>
            </w:r>
          </w:p>
        </w:tc>
        <w:tc>
          <w:tcPr>
            <w:tcW w:w="3153" w:type="dxa"/>
            <w:gridSpan w:val="2"/>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本期</w:t>
            </w:r>
          </w:p>
          <w:p w:rsidR="00300128" w:rsidRPr="0045565B"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c>
          <w:tcPr>
            <w:tcW w:w="3153" w:type="dxa"/>
            <w:gridSpan w:val="2"/>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上年度可比期间</w:t>
            </w:r>
          </w:p>
          <w:p w:rsidR="00300128" w:rsidRPr="0045565B" w:rsidP="00CB3E85">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2018年1月1日至2018年6月30日</w:t>
            </w:r>
          </w:p>
        </w:tc>
      </w:tr>
      <w:tr w:rsidTr="003C0ECA">
        <w:tblPrEx>
          <w:tblW w:w="0" w:type="auto"/>
          <w:tblInd w:w="108" w:type="dxa"/>
          <w:tblLayout w:type="fixed"/>
          <w:tblLook w:val="00A0"/>
        </w:tblPrEx>
        <w:tc>
          <w:tcPr>
            <w:tcW w:w="2694" w:type="dxa"/>
            <w:vMerge/>
            <w:vAlign w:val="center"/>
          </w:tcPr>
          <w:p w:rsidR="00300128" w:rsidRPr="0045565B" w:rsidP="003C0ECA">
            <w:pPr>
              <w:widowControl/>
              <w:spacing w:line="360" w:lineRule="auto"/>
              <w:jc w:val="left"/>
              <w:rPr>
                <w:rFonts w:eastAsiaTheme="minorEastAsia"/>
                <w:color w:val="000000"/>
                <w:szCs w:val="21"/>
              </w:rPr>
            </w:pPr>
          </w:p>
        </w:tc>
        <w:tc>
          <w:tcPr>
            <w:tcW w:w="1417"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36"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c>
          <w:tcPr>
            <w:tcW w:w="1383"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70"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r>
      <w:tr>
        <w:tblPrEx>
          <w:tblW w:w="0" w:type="auto"/>
          <w:tblInd w:w="108" w:type="dxa"/>
          <w:tblLayout w:type="fixed"/>
          <w:tblLook w:val="00A0"/>
        </w:tblPrEx>
        <w:tc>
          <w:tcPr>
            <w:vAlign w:val="center"/>
          </w:tcPr>
          <w:p>
            <w:pPr>
              <w:jc w:val="center"/>
            </w:pPr>
            <w:r>
              <w:rPr>
                <w:rFonts w:eastAsiaTheme="minorEastAsia"/>
                <w:szCs w:val="21"/>
              </w:rPr>
              <w:t>中国邮政储蓄银行股份有限公司</w:t>
            </w:r>
          </w:p>
        </w:tc>
        <w:tc>
          <w:tcPr>
            <w:vAlign w:val="center"/>
          </w:tcPr>
          <w:p>
            <w:pPr>
              <w:jc w:val="right"/>
            </w:pPr>
            <w:r>
              <w:rPr>
                <w:rFonts w:eastAsiaTheme="minorEastAsia"/>
                <w:szCs w:val="21"/>
              </w:rPr>
              <w:t>366,431.47</w:t>
            </w:r>
          </w:p>
        </w:tc>
        <w:tc>
          <w:tcPr>
            <w:vAlign w:val="center"/>
          </w:tcPr>
          <w:p>
            <w:pPr>
              <w:jc w:val="right"/>
            </w:pPr>
            <w:r>
              <w:rPr>
                <w:rFonts w:eastAsiaTheme="minorEastAsia"/>
                <w:szCs w:val="21"/>
              </w:rPr>
              <w:t>4,230.84</w:t>
            </w:r>
          </w:p>
        </w:tc>
        <w:tc>
          <w:tcPr>
            <w:vAlign w:val="center"/>
          </w:tcPr>
          <w:p>
            <w:pPr>
              <w:jc w:val="right"/>
            </w:pPr>
            <w:r>
              <w:rPr>
                <w:rFonts w:eastAsiaTheme="minorEastAsia"/>
                <w:szCs w:val="21"/>
              </w:rPr>
              <w:t>274,523.24</w:t>
            </w:r>
          </w:p>
        </w:tc>
        <w:tc>
          <w:tcPr>
            <w:vAlign w:val="center"/>
          </w:tcPr>
          <w:p>
            <w:pPr>
              <w:jc w:val="right"/>
            </w:pPr>
            <w:r>
              <w:rPr>
                <w:rFonts w:eastAsiaTheme="minorEastAsia"/>
                <w:szCs w:val="21"/>
              </w:rPr>
              <w:t>3,378.21</w:t>
            </w:r>
          </w:p>
        </w:tc>
      </w:tr>
    </w:tbl>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本基金用于证券交易结算的资金通过"中国邮政储蓄银行基金托管结算资金专用存款账户"转存于中国证券登记结算有限责任公司，按银行同业利率或约定利率计息，在资产负债表中的"结算备付金"科目中单独列示。2019年6月30日余额1,603,457.97元，利息收入5,187.92元；2018年6月30日余额186,696.95元，利息收入3,243.98元。</w:t>
      </w:r>
    </w:p>
    <w:p w:rsidR="00A73CA8"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6.4.8.6 </w:t>
      </w:r>
      <w:r w:rsidRPr="0045565B">
        <w:rPr>
          <w:rFonts w:eastAsiaTheme="minorEastAsia"/>
          <w:b/>
          <w:bCs/>
          <w:color w:val="000000"/>
          <w:szCs w:val="21"/>
        </w:rPr>
        <w:t>本基金在承销期内参与关联方承销证券的情况</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本基金本报告期内及上年度可比期间内均无在承销期内参与关联方承销证券的情况。</w:t>
      </w:r>
    </w:p>
    <w:p w:rsidR="001548F9" w:rsidRPr="0045565B" w:rsidP="0072541E">
      <w:pPr>
        <w:adjustRightInd w:val="0"/>
        <w:snapToGrid w:val="0"/>
        <w:spacing w:before="312" w:beforeLines="100" w:line="360" w:lineRule="auto"/>
        <w:jc w:val="left"/>
        <w:rPr>
          <w:rFonts w:eastAsiaTheme="minorEastAsia"/>
          <w:b/>
          <w:color w:val="000000"/>
          <w:szCs w:val="21"/>
        </w:rPr>
      </w:pPr>
      <w:r w:rsidRPr="0045565B">
        <w:rPr>
          <w:rFonts w:eastAsiaTheme="minorEastAsia"/>
          <w:b/>
          <w:bCs/>
          <w:color w:val="000000"/>
          <w:kern w:val="0"/>
          <w:szCs w:val="21"/>
        </w:rPr>
        <w:t xml:space="preserve">6.4.8.7 </w:t>
      </w:r>
      <w:r w:rsidRPr="0045565B">
        <w:rPr>
          <w:rFonts w:eastAsiaTheme="minorEastAsia"/>
          <w:b/>
          <w:color w:val="000000"/>
          <w:szCs w:val="21"/>
        </w:rPr>
        <w:t>其他关联交易事项的说明</w:t>
      </w:r>
    </w:p>
    <w:p w:rsidR="00B3659C" w:rsidRPr="00A73188" w:rsidP="00B3659C">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B3659C" w:rsidRPr="00A73188" w:rsidP="00B3659C">
      <w:pPr>
        <w:widowControl/>
        <w:spacing w:line="360" w:lineRule="auto"/>
        <w:ind w:firstLine="420" w:firstLineChars="200"/>
        <w:rPr>
          <w:rFonts w:eastAsiaTheme="minorEastAsia"/>
          <w:color w:val="000000" w:themeColor="text1"/>
          <w:kern w:val="0"/>
          <w:szCs w:val="21"/>
        </w:rPr>
      </w:pPr>
      <w:r w:rsidRPr="00A73188">
        <w:rPr>
          <w:rFonts w:eastAsiaTheme="minorEastAsia"/>
          <w:color w:val="000000" w:themeColor="text1"/>
          <w:kern w:val="0"/>
          <w:szCs w:val="21"/>
        </w:rPr>
        <w:t>无。</w:t>
      </w:r>
    </w:p>
    <w:p w:rsidR="001548F9" w:rsidRPr="0045565B" w:rsidP="0072541E">
      <w:pPr>
        <w:adjustRightInd w:val="0"/>
        <w:snapToGrid w:val="0"/>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6.4.9 </w:t>
      </w:r>
      <w:r w:rsidRPr="0045565B">
        <w:rPr>
          <w:rFonts w:eastAsiaTheme="minorEastAsia"/>
          <w:b/>
          <w:bCs/>
          <w:color w:val="000000"/>
          <w:szCs w:val="21"/>
        </w:rPr>
        <w:t>期末（</w:t>
      </w:r>
      <w:r w:rsidRPr="0045565B">
        <w:rPr>
          <w:rFonts w:eastAsiaTheme="minorEastAsia"/>
          <w:b/>
          <w:bCs/>
          <w:color w:val="000000"/>
          <w:szCs w:val="21"/>
        </w:rPr>
        <w:t>2019年6月30日</w:t>
      </w:r>
      <w:r w:rsidRPr="0045565B">
        <w:rPr>
          <w:rFonts w:eastAsiaTheme="minorEastAsia"/>
          <w:b/>
          <w:bCs/>
          <w:color w:val="000000"/>
          <w:szCs w:val="21"/>
        </w:rPr>
        <w:t>）本基金持有的流通受限证券</w:t>
      </w:r>
    </w:p>
    <w:p w:rsidR="001548F9" w:rsidRPr="0045565B" w:rsidP="001F7147">
      <w:pPr>
        <w:spacing w:line="360" w:lineRule="auto"/>
        <w:jc w:val="left"/>
        <w:rPr>
          <w:rFonts w:eastAsiaTheme="minorEastAsia"/>
          <w:b/>
          <w:bCs/>
          <w:color w:val="000000"/>
          <w:szCs w:val="21"/>
        </w:rPr>
      </w:pPr>
      <w:r w:rsidRPr="0045565B">
        <w:rPr>
          <w:rFonts w:eastAsiaTheme="minorEastAsia"/>
          <w:b/>
          <w:bCs/>
          <w:color w:val="000000"/>
          <w:kern w:val="0"/>
          <w:szCs w:val="21"/>
        </w:rPr>
        <w:t xml:space="preserve">6.4.9.1 </w:t>
      </w:r>
      <w:r w:rsidRPr="0045565B">
        <w:rPr>
          <w:rFonts w:eastAsiaTheme="minorEastAsia"/>
          <w:b/>
          <w:bCs/>
          <w:color w:val="000000"/>
          <w:szCs w:val="21"/>
        </w:rPr>
        <w:t>因认购新发</w:t>
      </w:r>
      <w:r w:rsidRPr="0045565B">
        <w:rPr>
          <w:rFonts w:eastAsiaTheme="minorEastAsia"/>
          <w:b/>
          <w:bCs/>
          <w:color w:val="000000"/>
          <w:szCs w:val="21"/>
        </w:rPr>
        <w:t>/</w:t>
      </w:r>
      <w:r w:rsidRPr="0045565B">
        <w:rPr>
          <w:rFonts w:eastAsiaTheme="minorEastAsia"/>
          <w:b/>
          <w:bCs/>
          <w:color w:val="000000"/>
          <w:szCs w:val="21"/>
        </w:rPr>
        <w:t>增发证券而于期末持有的流通受限证券</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本基金无因认购新发/增发证券而于期末持有的流通受限证券。</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6.4.9.2 </w:t>
      </w:r>
      <w:r w:rsidRPr="0045565B">
        <w:rPr>
          <w:rFonts w:eastAsiaTheme="minorEastAsia"/>
          <w:b/>
          <w:bCs/>
          <w:color w:val="000000"/>
          <w:szCs w:val="21"/>
        </w:rPr>
        <w:t>期末持有的暂时停牌等流通受限股票</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本基金本期末无持有暂时停牌等流通受限股票的情况。</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6.4.9.3 </w:t>
      </w:r>
      <w:r w:rsidRPr="0045565B">
        <w:rPr>
          <w:rFonts w:eastAsiaTheme="minorEastAsia"/>
          <w:b/>
          <w:bCs/>
          <w:color w:val="000000"/>
          <w:szCs w:val="21"/>
        </w:rPr>
        <w:t>期末债券正回购交易中作为抵押的债券</w:t>
      </w:r>
    </w:p>
    <w:p w:rsidR="001548F9" w:rsidRPr="0045565B" w:rsidP="001F7147">
      <w:pPr>
        <w:spacing w:line="360" w:lineRule="auto"/>
        <w:rPr>
          <w:rFonts w:eastAsiaTheme="minorEastAsia"/>
          <w:b/>
          <w:bCs/>
          <w:color w:val="000000"/>
          <w:szCs w:val="21"/>
        </w:rPr>
      </w:pPr>
      <w:r w:rsidRPr="0045565B">
        <w:rPr>
          <w:rFonts w:eastAsiaTheme="minorEastAsia"/>
          <w:b/>
          <w:bCs/>
          <w:color w:val="000000"/>
          <w:kern w:val="0"/>
          <w:szCs w:val="21"/>
        </w:rPr>
        <w:t xml:space="preserve">6.4.9.3.1 </w:t>
      </w:r>
      <w:r w:rsidRPr="0045565B">
        <w:rPr>
          <w:rFonts w:eastAsiaTheme="minorEastAsia"/>
          <w:b/>
          <w:bCs/>
          <w:color w:val="000000"/>
          <w:szCs w:val="21"/>
        </w:rPr>
        <w:t>银行间市场债券正回购</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本基金本报告期末无银行间市场债券正回购交易中作为抵押的债券。</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6.4.9.3.2 </w:t>
      </w:r>
      <w:r w:rsidRPr="0045565B">
        <w:rPr>
          <w:rFonts w:eastAsiaTheme="minorEastAsia"/>
          <w:b/>
          <w:bCs/>
          <w:color w:val="000000"/>
          <w:szCs w:val="21"/>
        </w:rPr>
        <w:t>交易所市场债券正回购</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本基金本报告期末交易所市场债券正回购资产余额为18,200,000.00元，以交易所标准券作为质押券。</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6.4.10 </w:t>
      </w:r>
      <w:r w:rsidRPr="0045565B">
        <w:rPr>
          <w:rFonts w:eastAsiaTheme="minorEastAsia"/>
          <w:b/>
          <w:color w:val="000000"/>
          <w:szCs w:val="21"/>
        </w:rPr>
        <w:t>有助于理解和分析会计报表需要说明的其他事项</w:t>
      </w:r>
    </w:p>
    <w:p>
      <w:pPr>
        <w:spacing w:line="360" w:lineRule="auto"/>
        <w:ind w:firstLine="420" w:firstLineChars="200"/>
        <w:rPr>
          <w:rFonts w:eastAsiaTheme="minorEastAsia"/>
          <w:color w:val="000000"/>
          <w:szCs w:val="21"/>
        </w:rPr>
      </w:pPr>
      <w:r>
        <w:rPr>
          <w:rFonts w:eastAsiaTheme="minorEastAsia"/>
          <w:color w:val="000000"/>
          <w:szCs w:val="21"/>
        </w:rPr>
        <w:t>1.  公允价值</w:t>
      </w:r>
    </w:p>
    <w:p>
      <w:pPr>
        <w:spacing w:line="360" w:lineRule="auto"/>
        <w:ind w:firstLine="420" w:firstLineChars="200"/>
        <w:rPr>
          <w:rFonts w:eastAsiaTheme="minorEastAsia"/>
          <w:color w:val="000000"/>
          <w:szCs w:val="21"/>
        </w:rPr>
      </w:pPr>
      <w:r>
        <w:rPr>
          <w:rFonts w:eastAsiaTheme="minorEastAsia"/>
          <w:color w:val="000000"/>
          <w:szCs w:val="21"/>
        </w:rPr>
        <w:t>(1) 不以公允价值计量的金融工具</w:t>
      </w:r>
    </w:p>
    <w:p>
      <w:pPr>
        <w:spacing w:line="360" w:lineRule="auto"/>
        <w:ind w:firstLine="420" w:firstLineChars="20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pPr>
        <w:spacing w:line="360" w:lineRule="auto"/>
        <w:ind w:firstLine="420" w:firstLineChars="200"/>
        <w:rPr>
          <w:rFonts w:eastAsiaTheme="minorEastAsia"/>
          <w:color w:val="000000"/>
          <w:szCs w:val="21"/>
        </w:rPr>
      </w:pPr>
      <w:r>
        <w:rPr>
          <w:rFonts w:eastAsiaTheme="minorEastAsia"/>
          <w:color w:val="000000"/>
          <w:szCs w:val="21"/>
        </w:rPr>
        <w:t>(2) 以公允价值计量的金融工具</w:t>
      </w:r>
    </w:p>
    <w:p>
      <w:pPr>
        <w:spacing w:line="360" w:lineRule="auto"/>
        <w:ind w:firstLine="420" w:firstLineChars="200"/>
        <w:rPr>
          <w:rFonts w:eastAsiaTheme="minorEastAsia"/>
          <w:color w:val="000000"/>
          <w:szCs w:val="21"/>
        </w:rPr>
      </w:pPr>
      <w:r>
        <w:rPr>
          <w:rFonts w:eastAsiaTheme="minorEastAsia"/>
          <w:color w:val="000000"/>
          <w:szCs w:val="21"/>
        </w:rPr>
        <w:t>(i) 金融工具公允价值计量的方法</w:t>
      </w:r>
    </w:p>
    <w:p>
      <w:pPr>
        <w:spacing w:line="360" w:lineRule="auto"/>
        <w:ind w:firstLine="420" w:firstLineChars="200"/>
        <w:rPr>
          <w:rFonts w:eastAsiaTheme="minorEastAsia"/>
          <w:color w:val="000000"/>
          <w:szCs w:val="21"/>
        </w:rPr>
      </w:pPr>
      <w:r>
        <w:rPr>
          <w:rFonts w:eastAsiaTheme="minorEastAsia"/>
          <w:color w:val="000000"/>
          <w:szCs w:val="21"/>
        </w:rPr>
        <w:t>本基金对以公允价值进行后续计量的金融资产与金融负债根据对计量整体具有重大意义的最低层级的输入值确定公允价值计量层级。公允价值计量层次可分为：</w:t>
      </w:r>
    </w:p>
    <w:p>
      <w:pPr>
        <w:spacing w:line="360" w:lineRule="auto"/>
        <w:ind w:firstLine="420" w:firstLineChars="200"/>
        <w:rPr>
          <w:rFonts w:eastAsiaTheme="minorEastAsia"/>
          <w:color w:val="000000"/>
          <w:szCs w:val="21"/>
        </w:rPr>
      </w:pPr>
      <w:r>
        <w:rPr>
          <w:rFonts w:eastAsiaTheme="minorEastAsia"/>
          <w:color w:val="000000"/>
          <w:szCs w:val="21"/>
        </w:rPr>
        <w:t>第一层次输入值是在计量日能够取得的相同资产或负债在活跃市场上未经调整的报价。</w:t>
      </w:r>
    </w:p>
    <w:p>
      <w:pPr>
        <w:spacing w:line="360" w:lineRule="auto"/>
        <w:ind w:firstLine="420" w:firstLineChars="200"/>
        <w:rPr>
          <w:rFonts w:eastAsiaTheme="minorEastAsia"/>
          <w:color w:val="000000"/>
          <w:szCs w:val="21"/>
        </w:rPr>
      </w:pPr>
      <w:r>
        <w:rPr>
          <w:rFonts w:eastAsiaTheme="minorEastAsia"/>
          <w:color w:val="000000"/>
          <w:szCs w:val="21"/>
        </w:rPr>
        <w:t>第二层次输入值是除第一层次输入值外相关资产或负债直接或间接可观察的输入值。</w:t>
      </w:r>
    </w:p>
    <w:p>
      <w:pPr>
        <w:spacing w:line="360" w:lineRule="auto"/>
        <w:ind w:firstLine="420" w:firstLineChars="200"/>
        <w:rPr>
          <w:rFonts w:eastAsiaTheme="minorEastAsia"/>
          <w:color w:val="000000"/>
          <w:szCs w:val="21"/>
        </w:rPr>
      </w:pPr>
      <w:r>
        <w:rPr>
          <w:rFonts w:eastAsiaTheme="minorEastAsia"/>
          <w:color w:val="000000"/>
          <w:szCs w:val="21"/>
        </w:rPr>
        <w:t>第三层次输入值是相关资产或负债的不可观察输入值。</w:t>
      </w:r>
    </w:p>
    <w:p>
      <w:pPr>
        <w:spacing w:line="360" w:lineRule="auto"/>
        <w:ind w:firstLine="420" w:firstLineChars="200"/>
        <w:rPr>
          <w:rFonts w:eastAsiaTheme="minorEastAsia"/>
          <w:color w:val="000000"/>
          <w:szCs w:val="21"/>
        </w:rPr>
      </w:pPr>
      <w:r>
        <w:rPr>
          <w:rFonts w:eastAsiaTheme="minorEastAsia"/>
          <w:color w:val="000000"/>
          <w:szCs w:val="21"/>
        </w:rPr>
        <w:t>(ii)</w:t>
        <w:tab/>
        <w:t xml:space="preserve">各层级金融工具公允价值 </w:t>
      </w:r>
    </w:p>
    <w:p>
      <w:pPr>
        <w:spacing w:line="360" w:lineRule="auto"/>
        <w:ind w:firstLine="420" w:firstLineChars="200"/>
        <w:rPr>
          <w:rFonts w:eastAsiaTheme="minorEastAsia"/>
          <w:color w:val="000000"/>
          <w:szCs w:val="21"/>
        </w:rPr>
      </w:pPr>
      <w:r>
        <w:rPr>
          <w:rFonts w:eastAsiaTheme="minorEastAsia"/>
          <w:color w:val="000000"/>
          <w:szCs w:val="21"/>
        </w:rPr>
        <w:t>于2019年6月30日，本基金持有的以公允价值计量的金融工具中属于第一层级的余额为46,088,835.50元，第二层级的余额为30,105,608.84元，。无属于第三层级的金额。</w:t>
      </w:r>
    </w:p>
    <w:p>
      <w:pPr>
        <w:spacing w:line="360" w:lineRule="auto"/>
        <w:ind w:firstLine="420" w:firstLineChars="200"/>
        <w:rPr>
          <w:rFonts w:eastAsiaTheme="minorEastAsia"/>
          <w:color w:val="000000"/>
          <w:szCs w:val="21"/>
        </w:rPr>
      </w:pPr>
      <w:r>
        <w:rPr>
          <w:rFonts w:eastAsiaTheme="minorEastAsia"/>
          <w:color w:val="000000"/>
          <w:szCs w:val="21"/>
        </w:rPr>
        <w:t>(iii) 公允价值所属层级间的重大变动</w:t>
      </w:r>
    </w:p>
    <w:p>
      <w:pPr>
        <w:spacing w:line="360" w:lineRule="auto"/>
        <w:ind w:firstLine="420" w:firstLineChars="200"/>
        <w:rPr>
          <w:rFonts w:eastAsiaTheme="minorEastAsia"/>
          <w:color w:val="000000"/>
          <w:szCs w:val="21"/>
        </w:rPr>
      </w:pPr>
      <w:r>
        <w:rPr>
          <w:rFonts w:eastAsiaTheme="minorEastAsia"/>
          <w:color w:val="000000"/>
          <w:szCs w:val="21"/>
        </w:rPr>
        <w:t>本基金本报告期内无公允价值所属层级间的重大变动。</w:t>
      </w:r>
    </w:p>
    <w:p>
      <w:pPr>
        <w:spacing w:line="360" w:lineRule="auto"/>
        <w:ind w:firstLine="420" w:firstLineChars="20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45565B" w:rsidP="001F7147">
      <w:pPr>
        <w:spacing w:line="360" w:lineRule="auto"/>
        <w:ind w:firstLine="420" w:firstLineChars="200"/>
        <w:rPr>
          <w:rFonts w:eastAsiaTheme="minorEastAsia"/>
          <w:color w:val="000000"/>
          <w:szCs w:val="21"/>
        </w:rPr>
      </w:pPr>
      <w:r w:rsidRPr="0045565B">
        <w:rPr>
          <w:rFonts w:eastAsiaTheme="minorEastAsia"/>
          <w:color w:val="000000"/>
          <w:szCs w:val="21"/>
        </w:rPr>
        <w:t>2. 除公允价值外，截至资产负债表日本基金无需要说明的其他重要事项。</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52" w:name="_Toc331410101"/>
      <w:bookmarkStart w:id="53" w:name="_Toc225498272"/>
      <w:r w:rsidRPr="0045565B">
        <w:rPr>
          <w:rFonts w:eastAsiaTheme="minorEastAsia"/>
          <w:b/>
          <w:bCs/>
          <w:sz w:val="21"/>
          <w:szCs w:val="21"/>
          <w:lang w:val="en-US"/>
        </w:rPr>
        <w:t xml:space="preserve">7  </w:t>
      </w:r>
      <w:r w:rsidRPr="0045565B">
        <w:rPr>
          <w:rFonts w:eastAsiaTheme="minorEastAsia"/>
          <w:b/>
          <w:bCs/>
          <w:sz w:val="21"/>
          <w:szCs w:val="21"/>
          <w:lang w:val="en-US"/>
        </w:rPr>
        <w:t>投资组合报告</w:t>
      </w:r>
      <w:bookmarkEnd w:id="52"/>
      <w:bookmarkEnd w:id="53"/>
    </w:p>
    <w:p w:rsidR="001548F9" w:rsidRPr="0045565B" w:rsidP="001F7147">
      <w:pPr>
        <w:pStyle w:val="Heading2"/>
        <w:spacing w:before="0" w:after="0"/>
        <w:rPr>
          <w:rFonts w:ascii="Times New Roman" w:hAnsi="Times New Roman" w:eastAsiaTheme="minorEastAsia"/>
          <w:kern w:val="0"/>
          <w:sz w:val="21"/>
          <w:szCs w:val="21"/>
        </w:rPr>
      </w:pPr>
      <w:bookmarkStart w:id="54" w:name="_Toc331410102"/>
      <w:bookmarkStart w:id="55" w:name="_Toc225498273"/>
      <w:r w:rsidRPr="0045565B">
        <w:rPr>
          <w:rFonts w:ascii="Times New Roman" w:hAnsi="Times New Roman" w:eastAsiaTheme="minorEastAsia"/>
          <w:bCs w:val="0"/>
          <w:color w:val="000000"/>
          <w:kern w:val="0"/>
          <w:sz w:val="21"/>
          <w:szCs w:val="21"/>
        </w:rPr>
        <w:t xml:space="preserve">7.1 </w:t>
      </w:r>
      <w:r w:rsidRPr="0045565B">
        <w:rPr>
          <w:rFonts w:ascii="Times New Roman" w:hAnsi="Times New Roman" w:eastAsiaTheme="minorEastAsia"/>
          <w:kern w:val="0"/>
          <w:sz w:val="21"/>
          <w:szCs w:val="21"/>
        </w:rPr>
        <w:t>期末基金资产组合情况</w:t>
      </w:r>
      <w:bookmarkEnd w:id="54"/>
      <w:bookmarkEnd w:id="55"/>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Tr="000E05F4">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7,817,902.00</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9.86</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7,817,902.00</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9.86</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68,376,542.34</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86.27</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68,376,542.34</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86.27</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firstLine="630" w:leftChars="50" w:firstLineChars="30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1,969,889.44</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2.49</w:t>
            </w:r>
          </w:p>
        </w:tc>
      </w:tr>
      <w:tr w:rsidTr="000E05F4">
        <w:tblPrEx>
          <w:tblW w:w="0" w:type="auto"/>
          <w:tblInd w:w="108" w:type="dxa"/>
          <w:tblLayout w:type="fixed"/>
          <w:tblLook w:val="00A0"/>
        </w:tblPrEx>
        <w:tc>
          <w:tcPr>
            <w:tcW w:w="1080" w:type="dxa"/>
            <w:vAlign w:val="center"/>
          </w:tcPr>
          <w:p w:rsidR="00B3659C" w:rsidRPr="00A73188"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1,097,487.36</w:t>
            </w:r>
          </w:p>
        </w:tc>
        <w:tc>
          <w:tcPr>
            <w:tcW w:w="262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1.38</w:t>
            </w:r>
          </w:p>
        </w:tc>
      </w:tr>
      <w:tr w:rsidTr="000E05F4">
        <w:tblPrEx>
          <w:tblW w:w="0" w:type="auto"/>
          <w:tblInd w:w="108" w:type="dxa"/>
          <w:tblLayout w:type="fixed"/>
          <w:tblLook w:val="00A0"/>
        </w:tblPrEx>
        <w:tc>
          <w:tcPr>
            <w:tcW w:w="1080" w:type="dxa"/>
            <w:vAlign w:val="center"/>
          </w:tcPr>
          <w:p w:rsidR="00B3659C" w:rsidRPr="00A73188"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79,261,821.14</w:t>
            </w:r>
          </w:p>
        </w:tc>
        <w:tc>
          <w:tcPr>
            <w:tcW w:w="262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548F9" w:rsidRPr="0072541E" w:rsidP="007745A3">
      <w:pPr>
        <w:widowControl/>
        <w:spacing w:line="360" w:lineRule="auto"/>
        <w:ind w:firstLine="420" w:firstLineChars="200"/>
        <w:jc w:val="left"/>
        <w:rPr>
          <w:rFonts w:eastAsiaTheme="minorEastAsia"/>
          <w:kern w:val="0"/>
          <w:szCs w:val="21"/>
        </w:rPr>
      </w:pPr>
      <w:r w:rsidRPr="00A73188">
        <w:rPr>
          <w:rFonts w:eastAsiaTheme="minorEastAsia"/>
          <w:color w:val="000000" w:themeColor="text1"/>
          <w:kern w:val="0"/>
          <w:szCs w:val="21"/>
        </w:rPr>
        <w:t>注：其他各项资产包括：交易保证金、应收利息、应收证券清算款、其他应收款、应收申购款、待摊费用。</w:t>
      </w:r>
    </w:p>
    <w:p w:rsidR="001548F9" w:rsidRPr="0045565B" w:rsidP="0072541E">
      <w:pPr>
        <w:pStyle w:val="Heading2"/>
        <w:spacing w:before="312" w:beforeLines="100" w:after="0"/>
        <w:rPr>
          <w:rFonts w:ascii="Times New Roman" w:hAnsi="Times New Roman" w:eastAsiaTheme="minorEastAsia"/>
          <w:kern w:val="0"/>
          <w:sz w:val="21"/>
          <w:szCs w:val="21"/>
        </w:rPr>
      </w:pPr>
      <w:bookmarkStart w:id="56" w:name="_Toc331410103"/>
      <w:bookmarkStart w:id="57" w:name="_Toc225498274"/>
      <w:r w:rsidRPr="0045565B">
        <w:rPr>
          <w:rFonts w:ascii="Times New Roman" w:hAnsi="Times New Roman" w:eastAsiaTheme="minorEastAsia"/>
          <w:kern w:val="0"/>
          <w:sz w:val="21"/>
          <w:szCs w:val="21"/>
        </w:rPr>
        <w:t xml:space="preserve">7.2 </w:t>
      </w:r>
      <w:r w:rsidRPr="0045565B">
        <w:rPr>
          <w:rFonts w:ascii="Times New Roman" w:hAnsi="Times New Roman" w:eastAsiaTheme="minorEastAsia"/>
          <w:kern w:val="0"/>
          <w:sz w:val="21"/>
          <w:szCs w:val="21"/>
        </w:rPr>
        <w:t>期末按行业分类的股票投资组合</w:t>
      </w:r>
      <w:bookmarkEnd w:id="56"/>
      <w:bookmarkEnd w:id="57"/>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Tr="007366D1">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代码</w:t>
            </w:r>
          </w:p>
        </w:tc>
        <w:tc>
          <w:tcPr>
            <w:tcW w:w="3600" w:type="dxa"/>
            <w:vAlign w:val="center"/>
          </w:tcPr>
          <w:p w:rsidR="001548F9" w:rsidRPr="0045565B" w:rsidP="007366D1">
            <w:pPr>
              <w:jc w:val="center"/>
              <w:rPr>
                <w:rFonts w:eastAsiaTheme="minorEastAsia"/>
                <w:color w:val="000000"/>
                <w:szCs w:val="21"/>
              </w:rPr>
            </w:pPr>
            <w:r w:rsidRPr="0045565B">
              <w:rPr>
                <w:rFonts w:eastAsiaTheme="minorEastAsia"/>
                <w:color w:val="000000"/>
                <w:szCs w:val="21"/>
              </w:rPr>
              <w:t>行业类别</w:t>
            </w:r>
          </w:p>
        </w:tc>
        <w:tc>
          <w:tcPr>
            <w:tcW w:w="216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公允价值</w:t>
            </w:r>
          </w:p>
        </w:tc>
        <w:tc>
          <w:tcPr>
            <w:tcW w:w="216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占基金资产净值比例（％）</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A</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农、林、牧、渔业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B</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采矿业</w:t>
            </w:r>
          </w:p>
        </w:tc>
        <w:tc>
          <w:tcPr>
            <w:tcW w:w="2160" w:type="dxa"/>
            <w:vAlign w:val="center"/>
          </w:tcPr>
          <w:p w:rsidR="001548F9" w:rsidRPr="0045565B" w:rsidP="00437778">
            <w:pPr>
              <w:jc w:val="right"/>
              <w:rPr>
                <w:rFonts w:eastAsiaTheme="minorEastAsia"/>
                <w:szCs w:val="21"/>
              </w:rPr>
            </w:pPr>
            <w:r w:rsidRPr="0045565B">
              <w:rPr>
                <w:rFonts w:eastAsiaTheme="minorEastAsia"/>
                <w:szCs w:val="21"/>
              </w:rPr>
              <w:t>-</w:t>
            </w:r>
          </w:p>
        </w:tc>
        <w:tc>
          <w:tcPr>
            <w:tcW w:w="2160" w:type="dxa"/>
            <w:vAlign w:val="center"/>
          </w:tcPr>
          <w:p w:rsidR="001548F9" w:rsidRPr="0045565B" w:rsidP="00437778">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C</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制造业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7,004,300.00</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11.63</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D</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电力、热力、燃气及水生产和供应业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E</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建筑业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F</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批发和零售业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G</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交通运输、仓储和邮政业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H</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住宿和餐饮业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I</w:t>
            </w:r>
          </w:p>
        </w:tc>
        <w:tc>
          <w:tcPr>
            <w:tcW w:w="3600" w:type="dxa"/>
            <w:vAlign w:val="center"/>
          </w:tcPr>
          <w:p w:rsidR="001548F9" w:rsidRPr="0045565B" w:rsidP="0086710F">
            <w:pPr>
              <w:adjustRightInd w:val="0"/>
              <w:snapToGrid w:val="0"/>
              <w:spacing w:line="400" w:lineRule="exact"/>
              <w:rPr>
                <w:rFonts w:eastAsiaTheme="minorEastAsia"/>
                <w:szCs w:val="21"/>
              </w:rPr>
            </w:pPr>
            <w:r w:rsidRPr="0045565B">
              <w:rPr>
                <w:rFonts w:eastAsiaTheme="minorEastAsia"/>
                <w:szCs w:val="21"/>
              </w:rPr>
              <w:t>信息传输、软件和信息技术服务业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813,000.00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1.35</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J</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金融业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K</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房地产业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L</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租赁和商务服务业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M</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科学研究和技术服务业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N</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水利、环境和公共设施管理业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602.00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0.00</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O</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居民服务、修理和其他服务业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P</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教育</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Q</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卫生和社会工作</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R</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文化、体育和娱乐业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S</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综合</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合计</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7,817,902.00</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12.98</w:t>
            </w:r>
          </w:p>
        </w:tc>
      </w:tr>
    </w:tbl>
    <w:p w:rsidR="001548F9" w:rsidRPr="0045565B" w:rsidP="0072541E">
      <w:pPr>
        <w:pStyle w:val="Heading2"/>
        <w:spacing w:before="312" w:beforeLines="100" w:after="0"/>
        <w:rPr>
          <w:rFonts w:ascii="Times New Roman" w:hAnsi="Times New Roman" w:eastAsiaTheme="minorEastAsia"/>
          <w:kern w:val="0"/>
          <w:sz w:val="21"/>
          <w:szCs w:val="21"/>
        </w:rPr>
      </w:pPr>
      <w:bookmarkStart w:id="58" w:name="_Toc331410104"/>
      <w:r w:rsidRPr="0045565B">
        <w:rPr>
          <w:rFonts w:ascii="Times New Roman" w:hAnsi="Times New Roman" w:eastAsiaTheme="minorEastAsia"/>
          <w:kern w:val="0"/>
          <w:sz w:val="21"/>
          <w:szCs w:val="21"/>
        </w:rPr>
        <w:t xml:space="preserve">7.3 </w:t>
      </w:r>
      <w:r w:rsidRPr="0045565B" w:rsidR="000A6E4A">
        <w:rPr>
          <w:rFonts w:ascii="Times New Roman" w:hAnsi="Times New Roman" w:eastAsiaTheme="minorEastAsia"/>
          <w:kern w:val="0"/>
          <w:sz w:val="21"/>
          <w:szCs w:val="21"/>
        </w:rPr>
        <w:t>期末按公允价值占基金资产净值比例大小排序的前十名</w:t>
      </w:r>
      <w:r w:rsidRPr="0045565B">
        <w:rPr>
          <w:rFonts w:ascii="Times New Roman" w:hAnsi="Times New Roman" w:eastAsiaTheme="minorEastAsia"/>
          <w:kern w:val="0"/>
          <w:sz w:val="21"/>
          <w:szCs w:val="21"/>
        </w:rPr>
        <w:t>股票投资明细</w:t>
      </w:r>
      <w:bookmarkEnd w:id="58"/>
    </w:p>
    <w:p w:rsidR="00F550EB" w:rsidRPr="00B17B29" w:rsidP="00F550EB">
      <w:pPr>
        <w:autoSpaceDE w:val="0"/>
        <w:autoSpaceDN w:val="0"/>
        <w:adjustRightInd w:val="0"/>
        <w:spacing w:before="29" w:line="288" w:lineRule="auto"/>
        <w:ind w:left="15"/>
        <w:jc w:val="right"/>
        <w:rPr>
          <w:color w:val="000000"/>
          <w:kern w:val="0"/>
          <w:szCs w:val="21"/>
        </w:rPr>
      </w:pPr>
      <w:r w:rsidRPr="00B17B29">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Tr="004937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jc w:val="center"/>
        </w:trPr>
        <w:tc>
          <w:tcPr>
            <w:tcW w:w="817" w:type="dxa"/>
            <w:vAlign w:val="center"/>
          </w:tcPr>
          <w:p w:rsidR="00F550EB" w:rsidRPr="00B17B29" w:rsidP="0049376A">
            <w:pPr>
              <w:spacing w:before="29" w:line="360" w:lineRule="auto"/>
              <w:ind w:left="17"/>
              <w:jc w:val="center"/>
              <w:rPr>
                <w:color w:val="000000"/>
                <w:szCs w:val="21"/>
              </w:rPr>
            </w:pPr>
            <w:r w:rsidRPr="00B17B29">
              <w:rPr>
                <w:color w:val="000000"/>
                <w:szCs w:val="21"/>
              </w:rPr>
              <w:t>序号</w:t>
            </w:r>
          </w:p>
        </w:tc>
        <w:tc>
          <w:tcPr>
            <w:tcW w:w="1276" w:type="dxa"/>
            <w:vAlign w:val="center"/>
          </w:tcPr>
          <w:p w:rsidR="00F550EB" w:rsidRPr="00B17B29" w:rsidP="0049376A">
            <w:pPr>
              <w:spacing w:before="29" w:line="360" w:lineRule="auto"/>
              <w:ind w:left="17"/>
              <w:jc w:val="center"/>
              <w:rPr>
                <w:color w:val="000000"/>
                <w:szCs w:val="21"/>
              </w:rPr>
            </w:pPr>
            <w:r w:rsidRPr="00B17B29">
              <w:rPr>
                <w:color w:val="000000"/>
                <w:szCs w:val="21"/>
              </w:rPr>
              <w:t>股票代码</w:t>
            </w:r>
          </w:p>
        </w:tc>
        <w:tc>
          <w:tcPr>
            <w:tcW w:w="1701" w:type="dxa"/>
            <w:vAlign w:val="center"/>
          </w:tcPr>
          <w:p w:rsidR="00F550EB" w:rsidRPr="00B17B29" w:rsidP="0049376A">
            <w:pPr>
              <w:spacing w:before="29" w:line="360" w:lineRule="auto"/>
              <w:ind w:left="17"/>
              <w:jc w:val="center"/>
              <w:rPr>
                <w:color w:val="000000"/>
                <w:szCs w:val="21"/>
              </w:rPr>
            </w:pPr>
            <w:r w:rsidRPr="00B17B29">
              <w:rPr>
                <w:color w:val="000000"/>
                <w:szCs w:val="21"/>
              </w:rPr>
              <w:t>股票名称</w:t>
            </w:r>
          </w:p>
        </w:tc>
        <w:tc>
          <w:tcPr>
            <w:tcW w:w="1276" w:type="dxa"/>
            <w:vAlign w:val="center"/>
          </w:tcPr>
          <w:p w:rsidR="00F550EB" w:rsidRPr="00B17B29" w:rsidP="0049376A">
            <w:pPr>
              <w:spacing w:before="29" w:line="360" w:lineRule="auto"/>
              <w:ind w:left="17"/>
              <w:jc w:val="center"/>
              <w:rPr>
                <w:color w:val="000000"/>
                <w:szCs w:val="21"/>
              </w:rPr>
            </w:pPr>
            <w:r w:rsidRPr="00B17B29">
              <w:rPr>
                <w:color w:val="000000"/>
                <w:szCs w:val="21"/>
              </w:rPr>
              <w:t>数量</w:t>
            </w:r>
            <w:r w:rsidRPr="00B17B29">
              <w:rPr>
                <w:color w:val="000000"/>
                <w:szCs w:val="21"/>
              </w:rPr>
              <w:t>(</w:t>
            </w:r>
            <w:r w:rsidRPr="00B17B29">
              <w:rPr>
                <w:color w:val="000000"/>
                <w:szCs w:val="21"/>
              </w:rPr>
              <w:t>股</w:t>
            </w:r>
            <w:r w:rsidRPr="00B17B29">
              <w:rPr>
                <w:color w:val="000000"/>
                <w:szCs w:val="21"/>
              </w:rPr>
              <w:t>)</w:t>
            </w:r>
          </w:p>
        </w:tc>
        <w:tc>
          <w:tcPr>
            <w:tcW w:w="1842" w:type="dxa"/>
            <w:vAlign w:val="center"/>
          </w:tcPr>
          <w:p w:rsidR="00F550EB" w:rsidRPr="00B17B29" w:rsidP="0049376A">
            <w:pPr>
              <w:autoSpaceDE w:val="0"/>
              <w:autoSpaceDN w:val="0"/>
              <w:adjustRightInd w:val="0"/>
              <w:spacing w:before="29" w:line="360" w:lineRule="auto"/>
              <w:ind w:left="17"/>
              <w:jc w:val="center"/>
              <w:rPr>
                <w:color w:val="000000"/>
                <w:szCs w:val="21"/>
              </w:rPr>
            </w:pPr>
            <w:r w:rsidRPr="00B17B29">
              <w:rPr>
                <w:color w:val="000000"/>
                <w:szCs w:val="21"/>
              </w:rPr>
              <w:t>公允价值</w:t>
            </w:r>
          </w:p>
        </w:tc>
        <w:tc>
          <w:tcPr>
            <w:tcW w:w="1616" w:type="dxa"/>
            <w:vAlign w:val="center"/>
          </w:tcPr>
          <w:p w:rsidR="00F550EB" w:rsidRPr="00B17B29" w:rsidP="0049376A">
            <w:pPr>
              <w:spacing w:before="29" w:line="360" w:lineRule="auto"/>
              <w:ind w:left="17"/>
              <w:jc w:val="center"/>
              <w:rPr>
                <w:color w:val="000000"/>
                <w:szCs w:val="21"/>
              </w:rPr>
            </w:pPr>
            <w:r w:rsidRPr="00B17B29">
              <w:rPr>
                <w:color w:val="000000"/>
                <w:szCs w:val="21"/>
              </w:rPr>
              <w:t>占基金资产净值比例</w:t>
            </w:r>
            <w:r w:rsidRPr="00B17B29">
              <w:rPr>
                <w:color w:val="000000"/>
                <w:szCs w:val="21"/>
              </w:rPr>
              <w:t>(</w:t>
            </w:r>
            <w:r w:rsidRPr="00B17B29">
              <w:rPr>
                <w:color w:val="000000"/>
                <w:szCs w:val="21"/>
              </w:rPr>
              <w:t>％</w:t>
            </w:r>
            <w:r w:rsidRPr="00B17B29">
              <w:rPr>
                <w:color w:val="000000"/>
                <w:szCs w:val="21"/>
              </w:rPr>
              <w:t>)</w:t>
            </w:r>
          </w:p>
        </w:tc>
      </w:tr>
      <w:tr>
        <w:tblPrEx>
          <w:tblW w:w="0" w:type="auto"/>
          <w:jc w:val="center"/>
          <w:tblLayout w:type="fixed"/>
          <w:tblLook w:val="00A0"/>
        </w:tblPrEx>
        <w:trPr>
          <w:jc w:val="center"/>
        </w:trPr>
        <w:tc>
          <w:tcPr>
            <w:vAlign w:val="center"/>
          </w:tcPr>
          <w:p>
            <w:pPr>
              <w:jc w:val="center"/>
            </w:pPr>
            <w:r>
              <w:rPr>
                <w:color w:val="000000"/>
                <w:szCs w:val="21"/>
              </w:rPr>
              <w:t>1</w:t>
            </w:r>
          </w:p>
        </w:tc>
        <w:tc>
          <w:tcPr>
            <w:vAlign w:val="center"/>
          </w:tcPr>
          <w:p>
            <w:pPr>
              <w:jc w:val="center"/>
            </w:pPr>
            <w:r>
              <w:rPr>
                <w:color w:val="000000"/>
                <w:szCs w:val="21"/>
              </w:rPr>
              <w:t>601012</w:t>
            </w:r>
          </w:p>
        </w:tc>
        <w:tc>
          <w:tcPr>
            <w:vAlign w:val="center"/>
          </w:tcPr>
          <w:p>
            <w:pPr>
              <w:jc w:val="center"/>
            </w:pPr>
            <w:r>
              <w:rPr>
                <w:color w:val="000000"/>
                <w:szCs w:val="21"/>
              </w:rPr>
              <w:t>隆基股份</w:t>
            </w:r>
          </w:p>
        </w:tc>
        <w:tc>
          <w:tcPr>
            <w:vAlign w:val="center"/>
          </w:tcPr>
          <w:p>
            <w:pPr>
              <w:jc w:val="right"/>
            </w:pPr>
            <w:r>
              <w:rPr>
                <w:color w:val="000000"/>
                <w:szCs w:val="21"/>
              </w:rPr>
              <w:t>75,000</w:t>
            </w:r>
          </w:p>
        </w:tc>
        <w:tc>
          <w:tcPr>
            <w:vAlign w:val="center"/>
          </w:tcPr>
          <w:p>
            <w:pPr>
              <w:jc w:val="right"/>
            </w:pPr>
            <w:r>
              <w:rPr>
                <w:color w:val="000000"/>
                <w:szCs w:val="21"/>
              </w:rPr>
              <w:t>1,733,250.00</w:t>
            </w:r>
          </w:p>
        </w:tc>
        <w:tc>
          <w:tcPr>
            <w:vAlign w:val="center"/>
          </w:tcPr>
          <w:p>
            <w:pPr>
              <w:jc w:val="right"/>
            </w:pPr>
            <w:r>
              <w:rPr>
                <w:color w:val="000000"/>
                <w:szCs w:val="21"/>
              </w:rPr>
              <w:t>2.88</w:t>
            </w:r>
          </w:p>
        </w:tc>
      </w:tr>
      <w:tr>
        <w:tblPrEx>
          <w:tblW w:w="0" w:type="auto"/>
          <w:jc w:val="center"/>
          <w:tblLayout w:type="fixed"/>
          <w:tblLook w:val="00A0"/>
        </w:tblPrEx>
        <w:trPr>
          <w:jc w:val="center"/>
        </w:trPr>
        <w:tc>
          <w:tcPr>
            <w:vAlign w:val="center"/>
          </w:tcPr>
          <w:p>
            <w:pPr>
              <w:jc w:val="center"/>
            </w:pPr>
            <w:r>
              <w:rPr>
                <w:color w:val="000000"/>
                <w:szCs w:val="21"/>
              </w:rPr>
              <w:t>2</w:t>
            </w:r>
          </w:p>
        </w:tc>
        <w:tc>
          <w:tcPr>
            <w:vAlign w:val="center"/>
          </w:tcPr>
          <w:p>
            <w:pPr>
              <w:jc w:val="center"/>
            </w:pPr>
            <w:r>
              <w:rPr>
                <w:color w:val="000000"/>
                <w:szCs w:val="21"/>
              </w:rPr>
              <w:t>300124</w:t>
            </w:r>
          </w:p>
        </w:tc>
        <w:tc>
          <w:tcPr>
            <w:vAlign w:val="center"/>
          </w:tcPr>
          <w:p>
            <w:pPr>
              <w:jc w:val="center"/>
            </w:pPr>
            <w:r>
              <w:rPr>
                <w:color w:val="000000"/>
                <w:szCs w:val="21"/>
              </w:rPr>
              <w:t>汇川技术</w:t>
            </w:r>
          </w:p>
        </w:tc>
        <w:tc>
          <w:tcPr>
            <w:vAlign w:val="center"/>
          </w:tcPr>
          <w:p>
            <w:pPr>
              <w:jc w:val="right"/>
            </w:pPr>
            <w:r>
              <w:rPr>
                <w:color w:val="000000"/>
                <w:szCs w:val="21"/>
              </w:rPr>
              <w:t>45,000</w:t>
            </w:r>
          </w:p>
        </w:tc>
        <w:tc>
          <w:tcPr>
            <w:vAlign w:val="center"/>
          </w:tcPr>
          <w:p>
            <w:pPr>
              <w:jc w:val="right"/>
            </w:pPr>
            <w:r>
              <w:rPr>
                <w:color w:val="000000"/>
                <w:szCs w:val="21"/>
              </w:rPr>
              <w:t>1,030,950.00</w:t>
            </w:r>
          </w:p>
        </w:tc>
        <w:tc>
          <w:tcPr>
            <w:vAlign w:val="center"/>
          </w:tcPr>
          <w:p>
            <w:pPr>
              <w:jc w:val="right"/>
            </w:pPr>
            <w:r>
              <w:rPr>
                <w:color w:val="000000"/>
                <w:szCs w:val="21"/>
              </w:rPr>
              <w:t>1.71</w:t>
            </w:r>
          </w:p>
        </w:tc>
      </w:tr>
      <w:tr>
        <w:tblPrEx>
          <w:tblW w:w="0" w:type="auto"/>
          <w:jc w:val="center"/>
          <w:tblLayout w:type="fixed"/>
          <w:tblLook w:val="00A0"/>
        </w:tblPrEx>
        <w:trPr>
          <w:jc w:val="center"/>
        </w:trPr>
        <w:tc>
          <w:tcPr>
            <w:vAlign w:val="center"/>
          </w:tcPr>
          <w:p>
            <w:pPr>
              <w:jc w:val="center"/>
            </w:pPr>
            <w:r>
              <w:rPr>
                <w:color w:val="000000"/>
                <w:szCs w:val="21"/>
              </w:rPr>
              <w:t>3</w:t>
            </w:r>
          </w:p>
        </w:tc>
        <w:tc>
          <w:tcPr>
            <w:vAlign w:val="center"/>
          </w:tcPr>
          <w:p>
            <w:pPr>
              <w:jc w:val="center"/>
            </w:pPr>
            <w:r>
              <w:rPr>
                <w:color w:val="000000"/>
                <w:szCs w:val="21"/>
              </w:rPr>
              <w:t>600066</w:t>
            </w:r>
          </w:p>
        </w:tc>
        <w:tc>
          <w:tcPr>
            <w:vAlign w:val="center"/>
          </w:tcPr>
          <w:p>
            <w:pPr>
              <w:jc w:val="center"/>
            </w:pPr>
            <w:r>
              <w:rPr>
                <w:color w:val="000000"/>
                <w:szCs w:val="21"/>
              </w:rPr>
              <w:t>宇通客车</w:t>
            </w:r>
          </w:p>
        </w:tc>
        <w:tc>
          <w:tcPr>
            <w:vAlign w:val="center"/>
          </w:tcPr>
          <w:p>
            <w:pPr>
              <w:jc w:val="right"/>
            </w:pPr>
            <w:r>
              <w:rPr>
                <w:color w:val="000000"/>
                <w:szCs w:val="21"/>
              </w:rPr>
              <w:t>70,000</w:t>
            </w:r>
          </w:p>
        </w:tc>
        <w:tc>
          <w:tcPr>
            <w:vAlign w:val="center"/>
          </w:tcPr>
          <w:p>
            <w:pPr>
              <w:jc w:val="right"/>
            </w:pPr>
            <w:r>
              <w:rPr>
                <w:color w:val="000000"/>
                <w:szCs w:val="21"/>
              </w:rPr>
              <w:t>911,400.00</w:t>
            </w:r>
          </w:p>
        </w:tc>
        <w:tc>
          <w:tcPr>
            <w:vAlign w:val="center"/>
          </w:tcPr>
          <w:p>
            <w:pPr>
              <w:jc w:val="right"/>
            </w:pPr>
            <w:r>
              <w:rPr>
                <w:color w:val="000000"/>
                <w:szCs w:val="21"/>
              </w:rPr>
              <w:t>1.51</w:t>
            </w:r>
          </w:p>
        </w:tc>
      </w:tr>
      <w:tr>
        <w:tblPrEx>
          <w:tblW w:w="0" w:type="auto"/>
          <w:jc w:val="center"/>
          <w:tblLayout w:type="fixed"/>
          <w:tblLook w:val="00A0"/>
        </w:tblPrEx>
        <w:trPr>
          <w:jc w:val="center"/>
        </w:trPr>
        <w:tc>
          <w:tcPr>
            <w:vAlign w:val="center"/>
          </w:tcPr>
          <w:p>
            <w:pPr>
              <w:jc w:val="center"/>
            </w:pPr>
            <w:r>
              <w:rPr>
                <w:color w:val="000000"/>
                <w:szCs w:val="21"/>
              </w:rPr>
              <w:t>4</w:t>
            </w:r>
          </w:p>
        </w:tc>
        <w:tc>
          <w:tcPr>
            <w:vAlign w:val="center"/>
          </w:tcPr>
          <w:p>
            <w:pPr>
              <w:jc w:val="center"/>
            </w:pPr>
            <w:r>
              <w:rPr>
                <w:color w:val="000000"/>
                <w:szCs w:val="21"/>
              </w:rPr>
              <w:t>000651</w:t>
            </w:r>
          </w:p>
        </w:tc>
        <w:tc>
          <w:tcPr>
            <w:vAlign w:val="center"/>
          </w:tcPr>
          <w:p>
            <w:pPr>
              <w:jc w:val="center"/>
            </w:pPr>
            <w:r>
              <w:rPr>
                <w:color w:val="000000"/>
                <w:szCs w:val="21"/>
              </w:rPr>
              <w:t>格力电器</w:t>
            </w:r>
          </w:p>
        </w:tc>
        <w:tc>
          <w:tcPr>
            <w:vAlign w:val="center"/>
          </w:tcPr>
          <w:p>
            <w:pPr>
              <w:jc w:val="right"/>
            </w:pPr>
            <w:r>
              <w:rPr>
                <w:color w:val="000000"/>
                <w:szCs w:val="21"/>
              </w:rPr>
              <w:t>16,000</w:t>
            </w:r>
          </w:p>
        </w:tc>
        <w:tc>
          <w:tcPr>
            <w:vAlign w:val="center"/>
          </w:tcPr>
          <w:p>
            <w:pPr>
              <w:jc w:val="right"/>
            </w:pPr>
            <w:r>
              <w:rPr>
                <w:color w:val="000000"/>
                <w:szCs w:val="21"/>
              </w:rPr>
              <w:t>880,000.00</w:t>
            </w:r>
          </w:p>
        </w:tc>
        <w:tc>
          <w:tcPr>
            <w:vAlign w:val="center"/>
          </w:tcPr>
          <w:p>
            <w:pPr>
              <w:jc w:val="right"/>
            </w:pPr>
            <w:r>
              <w:rPr>
                <w:color w:val="000000"/>
                <w:szCs w:val="21"/>
              </w:rPr>
              <w:t>1.46</w:t>
            </w:r>
          </w:p>
        </w:tc>
      </w:tr>
      <w:tr>
        <w:tblPrEx>
          <w:tblW w:w="0" w:type="auto"/>
          <w:jc w:val="center"/>
          <w:tblLayout w:type="fixed"/>
          <w:tblLook w:val="00A0"/>
        </w:tblPrEx>
        <w:trPr>
          <w:jc w:val="center"/>
        </w:trPr>
        <w:tc>
          <w:tcPr>
            <w:vAlign w:val="center"/>
          </w:tcPr>
          <w:p>
            <w:pPr>
              <w:jc w:val="center"/>
            </w:pPr>
            <w:r>
              <w:rPr>
                <w:color w:val="000000"/>
                <w:szCs w:val="21"/>
              </w:rPr>
              <w:t>5</w:t>
            </w:r>
          </w:p>
        </w:tc>
        <w:tc>
          <w:tcPr>
            <w:vAlign w:val="center"/>
          </w:tcPr>
          <w:p>
            <w:pPr>
              <w:jc w:val="center"/>
            </w:pPr>
            <w:r>
              <w:rPr>
                <w:color w:val="000000"/>
                <w:szCs w:val="21"/>
              </w:rPr>
              <w:t>603986</w:t>
            </w:r>
          </w:p>
        </w:tc>
        <w:tc>
          <w:tcPr>
            <w:vAlign w:val="center"/>
          </w:tcPr>
          <w:p>
            <w:pPr>
              <w:jc w:val="center"/>
            </w:pPr>
            <w:r>
              <w:rPr>
                <w:color w:val="000000"/>
                <w:szCs w:val="21"/>
              </w:rPr>
              <w:t>兆易创新</w:t>
            </w:r>
          </w:p>
        </w:tc>
        <w:tc>
          <w:tcPr>
            <w:vAlign w:val="center"/>
          </w:tcPr>
          <w:p>
            <w:pPr>
              <w:jc w:val="right"/>
            </w:pPr>
            <w:r>
              <w:rPr>
                <w:color w:val="000000"/>
                <w:szCs w:val="21"/>
              </w:rPr>
              <w:t>10,000</w:t>
            </w:r>
          </w:p>
        </w:tc>
        <w:tc>
          <w:tcPr>
            <w:vAlign w:val="center"/>
          </w:tcPr>
          <w:p>
            <w:pPr>
              <w:jc w:val="right"/>
            </w:pPr>
            <w:r>
              <w:rPr>
                <w:color w:val="000000"/>
                <w:szCs w:val="21"/>
              </w:rPr>
              <w:t>867,000.00</w:t>
            </w:r>
          </w:p>
        </w:tc>
        <w:tc>
          <w:tcPr>
            <w:vAlign w:val="center"/>
          </w:tcPr>
          <w:p>
            <w:pPr>
              <w:jc w:val="right"/>
            </w:pPr>
            <w:r>
              <w:rPr>
                <w:color w:val="000000"/>
                <w:szCs w:val="21"/>
              </w:rPr>
              <w:t>1.44</w:t>
            </w:r>
          </w:p>
        </w:tc>
      </w:tr>
      <w:tr>
        <w:tblPrEx>
          <w:tblW w:w="0" w:type="auto"/>
          <w:jc w:val="center"/>
          <w:tblLayout w:type="fixed"/>
          <w:tblLook w:val="00A0"/>
        </w:tblPrEx>
        <w:trPr>
          <w:jc w:val="center"/>
        </w:trPr>
        <w:tc>
          <w:tcPr>
            <w:vAlign w:val="center"/>
          </w:tcPr>
          <w:p>
            <w:pPr>
              <w:jc w:val="center"/>
            </w:pPr>
            <w:r>
              <w:rPr>
                <w:color w:val="000000"/>
                <w:szCs w:val="21"/>
              </w:rPr>
              <w:t>6</w:t>
            </w:r>
          </w:p>
        </w:tc>
        <w:tc>
          <w:tcPr>
            <w:vAlign w:val="center"/>
          </w:tcPr>
          <w:p>
            <w:pPr>
              <w:jc w:val="center"/>
            </w:pPr>
            <w:r>
              <w:rPr>
                <w:color w:val="000000"/>
                <w:szCs w:val="21"/>
              </w:rPr>
              <w:t>300059</w:t>
            </w:r>
          </w:p>
        </w:tc>
        <w:tc>
          <w:tcPr>
            <w:vAlign w:val="center"/>
          </w:tcPr>
          <w:p>
            <w:pPr>
              <w:jc w:val="center"/>
            </w:pPr>
            <w:r>
              <w:rPr>
                <w:color w:val="000000"/>
                <w:szCs w:val="21"/>
              </w:rPr>
              <w:t>东方财富</w:t>
            </w:r>
          </w:p>
        </w:tc>
        <w:tc>
          <w:tcPr>
            <w:vAlign w:val="center"/>
          </w:tcPr>
          <w:p>
            <w:pPr>
              <w:jc w:val="right"/>
            </w:pPr>
            <w:r>
              <w:rPr>
                <w:color w:val="000000"/>
                <w:szCs w:val="21"/>
              </w:rPr>
              <w:t>60,000</w:t>
            </w:r>
          </w:p>
        </w:tc>
        <w:tc>
          <w:tcPr>
            <w:vAlign w:val="center"/>
          </w:tcPr>
          <w:p>
            <w:pPr>
              <w:jc w:val="right"/>
            </w:pPr>
            <w:r>
              <w:rPr>
                <w:color w:val="000000"/>
                <w:szCs w:val="21"/>
              </w:rPr>
              <w:t>813,000.00</w:t>
            </w:r>
          </w:p>
        </w:tc>
        <w:tc>
          <w:tcPr>
            <w:vAlign w:val="center"/>
          </w:tcPr>
          <w:p>
            <w:pPr>
              <w:jc w:val="right"/>
            </w:pPr>
            <w:r>
              <w:rPr>
                <w:color w:val="000000"/>
                <w:szCs w:val="21"/>
              </w:rPr>
              <w:t>1.35</w:t>
            </w:r>
          </w:p>
        </w:tc>
      </w:tr>
      <w:tr>
        <w:tblPrEx>
          <w:tblW w:w="0" w:type="auto"/>
          <w:jc w:val="center"/>
          <w:tblLayout w:type="fixed"/>
          <w:tblLook w:val="00A0"/>
        </w:tblPrEx>
        <w:trPr>
          <w:jc w:val="center"/>
        </w:trPr>
        <w:tc>
          <w:tcPr>
            <w:vAlign w:val="center"/>
          </w:tcPr>
          <w:p>
            <w:pPr>
              <w:jc w:val="center"/>
            </w:pPr>
            <w:r>
              <w:rPr>
                <w:color w:val="000000"/>
                <w:szCs w:val="21"/>
              </w:rPr>
              <w:t>7</w:t>
            </w:r>
          </w:p>
        </w:tc>
        <w:tc>
          <w:tcPr>
            <w:vAlign w:val="center"/>
          </w:tcPr>
          <w:p>
            <w:pPr>
              <w:jc w:val="center"/>
            </w:pPr>
            <w:r>
              <w:rPr>
                <w:color w:val="000000"/>
                <w:szCs w:val="21"/>
              </w:rPr>
              <w:t>600438</w:t>
            </w:r>
          </w:p>
        </w:tc>
        <w:tc>
          <w:tcPr>
            <w:vAlign w:val="center"/>
          </w:tcPr>
          <w:p>
            <w:pPr>
              <w:jc w:val="center"/>
            </w:pPr>
            <w:r>
              <w:rPr>
                <w:color w:val="000000"/>
                <w:szCs w:val="21"/>
              </w:rPr>
              <w:t>通威股份</w:t>
            </w:r>
          </w:p>
        </w:tc>
        <w:tc>
          <w:tcPr>
            <w:vAlign w:val="center"/>
          </w:tcPr>
          <w:p>
            <w:pPr>
              <w:jc w:val="right"/>
            </w:pPr>
            <w:r>
              <w:rPr>
                <w:color w:val="000000"/>
                <w:szCs w:val="21"/>
              </w:rPr>
              <w:t>55,000</w:t>
            </w:r>
          </w:p>
        </w:tc>
        <w:tc>
          <w:tcPr>
            <w:vAlign w:val="center"/>
          </w:tcPr>
          <w:p>
            <w:pPr>
              <w:jc w:val="right"/>
            </w:pPr>
            <w:r>
              <w:rPr>
                <w:color w:val="000000"/>
                <w:szCs w:val="21"/>
              </w:rPr>
              <w:t>773,300.00</w:t>
            </w:r>
          </w:p>
        </w:tc>
        <w:tc>
          <w:tcPr>
            <w:vAlign w:val="center"/>
          </w:tcPr>
          <w:p>
            <w:pPr>
              <w:jc w:val="right"/>
            </w:pPr>
            <w:r>
              <w:rPr>
                <w:color w:val="000000"/>
                <w:szCs w:val="21"/>
              </w:rPr>
              <w:t>1.28</w:t>
            </w:r>
          </w:p>
        </w:tc>
      </w:tr>
      <w:tr>
        <w:tblPrEx>
          <w:tblW w:w="0" w:type="auto"/>
          <w:jc w:val="center"/>
          <w:tblLayout w:type="fixed"/>
          <w:tblLook w:val="00A0"/>
        </w:tblPrEx>
        <w:trPr>
          <w:jc w:val="center"/>
        </w:trPr>
        <w:tc>
          <w:tcPr>
            <w:vAlign w:val="center"/>
          </w:tcPr>
          <w:p>
            <w:pPr>
              <w:jc w:val="center"/>
            </w:pPr>
            <w:r>
              <w:rPr>
                <w:color w:val="000000"/>
                <w:szCs w:val="21"/>
              </w:rPr>
              <w:t>8</w:t>
            </w:r>
          </w:p>
        </w:tc>
        <w:tc>
          <w:tcPr>
            <w:vAlign w:val="center"/>
          </w:tcPr>
          <w:p>
            <w:pPr>
              <w:jc w:val="center"/>
            </w:pPr>
            <w:r>
              <w:rPr>
                <w:color w:val="000000"/>
                <w:szCs w:val="21"/>
              </w:rPr>
              <w:t>600967</w:t>
            </w:r>
          </w:p>
        </w:tc>
        <w:tc>
          <w:tcPr>
            <w:vAlign w:val="center"/>
          </w:tcPr>
          <w:p>
            <w:pPr>
              <w:jc w:val="center"/>
            </w:pPr>
            <w:r>
              <w:rPr>
                <w:color w:val="000000"/>
                <w:szCs w:val="21"/>
              </w:rPr>
              <w:t>内蒙一机</w:t>
            </w:r>
          </w:p>
        </w:tc>
        <w:tc>
          <w:tcPr>
            <w:vAlign w:val="center"/>
          </w:tcPr>
          <w:p>
            <w:pPr>
              <w:jc w:val="right"/>
            </w:pPr>
            <w:r>
              <w:rPr>
                <w:color w:val="000000"/>
                <w:szCs w:val="21"/>
              </w:rPr>
              <w:t>50,000</w:t>
            </w:r>
          </w:p>
        </w:tc>
        <w:tc>
          <w:tcPr>
            <w:vAlign w:val="center"/>
          </w:tcPr>
          <w:p>
            <w:pPr>
              <w:jc w:val="right"/>
            </w:pPr>
            <w:r>
              <w:rPr>
                <w:color w:val="000000"/>
                <w:szCs w:val="21"/>
              </w:rPr>
              <w:t>560,000.00</w:t>
            </w:r>
          </w:p>
        </w:tc>
        <w:tc>
          <w:tcPr>
            <w:vAlign w:val="center"/>
          </w:tcPr>
          <w:p>
            <w:pPr>
              <w:jc w:val="right"/>
            </w:pPr>
            <w:r>
              <w:rPr>
                <w:color w:val="000000"/>
                <w:szCs w:val="21"/>
              </w:rPr>
              <w:t>0.93</w:t>
            </w:r>
          </w:p>
        </w:tc>
      </w:tr>
      <w:tr>
        <w:tblPrEx>
          <w:tblW w:w="0" w:type="auto"/>
          <w:jc w:val="center"/>
          <w:tblLayout w:type="fixed"/>
          <w:tblLook w:val="00A0"/>
        </w:tblPrEx>
        <w:trPr>
          <w:jc w:val="center"/>
        </w:trPr>
        <w:tc>
          <w:tcPr>
            <w:vAlign w:val="center"/>
          </w:tcPr>
          <w:p>
            <w:pPr>
              <w:jc w:val="center"/>
            </w:pPr>
            <w:r>
              <w:rPr>
                <w:color w:val="000000"/>
                <w:szCs w:val="21"/>
              </w:rPr>
              <w:t>9</w:t>
            </w:r>
          </w:p>
        </w:tc>
        <w:tc>
          <w:tcPr>
            <w:vAlign w:val="center"/>
          </w:tcPr>
          <w:p>
            <w:pPr>
              <w:jc w:val="center"/>
            </w:pPr>
            <w:r>
              <w:rPr>
                <w:color w:val="000000"/>
                <w:szCs w:val="21"/>
              </w:rPr>
              <w:t>300470</w:t>
            </w:r>
          </w:p>
        </w:tc>
        <w:tc>
          <w:tcPr>
            <w:vAlign w:val="center"/>
          </w:tcPr>
          <w:p>
            <w:pPr>
              <w:jc w:val="center"/>
            </w:pPr>
            <w:r>
              <w:rPr>
                <w:color w:val="000000"/>
                <w:szCs w:val="21"/>
              </w:rPr>
              <w:t>日机密封</w:t>
            </w:r>
          </w:p>
        </w:tc>
        <w:tc>
          <w:tcPr>
            <w:vAlign w:val="center"/>
          </w:tcPr>
          <w:p>
            <w:pPr>
              <w:jc w:val="right"/>
            </w:pPr>
            <w:r>
              <w:rPr>
                <w:color w:val="000000"/>
                <w:szCs w:val="21"/>
              </w:rPr>
              <w:t>10,000</w:t>
            </w:r>
          </w:p>
        </w:tc>
        <w:tc>
          <w:tcPr>
            <w:vAlign w:val="center"/>
          </w:tcPr>
          <w:p>
            <w:pPr>
              <w:jc w:val="right"/>
            </w:pPr>
            <w:r>
              <w:rPr>
                <w:color w:val="000000"/>
                <w:szCs w:val="21"/>
              </w:rPr>
              <w:t>248,400.00</w:t>
            </w:r>
          </w:p>
        </w:tc>
        <w:tc>
          <w:tcPr>
            <w:vAlign w:val="center"/>
          </w:tcPr>
          <w:p>
            <w:pPr>
              <w:jc w:val="right"/>
            </w:pPr>
            <w:r>
              <w:rPr>
                <w:color w:val="000000"/>
                <w:szCs w:val="21"/>
              </w:rPr>
              <w:t>0.41</w:t>
            </w:r>
          </w:p>
        </w:tc>
      </w:tr>
      <w:tr>
        <w:tblPrEx>
          <w:tblW w:w="0" w:type="auto"/>
          <w:jc w:val="center"/>
          <w:tblLayout w:type="fixed"/>
          <w:tblLook w:val="00A0"/>
        </w:tblPrEx>
        <w:trPr>
          <w:jc w:val="center"/>
        </w:trPr>
        <w:tc>
          <w:tcPr>
            <w:vAlign w:val="center"/>
          </w:tcPr>
          <w:p>
            <w:pPr>
              <w:jc w:val="center"/>
            </w:pPr>
            <w:r>
              <w:rPr>
                <w:color w:val="000000"/>
                <w:szCs w:val="21"/>
              </w:rPr>
              <w:t>10</w:t>
            </w:r>
          </w:p>
        </w:tc>
        <w:tc>
          <w:tcPr>
            <w:vAlign w:val="center"/>
          </w:tcPr>
          <w:p>
            <w:pPr>
              <w:jc w:val="center"/>
            </w:pPr>
            <w:r>
              <w:rPr>
                <w:color w:val="000000"/>
                <w:szCs w:val="21"/>
              </w:rPr>
              <w:t>000888</w:t>
            </w:r>
          </w:p>
        </w:tc>
        <w:tc>
          <w:tcPr>
            <w:vAlign w:val="center"/>
          </w:tcPr>
          <w:p>
            <w:pPr>
              <w:jc w:val="center"/>
            </w:pPr>
            <w:r>
              <w:rPr>
                <w:color w:val="000000"/>
                <w:szCs w:val="21"/>
              </w:rPr>
              <w:t>峨眉山Ａ</w:t>
            </w:r>
          </w:p>
        </w:tc>
        <w:tc>
          <w:tcPr>
            <w:vAlign w:val="center"/>
          </w:tcPr>
          <w:p>
            <w:pPr>
              <w:jc w:val="right"/>
            </w:pPr>
            <w:r>
              <w:rPr>
                <w:color w:val="000000"/>
                <w:szCs w:val="21"/>
              </w:rPr>
              <w:t>100</w:t>
            </w:r>
          </w:p>
        </w:tc>
        <w:tc>
          <w:tcPr>
            <w:vAlign w:val="center"/>
          </w:tcPr>
          <w:p>
            <w:pPr>
              <w:jc w:val="right"/>
            </w:pPr>
            <w:r>
              <w:rPr>
                <w:color w:val="000000"/>
                <w:szCs w:val="21"/>
              </w:rPr>
              <w:t>602.00</w:t>
            </w:r>
          </w:p>
        </w:tc>
        <w:tc>
          <w:tcPr>
            <w:vAlign w:val="center"/>
          </w:tcPr>
          <w:p>
            <w:pPr>
              <w:jc w:val="right"/>
            </w:pPr>
            <w:r>
              <w:rPr>
                <w:color w:val="000000"/>
                <w:szCs w:val="21"/>
              </w:rPr>
              <w:t>0.00</w:t>
            </w:r>
          </w:p>
        </w:tc>
      </w:tr>
    </w:tbl>
    <w:p w:rsidR="00D911A5" w:rsidRPr="0045565B" w:rsidP="00F550EB">
      <w:pPr>
        <w:spacing w:line="360" w:lineRule="auto"/>
        <w:ind w:firstLine="420" w:firstLineChars="200"/>
        <w:rPr>
          <w:rFonts w:eastAsiaTheme="minorEastAsia"/>
        </w:rPr>
      </w:pPr>
      <w:r w:rsidRPr="00DF08E7">
        <w:rPr>
          <w:rFonts w:eastAsiaTheme="minorEastAsia"/>
          <w:color w:val="000000"/>
          <w:szCs w:val="21"/>
        </w:rPr>
        <w:t>注：投资者欲了解本报告期末基金投资的所有股票明细，应阅读登载于基金管理人网站的半年度报告正文。</w:t>
      </w:r>
    </w:p>
    <w:p w:rsidR="001548F9" w:rsidRPr="0045565B" w:rsidP="004F36AD">
      <w:pPr>
        <w:pStyle w:val="Heading2"/>
        <w:spacing w:before="312" w:beforeLines="100" w:after="0"/>
        <w:rPr>
          <w:rFonts w:ascii="Times New Roman" w:hAnsi="Times New Roman" w:eastAsiaTheme="minorEastAsia"/>
          <w:kern w:val="0"/>
          <w:sz w:val="21"/>
          <w:szCs w:val="21"/>
        </w:rPr>
      </w:pPr>
      <w:bookmarkStart w:id="59" w:name="_Toc331410105"/>
      <w:r w:rsidRPr="0045565B">
        <w:rPr>
          <w:rFonts w:ascii="Times New Roman" w:hAnsi="Times New Roman" w:eastAsiaTheme="minorEastAsia"/>
          <w:kern w:val="0"/>
          <w:sz w:val="21"/>
          <w:szCs w:val="21"/>
        </w:rPr>
        <w:t>7.4</w:t>
      </w:r>
      <w:bookmarkStart w:id="60" w:name="_Toc234814103"/>
      <w:r w:rsidRPr="0045565B">
        <w:rPr>
          <w:rFonts w:ascii="Times New Roman" w:hAnsi="Times New Roman" w:eastAsiaTheme="minorEastAsia"/>
          <w:kern w:val="0"/>
          <w:sz w:val="21"/>
          <w:szCs w:val="21"/>
        </w:rPr>
        <w:t>报告期内股票投资组合的重大变动</w:t>
      </w:r>
      <w:bookmarkEnd w:id="59"/>
      <w:bookmarkEnd w:id="60"/>
    </w:p>
    <w:p w:rsidR="001548F9" w:rsidRPr="0045565B" w:rsidP="000323F4">
      <w:pPr>
        <w:spacing w:line="360" w:lineRule="auto"/>
        <w:rPr>
          <w:rFonts w:eastAsiaTheme="minorEastAsia"/>
          <w:b/>
          <w:bCs/>
          <w:color w:val="000000"/>
          <w:szCs w:val="21"/>
        </w:rPr>
      </w:pPr>
      <w:r w:rsidRPr="0045565B">
        <w:rPr>
          <w:rFonts w:eastAsiaTheme="minorEastAsia"/>
          <w:b/>
          <w:color w:val="000000"/>
          <w:szCs w:val="21"/>
        </w:rPr>
        <w:t xml:space="preserve">7.4.1 </w:t>
      </w:r>
      <w:r w:rsidRPr="0045565B" w:rsidR="007E4BC1">
        <w:rPr>
          <w:rFonts w:eastAsiaTheme="minorEastAsia"/>
          <w:b/>
          <w:bCs/>
          <w:color w:val="000000"/>
          <w:szCs w:val="21"/>
        </w:rPr>
        <w:t>累计买入金额超出</w:t>
      </w:r>
      <w:r w:rsidRPr="0045565B" w:rsidR="007E4BC1">
        <w:rPr>
          <w:rFonts w:eastAsiaTheme="minorEastAsia"/>
          <w:b/>
          <w:color w:val="000000"/>
          <w:kern w:val="0"/>
          <w:szCs w:val="21"/>
        </w:rPr>
        <w:t>期初</w:t>
      </w:r>
      <w:r w:rsidRPr="0045565B">
        <w:rPr>
          <w:rFonts w:eastAsiaTheme="minorEastAsia"/>
          <w:b/>
          <w:bCs/>
          <w:color w:val="000000"/>
          <w:szCs w:val="21"/>
        </w:rPr>
        <w:t>基金资产净值</w:t>
      </w:r>
      <w:r w:rsidRPr="0045565B" w:rsidR="00AD1469">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87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本期累计买入金额</w:t>
            </w:r>
          </w:p>
        </w:tc>
        <w:tc>
          <w:tcPr>
            <w:tcW w:w="162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占期初基金资产净值比例（％）</w:t>
            </w:r>
          </w:p>
        </w:tc>
      </w:tr>
      <w:tr>
        <w:tblPrEx>
          <w:tblW w:w="0" w:type="auto"/>
          <w:tblInd w:w="108" w:type="dxa"/>
          <w:tblLayout w:type="fixed"/>
          <w:tblLook w:val="00A0"/>
        </w:tblPrEx>
        <w:tc>
          <w:tcPr>
            <w:vAlign w:val="center"/>
          </w:tcPr>
          <w:p>
            <w:pPr>
              <w:jc w:val="center"/>
            </w:pPr>
            <w:r>
              <w:rPr>
                <w:rFonts w:eastAsiaTheme="minorEastAsia"/>
                <w:szCs w:val="21"/>
              </w:rPr>
              <w:t>1</w:t>
            </w:r>
          </w:p>
        </w:tc>
        <w:tc>
          <w:tcPr>
            <w:vAlign w:val="center"/>
          </w:tcPr>
          <w:p>
            <w:pPr>
              <w:jc w:val="center"/>
            </w:pPr>
            <w:r>
              <w:rPr>
                <w:rFonts w:eastAsiaTheme="minorEastAsia"/>
                <w:szCs w:val="21"/>
              </w:rPr>
              <w:t>600967</w:t>
            </w:r>
          </w:p>
        </w:tc>
        <w:tc>
          <w:tcPr>
            <w:vAlign w:val="center"/>
          </w:tcPr>
          <w:p>
            <w:pPr>
              <w:jc w:val="center"/>
            </w:pPr>
            <w:r>
              <w:rPr>
                <w:rFonts w:eastAsiaTheme="minorEastAsia"/>
                <w:szCs w:val="21"/>
              </w:rPr>
              <w:t>内蒙一机</w:t>
            </w:r>
          </w:p>
        </w:tc>
        <w:tc>
          <w:tcPr>
            <w:vAlign w:val="center"/>
          </w:tcPr>
          <w:p>
            <w:pPr>
              <w:jc w:val="right"/>
            </w:pPr>
            <w:r>
              <w:rPr>
                <w:rFonts w:eastAsiaTheme="minorEastAsia"/>
                <w:szCs w:val="21"/>
              </w:rPr>
              <w:t>5,081,643.32</w:t>
            </w:r>
          </w:p>
        </w:tc>
        <w:tc>
          <w:tcPr>
            <w:vAlign w:val="center"/>
          </w:tcPr>
          <w:p>
            <w:pPr>
              <w:jc w:val="right"/>
            </w:pPr>
            <w:r>
              <w:rPr>
                <w:rFonts w:eastAsiaTheme="minorEastAsia"/>
                <w:szCs w:val="21"/>
              </w:rPr>
              <w:t>10.04</w:t>
            </w:r>
          </w:p>
        </w:tc>
      </w:tr>
      <w:tr>
        <w:tblPrEx>
          <w:tblW w:w="0" w:type="auto"/>
          <w:tblInd w:w="108" w:type="dxa"/>
          <w:tblLayout w:type="fixed"/>
          <w:tblLook w:val="00A0"/>
        </w:tblPrEx>
        <w:tc>
          <w:tcPr>
            <w:vAlign w:val="center"/>
          </w:tcPr>
          <w:p>
            <w:pPr>
              <w:jc w:val="center"/>
            </w:pPr>
            <w:r>
              <w:rPr>
                <w:rFonts w:eastAsiaTheme="minorEastAsia"/>
                <w:szCs w:val="21"/>
              </w:rPr>
              <w:t>2</w:t>
            </w:r>
          </w:p>
        </w:tc>
        <w:tc>
          <w:tcPr>
            <w:vAlign w:val="center"/>
          </w:tcPr>
          <w:p>
            <w:pPr>
              <w:jc w:val="center"/>
            </w:pPr>
            <w:r>
              <w:rPr>
                <w:rFonts w:eastAsiaTheme="minorEastAsia"/>
                <w:szCs w:val="21"/>
              </w:rPr>
              <w:t>603711</w:t>
            </w:r>
          </w:p>
        </w:tc>
        <w:tc>
          <w:tcPr>
            <w:vAlign w:val="center"/>
          </w:tcPr>
          <w:p>
            <w:pPr>
              <w:jc w:val="center"/>
            </w:pPr>
            <w:r>
              <w:rPr>
                <w:rFonts w:eastAsiaTheme="minorEastAsia"/>
                <w:szCs w:val="21"/>
              </w:rPr>
              <w:t>香飘飘</w:t>
            </w:r>
          </w:p>
        </w:tc>
        <w:tc>
          <w:tcPr>
            <w:vAlign w:val="center"/>
          </w:tcPr>
          <w:p>
            <w:pPr>
              <w:jc w:val="right"/>
            </w:pPr>
            <w:r>
              <w:rPr>
                <w:rFonts w:eastAsiaTheme="minorEastAsia"/>
                <w:szCs w:val="21"/>
              </w:rPr>
              <w:t>3,483,623.36</w:t>
            </w:r>
          </w:p>
        </w:tc>
        <w:tc>
          <w:tcPr>
            <w:vAlign w:val="center"/>
          </w:tcPr>
          <w:p>
            <w:pPr>
              <w:jc w:val="right"/>
            </w:pPr>
            <w:r>
              <w:rPr>
                <w:rFonts w:eastAsiaTheme="minorEastAsia"/>
                <w:szCs w:val="21"/>
              </w:rPr>
              <w:t>6.88</w:t>
            </w:r>
          </w:p>
        </w:tc>
      </w:tr>
      <w:tr>
        <w:tblPrEx>
          <w:tblW w:w="0" w:type="auto"/>
          <w:tblInd w:w="108" w:type="dxa"/>
          <w:tblLayout w:type="fixed"/>
          <w:tblLook w:val="00A0"/>
        </w:tblPrEx>
        <w:tc>
          <w:tcPr>
            <w:vAlign w:val="center"/>
          </w:tcPr>
          <w:p>
            <w:pPr>
              <w:jc w:val="center"/>
            </w:pPr>
            <w:r>
              <w:rPr>
                <w:rFonts w:eastAsiaTheme="minorEastAsia"/>
                <w:szCs w:val="21"/>
              </w:rPr>
              <w:t>3</w:t>
            </w:r>
          </w:p>
        </w:tc>
        <w:tc>
          <w:tcPr>
            <w:vAlign w:val="center"/>
          </w:tcPr>
          <w:p>
            <w:pPr>
              <w:jc w:val="center"/>
            </w:pPr>
            <w:r>
              <w:rPr>
                <w:rFonts w:eastAsiaTheme="minorEastAsia"/>
                <w:szCs w:val="21"/>
              </w:rPr>
              <w:t>300470</w:t>
            </w:r>
          </w:p>
        </w:tc>
        <w:tc>
          <w:tcPr>
            <w:vAlign w:val="center"/>
          </w:tcPr>
          <w:p>
            <w:pPr>
              <w:jc w:val="center"/>
            </w:pPr>
            <w:r>
              <w:rPr>
                <w:rFonts w:eastAsiaTheme="minorEastAsia"/>
                <w:szCs w:val="21"/>
              </w:rPr>
              <w:t>日机密封</w:t>
            </w:r>
          </w:p>
        </w:tc>
        <w:tc>
          <w:tcPr>
            <w:vAlign w:val="center"/>
          </w:tcPr>
          <w:p>
            <w:pPr>
              <w:jc w:val="right"/>
            </w:pPr>
            <w:r>
              <w:rPr>
                <w:rFonts w:eastAsiaTheme="minorEastAsia"/>
                <w:szCs w:val="21"/>
              </w:rPr>
              <w:t>2,024,381.00</w:t>
            </w:r>
          </w:p>
        </w:tc>
        <w:tc>
          <w:tcPr>
            <w:vAlign w:val="center"/>
          </w:tcPr>
          <w:p>
            <w:pPr>
              <w:jc w:val="right"/>
            </w:pPr>
            <w:r>
              <w:rPr>
                <w:rFonts w:eastAsiaTheme="minorEastAsia"/>
                <w:szCs w:val="21"/>
              </w:rPr>
              <w:t>4.00</w:t>
            </w:r>
          </w:p>
        </w:tc>
      </w:tr>
      <w:tr>
        <w:tblPrEx>
          <w:tblW w:w="0" w:type="auto"/>
          <w:tblInd w:w="108" w:type="dxa"/>
          <w:tblLayout w:type="fixed"/>
          <w:tblLook w:val="00A0"/>
        </w:tblPrEx>
        <w:tc>
          <w:tcPr>
            <w:vAlign w:val="center"/>
          </w:tcPr>
          <w:p>
            <w:pPr>
              <w:jc w:val="center"/>
            </w:pPr>
            <w:r>
              <w:rPr>
                <w:rFonts w:eastAsiaTheme="minorEastAsia"/>
                <w:szCs w:val="21"/>
              </w:rPr>
              <w:t>4</w:t>
            </w:r>
          </w:p>
        </w:tc>
        <w:tc>
          <w:tcPr>
            <w:vAlign w:val="center"/>
          </w:tcPr>
          <w:p>
            <w:pPr>
              <w:jc w:val="center"/>
            </w:pPr>
            <w:r>
              <w:rPr>
                <w:rFonts w:eastAsiaTheme="minorEastAsia"/>
                <w:szCs w:val="21"/>
              </w:rPr>
              <w:t>000651</w:t>
            </w:r>
          </w:p>
        </w:tc>
        <w:tc>
          <w:tcPr>
            <w:vAlign w:val="center"/>
          </w:tcPr>
          <w:p>
            <w:pPr>
              <w:jc w:val="center"/>
            </w:pPr>
            <w:r>
              <w:rPr>
                <w:rFonts w:eastAsiaTheme="minorEastAsia"/>
                <w:szCs w:val="21"/>
              </w:rPr>
              <w:t>格力电器</w:t>
            </w:r>
          </w:p>
        </w:tc>
        <w:tc>
          <w:tcPr>
            <w:vAlign w:val="center"/>
          </w:tcPr>
          <w:p>
            <w:pPr>
              <w:jc w:val="right"/>
            </w:pPr>
            <w:r>
              <w:rPr>
                <w:rFonts w:eastAsiaTheme="minorEastAsia"/>
                <w:szCs w:val="21"/>
              </w:rPr>
              <w:t>1,999,480.00</w:t>
            </w:r>
          </w:p>
        </w:tc>
        <w:tc>
          <w:tcPr>
            <w:vAlign w:val="center"/>
          </w:tcPr>
          <w:p>
            <w:pPr>
              <w:jc w:val="right"/>
            </w:pPr>
            <w:r>
              <w:rPr>
                <w:rFonts w:eastAsiaTheme="minorEastAsia"/>
                <w:szCs w:val="21"/>
              </w:rPr>
              <w:t>3.95</w:t>
            </w:r>
          </w:p>
        </w:tc>
      </w:tr>
      <w:tr>
        <w:tblPrEx>
          <w:tblW w:w="0" w:type="auto"/>
          <w:tblInd w:w="108" w:type="dxa"/>
          <w:tblLayout w:type="fixed"/>
          <w:tblLook w:val="00A0"/>
        </w:tblPrEx>
        <w:tc>
          <w:tcPr>
            <w:vAlign w:val="center"/>
          </w:tcPr>
          <w:p>
            <w:pPr>
              <w:jc w:val="center"/>
            </w:pPr>
            <w:r>
              <w:rPr>
                <w:rFonts w:eastAsiaTheme="minorEastAsia"/>
                <w:szCs w:val="21"/>
              </w:rPr>
              <w:t>5</w:t>
            </w:r>
          </w:p>
        </w:tc>
        <w:tc>
          <w:tcPr>
            <w:vAlign w:val="center"/>
          </w:tcPr>
          <w:p>
            <w:pPr>
              <w:jc w:val="center"/>
            </w:pPr>
            <w:r>
              <w:rPr>
                <w:rFonts w:eastAsiaTheme="minorEastAsia"/>
                <w:szCs w:val="21"/>
              </w:rPr>
              <w:t>300059</w:t>
            </w:r>
          </w:p>
        </w:tc>
        <w:tc>
          <w:tcPr>
            <w:vAlign w:val="center"/>
          </w:tcPr>
          <w:p>
            <w:pPr>
              <w:jc w:val="center"/>
            </w:pPr>
            <w:r>
              <w:rPr>
                <w:rFonts w:eastAsiaTheme="minorEastAsia"/>
                <w:szCs w:val="21"/>
              </w:rPr>
              <w:t>东方财富</w:t>
            </w:r>
          </w:p>
        </w:tc>
        <w:tc>
          <w:tcPr>
            <w:vAlign w:val="center"/>
          </w:tcPr>
          <w:p>
            <w:pPr>
              <w:jc w:val="right"/>
            </w:pPr>
            <w:r>
              <w:rPr>
                <w:rFonts w:eastAsiaTheme="minorEastAsia"/>
                <w:szCs w:val="21"/>
              </w:rPr>
              <w:t>1,866,800.00</w:t>
            </w:r>
          </w:p>
        </w:tc>
        <w:tc>
          <w:tcPr>
            <w:vAlign w:val="center"/>
          </w:tcPr>
          <w:p>
            <w:pPr>
              <w:jc w:val="right"/>
            </w:pPr>
            <w:r>
              <w:rPr>
                <w:rFonts w:eastAsiaTheme="minorEastAsia"/>
                <w:szCs w:val="21"/>
              </w:rPr>
              <w:t>3.69</w:t>
            </w:r>
          </w:p>
        </w:tc>
      </w:tr>
      <w:tr>
        <w:tblPrEx>
          <w:tblW w:w="0" w:type="auto"/>
          <w:tblInd w:w="108" w:type="dxa"/>
          <w:tblLayout w:type="fixed"/>
          <w:tblLook w:val="00A0"/>
        </w:tblPrEx>
        <w:tc>
          <w:tcPr>
            <w:vAlign w:val="center"/>
          </w:tcPr>
          <w:p>
            <w:pPr>
              <w:jc w:val="center"/>
            </w:pPr>
            <w:r>
              <w:rPr>
                <w:rFonts w:eastAsiaTheme="minorEastAsia"/>
                <w:szCs w:val="21"/>
              </w:rPr>
              <w:t>6</w:t>
            </w:r>
          </w:p>
        </w:tc>
        <w:tc>
          <w:tcPr>
            <w:vAlign w:val="center"/>
          </w:tcPr>
          <w:p>
            <w:pPr>
              <w:jc w:val="center"/>
            </w:pPr>
            <w:r>
              <w:rPr>
                <w:rFonts w:eastAsiaTheme="minorEastAsia"/>
                <w:szCs w:val="21"/>
              </w:rPr>
              <w:t>601012</w:t>
            </w:r>
          </w:p>
        </w:tc>
        <w:tc>
          <w:tcPr>
            <w:vAlign w:val="center"/>
          </w:tcPr>
          <w:p>
            <w:pPr>
              <w:jc w:val="center"/>
            </w:pPr>
            <w:r>
              <w:rPr>
                <w:rFonts w:eastAsiaTheme="minorEastAsia"/>
                <w:szCs w:val="21"/>
              </w:rPr>
              <w:t>隆基股份</w:t>
            </w:r>
          </w:p>
        </w:tc>
        <w:tc>
          <w:tcPr>
            <w:vAlign w:val="center"/>
          </w:tcPr>
          <w:p>
            <w:pPr>
              <w:jc w:val="right"/>
            </w:pPr>
            <w:r>
              <w:rPr>
                <w:rFonts w:eastAsiaTheme="minorEastAsia"/>
                <w:szCs w:val="21"/>
              </w:rPr>
              <w:t>1,703,564.53</w:t>
            </w:r>
          </w:p>
        </w:tc>
        <w:tc>
          <w:tcPr>
            <w:vAlign w:val="center"/>
          </w:tcPr>
          <w:p>
            <w:pPr>
              <w:jc w:val="right"/>
            </w:pPr>
            <w:r>
              <w:rPr>
                <w:rFonts w:eastAsiaTheme="minorEastAsia"/>
                <w:szCs w:val="21"/>
              </w:rPr>
              <w:t>3.37</w:t>
            </w:r>
          </w:p>
        </w:tc>
      </w:tr>
      <w:tr>
        <w:tblPrEx>
          <w:tblW w:w="0" w:type="auto"/>
          <w:tblInd w:w="108" w:type="dxa"/>
          <w:tblLayout w:type="fixed"/>
          <w:tblLook w:val="00A0"/>
        </w:tblPrEx>
        <w:tc>
          <w:tcPr>
            <w:vAlign w:val="center"/>
          </w:tcPr>
          <w:p>
            <w:pPr>
              <w:jc w:val="center"/>
            </w:pPr>
            <w:r>
              <w:rPr>
                <w:rFonts w:eastAsiaTheme="minorEastAsia"/>
                <w:szCs w:val="21"/>
              </w:rPr>
              <w:t>7</w:t>
            </w:r>
          </w:p>
        </w:tc>
        <w:tc>
          <w:tcPr>
            <w:vAlign w:val="center"/>
          </w:tcPr>
          <w:p>
            <w:pPr>
              <w:jc w:val="center"/>
            </w:pPr>
            <w:r>
              <w:rPr>
                <w:rFonts w:eastAsiaTheme="minorEastAsia"/>
                <w:szCs w:val="21"/>
              </w:rPr>
              <w:t>600996</w:t>
            </w:r>
          </w:p>
        </w:tc>
        <w:tc>
          <w:tcPr>
            <w:vAlign w:val="center"/>
          </w:tcPr>
          <w:p>
            <w:pPr>
              <w:jc w:val="center"/>
            </w:pPr>
            <w:r>
              <w:rPr>
                <w:rFonts w:eastAsiaTheme="minorEastAsia"/>
                <w:szCs w:val="21"/>
              </w:rPr>
              <w:t>贵广网络</w:t>
            </w:r>
          </w:p>
        </w:tc>
        <w:tc>
          <w:tcPr>
            <w:vAlign w:val="center"/>
          </w:tcPr>
          <w:p>
            <w:pPr>
              <w:jc w:val="right"/>
            </w:pPr>
            <w:r>
              <w:rPr>
                <w:rFonts w:eastAsiaTheme="minorEastAsia"/>
                <w:szCs w:val="21"/>
              </w:rPr>
              <w:t>1,614,365.00</w:t>
            </w:r>
          </w:p>
        </w:tc>
        <w:tc>
          <w:tcPr>
            <w:vAlign w:val="center"/>
          </w:tcPr>
          <w:p>
            <w:pPr>
              <w:jc w:val="right"/>
            </w:pPr>
            <w:r>
              <w:rPr>
                <w:rFonts w:eastAsiaTheme="minorEastAsia"/>
                <w:szCs w:val="21"/>
              </w:rPr>
              <w:t>3.19</w:t>
            </w:r>
          </w:p>
        </w:tc>
      </w:tr>
      <w:tr>
        <w:tblPrEx>
          <w:tblW w:w="0" w:type="auto"/>
          <w:tblInd w:w="108" w:type="dxa"/>
          <w:tblLayout w:type="fixed"/>
          <w:tblLook w:val="00A0"/>
        </w:tblPrEx>
        <w:tc>
          <w:tcPr>
            <w:vAlign w:val="center"/>
          </w:tcPr>
          <w:p>
            <w:pPr>
              <w:jc w:val="center"/>
            </w:pPr>
            <w:r>
              <w:rPr>
                <w:rFonts w:eastAsiaTheme="minorEastAsia"/>
                <w:szCs w:val="21"/>
              </w:rPr>
              <w:t>8</w:t>
            </w:r>
          </w:p>
        </w:tc>
        <w:tc>
          <w:tcPr>
            <w:vAlign w:val="center"/>
          </w:tcPr>
          <w:p>
            <w:pPr>
              <w:jc w:val="center"/>
            </w:pPr>
            <w:r>
              <w:rPr>
                <w:rFonts w:eastAsiaTheme="minorEastAsia"/>
                <w:szCs w:val="21"/>
              </w:rPr>
              <w:t>600104</w:t>
            </w:r>
          </w:p>
        </w:tc>
        <w:tc>
          <w:tcPr>
            <w:vAlign w:val="center"/>
          </w:tcPr>
          <w:p>
            <w:pPr>
              <w:jc w:val="center"/>
            </w:pPr>
            <w:r>
              <w:rPr>
                <w:rFonts w:eastAsiaTheme="minorEastAsia"/>
                <w:szCs w:val="21"/>
              </w:rPr>
              <w:t>上汽集团</w:t>
            </w:r>
          </w:p>
        </w:tc>
        <w:tc>
          <w:tcPr>
            <w:vAlign w:val="center"/>
          </w:tcPr>
          <w:p>
            <w:pPr>
              <w:jc w:val="right"/>
            </w:pPr>
            <w:r>
              <w:rPr>
                <w:rFonts w:eastAsiaTheme="minorEastAsia"/>
                <w:szCs w:val="21"/>
              </w:rPr>
              <w:t>1,573,621.00</w:t>
            </w:r>
          </w:p>
        </w:tc>
        <w:tc>
          <w:tcPr>
            <w:vAlign w:val="center"/>
          </w:tcPr>
          <w:p>
            <w:pPr>
              <w:jc w:val="right"/>
            </w:pPr>
            <w:r>
              <w:rPr>
                <w:rFonts w:eastAsiaTheme="minorEastAsia"/>
                <w:szCs w:val="21"/>
              </w:rPr>
              <w:t>3.11</w:t>
            </w:r>
          </w:p>
        </w:tc>
      </w:tr>
      <w:tr>
        <w:tblPrEx>
          <w:tblW w:w="0" w:type="auto"/>
          <w:tblInd w:w="108" w:type="dxa"/>
          <w:tblLayout w:type="fixed"/>
          <w:tblLook w:val="00A0"/>
        </w:tblPrEx>
        <w:tc>
          <w:tcPr>
            <w:vAlign w:val="center"/>
          </w:tcPr>
          <w:p>
            <w:pPr>
              <w:jc w:val="center"/>
            </w:pPr>
            <w:r>
              <w:rPr>
                <w:rFonts w:eastAsiaTheme="minorEastAsia"/>
                <w:szCs w:val="21"/>
              </w:rPr>
              <w:t>9</w:t>
            </w:r>
          </w:p>
        </w:tc>
        <w:tc>
          <w:tcPr>
            <w:vAlign w:val="center"/>
          </w:tcPr>
          <w:p>
            <w:pPr>
              <w:jc w:val="center"/>
            </w:pPr>
            <w:r>
              <w:rPr>
                <w:rFonts w:eastAsiaTheme="minorEastAsia"/>
                <w:szCs w:val="21"/>
              </w:rPr>
              <w:t>600703</w:t>
            </w:r>
          </w:p>
        </w:tc>
        <w:tc>
          <w:tcPr>
            <w:vAlign w:val="center"/>
          </w:tcPr>
          <w:p>
            <w:pPr>
              <w:jc w:val="center"/>
            </w:pPr>
            <w:r>
              <w:rPr>
                <w:rFonts w:eastAsiaTheme="minorEastAsia"/>
                <w:szCs w:val="21"/>
              </w:rPr>
              <w:t>三安光电</w:t>
            </w:r>
          </w:p>
        </w:tc>
        <w:tc>
          <w:tcPr>
            <w:vAlign w:val="center"/>
          </w:tcPr>
          <w:p>
            <w:pPr>
              <w:jc w:val="right"/>
            </w:pPr>
            <w:r>
              <w:rPr>
                <w:rFonts w:eastAsiaTheme="minorEastAsia"/>
                <w:szCs w:val="21"/>
              </w:rPr>
              <w:t>1,378,610.00</w:t>
            </w:r>
          </w:p>
        </w:tc>
        <w:tc>
          <w:tcPr>
            <w:vAlign w:val="center"/>
          </w:tcPr>
          <w:p>
            <w:pPr>
              <w:jc w:val="right"/>
            </w:pPr>
            <w:r>
              <w:rPr>
                <w:rFonts w:eastAsiaTheme="minorEastAsia"/>
                <w:szCs w:val="21"/>
              </w:rPr>
              <w:t>2.72</w:t>
            </w:r>
          </w:p>
        </w:tc>
      </w:tr>
      <w:tr>
        <w:tblPrEx>
          <w:tblW w:w="0" w:type="auto"/>
          <w:tblInd w:w="108" w:type="dxa"/>
          <w:tblLayout w:type="fixed"/>
          <w:tblLook w:val="00A0"/>
        </w:tblPrEx>
        <w:tc>
          <w:tcPr>
            <w:vAlign w:val="center"/>
          </w:tcPr>
          <w:p>
            <w:pPr>
              <w:jc w:val="center"/>
            </w:pPr>
            <w:r>
              <w:rPr>
                <w:rFonts w:eastAsiaTheme="minorEastAsia"/>
                <w:szCs w:val="21"/>
              </w:rPr>
              <w:t>10</w:t>
            </w:r>
          </w:p>
        </w:tc>
        <w:tc>
          <w:tcPr>
            <w:vAlign w:val="center"/>
          </w:tcPr>
          <w:p>
            <w:pPr>
              <w:jc w:val="center"/>
            </w:pPr>
            <w:r>
              <w:rPr>
                <w:rFonts w:eastAsiaTheme="minorEastAsia"/>
                <w:szCs w:val="21"/>
              </w:rPr>
              <w:t>600325</w:t>
            </w:r>
          </w:p>
        </w:tc>
        <w:tc>
          <w:tcPr>
            <w:vAlign w:val="center"/>
          </w:tcPr>
          <w:p>
            <w:pPr>
              <w:jc w:val="center"/>
            </w:pPr>
            <w:r>
              <w:rPr>
                <w:rFonts w:eastAsiaTheme="minorEastAsia"/>
                <w:szCs w:val="21"/>
              </w:rPr>
              <w:t>华发股份</w:t>
            </w:r>
          </w:p>
        </w:tc>
        <w:tc>
          <w:tcPr>
            <w:vAlign w:val="center"/>
          </w:tcPr>
          <w:p>
            <w:pPr>
              <w:jc w:val="right"/>
            </w:pPr>
            <w:r>
              <w:rPr>
                <w:rFonts w:eastAsiaTheme="minorEastAsia"/>
                <w:szCs w:val="21"/>
              </w:rPr>
              <w:t>1,164,000.00</w:t>
            </w:r>
          </w:p>
        </w:tc>
        <w:tc>
          <w:tcPr>
            <w:vAlign w:val="center"/>
          </w:tcPr>
          <w:p>
            <w:pPr>
              <w:jc w:val="right"/>
            </w:pPr>
            <w:r>
              <w:rPr>
                <w:rFonts w:eastAsiaTheme="minorEastAsia"/>
                <w:szCs w:val="21"/>
              </w:rPr>
              <w:t>2.30</w:t>
            </w:r>
          </w:p>
        </w:tc>
      </w:tr>
      <w:tr>
        <w:tblPrEx>
          <w:tblW w:w="0" w:type="auto"/>
          <w:tblInd w:w="108" w:type="dxa"/>
          <w:tblLayout w:type="fixed"/>
          <w:tblLook w:val="00A0"/>
        </w:tblPrEx>
        <w:tc>
          <w:tcPr>
            <w:vAlign w:val="center"/>
          </w:tcPr>
          <w:p>
            <w:pPr>
              <w:jc w:val="center"/>
            </w:pPr>
            <w:r>
              <w:rPr>
                <w:rFonts w:eastAsiaTheme="minorEastAsia"/>
                <w:szCs w:val="21"/>
              </w:rPr>
              <w:t>11</w:t>
            </w:r>
          </w:p>
        </w:tc>
        <w:tc>
          <w:tcPr>
            <w:vAlign w:val="center"/>
          </w:tcPr>
          <w:p>
            <w:pPr>
              <w:jc w:val="center"/>
            </w:pPr>
            <w:r>
              <w:rPr>
                <w:rFonts w:eastAsiaTheme="minorEastAsia"/>
                <w:szCs w:val="21"/>
              </w:rPr>
              <w:t>601877</w:t>
            </w:r>
          </w:p>
        </w:tc>
        <w:tc>
          <w:tcPr>
            <w:vAlign w:val="center"/>
          </w:tcPr>
          <w:p>
            <w:pPr>
              <w:jc w:val="center"/>
            </w:pPr>
            <w:r>
              <w:rPr>
                <w:rFonts w:eastAsiaTheme="minorEastAsia"/>
                <w:szCs w:val="21"/>
              </w:rPr>
              <w:t>正泰电器</w:t>
            </w:r>
          </w:p>
        </w:tc>
        <w:tc>
          <w:tcPr>
            <w:vAlign w:val="center"/>
          </w:tcPr>
          <w:p>
            <w:pPr>
              <w:jc w:val="right"/>
            </w:pPr>
            <w:r>
              <w:rPr>
                <w:rFonts w:eastAsiaTheme="minorEastAsia"/>
                <w:szCs w:val="21"/>
              </w:rPr>
              <w:t>1,121,322.30</w:t>
            </w:r>
          </w:p>
        </w:tc>
        <w:tc>
          <w:tcPr>
            <w:vAlign w:val="center"/>
          </w:tcPr>
          <w:p>
            <w:pPr>
              <w:jc w:val="right"/>
            </w:pPr>
            <w:r>
              <w:rPr>
                <w:rFonts w:eastAsiaTheme="minorEastAsia"/>
                <w:szCs w:val="21"/>
              </w:rPr>
              <w:t>2.22</w:t>
            </w:r>
          </w:p>
        </w:tc>
      </w:tr>
      <w:tr>
        <w:tblPrEx>
          <w:tblW w:w="0" w:type="auto"/>
          <w:tblInd w:w="108" w:type="dxa"/>
          <w:tblLayout w:type="fixed"/>
          <w:tblLook w:val="00A0"/>
        </w:tblPrEx>
        <w:tc>
          <w:tcPr>
            <w:vAlign w:val="center"/>
          </w:tcPr>
          <w:p>
            <w:pPr>
              <w:jc w:val="center"/>
            </w:pPr>
            <w:r>
              <w:rPr>
                <w:rFonts w:eastAsiaTheme="minorEastAsia"/>
                <w:szCs w:val="21"/>
              </w:rPr>
              <w:t>12</w:t>
            </w:r>
          </w:p>
        </w:tc>
        <w:tc>
          <w:tcPr>
            <w:vAlign w:val="center"/>
          </w:tcPr>
          <w:p>
            <w:pPr>
              <w:jc w:val="center"/>
            </w:pPr>
            <w:r>
              <w:rPr>
                <w:rFonts w:eastAsiaTheme="minorEastAsia"/>
                <w:szCs w:val="21"/>
              </w:rPr>
              <w:t>300124</w:t>
            </w:r>
          </w:p>
        </w:tc>
        <w:tc>
          <w:tcPr>
            <w:vAlign w:val="center"/>
          </w:tcPr>
          <w:p>
            <w:pPr>
              <w:jc w:val="center"/>
            </w:pPr>
            <w:r>
              <w:rPr>
                <w:rFonts w:eastAsiaTheme="minorEastAsia"/>
                <w:szCs w:val="21"/>
              </w:rPr>
              <w:t>汇川技术</w:t>
            </w:r>
          </w:p>
        </w:tc>
        <w:tc>
          <w:tcPr>
            <w:vAlign w:val="center"/>
          </w:tcPr>
          <w:p>
            <w:pPr>
              <w:jc w:val="right"/>
            </w:pPr>
            <w:r>
              <w:rPr>
                <w:rFonts w:eastAsiaTheme="minorEastAsia"/>
                <w:szCs w:val="21"/>
              </w:rPr>
              <w:t>1,080,000.00</w:t>
            </w:r>
          </w:p>
        </w:tc>
        <w:tc>
          <w:tcPr>
            <w:vAlign w:val="center"/>
          </w:tcPr>
          <w:p>
            <w:pPr>
              <w:jc w:val="right"/>
            </w:pPr>
            <w:r>
              <w:rPr>
                <w:rFonts w:eastAsiaTheme="minorEastAsia"/>
                <w:szCs w:val="21"/>
              </w:rPr>
              <w:t>2.13</w:t>
            </w:r>
          </w:p>
        </w:tc>
      </w:tr>
      <w:tr>
        <w:tblPrEx>
          <w:tblW w:w="0" w:type="auto"/>
          <w:tblInd w:w="108" w:type="dxa"/>
          <w:tblLayout w:type="fixed"/>
          <w:tblLook w:val="00A0"/>
        </w:tblPrEx>
        <w:tc>
          <w:tcPr>
            <w:vAlign w:val="center"/>
          </w:tcPr>
          <w:p>
            <w:pPr>
              <w:jc w:val="center"/>
            </w:pPr>
            <w:r>
              <w:rPr>
                <w:rFonts w:eastAsiaTheme="minorEastAsia"/>
                <w:szCs w:val="21"/>
              </w:rPr>
              <w:t>13</w:t>
            </w:r>
          </w:p>
        </w:tc>
        <w:tc>
          <w:tcPr>
            <w:vAlign w:val="center"/>
          </w:tcPr>
          <w:p>
            <w:pPr>
              <w:jc w:val="center"/>
            </w:pPr>
            <w:r>
              <w:rPr>
                <w:rFonts w:eastAsiaTheme="minorEastAsia"/>
                <w:szCs w:val="21"/>
              </w:rPr>
              <w:t>600066</w:t>
            </w:r>
          </w:p>
        </w:tc>
        <w:tc>
          <w:tcPr>
            <w:vAlign w:val="center"/>
          </w:tcPr>
          <w:p>
            <w:pPr>
              <w:jc w:val="center"/>
            </w:pPr>
            <w:r>
              <w:rPr>
                <w:rFonts w:eastAsiaTheme="minorEastAsia"/>
                <w:szCs w:val="21"/>
              </w:rPr>
              <w:t>宇通客车</w:t>
            </w:r>
          </w:p>
        </w:tc>
        <w:tc>
          <w:tcPr>
            <w:vAlign w:val="center"/>
          </w:tcPr>
          <w:p>
            <w:pPr>
              <w:jc w:val="right"/>
            </w:pPr>
            <w:r>
              <w:rPr>
                <w:rFonts w:eastAsiaTheme="minorEastAsia"/>
                <w:szCs w:val="21"/>
              </w:rPr>
              <w:t>1,048,618.00</w:t>
            </w:r>
          </w:p>
        </w:tc>
        <w:tc>
          <w:tcPr>
            <w:vAlign w:val="center"/>
          </w:tcPr>
          <w:p>
            <w:pPr>
              <w:jc w:val="right"/>
            </w:pPr>
            <w:r>
              <w:rPr>
                <w:rFonts w:eastAsiaTheme="minorEastAsia"/>
                <w:szCs w:val="21"/>
              </w:rPr>
              <w:t>2.07</w:t>
            </w:r>
          </w:p>
        </w:tc>
      </w:tr>
      <w:tr>
        <w:tblPrEx>
          <w:tblW w:w="0" w:type="auto"/>
          <w:tblInd w:w="108" w:type="dxa"/>
          <w:tblLayout w:type="fixed"/>
          <w:tblLook w:val="00A0"/>
        </w:tblPrEx>
        <w:tc>
          <w:tcPr>
            <w:vAlign w:val="center"/>
          </w:tcPr>
          <w:p>
            <w:pPr>
              <w:jc w:val="center"/>
            </w:pPr>
            <w:r>
              <w:rPr>
                <w:rFonts w:eastAsiaTheme="minorEastAsia"/>
                <w:szCs w:val="21"/>
              </w:rPr>
              <w:t>14</w:t>
            </w:r>
          </w:p>
        </w:tc>
        <w:tc>
          <w:tcPr>
            <w:vAlign w:val="center"/>
          </w:tcPr>
          <w:p>
            <w:pPr>
              <w:jc w:val="center"/>
            </w:pPr>
            <w:r>
              <w:rPr>
                <w:rFonts w:eastAsiaTheme="minorEastAsia"/>
                <w:szCs w:val="21"/>
              </w:rPr>
              <w:t>600004</w:t>
            </w:r>
          </w:p>
        </w:tc>
        <w:tc>
          <w:tcPr>
            <w:vAlign w:val="center"/>
          </w:tcPr>
          <w:p>
            <w:pPr>
              <w:jc w:val="center"/>
            </w:pPr>
            <w:r>
              <w:rPr>
                <w:rFonts w:eastAsiaTheme="minorEastAsia"/>
                <w:szCs w:val="21"/>
              </w:rPr>
              <w:t>白云机场</w:t>
            </w:r>
          </w:p>
        </w:tc>
        <w:tc>
          <w:tcPr>
            <w:vAlign w:val="center"/>
          </w:tcPr>
          <w:p>
            <w:pPr>
              <w:jc w:val="right"/>
            </w:pPr>
            <w:r>
              <w:rPr>
                <w:rFonts w:eastAsiaTheme="minorEastAsia"/>
                <w:szCs w:val="21"/>
              </w:rPr>
              <w:t>1,012,460.00</w:t>
            </w:r>
          </w:p>
        </w:tc>
        <w:tc>
          <w:tcPr>
            <w:vAlign w:val="center"/>
          </w:tcPr>
          <w:p>
            <w:pPr>
              <w:jc w:val="right"/>
            </w:pPr>
            <w:r>
              <w:rPr>
                <w:rFonts w:eastAsiaTheme="minorEastAsia"/>
                <w:szCs w:val="21"/>
              </w:rPr>
              <w:t>2.00</w:t>
            </w:r>
          </w:p>
        </w:tc>
      </w:tr>
      <w:tr>
        <w:tblPrEx>
          <w:tblW w:w="0" w:type="auto"/>
          <w:tblInd w:w="108" w:type="dxa"/>
          <w:tblLayout w:type="fixed"/>
          <w:tblLook w:val="00A0"/>
        </w:tblPrEx>
        <w:tc>
          <w:tcPr>
            <w:vAlign w:val="center"/>
          </w:tcPr>
          <w:p>
            <w:pPr>
              <w:jc w:val="center"/>
            </w:pPr>
            <w:r>
              <w:rPr>
                <w:rFonts w:eastAsiaTheme="minorEastAsia"/>
                <w:szCs w:val="21"/>
              </w:rPr>
              <w:t>15</w:t>
            </w:r>
          </w:p>
        </w:tc>
        <w:tc>
          <w:tcPr>
            <w:vAlign w:val="center"/>
          </w:tcPr>
          <w:p>
            <w:pPr>
              <w:jc w:val="center"/>
            </w:pPr>
            <w:r>
              <w:rPr>
                <w:rFonts w:eastAsiaTheme="minorEastAsia"/>
                <w:szCs w:val="21"/>
              </w:rPr>
              <w:t>300183</w:t>
            </w:r>
          </w:p>
        </w:tc>
        <w:tc>
          <w:tcPr>
            <w:vAlign w:val="center"/>
          </w:tcPr>
          <w:p>
            <w:pPr>
              <w:jc w:val="center"/>
            </w:pPr>
            <w:r>
              <w:rPr>
                <w:rFonts w:eastAsiaTheme="minorEastAsia"/>
                <w:szCs w:val="21"/>
              </w:rPr>
              <w:t>东软载波</w:t>
            </w:r>
          </w:p>
        </w:tc>
        <w:tc>
          <w:tcPr>
            <w:vAlign w:val="center"/>
          </w:tcPr>
          <w:p>
            <w:pPr>
              <w:jc w:val="right"/>
            </w:pPr>
            <w:r>
              <w:rPr>
                <w:rFonts w:eastAsiaTheme="minorEastAsia"/>
                <w:szCs w:val="21"/>
              </w:rPr>
              <w:t>1,003,633.00</w:t>
            </w:r>
          </w:p>
        </w:tc>
        <w:tc>
          <w:tcPr>
            <w:vAlign w:val="center"/>
          </w:tcPr>
          <w:p>
            <w:pPr>
              <w:jc w:val="right"/>
            </w:pPr>
            <w:r>
              <w:rPr>
                <w:rFonts w:eastAsiaTheme="minorEastAsia"/>
                <w:szCs w:val="21"/>
              </w:rPr>
              <w:t>1.98</w:t>
            </w:r>
          </w:p>
        </w:tc>
      </w:tr>
      <w:tr>
        <w:tblPrEx>
          <w:tblW w:w="0" w:type="auto"/>
          <w:tblInd w:w="108" w:type="dxa"/>
          <w:tblLayout w:type="fixed"/>
          <w:tblLook w:val="00A0"/>
        </w:tblPrEx>
        <w:tc>
          <w:tcPr>
            <w:vAlign w:val="center"/>
          </w:tcPr>
          <w:p>
            <w:pPr>
              <w:jc w:val="center"/>
            </w:pPr>
            <w:r>
              <w:rPr>
                <w:rFonts w:eastAsiaTheme="minorEastAsia"/>
                <w:szCs w:val="21"/>
              </w:rPr>
              <w:t>16</w:t>
            </w:r>
          </w:p>
        </w:tc>
        <w:tc>
          <w:tcPr>
            <w:vAlign w:val="center"/>
          </w:tcPr>
          <w:p>
            <w:pPr>
              <w:jc w:val="center"/>
            </w:pPr>
            <w:r>
              <w:rPr>
                <w:rFonts w:eastAsiaTheme="minorEastAsia"/>
                <w:szCs w:val="21"/>
              </w:rPr>
              <w:t>002063</w:t>
            </w:r>
          </w:p>
        </w:tc>
        <w:tc>
          <w:tcPr>
            <w:vAlign w:val="center"/>
          </w:tcPr>
          <w:p>
            <w:pPr>
              <w:jc w:val="center"/>
            </w:pPr>
            <w:r>
              <w:rPr>
                <w:rFonts w:eastAsiaTheme="minorEastAsia"/>
                <w:szCs w:val="21"/>
              </w:rPr>
              <w:t>远光软件</w:t>
            </w:r>
          </w:p>
        </w:tc>
        <w:tc>
          <w:tcPr>
            <w:vAlign w:val="center"/>
          </w:tcPr>
          <w:p>
            <w:pPr>
              <w:jc w:val="right"/>
            </w:pPr>
            <w:r>
              <w:rPr>
                <w:rFonts w:eastAsiaTheme="minorEastAsia"/>
                <w:szCs w:val="21"/>
              </w:rPr>
              <w:t>1,002,000.00</w:t>
            </w:r>
          </w:p>
        </w:tc>
        <w:tc>
          <w:tcPr>
            <w:vAlign w:val="center"/>
          </w:tcPr>
          <w:p>
            <w:pPr>
              <w:jc w:val="right"/>
            </w:pPr>
            <w:r>
              <w:rPr>
                <w:rFonts w:eastAsiaTheme="minorEastAsia"/>
                <w:szCs w:val="21"/>
              </w:rPr>
              <w:t>1.98</w:t>
            </w:r>
          </w:p>
        </w:tc>
      </w:tr>
      <w:tr>
        <w:tblPrEx>
          <w:tblW w:w="0" w:type="auto"/>
          <w:tblInd w:w="108" w:type="dxa"/>
          <w:tblLayout w:type="fixed"/>
          <w:tblLook w:val="00A0"/>
        </w:tblPrEx>
        <w:tc>
          <w:tcPr>
            <w:vAlign w:val="center"/>
          </w:tcPr>
          <w:p>
            <w:pPr>
              <w:jc w:val="center"/>
            </w:pPr>
            <w:r>
              <w:rPr>
                <w:rFonts w:eastAsiaTheme="minorEastAsia"/>
                <w:szCs w:val="21"/>
              </w:rPr>
              <w:t>17</w:t>
            </w:r>
          </w:p>
        </w:tc>
        <w:tc>
          <w:tcPr>
            <w:vAlign w:val="center"/>
          </w:tcPr>
          <w:p>
            <w:pPr>
              <w:jc w:val="center"/>
            </w:pPr>
            <w:r>
              <w:rPr>
                <w:rFonts w:eastAsiaTheme="minorEastAsia"/>
                <w:szCs w:val="21"/>
              </w:rPr>
              <w:t>300494</w:t>
            </w:r>
          </w:p>
        </w:tc>
        <w:tc>
          <w:tcPr>
            <w:vAlign w:val="center"/>
          </w:tcPr>
          <w:p>
            <w:pPr>
              <w:jc w:val="center"/>
            </w:pPr>
            <w:r>
              <w:rPr>
                <w:rFonts w:eastAsiaTheme="minorEastAsia"/>
                <w:szCs w:val="21"/>
              </w:rPr>
              <w:t>盛天网络</w:t>
            </w:r>
          </w:p>
        </w:tc>
        <w:tc>
          <w:tcPr>
            <w:vAlign w:val="center"/>
          </w:tcPr>
          <w:p>
            <w:pPr>
              <w:jc w:val="right"/>
            </w:pPr>
            <w:r>
              <w:rPr>
                <w:rFonts w:eastAsiaTheme="minorEastAsia"/>
                <w:szCs w:val="21"/>
              </w:rPr>
              <w:t>991,136.00</w:t>
            </w:r>
          </w:p>
        </w:tc>
        <w:tc>
          <w:tcPr>
            <w:vAlign w:val="center"/>
          </w:tcPr>
          <w:p>
            <w:pPr>
              <w:jc w:val="right"/>
            </w:pPr>
            <w:r>
              <w:rPr>
                <w:rFonts w:eastAsiaTheme="minorEastAsia"/>
                <w:szCs w:val="21"/>
              </w:rPr>
              <w:t>1.96</w:t>
            </w:r>
          </w:p>
        </w:tc>
      </w:tr>
      <w:tr>
        <w:tblPrEx>
          <w:tblW w:w="0" w:type="auto"/>
          <w:tblInd w:w="108" w:type="dxa"/>
          <w:tblLayout w:type="fixed"/>
          <w:tblLook w:val="00A0"/>
        </w:tblPrEx>
        <w:tc>
          <w:tcPr>
            <w:vAlign w:val="center"/>
          </w:tcPr>
          <w:p>
            <w:pPr>
              <w:jc w:val="center"/>
            </w:pPr>
            <w:r>
              <w:rPr>
                <w:rFonts w:eastAsiaTheme="minorEastAsia"/>
                <w:szCs w:val="21"/>
              </w:rPr>
              <w:t>18</w:t>
            </w:r>
          </w:p>
        </w:tc>
        <w:tc>
          <w:tcPr>
            <w:vAlign w:val="center"/>
          </w:tcPr>
          <w:p>
            <w:pPr>
              <w:jc w:val="center"/>
            </w:pPr>
            <w:r>
              <w:rPr>
                <w:rFonts w:eastAsiaTheme="minorEastAsia"/>
                <w:szCs w:val="21"/>
              </w:rPr>
              <w:t>002373</w:t>
            </w:r>
          </w:p>
        </w:tc>
        <w:tc>
          <w:tcPr>
            <w:vAlign w:val="center"/>
          </w:tcPr>
          <w:p>
            <w:pPr>
              <w:jc w:val="center"/>
            </w:pPr>
            <w:r>
              <w:rPr>
                <w:rFonts w:eastAsiaTheme="minorEastAsia"/>
                <w:szCs w:val="21"/>
              </w:rPr>
              <w:t>千方科技</w:t>
            </w:r>
          </w:p>
        </w:tc>
        <w:tc>
          <w:tcPr>
            <w:vAlign w:val="center"/>
          </w:tcPr>
          <w:p>
            <w:pPr>
              <w:jc w:val="right"/>
            </w:pPr>
            <w:r>
              <w:rPr>
                <w:rFonts w:eastAsiaTheme="minorEastAsia"/>
                <w:szCs w:val="21"/>
              </w:rPr>
              <w:t>984,877.00</w:t>
            </w:r>
          </w:p>
        </w:tc>
        <w:tc>
          <w:tcPr>
            <w:vAlign w:val="center"/>
          </w:tcPr>
          <w:p>
            <w:pPr>
              <w:jc w:val="right"/>
            </w:pPr>
            <w:r>
              <w:rPr>
                <w:rFonts w:eastAsiaTheme="minorEastAsia"/>
                <w:szCs w:val="21"/>
              </w:rPr>
              <w:t>1.95</w:t>
            </w:r>
          </w:p>
        </w:tc>
      </w:tr>
      <w:tr>
        <w:tblPrEx>
          <w:tblW w:w="0" w:type="auto"/>
          <w:tblInd w:w="108" w:type="dxa"/>
          <w:tblLayout w:type="fixed"/>
          <w:tblLook w:val="00A0"/>
        </w:tblPrEx>
        <w:tc>
          <w:tcPr>
            <w:vAlign w:val="center"/>
          </w:tcPr>
          <w:p>
            <w:pPr>
              <w:jc w:val="center"/>
            </w:pPr>
            <w:r>
              <w:rPr>
                <w:rFonts w:eastAsiaTheme="minorEastAsia"/>
                <w:szCs w:val="21"/>
              </w:rPr>
              <w:t>19</w:t>
            </w:r>
          </w:p>
        </w:tc>
        <w:tc>
          <w:tcPr>
            <w:vAlign w:val="center"/>
          </w:tcPr>
          <w:p>
            <w:pPr>
              <w:jc w:val="center"/>
            </w:pPr>
            <w:r>
              <w:rPr>
                <w:rFonts w:eastAsiaTheme="minorEastAsia"/>
                <w:szCs w:val="21"/>
              </w:rPr>
              <w:t>600801</w:t>
            </w:r>
          </w:p>
        </w:tc>
        <w:tc>
          <w:tcPr>
            <w:vAlign w:val="center"/>
          </w:tcPr>
          <w:p>
            <w:pPr>
              <w:jc w:val="center"/>
            </w:pPr>
            <w:r>
              <w:rPr>
                <w:rFonts w:eastAsiaTheme="minorEastAsia"/>
                <w:szCs w:val="21"/>
              </w:rPr>
              <w:t>华新水泥</w:t>
            </w:r>
          </w:p>
        </w:tc>
        <w:tc>
          <w:tcPr>
            <w:vAlign w:val="center"/>
          </w:tcPr>
          <w:p>
            <w:pPr>
              <w:jc w:val="right"/>
            </w:pPr>
            <w:r>
              <w:rPr>
                <w:rFonts w:eastAsiaTheme="minorEastAsia"/>
                <w:szCs w:val="21"/>
              </w:rPr>
              <w:t>959,492.00</w:t>
            </w:r>
          </w:p>
        </w:tc>
        <w:tc>
          <w:tcPr>
            <w:vAlign w:val="center"/>
          </w:tcPr>
          <w:p>
            <w:pPr>
              <w:jc w:val="right"/>
            </w:pPr>
            <w:r>
              <w:rPr>
                <w:rFonts w:eastAsiaTheme="minorEastAsia"/>
                <w:szCs w:val="21"/>
              </w:rPr>
              <w:t>1.90</w:t>
            </w:r>
          </w:p>
        </w:tc>
      </w:tr>
      <w:tr>
        <w:tblPrEx>
          <w:tblW w:w="0" w:type="auto"/>
          <w:tblInd w:w="108" w:type="dxa"/>
          <w:tblLayout w:type="fixed"/>
          <w:tblLook w:val="00A0"/>
        </w:tblPrEx>
        <w:tc>
          <w:tcPr>
            <w:vAlign w:val="center"/>
          </w:tcPr>
          <w:p>
            <w:pPr>
              <w:jc w:val="center"/>
            </w:pPr>
            <w:r>
              <w:rPr>
                <w:rFonts w:eastAsiaTheme="minorEastAsia"/>
                <w:szCs w:val="21"/>
              </w:rPr>
              <w:t>20</w:t>
            </w:r>
          </w:p>
        </w:tc>
        <w:tc>
          <w:tcPr>
            <w:vAlign w:val="center"/>
          </w:tcPr>
          <w:p>
            <w:pPr>
              <w:jc w:val="center"/>
            </w:pPr>
            <w:r>
              <w:rPr>
                <w:rFonts w:eastAsiaTheme="minorEastAsia"/>
                <w:szCs w:val="21"/>
              </w:rPr>
              <w:t>600048</w:t>
            </w:r>
          </w:p>
        </w:tc>
        <w:tc>
          <w:tcPr>
            <w:vAlign w:val="center"/>
          </w:tcPr>
          <w:p>
            <w:pPr>
              <w:jc w:val="center"/>
            </w:pPr>
            <w:r>
              <w:rPr>
                <w:rFonts w:eastAsiaTheme="minorEastAsia"/>
                <w:szCs w:val="21"/>
              </w:rPr>
              <w:t>保利地产</w:t>
            </w:r>
          </w:p>
        </w:tc>
        <w:tc>
          <w:tcPr>
            <w:vAlign w:val="center"/>
          </w:tcPr>
          <w:p>
            <w:pPr>
              <w:jc w:val="right"/>
            </w:pPr>
            <w:r>
              <w:rPr>
                <w:rFonts w:eastAsiaTheme="minorEastAsia"/>
                <w:szCs w:val="21"/>
              </w:rPr>
              <w:t>958,074.00</w:t>
            </w:r>
          </w:p>
        </w:tc>
        <w:tc>
          <w:tcPr>
            <w:vAlign w:val="center"/>
          </w:tcPr>
          <w:p>
            <w:pPr>
              <w:jc w:val="right"/>
            </w:pPr>
            <w:r>
              <w:rPr>
                <w:rFonts w:eastAsiaTheme="minorEastAsia"/>
                <w:szCs w:val="21"/>
              </w:rPr>
              <w:t>1.89</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7.4.2 </w:t>
      </w:r>
      <w:r w:rsidRPr="0045565B" w:rsidR="007E4BC1">
        <w:rPr>
          <w:rFonts w:eastAsiaTheme="minorEastAsia"/>
          <w:b/>
          <w:bCs/>
          <w:color w:val="000000"/>
          <w:szCs w:val="21"/>
        </w:rPr>
        <w:t>累计卖出金额超出</w:t>
      </w:r>
      <w:r w:rsidRPr="0045565B" w:rsidR="007E4BC1">
        <w:rPr>
          <w:rFonts w:eastAsiaTheme="minorEastAsia"/>
          <w:b/>
          <w:color w:val="000000"/>
          <w:kern w:val="0"/>
          <w:szCs w:val="21"/>
        </w:rPr>
        <w:t>期初</w:t>
      </w:r>
      <w:r w:rsidRPr="0045565B">
        <w:rPr>
          <w:rFonts w:eastAsiaTheme="minorEastAsia"/>
          <w:b/>
          <w:bCs/>
          <w:color w:val="000000"/>
          <w:szCs w:val="21"/>
        </w:rPr>
        <w:t>基金资产净值</w:t>
      </w:r>
      <w:r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87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本期累计卖出金额</w:t>
            </w:r>
          </w:p>
        </w:tc>
        <w:tc>
          <w:tcPr>
            <w:tcW w:w="162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占期初基金资产净值比例（％）</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w:t>
            </w:r>
          </w:p>
        </w:tc>
        <w:tc>
          <w:tcPr>
            <w:vAlign w:val="center"/>
          </w:tcPr>
          <w:p>
            <w:pPr>
              <w:jc w:val="center"/>
            </w:pPr>
            <w:r>
              <w:rPr>
                <w:rFonts w:ascii="Times New Roman" w:hAnsi="Times New Roman" w:eastAsiaTheme="minorEastAsia"/>
                <w:kern w:val="2"/>
                <w:sz w:val="21"/>
                <w:szCs w:val="21"/>
              </w:rPr>
              <w:t>603711</w:t>
            </w:r>
          </w:p>
        </w:tc>
        <w:tc>
          <w:tcPr>
            <w:vAlign w:val="center"/>
          </w:tcPr>
          <w:p>
            <w:pPr>
              <w:jc w:val="center"/>
            </w:pPr>
            <w:r>
              <w:rPr>
                <w:rFonts w:ascii="Times New Roman" w:hAnsi="Times New Roman" w:eastAsiaTheme="minorEastAsia"/>
                <w:kern w:val="2"/>
                <w:sz w:val="21"/>
                <w:szCs w:val="21"/>
              </w:rPr>
              <w:t>香飘飘</w:t>
            </w:r>
          </w:p>
        </w:tc>
        <w:tc>
          <w:tcPr>
            <w:vAlign w:val="center"/>
          </w:tcPr>
          <w:p>
            <w:pPr>
              <w:jc w:val="right"/>
            </w:pPr>
            <w:r>
              <w:rPr>
                <w:rFonts w:ascii="Times New Roman" w:hAnsi="Times New Roman" w:eastAsiaTheme="minorEastAsia"/>
                <w:kern w:val="2"/>
                <w:sz w:val="21"/>
                <w:szCs w:val="21"/>
              </w:rPr>
              <w:t>5,672,516.78</w:t>
            </w:r>
          </w:p>
        </w:tc>
        <w:tc>
          <w:tcPr>
            <w:vAlign w:val="center"/>
          </w:tcPr>
          <w:p>
            <w:pPr>
              <w:jc w:val="right"/>
            </w:pPr>
            <w:r>
              <w:rPr>
                <w:rFonts w:ascii="Times New Roman" w:hAnsi="Times New Roman" w:eastAsiaTheme="minorEastAsia"/>
                <w:kern w:val="2"/>
                <w:sz w:val="21"/>
                <w:szCs w:val="21"/>
              </w:rPr>
              <w:t>11.21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w:t>
            </w:r>
          </w:p>
        </w:tc>
        <w:tc>
          <w:tcPr>
            <w:vAlign w:val="center"/>
          </w:tcPr>
          <w:p>
            <w:pPr>
              <w:jc w:val="center"/>
            </w:pPr>
            <w:r>
              <w:rPr>
                <w:rFonts w:ascii="Times New Roman" w:hAnsi="Times New Roman" w:eastAsiaTheme="minorEastAsia"/>
                <w:kern w:val="2"/>
                <w:sz w:val="21"/>
                <w:szCs w:val="21"/>
              </w:rPr>
              <w:t>600967</w:t>
            </w:r>
          </w:p>
        </w:tc>
        <w:tc>
          <w:tcPr>
            <w:vAlign w:val="center"/>
          </w:tcPr>
          <w:p>
            <w:pPr>
              <w:jc w:val="center"/>
            </w:pPr>
            <w:r>
              <w:rPr>
                <w:rFonts w:ascii="Times New Roman" w:hAnsi="Times New Roman" w:eastAsiaTheme="minorEastAsia"/>
                <w:kern w:val="2"/>
                <w:sz w:val="21"/>
                <w:szCs w:val="21"/>
              </w:rPr>
              <w:t>内蒙一机</w:t>
            </w:r>
          </w:p>
        </w:tc>
        <w:tc>
          <w:tcPr>
            <w:vAlign w:val="center"/>
          </w:tcPr>
          <w:p>
            <w:pPr>
              <w:jc w:val="right"/>
            </w:pPr>
            <w:r>
              <w:rPr>
                <w:rFonts w:ascii="Times New Roman" w:hAnsi="Times New Roman" w:eastAsiaTheme="minorEastAsia"/>
                <w:kern w:val="2"/>
                <w:sz w:val="21"/>
                <w:szCs w:val="21"/>
              </w:rPr>
              <w:t>4,286,412.00</w:t>
            </w:r>
          </w:p>
        </w:tc>
        <w:tc>
          <w:tcPr>
            <w:vAlign w:val="center"/>
          </w:tcPr>
          <w:p>
            <w:pPr>
              <w:jc w:val="right"/>
            </w:pPr>
            <w:r>
              <w:rPr>
                <w:rFonts w:ascii="Times New Roman" w:hAnsi="Times New Roman" w:eastAsiaTheme="minorEastAsia"/>
                <w:kern w:val="2"/>
                <w:sz w:val="21"/>
                <w:szCs w:val="21"/>
              </w:rPr>
              <w:t>8.47</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3</w:t>
            </w:r>
          </w:p>
        </w:tc>
        <w:tc>
          <w:tcPr>
            <w:vAlign w:val="center"/>
          </w:tcPr>
          <w:p>
            <w:pPr>
              <w:jc w:val="center"/>
            </w:pPr>
            <w:r>
              <w:rPr>
                <w:rFonts w:ascii="Times New Roman" w:hAnsi="Times New Roman" w:eastAsiaTheme="minorEastAsia"/>
                <w:kern w:val="2"/>
                <w:sz w:val="21"/>
                <w:szCs w:val="21"/>
              </w:rPr>
              <w:t>300470</w:t>
            </w:r>
          </w:p>
        </w:tc>
        <w:tc>
          <w:tcPr>
            <w:vAlign w:val="center"/>
          </w:tcPr>
          <w:p>
            <w:pPr>
              <w:jc w:val="center"/>
            </w:pPr>
            <w:r>
              <w:rPr>
                <w:rFonts w:ascii="Times New Roman" w:hAnsi="Times New Roman" w:eastAsiaTheme="minorEastAsia"/>
                <w:kern w:val="2"/>
                <w:sz w:val="21"/>
                <w:szCs w:val="21"/>
              </w:rPr>
              <w:t>日机密封</w:t>
            </w:r>
          </w:p>
        </w:tc>
        <w:tc>
          <w:tcPr>
            <w:vAlign w:val="center"/>
          </w:tcPr>
          <w:p>
            <w:pPr>
              <w:jc w:val="right"/>
            </w:pPr>
            <w:r>
              <w:rPr>
                <w:rFonts w:ascii="Times New Roman" w:hAnsi="Times New Roman" w:eastAsiaTheme="minorEastAsia"/>
                <w:kern w:val="2"/>
                <w:sz w:val="21"/>
                <w:szCs w:val="21"/>
              </w:rPr>
              <w:t>3,376,982.35</w:t>
            </w:r>
          </w:p>
        </w:tc>
        <w:tc>
          <w:tcPr>
            <w:vAlign w:val="center"/>
          </w:tcPr>
          <w:p>
            <w:pPr>
              <w:jc w:val="right"/>
            </w:pPr>
            <w:r>
              <w:rPr>
                <w:rFonts w:ascii="Times New Roman" w:hAnsi="Times New Roman" w:eastAsiaTheme="minorEastAsia"/>
                <w:kern w:val="2"/>
                <w:sz w:val="21"/>
                <w:szCs w:val="21"/>
              </w:rPr>
              <w:t>6.67</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4</w:t>
            </w:r>
          </w:p>
        </w:tc>
        <w:tc>
          <w:tcPr>
            <w:vAlign w:val="center"/>
          </w:tcPr>
          <w:p>
            <w:pPr>
              <w:jc w:val="center"/>
            </w:pPr>
            <w:r>
              <w:rPr>
                <w:rFonts w:ascii="Times New Roman" w:hAnsi="Times New Roman" w:eastAsiaTheme="minorEastAsia"/>
                <w:kern w:val="2"/>
                <w:sz w:val="21"/>
                <w:szCs w:val="21"/>
              </w:rPr>
              <w:t>600048</w:t>
            </w:r>
          </w:p>
        </w:tc>
        <w:tc>
          <w:tcPr>
            <w:vAlign w:val="center"/>
          </w:tcPr>
          <w:p>
            <w:pPr>
              <w:jc w:val="center"/>
            </w:pPr>
            <w:r>
              <w:rPr>
                <w:rFonts w:ascii="Times New Roman" w:hAnsi="Times New Roman" w:eastAsiaTheme="minorEastAsia"/>
                <w:kern w:val="2"/>
                <w:sz w:val="21"/>
                <w:szCs w:val="21"/>
              </w:rPr>
              <w:t>保利地产</w:t>
            </w:r>
          </w:p>
        </w:tc>
        <w:tc>
          <w:tcPr>
            <w:vAlign w:val="center"/>
          </w:tcPr>
          <w:p>
            <w:pPr>
              <w:jc w:val="right"/>
            </w:pPr>
            <w:r>
              <w:rPr>
                <w:rFonts w:ascii="Times New Roman" w:hAnsi="Times New Roman" w:eastAsiaTheme="minorEastAsia"/>
                <w:kern w:val="2"/>
                <w:sz w:val="21"/>
                <w:szCs w:val="21"/>
              </w:rPr>
              <w:t>2,031,840.00</w:t>
            </w:r>
          </w:p>
        </w:tc>
        <w:tc>
          <w:tcPr>
            <w:vAlign w:val="center"/>
          </w:tcPr>
          <w:p>
            <w:pPr>
              <w:jc w:val="right"/>
            </w:pPr>
            <w:r>
              <w:rPr>
                <w:rFonts w:ascii="Times New Roman" w:hAnsi="Times New Roman" w:eastAsiaTheme="minorEastAsia"/>
                <w:kern w:val="2"/>
                <w:sz w:val="21"/>
                <w:szCs w:val="21"/>
              </w:rPr>
              <w:t>4.02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5</w:t>
            </w:r>
          </w:p>
        </w:tc>
        <w:tc>
          <w:tcPr>
            <w:vAlign w:val="center"/>
          </w:tcPr>
          <w:p>
            <w:pPr>
              <w:jc w:val="center"/>
            </w:pPr>
            <w:r>
              <w:rPr>
                <w:rFonts w:ascii="Times New Roman" w:hAnsi="Times New Roman" w:eastAsiaTheme="minorEastAsia"/>
                <w:kern w:val="2"/>
                <w:sz w:val="21"/>
                <w:szCs w:val="21"/>
              </w:rPr>
              <w:t>600458</w:t>
            </w:r>
          </w:p>
        </w:tc>
        <w:tc>
          <w:tcPr>
            <w:vAlign w:val="center"/>
          </w:tcPr>
          <w:p>
            <w:pPr>
              <w:jc w:val="center"/>
            </w:pPr>
            <w:r>
              <w:rPr>
                <w:rFonts w:ascii="Times New Roman" w:hAnsi="Times New Roman" w:eastAsiaTheme="minorEastAsia"/>
                <w:kern w:val="2"/>
                <w:sz w:val="21"/>
                <w:szCs w:val="21"/>
              </w:rPr>
              <w:t>时代新材</w:t>
            </w:r>
          </w:p>
        </w:tc>
        <w:tc>
          <w:tcPr>
            <w:vAlign w:val="center"/>
          </w:tcPr>
          <w:p>
            <w:pPr>
              <w:jc w:val="right"/>
            </w:pPr>
            <w:r>
              <w:rPr>
                <w:rFonts w:ascii="Times New Roman" w:hAnsi="Times New Roman" w:eastAsiaTheme="minorEastAsia"/>
                <w:kern w:val="2"/>
                <w:sz w:val="21"/>
                <w:szCs w:val="21"/>
              </w:rPr>
              <w:t>1,927,394.00</w:t>
            </w:r>
          </w:p>
        </w:tc>
        <w:tc>
          <w:tcPr>
            <w:vAlign w:val="center"/>
          </w:tcPr>
          <w:p>
            <w:pPr>
              <w:jc w:val="right"/>
            </w:pPr>
            <w:r>
              <w:rPr>
                <w:rFonts w:ascii="Times New Roman" w:hAnsi="Times New Roman" w:eastAsiaTheme="minorEastAsia"/>
                <w:kern w:val="2"/>
                <w:sz w:val="21"/>
                <w:szCs w:val="21"/>
              </w:rPr>
              <w:t>3.81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6</w:t>
            </w:r>
          </w:p>
        </w:tc>
        <w:tc>
          <w:tcPr>
            <w:vAlign w:val="center"/>
          </w:tcPr>
          <w:p>
            <w:pPr>
              <w:jc w:val="center"/>
            </w:pPr>
            <w:r>
              <w:rPr>
                <w:rFonts w:ascii="Times New Roman" w:hAnsi="Times New Roman" w:eastAsiaTheme="minorEastAsia"/>
                <w:kern w:val="2"/>
                <w:sz w:val="21"/>
                <w:szCs w:val="21"/>
              </w:rPr>
              <w:t>600996</w:t>
            </w:r>
          </w:p>
        </w:tc>
        <w:tc>
          <w:tcPr>
            <w:vAlign w:val="center"/>
          </w:tcPr>
          <w:p>
            <w:pPr>
              <w:jc w:val="center"/>
            </w:pPr>
            <w:r>
              <w:rPr>
                <w:rFonts w:ascii="Times New Roman" w:hAnsi="Times New Roman" w:eastAsiaTheme="minorEastAsia"/>
                <w:kern w:val="2"/>
                <w:sz w:val="21"/>
                <w:szCs w:val="21"/>
              </w:rPr>
              <w:t>贵广网络</w:t>
            </w:r>
          </w:p>
        </w:tc>
        <w:tc>
          <w:tcPr>
            <w:vAlign w:val="center"/>
          </w:tcPr>
          <w:p>
            <w:pPr>
              <w:jc w:val="right"/>
            </w:pPr>
            <w:r>
              <w:rPr>
                <w:rFonts w:ascii="Times New Roman" w:hAnsi="Times New Roman" w:eastAsiaTheme="minorEastAsia"/>
                <w:kern w:val="2"/>
                <w:sz w:val="21"/>
                <w:szCs w:val="21"/>
              </w:rPr>
              <w:t>1,728,156.00</w:t>
            </w:r>
          </w:p>
        </w:tc>
        <w:tc>
          <w:tcPr>
            <w:vAlign w:val="center"/>
          </w:tcPr>
          <w:p>
            <w:pPr>
              <w:jc w:val="right"/>
            </w:pPr>
            <w:r>
              <w:rPr>
                <w:rFonts w:ascii="Times New Roman" w:hAnsi="Times New Roman" w:eastAsiaTheme="minorEastAsia"/>
                <w:kern w:val="2"/>
                <w:sz w:val="21"/>
                <w:szCs w:val="21"/>
              </w:rPr>
              <w:t>3.42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7</w:t>
            </w:r>
          </w:p>
        </w:tc>
        <w:tc>
          <w:tcPr>
            <w:vAlign w:val="center"/>
          </w:tcPr>
          <w:p>
            <w:pPr>
              <w:jc w:val="center"/>
            </w:pPr>
            <w:r>
              <w:rPr>
                <w:rFonts w:ascii="Times New Roman" w:hAnsi="Times New Roman" w:eastAsiaTheme="minorEastAsia"/>
                <w:kern w:val="2"/>
                <w:sz w:val="21"/>
                <w:szCs w:val="21"/>
              </w:rPr>
              <w:t>600104</w:t>
            </w:r>
          </w:p>
        </w:tc>
        <w:tc>
          <w:tcPr>
            <w:vAlign w:val="center"/>
          </w:tcPr>
          <w:p>
            <w:pPr>
              <w:jc w:val="center"/>
            </w:pPr>
            <w:r>
              <w:rPr>
                <w:rFonts w:ascii="Times New Roman" w:hAnsi="Times New Roman" w:eastAsiaTheme="minorEastAsia"/>
                <w:kern w:val="2"/>
                <w:sz w:val="21"/>
                <w:szCs w:val="21"/>
              </w:rPr>
              <w:t>上汽集团</w:t>
            </w:r>
          </w:p>
        </w:tc>
        <w:tc>
          <w:tcPr>
            <w:vAlign w:val="center"/>
          </w:tcPr>
          <w:p>
            <w:pPr>
              <w:jc w:val="right"/>
            </w:pPr>
            <w:r>
              <w:rPr>
                <w:rFonts w:ascii="Times New Roman" w:hAnsi="Times New Roman" w:eastAsiaTheme="minorEastAsia"/>
                <w:kern w:val="2"/>
                <w:sz w:val="21"/>
                <w:szCs w:val="21"/>
              </w:rPr>
              <w:t>1,692,909.00</w:t>
            </w:r>
          </w:p>
        </w:tc>
        <w:tc>
          <w:tcPr>
            <w:vAlign w:val="center"/>
          </w:tcPr>
          <w:p>
            <w:pPr>
              <w:jc w:val="right"/>
            </w:pPr>
            <w:r>
              <w:rPr>
                <w:rFonts w:ascii="Times New Roman" w:hAnsi="Times New Roman" w:eastAsiaTheme="minorEastAsia"/>
                <w:kern w:val="2"/>
                <w:sz w:val="21"/>
                <w:szCs w:val="21"/>
              </w:rPr>
              <w:t>3.35</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8</w:t>
            </w:r>
          </w:p>
        </w:tc>
        <w:tc>
          <w:tcPr>
            <w:vAlign w:val="center"/>
          </w:tcPr>
          <w:p>
            <w:pPr>
              <w:jc w:val="center"/>
            </w:pPr>
            <w:r>
              <w:rPr>
                <w:rFonts w:ascii="Times New Roman" w:hAnsi="Times New Roman" w:eastAsiaTheme="minorEastAsia"/>
                <w:kern w:val="2"/>
                <w:sz w:val="21"/>
                <w:szCs w:val="21"/>
              </w:rPr>
              <w:t>601225</w:t>
            </w:r>
          </w:p>
        </w:tc>
        <w:tc>
          <w:tcPr>
            <w:vAlign w:val="center"/>
          </w:tcPr>
          <w:p>
            <w:pPr>
              <w:jc w:val="center"/>
            </w:pPr>
            <w:r>
              <w:rPr>
                <w:rFonts w:ascii="Times New Roman" w:hAnsi="Times New Roman" w:eastAsiaTheme="minorEastAsia"/>
                <w:kern w:val="2"/>
                <w:sz w:val="21"/>
                <w:szCs w:val="21"/>
              </w:rPr>
              <w:t>陕西煤业</w:t>
            </w:r>
          </w:p>
        </w:tc>
        <w:tc>
          <w:tcPr>
            <w:vAlign w:val="center"/>
          </w:tcPr>
          <w:p>
            <w:pPr>
              <w:jc w:val="right"/>
            </w:pPr>
            <w:r>
              <w:rPr>
                <w:rFonts w:ascii="Times New Roman" w:hAnsi="Times New Roman" w:eastAsiaTheme="minorEastAsia"/>
                <w:kern w:val="2"/>
                <w:sz w:val="21"/>
                <w:szCs w:val="21"/>
              </w:rPr>
              <w:t>1,612,000.00</w:t>
            </w:r>
          </w:p>
        </w:tc>
        <w:tc>
          <w:tcPr>
            <w:vAlign w:val="center"/>
          </w:tcPr>
          <w:p>
            <w:pPr>
              <w:jc w:val="right"/>
            </w:pPr>
            <w:r>
              <w:rPr>
                <w:rFonts w:ascii="Times New Roman" w:hAnsi="Times New Roman" w:eastAsiaTheme="minorEastAsia"/>
                <w:kern w:val="2"/>
                <w:sz w:val="21"/>
                <w:szCs w:val="21"/>
              </w:rPr>
              <w:t>3.19</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9</w:t>
            </w:r>
          </w:p>
        </w:tc>
        <w:tc>
          <w:tcPr>
            <w:vAlign w:val="center"/>
          </w:tcPr>
          <w:p>
            <w:pPr>
              <w:jc w:val="center"/>
            </w:pPr>
            <w:r>
              <w:rPr>
                <w:rFonts w:ascii="Times New Roman" w:hAnsi="Times New Roman" w:eastAsiaTheme="minorEastAsia"/>
                <w:kern w:val="2"/>
                <w:sz w:val="21"/>
                <w:szCs w:val="21"/>
              </w:rPr>
              <w:t>600703</w:t>
            </w:r>
          </w:p>
        </w:tc>
        <w:tc>
          <w:tcPr>
            <w:vAlign w:val="center"/>
          </w:tcPr>
          <w:p>
            <w:pPr>
              <w:jc w:val="center"/>
            </w:pPr>
            <w:r>
              <w:rPr>
                <w:rFonts w:ascii="Times New Roman" w:hAnsi="Times New Roman" w:eastAsiaTheme="minorEastAsia"/>
                <w:kern w:val="2"/>
                <w:sz w:val="21"/>
                <w:szCs w:val="21"/>
              </w:rPr>
              <w:t>三安光电</w:t>
            </w:r>
          </w:p>
        </w:tc>
        <w:tc>
          <w:tcPr>
            <w:vAlign w:val="center"/>
          </w:tcPr>
          <w:p>
            <w:pPr>
              <w:jc w:val="right"/>
            </w:pPr>
            <w:r>
              <w:rPr>
                <w:rFonts w:ascii="Times New Roman" w:hAnsi="Times New Roman" w:eastAsiaTheme="minorEastAsia"/>
                <w:kern w:val="2"/>
                <w:sz w:val="21"/>
                <w:szCs w:val="21"/>
              </w:rPr>
              <w:t>1,474,144.00</w:t>
            </w:r>
          </w:p>
        </w:tc>
        <w:tc>
          <w:tcPr>
            <w:vAlign w:val="center"/>
          </w:tcPr>
          <w:p>
            <w:pPr>
              <w:jc w:val="right"/>
            </w:pPr>
            <w:r>
              <w:rPr>
                <w:rFonts w:ascii="Times New Roman" w:hAnsi="Times New Roman" w:eastAsiaTheme="minorEastAsia"/>
                <w:kern w:val="2"/>
                <w:sz w:val="21"/>
                <w:szCs w:val="21"/>
              </w:rPr>
              <w:t>2.91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10</w:t>
            </w:r>
          </w:p>
        </w:tc>
        <w:tc>
          <w:tcPr>
            <w:vAlign w:val="center"/>
          </w:tcPr>
          <w:p>
            <w:pPr>
              <w:jc w:val="center"/>
            </w:pPr>
            <w:r>
              <w:rPr>
                <w:rFonts w:ascii="Times New Roman" w:hAnsi="Times New Roman" w:eastAsiaTheme="minorEastAsia"/>
                <w:kern w:val="2"/>
                <w:sz w:val="21"/>
                <w:szCs w:val="21"/>
              </w:rPr>
              <w:t>600038</w:t>
            </w:r>
          </w:p>
        </w:tc>
        <w:tc>
          <w:tcPr>
            <w:vAlign w:val="center"/>
          </w:tcPr>
          <w:p>
            <w:pPr>
              <w:jc w:val="center"/>
            </w:pPr>
            <w:r>
              <w:rPr>
                <w:rFonts w:ascii="Times New Roman" w:hAnsi="Times New Roman" w:eastAsiaTheme="minorEastAsia"/>
                <w:kern w:val="2"/>
                <w:sz w:val="21"/>
                <w:szCs w:val="21"/>
              </w:rPr>
              <w:t>中直股份</w:t>
            </w:r>
          </w:p>
        </w:tc>
        <w:tc>
          <w:tcPr>
            <w:vAlign w:val="center"/>
          </w:tcPr>
          <w:p>
            <w:pPr>
              <w:jc w:val="right"/>
            </w:pPr>
            <w:r>
              <w:rPr>
                <w:rFonts w:ascii="Times New Roman" w:hAnsi="Times New Roman" w:eastAsiaTheme="minorEastAsia"/>
                <w:kern w:val="2"/>
                <w:sz w:val="21"/>
                <w:szCs w:val="21"/>
              </w:rPr>
              <w:t>1,447,338.00</w:t>
            </w:r>
          </w:p>
        </w:tc>
        <w:tc>
          <w:tcPr>
            <w:vAlign w:val="center"/>
          </w:tcPr>
          <w:p>
            <w:pPr>
              <w:jc w:val="right"/>
            </w:pPr>
            <w:r>
              <w:rPr>
                <w:rFonts w:ascii="Times New Roman" w:hAnsi="Times New Roman" w:eastAsiaTheme="minorEastAsia"/>
                <w:kern w:val="2"/>
                <w:sz w:val="21"/>
                <w:szCs w:val="21"/>
              </w:rPr>
              <w:t>2.86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11</w:t>
            </w:r>
          </w:p>
        </w:tc>
        <w:tc>
          <w:tcPr>
            <w:vAlign w:val="center"/>
          </w:tcPr>
          <w:p>
            <w:pPr>
              <w:jc w:val="center"/>
            </w:pPr>
            <w:r>
              <w:rPr>
                <w:rFonts w:ascii="Times New Roman" w:hAnsi="Times New Roman" w:eastAsiaTheme="minorEastAsia"/>
                <w:kern w:val="2"/>
                <w:sz w:val="21"/>
                <w:szCs w:val="21"/>
              </w:rPr>
              <w:t>601006</w:t>
            </w:r>
          </w:p>
        </w:tc>
        <w:tc>
          <w:tcPr>
            <w:vAlign w:val="center"/>
          </w:tcPr>
          <w:p>
            <w:pPr>
              <w:jc w:val="center"/>
            </w:pPr>
            <w:r>
              <w:rPr>
                <w:rFonts w:ascii="Times New Roman" w:hAnsi="Times New Roman" w:eastAsiaTheme="minorEastAsia"/>
                <w:kern w:val="2"/>
                <w:sz w:val="21"/>
                <w:szCs w:val="21"/>
              </w:rPr>
              <w:t>大秦铁路</w:t>
            </w:r>
          </w:p>
        </w:tc>
        <w:tc>
          <w:tcPr>
            <w:vAlign w:val="center"/>
          </w:tcPr>
          <w:p>
            <w:pPr>
              <w:jc w:val="right"/>
            </w:pPr>
            <w:r>
              <w:rPr>
                <w:rFonts w:ascii="Times New Roman" w:hAnsi="Times New Roman" w:eastAsiaTheme="minorEastAsia"/>
                <w:kern w:val="2"/>
                <w:sz w:val="21"/>
                <w:szCs w:val="21"/>
              </w:rPr>
              <w:t>1,254,000.00</w:t>
            </w:r>
          </w:p>
        </w:tc>
        <w:tc>
          <w:tcPr>
            <w:vAlign w:val="center"/>
          </w:tcPr>
          <w:p>
            <w:pPr>
              <w:jc w:val="right"/>
            </w:pPr>
            <w:r>
              <w:rPr>
                <w:rFonts w:ascii="Times New Roman" w:hAnsi="Times New Roman" w:eastAsiaTheme="minorEastAsia"/>
                <w:kern w:val="2"/>
                <w:sz w:val="21"/>
                <w:szCs w:val="21"/>
              </w:rPr>
              <w:t>2.48</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12</w:t>
            </w:r>
          </w:p>
        </w:tc>
        <w:tc>
          <w:tcPr>
            <w:vAlign w:val="center"/>
          </w:tcPr>
          <w:p>
            <w:pPr>
              <w:jc w:val="center"/>
            </w:pPr>
            <w:r>
              <w:rPr>
                <w:rFonts w:ascii="Times New Roman" w:hAnsi="Times New Roman" w:eastAsiaTheme="minorEastAsia"/>
                <w:kern w:val="2"/>
                <w:sz w:val="21"/>
                <w:szCs w:val="21"/>
              </w:rPr>
              <w:t>002063</w:t>
            </w:r>
          </w:p>
        </w:tc>
        <w:tc>
          <w:tcPr>
            <w:vAlign w:val="center"/>
          </w:tcPr>
          <w:p>
            <w:pPr>
              <w:jc w:val="center"/>
            </w:pPr>
            <w:r>
              <w:rPr>
                <w:rFonts w:ascii="Times New Roman" w:hAnsi="Times New Roman" w:eastAsiaTheme="minorEastAsia"/>
                <w:kern w:val="2"/>
                <w:sz w:val="21"/>
                <w:szCs w:val="21"/>
              </w:rPr>
              <w:t>远光软件</w:t>
            </w:r>
          </w:p>
        </w:tc>
        <w:tc>
          <w:tcPr>
            <w:vAlign w:val="center"/>
          </w:tcPr>
          <w:p>
            <w:pPr>
              <w:jc w:val="right"/>
            </w:pPr>
            <w:r>
              <w:rPr>
                <w:rFonts w:ascii="Times New Roman" w:hAnsi="Times New Roman" w:eastAsiaTheme="minorEastAsia"/>
                <w:kern w:val="2"/>
                <w:sz w:val="21"/>
                <w:szCs w:val="21"/>
              </w:rPr>
              <w:t>1,115,087.00</w:t>
            </w:r>
          </w:p>
        </w:tc>
        <w:tc>
          <w:tcPr>
            <w:vAlign w:val="center"/>
          </w:tcPr>
          <w:p>
            <w:pPr>
              <w:jc w:val="right"/>
            </w:pPr>
            <w:r>
              <w:rPr>
                <w:rFonts w:ascii="Times New Roman" w:hAnsi="Times New Roman" w:eastAsiaTheme="minorEastAsia"/>
                <w:kern w:val="2"/>
                <w:sz w:val="21"/>
                <w:szCs w:val="21"/>
              </w:rPr>
              <w:t>2.20</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13</w:t>
            </w:r>
          </w:p>
        </w:tc>
        <w:tc>
          <w:tcPr>
            <w:vAlign w:val="center"/>
          </w:tcPr>
          <w:p>
            <w:pPr>
              <w:jc w:val="center"/>
            </w:pPr>
            <w:r>
              <w:rPr>
                <w:rFonts w:ascii="Times New Roman" w:hAnsi="Times New Roman" w:eastAsiaTheme="minorEastAsia"/>
                <w:kern w:val="2"/>
                <w:sz w:val="21"/>
                <w:szCs w:val="21"/>
              </w:rPr>
              <w:t>600325</w:t>
            </w:r>
          </w:p>
        </w:tc>
        <w:tc>
          <w:tcPr>
            <w:vAlign w:val="center"/>
          </w:tcPr>
          <w:p>
            <w:pPr>
              <w:jc w:val="center"/>
            </w:pPr>
            <w:r>
              <w:rPr>
                <w:rFonts w:ascii="Times New Roman" w:hAnsi="Times New Roman" w:eastAsiaTheme="minorEastAsia"/>
                <w:kern w:val="2"/>
                <w:sz w:val="21"/>
                <w:szCs w:val="21"/>
              </w:rPr>
              <w:t>华发股份</w:t>
            </w:r>
          </w:p>
        </w:tc>
        <w:tc>
          <w:tcPr>
            <w:vAlign w:val="center"/>
          </w:tcPr>
          <w:p>
            <w:pPr>
              <w:jc w:val="right"/>
            </w:pPr>
            <w:r>
              <w:rPr>
                <w:rFonts w:ascii="Times New Roman" w:hAnsi="Times New Roman" w:eastAsiaTheme="minorEastAsia"/>
                <w:kern w:val="2"/>
                <w:sz w:val="21"/>
                <w:szCs w:val="21"/>
              </w:rPr>
              <w:t>1,087,677.70</w:t>
            </w:r>
          </w:p>
        </w:tc>
        <w:tc>
          <w:tcPr>
            <w:vAlign w:val="center"/>
          </w:tcPr>
          <w:p>
            <w:pPr>
              <w:jc w:val="right"/>
            </w:pPr>
            <w:r>
              <w:rPr>
                <w:rFonts w:ascii="Times New Roman" w:hAnsi="Times New Roman" w:eastAsiaTheme="minorEastAsia"/>
                <w:kern w:val="2"/>
                <w:sz w:val="21"/>
                <w:szCs w:val="21"/>
              </w:rPr>
              <w:t>2.15</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14</w:t>
            </w:r>
          </w:p>
        </w:tc>
        <w:tc>
          <w:tcPr>
            <w:vAlign w:val="center"/>
          </w:tcPr>
          <w:p>
            <w:pPr>
              <w:jc w:val="center"/>
            </w:pPr>
            <w:r>
              <w:rPr>
                <w:rFonts w:ascii="Times New Roman" w:hAnsi="Times New Roman" w:eastAsiaTheme="minorEastAsia"/>
                <w:kern w:val="2"/>
                <w:sz w:val="21"/>
                <w:szCs w:val="21"/>
              </w:rPr>
              <w:t>300473</w:t>
            </w:r>
          </w:p>
        </w:tc>
        <w:tc>
          <w:tcPr>
            <w:vAlign w:val="center"/>
          </w:tcPr>
          <w:p>
            <w:pPr>
              <w:jc w:val="center"/>
            </w:pPr>
            <w:r>
              <w:rPr>
                <w:rFonts w:ascii="Times New Roman" w:hAnsi="Times New Roman" w:eastAsiaTheme="minorEastAsia"/>
                <w:kern w:val="2"/>
                <w:sz w:val="21"/>
                <w:szCs w:val="21"/>
              </w:rPr>
              <w:t>德尔股份</w:t>
            </w:r>
          </w:p>
        </w:tc>
        <w:tc>
          <w:tcPr>
            <w:vAlign w:val="center"/>
          </w:tcPr>
          <w:p>
            <w:pPr>
              <w:jc w:val="right"/>
            </w:pPr>
            <w:r>
              <w:rPr>
                <w:rFonts w:ascii="Times New Roman" w:hAnsi="Times New Roman" w:eastAsiaTheme="minorEastAsia"/>
                <w:kern w:val="2"/>
                <w:sz w:val="21"/>
                <w:szCs w:val="21"/>
              </w:rPr>
              <w:t>1,083,719.00</w:t>
            </w:r>
          </w:p>
        </w:tc>
        <w:tc>
          <w:tcPr>
            <w:vAlign w:val="center"/>
          </w:tcPr>
          <w:p>
            <w:pPr>
              <w:jc w:val="right"/>
            </w:pPr>
            <w:r>
              <w:rPr>
                <w:rFonts w:ascii="Times New Roman" w:hAnsi="Times New Roman" w:eastAsiaTheme="minorEastAsia"/>
                <w:kern w:val="2"/>
                <w:sz w:val="21"/>
                <w:szCs w:val="21"/>
              </w:rPr>
              <w:t>2.14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15</w:t>
            </w:r>
          </w:p>
        </w:tc>
        <w:tc>
          <w:tcPr>
            <w:vAlign w:val="center"/>
          </w:tcPr>
          <w:p>
            <w:pPr>
              <w:jc w:val="center"/>
            </w:pPr>
            <w:r>
              <w:rPr>
                <w:rFonts w:ascii="Times New Roman" w:hAnsi="Times New Roman" w:eastAsiaTheme="minorEastAsia"/>
                <w:kern w:val="2"/>
                <w:sz w:val="21"/>
                <w:szCs w:val="21"/>
              </w:rPr>
              <w:t>000651</w:t>
            </w:r>
          </w:p>
        </w:tc>
        <w:tc>
          <w:tcPr>
            <w:vAlign w:val="center"/>
          </w:tcPr>
          <w:p>
            <w:pPr>
              <w:jc w:val="center"/>
            </w:pPr>
            <w:r>
              <w:rPr>
                <w:rFonts w:ascii="Times New Roman" w:hAnsi="Times New Roman" w:eastAsiaTheme="minorEastAsia"/>
                <w:kern w:val="2"/>
                <w:sz w:val="21"/>
                <w:szCs w:val="21"/>
              </w:rPr>
              <w:t>格力电器</w:t>
            </w:r>
          </w:p>
        </w:tc>
        <w:tc>
          <w:tcPr>
            <w:vAlign w:val="center"/>
          </w:tcPr>
          <w:p>
            <w:pPr>
              <w:jc w:val="right"/>
            </w:pPr>
            <w:r>
              <w:rPr>
                <w:rFonts w:ascii="Times New Roman" w:hAnsi="Times New Roman" w:eastAsiaTheme="minorEastAsia"/>
                <w:kern w:val="2"/>
                <w:sz w:val="21"/>
                <w:szCs w:val="21"/>
              </w:rPr>
              <w:t>1,067,733.00</w:t>
            </w:r>
          </w:p>
        </w:tc>
        <w:tc>
          <w:tcPr>
            <w:vAlign w:val="center"/>
          </w:tcPr>
          <w:p>
            <w:pPr>
              <w:jc w:val="right"/>
            </w:pPr>
            <w:r>
              <w:rPr>
                <w:rFonts w:ascii="Times New Roman" w:hAnsi="Times New Roman" w:eastAsiaTheme="minorEastAsia"/>
                <w:kern w:val="2"/>
                <w:sz w:val="21"/>
                <w:szCs w:val="21"/>
              </w:rPr>
              <w:t>2.11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16</w:t>
            </w:r>
          </w:p>
        </w:tc>
        <w:tc>
          <w:tcPr>
            <w:vAlign w:val="center"/>
          </w:tcPr>
          <w:p>
            <w:pPr>
              <w:jc w:val="center"/>
            </w:pPr>
            <w:r>
              <w:rPr>
                <w:rFonts w:ascii="Times New Roman" w:hAnsi="Times New Roman" w:eastAsiaTheme="minorEastAsia"/>
                <w:kern w:val="2"/>
                <w:sz w:val="21"/>
                <w:szCs w:val="21"/>
              </w:rPr>
              <w:t>002373</w:t>
            </w:r>
          </w:p>
        </w:tc>
        <w:tc>
          <w:tcPr>
            <w:vAlign w:val="center"/>
          </w:tcPr>
          <w:p>
            <w:pPr>
              <w:jc w:val="center"/>
            </w:pPr>
            <w:r>
              <w:rPr>
                <w:rFonts w:ascii="Times New Roman" w:hAnsi="Times New Roman" w:eastAsiaTheme="minorEastAsia"/>
                <w:kern w:val="2"/>
                <w:sz w:val="21"/>
                <w:szCs w:val="21"/>
              </w:rPr>
              <w:t>千方科技</w:t>
            </w:r>
          </w:p>
        </w:tc>
        <w:tc>
          <w:tcPr>
            <w:vAlign w:val="center"/>
          </w:tcPr>
          <w:p>
            <w:pPr>
              <w:jc w:val="right"/>
            </w:pPr>
            <w:r>
              <w:rPr>
                <w:rFonts w:ascii="Times New Roman" w:hAnsi="Times New Roman" w:eastAsiaTheme="minorEastAsia"/>
                <w:kern w:val="2"/>
                <w:sz w:val="21"/>
                <w:szCs w:val="21"/>
              </w:rPr>
              <w:t>1,033,283.00</w:t>
            </w:r>
          </w:p>
        </w:tc>
        <w:tc>
          <w:tcPr>
            <w:vAlign w:val="center"/>
          </w:tcPr>
          <w:p>
            <w:pPr>
              <w:jc w:val="right"/>
            </w:pPr>
            <w:r>
              <w:rPr>
                <w:rFonts w:ascii="Times New Roman" w:hAnsi="Times New Roman" w:eastAsiaTheme="minorEastAsia"/>
                <w:kern w:val="2"/>
                <w:sz w:val="21"/>
                <w:szCs w:val="21"/>
              </w:rPr>
              <w:t>2.04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17</w:t>
            </w:r>
          </w:p>
        </w:tc>
        <w:tc>
          <w:tcPr>
            <w:vAlign w:val="center"/>
          </w:tcPr>
          <w:p>
            <w:pPr>
              <w:jc w:val="center"/>
            </w:pPr>
            <w:r>
              <w:rPr>
                <w:rFonts w:ascii="Times New Roman" w:hAnsi="Times New Roman" w:eastAsiaTheme="minorEastAsia"/>
                <w:kern w:val="2"/>
                <w:sz w:val="21"/>
                <w:szCs w:val="21"/>
              </w:rPr>
              <w:t>300059</w:t>
            </w:r>
          </w:p>
        </w:tc>
        <w:tc>
          <w:tcPr>
            <w:vAlign w:val="center"/>
          </w:tcPr>
          <w:p>
            <w:pPr>
              <w:jc w:val="center"/>
            </w:pPr>
            <w:r>
              <w:rPr>
                <w:rFonts w:ascii="Times New Roman" w:hAnsi="Times New Roman" w:eastAsiaTheme="minorEastAsia"/>
                <w:kern w:val="2"/>
                <w:sz w:val="21"/>
                <w:szCs w:val="21"/>
              </w:rPr>
              <w:t>东方财富</w:t>
            </w:r>
          </w:p>
        </w:tc>
        <w:tc>
          <w:tcPr>
            <w:vAlign w:val="center"/>
          </w:tcPr>
          <w:p>
            <w:pPr>
              <w:jc w:val="right"/>
            </w:pPr>
            <w:r>
              <w:rPr>
                <w:rFonts w:ascii="Times New Roman" w:hAnsi="Times New Roman" w:eastAsiaTheme="minorEastAsia"/>
                <w:kern w:val="2"/>
                <w:sz w:val="21"/>
                <w:szCs w:val="21"/>
              </w:rPr>
              <w:t>1,005,526.00</w:t>
            </w:r>
          </w:p>
        </w:tc>
        <w:tc>
          <w:tcPr>
            <w:vAlign w:val="center"/>
          </w:tcPr>
          <w:p>
            <w:pPr>
              <w:jc w:val="right"/>
            </w:pPr>
            <w:r>
              <w:rPr>
                <w:rFonts w:ascii="Times New Roman" w:hAnsi="Times New Roman" w:eastAsiaTheme="minorEastAsia"/>
                <w:kern w:val="2"/>
                <w:sz w:val="21"/>
                <w:szCs w:val="21"/>
              </w:rPr>
              <w:t>1.99</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18</w:t>
            </w:r>
          </w:p>
        </w:tc>
        <w:tc>
          <w:tcPr>
            <w:vAlign w:val="center"/>
          </w:tcPr>
          <w:p>
            <w:pPr>
              <w:jc w:val="center"/>
            </w:pPr>
            <w:r>
              <w:rPr>
                <w:rFonts w:ascii="Times New Roman" w:hAnsi="Times New Roman" w:eastAsiaTheme="minorEastAsia"/>
                <w:kern w:val="2"/>
                <w:sz w:val="21"/>
                <w:szCs w:val="21"/>
              </w:rPr>
              <w:t>300494</w:t>
            </w:r>
          </w:p>
        </w:tc>
        <w:tc>
          <w:tcPr>
            <w:vAlign w:val="center"/>
          </w:tcPr>
          <w:p>
            <w:pPr>
              <w:jc w:val="center"/>
            </w:pPr>
            <w:r>
              <w:rPr>
                <w:rFonts w:ascii="Times New Roman" w:hAnsi="Times New Roman" w:eastAsiaTheme="minorEastAsia"/>
                <w:kern w:val="2"/>
                <w:sz w:val="21"/>
                <w:szCs w:val="21"/>
              </w:rPr>
              <w:t>盛天网络</w:t>
            </w:r>
          </w:p>
        </w:tc>
        <w:tc>
          <w:tcPr>
            <w:vAlign w:val="center"/>
          </w:tcPr>
          <w:p>
            <w:pPr>
              <w:jc w:val="right"/>
            </w:pPr>
            <w:r>
              <w:rPr>
                <w:rFonts w:ascii="Times New Roman" w:hAnsi="Times New Roman" w:eastAsiaTheme="minorEastAsia"/>
                <w:kern w:val="2"/>
                <w:sz w:val="21"/>
                <w:szCs w:val="21"/>
              </w:rPr>
              <w:t>986,400.00</w:t>
            </w:r>
          </w:p>
        </w:tc>
        <w:tc>
          <w:tcPr>
            <w:vAlign w:val="center"/>
          </w:tcPr>
          <w:p>
            <w:pPr>
              <w:jc w:val="right"/>
            </w:pPr>
            <w:r>
              <w:rPr>
                <w:rFonts w:ascii="Times New Roman" w:hAnsi="Times New Roman" w:eastAsiaTheme="minorEastAsia"/>
                <w:kern w:val="2"/>
                <w:sz w:val="21"/>
                <w:szCs w:val="21"/>
              </w:rPr>
              <w:t>1.95</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19</w:t>
            </w:r>
          </w:p>
        </w:tc>
        <w:tc>
          <w:tcPr>
            <w:vAlign w:val="center"/>
          </w:tcPr>
          <w:p>
            <w:pPr>
              <w:jc w:val="center"/>
            </w:pPr>
            <w:r>
              <w:rPr>
                <w:rFonts w:ascii="Times New Roman" w:hAnsi="Times New Roman" w:eastAsiaTheme="minorEastAsia"/>
                <w:kern w:val="2"/>
                <w:sz w:val="21"/>
                <w:szCs w:val="21"/>
              </w:rPr>
              <w:t>600801</w:t>
            </w:r>
          </w:p>
        </w:tc>
        <w:tc>
          <w:tcPr>
            <w:vAlign w:val="center"/>
          </w:tcPr>
          <w:p>
            <w:pPr>
              <w:jc w:val="center"/>
            </w:pPr>
            <w:r>
              <w:rPr>
                <w:rFonts w:ascii="Times New Roman" w:hAnsi="Times New Roman" w:eastAsiaTheme="minorEastAsia"/>
                <w:kern w:val="2"/>
                <w:sz w:val="21"/>
                <w:szCs w:val="21"/>
              </w:rPr>
              <w:t>华新水泥</w:t>
            </w:r>
          </w:p>
        </w:tc>
        <w:tc>
          <w:tcPr>
            <w:vAlign w:val="center"/>
          </w:tcPr>
          <w:p>
            <w:pPr>
              <w:jc w:val="right"/>
            </w:pPr>
            <w:r>
              <w:rPr>
                <w:rFonts w:ascii="Times New Roman" w:hAnsi="Times New Roman" w:eastAsiaTheme="minorEastAsia"/>
                <w:kern w:val="2"/>
                <w:sz w:val="21"/>
                <w:szCs w:val="21"/>
              </w:rPr>
              <w:t>974,255.76</w:t>
            </w:r>
          </w:p>
        </w:tc>
        <w:tc>
          <w:tcPr>
            <w:vAlign w:val="center"/>
          </w:tcPr>
          <w:p>
            <w:pPr>
              <w:jc w:val="right"/>
            </w:pPr>
            <w:r>
              <w:rPr>
                <w:rFonts w:ascii="Times New Roman" w:hAnsi="Times New Roman" w:eastAsiaTheme="minorEastAsia"/>
                <w:kern w:val="2"/>
                <w:sz w:val="21"/>
                <w:szCs w:val="21"/>
              </w:rPr>
              <w:t>1.93</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20</w:t>
            </w:r>
          </w:p>
        </w:tc>
        <w:tc>
          <w:tcPr>
            <w:vAlign w:val="center"/>
          </w:tcPr>
          <w:p>
            <w:pPr>
              <w:jc w:val="center"/>
            </w:pPr>
            <w:r>
              <w:rPr>
                <w:rFonts w:ascii="Times New Roman" w:hAnsi="Times New Roman" w:eastAsiaTheme="minorEastAsia"/>
                <w:kern w:val="2"/>
                <w:sz w:val="21"/>
                <w:szCs w:val="21"/>
              </w:rPr>
              <w:t>600004</w:t>
            </w:r>
          </w:p>
        </w:tc>
        <w:tc>
          <w:tcPr>
            <w:vAlign w:val="center"/>
          </w:tcPr>
          <w:p>
            <w:pPr>
              <w:jc w:val="center"/>
            </w:pPr>
            <w:r>
              <w:rPr>
                <w:rFonts w:ascii="Times New Roman" w:hAnsi="Times New Roman" w:eastAsiaTheme="minorEastAsia"/>
                <w:kern w:val="2"/>
                <w:sz w:val="21"/>
                <w:szCs w:val="21"/>
              </w:rPr>
              <w:t>白云机场</w:t>
            </w:r>
          </w:p>
        </w:tc>
        <w:tc>
          <w:tcPr>
            <w:vAlign w:val="center"/>
          </w:tcPr>
          <w:p>
            <w:pPr>
              <w:jc w:val="right"/>
            </w:pPr>
            <w:r>
              <w:rPr>
                <w:rFonts w:ascii="Times New Roman" w:hAnsi="Times New Roman" w:eastAsiaTheme="minorEastAsia"/>
                <w:kern w:val="2"/>
                <w:sz w:val="21"/>
                <w:szCs w:val="21"/>
              </w:rPr>
              <w:t>961,781.00</w:t>
            </w:r>
          </w:p>
        </w:tc>
        <w:tc>
          <w:tcPr>
            <w:vAlign w:val="center"/>
          </w:tcPr>
          <w:p>
            <w:pPr>
              <w:jc w:val="right"/>
            </w:pPr>
            <w:r>
              <w:rPr>
                <w:rFonts w:ascii="Times New Roman" w:hAnsi="Times New Roman" w:eastAsiaTheme="minorEastAsia"/>
                <w:kern w:val="2"/>
                <w:sz w:val="21"/>
                <w:szCs w:val="21"/>
              </w:rPr>
              <w:t>1.90</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7.4.3 </w:t>
      </w:r>
      <w:r w:rsidRPr="0045565B">
        <w:rPr>
          <w:rFonts w:eastAsiaTheme="minorEastAsia"/>
          <w:b/>
          <w:bCs/>
          <w:color w:val="000000"/>
          <w:szCs w:val="21"/>
        </w:rPr>
        <w:t>买入股票的成本总额及卖出股票的收入总额</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4500" w:type="dxa"/>
            <w:vAlign w:val="center"/>
          </w:tcPr>
          <w:p w:rsidR="001548F9" w:rsidRPr="0045565B" w:rsidP="0070173B">
            <w:pPr>
              <w:rPr>
                <w:rFonts w:eastAsiaTheme="minorEastAsia"/>
                <w:color w:val="000000"/>
                <w:szCs w:val="21"/>
              </w:rPr>
            </w:pPr>
            <w:r w:rsidRPr="0045565B">
              <w:rPr>
                <w:rFonts w:eastAsiaTheme="minorEastAsia"/>
                <w:color w:val="000000"/>
                <w:szCs w:val="21"/>
              </w:rPr>
              <w:t>买入股票的成本（成交）总额</w:t>
            </w:r>
          </w:p>
        </w:tc>
        <w:tc>
          <w:tcPr>
            <w:tcW w:w="4500" w:type="dxa"/>
            <w:vAlign w:val="center"/>
          </w:tcPr>
          <w:p w:rsidR="001548F9" w:rsidRPr="0045565B" w:rsidP="0070173B">
            <w:pPr>
              <w:wordWrap w:val="0"/>
              <w:jc w:val="right"/>
              <w:rPr>
                <w:rFonts w:eastAsiaTheme="minorEastAsia"/>
                <w:szCs w:val="21"/>
              </w:rPr>
            </w:pPr>
            <w:r w:rsidRPr="0045565B">
              <w:rPr>
                <w:rFonts w:eastAsiaTheme="minorEastAsia"/>
                <w:szCs w:val="21"/>
              </w:rPr>
              <w:t>40,260,933.15</w:t>
            </w:r>
          </w:p>
        </w:tc>
      </w:tr>
      <w:tr w:rsidTr="0070173B">
        <w:tblPrEx>
          <w:tblW w:w="0" w:type="auto"/>
          <w:tblInd w:w="108" w:type="dxa"/>
          <w:tblLayout w:type="fixed"/>
          <w:tblLook w:val="00A0"/>
        </w:tblPrEx>
        <w:tc>
          <w:tcPr>
            <w:tcW w:w="4500" w:type="dxa"/>
            <w:vAlign w:val="center"/>
          </w:tcPr>
          <w:p w:rsidR="001548F9" w:rsidRPr="0045565B" w:rsidP="0070173B">
            <w:pPr>
              <w:rPr>
                <w:rFonts w:eastAsiaTheme="minorEastAsia"/>
                <w:color w:val="000000"/>
                <w:szCs w:val="21"/>
              </w:rPr>
            </w:pPr>
            <w:r w:rsidRPr="0045565B">
              <w:rPr>
                <w:rFonts w:eastAsiaTheme="minorEastAsia"/>
                <w:color w:val="000000"/>
                <w:szCs w:val="21"/>
              </w:rPr>
              <w:t>卖出股票的收入（成交）总额</w:t>
            </w:r>
          </w:p>
        </w:tc>
        <w:tc>
          <w:tcPr>
            <w:tcW w:w="4500" w:type="dxa"/>
            <w:vAlign w:val="center"/>
          </w:tcPr>
          <w:p w:rsidR="001548F9" w:rsidRPr="0045565B" w:rsidP="0070173B">
            <w:pPr>
              <w:jc w:val="right"/>
              <w:rPr>
                <w:rFonts w:eastAsiaTheme="minorEastAsia"/>
                <w:szCs w:val="21"/>
              </w:rPr>
            </w:pPr>
            <w:r w:rsidRPr="0045565B">
              <w:rPr>
                <w:rFonts w:eastAsiaTheme="minorEastAsia"/>
                <w:szCs w:val="21"/>
              </w:rPr>
              <w:t>44,009,296.59</w:t>
            </w:r>
          </w:p>
        </w:tc>
      </w:tr>
    </w:tbl>
    <w:p w:rsidR="001548F9" w:rsidRPr="0045565B" w:rsidP="006A2FD2">
      <w:pPr>
        <w:pStyle w:val="Heading2"/>
        <w:spacing w:before="312" w:beforeLines="100" w:after="0"/>
        <w:rPr>
          <w:rFonts w:ascii="Times New Roman" w:hAnsi="Times New Roman" w:eastAsiaTheme="minorEastAsia"/>
          <w:kern w:val="0"/>
          <w:sz w:val="21"/>
          <w:szCs w:val="21"/>
        </w:rPr>
      </w:pPr>
      <w:bookmarkStart w:id="61" w:name="_Toc331410106"/>
      <w:bookmarkStart w:id="62" w:name="_Toc234814104"/>
      <w:r w:rsidRPr="0045565B">
        <w:rPr>
          <w:rFonts w:ascii="Times New Roman" w:hAnsi="Times New Roman" w:eastAsiaTheme="minorEastAsia"/>
          <w:kern w:val="0"/>
          <w:sz w:val="21"/>
          <w:szCs w:val="21"/>
        </w:rPr>
        <w:t xml:space="preserve">7.5 </w:t>
      </w:r>
      <w:r w:rsidRPr="0045565B">
        <w:rPr>
          <w:rFonts w:ascii="Times New Roman" w:hAnsi="Times New Roman" w:eastAsiaTheme="minorEastAsia"/>
          <w:kern w:val="0"/>
          <w:sz w:val="21"/>
          <w:szCs w:val="21"/>
        </w:rPr>
        <w:t>期末按债券品种分类的债券投资组合</w:t>
      </w:r>
      <w:bookmarkEnd w:id="61"/>
      <w:bookmarkEnd w:id="62"/>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Tr="006A2FD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3260"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债券品种</w:t>
            </w:r>
          </w:p>
        </w:tc>
        <w:tc>
          <w:tcPr>
            <w:tcW w:w="2410" w:type="dxa"/>
            <w:vAlign w:val="center"/>
          </w:tcPr>
          <w:p w:rsidR="001548F9" w:rsidRPr="0045565B" w:rsidP="00BD3F47">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2041"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1</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国家债券</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2</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央行票据</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3</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金融债券</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14,594,500.00</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24.22</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其中：政策性金融债</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12,152,500.00</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20.17</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4</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企业债券</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15,511,108.84</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25.74</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5</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企业短期融资券</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6</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中期票据</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w:t>
            </w:r>
          </w:p>
        </w:tc>
      </w:tr>
      <w:tr w:rsidTr="006A2FD2">
        <w:tblPrEx>
          <w:tblW w:w="0" w:type="auto"/>
          <w:tblInd w:w="108" w:type="dxa"/>
          <w:tblLayout w:type="fixed"/>
          <w:tblLook w:val="00A0"/>
        </w:tblPrEx>
        <w:tc>
          <w:tcPr>
            <w:tcW w:w="817"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7</w:t>
            </w:r>
          </w:p>
        </w:tc>
        <w:tc>
          <w:tcPr>
            <w:tcW w:w="3260" w:type="dxa"/>
            <w:vAlign w:val="center"/>
          </w:tcPr>
          <w:p w:rsidR="001548F9"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可转债</w:t>
            </w:r>
          </w:p>
        </w:tc>
        <w:tc>
          <w:tcPr>
            <w:tcW w:w="2410"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38,270,933.50</w:t>
            </w:r>
          </w:p>
        </w:tc>
        <w:tc>
          <w:tcPr>
            <w:tcW w:w="2041" w:type="dxa"/>
            <w:vAlign w:val="center"/>
          </w:tcPr>
          <w:p w:rsidR="001548F9" w:rsidRPr="0045565B" w:rsidP="0070173B">
            <w:pPr>
              <w:spacing w:before="29" w:line="360" w:lineRule="auto"/>
              <w:ind w:left="17"/>
              <w:jc w:val="right"/>
              <w:rPr>
                <w:rFonts w:eastAsiaTheme="minorEastAsia"/>
                <w:szCs w:val="21"/>
              </w:rPr>
            </w:pPr>
            <w:r w:rsidRPr="0045565B">
              <w:rPr>
                <w:rFonts w:eastAsiaTheme="minorEastAsia"/>
                <w:szCs w:val="21"/>
              </w:rPr>
              <w:t>63.52</w:t>
            </w:r>
          </w:p>
        </w:tc>
      </w:tr>
      <w:tr w:rsidTr="006A2FD2">
        <w:tblPrEx>
          <w:tblW w:w="0" w:type="auto"/>
          <w:tblInd w:w="108" w:type="dxa"/>
          <w:tblLayout w:type="fixed"/>
          <w:tblLook w:val="00A0"/>
        </w:tblPrEx>
        <w:tc>
          <w:tcPr>
            <w:tcW w:w="817" w:type="dxa"/>
            <w:vAlign w:val="center"/>
          </w:tcPr>
          <w:p w:rsidR="009B2ADD" w:rsidRPr="002341C9"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8</w:t>
            </w:r>
          </w:p>
        </w:tc>
        <w:tc>
          <w:tcPr>
            <w:tcW w:w="3260" w:type="dxa"/>
            <w:vAlign w:val="center"/>
          </w:tcPr>
          <w:p w:rsidR="009B2ADD" w:rsidRPr="002341C9"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同业存单</w:t>
            </w:r>
          </w:p>
        </w:tc>
        <w:tc>
          <w:tcPr>
            <w:tcW w:w="2410" w:type="dxa"/>
            <w:vAlign w:val="center"/>
          </w:tcPr>
          <w:p w:rsidR="009B2ADD" w:rsidRPr="002341C9"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w:t>
            </w:r>
          </w:p>
        </w:tc>
        <w:tc>
          <w:tcPr>
            <w:tcW w:w="2041" w:type="dxa"/>
            <w:vAlign w:val="center"/>
          </w:tcPr>
          <w:p w:rsidR="009B2ADD" w:rsidRPr="002341C9"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w:t>
            </w:r>
          </w:p>
        </w:tc>
      </w:tr>
      <w:tr w:rsidTr="006A2FD2">
        <w:tblPrEx>
          <w:tblW w:w="0" w:type="auto"/>
          <w:tblInd w:w="108" w:type="dxa"/>
          <w:tblLayout w:type="fixed"/>
          <w:tblLook w:val="00A0"/>
        </w:tblPrEx>
        <w:tc>
          <w:tcPr>
            <w:tcW w:w="817" w:type="dxa"/>
            <w:vAlign w:val="center"/>
          </w:tcPr>
          <w:p w:rsidR="009B2ADD"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9</w:t>
            </w:r>
          </w:p>
        </w:tc>
        <w:tc>
          <w:tcPr>
            <w:tcW w:w="3260" w:type="dxa"/>
            <w:vAlign w:val="center"/>
          </w:tcPr>
          <w:p w:rsidR="009B2ADD"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其他</w:t>
            </w:r>
          </w:p>
        </w:tc>
        <w:tc>
          <w:tcPr>
            <w:tcW w:w="2410" w:type="dxa"/>
            <w:vAlign w:val="center"/>
          </w:tcPr>
          <w:p w:rsidR="009B2ADD" w:rsidRPr="0045565B"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9B2ADD" w:rsidRPr="0045565B" w:rsidP="0070173B">
            <w:pPr>
              <w:spacing w:before="29" w:line="360" w:lineRule="auto"/>
              <w:ind w:left="17"/>
              <w:jc w:val="right"/>
              <w:rPr>
                <w:rFonts w:eastAsiaTheme="minorEastAsia"/>
                <w:szCs w:val="21"/>
              </w:rPr>
            </w:pPr>
            <w:r w:rsidRPr="0045565B">
              <w:rPr>
                <w:rFonts w:eastAsiaTheme="minorEastAsia"/>
                <w:szCs w:val="21"/>
              </w:rPr>
              <w:t>-</w:t>
            </w:r>
          </w:p>
        </w:tc>
      </w:tr>
      <w:tr w:rsidTr="006A2FD2">
        <w:tblPrEx>
          <w:tblW w:w="0" w:type="auto"/>
          <w:tblInd w:w="108" w:type="dxa"/>
          <w:tblLayout w:type="fixed"/>
          <w:tblLook w:val="00A0"/>
        </w:tblPrEx>
        <w:tc>
          <w:tcPr>
            <w:tcW w:w="817" w:type="dxa"/>
            <w:vAlign w:val="center"/>
          </w:tcPr>
          <w:p w:rsidR="009B2ADD"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10</w:t>
            </w:r>
          </w:p>
        </w:tc>
        <w:tc>
          <w:tcPr>
            <w:tcW w:w="3260" w:type="dxa"/>
            <w:vAlign w:val="center"/>
          </w:tcPr>
          <w:p w:rsidR="009B2ADD" w:rsidRPr="0045565B" w:rsidP="0070173B">
            <w:pPr>
              <w:spacing w:before="29" w:line="360" w:lineRule="auto"/>
              <w:ind w:left="17"/>
              <w:jc w:val="left"/>
              <w:rPr>
                <w:rFonts w:eastAsiaTheme="minorEastAsia"/>
                <w:color w:val="000000"/>
                <w:szCs w:val="21"/>
              </w:rPr>
            </w:pPr>
            <w:r w:rsidRPr="0045565B">
              <w:rPr>
                <w:rFonts w:eastAsiaTheme="minorEastAsia"/>
                <w:color w:val="000000"/>
                <w:szCs w:val="21"/>
              </w:rPr>
              <w:t>合计</w:t>
            </w:r>
          </w:p>
        </w:tc>
        <w:tc>
          <w:tcPr>
            <w:tcW w:w="2410" w:type="dxa"/>
            <w:vAlign w:val="center"/>
          </w:tcPr>
          <w:p w:rsidR="009B2ADD" w:rsidRPr="0045565B" w:rsidP="0070173B">
            <w:pPr>
              <w:spacing w:before="29" w:line="360" w:lineRule="auto"/>
              <w:ind w:left="17"/>
              <w:jc w:val="right"/>
              <w:rPr>
                <w:rFonts w:eastAsiaTheme="minorEastAsia"/>
                <w:szCs w:val="21"/>
              </w:rPr>
            </w:pPr>
            <w:r w:rsidRPr="0045565B">
              <w:rPr>
                <w:rFonts w:eastAsiaTheme="minorEastAsia"/>
                <w:szCs w:val="21"/>
              </w:rPr>
              <w:t>68,376,542.34</w:t>
            </w:r>
          </w:p>
        </w:tc>
        <w:tc>
          <w:tcPr>
            <w:tcW w:w="2041" w:type="dxa"/>
            <w:vAlign w:val="center"/>
          </w:tcPr>
          <w:p w:rsidR="009B2ADD" w:rsidRPr="0045565B" w:rsidP="0070173B">
            <w:pPr>
              <w:spacing w:before="29" w:line="360" w:lineRule="auto"/>
              <w:ind w:left="17"/>
              <w:jc w:val="right"/>
              <w:rPr>
                <w:rFonts w:eastAsiaTheme="minorEastAsia"/>
                <w:szCs w:val="21"/>
              </w:rPr>
            </w:pPr>
            <w:r w:rsidRPr="0045565B">
              <w:rPr>
                <w:rFonts w:eastAsiaTheme="minorEastAsia"/>
                <w:szCs w:val="21"/>
              </w:rPr>
              <w:t>113.49</w:t>
            </w:r>
          </w:p>
        </w:tc>
      </w:tr>
    </w:tbl>
    <w:p w:rsidR="001548F9" w:rsidRPr="0045565B" w:rsidP="006A2FD2">
      <w:pPr>
        <w:pStyle w:val="Heading2"/>
        <w:spacing w:before="312" w:beforeLines="100" w:after="0"/>
        <w:rPr>
          <w:rFonts w:ascii="Times New Roman" w:hAnsi="Times New Roman" w:eastAsiaTheme="minorEastAsia"/>
          <w:kern w:val="0"/>
          <w:sz w:val="21"/>
          <w:szCs w:val="21"/>
        </w:rPr>
      </w:pPr>
      <w:bookmarkStart w:id="63" w:name="_Toc331410107"/>
      <w:r w:rsidRPr="0045565B">
        <w:rPr>
          <w:rFonts w:ascii="Times New Roman" w:hAnsi="Times New Roman" w:eastAsiaTheme="minorEastAsia"/>
          <w:kern w:val="0"/>
          <w:sz w:val="21"/>
          <w:szCs w:val="21"/>
        </w:rPr>
        <w:t>7.6</w:t>
      </w:r>
      <w:bookmarkStart w:id="64" w:name="_Toc234814105"/>
      <w:r w:rsidRPr="0045565B">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Pr>
          <w:rFonts w:ascii="Times New Roman" w:hAnsi="Times New Roman" w:eastAsiaTheme="minorEastAsia"/>
          <w:kern w:val="0"/>
          <w:sz w:val="21"/>
          <w:szCs w:val="21"/>
        </w:rPr>
        <w:t>的前五名债券投资明细</w:t>
      </w:r>
      <w:bookmarkEnd w:id="63"/>
      <w:bookmarkEnd w:id="64"/>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Tr="006A2FD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52"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310"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债券代码</w:t>
            </w:r>
          </w:p>
        </w:tc>
        <w:tc>
          <w:tcPr>
            <w:tcW w:w="1282"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债券名称</w:t>
            </w:r>
          </w:p>
        </w:tc>
        <w:tc>
          <w:tcPr>
            <w:tcW w:w="1426"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数量</w:t>
            </w:r>
            <w:r w:rsidRPr="0045565B">
              <w:rPr>
                <w:rFonts w:eastAsiaTheme="minorEastAsia"/>
                <w:color w:val="000000"/>
                <w:szCs w:val="21"/>
              </w:rPr>
              <w:t>(</w:t>
            </w:r>
            <w:r w:rsidRPr="0045565B">
              <w:rPr>
                <w:rFonts w:eastAsiaTheme="minorEastAsia"/>
                <w:color w:val="000000"/>
                <w:szCs w:val="21"/>
              </w:rPr>
              <w:t>张</w:t>
            </w:r>
            <w:r w:rsidRPr="0045565B">
              <w:rPr>
                <w:rFonts w:eastAsiaTheme="minorEastAsia"/>
                <w:color w:val="000000"/>
                <w:szCs w:val="21"/>
              </w:rPr>
              <w:t>)</w:t>
            </w:r>
          </w:p>
        </w:tc>
        <w:tc>
          <w:tcPr>
            <w:tcW w:w="1646" w:type="dxa"/>
            <w:vAlign w:val="center"/>
          </w:tcPr>
          <w:p w:rsidR="001548F9" w:rsidRPr="0045565B" w:rsidP="00B96962">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12"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tblPrEx>
          <w:tblW w:w="0" w:type="auto"/>
          <w:tblInd w:w="108" w:type="dxa"/>
          <w:tblLayout w:type="fixed"/>
          <w:tblLook w:val="00A0"/>
        </w:tblPrEx>
        <w:tc>
          <w:tcPr>
            <w:vAlign w:val="center"/>
          </w:tcPr>
          <w:p>
            <w:pPr>
              <w:jc w:val="center"/>
            </w:pPr>
            <w:r>
              <w:rPr>
                <w:rFonts w:eastAsiaTheme="minorEastAsia"/>
                <w:color w:val="000000"/>
                <w:szCs w:val="21"/>
              </w:rPr>
              <w:t>1</w:t>
            </w:r>
          </w:p>
        </w:tc>
        <w:tc>
          <w:tcPr>
            <w:vAlign w:val="center"/>
          </w:tcPr>
          <w:p>
            <w:pPr>
              <w:jc w:val="center"/>
            </w:pPr>
            <w:r>
              <w:rPr>
                <w:rFonts w:eastAsiaTheme="minorEastAsia"/>
                <w:color w:val="000000"/>
                <w:szCs w:val="21"/>
              </w:rPr>
              <w:t>018009</w:t>
            </w:r>
          </w:p>
        </w:tc>
        <w:tc>
          <w:tcPr>
            <w:vAlign w:val="center"/>
          </w:tcPr>
          <w:p>
            <w:pPr>
              <w:jc w:val="center"/>
            </w:pPr>
            <w:r>
              <w:rPr>
                <w:rFonts w:eastAsiaTheme="minorEastAsia"/>
                <w:color w:val="000000"/>
                <w:szCs w:val="21"/>
              </w:rPr>
              <w:t>国开1803</w:t>
            </w:r>
          </w:p>
        </w:tc>
        <w:tc>
          <w:tcPr>
            <w:vAlign w:val="center"/>
          </w:tcPr>
          <w:p>
            <w:pPr>
              <w:jc w:val="right"/>
            </w:pPr>
            <w:r>
              <w:rPr>
                <w:rFonts w:eastAsiaTheme="minorEastAsia"/>
                <w:color w:val="000000"/>
                <w:szCs w:val="21"/>
              </w:rPr>
              <w:t>80,000.00</w:t>
            </w:r>
          </w:p>
        </w:tc>
        <w:tc>
          <w:tcPr>
            <w:vAlign w:val="center"/>
          </w:tcPr>
          <w:p>
            <w:pPr>
              <w:jc w:val="right"/>
            </w:pPr>
            <w:r>
              <w:rPr>
                <w:rFonts w:eastAsiaTheme="minorEastAsia"/>
                <w:color w:val="000000"/>
                <w:szCs w:val="21"/>
              </w:rPr>
              <w:t>8,650,400.00</w:t>
            </w:r>
          </w:p>
        </w:tc>
        <w:tc>
          <w:tcPr>
            <w:vAlign w:val="center"/>
          </w:tcPr>
          <w:p>
            <w:pPr>
              <w:jc w:val="right"/>
            </w:pPr>
            <w:r>
              <w:rPr>
                <w:rFonts w:eastAsiaTheme="minorEastAsia"/>
                <w:color w:val="000000"/>
                <w:szCs w:val="21"/>
              </w:rPr>
              <w:t>14.36</w:t>
            </w:r>
          </w:p>
        </w:tc>
      </w:tr>
      <w:tr>
        <w:tblPrEx>
          <w:tblW w:w="0" w:type="auto"/>
          <w:tblInd w:w="108" w:type="dxa"/>
          <w:tblLayout w:type="fixed"/>
          <w:tblLook w:val="00A0"/>
        </w:tblPrEx>
        <w:tc>
          <w:tcPr>
            <w:vAlign w:val="center"/>
          </w:tcPr>
          <w:p>
            <w:pPr>
              <w:jc w:val="center"/>
            </w:pPr>
            <w:r>
              <w:rPr>
                <w:rFonts w:eastAsiaTheme="minorEastAsia"/>
                <w:color w:val="000000"/>
                <w:szCs w:val="21"/>
              </w:rPr>
              <w:t>2</w:t>
            </w:r>
          </w:p>
        </w:tc>
        <w:tc>
          <w:tcPr>
            <w:vAlign w:val="center"/>
          </w:tcPr>
          <w:p>
            <w:pPr>
              <w:jc w:val="center"/>
            </w:pPr>
            <w:r>
              <w:rPr>
                <w:rFonts w:eastAsiaTheme="minorEastAsia"/>
                <w:color w:val="000000"/>
                <w:szCs w:val="21"/>
              </w:rPr>
              <w:t>136138</w:t>
            </w:r>
          </w:p>
        </w:tc>
        <w:tc>
          <w:tcPr>
            <w:vAlign w:val="center"/>
          </w:tcPr>
          <w:p>
            <w:pPr>
              <w:jc w:val="center"/>
            </w:pPr>
            <w:r>
              <w:rPr>
                <w:rFonts w:eastAsiaTheme="minorEastAsia"/>
                <w:color w:val="000000"/>
                <w:szCs w:val="21"/>
              </w:rPr>
              <w:t>16常高新</w:t>
            </w:r>
          </w:p>
        </w:tc>
        <w:tc>
          <w:tcPr>
            <w:vAlign w:val="center"/>
          </w:tcPr>
          <w:p>
            <w:pPr>
              <w:jc w:val="right"/>
            </w:pPr>
            <w:r>
              <w:rPr>
                <w:rFonts w:eastAsiaTheme="minorEastAsia"/>
                <w:color w:val="000000"/>
                <w:szCs w:val="21"/>
              </w:rPr>
              <w:t>50,000.00</w:t>
            </w:r>
          </w:p>
        </w:tc>
        <w:tc>
          <w:tcPr>
            <w:vAlign w:val="center"/>
          </w:tcPr>
          <w:p>
            <w:pPr>
              <w:jc w:val="right"/>
            </w:pPr>
            <w:r>
              <w:rPr>
                <w:rFonts w:eastAsiaTheme="minorEastAsia"/>
                <w:color w:val="000000"/>
                <w:szCs w:val="21"/>
              </w:rPr>
              <w:t>4,967,000.00</w:t>
            </w:r>
          </w:p>
        </w:tc>
        <w:tc>
          <w:tcPr>
            <w:vAlign w:val="center"/>
          </w:tcPr>
          <w:p>
            <w:pPr>
              <w:jc w:val="right"/>
            </w:pPr>
            <w:r>
              <w:rPr>
                <w:rFonts w:eastAsiaTheme="minorEastAsia"/>
                <w:color w:val="000000"/>
                <w:szCs w:val="21"/>
              </w:rPr>
              <w:t>8.24</w:t>
            </w:r>
          </w:p>
        </w:tc>
      </w:tr>
      <w:tr>
        <w:tblPrEx>
          <w:tblW w:w="0" w:type="auto"/>
          <w:tblInd w:w="108" w:type="dxa"/>
          <w:tblLayout w:type="fixed"/>
          <w:tblLook w:val="00A0"/>
        </w:tblPrEx>
        <w:tc>
          <w:tcPr>
            <w:vAlign w:val="center"/>
          </w:tcPr>
          <w:p>
            <w:pPr>
              <w:jc w:val="center"/>
            </w:pPr>
            <w:r>
              <w:rPr>
                <w:rFonts w:eastAsiaTheme="minorEastAsia"/>
                <w:color w:val="000000"/>
                <w:szCs w:val="21"/>
              </w:rPr>
              <w:t>3</w:t>
            </w:r>
          </w:p>
        </w:tc>
        <w:tc>
          <w:tcPr>
            <w:vAlign w:val="center"/>
          </w:tcPr>
          <w:p>
            <w:pPr>
              <w:jc w:val="center"/>
            </w:pPr>
            <w:r>
              <w:rPr>
                <w:rFonts w:eastAsiaTheme="minorEastAsia"/>
                <w:color w:val="000000"/>
                <w:szCs w:val="21"/>
              </w:rPr>
              <w:t>108603</w:t>
            </w:r>
          </w:p>
        </w:tc>
        <w:tc>
          <w:tcPr>
            <w:vAlign w:val="center"/>
          </w:tcPr>
          <w:p>
            <w:pPr>
              <w:jc w:val="center"/>
            </w:pPr>
            <w:r>
              <w:rPr>
                <w:rFonts w:eastAsiaTheme="minorEastAsia"/>
                <w:color w:val="000000"/>
                <w:szCs w:val="21"/>
              </w:rPr>
              <w:t>国开1804</w:t>
            </w:r>
          </w:p>
        </w:tc>
        <w:tc>
          <w:tcPr>
            <w:vAlign w:val="center"/>
          </w:tcPr>
          <w:p>
            <w:pPr>
              <w:jc w:val="right"/>
            </w:pPr>
            <w:r>
              <w:rPr>
                <w:rFonts w:eastAsiaTheme="minorEastAsia"/>
                <w:color w:val="000000"/>
                <w:szCs w:val="21"/>
              </w:rPr>
              <w:t>35,000.00</w:t>
            </w:r>
          </w:p>
        </w:tc>
        <w:tc>
          <w:tcPr>
            <w:vAlign w:val="center"/>
          </w:tcPr>
          <w:p>
            <w:pPr>
              <w:jc w:val="right"/>
            </w:pPr>
            <w:r>
              <w:rPr>
                <w:rFonts w:eastAsiaTheme="minorEastAsia"/>
                <w:color w:val="000000"/>
                <w:szCs w:val="21"/>
              </w:rPr>
              <w:t>3,502,100.00</w:t>
            </w:r>
          </w:p>
        </w:tc>
        <w:tc>
          <w:tcPr>
            <w:vAlign w:val="center"/>
          </w:tcPr>
          <w:p>
            <w:pPr>
              <w:jc w:val="right"/>
            </w:pPr>
            <w:r>
              <w:rPr>
                <w:rFonts w:eastAsiaTheme="minorEastAsia"/>
                <w:color w:val="000000"/>
                <w:szCs w:val="21"/>
              </w:rPr>
              <w:t>5.81</w:t>
            </w:r>
          </w:p>
        </w:tc>
      </w:tr>
      <w:tr>
        <w:tblPrEx>
          <w:tblW w:w="0" w:type="auto"/>
          <w:tblInd w:w="108" w:type="dxa"/>
          <w:tblLayout w:type="fixed"/>
          <w:tblLook w:val="00A0"/>
        </w:tblPrEx>
        <w:tc>
          <w:tcPr>
            <w:vAlign w:val="center"/>
          </w:tcPr>
          <w:p>
            <w:pPr>
              <w:jc w:val="center"/>
            </w:pPr>
            <w:r>
              <w:rPr>
                <w:rFonts w:eastAsiaTheme="minorEastAsia"/>
                <w:color w:val="000000"/>
                <w:szCs w:val="21"/>
              </w:rPr>
              <w:t>4</w:t>
            </w:r>
          </w:p>
        </w:tc>
        <w:tc>
          <w:tcPr>
            <w:vAlign w:val="center"/>
          </w:tcPr>
          <w:p>
            <w:pPr>
              <w:jc w:val="center"/>
            </w:pPr>
            <w:r>
              <w:rPr>
                <w:rFonts w:eastAsiaTheme="minorEastAsia"/>
                <w:color w:val="000000"/>
                <w:szCs w:val="21"/>
              </w:rPr>
              <w:t>127009</w:t>
            </w:r>
          </w:p>
        </w:tc>
        <w:tc>
          <w:tcPr>
            <w:vAlign w:val="center"/>
          </w:tcPr>
          <w:p>
            <w:pPr>
              <w:jc w:val="center"/>
            </w:pPr>
            <w:r>
              <w:rPr>
                <w:rFonts w:eastAsiaTheme="minorEastAsia"/>
                <w:color w:val="000000"/>
                <w:szCs w:val="21"/>
              </w:rPr>
              <w:t>冰轮转债</w:t>
            </w:r>
          </w:p>
        </w:tc>
        <w:tc>
          <w:tcPr>
            <w:vAlign w:val="center"/>
          </w:tcPr>
          <w:p>
            <w:pPr>
              <w:jc w:val="right"/>
            </w:pPr>
            <w:r>
              <w:rPr>
                <w:rFonts w:eastAsiaTheme="minorEastAsia"/>
                <w:color w:val="000000"/>
                <w:szCs w:val="21"/>
              </w:rPr>
              <w:t>22,000.00</w:t>
            </w:r>
          </w:p>
        </w:tc>
        <w:tc>
          <w:tcPr>
            <w:vAlign w:val="center"/>
          </w:tcPr>
          <w:p>
            <w:pPr>
              <w:jc w:val="right"/>
            </w:pPr>
            <w:r>
              <w:rPr>
                <w:rFonts w:eastAsiaTheme="minorEastAsia"/>
                <w:color w:val="000000"/>
                <w:szCs w:val="21"/>
              </w:rPr>
              <w:t>3,269,200.00</w:t>
            </w:r>
          </w:p>
        </w:tc>
        <w:tc>
          <w:tcPr>
            <w:vAlign w:val="center"/>
          </w:tcPr>
          <w:p>
            <w:pPr>
              <w:jc w:val="right"/>
            </w:pPr>
            <w:r>
              <w:rPr>
                <w:rFonts w:eastAsiaTheme="minorEastAsia"/>
                <w:color w:val="000000"/>
                <w:szCs w:val="21"/>
              </w:rPr>
              <w:t>5.43</w:t>
            </w:r>
          </w:p>
        </w:tc>
      </w:tr>
      <w:tr>
        <w:tblPrEx>
          <w:tblW w:w="0" w:type="auto"/>
          <w:tblInd w:w="108" w:type="dxa"/>
          <w:tblLayout w:type="fixed"/>
          <w:tblLook w:val="00A0"/>
        </w:tblPrEx>
        <w:tc>
          <w:tcPr>
            <w:vAlign w:val="center"/>
          </w:tcPr>
          <w:p>
            <w:pPr>
              <w:jc w:val="center"/>
            </w:pPr>
            <w:r>
              <w:rPr>
                <w:rFonts w:eastAsiaTheme="minorEastAsia"/>
                <w:color w:val="000000"/>
                <w:szCs w:val="21"/>
              </w:rPr>
              <w:t>5</w:t>
            </w:r>
          </w:p>
        </w:tc>
        <w:tc>
          <w:tcPr>
            <w:vAlign w:val="center"/>
          </w:tcPr>
          <w:p>
            <w:pPr>
              <w:jc w:val="center"/>
            </w:pPr>
            <w:r>
              <w:rPr>
                <w:rFonts w:eastAsiaTheme="minorEastAsia"/>
                <w:color w:val="000000"/>
                <w:szCs w:val="21"/>
              </w:rPr>
              <w:t>123011</w:t>
            </w:r>
          </w:p>
        </w:tc>
        <w:tc>
          <w:tcPr>
            <w:vAlign w:val="center"/>
          </w:tcPr>
          <w:p>
            <w:pPr>
              <w:jc w:val="center"/>
            </w:pPr>
            <w:r>
              <w:rPr>
                <w:rFonts w:eastAsiaTheme="minorEastAsia"/>
                <w:color w:val="000000"/>
                <w:szCs w:val="21"/>
              </w:rPr>
              <w:t>德尔转债</w:t>
            </w:r>
          </w:p>
        </w:tc>
        <w:tc>
          <w:tcPr>
            <w:vAlign w:val="center"/>
          </w:tcPr>
          <w:p>
            <w:pPr>
              <w:jc w:val="right"/>
            </w:pPr>
            <w:r>
              <w:rPr>
                <w:rFonts w:eastAsiaTheme="minorEastAsia"/>
                <w:color w:val="000000"/>
                <w:szCs w:val="21"/>
              </w:rPr>
              <w:t>33,000.00</w:t>
            </w:r>
          </w:p>
        </w:tc>
        <w:tc>
          <w:tcPr>
            <w:vAlign w:val="center"/>
          </w:tcPr>
          <w:p>
            <w:pPr>
              <w:jc w:val="right"/>
            </w:pPr>
            <w:r>
              <w:rPr>
                <w:rFonts w:eastAsiaTheme="minorEastAsia"/>
                <w:color w:val="000000"/>
                <w:szCs w:val="21"/>
              </w:rPr>
              <w:t>3,233,340.00</w:t>
            </w:r>
          </w:p>
        </w:tc>
        <w:tc>
          <w:tcPr>
            <w:vAlign w:val="center"/>
          </w:tcPr>
          <w:p>
            <w:pPr>
              <w:jc w:val="right"/>
            </w:pPr>
            <w:r>
              <w:rPr>
                <w:rFonts w:eastAsiaTheme="minorEastAsia"/>
                <w:color w:val="000000"/>
                <w:szCs w:val="21"/>
              </w:rPr>
              <w:t>5.37</w:t>
            </w:r>
          </w:p>
        </w:tc>
      </w:tr>
    </w:tbl>
    <w:p w:rsidR="001548F9" w:rsidRPr="0045565B" w:rsidP="006A2FD2">
      <w:pPr>
        <w:pStyle w:val="Heading2"/>
        <w:spacing w:before="312" w:beforeLines="100" w:after="0"/>
        <w:rPr>
          <w:rFonts w:ascii="Times New Roman" w:hAnsi="Times New Roman" w:eastAsiaTheme="minorEastAsia"/>
          <w:kern w:val="0"/>
          <w:sz w:val="21"/>
          <w:szCs w:val="21"/>
        </w:rPr>
      </w:pPr>
      <w:bookmarkStart w:id="65" w:name="_Toc331410108"/>
      <w:r w:rsidRPr="0045565B">
        <w:rPr>
          <w:rFonts w:ascii="Times New Roman" w:hAnsi="Times New Roman" w:eastAsiaTheme="minorEastAsia"/>
          <w:kern w:val="0"/>
          <w:sz w:val="21"/>
          <w:szCs w:val="21"/>
        </w:rPr>
        <w:t xml:space="preserve">7.7 </w:t>
      </w:r>
      <w:r w:rsidRPr="0045565B" w:rsidR="003E2C82">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sidR="003E2C82">
        <w:rPr>
          <w:rFonts w:ascii="Times New Roman" w:hAnsi="Times New Roman" w:eastAsiaTheme="minorEastAsia"/>
          <w:kern w:val="0"/>
          <w:sz w:val="21"/>
          <w:szCs w:val="21"/>
        </w:rPr>
        <w:t>的前十名</w:t>
      </w:r>
      <w:r w:rsidRPr="0045565B">
        <w:rPr>
          <w:rFonts w:ascii="Times New Roman" w:hAnsi="Times New Roman" w:eastAsiaTheme="minorEastAsia"/>
          <w:kern w:val="0"/>
          <w:sz w:val="21"/>
          <w:szCs w:val="21"/>
        </w:rPr>
        <w:t>资产支持证券投资明细</w:t>
      </w:r>
      <w:bookmarkEnd w:id="65"/>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本基金本报告期内未投资资产支持证券。</w:t>
      </w:r>
    </w:p>
    <w:p w:rsidR="006E69D8"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 xml:space="preserve">7.8 </w:t>
      </w:r>
      <w:r w:rsidRPr="0045565B">
        <w:rPr>
          <w:rFonts w:ascii="Times New Roman" w:hAnsi="Times New Roman" w:eastAsiaTheme="minorEastAsia"/>
          <w:kern w:val="0"/>
          <w:sz w:val="21"/>
          <w:szCs w:val="21"/>
        </w:rPr>
        <w:t>报告期末按公允价值占基金资产净值比例大小排序的前五名贵金属投资明细</w:t>
      </w:r>
    </w:p>
    <w:p w:rsidR="006E69D8" w:rsidRPr="006A2FD2" w:rsidP="006A2FD2">
      <w:pPr>
        <w:widowControl/>
        <w:spacing w:line="360" w:lineRule="auto"/>
        <w:ind w:firstLine="420" w:firstLineChars="200"/>
        <w:jc w:val="left"/>
        <w:rPr>
          <w:rFonts w:eastAsiaTheme="minorEastAsia"/>
          <w:szCs w:val="21"/>
        </w:rPr>
      </w:pPr>
      <w:r w:rsidRPr="0045565B">
        <w:rPr>
          <w:rFonts w:eastAsiaTheme="minorEastAsia"/>
          <w:szCs w:val="21"/>
        </w:rPr>
        <w:t>本基金本报告期内未投资贵金属。</w:t>
      </w:r>
    </w:p>
    <w:p w:rsidR="001548F9" w:rsidRPr="0045565B" w:rsidP="006A2FD2">
      <w:pPr>
        <w:pStyle w:val="Heading2"/>
        <w:spacing w:before="312" w:beforeLines="100" w:after="0"/>
        <w:rPr>
          <w:rFonts w:ascii="Times New Roman" w:hAnsi="Times New Roman" w:eastAsiaTheme="minorEastAsia"/>
          <w:kern w:val="0"/>
          <w:sz w:val="21"/>
          <w:szCs w:val="21"/>
        </w:rPr>
      </w:pPr>
      <w:bookmarkStart w:id="66" w:name="_Toc331410109"/>
      <w:r w:rsidRPr="0045565B">
        <w:rPr>
          <w:rFonts w:ascii="Times New Roman" w:hAnsi="Times New Roman" w:eastAsiaTheme="minorEastAsia"/>
          <w:kern w:val="0"/>
          <w:sz w:val="21"/>
          <w:szCs w:val="21"/>
        </w:rPr>
        <w:t xml:space="preserve">7.9 </w:t>
      </w:r>
      <w:r w:rsidRPr="0045565B">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Pr>
          <w:rFonts w:ascii="Times New Roman" w:hAnsi="Times New Roman" w:eastAsiaTheme="minorEastAsia"/>
          <w:kern w:val="0"/>
          <w:sz w:val="21"/>
          <w:szCs w:val="21"/>
        </w:rPr>
        <w:t>的前五名权证投资明细</w:t>
      </w:r>
      <w:bookmarkEnd w:id="66"/>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本基金本报告期内未投资权证。</w:t>
      </w:r>
    </w:p>
    <w:p w:rsidR="001548F9"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 xml:space="preserve">7.10 </w:t>
      </w:r>
      <w:r w:rsidRPr="0045565B">
        <w:rPr>
          <w:rFonts w:ascii="Times New Roman" w:hAnsi="Times New Roman" w:eastAsiaTheme="minorEastAsia"/>
          <w:kern w:val="0"/>
          <w:sz w:val="21"/>
          <w:szCs w:val="21"/>
        </w:rPr>
        <w:t>报告期末本基金投资的股指期货交易情况说明</w:t>
      </w:r>
    </w:p>
    <w:p w:rsidR="001548F9" w:rsidRPr="0045565B" w:rsidP="000323F4">
      <w:pPr>
        <w:adjustRightInd w:val="0"/>
        <w:snapToGrid w:val="0"/>
        <w:spacing w:line="360" w:lineRule="auto"/>
        <w:rPr>
          <w:rFonts w:eastAsiaTheme="minorEastAsia"/>
          <w:b/>
          <w:szCs w:val="21"/>
        </w:rPr>
      </w:pPr>
      <w:r w:rsidRPr="0045565B">
        <w:rPr>
          <w:rFonts w:eastAsiaTheme="minorEastAsia"/>
          <w:b/>
          <w:szCs w:val="21"/>
        </w:rPr>
        <w:t xml:space="preserve">7.10.1 </w:t>
      </w:r>
      <w:r w:rsidRPr="0045565B">
        <w:rPr>
          <w:rFonts w:eastAsiaTheme="minorEastAsia"/>
          <w:b/>
          <w:szCs w:val="21"/>
        </w:rPr>
        <w:t>报告期末本基金投资的股指期货持仓和损益明细</w:t>
      </w:r>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本基金本报告期末未投资股指期货。</w:t>
      </w:r>
    </w:p>
    <w:p w:rsidR="001548F9" w:rsidRPr="0045565B" w:rsidP="006A2FD2">
      <w:pPr>
        <w:adjustRightInd w:val="0"/>
        <w:snapToGrid w:val="0"/>
        <w:spacing w:before="312" w:beforeLines="100" w:line="360" w:lineRule="auto"/>
        <w:rPr>
          <w:rFonts w:eastAsiaTheme="minorEastAsia"/>
          <w:b/>
          <w:szCs w:val="21"/>
        </w:rPr>
      </w:pPr>
      <w:r w:rsidRPr="0045565B">
        <w:rPr>
          <w:rFonts w:eastAsiaTheme="minorEastAsia"/>
          <w:b/>
          <w:szCs w:val="21"/>
        </w:rPr>
        <w:t xml:space="preserve">7.10.2 </w:t>
      </w:r>
      <w:r w:rsidRPr="0045565B">
        <w:rPr>
          <w:rFonts w:eastAsiaTheme="minorEastAsia"/>
          <w:b/>
          <w:szCs w:val="21"/>
        </w:rPr>
        <w:t>本基金投资股指期货的投资政策</w:t>
      </w:r>
    </w:p>
    <w:p w:rsidR="001548F9" w:rsidRPr="0045565B" w:rsidP="006A2FD2">
      <w:pPr>
        <w:spacing w:line="360" w:lineRule="auto"/>
        <w:ind w:firstLine="420" w:firstLineChars="200"/>
        <w:rPr>
          <w:rFonts w:eastAsiaTheme="minorEastAsia"/>
          <w:color w:val="000000"/>
          <w:szCs w:val="21"/>
        </w:rPr>
      </w:pPr>
      <w:r w:rsidRPr="0045565B">
        <w:rPr>
          <w:rFonts w:eastAsiaTheme="minorEastAsia"/>
          <w:color w:val="000000"/>
          <w:szCs w:val="21"/>
        </w:rPr>
        <w:t>无。</w:t>
      </w:r>
    </w:p>
    <w:p w:rsidR="00513DD2"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7.11</w:t>
      </w:r>
      <w:r w:rsidRPr="0045565B">
        <w:rPr>
          <w:rFonts w:ascii="Times New Roman" w:hAnsi="Times New Roman" w:eastAsiaTheme="minorEastAsia"/>
          <w:kern w:val="0"/>
          <w:sz w:val="21"/>
          <w:szCs w:val="21"/>
        </w:rPr>
        <w:t>报告期末本基金投资的国债期货交易情况说明</w:t>
      </w:r>
    </w:p>
    <w:p w:rsidR="00513DD2" w:rsidRPr="0045565B" w:rsidP="000323F4">
      <w:pPr>
        <w:autoSpaceDE w:val="0"/>
        <w:autoSpaceDN w:val="0"/>
        <w:adjustRightInd w:val="0"/>
        <w:spacing w:line="360" w:lineRule="auto"/>
        <w:jc w:val="left"/>
        <w:rPr>
          <w:rFonts w:eastAsiaTheme="minorEastAsia"/>
          <w:b/>
          <w:szCs w:val="21"/>
        </w:rPr>
      </w:pPr>
      <w:r w:rsidRPr="0045565B">
        <w:rPr>
          <w:rFonts w:eastAsiaTheme="minorEastAsia"/>
          <w:b/>
          <w:szCs w:val="21"/>
        </w:rPr>
        <w:t xml:space="preserve">7.11.1 </w:t>
      </w:r>
      <w:r w:rsidRPr="0045565B">
        <w:rPr>
          <w:rFonts w:eastAsiaTheme="minorEastAsia"/>
          <w:b/>
          <w:szCs w:val="21"/>
        </w:rPr>
        <w:t>报告期末本基金投资的国债期货持仓和损益明细</w:t>
      </w:r>
    </w:p>
    <w:p w:rsidR="00513DD2"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本基金本报告期末未投资国债期货。</w:t>
      </w:r>
    </w:p>
    <w:p w:rsidR="00513DD2" w:rsidRPr="0045565B" w:rsidP="00FF3018">
      <w:pPr>
        <w:adjustRightInd w:val="0"/>
        <w:snapToGrid w:val="0"/>
        <w:spacing w:line="360" w:lineRule="auto"/>
        <w:rPr>
          <w:rFonts w:eastAsiaTheme="minorEastAsia"/>
          <w:b/>
          <w:szCs w:val="21"/>
        </w:rPr>
      </w:pPr>
      <w:r w:rsidRPr="0045565B">
        <w:rPr>
          <w:rFonts w:eastAsiaTheme="minorEastAsia"/>
          <w:b/>
          <w:szCs w:val="21"/>
        </w:rPr>
        <w:t xml:space="preserve">7.11.2 </w:t>
      </w:r>
      <w:r w:rsidRPr="0045565B">
        <w:rPr>
          <w:rFonts w:eastAsiaTheme="minorEastAsia"/>
          <w:b/>
          <w:szCs w:val="21"/>
        </w:rPr>
        <w:t>本期国债期货投资评价</w:t>
      </w:r>
    </w:p>
    <w:p w:rsidR="007745A3" w:rsidRPr="00A73188" w:rsidP="007745A3">
      <w:pPr>
        <w:widowControl/>
        <w:spacing w:line="360" w:lineRule="auto"/>
        <w:ind w:firstLine="420" w:firstLineChars="200"/>
        <w:jc w:val="left"/>
        <w:rPr>
          <w:rFonts w:eastAsiaTheme="minorEastAsia"/>
          <w:color w:val="000000" w:themeColor="text1"/>
          <w:kern w:val="0"/>
          <w:szCs w:val="21"/>
        </w:rPr>
      </w:pPr>
      <w:r w:rsidRPr="0045565B">
        <w:rPr>
          <w:rFonts w:eastAsiaTheme="minorEastAsia"/>
          <w:color w:val="000000"/>
          <w:szCs w:val="21"/>
        </w:rPr>
        <w:t>无。</w:t>
      </w:r>
    </w:p>
    <w:p w:rsidR="007745A3" w:rsidRPr="00A73188" w:rsidP="007745A3">
      <w:pPr>
        <w:pStyle w:val="Heading2"/>
        <w:spacing w:before="312" w:beforeLines="100" w:after="0"/>
        <w:rPr>
          <w:rFonts w:ascii="Times New Roman" w:hAnsi="Times New Roman" w:eastAsiaTheme="minorEastAsia"/>
          <w:color w:val="000000" w:themeColor="text1"/>
          <w:kern w:val="0"/>
          <w:sz w:val="21"/>
          <w:szCs w:val="21"/>
        </w:rPr>
      </w:pPr>
      <w:r w:rsidRPr="00A73188">
        <w:rPr>
          <w:rFonts w:ascii="Times New Roman" w:hAnsi="Times New Roman" w:eastAsiaTheme="minorEastAsia"/>
          <w:color w:val="000000" w:themeColor="text1"/>
          <w:kern w:val="0"/>
          <w:sz w:val="21"/>
          <w:szCs w:val="21"/>
        </w:rPr>
        <w:t xml:space="preserve">7.12 </w:t>
      </w:r>
      <w:r w:rsidRPr="00A73188">
        <w:rPr>
          <w:rFonts w:ascii="Times New Roman" w:hAnsi="Times New Roman" w:eastAsiaTheme="minorEastAsia" w:hint="eastAsia"/>
          <w:color w:val="000000" w:themeColor="text1"/>
          <w:kern w:val="0"/>
          <w:sz w:val="21"/>
          <w:szCs w:val="21"/>
        </w:rPr>
        <w:t>本报告期投资基金情况</w:t>
      </w:r>
    </w:p>
    <w:p w:rsidR="007745A3" w:rsidRPr="00A73188" w:rsidP="007745A3">
      <w:pPr>
        <w:pStyle w:val="NormalIndent"/>
        <w:spacing w:before="156" w:beforeLines="50" w:line="360" w:lineRule="auto"/>
        <w:ind w:firstLine="0" w:firstLineChars="0"/>
        <w:rPr>
          <w:rFonts w:eastAsiaTheme="minorEastAsia"/>
          <w:b/>
          <w:color w:val="000000" w:themeColor="text1"/>
          <w:szCs w:val="21"/>
        </w:rPr>
      </w:pPr>
      <w:r w:rsidRPr="00A73188">
        <w:rPr>
          <w:rFonts w:eastAsiaTheme="minorEastAsia"/>
          <w:b/>
          <w:color w:val="000000" w:themeColor="text1"/>
          <w:szCs w:val="21"/>
        </w:rPr>
        <w:t>7.12.1</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报告期末按公允价值占基金资产净值比例大小排序的基金投资明细</w:t>
      </w:r>
    </w:p>
    <w:p w:rsidR="00513DD2" w:rsidRPr="0045565B" w:rsidP="006A2FD2">
      <w:pPr>
        <w:spacing w:line="360" w:lineRule="auto"/>
        <w:ind w:firstLine="420" w:firstLineChars="200"/>
        <w:rPr>
          <w:rFonts w:eastAsiaTheme="minorEastAsia"/>
          <w:color w:val="000000"/>
          <w:szCs w:val="21"/>
        </w:rPr>
      </w:pPr>
      <w:r w:rsidRPr="00A73188">
        <w:rPr>
          <w:rFonts w:eastAsiaTheme="minorEastAsia"/>
          <w:color w:val="000000" w:themeColor="text1"/>
          <w:szCs w:val="21"/>
        </w:rPr>
        <w:t>本基金本报告期内未投资基金。</w:t>
      </w:r>
      <w:r w:rsidRPr="0045565B">
        <w:rPr>
          <w:rFonts w:eastAsiaTheme="minorEastAsia"/>
          <w:kern w:val="0"/>
          <w:szCs w:val="21"/>
        </w:rPr>
        <w:tab/>
      </w:r>
    </w:p>
    <w:p w:rsidR="001548F9" w:rsidRPr="0045565B" w:rsidP="006A2FD2">
      <w:pPr>
        <w:pStyle w:val="Heading2"/>
        <w:spacing w:before="312" w:beforeLines="100" w:after="0"/>
        <w:rPr>
          <w:rFonts w:ascii="Times New Roman" w:hAnsi="Times New Roman" w:eastAsiaTheme="minorEastAsia"/>
          <w:kern w:val="0"/>
          <w:sz w:val="21"/>
          <w:szCs w:val="21"/>
        </w:rPr>
      </w:pPr>
      <w:bookmarkStart w:id="67" w:name="_Toc331410110"/>
      <w:r w:rsidRPr="0045565B">
        <w:rPr>
          <w:rFonts w:ascii="Times New Roman" w:hAnsi="Times New Roman" w:eastAsiaTheme="minorEastAsia"/>
          <w:kern w:val="0"/>
          <w:sz w:val="21"/>
          <w:szCs w:val="21"/>
        </w:rPr>
        <w:t xml:space="preserve">7.13 </w:t>
      </w:r>
      <w:r w:rsidRPr="0045565B">
        <w:rPr>
          <w:rFonts w:ascii="Times New Roman" w:hAnsi="Times New Roman" w:eastAsiaTheme="minorEastAsia"/>
          <w:kern w:val="0"/>
          <w:sz w:val="21"/>
          <w:szCs w:val="21"/>
        </w:rPr>
        <w:t>投资组合报告附注</w:t>
      </w:r>
      <w:bookmarkEnd w:id="67"/>
    </w:p>
    <w:p w:rsidR="001548F9" w:rsidRPr="0045565B" w:rsidP="00FF3018">
      <w:pPr>
        <w:spacing w:line="360" w:lineRule="auto"/>
        <w:rPr>
          <w:rFonts w:eastAsiaTheme="minorEastAsia"/>
          <w:color w:val="000000"/>
          <w:szCs w:val="21"/>
        </w:rPr>
      </w:pPr>
      <w:r w:rsidRPr="0045565B">
        <w:rPr>
          <w:rFonts w:eastAsiaTheme="minorEastAsia"/>
          <w:color w:val="000000"/>
          <w:szCs w:val="21"/>
        </w:rPr>
        <w:t>7.13.1本基金投资的前十名证券的发行主体本期没有出现被监管部门立案调查，或在报告编制日前一年内受到公开谴责、处罚的情形。</w:t>
      </w:r>
    </w:p>
    <w:p w:rsidR="001548F9" w:rsidRPr="0045565B" w:rsidP="00FF3018">
      <w:pPr>
        <w:spacing w:line="360" w:lineRule="auto"/>
        <w:rPr>
          <w:rFonts w:eastAsiaTheme="minorEastAsia"/>
          <w:color w:val="000000"/>
          <w:szCs w:val="21"/>
        </w:rPr>
      </w:pPr>
      <w:r w:rsidRPr="0045565B">
        <w:rPr>
          <w:rFonts w:eastAsiaTheme="minorEastAsia"/>
          <w:color w:val="000000"/>
          <w:szCs w:val="21"/>
        </w:rPr>
        <w:t>7.13.2本报告期内基金投资的前十名股票未超出基金合同规定的备选股票库。</w:t>
      </w:r>
    </w:p>
    <w:p w:rsidR="001548F9" w:rsidRPr="0045565B" w:rsidP="00FF3018">
      <w:pPr>
        <w:spacing w:line="360" w:lineRule="auto"/>
        <w:rPr>
          <w:rFonts w:eastAsiaTheme="minorEastAsia"/>
          <w:b/>
          <w:bCs/>
          <w:color w:val="000000"/>
          <w:szCs w:val="21"/>
        </w:rPr>
      </w:pPr>
      <w:r w:rsidRPr="0045565B">
        <w:rPr>
          <w:rFonts w:eastAsiaTheme="minorEastAsia"/>
          <w:b/>
          <w:color w:val="000000"/>
          <w:szCs w:val="21"/>
        </w:rPr>
        <w:t>7.13.3</w:t>
      </w:r>
      <w:r w:rsidRPr="0045565B">
        <w:rPr>
          <w:rFonts w:eastAsiaTheme="minorEastAsia"/>
          <w:b/>
          <w:bCs/>
          <w:color w:val="000000"/>
          <w:szCs w:val="21"/>
        </w:rPr>
        <w:t>期末其他各项资产构成</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Tr="00BD3790">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序号</w:t>
            </w:r>
          </w:p>
        </w:tc>
        <w:tc>
          <w:tcPr>
            <w:tcW w:w="4117"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名称</w:t>
            </w:r>
          </w:p>
        </w:tc>
        <w:tc>
          <w:tcPr>
            <w:tcW w:w="4118"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金额</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1</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存出保证金</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47,000.28</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2</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应收证券清算款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196,693.00</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3</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应收股利</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4</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应收利息</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851,734.09</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5</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应收申购款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2,059.99</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6</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其他应收款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7</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待摊费用</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8</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其他</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9</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合计</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1,097,487.36</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7.13.4</w:t>
      </w:r>
      <w:r w:rsidRPr="0045565B">
        <w:rPr>
          <w:rFonts w:eastAsiaTheme="minorEastAsia"/>
          <w:b/>
          <w:bCs/>
          <w:color w:val="000000"/>
          <w:szCs w:val="21"/>
        </w:rPr>
        <w:t>期末持有的处于转股期的可转换债券明细</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Tr="006A2FD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808"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729"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债券代码</w:t>
            </w:r>
          </w:p>
        </w:tc>
        <w:tc>
          <w:tcPr>
            <w:tcW w:w="1658"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债券名称</w:t>
            </w:r>
          </w:p>
        </w:tc>
        <w:tc>
          <w:tcPr>
            <w:tcW w:w="1697" w:type="dxa"/>
            <w:vAlign w:val="center"/>
          </w:tcPr>
          <w:p w:rsidR="001548F9" w:rsidRPr="0045565B" w:rsidP="00EB48DC">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21" w:type="dxa"/>
            <w:vAlign w:val="center"/>
          </w:tcPr>
          <w:p w:rsidR="001548F9" w:rsidRPr="0045565B"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p>
        </w:tc>
      </w:tr>
      <w:tr>
        <w:tblPrEx>
          <w:tblW w:w="0" w:type="auto"/>
          <w:tblInd w:w="108" w:type="dxa"/>
          <w:tblLayout w:type="fixed"/>
          <w:tblLook w:val="00A0"/>
        </w:tblPrEx>
        <w:tc>
          <w:tcPr>
            <w:vAlign w:val="center"/>
          </w:tcPr>
          <w:p>
            <w:pPr>
              <w:jc w:val="center"/>
            </w:pPr>
            <w:r>
              <w:rPr>
                <w:rFonts w:eastAsiaTheme="minorEastAsia"/>
                <w:color w:val="000000"/>
                <w:szCs w:val="21"/>
              </w:rPr>
              <w:t>1</w:t>
            </w:r>
          </w:p>
        </w:tc>
        <w:tc>
          <w:tcPr>
            <w:vAlign w:val="center"/>
          </w:tcPr>
          <w:p>
            <w:pPr>
              <w:jc w:val="center"/>
            </w:pPr>
            <w:r>
              <w:rPr>
                <w:rFonts w:eastAsiaTheme="minorEastAsia"/>
                <w:color w:val="000000"/>
                <w:szCs w:val="21"/>
              </w:rPr>
              <w:t>110043</w:t>
            </w:r>
          </w:p>
        </w:tc>
        <w:tc>
          <w:tcPr>
            <w:vAlign w:val="center"/>
          </w:tcPr>
          <w:p>
            <w:pPr>
              <w:jc w:val="center"/>
            </w:pPr>
            <w:r>
              <w:rPr>
                <w:rFonts w:eastAsiaTheme="minorEastAsia"/>
                <w:color w:val="000000"/>
                <w:szCs w:val="21"/>
              </w:rPr>
              <w:t>无锡转债</w:t>
            </w:r>
          </w:p>
        </w:tc>
        <w:tc>
          <w:tcPr>
            <w:vAlign w:val="center"/>
          </w:tcPr>
          <w:p>
            <w:pPr>
              <w:jc w:val="right"/>
            </w:pPr>
            <w:r>
              <w:rPr>
                <w:rFonts w:eastAsiaTheme="minorEastAsia"/>
                <w:color w:val="000000"/>
                <w:szCs w:val="21"/>
              </w:rPr>
              <w:t>2,018,200.00</w:t>
            </w:r>
          </w:p>
        </w:tc>
        <w:tc>
          <w:tcPr>
            <w:vAlign w:val="center"/>
          </w:tcPr>
          <w:p>
            <w:pPr>
              <w:jc w:val="right"/>
            </w:pPr>
            <w:r>
              <w:rPr>
                <w:rFonts w:eastAsiaTheme="minorEastAsia"/>
                <w:color w:val="000000"/>
                <w:szCs w:val="21"/>
              </w:rPr>
              <w:t>3.35</w:t>
            </w:r>
          </w:p>
        </w:tc>
      </w:tr>
      <w:tr>
        <w:tblPrEx>
          <w:tblW w:w="0" w:type="auto"/>
          <w:tblInd w:w="108" w:type="dxa"/>
          <w:tblLayout w:type="fixed"/>
          <w:tblLook w:val="00A0"/>
        </w:tblPrEx>
        <w:tc>
          <w:tcPr>
            <w:vAlign w:val="center"/>
          </w:tcPr>
          <w:p>
            <w:pPr>
              <w:jc w:val="center"/>
            </w:pPr>
            <w:r>
              <w:rPr>
                <w:rFonts w:eastAsiaTheme="minorEastAsia"/>
                <w:color w:val="000000"/>
                <w:szCs w:val="21"/>
              </w:rPr>
              <w:t>2</w:t>
            </w:r>
          </w:p>
        </w:tc>
        <w:tc>
          <w:tcPr>
            <w:vAlign w:val="center"/>
          </w:tcPr>
          <w:p>
            <w:pPr>
              <w:jc w:val="center"/>
            </w:pPr>
            <w:r>
              <w:rPr>
                <w:rFonts w:eastAsiaTheme="minorEastAsia"/>
                <w:color w:val="000000"/>
                <w:szCs w:val="21"/>
              </w:rPr>
              <w:t>110047</w:t>
            </w:r>
          </w:p>
        </w:tc>
        <w:tc>
          <w:tcPr>
            <w:vAlign w:val="center"/>
          </w:tcPr>
          <w:p>
            <w:pPr>
              <w:jc w:val="center"/>
            </w:pPr>
            <w:r>
              <w:rPr>
                <w:rFonts w:eastAsiaTheme="minorEastAsia"/>
                <w:color w:val="000000"/>
                <w:szCs w:val="21"/>
              </w:rPr>
              <w:t>山鹰转债</w:t>
            </w:r>
          </w:p>
        </w:tc>
        <w:tc>
          <w:tcPr>
            <w:vAlign w:val="center"/>
          </w:tcPr>
          <w:p>
            <w:pPr>
              <w:jc w:val="right"/>
            </w:pPr>
            <w:r>
              <w:rPr>
                <w:rFonts w:eastAsiaTheme="minorEastAsia"/>
                <w:color w:val="000000"/>
                <w:szCs w:val="21"/>
              </w:rPr>
              <w:t>1,086,100.00</w:t>
            </w:r>
          </w:p>
        </w:tc>
        <w:tc>
          <w:tcPr>
            <w:vAlign w:val="center"/>
          </w:tcPr>
          <w:p>
            <w:pPr>
              <w:jc w:val="right"/>
            </w:pPr>
            <w:r>
              <w:rPr>
                <w:rFonts w:eastAsiaTheme="minorEastAsia"/>
                <w:color w:val="000000"/>
                <w:szCs w:val="21"/>
              </w:rPr>
              <w:t>1.80</w:t>
            </w:r>
          </w:p>
        </w:tc>
      </w:tr>
      <w:tr>
        <w:tblPrEx>
          <w:tblW w:w="0" w:type="auto"/>
          <w:tblInd w:w="108" w:type="dxa"/>
          <w:tblLayout w:type="fixed"/>
          <w:tblLook w:val="00A0"/>
        </w:tblPrEx>
        <w:tc>
          <w:tcPr>
            <w:vAlign w:val="center"/>
          </w:tcPr>
          <w:p>
            <w:pPr>
              <w:jc w:val="center"/>
            </w:pPr>
            <w:r>
              <w:rPr>
                <w:rFonts w:eastAsiaTheme="minorEastAsia"/>
                <w:color w:val="000000"/>
                <w:szCs w:val="21"/>
              </w:rPr>
              <w:t>3</w:t>
            </w:r>
          </w:p>
        </w:tc>
        <w:tc>
          <w:tcPr>
            <w:vAlign w:val="center"/>
          </w:tcPr>
          <w:p>
            <w:pPr>
              <w:jc w:val="center"/>
            </w:pPr>
            <w:r>
              <w:rPr>
                <w:rFonts w:eastAsiaTheme="minorEastAsia"/>
                <w:color w:val="000000"/>
                <w:szCs w:val="21"/>
              </w:rPr>
              <w:t>110048</w:t>
            </w:r>
          </w:p>
        </w:tc>
        <w:tc>
          <w:tcPr>
            <w:vAlign w:val="center"/>
          </w:tcPr>
          <w:p>
            <w:pPr>
              <w:jc w:val="center"/>
            </w:pPr>
            <w:r>
              <w:rPr>
                <w:rFonts w:eastAsiaTheme="minorEastAsia"/>
                <w:color w:val="000000"/>
                <w:szCs w:val="21"/>
              </w:rPr>
              <w:t>福能转债</w:t>
            </w:r>
          </w:p>
        </w:tc>
        <w:tc>
          <w:tcPr>
            <w:vAlign w:val="center"/>
          </w:tcPr>
          <w:p>
            <w:pPr>
              <w:jc w:val="right"/>
            </w:pPr>
            <w:r>
              <w:rPr>
                <w:rFonts w:eastAsiaTheme="minorEastAsia"/>
                <w:color w:val="000000"/>
                <w:szCs w:val="21"/>
              </w:rPr>
              <w:t>136,997.40</w:t>
            </w:r>
          </w:p>
        </w:tc>
        <w:tc>
          <w:tcPr>
            <w:vAlign w:val="center"/>
          </w:tcPr>
          <w:p>
            <w:pPr>
              <w:jc w:val="right"/>
            </w:pPr>
            <w:r>
              <w:rPr>
                <w:rFonts w:eastAsiaTheme="minorEastAsia"/>
                <w:color w:val="000000"/>
                <w:szCs w:val="21"/>
              </w:rPr>
              <w:t>0.23</w:t>
            </w:r>
          </w:p>
        </w:tc>
      </w:tr>
      <w:tr>
        <w:tblPrEx>
          <w:tblW w:w="0" w:type="auto"/>
          <w:tblInd w:w="108" w:type="dxa"/>
          <w:tblLayout w:type="fixed"/>
          <w:tblLook w:val="00A0"/>
        </w:tblPrEx>
        <w:tc>
          <w:tcPr>
            <w:vAlign w:val="center"/>
          </w:tcPr>
          <w:p>
            <w:pPr>
              <w:jc w:val="center"/>
            </w:pPr>
            <w:r>
              <w:rPr>
                <w:rFonts w:eastAsiaTheme="minorEastAsia"/>
                <w:color w:val="000000"/>
                <w:szCs w:val="21"/>
              </w:rPr>
              <w:t>4</w:t>
            </w:r>
          </w:p>
        </w:tc>
        <w:tc>
          <w:tcPr>
            <w:vAlign w:val="center"/>
          </w:tcPr>
          <w:p>
            <w:pPr>
              <w:jc w:val="center"/>
            </w:pPr>
            <w:r>
              <w:rPr>
                <w:rFonts w:eastAsiaTheme="minorEastAsia"/>
                <w:color w:val="000000"/>
                <w:szCs w:val="21"/>
              </w:rPr>
              <w:t>110049</w:t>
            </w:r>
          </w:p>
        </w:tc>
        <w:tc>
          <w:tcPr>
            <w:vAlign w:val="center"/>
          </w:tcPr>
          <w:p>
            <w:pPr>
              <w:jc w:val="center"/>
            </w:pPr>
            <w:r>
              <w:rPr>
                <w:rFonts w:eastAsiaTheme="minorEastAsia"/>
                <w:color w:val="000000"/>
                <w:szCs w:val="21"/>
              </w:rPr>
              <w:t>海尔转债</w:t>
            </w:r>
          </w:p>
        </w:tc>
        <w:tc>
          <w:tcPr>
            <w:vAlign w:val="center"/>
          </w:tcPr>
          <w:p>
            <w:pPr>
              <w:jc w:val="right"/>
            </w:pPr>
            <w:r>
              <w:rPr>
                <w:rFonts w:eastAsiaTheme="minorEastAsia"/>
                <w:color w:val="000000"/>
                <w:szCs w:val="21"/>
              </w:rPr>
              <w:t>721,920.00</w:t>
            </w:r>
          </w:p>
        </w:tc>
        <w:tc>
          <w:tcPr>
            <w:vAlign w:val="center"/>
          </w:tcPr>
          <w:p>
            <w:pPr>
              <w:jc w:val="right"/>
            </w:pPr>
            <w:r>
              <w:rPr>
                <w:rFonts w:eastAsiaTheme="minorEastAsia"/>
                <w:color w:val="000000"/>
                <w:szCs w:val="21"/>
              </w:rPr>
              <w:t>1.20</w:t>
            </w:r>
          </w:p>
        </w:tc>
      </w:tr>
      <w:tr>
        <w:tblPrEx>
          <w:tblW w:w="0" w:type="auto"/>
          <w:tblInd w:w="108" w:type="dxa"/>
          <w:tblLayout w:type="fixed"/>
          <w:tblLook w:val="00A0"/>
        </w:tblPrEx>
        <w:tc>
          <w:tcPr>
            <w:vAlign w:val="center"/>
          </w:tcPr>
          <w:p>
            <w:pPr>
              <w:jc w:val="center"/>
            </w:pPr>
            <w:r>
              <w:rPr>
                <w:rFonts w:eastAsiaTheme="minorEastAsia"/>
                <w:color w:val="000000"/>
                <w:szCs w:val="21"/>
              </w:rPr>
              <w:t>5</w:t>
            </w:r>
          </w:p>
        </w:tc>
        <w:tc>
          <w:tcPr>
            <w:vAlign w:val="center"/>
          </w:tcPr>
          <w:p>
            <w:pPr>
              <w:jc w:val="center"/>
            </w:pPr>
            <w:r>
              <w:rPr>
                <w:rFonts w:eastAsiaTheme="minorEastAsia"/>
                <w:color w:val="000000"/>
                <w:szCs w:val="21"/>
              </w:rPr>
              <w:t>113012</w:t>
            </w:r>
          </w:p>
        </w:tc>
        <w:tc>
          <w:tcPr>
            <w:vAlign w:val="center"/>
          </w:tcPr>
          <w:p>
            <w:pPr>
              <w:jc w:val="center"/>
            </w:pPr>
            <w:r>
              <w:rPr>
                <w:rFonts w:eastAsiaTheme="minorEastAsia"/>
                <w:color w:val="000000"/>
                <w:szCs w:val="21"/>
              </w:rPr>
              <w:t>骆驼转债</w:t>
            </w:r>
          </w:p>
        </w:tc>
        <w:tc>
          <w:tcPr>
            <w:vAlign w:val="center"/>
          </w:tcPr>
          <w:p>
            <w:pPr>
              <w:jc w:val="right"/>
            </w:pPr>
            <w:r>
              <w:rPr>
                <w:rFonts w:eastAsiaTheme="minorEastAsia"/>
                <w:color w:val="000000"/>
                <w:szCs w:val="21"/>
              </w:rPr>
              <w:t>811,920.00</w:t>
            </w:r>
          </w:p>
        </w:tc>
        <w:tc>
          <w:tcPr>
            <w:vAlign w:val="center"/>
          </w:tcPr>
          <w:p>
            <w:pPr>
              <w:jc w:val="right"/>
            </w:pPr>
            <w:r>
              <w:rPr>
                <w:rFonts w:eastAsiaTheme="minorEastAsia"/>
                <w:color w:val="000000"/>
                <w:szCs w:val="21"/>
              </w:rPr>
              <w:t>1.35</w:t>
            </w:r>
          </w:p>
        </w:tc>
      </w:tr>
      <w:tr>
        <w:tblPrEx>
          <w:tblW w:w="0" w:type="auto"/>
          <w:tblInd w:w="108" w:type="dxa"/>
          <w:tblLayout w:type="fixed"/>
          <w:tblLook w:val="00A0"/>
        </w:tblPrEx>
        <w:tc>
          <w:tcPr>
            <w:vAlign w:val="center"/>
          </w:tcPr>
          <w:p>
            <w:pPr>
              <w:jc w:val="center"/>
            </w:pPr>
            <w:r>
              <w:rPr>
                <w:rFonts w:eastAsiaTheme="minorEastAsia"/>
                <w:color w:val="000000"/>
                <w:szCs w:val="21"/>
              </w:rPr>
              <w:t>6</w:t>
            </w:r>
          </w:p>
        </w:tc>
        <w:tc>
          <w:tcPr>
            <w:vAlign w:val="center"/>
          </w:tcPr>
          <w:p>
            <w:pPr>
              <w:jc w:val="center"/>
            </w:pPr>
            <w:r>
              <w:rPr>
                <w:rFonts w:eastAsiaTheme="minorEastAsia"/>
                <w:color w:val="000000"/>
                <w:szCs w:val="21"/>
              </w:rPr>
              <w:t>113015</w:t>
            </w:r>
          </w:p>
        </w:tc>
        <w:tc>
          <w:tcPr>
            <w:vAlign w:val="center"/>
          </w:tcPr>
          <w:p>
            <w:pPr>
              <w:jc w:val="center"/>
            </w:pPr>
            <w:r>
              <w:rPr>
                <w:rFonts w:eastAsiaTheme="minorEastAsia"/>
                <w:color w:val="000000"/>
                <w:szCs w:val="21"/>
              </w:rPr>
              <w:t>隆基转债</w:t>
            </w:r>
          </w:p>
        </w:tc>
        <w:tc>
          <w:tcPr>
            <w:vAlign w:val="center"/>
          </w:tcPr>
          <w:p>
            <w:pPr>
              <w:jc w:val="right"/>
            </w:pPr>
            <w:r>
              <w:rPr>
                <w:rFonts w:eastAsiaTheme="minorEastAsia"/>
                <w:color w:val="000000"/>
                <w:szCs w:val="21"/>
              </w:rPr>
              <w:t>1,405,140.00</w:t>
            </w:r>
          </w:p>
        </w:tc>
        <w:tc>
          <w:tcPr>
            <w:vAlign w:val="center"/>
          </w:tcPr>
          <w:p>
            <w:pPr>
              <w:jc w:val="right"/>
            </w:pPr>
            <w:r>
              <w:rPr>
                <w:rFonts w:eastAsiaTheme="minorEastAsia"/>
                <w:color w:val="000000"/>
                <w:szCs w:val="21"/>
              </w:rPr>
              <w:t>2.33</w:t>
            </w:r>
          </w:p>
        </w:tc>
      </w:tr>
      <w:tr>
        <w:tblPrEx>
          <w:tblW w:w="0" w:type="auto"/>
          <w:tblInd w:w="108" w:type="dxa"/>
          <w:tblLayout w:type="fixed"/>
          <w:tblLook w:val="00A0"/>
        </w:tblPrEx>
        <w:tc>
          <w:tcPr>
            <w:vAlign w:val="center"/>
          </w:tcPr>
          <w:p>
            <w:pPr>
              <w:jc w:val="center"/>
            </w:pPr>
            <w:r>
              <w:rPr>
                <w:rFonts w:eastAsiaTheme="minorEastAsia"/>
                <w:color w:val="000000"/>
                <w:szCs w:val="21"/>
              </w:rPr>
              <w:t>7</w:t>
            </w:r>
          </w:p>
        </w:tc>
        <w:tc>
          <w:tcPr>
            <w:vAlign w:val="center"/>
          </w:tcPr>
          <w:p>
            <w:pPr>
              <w:jc w:val="center"/>
            </w:pPr>
            <w:r>
              <w:rPr>
                <w:rFonts w:eastAsiaTheme="minorEastAsia"/>
                <w:color w:val="000000"/>
                <w:szCs w:val="21"/>
              </w:rPr>
              <w:t>113017</w:t>
            </w:r>
          </w:p>
        </w:tc>
        <w:tc>
          <w:tcPr>
            <w:vAlign w:val="center"/>
          </w:tcPr>
          <w:p>
            <w:pPr>
              <w:jc w:val="center"/>
            </w:pPr>
            <w:r>
              <w:rPr>
                <w:rFonts w:eastAsiaTheme="minorEastAsia"/>
                <w:color w:val="000000"/>
                <w:szCs w:val="21"/>
              </w:rPr>
              <w:t>吉视转债</w:t>
            </w:r>
          </w:p>
        </w:tc>
        <w:tc>
          <w:tcPr>
            <w:vAlign w:val="center"/>
          </w:tcPr>
          <w:p>
            <w:pPr>
              <w:jc w:val="right"/>
            </w:pPr>
            <w:r>
              <w:rPr>
                <w:rFonts w:eastAsiaTheme="minorEastAsia"/>
                <w:color w:val="000000"/>
                <w:szCs w:val="21"/>
              </w:rPr>
              <w:t>599,940.00</w:t>
            </w:r>
          </w:p>
        </w:tc>
        <w:tc>
          <w:tcPr>
            <w:vAlign w:val="center"/>
          </w:tcPr>
          <w:p>
            <w:pPr>
              <w:jc w:val="right"/>
            </w:pPr>
            <w:r>
              <w:rPr>
                <w:rFonts w:eastAsiaTheme="minorEastAsia"/>
                <w:color w:val="000000"/>
                <w:szCs w:val="21"/>
              </w:rPr>
              <w:t>1.00</w:t>
            </w:r>
          </w:p>
        </w:tc>
      </w:tr>
      <w:tr>
        <w:tblPrEx>
          <w:tblW w:w="0" w:type="auto"/>
          <w:tblInd w:w="108" w:type="dxa"/>
          <w:tblLayout w:type="fixed"/>
          <w:tblLook w:val="00A0"/>
        </w:tblPrEx>
        <w:tc>
          <w:tcPr>
            <w:vAlign w:val="center"/>
          </w:tcPr>
          <w:p>
            <w:pPr>
              <w:jc w:val="center"/>
            </w:pPr>
            <w:r>
              <w:rPr>
                <w:rFonts w:eastAsiaTheme="minorEastAsia"/>
                <w:color w:val="000000"/>
                <w:szCs w:val="21"/>
              </w:rPr>
              <w:t>8</w:t>
            </w:r>
          </w:p>
        </w:tc>
        <w:tc>
          <w:tcPr>
            <w:vAlign w:val="center"/>
          </w:tcPr>
          <w:p>
            <w:pPr>
              <w:jc w:val="center"/>
            </w:pPr>
            <w:r>
              <w:rPr>
                <w:rFonts w:eastAsiaTheme="minorEastAsia"/>
                <w:color w:val="000000"/>
                <w:szCs w:val="21"/>
              </w:rPr>
              <w:t>113020</w:t>
            </w:r>
          </w:p>
        </w:tc>
        <w:tc>
          <w:tcPr>
            <w:vAlign w:val="center"/>
          </w:tcPr>
          <w:p>
            <w:pPr>
              <w:jc w:val="center"/>
            </w:pPr>
            <w:r>
              <w:rPr>
                <w:rFonts w:eastAsiaTheme="minorEastAsia"/>
                <w:color w:val="000000"/>
                <w:szCs w:val="21"/>
              </w:rPr>
              <w:t>桐昆转债</w:t>
            </w:r>
          </w:p>
        </w:tc>
        <w:tc>
          <w:tcPr>
            <w:vAlign w:val="center"/>
          </w:tcPr>
          <w:p>
            <w:pPr>
              <w:jc w:val="right"/>
            </w:pPr>
            <w:r>
              <w:rPr>
                <w:rFonts w:eastAsiaTheme="minorEastAsia"/>
                <w:color w:val="000000"/>
                <w:szCs w:val="21"/>
              </w:rPr>
              <w:t>950,560.00</w:t>
            </w:r>
          </w:p>
        </w:tc>
        <w:tc>
          <w:tcPr>
            <w:vAlign w:val="center"/>
          </w:tcPr>
          <w:p>
            <w:pPr>
              <w:jc w:val="right"/>
            </w:pPr>
            <w:r>
              <w:rPr>
                <w:rFonts w:eastAsiaTheme="minorEastAsia"/>
                <w:color w:val="000000"/>
                <w:szCs w:val="21"/>
              </w:rPr>
              <w:t>1.58</w:t>
            </w:r>
          </w:p>
        </w:tc>
      </w:tr>
      <w:tr>
        <w:tblPrEx>
          <w:tblW w:w="0" w:type="auto"/>
          <w:tblInd w:w="108" w:type="dxa"/>
          <w:tblLayout w:type="fixed"/>
          <w:tblLook w:val="00A0"/>
        </w:tblPrEx>
        <w:tc>
          <w:tcPr>
            <w:vAlign w:val="center"/>
          </w:tcPr>
          <w:p>
            <w:pPr>
              <w:jc w:val="center"/>
            </w:pPr>
            <w:r>
              <w:rPr>
                <w:rFonts w:eastAsiaTheme="minorEastAsia"/>
                <w:color w:val="000000"/>
                <w:szCs w:val="21"/>
              </w:rPr>
              <w:t>9</w:t>
            </w:r>
          </w:p>
        </w:tc>
        <w:tc>
          <w:tcPr>
            <w:vAlign w:val="center"/>
          </w:tcPr>
          <w:p>
            <w:pPr>
              <w:jc w:val="center"/>
            </w:pPr>
            <w:r>
              <w:rPr>
                <w:rFonts w:eastAsiaTheme="minorEastAsia"/>
                <w:color w:val="000000"/>
                <w:szCs w:val="21"/>
              </w:rPr>
              <w:t>113508</w:t>
            </w:r>
          </w:p>
        </w:tc>
        <w:tc>
          <w:tcPr>
            <w:vAlign w:val="center"/>
          </w:tcPr>
          <w:p>
            <w:pPr>
              <w:jc w:val="center"/>
            </w:pPr>
            <w:r>
              <w:rPr>
                <w:rFonts w:eastAsiaTheme="minorEastAsia"/>
                <w:color w:val="000000"/>
                <w:szCs w:val="21"/>
              </w:rPr>
              <w:t>新凤转债</w:t>
            </w:r>
          </w:p>
        </w:tc>
        <w:tc>
          <w:tcPr>
            <w:vAlign w:val="center"/>
          </w:tcPr>
          <w:p>
            <w:pPr>
              <w:jc w:val="right"/>
            </w:pPr>
            <w:r>
              <w:rPr>
                <w:rFonts w:eastAsiaTheme="minorEastAsia"/>
                <w:color w:val="000000"/>
                <w:szCs w:val="21"/>
              </w:rPr>
              <w:t>2,637,512.30</w:t>
            </w:r>
          </w:p>
        </w:tc>
        <w:tc>
          <w:tcPr>
            <w:vAlign w:val="center"/>
          </w:tcPr>
          <w:p>
            <w:pPr>
              <w:jc w:val="right"/>
            </w:pPr>
            <w:r>
              <w:rPr>
                <w:rFonts w:eastAsiaTheme="minorEastAsia"/>
                <w:color w:val="000000"/>
                <w:szCs w:val="21"/>
              </w:rPr>
              <w:t>4.38</w:t>
            </w:r>
          </w:p>
        </w:tc>
      </w:tr>
      <w:tr>
        <w:tblPrEx>
          <w:tblW w:w="0" w:type="auto"/>
          <w:tblInd w:w="108" w:type="dxa"/>
          <w:tblLayout w:type="fixed"/>
          <w:tblLook w:val="00A0"/>
        </w:tblPrEx>
        <w:tc>
          <w:tcPr>
            <w:vAlign w:val="center"/>
          </w:tcPr>
          <w:p>
            <w:pPr>
              <w:jc w:val="center"/>
            </w:pPr>
            <w:r>
              <w:rPr>
                <w:rFonts w:eastAsiaTheme="minorEastAsia"/>
                <w:color w:val="000000"/>
                <w:szCs w:val="21"/>
              </w:rPr>
              <w:t>10</w:t>
            </w:r>
          </w:p>
        </w:tc>
        <w:tc>
          <w:tcPr>
            <w:vAlign w:val="center"/>
          </w:tcPr>
          <w:p>
            <w:pPr>
              <w:jc w:val="center"/>
            </w:pPr>
            <w:r>
              <w:rPr>
                <w:rFonts w:eastAsiaTheme="minorEastAsia"/>
                <w:color w:val="000000"/>
                <w:szCs w:val="21"/>
              </w:rPr>
              <w:t>113509</w:t>
            </w:r>
          </w:p>
        </w:tc>
        <w:tc>
          <w:tcPr>
            <w:vAlign w:val="center"/>
          </w:tcPr>
          <w:p>
            <w:pPr>
              <w:jc w:val="center"/>
            </w:pPr>
            <w:r>
              <w:rPr>
                <w:rFonts w:eastAsiaTheme="minorEastAsia"/>
                <w:color w:val="000000"/>
                <w:szCs w:val="21"/>
              </w:rPr>
              <w:t>新泉转债</w:t>
            </w:r>
          </w:p>
        </w:tc>
        <w:tc>
          <w:tcPr>
            <w:vAlign w:val="center"/>
          </w:tcPr>
          <w:p>
            <w:pPr>
              <w:jc w:val="right"/>
            </w:pPr>
            <w:r>
              <w:rPr>
                <w:rFonts w:eastAsiaTheme="minorEastAsia"/>
                <w:color w:val="000000"/>
                <w:szCs w:val="21"/>
              </w:rPr>
              <w:t>1,760,940.00</w:t>
            </w:r>
          </w:p>
        </w:tc>
        <w:tc>
          <w:tcPr>
            <w:vAlign w:val="center"/>
          </w:tcPr>
          <w:p>
            <w:pPr>
              <w:jc w:val="right"/>
            </w:pPr>
            <w:r>
              <w:rPr>
                <w:rFonts w:eastAsiaTheme="minorEastAsia"/>
                <w:color w:val="000000"/>
                <w:szCs w:val="21"/>
              </w:rPr>
              <w:t>2.92</w:t>
            </w:r>
          </w:p>
        </w:tc>
      </w:tr>
      <w:tr>
        <w:tblPrEx>
          <w:tblW w:w="0" w:type="auto"/>
          <w:tblInd w:w="108" w:type="dxa"/>
          <w:tblLayout w:type="fixed"/>
          <w:tblLook w:val="00A0"/>
        </w:tblPrEx>
        <w:tc>
          <w:tcPr>
            <w:vAlign w:val="center"/>
          </w:tcPr>
          <w:p>
            <w:pPr>
              <w:jc w:val="center"/>
            </w:pPr>
            <w:r>
              <w:rPr>
                <w:rFonts w:eastAsiaTheme="minorEastAsia"/>
                <w:color w:val="000000"/>
                <w:szCs w:val="21"/>
              </w:rPr>
              <w:t>11</w:t>
            </w:r>
          </w:p>
        </w:tc>
        <w:tc>
          <w:tcPr>
            <w:vAlign w:val="center"/>
          </w:tcPr>
          <w:p>
            <w:pPr>
              <w:jc w:val="center"/>
            </w:pPr>
            <w:r>
              <w:rPr>
                <w:rFonts w:eastAsiaTheme="minorEastAsia"/>
                <w:color w:val="000000"/>
                <w:szCs w:val="21"/>
              </w:rPr>
              <w:t>113522</w:t>
            </w:r>
          </w:p>
        </w:tc>
        <w:tc>
          <w:tcPr>
            <w:vAlign w:val="center"/>
          </w:tcPr>
          <w:p>
            <w:pPr>
              <w:jc w:val="center"/>
            </w:pPr>
            <w:r>
              <w:rPr>
                <w:rFonts w:eastAsiaTheme="minorEastAsia"/>
                <w:color w:val="000000"/>
                <w:szCs w:val="21"/>
              </w:rPr>
              <w:t>旭升转债</w:t>
            </w:r>
          </w:p>
        </w:tc>
        <w:tc>
          <w:tcPr>
            <w:vAlign w:val="center"/>
          </w:tcPr>
          <w:p>
            <w:pPr>
              <w:jc w:val="right"/>
            </w:pPr>
            <w:r>
              <w:rPr>
                <w:rFonts w:eastAsiaTheme="minorEastAsia"/>
                <w:color w:val="000000"/>
                <w:szCs w:val="21"/>
              </w:rPr>
              <w:t>1,038,000.00</w:t>
            </w:r>
          </w:p>
        </w:tc>
        <w:tc>
          <w:tcPr>
            <w:vAlign w:val="center"/>
          </w:tcPr>
          <w:p>
            <w:pPr>
              <w:jc w:val="right"/>
            </w:pPr>
            <w:r>
              <w:rPr>
                <w:rFonts w:eastAsiaTheme="minorEastAsia"/>
                <w:color w:val="000000"/>
                <w:szCs w:val="21"/>
              </w:rPr>
              <w:t>1.72</w:t>
            </w:r>
          </w:p>
        </w:tc>
      </w:tr>
      <w:tr>
        <w:tblPrEx>
          <w:tblW w:w="0" w:type="auto"/>
          <w:tblInd w:w="108" w:type="dxa"/>
          <w:tblLayout w:type="fixed"/>
          <w:tblLook w:val="00A0"/>
        </w:tblPrEx>
        <w:tc>
          <w:tcPr>
            <w:vAlign w:val="center"/>
          </w:tcPr>
          <w:p>
            <w:pPr>
              <w:jc w:val="center"/>
            </w:pPr>
            <w:r>
              <w:rPr>
                <w:rFonts w:eastAsiaTheme="minorEastAsia"/>
                <w:color w:val="000000"/>
                <w:szCs w:val="21"/>
              </w:rPr>
              <w:t>12</w:t>
            </w:r>
          </w:p>
        </w:tc>
        <w:tc>
          <w:tcPr>
            <w:vAlign w:val="center"/>
          </w:tcPr>
          <w:p>
            <w:pPr>
              <w:jc w:val="center"/>
            </w:pPr>
            <w:r>
              <w:rPr>
                <w:rFonts w:eastAsiaTheme="minorEastAsia"/>
                <w:color w:val="000000"/>
                <w:szCs w:val="21"/>
              </w:rPr>
              <w:t>123011</w:t>
            </w:r>
          </w:p>
        </w:tc>
        <w:tc>
          <w:tcPr>
            <w:vAlign w:val="center"/>
          </w:tcPr>
          <w:p>
            <w:pPr>
              <w:jc w:val="center"/>
            </w:pPr>
            <w:r>
              <w:rPr>
                <w:rFonts w:eastAsiaTheme="minorEastAsia"/>
                <w:color w:val="000000"/>
                <w:szCs w:val="21"/>
              </w:rPr>
              <w:t>德尔转债</w:t>
            </w:r>
          </w:p>
        </w:tc>
        <w:tc>
          <w:tcPr>
            <w:vAlign w:val="center"/>
          </w:tcPr>
          <w:p>
            <w:pPr>
              <w:jc w:val="right"/>
            </w:pPr>
            <w:r>
              <w:rPr>
                <w:rFonts w:eastAsiaTheme="minorEastAsia"/>
                <w:color w:val="000000"/>
                <w:szCs w:val="21"/>
              </w:rPr>
              <w:t>3,233,340.00</w:t>
            </w:r>
          </w:p>
        </w:tc>
        <w:tc>
          <w:tcPr>
            <w:vAlign w:val="center"/>
          </w:tcPr>
          <w:p>
            <w:pPr>
              <w:jc w:val="right"/>
            </w:pPr>
            <w:r>
              <w:rPr>
                <w:rFonts w:eastAsiaTheme="minorEastAsia"/>
                <w:color w:val="000000"/>
                <w:szCs w:val="21"/>
              </w:rPr>
              <w:t>5.37</w:t>
            </w:r>
          </w:p>
        </w:tc>
      </w:tr>
      <w:tr>
        <w:tblPrEx>
          <w:tblW w:w="0" w:type="auto"/>
          <w:tblInd w:w="108" w:type="dxa"/>
          <w:tblLayout w:type="fixed"/>
          <w:tblLook w:val="00A0"/>
        </w:tblPrEx>
        <w:tc>
          <w:tcPr>
            <w:vAlign w:val="center"/>
          </w:tcPr>
          <w:p>
            <w:pPr>
              <w:jc w:val="center"/>
            </w:pPr>
            <w:r>
              <w:rPr>
                <w:rFonts w:eastAsiaTheme="minorEastAsia"/>
                <w:color w:val="000000"/>
                <w:szCs w:val="21"/>
              </w:rPr>
              <w:t>13</w:t>
            </w:r>
          </w:p>
        </w:tc>
        <w:tc>
          <w:tcPr>
            <w:vAlign w:val="center"/>
          </w:tcPr>
          <w:p>
            <w:pPr>
              <w:jc w:val="center"/>
            </w:pPr>
            <w:r>
              <w:rPr>
                <w:rFonts w:eastAsiaTheme="minorEastAsia"/>
                <w:color w:val="000000"/>
                <w:szCs w:val="21"/>
              </w:rPr>
              <w:t>127004</w:t>
            </w:r>
          </w:p>
        </w:tc>
        <w:tc>
          <w:tcPr>
            <w:vAlign w:val="center"/>
          </w:tcPr>
          <w:p>
            <w:pPr>
              <w:jc w:val="center"/>
            </w:pPr>
            <w:r>
              <w:rPr>
                <w:rFonts w:eastAsiaTheme="minorEastAsia"/>
                <w:color w:val="000000"/>
                <w:szCs w:val="21"/>
              </w:rPr>
              <w:t>模塑转债</w:t>
            </w:r>
          </w:p>
        </w:tc>
        <w:tc>
          <w:tcPr>
            <w:vAlign w:val="center"/>
          </w:tcPr>
          <w:p>
            <w:pPr>
              <w:jc w:val="right"/>
            </w:pPr>
            <w:r>
              <w:rPr>
                <w:rFonts w:eastAsiaTheme="minorEastAsia"/>
                <w:color w:val="000000"/>
                <w:szCs w:val="21"/>
              </w:rPr>
              <w:t>125,038.40</w:t>
            </w:r>
          </w:p>
        </w:tc>
        <w:tc>
          <w:tcPr>
            <w:vAlign w:val="center"/>
          </w:tcPr>
          <w:p>
            <w:pPr>
              <w:jc w:val="right"/>
            </w:pPr>
            <w:r>
              <w:rPr>
                <w:rFonts w:eastAsiaTheme="minorEastAsia"/>
                <w:color w:val="000000"/>
                <w:szCs w:val="21"/>
              </w:rPr>
              <w:t>0.21</w:t>
            </w:r>
          </w:p>
        </w:tc>
      </w:tr>
      <w:tr>
        <w:tblPrEx>
          <w:tblW w:w="0" w:type="auto"/>
          <w:tblInd w:w="108" w:type="dxa"/>
          <w:tblLayout w:type="fixed"/>
          <w:tblLook w:val="00A0"/>
        </w:tblPrEx>
        <w:tc>
          <w:tcPr>
            <w:vAlign w:val="center"/>
          </w:tcPr>
          <w:p>
            <w:pPr>
              <w:jc w:val="center"/>
            </w:pPr>
            <w:r>
              <w:rPr>
                <w:rFonts w:eastAsiaTheme="minorEastAsia"/>
                <w:color w:val="000000"/>
                <w:szCs w:val="21"/>
              </w:rPr>
              <w:t>14</w:t>
            </w:r>
          </w:p>
        </w:tc>
        <w:tc>
          <w:tcPr>
            <w:vAlign w:val="center"/>
          </w:tcPr>
          <w:p>
            <w:pPr>
              <w:jc w:val="center"/>
            </w:pPr>
            <w:r>
              <w:rPr>
                <w:rFonts w:eastAsiaTheme="minorEastAsia"/>
                <w:color w:val="000000"/>
                <w:szCs w:val="21"/>
              </w:rPr>
              <w:t>127007</w:t>
            </w:r>
          </w:p>
        </w:tc>
        <w:tc>
          <w:tcPr>
            <w:vAlign w:val="center"/>
          </w:tcPr>
          <w:p>
            <w:pPr>
              <w:jc w:val="center"/>
            </w:pPr>
            <w:r>
              <w:rPr>
                <w:rFonts w:eastAsiaTheme="minorEastAsia"/>
                <w:color w:val="000000"/>
                <w:szCs w:val="21"/>
              </w:rPr>
              <w:t>湖广转债</w:t>
            </w:r>
          </w:p>
        </w:tc>
        <w:tc>
          <w:tcPr>
            <w:vAlign w:val="center"/>
          </w:tcPr>
          <w:p>
            <w:pPr>
              <w:jc w:val="right"/>
            </w:pPr>
            <w:r>
              <w:rPr>
                <w:rFonts w:eastAsiaTheme="minorEastAsia"/>
                <w:color w:val="000000"/>
                <w:szCs w:val="21"/>
              </w:rPr>
              <w:t>1,317,480.00</w:t>
            </w:r>
          </w:p>
        </w:tc>
        <w:tc>
          <w:tcPr>
            <w:vAlign w:val="center"/>
          </w:tcPr>
          <w:p>
            <w:pPr>
              <w:jc w:val="right"/>
            </w:pPr>
            <w:r>
              <w:rPr>
                <w:rFonts w:eastAsiaTheme="minorEastAsia"/>
                <w:color w:val="000000"/>
                <w:szCs w:val="21"/>
              </w:rPr>
              <w:t>2.19</w:t>
            </w:r>
          </w:p>
        </w:tc>
      </w:tr>
      <w:tr>
        <w:tblPrEx>
          <w:tblW w:w="0" w:type="auto"/>
          <w:tblInd w:w="108" w:type="dxa"/>
          <w:tblLayout w:type="fixed"/>
          <w:tblLook w:val="00A0"/>
        </w:tblPrEx>
        <w:tc>
          <w:tcPr>
            <w:vAlign w:val="center"/>
          </w:tcPr>
          <w:p>
            <w:pPr>
              <w:jc w:val="center"/>
            </w:pPr>
            <w:r>
              <w:rPr>
                <w:rFonts w:eastAsiaTheme="minorEastAsia"/>
                <w:color w:val="000000"/>
                <w:szCs w:val="21"/>
              </w:rPr>
              <w:t>15</w:t>
            </w:r>
          </w:p>
        </w:tc>
        <w:tc>
          <w:tcPr>
            <w:vAlign w:val="center"/>
          </w:tcPr>
          <w:p>
            <w:pPr>
              <w:jc w:val="center"/>
            </w:pPr>
            <w:r>
              <w:rPr>
                <w:rFonts w:eastAsiaTheme="minorEastAsia"/>
                <w:color w:val="000000"/>
                <w:szCs w:val="21"/>
              </w:rPr>
              <w:t>128019</w:t>
            </w:r>
          </w:p>
        </w:tc>
        <w:tc>
          <w:tcPr>
            <w:vAlign w:val="center"/>
          </w:tcPr>
          <w:p>
            <w:pPr>
              <w:jc w:val="center"/>
            </w:pPr>
            <w:r>
              <w:rPr>
                <w:rFonts w:eastAsiaTheme="minorEastAsia"/>
                <w:color w:val="000000"/>
                <w:szCs w:val="21"/>
              </w:rPr>
              <w:t>久立转2</w:t>
            </w:r>
          </w:p>
        </w:tc>
        <w:tc>
          <w:tcPr>
            <w:vAlign w:val="center"/>
          </w:tcPr>
          <w:p>
            <w:pPr>
              <w:jc w:val="right"/>
            </w:pPr>
            <w:r>
              <w:rPr>
                <w:rFonts w:eastAsiaTheme="minorEastAsia"/>
                <w:color w:val="000000"/>
                <w:szCs w:val="21"/>
              </w:rPr>
              <w:t>322,620.00</w:t>
            </w:r>
          </w:p>
        </w:tc>
        <w:tc>
          <w:tcPr>
            <w:vAlign w:val="center"/>
          </w:tcPr>
          <w:p>
            <w:pPr>
              <w:jc w:val="right"/>
            </w:pPr>
            <w:r>
              <w:rPr>
                <w:rFonts w:eastAsiaTheme="minorEastAsia"/>
                <w:color w:val="000000"/>
                <w:szCs w:val="21"/>
              </w:rPr>
              <w:t>0.54</w:t>
            </w:r>
          </w:p>
        </w:tc>
      </w:tr>
      <w:tr>
        <w:tblPrEx>
          <w:tblW w:w="0" w:type="auto"/>
          <w:tblInd w:w="108" w:type="dxa"/>
          <w:tblLayout w:type="fixed"/>
          <w:tblLook w:val="00A0"/>
        </w:tblPrEx>
        <w:tc>
          <w:tcPr>
            <w:vAlign w:val="center"/>
          </w:tcPr>
          <w:p>
            <w:pPr>
              <w:jc w:val="center"/>
            </w:pPr>
            <w:r>
              <w:rPr>
                <w:rFonts w:eastAsiaTheme="minorEastAsia"/>
                <w:color w:val="000000"/>
                <w:szCs w:val="21"/>
              </w:rPr>
              <w:t>16</w:t>
            </w:r>
          </w:p>
        </w:tc>
        <w:tc>
          <w:tcPr>
            <w:vAlign w:val="center"/>
          </w:tcPr>
          <w:p>
            <w:pPr>
              <w:jc w:val="center"/>
            </w:pPr>
            <w:r>
              <w:rPr>
                <w:rFonts w:eastAsiaTheme="minorEastAsia"/>
                <w:color w:val="000000"/>
                <w:szCs w:val="21"/>
              </w:rPr>
              <w:t>128024</w:t>
            </w:r>
          </w:p>
        </w:tc>
        <w:tc>
          <w:tcPr>
            <w:vAlign w:val="center"/>
          </w:tcPr>
          <w:p>
            <w:pPr>
              <w:jc w:val="center"/>
            </w:pPr>
            <w:r>
              <w:rPr>
                <w:rFonts w:eastAsiaTheme="minorEastAsia"/>
                <w:color w:val="000000"/>
                <w:szCs w:val="21"/>
              </w:rPr>
              <w:t>宁行转债</w:t>
            </w:r>
          </w:p>
        </w:tc>
        <w:tc>
          <w:tcPr>
            <w:vAlign w:val="center"/>
          </w:tcPr>
          <w:p>
            <w:pPr>
              <w:jc w:val="right"/>
            </w:pPr>
            <w:r>
              <w:rPr>
                <w:rFonts w:eastAsiaTheme="minorEastAsia"/>
                <w:color w:val="000000"/>
                <w:szCs w:val="21"/>
              </w:rPr>
              <w:t>669,500.00</w:t>
            </w:r>
          </w:p>
        </w:tc>
        <w:tc>
          <w:tcPr>
            <w:vAlign w:val="center"/>
          </w:tcPr>
          <w:p>
            <w:pPr>
              <w:jc w:val="right"/>
            </w:pPr>
            <w:r>
              <w:rPr>
                <w:rFonts w:eastAsiaTheme="minorEastAsia"/>
                <w:color w:val="000000"/>
                <w:szCs w:val="21"/>
              </w:rPr>
              <w:t>1.11</w:t>
            </w:r>
          </w:p>
        </w:tc>
      </w:tr>
      <w:tr>
        <w:tblPrEx>
          <w:tblW w:w="0" w:type="auto"/>
          <w:tblInd w:w="108" w:type="dxa"/>
          <w:tblLayout w:type="fixed"/>
          <w:tblLook w:val="00A0"/>
        </w:tblPrEx>
        <w:tc>
          <w:tcPr>
            <w:vAlign w:val="center"/>
          </w:tcPr>
          <w:p>
            <w:pPr>
              <w:jc w:val="center"/>
            </w:pPr>
            <w:r>
              <w:rPr>
                <w:rFonts w:eastAsiaTheme="minorEastAsia"/>
                <w:color w:val="000000"/>
                <w:szCs w:val="21"/>
              </w:rPr>
              <w:t>17</w:t>
            </w:r>
          </w:p>
        </w:tc>
        <w:tc>
          <w:tcPr>
            <w:vAlign w:val="center"/>
          </w:tcPr>
          <w:p>
            <w:pPr>
              <w:jc w:val="center"/>
            </w:pPr>
            <w:r>
              <w:rPr>
                <w:rFonts w:eastAsiaTheme="minorEastAsia"/>
                <w:color w:val="000000"/>
                <w:szCs w:val="21"/>
              </w:rPr>
              <w:t>128029</w:t>
            </w:r>
          </w:p>
        </w:tc>
        <w:tc>
          <w:tcPr>
            <w:vAlign w:val="center"/>
          </w:tcPr>
          <w:p>
            <w:pPr>
              <w:jc w:val="center"/>
            </w:pPr>
            <w:r>
              <w:rPr>
                <w:rFonts w:eastAsiaTheme="minorEastAsia"/>
                <w:color w:val="000000"/>
                <w:szCs w:val="21"/>
              </w:rPr>
              <w:t>太阳转债</w:t>
            </w:r>
          </w:p>
        </w:tc>
        <w:tc>
          <w:tcPr>
            <w:vAlign w:val="center"/>
          </w:tcPr>
          <w:p>
            <w:pPr>
              <w:jc w:val="right"/>
            </w:pPr>
            <w:r>
              <w:rPr>
                <w:rFonts w:eastAsiaTheme="minorEastAsia"/>
                <w:color w:val="000000"/>
                <w:szCs w:val="21"/>
              </w:rPr>
              <w:t>2,027,870.00</w:t>
            </w:r>
          </w:p>
        </w:tc>
        <w:tc>
          <w:tcPr>
            <w:vAlign w:val="center"/>
          </w:tcPr>
          <w:p>
            <w:pPr>
              <w:jc w:val="right"/>
            </w:pPr>
            <w:r>
              <w:rPr>
                <w:rFonts w:eastAsiaTheme="minorEastAsia"/>
                <w:color w:val="000000"/>
                <w:szCs w:val="21"/>
              </w:rPr>
              <w:t>3.37</w:t>
            </w:r>
          </w:p>
        </w:tc>
      </w:tr>
      <w:tr>
        <w:tblPrEx>
          <w:tblW w:w="0" w:type="auto"/>
          <w:tblInd w:w="108" w:type="dxa"/>
          <w:tblLayout w:type="fixed"/>
          <w:tblLook w:val="00A0"/>
        </w:tblPrEx>
        <w:tc>
          <w:tcPr>
            <w:vAlign w:val="center"/>
          </w:tcPr>
          <w:p>
            <w:pPr>
              <w:jc w:val="center"/>
            </w:pPr>
            <w:r>
              <w:rPr>
                <w:rFonts w:eastAsiaTheme="minorEastAsia"/>
                <w:color w:val="000000"/>
                <w:szCs w:val="21"/>
              </w:rPr>
              <w:t>18</w:t>
            </w:r>
          </w:p>
        </w:tc>
        <w:tc>
          <w:tcPr>
            <w:vAlign w:val="center"/>
          </w:tcPr>
          <w:p>
            <w:pPr>
              <w:jc w:val="center"/>
            </w:pPr>
            <w:r>
              <w:rPr>
                <w:rFonts w:eastAsiaTheme="minorEastAsia"/>
                <w:color w:val="000000"/>
                <w:szCs w:val="21"/>
              </w:rPr>
              <w:t>128032</w:t>
            </w:r>
          </w:p>
        </w:tc>
        <w:tc>
          <w:tcPr>
            <w:vAlign w:val="center"/>
          </w:tcPr>
          <w:p>
            <w:pPr>
              <w:jc w:val="center"/>
            </w:pPr>
            <w:r>
              <w:rPr>
                <w:rFonts w:eastAsiaTheme="minorEastAsia"/>
                <w:color w:val="000000"/>
                <w:szCs w:val="21"/>
              </w:rPr>
              <w:t>双环转债</w:t>
            </w:r>
          </w:p>
        </w:tc>
        <w:tc>
          <w:tcPr>
            <w:vAlign w:val="center"/>
          </w:tcPr>
          <w:p>
            <w:pPr>
              <w:jc w:val="right"/>
            </w:pPr>
            <w:r>
              <w:rPr>
                <w:rFonts w:eastAsiaTheme="minorEastAsia"/>
                <w:color w:val="000000"/>
                <w:szCs w:val="21"/>
              </w:rPr>
              <w:t>1,499,715.00</w:t>
            </w:r>
          </w:p>
        </w:tc>
        <w:tc>
          <w:tcPr>
            <w:vAlign w:val="center"/>
          </w:tcPr>
          <w:p>
            <w:pPr>
              <w:jc w:val="right"/>
            </w:pPr>
            <w:r>
              <w:rPr>
                <w:rFonts w:eastAsiaTheme="minorEastAsia"/>
                <w:color w:val="000000"/>
                <w:szCs w:val="21"/>
              </w:rPr>
              <w:t>2.49</w:t>
            </w:r>
          </w:p>
        </w:tc>
      </w:tr>
      <w:tr>
        <w:tblPrEx>
          <w:tblW w:w="0" w:type="auto"/>
          <w:tblInd w:w="108" w:type="dxa"/>
          <w:tblLayout w:type="fixed"/>
          <w:tblLook w:val="00A0"/>
        </w:tblPrEx>
        <w:tc>
          <w:tcPr>
            <w:vAlign w:val="center"/>
          </w:tcPr>
          <w:p>
            <w:pPr>
              <w:jc w:val="center"/>
            </w:pPr>
            <w:r>
              <w:rPr>
                <w:rFonts w:eastAsiaTheme="minorEastAsia"/>
                <w:color w:val="000000"/>
                <w:szCs w:val="21"/>
              </w:rPr>
              <w:t>19</w:t>
            </w:r>
          </w:p>
        </w:tc>
        <w:tc>
          <w:tcPr>
            <w:vAlign w:val="center"/>
          </w:tcPr>
          <w:p>
            <w:pPr>
              <w:jc w:val="center"/>
            </w:pPr>
            <w:r>
              <w:rPr>
                <w:rFonts w:eastAsiaTheme="minorEastAsia"/>
                <w:color w:val="000000"/>
                <w:szCs w:val="21"/>
              </w:rPr>
              <w:t>128042</w:t>
            </w:r>
          </w:p>
        </w:tc>
        <w:tc>
          <w:tcPr>
            <w:vAlign w:val="center"/>
          </w:tcPr>
          <w:p>
            <w:pPr>
              <w:jc w:val="center"/>
            </w:pPr>
            <w:r>
              <w:rPr>
                <w:rFonts w:eastAsiaTheme="minorEastAsia"/>
                <w:color w:val="000000"/>
                <w:szCs w:val="21"/>
              </w:rPr>
              <w:t>凯中转债</w:t>
            </w:r>
          </w:p>
        </w:tc>
        <w:tc>
          <w:tcPr>
            <w:vAlign w:val="center"/>
          </w:tcPr>
          <w:p>
            <w:pPr>
              <w:jc w:val="right"/>
            </w:pPr>
            <w:r>
              <w:rPr>
                <w:rFonts w:eastAsiaTheme="minorEastAsia"/>
                <w:color w:val="000000"/>
                <w:szCs w:val="21"/>
              </w:rPr>
              <w:t>465,038.60</w:t>
            </w:r>
          </w:p>
        </w:tc>
        <w:tc>
          <w:tcPr>
            <w:vAlign w:val="center"/>
          </w:tcPr>
          <w:p>
            <w:pPr>
              <w:jc w:val="right"/>
            </w:pPr>
            <w:r>
              <w:rPr>
                <w:rFonts w:eastAsiaTheme="minorEastAsia"/>
                <w:color w:val="000000"/>
                <w:szCs w:val="21"/>
              </w:rPr>
              <w:t>0.77</w:t>
            </w:r>
          </w:p>
        </w:tc>
      </w:tr>
      <w:tr>
        <w:tblPrEx>
          <w:tblW w:w="0" w:type="auto"/>
          <w:tblInd w:w="108" w:type="dxa"/>
          <w:tblLayout w:type="fixed"/>
          <w:tblLook w:val="00A0"/>
        </w:tblPrEx>
        <w:tc>
          <w:tcPr>
            <w:vAlign w:val="center"/>
          </w:tcPr>
          <w:p>
            <w:pPr>
              <w:jc w:val="center"/>
            </w:pPr>
            <w:r>
              <w:rPr>
                <w:rFonts w:eastAsiaTheme="minorEastAsia"/>
                <w:color w:val="000000"/>
                <w:szCs w:val="21"/>
              </w:rPr>
              <w:t>20</w:t>
            </w:r>
          </w:p>
        </w:tc>
        <w:tc>
          <w:tcPr>
            <w:vAlign w:val="center"/>
          </w:tcPr>
          <w:p>
            <w:pPr>
              <w:jc w:val="center"/>
            </w:pPr>
            <w:r>
              <w:rPr>
                <w:rFonts w:eastAsiaTheme="minorEastAsia"/>
                <w:color w:val="000000"/>
                <w:szCs w:val="21"/>
              </w:rPr>
              <w:t>128048</w:t>
            </w:r>
          </w:p>
        </w:tc>
        <w:tc>
          <w:tcPr>
            <w:vAlign w:val="center"/>
          </w:tcPr>
          <w:p>
            <w:pPr>
              <w:jc w:val="center"/>
            </w:pPr>
            <w:r>
              <w:rPr>
                <w:rFonts w:eastAsiaTheme="minorEastAsia"/>
                <w:color w:val="000000"/>
                <w:szCs w:val="21"/>
              </w:rPr>
              <w:t>张行转债</w:t>
            </w:r>
          </w:p>
        </w:tc>
        <w:tc>
          <w:tcPr>
            <w:vAlign w:val="center"/>
          </w:tcPr>
          <w:p>
            <w:pPr>
              <w:jc w:val="right"/>
            </w:pPr>
            <w:r>
              <w:rPr>
                <w:rFonts w:eastAsiaTheme="minorEastAsia"/>
                <w:color w:val="000000"/>
                <w:szCs w:val="21"/>
              </w:rPr>
              <w:t>1,049,200.00</w:t>
            </w:r>
          </w:p>
        </w:tc>
        <w:tc>
          <w:tcPr>
            <w:vAlign w:val="center"/>
          </w:tcPr>
          <w:p>
            <w:pPr>
              <w:jc w:val="right"/>
            </w:pPr>
            <w:r>
              <w:rPr>
                <w:rFonts w:eastAsiaTheme="minorEastAsia"/>
                <w:color w:val="000000"/>
                <w:szCs w:val="21"/>
              </w:rPr>
              <w:t>1.74</w:t>
            </w:r>
          </w:p>
        </w:tc>
      </w:tr>
      <w:tr>
        <w:tblPrEx>
          <w:tblW w:w="0" w:type="auto"/>
          <w:tblInd w:w="108" w:type="dxa"/>
          <w:tblLayout w:type="fixed"/>
          <w:tblLook w:val="00A0"/>
        </w:tblPrEx>
        <w:tc>
          <w:tcPr>
            <w:vAlign w:val="center"/>
          </w:tcPr>
          <w:p>
            <w:pPr>
              <w:jc w:val="center"/>
            </w:pPr>
            <w:r>
              <w:rPr>
                <w:rFonts w:eastAsiaTheme="minorEastAsia"/>
                <w:color w:val="000000"/>
                <w:szCs w:val="21"/>
              </w:rPr>
              <w:t>21</w:t>
            </w:r>
          </w:p>
        </w:tc>
        <w:tc>
          <w:tcPr>
            <w:vAlign w:val="center"/>
          </w:tcPr>
          <w:p>
            <w:pPr>
              <w:jc w:val="center"/>
            </w:pPr>
            <w:r>
              <w:rPr>
                <w:rFonts w:eastAsiaTheme="minorEastAsia"/>
                <w:color w:val="000000"/>
                <w:szCs w:val="21"/>
              </w:rPr>
              <w:t>132006</w:t>
            </w:r>
          </w:p>
        </w:tc>
        <w:tc>
          <w:tcPr>
            <w:vAlign w:val="center"/>
          </w:tcPr>
          <w:p>
            <w:pPr>
              <w:jc w:val="center"/>
            </w:pPr>
            <w:r>
              <w:rPr>
                <w:rFonts w:eastAsiaTheme="minorEastAsia"/>
                <w:color w:val="000000"/>
                <w:szCs w:val="21"/>
              </w:rPr>
              <w:t>16皖新EB</w:t>
            </w:r>
          </w:p>
        </w:tc>
        <w:tc>
          <w:tcPr>
            <w:vAlign w:val="center"/>
          </w:tcPr>
          <w:p>
            <w:pPr>
              <w:jc w:val="right"/>
            </w:pPr>
            <w:r>
              <w:rPr>
                <w:rFonts w:eastAsiaTheme="minorEastAsia"/>
                <w:color w:val="000000"/>
                <w:szCs w:val="21"/>
              </w:rPr>
              <w:t>732,760.00</w:t>
            </w:r>
          </w:p>
        </w:tc>
        <w:tc>
          <w:tcPr>
            <w:vAlign w:val="center"/>
          </w:tcPr>
          <w:p>
            <w:pPr>
              <w:jc w:val="right"/>
            </w:pPr>
            <w:r>
              <w:rPr>
                <w:rFonts w:eastAsiaTheme="minorEastAsia"/>
                <w:color w:val="000000"/>
                <w:szCs w:val="21"/>
              </w:rPr>
              <w:t>1.22</w:t>
            </w:r>
          </w:p>
        </w:tc>
      </w:tr>
      <w:tr>
        <w:tblPrEx>
          <w:tblW w:w="0" w:type="auto"/>
          <w:tblInd w:w="108" w:type="dxa"/>
          <w:tblLayout w:type="fixed"/>
          <w:tblLook w:val="00A0"/>
        </w:tblPrEx>
        <w:tc>
          <w:tcPr>
            <w:vAlign w:val="center"/>
          </w:tcPr>
          <w:p>
            <w:pPr>
              <w:jc w:val="center"/>
            </w:pPr>
            <w:r>
              <w:rPr>
                <w:rFonts w:eastAsiaTheme="minorEastAsia"/>
                <w:color w:val="000000"/>
                <w:szCs w:val="21"/>
              </w:rPr>
              <w:t>22</w:t>
            </w:r>
          </w:p>
        </w:tc>
        <w:tc>
          <w:tcPr>
            <w:vAlign w:val="center"/>
          </w:tcPr>
          <w:p>
            <w:pPr>
              <w:jc w:val="center"/>
            </w:pPr>
            <w:r>
              <w:rPr>
                <w:rFonts w:eastAsiaTheme="minorEastAsia"/>
                <w:color w:val="000000"/>
                <w:szCs w:val="21"/>
              </w:rPr>
              <w:t>132011</w:t>
            </w:r>
          </w:p>
        </w:tc>
        <w:tc>
          <w:tcPr>
            <w:vAlign w:val="center"/>
          </w:tcPr>
          <w:p>
            <w:pPr>
              <w:jc w:val="center"/>
            </w:pPr>
            <w:r>
              <w:rPr>
                <w:rFonts w:eastAsiaTheme="minorEastAsia"/>
                <w:color w:val="000000"/>
                <w:szCs w:val="21"/>
              </w:rPr>
              <w:t>17浙报EB</w:t>
            </w:r>
          </w:p>
        </w:tc>
        <w:tc>
          <w:tcPr>
            <w:vAlign w:val="center"/>
          </w:tcPr>
          <w:p>
            <w:pPr>
              <w:jc w:val="right"/>
            </w:pPr>
            <w:r>
              <w:rPr>
                <w:rFonts w:eastAsiaTheme="minorEastAsia"/>
                <w:color w:val="000000"/>
                <w:szCs w:val="21"/>
              </w:rPr>
              <w:t>1,572,704.00</w:t>
            </w:r>
          </w:p>
        </w:tc>
        <w:tc>
          <w:tcPr>
            <w:vAlign w:val="center"/>
          </w:tcPr>
          <w:p>
            <w:pPr>
              <w:jc w:val="right"/>
            </w:pPr>
            <w:r>
              <w:rPr>
                <w:rFonts w:eastAsiaTheme="minorEastAsia"/>
                <w:color w:val="000000"/>
                <w:szCs w:val="21"/>
              </w:rPr>
              <w:t>2.61</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7.13.5 </w:t>
      </w:r>
      <w:r w:rsidRPr="0045565B">
        <w:rPr>
          <w:rFonts w:eastAsiaTheme="minorEastAsia"/>
          <w:b/>
          <w:bCs/>
          <w:color w:val="000000"/>
          <w:szCs w:val="21"/>
        </w:rPr>
        <w:t>期末前十名股票中存在流通受限情况的说明</w:t>
      </w:r>
    </w:p>
    <w:p w:rsidR="001548F9"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本基金本报告期末前十名股票中不存在流通受限的情况。</w:t>
      </w:r>
    </w:p>
    <w:p w:rsidR="001548F9" w:rsidRPr="0045565B" w:rsidP="006A2FD2">
      <w:pPr>
        <w:spacing w:before="312" w:beforeLines="100" w:line="360" w:lineRule="auto"/>
        <w:rPr>
          <w:rFonts w:eastAsiaTheme="minorEastAsia"/>
          <w:b/>
          <w:color w:val="000000"/>
          <w:szCs w:val="21"/>
        </w:rPr>
      </w:pPr>
      <w:r w:rsidRPr="0045565B">
        <w:rPr>
          <w:rFonts w:eastAsiaTheme="minorEastAsia"/>
          <w:b/>
          <w:color w:val="000000"/>
          <w:szCs w:val="21"/>
        </w:rPr>
        <w:t xml:space="preserve">7.13.6 </w:t>
      </w:r>
      <w:r w:rsidRPr="0045565B">
        <w:rPr>
          <w:rFonts w:eastAsiaTheme="minorEastAsia"/>
          <w:b/>
          <w:color w:val="000000"/>
          <w:szCs w:val="21"/>
        </w:rPr>
        <w:t>投资组合报告附注的其他文字描述部分</w:t>
      </w:r>
    </w:p>
    <w:p w:rsidR="001548F9" w:rsidRPr="0045565B" w:rsidP="00FF3018">
      <w:pPr>
        <w:spacing w:line="360" w:lineRule="auto"/>
        <w:ind w:firstLine="420" w:firstLineChars="200"/>
        <w:rPr>
          <w:rFonts w:eastAsiaTheme="minorEastAsia"/>
          <w:color w:val="000000"/>
          <w:szCs w:val="21"/>
        </w:rPr>
      </w:pPr>
      <w:r w:rsidRPr="0045565B">
        <w:rPr>
          <w:rFonts w:eastAsiaTheme="minorEastAsia"/>
          <w:color w:val="000000"/>
          <w:szCs w:val="21"/>
        </w:rPr>
        <w:t>由于四舍五入的原因，分项之和与合计项之间可能存在尾差。</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68" w:name="_Toc331410111"/>
      <w:bookmarkStart w:id="69" w:name="_Toc225500050"/>
      <w:r w:rsidRPr="0045565B">
        <w:rPr>
          <w:rFonts w:eastAsiaTheme="minorEastAsia"/>
          <w:b/>
          <w:bCs/>
          <w:sz w:val="21"/>
          <w:szCs w:val="21"/>
          <w:lang w:val="en-US"/>
        </w:rPr>
        <w:t xml:space="preserve">8  </w:t>
      </w:r>
      <w:r w:rsidRPr="0045565B">
        <w:rPr>
          <w:rFonts w:eastAsiaTheme="minorEastAsia"/>
          <w:b/>
          <w:bCs/>
          <w:sz w:val="21"/>
          <w:szCs w:val="21"/>
          <w:lang w:val="en-US"/>
        </w:rPr>
        <w:t>基金份额持有人信息</w:t>
      </w:r>
      <w:bookmarkEnd w:id="68"/>
      <w:bookmarkEnd w:id="69"/>
    </w:p>
    <w:p w:rsidR="001548F9" w:rsidRPr="0045565B" w:rsidP="00FF3018">
      <w:pPr>
        <w:pStyle w:val="Heading2"/>
        <w:spacing w:before="0" w:after="0"/>
        <w:rPr>
          <w:rFonts w:ascii="Times New Roman" w:hAnsi="Times New Roman" w:eastAsiaTheme="minorEastAsia"/>
          <w:kern w:val="0"/>
          <w:sz w:val="21"/>
          <w:szCs w:val="21"/>
        </w:rPr>
      </w:pPr>
      <w:bookmarkStart w:id="70" w:name="_Toc331410112"/>
      <w:bookmarkStart w:id="71" w:name="_Toc225500051"/>
      <w:r w:rsidRPr="0045565B">
        <w:rPr>
          <w:rFonts w:ascii="Times New Roman" w:hAnsi="Times New Roman" w:eastAsiaTheme="minorEastAsia"/>
          <w:kern w:val="0"/>
          <w:sz w:val="21"/>
          <w:szCs w:val="21"/>
        </w:rPr>
        <w:t xml:space="preserve">8.1 </w:t>
      </w:r>
      <w:r w:rsidRPr="0045565B">
        <w:rPr>
          <w:rFonts w:ascii="Times New Roman" w:hAnsi="Times New Roman" w:eastAsiaTheme="minorEastAsia"/>
          <w:kern w:val="0"/>
          <w:sz w:val="21"/>
          <w:szCs w:val="21"/>
        </w:rPr>
        <w:t>期末基金份额持有人户数及持有人结构</w:t>
      </w:r>
      <w:bookmarkEnd w:id="70"/>
      <w:bookmarkEnd w:id="71"/>
    </w:p>
    <w:p w:rsidR="00EF53E0" w:rsidRPr="0045565B" w:rsidP="00EF53E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份额单位：份</w:t>
      </w:r>
    </w:p>
    <w:p w:rsidR="00EF53E0" w:rsidRPr="0045565B" w:rsidP="00EF53E0">
      <w:pPr>
        <w:autoSpaceDE w:val="0"/>
        <w:autoSpaceDN w:val="0"/>
        <w:adjustRightInd w:val="0"/>
        <w:spacing w:line="360" w:lineRule="auto"/>
        <w:jc w:val="left"/>
        <w:rPr>
          <w:rFonts w:eastAsiaTheme="minorEastAsia"/>
          <w:color w:val="000000"/>
          <w:szCs w:val="21"/>
        </w:rPr>
      </w:pPr>
    </w:p>
    <w:tbl>
      <w:tblPr>
        <w:tblW w:w="0" w:type="auto"/>
        <w:tblInd w:w="108" w:type="dxa"/>
        <w:tblLook w:val="00A0"/>
      </w:tblPr>
      <w:tblGrid>
        <w:gridCol w:w="1627"/>
        <w:gridCol w:w="1196"/>
        <w:gridCol w:w="1295"/>
        <w:gridCol w:w="1096"/>
        <w:gridCol w:w="1421"/>
        <w:gridCol w:w="1109"/>
        <w:gridCol w:w="1434"/>
      </w:tblGrid>
      <w:tr w:rsidTr="006A2FD2">
        <w:tblPrEx>
          <w:tblW w:w="0" w:type="auto"/>
          <w:tblInd w:w="108" w:type="dxa"/>
          <w:tblLook w:val="00A0"/>
        </w:tblPrEx>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持有人户数</w:t>
            </w:r>
            <w:r w:rsidRPr="0045565B">
              <w:rPr>
                <w:rFonts w:eastAsiaTheme="minorEastAsia"/>
                <w:bCs/>
                <w:color w:val="000000"/>
                <w:szCs w:val="21"/>
              </w:rPr>
              <w:t>(</w:t>
            </w:r>
            <w:r w:rsidRPr="0045565B">
              <w:rPr>
                <w:rFonts w:eastAsiaTheme="minorEastAsia"/>
                <w:bCs/>
                <w:color w:val="000000"/>
                <w:szCs w:val="21"/>
              </w:rPr>
              <w:t>户</w:t>
            </w:r>
            <w:r w:rsidRPr="0045565B">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持有人结构</w:t>
            </w:r>
          </w:p>
        </w:tc>
      </w:tr>
      <w:tr w:rsidTr="006A2FD2">
        <w:tblPrEx>
          <w:tblW w:w="0" w:type="auto"/>
          <w:tblInd w:w="108" w:type="dxa"/>
          <w:tblLook w:val="00A0"/>
        </w:tblPrEx>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个人投资者</w:t>
            </w:r>
          </w:p>
        </w:tc>
      </w:tr>
      <w:tr w:rsidTr="006A2FD2">
        <w:tblPrEx>
          <w:tblW w:w="0" w:type="auto"/>
          <w:tblInd w:w="108" w:type="dxa"/>
          <w:tblLook w:val="00A0"/>
        </w:tblPrEx>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r>
      <w:tr w:rsidTr="006A2FD2">
        <w:tblPrEx>
          <w:tblW w:w="0" w:type="auto"/>
          <w:tblInd w:w="108" w:type="dxa"/>
          <w:tblLook w:val="00A0"/>
        </w:tblPrEx>
        <w:tc>
          <w:tcPr>
            <w:tcW w:w="964" w:type="pct"/>
            <w:tcBorders>
              <w:top w:val="nil"/>
              <w:left w:val="single" w:sz="8" w:space="0" w:color="000000"/>
              <w:bottom w:val="single" w:sz="8" w:space="0" w:color="000000"/>
              <w:right w:val="single" w:sz="8" w:space="0" w:color="000000"/>
            </w:tcBorders>
            <w:vAlign w:val="center"/>
            <w:hideMark/>
          </w:tcPr>
          <w:p w:rsidR="00EF53E0" w:rsidRPr="0045565B" w:rsidP="00131110">
            <w:pPr>
              <w:widowControl/>
              <w:spacing w:line="360" w:lineRule="auto"/>
              <w:jc w:val="center"/>
              <w:rPr>
                <w:rFonts w:eastAsiaTheme="minorEastAsia"/>
                <w:bCs/>
                <w:color w:val="000000"/>
                <w:szCs w:val="21"/>
              </w:rPr>
            </w:pPr>
            <w:r w:rsidRPr="0045565B">
              <w:rPr>
                <w:rFonts w:eastAsiaTheme="minorEastAsia"/>
                <w:bCs/>
                <w:color w:val="000000"/>
                <w:szCs w:val="21"/>
              </w:rPr>
              <w:t>金鹰持久增利债券(LOF)C</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850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62,092.49</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42,362,297.68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80.26%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10,416,315.66</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19.74%</w:t>
            </w:r>
          </w:p>
        </w:tc>
      </w:tr>
      <w:tr w:rsidTr="006A2FD2">
        <w:tblPrEx>
          <w:tblW w:w="0" w:type="auto"/>
          <w:tblInd w:w="108" w:type="dxa"/>
          <w:tblLook w:val="00A0"/>
        </w:tblPrEx>
        <w:tc>
          <w:tcPr>
            <w:tcW w:w="964" w:type="pct"/>
            <w:tcBorders>
              <w:top w:val="nil"/>
              <w:left w:val="single" w:sz="8" w:space="0" w:color="000000"/>
              <w:bottom w:val="single" w:sz="8" w:space="0" w:color="000000"/>
              <w:right w:val="single" w:sz="8" w:space="0" w:color="000000"/>
            </w:tcBorders>
            <w:vAlign w:val="center"/>
            <w:hideMark/>
          </w:tcPr>
          <w:p w:rsidR="00EF53E0" w:rsidRPr="0045565B" w:rsidP="00131110">
            <w:pPr>
              <w:widowControl/>
              <w:spacing w:line="360" w:lineRule="auto"/>
              <w:jc w:val="center"/>
              <w:rPr>
                <w:rFonts w:eastAsiaTheme="minorEastAsia"/>
                <w:bCs/>
                <w:color w:val="000000"/>
                <w:szCs w:val="21"/>
              </w:rPr>
            </w:pPr>
            <w:r w:rsidRPr="0045565B">
              <w:rPr>
                <w:rFonts w:eastAsiaTheme="minorEastAsia"/>
                <w:bCs/>
                <w:color w:val="000000"/>
                <w:szCs w:val="21"/>
              </w:rPr>
              <w:t>金鹰持久增利债券(LOF)E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125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31,272.15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3,058,547.33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78.24%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850,471.94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21.76%</w:t>
            </w:r>
          </w:p>
        </w:tc>
      </w:tr>
      <w:tr w:rsidTr="006A2FD2">
        <w:tblPrEx>
          <w:tblW w:w="0" w:type="auto"/>
          <w:tblInd w:w="108" w:type="dxa"/>
          <w:tblLook w:val="00A0"/>
        </w:tblPrEx>
        <w:tc>
          <w:tcPr>
            <w:tcW w:w="964"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975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58,141.16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45,420,845.01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80.12%</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11,266,787.60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19.88%</w:t>
            </w:r>
          </w:p>
        </w:tc>
      </w:tr>
    </w:tbl>
    <w:p w:rsidR="001548F9" w:rsidRPr="0045565B" w:rsidP="006A2FD2">
      <w:pPr>
        <w:pStyle w:val="Heading2"/>
        <w:spacing w:before="312" w:beforeLines="100" w:after="0"/>
        <w:rPr>
          <w:rFonts w:ascii="Times New Roman" w:hAnsi="Times New Roman" w:eastAsiaTheme="minorEastAsia"/>
          <w:sz w:val="21"/>
          <w:szCs w:val="21"/>
        </w:rPr>
      </w:pPr>
      <w:r w:rsidRPr="0045565B">
        <w:rPr>
          <w:rFonts w:ascii="Times New Roman" w:hAnsi="Times New Roman" w:eastAsiaTheme="minorEastAsia"/>
          <w:kern w:val="0"/>
          <w:sz w:val="21"/>
          <w:szCs w:val="21"/>
        </w:rPr>
        <w:t xml:space="preserve">8.2 </w:t>
      </w:r>
      <w:r w:rsidRPr="0045565B">
        <w:rPr>
          <w:rFonts w:ascii="Times New Roman" w:hAnsi="Times New Roman" w:eastAsiaTheme="minorEastAsia"/>
          <w:sz w:val="21"/>
          <w:szCs w:val="21"/>
        </w:rPr>
        <w:t>期末上市基金前十名持有人</w:t>
      </w:r>
    </w:p>
    <w:p w:rsidR="00E93ADE" w:rsidRPr="0045565B" w:rsidP="006A2FD2">
      <w:pPr>
        <w:spacing w:line="360" w:lineRule="auto"/>
        <w:jc w:val="left"/>
        <w:rPr>
          <w:rFonts w:eastAsiaTheme="minorEastAsia"/>
          <w:szCs w:val="21"/>
        </w:rPr>
      </w:pPr>
      <w:r w:rsidRPr="0045565B">
        <w:rPr>
          <w:rFonts w:eastAsiaTheme="minorEastAsia"/>
          <w:szCs w:val="21"/>
        </w:rPr>
        <w:t>金鹰持久增利债券(LOF)C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2"/>
        <w:gridCol w:w="2340"/>
        <w:gridCol w:w="2071"/>
        <w:gridCol w:w="2737"/>
      </w:tblGrid>
      <w:tr w:rsidTr="006A2FD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02" w:type="dxa"/>
            <w:vAlign w:val="center"/>
          </w:tcPr>
          <w:p w:rsidR="00E93ADE" w:rsidRPr="0045565B" w:rsidP="00131110">
            <w:pPr>
              <w:spacing w:line="360" w:lineRule="auto"/>
              <w:jc w:val="center"/>
              <w:rPr>
                <w:rFonts w:eastAsiaTheme="minorEastAsia"/>
                <w:szCs w:val="21"/>
              </w:rPr>
            </w:pPr>
            <w:r w:rsidRPr="0045565B">
              <w:rPr>
                <w:rFonts w:eastAsiaTheme="minorEastAsia"/>
                <w:szCs w:val="21"/>
              </w:rPr>
              <w:t>序号</w:t>
            </w:r>
          </w:p>
        </w:tc>
        <w:tc>
          <w:tcPr>
            <w:tcW w:w="2340" w:type="dxa"/>
            <w:vAlign w:val="center"/>
          </w:tcPr>
          <w:p w:rsidR="00E93ADE" w:rsidRPr="0045565B" w:rsidP="00131110">
            <w:pPr>
              <w:spacing w:line="360" w:lineRule="auto"/>
              <w:jc w:val="center"/>
              <w:rPr>
                <w:rFonts w:eastAsiaTheme="minorEastAsia"/>
                <w:szCs w:val="21"/>
              </w:rPr>
            </w:pPr>
            <w:r w:rsidRPr="0045565B">
              <w:rPr>
                <w:rFonts w:eastAsiaTheme="minorEastAsia"/>
                <w:szCs w:val="21"/>
              </w:rPr>
              <w:t>持有人名称</w:t>
            </w:r>
          </w:p>
        </w:tc>
        <w:tc>
          <w:tcPr>
            <w:tcW w:w="2071" w:type="dxa"/>
            <w:vAlign w:val="center"/>
          </w:tcPr>
          <w:p w:rsidR="00E93ADE" w:rsidRPr="0045565B" w:rsidP="00131110">
            <w:pPr>
              <w:spacing w:line="360" w:lineRule="auto"/>
              <w:jc w:val="center"/>
              <w:rPr>
                <w:rFonts w:eastAsiaTheme="minorEastAsia"/>
                <w:szCs w:val="21"/>
              </w:rPr>
            </w:pPr>
            <w:r w:rsidRPr="0045565B">
              <w:rPr>
                <w:rFonts w:eastAsiaTheme="minorEastAsia"/>
                <w:szCs w:val="21"/>
              </w:rPr>
              <w:t>持有份额（份）</w:t>
            </w:r>
          </w:p>
        </w:tc>
        <w:tc>
          <w:tcPr>
            <w:tcW w:w="2737" w:type="dxa"/>
            <w:vAlign w:val="center"/>
          </w:tcPr>
          <w:p w:rsidR="00E93ADE" w:rsidRPr="0045565B" w:rsidP="00131110">
            <w:pPr>
              <w:spacing w:line="360" w:lineRule="auto"/>
              <w:jc w:val="center"/>
              <w:rPr>
                <w:rFonts w:eastAsiaTheme="minorEastAsia"/>
                <w:szCs w:val="21"/>
              </w:rPr>
            </w:pPr>
            <w:r w:rsidRPr="0045565B">
              <w:rPr>
                <w:rFonts w:eastAsiaTheme="minorEastAsia"/>
                <w:szCs w:val="21"/>
              </w:rPr>
              <w:t>占上市总份额比例</w:t>
            </w:r>
          </w:p>
        </w:tc>
      </w:tr>
      <w:tr>
        <w:tblPrEx>
          <w:tblW w:w="0" w:type="auto"/>
          <w:tblInd w:w="108" w:type="dxa"/>
          <w:tblLayout w:type="fixed"/>
          <w:tblLook w:val="00A0"/>
        </w:tblPrEx>
        <w:tc>
          <w:tcPr>
            <w:vAlign w:val="center"/>
          </w:tcPr>
          <w:p>
            <w:pPr>
              <w:jc w:val="center"/>
            </w:pPr>
            <w:r>
              <w:rPr>
                <w:rFonts w:eastAsiaTheme="minorEastAsia"/>
                <w:color w:val="000000"/>
                <w:szCs w:val="21"/>
              </w:rPr>
              <w:t>1</w:t>
            </w:r>
          </w:p>
        </w:tc>
        <w:tc>
          <w:tcPr>
            <w:vAlign w:val="center"/>
          </w:tcPr>
          <w:p>
            <w:pPr>
              <w:jc w:val="left"/>
            </w:pPr>
            <w:r>
              <w:rPr>
                <w:rFonts w:eastAsiaTheme="minorEastAsia"/>
                <w:color w:val="000000"/>
                <w:szCs w:val="21"/>
              </w:rPr>
              <w:t>韩舒媛</w:t>
            </w:r>
          </w:p>
        </w:tc>
        <w:tc>
          <w:tcPr>
            <w:vAlign w:val="center"/>
          </w:tcPr>
          <w:p>
            <w:pPr>
              <w:jc w:val="right"/>
            </w:pPr>
            <w:r>
              <w:rPr>
                <w:rFonts w:eastAsiaTheme="minorEastAsia"/>
                <w:color w:val="000000"/>
                <w:szCs w:val="21"/>
              </w:rPr>
              <w:t>103,600.00</w:t>
            </w:r>
          </w:p>
        </w:tc>
        <w:tc>
          <w:tcPr>
            <w:vAlign w:val="center"/>
          </w:tcPr>
          <w:p>
            <w:pPr>
              <w:jc w:val="right"/>
            </w:pPr>
            <w:r>
              <w:rPr>
                <w:rFonts w:eastAsiaTheme="minorEastAsia"/>
                <w:color w:val="000000"/>
                <w:szCs w:val="21"/>
              </w:rPr>
              <w:t>32.46%</w:t>
            </w:r>
          </w:p>
        </w:tc>
      </w:tr>
      <w:tr>
        <w:tblPrEx>
          <w:tblW w:w="0" w:type="auto"/>
          <w:tblInd w:w="108" w:type="dxa"/>
          <w:tblLayout w:type="fixed"/>
          <w:tblLook w:val="00A0"/>
        </w:tblPrEx>
        <w:tc>
          <w:tcPr>
            <w:vAlign w:val="center"/>
          </w:tcPr>
          <w:p>
            <w:pPr>
              <w:jc w:val="center"/>
            </w:pPr>
            <w:r>
              <w:rPr>
                <w:rFonts w:eastAsiaTheme="minorEastAsia"/>
                <w:color w:val="000000"/>
                <w:szCs w:val="21"/>
              </w:rPr>
              <w:t>2</w:t>
            </w:r>
          </w:p>
        </w:tc>
        <w:tc>
          <w:tcPr>
            <w:vAlign w:val="center"/>
          </w:tcPr>
          <w:p>
            <w:pPr>
              <w:jc w:val="left"/>
            </w:pPr>
            <w:r>
              <w:rPr>
                <w:rFonts w:eastAsiaTheme="minorEastAsia"/>
                <w:color w:val="000000"/>
                <w:szCs w:val="21"/>
              </w:rPr>
              <w:t>中铁工程设计咨询集团有限公司企业年金计划－中国工商银行股份有限公司</w:t>
            </w:r>
          </w:p>
        </w:tc>
        <w:tc>
          <w:tcPr>
            <w:vAlign w:val="center"/>
          </w:tcPr>
          <w:p>
            <w:pPr>
              <w:jc w:val="right"/>
            </w:pPr>
            <w:r>
              <w:rPr>
                <w:rFonts w:eastAsiaTheme="minorEastAsia"/>
                <w:color w:val="000000"/>
                <w:szCs w:val="21"/>
              </w:rPr>
              <w:t>71,951.00</w:t>
            </w:r>
          </w:p>
        </w:tc>
        <w:tc>
          <w:tcPr>
            <w:vAlign w:val="center"/>
          </w:tcPr>
          <w:p>
            <w:pPr>
              <w:jc w:val="right"/>
            </w:pPr>
            <w:r>
              <w:rPr>
                <w:rFonts w:eastAsiaTheme="minorEastAsia"/>
                <w:color w:val="000000"/>
                <w:szCs w:val="21"/>
              </w:rPr>
              <w:t>22.54%</w:t>
            </w:r>
          </w:p>
        </w:tc>
      </w:tr>
      <w:tr>
        <w:tblPrEx>
          <w:tblW w:w="0" w:type="auto"/>
          <w:tblInd w:w="108" w:type="dxa"/>
          <w:tblLayout w:type="fixed"/>
          <w:tblLook w:val="00A0"/>
        </w:tblPrEx>
        <w:tc>
          <w:tcPr>
            <w:vAlign w:val="center"/>
          </w:tcPr>
          <w:p>
            <w:pPr>
              <w:jc w:val="center"/>
            </w:pPr>
            <w:r>
              <w:rPr>
                <w:rFonts w:eastAsiaTheme="minorEastAsia"/>
                <w:color w:val="000000"/>
                <w:szCs w:val="21"/>
              </w:rPr>
              <w:t>3</w:t>
            </w:r>
          </w:p>
        </w:tc>
        <w:tc>
          <w:tcPr>
            <w:vAlign w:val="center"/>
          </w:tcPr>
          <w:p>
            <w:pPr>
              <w:jc w:val="left"/>
            </w:pPr>
            <w:r>
              <w:rPr>
                <w:rFonts w:eastAsiaTheme="minorEastAsia"/>
                <w:color w:val="000000"/>
                <w:szCs w:val="21"/>
              </w:rPr>
              <w:t>中铁二院工程集团有限责任公司企业年金计划－中国工商银行股份有限公司</w:t>
            </w:r>
          </w:p>
        </w:tc>
        <w:tc>
          <w:tcPr>
            <w:vAlign w:val="center"/>
          </w:tcPr>
          <w:p>
            <w:pPr>
              <w:jc w:val="right"/>
            </w:pPr>
            <w:r>
              <w:rPr>
                <w:rFonts w:eastAsiaTheme="minorEastAsia"/>
                <w:color w:val="000000"/>
                <w:szCs w:val="21"/>
              </w:rPr>
              <w:t>46,931.00</w:t>
            </w:r>
          </w:p>
        </w:tc>
        <w:tc>
          <w:tcPr>
            <w:vAlign w:val="center"/>
          </w:tcPr>
          <w:p>
            <w:pPr>
              <w:jc w:val="right"/>
            </w:pPr>
            <w:r>
              <w:rPr>
                <w:rFonts w:eastAsiaTheme="minorEastAsia"/>
                <w:color w:val="000000"/>
                <w:szCs w:val="21"/>
              </w:rPr>
              <w:t>14.70%</w:t>
            </w:r>
          </w:p>
        </w:tc>
      </w:tr>
      <w:tr>
        <w:tblPrEx>
          <w:tblW w:w="0" w:type="auto"/>
          <w:tblInd w:w="108" w:type="dxa"/>
          <w:tblLayout w:type="fixed"/>
          <w:tblLook w:val="00A0"/>
        </w:tblPrEx>
        <w:tc>
          <w:tcPr>
            <w:vAlign w:val="center"/>
          </w:tcPr>
          <w:p>
            <w:pPr>
              <w:jc w:val="center"/>
            </w:pPr>
            <w:r>
              <w:rPr>
                <w:rFonts w:eastAsiaTheme="minorEastAsia"/>
                <w:color w:val="000000"/>
                <w:szCs w:val="21"/>
              </w:rPr>
              <w:t>4</w:t>
            </w:r>
          </w:p>
        </w:tc>
        <w:tc>
          <w:tcPr>
            <w:vAlign w:val="center"/>
          </w:tcPr>
          <w:p>
            <w:pPr>
              <w:jc w:val="left"/>
            </w:pPr>
            <w:r>
              <w:rPr>
                <w:rFonts w:eastAsiaTheme="minorEastAsia"/>
                <w:color w:val="000000"/>
                <w:szCs w:val="21"/>
              </w:rPr>
              <w:t>张志赟</w:t>
            </w:r>
          </w:p>
        </w:tc>
        <w:tc>
          <w:tcPr>
            <w:vAlign w:val="center"/>
          </w:tcPr>
          <w:p>
            <w:pPr>
              <w:jc w:val="right"/>
            </w:pPr>
            <w:r>
              <w:rPr>
                <w:rFonts w:eastAsiaTheme="minorEastAsia"/>
                <w:color w:val="000000"/>
                <w:szCs w:val="21"/>
              </w:rPr>
              <w:t>21,000.00</w:t>
            </w:r>
          </w:p>
        </w:tc>
        <w:tc>
          <w:tcPr>
            <w:vAlign w:val="center"/>
          </w:tcPr>
          <w:p>
            <w:pPr>
              <w:jc w:val="right"/>
            </w:pPr>
            <w:r>
              <w:rPr>
                <w:rFonts w:eastAsiaTheme="minorEastAsia"/>
                <w:color w:val="000000"/>
                <w:szCs w:val="21"/>
              </w:rPr>
              <w:t>6.58%</w:t>
            </w:r>
          </w:p>
        </w:tc>
      </w:tr>
      <w:tr>
        <w:tblPrEx>
          <w:tblW w:w="0" w:type="auto"/>
          <w:tblInd w:w="108" w:type="dxa"/>
          <w:tblLayout w:type="fixed"/>
          <w:tblLook w:val="00A0"/>
        </w:tblPrEx>
        <w:tc>
          <w:tcPr>
            <w:vAlign w:val="center"/>
          </w:tcPr>
          <w:p>
            <w:pPr>
              <w:jc w:val="center"/>
            </w:pPr>
            <w:r>
              <w:rPr>
                <w:rFonts w:eastAsiaTheme="minorEastAsia"/>
                <w:color w:val="000000"/>
                <w:szCs w:val="21"/>
              </w:rPr>
              <w:t>5</w:t>
            </w:r>
          </w:p>
        </w:tc>
        <w:tc>
          <w:tcPr>
            <w:vAlign w:val="center"/>
          </w:tcPr>
          <w:p>
            <w:pPr>
              <w:jc w:val="left"/>
            </w:pPr>
            <w:r>
              <w:rPr>
                <w:rFonts w:eastAsiaTheme="minorEastAsia"/>
                <w:color w:val="000000"/>
                <w:szCs w:val="21"/>
              </w:rPr>
              <w:t>金挺</w:t>
            </w:r>
          </w:p>
        </w:tc>
        <w:tc>
          <w:tcPr>
            <w:vAlign w:val="center"/>
          </w:tcPr>
          <w:p>
            <w:pPr>
              <w:jc w:val="right"/>
            </w:pPr>
            <w:r>
              <w:rPr>
                <w:rFonts w:eastAsiaTheme="minorEastAsia"/>
                <w:color w:val="000000"/>
                <w:szCs w:val="21"/>
              </w:rPr>
              <w:t>20,999.00</w:t>
            </w:r>
          </w:p>
        </w:tc>
        <w:tc>
          <w:tcPr>
            <w:vAlign w:val="center"/>
          </w:tcPr>
          <w:p>
            <w:pPr>
              <w:jc w:val="right"/>
            </w:pPr>
            <w:r>
              <w:rPr>
                <w:rFonts w:eastAsiaTheme="minorEastAsia"/>
                <w:color w:val="000000"/>
                <w:szCs w:val="21"/>
              </w:rPr>
              <w:t>6.58%</w:t>
            </w:r>
          </w:p>
        </w:tc>
      </w:tr>
      <w:tr>
        <w:tblPrEx>
          <w:tblW w:w="0" w:type="auto"/>
          <w:tblInd w:w="108" w:type="dxa"/>
          <w:tblLayout w:type="fixed"/>
          <w:tblLook w:val="00A0"/>
        </w:tblPrEx>
        <w:tc>
          <w:tcPr>
            <w:vAlign w:val="center"/>
          </w:tcPr>
          <w:p>
            <w:pPr>
              <w:jc w:val="center"/>
            </w:pPr>
            <w:r>
              <w:rPr>
                <w:rFonts w:eastAsiaTheme="minorEastAsia"/>
                <w:color w:val="000000"/>
                <w:szCs w:val="21"/>
              </w:rPr>
              <w:t>6</w:t>
            </w:r>
          </w:p>
        </w:tc>
        <w:tc>
          <w:tcPr>
            <w:vAlign w:val="center"/>
          </w:tcPr>
          <w:p>
            <w:pPr>
              <w:jc w:val="left"/>
            </w:pPr>
            <w:r>
              <w:rPr>
                <w:rFonts w:eastAsiaTheme="minorEastAsia"/>
                <w:color w:val="000000"/>
                <w:szCs w:val="21"/>
              </w:rPr>
              <w:t>钱中明</w:t>
            </w:r>
          </w:p>
        </w:tc>
        <w:tc>
          <w:tcPr>
            <w:vAlign w:val="center"/>
          </w:tcPr>
          <w:p>
            <w:pPr>
              <w:jc w:val="right"/>
            </w:pPr>
            <w:r>
              <w:rPr>
                <w:rFonts w:eastAsiaTheme="minorEastAsia"/>
                <w:color w:val="000000"/>
                <w:szCs w:val="21"/>
              </w:rPr>
              <w:t>10,968.00</w:t>
            </w:r>
          </w:p>
        </w:tc>
        <w:tc>
          <w:tcPr>
            <w:vAlign w:val="center"/>
          </w:tcPr>
          <w:p>
            <w:pPr>
              <w:jc w:val="right"/>
            </w:pPr>
            <w:r>
              <w:rPr>
                <w:rFonts w:eastAsiaTheme="minorEastAsia"/>
                <w:color w:val="000000"/>
                <w:szCs w:val="21"/>
              </w:rPr>
              <w:t>3.44%</w:t>
            </w:r>
          </w:p>
        </w:tc>
      </w:tr>
      <w:tr>
        <w:tblPrEx>
          <w:tblW w:w="0" w:type="auto"/>
          <w:tblInd w:w="108" w:type="dxa"/>
          <w:tblLayout w:type="fixed"/>
          <w:tblLook w:val="00A0"/>
        </w:tblPrEx>
        <w:tc>
          <w:tcPr>
            <w:vAlign w:val="center"/>
          </w:tcPr>
          <w:p>
            <w:pPr>
              <w:jc w:val="center"/>
            </w:pPr>
            <w:r>
              <w:rPr>
                <w:rFonts w:eastAsiaTheme="minorEastAsia"/>
                <w:color w:val="000000"/>
                <w:szCs w:val="21"/>
              </w:rPr>
              <w:t>7</w:t>
            </w:r>
          </w:p>
        </w:tc>
        <w:tc>
          <w:tcPr>
            <w:vAlign w:val="center"/>
          </w:tcPr>
          <w:p>
            <w:pPr>
              <w:jc w:val="left"/>
            </w:pPr>
            <w:r>
              <w:rPr>
                <w:rFonts w:eastAsiaTheme="minorEastAsia"/>
                <w:color w:val="000000"/>
                <w:szCs w:val="21"/>
              </w:rPr>
              <w:t>胡琼娜</w:t>
            </w:r>
          </w:p>
        </w:tc>
        <w:tc>
          <w:tcPr>
            <w:vAlign w:val="center"/>
          </w:tcPr>
          <w:p>
            <w:pPr>
              <w:jc w:val="right"/>
            </w:pPr>
            <w:r>
              <w:rPr>
                <w:rFonts w:eastAsiaTheme="minorEastAsia"/>
                <w:color w:val="000000"/>
                <w:szCs w:val="21"/>
              </w:rPr>
              <w:t>6,482.00</w:t>
            </w:r>
          </w:p>
        </w:tc>
        <w:tc>
          <w:tcPr>
            <w:vAlign w:val="center"/>
          </w:tcPr>
          <w:p>
            <w:pPr>
              <w:jc w:val="right"/>
            </w:pPr>
            <w:r>
              <w:rPr>
                <w:rFonts w:eastAsiaTheme="minorEastAsia"/>
                <w:color w:val="000000"/>
                <w:szCs w:val="21"/>
              </w:rPr>
              <w:t>2.03%</w:t>
            </w:r>
          </w:p>
        </w:tc>
      </w:tr>
      <w:tr>
        <w:tblPrEx>
          <w:tblW w:w="0" w:type="auto"/>
          <w:tblInd w:w="108" w:type="dxa"/>
          <w:tblLayout w:type="fixed"/>
          <w:tblLook w:val="00A0"/>
        </w:tblPrEx>
        <w:tc>
          <w:tcPr>
            <w:vAlign w:val="center"/>
          </w:tcPr>
          <w:p>
            <w:pPr>
              <w:jc w:val="center"/>
            </w:pPr>
            <w:r>
              <w:rPr>
                <w:rFonts w:eastAsiaTheme="minorEastAsia"/>
                <w:color w:val="000000"/>
                <w:szCs w:val="21"/>
              </w:rPr>
              <w:t>8</w:t>
            </w:r>
          </w:p>
        </w:tc>
        <w:tc>
          <w:tcPr>
            <w:vAlign w:val="center"/>
          </w:tcPr>
          <w:p>
            <w:pPr>
              <w:jc w:val="left"/>
            </w:pPr>
            <w:r>
              <w:rPr>
                <w:rFonts w:eastAsiaTheme="minorEastAsia"/>
                <w:color w:val="000000"/>
                <w:szCs w:val="21"/>
              </w:rPr>
              <w:t>陈家璈</w:t>
            </w:r>
          </w:p>
        </w:tc>
        <w:tc>
          <w:tcPr>
            <w:vAlign w:val="center"/>
          </w:tcPr>
          <w:p>
            <w:pPr>
              <w:jc w:val="right"/>
            </w:pPr>
            <w:r>
              <w:rPr>
                <w:rFonts w:eastAsiaTheme="minorEastAsia"/>
                <w:color w:val="000000"/>
                <w:szCs w:val="21"/>
              </w:rPr>
              <w:t>5,000.00</w:t>
            </w:r>
          </w:p>
        </w:tc>
        <w:tc>
          <w:tcPr>
            <w:vAlign w:val="center"/>
          </w:tcPr>
          <w:p>
            <w:pPr>
              <w:jc w:val="right"/>
            </w:pPr>
            <w:r>
              <w:rPr>
                <w:rFonts w:eastAsiaTheme="minorEastAsia"/>
                <w:color w:val="000000"/>
                <w:szCs w:val="21"/>
              </w:rPr>
              <w:t>1.57%</w:t>
            </w:r>
          </w:p>
        </w:tc>
      </w:tr>
      <w:tr>
        <w:tblPrEx>
          <w:tblW w:w="0" w:type="auto"/>
          <w:tblInd w:w="108" w:type="dxa"/>
          <w:tblLayout w:type="fixed"/>
          <w:tblLook w:val="00A0"/>
        </w:tblPrEx>
        <w:tc>
          <w:tcPr>
            <w:vAlign w:val="center"/>
          </w:tcPr>
          <w:p>
            <w:pPr>
              <w:jc w:val="center"/>
            </w:pPr>
            <w:r>
              <w:rPr>
                <w:rFonts w:eastAsiaTheme="minorEastAsia"/>
                <w:color w:val="000000"/>
                <w:szCs w:val="21"/>
              </w:rPr>
              <w:t>9</w:t>
            </w:r>
          </w:p>
        </w:tc>
        <w:tc>
          <w:tcPr>
            <w:vAlign w:val="center"/>
          </w:tcPr>
          <w:p>
            <w:pPr>
              <w:jc w:val="left"/>
            </w:pPr>
            <w:r>
              <w:rPr>
                <w:rFonts w:eastAsiaTheme="minorEastAsia"/>
                <w:color w:val="000000"/>
                <w:szCs w:val="21"/>
              </w:rPr>
              <w:t>陈旭文</w:t>
            </w:r>
          </w:p>
        </w:tc>
        <w:tc>
          <w:tcPr>
            <w:vAlign w:val="center"/>
          </w:tcPr>
          <w:p>
            <w:pPr>
              <w:jc w:val="right"/>
            </w:pPr>
            <w:r>
              <w:rPr>
                <w:rFonts w:eastAsiaTheme="minorEastAsia"/>
                <w:color w:val="000000"/>
                <w:szCs w:val="21"/>
              </w:rPr>
              <w:t>4,382.00</w:t>
            </w:r>
          </w:p>
        </w:tc>
        <w:tc>
          <w:tcPr>
            <w:vAlign w:val="center"/>
          </w:tcPr>
          <w:p>
            <w:pPr>
              <w:jc w:val="right"/>
            </w:pPr>
            <w:r>
              <w:rPr>
                <w:rFonts w:eastAsiaTheme="minorEastAsia"/>
                <w:color w:val="000000"/>
                <w:szCs w:val="21"/>
              </w:rPr>
              <w:t>1.37%</w:t>
            </w:r>
          </w:p>
        </w:tc>
      </w:tr>
      <w:tr>
        <w:tblPrEx>
          <w:tblW w:w="0" w:type="auto"/>
          <w:tblInd w:w="108" w:type="dxa"/>
          <w:tblLayout w:type="fixed"/>
          <w:tblLook w:val="00A0"/>
        </w:tblPrEx>
        <w:tc>
          <w:tcPr>
            <w:vAlign w:val="center"/>
          </w:tcPr>
          <w:p>
            <w:pPr>
              <w:jc w:val="center"/>
            </w:pPr>
            <w:r>
              <w:rPr>
                <w:rFonts w:eastAsiaTheme="minorEastAsia"/>
                <w:color w:val="000000"/>
                <w:szCs w:val="21"/>
              </w:rPr>
              <w:t>10</w:t>
            </w:r>
          </w:p>
        </w:tc>
        <w:tc>
          <w:tcPr>
            <w:vAlign w:val="center"/>
          </w:tcPr>
          <w:p>
            <w:pPr>
              <w:jc w:val="left"/>
            </w:pPr>
            <w:r>
              <w:rPr>
                <w:rFonts w:eastAsiaTheme="minorEastAsia"/>
                <w:color w:val="000000"/>
                <w:szCs w:val="21"/>
              </w:rPr>
              <w:t>朱健</w:t>
            </w:r>
          </w:p>
        </w:tc>
        <w:tc>
          <w:tcPr>
            <w:vAlign w:val="center"/>
          </w:tcPr>
          <w:p>
            <w:pPr>
              <w:jc w:val="right"/>
            </w:pPr>
            <w:r>
              <w:rPr>
                <w:rFonts w:eastAsiaTheme="minorEastAsia"/>
                <w:color w:val="000000"/>
                <w:szCs w:val="21"/>
              </w:rPr>
              <w:t>4,099.00</w:t>
            </w:r>
          </w:p>
        </w:tc>
        <w:tc>
          <w:tcPr>
            <w:vAlign w:val="center"/>
          </w:tcPr>
          <w:p>
            <w:pPr>
              <w:jc w:val="right"/>
            </w:pPr>
            <w:r>
              <w:rPr>
                <w:rFonts w:eastAsiaTheme="minorEastAsia"/>
                <w:color w:val="000000"/>
                <w:szCs w:val="21"/>
              </w:rPr>
              <w:t>1.28%</w:t>
            </w:r>
          </w:p>
        </w:tc>
      </w:tr>
    </w:tbl>
    <w:p w:rsidR="00E93ADE" w:rsidRPr="0045565B" w:rsidP="006A2FD2">
      <w:pPr>
        <w:autoSpaceDE w:val="0"/>
        <w:autoSpaceDN w:val="0"/>
        <w:adjustRightInd w:val="0"/>
        <w:spacing w:before="29" w:line="360" w:lineRule="auto"/>
        <w:ind w:right="210"/>
        <w:rPr>
          <w:rFonts w:eastAsiaTheme="minorEastAsia"/>
          <w:color w:val="000000"/>
          <w:szCs w:val="21"/>
        </w:rPr>
      </w:pPr>
      <w:r w:rsidRPr="0045565B">
        <w:rPr>
          <w:rFonts w:eastAsiaTheme="minorEastAsia"/>
          <w:szCs w:val="21"/>
        </w:rPr>
        <w:t>金鹰持久增利债券(LOF)E</w:t>
      </w:r>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color w:val="000000"/>
          <w:szCs w:val="21"/>
        </w:rPr>
        <w:t>金鹰持久增利债券E类份额为非上市交易份额。</w:t>
      </w:r>
    </w:p>
    <w:p w:rsidR="001548F9" w:rsidRPr="0045565B" w:rsidP="006A2FD2">
      <w:pPr>
        <w:pStyle w:val="Heading2"/>
        <w:spacing w:before="312" w:beforeLines="100" w:after="0"/>
        <w:rPr>
          <w:rFonts w:ascii="Times New Roman" w:hAnsi="Times New Roman" w:eastAsiaTheme="minorEastAsia"/>
          <w:kern w:val="0"/>
          <w:sz w:val="21"/>
          <w:szCs w:val="21"/>
        </w:rPr>
      </w:pPr>
      <w:bookmarkStart w:id="72" w:name="_Toc331410113"/>
      <w:r w:rsidRPr="0045565B">
        <w:rPr>
          <w:rFonts w:ascii="Times New Roman" w:hAnsi="Times New Roman" w:eastAsiaTheme="minorEastAsia"/>
          <w:kern w:val="0"/>
          <w:sz w:val="21"/>
          <w:szCs w:val="21"/>
        </w:rPr>
        <w:t xml:space="preserve">8.3 </w:t>
      </w:r>
      <w:r w:rsidRPr="0045565B">
        <w:rPr>
          <w:rFonts w:ascii="Times New Roman" w:hAnsi="Times New Roman" w:eastAsiaTheme="minorEastAsia"/>
          <w:kern w:val="0"/>
          <w:sz w:val="21"/>
          <w:szCs w:val="21"/>
        </w:rPr>
        <w:t>期末基金管理人的从业人员持有本基金的情况</w:t>
      </w:r>
      <w:bookmarkEnd w:id="72"/>
    </w:p>
    <w:tbl>
      <w:tblPr>
        <w:tblStyle w:val="TableGrid"/>
        <w:tblW w:w="0" w:type="auto"/>
        <w:tblInd w:w="108" w:type="dxa"/>
        <w:tblLayout w:type="fixed"/>
        <w:tblLook w:val="04A0"/>
      </w:tblPr>
      <w:tblGrid>
        <w:gridCol w:w="2321"/>
        <w:gridCol w:w="2321"/>
        <w:gridCol w:w="2322"/>
        <w:gridCol w:w="2322"/>
      </w:tblGrid>
      <w:tr w:rsidTr="006A2FD2">
        <w:tblPrEx>
          <w:tblW w:w="0" w:type="auto"/>
          <w:tblInd w:w="108" w:type="dxa"/>
          <w:tblLayout w:type="fixed"/>
          <w:tblLook w:val="04A0"/>
        </w:tblPrEx>
        <w:tc>
          <w:tcPr>
            <w:tcW w:w="2321"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项目</w:t>
            </w:r>
          </w:p>
        </w:tc>
        <w:tc>
          <w:tcPr>
            <w:tcW w:w="2321" w:type="dxa"/>
            <w:vAlign w:val="center"/>
          </w:tcPr>
          <w:p w:rsidR="00B621D7" w:rsidRPr="0045565B" w:rsidP="00550CCE">
            <w:pPr>
              <w:pStyle w:val="NormalIndent"/>
              <w:ind w:firstLine="0" w:firstLineChars="0"/>
              <w:jc w:val="center"/>
              <w:rPr>
                <w:rFonts w:eastAsiaTheme="minorEastAsia"/>
                <w:szCs w:val="21"/>
              </w:rPr>
            </w:pPr>
            <w:r w:rsidRPr="0045565B">
              <w:rPr>
                <w:rFonts w:eastAsiaTheme="minorEastAsia"/>
                <w:szCs w:val="21"/>
              </w:rPr>
              <w:t>份额级别</w:t>
            </w:r>
          </w:p>
        </w:tc>
        <w:tc>
          <w:tcPr>
            <w:tcW w:w="2322"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持有份额总数（份）</w:t>
            </w:r>
          </w:p>
        </w:tc>
        <w:tc>
          <w:tcPr>
            <w:tcW w:w="2322"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占基金总份额比例</w:t>
            </w:r>
          </w:p>
        </w:tc>
      </w:tr>
      <w:tr w:rsidTr="006A2FD2">
        <w:tblPrEx>
          <w:tblW w:w="0" w:type="auto"/>
          <w:tblInd w:w="108" w:type="dxa"/>
          <w:tblLayout w:type="fixed"/>
          <w:tblLook w:val="04A0"/>
        </w:tblPrEx>
        <w:tc>
          <w:tcPr>
            <w:tcW w:w="2321" w:type="dxa"/>
            <w:vMerge w:val="restart"/>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color w:val="000000"/>
                <w:szCs w:val="21"/>
              </w:rPr>
              <w:t>基金管理人</w:t>
            </w:r>
            <w:r w:rsidRPr="0045565B">
              <w:rPr>
                <w:rFonts w:eastAsiaTheme="minorEastAsia"/>
                <w:color w:val="000000"/>
                <w:szCs w:val="21"/>
              </w:rPr>
              <w:t>所有从业人员持有本基金</w:t>
            </w:r>
          </w:p>
        </w:tc>
        <w:tc>
          <w:tcPr>
            <w:tcW w:w="2321" w:type="dxa"/>
            <w:vAlign w:val="center"/>
          </w:tcPr>
          <w:p w:rsidR="00B621D7" w:rsidRPr="0045565B" w:rsidP="00550CCE">
            <w:pPr>
              <w:jc w:val="right"/>
              <w:rPr>
                <w:rFonts w:eastAsiaTheme="minorEastAsia"/>
                <w:color w:val="000000"/>
                <w:kern w:val="0"/>
                <w:szCs w:val="21"/>
              </w:rPr>
            </w:pPr>
            <w:r w:rsidRPr="0045565B">
              <w:rPr>
                <w:rFonts w:eastAsiaTheme="minorEastAsia"/>
                <w:szCs w:val="21"/>
              </w:rPr>
              <w:t>金鹰持久增利债券(LOF)C</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9.32</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0.00%</w:t>
            </w:r>
          </w:p>
        </w:tc>
      </w:tr>
      <w:tr w:rsidTr="006A2FD2">
        <w:tblPrEx>
          <w:tblW w:w="0" w:type="auto"/>
          <w:tblInd w:w="108" w:type="dxa"/>
          <w:tblLayout w:type="fixed"/>
          <w:tblLook w:val="04A0"/>
        </w:tblPrEx>
        <w:tc>
          <w:tcPr>
            <w:tcW w:w="2321" w:type="dxa"/>
            <w:vMerge/>
          </w:tcPr>
          <w:p w:rsidR="00B621D7" w:rsidRPr="0045565B" w:rsidP="005D2F95">
            <w:pPr>
              <w:pStyle w:val="NormalIndent"/>
              <w:ind w:firstLine="0" w:firstLineChars="0"/>
              <w:rPr>
                <w:rFonts w:eastAsiaTheme="minorEastAsia"/>
                <w:szCs w:val="21"/>
              </w:rPr>
            </w:pPr>
          </w:p>
        </w:tc>
        <w:tc>
          <w:tcPr>
            <w:tcW w:w="2321" w:type="dxa"/>
            <w:vAlign w:val="center"/>
          </w:tcPr>
          <w:p w:rsidR="00B621D7" w:rsidRPr="0045565B" w:rsidP="00550CCE">
            <w:pPr>
              <w:jc w:val="right"/>
              <w:rPr>
                <w:rFonts w:eastAsiaTheme="minorEastAsia"/>
                <w:color w:val="000000"/>
                <w:kern w:val="0"/>
                <w:szCs w:val="21"/>
              </w:rPr>
            </w:pPr>
            <w:r w:rsidRPr="0045565B">
              <w:rPr>
                <w:rFonts w:eastAsiaTheme="minorEastAsia"/>
                <w:szCs w:val="21"/>
              </w:rPr>
              <w:t>金鹰持久增利债券(LOF)E</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9.20</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0.00%</w:t>
            </w:r>
          </w:p>
        </w:tc>
      </w:tr>
      <w:tr w:rsidTr="006A2FD2">
        <w:tblPrEx>
          <w:tblW w:w="0" w:type="auto"/>
          <w:tblInd w:w="108" w:type="dxa"/>
          <w:tblLayout w:type="fixed"/>
          <w:tblLook w:val="04A0"/>
        </w:tblPrEx>
        <w:tc>
          <w:tcPr>
            <w:tcW w:w="2321" w:type="dxa"/>
            <w:vMerge/>
          </w:tcPr>
          <w:p w:rsidR="00B621D7" w:rsidRPr="0045565B" w:rsidP="005D2F95">
            <w:pPr>
              <w:pStyle w:val="NormalIndent"/>
              <w:ind w:firstLine="0" w:firstLineChars="0"/>
              <w:rPr>
                <w:rFonts w:eastAsiaTheme="minorEastAsia"/>
                <w:szCs w:val="21"/>
              </w:rPr>
            </w:pPr>
          </w:p>
        </w:tc>
        <w:tc>
          <w:tcPr>
            <w:tcW w:w="2321" w:type="dxa"/>
            <w:vAlign w:val="center"/>
          </w:tcPr>
          <w:p w:rsidR="00B621D7" w:rsidRPr="0045565B" w:rsidP="00B621D7">
            <w:pPr>
              <w:widowControl/>
              <w:jc w:val="center"/>
              <w:rPr>
                <w:rFonts w:eastAsiaTheme="minorEastAsia"/>
                <w:color w:val="000000"/>
                <w:kern w:val="0"/>
                <w:szCs w:val="21"/>
              </w:rPr>
            </w:pPr>
            <w:r w:rsidRPr="0045565B">
              <w:rPr>
                <w:rFonts w:eastAsiaTheme="minorEastAsia"/>
                <w:color w:val="000000"/>
                <w:kern w:val="0"/>
                <w:szCs w:val="21"/>
              </w:rPr>
              <w:t>合计</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18.52</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0.00%</w:t>
            </w:r>
          </w:p>
        </w:tc>
      </w:tr>
    </w:tbl>
    <w:p w:rsidR="008D25A7" w:rsidRPr="0045565B" w:rsidP="006A2FD2">
      <w:pPr>
        <w:pStyle w:val="Heading2"/>
        <w:spacing w:before="312" w:beforeLines="100" w:after="0" w:line="240" w:lineRule="auto"/>
        <w:rPr>
          <w:rFonts w:ascii="Times New Roman" w:hAnsi="Times New Roman" w:eastAsiaTheme="minorEastAsia"/>
          <w:sz w:val="21"/>
          <w:szCs w:val="21"/>
        </w:rPr>
      </w:pPr>
      <w:r w:rsidRPr="0045565B">
        <w:rPr>
          <w:rFonts w:ascii="Times New Roman" w:hAnsi="Times New Roman" w:eastAsiaTheme="minorEastAsia"/>
          <w:kern w:val="0"/>
          <w:sz w:val="21"/>
          <w:szCs w:val="21"/>
        </w:rPr>
        <w:t>8.4</w:t>
      </w:r>
      <w:r w:rsidRPr="0045565B">
        <w:rPr>
          <w:rFonts w:ascii="Times New Roman" w:hAnsi="Times New Roman" w:eastAsiaTheme="minorEastAsia"/>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Tr="006A2FD2">
        <w:tblPrEx>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rPr>
          <w:trHeight w:val="285"/>
        </w:trPr>
        <w:tc>
          <w:tcPr>
            <w:tcW w:w="2548"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持有基金份额总量的数量区间（万份）</w:t>
            </w:r>
          </w:p>
        </w:tc>
      </w:tr>
      <w:tr w:rsidTr="006A2FD2">
        <w:tblPrEx>
          <w:tblW w:w="0" w:type="auto"/>
          <w:tblInd w:w="108" w:type="dxa"/>
          <w:tblLayout w:type="fixed"/>
          <w:tblCellMar>
            <w:left w:w="0" w:type="dxa"/>
            <w:right w:w="0" w:type="dxa"/>
          </w:tblCellMar>
          <w:tblLook w:val="04A0"/>
        </w:tblPrEx>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P="004B3136">
            <w:pPr>
              <w:widowControl/>
              <w:jc w:val="left"/>
              <w:rPr>
                <w:rFonts w:eastAsiaTheme="minorEastAsia"/>
                <w:kern w:val="0"/>
                <w:szCs w:val="21"/>
              </w:rPr>
            </w:pPr>
            <w:r w:rsidRPr="0045565B">
              <w:rPr>
                <w:rFonts w:eastAsiaTheme="minorEastAsia"/>
                <w:kern w:val="0"/>
                <w:szCs w:val="21"/>
              </w:rPr>
              <w:t>本公司高级管理人员、基</w:t>
            </w:r>
            <w:r w:rsidRPr="0045565B">
              <w:rPr>
                <w:rFonts w:eastAsiaTheme="minorEastAsia"/>
                <w:kern w:val="0"/>
                <w:szCs w:val="21"/>
              </w:rPr>
              <w:t>金投资和研究部门负责人</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金鹰持久增利债券(LOF)C</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金鹰持久增利债券(LOF)E</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P="004B3136">
            <w:pPr>
              <w:widowControl/>
              <w:jc w:val="left"/>
              <w:rPr>
                <w:rFonts w:eastAsiaTheme="minorEastAsia"/>
                <w:kern w:val="0"/>
                <w:szCs w:val="21"/>
              </w:rPr>
            </w:pPr>
            <w:r w:rsidRPr="0045565B">
              <w:rPr>
                <w:rFonts w:eastAsiaTheme="minorEastAsia"/>
                <w:kern w:val="0"/>
                <w:szCs w:val="21"/>
              </w:rPr>
              <w:t>本基金基金经理</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金鹰持久增利债券(LOF)C</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52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金鹰持久增利债券(LOF)E</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653"/>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bl>
    <w:p w:rsidR="00705EC3"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8.5</w:t>
      </w:r>
      <w:r w:rsidRPr="0045565B">
        <w:rPr>
          <w:rFonts w:ascii="Times New Roman" w:hAnsi="Times New Roman" w:eastAsiaTheme="minorEastAsia"/>
          <w:kern w:val="0"/>
          <w:sz w:val="21"/>
          <w:szCs w:val="21"/>
        </w:rPr>
        <w:t>发起式基金发起资金持有份额情况</w:t>
      </w:r>
    </w:p>
    <w:p w:rsidR="00705EC3"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本基金非发起式基金。</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73" w:name="_Toc331410115"/>
      <w:bookmarkStart w:id="74" w:name="_Toc225500053"/>
      <w:r w:rsidRPr="0045565B">
        <w:rPr>
          <w:rFonts w:eastAsiaTheme="minorEastAsia"/>
          <w:b/>
          <w:bCs/>
          <w:sz w:val="21"/>
          <w:szCs w:val="21"/>
          <w:lang w:val="en-US"/>
        </w:rPr>
        <w:t>9</w:t>
      </w:r>
      <w:r w:rsidRPr="0045565B" w:rsidR="00131110">
        <w:rPr>
          <w:rFonts w:eastAsiaTheme="minorEastAsia"/>
          <w:b/>
          <w:bCs/>
          <w:sz w:val="21"/>
          <w:szCs w:val="21"/>
          <w:lang w:val="en-US"/>
        </w:rPr>
        <w:t xml:space="preserve">  </w:t>
      </w:r>
      <w:r w:rsidRPr="0045565B">
        <w:rPr>
          <w:rFonts w:eastAsiaTheme="minorEastAsia"/>
          <w:b/>
          <w:bCs/>
          <w:sz w:val="21"/>
          <w:szCs w:val="21"/>
          <w:lang w:val="en-US"/>
        </w:rPr>
        <w:t>开放式基金份额变动</w:t>
      </w:r>
      <w:bookmarkEnd w:id="73"/>
      <w:bookmarkEnd w:id="74"/>
    </w:p>
    <w:p w:rsidR="001548F9" w:rsidRPr="0045565B" w:rsidP="006C6300">
      <w:pPr>
        <w:jc w:val="right"/>
        <w:rPr>
          <w:rFonts w:eastAsiaTheme="minorEastAsia"/>
          <w:szCs w:val="21"/>
        </w:rPr>
      </w:pPr>
      <w:r w:rsidRPr="0045565B">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Tr="006A2FD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771" w:type="pct"/>
            <w:vAlign w:val="center"/>
          </w:tcPr>
          <w:p w:rsidR="00343AD4" w:rsidRPr="0045565B" w:rsidP="00343AD4">
            <w:pPr>
              <w:jc w:val="center"/>
              <w:rPr>
                <w:rFonts w:eastAsiaTheme="minorEastAsia"/>
                <w:szCs w:val="21"/>
              </w:rPr>
            </w:pPr>
            <w:r w:rsidRPr="0045565B">
              <w:rPr>
                <w:rFonts w:eastAsiaTheme="minorEastAsia"/>
                <w:szCs w:val="21"/>
              </w:rPr>
              <w:t>项目</w:t>
            </w:r>
          </w:p>
        </w:tc>
        <w:tc>
          <w:tcPr>
            <w:tcW w:w="1614" w:type="pct"/>
            <w:vAlign w:val="center"/>
          </w:tcPr>
          <w:p w:rsidR="00343AD4" w:rsidRPr="0045565B" w:rsidP="00131110">
            <w:pPr>
              <w:jc w:val="center"/>
              <w:rPr>
                <w:rFonts w:eastAsiaTheme="minorEastAsia"/>
                <w:szCs w:val="21"/>
              </w:rPr>
            </w:pPr>
            <w:r w:rsidRPr="0045565B">
              <w:rPr>
                <w:rFonts w:eastAsiaTheme="minorEastAsia"/>
                <w:szCs w:val="21"/>
              </w:rPr>
              <w:t>金鹰持久增利债券(LOF)C</w:t>
            </w:r>
          </w:p>
        </w:tc>
        <w:tc>
          <w:tcPr>
            <w:tcW w:w="1615" w:type="pct"/>
            <w:vAlign w:val="center"/>
          </w:tcPr>
          <w:p w:rsidR="00343AD4" w:rsidRPr="0045565B" w:rsidP="00131110">
            <w:pPr>
              <w:jc w:val="center"/>
              <w:rPr>
                <w:rFonts w:eastAsiaTheme="minorEastAsia"/>
                <w:szCs w:val="21"/>
              </w:rPr>
            </w:pPr>
            <w:r w:rsidRPr="0045565B">
              <w:rPr>
                <w:rFonts w:eastAsiaTheme="minorEastAsia"/>
                <w:szCs w:val="21"/>
              </w:rPr>
              <w:t>金鹰持久增利债券(LOF)E</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基金合同生效日（</w:t>
            </w:r>
            <w:r w:rsidRPr="0045565B">
              <w:rPr>
                <w:rFonts w:eastAsiaTheme="minorEastAsia"/>
                <w:szCs w:val="21"/>
              </w:rPr>
              <w:t>2015年3月10日</w:t>
            </w:r>
            <w:r w:rsidRPr="0045565B">
              <w:rPr>
                <w:rFonts w:eastAsiaTheme="minorEastAsia"/>
                <w:szCs w:val="21"/>
              </w:rPr>
              <w:t>）基金份额总额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488,462,429.13</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本报告期期初基金份额总额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49,280,492.01</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3,061,563.23</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w:t>
            </w:r>
            <w:r w:rsidRPr="0045565B">
              <w:rPr>
                <w:rFonts w:eastAsiaTheme="minorEastAsia"/>
                <w:szCs w:val="21"/>
              </w:rPr>
              <w:t>基金总申购份额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22,864,880.21</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2,113,085.57</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减：</w:t>
            </w:r>
            <w:r w:rsidRPr="0045565B" w:rsidR="005151E7">
              <w:rPr>
                <w:rFonts w:eastAsiaTheme="minorEastAsia"/>
                <w:szCs w:val="21"/>
              </w:rPr>
              <w:t>本报告期</w:t>
            </w:r>
            <w:r w:rsidRPr="0045565B">
              <w:rPr>
                <w:rFonts w:eastAsiaTheme="minorEastAsia"/>
                <w:szCs w:val="21"/>
              </w:rPr>
              <w:t>基金总赎回份额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19,366,758.88</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1,265,629.53</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w:t>
            </w:r>
            <w:r w:rsidRPr="0045565B">
              <w:rPr>
                <w:rFonts w:eastAsiaTheme="minorEastAsia"/>
                <w:szCs w:val="21"/>
              </w:rPr>
              <w:t>基金拆分变动份额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本报告期期末基金份额总额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52,778,613.34</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3,909,019.27</w:t>
            </w:r>
          </w:p>
        </w:tc>
      </w:tr>
    </w:tbl>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75" w:name="_Toc331410116"/>
      <w:bookmarkStart w:id="76" w:name="_Toc225500054"/>
      <w:r w:rsidRPr="0045565B">
        <w:rPr>
          <w:rFonts w:eastAsiaTheme="minorEastAsia"/>
          <w:b/>
          <w:bCs/>
          <w:sz w:val="21"/>
          <w:szCs w:val="21"/>
          <w:lang w:val="en-US"/>
        </w:rPr>
        <w:t xml:space="preserve">10  </w:t>
      </w:r>
      <w:r w:rsidRPr="0045565B">
        <w:rPr>
          <w:rFonts w:eastAsiaTheme="minorEastAsia"/>
          <w:b/>
          <w:bCs/>
          <w:sz w:val="21"/>
          <w:szCs w:val="21"/>
          <w:lang w:val="en-US"/>
        </w:rPr>
        <w:t>重大事件揭示</w:t>
      </w:r>
      <w:bookmarkEnd w:id="75"/>
      <w:bookmarkEnd w:id="76"/>
    </w:p>
    <w:p w:rsidR="00FA7D39" w:rsidRPr="0091212A" w:rsidP="00FA7D39">
      <w:pPr>
        <w:pStyle w:val="Heading2"/>
        <w:spacing w:before="0" w:after="0"/>
        <w:rPr>
          <w:rFonts w:asciiTheme="minorEastAsia" w:eastAsiaTheme="minorEastAsia" w:hAnsiTheme="minorEastAsia"/>
          <w:kern w:val="0"/>
          <w:sz w:val="21"/>
          <w:szCs w:val="21"/>
        </w:rPr>
      </w:pPr>
      <w:bookmarkStart w:id="77" w:name="_Toc361324894"/>
      <w:bookmarkStart w:id="78" w:name="_Toc374438161"/>
      <w:bookmarkStart w:id="79" w:name="_Toc249760071"/>
      <w:r w:rsidRPr="00FA7D39">
        <w:rPr>
          <w:rFonts w:ascii="Times New Roman" w:hAnsi="Times New Roman" w:eastAsiaTheme="minorEastAsia"/>
          <w:bCs w:val="0"/>
          <w:color w:val="000000" w:themeColor="text1"/>
          <w:sz w:val="21"/>
          <w:szCs w:val="21"/>
        </w:rPr>
        <w:t>10.1</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基金份</w:t>
      </w:r>
      <w:r w:rsidRPr="0091212A">
        <w:rPr>
          <w:rFonts w:asciiTheme="minorEastAsia" w:eastAsiaTheme="minorEastAsia" w:hAnsiTheme="minorEastAsia" w:hint="eastAsia"/>
          <w:kern w:val="0"/>
          <w:sz w:val="21"/>
          <w:szCs w:val="21"/>
        </w:rPr>
        <w:t>额持有人大会决议</w:t>
      </w:r>
      <w:bookmarkEnd w:id="77"/>
      <w:bookmarkEnd w:id="78"/>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本基金本报告期内未召开基金份额持有人大会，无会议决议。</w:t>
      </w:r>
    </w:p>
    <w:p w:rsidR="00FA7D39" w:rsidRPr="0091212A" w:rsidP="00FA7D39">
      <w:pPr>
        <w:pStyle w:val="Heading2"/>
        <w:spacing w:before="0" w:after="0"/>
        <w:rPr>
          <w:rFonts w:asciiTheme="minorEastAsia" w:eastAsiaTheme="minorEastAsia" w:hAnsiTheme="minorEastAsia"/>
          <w:kern w:val="0"/>
          <w:sz w:val="21"/>
          <w:szCs w:val="21"/>
        </w:rPr>
      </w:pPr>
      <w:bookmarkStart w:id="80" w:name="_Toc361324895"/>
      <w:bookmarkStart w:id="81" w:name="_Toc374438162"/>
      <w:r w:rsidRPr="00FA7D39">
        <w:rPr>
          <w:rFonts w:ascii="Times New Roman" w:hAnsi="Times New Roman" w:eastAsiaTheme="minorEastAsia"/>
          <w:bCs w:val="0"/>
          <w:color w:val="000000" w:themeColor="text1"/>
          <w:sz w:val="21"/>
          <w:szCs w:val="21"/>
        </w:rPr>
        <w:t>10.2</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基金管理人、</w:t>
      </w:r>
      <w:r w:rsidRPr="0091212A">
        <w:rPr>
          <w:rFonts w:asciiTheme="minorEastAsia" w:eastAsiaTheme="minorEastAsia" w:hAnsiTheme="minorEastAsia" w:hint="eastAsia"/>
          <w:kern w:val="0"/>
          <w:sz w:val="21"/>
          <w:szCs w:val="21"/>
        </w:rPr>
        <w:t>基金托管人的专门基金托管部门的重大人事变动</w:t>
      </w:r>
      <w:bookmarkEnd w:id="80"/>
      <w:bookmarkEnd w:id="81"/>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1、经本基金管理人第六届董事会第三十四次会议审议通过，报中国证券投资基金业协会、中国证券监督管理委员会广东监管局备案，并于2019年3月5日在证监会指定媒体披露，聘请刘志刚先生担任公司总经理，李兆廷先生不再代为履行金鹰基金管理有限公司总经理职责。</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经广东省工商行政管理局核准，本基金管理人法定代表人于2019年3月27日由李兆廷先生变更为刘志刚先生。</w:t>
      </w:r>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2、本报告期内，本基金托管人的专门基金托管部门无重大人事变动。</w:t>
      </w:r>
    </w:p>
    <w:p w:rsidR="00FA7D39" w:rsidRPr="0091212A" w:rsidP="00FA7D39">
      <w:pPr>
        <w:pStyle w:val="Heading2"/>
        <w:spacing w:before="0" w:after="0"/>
        <w:rPr>
          <w:rFonts w:asciiTheme="minorEastAsia" w:eastAsiaTheme="minorEastAsia" w:hAnsiTheme="minorEastAsia"/>
          <w:kern w:val="0"/>
          <w:sz w:val="21"/>
          <w:szCs w:val="21"/>
        </w:rPr>
      </w:pPr>
      <w:bookmarkStart w:id="82" w:name="_Toc361324896"/>
      <w:bookmarkStart w:id="83" w:name="_Toc374438163"/>
      <w:r w:rsidRPr="00FA7D39">
        <w:rPr>
          <w:rFonts w:ascii="Times New Roman" w:hAnsi="Times New Roman" w:eastAsiaTheme="minorEastAsia"/>
          <w:bCs w:val="0"/>
          <w:color w:val="000000" w:themeColor="text1"/>
          <w:sz w:val="21"/>
          <w:szCs w:val="21"/>
        </w:rPr>
        <w:t>10.3</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涉及</w:t>
      </w:r>
      <w:r w:rsidRPr="0091212A">
        <w:rPr>
          <w:rFonts w:asciiTheme="minorEastAsia" w:eastAsiaTheme="minorEastAsia" w:hAnsiTheme="minorEastAsia" w:hint="eastAsia"/>
          <w:kern w:val="0"/>
          <w:sz w:val="21"/>
          <w:szCs w:val="21"/>
        </w:rPr>
        <w:t>基金管理人、基金财产、基金托管业务的诉讼</w:t>
      </w:r>
      <w:bookmarkEnd w:id="82"/>
      <w:bookmarkEnd w:id="83"/>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本报告期内未发生涉及基金管理人、基金财产、基金托管业务的诉讼。</w:t>
      </w:r>
    </w:p>
    <w:p w:rsidR="00FA7D39" w:rsidRPr="0091212A" w:rsidP="00FA7D39">
      <w:pPr>
        <w:pStyle w:val="Heading2"/>
        <w:spacing w:before="0" w:after="0"/>
        <w:rPr>
          <w:rFonts w:asciiTheme="minorEastAsia" w:eastAsiaTheme="minorEastAsia" w:hAnsiTheme="minorEastAsia"/>
          <w:kern w:val="0"/>
          <w:sz w:val="21"/>
          <w:szCs w:val="21"/>
        </w:rPr>
      </w:pPr>
      <w:bookmarkStart w:id="84" w:name="_Toc361324897"/>
      <w:bookmarkStart w:id="85" w:name="_Toc374438164"/>
      <w:r w:rsidRPr="00FA7D39">
        <w:rPr>
          <w:rFonts w:ascii="Times New Roman" w:hAnsi="Times New Roman" w:eastAsiaTheme="minorEastAsia"/>
          <w:bCs w:val="0"/>
          <w:color w:val="000000" w:themeColor="text1"/>
          <w:sz w:val="21"/>
          <w:szCs w:val="21"/>
        </w:rPr>
        <w:t>10.4</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w:t>
      </w:r>
      <w:r w:rsidRPr="0091212A">
        <w:rPr>
          <w:rFonts w:asciiTheme="minorEastAsia" w:eastAsiaTheme="minorEastAsia" w:hAnsiTheme="minorEastAsia" w:hint="eastAsia"/>
          <w:kern w:val="0"/>
          <w:sz w:val="21"/>
          <w:szCs w:val="21"/>
        </w:rPr>
        <w:t>投资策略的改变</w:t>
      </w:r>
      <w:bookmarkEnd w:id="84"/>
      <w:bookmarkEnd w:id="85"/>
    </w:p>
    <w:p w:rsidR="00FA7D39" w:rsidRPr="00F13227"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本基金报告期内没有改变基金投资策略。</w:t>
      </w:r>
    </w:p>
    <w:p w:rsidR="00FA7D39" w:rsidRPr="00114CA1" w:rsidP="00FA7D39">
      <w:pPr>
        <w:pStyle w:val="Heading2"/>
        <w:spacing w:before="0" w:after="0"/>
        <w:rPr>
          <w:rFonts w:ascii="Times New Roman" w:hAnsi="Times New Roman" w:eastAsiaTheme="minorEastAsia"/>
          <w:color w:val="000000" w:themeColor="text1"/>
          <w:kern w:val="0"/>
          <w:sz w:val="21"/>
          <w:szCs w:val="21"/>
        </w:rPr>
      </w:pPr>
      <w:bookmarkStart w:id="86" w:name="_Toc409100466"/>
      <w:bookmarkStart w:id="87" w:name="_Toc409100103"/>
      <w:r w:rsidRPr="00FA7D39">
        <w:rPr>
          <w:rFonts w:ascii="Times New Roman" w:hAnsi="Times New Roman" w:eastAsiaTheme="minorEastAsia"/>
          <w:bCs w:val="0"/>
          <w:color w:val="000000" w:themeColor="text1"/>
          <w:sz w:val="21"/>
          <w:szCs w:val="21"/>
        </w:rPr>
        <w:t>10.5</w:t>
      </w:r>
      <w:r w:rsidRPr="00FA7D39">
        <w:rPr>
          <w:rFonts w:ascii="Times New Roman" w:hAnsi="Times New Roman" w:eastAsiaTheme="minorEastAsia"/>
          <w:bCs w:val="0"/>
          <w:color w:val="000000" w:themeColor="text1"/>
          <w:sz w:val="21"/>
          <w:szCs w:val="21"/>
        </w:rPr>
        <w:t>为基金</w:t>
      </w:r>
      <w:r w:rsidRPr="00114CA1">
        <w:rPr>
          <w:rFonts w:ascii="Times New Roman" w:hAnsi="Times New Roman" w:eastAsiaTheme="minorEastAsia"/>
          <w:color w:val="000000" w:themeColor="text1"/>
          <w:sz w:val="21"/>
          <w:szCs w:val="21"/>
        </w:rPr>
        <w:t>进行审计的会计师事务所情况</w:t>
      </w:r>
      <w:bookmarkEnd w:id="86"/>
      <w:bookmarkEnd w:id="87"/>
    </w:p>
    <w:p w:rsidR="00FA7D39" w:rsidRPr="00114CA1" w:rsidP="00FA7D39">
      <w:pPr>
        <w:spacing w:line="360" w:lineRule="auto"/>
        <w:ind w:firstLine="420" w:firstLineChars="200"/>
        <w:rPr>
          <w:rFonts w:eastAsiaTheme="minorEastAsia"/>
          <w:color w:val="000000" w:themeColor="text1"/>
          <w:szCs w:val="21"/>
        </w:rPr>
      </w:pPr>
      <w:bookmarkStart w:id="88" w:name="OLE_LINK3"/>
      <w:r w:rsidRPr="00114CA1">
        <w:rPr>
          <w:rFonts w:eastAsiaTheme="minorEastAsia"/>
          <w:color w:val="000000" w:themeColor="text1"/>
          <w:szCs w:val="21"/>
        </w:rPr>
        <w:t>本报告期未改聘会计师事务所。</w:t>
      </w:r>
    </w:p>
    <w:p w:rsidR="00FA7D39" w:rsidRPr="00114CA1" w:rsidP="00FA7D39">
      <w:pPr>
        <w:pStyle w:val="Heading2"/>
        <w:spacing w:before="0" w:after="0"/>
        <w:rPr>
          <w:rFonts w:ascii="Times New Roman" w:hAnsi="Times New Roman" w:eastAsiaTheme="minorEastAsia"/>
          <w:color w:val="000000" w:themeColor="text1"/>
          <w:kern w:val="0"/>
          <w:sz w:val="21"/>
          <w:szCs w:val="21"/>
        </w:rPr>
      </w:pPr>
      <w:bookmarkStart w:id="89" w:name="_Toc409100104"/>
      <w:bookmarkStart w:id="90" w:name="_Toc409100467"/>
      <w:bookmarkStart w:id="91" w:name="_Toc361324899"/>
      <w:bookmarkEnd w:id="88"/>
      <w:r w:rsidRPr="00FA7D39">
        <w:rPr>
          <w:rFonts w:ascii="Times New Roman" w:hAnsi="Times New Roman" w:eastAsiaTheme="minorEastAsia"/>
          <w:bCs w:val="0"/>
          <w:color w:val="000000" w:themeColor="text1"/>
          <w:sz w:val="21"/>
          <w:szCs w:val="21"/>
        </w:rPr>
        <w:t>10.6</w:t>
      </w:r>
      <w:r w:rsidRPr="00FA7D39">
        <w:rPr>
          <w:rFonts w:ascii="Times New Roman" w:hAnsi="Times New Roman" w:eastAsiaTheme="minorEastAsia"/>
          <w:bCs w:val="0"/>
          <w:color w:val="000000" w:themeColor="text1"/>
          <w:sz w:val="21"/>
          <w:szCs w:val="21"/>
        </w:rPr>
        <w:t>管理人、</w:t>
      </w:r>
      <w:r w:rsidRPr="00114CA1">
        <w:rPr>
          <w:rFonts w:ascii="Times New Roman" w:hAnsi="Times New Roman" w:eastAsiaTheme="minorEastAsia"/>
          <w:color w:val="000000" w:themeColor="text1"/>
          <w:kern w:val="0"/>
          <w:sz w:val="21"/>
          <w:szCs w:val="21"/>
        </w:rPr>
        <w:t>托管人及其高级管理人员受稽查或处罚等情况</w:t>
      </w:r>
      <w:bookmarkEnd w:id="89"/>
      <w:bookmarkEnd w:id="90"/>
      <w:bookmarkEnd w:id="91"/>
    </w:p>
    <w:p w:rsidR="00FA7D39" w:rsidRPr="00114CA1" w:rsidP="00FA7D39">
      <w:pPr>
        <w:spacing w:line="360" w:lineRule="auto"/>
        <w:ind w:firstLine="420" w:firstLineChars="200"/>
        <w:rPr>
          <w:rFonts w:eastAsiaTheme="minorEastAsia"/>
          <w:color w:val="000000" w:themeColor="text1"/>
          <w:szCs w:val="21"/>
        </w:rPr>
      </w:pPr>
      <w:r w:rsidRPr="00114CA1">
        <w:rPr>
          <w:rFonts w:eastAsiaTheme="minorEastAsia"/>
          <w:color w:val="000000" w:themeColor="text1"/>
          <w:szCs w:val="21"/>
        </w:rPr>
        <w:t>本报告期内基金管理人、基金托管人的托管业务部门及其相关高级管理人员无受稽查或处罚等情况。</w:t>
      </w:r>
    </w:p>
    <w:p w:rsidR="00FA7D39" w:rsidRPr="00FA7D39" w:rsidP="00FA7D39">
      <w:pPr>
        <w:pStyle w:val="Heading2"/>
        <w:spacing w:before="0" w:after="0"/>
        <w:rPr>
          <w:rFonts w:ascii="Times New Roman" w:hAnsi="Times New Roman" w:eastAsiaTheme="minorEastAsia"/>
          <w:bCs w:val="0"/>
          <w:color w:val="000000" w:themeColor="text1"/>
          <w:sz w:val="21"/>
          <w:szCs w:val="21"/>
        </w:rPr>
      </w:pPr>
      <w:bookmarkStart w:id="92" w:name="_Toc361324900"/>
      <w:bookmarkStart w:id="93" w:name="_Toc409100468"/>
      <w:bookmarkStart w:id="94" w:name="_Toc409100105"/>
      <w:r w:rsidRPr="00FA7D39">
        <w:rPr>
          <w:rFonts w:ascii="Times New Roman" w:hAnsi="Times New Roman" w:eastAsiaTheme="minorEastAsia"/>
          <w:bCs w:val="0"/>
          <w:color w:val="000000" w:themeColor="text1"/>
          <w:sz w:val="21"/>
          <w:szCs w:val="21"/>
        </w:rPr>
        <w:t>10.7</w:t>
      </w:r>
      <w:r w:rsidRPr="00FA7D39">
        <w:rPr>
          <w:rFonts w:ascii="Times New Roman" w:hAnsi="Times New Roman" w:eastAsiaTheme="minorEastAsia"/>
          <w:bCs w:val="0"/>
          <w:color w:val="000000" w:themeColor="text1"/>
          <w:sz w:val="21"/>
          <w:szCs w:val="21"/>
        </w:rPr>
        <w:t>基金租用证券公司交易单元的有关情况</w:t>
      </w:r>
      <w:bookmarkEnd w:id="92"/>
      <w:bookmarkEnd w:id="93"/>
      <w:bookmarkEnd w:id="94"/>
    </w:p>
    <w:p w:rsidR="00FA7D39" w:rsidRPr="00114CA1" w:rsidP="00FA7D39">
      <w:pPr>
        <w:spacing w:line="360" w:lineRule="auto"/>
        <w:rPr>
          <w:rFonts w:eastAsiaTheme="minorEastAsia"/>
          <w:b/>
          <w:color w:val="000000" w:themeColor="text1"/>
          <w:szCs w:val="21"/>
        </w:rPr>
      </w:pPr>
      <w:bookmarkStart w:id="95" w:name="_Toc249760070"/>
      <w:r w:rsidRPr="00FA7D39">
        <w:rPr>
          <w:rFonts w:eastAsiaTheme="minorEastAsia"/>
          <w:b/>
          <w:color w:val="000000" w:themeColor="text1"/>
          <w:szCs w:val="21"/>
        </w:rPr>
        <w:t>10.7.</w:t>
      </w:r>
      <w:r w:rsidRPr="00FA7D39">
        <w:rPr>
          <w:rFonts w:eastAsiaTheme="minorEastAsia"/>
          <w:b/>
          <w:color w:val="000000" w:themeColor="text1"/>
          <w:szCs w:val="21"/>
        </w:rPr>
        <w:t>1</w:t>
      </w:r>
      <w:r w:rsidRPr="00114CA1">
        <w:rPr>
          <w:rFonts w:eastAsiaTheme="minorEastAsia"/>
          <w:b/>
          <w:color w:val="000000" w:themeColor="text1"/>
          <w:szCs w:val="21"/>
        </w:rPr>
        <w:t>基金租用证券公司交易单元进行股票投资及佣金支付情况</w:t>
      </w:r>
      <w:bookmarkEnd w:id="95"/>
    </w:p>
    <w:p w:rsidR="00FA7D39" w:rsidRPr="00114CA1" w:rsidP="00FA7D39">
      <w:pPr>
        <w:pStyle w:val="NormalIndent"/>
        <w:spacing w:line="360" w:lineRule="auto"/>
        <w:ind w:firstLine="5460" w:firstLineChars="260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Tr="000E05F4">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560" w:type="dxa"/>
            <w:vMerge w:val="restart"/>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FA7D39" w:rsidRPr="00114CA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Tr="000E05F4">
        <w:tblPrEx>
          <w:tblW w:w="9000" w:type="dxa"/>
          <w:tblInd w:w="108" w:type="dxa"/>
          <w:tblLayout w:type="fixed"/>
          <w:tblLook w:val="04A0"/>
        </w:tblPrEx>
        <w:tc>
          <w:tcPr>
            <w:tcW w:w="1560" w:type="dxa"/>
            <w:vMerge/>
            <w:vAlign w:val="center"/>
          </w:tcPr>
          <w:p w:rsidR="00FA7D39" w:rsidRPr="00114CA1" w:rsidP="000E05F4">
            <w:pPr>
              <w:widowControl/>
              <w:spacing w:line="276" w:lineRule="auto"/>
              <w:jc w:val="left"/>
              <w:rPr>
                <w:rFonts w:eastAsiaTheme="minorEastAsia"/>
                <w:color w:val="000000" w:themeColor="text1"/>
                <w:szCs w:val="21"/>
              </w:rPr>
            </w:pPr>
          </w:p>
        </w:tc>
        <w:tc>
          <w:tcPr>
            <w:tcW w:w="780" w:type="dxa"/>
            <w:vMerge/>
            <w:vAlign w:val="center"/>
          </w:tcPr>
          <w:p w:rsidR="00FA7D39" w:rsidRPr="00114CA1" w:rsidP="000E05F4">
            <w:pPr>
              <w:widowControl/>
              <w:spacing w:line="276" w:lineRule="auto"/>
              <w:jc w:val="left"/>
              <w:rPr>
                <w:rFonts w:eastAsiaTheme="minorEastAsia"/>
                <w:color w:val="000000" w:themeColor="text1"/>
                <w:szCs w:val="21"/>
              </w:rPr>
            </w:pPr>
          </w:p>
        </w:tc>
        <w:tc>
          <w:tcPr>
            <w:tcW w:w="180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FA7D39" w:rsidRPr="00114CA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FA7D39" w:rsidRPr="00114CA1" w:rsidP="000E05F4">
            <w:pPr>
              <w:widowControl/>
              <w:spacing w:line="276" w:lineRule="auto"/>
              <w:jc w:val="left"/>
              <w:rPr>
                <w:rFonts w:eastAsiaTheme="minorEastAsia"/>
                <w:color w:val="000000" w:themeColor="text1"/>
                <w:kern w:val="0"/>
                <w:szCs w:val="21"/>
              </w:rPr>
            </w:pP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广州证券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84,270,229.74</w:t>
            </w:r>
          </w:p>
        </w:tc>
        <w:tc>
          <w:tcPr>
            <w:vAlign w:val="center"/>
          </w:tcPr>
          <w:p>
            <w:pPr>
              <w:jc w:val="right"/>
            </w:pPr>
            <w:r>
              <w:rPr>
                <w:rFonts w:eastAsiaTheme="minorEastAsia"/>
                <w:color w:val="000000" w:themeColor="text1"/>
                <w:szCs w:val="21"/>
              </w:rPr>
              <w:t>100.00%</w:t>
            </w:r>
          </w:p>
        </w:tc>
        <w:tc>
          <w:tcPr>
            <w:vAlign w:val="center"/>
          </w:tcPr>
          <w:p>
            <w:pPr>
              <w:jc w:val="right"/>
            </w:pPr>
            <w:r>
              <w:rPr>
                <w:rFonts w:eastAsiaTheme="minorEastAsia"/>
                <w:color w:val="000000" w:themeColor="text1"/>
                <w:szCs w:val="21"/>
              </w:rPr>
              <w:t>76,797.25</w:t>
            </w:r>
          </w:p>
        </w:tc>
        <w:tc>
          <w:tcPr>
            <w:vAlign w:val="center"/>
          </w:tcPr>
          <w:p>
            <w:pPr>
              <w:jc w:val="right"/>
            </w:pPr>
            <w:r>
              <w:rPr>
                <w:rFonts w:eastAsiaTheme="minorEastAsia"/>
                <w:color w:val="000000" w:themeColor="text1"/>
                <w:szCs w:val="21"/>
              </w:rPr>
              <w:t>100.00%</w:t>
            </w:r>
          </w:p>
        </w:tc>
        <w:tc>
          <w:tcPr>
            <w:vAlign w:val="center"/>
          </w:tcPr>
          <w:p>
            <w:pPr>
              <w:jc w:val="left"/>
            </w:pPr>
            <w:r>
              <w:rPr>
                <w:rFonts w:eastAsiaTheme="minorEastAsia"/>
                <w:color w:val="000000" w:themeColor="text1"/>
                <w:szCs w:val="21"/>
              </w:rPr>
              <w:t>-</w:t>
            </w:r>
          </w:p>
        </w:tc>
      </w:tr>
    </w:tbl>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注：本基金管理人负责选择证券经营机构，租用其交易单位作为本基金的专用交易单位。本基金专用交易单位的选择标准如下：</w:t>
      </w:r>
    </w:p>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 xml:space="preserve"> （1）经营行为稳健规范，内控制度健全，在业内有良好的声誉； </w:t>
      </w:r>
    </w:p>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 xml:space="preserve"> （2）具备基金运作所需的高效、安全的通讯条件，交易设施满足基金进行证券交易的需要；</w:t>
      </w:r>
    </w:p>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 xml:space="preserve"> （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 xml:space="preserve"> 本基金专用交易单位的选择程序如下：</w:t>
      </w:r>
    </w:p>
    <w:p>
      <w:pPr>
        <w:autoSpaceDE w:val="0"/>
        <w:autoSpaceDN w:val="0"/>
        <w:adjustRightInd w:val="0"/>
        <w:spacing w:line="360" w:lineRule="auto"/>
        <w:ind w:firstLine="420" w:firstLineChars="200"/>
        <w:jc w:val="left"/>
        <w:rPr>
          <w:rFonts w:eastAsiaTheme="minorEastAsia"/>
          <w:color w:val="000000" w:themeColor="text1"/>
          <w:szCs w:val="21"/>
        </w:rPr>
      </w:pPr>
      <w:r>
        <w:rPr>
          <w:rFonts w:eastAsiaTheme="minorEastAsia"/>
          <w:color w:val="000000" w:themeColor="text1"/>
          <w:szCs w:val="21"/>
        </w:rPr>
        <w:t xml:space="preserve"> （1）本基金管理人根据上述标准考察后确定选用交易单位的证券经营机构。</w:t>
      </w:r>
    </w:p>
    <w:p w:rsidR="00FA7D39" w:rsidRPr="00114CA1" w:rsidP="00FA7D39">
      <w:pPr>
        <w:autoSpaceDE w:val="0"/>
        <w:autoSpaceDN w:val="0"/>
        <w:adjustRightInd w:val="0"/>
        <w:spacing w:line="360" w:lineRule="auto"/>
        <w:ind w:firstLine="420" w:firstLineChars="200"/>
        <w:jc w:val="left"/>
        <w:rPr>
          <w:rFonts w:eastAsiaTheme="minorEastAsia"/>
          <w:color w:val="000000" w:themeColor="text1"/>
          <w:szCs w:val="21"/>
        </w:rPr>
      </w:pPr>
      <w:r w:rsidRPr="00114CA1">
        <w:rPr>
          <w:rFonts w:eastAsiaTheme="minorEastAsia"/>
          <w:color w:val="000000" w:themeColor="text1"/>
          <w:szCs w:val="21"/>
        </w:rPr>
        <w:t xml:space="preserve"> （2）基金管理人和被选中的证券经营机构签订交易单位租用协议。</w:t>
      </w:r>
    </w:p>
    <w:p w:rsidR="001548F9" w:rsidRPr="0045565B" w:rsidP="00FA7D39">
      <w:pPr>
        <w:spacing w:before="312" w:beforeLines="100" w:line="360" w:lineRule="auto"/>
        <w:rPr>
          <w:rFonts w:eastAsiaTheme="minorEastAsia"/>
          <w:b/>
          <w:szCs w:val="21"/>
        </w:rPr>
      </w:pPr>
      <w:r w:rsidRPr="00FA7D39">
        <w:rPr>
          <w:rFonts w:eastAsiaTheme="minorEastAsia"/>
          <w:b/>
          <w:color w:val="000000" w:themeColor="text1"/>
          <w:szCs w:val="21"/>
        </w:rPr>
        <w:t>10.7.</w:t>
      </w:r>
      <w:r w:rsidRPr="00FA7D39">
        <w:rPr>
          <w:rFonts w:eastAsiaTheme="minorEastAsia"/>
          <w:b/>
          <w:color w:val="000000" w:themeColor="text1"/>
          <w:szCs w:val="21"/>
        </w:rPr>
        <w:t>2</w:t>
      </w:r>
      <w:r w:rsidRPr="00114CA1">
        <w:rPr>
          <w:rFonts w:eastAsiaTheme="minorEastAsia"/>
          <w:b/>
          <w:color w:val="000000" w:themeColor="text1"/>
          <w:szCs w:val="21"/>
        </w:rPr>
        <w:t xml:space="preserve"> </w:t>
      </w:r>
      <w:r w:rsidRPr="00114CA1">
        <w:rPr>
          <w:rFonts w:eastAsiaTheme="minorEastAsia"/>
          <w:b/>
          <w:color w:val="000000" w:themeColor="text1"/>
          <w:szCs w:val="21"/>
        </w:rPr>
        <w:t>基金租用证券公司交易单元进行其他证券投资</w:t>
      </w:r>
      <w:r w:rsidRPr="0045565B">
        <w:rPr>
          <w:rFonts w:eastAsiaTheme="minorEastAsia"/>
          <w:b/>
          <w:szCs w:val="21"/>
        </w:rPr>
        <w:t>的情况</w:t>
      </w:r>
      <w:bookmarkEnd w:id="79"/>
    </w:p>
    <w:p w:rsidR="001548F9" w:rsidRPr="0045565B" w:rsidP="008971E9">
      <w:pPr>
        <w:wordWrap w:val="0"/>
        <w:ind w:firstLine="420"/>
        <w:jc w:val="right"/>
        <w:rPr>
          <w:rFonts w:eastAsiaTheme="minorEastAsia"/>
          <w:color w:val="000000"/>
          <w:szCs w:val="21"/>
        </w:rPr>
      </w:pPr>
      <w:bookmarkStart w:id="96" w:name="_Toc249707408"/>
      <w:r w:rsidRPr="0045565B">
        <w:rPr>
          <w:rFonts w:eastAsiaTheme="minorEastAsia"/>
          <w:szCs w:val="21"/>
        </w:rPr>
        <w:t>金额单位</w:t>
      </w:r>
      <w:r w:rsidRPr="0045565B">
        <w:rPr>
          <w:rFonts w:eastAsiaTheme="minorEastAsia"/>
          <w:color w:val="000000"/>
          <w:kern w:val="0"/>
          <w:szCs w:val="21"/>
        </w:rPr>
        <w:t>：</w:t>
      </w:r>
      <w:r w:rsidRPr="0045565B">
        <w:rPr>
          <w:rFonts w:eastAsiaTheme="minorEastAsia"/>
          <w:color w:val="000000"/>
          <w:kern w:val="0"/>
          <w:szCs w:val="21"/>
          <w:lang w:val="zh-CN"/>
        </w:rPr>
        <w:t>人民币元</w:t>
      </w:r>
      <w:bookmarkEnd w:id="96"/>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9"/>
        <w:gridCol w:w="1108"/>
        <w:gridCol w:w="1110"/>
        <w:gridCol w:w="1110"/>
        <w:gridCol w:w="1110"/>
        <w:gridCol w:w="1110"/>
        <w:gridCol w:w="1114"/>
      </w:tblGrid>
      <w:tr w:rsidTr="006A2FD2">
        <w:tblPrEx>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479" w:type="dxa"/>
            <w:vMerge w:val="restart"/>
            <w:vAlign w:val="center"/>
          </w:tcPr>
          <w:p w:rsidR="001548F9" w:rsidRPr="0045565B" w:rsidP="0070173B">
            <w:pPr>
              <w:jc w:val="center"/>
              <w:rPr>
                <w:rFonts w:eastAsiaTheme="minorEastAsia"/>
                <w:color w:val="000000"/>
                <w:kern w:val="0"/>
                <w:szCs w:val="21"/>
              </w:rPr>
            </w:pPr>
            <w:r w:rsidRPr="0045565B">
              <w:rPr>
                <w:rFonts w:eastAsiaTheme="minorEastAsia"/>
                <w:color w:val="000000"/>
                <w:szCs w:val="21"/>
              </w:rPr>
              <w:t>券商名称</w:t>
            </w:r>
          </w:p>
        </w:tc>
        <w:tc>
          <w:tcPr>
            <w:tcW w:w="2218" w:type="dxa"/>
            <w:gridSpan w:val="2"/>
            <w:vAlign w:val="center"/>
          </w:tcPr>
          <w:p w:rsidR="001548F9" w:rsidRPr="0045565B" w:rsidP="0070173B">
            <w:pPr>
              <w:jc w:val="center"/>
              <w:rPr>
                <w:rFonts w:eastAsiaTheme="minorEastAsia"/>
                <w:color w:val="000000"/>
                <w:szCs w:val="21"/>
              </w:rPr>
            </w:pPr>
            <w:r w:rsidRPr="0045565B">
              <w:rPr>
                <w:rFonts w:eastAsiaTheme="minorEastAsia"/>
                <w:color w:val="000000"/>
                <w:szCs w:val="21"/>
              </w:rPr>
              <w:t>债券交易</w:t>
            </w:r>
          </w:p>
        </w:tc>
        <w:tc>
          <w:tcPr>
            <w:tcW w:w="2220" w:type="dxa"/>
            <w:gridSpan w:val="2"/>
            <w:vAlign w:val="center"/>
          </w:tcPr>
          <w:p w:rsidR="001548F9" w:rsidRPr="0045565B" w:rsidP="0070173B">
            <w:pPr>
              <w:jc w:val="center"/>
              <w:rPr>
                <w:rFonts w:eastAsiaTheme="minorEastAsia"/>
                <w:color w:val="000000"/>
                <w:szCs w:val="21"/>
              </w:rPr>
            </w:pPr>
            <w:r w:rsidRPr="0045565B">
              <w:rPr>
                <w:rFonts w:eastAsiaTheme="minorEastAsia"/>
                <w:color w:val="000000"/>
                <w:szCs w:val="21"/>
              </w:rPr>
              <w:t>回购交易</w:t>
            </w:r>
          </w:p>
        </w:tc>
        <w:tc>
          <w:tcPr>
            <w:tcW w:w="2224" w:type="dxa"/>
            <w:gridSpan w:val="2"/>
            <w:vAlign w:val="center"/>
          </w:tcPr>
          <w:p w:rsidR="001548F9" w:rsidRPr="0045565B" w:rsidP="0070173B">
            <w:pPr>
              <w:jc w:val="center"/>
              <w:rPr>
                <w:rFonts w:eastAsiaTheme="minorEastAsia"/>
                <w:color w:val="000000"/>
                <w:szCs w:val="21"/>
              </w:rPr>
            </w:pPr>
            <w:r w:rsidRPr="0045565B">
              <w:rPr>
                <w:rFonts w:eastAsiaTheme="minorEastAsia"/>
                <w:color w:val="000000"/>
                <w:szCs w:val="21"/>
              </w:rPr>
              <w:t>权证交易</w:t>
            </w:r>
          </w:p>
        </w:tc>
      </w:tr>
      <w:tr w:rsidTr="006A2FD2">
        <w:tblPrEx>
          <w:tblW w:w="9141" w:type="dxa"/>
          <w:tblInd w:w="108" w:type="dxa"/>
          <w:tblLayout w:type="fixed"/>
          <w:tblLook w:val="00A0"/>
        </w:tblPrEx>
        <w:tc>
          <w:tcPr>
            <w:tcW w:w="2479" w:type="dxa"/>
            <w:vMerge/>
            <w:vAlign w:val="center"/>
          </w:tcPr>
          <w:p w:rsidR="001548F9" w:rsidRPr="0045565B" w:rsidP="0070173B">
            <w:pPr>
              <w:widowControl/>
              <w:jc w:val="left"/>
              <w:rPr>
                <w:rFonts w:eastAsiaTheme="minorEastAsia"/>
                <w:color w:val="000000"/>
                <w:kern w:val="0"/>
                <w:szCs w:val="21"/>
              </w:rPr>
            </w:pPr>
          </w:p>
        </w:tc>
        <w:tc>
          <w:tcPr>
            <w:tcW w:w="1108"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占当期债券成交总额的比例</w:t>
            </w:r>
          </w:p>
        </w:tc>
        <w:tc>
          <w:tcPr>
            <w:tcW w:w="111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占当期回购成交总额的比例</w:t>
            </w:r>
          </w:p>
        </w:tc>
        <w:tc>
          <w:tcPr>
            <w:tcW w:w="111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成交金额</w:t>
            </w:r>
          </w:p>
        </w:tc>
        <w:tc>
          <w:tcPr>
            <w:tcW w:w="1114"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占当期权证成交总额的比例</w:t>
            </w:r>
          </w:p>
        </w:tc>
      </w:tr>
      <w:tr>
        <w:tblPrEx>
          <w:tblW w:w="9141" w:type="dxa"/>
          <w:tblInd w:w="108" w:type="dxa"/>
          <w:tblLayout w:type="fixed"/>
          <w:tblLook w:val="00A0"/>
        </w:tblPrEx>
        <w:tc>
          <w:tcPr>
            <w:vAlign w:val="center"/>
          </w:tcPr>
          <w:p>
            <w:pPr>
              <w:jc w:val="center"/>
            </w:pPr>
            <w:r>
              <w:rPr>
                <w:rFonts w:eastAsiaTheme="minorEastAsia"/>
                <w:szCs w:val="21"/>
              </w:rPr>
              <w:t>广州证券</w:t>
            </w:r>
          </w:p>
        </w:tc>
        <w:tc>
          <w:tcPr>
            <w:vAlign w:val="center"/>
          </w:tcPr>
          <w:p>
            <w:pPr>
              <w:jc w:val="right"/>
            </w:pPr>
            <w:r>
              <w:rPr>
                <w:rFonts w:eastAsiaTheme="minorEastAsia"/>
                <w:szCs w:val="21"/>
              </w:rPr>
              <w:t>146,984,468.43</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930,700,000.00</w:t>
            </w:r>
          </w:p>
        </w:tc>
        <w:tc>
          <w:tcPr>
            <w:vAlign w:val="center"/>
          </w:tcPr>
          <w:p>
            <w:pPr>
              <w:jc w:val="right"/>
            </w:pPr>
            <w:r>
              <w:rPr>
                <w:rFonts w:eastAsiaTheme="minorEastAsia"/>
                <w:szCs w:val="21"/>
              </w:rPr>
              <w:t>100.00%</w:t>
            </w:r>
          </w:p>
        </w:tc>
        <w:tc>
          <w:tcPr>
            <w:vAlign w:val="center"/>
          </w:tcPr>
          <w:p>
            <w:pPr>
              <w:jc w:val="right"/>
            </w:pPr>
            <w:r>
              <w:rPr>
                <w:rFonts w:eastAsiaTheme="minorEastAsia"/>
                <w:szCs w:val="21"/>
              </w:rPr>
              <w:t>-</w:t>
            </w:r>
          </w:p>
        </w:tc>
        <w:tc>
          <w:tcPr>
            <w:vAlign w:val="center"/>
          </w:tcPr>
          <w:p>
            <w:pPr>
              <w:jc w:val="right"/>
            </w:pPr>
            <w:r>
              <w:rPr>
                <w:rFonts w:eastAsiaTheme="minorEastAsia"/>
                <w:szCs w:val="21"/>
              </w:rPr>
              <w:t>-</w:t>
            </w:r>
          </w:p>
        </w:tc>
      </w:tr>
    </w:tbl>
    <w:p w:rsidR="00E90C74"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97"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97"/>
    </w:p>
    <w:p w:rsidR="005E0C40" w:rsidP="005E0C40">
      <w:pPr>
        <w:pStyle w:val="Heading2"/>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11.1 </w:t>
      </w:r>
      <w:r>
        <w:rPr>
          <w:rFonts w:ascii="Times New Roman" w:hAnsi="Times New Roman" w:hint="eastAsia"/>
          <w:color w:val="000000" w:themeColor="text1"/>
          <w:kern w:val="0"/>
          <w:sz w:val="21"/>
          <w:szCs w:val="21"/>
        </w:rPr>
        <w:t>报告期内单一投资者持有基金份额比例达到或超过</w:t>
      </w:r>
      <w:r>
        <w:rPr>
          <w:rFonts w:ascii="Times New Roman" w:hAnsi="Times New Roman"/>
          <w:color w:val="000000" w:themeColor="text1"/>
          <w:kern w:val="0"/>
          <w:sz w:val="21"/>
          <w:szCs w:val="21"/>
        </w:rPr>
        <w:t>20%</w:t>
      </w:r>
      <w:r>
        <w:rPr>
          <w:rFonts w:ascii="Times New Roman" w:hAnsi="Times New Roman" w:hint="eastAsia"/>
          <w:color w:val="000000" w:themeColor="text1"/>
          <w:kern w:val="0"/>
          <w:sz w:val="21"/>
          <w:szCs w:val="21"/>
        </w:rPr>
        <w:t>的情况</w:t>
      </w:r>
    </w:p>
    <w:tbl>
      <w:tblPr>
        <w:tblStyle w:val="TableGrid"/>
        <w:tblW w:w="9638" w:type="dxa"/>
        <w:jc w:val="center"/>
        <w:tblLayout w:type="fixed"/>
        <w:tblLook w:val="04A0"/>
      </w:tblPr>
      <w:tblGrid>
        <w:gridCol w:w="708"/>
        <w:gridCol w:w="708"/>
        <w:gridCol w:w="2126"/>
        <w:gridCol w:w="1276"/>
        <w:gridCol w:w="1276"/>
        <w:gridCol w:w="1276"/>
        <w:gridCol w:w="1417"/>
        <w:gridCol w:w="851"/>
      </w:tblGrid>
      <w:tr w:rsidTr="005E0C40">
        <w:tblPrEx>
          <w:tblW w:w="9638" w:type="dxa"/>
          <w:jc w:val="center"/>
          <w:tblLayout w:type="fixed"/>
          <w:tblLook w:val="04A0"/>
        </w:tblPrEx>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投资者类别</w:t>
            </w: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ind w:firstLine="1126"/>
              <w:jc w:val="center"/>
              <w:rPr>
                <w:rFonts w:eastAsiaTheme="minorEastAsia"/>
                <w:b/>
                <w:bCs/>
                <w:color w:val="000000" w:themeColor="text1"/>
                <w:szCs w:val="21"/>
              </w:rPr>
            </w:pPr>
            <w:r>
              <w:rPr>
                <w:rFonts w:hint="eastAsia"/>
                <w:color w:val="000000"/>
                <w:szCs w:val="21"/>
              </w:rPr>
              <w:t>报告期内持有基金份额变化情况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报告期末持有基金情况</w:t>
            </w:r>
          </w:p>
        </w:tc>
      </w:tr>
      <w:tr w:rsidTr="005E0C40">
        <w:tblPrEx>
          <w:tblW w:w="9638" w:type="dxa"/>
          <w:jc w:val="center"/>
          <w:tblLayout w:type="fixed"/>
          <w:tblLook w:val="04A0"/>
        </w:tblPrEx>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E0C40">
            <w:pPr>
              <w:ind w:firstLine="422"/>
              <w:rPr>
                <w:rFonts w:eastAsiaTheme="minorEastAsia"/>
                <w:b/>
                <w:bCs/>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持有基金份额比例达到或者超过</w:t>
            </w:r>
            <w:r>
              <w:rPr>
                <w:color w:val="000000"/>
                <w:szCs w:val="21"/>
              </w:rPr>
              <w:t>20%</w:t>
            </w:r>
            <w:r>
              <w:rPr>
                <w:rFonts w:hint="eastAsia"/>
                <w:color w:val="000000"/>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C40">
            <w:pPr>
              <w:widowControl/>
              <w:rPr>
                <w:rFonts w:eastAsiaTheme="minorEastAsia"/>
                <w:b/>
                <w:bCs/>
                <w:color w:val="000000" w:themeColor="text1"/>
                <w:szCs w:val="21"/>
              </w:rPr>
            </w:pPr>
            <w:r>
              <w:rPr>
                <w:rFonts w:hint="eastAsia"/>
                <w:color w:val="000000"/>
                <w:szCs w:val="21"/>
              </w:rPr>
              <w:t>期初份额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C40">
            <w:pPr>
              <w:widowControl/>
              <w:rPr>
                <w:rFonts w:eastAsiaTheme="minorEastAsia"/>
                <w:b/>
                <w:bCs/>
                <w:color w:val="000000" w:themeColor="text1"/>
                <w:szCs w:val="21"/>
              </w:rPr>
            </w:pPr>
            <w:r>
              <w:rPr>
                <w:rFonts w:hint="eastAsia"/>
                <w:color w:val="000000"/>
                <w:szCs w:val="21"/>
              </w:rPr>
              <w:t>申购份额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C40">
            <w:pPr>
              <w:widowControl/>
              <w:rPr>
                <w:rFonts w:eastAsiaTheme="minorEastAsia"/>
                <w:b/>
                <w:bCs/>
                <w:color w:val="000000" w:themeColor="text1"/>
                <w:szCs w:val="21"/>
              </w:rPr>
            </w:pPr>
            <w:r>
              <w:rPr>
                <w:rFonts w:hint="eastAsia"/>
                <w:color w:val="000000"/>
                <w:szCs w:val="21"/>
              </w:rPr>
              <w:t>赎回份额</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持有份额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rFonts w:eastAsiaTheme="minorEastAsia"/>
                <w:b/>
                <w:bCs/>
                <w:color w:val="000000" w:themeColor="text1"/>
                <w:szCs w:val="21"/>
              </w:rPr>
            </w:pPr>
            <w:r>
              <w:rPr>
                <w:rFonts w:hint="eastAsia"/>
                <w:color w:val="000000"/>
                <w:szCs w:val="21"/>
              </w:rPr>
              <w:t>份额占比</w:t>
            </w:r>
          </w:p>
        </w:tc>
      </w:tr>
      <w:tr>
        <w:tblPrEx>
          <w:tblW w:w="9638" w:type="dxa"/>
          <w:jc w:val="center"/>
          <w:tblLayout w:type="fixed"/>
          <w:tblLook w:val="04A0"/>
        </w:tblPrEx>
        <w:trPr>
          <w:jc w:val="center"/>
        </w:trPr>
        <w:tc>
          <w:tcPr>
            <w:vAlign w:val="center"/>
          </w:tcPr>
          <w:p>
            <w:r>
              <w:rPr>
                <w:rFonts w:eastAsiaTheme="minorEastAsia" w:hint="eastAsia"/>
                <w:bCs/>
                <w:color w:val="000000" w:themeColor="text1"/>
                <w:szCs w:val="21"/>
              </w:rPr>
              <w:t>机构</w:t>
            </w:r>
          </w:p>
        </w:tc>
        <w:tc>
          <w:tcPr>
            <w:vAlign w:val="center"/>
          </w:tcPr>
          <w:p>
            <w:pPr>
              <w:jc w:val="center"/>
            </w:pPr>
            <w:r>
              <w:rPr>
                <w:szCs w:val="21"/>
              </w:rPr>
              <w:t>1</w:t>
            </w:r>
          </w:p>
        </w:tc>
        <w:tc>
          <w:tcPr>
            <w:vAlign w:val="center"/>
          </w:tcPr>
          <w:p>
            <w:pPr>
              <w:jc w:val="center"/>
            </w:pPr>
            <w:r>
              <w:rPr>
                <w:szCs w:val="21"/>
              </w:rPr>
              <w:t>2019年1月1日至2019年6月30日</w:t>
            </w:r>
          </w:p>
        </w:tc>
        <w:tc>
          <w:tcPr>
            <w:vAlign w:val="center"/>
          </w:tcPr>
          <w:p>
            <w:pPr>
              <w:jc w:val="center"/>
            </w:pPr>
            <w:r>
              <w:rPr>
                <w:szCs w:val="21"/>
              </w:rPr>
              <w:t>41,607,124.68</w:t>
            </w:r>
          </w:p>
        </w:tc>
        <w:tc>
          <w:tcPr>
            <w:vAlign w:val="center"/>
          </w:tcPr>
          <w:p>
            <w:pPr>
              <w:jc w:val="center"/>
            </w:pPr>
            <w:r>
              <w:rPr>
                <w:szCs w:val="21"/>
              </w:rPr>
              <w:t>-</w:t>
            </w:r>
          </w:p>
        </w:tc>
        <w:tc>
          <w:tcPr>
            <w:vAlign w:val="center"/>
          </w:tcPr>
          <w:p>
            <w:pPr>
              <w:jc w:val="center"/>
            </w:pPr>
            <w:r>
              <w:rPr>
                <w:szCs w:val="21"/>
              </w:rPr>
              <w:t>-</w:t>
            </w:r>
          </w:p>
        </w:tc>
        <w:tc>
          <w:tcPr>
            <w:vAlign w:val="center"/>
          </w:tcPr>
          <w:p>
            <w:pPr>
              <w:jc w:val="center"/>
            </w:pPr>
            <w:r>
              <w:rPr>
                <w:szCs w:val="21"/>
              </w:rPr>
              <w:t>41,607,124.68</w:t>
            </w:r>
          </w:p>
        </w:tc>
        <w:tc>
          <w:tcPr>
            <w:vAlign w:val="center"/>
          </w:tcPr>
          <w:p>
            <w:pPr>
              <w:jc w:val="center"/>
            </w:pPr>
            <w:r>
              <w:rPr>
                <w:szCs w:val="21"/>
              </w:rPr>
              <w:t>73.40%</w:t>
            </w:r>
          </w:p>
        </w:tc>
      </w:tr>
      <w:tr w:rsidTr="005E0C40">
        <w:tblPrEx>
          <w:tblW w:w="9638" w:type="dxa"/>
          <w:jc w:val="center"/>
          <w:tblLayout w:type="fixed"/>
          <w:tblLook w:val="04A0"/>
        </w:tblPrEx>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5E0C40">
            <w:pPr>
              <w:autoSpaceDE w:val="0"/>
              <w:autoSpaceDN w:val="0"/>
              <w:adjustRightInd w:val="0"/>
              <w:jc w:val="center"/>
              <w:rPr>
                <w:szCs w:val="21"/>
              </w:rPr>
            </w:pPr>
            <w:r>
              <w:rPr>
                <w:rFonts w:hint="eastAsia"/>
                <w:color w:val="000000"/>
                <w:szCs w:val="21"/>
              </w:rPr>
              <w:t>产品特有风险</w:t>
            </w:r>
          </w:p>
        </w:tc>
      </w:tr>
      <w:tr w:rsidTr="005E0C40">
        <w:tblPrEx>
          <w:tblW w:w="9638" w:type="dxa"/>
          <w:jc w:val="center"/>
          <w:tblLayout w:type="fixed"/>
          <w:tblLook w:val="04A0"/>
        </w:tblPrEx>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left"/>
              <w:rPr>
                <w:szCs w:val="21"/>
              </w:rPr>
            </w:pPr>
            <w:r>
              <w:rPr>
                <w:szCs w:val="21"/>
              </w:rPr>
              <w:t>本基金在报告期内，存在报告期间单一投资者持有基金份额达到或超过20%的情形，可能会存在以下风险：</w:t>
            </w:r>
          </w:p>
          <w:p>
            <w:pPr>
              <w:autoSpaceDE w:val="0"/>
              <w:autoSpaceDN w:val="0"/>
              <w:adjustRightInd w:val="0"/>
              <w:jc w:val="left"/>
              <w:rPr>
                <w:szCs w:val="21"/>
              </w:rPr>
            </w:pPr>
            <w:r>
              <w:rPr>
                <w:szCs w:val="21"/>
              </w:rPr>
              <w:t>1）基金净值大幅波动的风险：当持有基金份额占比较高的基金份额持有人大量赎回本基金时，基金为支付赎回款项而卖出所持有的证券，可能造成证券价格波动，导致本基金的收益水平发生波动。同时，因巨额赎回、份额净值小数保留位数与方式、管理费及托管费等费用计提等原因，可能会导致基金份额净值出现大幅波动；</w:t>
            </w:r>
          </w:p>
          <w:p>
            <w:pPr>
              <w:autoSpaceDE w:val="0"/>
              <w:autoSpaceDN w:val="0"/>
              <w:adjustRightInd w:val="0"/>
              <w:jc w:val="left"/>
              <w:rPr>
                <w:szCs w:val="21"/>
              </w:rPr>
            </w:pPr>
            <w:r>
              <w:rPr>
                <w:szCs w:val="21"/>
              </w:rPr>
              <w:t>2）巨额赎回的风险：当持有基金份额占比较高的基金份额持有人大量赎回本基金时，可能触发本基金巨额赎回条款，基金份额持有人将可能无法及时赎回所持有的全部基金份额；</w:t>
            </w:r>
          </w:p>
          <w:p>
            <w:pPr>
              <w:autoSpaceDE w:val="0"/>
              <w:autoSpaceDN w:val="0"/>
              <w:adjustRightInd w:val="0"/>
              <w:jc w:val="left"/>
              <w:rPr>
                <w:szCs w:val="21"/>
              </w:rPr>
            </w:pPr>
            <w:r>
              <w:rPr>
                <w:szCs w:val="21"/>
              </w:rPr>
              <w:t>3）流动性风险：当持有基金份额占比较高的基金份额持有人大量赎回本基金时，可能导致本基金的流动性风险；</w:t>
            </w:r>
          </w:p>
          <w:p>
            <w:pPr>
              <w:autoSpaceDE w:val="0"/>
              <w:autoSpaceDN w:val="0"/>
              <w:adjustRightInd w:val="0"/>
              <w:jc w:val="left"/>
              <w:rPr>
                <w:szCs w:val="21"/>
              </w:rPr>
            </w:pPr>
            <w:r>
              <w:rPr>
                <w:szCs w:val="21"/>
              </w:rPr>
              <w:t>4）基金提前终止、转型或与其他基金合并的风险：当持有基金份额占比较高的基金份额持有人大量赎回本基金时，可能导致在其赎回后本基金出现连续六十个工作日基金资产净值低于5000万元，可能导致本基金面临转换运作方式、与其他基金合并或者终止基金合同等情形。</w:t>
            </w:r>
          </w:p>
          <w:p>
            <w:pPr>
              <w:autoSpaceDE w:val="0"/>
              <w:autoSpaceDN w:val="0"/>
              <w:adjustRightInd w:val="0"/>
              <w:jc w:val="left"/>
              <w:rPr>
                <w:szCs w:val="21"/>
              </w:rPr>
            </w:pPr>
            <w:r>
              <w:rPr>
                <w:szCs w:val="21"/>
              </w:rPr>
              <w:t>5）基金规模过小导致的风险:当持有基金份额占比较高的基金份额持有人大量赎回本基金时，可能导致基金规模过小。基金可能会面临投资银行间债券、交易所债券时交易困难的情形。</w:t>
            </w:r>
          </w:p>
          <w:p w:rsidR="005E0C40" w:rsidP="00281943">
            <w:pPr>
              <w:autoSpaceDE w:val="0"/>
              <w:autoSpaceDN w:val="0"/>
              <w:adjustRightInd w:val="0"/>
              <w:jc w:val="left"/>
              <w:rPr>
                <w:szCs w:val="21"/>
              </w:rPr>
            </w:pPr>
            <w:r>
              <w:rPr>
                <w:szCs w:val="21"/>
              </w:rPr>
              <w:t>6）份额占比较高的投资者申购申请被拒绝的风险：当某一基金份额持有人所持有的基金份额达到或超过本基金总份额的50%时，本基金管理人将不再接受该持有人对本基金基金份额提出的申购及转换转入申请。在其他基金份额持有人赎回基金份额导致某一基金份额持有人所持有的基金份额达到或超过本基金总份额50%的情况下，该基金份额持有人将面临所提出的对本基金基金份额的申购及转换转入申请被拒绝的风险。如果投资人某笔申购或转换转入申请导致其持有本基金基金份额达到或超过本基金规模的50%，该笔申购或转换转入申请可能被确认失败。</w:t>
            </w:r>
          </w:p>
        </w:tc>
      </w:tr>
    </w:tbl>
    <w:p w:rsidR="005E0C40" w:rsidP="005E0C40">
      <w:pPr>
        <w:pStyle w:val="Heading2"/>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11.2 </w:t>
      </w:r>
      <w:r>
        <w:rPr>
          <w:rFonts w:ascii="Times New Roman" w:hAnsi="Times New Roman" w:hint="eastAsia"/>
          <w:color w:val="000000" w:themeColor="text1"/>
          <w:kern w:val="0"/>
          <w:sz w:val="21"/>
          <w:szCs w:val="21"/>
        </w:rPr>
        <w:t>影响投资者决策的其他重要信息</w:t>
      </w:r>
    </w:p>
    <w:p w:rsidR="001548F9" w:rsidRPr="0045565B" w:rsidP="005E0C40">
      <w:pPr>
        <w:ind w:firstLine="315" w:firstLineChars="150"/>
        <w:rPr>
          <w:rFonts w:eastAsiaTheme="minorEastAsia"/>
          <w:bCs/>
          <w:color w:val="000000"/>
          <w:szCs w:val="21"/>
        </w:rPr>
      </w:pPr>
      <w:r>
        <w:rPr>
          <w:rFonts w:eastAsiaTheme="minorEastAsia"/>
          <w:color w:val="000000" w:themeColor="text1"/>
          <w:szCs w:val="21"/>
        </w:rPr>
        <w:t>无影响投资者决策的其他重要信息。</w:t>
      </w:r>
    </w:p>
    <w:p w:rsidR="001548F9" w:rsidRPr="0045565B" w:rsidP="00D24622">
      <w:pPr>
        <w:ind w:firstLine="315" w:firstLineChars="150"/>
        <w:rPr>
          <w:rFonts w:eastAsiaTheme="minorEastAsia"/>
          <w:bCs/>
          <w:color w:val="000000"/>
          <w:szCs w:val="21"/>
        </w:rPr>
      </w:pPr>
    </w:p>
    <w:p w:rsidR="001548F9" w:rsidRPr="0045565B" w:rsidP="00D24622">
      <w:pPr>
        <w:ind w:firstLine="315" w:firstLineChars="150"/>
        <w:rPr>
          <w:rFonts w:eastAsiaTheme="minorEastAsia"/>
          <w:bCs/>
          <w:color w:val="000000"/>
          <w:szCs w:val="21"/>
        </w:rPr>
      </w:pPr>
    </w:p>
    <w:p w:rsidR="001548F9" w:rsidRPr="0045565B" w:rsidP="006A2FD2">
      <w:pPr>
        <w:spacing w:before="312" w:beforeLines="100" w:line="360" w:lineRule="auto"/>
        <w:ind w:left="839"/>
        <w:jc w:val="right"/>
        <w:rPr>
          <w:rFonts w:eastAsiaTheme="minorEastAsia"/>
          <w:b/>
          <w:bCs/>
          <w:szCs w:val="21"/>
        </w:rPr>
      </w:pPr>
      <w:r w:rsidRPr="0045565B">
        <w:rPr>
          <w:rFonts w:eastAsiaTheme="minorEastAsia"/>
          <w:b/>
          <w:bCs/>
          <w:szCs w:val="21"/>
        </w:rPr>
        <w:t>金鹰基金管理有限公司</w:t>
      </w:r>
    </w:p>
    <w:p w:rsidR="001548F9" w:rsidRPr="0045565B" w:rsidP="000372F8">
      <w:pPr>
        <w:spacing w:line="360" w:lineRule="auto"/>
        <w:ind w:left="840"/>
        <w:jc w:val="right"/>
        <w:rPr>
          <w:rFonts w:eastAsiaTheme="minorEastAsia"/>
          <w:b/>
          <w:bCs/>
          <w:szCs w:val="21"/>
        </w:rPr>
      </w:pPr>
      <w:r w:rsidRPr="0045565B">
        <w:rPr>
          <w:rFonts w:eastAsiaTheme="minorEastAsia"/>
          <w:b/>
          <w:bCs/>
          <w:szCs w:val="21"/>
        </w:rPr>
        <w:t>二〇一九年八月二十三日</w:t>
      </w:r>
    </w:p>
    <w:sectPr w:rsidSect="00937AC9">
      <w:footerReference w:type="even" r:id="rId7"/>
      <w:footerReference w:type="default" r:id="rId8"/>
      <w:pgSz w:w="11906" w:h="16838" w:code="9"/>
      <w:pgMar w:top="1418"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P="00C03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B3136" w:rsidP="00C03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P="00C03B3A">
    <w:pPr>
      <w:pStyle w:val="Footer"/>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RPr="00801E52" w:rsidP="002243A3">
    <w:pPr>
      <w:pStyle w:val="Header"/>
      <w:pBdr>
        <w:bottom w:val="single" w:sz="6" w:space="0" w:color="auto"/>
      </w:pBdr>
      <w:jc w:val="right"/>
    </w:pPr>
    <w:r w:rsidRPr="00801E52">
      <w:t>金鹰持久增利债券型证券投资基金(LOF)2019年半年度报告</w:t>
    </w:r>
    <w:r w:rsidRPr="00801E52">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055987"/>
    <w:multiLevelType w:val="hybridMultilevel"/>
    <w:tmpl w:val="6DACDB38"/>
    <w:lvl w:ilvl="0">
      <w:start w:val="2006"/>
      <w:numFmt w:val="bullet"/>
      <w:lvlText w:val="●"/>
      <w:lvlJc w:val="left"/>
      <w:pPr>
        <w:tabs>
          <w:tab w:val="num" w:pos="780"/>
        </w:tabs>
        <w:ind w:left="780" w:hanging="360"/>
      </w:pPr>
      <w:rPr>
        <w:rFonts w:ascii="Times New Roman" w:eastAsia="宋体" w:hAnsi="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start w:val="1"/>
      <w:numFmt w:val="decimal"/>
      <w:lvlText w:val="（%1）"/>
      <w:lvlJc w:val="left"/>
      <w:pPr>
        <w:tabs>
          <w:tab w:val="num" w:pos="1200"/>
        </w:tabs>
        <w:ind w:left="1200" w:hanging="720"/>
      </w:pPr>
      <w:rPr>
        <w:rFonts w:cs="Times New Roman" w:hint="eastAsia"/>
        <w:sz w:val="24"/>
      </w:rPr>
    </w:lvl>
    <w:lvl w:ilvl="1" w:tentative="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start w:val="1"/>
      <w:numFmt w:val="japaneseCounting"/>
      <w:lvlText w:val="%1、"/>
      <w:lvlJc w:val="left"/>
      <w:pPr>
        <w:tabs>
          <w:tab w:val="num" w:pos="480"/>
        </w:tabs>
        <w:ind w:left="480" w:hanging="480"/>
      </w:pPr>
      <w:rPr>
        <w:rFonts w:eastAsia="宋体" w:cs="Times New Roman" w:hint="eastAsia"/>
        <w:color w:val="auto"/>
      </w:rPr>
    </w:lvl>
    <w:lvl w:ilvl="1">
      <w:start w:val="1"/>
      <w:numFmt w:val="japaneseCounting"/>
      <w:lvlText w:val="(%2)"/>
      <w:lvlJc w:val="left"/>
      <w:pPr>
        <w:tabs>
          <w:tab w:val="num" w:pos="810"/>
        </w:tabs>
        <w:ind w:left="810" w:hanging="390"/>
      </w:pPr>
      <w:rPr>
        <w:rFonts w:cs="Times New Roman" w:hint="eastAsia"/>
      </w:rPr>
    </w:lvl>
    <w:lvl w:ilvl="2">
      <w:start w:val="1"/>
      <w:numFmt w:val="decimal"/>
      <w:lvlText w:val="%3、"/>
      <w:lvlJc w:val="left"/>
      <w:pPr>
        <w:tabs>
          <w:tab w:val="num" w:pos="1200"/>
        </w:tabs>
        <w:ind w:left="1200" w:hanging="360"/>
      </w:pPr>
      <w:rPr>
        <w:rFonts w:cs="Times New Roman" w:hint="eastAsia"/>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start w:val="0"/>
        <w:numFmt w:val="decim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start w:val="0"/>
        <w:numFmt w:val="decim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intPostScriptOverText/>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04"/>
    <w:pPr>
      <w:widowControl w:val="0"/>
      <w:jc w:val="both"/>
    </w:pPr>
    <w:rPr>
      <w:kern w:val="2"/>
      <w:sz w:val="21"/>
      <w:szCs w:val="24"/>
    </w:rPr>
  </w:style>
  <w:style w:type="paragraph" w:styleId="Heading1">
    <w:name w:val="heading 1"/>
    <w:basedOn w:val="Normal"/>
    <w:next w:val="Normal"/>
    <w:link w:val="1Char"/>
    <w:uiPriority w:val="99"/>
    <w:qFormat/>
    <w:rsid w:val="0089214A"/>
    <w:pPr>
      <w:widowControl/>
      <w:jc w:val="left"/>
      <w:outlineLvl w:val="0"/>
    </w:pPr>
    <w:rPr>
      <w:kern w:val="0"/>
      <w:sz w:val="24"/>
      <w:szCs w:val="20"/>
      <w:lang w:val="en-GB"/>
    </w:rPr>
  </w:style>
  <w:style w:type="paragraph" w:styleId="Heading2">
    <w:name w:val="heading 2"/>
    <w:basedOn w:val="Normal"/>
    <w:next w:val="NormalIndent"/>
    <w:link w:val="2Char"/>
    <w:uiPriority w:val="99"/>
    <w:qFormat/>
    <w:rsid w:val="00FB732E"/>
    <w:pPr>
      <w:keepNext/>
      <w:keepLines/>
      <w:spacing w:before="260" w:after="260" w:line="360" w:lineRule="auto"/>
      <w:outlineLvl w:val="1"/>
    </w:pPr>
    <w:rPr>
      <w:rFonts w:ascii="Arial" w:hAnsi="Arial"/>
      <w:b/>
      <w:bCs/>
      <w:sz w:val="24"/>
      <w:szCs w:val="28"/>
    </w:rPr>
  </w:style>
  <w:style w:type="paragraph" w:styleId="Heading3">
    <w:name w:val="heading 3"/>
    <w:basedOn w:val="Normal"/>
    <w:next w:val="Normal"/>
    <w:link w:val="3Char"/>
    <w:uiPriority w:val="99"/>
    <w:qFormat/>
    <w:rsid w:val="00F85F8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9"/>
    <w:locked/>
    <w:rsid w:val="0003228A"/>
    <w:rPr>
      <w:rFonts w:cs="Times New Roman"/>
      <w:sz w:val="24"/>
      <w:lang w:val="en-GB"/>
    </w:rPr>
  </w:style>
  <w:style w:type="character" w:customStyle="1" w:styleId="2Char">
    <w:name w:val="标题 2 Char"/>
    <w:link w:val="Heading2"/>
    <w:uiPriority w:val="99"/>
    <w:qFormat/>
    <w:locked/>
    <w:rsid w:val="00A3655D"/>
    <w:rPr>
      <w:rFonts w:ascii="Arial" w:hAnsi="Arial" w:cs="Times New Roman"/>
      <w:b/>
      <w:kern w:val="2"/>
      <w:sz w:val="28"/>
    </w:rPr>
  </w:style>
  <w:style w:type="character" w:customStyle="1" w:styleId="3Char">
    <w:name w:val="标题 3 Char"/>
    <w:link w:val="Heading3"/>
    <w:uiPriority w:val="99"/>
    <w:locked/>
    <w:rsid w:val="006D141C"/>
    <w:rPr>
      <w:rFonts w:cs="Times New Roman"/>
      <w:b/>
      <w:bCs/>
      <w:kern w:val="2"/>
      <w:sz w:val="32"/>
      <w:szCs w:val="32"/>
    </w:rPr>
  </w:style>
  <w:style w:type="paragraph" w:styleId="NormalIndent">
    <w:name w:val="Normal Indent"/>
    <w:basedOn w:val="Normal"/>
    <w:uiPriority w:val="99"/>
    <w:qFormat/>
    <w:rsid w:val="00FB732E"/>
    <w:pPr>
      <w:ind w:firstLine="420" w:firstLineChars="200"/>
    </w:pPr>
  </w:style>
  <w:style w:type="paragraph" w:styleId="BodyTextIndent">
    <w:name w:val="Body Text Indent"/>
    <w:basedOn w:val="Normal"/>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BodyTextIndent"/>
    <w:uiPriority w:val="99"/>
    <w:locked/>
    <w:rsid w:val="006D141C"/>
    <w:rPr>
      <w:rFonts w:ascii="Arial Unicode MS" w:hAnsi="Arial Unicode MS" w:cs="Arial Unicode MS"/>
      <w:sz w:val="24"/>
      <w:szCs w:val="24"/>
    </w:rPr>
  </w:style>
  <w:style w:type="paragraph" w:styleId="PlainText">
    <w:name w:val="Plain Text"/>
    <w:basedOn w:val="Normal"/>
    <w:link w:val="Char0"/>
    <w:uiPriority w:val="99"/>
    <w:rsid w:val="00FB732E"/>
    <w:rPr>
      <w:rFonts w:ascii="宋体" w:hAnsi="Courier New"/>
      <w:szCs w:val="21"/>
    </w:rPr>
  </w:style>
  <w:style w:type="character" w:customStyle="1" w:styleId="Char0">
    <w:name w:val="纯文本 Char"/>
    <w:link w:val="PlainText"/>
    <w:uiPriority w:val="99"/>
    <w:locked/>
    <w:rsid w:val="00586E9A"/>
    <w:rPr>
      <w:rFonts w:ascii="宋体" w:hAnsi="Courier New" w:cs="Times New Roman"/>
      <w:kern w:val="2"/>
      <w:sz w:val="21"/>
    </w:rPr>
  </w:style>
  <w:style w:type="paragraph" w:styleId="BodyTextIndent2">
    <w:name w:val="Body Text Indent 2"/>
    <w:basedOn w:val="Normal"/>
    <w:link w:val="2Char0"/>
    <w:rsid w:val="00FB732E"/>
    <w:pPr>
      <w:spacing w:line="560" w:lineRule="exact"/>
      <w:ind w:firstLine="480" w:firstLineChars="200"/>
    </w:pPr>
    <w:rPr>
      <w:rFonts w:ascii="宋体" w:hAnsi="宋体"/>
      <w:color w:val="FF0000"/>
      <w:sz w:val="24"/>
    </w:rPr>
  </w:style>
  <w:style w:type="character" w:customStyle="1" w:styleId="2Char0">
    <w:name w:val="正文文本缩进 2 Char"/>
    <w:link w:val="BodyTextIndent2"/>
    <w:locked/>
    <w:rsid w:val="006D141C"/>
    <w:rPr>
      <w:rFonts w:ascii="宋体" w:eastAsia="宋体" w:cs="Times New Roman"/>
      <w:color w:val="FF0000"/>
      <w:kern w:val="2"/>
      <w:sz w:val="24"/>
      <w:szCs w:val="24"/>
    </w:rPr>
  </w:style>
  <w:style w:type="paragraph" w:styleId="Footer">
    <w:name w:val="footer"/>
    <w:basedOn w:val="Normal"/>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Footer"/>
    <w:uiPriority w:val="99"/>
    <w:locked/>
    <w:rsid w:val="006D141C"/>
    <w:rPr>
      <w:rFonts w:cs="Times New Roman"/>
      <w:kern w:val="2"/>
      <w:sz w:val="18"/>
      <w:szCs w:val="18"/>
    </w:rPr>
  </w:style>
  <w:style w:type="character" w:styleId="PageNumber">
    <w:name w:val="page number"/>
    <w:uiPriority w:val="99"/>
    <w:rsid w:val="00FB732E"/>
    <w:rPr>
      <w:rFonts w:cs="Times New Roman"/>
    </w:rPr>
  </w:style>
  <w:style w:type="character" w:styleId="Hyperlink">
    <w:name w:val="Hyperlink"/>
    <w:uiPriority w:val="99"/>
    <w:rsid w:val="00FB732E"/>
    <w:rPr>
      <w:rFonts w:cs="Times New Roman"/>
      <w:color w:val="0000FF"/>
      <w:u w:val="single"/>
    </w:rPr>
  </w:style>
  <w:style w:type="paragraph" w:styleId="BodyTextIndent3">
    <w:name w:val="Body Text Indent 3"/>
    <w:basedOn w:val="Normal"/>
    <w:link w:val="3Char0"/>
    <w:uiPriority w:val="99"/>
    <w:rsid w:val="00FB732E"/>
    <w:pPr>
      <w:spacing w:line="560" w:lineRule="exact"/>
      <w:ind w:firstLine="420" w:firstLineChars="200"/>
    </w:pPr>
    <w:rPr>
      <w:rFonts w:ascii="Arial" w:hAnsi="Arial" w:cs="Arial"/>
      <w:color w:val="FF0000"/>
    </w:rPr>
  </w:style>
  <w:style w:type="character" w:customStyle="1" w:styleId="3Char0">
    <w:name w:val="正文文本缩进 3 Char"/>
    <w:link w:val="BodyTextIndent3"/>
    <w:uiPriority w:val="99"/>
    <w:locked/>
    <w:rsid w:val="006D141C"/>
    <w:rPr>
      <w:rFonts w:ascii="Arial" w:hAnsi="Arial" w:cs="Arial"/>
      <w:color w:val="FF0000"/>
      <w:kern w:val="2"/>
      <w:sz w:val="24"/>
      <w:szCs w:val="24"/>
    </w:rPr>
  </w:style>
  <w:style w:type="paragraph" w:styleId="Header">
    <w:name w:val="header"/>
    <w:basedOn w:val="Normal"/>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Header"/>
    <w:uiPriority w:val="99"/>
    <w:locked/>
    <w:rsid w:val="006D141C"/>
    <w:rPr>
      <w:rFonts w:cs="Times New Roman"/>
      <w:kern w:val="2"/>
      <w:sz w:val="18"/>
      <w:szCs w:val="18"/>
    </w:rPr>
  </w:style>
  <w:style w:type="character" w:styleId="FollowedHyperlink">
    <w:name w:val="FollowedHyperlink"/>
    <w:uiPriority w:val="99"/>
    <w:rsid w:val="00FB732E"/>
    <w:rPr>
      <w:rFonts w:cs="Times New Roman"/>
      <w:color w:val="800080"/>
      <w:u w:val="single"/>
    </w:rPr>
  </w:style>
  <w:style w:type="paragraph" w:styleId="List">
    <w:name w:val="List"/>
    <w:basedOn w:val="BodyText"/>
    <w:uiPriority w:val="99"/>
    <w:rsid w:val="00FB732E"/>
    <w:pPr>
      <w:spacing w:after="220" w:line="220" w:lineRule="atLeast"/>
      <w:ind w:left="1440" w:hanging="360"/>
    </w:pPr>
    <w:rPr>
      <w:szCs w:val="20"/>
    </w:rPr>
  </w:style>
  <w:style w:type="paragraph" w:styleId="BodyText">
    <w:name w:val="Body Text"/>
    <w:basedOn w:val="Normal"/>
    <w:link w:val="Char3"/>
    <w:uiPriority w:val="99"/>
    <w:rsid w:val="00FB732E"/>
    <w:pPr>
      <w:spacing w:after="120"/>
    </w:pPr>
  </w:style>
  <w:style w:type="character" w:customStyle="1" w:styleId="Char3">
    <w:name w:val="正文文本 Char"/>
    <w:link w:val="BodyText"/>
    <w:uiPriority w:val="99"/>
    <w:locked/>
    <w:rsid w:val="006D141C"/>
    <w:rPr>
      <w:rFonts w:cs="Times New Roman"/>
      <w:kern w:val="2"/>
      <w:sz w:val="24"/>
      <w:szCs w:val="24"/>
    </w:rPr>
  </w:style>
  <w:style w:type="paragraph" w:styleId="Date">
    <w:name w:val="Date"/>
    <w:basedOn w:val="Normal"/>
    <w:next w:val="Normal"/>
    <w:link w:val="Char4"/>
    <w:uiPriority w:val="99"/>
    <w:rsid w:val="00FB732E"/>
    <w:rPr>
      <w:sz w:val="24"/>
      <w:szCs w:val="20"/>
    </w:rPr>
  </w:style>
  <w:style w:type="character" w:customStyle="1" w:styleId="Char4">
    <w:name w:val="日期 Char"/>
    <w:link w:val="Dat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Index1">
    <w:name w:val="index 1"/>
    <w:basedOn w:val="Normal"/>
    <w:next w:val="Normal"/>
    <w:autoRedefine/>
    <w:uiPriority w:val="99"/>
    <w:semiHidden/>
    <w:rsid w:val="00FB732E"/>
    <w:pPr>
      <w:jc w:val="right"/>
    </w:pPr>
    <w:rPr>
      <w:color w:val="008000"/>
    </w:rPr>
  </w:style>
  <w:style w:type="paragraph" w:customStyle="1" w:styleId="font5">
    <w:name w:val="font5"/>
    <w:basedOn w:val="Normal"/>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Normal"/>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BalloonText">
    <w:name w:val="Balloon Text"/>
    <w:basedOn w:val="Normal"/>
    <w:link w:val="Char5"/>
    <w:uiPriority w:val="99"/>
    <w:semiHidden/>
    <w:rsid w:val="00FB732E"/>
    <w:rPr>
      <w:sz w:val="18"/>
      <w:szCs w:val="18"/>
    </w:rPr>
  </w:style>
  <w:style w:type="character" w:customStyle="1" w:styleId="Char5">
    <w:name w:val="批注框文本 Char"/>
    <w:link w:val="BalloonText"/>
    <w:uiPriority w:val="99"/>
    <w:semiHidden/>
    <w:locked/>
    <w:rsid w:val="006D141C"/>
    <w:rPr>
      <w:rFonts w:cs="Times New Roman"/>
      <w:kern w:val="2"/>
      <w:sz w:val="18"/>
      <w:szCs w:val="18"/>
    </w:rPr>
  </w:style>
  <w:style w:type="character" w:styleId="CommentReference">
    <w:name w:val="annotation reference"/>
    <w:uiPriority w:val="99"/>
    <w:semiHidden/>
    <w:rsid w:val="00FB732E"/>
    <w:rPr>
      <w:rFonts w:cs="Times New Roman"/>
      <w:sz w:val="21"/>
    </w:rPr>
  </w:style>
  <w:style w:type="paragraph" w:styleId="CommentText">
    <w:name w:val="annotation text"/>
    <w:basedOn w:val="Normal"/>
    <w:link w:val="Char6"/>
    <w:uiPriority w:val="99"/>
    <w:semiHidden/>
    <w:rsid w:val="00FB732E"/>
    <w:pPr>
      <w:jc w:val="left"/>
    </w:pPr>
  </w:style>
  <w:style w:type="character" w:customStyle="1" w:styleId="Char6">
    <w:name w:val="批注文字 Char"/>
    <w:link w:val="CommentText"/>
    <w:uiPriority w:val="99"/>
    <w:semiHidden/>
    <w:locked/>
    <w:rsid w:val="006D141C"/>
    <w:rPr>
      <w:rFonts w:cs="Times New Roman"/>
      <w:kern w:val="2"/>
      <w:sz w:val="24"/>
      <w:szCs w:val="24"/>
    </w:rPr>
  </w:style>
  <w:style w:type="paragraph" w:styleId="CommentSubject">
    <w:name w:val="annotation subject"/>
    <w:basedOn w:val="CommentText"/>
    <w:next w:val="CommentText"/>
    <w:link w:val="Char7"/>
    <w:uiPriority w:val="99"/>
    <w:semiHidden/>
    <w:rsid w:val="00FB732E"/>
    <w:rPr>
      <w:b/>
      <w:bCs/>
    </w:rPr>
  </w:style>
  <w:style w:type="character" w:customStyle="1" w:styleId="Char7">
    <w:name w:val="批注主题 Char"/>
    <w:link w:val="CommentSubject"/>
    <w:uiPriority w:val="99"/>
    <w:semiHidden/>
    <w:locked/>
    <w:rsid w:val="006D141C"/>
    <w:rPr>
      <w:rFonts w:cs="Times New Roman"/>
      <w:b/>
      <w:bCs/>
      <w:kern w:val="2"/>
      <w:sz w:val="24"/>
      <w:szCs w:val="24"/>
    </w:rPr>
  </w:style>
  <w:style w:type="paragraph" w:customStyle="1" w:styleId="Char8">
    <w:name w:val="Char"/>
    <w:basedOn w:val="Normal"/>
    <w:uiPriority w:val="99"/>
    <w:rsid w:val="00FB732E"/>
  </w:style>
  <w:style w:type="paragraph" w:styleId="DocumentMap">
    <w:name w:val="Document Map"/>
    <w:basedOn w:val="Normal"/>
    <w:link w:val="Char9"/>
    <w:uiPriority w:val="99"/>
    <w:semiHidden/>
    <w:rsid w:val="000A549A"/>
    <w:pPr>
      <w:shd w:val="clear" w:color="auto" w:fill="000080"/>
    </w:pPr>
  </w:style>
  <w:style w:type="character" w:customStyle="1" w:styleId="Char9">
    <w:name w:val="文档结构图 Char"/>
    <w:link w:val="DocumentMap"/>
    <w:uiPriority w:val="99"/>
    <w:semiHidden/>
    <w:locked/>
    <w:rsid w:val="006D141C"/>
    <w:rPr>
      <w:rFonts w:cs="Times New Roman"/>
      <w:kern w:val="2"/>
      <w:sz w:val="24"/>
      <w:szCs w:val="24"/>
      <w:shd w:val="clear" w:color="auto" w:fill="000080"/>
    </w:rPr>
  </w:style>
  <w:style w:type="paragraph" w:customStyle="1" w:styleId="a">
    <w:name w:val="正文 + (符号) 宋体"/>
    <w:aliases w:val="小四,紧缩量  0.2 磅"/>
    <w:basedOn w:val="Normal"/>
    <w:uiPriority w:val="99"/>
    <w:rsid w:val="00C22CCE"/>
    <w:pPr>
      <w:autoSpaceDE w:val="0"/>
      <w:autoSpaceDN w:val="0"/>
      <w:adjustRightInd w:val="0"/>
      <w:ind w:right="1409" w:firstLine="1229" w:rightChars="671" w:firstLineChars="512"/>
      <w:jc w:val="distribute"/>
    </w:pPr>
    <w:rPr>
      <w:sz w:val="24"/>
    </w:rPr>
  </w:style>
  <w:style w:type="paragraph" w:styleId="FootnoteText">
    <w:name w:val="footnote text"/>
    <w:basedOn w:val="Normal"/>
    <w:link w:val="Char10"/>
    <w:uiPriority w:val="99"/>
    <w:rsid w:val="00547D9C"/>
    <w:pPr>
      <w:snapToGrid w:val="0"/>
      <w:jc w:val="left"/>
    </w:pPr>
    <w:rPr>
      <w:sz w:val="18"/>
      <w:szCs w:val="18"/>
    </w:rPr>
  </w:style>
  <w:style w:type="character" w:customStyle="1" w:styleId="Char10">
    <w:name w:val="脚注文本 Char"/>
    <w:link w:val="FootnoteText"/>
    <w:uiPriority w:val="99"/>
    <w:locked/>
    <w:rsid w:val="006D141C"/>
    <w:rPr>
      <w:rFonts w:cs="Times New Roman"/>
      <w:kern w:val="2"/>
      <w:sz w:val="18"/>
      <w:szCs w:val="18"/>
    </w:rPr>
  </w:style>
  <w:style w:type="character" w:styleId="FootnoteReference">
    <w:name w:val="footnote reference"/>
    <w:uiPriority w:val="99"/>
    <w:rsid w:val="00547D9C"/>
    <w:rPr>
      <w:rFonts w:cs="Times New Roman"/>
      <w:vertAlign w:val="superscript"/>
    </w:rPr>
  </w:style>
  <w:style w:type="paragraph" w:styleId="NormalWeb">
    <w:name w:val="Normal (Web)"/>
    <w:basedOn w:val="Normal"/>
    <w:uiPriority w:val="99"/>
    <w:rsid w:val="005D45B3"/>
    <w:pPr>
      <w:widowControl/>
      <w:spacing w:before="100" w:beforeAutospacing="1" w:after="100" w:afterAutospacing="1"/>
      <w:jc w:val="left"/>
    </w:pPr>
    <w:rPr>
      <w:rFonts w:ascii="宋体" w:hAnsi="宋体"/>
      <w:kern w:val="0"/>
      <w:sz w:val="24"/>
    </w:rPr>
  </w:style>
  <w:style w:type="table" w:styleId="TableGrid">
    <w:name w:val="Table Grid"/>
    <w:basedOn w:val="TableNormal"/>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1">
    <w:name w:val="Char1"/>
    <w:basedOn w:val="Normal"/>
    <w:uiPriority w:val="99"/>
    <w:rsid w:val="00043ABF"/>
  </w:style>
  <w:style w:type="paragraph" w:customStyle="1" w:styleId="CharCharCharCharCharChar1CharCharChar">
    <w:name w:val="Char Char Char Char Char Char1 Char Char Char"/>
    <w:basedOn w:val="Normal"/>
    <w:uiPriority w:val="99"/>
    <w:rsid w:val="005166E9"/>
    <w:pPr>
      <w:autoSpaceDE w:val="0"/>
      <w:autoSpaceDN w:val="0"/>
      <w:adjustRightInd w:val="0"/>
      <w:jc w:val="left"/>
      <w:textAlignment w:val="baseline"/>
    </w:pPr>
    <w:rPr>
      <w:rFonts w:ascii="宋体"/>
      <w:kern w:val="0"/>
      <w:sz w:val="34"/>
      <w:szCs w:val="20"/>
    </w:rPr>
  </w:style>
  <w:style w:type="paragraph" w:styleId="TOC2">
    <w:name w:val="toc 2"/>
    <w:basedOn w:val="Normal"/>
    <w:next w:val="Normal"/>
    <w:autoRedefine/>
    <w:uiPriority w:val="99"/>
    <w:semiHidden/>
    <w:rsid w:val="00D35D4A"/>
    <w:pPr>
      <w:tabs>
        <w:tab w:val="left" w:pos="1260"/>
        <w:tab w:val="right" w:leader="dot" w:pos="9072"/>
      </w:tabs>
      <w:ind w:left="420" w:leftChars="200"/>
    </w:pPr>
    <w:rPr>
      <w:kern w:val="0"/>
      <w:szCs w:val="21"/>
    </w:rPr>
  </w:style>
  <w:style w:type="paragraph" w:customStyle="1" w:styleId="CharCharCharChar">
    <w:name w:val="Char Char Char Char"/>
    <w:basedOn w:val="Normal"/>
    <w:autoRedefine/>
    <w:uiPriority w:val="99"/>
    <w:rsid w:val="005721D0"/>
    <w:pPr>
      <w:tabs>
        <w:tab w:val="num" w:pos="840"/>
      </w:tabs>
      <w:adjustRightInd w:val="0"/>
      <w:spacing w:line="360" w:lineRule="atLeast"/>
      <w:ind w:left="840" w:hanging="360"/>
      <w:textAlignment w:val="baseline"/>
    </w:pPr>
    <w:rPr>
      <w:sz w:val="24"/>
    </w:rPr>
  </w:style>
  <w:style w:type="paragraph" w:styleId="TOC1">
    <w:name w:val="toc 1"/>
    <w:basedOn w:val="Normal"/>
    <w:next w:val="Normal"/>
    <w:autoRedefine/>
    <w:uiPriority w:val="99"/>
    <w:semiHidden/>
    <w:rsid w:val="00BE2A17"/>
    <w:pPr>
      <w:tabs>
        <w:tab w:val="right" w:leader="dot" w:pos="9072"/>
      </w:tabs>
    </w:pPr>
  </w:style>
  <w:style w:type="paragraph" w:styleId="TOC3">
    <w:name w:val="toc 3"/>
    <w:basedOn w:val="Normal"/>
    <w:next w:val="Normal"/>
    <w:autoRedefine/>
    <w:uiPriority w:val="99"/>
    <w:semiHidden/>
    <w:rsid w:val="00954A89"/>
    <w:pPr>
      <w:ind w:left="840" w:leftChars="400"/>
    </w:pPr>
  </w:style>
  <w:style w:type="paragraph" w:customStyle="1" w:styleId="CharCharCharCharCharChar1CharCharChar1">
    <w:name w:val="Char Char Char Char Char Char1 Char Char Char1"/>
    <w:basedOn w:val="Normal"/>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Strong">
    <w:name w:val="Strong"/>
    <w:basedOn w:val="DefaultParagraphFont"/>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32</Pages>
  <Words>12383</Words>
  <Characters>70584</Characters>
  <Application>Microsoft Office Word</Application>
  <DocSecurity>0</DocSecurity>
  <Lines>588</Lines>
  <Paragraphs>165</Paragraphs>
  <ScaleCrop>false</ScaleCrop>
  <Company/>
  <LinksUpToDate>false</LinksUpToDate>
  <CharactersWithSpaces>82802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hp</cp:lastModifiedBy>
  <cp:revision>324</cp:revision>
  <cp:lastPrinted>2007-07-19T00:46:00Z</cp:lastPrinted>
  <dcterms:created xsi:type="dcterms:W3CDTF">2013-08-19T07:43:00Z</dcterms:created>
  <dcterms:modified xsi:type="dcterms:W3CDTF">2018-07-25T03:21:00Z</dcterms:modified>
</cp:coreProperties>
</file>