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4.11.0.0 -->
  <w:body>
    <w:p w:rsidR="001548F9" w:rsidRPr="0045565B" w:rsidP="006D141C">
      <w:pPr>
        <w:autoSpaceDE w:val="0"/>
        <w:autoSpaceDN w:val="0"/>
        <w:adjustRightInd w:val="0"/>
        <w:spacing w:line="360" w:lineRule="auto"/>
        <w:jc w:val="left"/>
        <w:rPr>
          <w:rFonts w:eastAsiaTheme="minorEastAsia"/>
          <w:color w:val="000000"/>
          <w:kern w:val="0"/>
          <w:szCs w:val="21"/>
        </w:rPr>
      </w:pPr>
    </w:p>
    <w:p w:rsidR="001548F9" w:rsidRPr="0045565B" w:rsidP="006D141C">
      <w:pPr>
        <w:autoSpaceDE w:val="0"/>
        <w:autoSpaceDN w:val="0"/>
        <w:adjustRightInd w:val="0"/>
        <w:spacing w:line="360" w:lineRule="auto"/>
        <w:jc w:val="left"/>
        <w:rPr>
          <w:rFonts w:eastAsiaTheme="minorEastAsia"/>
          <w:color w:val="000000"/>
          <w:kern w:val="0"/>
          <w:szCs w:val="21"/>
        </w:rPr>
      </w:pPr>
    </w:p>
    <w:p w:rsidR="001548F9" w:rsidRPr="0045565B" w:rsidP="006D141C">
      <w:pPr>
        <w:autoSpaceDE w:val="0"/>
        <w:autoSpaceDN w:val="0"/>
        <w:adjustRightInd w:val="0"/>
        <w:spacing w:line="360" w:lineRule="auto"/>
        <w:jc w:val="left"/>
        <w:rPr>
          <w:rFonts w:eastAsiaTheme="minorEastAsia"/>
          <w:color w:val="000000"/>
          <w:kern w:val="0"/>
          <w:szCs w:val="21"/>
        </w:rPr>
      </w:pPr>
    </w:p>
    <w:p w:rsidR="001548F9" w:rsidRPr="0045565B" w:rsidP="006D141C">
      <w:pPr>
        <w:autoSpaceDE w:val="0"/>
        <w:autoSpaceDN w:val="0"/>
        <w:adjustRightInd w:val="0"/>
        <w:spacing w:line="360" w:lineRule="auto"/>
        <w:jc w:val="left"/>
        <w:rPr>
          <w:rFonts w:eastAsiaTheme="minorEastAsia"/>
          <w:color w:val="000000"/>
          <w:kern w:val="0"/>
          <w:szCs w:val="21"/>
        </w:rPr>
      </w:pPr>
    </w:p>
    <w:p w:rsidR="001548F9" w:rsidRPr="0045565B" w:rsidP="00D24622">
      <w:pPr>
        <w:spacing w:line="360" w:lineRule="auto"/>
        <w:jc w:val="center"/>
        <w:rPr>
          <w:rFonts w:eastAsiaTheme="minorEastAsia"/>
          <w:b/>
          <w:sz w:val="36"/>
          <w:szCs w:val="36"/>
        </w:rPr>
      </w:pPr>
      <w:r w:rsidRPr="0045565B">
        <w:rPr>
          <w:rFonts w:eastAsiaTheme="minorEastAsia"/>
          <w:b/>
          <w:sz w:val="36"/>
          <w:szCs w:val="36"/>
        </w:rPr>
        <w:t>金鹰医疗健康产业股票型证券投资基金</w:t>
      </w:r>
    </w:p>
    <w:p w:rsidR="001548F9" w:rsidRPr="0045565B" w:rsidP="00D24622">
      <w:pPr>
        <w:spacing w:line="360" w:lineRule="auto"/>
        <w:jc w:val="center"/>
        <w:rPr>
          <w:rFonts w:eastAsiaTheme="minorEastAsia"/>
          <w:b/>
          <w:sz w:val="36"/>
          <w:szCs w:val="36"/>
        </w:rPr>
      </w:pPr>
      <w:r w:rsidRPr="0045565B">
        <w:rPr>
          <w:rFonts w:eastAsiaTheme="minorEastAsia"/>
          <w:b/>
          <w:sz w:val="36"/>
          <w:szCs w:val="36"/>
        </w:rPr>
        <w:t>2019年半年度报告</w:t>
      </w:r>
      <w:r w:rsidRPr="0045565B" w:rsidR="00835AA6">
        <w:rPr>
          <w:rFonts w:eastAsiaTheme="minorEastAsia"/>
          <w:b/>
          <w:sz w:val="36"/>
          <w:szCs w:val="36"/>
        </w:rPr>
        <w:t>摘要</w:t>
      </w:r>
    </w:p>
    <w:p w:rsidR="001548F9" w:rsidRPr="0045565B" w:rsidP="00D24622">
      <w:pPr>
        <w:spacing w:line="360" w:lineRule="auto"/>
        <w:jc w:val="center"/>
        <w:rPr>
          <w:rFonts w:eastAsiaTheme="minorEastAsia"/>
          <w:b/>
          <w:sz w:val="36"/>
          <w:szCs w:val="36"/>
        </w:rPr>
      </w:pPr>
      <w:r w:rsidRPr="0045565B">
        <w:rPr>
          <w:rFonts w:eastAsiaTheme="minorEastAsia"/>
          <w:b/>
          <w:sz w:val="36"/>
          <w:szCs w:val="36"/>
        </w:rPr>
        <w:t>2019年6月30日</w:t>
      </w:r>
    </w:p>
    <w:p w:rsidR="001548F9" w:rsidRPr="0045565B" w:rsidP="006D141C">
      <w:pPr>
        <w:spacing w:line="360" w:lineRule="auto"/>
        <w:jc w:val="center"/>
        <w:rPr>
          <w:rFonts w:eastAsiaTheme="minorEastAsia"/>
          <w:b/>
          <w:color w:val="000000"/>
          <w:szCs w:val="21"/>
        </w:rPr>
      </w:pPr>
    </w:p>
    <w:p w:rsidR="001548F9" w:rsidRPr="0045565B" w:rsidP="006D141C">
      <w:pPr>
        <w:spacing w:line="360" w:lineRule="auto"/>
        <w:jc w:val="center"/>
        <w:rPr>
          <w:rFonts w:eastAsiaTheme="minorEastAsia"/>
          <w:b/>
          <w:color w:val="000000"/>
          <w:szCs w:val="21"/>
        </w:rPr>
      </w:pPr>
    </w:p>
    <w:p w:rsidR="001548F9" w:rsidRPr="0045565B" w:rsidP="006D141C">
      <w:pPr>
        <w:spacing w:line="360" w:lineRule="auto"/>
        <w:jc w:val="center"/>
        <w:rPr>
          <w:rFonts w:eastAsiaTheme="minorEastAsia"/>
          <w:b/>
          <w:color w:val="000000"/>
          <w:szCs w:val="21"/>
        </w:rPr>
      </w:pPr>
    </w:p>
    <w:p w:rsidR="001548F9" w:rsidRPr="0045565B" w:rsidP="006D141C">
      <w:pPr>
        <w:spacing w:line="360" w:lineRule="auto"/>
        <w:jc w:val="center"/>
        <w:rPr>
          <w:rFonts w:eastAsiaTheme="minorEastAsia"/>
          <w:b/>
          <w:color w:val="000000"/>
          <w:szCs w:val="21"/>
        </w:rPr>
      </w:pPr>
    </w:p>
    <w:p w:rsidR="001548F9" w:rsidRPr="0045565B" w:rsidP="006D141C">
      <w:pPr>
        <w:spacing w:line="360" w:lineRule="auto"/>
        <w:jc w:val="center"/>
        <w:rPr>
          <w:rFonts w:eastAsiaTheme="minorEastAsia"/>
          <w:b/>
          <w:color w:val="000000"/>
          <w:szCs w:val="21"/>
        </w:rPr>
      </w:pPr>
    </w:p>
    <w:p w:rsidR="001548F9" w:rsidRPr="0045565B" w:rsidP="006D141C">
      <w:pPr>
        <w:spacing w:line="360" w:lineRule="auto"/>
        <w:jc w:val="center"/>
        <w:rPr>
          <w:rFonts w:eastAsiaTheme="minorEastAsia"/>
          <w:b/>
          <w:color w:val="000000"/>
          <w:szCs w:val="21"/>
        </w:rPr>
      </w:pPr>
    </w:p>
    <w:p w:rsidR="001548F9" w:rsidRPr="0045565B" w:rsidP="006D141C">
      <w:pPr>
        <w:spacing w:line="360" w:lineRule="auto"/>
        <w:jc w:val="center"/>
        <w:rPr>
          <w:rFonts w:eastAsiaTheme="minorEastAsia"/>
          <w:b/>
          <w:color w:val="000000"/>
          <w:szCs w:val="21"/>
        </w:rPr>
      </w:pPr>
    </w:p>
    <w:p w:rsidR="001548F9" w:rsidRPr="0045565B" w:rsidP="006D141C">
      <w:pPr>
        <w:spacing w:line="360" w:lineRule="auto"/>
        <w:jc w:val="center"/>
        <w:rPr>
          <w:rFonts w:eastAsiaTheme="minorEastAsia"/>
          <w:b/>
          <w:color w:val="000000"/>
          <w:szCs w:val="21"/>
        </w:rPr>
      </w:pPr>
    </w:p>
    <w:p w:rsidR="001548F9" w:rsidRPr="0045565B" w:rsidP="006D141C">
      <w:pPr>
        <w:spacing w:line="360" w:lineRule="auto"/>
        <w:jc w:val="center"/>
        <w:rPr>
          <w:rFonts w:eastAsiaTheme="minorEastAsia"/>
          <w:b/>
          <w:color w:val="000000"/>
          <w:szCs w:val="21"/>
        </w:rPr>
      </w:pPr>
    </w:p>
    <w:p w:rsidR="001548F9" w:rsidRPr="0045565B" w:rsidP="006D141C">
      <w:pPr>
        <w:spacing w:line="360" w:lineRule="auto"/>
        <w:jc w:val="center"/>
        <w:rPr>
          <w:rFonts w:eastAsiaTheme="minorEastAsia"/>
          <w:b/>
          <w:color w:val="000000"/>
          <w:szCs w:val="21"/>
        </w:rPr>
      </w:pPr>
    </w:p>
    <w:p w:rsidR="001548F9" w:rsidRPr="0045565B" w:rsidP="006D141C">
      <w:pPr>
        <w:spacing w:line="360" w:lineRule="auto"/>
        <w:jc w:val="center"/>
        <w:rPr>
          <w:rFonts w:eastAsiaTheme="minorEastAsia"/>
          <w:b/>
          <w:color w:val="000000"/>
          <w:szCs w:val="21"/>
        </w:rPr>
      </w:pPr>
    </w:p>
    <w:p w:rsidR="001548F9" w:rsidRPr="0045565B" w:rsidP="006D141C">
      <w:pPr>
        <w:spacing w:line="360" w:lineRule="auto"/>
        <w:jc w:val="center"/>
        <w:rPr>
          <w:rFonts w:eastAsiaTheme="minorEastAsia"/>
          <w:b/>
          <w:color w:val="000000"/>
          <w:szCs w:val="21"/>
        </w:rPr>
      </w:pPr>
    </w:p>
    <w:p w:rsidR="001548F9" w:rsidRPr="0045565B" w:rsidP="006D141C">
      <w:pPr>
        <w:spacing w:line="360" w:lineRule="auto"/>
        <w:jc w:val="center"/>
        <w:rPr>
          <w:rFonts w:eastAsiaTheme="minorEastAsia"/>
          <w:b/>
          <w:color w:val="000000"/>
          <w:szCs w:val="21"/>
        </w:rPr>
      </w:pPr>
    </w:p>
    <w:p w:rsidR="001548F9" w:rsidRPr="0045565B" w:rsidP="006D141C">
      <w:pPr>
        <w:spacing w:line="360" w:lineRule="auto"/>
        <w:jc w:val="center"/>
        <w:rPr>
          <w:rFonts w:eastAsiaTheme="minorEastAsia"/>
          <w:b/>
          <w:color w:val="000000"/>
          <w:szCs w:val="21"/>
        </w:rPr>
      </w:pPr>
    </w:p>
    <w:p w:rsidR="001548F9" w:rsidRPr="0045565B" w:rsidP="006D141C">
      <w:pPr>
        <w:spacing w:line="360" w:lineRule="auto"/>
        <w:rPr>
          <w:rFonts w:eastAsiaTheme="minorEastAsia"/>
          <w:b/>
          <w:color w:val="000000"/>
          <w:szCs w:val="21"/>
        </w:rPr>
      </w:pPr>
    </w:p>
    <w:p w:rsidR="001548F9" w:rsidRPr="0045565B" w:rsidP="00801E52">
      <w:pPr>
        <w:spacing w:line="360" w:lineRule="auto"/>
        <w:ind w:firstLine="1890" w:firstLineChars="900"/>
        <w:rPr>
          <w:rFonts w:eastAsiaTheme="minorEastAsia"/>
          <w:color w:val="000000"/>
          <w:sz w:val="24"/>
        </w:rPr>
      </w:pPr>
      <w:r w:rsidRPr="0045565B">
        <w:rPr>
          <w:rFonts w:eastAsiaTheme="minorEastAsia"/>
          <w:color w:val="000000"/>
          <w:sz w:val="24"/>
        </w:rPr>
        <w:t>基金管理人：</w:t>
      </w:r>
      <w:r w:rsidRPr="0045565B">
        <w:rPr>
          <w:rFonts w:eastAsiaTheme="minorEastAsia"/>
          <w:color w:val="000000"/>
          <w:sz w:val="24"/>
        </w:rPr>
        <w:t>金鹰基金管理有限公司</w:t>
      </w:r>
    </w:p>
    <w:p w:rsidR="001548F9" w:rsidRPr="0045565B" w:rsidP="00801E52">
      <w:pPr>
        <w:spacing w:line="360" w:lineRule="auto"/>
        <w:ind w:firstLine="1890" w:firstLineChars="900"/>
        <w:rPr>
          <w:rFonts w:eastAsiaTheme="minorEastAsia"/>
          <w:color w:val="000000"/>
          <w:sz w:val="24"/>
        </w:rPr>
      </w:pPr>
      <w:r w:rsidRPr="0045565B">
        <w:rPr>
          <w:rFonts w:eastAsiaTheme="minorEastAsia"/>
          <w:color w:val="000000"/>
          <w:sz w:val="24"/>
        </w:rPr>
        <w:t>基金托管人：</w:t>
      </w:r>
      <w:r w:rsidRPr="0045565B">
        <w:rPr>
          <w:rFonts w:eastAsiaTheme="minorEastAsia"/>
          <w:color w:val="000000"/>
          <w:sz w:val="24"/>
        </w:rPr>
        <w:t>交通银行股份有限公司</w:t>
      </w:r>
    </w:p>
    <w:p w:rsidR="001548F9" w:rsidRPr="0045565B" w:rsidP="00801E52">
      <w:pPr>
        <w:spacing w:line="360" w:lineRule="auto"/>
        <w:ind w:firstLine="1890" w:firstLineChars="900"/>
        <w:rPr>
          <w:rFonts w:eastAsiaTheme="minorEastAsia"/>
          <w:color w:val="000000"/>
          <w:sz w:val="24"/>
        </w:rPr>
      </w:pPr>
      <w:r w:rsidRPr="0045565B">
        <w:rPr>
          <w:rFonts w:eastAsiaTheme="minorEastAsia"/>
          <w:color w:val="000000"/>
          <w:sz w:val="24"/>
        </w:rPr>
        <w:t>报告送出日期：</w:t>
      </w:r>
      <w:r w:rsidRPr="0045565B">
        <w:rPr>
          <w:rFonts w:eastAsiaTheme="minorEastAsia"/>
          <w:color w:val="000000"/>
          <w:sz w:val="24"/>
        </w:rPr>
        <w:t>二〇一九年八月二十三日</w:t>
      </w:r>
    </w:p>
    <w:p w:rsidR="001548F9" w:rsidRPr="0045565B" w:rsidP="006D141C">
      <w:pPr>
        <w:widowControl/>
        <w:jc w:val="left"/>
        <w:rPr>
          <w:rFonts w:eastAsiaTheme="minorEastAsia"/>
          <w:color w:val="000000"/>
          <w:szCs w:val="21"/>
        </w:rPr>
        <w:sectPr>
          <w:headerReference w:type="default" r:id="rId4"/>
          <w:pgSz w:w="11926" w:h="15840"/>
          <w:pgMar w:top="1418" w:right="1418" w:bottom="851" w:left="1418" w:header="851" w:footer="992" w:gutter="0"/>
          <w:cols w:space="720"/>
        </w:sectPr>
      </w:pPr>
    </w:p>
    <w:p w:rsidR="001548F9" w:rsidRPr="0045565B" w:rsidP="0025572E">
      <w:pPr>
        <w:pStyle w:val="Heading1"/>
        <w:keepNext/>
        <w:keepLines/>
        <w:widowControl w:val="0"/>
        <w:spacing w:before="312" w:beforeLines="100" w:after="312" w:afterLines="100" w:line="360" w:lineRule="auto"/>
        <w:jc w:val="center"/>
        <w:rPr>
          <w:rFonts w:eastAsiaTheme="minorEastAsia"/>
          <w:b/>
          <w:bCs/>
          <w:sz w:val="21"/>
          <w:szCs w:val="21"/>
          <w:lang w:val="en-US"/>
        </w:rPr>
      </w:pPr>
      <w:bookmarkStart w:id="0" w:name="_Toc331410066"/>
      <w:bookmarkStart w:id="1" w:name="_Toc225498243"/>
      <w:r w:rsidRPr="0045565B">
        <w:rPr>
          <w:rFonts w:eastAsiaTheme="minorEastAsia"/>
          <w:b/>
          <w:bCs/>
          <w:sz w:val="21"/>
          <w:szCs w:val="21"/>
          <w:lang w:val="en-US"/>
        </w:rPr>
        <w:t xml:space="preserve">1  </w:t>
      </w:r>
      <w:r w:rsidRPr="0045565B">
        <w:rPr>
          <w:rFonts w:eastAsiaTheme="minorEastAsia"/>
          <w:b/>
          <w:bCs/>
          <w:sz w:val="21"/>
          <w:szCs w:val="21"/>
          <w:lang w:val="en-US"/>
        </w:rPr>
        <w:t>重要提示</w:t>
      </w:r>
      <w:bookmarkEnd w:id="0"/>
      <w:bookmarkEnd w:id="1"/>
    </w:p>
    <w:p w:rsidR="001548F9" w:rsidRPr="0045565B" w:rsidP="00D24622">
      <w:pPr>
        <w:pStyle w:val="Heading2"/>
        <w:spacing w:before="0" w:after="0"/>
        <w:rPr>
          <w:rFonts w:ascii="Times New Roman" w:hAnsi="Times New Roman" w:eastAsiaTheme="minorEastAsia"/>
          <w:kern w:val="0"/>
          <w:sz w:val="21"/>
          <w:szCs w:val="21"/>
        </w:rPr>
      </w:pPr>
      <w:bookmarkStart w:id="2" w:name="_Toc331410067"/>
      <w:r w:rsidRPr="0045565B">
        <w:rPr>
          <w:rFonts w:ascii="Times New Roman" w:hAnsi="Times New Roman" w:eastAsiaTheme="minorEastAsia"/>
          <w:kern w:val="0"/>
          <w:sz w:val="21"/>
          <w:szCs w:val="21"/>
        </w:rPr>
        <w:t xml:space="preserve">1.1 </w:t>
      </w:r>
      <w:r w:rsidRPr="0045565B">
        <w:rPr>
          <w:rFonts w:ascii="Times New Roman" w:hAnsi="Times New Roman" w:eastAsiaTheme="minorEastAsia"/>
          <w:kern w:val="0"/>
          <w:sz w:val="21"/>
          <w:szCs w:val="21"/>
        </w:rPr>
        <w:t>重要提示</w:t>
      </w:r>
      <w:bookmarkEnd w:id="2"/>
    </w:p>
    <w:p w:rsidR="006E59C6" w:rsidRPr="0045565B" w:rsidP="00D24622">
      <w:pPr>
        <w:spacing w:line="360" w:lineRule="auto"/>
        <w:ind w:firstLine="420" w:firstLineChars="200"/>
        <w:rPr>
          <w:rFonts w:eastAsiaTheme="minorEastAsia"/>
          <w:color w:val="000000"/>
          <w:szCs w:val="21"/>
        </w:rPr>
      </w:pPr>
      <w:r w:rsidRPr="0045565B">
        <w:rPr>
          <w:rFonts w:eastAsiaTheme="minorEastAsia"/>
          <w:color w:val="000000"/>
          <w:szCs w:val="21"/>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6E59C6" w:rsidRPr="0045565B" w:rsidP="00D24622">
      <w:pPr>
        <w:spacing w:line="360" w:lineRule="auto"/>
        <w:ind w:firstLine="420" w:firstLineChars="200"/>
        <w:rPr>
          <w:rFonts w:eastAsiaTheme="minorEastAsia"/>
          <w:color w:val="000000"/>
          <w:szCs w:val="21"/>
        </w:rPr>
      </w:pPr>
      <w:r w:rsidRPr="0045565B">
        <w:rPr>
          <w:rFonts w:eastAsiaTheme="minorEastAsia"/>
          <w:color w:val="000000"/>
          <w:szCs w:val="21"/>
        </w:rPr>
        <w:t>基金托管人</w:t>
      </w:r>
      <w:r w:rsidRPr="0045565B">
        <w:rPr>
          <w:rFonts w:eastAsiaTheme="minorEastAsia"/>
          <w:szCs w:val="21"/>
        </w:rPr>
        <w:t>交通银行股份有限公司</w:t>
      </w:r>
      <w:r w:rsidRPr="0045565B">
        <w:rPr>
          <w:rFonts w:eastAsiaTheme="minorEastAsia"/>
          <w:color w:val="000000"/>
          <w:szCs w:val="21"/>
        </w:rPr>
        <w:t>根据本基金合同规定，于</w:t>
      </w:r>
      <w:r w:rsidRPr="0045565B">
        <w:rPr>
          <w:rFonts w:eastAsiaTheme="minorEastAsia"/>
          <w:color w:val="000000"/>
          <w:szCs w:val="21"/>
        </w:rPr>
        <w:t>2019年8月22日</w:t>
      </w:r>
      <w:r w:rsidRPr="0045565B">
        <w:rPr>
          <w:rFonts w:eastAsiaTheme="minorEastAsia"/>
          <w:color w:val="000000"/>
          <w:szCs w:val="21"/>
        </w:rPr>
        <w:t>复核了本报告中的财务指标、净值表现、利润分配情况、财务会计报告、投资组合报告等内容，保证复核内容不存在虚假记载、误导性陈述或者重大遗漏。</w:t>
      </w:r>
    </w:p>
    <w:p w:rsidR="006E59C6" w:rsidRPr="0045565B" w:rsidP="00D24622">
      <w:pPr>
        <w:spacing w:line="360" w:lineRule="auto"/>
        <w:ind w:firstLine="420" w:firstLineChars="200"/>
        <w:rPr>
          <w:rFonts w:eastAsiaTheme="minorEastAsia"/>
          <w:color w:val="000000"/>
          <w:szCs w:val="21"/>
        </w:rPr>
      </w:pPr>
      <w:r w:rsidRPr="0045565B">
        <w:rPr>
          <w:rFonts w:eastAsiaTheme="minorEastAsia"/>
          <w:color w:val="000000"/>
          <w:szCs w:val="21"/>
        </w:rPr>
        <w:t>基金管理人承诺以诚实信用、勤勉尽责的原则管理和运用基金资产，但不保证基金一定盈利。</w:t>
      </w:r>
    </w:p>
    <w:p w:rsidR="006E59C6" w:rsidRPr="0045565B" w:rsidP="00D24622">
      <w:pPr>
        <w:spacing w:line="360" w:lineRule="auto"/>
        <w:ind w:firstLine="420" w:firstLineChars="200"/>
        <w:rPr>
          <w:rFonts w:eastAsiaTheme="minorEastAsia"/>
          <w:color w:val="000000"/>
          <w:szCs w:val="21"/>
        </w:rPr>
      </w:pPr>
      <w:r w:rsidRPr="0045565B">
        <w:rPr>
          <w:rFonts w:eastAsiaTheme="minorEastAsia"/>
          <w:color w:val="000000"/>
          <w:szCs w:val="21"/>
        </w:rPr>
        <w:t>基金的过往业绩并不代表其未来表现。投资有风险，投资者在作出投资决策前应仔细阅读本基金的招募说明书及其更新。</w:t>
      </w:r>
    </w:p>
    <w:p w:rsidR="00F222D7" w:rsidRPr="0045565B" w:rsidP="00F222D7">
      <w:pPr>
        <w:ind w:firstLine="420" w:firstLineChars="200"/>
        <w:rPr>
          <w:rFonts w:eastAsiaTheme="minorEastAsia"/>
          <w:color w:val="000000"/>
          <w:szCs w:val="21"/>
        </w:rPr>
      </w:pPr>
      <w:r w:rsidRPr="0045565B">
        <w:rPr>
          <w:rFonts w:eastAsiaTheme="minorEastAsia"/>
          <w:color w:val="000000"/>
          <w:szCs w:val="21"/>
        </w:rPr>
        <w:t>本半年度报告摘要摘自半年度报告正文，投资者欲了解详细内容，应阅读半年度报告正文。</w:t>
      </w:r>
    </w:p>
    <w:p w:rsidR="006E59C6" w:rsidRPr="0045565B" w:rsidP="00D24622">
      <w:pPr>
        <w:spacing w:line="360" w:lineRule="auto"/>
        <w:ind w:firstLine="420" w:firstLineChars="200"/>
        <w:rPr>
          <w:rFonts w:eastAsiaTheme="minorEastAsia"/>
          <w:color w:val="000000"/>
          <w:szCs w:val="21"/>
        </w:rPr>
      </w:pPr>
      <w:r w:rsidRPr="0045565B">
        <w:rPr>
          <w:rFonts w:eastAsiaTheme="minorEastAsia"/>
          <w:color w:val="000000"/>
          <w:szCs w:val="21"/>
        </w:rPr>
        <w:t>本报告中财务资料未经审计。</w:t>
      </w:r>
    </w:p>
    <w:p w:rsidR="00BC5DB0" w:rsidRPr="0045565B" w:rsidP="00D24622">
      <w:pPr>
        <w:spacing w:line="360" w:lineRule="auto"/>
        <w:ind w:firstLine="420" w:firstLineChars="200"/>
        <w:rPr>
          <w:rFonts w:eastAsiaTheme="minorEastAsia"/>
          <w:kern w:val="0"/>
          <w:szCs w:val="21"/>
        </w:rPr>
      </w:pPr>
      <w:r w:rsidRPr="0045565B">
        <w:rPr>
          <w:rFonts w:eastAsiaTheme="minorEastAsia"/>
          <w:kern w:val="0"/>
          <w:szCs w:val="21"/>
        </w:rPr>
        <w:t>本报告期自</w:t>
      </w:r>
      <w:r w:rsidRPr="0045565B">
        <w:rPr>
          <w:rFonts w:eastAsiaTheme="minorEastAsia"/>
          <w:kern w:val="0"/>
          <w:szCs w:val="21"/>
        </w:rPr>
        <w:t>2019年1月1日</w:t>
      </w:r>
      <w:r w:rsidRPr="0045565B">
        <w:rPr>
          <w:rFonts w:eastAsiaTheme="minorEastAsia"/>
          <w:kern w:val="0"/>
          <w:szCs w:val="21"/>
        </w:rPr>
        <w:t>起至</w:t>
      </w:r>
      <w:r w:rsidRPr="0045565B">
        <w:rPr>
          <w:rFonts w:eastAsiaTheme="minorEastAsia"/>
          <w:kern w:val="0"/>
          <w:szCs w:val="21"/>
        </w:rPr>
        <w:t>6月30日</w:t>
      </w:r>
      <w:r w:rsidRPr="0045565B">
        <w:rPr>
          <w:rFonts w:eastAsiaTheme="minorEastAsia"/>
          <w:kern w:val="0"/>
          <w:szCs w:val="21"/>
        </w:rPr>
        <w:t>止。</w:t>
      </w:r>
    </w:p>
    <w:p w:rsidR="00816848" w:rsidRPr="0045565B" w:rsidP="00D24622">
      <w:pPr>
        <w:spacing w:line="288" w:lineRule="auto"/>
        <w:ind w:firstLine="420" w:firstLineChars="200"/>
        <w:rPr>
          <w:rFonts w:eastAsiaTheme="minorEastAsia"/>
          <w:color w:val="000000"/>
          <w:szCs w:val="21"/>
        </w:rPr>
      </w:pPr>
    </w:p>
    <w:p w:rsidR="00EB2B24" w:rsidRPr="0045565B" w:rsidP="00D24622">
      <w:pPr>
        <w:spacing w:line="288" w:lineRule="auto"/>
        <w:ind w:firstLine="420" w:firstLineChars="200"/>
        <w:rPr>
          <w:rFonts w:eastAsiaTheme="minorEastAsia"/>
          <w:b/>
          <w:color w:val="000000"/>
          <w:kern w:val="0"/>
          <w:szCs w:val="21"/>
        </w:rPr>
      </w:pPr>
      <w:r w:rsidRPr="0045565B">
        <w:rPr>
          <w:rFonts w:eastAsiaTheme="minorEastAsia"/>
          <w:szCs w:val="21"/>
        </w:rPr>
        <w:br w:type="page"/>
      </w:r>
    </w:p>
    <w:p w:rsidR="001548F9" w:rsidRPr="0045565B" w:rsidP="0025572E">
      <w:pPr>
        <w:pStyle w:val="Heading1"/>
        <w:keepNext/>
        <w:keepLines/>
        <w:widowControl w:val="0"/>
        <w:spacing w:before="312" w:beforeLines="100" w:after="312" w:afterLines="100" w:line="360" w:lineRule="auto"/>
        <w:jc w:val="center"/>
        <w:rPr>
          <w:rFonts w:eastAsiaTheme="minorEastAsia"/>
          <w:sz w:val="21"/>
          <w:szCs w:val="21"/>
          <w:lang w:val="en-US"/>
        </w:rPr>
      </w:pPr>
      <w:bookmarkStart w:id="3" w:name="_Toc331410068"/>
      <w:bookmarkStart w:id="4" w:name="_Toc225498244"/>
      <w:r w:rsidRPr="0045565B">
        <w:rPr>
          <w:rFonts w:eastAsiaTheme="minorEastAsia"/>
          <w:b/>
          <w:bCs/>
          <w:sz w:val="21"/>
          <w:szCs w:val="21"/>
          <w:lang w:val="en-US"/>
        </w:rPr>
        <w:t xml:space="preserve">2  </w:t>
      </w:r>
      <w:r w:rsidRPr="0045565B">
        <w:rPr>
          <w:rFonts w:eastAsiaTheme="minorEastAsia"/>
          <w:b/>
          <w:bCs/>
          <w:sz w:val="21"/>
          <w:szCs w:val="21"/>
          <w:lang w:val="en-US"/>
        </w:rPr>
        <w:t>基金简介</w:t>
      </w:r>
      <w:bookmarkEnd w:id="3"/>
      <w:bookmarkEnd w:id="4"/>
    </w:p>
    <w:p w:rsidR="001548F9" w:rsidRPr="0045565B" w:rsidP="00D24622">
      <w:pPr>
        <w:pStyle w:val="Heading2"/>
        <w:spacing w:before="0" w:after="0"/>
        <w:rPr>
          <w:rFonts w:ascii="Times New Roman" w:hAnsi="Times New Roman" w:eastAsiaTheme="minorEastAsia"/>
          <w:color w:val="000000"/>
          <w:sz w:val="21"/>
          <w:szCs w:val="21"/>
        </w:rPr>
      </w:pPr>
      <w:bookmarkStart w:id="5" w:name="_Toc331410069"/>
      <w:r w:rsidRPr="0045565B">
        <w:rPr>
          <w:rFonts w:ascii="Times New Roman" w:hAnsi="Times New Roman" w:eastAsiaTheme="minorEastAsia"/>
          <w:kern w:val="0"/>
          <w:sz w:val="21"/>
          <w:szCs w:val="21"/>
        </w:rPr>
        <w:t>2.1</w:t>
      </w:r>
      <w:r w:rsidRPr="0045565B">
        <w:rPr>
          <w:rFonts w:ascii="Times New Roman" w:hAnsi="Times New Roman" w:eastAsiaTheme="minorEastAsia"/>
          <w:color w:val="000000"/>
          <w:sz w:val="21"/>
          <w:szCs w:val="21"/>
        </w:rPr>
        <w:t>基金基本情况</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33"/>
        <w:gridCol w:w="2664"/>
        <w:gridCol w:w="2553"/>
      </w:tblGrid>
      <w:tr w:rsidTr="0045565B">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3633" w:type="dxa"/>
          </w:tcPr>
          <w:p w:rsidR="001548F9" w:rsidRPr="0045565B">
            <w:pPr>
              <w:rPr>
                <w:rFonts w:eastAsiaTheme="minorEastAsia"/>
                <w:color w:val="000000"/>
                <w:kern w:val="0"/>
                <w:szCs w:val="21"/>
              </w:rPr>
            </w:pPr>
            <w:r w:rsidRPr="0045565B">
              <w:rPr>
                <w:rFonts w:eastAsiaTheme="minorEastAsia"/>
                <w:szCs w:val="21"/>
              </w:rPr>
              <w:t>基金简称</w:t>
            </w:r>
          </w:p>
        </w:tc>
        <w:tc>
          <w:tcPr>
            <w:tcW w:w="5217" w:type="dxa"/>
            <w:gridSpan w:val="2"/>
            <w:vAlign w:val="center"/>
          </w:tcPr>
          <w:p w:rsidR="001548F9" w:rsidRPr="0045565B" w:rsidP="00801E52">
            <w:pPr>
              <w:jc w:val="right"/>
              <w:rPr>
                <w:rFonts w:eastAsiaTheme="minorEastAsia"/>
                <w:szCs w:val="21"/>
              </w:rPr>
            </w:pPr>
            <w:r w:rsidRPr="0045565B">
              <w:rPr>
                <w:rFonts w:eastAsiaTheme="minorEastAsia"/>
                <w:szCs w:val="21"/>
              </w:rPr>
              <w:t>金鹰医疗健康股票</w:t>
            </w:r>
          </w:p>
        </w:tc>
      </w:tr>
      <w:tr w:rsidTr="0045565B">
        <w:tblPrEx>
          <w:tblW w:w="0" w:type="auto"/>
          <w:tblInd w:w="108" w:type="dxa"/>
          <w:tblLayout w:type="fixed"/>
          <w:tblLook w:val="00A0"/>
        </w:tblPrEx>
        <w:tc>
          <w:tcPr>
            <w:tcW w:w="3633" w:type="dxa"/>
            <w:vAlign w:val="center"/>
          </w:tcPr>
          <w:p w:rsidR="001548F9" w:rsidRPr="0045565B">
            <w:pPr>
              <w:rPr>
                <w:rFonts w:eastAsiaTheme="minorEastAsia"/>
                <w:color w:val="000000"/>
                <w:kern w:val="0"/>
                <w:szCs w:val="21"/>
              </w:rPr>
            </w:pPr>
            <w:r w:rsidRPr="0045565B">
              <w:rPr>
                <w:rFonts w:eastAsiaTheme="minorEastAsia"/>
                <w:szCs w:val="21"/>
              </w:rPr>
              <w:t>基金主代码</w:t>
            </w:r>
          </w:p>
        </w:tc>
        <w:tc>
          <w:tcPr>
            <w:tcW w:w="5217" w:type="dxa"/>
            <w:gridSpan w:val="2"/>
            <w:vAlign w:val="center"/>
          </w:tcPr>
          <w:p w:rsidR="001548F9" w:rsidRPr="0045565B" w:rsidP="00801E52">
            <w:pPr>
              <w:jc w:val="right"/>
              <w:rPr>
                <w:rFonts w:eastAsiaTheme="minorEastAsia"/>
                <w:szCs w:val="21"/>
              </w:rPr>
            </w:pPr>
            <w:r w:rsidRPr="0045565B">
              <w:rPr>
                <w:rFonts w:eastAsiaTheme="minorEastAsia"/>
                <w:szCs w:val="21"/>
              </w:rPr>
              <w:t>004040</w:t>
            </w:r>
          </w:p>
        </w:tc>
      </w:tr>
      <w:tr w:rsidTr="0045565B">
        <w:tblPrEx>
          <w:tblW w:w="0" w:type="auto"/>
          <w:tblInd w:w="108" w:type="dxa"/>
          <w:tblLayout w:type="fixed"/>
          <w:tblLook w:val="00A0"/>
        </w:tblPrEx>
        <w:tc>
          <w:tcPr>
            <w:tcW w:w="3633" w:type="dxa"/>
            <w:vAlign w:val="center"/>
          </w:tcPr>
          <w:p w:rsidR="00F00927" w:rsidRPr="0045565B" w:rsidP="0086710F">
            <w:pPr>
              <w:spacing w:line="360" w:lineRule="auto"/>
              <w:rPr>
                <w:rFonts w:eastAsiaTheme="minorEastAsia"/>
                <w:szCs w:val="21"/>
              </w:rPr>
            </w:pPr>
            <w:r w:rsidRPr="0045565B">
              <w:rPr>
                <w:rFonts w:eastAsiaTheme="minorEastAsia"/>
                <w:color w:val="000000"/>
                <w:kern w:val="0"/>
                <w:szCs w:val="21"/>
              </w:rPr>
              <w:t>交易代码</w:t>
            </w:r>
          </w:p>
        </w:tc>
        <w:tc>
          <w:tcPr>
            <w:tcW w:w="5217" w:type="dxa"/>
            <w:gridSpan w:val="2"/>
            <w:vAlign w:val="center"/>
          </w:tcPr>
          <w:p w:rsidR="00F00927" w:rsidRPr="0045565B" w:rsidP="00801E52">
            <w:pPr>
              <w:spacing w:line="360" w:lineRule="auto"/>
              <w:jc w:val="right"/>
              <w:rPr>
                <w:rFonts w:eastAsiaTheme="minorEastAsia"/>
                <w:szCs w:val="21"/>
              </w:rPr>
            </w:pPr>
            <w:r w:rsidRPr="0045565B">
              <w:rPr>
                <w:rFonts w:eastAsiaTheme="minorEastAsia"/>
                <w:szCs w:val="21"/>
              </w:rPr>
              <w:t>004040</w:t>
            </w:r>
          </w:p>
        </w:tc>
      </w:tr>
      <w:tr w:rsidTr="0045565B">
        <w:tblPrEx>
          <w:tblW w:w="0" w:type="auto"/>
          <w:tblInd w:w="108" w:type="dxa"/>
          <w:tblLayout w:type="fixed"/>
          <w:tblLook w:val="00A0"/>
        </w:tblPrEx>
        <w:tc>
          <w:tcPr>
            <w:tcW w:w="3633" w:type="dxa"/>
          </w:tcPr>
          <w:p w:rsidR="00F00927" w:rsidRPr="0045565B">
            <w:pPr>
              <w:rPr>
                <w:rFonts w:eastAsiaTheme="minorEastAsia"/>
                <w:color w:val="000000"/>
                <w:kern w:val="0"/>
                <w:szCs w:val="21"/>
              </w:rPr>
            </w:pPr>
            <w:r w:rsidRPr="0045565B">
              <w:rPr>
                <w:rFonts w:eastAsiaTheme="minorEastAsia"/>
                <w:szCs w:val="21"/>
              </w:rPr>
              <w:t>基金运作方式</w:t>
            </w:r>
          </w:p>
        </w:tc>
        <w:tc>
          <w:tcPr>
            <w:tcW w:w="5217" w:type="dxa"/>
            <w:gridSpan w:val="2"/>
            <w:vAlign w:val="center"/>
          </w:tcPr>
          <w:p w:rsidR="00F00927" w:rsidRPr="0045565B" w:rsidP="00801E52">
            <w:pPr>
              <w:jc w:val="right"/>
              <w:rPr>
                <w:rFonts w:eastAsiaTheme="minorEastAsia"/>
                <w:szCs w:val="21"/>
              </w:rPr>
            </w:pPr>
            <w:r w:rsidRPr="0045565B">
              <w:rPr>
                <w:rFonts w:eastAsiaTheme="minorEastAsia"/>
                <w:szCs w:val="21"/>
              </w:rPr>
              <w:t>契约开放式</w:t>
            </w:r>
          </w:p>
        </w:tc>
      </w:tr>
      <w:tr w:rsidTr="0045565B">
        <w:tblPrEx>
          <w:tblW w:w="0" w:type="auto"/>
          <w:tblInd w:w="108" w:type="dxa"/>
          <w:tblLayout w:type="fixed"/>
          <w:tblLook w:val="00A0"/>
        </w:tblPrEx>
        <w:tc>
          <w:tcPr>
            <w:tcW w:w="3633" w:type="dxa"/>
          </w:tcPr>
          <w:p w:rsidR="00F00927" w:rsidRPr="0045565B">
            <w:pPr>
              <w:rPr>
                <w:rFonts w:eastAsiaTheme="minorEastAsia"/>
                <w:color w:val="000000"/>
                <w:kern w:val="0"/>
                <w:szCs w:val="21"/>
              </w:rPr>
            </w:pPr>
            <w:r w:rsidRPr="0045565B">
              <w:rPr>
                <w:rFonts w:eastAsiaTheme="minorEastAsia"/>
                <w:szCs w:val="21"/>
              </w:rPr>
              <w:t>基金合同生效日</w:t>
            </w:r>
          </w:p>
        </w:tc>
        <w:tc>
          <w:tcPr>
            <w:tcW w:w="5217" w:type="dxa"/>
            <w:gridSpan w:val="2"/>
            <w:vAlign w:val="center"/>
          </w:tcPr>
          <w:p w:rsidR="00F00927" w:rsidRPr="0045565B" w:rsidP="00801E52">
            <w:pPr>
              <w:jc w:val="right"/>
              <w:rPr>
                <w:rFonts w:eastAsiaTheme="minorEastAsia"/>
                <w:szCs w:val="21"/>
              </w:rPr>
            </w:pPr>
            <w:r w:rsidRPr="0045565B">
              <w:rPr>
                <w:rFonts w:eastAsiaTheme="minorEastAsia"/>
                <w:szCs w:val="21"/>
              </w:rPr>
              <w:t>2018年4月13日</w:t>
            </w:r>
          </w:p>
        </w:tc>
      </w:tr>
      <w:tr w:rsidTr="0045565B">
        <w:tblPrEx>
          <w:tblW w:w="0" w:type="auto"/>
          <w:tblInd w:w="108" w:type="dxa"/>
          <w:tblLayout w:type="fixed"/>
          <w:tblLook w:val="00A0"/>
        </w:tblPrEx>
        <w:tc>
          <w:tcPr>
            <w:tcW w:w="3633" w:type="dxa"/>
          </w:tcPr>
          <w:p w:rsidR="00F00927" w:rsidRPr="0045565B">
            <w:pPr>
              <w:rPr>
                <w:rFonts w:eastAsiaTheme="minorEastAsia"/>
                <w:color w:val="000000"/>
                <w:kern w:val="0"/>
                <w:szCs w:val="21"/>
              </w:rPr>
            </w:pPr>
            <w:r w:rsidRPr="0045565B">
              <w:rPr>
                <w:rFonts w:eastAsiaTheme="minorEastAsia"/>
                <w:szCs w:val="21"/>
              </w:rPr>
              <w:t>基金管理人</w:t>
            </w:r>
          </w:p>
        </w:tc>
        <w:tc>
          <w:tcPr>
            <w:tcW w:w="5217" w:type="dxa"/>
            <w:gridSpan w:val="2"/>
            <w:vAlign w:val="center"/>
          </w:tcPr>
          <w:p w:rsidR="00F00927" w:rsidRPr="0045565B" w:rsidP="00801E52">
            <w:pPr>
              <w:jc w:val="right"/>
              <w:rPr>
                <w:rFonts w:eastAsiaTheme="minorEastAsia"/>
                <w:szCs w:val="21"/>
              </w:rPr>
            </w:pPr>
            <w:r w:rsidRPr="0045565B">
              <w:rPr>
                <w:rFonts w:eastAsiaTheme="minorEastAsia"/>
                <w:szCs w:val="21"/>
              </w:rPr>
              <w:t>金鹰基金管理有限公司</w:t>
            </w:r>
          </w:p>
        </w:tc>
      </w:tr>
      <w:tr w:rsidTr="0045565B">
        <w:tblPrEx>
          <w:tblW w:w="0" w:type="auto"/>
          <w:tblInd w:w="108" w:type="dxa"/>
          <w:tblLayout w:type="fixed"/>
          <w:tblLook w:val="00A0"/>
        </w:tblPrEx>
        <w:tc>
          <w:tcPr>
            <w:tcW w:w="3633" w:type="dxa"/>
          </w:tcPr>
          <w:p w:rsidR="00F00927" w:rsidRPr="0045565B">
            <w:pPr>
              <w:rPr>
                <w:rFonts w:eastAsiaTheme="minorEastAsia"/>
                <w:color w:val="000000"/>
                <w:kern w:val="0"/>
                <w:szCs w:val="21"/>
              </w:rPr>
            </w:pPr>
            <w:r w:rsidRPr="0045565B">
              <w:rPr>
                <w:rFonts w:eastAsiaTheme="minorEastAsia"/>
                <w:szCs w:val="21"/>
              </w:rPr>
              <w:t>基金托管人</w:t>
            </w:r>
          </w:p>
        </w:tc>
        <w:tc>
          <w:tcPr>
            <w:tcW w:w="5217" w:type="dxa"/>
            <w:gridSpan w:val="2"/>
            <w:vAlign w:val="center"/>
          </w:tcPr>
          <w:p w:rsidR="00F00927" w:rsidRPr="0045565B" w:rsidP="00801E52">
            <w:pPr>
              <w:jc w:val="right"/>
              <w:rPr>
                <w:rFonts w:eastAsiaTheme="minorEastAsia"/>
                <w:szCs w:val="21"/>
              </w:rPr>
            </w:pPr>
            <w:r w:rsidRPr="0045565B">
              <w:rPr>
                <w:rFonts w:eastAsiaTheme="minorEastAsia"/>
                <w:szCs w:val="21"/>
              </w:rPr>
              <w:t>交通银行股份有限公司</w:t>
            </w:r>
          </w:p>
        </w:tc>
      </w:tr>
      <w:tr w:rsidTr="0045565B">
        <w:tblPrEx>
          <w:tblW w:w="0" w:type="auto"/>
          <w:tblInd w:w="108" w:type="dxa"/>
          <w:tblLayout w:type="fixed"/>
          <w:tblLook w:val="00A0"/>
        </w:tblPrEx>
        <w:tc>
          <w:tcPr>
            <w:tcW w:w="3633" w:type="dxa"/>
          </w:tcPr>
          <w:p w:rsidR="00F00927" w:rsidRPr="0045565B">
            <w:pPr>
              <w:rPr>
                <w:rFonts w:eastAsiaTheme="minorEastAsia"/>
                <w:color w:val="000000"/>
                <w:kern w:val="0"/>
                <w:szCs w:val="21"/>
              </w:rPr>
            </w:pPr>
            <w:r w:rsidRPr="0045565B">
              <w:rPr>
                <w:rFonts w:eastAsiaTheme="minorEastAsia"/>
                <w:szCs w:val="21"/>
              </w:rPr>
              <w:t>报告期末基金份额总额</w:t>
            </w:r>
          </w:p>
        </w:tc>
        <w:tc>
          <w:tcPr>
            <w:tcW w:w="5217" w:type="dxa"/>
            <w:gridSpan w:val="2"/>
            <w:vAlign w:val="center"/>
          </w:tcPr>
          <w:p w:rsidR="00F00927" w:rsidRPr="0045565B" w:rsidP="00801E52">
            <w:pPr>
              <w:jc w:val="right"/>
              <w:rPr>
                <w:rFonts w:eastAsiaTheme="minorEastAsia"/>
                <w:szCs w:val="21"/>
              </w:rPr>
            </w:pPr>
            <w:r w:rsidRPr="0045565B">
              <w:rPr>
                <w:rFonts w:eastAsiaTheme="minorEastAsia"/>
                <w:szCs w:val="21"/>
              </w:rPr>
              <w:t>14,314,939.73</w:t>
            </w:r>
            <w:r w:rsidRPr="0045565B">
              <w:rPr>
                <w:rFonts w:eastAsiaTheme="minorEastAsia"/>
                <w:szCs w:val="21"/>
              </w:rPr>
              <w:t>份</w:t>
            </w:r>
          </w:p>
        </w:tc>
      </w:tr>
      <w:tr w:rsidTr="0045565B">
        <w:tblPrEx>
          <w:tblW w:w="0" w:type="auto"/>
          <w:tblInd w:w="108" w:type="dxa"/>
          <w:tblLayout w:type="fixed"/>
          <w:tblLook w:val="00A0"/>
        </w:tblPrEx>
        <w:trPr>
          <w:trHeight w:val="369"/>
        </w:trPr>
        <w:tc>
          <w:tcPr>
            <w:tcW w:w="3633" w:type="dxa"/>
            <w:vAlign w:val="center"/>
          </w:tcPr>
          <w:p w:rsidR="00F00927" w:rsidRPr="0045565B">
            <w:pPr>
              <w:rPr>
                <w:rFonts w:eastAsiaTheme="minorEastAsia"/>
                <w:szCs w:val="21"/>
              </w:rPr>
            </w:pPr>
            <w:r w:rsidRPr="0045565B">
              <w:rPr>
                <w:rFonts w:eastAsiaTheme="minorEastAsia"/>
                <w:szCs w:val="21"/>
              </w:rPr>
              <w:t>下属分级基金的基金简称</w:t>
            </w:r>
          </w:p>
        </w:tc>
        <w:tc>
          <w:tcPr>
            <w:tcW w:w="2664" w:type="dxa"/>
            <w:vAlign w:val="center"/>
          </w:tcPr>
          <w:p w:rsidR="00F00927" w:rsidRPr="0045565B" w:rsidP="00801E52">
            <w:pPr>
              <w:jc w:val="right"/>
              <w:rPr>
                <w:rFonts w:eastAsiaTheme="minorEastAsia"/>
                <w:szCs w:val="21"/>
              </w:rPr>
            </w:pPr>
            <w:r w:rsidRPr="0045565B">
              <w:rPr>
                <w:rFonts w:eastAsiaTheme="minorEastAsia"/>
                <w:szCs w:val="21"/>
              </w:rPr>
              <w:t>金鹰医疗健康股票A</w:t>
            </w:r>
          </w:p>
        </w:tc>
        <w:tc>
          <w:tcPr>
            <w:tcW w:w="2553" w:type="dxa"/>
            <w:vAlign w:val="center"/>
          </w:tcPr>
          <w:p w:rsidR="00F00927" w:rsidRPr="0045565B" w:rsidP="00801E52">
            <w:pPr>
              <w:jc w:val="right"/>
              <w:rPr>
                <w:rFonts w:eastAsiaTheme="minorEastAsia"/>
                <w:szCs w:val="21"/>
              </w:rPr>
            </w:pPr>
            <w:r w:rsidRPr="0045565B">
              <w:rPr>
                <w:rFonts w:eastAsiaTheme="minorEastAsia"/>
                <w:szCs w:val="21"/>
              </w:rPr>
              <w:t>金鹰医疗健康股票C</w:t>
            </w:r>
          </w:p>
        </w:tc>
      </w:tr>
      <w:tr w:rsidTr="0045565B">
        <w:tblPrEx>
          <w:tblW w:w="0" w:type="auto"/>
          <w:tblInd w:w="108" w:type="dxa"/>
          <w:tblLayout w:type="fixed"/>
          <w:tblLook w:val="00A0"/>
        </w:tblPrEx>
        <w:trPr>
          <w:trHeight w:val="369"/>
        </w:trPr>
        <w:tc>
          <w:tcPr>
            <w:tcW w:w="3633" w:type="dxa"/>
            <w:vAlign w:val="center"/>
          </w:tcPr>
          <w:p w:rsidR="00F00927" w:rsidRPr="0045565B">
            <w:pPr>
              <w:rPr>
                <w:rFonts w:eastAsiaTheme="minorEastAsia"/>
                <w:szCs w:val="21"/>
              </w:rPr>
            </w:pPr>
            <w:r w:rsidRPr="0045565B">
              <w:rPr>
                <w:rFonts w:eastAsiaTheme="minorEastAsia"/>
                <w:szCs w:val="21"/>
              </w:rPr>
              <w:t>下属分级基金的交易代码</w:t>
            </w:r>
          </w:p>
        </w:tc>
        <w:tc>
          <w:tcPr>
            <w:tcW w:w="2664" w:type="dxa"/>
            <w:vAlign w:val="center"/>
          </w:tcPr>
          <w:p w:rsidR="00F00927" w:rsidRPr="0045565B" w:rsidP="00801E52">
            <w:pPr>
              <w:jc w:val="right"/>
              <w:rPr>
                <w:rFonts w:eastAsiaTheme="minorEastAsia"/>
                <w:szCs w:val="21"/>
              </w:rPr>
            </w:pPr>
            <w:r w:rsidRPr="0045565B">
              <w:rPr>
                <w:rFonts w:eastAsiaTheme="minorEastAsia"/>
                <w:szCs w:val="21"/>
              </w:rPr>
              <w:t>004040</w:t>
            </w:r>
          </w:p>
        </w:tc>
        <w:tc>
          <w:tcPr>
            <w:tcW w:w="2553" w:type="dxa"/>
            <w:vAlign w:val="center"/>
          </w:tcPr>
          <w:p w:rsidR="00F00927" w:rsidRPr="0045565B" w:rsidP="00801E52">
            <w:pPr>
              <w:jc w:val="right"/>
              <w:rPr>
                <w:rFonts w:eastAsiaTheme="minorEastAsia"/>
                <w:szCs w:val="21"/>
              </w:rPr>
            </w:pPr>
            <w:r w:rsidRPr="0045565B">
              <w:rPr>
                <w:rFonts w:eastAsiaTheme="minorEastAsia"/>
                <w:szCs w:val="21"/>
              </w:rPr>
              <w:t>004041</w:t>
            </w:r>
          </w:p>
        </w:tc>
      </w:tr>
      <w:tr w:rsidTr="0045565B">
        <w:tblPrEx>
          <w:tblW w:w="0" w:type="auto"/>
          <w:tblInd w:w="108" w:type="dxa"/>
          <w:tblLayout w:type="fixed"/>
          <w:tblLook w:val="00A0"/>
        </w:tblPrEx>
        <w:trPr>
          <w:trHeight w:val="369"/>
        </w:trPr>
        <w:tc>
          <w:tcPr>
            <w:tcW w:w="3633" w:type="dxa"/>
            <w:vAlign w:val="center"/>
          </w:tcPr>
          <w:p w:rsidR="00F00927" w:rsidRPr="0045565B">
            <w:pPr>
              <w:rPr>
                <w:rFonts w:eastAsiaTheme="minorEastAsia"/>
                <w:szCs w:val="21"/>
              </w:rPr>
            </w:pPr>
            <w:r w:rsidRPr="0045565B">
              <w:rPr>
                <w:rFonts w:eastAsiaTheme="minorEastAsia"/>
                <w:szCs w:val="21"/>
              </w:rPr>
              <w:t>报告期末下属分级基金的份额总额</w:t>
            </w:r>
          </w:p>
        </w:tc>
        <w:tc>
          <w:tcPr>
            <w:tcW w:w="2664" w:type="dxa"/>
            <w:vAlign w:val="center"/>
          </w:tcPr>
          <w:p w:rsidR="00F00927" w:rsidRPr="0045565B" w:rsidP="00801E52">
            <w:pPr>
              <w:jc w:val="right"/>
              <w:rPr>
                <w:rFonts w:eastAsiaTheme="minorEastAsia"/>
                <w:szCs w:val="21"/>
              </w:rPr>
            </w:pPr>
            <w:r w:rsidRPr="0045565B">
              <w:rPr>
                <w:rFonts w:eastAsiaTheme="minorEastAsia"/>
                <w:szCs w:val="21"/>
              </w:rPr>
              <w:t>6,694,772.77</w:t>
            </w:r>
            <w:r w:rsidRPr="0045565B">
              <w:rPr>
                <w:rFonts w:eastAsiaTheme="minorEastAsia"/>
                <w:szCs w:val="21"/>
              </w:rPr>
              <w:t>份</w:t>
            </w:r>
          </w:p>
        </w:tc>
        <w:tc>
          <w:tcPr>
            <w:tcW w:w="2553" w:type="dxa"/>
            <w:vAlign w:val="center"/>
          </w:tcPr>
          <w:p w:rsidR="00F00927" w:rsidRPr="0045565B" w:rsidP="00801E52">
            <w:pPr>
              <w:jc w:val="right"/>
              <w:rPr>
                <w:rFonts w:eastAsiaTheme="minorEastAsia"/>
                <w:szCs w:val="21"/>
              </w:rPr>
            </w:pPr>
            <w:r w:rsidRPr="0045565B">
              <w:rPr>
                <w:rFonts w:eastAsiaTheme="minorEastAsia"/>
                <w:szCs w:val="21"/>
              </w:rPr>
              <w:t>7,620,166.96</w:t>
            </w:r>
            <w:r w:rsidRPr="0045565B">
              <w:rPr>
                <w:rFonts w:eastAsiaTheme="minorEastAsia"/>
                <w:szCs w:val="21"/>
              </w:rPr>
              <w:t>份</w:t>
            </w:r>
          </w:p>
        </w:tc>
      </w:tr>
    </w:tbl>
    <w:p w:rsidR="001548F9" w:rsidRPr="0045565B" w:rsidP="0045565B">
      <w:pPr>
        <w:pStyle w:val="Heading2"/>
        <w:spacing w:before="312" w:beforeLines="100" w:after="0"/>
        <w:jc w:val="left"/>
        <w:rPr>
          <w:rFonts w:ascii="Times New Roman" w:hAnsi="Times New Roman" w:eastAsiaTheme="minorEastAsia"/>
          <w:color w:val="000000"/>
          <w:sz w:val="21"/>
          <w:szCs w:val="21"/>
        </w:rPr>
      </w:pPr>
      <w:bookmarkStart w:id="6" w:name="_Toc331410070"/>
      <w:r w:rsidRPr="0045565B">
        <w:rPr>
          <w:rFonts w:ascii="Times New Roman" w:hAnsi="Times New Roman" w:eastAsiaTheme="minorEastAsia"/>
          <w:kern w:val="0"/>
          <w:sz w:val="21"/>
          <w:szCs w:val="21"/>
        </w:rPr>
        <w:t xml:space="preserve">2.2 </w:t>
      </w:r>
      <w:r w:rsidRPr="0045565B">
        <w:rPr>
          <w:rFonts w:ascii="Times New Roman" w:hAnsi="Times New Roman" w:eastAsiaTheme="minorEastAsia"/>
          <w:color w:val="000000"/>
          <w:sz w:val="21"/>
          <w:szCs w:val="21"/>
        </w:rPr>
        <w:t>基金产品说明</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6873"/>
      </w:tblGrid>
      <w:tr w:rsidTr="0045565B">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2127" w:type="dxa"/>
            <w:vAlign w:val="center"/>
          </w:tcPr>
          <w:p w:rsidR="001548F9" w:rsidRPr="0045565B">
            <w:pPr>
              <w:rPr>
                <w:rFonts w:eastAsiaTheme="minorEastAsia"/>
                <w:szCs w:val="21"/>
              </w:rPr>
            </w:pPr>
            <w:r w:rsidRPr="0045565B">
              <w:rPr>
                <w:rFonts w:eastAsiaTheme="minorEastAsia"/>
                <w:szCs w:val="21"/>
              </w:rPr>
              <w:t>投资目标</w:t>
            </w:r>
          </w:p>
        </w:tc>
        <w:tc>
          <w:tcPr>
            <w:tcW w:w="6873" w:type="dxa"/>
            <w:vAlign w:val="bottom"/>
          </w:tcPr>
          <w:p w:rsidR="001548F9" w:rsidRPr="0045565B">
            <w:pPr>
              <w:rPr>
                <w:rFonts w:eastAsiaTheme="minorEastAsia"/>
                <w:szCs w:val="21"/>
              </w:rPr>
            </w:pPr>
            <w:r w:rsidRPr="0045565B">
              <w:rPr>
                <w:rFonts w:eastAsiaTheme="minorEastAsia"/>
                <w:szCs w:val="21"/>
              </w:rPr>
              <w:t>本基金主要投资于医疗健康产业证券，在严格控制风险的前提下，追求超越业绩比较基准的投资回报。</w:t>
            </w:r>
          </w:p>
        </w:tc>
      </w:tr>
      <w:tr w:rsidTr="0045565B">
        <w:tblPrEx>
          <w:tblW w:w="0" w:type="auto"/>
          <w:tblInd w:w="108" w:type="dxa"/>
          <w:tblLayout w:type="fixed"/>
          <w:tblLook w:val="00A0"/>
        </w:tblPrEx>
        <w:tc>
          <w:tcPr>
            <w:tcW w:w="2127" w:type="dxa"/>
            <w:vAlign w:val="center"/>
          </w:tcPr>
          <w:p w:rsidR="001548F9" w:rsidRPr="0045565B">
            <w:pPr>
              <w:rPr>
                <w:rFonts w:eastAsiaTheme="minorEastAsia"/>
                <w:szCs w:val="21"/>
              </w:rPr>
            </w:pPr>
            <w:r w:rsidRPr="0045565B">
              <w:rPr>
                <w:rFonts w:eastAsiaTheme="minorEastAsia"/>
                <w:szCs w:val="21"/>
              </w:rPr>
              <w:t>投资策略</w:t>
            </w:r>
          </w:p>
        </w:tc>
        <w:tc>
          <w:tcPr>
            <w:tcW w:w="6873" w:type="dxa"/>
            <w:vAlign w:val="bottom"/>
          </w:tcPr>
          <w:p w:rsidR="001548F9" w:rsidRPr="0045565B">
            <w:pPr>
              <w:rPr>
                <w:rFonts w:eastAsiaTheme="minorEastAsia"/>
                <w:szCs w:val="21"/>
              </w:rPr>
            </w:pPr>
            <w:r w:rsidRPr="0045565B">
              <w:rPr>
                <w:rFonts w:eastAsiaTheme="minorEastAsia"/>
                <w:szCs w:val="21"/>
              </w:rPr>
              <w:t>本基金将从宏观面、政策面、基本面和资金面四个维度进行综合分析，主动判断市场时机，在严格控制投资组合风险的前提下，进行积极的资产配置，合理确定基金在股票类资产、固定收益类资产、现金类资产等各类资产类别上的投资比例，最大限度的提高收益。本基金主要投资于医疗健康产业证券，所指的医疗健康产业具体包括以下三类公司：1）与医疗行业相关的上市公司，包括医药研发和生产（化学制药、中药、生物制品）、医药商业、医疗器械、医疗服务及医疗信息化等行业；2）与健康行业相关的上市公司，包括保健品、健康养老、健康检测、健康护理等行业。 本基金主要考察行业潜在空间、行业竞争结构、行业周期、行业的潜在风险等因素，进行股票资产在医疗健康各细分行业间的配置。本基金在行业配置的基础上，采取“自下而上”的方式，依靠定量与定性相结合的方法进行个股精选。基金经理将按照本基金的投资决策程序，审慎精选，权衡风险收益特征后，根据市场波动情况构建股票组合并进行动态调整。</w:t>
            </w:r>
          </w:p>
        </w:tc>
      </w:tr>
      <w:tr w:rsidTr="0045565B">
        <w:tblPrEx>
          <w:tblW w:w="0" w:type="auto"/>
          <w:tblInd w:w="108" w:type="dxa"/>
          <w:tblLayout w:type="fixed"/>
          <w:tblLook w:val="00A0"/>
        </w:tblPrEx>
        <w:tc>
          <w:tcPr>
            <w:tcW w:w="2127" w:type="dxa"/>
            <w:vAlign w:val="center"/>
          </w:tcPr>
          <w:p w:rsidR="001548F9" w:rsidRPr="0045565B">
            <w:pPr>
              <w:rPr>
                <w:rFonts w:eastAsiaTheme="minorEastAsia"/>
                <w:szCs w:val="21"/>
              </w:rPr>
            </w:pPr>
            <w:r w:rsidRPr="0045565B">
              <w:rPr>
                <w:rFonts w:eastAsiaTheme="minorEastAsia"/>
                <w:szCs w:val="21"/>
              </w:rPr>
              <w:t>业绩比较基准</w:t>
            </w:r>
          </w:p>
        </w:tc>
        <w:tc>
          <w:tcPr>
            <w:tcW w:w="6873" w:type="dxa"/>
            <w:vAlign w:val="bottom"/>
          </w:tcPr>
          <w:p w:rsidR="001548F9" w:rsidRPr="0045565B">
            <w:pPr>
              <w:rPr>
                <w:rFonts w:eastAsiaTheme="minorEastAsia"/>
                <w:szCs w:val="21"/>
              </w:rPr>
            </w:pPr>
            <w:r w:rsidRPr="0045565B">
              <w:rPr>
                <w:rFonts w:eastAsiaTheme="minorEastAsia"/>
                <w:szCs w:val="21"/>
              </w:rPr>
              <w:t>中证医药卫生指数收益率×80%+中债总财富（总值）指数收益率×20%</w:t>
            </w:r>
          </w:p>
        </w:tc>
      </w:tr>
      <w:tr w:rsidTr="0045565B">
        <w:tblPrEx>
          <w:tblW w:w="0" w:type="auto"/>
          <w:tblInd w:w="108" w:type="dxa"/>
          <w:tblLayout w:type="fixed"/>
          <w:tblLook w:val="00A0"/>
        </w:tblPrEx>
        <w:tc>
          <w:tcPr>
            <w:tcW w:w="2127" w:type="dxa"/>
            <w:vAlign w:val="center"/>
          </w:tcPr>
          <w:p w:rsidR="001548F9" w:rsidRPr="0045565B">
            <w:pPr>
              <w:rPr>
                <w:rFonts w:eastAsiaTheme="minorEastAsia"/>
                <w:szCs w:val="21"/>
              </w:rPr>
            </w:pPr>
            <w:r w:rsidRPr="0045565B">
              <w:rPr>
                <w:rFonts w:eastAsiaTheme="minorEastAsia"/>
                <w:szCs w:val="21"/>
              </w:rPr>
              <w:t>风险收益特征</w:t>
            </w:r>
          </w:p>
        </w:tc>
        <w:tc>
          <w:tcPr>
            <w:tcW w:w="6873" w:type="dxa"/>
            <w:vAlign w:val="bottom"/>
          </w:tcPr>
          <w:p w:rsidR="001548F9" w:rsidRPr="0045565B">
            <w:pPr>
              <w:rPr>
                <w:rFonts w:eastAsiaTheme="minorEastAsia"/>
                <w:szCs w:val="21"/>
              </w:rPr>
            </w:pPr>
            <w:r w:rsidRPr="0045565B">
              <w:rPr>
                <w:rFonts w:eastAsiaTheme="minorEastAsia"/>
                <w:szCs w:val="21"/>
              </w:rPr>
              <w:t>本基金为股票型基金，其风险和预期收益均高于混合型基金、债券型基金和货币市场基金。</w:t>
            </w:r>
          </w:p>
        </w:tc>
      </w:tr>
    </w:tbl>
    <w:p w:rsidR="001548F9" w:rsidRPr="0045565B" w:rsidP="0045565B">
      <w:pPr>
        <w:pStyle w:val="Heading2"/>
        <w:spacing w:before="312" w:beforeLines="100" w:after="0"/>
        <w:jc w:val="left"/>
        <w:rPr>
          <w:rFonts w:ascii="Times New Roman" w:hAnsi="Times New Roman" w:eastAsiaTheme="minorEastAsia"/>
          <w:kern w:val="0"/>
          <w:sz w:val="21"/>
          <w:szCs w:val="21"/>
        </w:rPr>
      </w:pPr>
      <w:bookmarkStart w:id="7" w:name="_Toc331410071"/>
      <w:bookmarkStart w:id="8" w:name="_Toc225498247"/>
      <w:r w:rsidRPr="0045565B">
        <w:rPr>
          <w:rFonts w:ascii="Times New Roman" w:hAnsi="Times New Roman" w:eastAsiaTheme="minorEastAsia"/>
          <w:kern w:val="0"/>
          <w:sz w:val="21"/>
          <w:szCs w:val="21"/>
        </w:rPr>
        <w:t xml:space="preserve">2.3 </w:t>
      </w:r>
      <w:r w:rsidRPr="0045565B">
        <w:rPr>
          <w:rFonts w:ascii="Times New Roman" w:hAnsi="Times New Roman" w:eastAsiaTheme="minorEastAsia"/>
          <w:kern w:val="0"/>
          <w:sz w:val="21"/>
          <w:szCs w:val="21"/>
        </w:rPr>
        <w:t>基金</w:t>
      </w:r>
      <w:r w:rsidRPr="0045565B">
        <w:rPr>
          <w:rFonts w:ascii="Times New Roman" w:hAnsi="Times New Roman" w:eastAsiaTheme="minorEastAsia"/>
          <w:color w:val="000000"/>
          <w:sz w:val="21"/>
          <w:szCs w:val="21"/>
        </w:rPr>
        <w:t>管理</w:t>
      </w:r>
      <w:r w:rsidRPr="0045565B">
        <w:rPr>
          <w:rFonts w:ascii="Times New Roman" w:hAnsi="Times New Roman" w:eastAsiaTheme="minorEastAsia"/>
          <w:kern w:val="0"/>
          <w:sz w:val="21"/>
          <w:szCs w:val="21"/>
        </w:rPr>
        <w:t>人和基金托管人</w:t>
      </w:r>
      <w:bookmarkEnd w:id="7"/>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0"/>
        <w:gridCol w:w="1371"/>
        <w:gridCol w:w="3060"/>
        <w:gridCol w:w="3060"/>
      </w:tblGrid>
      <w:tr w:rsidTr="0045565B">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2631" w:type="dxa"/>
            <w:gridSpan w:val="2"/>
            <w:vAlign w:val="center"/>
          </w:tcPr>
          <w:p w:rsidR="001548F9" w:rsidRPr="0045565B">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项目</w:t>
            </w:r>
          </w:p>
        </w:tc>
        <w:tc>
          <w:tcPr>
            <w:tcW w:w="3060" w:type="dxa"/>
            <w:vAlign w:val="center"/>
          </w:tcPr>
          <w:p w:rsidR="001548F9" w:rsidRPr="0045565B">
            <w:pPr>
              <w:jc w:val="center"/>
              <w:rPr>
                <w:rFonts w:eastAsiaTheme="minorEastAsia"/>
                <w:color w:val="000000"/>
                <w:szCs w:val="21"/>
              </w:rPr>
            </w:pPr>
            <w:r w:rsidRPr="0045565B">
              <w:rPr>
                <w:rFonts w:eastAsiaTheme="minorEastAsia"/>
                <w:color w:val="000000"/>
                <w:szCs w:val="21"/>
              </w:rPr>
              <w:t>基金管理人</w:t>
            </w:r>
          </w:p>
        </w:tc>
        <w:tc>
          <w:tcPr>
            <w:tcW w:w="3060" w:type="dxa"/>
            <w:vAlign w:val="center"/>
          </w:tcPr>
          <w:p w:rsidR="001548F9" w:rsidRPr="0045565B">
            <w:pPr>
              <w:jc w:val="center"/>
              <w:rPr>
                <w:rFonts w:eastAsiaTheme="minorEastAsia"/>
                <w:color w:val="000000"/>
                <w:szCs w:val="21"/>
              </w:rPr>
            </w:pPr>
            <w:r w:rsidRPr="0045565B">
              <w:rPr>
                <w:rFonts w:eastAsiaTheme="minorEastAsia"/>
                <w:color w:val="000000"/>
                <w:szCs w:val="21"/>
              </w:rPr>
              <w:t>基金托管人</w:t>
            </w:r>
          </w:p>
        </w:tc>
      </w:tr>
      <w:tr w:rsidTr="0045565B">
        <w:tblPrEx>
          <w:tblW w:w="0" w:type="auto"/>
          <w:tblInd w:w="108" w:type="dxa"/>
          <w:tblLayout w:type="fixed"/>
          <w:tblLook w:val="00A0"/>
        </w:tblPrEx>
        <w:tc>
          <w:tcPr>
            <w:tcW w:w="2631" w:type="dxa"/>
            <w:gridSpan w:val="2"/>
            <w:vAlign w:val="center"/>
          </w:tcPr>
          <w:p w:rsidR="001548F9" w:rsidRPr="0045565B">
            <w:pPr>
              <w:autoSpaceDE w:val="0"/>
              <w:autoSpaceDN w:val="0"/>
              <w:adjustRightInd w:val="0"/>
              <w:spacing w:before="29" w:line="288" w:lineRule="auto"/>
              <w:ind w:left="15"/>
              <w:rPr>
                <w:rFonts w:eastAsiaTheme="minorEastAsia"/>
                <w:color w:val="000000"/>
                <w:kern w:val="0"/>
                <w:szCs w:val="21"/>
              </w:rPr>
            </w:pPr>
            <w:r w:rsidRPr="0045565B">
              <w:rPr>
                <w:rFonts w:eastAsiaTheme="minorEastAsia"/>
                <w:color w:val="000000"/>
                <w:kern w:val="0"/>
                <w:szCs w:val="21"/>
              </w:rPr>
              <w:t>名称</w:t>
            </w:r>
          </w:p>
        </w:tc>
        <w:tc>
          <w:tcPr>
            <w:tcW w:w="3060" w:type="dxa"/>
            <w:vAlign w:val="center"/>
          </w:tcPr>
          <w:p w:rsidR="001548F9" w:rsidRPr="0045565B" w:rsidP="00A40735">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金鹰基金管理有限公司</w:t>
            </w:r>
          </w:p>
        </w:tc>
        <w:tc>
          <w:tcPr>
            <w:tcW w:w="3060" w:type="dxa"/>
            <w:vAlign w:val="center"/>
          </w:tcPr>
          <w:p w:rsidR="001548F9" w:rsidRPr="0045565B" w:rsidP="00A40735">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交通银行股份有限公司</w:t>
            </w:r>
          </w:p>
        </w:tc>
      </w:tr>
      <w:tr w:rsidTr="0045565B">
        <w:tblPrEx>
          <w:tblW w:w="0" w:type="auto"/>
          <w:tblInd w:w="108" w:type="dxa"/>
          <w:tblLayout w:type="fixed"/>
          <w:tblLook w:val="00A0"/>
        </w:tblPrEx>
        <w:tc>
          <w:tcPr>
            <w:tcW w:w="1260" w:type="dxa"/>
            <w:vMerge w:val="restart"/>
            <w:vAlign w:val="center"/>
          </w:tcPr>
          <w:p w:rsidR="001548F9" w:rsidRPr="0045565B">
            <w:pPr>
              <w:autoSpaceDE w:val="0"/>
              <w:autoSpaceDN w:val="0"/>
              <w:adjustRightInd w:val="0"/>
              <w:spacing w:before="29" w:line="360" w:lineRule="auto"/>
              <w:ind w:left="15"/>
              <w:rPr>
                <w:rFonts w:eastAsiaTheme="minorEastAsia"/>
                <w:color w:val="000000"/>
                <w:kern w:val="0"/>
                <w:szCs w:val="21"/>
              </w:rPr>
            </w:pPr>
            <w:r w:rsidRPr="0045565B">
              <w:rPr>
                <w:rFonts w:eastAsiaTheme="minorEastAsia"/>
                <w:color w:val="000000"/>
                <w:szCs w:val="21"/>
              </w:rPr>
              <w:t>信息披露负责人</w:t>
            </w:r>
          </w:p>
        </w:tc>
        <w:tc>
          <w:tcPr>
            <w:tcW w:w="1371" w:type="dxa"/>
            <w:vAlign w:val="center"/>
          </w:tcPr>
          <w:p w:rsidR="001548F9" w:rsidRPr="0045565B">
            <w:pPr>
              <w:jc w:val="center"/>
              <w:rPr>
                <w:rFonts w:eastAsiaTheme="minorEastAsia"/>
                <w:color w:val="000000"/>
                <w:szCs w:val="21"/>
              </w:rPr>
            </w:pPr>
            <w:r w:rsidRPr="0045565B">
              <w:rPr>
                <w:rFonts w:eastAsiaTheme="minorEastAsia"/>
                <w:color w:val="000000"/>
                <w:szCs w:val="21"/>
              </w:rPr>
              <w:t>姓名</w:t>
            </w:r>
          </w:p>
        </w:tc>
        <w:tc>
          <w:tcPr>
            <w:tcW w:w="3060" w:type="dxa"/>
            <w:vAlign w:val="bottom"/>
          </w:tcPr>
          <w:p w:rsidR="001548F9" w:rsidRPr="0045565B" w:rsidP="00A40735">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曾长兴</w:t>
            </w:r>
          </w:p>
        </w:tc>
        <w:tc>
          <w:tcPr>
            <w:tcW w:w="3060" w:type="dxa"/>
            <w:vAlign w:val="bottom"/>
          </w:tcPr>
          <w:p w:rsidR="001548F9" w:rsidRPr="0045565B" w:rsidP="00A40735">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陆志俊</w:t>
            </w:r>
          </w:p>
        </w:tc>
      </w:tr>
      <w:tr w:rsidTr="0045565B">
        <w:tblPrEx>
          <w:tblW w:w="0" w:type="auto"/>
          <w:tblInd w:w="108" w:type="dxa"/>
          <w:tblLayout w:type="fixed"/>
          <w:tblLook w:val="00A0"/>
        </w:tblPrEx>
        <w:tc>
          <w:tcPr>
            <w:tcW w:w="1260" w:type="dxa"/>
            <w:vMerge/>
            <w:vAlign w:val="center"/>
          </w:tcPr>
          <w:p w:rsidR="001548F9" w:rsidRPr="0045565B">
            <w:pPr>
              <w:widowControl/>
              <w:jc w:val="left"/>
              <w:rPr>
                <w:rFonts w:eastAsiaTheme="minorEastAsia"/>
                <w:color w:val="000000"/>
                <w:kern w:val="0"/>
                <w:szCs w:val="21"/>
              </w:rPr>
            </w:pPr>
          </w:p>
        </w:tc>
        <w:tc>
          <w:tcPr>
            <w:tcW w:w="1371" w:type="dxa"/>
            <w:vAlign w:val="center"/>
          </w:tcPr>
          <w:p w:rsidR="001548F9" w:rsidRPr="0045565B">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szCs w:val="21"/>
              </w:rPr>
              <w:t>联系电话</w:t>
            </w:r>
          </w:p>
        </w:tc>
        <w:tc>
          <w:tcPr>
            <w:tcW w:w="3060" w:type="dxa"/>
            <w:vAlign w:val="bottom"/>
          </w:tcPr>
          <w:p w:rsidR="001548F9" w:rsidRPr="0045565B" w:rsidP="00A40735">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020-38898996</w:t>
            </w:r>
          </w:p>
        </w:tc>
        <w:tc>
          <w:tcPr>
            <w:tcW w:w="3060" w:type="dxa"/>
            <w:vAlign w:val="bottom"/>
          </w:tcPr>
          <w:p w:rsidR="001548F9" w:rsidRPr="0045565B" w:rsidP="00A40735">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95559</w:t>
            </w:r>
          </w:p>
        </w:tc>
      </w:tr>
      <w:tr w:rsidTr="0045565B">
        <w:tblPrEx>
          <w:tblW w:w="0" w:type="auto"/>
          <w:tblInd w:w="108" w:type="dxa"/>
          <w:tblLayout w:type="fixed"/>
          <w:tblLook w:val="00A0"/>
        </w:tblPrEx>
        <w:tc>
          <w:tcPr>
            <w:tcW w:w="1260" w:type="dxa"/>
            <w:vMerge/>
            <w:vAlign w:val="center"/>
          </w:tcPr>
          <w:p w:rsidR="001548F9" w:rsidRPr="0045565B">
            <w:pPr>
              <w:widowControl/>
              <w:jc w:val="left"/>
              <w:rPr>
                <w:rFonts w:eastAsiaTheme="minorEastAsia"/>
                <w:color w:val="000000"/>
                <w:kern w:val="0"/>
                <w:szCs w:val="21"/>
              </w:rPr>
            </w:pPr>
          </w:p>
        </w:tc>
        <w:tc>
          <w:tcPr>
            <w:tcW w:w="1371" w:type="dxa"/>
            <w:vAlign w:val="center"/>
          </w:tcPr>
          <w:p w:rsidR="001548F9" w:rsidRPr="0045565B">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szCs w:val="21"/>
              </w:rPr>
              <w:t>电子邮箱</w:t>
            </w:r>
          </w:p>
        </w:tc>
        <w:tc>
          <w:tcPr>
            <w:tcW w:w="3060" w:type="dxa"/>
            <w:vAlign w:val="bottom"/>
          </w:tcPr>
          <w:p w:rsidR="001548F9" w:rsidRPr="0045565B" w:rsidP="00D912A2">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csmail@gefund.com.cn</w:t>
            </w:r>
          </w:p>
        </w:tc>
        <w:tc>
          <w:tcPr>
            <w:tcW w:w="3060" w:type="dxa"/>
            <w:vAlign w:val="bottom"/>
          </w:tcPr>
          <w:p w:rsidR="001548F9" w:rsidRPr="0045565B" w:rsidP="00D912A2">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luzj@bankcomm.com</w:t>
            </w:r>
          </w:p>
        </w:tc>
      </w:tr>
      <w:tr w:rsidTr="0045565B">
        <w:tblPrEx>
          <w:tblW w:w="0" w:type="auto"/>
          <w:tblInd w:w="108" w:type="dxa"/>
          <w:tblLayout w:type="fixed"/>
          <w:tblLook w:val="00A0"/>
        </w:tblPrEx>
        <w:tc>
          <w:tcPr>
            <w:tcW w:w="2631" w:type="dxa"/>
            <w:gridSpan w:val="2"/>
            <w:vAlign w:val="center"/>
          </w:tcPr>
          <w:p w:rsidR="001548F9" w:rsidRPr="0045565B">
            <w:pPr>
              <w:rPr>
                <w:rFonts w:eastAsiaTheme="minorEastAsia"/>
                <w:color w:val="000000"/>
                <w:szCs w:val="21"/>
              </w:rPr>
            </w:pPr>
            <w:r w:rsidRPr="0045565B">
              <w:rPr>
                <w:rFonts w:eastAsiaTheme="minorEastAsia"/>
                <w:color w:val="000000"/>
                <w:szCs w:val="21"/>
              </w:rPr>
              <w:t>客户服务电话</w:t>
            </w:r>
          </w:p>
        </w:tc>
        <w:tc>
          <w:tcPr>
            <w:tcW w:w="3060" w:type="dxa"/>
            <w:vAlign w:val="bottom"/>
          </w:tcPr>
          <w:p w:rsidR="001548F9" w:rsidRPr="0045565B" w:rsidP="00D912A2">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4006135888,020-83936180</w:t>
            </w:r>
          </w:p>
        </w:tc>
        <w:tc>
          <w:tcPr>
            <w:tcW w:w="3060" w:type="dxa"/>
            <w:vAlign w:val="bottom"/>
          </w:tcPr>
          <w:p w:rsidR="001548F9" w:rsidRPr="0045565B" w:rsidP="00D912A2">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95559</w:t>
            </w:r>
          </w:p>
        </w:tc>
      </w:tr>
      <w:tr w:rsidTr="0045565B">
        <w:tblPrEx>
          <w:tblW w:w="0" w:type="auto"/>
          <w:tblInd w:w="108" w:type="dxa"/>
          <w:tblLayout w:type="fixed"/>
          <w:tblLook w:val="00A0"/>
        </w:tblPrEx>
        <w:tc>
          <w:tcPr>
            <w:tcW w:w="2631" w:type="dxa"/>
            <w:gridSpan w:val="2"/>
            <w:vAlign w:val="center"/>
          </w:tcPr>
          <w:p w:rsidR="001548F9" w:rsidRPr="0045565B">
            <w:pPr>
              <w:rPr>
                <w:rFonts w:eastAsiaTheme="minorEastAsia"/>
                <w:color w:val="000000"/>
                <w:szCs w:val="21"/>
              </w:rPr>
            </w:pPr>
            <w:r w:rsidRPr="0045565B">
              <w:rPr>
                <w:rFonts w:eastAsiaTheme="minorEastAsia"/>
                <w:color w:val="000000"/>
                <w:szCs w:val="21"/>
              </w:rPr>
              <w:t>传真</w:t>
            </w:r>
          </w:p>
        </w:tc>
        <w:tc>
          <w:tcPr>
            <w:tcW w:w="3060" w:type="dxa"/>
            <w:vAlign w:val="bottom"/>
          </w:tcPr>
          <w:p w:rsidR="001548F9" w:rsidRPr="0045565B" w:rsidP="00D912A2">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020-83282856</w:t>
            </w:r>
          </w:p>
        </w:tc>
        <w:tc>
          <w:tcPr>
            <w:tcW w:w="3060" w:type="dxa"/>
            <w:vAlign w:val="bottom"/>
          </w:tcPr>
          <w:p w:rsidR="001548F9" w:rsidRPr="0045565B" w:rsidP="00D912A2">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021-62701216</w:t>
            </w:r>
          </w:p>
        </w:tc>
      </w:tr>
    </w:tbl>
    <w:p w:rsidR="001548F9" w:rsidRPr="0045565B" w:rsidP="0045565B">
      <w:pPr>
        <w:pStyle w:val="Heading2"/>
        <w:spacing w:before="312" w:beforeLines="100" w:after="0"/>
        <w:jc w:val="left"/>
        <w:rPr>
          <w:rFonts w:ascii="Times New Roman" w:hAnsi="Times New Roman" w:eastAsiaTheme="minorEastAsia"/>
          <w:kern w:val="0"/>
          <w:sz w:val="21"/>
          <w:szCs w:val="21"/>
        </w:rPr>
      </w:pPr>
      <w:bookmarkStart w:id="9" w:name="_Toc331410072"/>
      <w:bookmarkStart w:id="10" w:name="_Toc225498248"/>
      <w:r w:rsidRPr="0045565B">
        <w:rPr>
          <w:rFonts w:ascii="Times New Roman" w:hAnsi="Times New Roman" w:eastAsiaTheme="minorEastAsia"/>
          <w:kern w:val="0"/>
          <w:sz w:val="21"/>
          <w:szCs w:val="21"/>
        </w:rPr>
        <w:t xml:space="preserve">2.4 </w:t>
      </w:r>
      <w:r w:rsidRPr="0045565B">
        <w:rPr>
          <w:rFonts w:ascii="Times New Roman" w:hAnsi="Times New Roman" w:eastAsiaTheme="minorEastAsia"/>
          <w:kern w:val="0"/>
          <w:sz w:val="21"/>
          <w:szCs w:val="21"/>
        </w:rPr>
        <w:t>信息披露方式</w:t>
      </w:r>
      <w:bookmarkEnd w:id="9"/>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20"/>
        <w:gridCol w:w="4180"/>
      </w:tblGrid>
      <w:tr w:rsidTr="0045565B">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4820" w:type="dxa"/>
            <w:vAlign w:val="center"/>
          </w:tcPr>
          <w:p w:rsidR="001548F9" w:rsidRPr="0045565B" w:rsidP="00752ACD">
            <w:pPr>
              <w:tabs>
                <w:tab w:val="left" w:pos="1740"/>
              </w:tabs>
              <w:rPr>
                <w:rFonts w:eastAsiaTheme="minorEastAsia"/>
                <w:color w:val="000000"/>
                <w:szCs w:val="21"/>
              </w:rPr>
            </w:pPr>
            <w:r w:rsidRPr="0045565B">
              <w:rPr>
                <w:rFonts w:eastAsiaTheme="minorEastAsia"/>
                <w:color w:val="000000"/>
                <w:szCs w:val="21"/>
              </w:rPr>
              <w:t>登载基金</w:t>
            </w:r>
            <w:r w:rsidRPr="0045565B" w:rsidR="00106605">
              <w:rPr>
                <w:rFonts w:eastAsiaTheme="minorEastAsia"/>
                <w:color w:val="000000"/>
                <w:szCs w:val="21"/>
              </w:rPr>
              <w:t>半</w:t>
            </w:r>
            <w:r w:rsidRPr="0045565B" w:rsidR="001C03A0">
              <w:rPr>
                <w:rFonts w:eastAsiaTheme="minorEastAsia"/>
                <w:color w:val="000000"/>
                <w:szCs w:val="21"/>
              </w:rPr>
              <w:t>年度报告摘要</w:t>
            </w:r>
            <w:r w:rsidRPr="0045565B">
              <w:rPr>
                <w:rFonts w:eastAsiaTheme="minorEastAsia"/>
                <w:color w:val="000000"/>
                <w:szCs w:val="21"/>
              </w:rPr>
              <w:t>的管理人互联网网址</w:t>
            </w:r>
          </w:p>
        </w:tc>
        <w:tc>
          <w:tcPr>
            <w:tcW w:w="4180" w:type="dxa"/>
            <w:vAlign w:val="center"/>
          </w:tcPr>
          <w:p w:rsidR="001548F9" w:rsidRPr="0045565B" w:rsidP="00A9431A">
            <w:pPr>
              <w:tabs>
                <w:tab w:val="left" w:pos="1740"/>
              </w:tabs>
              <w:rPr>
                <w:rFonts w:eastAsiaTheme="minorEastAsia"/>
                <w:color w:val="000000"/>
                <w:szCs w:val="21"/>
              </w:rPr>
            </w:pPr>
            <w:r w:rsidRPr="0045565B">
              <w:rPr>
                <w:rFonts w:eastAsiaTheme="minorEastAsia"/>
                <w:color w:val="000000"/>
                <w:szCs w:val="21"/>
              </w:rPr>
              <w:t>http://www.gefund.com.cn</w:t>
            </w:r>
          </w:p>
        </w:tc>
      </w:tr>
      <w:tr w:rsidTr="0045565B">
        <w:tblPrEx>
          <w:tblW w:w="0" w:type="auto"/>
          <w:tblInd w:w="108" w:type="dxa"/>
          <w:tblLayout w:type="fixed"/>
          <w:tblLook w:val="00A0"/>
        </w:tblPrEx>
        <w:tc>
          <w:tcPr>
            <w:tcW w:w="4820" w:type="dxa"/>
            <w:vAlign w:val="center"/>
          </w:tcPr>
          <w:p w:rsidR="001548F9" w:rsidRPr="0045565B" w:rsidP="00752ACD">
            <w:pPr>
              <w:tabs>
                <w:tab w:val="left" w:pos="1740"/>
              </w:tabs>
              <w:rPr>
                <w:rFonts w:eastAsiaTheme="minorEastAsia"/>
                <w:color w:val="000000"/>
                <w:szCs w:val="21"/>
              </w:rPr>
            </w:pPr>
            <w:r w:rsidRPr="0045565B">
              <w:rPr>
                <w:rFonts w:eastAsiaTheme="minorEastAsia"/>
                <w:color w:val="000000"/>
                <w:szCs w:val="21"/>
              </w:rPr>
              <w:t>基金</w:t>
            </w:r>
            <w:r w:rsidRPr="0045565B" w:rsidR="00813F84">
              <w:rPr>
                <w:rFonts w:eastAsiaTheme="minorEastAsia"/>
                <w:color w:val="000000"/>
                <w:szCs w:val="21"/>
              </w:rPr>
              <w:t>半</w:t>
            </w:r>
            <w:r w:rsidRPr="0045565B">
              <w:rPr>
                <w:rFonts w:eastAsiaTheme="minorEastAsia"/>
                <w:color w:val="000000"/>
                <w:szCs w:val="21"/>
              </w:rPr>
              <w:t>年度报告备置地点</w:t>
            </w:r>
          </w:p>
        </w:tc>
        <w:tc>
          <w:tcPr>
            <w:tcW w:w="4180" w:type="dxa"/>
            <w:vAlign w:val="center"/>
          </w:tcPr>
          <w:p w:rsidR="001548F9" w:rsidRPr="0045565B" w:rsidP="00A9431A">
            <w:pPr>
              <w:tabs>
                <w:tab w:val="left" w:pos="1740"/>
              </w:tabs>
              <w:rPr>
                <w:rFonts w:eastAsiaTheme="minorEastAsia"/>
                <w:color w:val="000000"/>
                <w:szCs w:val="21"/>
              </w:rPr>
            </w:pPr>
            <w:r w:rsidRPr="0045565B">
              <w:rPr>
                <w:rFonts w:eastAsiaTheme="minorEastAsia"/>
                <w:color w:val="000000"/>
                <w:szCs w:val="21"/>
              </w:rPr>
              <w:t>广东省广州市天河区珠江新城珠江东路28号越秀金融大厦30层</w:t>
            </w:r>
          </w:p>
        </w:tc>
      </w:tr>
    </w:tbl>
    <w:p w:rsidR="001548F9" w:rsidRPr="0045565B" w:rsidP="0025572E">
      <w:pPr>
        <w:pStyle w:val="Heading1"/>
        <w:keepNext/>
        <w:keepLines/>
        <w:widowControl w:val="0"/>
        <w:spacing w:before="312" w:beforeLines="100" w:after="312" w:afterLines="100" w:line="360" w:lineRule="auto"/>
        <w:jc w:val="center"/>
        <w:rPr>
          <w:rFonts w:eastAsiaTheme="minorEastAsia"/>
          <w:b/>
          <w:bCs/>
          <w:sz w:val="21"/>
          <w:szCs w:val="21"/>
          <w:lang w:val="en-US"/>
        </w:rPr>
      </w:pPr>
      <w:bookmarkStart w:id="11" w:name="_Toc225498250"/>
      <w:bookmarkStart w:id="12" w:name="_Toc331410074"/>
      <w:bookmarkStart w:id="13" w:name="_Toc194312019"/>
      <w:bookmarkStart w:id="14" w:name="_Toc193947512"/>
      <w:r w:rsidRPr="0045565B">
        <w:rPr>
          <w:rFonts w:eastAsiaTheme="minorEastAsia"/>
          <w:b/>
          <w:bCs/>
          <w:sz w:val="21"/>
          <w:szCs w:val="21"/>
          <w:lang w:val="en-US"/>
        </w:rPr>
        <w:t xml:space="preserve">3  </w:t>
      </w:r>
      <w:r w:rsidRPr="0045565B">
        <w:rPr>
          <w:rFonts w:eastAsiaTheme="minorEastAsia"/>
          <w:b/>
          <w:bCs/>
          <w:sz w:val="21"/>
          <w:szCs w:val="21"/>
          <w:lang w:val="en-US"/>
        </w:rPr>
        <w:t>主要财务指标和基金净值表现</w:t>
      </w:r>
      <w:bookmarkEnd w:id="11"/>
      <w:bookmarkEnd w:id="12"/>
    </w:p>
    <w:p w:rsidR="001548F9" w:rsidRPr="0045565B" w:rsidP="00D24622">
      <w:pPr>
        <w:pStyle w:val="Heading2"/>
        <w:spacing w:before="0" w:after="0"/>
        <w:rPr>
          <w:rFonts w:ascii="Times New Roman" w:hAnsi="Times New Roman" w:eastAsiaTheme="minorEastAsia"/>
          <w:kern w:val="0"/>
          <w:sz w:val="21"/>
          <w:szCs w:val="21"/>
        </w:rPr>
      </w:pPr>
      <w:bookmarkStart w:id="15" w:name="_Toc286996129"/>
      <w:r w:rsidRPr="0045565B">
        <w:rPr>
          <w:rFonts w:ascii="Times New Roman" w:hAnsi="Times New Roman" w:eastAsiaTheme="minorEastAsia"/>
          <w:kern w:val="0"/>
          <w:sz w:val="21"/>
          <w:szCs w:val="21"/>
        </w:rPr>
        <w:t xml:space="preserve">3.1 </w:t>
      </w:r>
      <w:r w:rsidRPr="0045565B">
        <w:rPr>
          <w:rFonts w:ascii="Times New Roman" w:hAnsi="Times New Roman" w:eastAsiaTheme="minorEastAsia"/>
          <w:kern w:val="0"/>
          <w:sz w:val="21"/>
          <w:szCs w:val="21"/>
        </w:rPr>
        <w:t>主要会计数据和财务指标</w:t>
      </w:r>
      <w:bookmarkEnd w:id="15"/>
    </w:p>
    <w:p w:rsidR="00A929AA" w:rsidRPr="0045565B" w:rsidP="00A929AA">
      <w:pPr>
        <w:autoSpaceDE w:val="0"/>
        <w:autoSpaceDN w:val="0"/>
        <w:adjustRightInd w:val="0"/>
        <w:spacing w:before="29" w:line="360" w:lineRule="auto"/>
        <w:ind w:left="15"/>
        <w:jc w:val="right"/>
        <w:rPr>
          <w:rFonts w:eastAsiaTheme="minorEastAsia"/>
          <w:color w:val="000000"/>
          <w:kern w:val="0"/>
          <w:szCs w:val="21"/>
        </w:rPr>
      </w:pPr>
      <w:r w:rsidRPr="0045565B">
        <w:rPr>
          <w:rFonts w:eastAsiaTheme="minorEastAsia"/>
          <w:color w:val="000000"/>
          <w:kern w:val="0"/>
          <w:szCs w:val="21"/>
        </w:rPr>
        <w:t>金额单位：人民币元</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04"/>
        <w:gridCol w:w="2410"/>
        <w:gridCol w:w="2558"/>
      </w:tblGrid>
      <w:tr w:rsidTr="0045565B">
        <w:tblPrEx>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rPr>
          <w:trHeight w:val="487"/>
        </w:trPr>
        <w:tc>
          <w:tcPr>
            <w:tcW w:w="4404" w:type="dxa"/>
            <w:vMerge w:val="restart"/>
            <w:vAlign w:val="center"/>
          </w:tcPr>
          <w:p w:rsidR="001548F9" w:rsidRPr="0045565B" w:rsidP="00752ACD">
            <w:pPr>
              <w:ind w:left="-107" w:right="-107" w:leftChars="-51" w:rightChars="-51"/>
              <w:rPr>
                <w:rFonts w:eastAsiaTheme="minorEastAsia"/>
                <w:b/>
                <w:color w:val="000000"/>
                <w:szCs w:val="21"/>
              </w:rPr>
            </w:pPr>
            <w:bookmarkEnd w:id="13"/>
            <w:bookmarkEnd w:id="14"/>
            <w:r w:rsidRPr="0045565B">
              <w:rPr>
                <w:rFonts w:eastAsiaTheme="minorEastAsia"/>
                <w:b/>
                <w:color w:val="000000"/>
                <w:szCs w:val="21"/>
              </w:rPr>
              <w:t>3.1.1</w:t>
            </w:r>
            <w:r w:rsidRPr="0045565B">
              <w:rPr>
                <w:rFonts w:eastAsiaTheme="minorEastAsia"/>
                <w:b/>
                <w:color w:val="000000"/>
                <w:szCs w:val="21"/>
              </w:rPr>
              <w:t>期间数据和指标</w:t>
            </w:r>
          </w:p>
        </w:tc>
        <w:tc>
          <w:tcPr>
            <w:tcW w:w="4968" w:type="dxa"/>
            <w:gridSpan w:val="2"/>
            <w:vAlign w:val="center"/>
          </w:tcPr>
          <w:p w:rsidR="001548F9" w:rsidRPr="0045565B" w:rsidP="00A062B7">
            <w:pPr>
              <w:jc w:val="center"/>
              <w:rPr>
                <w:rFonts w:eastAsiaTheme="minorEastAsia"/>
                <w:b/>
                <w:szCs w:val="21"/>
              </w:rPr>
            </w:pPr>
            <w:r w:rsidRPr="0045565B">
              <w:rPr>
                <w:rFonts w:eastAsiaTheme="minorEastAsia"/>
                <w:b/>
                <w:szCs w:val="21"/>
              </w:rPr>
              <w:t>报告期（</w:t>
            </w:r>
            <w:r w:rsidRPr="0045565B" w:rsidR="0058437B">
              <w:rPr>
                <w:rFonts w:eastAsiaTheme="minorEastAsia"/>
                <w:b/>
                <w:szCs w:val="21"/>
              </w:rPr>
              <w:t>2019年1月1日</w:t>
            </w:r>
            <w:r w:rsidRPr="0045565B" w:rsidR="0058437B">
              <w:rPr>
                <w:rFonts w:eastAsiaTheme="minorEastAsia"/>
                <w:b/>
                <w:szCs w:val="21"/>
              </w:rPr>
              <w:t>至</w:t>
            </w:r>
            <w:r w:rsidRPr="0045565B">
              <w:rPr>
                <w:rFonts w:eastAsiaTheme="minorEastAsia"/>
                <w:b/>
                <w:szCs w:val="21"/>
              </w:rPr>
              <w:t>2019年6月30日</w:t>
            </w:r>
            <w:r w:rsidRPr="0045565B">
              <w:rPr>
                <w:rFonts w:eastAsiaTheme="minorEastAsia"/>
                <w:b/>
                <w:szCs w:val="21"/>
              </w:rPr>
              <w:t>）</w:t>
            </w:r>
          </w:p>
        </w:tc>
      </w:tr>
      <w:tr w:rsidTr="0045565B">
        <w:tblPrEx>
          <w:tblW w:w="9372" w:type="dxa"/>
          <w:tblInd w:w="108" w:type="dxa"/>
          <w:tblLayout w:type="fixed"/>
          <w:tblLook w:val="00A0"/>
        </w:tblPrEx>
        <w:trPr>
          <w:trHeight w:val="487"/>
        </w:trPr>
        <w:tc>
          <w:tcPr>
            <w:tcW w:w="4404" w:type="dxa"/>
            <w:vMerge/>
            <w:vAlign w:val="center"/>
          </w:tcPr>
          <w:p w:rsidR="001548F9" w:rsidRPr="0045565B">
            <w:pPr>
              <w:widowControl/>
              <w:jc w:val="left"/>
              <w:rPr>
                <w:rFonts w:eastAsiaTheme="minorEastAsia"/>
                <w:b/>
                <w:color w:val="000000"/>
                <w:szCs w:val="21"/>
              </w:rPr>
            </w:pPr>
          </w:p>
        </w:tc>
        <w:tc>
          <w:tcPr>
            <w:tcW w:w="2410" w:type="dxa"/>
            <w:vAlign w:val="center"/>
          </w:tcPr>
          <w:p w:rsidR="001548F9" w:rsidRPr="0045565B" w:rsidP="00801E52">
            <w:pPr>
              <w:jc w:val="right"/>
              <w:rPr>
                <w:rFonts w:eastAsiaTheme="minorEastAsia"/>
                <w:szCs w:val="21"/>
              </w:rPr>
            </w:pPr>
            <w:r w:rsidRPr="0045565B">
              <w:rPr>
                <w:rFonts w:eastAsiaTheme="minorEastAsia"/>
                <w:szCs w:val="21"/>
              </w:rPr>
              <w:t>金鹰医疗健康股票A</w:t>
            </w:r>
          </w:p>
        </w:tc>
        <w:tc>
          <w:tcPr>
            <w:tcW w:w="2558" w:type="dxa"/>
            <w:vAlign w:val="center"/>
          </w:tcPr>
          <w:p w:rsidR="001548F9" w:rsidRPr="0045565B" w:rsidP="00801E52">
            <w:pPr>
              <w:jc w:val="right"/>
              <w:rPr>
                <w:rFonts w:eastAsiaTheme="minorEastAsia"/>
                <w:szCs w:val="21"/>
              </w:rPr>
            </w:pPr>
            <w:r w:rsidRPr="0045565B">
              <w:rPr>
                <w:rFonts w:eastAsiaTheme="minorEastAsia"/>
                <w:szCs w:val="21"/>
              </w:rPr>
              <w:t>金鹰医疗健康股票C</w:t>
            </w:r>
          </w:p>
        </w:tc>
      </w:tr>
      <w:tr w:rsidTr="0045565B">
        <w:tblPrEx>
          <w:tblW w:w="9372" w:type="dxa"/>
          <w:tblInd w:w="108" w:type="dxa"/>
          <w:tblLayout w:type="fixed"/>
          <w:tblLook w:val="00A0"/>
        </w:tblPrEx>
        <w:tc>
          <w:tcPr>
            <w:tcW w:w="4404" w:type="dxa"/>
            <w:vAlign w:val="center"/>
          </w:tcPr>
          <w:p w:rsidR="001548F9" w:rsidRPr="0045565B">
            <w:pPr>
              <w:rPr>
                <w:rFonts w:eastAsiaTheme="minorEastAsia"/>
                <w:szCs w:val="21"/>
              </w:rPr>
            </w:pPr>
            <w:r w:rsidRPr="0045565B">
              <w:rPr>
                <w:rFonts w:eastAsiaTheme="minorEastAsia"/>
                <w:szCs w:val="21"/>
              </w:rPr>
              <w:t>本期已实现收益</w:t>
            </w:r>
          </w:p>
        </w:tc>
        <w:tc>
          <w:tcPr>
            <w:tcW w:w="2410" w:type="dxa"/>
            <w:vAlign w:val="center"/>
          </w:tcPr>
          <w:p w:rsidR="001548F9" w:rsidRPr="0045565B" w:rsidP="00801E52">
            <w:pPr>
              <w:jc w:val="right"/>
              <w:rPr>
                <w:rFonts w:eastAsiaTheme="minorEastAsia"/>
                <w:szCs w:val="21"/>
              </w:rPr>
            </w:pPr>
            <w:r w:rsidRPr="0045565B">
              <w:rPr>
                <w:rFonts w:eastAsiaTheme="minorEastAsia"/>
                <w:szCs w:val="21"/>
              </w:rPr>
              <w:t>-537,419.57</w:t>
            </w:r>
          </w:p>
        </w:tc>
        <w:tc>
          <w:tcPr>
            <w:tcW w:w="2558" w:type="dxa"/>
            <w:vAlign w:val="center"/>
          </w:tcPr>
          <w:p w:rsidR="001548F9" w:rsidRPr="0045565B" w:rsidP="00801E52">
            <w:pPr>
              <w:jc w:val="right"/>
              <w:rPr>
                <w:rFonts w:eastAsiaTheme="minorEastAsia"/>
                <w:szCs w:val="21"/>
              </w:rPr>
            </w:pPr>
            <w:r w:rsidRPr="0045565B">
              <w:rPr>
                <w:rFonts w:eastAsiaTheme="minorEastAsia"/>
                <w:szCs w:val="21"/>
              </w:rPr>
              <w:t>-743,614.28</w:t>
            </w:r>
          </w:p>
        </w:tc>
      </w:tr>
      <w:tr w:rsidTr="0045565B">
        <w:tblPrEx>
          <w:tblW w:w="9372" w:type="dxa"/>
          <w:tblInd w:w="108" w:type="dxa"/>
          <w:tblLayout w:type="fixed"/>
          <w:tblLook w:val="00A0"/>
        </w:tblPrEx>
        <w:trPr>
          <w:trHeight w:val="754"/>
        </w:trPr>
        <w:tc>
          <w:tcPr>
            <w:tcW w:w="4404" w:type="dxa"/>
            <w:vAlign w:val="center"/>
          </w:tcPr>
          <w:p w:rsidR="001548F9" w:rsidRPr="0045565B">
            <w:pPr>
              <w:rPr>
                <w:rFonts w:eastAsiaTheme="minorEastAsia"/>
                <w:szCs w:val="21"/>
              </w:rPr>
            </w:pPr>
            <w:r w:rsidRPr="0045565B">
              <w:rPr>
                <w:rFonts w:eastAsiaTheme="minorEastAsia"/>
                <w:szCs w:val="21"/>
              </w:rPr>
              <w:t>本期利润</w:t>
            </w:r>
          </w:p>
        </w:tc>
        <w:tc>
          <w:tcPr>
            <w:tcW w:w="2410" w:type="dxa"/>
            <w:vAlign w:val="center"/>
          </w:tcPr>
          <w:p w:rsidR="001548F9" w:rsidRPr="0045565B" w:rsidP="00801E52">
            <w:pPr>
              <w:jc w:val="right"/>
              <w:rPr>
                <w:rFonts w:eastAsiaTheme="minorEastAsia"/>
                <w:szCs w:val="21"/>
              </w:rPr>
            </w:pPr>
            <w:r w:rsidRPr="0045565B">
              <w:rPr>
                <w:rFonts w:eastAsiaTheme="minorEastAsia"/>
                <w:szCs w:val="21"/>
              </w:rPr>
              <w:t>-297,087.46</w:t>
            </w:r>
          </w:p>
        </w:tc>
        <w:tc>
          <w:tcPr>
            <w:tcW w:w="2558" w:type="dxa"/>
            <w:vAlign w:val="center"/>
          </w:tcPr>
          <w:p w:rsidR="001548F9" w:rsidRPr="0045565B" w:rsidP="00801E52">
            <w:pPr>
              <w:jc w:val="right"/>
              <w:rPr>
                <w:rFonts w:eastAsiaTheme="minorEastAsia"/>
                <w:szCs w:val="21"/>
              </w:rPr>
            </w:pPr>
            <w:r w:rsidRPr="0045565B">
              <w:rPr>
                <w:rFonts w:eastAsiaTheme="minorEastAsia"/>
                <w:szCs w:val="21"/>
              </w:rPr>
              <w:t>-562,874.16</w:t>
            </w:r>
          </w:p>
        </w:tc>
      </w:tr>
      <w:tr w:rsidTr="0045565B">
        <w:tblPrEx>
          <w:tblW w:w="9372" w:type="dxa"/>
          <w:tblInd w:w="108" w:type="dxa"/>
          <w:tblLayout w:type="fixed"/>
          <w:tblLook w:val="00A0"/>
        </w:tblPrEx>
        <w:tc>
          <w:tcPr>
            <w:tcW w:w="4404" w:type="dxa"/>
            <w:vAlign w:val="center"/>
          </w:tcPr>
          <w:p w:rsidR="001548F9" w:rsidRPr="0045565B">
            <w:pPr>
              <w:rPr>
                <w:rFonts w:eastAsiaTheme="minorEastAsia"/>
                <w:szCs w:val="21"/>
              </w:rPr>
            </w:pPr>
            <w:r w:rsidRPr="0045565B">
              <w:rPr>
                <w:rFonts w:eastAsiaTheme="minorEastAsia"/>
                <w:szCs w:val="21"/>
              </w:rPr>
              <w:t>加权平均基金份额本期利润</w:t>
            </w:r>
          </w:p>
        </w:tc>
        <w:tc>
          <w:tcPr>
            <w:tcW w:w="2410" w:type="dxa"/>
            <w:vAlign w:val="center"/>
          </w:tcPr>
          <w:p w:rsidR="001548F9" w:rsidRPr="0045565B" w:rsidP="00801E52">
            <w:pPr>
              <w:jc w:val="right"/>
              <w:rPr>
                <w:rFonts w:eastAsiaTheme="minorEastAsia"/>
                <w:szCs w:val="21"/>
              </w:rPr>
            </w:pPr>
            <w:r w:rsidRPr="0045565B">
              <w:rPr>
                <w:rFonts w:eastAsiaTheme="minorEastAsia"/>
                <w:szCs w:val="21"/>
              </w:rPr>
              <w:t>-0.0614</w:t>
            </w:r>
          </w:p>
        </w:tc>
        <w:tc>
          <w:tcPr>
            <w:tcW w:w="2558" w:type="dxa"/>
            <w:vAlign w:val="center"/>
          </w:tcPr>
          <w:p w:rsidR="001548F9" w:rsidRPr="0045565B" w:rsidP="00801E52">
            <w:pPr>
              <w:jc w:val="right"/>
              <w:rPr>
                <w:rFonts w:eastAsiaTheme="minorEastAsia"/>
                <w:szCs w:val="21"/>
              </w:rPr>
            </w:pPr>
            <w:r w:rsidRPr="0045565B">
              <w:rPr>
                <w:rFonts w:eastAsiaTheme="minorEastAsia"/>
                <w:szCs w:val="21"/>
              </w:rPr>
              <w:t>-0.0884</w:t>
            </w:r>
          </w:p>
        </w:tc>
      </w:tr>
      <w:tr w:rsidTr="0045565B">
        <w:tblPrEx>
          <w:tblW w:w="9372" w:type="dxa"/>
          <w:tblInd w:w="108" w:type="dxa"/>
          <w:tblLayout w:type="fixed"/>
          <w:tblLook w:val="00A0"/>
        </w:tblPrEx>
        <w:tc>
          <w:tcPr>
            <w:tcW w:w="4404" w:type="dxa"/>
            <w:vAlign w:val="center"/>
          </w:tcPr>
          <w:p w:rsidR="001548F9" w:rsidRPr="0045565B">
            <w:pPr>
              <w:rPr>
                <w:rFonts w:eastAsiaTheme="minorEastAsia"/>
                <w:szCs w:val="21"/>
              </w:rPr>
            </w:pPr>
            <w:r w:rsidRPr="0045565B">
              <w:rPr>
                <w:rFonts w:eastAsiaTheme="minorEastAsia"/>
                <w:szCs w:val="21"/>
              </w:rPr>
              <w:t>本期基金份额净值增长率</w:t>
            </w:r>
          </w:p>
        </w:tc>
        <w:tc>
          <w:tcPr>
            <w:tcW w:w="2410" w:type="dxa"/>
            <w:vAlign w:val="center"/>
          </w:tcPr>
          <w:p w:rsidR="001548F9" w:rsidRPr="0045565B" w:rsidP="00801E52">
            <w:pPr>
              <w:jc w:val="right"/>
              <w:rPr>
                <w:rFonts w:eastAsiaTheme="minorEastAsia"/>
                <w:szCs w:val="21"/>
              </w:rPr>
            </w:pPr>
            <w:r w:rsidRPr="0045565B">
              <w:rPr>
                <w:rFonts w:eastAsiaTheme="minorEastAsia"/>
                <w:szCs w:val="21"/>
              </w:rPr>
              <w:t>23.61%</w:t>
            </w:r>
          </w:p>
        </w:tc>
        <w:tc>
          <w:tcPr>
            <w:tcW w:w="2558" w:type="dxa"/>
            <w:vAlign w:val="center"/>
          </w:tcPr>
          <w:p w:rsidR="001548F9" w:rsidRPr="0045565B" w:rsidP="00801E52">
            <w:pPr>
              <w:jc w:val="right"/>
              <w:rPr>
                <w:rFonts w:eastAsiaTheme="minorEastAsia"/>
                <w:szCs w:val="21"/>
              </w:rPr>
            </w:pPr>
            <w:r w:rsidRPr="0045565B">
              <w:rPr>
                <w:rFonts w:eastAsiaTheme="minorEastAsia"/>
                <w:szCs w:val="21"/>
              </w:rPr>
              <w:t>22.93%</w:t>
            </w:r>
          </w:p>
        </w:tc>
      </w:tr>
      <w:tr w:rsidTr="0045565B">
        <w:tblPrEx>
          <w:tblW w:w="9372" w:type="dxa"/>
          <w:tblInd w:w="108" w:type="dxa"/>
          <w:tblLayout w:type="fixed"/>
          <w:tblLook w:val="00A0"/>
        </w:tblPrEx>
        <w:tc>
          <w:tcPr>
            <w:tcW w:w="4404" w:type="dxa"/>
            <w:vMerge w:val="restart"/>
            <w:vAlign w:val="center"/>
          </w:tcPr>
          <w:p w:rsidR="001548F9" w:rsidRPr="0045565B" w:rsidP="005D2F95">
            <w:pPr>
              <w:ind w:left="-107" w:right="-107" w:leftChars="-51" w:rightChars="-51"/>
              <w:rPr>
                <w:rFonts w:eastAsiaTheme="minorEastAsia"/>
                <w:b/>
                <w:color w:val="000000"/>
                <w:szCs w:val="21"/>
              </w:rPr>
            </w:pPr>
            <w:r w:rsidRPr="0045565B">
              <w:rPr>
                <w:rFonts w:eastAsiaTheme="minorEastAsia"/>
                <w:b/>
                <w:color w:val="000000"/>
                <w:szCs w:val="21"/>
              </w:rPr>
              <w:t>3.1.2</w:t>
            </w:r>
            <w:r w:rsidRPr="0045565B">
              <w:rPr>
                <w:rFonts w:eastAsiaTheme="minorEastAsia"/>
                <w:b/>
                <w:color w:val="000000"/>
                <w:szCs w:val="21"/>
              </w:rPr>
              <w:t>期末数据和指标</w:t>
            </w:r>
          </w:p>
        </w:tc>
        <w:tc>
          <w:tcPr>
            <w:tcW w:w="4968" w:type="dxa"/>
            <w:gridSpan w:val="2"/>
            <w:vAlign w:val="center"/>
          </w:tcPr>
          <w:p w:rsidR="001548F9" w:rsidRPr="0045565B" w:rsidP="00A062B7">
            <w:pPr>
              <w:jc w:val="center"/>
              <w:rPr>
                <w:rFonts w:eastAsiaTheme="minorEastAsia"/>
                <w:b/>
                <w:szCs w:val="21"/>
              </w:rPr>
            </w:pPr>
            <w:r w:rsidRPr="0045565B">
              <w:rPr>
                <w:rFonts w:eastAsiaTheme="minorEastAsia"/>
                <w:b/>
                <w:szCs w:val="21"/>
              </w:rPr>
              <w:t>报告期末</w:t>
            </w:r>
            <w:r w:rsidRPr="0045565B">
              <w:rPr>
                <w:rFonts w:eastAsiaTheme="minorEastAsia"/>
                <w:b/>
                <w:szCs w:val="21"/>
              </w:rPr>
              <w:t>(2019年6月30日)</w:t>
            </w:r>
          </w:p>
        </w:tc>
      </w:tr>
      <w:tr w:rsidTr="0045565B">
        <w:tblPrEx>
          <w:tblW w:w="9372" w:type="dxa"/>
          <w:tblInd w:w="108" w:type="dxa"/>
          <w:tblLayout w:type="fixed"/>
          <w:tblLook w:val="00A0"/>
        </w:tblPrEx>
        <w:trPr>
          <w:trHeight w:val="373"/>
        </w:trPr>
        <w:tc>
          <w:tcPr>
            <w:tcW w:w="4404" w:type="dxa"/>
            <w:vMerge/>
            <w:vAlign w:val="center"/>
          </w:tcPr>
          <w:p w:rsidR="001548F9" w:rsidRPr="0045565B">
            <w:pPr>
              <w:widowControl/>
              <w:jc w:val="left"/>
              <w:rPr>
                <w:rFonts w:eastAsiaTheme="minorEastAsia"/>
                <w:b/>
                <w:color w:val="000000"/>
                <w:szCs w:val="21"/>
              </w:rPr>
            </w:pPr>
          </w:p>
        </w:tc>
        <w:tc>
          <w:tcPr>
            <w:tcW w:w="2410" w:type="dxa"/>
            <w:vAlign w:val="center"/>
          </w:tcPr>
          <w:p w:rsidR="001548F9" w:rsidRPr="0045565B" w:rsidP="00801E52">
            <w:pPr>
              <w:ind w:left="-107" w:right="-107" w:leftChars="-51" w:rightChars="-51"/>
              <w:jc w:val="right"/>
              <w:rPr>
                <w:rFonts w:eastAsiaTheme="minorEastAsia"/>
                <w:color w:val="000000"/>
                <w:szCs w:val="21"/>
              </w:rPr>
            </w:pPr>
            <w:r w:rsidRPr="0045565B">
              <w:rPr>
                <w:rFonts w:eastAsiaTheme="minorEastAsia"/>
                <w:color w:val="000000"/>
                <w:szCs w:val="21"/>
              </w:rPr>
              <w:t>金鹰医疗健康股票A</w:t>
            </w:r>
          </w:p>
        </w:tc>
        <w:tc>
          <w:tcPr>
            <w:tcW w:w="2558" w:type="dxa"/>
            <w:vAlign w:val="center"/>
          </w:tcPr>
          <w:p w:rsidR="001548F9" w:rsidRPr="0045565B" w:rsidP="00801E52">
            <w:pPr>
              <w:ind w:left="-107" w:right="-107" w:leftChars="-51" w:rightChars="-51"/>
              <w:jc w:val="right"/>
              <w:rPr>
                <w:rFonts w:eastAsiaTheme="minorEastAsia"/>
                <w:color w:val="000000"/>
                <w:szCs w:val="21"/>
              </w:rPr>
            </w:pPr>
            <w:r w:rsidRPr="0045565B">
              <w:rPr>
                <w:rFonts w:eastAsiaTheme="minorEastAsia"/>
                <w:color w:val="000000"/>
                <w:szCs w:val="21"/>
              </w:rPr>
              <w:t>金鹰医疗健康股票C</w:t>
            </w:r>
          </w:p>
        </w:tc>
      </w:tr>
      <w:tr w:rsidTr="0045565B">
        <w:tblPrEx>
          <w:tblW w:w="9372" w:type="dxa"/>
          <w:tblInd w:w="108" w:type="dxa"/>
          <w:tblLayout w:type="fixed"/>
          <w:tblLook w:val="00A0"/>
        </w:tblPrEx>
        <w:tc>
          <w:tcPr>
            <w:tcW w:w="4404" w:type="dxa"/>
            <w:vAlign w:val="center"/>
          </w:tcPr>
          <w:p w:rsidR="001548F9" w:rsidRPr="0045565B">
            <w:pPr>
              <w:rPr>
                <w:rFonts w:eastAsiaTheme="minorEastAsia"/>
                <w:szCs w:val="21"/>
              </w:rPr>
            </w:pPr>
            <w:r w:rsidRPr="0045565B">
              <w:rPr>
                <w:rFonts w:eastAsiaTheme="minorEastAsia"/>
                <w:szCs w:val="21"/>
              </w:rPr>
              <w:t>期末可供分配基金份额利润</w:t>
            </w:r>
          </w:p>
        </w:tc>
        <w:tc>
          <w:tcPr>
            <w:tcW w:w="2410" w:type="dxa"/>
            <w:vAlign w:val="center"/>
          </w:tcPr>
          <w:p w:rsidR="001548F9" w:rsidRPr="0045565B" w:rsidP="00801E52">
            <w:pPr>
              <w:jc w:val="right"/>
              <w:rPr>
                <w:rFonts w:eastAsiaTheme="minorEastAsia"/>
                <w:szCs w:val="21"/>
              </w:rPr>
            </w:pPr>
            <w:r w:rsidRPr="0045565B">
              <w:rPr>
                <w:rFonts w:eastAsiaTheme="minorEastAsia"/>
                <w:szCs w:val="21"/>
              </w:rPr>
              <w:t>-0.1371</w:t>
            </w:r>
          </w:p>
        </w:tc>
        <w:tc>
          <w:tcPr>
            <w:tcW w:w="2558" w:type="dxa"/>
            <w:vAlign w:val="center"/>
          </w:tcPr>
          <w:p w:rsidR="001548F9" w:rsidRPr="0045565B" w:rsidP="00801E52">
            <w:pPr>
              <w:jc w:val="right"/>
              <w:rPr>
                <w:rFonts w:eastAsiaTheme="minorEastAsia"/>
                <w:szCs w:val="21"/>
              </w:rPr>
            </w:pPr>
            <w:r w:rsidRPr="0045565B">
              <w:rPr>
                <w:rFonts w:eastAsiaTheme="minorEastAsia"/>
                <w:szCs w:val="21"/>
              </w:rPr>
              <w:t>-0.0918</w:t>
            </w:r>
          </w:p>
        </w:tc>
      </w:tr>
      <w:tr w:rsidTr="0045565B">
        <w:tblPrEx>
          <w:tblW w:w="9372" w:type="dxa"/>
          <w:tblInd w:w="108" w:type="dxa"/>
          <w:tblLayout w:type="fixed"/>
          <w:tblLook w:val="00A0"/>
        </w:tblPrEx>
        <w:tc>
          <w:tcPr>
            <w:tcW w:w="4404" w:type="dxa"/>
            <w:vAlign w:val="center"/>
          </w:tcPr>
          <w:p w:rsidR="001548F9" w:rsidRPr="0045565B">
            <w:pPr>
              <w:rPr>
                <w:rFonts w:eastAsiaTheme="minorEastAsia"/>
                <w:szCs w:val="21"/>
              </w:rPr>
            </w:pPr>
            <w:r w:rsidRPr="0045565B">
              <w:rPr>
                <w:rFonts w:eastAsiaTheme="minorEastAsia"/>
                <w:szCs w:val="21"/>
              </w:rPr>
              <w:t>期末基金资产净值</w:t>
            </w:r>
          </w:p>
        </w:tc>
        <w:tc>
          <w:tcPr>
            <w:tcW w:w="2410" w:type="dxa"/>
            <w:vAlign w:val="center"/>
          </w:tcPr>
          <w:p w:rsidR="001548F9" w:rsidRPr="0045565B" w:rsidP="00801E52">
            <w:pPr>
              <w:jc w:val="right"/>
              <w:rPr>
                <w:rFonts w:eastAsiaTheme="minorEastAsia"/>
                <w:szCs w:val="21"/>
              </w:rPr>
            </w:pPr>
            <w:r w:rsidRPr="0045565B">
              <w:rPr>
                <w:rFonts w:eastAsiaTheme="minorEastAsia"/>
                <w:szCs w:val="21"/>
              </w:rPr>
              <w:t>7,129,066.40</w:t>
            </w:r>
          </w:p>
        </w:tc>
        <w:tc>
          <w:tcPr>
            <w:tcW w:w="2558" w:type="dxa"/>
            <w:vAlign w:val="center"/>
          </w:tcPr>
          <w:p w:rsidR="001548F9" w:rsidRPr="0045565B" w:rsidP="00801E52">
            <w:pPr>
              <w:jc w:val="right"/>
              <w:rPr>
                <w:rFonts w:eastAsiaTheme="minorEastAsia"/>
                <w:szCs w:val="21"/>
              </w:rPr>
            </w:pPr>
            <w:r w:rsidRPr="0045565B">
              <w:rPr>
                <w:rFonts w:eastAsiaTheme="minorEastAsia"/>
                <w:szCs w:val="21"/>
              </w:rPr>
              <w:t>8,536,879.69</w:t>
            </w:r>
          </w:p>
        </w:tc>
      </w:tr>
      <w:tr w:rsidTr="0045565B">
        <w:tblPrEx>
          <w:tblW w:w="9372" w:type="dxa"/>
          <w:tblInd w:w="108" w:type="dxa"/>
          <w:tblLayout w:type="fixed"/>
          <w:tblLook w:val="00A0"/>
        </w:tblPrEx>
        <w:tc>
          <w:tcPr>
            <w:tcW w:w="4404" w:type="dxa"/>
            <w:vAlign w:val="center"/>
          </w:tcPr>
          <w:p w:rsidR="001548F9" w:rsidRPr="0045565B">
            <w:pPr>
              <w:rPr>
                <w:rFonts w:eastAsiaTheme="minorEastAsia"/>
                <w:szCs w:val="21"/>
              </w:rPr>
            </w:pPr>
            <w:r w:rsidRPr="0045565B">
              <w:rPr>
                <w:rFonts w:eastAsiaTheme="minorEastAsia"/>
                <w:szCs w:val="21"/>
              </w:rPr>
              <w:t>期末基金份额净值</w:t>
            </w:r>
          </w:p>
        </w:tc>
        <w:tc>
          <w:tcPr>
            <w:tcW w:w="2410" w:type="dxa"/>
            <w:vAlign w:val="center"/>
          </w:tcPr>
          <w:p w:rsidR="001548F9" w:rsidRPr="0045565B" w:rsidP="00801E52">
            <w:pPr>
              <w:jc w:val="right"/>
              <w:rPr>
                <w:rFonts w:eastAsiaTheme="minorEastAsia"/>
                <w:szCs w:val="21"/>
              </w:rPr>
            </w:pPr>
            <w:r w:rsidRPr="0045565B">
              <w:rPr>
                <w:rFonts w:eastAsiaTheme="minorEastAsia"/>
                <w:szCs w:val="21"/>
              </w:rPr>
              <w:t>1.0649</w:t>
            </w:r>
          </w:p>
        </w:tc>
        <w:tc>
          <w:tcPr>
            <w:tcW w:w="2558" w:type="dxa"/>
            <w:vAlign w:val="center"/>
          </w:tcPr>
          <w:p w:rsidR="001548F9" w:rsidRPr="0045565B" w:rsidP="00801E52">
            <w:pPr>
              <w:jc w:val="right"/>
              <w:rPr>
                <w:rFonts w:eastAsiaTheme="minorEastAsia"/>
                <w:szCs w:val="21"/>
              </w:rPr>
            </w:pPr>
            <w:r w:rsidRPr="0045565B">
              <w:rPr>
                <w:rFonts w:eastAsiaTheme="minorEastAsia"/>
                <w:szCs w:val="21"/>
              </w:rPr>
              <w:t>1.1203</w:t>
            </w:r>
          </w:p>
        </w:tc>
      </w:tr>
    </w:tbl>
    <w:p>
      <w:pPr>
        <w:tabs>
          <w:tab w:val="left" w:pos="426"/>
        </w:tabs>
        <w:spacing w:line="360" w:lineRule="auto"/>
        <w:ind w:firstLine="420" w:firstLineChars="200"/>
        <w:jc w:val="left"/>
        <w:rPr>
          <w:rFonts w:eastAsiaTheme="minorEastAsia"/>
          <w:kern w:val="0"/>
          <w:szCs w:val="21"/>
        </w:rPr>
      </w:pPr>
      <w:r>
        <w:rPr>
          <w:rFonts w:eastAsiaTheme="minorEastAsia"/>
          <w:kern w:val="0"/>
          <w:szCs w:val="21"/>
        </w:rPr>
        <w:t>注：1、本期已实现收益指基金本期利息收入、投资收益、其他收入（不含公允价值变动收益）扣除相关费用后的余额；</w:t>
      </w:r>
    </w:p>
    <w:p>
      <w:pPr>
        <w:tabs>
          <w:tab w:val="left" w:pos="426"/>
        </w:tabs>
        <w:spacing w:line="360" w:lineRule="auto"/>
        <w:ind w:firstLine="420" w:firstLineChars="200"/>
        <w:jc w:val="left"/>
        <w:rPr>
          <w:rFonts w:eastAsiaTheme="minorEastAsia"/>
          <w:kern w:val="0"/>
          <w:szCs w:val="21"/>
        </w:rPr>
      </w:pPr>
      <w:r>
        <w:rPr>
          <w:rFonts w:eastAsiaTheme="minorEastAsia"/>
          <w:kern w:val="0"/>
          <w:szCs w:val="21"/>
        </w:rPr>
        <w:t>2、本期利润为本期已实现收益加上本期公允价值变动收益；</w:t>
      </w:r>
    </w:p>
    <w:p>
      <w:pPr>
        <w:tabs>
          <w:tab w:val="left" w:pos="426"/>
        </w:tabs>
        <w:spacing w:line="360" w:lineRule="auto"/>
        <w:ind w:firstLine="420" w:firstLineChars="200"/>
        <w:jc w:val="left"/>
        <w:rPr>
          <w:rFonts w:eastAsiaTheme="minorEastAsia"/>
          <w:kern w:val="0"/>
          <w:szCs w:val="21"/>
        </w:rPr>
      </w:pPr>
      <w:r>
        <w:rPr>
          <w:rFonts w:eastAsiaTheme="minorEastAsia"/>
          <w:kern w:val="0"/>
          <w:szCs w:val="21"/>
        </w:rPr>
        <w:t>3、期末可供分配利润，指期末资产负债表中未分配利润与未分配利润中已实现部分的孰低数（为期末余额，不是当期发生数）。</w:t>
      </w:r>
    </w:p>
    <w:p>
      <w:pPr>
        <w:tabs>
          <w:tab w:val="left" w:pos="426"/>
        </w:tabs>
        <w:spacing w:line="360" w:lineRule="auto"/>
        <w:ind w:firstLine="420" w:firstLineChars="200"/>
        <w:jc w:val="left"/>
        <w:rPr>
          <w:rFonts w:eastAsiaTheme="minorEastAsia"/>
          <w:kern w:val="0"/>
          <w:szCs w:val="21"/>
        </w:rPr>
      </w:pPr>
      <w:r>
        <w:rPr>
          <w:rFonts w:eastAsiaTheme="minorEastAsia"/>
          <w:kern w:val="0"/>
          <w:szCs w:val="21"/>
        </w:rPr>
        <w:t>4、上述基金业绩指标不包括持有人认购或交易基金的各项费用，计入费用后实际收益水平要低于所列数字。</w:t>
      </w:r>
    </w:p>
    <w:p w:rsidR="001548F9" w:rsidRPr="0045565B" w:rsidP="0045565B">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5、本基金合同生效日为2018年4月13日，上年度可比期间为2018年4月13日至2018年6月30日（下同）。</w:t>
      </w:r>
    </w:p>
    <w:p w:rsidR="001548F9" w:rsidRPr="0045565B" w:rsidP="0045565B">
      <w:pPr>
        <w:pStyle w:val="Heading2"/>
        <w:spacing w:before="312" w:beforeLines="100" w:after="0"/>
        <w:rPr>
          <w:rFonts w:ascii="Times New Roman" w:hAnsi="Times New Roman" w:eastAsiaTheme="minorEastAsia"/>
          <w:kern w:val="0"/>
          <w:sz w:val="21"/>
          <w:szCs w:val="21"/>
        </w:rPr>
      </w:pPr>
      <w:bookmarkStart w:id="16" w:name="_Toc331410076"/>
      <w:bookmarkStart w:id="17" w:name="_Toc225498252"/>
      <w:r w:rsidRPr="0045565B">
        <w:rPr>
          <w:rFonts w:ascii="Times New Roman" w:hAnsi="Times New Roman" w:eastAsiaTheme="minorEastAsia"/>
          <w:kern w:val="0"/>
          <w:sz w:val="21"/>
          <w:szCs w:val="21"/>
        </w:rPr>
        <w:t xml:space="preserve">3.2 </w:t>
      </w:r>
      <w:r w:rsidRPr="0045565B">
        <w:rPr>
          <w:rFonts w:ascii="Times New Roman" w:hAnsi="Times New Roman" w:eastAsiaTheme="minorEastAsia"/>
          <w:kern w:val="0"/>
          <w:sz w:val="21"/>
          <w:szCs w:val="21"/>
        </w:rPr>
        <w:t>基金净值表现</w:t>
      </w:r>
      <w:bookmarkEnd w:id="16"/>
      <w:bookmarkEnd w:id="17"/>
    </w:p>
    <w:p w:rsidR="001548F9" w:rsidRPr="0045565B" w:rsidP="00D24622">
      <w:pPr>
        <w:autoSpaceDE w:val="0"/>
        <w:autoSpaceDN w:val="0"/>
        <w:adjustRightInd w:val="0"/>
        <w:spacing w:line="360" w:lineRule="auto"/>
        <w:jc w:val="left"/>
        <w:rPr>
          <w:rFonts w:eastAsiaTheme="minorEastAsia"/>
          <w:b/>
          <w:color w:val="000000"/>
          <w:kern w:val="0"/>
          <w:szCs w:val="21"/>
        </w:rPr>
      </w:pPr>
      <w:r w:rsidRPr="0045565B">
        <w:rPr>
          <w:rFonts w:eastAsiaTheme="minorEastAsia"/>
          <w:b/>
          <w:color w:val="000000"/>
          <w:kern w:val="0"/>
          <w:szCs w:val="21"/>
        </w:rPr>
        <w:t xml:space="preserve">3.2.1 </w:t>
      </w:r>
      <w:r w:rsidRPr="0045565B">
        <w:rPr>
          <w:rFonts w:eastAsiaTheme="minorEastAsia"/>
          <w:b/>
          <w:color w:val="000000"/>
          <w:kern w:val="0"/>
          <w:szCs w:val="21"/>
        </w:rPr>
        <w:t>基金份额净值增长率及其与同期业绩比较基准收益率的比较</w:t>
      </w:r>
    </w:p>
    <w:p w:rsidR="001548F9" w:rsidRPr="0045565B" w:rsidP="00D24622">
      <w:pPr>
        <w:pStyle w:val="BodyTextIndent2"/>
        <w:spacing w:line="360" w:lineRule="auto"/>
        <w:ind w:firstLine="0" w:firstLineChars="0"/>
        <w:rPr>
          <w:rFonts w:ascii="Times New Roman" w:hAnsi="Times New Roman" w:eastAsiaTheme="minorEastAsia"/>
          <w:color w:val="auto"/>
          <w:sz w:val="21"/>
          <w:szCs w:val="21"/>
        </w:rPr>
      </w:pPr>
      <w:r w:rsidRPr="0045565B">
        <w:rPr>
          <w:rFonts w:ascii="Times New Roman" w:hAnsi="Times New Roman" w:eastAsiaTheme="minorEastAsia"/>
          <w:color w:val="auto"/>
          <w:sz w:val="21"/>
          <w:szCs w:val="21"/>
        </w:rPr>
        <w:t>金鹰医疗健康股票A</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0"/>
        <w:gridCol w:w="1350"/>
        <w:gridCol w:w="1350"/>
        <w:gridCol w:w="1350"/>
        <w:gridCol w:w="1350"/>
        <w:gridCol w:w="1350"/>
        <w:gridCol w:w="1350"/>
      </w:tblGrid>
      <w:tr w:rsidTr="0045565B">
        <w:tblPrEx>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620" w:type="dxa"/>
            <w:vAlign w:val="center"/>
          </w:tcPr>
          <w:p w:rsidR="001548F9" w:rsidRPr="0045565B">
            <w:pPr>
              <w:jc w:val="center"/>
              <w:rPr>
                <w:rFonts w:eastAsiaTheme="minorEastAsia"/>
                <w:color w:val="000000"/>
                <w:szCs w:val="21"/>
              </w:rPr>
            </w:pPr>
            <w:r w:rsidRPr="0045565B">
              <w:rPr>
                <w:rFonts w:eastAsiaTheme="minorEastAsia"/>
                <w:color w:val="000000"/>
                <w:szCs w:val="21"/>
              </w:rPr>
              <w:t>阶段</w:t>
            </w:r>
          </w:p>
        </w:tc>
        <w:tc>
          <w:tcPr>
            <w:tcW w:w="1350" w:type="dxa"/>
            <w:vAlign w:val="center"/>
          </w:tcPr>
          <w:p w:rsidR="001548F9" w:rsidRPr="0045565B">
            <w:pPr>
              <w:jc w:val="center"/>
              <w:rPr>
                <w:rFonts w:eastAsiaTheme="minorEastAsia"/>
                <w:color w:val="000000"/>
                <w:szCs w:val="21"/>
              </w:rPr>
            </w:pPr>
            <w:r w:rsidRPr="0045565B">
              <w:rPr>
                <w:rFonts w:eastAsiaTheme="minorEastAsia"/>
                <w:color w:val="000000"/>
                <w:szCs w:val="21"/>
              </w:rPr>
              <w:t>份额净值增长率</w:t>
            </w:r>
            <w:r w:rsidRPr="0045565B">
              <w:rPr>
                <w:rFonts w:ascii="宋体" w:hAnsi="宋体" w:cs="宋体" w:hint="eastAsia"/>
                <w:color w:val="000000"/>
                <w:szCs w:val="21"/>
              </w:rPr>
              <w:t>①</w:t>
            </w:r>
          </w:p>
        </w:tc>
        <w:tc>
          <w:tcPr>
            <w:tcW w:w="1350" w:type="dxa"/>
            <w:vAlign w:val="center"/>
          </w:tcPr>
          <w:p w:rsidR="001548F9" w:rsidRPr="0045565B">
            <w:pPr>
              <w:jc w:val="center"/>
              <w:rPr>
                <w:rFonts w:eastAsiaTheme="minorEastAsia"/>
                <w:color w:val="000000"/>
                <w:szCs w:val="21"/>
              </w:rPr>
            </w:pPr>
            <w:r w:rsidRPr="0045565B">
              <w:rPr>
                <w:rFonts w:eastAsiaTheme="minorEastAsia"/>
                <w:color w:val="000000"/>
                <w:szCs w:val="21"/>
              </w:rPr>
              <w:t>份额净值增长率标准差</w:t>
            </w:r>
            <w:r w:rsidRPr="0045565B">
              <w:rPr>
                <w:rFonts w:ascii="宋体" w:hAnsi="宋体" w:cs="宋体" w:hint="eastAsia"/>
                <w:color w:val="000000"/>
                <w:szCs w:val="21"/>
              </w:rPr>
              <w:t>②</w:t>
            </w:r>
          </w:p>
        </w:tc>
        <w:tc>
          <w:tcPr>
            <w:tcW w:w="1350" w:type="dxa"/>
            <w:vAlign w:val="center"/>
          </w:tcPr>
          <w:p w:rsidR="001548F9" w:rsidRPr="0045565B">
            <w:pPr>
              <w:jc w:val="center"/>
              <w:rPr>
                <w:rFonts w:eastAsiaTheme="minorEastAsia"/>
                <w:color w:val="000000"/>
                <w:szCs w:val="21"/>
              </w:rPr>
            </w:pPr>
            <w:r w:rsidRPr="0045565B">
              <w:rPr>
                <w:rFonts w:eastAsiaTheme="minorEastAsia"/>
                <w:color w:val="000000"/>
                <w:szCs w:val="21"/>
              </w:rPr>
              <w:t>业绩比较基准收益率</w:t>
            </w:r>
            <w:r w:rsidRPr="0045565B">
              <w:rPr>
                <w:rFonts w:ascii="宋体" w:hAnsi="宋体" w:cs="宋体" w:hint="eastAsia"/>
                <w:color w:val="000000"/>
                <w:szCs w:val="21"/>
              </w:rPr>
              <w:t>③</w:t>
            </w:r>
          </w:p>
        </w:tc>
        <w:tc>
          <w:tcPr>
            <w:tcW w:w="1350" w:type="dxa"/>
            <w:vAlign w:val="center"/>
          </w:tcPr>
          <w:p w:rsidR="001548F9" w:rsidRPr="0045565B">
            <w:pPr>
              <w:jc w:val="center"/>
              <w:rPr>
                <w:rFonts w:eastAsiaTheme="minorEastAsia"/>
                <w:color w:val="000000"/>
                <w:szCs w:val="21"/>
              </w:rPr>
            </w:pPr>
            <w:r w:rsidRPr="0045565B">
              <w:rPr>
                <w:rFonts w:eastAsiaTheme="minorEastAsia"/>
                <w:color w:val="000000"/>
                <w:szCs w:val="21"/>
              </w:rPr>
              <w:t>业绩比较基准收益率标准差</w:t>
            </w:r>
            <w:r w:rsidRPr="0045565B">
              <w:rPr>
                <w:rFonts w:ascii="宋体" w:hAnsi="宋体" w:cs="宋体" w:hint="eastAsia"/>
                <w:color w:val="000000"/>
                <w:szCs w:val="21"/>
              </w:rPr>
              <w:t>④</w:t>
            </w:r>
          </w:p>
        </w:tc>
        <w:tc>
          <w:tcPr>
            <w:tcW w:w="1350" w:type="dxa"/>
            <w:vAlign w:val="center"/>
          </w:tcPr>
          <w:p w:rsidR="001548F9" w:rsidRPr="0045565B">
            <w:pPr>
              <w:jc w:val="center"/>
              <w:rPr>
                <w:rFonts w:eastAsiaTheme="minorEastAsia"/>
                <w:color w:val="000000"/>
                <w:szCs w:val="21"/>
              </w:rPr>
            </w:pPr>
            <w:r w:rsidRPr="0045565B">
              <w:rPr>
                <w:rFonts w:ascii="宋体" w:hAnsi="宋体" w:cs="宋体" w:hint="eastAsia"/>
                <w:color w:val="000000"/>
                <w:szCs w:val="21"/>
              </w:rPr>
              <w:t>①</w:t>
            </w:r>
            <w:r w:rsidRPr="0045565B">
              <w:rPr>
                <w:rFonts w:eastAsiaTheme="minorEastAsia"/>
                <w:color w:val="000000"/>
                <w:szCs w:val="21"/>
              </w:rPr>
              <w:t>－</w:t>
            </w:r>
            <w:r w:rsidRPr="0045565B">
              <w:rPr>
                <w:rFonts w:ascii="宋体" w:hAnsi="宋体" w:cs="宋体" w:hint="eastAsia"/>
                <w:color w:val="000000"/>
                <w:szCs w:val="21"/>
              </w:rPr>
              <w:t>③</w:t>
            </w:r>
          </w:p>
        </w:tc>
        <w:tc>
          <w:tcPr>
            <w:tcW w:w="1350" w:type="dxa"/>
            <w:vAlign w:val="center"/>
          </w:tcPr>
          <w:p w:rsidR="001548F9" w:rsidRPr="0045565B">
            <w:pPr>
              <w:jc w:val="center"/>
              <w:rPr>
                <w:rFonts w:eastAsiaTheme="minorEastAsia"/>
                <w:color w:val="000000"/>
                <w:szCs w:val="21"/>
              </w:rPr>
            </w:pPr>
            <w:r w:rsidRPr="0045565B">
              <w:rPr>
                <w:rFonts w:ascii="宋体" w:hAnsi="宋体" w:cs="宋体" w:hint="eastAsia"/>
                <w:color w:val="000000"/>
                <w:szCs w:val="21"/>
              </w:rPr>
              <w:t>②</w:t>
            </w:r>
            <w:r w:rsidRPr="0045565B">
              <w:rPr>
                <w:rFonts w:eastAsiaTheme="minorEastAsia"/>
                <w:color w:val="000000"/>
                <w:szCs w:val="21"/>
              </w:rPr>
              <w:t>－</w:t>
            </w:r>
            <w:r w:rsidRPr="0045565B">
              <w:rPr>
                <w:rFonts w:ascii="宋体" w:hAnsi="宋体" w:cs="宋体" w:hint="eastAsia"/>
                <w:color w:val="000000"/>
                <w:szCs w:val="21"/>
              </w:rPr>
              <w:t>④</w:t>
            </w:r>
          </w:p>
        </w:tc>
      </w:tr>
      <w:tr>
        <w:tblPrEx>
          <w:tblW w:w="9720" w:type="dxa"/>
          <w:tblInd w:w="108" w:type="dxa"/>
          <w:tblLayout w:type="fixed"/>
          <w:tblLook w:val="00A0"/>
        </w:tblPrEx>
        <w:tc>
          <w:tcPr>
            <w:vAlign w:val="center"/>
          </w:tcPr>
          <w:p>
            <w:pPr>
              <w:jc w:val="left"/>
            </w:pPr>
            <w:r>
              <w:rPr>
                <w:rFonts w:eastAsiaTheme="minorEastAsia"/>
                <w:color w:val="000000"/>
                <w:szCs w:val="21"/>
              </w:rPr>
              <w:t>过去一个月</w:t>
            </w:r>
          </w:p>
        </w:tc>
        <w:tc>
          <w:tcPr>
            <w:vAlign w:val="center"/>
          </w:tcPr>
          <w:p>
            <w:pPr>
              <w:jc w:val="center"/>
            </w:pPr>
            <w:r>
              <w:rPr>
                <w:rFonts w:eastAsiaTheme="minorEastAsia"/>
                <w:color w:val="000000"/>
                <w:szCs w:val="21"/>
              </w:rPr>
              <w:t>3.60%</w:t>
            </w:r>
          </w:p>
        </w:tc>
        <w:tc>
          <w:tcPr>
            <w:vAlign w:val="center"/>
          </w:tcPr>
          <w:p>
            <w:pPr>
              <w:jc w:val="center"/>
            </w:pPr>
            <w:r>
              <w:rPr>
                <w:rFonts w:eastAsiaTheme="minorEastAsia"/>
                <w:color w:val="000000"/>
                <w:szCs w:val="21"/>
              </w:rPr>
              <w:t>1.30%</w:t>
            </w:r>
          </w:p>
        </w:tc>
        <w:tc>
          <w:tcPr>
            <w:vAlign w:val="center"/>
          </w:tcPr>
          <w:p>
            <w:pPr>
              <w:jc w:val="center"/>
            </w:pPr>
            <w:r>
              <w:rPr>
                <w:rFonts w:eastAsiaTheme="minorEastAsia"/>
                <w:color w:val="000000"/>
                <w:szCs w:val="21"/>
              </w:rPr>
              <w:t>2.32%</w:t>
            </w:r>
          </w:p>
        </w:tc>
        <w:tc>
          <w:tcPr>
            <w:vAlign w:val="center"/>
          </w:tcPr>
          <w:p>
            <w:pPr>
              <w:jc w:val="center"/>
            </w:pPr>
            <w:r>
              <w:rPr>
                <w:rFonts w:eastAsiaTheme="minorEastAsia"/>
                <w:color w:val="000000"/>
                <w:szCs w:val="21"/>
              </w:rPr>
              <w:t>1.09%</w:t>
            </w:r>
          </w:p>
        </w:tc>
        <w:tc>
          <w:tcPr>
            <w:vAlign w:val="center"/>
          </w:tcPr>
          <w:p>
            <w:pPr>
              <w:jc w:val="center"/>
            </w:pPr>
            <w:r>
              <w:rPr>
                <w:rFonts w:eastAsiaTheme="minorEastAsia"/>
                <w:color w:val="000000"/>
                <w:szCs w:val="21"/>
              </w:rPr>
              <w:t>1.28%</w:t>
            </w:r>
          </w:p>
        </w:tc>
        <w:tc>
          <w:tcPr>
            <w:vAlign w:val="center"/>
          </w:tcPr>
          <w:p>
            <w:pPr>
              <w:jc w:val="center"/>
            </w:pPr>
            <w:r>
              <w:rPr>
                <w:rFonts w:eastAsiaTheme="minorEastAsia"/>
                <w:color w:val="000000"/>
                <w:szCs w:val="21"/>
              </w:rPr>
              <w:t>0.21%</w:t>
            </w:r>
          </w:p>
        </w:tc>
      </w:tr>
      <w:tr>
        <w:tblPrEx>
          <w:tblW w:w="9720" w:type="dxa"/>
          <w:tblInd w:w="108" w:type="dxa"/>
          <w:tblLayout w:type="fixed"/>
          <w:tblLook w:val="00A0"/>
        </w:tblPrEx>
        <w:tc>
          <w:tcPr>
            <w:vAlign w:val="center"/>
          </w:tcPr>
          <w:p>
            <w:pPr>
              <w:jc w:val="left"/>
            </w:pPr>
            <w:r>
              <w:rPr>
                <w:rFonts w:eastAsiaTheme="minorEastAsia"/>
                <w:color w:val="000000"/>
                <w:szCs w:val="21"/>
              </w:rPr>
              <w:t>过去三个月</w:t>
            </w:r>
          </w:p>
        </w:tc>
        <w:tc>
          <w:tcPr>
            <w:vAlign w:val="center"/>
          </w:tcPr>
          <w:p>
            <w:pPr>
              <w:jc w:val="center"/>
            </w:pPr>
            <w:r>
              <w:rPr>
                <w:rFonts w:eastAsiaTheme="minorEastAsia"/>
                <w:color w:val="000000"/>
                <w:szCs w:val="21"/>
              </w:rPr>
              <w:t>-5.64%</w:t>
            </w:r>
          </w:p>
        </w:tc>
        <w:tc>
          <w:tcPr>
            <w:vAlign w:val="center"/>
          </w:tcPr>
          <w:p>
            <w:pPr>
              <w:jc w:val="center"/>
            </w:pPr>
            <w:r>
              <w:rPr>
                <w:rFonts w:eastAsiaTheme="minorEastAsia"/>
                <w:color w:val="000000"/>
                <w:szCs w:val="21"/>
              </w:rPr>
              <w:t>1.70%</w:t>
            </w:r>
          </w:p>
        </w:tc>
        <w:tc>
          <w:tcPr>
            <w:vAlign w:val="center"/>
          </w:tcPr>
          <w:p>
            <w:pPr>
              <w:jc w:val="center"/>
            </w:pPr>
            <w:r>
              <w:rPr>
                <w:rFonts w:eastAsiaTheme="minorEastAsia"/>
                <w:color w:val="000000"/>
                <w:szCs w:val="21"/>
              </w:rPr>
              <w:t>-7.02%</w:t>
            </w:r>
          </w:p>
        </w:tc>
        <w:tc>
          <w:tcPr>
            <w:vAlign w:val="center"/>
          </w:tcPr>
          <w:p>
            <w:pPr>
              <w:jc w:val="center"/>
            </w:pPr>
            <w:r>
              <w:rPr>
                <w:rFonts w:eastAsiaTheme="minorEastAsia"/>
                <w:color w:val="000000"/>
                <w:szCs w:val="21"/>
              </w:rPr>
              <w:t>1.29%</w:t>
            </w:r>
          </w:p>
        </w:tc>
        <w:tc>
          <w:tcPr>
            <w:vAlign w:val="center"/>
          </w:tcPr>
          <w:p>
            <w:pPr>
              <w:jc w:val="center"/>
            </w:pPr>
            <w:r>
              <w:rPr>
                <w:rFonts w:eastAsiaTheme="minorEastAsia"/>
                <w:color w:val="000000"/>
                <w:szCs w:val="21"/>
              </w:rPr>
              <w:t>1.38%</w:t>
            </w:r>
          </w:p>
        </w:tc>
        <w:tc>
          <w:tcPr>
            <w:vAlign w:val="center"/>
          </w:tcPr>
          <w:p>
            <w:pPr>
              <w:jc w:val="center"/>
            </w:pPr>
            <w:r>
              <w:rPr>
                <w:rFonts w:eastAsiaTheme="minorEastAsia"/>
                <w:color w:val="000000"/>
                <w:szCs w:val="21"/>
              </w:rPr>
              <w:t>0.41%</w:t>
            </w:r>
          </w:p>
        </w:tc>
      </w:tr>
      <w:tr>
        <w:tblPrEx>
          <w:tblW w:w="9720" w:type="dxa"/>
          <w:tblInd w:w="108" w:type="dxa"/>
          <w:tblLayout w:type="fixed"/>
          <w:tblLook w:val="00A0"/>
        </w:tblPrEx>
        <w:tc>
          <w:tcPr>
            <w:vAlign w:val="center"/>
          </w:tcPr>
          <w:p>
            <w:pPr>
              <w:jc w:val="left"/>
            </w:pPr>
            <w:r>
              <w:rPr>
                <w:rFonts w:eastAsiaTheme="minorEastAsia"/>
                <w:color w:val="000000"/>
                <w:szCs w:val="21"/>
              </w:rPr>
              <w:t>过去六个月</w:t>
            </w:r>
          </w:p>
        </w:tc>
        <w:tc>
          <w:tcPr>
            <w:vAlign w:val="center"/>
          </w:tcPr>
          <w:p>
            <w:pPr>
              <w:jc w:val="center"/>
            </w:pPr>
            <w:r>
              <w:rPr>
                <w:rFonts w:eastAsiaTheme="minorEastAsia"/>
                <w:color w:val="000000"/>
                <w:szCs w:val="21"/>
              </w:rPr>
              <w:t>23.61%</w:t>
            </w:r>
          </w:p>
        </w:tc>
        <w:tc>
          <w:tcPr>
            <w:vAlign w:val="center"/>
          </w:tcPr>
          <w:p>
            <w:pPr>
              <w:jc w:val="center"/>
            </w:pPr>
            <w:r>
              <w:rPr>
                <w:rFonts w:eastAsiaTheme="minorEastAsia"/>
                <w:color w:val="000000"/>
                <w:szCs w:val="21"/>
              </w:rPr>
              <w:t>1.64%</w:t>
            </w:r>
          </w:p>
        </w:tc>
        <w:tc>
          <w:tcPr>
            <w:vAlign w:val="center"/>
          </w:tcPr>
          <w:p>
            <w:pPr>
              <w:jc w:val="center"/>
            </w:pPr>
            <w:r>
              <w:rPr>
                <w:rFonts w:eastAsiaTheme="minorEastAsia"/>
                <w:color w:val="000000"/>
                <w:szCs w:val="21"/>
              </w:rPr>
              <w:t>14.45%</w:t>
            </w:r>
          </w:p>
        </w:tc>
        <w:tc>
          <w:tcPr>
            <w:vAlign w:val="center"/>
          </w:tcPr>
          <w:p>
            <w:pPr>
              <w:jc w:val="center"/>
            </w:pPr>
            <w:r>
              <w:rPr>
                <w:rFonts w:eastAsiaTheme="minorEastAsia"/>
                <w:color w:val="000000"/>
                <w:szCs w:val="21"/>
              </w:rPr>
              <w:t>1.37%</w:t>
            </w:r>
          </w:p>
        </w:tc>
        <w:tc>
          <w:tcPr>
            <w:vAlign w:val="center"/>
          </w:tcPr>
          <w:p>
            <w:pPr>
              <w:jc w:val="center"/>
            </w:pPr>
            <w:r>
              <w:rPr>
                <w:rFonts w:eastAsiaTheme="minorEastAsia"/>
                <w:color w:val="000000"/>
                <w:szCs w:val="21"/>
              </w:rPr>
              <w:t>9.16%</w:t>
            </w:r>
          </w:p>
        </w:tc>
        <w:tc>
          <w:tcPr>
            <w:vAlign w:val="center"/>
          </w:tcPr>
          <w:p>
            <w:pPr>
              <w:jc w:val="center"/>
            </w:pPr>
            <w:r>
              <w:rPr>
                <w:rFonts w:eastAsiaTheme="minorEastAsia"/>
                <w:color w:val="000000"/>
                <w:szCs w:val="21"/>
              </w:rPr>
              <w:t>0.27%</w:t>
            </w:r>
          </w:p>
        </w:tc>
      </w:tr>
      <w:tr>
        <w:tblPrEx>
          <w:tblW w:w="9720" w:type="dxa"/>
          <w:tblInd w:w="108" w:type="dxa"/>
          <w:tblLayout w:type="fixed"/>
          <w:tblLook w:val="00A0"/>
        </w:tblPrEx>
        <w:tc>
          <w:tcPr>
            <w:vAlign w:val="center"/>
          </w:tcPr>
          <w:p>
            <w:pPr>
              <w:jc w:val="left"/>
            </w:pPr>
            <w:r>
              <w:rPr>
                <w:rFonts w:eastAsiaTheme="minorEastAsia"/>
                <w:color w:val="000000"/>
                <w:szCs w:val="21"/>
              </w:rPr>
              <w:t>过去一年</w:t>
            </w:r>
          </w:p>
        </w:tc>
        <w:tc>
          <w:tcPr>
            <w:vAlign w:val="center"/>
          </w:tcPr>
          <w:p>
            <w:pPr>
              <w:jc w:val="center"/>
            </w:pPr>
            <w:r>
              <w:rPr>
                <w:rFonts w:eastAsiaTheme="minorEastAsia"/>
                <w:color w:val="000000"/>
                <w:szCs w:val="21"/>
              </w:rPr>
              <w:t>6.34%</w:t>
            </w:r>
          </w:p>
        </w:tc>
        <w:tc>
          <w:tcPr>
            <w:vAlign w:val="center"/>
          </w:tcPr>
          <w:p>
            <w:pPr>
              <w:jc w:val="center"/>
            </w:pPr>
            <w:r>
              <w:rPr>
                <w:rFonts w:eastAsiaTheme="minorEastAsia"/>
                <w:color w:val="000000"/>
                <w:szCs w:val="21"/>
              </w:rPr>
              <w:t>1.47%</w:t>
            </w:r>
          </w:p>
        </w:tc>
        <w:tc>
          <w:tcPr>
            <w:vAlign w:val="center"/>
          </w:tcPr>
          <w:p>
            <w:pPr>
              <w:jc w:val="center"/>
            </w:pPr>
            <w:r>
              <w:rPr>
                <w:rFonts w:eastAsiaTheme="minorEastAsia"/>
                <w:color w:val="000000"/>
                <w:szCs w:val="21"/>
              </w:rPr>
              <w:t>-13.82%</w:t>
            </w:r>
          </w:p>
        </w:tc>
        <w:tc>
          <w:tcPr>
            <w:vAlign w:val="center"/>
          </w:tcPr>
          <w:p>
            <w:pPr>
              <w:jc w:val="center"/>
            </w:pPr>
            <w:r>
              <w:rPr>
                <w:rFonts w:eastAsiaTheme="minorEastAsia"/>
                <w:color w:val="000000"/>
                <w:szCs w:val="21"/>
              </w:rPr>
              <w:t>1.42%</w:t>
            </w:r>
          </w:p>
        </w:tc>
        <w:tc>
          <w:tcPr>
            <w:vAlign w:val="center"/>
          </w:tcPr>
          <w:p>
            <w:pPr>
              <w:jc w:val="center"/>
            </w:pPr>
            <w:r>
              <w:rPr>
                <w:rFonts w:eastAsiaTheme="minorEastAsia"/>
                <w:color w:val="000000"/>
                <w:szCs w:val="21"/>
              </w:rPr>
              <w:t>20.16%</w:t>
            </w:r>
          </w:p>
        </w:tc>
        <w:tc>
          <w:tcPr>
            <w:vAlign w:val="center"/>
          </w:tcPr>
          <w:p>
            <w:pPr>
              <w:jc w:val="center"/>
            </w:pPr>
            <w:r>
              <w:rPr>
                <w:rFonts w:eastAsiaTheme="minorEastAsia"/>
                <w:color w:val="000000"/>
                <w:szCs w:val="21"/>
              </w:rPr>
              <w:t>0.05%</w:t>
            </w:r>
          </w:p>
        </w:tc>
      </w:tr>
      <w:tr>
        <w:tblPrEx>
          <w:tblW w:w="9720" w:type="dxa"/>
          <w:tblInd w:w="108" w:type="dxa"/>
          <w:tblLayout w:type="fixed"/>
          <w:tblLook w:val="00A0"/>
        </w:tblPrEx>
        <w:tc>
          <w:tcPr>
            <w:vAlign w:val="center"/>
          </w:tcPr>
          <w:p>
            <w:pPr>
              <w:jc w:val="left"/>
            </w:pPr>
            <w:r>
              <w:rPr>
                <w:rFonts w:eastAsiaTheme="minorEastAsia"/>
                <w:color w:val="000000"/>
                <w:szCs w:val="21"/>
              </w:rPr>
              <w:t>自基金合同生效起至今</w:t>
            </w:r>
          </w:p>
        </w:tc>
        <w:tc>
          <w:tcPr>
            <w:vAlign w:val="center"/>
          </w:tcPr>
          <w:p>
            <w:pPr>
              <w:jc w:val="center"/>
            </w:pPr>
            <w:r>
              <w:rPr>
                <w:rFonts w:eastAsiaTheme="minorEastAsia"/>
                <w:color w:val="000000"/>
                <w:szCs w:val="21"/>
              </w:rPr>
              <w:t>5.40%</w:t>
            </w:r>
          </w:p>
        </w:tc>
        <w:tc>
          <w:tcPr>
            <w:vAlign w:val="center"/>
          </w:tcPr>
          <w:p>
            <w:pPr>
              <w:jc w:val="center"/>
            </w:pPr>
            <w:r>
              <w:rPr>
                <w:rFonts w:eastAsiaTheme="minorEastAsia"/>
                <w:color w:val="000000"/>
                <w:szCs w:val="21"/>
              </w:rPr>
              <w:t>1.33%</w:t>
            </w:r>
          </w:p>
        </w:tc>
        <w:tc>
          <w:tcPr>
            <w:vAlign w:val="center"/>
          </w:tcPr>
          <w:p>
            <w:pPr>
              <w:jc w:val="center"/>
            </w:pPr>
            <w:r>
              <w:rPr>
                <w:rFonts w:eastAsiaTheme="minorEastAsia"/>
                <w:color w:val="000000"/>
                <w:szCs w:val="21"/>
              </w:rPr>
              <w:t>-13.84%</w:t>
            </w:r>
          </w:p>
        </w:tc>
        <w:tc>
          <w:tcPr>
            <w:vAlign w:val="center"/>
          </w:tcPr>
          <w:p>
            <w:pPr>
              <w:jc w:val="center"/>
            </w:pPr>
            <w:r>
              <w:rPr>
                <w:rFonts w:eastAsiaTheme="minorEastAsia"/>
                <w:color w:val="000000"/>
                <w:szCs w:val="21"/>
              </w:rPr>
              <w:t>1.41%</w:t>
            </w:r>
          </w:p>
        </w:tc>
        <w:tc>
          <w:tcPr>
            <w:vAlign w:val="center"/>
          </w:tcPr>
          <w:p>
            <w:pPr>
              <w:jc w:val="center"/>
            </w:pPr>
            <w:r>
              <w:rPr>
                <w:rFonts w:eastAsiaTheme="minorEastAsia"/>
                <w:color w:val="000000"/>
                <w:szCs w:val="21"/>
              </w:rPr>
              <w:t>19.24%</w:t>
            </w:r>
          </w:p>
        </w:tc>
        <w:tc>
          <w:tcPr>
            <w:vAlign w:val="center"/>
          </w:tcPr>
          <w:p>
            <w:pPr>
              <w:jc w:val="center"/>
            </w:pPr>
            <w:r>
              <w:rPr>
                <w:rFonts w:eastAsiaTheme="minorEastAsia"/>
                <w:color w:val="000000"/>
                <w:szCs w:val="21"/>
              </w:rPr>
              <w:t>-0.08%</w:t>
            </w:r>
          </w:p>
        </w:tc>
      </w:tr>
    </w:tbl>
    <w:p w:rsidR="001548F9" w:rsidRPr="0045565B" w:rsidP="00D24622">
      <w:pPr>
        <w:pStyle w:val="BodyTextIndent2"/>
        <w:spacing w:line="360" w:lineRule="auto"/>
        <w:ind w:firstLine="0" w:firstLineChars="0"/>
        <w:rPr>
          <w:rFonts w:ascii="Times New Roman" w:hAnsi="Times New Roman" w:eastAsiaTheme="minorEastAsia"/>
          <w:color w:val="auto"/>
          <w:sz w:val="21"/>
          <w:szCs w:val="21"/>
        </w:rPr>
      </w:pPr>
      <w:r w:rsidRPr="0045565B">
        <w:rPr>
          <w:rFonts w:ascii="Times New Roman" w:hAnsi="Times New Roman" w:eastAsiaTheme="minorEastAsia"/>
          <w:color w:val="auto"/>
          <w:sz w:val="21"/>
          <w:szCs w:val="21"/>
        </w:rPr>
        <w:t>金鹰医疗健康股票C</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0"/>
        <w:gridCol w:w="1350"/>
        <w:gridCol w:w="1350"/>
        <w:gridCol w:w="1350"/>
        <w:gridCol w:w="1350"/>
        <w:gridCol w:w="1350"/>
        <w:gridCol w:w="1350"/>
      </w:tblGrid>
      <w:tr w:rsidTr="0045565B">
        <w:tblPrEx>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620" w:type="dxa"/>
            <w:vAlign w:val="center"/>
          </w:tcPr>
          <w:p w:rsidR="001548F9" w:rsidRPr="0045565B">
            <w:pPr>
              <w:jc w:val="center"/>
              <w:rPr>
                <w:rFonts w:eastAsiaTheme="minorEastAsia"/>
                <w:color w:val="000000"/>
                <w:szCs w:val="21"/>
              </w:rPr>
            </w:pPr>
            <w:r w:rsidRPr="0045565B">
              <w:rPr>
                <w:rFonts w:eastAsiaTheme="minorEastAsia"/>
                <w:color w:val="000000"/>
                <w:szCs w:val="21"/>
              </w:rPr>
              <w:t>阶段</w:t>
            </w:r>
          </w:p>
        </w:tc>
        <w:tc>
          <w:tcPr>
            <w:tcW w:w="1350" w:type="dxa"/>
            <w:vAlign w:val="center"/>
          </w:tcPr>
          <w:p w:rsidR="001548F9" w:rsidRPr="0045565B">
            <w:pPr>
              <w:jc w:val="center"/>
              <w:rPr>
                <w:rFonts w:eastAsiaTheme="minorEastAsia"/>
                <w:color w:val="000000"/>
                <w:szCs w:val="21"/>
              </w:rPr>
            </w:pPr>
            <w:r w:rsidRPr="0045565B">
              <w:rPr>
                <w:rFonts w:eastAsiaTheme="minorEastAsia"/>
                <w:color w:val="000000"/>
                <w:szCs w:val="21"/>
              </w:rPr>
              <w:t>份额净值增长率</w:t>
            </w:r>
            <w:r w:rsidRPr="0045565B">
              <w:rPr>
                <w:rFonts w:ascii="宋体" w:hAnsi="宋体" w:cs="宋体" w:hint="eastAsia"/>
                <w:color w:val="000000"/>
                <w:szCs w:val="21"/>
              </w:rPr>
              <w:t>①</w:t>
            </w:r>
          </w:p>
        </w:tc>
        <w:tc>
          <w:tcPr>
            <w:tcW w:w="1350" w:type="dxa"/>
            <w:vAlign w:val="center"/>
          </w:tcPr>
          <w:p w:rsidR="001548F9" w:rsidRPr="0045565B">
            <w:pPr>
              <w:jc w:val="center"/>
              <w:rPr>
                <w:rFonts w:eastAsiaTheme="minorEastAsia"/>
                <w:color w:val="000000"/>
                <w:szCs w:val="21"/>
              </w:rPr>
            </w:pPr>
            <w:r w:rsidRPr="0045565B">
              <w:rPr>
                <w:rFonts w:eastAsiaTheme="minorEastAsia"/>
                <w:color w:val="000000"/>
                <w:szCs w:val="21"/>
              </w:rPr>
              <w:t>份额净值增长率标准差</w:t>
            </w:r>
            <w:r w:rsidRPr="0045565B">
              <w:rPr>
                <w:rFonts w:ascii="宋体" w:hAnsi="宋体" w:cs="宋体" w:hint="eastAsia"/>
                <w:color w:val="000000"/>
                <w:szCs w:val="21"/>
              </w:rPr>
              <w:t>②</w:t>
            </w:r>
          </w:p>
        </w:tc>
        <w:tc>
          <w:tcPr>
            <w:tcW w:w="1350" w:type="dxa"/>
            <w:vAlign w:val="center"/>
          </w:tcPr>
          <w:p w:rsidR="001548F9" w:rsidRPr="0045565B">
            <w:pPr>
              <w:jc w:val="center"/>
              <w:rPr>
                <w:rFonts w:eastAsiaTheme="minorEastAsia"/>
                <w:color w:val="000000"/>
                <w:szCs w:val="21"/>
              </w:rPr>
            </w:pPr>
            <w:r w:rsidRPr="0045565B">
              <w:rPr>
                <w:rFonts w:eastAsiaTheme="minorEastAsia"/>
                <w:color w:val="000000"/>
                <w:szCs w:val="21"/>
              </w:rPr>
              <w:t>业绩比较基准收益率</w:t>
            </w:r>
            <w:r w:rsidRPr="0045565B">
              <w:rPr>
                <w:rFonts w:ascii="宋体" w:hAnsi="宋体" w:cs="宋体" w:hint="eastAsia"/>
                <w:color w:val="000000"/>
                <w:szCs w:val="21"/>
              </w:rPr>
              <w:t>③</w:t>
            </w:r>
          </w:p>
        </w:tc>
        <w:tc>
          <w:tcPr>
            <w:tcW w:w="1350" w:type="dxa"/>
            <w:vAlign w:val="center"/>
          </w:tcPr>
          <w:p w:rsidR="001548F9" w:rsidRPr="0045565B">
            <w:pPr>
              <w:jc w:val="center"/>
              <w:rPr>
                <w:rFonts w:eastAsiaTheme="minorEastAsia"/>
                <w:color w:val="000000"/>
                <w:szCs w:val="21"/>
              </w:rPr>
            </w:pPr>
            <w:r w:rsidRPr="0045565B">
              <w:rPr>
                <w:rFonts w:eastAsiaTheme="minorEastAsia"/>
                <w:color w:val="000000"/>
                <w:szCs w:val="21"/>
              </w:rPr>
              <w:t>业绩比较基准收益率标准差</w:t>
            </w:r>
            <w:r w:rsidRPr="0045565B">
              <w:rPr>
                <w:rFonts w:ascii="宋体" w:hAnsi="宋体" w:cs="宋体" w:hint="eastAsia"/>
                <w:color w:val="000000"/>
                <w:szCs w:val="21"/>
              </w:rPr>
              <w:t>④</w:t>
            </w:r>
          </w:p>
        </w:tc>
        <w:tc>
          <w:tcPr>
            <w:tcW w:w="1350" w:type="dxa"/>
            <w:vAlign w:val="center"/>
          </w:tcPr>
          <w:p w:rsidR="001548F9" w:rsidRPr="0045565B">
            <w:pPr>
              <w:jc w:val="center"/>
              <w:rPr>
                <w:rFonts w:eastAsiaTheme="minorEastAsia"/>
                <w:color w:val="000000"/>
                <w:szCs w:val="21"/>
              </w:rPr>
            </w:pPr>
            <w:r w:rsidRPr="0045565B">
              <w:rPr>
                <w:rFonts w:ascii="宋体" w:hAnsi="宋体" w:cs="宋体" w:hint="eastAsia"/>
                <w:color w:val="000000"/>
                <w:szCs w:val="21"/>
              </w:rPr>
              <w:t>①</w:t>
            </w:r>
            <w:r w:rsidRPr="0045565B">
              <w:rPr>
                <w:rFonts w:eastAsiaTheme="minorEastAsia"/>
                <w:color w:val="000000"/>
                <w:szCs w:val="21"/>
              </w:rPr>
              <w:t>－</w:t>
            </w:r>
            <w:r w:rsidRPr="0045565B">
              <w:rPr>
                <w:rFonts w:ascii="宋体" w:hAnsi="宋体" w:cs="宋体" w:hint="eastAsia"/>
                <w:color w:val="000000"/>
                <w:szCs w:val="21"/>
              </w:rPr>
              <w:t>③</w:t>
            </w:r>
          </w:p>
        </w:tc>
        <w:tc>
          <w:tcPr>
            <w:tcW w:w="1350" w:type="dxa"/>
            <w:vAlign w:val="center"/>
          </w:tcPr>
          <w:p w:rsidR="001548F9" w:rsidRPr="0045565B">
            <w:pPr>
              <w:jc w:val="center"/>
              <w:rPr>
                <w:rFonts w:eastAsiaTheme="minorEastAsia"/>
                <w:color w:val="000000"/>
                <w:szCs w:val="21"/>
              </w:rPr>
            </w:pPr>
            <w:r w:rsidRPr="0045565B">
              <w:rPr>
                <w:rFonts w:ascii="宋体" w:hAnsi="宋体" w:cs="宋体" w:hint="eastAsia"/>
                <w:color w:val="000000"/>
                <w:szCs w:val="21"/>
              </w:rPr>
              <w:t>②</w:t>
            </w:r>
            <w:r w:rsidRPr="0045565B">
              <w:rPr>
                <w:rFonts w:eastAsiaTheme="minorEastAsia"/>
                <w:color w:val="000000"/>
                <w:szCs w:val="21"/>
              </w:rPr>
              <w:t>－</w:t>
            </w:r>
            <w:r w:rsidRPr="0045565B">
              <w:rPr>
                <w:rFonts w:ascii="宋体" w:hAnsi="宋体" w:cs="宋体" w:hint="eastAsia"/>
                <w:color w:val="000000"/>
                <w:szCs w:val="21"/>
              </w:rPr>
              <w:t>④</w:t>
            </w:r>
          </w:p>
        </w:tc>
      </w:tr>
      <w:tr>
        <w:tblPrEx>
          <w:tblW w:w="9720" w:type="dxa"/>
          <w:tblInd w:w="108" w:type="dxa"/>
          <w:tblLayout w:type="fixed"/>
          <w:tblLook w:val="00A0"/>
        </w:tblPrEx>
        <w:tc>
          <w:tcPr>
            <w:vAlign w:val="center"/>
          </w:tcPr>
          <w:p>
            <w:pPr>
              <w:jc w:val="left"/>
            </w:pPr>
            <w:r>
              <w:rPr>
                <w:rFonts w:eastAsiaTheme="minorEastAsia"/>
                <w:color w:val="000000"/>
                <w:szCs w:val="21"/>
              </w:rPr>
              <w:t>过去一个月</w:t>
            </w:r>
          </w:p>
        </w:tc>
        <w:tc>
          <w:tcPr>
            <w:vAlign w:val="center"/>
          </w:tcPr>
          <w:p>
            <w:pPr>
              <w:jc w:val="center"/>
            </w:pPr>
            <w:r>
              <w:rPr>
                <w:rFonts w:eastAsiaTheme="minorEastAsia"/>
                <w:color w:val="000000"/>
                <w:szCs w:val="21"/>
              </w:rPr>
              <w:t>3.51%</w:t>
            </w:r>
          </w:p>
        </w:tc>
        <w:tc>
          <w:tcPr>
            <w:vAlign w:val="center"/>
          </w:tcPr>
          <w:p>
            <w:pPr>
              <w:jc w:val="center"/>
            </w:pPr>
            <w:r>
              <w:rPr>
                <w:rFonts w:eastAsiaTheme="minorEastAsia"/>
                <w:color w:val="000000"/>
                <w:szCs w:val="21"/>
              </w:rPr>
              <w:t>1.30%</w:t>
            </w:r>
          </w:p>
        </w:tc>
        <w:tc>
          <w:tcPr>
            <w:vAlign w:val="center"/>
          </w:tcPr>
          <w:p>
            <w:pPr>
              <w:jc w:val="center"/>
            </w:pPr>
            <w:r>
              <w:rPr>
                <w:rFonts w:eastAsiaTheme="minorEastAsia"/>
                <w:color w:val="000000"/>
                <w:szCs w:val="21"/>
              </w:rPr>
              <w:t>2.32%</w:t>
            </w:r>
          </w:p>
        </w:tc>
        <w:tc>
          <w:tcPr>
            <w:vAlign w:val="center"/>
          </w:tcPr>
          <w:p>
            <w:pPr>
              <w:jc w:val="center"/>
            </w:pPr>
            <w:r>
              <w:rPr>
                <w:rFonts w:eastAsiaTheme="minorEastAsia"/>
                <w:color w:val="000000"/>
                <w:szCs w:val="21"/>
              </w:rPr>
              <w:t>1.09%</w:t>
            </w:r>
          </w:p>
        </w:tc>
        <w:tc>
          <w:tcPr>
            <w:vAlign w:val="center"/>
          </w:tcPr>
          <w:p>
            <w:pPr>
              <w:jc w:val="center"/>
            </w:pPr>
            <w:r>
              <w:rPr>
                <w:rFonts w:eastAsiaTheme="minorEastAsia"/>
                <w:color w:val="000000"/>
                <w:szCs w:val="21"/>
              </w:rPr>
              <w:t>1.19%</w:t>
            </w:r>
          </w:p>
        </w:tc>
        <w:tc>
          <w:tcPr>
            <w:vAlign w:val="center"/>
          </w:tcPr>
          <w:p>
            <w:pPr>
              <w:jc w:val="center"/>
            </w:pPr>
            <w:r>
              <w:rPr>
                <w:rFonts w:eastAsiaTheme="minorEastAsia"/>
                <w:color w:val="000000"/>
                <w:szCs w:val="21"/>
              </w:rPr>
              <w:t>0.21%</w:t>
            </w:r>
          </w:p>
        </w:tc>
      </w:tr>
      <w:tr>
        <w:tblPrEx>
          <w:tblW w:w="9720" w:type="dxa"/>
          <w:tblInd w:w="108" w:type="dxa"/>
          <w:tblLayout w:type="fixed"/>
          <w:tblLook w:val="00A0"/>
        </w:tblPrEx>
        <w:tc>
          <w:tcPr>
            <w:vAlign w:val="center"/>
          </w:tcPr>
          <w:p>
            <w:pPr>
              <w:jc w:val="left"/>
            </w:pPr>
            <w:r>
              <w:rPr>
                <w:rFonts w:eastAsiaTheme="minorEastAsia"/>
                <w:color w:val="000000"/>
                <w:szCs w:val="21"/>
              </w:rPr>
              <w:t>过去三个月</w:t>
            </w:r>
          </w:p>
        </w:tc>
        <w:tc>
          <w:tcPr>
            <w:vAlign w:val="center"/>
          </w:tcPr>
          <w:p>
            <w:pPr>
              <w:jc w:val="center"/>
            </w:pPr>
            <w:r>
              <w:rPr>
                <w:rFonts w:eastAsiaTheme="minorEastAsia"/>
                <w:color w:val="000000"/>
                <w:szCs w:val="21"/>
              </w:rPr>
              <w:t>-5.83%</w:t>
            </w:r>
          </w:p>
        </w:tc>
        <w:tc>
          <w:tcPr>
            <w:vAlign w:val="center"/>
          </w:tcPr>
          <w:p>
            <w:pPr>
              <w:jc w:val="center"/>
            </w:pPr>
            <w:r>
              <w:rPr>
                <w:rFonts w:eastAsiaTheme="minorEastAsia"/>
                <w:color w:val="000000"/>
                <w:szCs w:val="21"/>
              </w:rPr>
              <w:t>1.70%</w:t>
            </w:r>
          </w:p>
        </w:tc>
        <w:tc>
          <w:tcPr>
            <w:vAlign w:val="center"/>
          </w:tcPr>
          <w:p>
            <w:pPr>
              <w:jc w:val="center"/>
            </w:pPr>
            <w:r>
              <w:rPr>
                <w:rFonts w:eastAsiaTheme="minorEastAsia"/>
                <w:color w:val="000000"/>
                <w:szCs w:val="21"/>
              </w:rPr>
              <w:t>-7.02%</w:t>
            </w:r>
          </w:p>
        </w:tc>
        <w:tc>
          <w:tcPr>
            <w:vAlign w:val="center"/>
          </w:tcPr>
          <w:p>
            <w:pPr>
              <w:jc w:val="center"/>
            </w:pPr>
            <w:r>
              <w:rPr>
                <w:rFonts w:eastAsiaTheme="minorEastAsia"/>
                <w:color w:val="000000"/>
                <w:szCs w:val="21"/>
              </w:rPr>
              <w:t>1.29%</w:t>
            </w:r>
          </w:p>
        </w:tc>
        <w:tc>
          <w:tcPr>
            <w:vAlign w:val="center"/>
          </w:tcPr>
          <w:p>
            <w:pPr>
              <w:jc w:val="center"/>
            </w:pPr>
            <w:r>
              <w:rPr>
                <w:rFonts w:eastAsiaTheme="minorEastAsia"/>
                <w:color w:val="000000"/>
                <w:szCs w:val="21"/>
              </w:rPr>
              <w:t>1.19%</w:t>
            </w:r>
          </w:p>
        </w:tc>
        <w:tc>
          <w:tcPr>
            <w:vAlign w:val="center"/>
          </w:tcPr>
          <w:p>
            <w:pPr>
              <w:jc w:val="center"/>
            </w:pPr>
            <w:r>
              <w:rPr>
                <w:rFonts w:eastAsiaTheme="minorEastAsia"/>
                <w:color w:val="000000"/>
                <w:szCs w:val="21"/>
              </w:rPr>
              <w:t>0.41%</w:t>
            </w:r>
          </w:p>
        </w:tc>
      </w:tr>
      <w:tr>
        <w:tblPrEx>
          <w:tblW w:w="9720" w:type="dxa"/>
          <w:tblInd w:w="108" w:type="dxa"/>
          <w:tblLayout w:type="fixed"/>
          <w:tblLook w:val="00A0"/>
        </w:tblPrEx>
        <w:tc>
          <w:tcPr>
            <w:vAlign w:val="center"/>
          </w:tcPr>
          <w:p>
            <w:pPr>
              <w:jc w:val="left"/>
            </w:pPr>
            <w:r>
              <w:rPr>
                <w:rFonts w:eastAsiaTheme="minorEastAsia"/>
                <w:color w:val="000000"/>
                <w:szCs w:val="21"/>
              </w:rPr>
              <w:t>过去六个月</w:t>
            </w:r>
          </w:p>
        </w:tc>
        <w:tc>
          <w:tcPr>
            <w:vAlign w:val="center"/>
          </w:tcPr>
          <w:p>
            <w:pPr>
              <w:jc w:val="center"/>
            </w:pPr>
            <w:r>
              <w:rPr>
                <w:rFonts w:eastAsiaTheme="minorEastAsia"/>
                <w:color w:val="000000"/>
                <w:szCs w:val="21"/>
              </w:rPr>
              <w:t>22.93%</w:t>
            </w:r>
          </w:p>
        </w:tc>
        <w:tc>
          <w:tcPr>
            <w:vAlign w:val="center"/>
          </w:tcPr>
          <w:p>
            <w:pPr>
              <w:jc w:val="center"/>
            </w:pPr>
            <w:r>
              <w:rPr>
                <w:rFonts w:eastAsiaTheme="minorEastAsia"/>
                <w:color w:val="000000"/>
                <w:szCs w:val="21"/>
              </w:rPr>
              <w:t>1.64%</w:t>
            </w:r>
          </w:p>
        </w:tc>
        <w:tc>
          <w:tcPr>
            <w:vAlign w:val="center"/>
          </w:tcPr>
          <w:p>
            <w:pPr>
              <w:jc w:val="center"/>
            </w:pPr>
            <w:r>
              <w:rPr>
                <w:rFonts w:eastAsiaTheme="minorEastAsia"/>
                <w:color w:val="000000"/>
                <w:szCs w:val="21"/>
              </w:rPr>
              <w:t>14.45%</w:t>
            </w:r>
          </w:p>
        </w:tc>
        <w:tc>
          <w:tcPr>
            <w:vAlign w:val="center"/>
          </w:tcPr>
          <w:p>
            <w:pPr>
              <w:jc w:val="center"/>
            </w:pPr>
            <w:r>
              <w:rPr>
                <w:rFonts w:eastAsiaTheme="minorEastAsia"/>
                <w:color w:val="000000"/>
                <w:szCs w:val="21"/>
              </w:rPr>
              <w:t>1.37%</w:t>
            </w:r>
          </w:p>
        </w:tc>
        <w:tc>
          <w:tcPr>
            <w:vAlign w:val="center"/>
          </w:tcPr>
          <w:p>
            <w:pPr>
              <w:jc w:val="center"/>
            </w:pPr>
            <w:r>
              <w:rPr>
                <w:rFonts w:eastAsiaTheme="minorEastAsia"/>
                <w:color w:val="000000"/>
                <w:szCs w:val="21"/>
              </w:rPr>
              <w:t>8.48%</w:t>
            </w:r>
          </w:p>
        </w:tc>
        <w:tc>
          <w:tcPr>
            <w:vAlign w:val="center"/>
          </w:tcPr>
          <w:p>
            <w:pPr>
              <w:jc w:val="center"/>
            </w:pPr>
            <w:r>
              <w:rPr>
                <w:rFonts w:eastAsiaTheme="minorEastAsia"/>
                <w:color w:val="000000"/>
                <w:szCs w:val="21"/>
              </w:rPr>
              <w:t>0.27%</w:t>
            </w:r>
          </w:p>
        </w:tc>
      </w:tr>
      <w:tr>
        <w:tblPrEx>
          <w:tblW w:w="9720" w:type="dxa"/>
          <w:tblInd w:w="108" w:type="dxa"/>
          <w:tblLayout w:type="fixed"/>
          <w:tblLook w:val="00A0"/>
        </w:tblPrEx>
        <w:tc>
          <w:tcPr>
            <w:vAlign w:val="center"/>
          </w:tcPr>
          <w:p>
            <w:pPr>
              <w:jc w:val="left"/>
            </w:pPr>
            <w:r>
              <w:rPr>
                <w:rFonts w:eastAsiaTheme="minorEastAsia"/>
                <w:color w:val="000000"/>
                <w:szCs w:val="21"/>
              </w:rPr>
              <w:t>过去一年</w:t>
            </w:r>
          </w:p>
        </w:tc>
        <w:tc>
          <w:tcPr>
            <w:vAlign w:val="center"/>
          </w:tcPr>
          <w:p>
            <w:pPr>
              <w:jc w:val="center"/>
            </w:pPr>
            <w:r>
              <w:rPr>
                <w:rFonts w:eastAsiaTheme="minorEastAsia"/>
                <w:color w:val="000000"/>
                <w:szCs w:val="21"/>
              </w:rPr>
              <w:t>5.51%</w:t>
            </w:r>
          </w:p>
        </w:tc>
        <w:tc>
          <w:tcPr>
            <w:vAlign w:val="center"/>
          </w:tcPr>
          <w:p>
            <w:pPr>
              <w:jc w:val="center"/>
            </w:pPr>
            <w:r>
              <w:rPr>
                <w:rFonts w:eastAsiaTheme="minorEastAsia"/>
                <w:color w:val="000000"/>
                <w:szCs w:val="21"/>
              </w:rPr>
              <w:t>1.47%</w:t>
            </w:r>
          </w:p>
        </w:tc>
        <w:tc>
          <w:tcPr>
            <w:vAlign w:val="center"/>
          </w:tcPr>
          <w:p>
            <w:pPr>
              <w:jc w:val="center"/>
            </w:pPr>
            <w:r>
              <w:rPr>
                <w:rFonts w:eastAsiaTheme="minorEastAsia"/>
                <w:color w:val="000000"/>
                <w:szCs w:val="21"/>
              </w:rPr>
              <w:t>-13.82%</w:t>
            </w:r>
          </w:p>
        </w:tc>
        <w:tc>
          <w:tcPr>
            <w:vAlign w:val="center"/>
          </w:tcPr>
          <w:p>
            <w:pPr>
              <w:jc w:val="center"/>
            </w:pPr>
            <w:r>
              <w:rPr>
                <w:rFonts w:eastAsiaTheme="minorEastAsia"/>
                <w:color w:val="000000"/>
                <w:szCs w:val="21"/>
              </w:rPr>
              <w:t>1.42%</w:t>
            </w:r>
          </w:p>
        </w:tc>
        <w:tc>
          <w:tcPr>
            <w:vAlign w:val="center"/>
          </w:tcPr>
          <w:p>
            <w:pPr>
              <w:jc w:val="center"/>
            </w:pPr>
            <w:r>
              <w:rPr>
                <w:rFonts w:eastAsiaTheme="minorEastAsia"/>
                <w:color w:val="000000"/>
                <w:szCs w:val="21"/>
              </w:rPr>
              <w:t>19.33%</w:t>
            </w:r>
          </w:p>
        </w:tc>
        <w:tc>
          <w:tcPr>
            <w:vAlign w:val="center"/>
          </w:tcPr>
          <w:p>
            <w:pPr>
              <w:jc w:val="center"/>
            </w:pPr>
            <w:r>
              <w:rPr>
                <w:rFonts w:eastAsiaTheme="minorEastAsia"/>
                <w:color w:val="000000"/>
                <w:szCs w:val="21"/>
              </w:rPr>
              <w:t>0.05%</w:t>
            </w:r>
          </w:p>
        </w:tc>
      </w:tr>
      <w:tr>
        <w:tblPrEx>
          <w:tblW w:w="9720" w:type="dxa"/>
          <w:tblInd w:w="108" w:type="dxa"/>
          <w:tblLayout w:type="fixed"/>
          <w:tblLook w:val="00A0"/>
        </w:tblPrEx>
        <w:tc>
          <w:tcPr>
            <w:vAlign w:val="center"/>
          </w:tcPr>
          <w:p>
            <w:pPr>
              <w:jc w:val="left"/>
            </w:pPr>
            <w:r>
              <w:rPr>
                <w:rFonts w:eastAsiaTheme="minorEastAsia"/>
                <w:color w:val="000000"/>
                <w:szCs w:val="21"/>
              </w:rPr>
              <w:t>自基金合同生效起至今</w:t>
            </w:r>
          </w:p>
        </w:tc>
        <w:tc>
          <w:tcPr>
            <w:vAlign w:val="center"/>
          </w:tcPr>
          <w:p>
            <w:pPr>
              <w:jc w:val="center"/>
            </w:pPr>
            <w:r>
              <w:rPr>
                <w:rFonts w:eastAsiaTheme="minorEastAsia"/>
                <w:color w:val="000000"/>
                <w:szCs w:val="21"/>
              </w:rPr>
              <w:t>4.49%</w:t>
            </w:r>
          </w:p>
        </w:tc>
        <w:tc>
          <w:tcPr>
            <w:vAlign w:val="center"/>
          </w:tcPr>
          <w:p>
            <w:pPr>
              <w:jc w:val="center"/>
            </w:pPr>
            <w:r>
              <w:rPr>
                <w:rFonts w:eastAsiaTheme="minorEastAsia"/>
                <w:color w:val="000000"/>
                <w:szCs w:val="21"/>
              </w:rPr>
              <w:t>1.33%</w:t>
            </w:r>
          </w:p>
        </w:tc>
        <w:tc>
          <w:tcPr>
            <w:vAlign w:val="center"/>
          </w:tcPr>
          <w:p>
            <w:pPr>
              <w:jc w:val="center"/>
            </w:pPr>
            <w:r>
              <w:rPr>
                <w:rFonts w:eastAsiaTheme="minorEastAsia"/>
                <w:color w:val="000000"/>
                <w:szCs w:val="21"/>
              </w:rPr>
              <w:t>-13.84%</w:t>
            </w:r>
          </w:p>
        </w:tc>
        <w:tc>
          <w:tcPr>
            <w:vAlign w:val="center"/>
          </w:tcPr>
          <w:p>
            <w:pPr>
              <w:jc w:val="center"/>
            </w:pPr>
            <w:r>
              <w:rPr>
                <w:rFonts w:eastAsiaTheme="minorEastAsia"/>
                <w:color w:val="000000"/>
                <w:szCs w:val="21"/>
              </w:rPr>
              <w:t>1.41%</w:t>
            </w:r>
          </w:p>
        </w:tc>
        <w:tc>
          <w:tcPr>
            <w:vAlign w:val="center"/>
          </w:tcPr>
          <w:p>
            <w:pPr>
              <w:jc w:val="center"/>
            </w:pPr>
            <w:r>
              <w:rPr>
                <w:rFonts w:eastAsiaTheme="minorEastAsia"/>
                <w:color w:val="000000"/>
                <w:szCs w:val="21"/>
              </w:rPr>
              <w:t>18.33%</w:t>
            </w:r>
          </w:p>
        </w:tc>
        <w:tc>
          <w:tcPr>
            <w:vAlign w:val="center"/>
          </w:tcPr>
          <w:p>
            <w:pPr>
              <w:jc w:val="center"/>
            </w:pPr>
            <w:r>
              <w:rPr>
                <w:rFonts w:eastAsiaTheme="minorEastAsia"/>
                <w:color w:val="000000"/>
                <w:szCs w:val="21"/>
              </w:rPr>
              <w:t>-0.08%</w:t>
            </w:r>
          </w:p>
        </w:tc>
      </w:tr>
    </w:tbl>
    <w:p w:rsidR="001548F9" w:rsidRPr="0045565B" w:rsidP="0045565B">
      <w:pPr>
        <w:spacing w:before="312" w:beforeLines="100" w:line="360" w:lineRule="auto"/>
        <w:rPr>
          <w:rFonts w:eastAsiaTheme="minorEastAsia"/>
          <w:b/>
          <w:kern w:val="0"/>
          <w:szCs w:val="21"/>
        </w:rPr>
      </w:pPr>
      <w:r w:rsidRPr="0045565B">
        <w:rPr>
          <w:rFonts w:eastAsiaTheme="minorEastAsia"/>
          <w:b/>
          <w:kern w:val="0"/>
          <w:szCs w:val="21"/>
        </w:rPr>
        <w:t>3.2.2</w:t>
      </w:r>
      <w:r w:rsidRPr="0045565B" w:rsidR="00E335EC">
        <w:rPr>
          <w:rStyle w:val="Strong"/>
          <w:rFonts w:eastAsiaTheme="minorEastAsia"/>
          <w:color w:val="000000"/>
          <w:szCs w:val="21"/>
          <w:shd w:val="clear" w:color="auto" w:fill="FFFFFF"/>
        </w:rPr>
        <w:t>自基金转型以来</w:t>
      </w:r>
      <w:r w:rsidRPr="0045565B">
        <w:rPr>
          <w:rFonts w:eastAsiaTheme="minorEastAsia"/>
          <w:b/>
          <w:kern w:val="0"/>
          <w:szCs w:val="21"/>
        </w:rPr>
        <w:t>基金份额累计净值增长率变动及其与同期业绩比较基准收益率变动的比较</w:t>
      </w:r>
    </w:p>
    <w:p w:rsidR="001548F9" w:rsidRPr="0045565B" w:rsidP="00D24622">
      <w:pPr>
        <w:spacing w:line="360" w:lineRule="auto"/>
        <w:ind w:firstLine="420"/>
        <w:jc w:val="center"/>
        <w:rPr>
          <w:rFonts w:eastAsiaTheme="minorEastAsia"/>
          <w:kern w:val="0"/>
          <w:szCs w:val="21"/>
        </w:rPr>
      </w:pPr>
      <w:r w:rsidRPr="0045565B">
        <w:rPr>
          <w:rFonts w:eastAsiaTheme="minorEastAsia"/>
          <w:kern w:val="0"/>
          <w:szCs w:val="21"/>
        </w:rPr>
        <w:t>金鹰医疗健康产业股票型证券投资基金</w:t>
      </w:r>
    </w:p>
    <w:p w:rsidR="001548F9" w:rsidRPr="0045565B" w:rsidP="00D24622">
      <w:pPr>
        <w:spacing w:line="360" w:lineRule="auto"/>
        <w:ind w:firstLine="420"/>
        <w:jc w:val="center"/>
        <w:rPr>
          <w:rFonts w:eastAsiaTheme="minorEastAsia"/>
          <w:kern w:val="0"/>
          <w:szCs w:val="21"/>
        </w:rPr>
      </w:pPr>
      <w:r w:rsidRPr="0045565B">
        <w:rPr>
          <w:rFonts w:eastAsiaTheme="minorEastAsia"/>
          <w:kern w:val="0"/>
          <w:szCs w:val="21"/>
        </w:rPr>
        <w:t>份额累计净值增长率与业绩比较基准收益率</w:t>
      </w:r>
      <w:r w:rsidRPr="0045565B">
        <w:rPr>
          <w:rFonts w:eastAsiaTheme="minorEastAsia"/>
          <w:kern w:val="0"/>
          <w:szCs w:val="21"/>
        </w:rPr>
        <w:t>历史走势对比图</w:t>
      </w:r>
    </w:p>
    <w:p w:rsidR="001548F9" w:rsidRPr="0045565B" w:rsidP="00D24622">
      <w:pPr>
        <w:pStyle w:val="PlainText"/>
        <w:snapToGrid w:val="0"/>
        <w:spacing w:line="360" w:lineRule="auto"/>
        <w:ind w:firstLine="480"/>
        <w:jc w:val="center"/>
        <w:rPr>
          <w:rFonts w:ascii="Times New Roman" w:hAnsi="Times New Roman" w:eastAsiaTheme="minorEastAsia"/>
        </w:rPr>
      </w:pPr>
      <w:r w:rsidRPr="0045565B">
        <w:rPr>
          <w:rFonts w:ascii="Times New Roman" w:hAnsi="Times New Roman" w:eastAsiaTheme="minorEastAsia"/>
        </w:rPr>
        <w:t>（</w:t>
      </w:r>
      <w:r w:rsidRPr="0045565B">
        <w:rPr>
          <w:rFonts w:ascii="Times New Roman" w:hAnsi="Times New Roman" w:eastAsiaTheme="minorEastAsia"/>
        </w:rPr>
        <w:t>2018年4月13日</w:t>
      </w:r>
      <w:r w:rsidRPr="0045565B">
        <w:rPr>
          <w:rFonts w:ascii="Times New Roman" w:hAnsi="Times New Roman" w:eastAsiaTheme="minorEastAsia"/>
        </w:rPr>
        <w:t>至</w:t>
      </w:r>
      <w:r w:rsidRPr="0045565B">
        <w:rPr>
          <w:rFonts w:ascii="Times New Roman" w:hAnsi="Times New Roman" w:eastAsiaTheme="minorEastAsia"/>
        </w:rPr>
        <w:t>2019年6月30日</w:t>
      </w:r>
      <w:r w:rsidRPr="0045565B">
        <w:rPr>
          <w:rFonts w:ascii="Times New Roman" w:hAnsi="Times New Roman" w:eastAsiaTheme="minorEastAsia"/>
        </w:rPr>
        <w:t>）</w:t>
      </w:r>
    </w:p>
    <w:p w:rsidR="002C42E4" w:rsidRPr="0045565B" w:rsidP="00D24622">
      <w:pPr>
        <w:pStyle w:val="BodyTextIndent2"/>
        <w:spacing w:line="360" w:lineRule="auto"/>
        <w:ind w:firstLine="0" w:firstLineChars="0"/>
        <w:rPr>
          <w:rFonts w:ascii="Times New Roman" w:hAnsi="Times New Roman" w:eastAsiaTheme="minorEastAsia"/>
          <w:sz w:val="21"/>
          <w:szCs w:val="21"/>
        </w:rPr>
      </w:pPr>
      <w:r w:rsidRPr="0045565B">
        <w:rPr>
          <w:rFonts w:ascii="Times New Roman" w:hAnsi="Times New Roman" w:eastAsiaTheme="minorEastAsia"/>
          <w:color w:val="auto"/>
          <w:sz w:val="21"/>
          <w:szCs w:val="21"/>
        </w:rPr>
        <w:t>金鹰医疗健康股票A</w:t>
      </w:r>
    </w:p>
    <w:p w:rsidR="001548F9" w:rsidRPr="0045565B" w:rsidP="00D82066">
      <w:pPr>
        <w:spacing w:line="360" w:lineRule="auto"/>
        <w:jc w:val="center"/>
        <w:rPr>
          <w:rFonts w:eastAsiaTheme="minorEastAsia"/>
          <w:color w:val="000000"/>
          <w:szCs w:val="21"/>
        </w:rPr>
      </w:pPr>
      <w:r w:rsidRPr="0045565B">
        <w:rPr>
          <w:rFonts w:eastAsiaTheme="minorEastAsia"/>
          <w:noProof/>
          <w:color w:val="000000"/>
          <w:szCs w:val="21"/>
        </w:rPr>
        <w:drawing>
          <wp:inline distT="0" distB="0" distL="0" distR="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759450" cy="3372734"/>
                    </a:xfrm>
                    <a:prstGeom prst="rect">
                      <a:avLst/>
                    </a:prstGeom>
                    <a:noFill/>
                    <a:ln>
                      <a:noFill/>
                    </a:ln>
                  </pic:spPr>
                </pic:pic>
              </a:graphicData>
            </a:graphic>
          </wp:inline>
        </w:drawing>
      </w:r>
    </w:p>
    <w:p>
      <w:pPr>
        <w:tabs>
          <w:tab w:val="left" w:pos="426"/>
        </w:tabs>
        <w:spacing w:line="360" w:lineRule="auto"/>
        <w:ind w:firstLine="420" w:firstLineChars="200"/>
        <w:jc w:val="left"/>
        <w:rPr>
          <w:rFonts w:eastAsiaTheme="minorEastAsia"/>
          <w:kern w:val="0"/>
          <w:szCs w:val="21"/>
        </w:rPr>
      </w:pPr>
      <w:r>
        <w:rPr>
          <w:rFonts w:eastAsiaTheme="minorEastAsia"/>
          <w:kern w:val="0"/>
          <w:szCs w:val="21"/>
        </w:rPr>
        <w:t>注：1、本基金由原金鹰鑫富灵活配置混合型证券投资基金于2018年4月13日转型而来；</w:t>
      </w:r>
    </w:p>
    <w:p>
      <w:pPr>
        <w:tabs>
          <w:tab w:val="left" w:pos="426"/>
        </w:tabs>
        <w:spacing w:line="360" w:lineRule="auto"/>
        <w:ind w:firstLine="420" w:firstLineChars="200"/>
        <w:jc w:val="left"/>
        <w:rPr>
          <w:rFonts w:eastAsiaTheme="minorEastAsia"/>
          <w:kern w:val="0"/>
          <w:szCs w:val="21"/>
        </w:rPr>
      </w:pPr>
      <w:r>
        <w:rPr>
          <w:rFonts w:eastAsiaTheme="minorEastAsia"/>
          <w:kern w:val="0"/>
          <w:szCs w:val="21"/>
        </w:rPr>
        <w:t>2、按基金合同和招募说明书的约定，本基金的建仓期为六个月，建仓期结束时各项资产配置比例符合基金合同的有关约定；</w:t>
      </w:r>
    </w:p>
    <w:p w:rsidR="002C42E4" w:rsidRPr="0045565B" w:rsidP="00A94139">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3、业绩比较基准：中证医药卫生指数收益率×80%+中债总财富（总值）指数×20%。</w:t>
      </w:r>
    </w:p>
    <w:p w:rsidR="002C42E4" w:rsidRPr="0045565B" w:rsidP="002C42E4">
      <w:pPr>
        <w:pStyle w:val="BodyTextIndent2"/>
        <w:spacing w:line="288" w:lineRule="auto"/>
        <w:ind w:firstLine="0" w:firstLineChars="0"/>
        <w:rPr>
          <w:rFonts w:ascii="Times New Roman" w:hAnsi="Times New Roman" w:eastAsiaTheme="minorEastAsia"/>
          <w:color w:val="auto"/>
          <w:sz w:val="21"/>
          <w:szCs w:val="21"/>
        </w:rPr>
      </w:pPr>
      <w:r w:rsidRPr="0045565B">
        <w:rPr>
          <w:rFonts w:ascii="Times New Roman" w:hAnsi="Times New Roman" w:eastAsiaTheme="minorEastAsia"/>
          <w:color w:val="auto"/>
          <w:sz w:val="21"/>
          <w:szCs w:val="21"/>
        </w:rPr>
        <w:t>金鹰医疗健康股票C</w:t>
      </w:r>
    </w:p>
    <w:p w:rsidR="002C42E4" w:rsidRPr="0045565B" w:rsidP="00D82066">
      <w:pPr>
        <w:spacing w:line="360" w:lineRule="auto"/>
        <w:jc w:val="center"/>
        <w:rPr>
          <w:rFonts w:eastAsiaTheme="minorEastAsia"/>
          <w:color w:val="000000"/>
          <w:szCs w:val="21"/>
        </w:rPr>
      </w:pPr>
      <w:r w:rsidRPr="0045565B">
        <w:rPr>
          <w:rFonts w:eastAsiaTheme="minorEastAsia"/>
          <w:noProof/>
          <w:color w:val="000000"/>
          <w:szCs w:val="21"/>
        </w:rPr>
        <w:drawing>
          <wp:inline distT="0" distB="0" distL="0" distR="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759450" cy="3372734"/>
                    </a:xfrm>
                    <a:prstGeom prst="rect">
                      <a:avLst/>
                    </a:prstGeom>
                    <a:noFill/>
                    <a:ln>
                      <a:noFill/>
                    </a:ln>
                  </pic:spPr>
                </pic:pic>
              </a:graphicData>
            </a:graphic>
          </wp:inline>
        </w:drawing>
      </w:r>
    </w:p>
    <w:p>
      <w:pPr>
        <w:tabs>
          <w:tab w:val="left" w:pos="426"/>
        </w:tabs>
        <w:spacing w:line="360" w:lineRule="auto"/>
        <w:ind w:firstLine="420" w:firstLineChars="200"/>
        <w:jc w:val="left"/>
        <w:rPr>
          <w:rFonts w:eastAsiaTheme="minorEastAsia"/>
          <w:kern w:val="0"/>
          <w:szCs w:val="21"/>
        </w:rPr>
      </w:pPr>
      <w:r>
        <w:rPr>
          <w:rFonts w:eastAsiaTheme="minorEastAsia"/>
          <w:kern w:val="0"/>
          <w:szCs w:val="21"/>
        </w:rPr>
        <w:t>注：1、本基金由原金鹰鑫富灵活配置混合型证券投资基金于2018年4月13日转型而来；</w:t>
      </w:r>
    </w:p>
    <w:p>
      <w:pPr>
        <w:tabs>
          <w:tab w:val="left" w:pos="426"/>
        </w:tabs>
        <w:spacing w:line="360" w:lineRule="auto"/>
        <w:ind w:firstLine="420" w:firstLineChars="200"/>
        <w:jc w:val="left"/>
        <w:rPr>
          <w:rFonts w:eastAsiaTheme="minorEastAsia"/>
          <w:kern w:val="0"/>
          <w:szCs w:val="21"/>
        </w:rPr>
      </w:pPr>
      <w:r>
        <w:rPr>
          <w:rFonts w:eastAsiaTheme="minorEastAsia"/>
          <w:kern w:val="0"/>
          <w:szCs w:val="21"/>
        </w:rPr>
        <w:t>2、按基金合同和招募说明书的约定，本基金的建仓期为六个月，建仓期结束时各项资产配置比例符合基金合同的有关约定；</w:t>
      </w:r>
    </w:p>
    <w:p w:rsidR="001548F9" w:rsidRPr="0045565B" w:rsidP="0045565B">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3、业绩比较基准：中证医药卫生指数收益率×80%+中债总财富（总值）指数×20%。</w:t>
      </w:r>
    </w:p>
    <w:p w:rsidR="001548F9" w:rsidRPr="0045565B" w:rsidP="0045565B">
      <w:pPr>
        <w:tabs>
          <w:tab w:val="left" w:pos="426"/>
        </w:tabs>
        <w:spacing w:line="360" w:lineRule="auto"/>
        <w:ind w:firstLine="420" w:firstLineChars="200"/>
        <w:jc w:val="left"/>
        <w:rPr>
          <w:rFonts w:eastAsiaTheme="minorEastAsia"/>
          <w:kern w:val="0"/>
          <w:szCs w:val="21"/>
        </w:rPr>
      </w:pPr>
    </w:p>
    <w:p w:rsidR="0036247E" w:rsidRPr="0045565B" w:rsidP="0036247E">
      <w:pPr>
        <w:tabs>
          <w:tab w:val="left" w:pos="1800"/>
        </w:tabs>
        <w:spacing w:line="360" w:lineRule="auto"/>
        <w:rPr>
          <w:rFonts w:eastAsiaTheme="minorEastAsia"/>
          <w:color w:val="000000"/>
          <w:szCs w:val="21"/>
        </w:rPr>
      </w:pPr>
    </w:p>
    <w:p w:rsidR="001548F9" w:rsidRPr="0045565B" w:rsidP="0025572E">
      <w:pPr>
        <w:pStyle w:val="Heading1"/>
        <w:keepNext/>
        <w:keepLines/>
        <w:widowControl w:val="0"/>
        <w:spacing w:before="312" w:beforeLines="100" w:after="312" w:afterLines="100" w:line="360" w:lineRule="auto"/>
        <w:jc w:val="center"/>
        <w:rPr>
          <w:rFonts w:eastAsiaTheme="minorEastAsia"/>
          <w:b/>
          <w:bCs/>
          <w:sz w:val="21"/>
          <w:szCs w:val="21"/>
          <w:lang w:val="en-US"/>
        </w:rPr>
      </w:pPr>
      <w:bookmarkStart w:id="18" w:name="_Toc331410078"/>
      <w:bookmarkStart w:id="19" w:name="_Toc225498254"/>
      <w:r w:rsidRPr="0045565B">
        <w:rPr>
          <w:rFonts w:eastAsiaTheme="minorEastAsia"/>
          <w:b/>
          <w:bCs/>
          <w:sz w:val="21"/>
          <w:szCs w:val="21"/>
          <w:lang w:val="en-US"/>
        </w:rPr>
        <w:t xml:space="preserve">4  </w:t>
      </w:r>
      <w:r w:rsidRPr="0045565B">
        <w:rPr>
          <w:rFonts w:eastAsiaTheme="minorEastAsia"/>
          <w:b/>
          <w:bCs/>
          <w:sz w:val="21"/>
          <w:szCs w:val="21"/>
          <w:lang w:val="en-US"/>
        </w:rPr>
        <w:t>管理人报告</w:t>
      </w:r>
      <w:bookmarkEnd w:id="18"/>
      <w:bookmarkEnd w:id="19"/>
    </w:p>
    <w:p w:rsidR="001548F9" w:rsidRPr="0045565B" w:rsidP="00D24622">
      <w:pPr>
        <w:pStyle w:val="Heading2"/>
        <w:spacing w:before="0" w:after="0"/>
        <w:rPr>
          <w:rFonts w:ascii="Times New Roman" w:hAnsi="Times New Roman" w:eastAsiaTheme="minorEastAsia"/>
          <w:kern w:val="0"/>
          <w:sz w:val="21"/>
          <w:szCs w:val="21"/>
        </w:rPr>
      </w:pPr>
      <w:bookmarkStart w:id="20" w:name="_Toc331410079"/>
      <w:r w:rsidRPr="0045565B">
        <w:rPr>
          <w:rFonts w:ascii="Times New Roman" w:hAnsi="Times New Roman" w:eastAsiaTheme="minorEastAsia"/>
          <w:kern w:val="0"/>
          <w:sz w:val="21"/>
          <w:szCs w:val="21"/>
        </w:rPr>
        <w:t xml:space="preserve">4.1 </w:t>
      </w:r>
      <w:r w:rsidRPr="0045565B">
        <w:rPr>
          <w:rFonts w:ascii="Times New Roman" w:hAnsi="Times New Roman" w:eastAsiaTheme="minorEastAsia"/>
          <w:kern w:val="0"/>
          <w:sz w:val="21"/>
          <w:szCs w:val="21"/>
        </w:rPr>
        <w:t>基金管理人及基金经理情况</w:t>
      </w:r>
      <w:bookmarkEnd w:id="20"/>
    </w:p>
    <w:p w:rsidR="001548F9" w:rsidRPr="0045565B" w:rsidP="00D24622">
      <w:pPr>
        <w:autoSpaceDE w:val="0"/>
        <w:autoSpaceDN w:val="0"/>
        <w:adjustRightInd w:val="0"/>
        <w:spacing w:line="360" w:lineRule="auto"/>
        <w:jc w:val="left"/>
        <w:rPr>
          <w:rFonts w:eastAsiaTheme="minorEastAsia"/>
          <w:b/>
          <w:color w:val="000000"/>
          <w:kern w:val="0"/>
          <w:szCs w:val="21"/>
        </w:rPr>
      </w:pPr>
      <w:r w:rsidRPr="0045565B">
        <w:rPr>
          <w:rFonts w:eastAsiaTheme="minorEastAsia"/>
          <w:b/>
          <w:color w:val="000000"/>
          <w:kern w:val="0"/>
          <w:szCs w:val="21"/>
        </w:rPr>
        <w:t xml:space="preserve">4.1.1 </w:t>
      </w:r>
      <w:r w:rsidRPr="0045565B">
        <w:rPr>
          <w:rFonts w:eastAsiaTheme="minorEastAsia"/>
          <w:b/>
          <w:color w:val="000000"/>
          <w:kern w:val="0"/>
          <w:szCs w:val="21"/>
        </w:rPr>
        <w:t>基金管理人及其管理基金的经验</w:t>
      </w:r>
    </w:p>
    <w:p>
      <w:pPr>
        <w:spacing w:line="360" w:lineRule="auto"/>
        <w:ind w:firstLine="420" w:firstLineChars="200"/>
        <w:rPr>
          <w:rFonts w:eastAsiaTheme="minorEastAsia"/>
          <w:color w:val="000000"/>
          <w:szCs w:val="21"/>
        </w:rPr>
      </w:pPr>
      <w:r>
        <w:rPr>
          <w:rFonts w:eastAsiaTheme="minorEastAsia"/>
          <w:color w:val="000000"/>
          <w:szCs w:val="21"/>
        </w:rPr>
        <w:t>经中国证监会证监基字[2002]97号文批准，金鹰基金管理有限公司于2002年12月25日成立，注册资本5.102亿元人民币。2011年12月公司获得特定客户资产管理计划业务资格，2013年7月子公司——广州金鹰资产管理有限公司成立。</w:t>
      </w:r>
    </w:p>
    <w:p w:rsidR="001548F9" w:rsidRPr="0045565B" w:rsidP="0045565B">
      <w:pPr>
        <w:spacing w:line="360" w:lineRule="auto"/>
        <w:ind w:firstLine="420" w:firstLineChars="200"/>
        <w:rPr>
          <w:rFonts w:eastAsiaTheme="minorEastAsia"/>
          <w:color w:val="000000"/>
          <w:szCs w:val="21"/>
        </w:rPr>
      </w:pPr>
      <w:r w:rsidRPr="0045565B">
        <w:rPr>
          <w:rFonts w:eastAsiaTheme="minorEastAsia"/>
          <w:color w:val="000000"/>
          <w:szCs w:val="21"/>
        </w:rPr>
        <w:t>“以人为本、互信协作；创新谋变、挑战超越”是金鹰人的核心价值观。公司坚持价值投资为导向，着力打造高水准的投研团队，努力为投资者创造丰厚回报。截至报告期末，公司共有46只公募基金，管理规模550.88亿元。</w:t>
      </w:r>
    </w:p>
    <w:p w:rsidR="001548F9" w:rsidRPr="0045565B" w:rsidP="0045565B">
      <w:pPr>
        <w:autoSpaceDE w:val="0"/>
        <w:autoSpaceDN w:val="0"/>
        <w:adjustRightInd w:val="0"/>
        <w:spacing w:before="312" w:beforeLines="100" w:line="360" w:lineRule="auto"/>
        <w:jc w:val="left"/>
        <w:rPr>
          <w:rFonts w:eastAsiaTheme="minorEastAsia"/>
          <w:b/>
          <w:color w:val="000000"/>
          <w:kern w:val="0"/>
          <w:szCs w:val="21"/>
        </w:rPr>
      </w:pPr>
      <w:r w:rsidRPr="0045565B">
        <w:rPr>
          <w:rFonts w:eastAsiaTheme="minorEastAsia"/>
          <w:b/>
          <w:color w:val="000000"/>
          <w:kern w:val="0"/>
          <w:szCs w:val="21"/>
        </w:rPr>
        <w:t xml:space="preserve">4.1.2 </w:t>
      </w:r>
      <w:r w:rsidRPr="0045565B">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0"/>
        <w:gridCol w:w="1500"/>
        <w:gridCol w:w="1190"/>
        <w:gridCol w:w="1260"/>
        <w:gridCol w:w="1236"/>
        <w:gridCol w:w="3264"/>
      </w:tblGrid>
      <w:tr w:rsidTr="0045565B">
        <w:tblPrEx>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090" w:type="dxa"/>
            <w:vMerge w:val="restart"/>
            <w:vAlign w:val="center"/>
          </w:tcPr>
          <w:p w:rsidR="001548F9" w:rsidRPr="0045565B">
            <w:pPr>
              <w:jc w:val="center"/>
              <w:rPr>
                <w:rFonts w:eastAsiaTheme="minorEastAsia"/>
                <w:color w:val="000000"/>
                <w:szCs w:val="21"/>
              </w:rPr>
            </w:pPr>
            <w:r w:rsidRPr="0045565B">
              <w:rPr>
                <w:rFonts w:eastAsiaTheme="minorEastAsia"/>
                <w:color w:val="000000"/>
                <w:szCs w:val="21"/>
              </w:rPr>
              <w:t>姓名</w:t>
            </w:r>
          </w:p>
        </w:tc>
        <w:tc>
          <w:tcPr>
            <w:tcW w:w="1500" w:type="dxa"/>
            <w:vMerge w:val="restart"/>
            <w:vAlign w:val="center"/>
          </w:tcPr>
          <w:p w:rsidR="001548F9" w:rsidRPr="0045565B">
            <w:pPr>
              <w:jc w:val="center"/>
              <w:rPr>
                <w:rFonts w:eastAsiaTheme="minorEastAsia"/>
                <w:color w:val="000000"/>
                <w:szCs w:val="21"/>
              </w:rPr>
            </w:pPr>
            <w:r w:rsidRPr="0045565B">
              <w:rPr>
                <w:rFonts w:eastAsiaTheme="minorEastAsia"/>
                <w:color w:val="000000"/>
                <w:szCs w:val="21"/>
              </w:rPr>
              <w:t>职务</w:t>
            </w:r>
          </w:p>
        </w:tc>
        <w:tc>
          <w:tcPr>
            <w:tcW w:w="2450" w:type="dxa"/>
            <w:gridSpan w:val="2"/>
          </w:tcPr>
          <w:p w:rsidR="001548F9" w:rsidRPr="0045565B">
            <w:pPr>
              <w:jc w:val="center"/>
              <w:rPr>
                <w:rFonts w:eastAsiaTheme="minorEastAsia"/>
                <w:color w:val="000000"/>
                <w:szCs w:val="21"/>
              </w:rPr>
            </w:pPr>
            <w:r w:rsidRPr="0045565B">
              <w:rPr>
                <w:rFonts w:eastAsiaTheme="minorEastAsia"/>
                <w:color w:val="000000"/>
                <w:szCs w:val="21"/>
              </w:rPr>
              <w:t>任本基金的基金经理（助理）期限</w:t>
            </w:r>
          </w:p>
        </w:tc>
        <w:tc>
          <w:tcPr>
            <w:tcW w:w="1236" w:type="dxa"/>
            <w:vMerge w:val="restart"/>
            <w:vAlign w:val="center"/>
          </w:tcPr>
          <w:p w:rsidR="001548F9" w:rsidRPr="0045565B">
            <w:pPr>
              <w:jc w:val="center"/>
              <w:rPr>
                <w:rFonts w:eastAsiaTheme="minorEastAsia"/>
                <w:color w:val="000000"/>
                <w:szCs w:val="21"/>
              </w:rPr>
            </w:pPr>
            <w:r w:rsidRPr="0045565B">
              <w:rPr>
                <w:rFonts w:eastAsiaTheme="minorEastAsia"/>
                <w:color w:val="000000"/>
                <w:szCs w:val="21"/>
              </w:rPr>
              <w:t>证券从业年限</w:t>
            </w:r>
          </w:p>
        </w:tc>
        <w:tc>
          <w:tcPr>
            <w:tcW w:w="3264" w:type="dxa"/>
            <w:vMerge w:val="restart"/>
            <w:vAlign w:val="center"/>
          </w:tcPr>
          <w:p w:rsidR="001548F9" w:rsidRPr="0045565B">
            <w:pPr>
              <w:jc w:val="center"/>
              <w:rPr>
                <w:rFonts w:eastAsiaTheme="minorEastAsia"/>
                <w:color w:val="000000"/>
                <w:szCs w:val="21"/>
              </w:rPr>
            </w:pPr>
            <w:r w:rsidRPr="0045565B">
              <w:rPr>
                <w:rFonts w:eastAsiaTheme="minorEastAsia"/>
                <w:color w:val="000000"/>
                <w:szCs w:val="21"/>
              </w:rPr>
              <w:t>说明</w:t>
            </w:r>
          </w:p>
        </w:tc>
      </w:tr>
      <w:tr w:rsidTr="0045565B">
        <w:tblPrEx>
          <w:tblW w:w="9540" w:type="dxa"/>
          <w:tblInd w:w="108" w:type="dxa"/>
          <w:tblLayout w:type="fixed"/>
          <w:tblLook w:val="00A0"/>
        </w:tblPrEx>
        <w:tc>
          <w:tcPr>
            <w:tcW w:w="1090" w:type="dxa"/>
            <w:vMerge/>
            <w:vAlign w:val="center"/>
          </w:tcPr>
          <w:p w:rsidR="001548F9" w:rsidRPr="0045565B">
            <w:pPr>
              <w:widowControl/>
              <w:jc w:val="left"/>
              <w:rPr>
                <w:rFonts w:eastAsiaTheme="minorEastAsia"/>
                <w:color w:val="000000"/>
                <w:szCs w:val="21"/>
              </w:rPr>
            </w:pPr>
          </w:p>
        </w:tc>
        <w:tc>
          <w:tcPr>
            <w:tcW w:w="1500" w:type="dxa"/>
            <w:vMerge/>
            <w:vAlign w:val="center"/>
          </w:tcPr>
          <w:p w:rsidR="001548F9" w:rsidRPr="0045565B">
            <w:pPr>
              <w:widowControl/>
              <w:jc w:val="left"/>
              <w:rPr>
                <w:rFonts w:eastAsiaTheme="minorEastAsia"/>
                <w:color w:val="000000"/>
                <w:szCs w:val="21"/>
              </w:rPr>
            </w:pPr>
          </w:p>
        </w:tc>
        <w:tc>
          <w:tcPr>
            <w:tcW w:w="1190" w:type="dxa"/>
            <w:vAlign w:val="center"/>
          </w:tcPr>
          <w:p w:rsidR="001548F9" w:rsidRPr="0045565B">
            <w:pPr>
              <w:jc w:val="center"/>
              <w:rPr>
                <w:rFonts w:eastAsiaTheme="minorEastAsia"/>
                <w:color w:val="000000"/>
                <w:szCs w:val="21"/>
              </w:rPr>
            </w:pPr>
            <w:r w:rsidRPr="0045565B">
              <w:rPr>
                <w:rFonts w:eastAsiaTheme="minorEastAsia"/>
                <w:color w:val="000000"/>
                <w:szCs w:val="21"/>
              </w:rPr>
              <w:t>任职日期</w:t>
            </w:r>
          </w:p>
        </w:tc>
        <w:tc>
          <w:tcPr>
            <w:tcW w:w="1260" w:type="dxa"/>
            <w:vAlign w:val="center"/>
          </w:tcPr>
          <w:p w:rsidR="001548F9" w:rsidRPr="0045565B">
            <w:pPr>
              <w:jc w:val="center"/>
              <w:rPr>
                <w:rFonts w:eastAsiaTheme="minorEastAsia"/>
                <w:color w:val="000000"/>
                <w:szCs w:val="21"/>
              </w:rPr>
            </w:pPr>
            <w:r w:rsidRPr="0045565B">
              <w:rPr>
                <w:rFonts w:eastAsiaTheme="minorEastAsia"/>
                <w:color w:val="000000"/>
                <w:szCs w:val="21"/>
              </w:rPr>
              <w:t>离任日期</w:t>
            </w:r>
          </w:p>
        </w:tc>
        <w:tc>
          <w:tcPr>
            <w:tcW w:w="1236" w:type="dxa"/>
            <w:vMerge/>
            <w:vAlign w:val="center"/>
          </w:tcPr>
          <w:p w:rsidR="001548F9" w:rsidRPr="0045565B">
            <w:pPr>
              <w:widowControl/>
              <w:jc w:val="left"/>
              <w:rPr>
                <w:rFonts w:eastAsiaTheme="minorEastAsia"/>
                <w:color w:val="000000"/>
                <w:szCs w:val="21"/>
              </w:rPr>
            </w:pPr>
          </w:p>
        </w:tc>
        <w:tc>
          <w:tcPr>
            <w:tcW w:w="3264" w:type="dxa"/>
            <w:vMerge/>
            <w:vAlign w:val="center"/>
          </w:tcPr>
          <w:p w:rsidR="001548F9" w:rsidRPr="0045565B">
            <w:pPr>
              <w:widowControl/>
              <w:jc w:val="left"/>
              <w:rPr>
                <w:rFonts w:eastAsiaTheme="minorEastAsia"/>
                <w:color w:val="000000"/>
                <w:szCs w:val="21"/>
              </w:rPr>
            </w:pPr>
          </w:p>
        </w:tc>
      </w:tr>
      <w:tr>
        <w:tblPrEx>
          <w:tblW w:w="9540" w:type="dxa"/>
          <w:tblInd w:w="108" w:type="dxa"/>
          <w:tblLayout w:type="fixed"/>
          <w:tblLook w:val="00A0"/>
        </w:tblPrEx>
        <w:tc>
          <w:tcPr>
            <w:vAlign w:val="center"/>
          </w:tcPr>
          <w:p>
            <w:pPr>
              <w:jc w:val="center"/>
            </w:pPr>
            <w:r>
              <w:rPr>
                <w:rFonts w:eastAsiaTheme="minorEastAsia"/>
                <w:color w:val="000000"/>
                <w:szCs w:val="21"/>
              </w:rPr>
              <w:t>陈立</w:t>
            </w:r>
          </w:p>
        </w:tc>
        <w:tc>
          <w:tcPr>
            <w:vAlign w:val="center"/>
          </w:tcPr>
          <w:p>
            <w:pPr>
              <w:jc w:val="center"/>
            </w:pPr>
            <w:r>
              <w:rPr>
                <w:rFonts w:eastAsiaTheme="minorEastAsia"/>
                <w:color w:val="000000"/>
                <w:szCs w:val="21"/>
              </w:rPr>
              <w:t>本基金的基金经理，公司权益投资部副总监</w:t>
            </w:r>
          </w:p>
        </w:tc>
        <w:tc>
          <w:tcPr>
            <w:vAlign w:val="center"/>
          </w:tcPr>
          <w:p>
            <w:pPr>
              <w:jc w:val="center"/>
            </w:pPr>
            <w:r>
              <w:rPr>
                <w:rFonts w:eastAsiaTheme="minorEastAsia"/>
                <w:color w:val="000000"/>
                <w:szCs w:val="21"/>
              </w:rPr>
              <w:t>2018-07-07</w:t>
            </w:r>
          </w:p>
        </w:tc>
        <w:tc>
          <w:tcPr>
            <w:vAlign w:val="center"/>
          </w:tcPr>
          <w:p>
            <w:pPr>
              <w:jc w:val="center"/>
            </w:pPr>
            <w:r>
              <w:rPr>
                <w:rFonts w:eastAsiaTheme="minorEastAsia"/>
                <w:color w:val="000000"/>
                <w:szCs w:val="21"/>
              </w:rPr>
              <w:t>-</w:t>
            </w:r>
          </w:p>
        </w:tc>
        <w:tc>
          <w:tcPr>
            <w:vAlign w:val="center"/>
          </w:tcPr>
          <w:p>
            <w:pPr>
              <w:jc w:val="center"/>
            </w:pPr>
            <w:r>
              <w:rPr>
                <w:rFonts w:eastAsiaTheme="minorEastAsia"/>
                <w:color w:val="000000"/>
                <w:szCs w:val="21"/>
              </w:rPr>
              <w:t>12</w:t>
            </w:r>
          </w:p>
        </w:tc>
        <w:tc>
          <w:tcPr>
            <w:vAlign w:val="center"/>
          </w:tcPr>
          <w:p>
            <w:pPr>
              <w:jc w:val="both"/>
            </w:pPr>
            <w:r>
              <w:rPr>
                <w:rFonts w:eastAsiaTheme="minorEastAsia"/>
                <w:color w:val="000000"/>
                <w:szCs w:val="21"/>
              </w:rPr>
              <w:t>陈立先生，复旦大学经济学硕士。曾任银华基金管理有限公司医药行业研究员，2009年6月加盟金鹰基金管理有限公司，先后任行业研究员，非周期组组长、基金经理助理、投资经理。现任权益投资部基金经理。</w:t>
            </w:r>
          </w:p>
        </w:tc>
      </w:tr>
      <w:tr>
        <w:tblPrEx>
          <w:tblW w:w="9540" w:type="dxa"/>
          <w:tblInd w:w="108" w:type="dxa"/>
          <w:tblLayout w:type="fixed"/>
          <w:tblLook w:val="00A0"/>
        </w:tblPrEx>
        <w:tc>
          <w:tcPr>
            <w:vAlign w:val="center"/>
          </w:tcPr>
          <w:p>
            <w:pPr>
              <w:jc w:val="center"/>
            </w:pPr>
            <w:r>
              <w:rPr>
                <w:rFonts w:eastAsiaTheme="minorEastAsia"/>
                <w:color w:val="000000"/>
                <w:szCs w:val="21"/>
              </w:rPr>
              <w:t xml:space="preserve"> 潘李剑</w:t>
            </w:r>
          </w:p>
        </w:tc>
        <w:tc>
          <w:tcPr>
            <w:vAlign w:val="center"/>
          </w:tcPr>
          <w:p>
            <w:pPr>
              <w:jc w:val="center"/>
            </w:pPr>
            <w:r>
              <w:rPr>
                <w:rFonts w:eastAsiaTheme="minorEastAsia"/>
                <w:color w:val="000000"/>
                <w:szCs w:val="21"/>
              </w:rPr>
              <w:t>本基金的基金经理助理</w:t>
            </w:r>
          </w:p>
        </w:tc>
        <w:tc>
          <w:tcPr>
            <w:vAlign w:val="center"/>
          </w:tcPr>
          <w:p>
            <w:pPr>
              <w:jc w:val="center"/>
            </w:pPr>
            <w:r>
              <w:rPr>
                <w:rFonts w:eastAsiaTheme="minorEastAsia"/>
                <w:color w:val="000000"/>
                <w:szCs w:val="21"/>
              </w:rPr>
              <w:t>2019-07-11</w:t>
            </w:r>
          </w:p>
        </w:tc>
        <w:tc>
          <w:tcPr>
            <w:vAlign w:val="center"/>
          </w:tcPr>
          <w:p>
            <w:pPr>
              <w:jc w:val="center"/>
            </w:pPr>
            <w:r>
              <w:rPr>
                <w:rFonts w:eastAsiaTheme="minorEastAsia"/>
                <w:color w:val="000000"/>
                <w:szCs w:val="21"/>
              </w:rPr>
              <w:t>-</w:t>
            </w:r>
          </w:p>
        </w:tc>
        <w:tc>
          <w:tcPr>
            <w:vAlign w:val="center"/>
          </w:tcPr>
          <w:p>
            <w:pPr>
              <w:jc w:val="center"/>
            </w:pPr>
            <w:r>
              <w:rPr>
                <w:rFonts w:eastAsiaTheme="minorEastAsia"/>
                <w:color w:val="000000"/>
                <w:szCs w:val="21"/>
              </w:rPr>
              <w:t>6</w:t>
            </w:r>
          </w:p>
        </w:tc>
        <w:tc>
          <w:tcPr>
            <w:vAlign w:val="center"/>
          </w:tcPr>
          <w:p>
            <w:pPr>
              <w:jc w:val="both"/>
            </w:pPr>
            <w:r>
              <w:rPr>
                <w:rFonts w:eastAsiaTheme="minorEastAsia"/>
                <w:color w:val="000000"/>
                <w:szCs w:val="21"/>
              </w:rPr>
              <w:t>潘李剑先生，西南财经大学金融学硕士，2014年12月加入金鹰基金管理有限公司，曾任行业研究员、消费行业研究组长、研究部总经理助理等职务，现任基金经理助理。</w:t>
            </w:r>
          </w:p>
        </w:tc>
      </w:tr>
    </w:tbl>
    <w:p>
      <w:pPr>
        <w:tabs>
          <w:tab w:val="left" w:pos="426"/>
        </w:tabs>
        <w:spacing w:line="360" w:lineRule="auto"/>
        <w:ind w:firstLine="420" w:firstLineChars="200"/>
        <w:jc w:val="left"/>
        <w:rPr>
          <w:rFonts w:eastAsiaTheme="minorEastAsia"/>
          <w:kern w:val="0"/>
          <w:szCs w:val="21"/>
        </w:rPr>
      </w:pPr>
      <w:r>
        <w:rPr>
          <w:rFonts w:eastAsiaTheme="minorEastAsia"/>
          <w:kern w:val="0"/>
          <w:szCs w:val="21"/>
        </w:rPr>
        <w:t>注：1、任职日期和离任日期指公司公告聘任或解聘日期；</w:t>
      </w:r>
    </w:p>
    <w:p w:rsidR="001548F9" w:rsidRPr="0045565B" w:rsidP="0045565B">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2、证券从业的含义遵从行业协会颁布的《证券业从业人员资格管理办法》的相关规定。</w:t>
      </w:r>
    </w:p>
    <w:p w:rsidR="001548F9" w:rsidRPr="0045565B" w:rsidP="0045565B">
      <w:pPr>
        <w:pStyle w:val="Heading2"/>
        <w:spacing w:before="312" w:beforeLines="100" w:after="0"/>
        <w:rPr>
          <w:rFonts w:ascii="Times New Roman" w:hAnsi="Times New Roman" w:eastAsiaTheme="minorEastAsia"/>
          <w:kern w:val="0"/>
          <w:sz w:val="21"/>
          <w:szCs w:val="21"/>
        </w:rPr>
      </w:pPr>
      <w:bookmarkStart w:id="21" w:name="_Toc331410080"/>
      <w:bookmarkStart w:id="22" w:name="_Toc225498256"/>
      <w:r w:rsidRPr="0045565B">
        <w:rPr>
          <w:rFonts w:ascii="Times New Roman" w:hAnsi="Times New Roman" w:eastAsiaTheme="minorEastAsia"/>
          <w:kern w:val="0"/>
          <w:sz w:val="21"/>
          <w:szCs w:val="21"/>
        </w:rPr>
        <w:t xml:space="preserve">4.2 </w:t>
      </w:r>
      <w:r w:rsidRPr="0045565B">
        <w:rPr>
          <w:rFonts w:ascii="Times New Roman" w:hAnsi="Times New Roman" w:eastAsiaTheme="minorEastAsia"/>
          <w:kern w:val="0"/>
          <w:sz w:val="21"/>
          <w:szCs w:val="21"/>
        </w:rPr>
        <w:t>管理人对报告期内本基金运作遵规守信情况的说明</w:t>
      </w:r>
      <w:bookmarkEnd w:id="21"/>
      <w:bookmarkEnd w:id="22"/>
    </w:p>
    <w:p w:rsidR="001548F9" w:rsidRPr="0045565B" w:rsidP="0045565B">
      <w:pPr>
        <w:spacing w:line="360" w:lineRule="auto"/>
        <w:ind w:firstLine="420" w:firstLineChars="200"/>
        <w:rPr>
          <w:rFonts w:eastAsiaTheme="minorEastAsia"/>
          <w:color w:val="000000"/>
          <w:szCs w:val="21"/>
        </w:rPr>
      </w:pPr>
      <w:r w:rsidRPr="0045565B">
        <w:rPr>
          <w:rFonts w:eastAsiaTheme="minorEastAsia"/>
          <w:color w:val="000000"/>
          <w:szCs w:val="21"/>
        </w:rPr>
        <w:t>本报告期内，本基金管理人严格遵守《证券投资基金法》和其他有关法律法规及其各项实施准则、基金合同的规定，本着诚实信用、勤勉尽责的原则管理和运用基金资产，在严格控制风险的基础上，为基金持有人谋求最大利益。本报告期内，基金运作合法合规，无出现重大违法违规或违反基金合同的行为，无损害基金持有人利益的行为。</w:t>
      </w:r>
    </w:p>
    <w:p w:rsidR="001548F9" w:rsidRPr="0045565B" w:rsidP="0045565B">
      <w:pPr>
        <w:pStyle w:val="Heading2"/>
        <w:spacing w:before="312" w:beforeLines="100" w:after="0"/>
        <w:rPr>
          <w:rFonts w:ascii="Times New Roman" w:hAnsi="Times New Roman" w:eastAsiaTheme="minorEastAsia"/>
          <w:kern w:val="0"/>
          <w:sz w:val="21"/>
          <w:szCs w:val="21"/>
        </w:rPr>
      </w:pPr>
      <w:bookmarkStart w:id="23" w:name="_Toc331410081"/>
      <w:bookmarkStart w:id="24" w:name="_Toc225498257"/>
      <w:r w:rsidRPr="0045565B">
        <w:rPr>
          <w:rFonts w:ascii="Times New Roman" w:hAnsi="Times New Roman" w:eastAsiaTheme="minorEastAsia"/>
          <w:kern w:val="0"/>
          <w:sz w:val="21"/>
          <w:szCs w:val="21"/>
        </w:rPr>
        <w:t xml:space="preserve">4.3 </w:t>
      </w:r>
      <w:r w:rsidRPr="0045565B">
        <w:rPr>
          <w:rFonts w:ascii="Times New Roman" w:hAnsi="Times New Roman" w:eastAsiaTheme="minorEastAsia"/>
          <w:kern w:val="0"/>
          <w:sz w:val="21"/>
          <w:szCs w:val="21"/>
        </w:rPr>
        <w:t>管理人对报告期内公平交易情况的专项说明</w:t>
      </w:r>
      <w:bookmarkEnd w:id="23"/>
      <w:bookmarkEnd w:id="24"/>
    </w:p>
    <w:p w:rsidR="001548F9" w:rsidRPr="0045565B" w:rsidP="00D24622">
      <w:pPr>
        <w:autoSpaceDE w:val="0"/>
        <w:autoSpaceDN w:val="0"/>
        <w:adjustRightInd w:val="0"/>
        <w:spacing w:line="360" w:lineRule="auto"/>
        <w:jc w:val="left"/>
        <w:rPr>
          <w:rFonts w:eastAsiaTheme="minorEastAsia"/>
          <w:b/>
          <w:color w:val="000000"/>
          <w:kern w:val="0"/>
          <w:szCs w:val="21"/>
        </w:rPr>
      </w:pPr>
      <w:r w:rsidRPr="0045565B">
        <w:rPr>
          <w:rFonts w:eastAsiaTheme="minorEastAsia"/>
          <w:b/>
          <w:color w:val="000000"/>
          <w:kern w:val="0"/>
          <w:szCs w:val="21"/>
        </w:rPr>
        <w:t xml:space="preserve">4.3.1 </w:t>
      </w:r>
      <w:r w:rsidRPr="0045565B">
        <w:rPr>
          <w:rFonts w:eastAsiaTheme="minorEastAsia"/>
          <w:b/>
          <w:color w:val="000000"/>
          <w:kern w:val="0"/>
          <w:szCs w:val="21"/>
        </w:rPr>
        <w:t>公平交易制度的执行情况</w:t>
      </w:r>
    </w:p>
    <w:p>
      <w:pPr>
        <w:spacing w:line="360" w:lineRule="auto"/>
        <w:ind w:firstLine="420" w:firstLineChars="200"/>
        <w:rPr>
          <w:rFonts w:eastAsiaTheme="minorEastAsia"/>
          <w:color w:val="000000"/>
          <w:szCs w:val="21"/>
        </w:rPr>
      </w:pPr>
      <w:r>
        <w:rPr>
          <w:rFonts w:eastAsiaTheme="minorEastAsia"/>
          <w:color w:val="000000"/>
          <w:szCs w:val="21"/>
        </w:rPr>
        <w:t>报告期内，公司严格执行证监会《证券投资基金管理公司公平交易制度指导意见》和公司内部公平交易制度，各投资组合按投资管理制度和流程独立决策，并在获得投资信息、投资建议和实施投资决策方面享有公平的机会。公司通过完善交易范围内各类交易的公平交易执行细则、严格的流程控制、持续的技术改进，确保公平交易原则的实现。同时通过投资交易系统中的公平交易功能执行交易，以尽可能确保公平对待各投资组合。</w:t>
      </w:r>
    </w:p>
    <w:p w:rsidR="001548F9" w:rsidRPr="0045565B" w:rsidP="0045565B">
      <w:pPr>
        <w:spacing w:line="360" w:lineRule="auto"/>
        <w:ind w:firstLine="420" w:firstLineChars="200"/>
        <w:rPr>
          <w:rFonts w:eastAsiaTheme="minorEastAsia"/>
          <w:color w:val="000000"/>
          <w:szCs w:val="21"/>
        </w:rPr>
      </w:pPr>
      <w:r w:rsidRPr="0045565B">
        <w:rPr>
          <w:rFonts w:eastAsiaTheme="minorEastAsia"/>
          <w:color w:val="000000"/>
          <w:szCs w:val="21"/>
        </w:rPr>
        <w:t>报告期，公司对连续四个季度期间内、不同时间窗下（日内、3日内、5日内）公司管理的不同投资组合同向交易的交易价差进行分析，未发现违反公平交易制度的异常行为。</w:t>
      </w:r>
    </w:p>
    <w:p w:rsidR="001548F9" w:rsidRPr="0045565B" w:rsidP="0045565B">
      <w:pPr>
        <w:autoSpaceDE w:val="0"/>
        <w:autoSpaceDN w:val="0"/>
        <w:adjustRightInd w:val="0"/>
        <w:spacing w:before="312" w:beforeLines="100" w:line="360" w:lineRule="auto"/>
        <w:jc w:val="left"/>
        <w:rPr>
          <w:rFonts w:eastAsiaTheme="minorEastAsia"/>
          <w:b/>
          <w:color w:val="000000"/>
          <w:kern w:val="0"/>
          <w:szCs w:val="21"/>
        </w:rPr>
      </w:pPr>
      <w:r w:rsidRPr="0045565B">
        <w:rPr>
          <w:rFonts w:eastAsiaTheme="minorEastAsia"/>
          <w:b/>
          <w:color w:val="000000"/>
          <w:kern w:val="0"/>
          <w:szCs w:val="21"/>
        </w:rPr>
        <w:t xml:space="preserve">4.3.2 </w:t>
      </w:r>
      <w:r w:rsidRPr="0045565B">
        <w:rPr>
          <w:rFonts w:eastAsiaTheme="minorEastAsia"/>
          <w:b/>
          <w:color w:val="000000"/>
          <w:kern w:val="0"/>
          <w:szCs w:val="21"/>
        </w:rPr>
        <w:t>异常交易行为的专项说明</w:t>
      </w:r>
    </w:p>
    <w:p>
      <w:pPr>
        <w:spacing w:line="360" w:lineRule="auto"/>
        <w:ind w:firstLine="420" w:firstLineChars="200"/>
        <w:rPr>
          <w:rFonts w:eastAsiaTheme="minorEastAsia"/>
          <w:color w:val="000000"/>
          <w:szCs w:val="21"/>
        </w:rPr>
      </w:pPr>
      <w:r>
        <w:rPr>
          <w:rFonts w:eastAsiaTheme="minorEastAsia"/>
          <w:color w:val="000000"/>
          <w:szCs w:val="21"/>
        </w:rPr>
        <w:t>本报告期内，公司旗下所有投资组合参与的交易所公开竞价交易中，未出现同日反向交易成交较少的单边交易量超过该证券当日成交量的5%的情况。</w:t>
      </w:r>
    </w:p>
    <w:p w:rsidR="001548F9" w:rsidRPr="0045565B" w:rsidP="0045565B">
      <w:pPr>
        <w:spacing w:line="360" w:lineRule="auto"/>
        <w:ind w:firstLine="420" w:firstLineChars="200"/>
        <w:rPr>
          <w:rFonts w:eastAsiaTheme="minorEastAsia"/>
          <w:color w:val="000000"/>
          <w:szCs w:val="21"/>
        </w:rPr>
      </w:pPr>
      <w:r w:rsidRPr="0045565B">
        <w:rPr>
          <w:rFonts w:eastAsiaTheme="minorEastAsia"/>
          <w:color w:val="000000"/>
          <w:szCs w:val="21"/>
        </w:rPr>
        <w:t>本报告期内，未发现本基金有可能导致不公平交易和利益输送的异常交易。</w:t>
      </w:r>
    </w:p>
    <w:p w:rsidR="00C02A8F" w:rsidRPr="0045565B" w:rsidP="0045565B">
      <w:pPr>
        <w:pStyle w:val="Heading2"/>
        <w:spacing w:before="312" w:beforeLines="100" w:after="0"/>
        <w:rPr>
          <w:rFonts w:ascii="Times New Roman" w:hAnsi="Times New Roman" w:eastAsiaTheme="minorEastAsia"/>
          <w:kern w:val="0"/>
          <w:sz w:val="21"/>
          <w:szCs w:val="21"/>
        </w:rPr>
      </w:pPr>
      <w:bookmarkStart w:id="25" w:name="_Toc331410082"/>
      <w:bookmarkStart w:id="26" w:name="_Toc225498258"/>
      <w:r w:rsidRPr="0045565B">
        <w:rPr>
          <w:rFonts w:ascii="Times New Roman" w:hAnsi="Times New Roman" w:eastAsiaTheme="minorEastAsia"/>
          <w:kern w:val="0"/>
          <w:sz w:val="21"/>
          <w:szCs w:val="21"/>
        </w:rPr>
        <w:t xml:space="preserve">4.4 </w:t>
      </w:r>
      <w:r w:rsidRPr="0045565B">
        <w:rPr>
          <w:rFonts w:ascii="Times New Roman" w:hAnsi="Times New Roman" w:eastAsiaTheme="minorEastAsia"/>
          <w:kern w:val="0"/>
          <w:sz w:val="21"/>
          <w:szCs w:val="21"/>
        </w:rPr>
        <w:t>管理人对报告期内基金的投资策略和业绩表现的说明</w:t>
      </w:r>
      <w:bookmarkEnd w:id="25"/>
      <w:bookmarkEnd w:id="26"/>
    </w:p>
    <w:p w:rsidR="00C02A8F" w:rsidRPr="0045565B" w:rsidP="00D24622">
      <w:pPr>
        <w:spacing w:line="360" w:lineRule="auto"/>
        <w:rPr>
          <w:rFonts w:eastAsiaTheme="minorEastAsia"/>
          <w:b/>
          <w:szCs w:val="21"/>
        </w:rPr>
      </w:pPr>
      <w:r w:rsidRPr="0045565B">
        <w:rPr>
          <w:rFonts w:eastAsiaTheme="minorEastAsia"/>
          <w:b/>
          <w:szCs w:val="21"/>
        </w:rPr>
        <w:t>4.4.1</w:t>
      </w:r>
      <w:r w:rsidRPr="0045565B">
        <w:rPr>
          <w:rFonts w:eastAsiaTheme="minorEastAsia"/>
          <w:b/>
          <w:szCs w:val="21"/>
        </w:rPr>
        <w:t>报告期内基金投资策略和运作分析</w:t>
      </w:r>
    </w:p>
    <w:p>
      <w:pPr>
        <w:spacing w:line="360" w:lineRule="auto"/>
        <w:ind w:firstLine="420" w:firstLineChars="200"/>
        <w:rPr>
          <w:rFonts w:eastAsiaTheme="minorEastAsia"/>
          <w:color w:val="000000"/>
          <w:szCs w:val="21"/>
        </w:rPr>
      </w:pPr>
      <w:r>
        <w:rPr>
          <w:rFonts w:eastAsiaTheme="minorEastAsia"/>
          <w:color w:val="000000"/>
          <w:szCs w:val="21"/>
        </w:rPr>
        <w:t>回顾2019年上半年，宏观逆周期调节的各项政策逐渐落地，推动市场在一季度以快速上涨方式修复去年的悲观预期，使整体估值得到一定回升。随后，中美贸易谈判再起波折，国内进一步实施金融行业去杠杆，权益市场随之有所调整。但应该看到市场积极的因素在增多。例如，海外资金持续流入，配置中国具有全球竞争力的消费和制造型企业。以科创板为代表的证券市场的改革不断落地，促进了直接融资方式服务实体经济。宏观经济运行数据整体健康，市场信心好于去年四季度的悲观状况。</w:t>
      </w:r>
    </w:p>
    <w:p>
      <w:pPr>
        <w:spacing w:line="360" w:lineRule="auto"/>
        <w:ind w:firstLine="420" w:firstLineChars="200"/>
        <w:rPr>
          <w:rFonts w:eastAsiaTheme="minorEastAsia"/>
          <w:color w:val="000000"/>
          <w:szCs w:val="21"/>
        </w:rPr>
      </w:pPr>
      <w:r>
        <w:rPr>
          <w:rFonts w:eastAsiaTheme="minorEastAsia"/>
          <w:color w:val="000000"/>
          <w:szCs w:val="21"/>
        </w:rPr>
        <w:t>上半年市场综合表现方面，上证综指上涨19.4%，深成指上涨26.8%，中小板指数上涨20.7%，创业板指数上涨20.9%。行业表现上，食品饮料、非银行金融、农业、家电、计算机板块涨幅居前，建筑、传媒、汽车、钢铁、纺织服装涨幅表现居后。</w:t>
      </w:r>
    </w:p>
    <w:p w:rsidR="001548F9" w:rsidRPr="0045565B" w:rsidP="0045565B">
      <w:pPr>
        <w:spacing w:line="360" w:lineRule="auto"/>
        <w:ind w:firstLine="420" w:firstLineChars="200"/>
        <w:rPr>
          <w:rFonts w:eastAsiaTheme="minorEastAsia"/>
          <w:color w:val="000000"/>
          <w:szCs w:val="21"/>
        </w:rPr>
      </w:pPr>
      <w:r w:rsidRPr="0045565B">
        <w:rPr>
          <w:rFonts w:eastAsiaTheme="minorEastAsia"/>
          <w:color w:val="000000"/>
          <w:szCs w:val="21"/>
        </w:rPr>
        <w:t>本基金重点围绕医疗信息化、创新药、 生物药、器械和医疗服务等细分景气行业择优配置。</w:t>
      </w:r>
    </w:p>
    <w:p w:rsidR="001548F9" w:rsidRPr="0045565B" w:rsidP="0045565B">
      <w:pPr>
        <w:autoSpaceDE w:val="0"/>
        <w:autoSpaceDN w:val="0"/>
        <w:adjustRightInd w:val="0"/>
        <w:spacing w:before="312" w:beforeLines="100" w:line="360" w:lineRule="auto"/>
        <w:jc w:val="left"/>
        <w:rPr>
          <w:rFonts w:eastAsiaTheme="minorEastAsia"/>
          <w:b/>
          <w:szCs w:val="21"/>
        </w:rPr>
      </w:pPr>
      <w:r w:rsidRPr="0045565B">
        <w:rPr>
          <w:rFonts w:eastAsiaTheme="minorEastAsia"/>
          <w:b/>
          <w:szCs w:val="21"/>
        </w:rPr>
        <w:t xml:space="preserve">4.4.2 </w:t>
      </w:r>
      <w:r w:rsidRPr="0045565B">
        <w:rPr>
          <w:rFonts w:eastAsiaTheme="minorEastAsia"/>
          <w:b/>
          <w:szCs w:val="21"/>
        </w:rPr>
        <w:t>报告期内基金的业绩表现</w:t>
      </w:r>
    </w:p>
    <w:p w:rsidR="001548F9" w:rsidRPr="0045565B" w:rsidP="0045565B">
      <w:pPr>
        <w:spacing w:line="360" w:lineRule="auto"/>
        <w:ind w:firstLine="420" w:firstLineChars="200"/>
        <w:rPr>
          <w:rFonts w:eastAsiaTheme="minorEastAsia"/>
          <w:color w:val="000000"/>
          <w:szCs w:val="21"/>
        </w:rPr>
      </w:pPr>
      <w:r w:rsidRPr="0045565B">
        <w:rPr>
          <w:rFonts w:eastAsiaTheme="minorEastAsia"/>
          <w:color w:val="000000"/>
          <w:szCs w:val="21"/>
        </w:rPr>
        <w:t>截至2019年6月30日，基金A类份额净值为1.0649元，本报告期份额净值增长率为23.61%，同期业绩比较基准增长率为14.45%。C类基金份额净值为1.1203元，本报告期份额净值增长率22.93% ，同期业绩比较基准增长率为14.45%。</w:t>
      </w:r>
    </w:p>
    <w:p w:rsidR="001548F9" w:rsidRPr="0045565B" w:rsidP="0045565B">
      <w:pPr>
        <w:pStyle w:val="Heading2"/>
        <w:spacing w:before="312" w:beforeLines="100" w:after="0"/>
        <w:rPr>
          <w:rFonts w:ascii="Times New Roman" w:hAnsi="Times New Roman" w:eastAsiaTheme="minorEastAsia"/>
          <w:kern w:val="0"/>
          <w:sz w:val="21"/>
          <w:szCs w:val="21"/>
        </w:rPr>
      </w:pPr>
      <w:bookmarkStart w:id="27" w:name="_Toc331410083"/>
      <w:bookmarkStart w:id="28" w:name="_Toc225498259"/>
      <w:r w:rsidRPr="0045565B">
        <w:rPr>
          <w:rFonts w:ascii="Times New Roman" w:hAnsi="Times New Roman" w:eastAsiaTheme="minorEastAsia"/>
          <w:kern w:val="0"/>
          <w:sz w:val="21"/>
          <w:szCs w:val="21"/>
        </w:rPr>
        <w:t xml:space="preserve">4.5 </w:t>
      </w:r>
      <w:r w:rsidRPr="0045565B">
        <w:rPr>
          <w:rFonts w:ascii="Times New Roman" w:hAnsi="Times New Roman" w:eastAsiaTheme="minorEastAsia"/>
          <w:kern w:val="0"/>
          <w:sz w:val="21"/>
          <w:szCs w:val="21"/>
        </w:rPr>
        <w:t>管理人对宏观经济、证券市场及行业走势的简要展望</w:t>
      </w:r>
      <w:bookmarkEnd w:id="27"/>
      <w:bookmarkEnd w:id="28"/>
    </w:p>
    <w:p>
      <w:pPr>
        <w:spacing w:line="360" w:lineRule="auto"/>
        <w:ind w:firstLine="420" w:firstLineChars="200"/>
        <w:rPr>
          <w:rFonts w:eastAsiaTheme="minorEastAsia"/>
          <w:color w:val="000000"/>
          <w:szCs w:val="21"/>
        </w:rPr>
      </w:pPr>
      <w:r>
        <w:rPr>
          <w:rFonts w:eastAsiaTheme="minorEastAsia"/>
          <w:color w:val="000000"/>
          <w:szCs w:val="21"/>
        </w:rPr>
        <w:t>展望下半年，继续关注中美贸易谈判和国内稳定经济和信心的政策措施。美国经济增长显现放缓态势，释放出货币转向宽松的信号，这为国内政策调整提供了更多空间。国内经济虽有下行压力，但预计逆周期调节仍将适时发挥作用。随着刚兑的打破，市场广谱利率出现下降。中期而言，当前国内稳杠杆的措施有助于金融更好有效服务实体经济，助力经济更加持续健康发展。这些积极因素都提升了权益市场的吸引力。</w:t>
      </w:r>
    </w:p>
    <w:p w:rsidR="001548F9" w:rsidRPr="0045565B" w:rsidP="0045565B">
      <w:pPr>
        <w:spacing w:line="360" w:lineRule="auto"/>
        <w:ind w:firstLine="420" w:firstLineChars="200"/>
        <w:rPr>
          <w:rFonts w:eastAsiaTheme="minorEastAsia"/>
          <w:color w:val="000000"/>
          <w:szCs w:val="21"/>
        </w:rPr>
      </w:pPr>
      <w:r w:rsidRPr="0045565B">
        <w:rPr>
          <w:rFonts w:eastAsiaTheme="minorEastAsia"/>
          <w:color w:val="000000"/>
          <w:szCs w:val="21"/>
        </w:rPr>
        <w:t>本基金将继续围绕医疗健康消费升级、产业升级、创新崛起的投资方向，精选优质公司，努力为基金持有人创造更好的回报。</w:t>
      </w:r>
    </w:p>
    <w:p w:rsidR="001548F9" w:rsidRPr="0045565B" w:rsidP="0045565B">
      <w:pPr>
        <w:pStyle w:val="Heading2"/>
        <w:spacing w:before="312" w:beforeLines="100" w:after="0"/>
        <w:rPr>
          <w:rFonts w:ascii="Times New Roman" w:hAnsi="Times New Roman" w:eastAsiaTheme="minorEastAsia"/>
          <w:kern w:val="0"/>
          <w:sz w:val="21"/>
          <w:szCs w:val="21"/>
        </w:rPr>
      </w:pPr>
      <w:bookmarkStart w:id="29" w:name="_Toc331410085"/>
      <w:bookmarkStart w:id="30" w:name="_Toc247959457"/>
      <w:bookmarkStart w:id="31" w:name="_Toc225570083"/>
      <w:r w:rsidRPr="0045565B">
        <w:rPr>
          <w:rFonts w:ascii="Times New Roman" w:hAnsi="Times New Roman" w:eastAsiaTheme="minorEastAsia"/>
          <w:kern w:val="0"/>
          <w:sz w:val="21"/>
          <w:szCs w:val="21"/>
        </w:rPr>
        <w:t xml:space="preserve">4.6 </w:t>
      </w:r>
      <w:r w:rsidRPr="0045565B">
        <w:rPr>
          <w:rFonts w:ascii="Times New Roman" w:hAnsi="Times New Roman" w:eastAsiaTheme="minorEastAsia"/>
          <w:kern w:val="0"/>
          <w:sz w:val="21"/>
          <w:szCs w:val="21"/>
        </w:rPr>
        <w:t>管理人对报告期内基金估值程序等事项的说明</w:t>
      </w:r>
      <w:bookmarkEnd w:id="29"/>
      <w:bookmarkEnd w:id="30"/>
      <w:bookmarkEnd w:id="31"/>
    </w:p>
    <w:p>
      <w:pPr>
        <w:spacing w:line="360" w:lineRule="auto"/>
        <w:ind w:firstLine="420" w:firstLineChars="200"/>
        <w:rPr>
          <w:rFonts w:eastAsiaTheme="minorEastAsia"/>
          <w:color w:val="000000"/>
          <w:szCs w:val="21"/>
        </w:rPr>
      </w:pPr>
      <w:r>
        <w:rPr>
          <w:rFonts w:eastAsiaTheme="minorEastAsia"/>
          <w:color w:val="000000"/>
          <w:szCs w:val="21"/>
        </w:rPr>
        <w:t>本基金管理人按照企业会计准则、中国证监会相关规定和基金合同关于估值的约定，对基金所持有的投资品种进行估值。本基金托管人根据法律法规要求履行估值及净值计算的复核责任。</w:t>
      </w:r>
    </w:p>
    <w:p>
      <w:pPr>
        <w:spacing w:line="360" w:lineRule="auto"/>
        <w:ind w:firstLine="420" w:firstLineChars="200"/>
        <w:rPr>
          <w:rFonts w:eastAsiaTheme="minorEastAsia"/>
          <w:color w:val="000000"/>
          <w:szCs w:val="21"/>
        </w:rPr>
      </w:pPr>
      <w:r>
        <w:rPr>
          <w:rFonts w:eastAsiaTheme="minorEastAsia"/>
          <w:color w:val="000000"/>
          <w:szCs w:val="21"/>
        </w:rPr>
        <w:t>本基金管理人设有估值委员会，估值委员会由基金估值业务分管领导、督察长、基金估值核算负责人、基金会计、合规风控部人员及相关投研人员等组成。在特殊情况下，公司召集估值委员会会议，讨论和决策特殊估值事项，估值委员会集体决策，需到会的三分之二估值委员会成员表决通过。估值委员会负责组织制定和适时修订基金估值政策和程序，指导和监督整个估值流程。以上所有相关人员具备较高的专业能力和丰富的行业从业经验。为保证基金估值的客观独立，基金经理、投资经理可参与估值原则和方法的讨论，但不参与估值原则和方法的最终决策和日常估值的执行，一切以维护基金持有人利益为准则。</w:t>
      </w:r>
    </w:p>
    <w:p>
      <w:pPr>
        <w:spacing w:line="360" w:lineRule="auto"/>
        <w:ind w:firstLine="420" w:firstLineChars="200"/>
        <w:rPr>
          <w:rFonts w:eastAsiaTheme="minorEastAsia"/>
          <w:color w:val="000000"/>
          <w:szCs w:val="21"/>
        </w:rPr>
      </w:pPr>
      <w:r>
        <w:rPr>
          <w:rFonts w:eastAsiaTheme="minorEastAsia"/>
          <w:color w:val="000000"/>
          <w:szCs w:val="21"/>
        </w:rPr>
        <w:t xml:space="preserve">本报告期内，参与估值流程各方之间不存在任何重大利益冲突。 </w:t>
      </w:r>
    </w:p>
    <w:p w:rsidR="001548F9" w:rsidRPr="0045565B" w:rsidP="0045565B">
      <w:pPr>
        <w:spacing w:line="360" w:lineRule="auto"/>
        <w:ind w:firstLine="420" w:firstLineChars="200"/>
        <w:rPr>
          <w:rFonts w:eastAsiaTheme="minorEastAsia"/>
          <w:color w:val="000000"/>
          <w:szCs w:val="21"/>
        </w:rPr>
      </w:pPr>
      <w:r w:rsidRPr="0045565B">
        <w:rPr>
          <w:rFonts w:eastAsiaTheme="minorEastAsia"/>
          <w:color w:val="000000"/>
          <w:szCs w:val="21"/>
        </w:rPr>
        <w:t>本基金管理人已与中央国债登记结算有限责任公司、中债金融估值中心有限公司及中证指数有限公司签署服务协议，由其按约定分别提供银行间同业市场债券品种的估值数据及交易所交易的债券品种的估值数据、流通受限股票流动性折扣。</w:t>
      </w:r>
    </w:p>
    <w:p w:rsidR="001548F9" w:rsidRPr="0045565B" w:rsidP="0045565B">
      <w:pPr>
        <w:pStyle w:val="Heading2"/>
        <w:spacing w:before="312" w:beforeLines="100" w:after="0"/>
        <w:rPr>
          <w:rFonts w:ascii="Times New Roman" w:hAnsi="Times New Roman" w:eastAsiaTheme="minorEastAsia"/>
          <w:kern w:val="0"/>
          <w:sz w:val="21"/>
          <w:szCs w:val="21"/>
        </w:rPr>
      </w:pPr>
      <w:bookmarkStart w:id="32" w:name="_Toc331410086"/>
      <w:bookmarkStart w:id="33" w:name="_Toc247959458"/>
      <w:bookmarkStart w:id="34" w:name="_Toc225570084"/>
      <w:r w:rsidRPr="0045565B">
        <w:rPr>
          <w:rFonts w:ascii="Times New Roman" w:hAnsi="Times New Roman" w:eastAsiaTheme="minorEastAsia"/>
          <w:kern w:val="0"/>
          <w:sz w:val="21"/>
          <w:szCs w:val="21"/>
        </w:rPr>
        <w:t xml:space="preserve">4.7 </w:t>
      </w:r>
      <w:r w:rsidRPr="0045565B">
        <w:rPr>
          <w:rFonts w:ascii="Times New Roman" w:hAnsi="Times New Roman" w:eastAsiaTheme="minorEastAsia"/>
          <w:kern w:val="0"/>
          <w:sz w:val="21"/>
          <w:szCs w:val="21"/>
        </w:rPr>
        <w:t>管理人对报告期内基金利润分配情况的说明</w:t>
      </w:r>
      <w:bookmarkEnd w:id="32"/>
      <w:bookmarkEnd w:id="33"/>
      <w:bookmarkEnd w:id="34"/>
    </w:p>
    <w:p w:rsidR="001548F9" w:rsidP="00D24622">
      <w:pPr>
        <w:spacing w:line="360" w:lineRule="auto"/>
        <w:ind w:firstLine="420" w:firstLineChars="200"/>
        <w:rPr>
          <w:rFonts w:eastAsiaTheme="minorEastAsia"/>
          <w:color w:val="000000"/>
          <w:szCs w:val="21"/>
        </w:rPr>
      </w:pPr>
      <w:r w:rsidRPr="0045565B">
        <w:rPr>
          <w:rFonts w:eastAsiaTheme="minorEastAsia"/>
          <w:color w:val="000000"/>
          <w:szCs w:val="21"/>
        </w:rPr>
        <w:t>本基金报告期内未进行利润分配。</w:t>
      </w:r>
    </w:p>
    <w:p w:rsidR="008D4738" w:rsidRPr="00C56D9D" w:rsidP="002F3CF2">
      <w:pPr>
        <w:pStyle w:val="Heading2"/>
        <w:spacing w:before="312" w:beforeLines="100" w:after="0"/>
        <w:rPr>
          <w:rFonts w:eastAsiaTheme="minorEastAsia"/>
          <w:color w:val="000000" w:themeColor="text1"/>
          <w:szCs w:val="21"/>
        </w:rPr>
      </w:pPr>
      <w:r w:rsidRPr="002F3CF2">
        <w:rPr>
          <w:rFonts w:ascii="Times New Roman" w:hAnsi="Times New Roman" w:eastAsiaTheme="minorEastAsia" w:hint="eastAsia"/>
          <w:kern w:val="0"/>
          <w:sz w:val="21"/>
          <w:szCs w:val="21"/>
        </w:rPr>
        <w:t xml:space="preserve">4.8 </w:t>
      </w:r>
      <w:r w:rsidRPr="002F3CF2">
        <w:rPr>
          <w:rFonts w:ascii="Times New Roman" w:hAnsi="Times New Roman" w:eastAsiaTheme="minorEastAsia" w:hint="eastAsia"/>
          <w:kern w:val="0"/>
          <w:sz w:val="21"/>
          <w:szCs w:val="21"/>
        </w:rPr>
        <w:t>报告期内管理人对本基金持有人数或基金资产净值预警情形的说明</w:t>
      </w:r>
    </w:p>
    <w:p w:rsidR="008D4738" w:rsidRPr="0045565B" w:rsidP="008D4738">
      <w:pPr>
        <w:spacing w:line="360" w:lineRule="auto"/>
        <w:ind w:firstLine="420" w:firstLineChars="200"/>
        <w:rPr>
          <w:rFonts w:eastAsiaTheme="minorEastAsia"/>
          <w:color w:val="000000"/>
          <w:szCs w:val="21"/>
        </w:rPr>
      </w:pPr>
      <w:r w:rsidRPr="00C56D9D">
        <w:rPr>
          <w:rFonts w:eastAsiaTheme="minorEastAsia"/>
          <w:color w:val="000000" w:themeColor="text1"/>
          <w:kern w:val="0"/>
          <w:szCs w:val="21"/>
        </w:rPr>
        <w:t>报告期内，本基金资产净值已发生连续超过60个工作日低于5000万元的情形，本基金管理人已按法规要求向证监会报送解决方案。</w:t>
      </w:r>
    </w:p>
    <w:p w:rsidR="001548F9" w:rsidRPr="0045565B" w:rsidP="0025572E">
      <w:pPr>
        <w:pStyle w:val="Heading1"/>
        <w:keepNext/>
        <w:keepLines/>
        <w:widowControl w:val="0"/>
        <w:spacing w:before="312" w:beforeLines="100" w:after="312" w:afterLines="100" w:line="360" w:lineRule="auto"/>
        <w:jc w:val="center"/>
        <w:rPr>
          <w:rFonts w:eastAsiaTheme="minorEastAsia"/>
          <w:b/>
          <w:bCs/>
          <w:sz w:val="21"/>
          <w:szCs w:val="21"/>
          <w:lang w:val="en-US"/>
        </w:rPr>
      </w:pPr>
      <w:bookmarkStart w:id="35" w:name="_Toc331410088"/>
      <w:bookmarkStart w:id="36" w:name="_Toc225498263"/>
      <w:r w:rsidRPr="0045565B">
        <w:rPr>
          <w:rFonts w:eastAsiaTheme="minorEastAsia"/>
          <w:b/>
          <w:bCs/>
          <w:sz w:val="21"/>
          <w:szCs w:val="21"/>
          <w:lang w:val="en-US"/>
        </w:rPr>
        <w:t xml:space="preserve">5  </w:t>
      </w:r>
      <w:r w:rsidRPr="0045565B">
        <w:rPr>
          <w:rFonts w:eastAsiaTheme="minorEastAsia"/>
          <w:b/>
          <w:bCs/>
          <w:sz w:val="21"/>
          <w:szCs w:val="21"/>
          <w:lang w:val="en-US"/>
        </w:rPr>
        <w:t>托管人报告</w:t>
      </w:r>
      <w:bookmarkEnd w:id="35"/>
      <w:bookmarkEnd w:id="36"/>
    </w:p>
    <w:p w:rsidR="001548F9" w:rsidRPr="0045565B" w:rsidP="00D24622">
      <w:pPr>
        <w:pStyle w:val="Heading2"/>
        <w:spacing w:before="0" w:after="0"/>
        <w:rPr>
          <w:rFonts w:ascii="Times New Roman" w:hAnsi="Times New Roman" w:eastAsiaTheme="minorEastAsia"/>
          <w:kern w:val="0"/>
          <w:sz w:val="21"/>
          <w:szCs w:val="21"/>
        </w:rPr>
      </w:pPr>
      <w:bookmarkStart w:id="37" w:name="_Toc331410089"/>
      <w:bookmarkStart w:id="38" w:name="_Toc225498264"/>
      <w:r w:rsidRPr="0045565B">
        <w:rPr>
          <w:rFonts w:ascii="Times New Roman" w:hAnsi="Times New Roman" w:eastAsiaTheme="minorEastAsia"/>
          <w:kern w:val="0"/>
          <w:sz w:val="21"/>
          <w:szCs w:val="21"/>
        </w:rPr>
        <w:t xml:space="preserve">5.1 </w:t>
      </w:r>
      <w:r w:rsidRPr="0045565B">
        <w:rPr>
          <w:rFonts w:ascii="Times New Roman" w:hAnsi="Times New Roman" w:eastAsiaTheme="minorEastAsia"/>
          <w:kern w:val="0"/>
          <w:sz w:val="21"/>
          <w:szCs w:val="21"/>
        </w:rPr>
        <w:t>报告期内本基金托管人遵规守信情况声明</w:t>
      </w:r>
      <w:bookmarkEnd w:id="37"/>
      <w:bookmarkEnd w:id="38"/>
    </w:p>
    <w:p w:rsidR="001548F9" w:rsidRPr="0045565B" w:rsidP="0045565B">
      <w:pPr>
        <w:spacing w:line="360" w:lineRule="auto"/>
        <w:ind w:firstLine="420" w:firstLineChars="200"/>
        <w:rPr>
          <w:rFonts w:eastAsiaTheme="minorEastAsia"/>
          <w:color w:val="000000"/>
          <w:szCs w:val="21"/>
        </w:rPr>
      </w:pPr>
      <w:r w:rsidRPr="0045565B">
        <w:rPr>
          <w:rFonts w:eastAsiaTheme="minorEastAsia"/>
          <w:color w:val="000000"/>
          <w:szCs w:val="21"/>
        </w:rPr>
        <w:t>2019年上半年，基金托管人在金鹰医疗健康产业股票型证券投资基金的托管过程中，严格遵守了《证券投资基金法》及其他有关法律法规、基金合同、托管协议，尽职尽责地履行了托管人应尽的义务，不存在任何损害基金持有人利益的行为。</w:t>
      </w:r>
    </w:p>
    <w:p w:rsidR="001548F9" w:rsidRPr="0045565B" w:rsidP="0045565B">
      <w:pPr>
        <w:pStyle w:val="Heading2"/>
        <w:spacing w:before="312" w:beforeLines="100" w:after="0"/>
        <w:rPr>
          <w:rFonts w:ascii="Times New Roman" w:hAnsi="Times New Roman" w:eastAsiaTheme="minorEastAsia"/>
          <w:kern w:val="0"/>
          <w:sz w:val="21"/>
          <w:szCs w:val="21"/>
        </w:rPr>
      </w:pPr>
      <w:bookmarkStart w:id="39" w:name="_Toc225498265"/>
      <w:bookmarkStart w:id="40" w:name="_Toc331410090"/>
      <w:r w:rsidRPr="0045565B">
        <w:rPr>
          <w:rFonts w:ascii="Times New Roman" w:hAnsi="Times New Roman" w:eastAsiaTheme="minorEastAsia"/>
          <w:kern w:val="0"/>
          <w:sz w:val="21"/>
          <w:szCs w:val="21"/>
        </w:rPr>
        <w:t xml:space="preserve">5.2 </w:t>
      </w:r>
      <w:r w:rsidRPr="0045565B">
        <w:rPr>
          <w:rFonts w:ascii="Times New Roman" w:hAnsi="Times New Roman" w:eastAsiaTheme="minorEastAsia"/>
          <w:kern w:val="0"/>
          <w:sz w:val="21"/>
          <w:szCs w:val="21"/>
        </w:rPr>
        <w:t>托管人对报告期内本基金投资运作遵规守信、净值计算、利润分配等情况的</w:t>
      </w:r>
      <w:bookmarkEnd w:id="39"/>
      <w:r w:rsidRPr="0045565B">
        <w:rPr>
          <w:rFonts w:ascii="Times New Roman" w:hAnsi="Times New Roman" w:eastAsiaTheme="minorEastAsia"/>
          <w:kern w:val="0"/>
          <w:sz w:val="21"/>
          <w:szCs w:val="21"/>
        </w:rPr>
        <w:t>说明</w:t>
      </w:r>
      <w:bookmarkEnd w:id="40"/>
    </w:p>
    <w:p>
      <w:pPr>
        <w:spacing w:line="360" w:lineRule="auto"/>
        <w:ind w:firstLine="420" w:firstLineChars="200"/>
        <w:rPr>
          <w:rFonts w:eastAsiaTheme="minorEastAsia"/>
          <w:color w:val="000000"/>
          <w:szCs w:val="21"/>
        </w:rPr>
      </w:pPr>
      <w:r>
        <w:rPr>
          <w:rFonts w:eastAsiaTheme="minorEastAsia"/>
          <w:color w:val="000000"/>
          <w:szCs w:val="21"/>
        </w:rPr>
        <w:t>2019年上半年，金鹰基金管理有限公司在金鹰医疗健康产业股票型证券投资基金投资运作、基金资产净值的计算、基金份额申购赎回价格的计算、基金费用开支等问题上，托管人未发现损害基金持有人利益的行为。</w:t>
      </w:r>
    </w:p>
    <w:p w:rsidR="001548F9" w:rsidRPr="0045565B" w:rsidP="0045565B">
      <w:pPr>
        <w:spacing w:line="360" w:lineRule="auto"/>
        <w:ind w:firstLine="420" w:firstLineChars="200"/>
        <w:rPr>
          <w:rFonts w:eastAsiaTheme="minorEastAsia"/>
          <w:color w:val="000000"/>
          <w:szCs w:val="21"/>
        </w:rPr>
      </w:pPr>
      <w:r w:rsidRPr="0045565B">
        <w:rPr>
          <w:rFonts w:eastAsiaTheme="minorEastAsia"/>
          <w:color w:val="000000"/>
          <w:szCs w:val="21"/>
        </w:rPr>
        <w:t>本报告期内本基金未进行收益分配，符合基金合同的规定。</w:t>
      </w:r>
    </w:p>
    <w:p w:rsidR="001548F9" w:rsidRPr="0045565B" w:rsidP="0045565B">
      <w:pPr>
        <w:pStyle w:val="Heading2"/>
        <w:spacing w:before="312" w:beforeLines="100" w:after="0"/>
        <w:rPr>
          <w:rFonts w:ascii="Times New Roman" w:hAnsi="Times New Roman" w:eastAsiaTheme="minorEastAsia"/>
          <w:kern w:val="0"/>
          <w:sz w:val="21"/>
          <w:szCs w:val="21"/>
        </w:rPr>
      </w:pPr>
      <w:bookmarkStart w:id="41" w:name="_Toc331410091"/>
      <w:bookmarkStart w:id="42" w:name="_Toc225498266"/>
      <w:r w:rsidRPr="0045565B">
        <w:rPr>
          <w:rFonts w:ascii="Times New Roman" w:hAnsi="Times New Roman" w:eastAsiaTheme="minorEastAsia"/>
          <w:kern w:val="0"/>
          <w:sz w:val="21"/>
          <w:szCs w:val="21"/>
        </w:rPr>
        <w:t xml:space="preserve">5.3 </w:t>
      </w:r>
      <w:r w:rsidRPr="0045565B">
        <w:rPr>
          <w:rFonts w:ascii="Times New Roman" w:hAnsi="Times New Roman" w:eastAsiaTheme="minorEastAsia"/>
          <w:kern w:val="0"/>
          <w:sz w:val="21"/>
          <w:szCs w:val="21"/>
        </w:rPr>
        <w:t>托管人对本半年度报告中财务信息等内容的真实、准确和完整发表意见</w:t>
      </w:r>
      <w:bookmarkEnd w:id="41"/>
      <w:bookmarkEnd w:id="42"/>
    </w:p>
    <w:p w:rsidR="001548F9" w:rsidRPr="0045565B" w:rsidP="00D24622">
      <w:pPr>
        <w:spacing w:line="360" w:lineRule="auto"/>
        <w:ind w:firstLine="420" w:firstLineChars="200"/>
        <w:rPr>
          <w:rFonts w:eastAsiaTheme="minorEastAsia"/>
          <w:color w:val="000000"/>
          <w:szCs w:val="21"/>
        </w:rPr>
      </w:pPr>
      <w:r w:rsidRPr="0045565B">
        <w:rPr>
          <w:rFonts w:eastAsiaTheme="minorEastAsia"/>
          <w:color w:val="000000"/>
          <w:szCs w:val="21"/>
        </w:rPr>
        <w:t>2019年上半年，由金鹰基金管理有限公司编制并经托管人复核审查的有关金鹰医疗健康产业股票型证券投资基金的半年度报告中财务指标、净值表现、收益分配情况、财务会计报告相关内容、投资组合报告等内容真实、准确、完整。</w:t>
      </w:r>
    </w:p>
    <w:p w:rsidR="001548F9" w:rsidRPr="0045565B" w:rsidP="0025572E">
      <w:pPr>
        <w:pStyle w:val="Heading1"/>
        <w:keepNext/>
        <w:keepLines/>
        <w:widowControl w:val="0"/>
        <w:spacing w:before="312" w:beforeLines="100" w:after="312" w:afterLines="100" w:line="360" w:lineRule="auto"/>
        <w:jc w:val="center"/>
        <w:rPr>
          <w:rFonts w:eastAsiaTheme="minorEastAsia"/>
          <w:b/>
          <w:bCs/>
          <w:sz w:val="21"/>
          <w:szCs w:val="21"/>
          <w:lang w:val="en-US"/>
        </w:rPr>
      </w:pPr>
      <w:bookmarkStart w:id="43" w:name="_Toc331410096"/>
      <w:r w:rsidRPr="0045565B">
        <w:rPr>
          <w:rFonts w:eastAsiaTheme="minorEastAsia"/>
          <w:b/>
          <w:bCs/>
          <w:sz w:val="21"/>
          <w:szCs w:val="21"/>
          <w:lang w:val="en-US"/>
        </w:rPr>
        <w:t>6</w:t>
      </w:r>
      <w:bookmarkEnd w:id="43"/>
      <w:r w:rsidRPr="0045565B">
        <w:rPr>
          <w:rFonts w:eastAsiaTheme="minorEastAsia"/>
          <w:b/>
          <w:bCs/>
          <w:sz w:val="21"/>
          <w:szCs w:val="21"/>
          <w:lang w:val="en-US"/>
        </w:rPr>
        <w:tab/>
      </w:r>
      <w:r w:rsidRPr="0045565B">
        <w:rPr>
          <w:rFonts w:eastAsiaTheme="minorEastAsia"/>
          <w:b/>
          <w:bCs/>
          <w:sz w:val="21"/>
          <w:szCs w:val="21"/>
          <w:lang w:val="en-US"/>
        </w:rPr>
        <w:t>半年度财务会计报告（未经审计）</w:t>
      </w:r>
    </w:p>
    <w:p w:rsidR="001548F9" w:rsidRPr="0045565B" w:rsidP="00D24622">
      <w:pPr>
        <w:pStyle w:val="Heading2"/>
        <w:spacing w:before="0" w:after="0"/>
        <w:rPr>
          <w:rFonts w:ascii="Times New Roman" w:hAnsi="Times New Roman" w:eastAsiaTheme="minorEastAsia"/>
          <w:kern w:val="0"/>
          <w:sz w:val="21"/>
          <w:szCs w:val="21"/>
        </w:rPr>
      </w:pPr>
      <w:bookmarkStart w:id="44" w:name="_Toc331410097"/>
      <w:bookmarkStart w:id="45" w:name="_Toc225498268"/>
      <w:r w:rsidRPr="0045565B">
        <w:rPr>
          <w:rFonts w:ascii="Times New Roman" w:hAnsi="Times New Roman" w:eastAsiaTheme="minorEastAsia"/>
          <w:kern w:val="0"/>
          <w:sz w:val="21"/>
          <w:szCs w:val="21"/>
        </w:rPr>
        <w:t xml:space="preserve">6.1 </w:t>
      </w:r>
      <w:r w:rsidRPr="0045565B">
        <w:rPr>
          <w:rFonts w:ascii="Times New Roman" w:hAnsi="Times New Roman" w:eastAsiaTheme="minorEastAsia"/>
          <w:kern w:val="0"/>
          <w:sz w:val="21"/>
          <w:szCs w:val="21"/>
        </w:rPr>
        <w:t>资产负债表</w:t>
      </w:r>
      <w:bookmarkEnd w:id="44"/>
      <w:bookmarkEnd w:id="45"/>
    </w:p>
    <w:p w:rsidR="001548F9" w:rsidRPr="0045565B" w:rsidP="00D24622">
      <w:pPr>
        <w:spacing w:line="360" w:lineRule="auto"/>
        <w:rPr>
          <w:rFonts w:eastAsiaTheme="minorEastAsia"/>
          <w:color w:val="000000"/>
          <w:szCs w:val="21"/>
        </w:rPr>
      </w:pPr>
      <w:r w:rsidRPr="0045565B">
        <w:rPr>
          <w:rFonts w:eastAsiaTheme="minorEastAsia"/>
          <w:color w:val="000000"/>
          <w:szCs w:val="21"/>
        </w:rPr>
        <w:t>会计主体：</w:t>
      </w:r>
      <w:r w:rsidRPr="0045565B">
        <w:rPr>
          <w:rFonts w:eastAsiaTheme="minorEastAsia"/>
          <w:color w:val="000000"/>
          <w:szCs w:val="21"/>
        </w:rPr>
        <w:t>金鹰医疗健康产业股票型证券投资基金</w:t>
      </w:r>
    </w:p>
    <w:p w:rsidR="001548F9" w:rsidRPr="0045565B" w:rsidP="00D24622">
      <w:pPr>
        <w:spacing w:line="360" w:lineRule="auto"/>
        <w:rPr>
          <w:rFonts w:eastAsiaTheme="minorEastAsia"/>
          <w:color w:val="000000"/>
          <w:szCs w:val="21"/>
        </w:rPr>
      </w:pPr>
      <w:r w:rsidRPr="0045565B">
        <w:rPr>
          <w:rFonts w:eastAsiaTheme="minorEastAsia"/>
          <w:color w:val="000000"/>
          <w:szCs w:val="21"/>
        </w:rPr>
        <w:t>报告截止日：</w:t>
      </w:r>
      <w:r w:rsidRPr="0045565B">
        <w:rPr>
          <w:rFonts w:eastAsiaTheme="minorEastAsia"/>
          <w:color w:val="000000"/>
          <w:szCs w:val="21"/>
        </w:rPr>
        <w:t>2019年6月30日</w:t>
      </w:r>
    </w:p>
    <w:p w:rsidR="001548F9" w:rsidRPr="0045565B" w:rsidP="006D141C">
      <w:pPr>
        <w:autoSpaceDE w:val="0"/>
        <w:autoSpaceDN w:val="0"/>
        <w:adjustRightInd w:val="0"/>
        <w:spacing w:before="29" w:line="288" w:lineRule="auto"/>
        <w:ind w:left="15"/>
        <w:jc w:val="right"/>
        <w:rPr>
          <w:rFonts w:eastAsiaTheme="minorEastAsia"/>
          <w:color w:val="000000"/>
          <w:kern w:val="0"/>
          <w:szCs w:val="21"/>
        </w:rPr>
      </w:pPr>
      <w:r w:rsidRPr="0045565B">
        <w:rPr>
          <w:rFonts w:eastAsiaTheme="minorEastAsia"/>
          <w:color w:val="000000"/>
          <w:kern w:val="0"/>
          <w:szCs w:val="21"/>
        </w:rPr>
        <w:t>单位：人民币元</w:t>
      </w:r>
    </w:p>
    <w:tbl>
      <w:tblPr>
        <w:tblW w:w="89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57"/>
        <w:gridCol w:w="2520"/>
        <w:gridCol w:w="2520"/>
      </w:tblGrid>
      <w:tr w:rsidTr="0045565B">
        <w:tblPrEx>
          <w:tblW w:w="89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3957" w:type="dxa"/>
            <w:vAlign w:val="center"/>
          </w:tcPr>
          <w:p w:rsidR="00D711B4" w:rsidRPr="0045565B" w:rsidP="00F73D0C">
            <w:pPr>
              <w:pStyle w:val="NormalWeb"/>
              <w:jc w:val="center"/>
              <w:rPr>
                <w:rFonts w:ascii="Times New Roman" w:hAnsi="Times New Roman" w:eastAsiaTheme="minorEastAsia"/>
                <w:b/>
                <w:color w:val="000000"/>
                <w:sz w:val="21"/>
                <w:szCs w:val="21"/>
              </w:rPr>
            </w:pPr>
            <w:r w:rsidRPr="0045565B">
              <w:rPr>
                <w:rFonts w:ascii="Times New Roman" w:hAnsi="Times New Roman" w:eastAsiaTheme="minorEastAsia"/>
                <w:b/>
                <w:color w:val="000000"/>
                <w:sz w:val="21"/>
                <w:szCs w:val="21"/>
              </w:rPr>
              <w:t>资产</w:t>
            </w:r>
          </w:p>
        </w:tc>
        <w:tc>
          <w:tcPr>
            <w:tcW w:w="2520" w:type="dxa"/>
            <w:vAlign w:val="center"/>
          </w:tcPr>
          <w:p w:rsidR="00D711B4" w:rsidRPr="0045565B">
            <w:pPr>
              <w:pStyle w:val="NormalWeb"/>
              <w:spacing w:before="0" w:beforeAutospacing="0" w:after="0" w:afterAutospacing="0"/>
              <w:jc w:val="center"/>
              <w:rPr>
                <w:rFonts w:ascii="Times New Roman" w:hAnsi="Times New Roman" w:eastAsiaTheme="minorEastAsia"/>
                <w:b/>
                <w:color w:val="000000"/>
                <w:sz w:val="21"/>
                <w:szCs w:val="21"/>
              </w:rPr>
            </w:pPr>
            <w:r w:rsidRPr="0045565B">
              <w:rPr>
                <w:rFonts w:ascii="Times New Roman" w:hAnsi="Times New Roman" w:eastAsiaTheme="minorEastAsia"/>
                <w:b/>
                <w:color w:val="000000"/>
                <w:sz w:val="21"/>
                <w:szCs w:val="21"/>
              </w:rPr>
              <w:t>本期末</w:t>
            </w:r>
          </w:p>
          <w:p w:rsidR="00D711B4" w:rsidRPr="0045565B">
            <w:pPr>
              <w:pStyle w:val="NormalWeb"/>
              <w:spacing w:before="0" w:beforeAutospacing="0" w:after="0" w:afterAutospacing="0"/>
              <w:jc w:val="center"/>
              <w:rPr>
                <w:rFonts w:ascii="Times New Roman" w:hAnsi="Times New Roman" w:eastAsiaTheme="minorEastAsia"/>
                <w:b/>
                <w:color w:val="000000"/>
                <w:sz w:val="21"/>
                <w:szCs w:val="21"/>
              </w:rPr>
            </w:pPr>
            <w:r w:rsidRPr="0045565B">
              <w:rPr>
                <w:rFonts w:ascii="Times New Roman" w:hAnsi="Times New Roman" w:eastAsiaTheme="minorEastAsia"/>
                <w:b/>
                <w:color w:val="000000"/>
                <w:kern w:val="2"/>
                <w:sz w:val="21"/>
                <w:szCs w:val="21"/>
              </w:rPr>
              <w:t>2019年6月30日</w:t>
            </w:r>
          </w:p>
        </w:tc>
        <w:tc>
          <w:tcPr>
            <w:tcW w:w="2520" w:type="dxa"/>
            <w:vAlign w:val="center"/>
          </w:tcPr>
          <w:p w:rsidR="00D711B4" w:rsidRPr="0045565B">
            <w:pPr>
              <w:pStyle w:val="NormalWeb"/>
              <w:spacing w:before="0" w:beforeAutospacing="0" w:after="0" w:afterAutospacing="0"/>
              <w:jc w:val="center"/>
              <w:rPr>
                <w:rFonts w:ascii="Times New Roman" w:hAnsi="Times New Roman" w:eastAsiaTheme="minorEastAsia"/>
                <w:b/>
                <w:color w:val="000000"/>
                <w:sz w:val="21"/>
                <w:szCs w:val="21"/>
              </w:rPr>
            </w:pPr>
            <w:r w:rsidRPr="0045565B">
              <w:rPr>
                <w:rFonts w:ascii="Times New Roman" w:hAnsi="Times New Roman" w:eastAsiaTheme="minorEastAsia"/>
                <w:b/>
                <w:color w:val="000000"/>
                <w:sz w:val="21"/>
                <w:szCs w:val="21"/>
              </w:rPr>
              <w:t>上年度末</w:t>
            </w:r>
          </w:p>
          <w:p w:rsidR="00D711B4" w:rsidRPr="0045565B">
            <w:pPr>
              <w:pStyle w:val="NormalWeb"/>
              <w:spacing w:before="0" w:beforeAutospacing="0" w:after="0" w:afterAutospacing="0"/>
              <w:jc w:val="center"/>
              <w:rPr>
                <w:rFonts w:ascii="Times New Roman" w:hAnsi="Times New Roman" w:eastAsiaTheme="minorEastAsia"/>
                <w:b/>
                <w:color w:val="000000"/>
                <w:sz w:val="21"/>
                <w:szCs w:val="21"/>
              </w:rPr>
            </w:pPr>
            <w:r w:rsidRPr="0045565B">
              <w:rPr>
                <w:rFonts w:ascii="Times New Roman" w:hAnsi="Times New Roman" w:eastAsiaTheme="minorEastAsia"/>
                <w:b/>
                <w:color w:val="000000"/>
                <w:sz w:val="21"/>
                <w:szCs w:val="21"/>
              </w:rPr>
              <w:t>2018年12月31日</w:t>
            </w:r>
          </w:p>
        </w:tc>
      </w:tr>
      <w:tr w:rsidTr="0045565B">
        <w:tblPrEx>
          <w:tblW w:w="8997" w:type="dxa"/>
          <w:tblInd w:w="108" w:type="dxa"/>
          <w:tblLayout w:type="fixed"/>
          <w:tblLook w:val="00A0"/>
        </w:tblPrEx>
        <w:tc>
          <w:tcPr>
            <w:tcW w:w="3957" w:type="dxa"/>
            <w:vAlign w:val="center"/>
          </w:tcPr>
          <w:p w:rsidR="00D711B4" w:rsidRPr="0045565B" w:rsidP="00F73D0C">
            <w:pPr>
              <w:rPr>
                <w:rFonts w:eastAsiaTheme="minorEastAsia"/>
                <w:b/>
                <w:color w:val="000000"/>
                <w:szCs w:val="21"/>
              </w:rPr>
            </w:pPr>
            <w:r w:rsidRPr="0045565B">
              <w:rPr>
                <w:rFonts w:eastAsiaTheme="minorEastAsia"/>
                <w:b/>
                <w:color w:val="000000"/>
                <w:szCs w:val="21"/>
              </w:rPr>
              <w:t>资产：</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r>
      <w:tr w:rsidTr="0045565B">
        <w:tblPrEx>
          <w:tblW w:w="8997" w:type="dxa"/>
          <w:tblInd w:w="108" w:type="dxa"/>
          <w:tblLayout w:type="fixed"/>
          <w:tblLook w:val="00A0"/>
        </w:tblPrEx>
        <w:tc>
          <w:tcPr>
            <w:tcW w:w="3957" w:type="dxa"/>
            <w:vAlign w:val="center"/>
          </w:tcPr>
          <w:p w:rsidR="00D711B4" w:rsidRPr="0045565B" w:rsidP="00F73D0C">
            <w:pPr>
              <w:rPr>
                <w:rFonts w:eastAsiaTheme="minorEastAsia"/>
                <w:color w:val="000000"/>
                <w:szCs w:val="21"/>
              </w:rPr>
            </w:pPr>
            <w:r w:rsidRPr="0045565B">
              <w:rPr>
                <w:rFonts w:eastAsiaTheme="minorEastAsia"/>
                <w:color w:val="000000"/>
                <w:szCs w:val="21"/>
              </w:rPr>
              <w:t>银行存款</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2,838,282.95</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475,899.57</w:t>
            </w:r>
          </w:p>
        </w:tc>
      </w:tr>
      <w:tr w:rsidTr="0045565B">
        <w:tblPrEx>
          <w:tblW w:w="8997" w:type="dxa"/>
          <w:tblInd w:w="108" w:type="dxa"/>
          <w:tblLayout w:type="fixed"/>
          <w:tblLook w:val="00A0"/>
        </w:tblPrEx>
        <w:tc>
          <w:tcPr>
            <w:tcW w:w="3957" w:type="dxa"/>
            <w:vAlign w:val="center"/>
          </w:tcPr>
          <w:p w:rsidR="00D711B4" w:rsidRPr="0045565B" w:rsidP="00F73D0C">
            <w:pPr>
              <w:rPr>
                <w:rFonts w:eastAsiaTheme="minorEastAsia"/>
                <w:color w:val="000000"/>
                <w:szCs w:val="21"/>
              </w:rPr>
            </w:pPr>
            <w:r w:rsidRPr="0045565B">
              <w:rPr>
                <w:rFonts w:eastAsiaTheme="minorEastAsia"/>
                <w:color w:val="000000"/>
                <w:szCs w:val="21"/>
              </w:rPr>
              <w:t>结算备付金</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8,521.16</w:t>
            </w:r>
          </w:p>
        </w:tc>
      </w:tr>
      <w:tr w:rsidTr="0045565B">
        <w:tblPrEx>
          <w:tblW w:w="8997" w:type="dxa"/>
          <w:tblInd w:w="108" w:type="dxa"/>
          <w:tblLayout w:type="fixed"/>
          <w:tblLook w:val="00A0"/>
        </w:tblPrEx>
        <w:tc>
          <w:tcPr>
            <w:tcW w:w="3957" w:type="dxa"/>
            <w:vAlign w:val="center"/>
          </w:tcPr>
          <w:p w:rsidR="00D711B4" w:rsidRPr="0045565B" w:rsidP="00F73D0C">
            <w:pPr>
              <w:rPr>
                <w:rFonts w:eastAsiaTheme="minorEastAsia"/>
                <w:color w:val="000000"/>
                <w:szCs w:val="21"/>
              </w:rPr>
            </w:pPr>
            <w:r w:rsidRPr="0045565B">
              <w:rPr>
                <w:rFonts w:eastAsiaTheme="minorEastAsia"/>
                <w:color w:val="000000"/>
                <w:szCs w:val="21"/>
              </w:rPr>
              <w:t>存出保证金</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11,420.55</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1,715.92</w:t>
            </w:r>
          </w:p>
        </w:tc>
      </w:tr>
      <w:tr w:rsidTr="0045565B">
        <w:tblPrEx>
          <w:tblW w:w="8997" w:type="dxa"/>
          <w:tblInd w:w="108" w:type="dxa"/>
          <w:tblLayout w:type="fixed"/>
          <w:tblLook w:val="00A0"/>
        </w:tblPrEx>
        <w:tc>
          <w:tcPr>
            <w:tcW w:w="3957" w:type="dxa"/>
            <w:vAlign w:val="center"/>
          </w:tcPr>
          <w:p w:rsidR="00D711B4" w:rsidRPr="0045565B" w:rsidP="00F73D0C">
            <w:pPr>
              <w:rPr>
                <w:rFonts w:eastAsiaTheme="minorEastAsia"/>
                <w:color w:val="000000"/>
                <w:szCs w:val="21"/>
              </w:rPr>
            </w:pPr>
            <w:r w:rsidRPr="0045565B">
              <w:rPr>
                <w:rFonts w:eastAsiaTheme="minorEastAsia"/>
                <w:color w:val="000000"/>
                <w:szCs w:val="21"/>
              </w:rPr>
              <w:t>交易性金融资产</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13,366,011.50</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2,261,661.80</w:t>
            </w:r>
          </w:p>
        </w:tc>
      </w:tr>
      <w:tr w:rsidTr="0045565B">
        <w:tblPrEx>
          <w:tblW w:w="8997" w:type="dxa"/>
          <w:tblInd w:w="108" w:type="dxa"/>
          <w:tblLayout w:type="fixed"/>
          <w:tblLook w:val="00A0"/>
        </w:tblPrEx>
        <w:tc>
          <w:tcPr>
            <w:tcW w:w="3957" w:type="dxa"/>
            <w:vAlign w:val="center"/>
          </w:tcPr>
          <w:p w:rsidR="00D711B4" w:rsidRPr="0045565B" w:rsidP="00F73D0C">
            <w:pPr>
              <w:rPr>
                <w:rFonts w:eastAsiaTheme="minorEastAsia"/>
                <w:color w:val="000000"/>
                <w:szCs w:val="21"/>
              </w:rPr>
            </w:pPr>
            <w:r w:rsidRPr="0045565B">
              <w:rPr>
                <w:rFonts w:eastAsiaTheme="minorEastAsia"/>
                <w:color w:val="000000"/>
                <w:szCs w:val="21"/>
              </w:rPr>
              <w:t>其中：股票投资</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13,366,011.50</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2,261,661.80</w:t>
            </w:r>
          </w:p>
        </w:tc>
      </w:tr>
      <w:tr w:rsidTr="0045565B">
        <w:tblPrEx>
          <w:tblW w:w="8997" w:type="dxa"/>
          <w:tblInd w:w="108" w:type="dxa"/>
          <w:tblLayout w:type="fixed"/>
          <w:tblLook w:val="00A0"/>
        </w:tblPrEx>
        <w:tc>
          <w:tcPr>
            <w:tcW w:w="3957" w:type="dxa"/>
            <w:vAlign w:val="center"/>
          </w:tcPr>
          <w:p w:rsidR="00D711B4" w:rsidRPr="0045565B" w:rsidP="00D24622">
            <w:pPr>
              <w:pStyle w:val="NormalWeb"/>
              <w:ind w:firstLine="630" w:firstLineChars="300"/>
              <w:jc w:val="both"/>
              <w:rPr>
                <w:rFonts w:ascii="Times New Roman" w:hAnsi="Times New Roman" w:eastAsiaTheme="minorEastAsia"/>
                <w:color w:val="000000"/>
                <w:sz w:val="21"/>
                <w:szCs w:val="21"/>
              </w:rPr>
            </w:pPr>
            <w:r w:rsidRPr="0045565B">
              <w:rPr>
                <w:rFonts w:ascii="Times New Roman" w:hAnsi="Times New Roman" w:eastAsiaTheme="minorEastAsia"/>
                <w:color w:val="000000"/>
                <w:sz w:val="21"/>
                <w:szCs w:val="21"/>
              </w:rPr>
              <w:t>基金投资</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r>
      <w:tr w:rsidTr="0045565B">
        <w:tblPrEx>
          <w:tblW w:w="8997" w:type="dxa"/>
          <w:tblInd w:w="108" w:type="dxa"/>
          <w:tblLayout w:type="fixed"/>
          <w:tblLook w:val="00A0"/>
        </w:tblPrEx>
        <w:tc>
          <w:tcPr>
            <w:tcW w:w="3957" w:type="dxa"/>
            <w:vAlign w:val="center"/>
          </w:tcPr>
          <w:p w:rsidR="00D711B4" w:rsidRPr="0045565B" w:rsidP="00D24622">
            <w:pPr>
              <w:ind w:firstLine="630" w:firstLineChars="300"/>
              <w:rPr>
                <w:rFonts w:eastAsiaTheme="minorEastAsia"/>
                <w:color w:val="000000"/>
                <w:szCs w:val="21"/>
              </w:rPr>
            </w:pPr>
            <w:r w:rsidRPr="0045565B">
              <w:rPr>
                <w:rFonts w:eastAsiaTheme="minorEastAsia"/>
                <w:color w:val="000000"/>
                <w:szCs w:val="21"/>
              </w:rPr>
              <w:t>债券投资</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r>
      <w:tr w:rsidTr="0045565B">
        <w:tblPrEx>
          <w:tblW w:w="8997" w:type="dxa"/>
          <w:tblInd w:w="108" w:type="dxa"/>
          <w:tblLayout w:type="fixed"/>
          <w:tblLook w:val="00A0"/>
        </w:tblPrEx>
        <w:tc>
          <w:tcPr>
            <w:tcW w:w="3957" w:type="dxa"/>
            <w:vAlign w:val="center"/>
          </w:tcPr>
          <w:p w:rsidR="00D711B4" w:rsidRPr="0045565B" w:rsidP="00D24622">
            <w:pPr>
              <w:ind w:firstLine="630" w:firstLineChars="300"/>
              <w:rPr>
                <w:rFonts w:eastAsiaTheme="minorEastAsia"/>
                <w:color w:val="000000"/>
                <w:szCs w:val="21"/>
              </w:rPr>
            </w:pPr>
            <w:r w:rsidRPr="0045565B">
              <w:rPr>
                <w:rFonts w:eastAsiaTheme="minorEastAsia"/>
                <w:color w:val="000000"/>
                <w:szCs w:val="21"/>
              </w:rPr>
              <w:t>资产支持证券投资</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r>
      <w:tr w:rsidTr="0045565B">
        <w:tblPrEx>
          <w:tblW w:w="8997" w:type="dxa"/>
          <w:tblInd w:w="108" w:type="dxa"/>
          <w:tblLayout w:type="fixed"/>
          <w:tblLook w:val="00A0"/>
        </w:tblPrEx>
        <w:tc>
          <w:tcPr>
            <w:tcW w:w="3957" w:type="dxa"/>
            <w:vAlign w:val="center"/>
          </w:tcPr>
          <w:p w:rsidR="00F64CEB" w:rsidRPr="0045565B" w:rsidP="0086710F">
            <w:pPr>
              <w:spacing w:line="360" w:lineRule="auto"/>
              <w:ind w:firstLine="630" w:firstLineChars="300"/>
              <w:rPr>
                <w:rFonts w:eastAsiaTheme="minorEastAsia"/>
                <w:color w:val="000000"/>
                <w:szCs w:val="21"/>
              </w:rPr>
            </w:pPr>
            <w:r w:rsidRPr="0045565B">
              <w:rPr>
                <w:rFonts w:eastAsiaTheme="minorEastAsia"/>
              </w:rPr>
              <w:t>贵金属投资</w:t>
            </w:r>
          </w:p>
        </w:tc>
        <w:tc>
          <w:tcPr>
            <w:tcW w:w="2520" w:type="dxa"/>
            <w:vAlign w:val="center"/>
          </w:tcPr>
          <w:p w:rsidR="00F64CEB" w:rsidRPr="0045565B" w:rsidP="0086710F">
            <w:pPr>
              <w:spacing w:line="360" w:lineRule="auto"/>
              <w:jc w:val="right"/>
              <w:rPr>
                <w:rFonts w:eastAsiaTheme="minorEastAsia"/>
                <w:color w:val="000000"/>
                <w:szCs w:val="21"/>
              </w:rPr>
            </w:pPr>
            <w:r w:rsidRPr="0045565B">
              <w:rPr>
                <w:rFonts w:eastAsiaTheme="minorEastAsia"/>
                <w:color w:val="000000"/>
                <w:szCs w:val="21"/>
              </w:rPr>
              <w:t>-</w:t>
            </w:r>
          </w:p>
        </w:tc>
        <w:tc>
          <w:tcPr>
            <w:tcW w:w="2520" w:type="dxa"/>
            <w:vAlign w:val="center"/>
          </w:tcPr>
          <w:p w:rsidR="00F64CEB" w:rsidRPr="0045565B" w:rsidP="0086710F">
            <w:pPr>
              <w:spacing w:line="360" w:lineRule="auto"/>
              <w:jc w:val="right"/>
              <w:rPr>
                <w:rFonts w:eastAsiaTheme="minorEastAsia"/>
                <w:color w:val="000000"/>
                <w:szCs w:val="21"/>
              </w:rPr>
            </w:pPr>
            <w:r w:rsidRPr="0045565B">
              <w:rPr>
                <w:rFonts w:eastAsiaTheme="minorEastAsia"/>
                <w:color w:val="000000"/>
                <w:szCs w:val="21"/>
              </w:rPr>
              <w:t>-</w:t>
            </w:r>
          </w:p>
        </w:tc>
      </w:tr>
      <w:tr w:rsidTr="0045565B">
        <w:tblPrEx>
          <w:tblW w:w="8997" w:type="dxa"/>
          <w:tblInd w:w="108" w:type="dxa"/>
          <w:tblLayout w:type="fixed"/>
          <w:tblLook w:val="00A0"/>
        </w:tblPrEx>
        <w:tc>
          <w:tcPr>
            <w:tcW w:w="3957" w:type="dxa"/>
            <w:vAlign w:val="center"/>
          </w:tcPr>
          <w:p w:rsidR="00F64CEB" w:rsidRPr="0045565B" w:rsidP="00F73D0C">
            <w:pPr>
              <w:rPr>
                <w:rFonts w:eastAsiaTheme="minorEastAsia"/>
                <w:color w:val="000000"/>
                <w:szCs w:val="21"/>
              </w:rPr>
            </w:pPr>
            <w:r w:rsidRPr="0045565B">
              <w:rPr>
                <w:rFonts w:eastAsiaTheme="minorEastAsia"/>
                <w:color w:val="000000"/>
                <w:szCs w:val="21"/>
              </w:rPr>
              <w:t>衍生金融资产</w:t>
            </w:r>
          </w:p>
        </w:tc>
        <w:tc>
          <w:tcPr>
            <w:tcW w:w="2520" w:type="dxa"/>
            <w:vAlign w:val="bottom"/>
          </w:tcPr>
          <w:p w:rsidR="00F64CEB" w:rsidRPr="0045565B">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F64CEB" w:rsidRPr="0045565B">
            <w:pPr>
              <w:jc w:val="right"/>
              <w:rPr>
                <w:rFonts w:eastAsiaTheme="minorEastAsia"/>
                <w:color w:val="000000"/>
                <w:szCs w:val="21"/>
              </w:rPr>
            </w:pPr>
            <w:r w:rsidRPr="0045565B">
              <w:rPr>
                <w:rFonts w:eastAsiaTheme="minorEastAsia"/>
                <w:color w:val="000000"/>
                <w:szCs w:val="21"/>
              </w:rPr>
              <w:t>-</w:t>
            </w:r>
          </w:p>
        </w:tc>
      </w:tr>
      <w:tr w:rsidTr="0045565B">
        <w:tblPrEx>
          <w:tblW w:w="8997" w:type="dxa"/>
          <w:tblInd w:w="108" w:type="dxa"/>
          <w:tblLayout w:type="fixed"/>
          <w:tblLook w:val="00A0"/>
        </w:tblPrEx>
        <w:tc>
          <w:tcPr>
            <w:tcW w:w="3957" w:type="dxa"/>
            <w:vAlign w:val="center"/>
          </w:tcPr>
          <w:p w:rsidR="00F64CEB" w:rsidRPr="0045565B" w:rsidP="00F73D0C">
            <w:pPr>
              <w:rPr>
                <w:rFonts w:eastAsiaTheme="minorEastAsia"/>
                <w:color w:val="000000"/>
                <w:szCs w:val="21"/>
              </w:rPr>
            </w:pPr>
            <w:r w:rsidRPr="0045565B">
              <w:rPr>
                <w:rFonts w:eastAsiaTheme="minorEastAsia"/>
                <w:color w:val="000000"/>
                <w:szCs w:val="21"/>
              </w:rPr>
              <w:t>买入返售金融资产</w:t>
            </w:r>
          </w:p>
        </w:tc>
        <w:tc>
          <w:tcPr>
            <w:tcW w:w="2520" w:type="dxa"/>
            <w:vAlign w:val="bottom"/>
          </w:tcPr>
          <w:p w:rsidR="00F64CEB" w:rsidRPr="0045565B">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F64CEB" w:rsidRPr="0045565B">
            <w:pPr>
              <w:jc w:val="right"/>
              <w:rPr>
                <w:rFonts w:eastAsiaTheme="minorEastAsia"/>
                <w:color w:val="000000"/>
                <w:szCs w:val="21"/>
              </w:rPr>
            </w:pPr>
            <w:r w:rsidRPr="0045565B">
              <w:rPr>
                <w:rFonts w:eastAsiaTheme="minorEastAsia"/>
                <w:color w:val="000000"/>
                <w:szCs w:val="21"/>
              </w:rPr>
              <w:t>-</w:t>
            </w:r>
          </w:p>
        </w:tc>
      </w:tr>
      <w:tr w:rsidTr="0045565B">
        <w:tblPrEx>
          <w:tblW w:w="8997" w:type="dxa"/>
          <w:tblInd w:w="108" w:type="dxa"/>
          <w:tblLayout w:type="fixed"/>
          <w:tblLook w:val="00A0"/>
        </w:tblPrEx>
        <w:tc>
          <w:tcPr>
            <w:tcW w:w="3957" w:type="dxa"/>
            <w:vAlign w:val="center"/>
          </w:tcPr>
          <w:p w:rsidR="00F64CEB" w:rsidRPr="0045565B" w:rsidP="00F73D0C">
            <w:pPr>
              <w:rPr>
                <w:rFonts w:eastAsiaTheme="minorEastAsia"/>
                <w:color w:val="000000"/>
                <w:szCs w:val="21"/>
              </w:rPr>
            </w:pPr>
            <w:r w:rsidRPr="0045565B">
              <w:rPr>
                <w:rFonts w:eastAsiaTheme="minorEastAsia"/>
                <w:color w:val="000000"/>
                <w:szCs w:val="21"/>
              </w:rPr>
              <w:t>应收证券清算款</w:t>
            </w:r>
          </w:p>
        </w:tc>
        <w:tc>
          <w:tcPr>
            <w:tcW w:w="2520" w:type="dxa"/>
            <w:vAlign w:val="bottom"/>
          </w:tcPr>
          <w:p w:rsidR="00F64CEB" w:rsidRPr="0045565B">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F64CEB" w:rsidRPr="0045565B">
            <w:pPr>
              <w:jc w:val="right"/>
              <w:rPr>
                <w:rFonts w:eastAsiaTheme="minorEastAsia"/>
                <w:color w:val="000000"/>
                <w:szCs w:val="21"/>
              </w:rPr>
            </w:pPr>
            <w:r w:rsidRPr="0045565B">
              <w:rPr>
                <w:rFonts w:eastAsiaTheme="minorEastAsia"/>
                <w:color w:val="000000"/>
                <w:szCs w:val="21"/>
              </w:rPr>
              <w:t>-</w:t>
            </w:r>
          </w:p>
        </w:tc>
      </w:tr>
      <w:tr w:rsidTr="0045565B">
        <w:tblPrEx>
          <w:tblW w:w="8997" w:type="dxa"/>
          <w:tblInd w:w="108" w:type="dxa"/>
          <w:tblLayout w:type="fixed"/>
          <w:tblLook w:val="00A0"/>
        </w:tblPrEx>
        <w:tc>
          <w:tcPr>
            <w:tcW w:w="3957" w:type="dxa"/>
            <w:vAlign w:val="center"/>
          </w:tcPr>
          <w:p w:rsidR="00F64CEB" w:rsidRPr="0045565B" w:rsidP="00F73D0C">
            <w:pPr>
              <w:rPr>
                <w:rFonts w:eastAsiaTheme="minorEastAsia"/>
                <w:color w:val="000000"/>
                <w:szCs w:val="21"/>
              </w:rPr>
            </w:pPr>
            <w:r w:rsidRPr="0045565B">
              <w:rPr>
                <w:rFonts w:eastAsiaTheme="minorEastAsia"/>
                <w:color w:val="000000"/>
                <w:szCs w:val="21"/>
              </w:rPr>
              <w:t>应收利息</w:t>
            </w:r>
          </w:p>
        </w:tc>
        <w:tc>
          <w:tcPr>
            <w:tcW w:w="2520" w:type="dxa"/>
            <w:vAlign w:val="bottom"/>
          </w:tcPr>
          <w:p w:rsidR="00F64CEB" w:rsidRPr="0045565B">
            <w:pPr>
              <w:jc w:val="right"/>
              <w:rPr>
                <w:rFonts w:eastAsiaTheme="minorEastAsia"/>
                <w:color w:val="000000"/>
                <w:szCs w:val="21"/>
              </w:rPr>
            </w:pPr>
            <w:r w:rsidRPr="0045565B">
              <w:rPr>
                <w:rFonts w:eastAsiaTheme="minorEastAsia"/>
                <w:color w:val="000000"/>
                <w:szCs w:val="21"/>
              </w:rPr>
              <w:t>465.18</w:t>
            </w:r>
          </w:p>
        </w:tc>
        <w:tc>
          <w:tcPr>
            <w:tcW w:w="2520" w:type="dxa"/>
            <w:vAlign w:val="bottom"/>
          </w:tcPr>
          <w:p w:rsidR="00F64CEB" w:rsidRPr="0045565B">
            <w:pPr>
              <w:jc w:val="right"/>
              <w:rPr>
                <w:rFonts w:eastAsiaTheme="minorEastAsia"/>
                <w:color w:val="000000"/>
                <w:szCs w:val="21"/>
              </w:rPr>
            </w:pPr>
            <w:r w:rsidRPr="0045565B">
              <w:rPr>
                <w:rFonts w:eastAsiaTheme="minorEastAsia"/>
                <w:color w:val="000000"/>
                <w:szCs w:val="21"/>
              </w:rPr>
              <w:t>100.64</w:t>
            </w:r>
          </w:p>
        </w:tc>
      </w:tr>
      <w:tr w:rsidTr="0045565B">
        <w:tblPrEx>
          <w:tblW w:w="8997" w:type="dxa"/>
          <w:tblInd w:w="108" w:type="dxa"/>
          <w:tblLayout w:type="fixed"/>
          <w:tblLook w:val="00A0"/>
        </w:tblPrEx>
        <w:tc>
          <w:tcPr>
            <w:tcW w:w="3957" w:type="dxa"/>
            <w:vAlign w:val="center"/>
          </w:tcPr>
          <w:p w:rsidR="00F64CEB" w:rsidRPr="0045565B" w:rsidP="00F73D0C">
            <w:pPr>
              <w:rPr>
                <w:rFonts w:eastAsiaTheme="minorEastAsia"/>
                <w:color w:val="000000"/>
                <w:szCs w:val="21"/>
              </w:rPr>
            </w:pPr>
            <w:r w:rsidRPr="0045565B">
              <w:rPr>
                <w:rFonts w:eastAsiaTheme="minorEastAsia"/>
                <w:color w:val="000000"/>
                <w:szCs w:val="21"/>
              </w:rPr>
              <w:t>应收股利</w:t>
            </w:r>
          </w:p>
        </w:tc>
        <w:tc>
          <w:tcPr>
            <w:tcW w:w="2520" w:type="dxa"/>
            <w:vAlign w:val="bottom"/>
          </w:tcPr>
          <w:p w:rsidR="00F64CEB" w:rsidRPr="0045565B">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F64CEB" w:rsidRPr="0045565B">
            <w:pPr>
              <w:jc w:val="right"/>
              <w:rPr>
                <w:rFonts w:eastAsiaTheme="minorEastAsia"/>
                <w:color w:val="000000"/>
                <w:szCs w:val="21"/>
              </w:rPr>
            </w:pPr>
            <w:r w:rsidRPr="0045565B">
              <w:rPr>
                <w:rFonts w:eastAsiaTheme="minorEastAsia"/>
                <w:color w:val="000000"/>
                <w:szCs w:val="21"/>
              </w:rPr>
              <w:t>-</w:t>
            </w:r>
          </w:p>
        </w:tc>
      </w:tr>
      <w:tr w:rsidTr="0045565B">
        <w:tblPrEx>
          <w:tblW w:w="8997" w:type="dxa"/>
          <w:tblInd w:w="108" w:type="dxa"/>
          <w:tblLayout w:type="fixed"/>
          <w:tblLook w:val="00A0"/>
        </w:tblPrEx>
        <w:tc>
          <w:tcPr>
            <w:tcW w:w="3957" w:type="dxa"/>
            <w:vAlign w:val="center"/>
          </w:tcPr>
          <w:p w:rsidR="00F64CEB" w:rsidRPr="0045565B" w:rsidP="00F73D0C">
            <w:pPr>
              <w:rPr>
                <w:rFonts w:eastAsiaTheme="minorEastAsia"/>
                <w:color w:val="000000"/>
                <w:szCs w:val="21"/>
              </w:rPr>
            </w:pPr>
            <w:r w:rsidRPr="0045565B">
              <w:rPr>
                <w:rFonts w:eastAsiaTheme="minorEastAsia"/>
                <w:color w:val="000000"/>
                <w:szCs w:val="21"/>
              </w:rPr>
              <w:t>应收申购款</w:t>
            </w:r>
          </w:p>
        </w:tc>
        <w:tc>
          <w:tcPr>
            <w:tcW w:w="2520" w:type="dxa"/>
            <w:vAlign w:val="bottom"/>
          </w:tcPr>
          <w:p w:rsidR="00F64CEB" w:rsidRPr="0045565B">
            <w:pPr>
              <w:jc w:val="right"/>
              <w:rPr>
                <w:rFonts w:eastAsiaTheme="minorEastAsia"/>
                <w:color w:val="000000"/>
                <w:szCs w:val="21"/>
              </w:rPr>
            </w:pPr>
            <w:r w:rsidRPr="0045565B">
              <w:rPr>
                <w:rFonts w:eastAsiaTheme="minorEastAsia"/>
                <w:color w:val="000000"/>
                <w:szCs w:val="21"/>
              </w:rPr>
              <w:t>66,794.51</w:t>
            </w:r>
          </w:p>
        </w:tc>
        <w:tc>
          <w:tcPr>
            <w:tcW w:w="2520" w:type="dxa"/>
            <w:vAlign w:val="bottom"/>
          </w:tcPr>
          <w:p w:rsidR="00F64CEB" w:rsidRPr="0045565B">
            <w:pPr>
              <w:jc w:val="right"/>
              <w:rPr>
                <w:rFonts w:eastAsiaTheme="minorEastAsia"/>
                <w:color w:val="000000"/>
                <w:szCs w:val="21"/>
              </w:rPr>
            </w:pPr>
            <w:r w:rsidRPr="0045565B">
              <w:rPr>
                <w:rFonts w:eastAsiaTheme="minorEastAsia"/>
                <w:color w:val="000000"/>
                <w:szCs w:val="21"/>
              </w:rPr>
              <w:t>23,086.80</w:t>
            </w:r>
          </w:p>
        </w:tc>
      </w:tr>
      <w:tr w:rsidTr="0045565B">
        <w:tblPrEx>
          <w:tblW w:w="8997" w:type="dxa"/>
          <w:tblInd w:w="108" w:type="dxa"/>
          <w:tblLayout w:type="fixed"/>
          <w:tblLook w:val="00A0"/>
        </w:tblPrEx>
        <w:tc>
          <w:tcPr>
            <w:tcW w:w="3957" w:type="dxa"/>
            <w:vAlign w:val="center"/>
          </w:tcPr>
          <w:p w:rsidR="00F64CEB" w:rsidRPr="0045565B" w:rsidP="00F73D0C">
            <w:pPr>
              <w:rPr>
                <w:rFonts w:eastAsiaTheme="minorEastAsia"/>
                <w:color w:val="000000"/>
                <w:szCs w:val="21"/>
              </w:rPr>
            </w:pPr>
            <w:r w:rsidRPr="0045565B">
              <w:rPr>
                <w:rFonts w:eastAsiaTheme="minorEastAsia"/>
                <w:color w:val="000000"/>
                <w:szCs w:val="21"/>
              </w:rPr>
              <w:t>递延所得税资产</w:t>
            </w:r>
          </w:p>
        </w:tc>
        <w:tc>
          <w:tcPr>
            <w:tcW w:w="2520" w:type="dxa"/>
            <w:vAlign w:val="bottom"/>
          </w:tcPr>
          <w:p w:rsidR="00F64CEB" w:rsidRPr="0045565B">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F64CEB" w:rsidRPr="0045565B">
            <w:pPr>
              <w:jc w:val="right"/>
              <w:rPr>
                <w:rFonts w:eastAsiaTheme="minorEastAsia"/>
                <w:color w:val="000000"/>
                <w:szCs w:val="21"/>
              </w:rPr>
            </w:pPr>
            <w:r w:rsidRPr="0045565B">
              <w:rPr>
                <w:rFonts w:eastAsiaTheme="minorEastAsia"/>
                <w:color w:val="000000"/>
                <w:szCs w:val="21"/>
              </w:rPr>
              <w:t>-</w:t>
            </w:r>
          </w:p>
        </w:tc>
      </w:tr>
      <w:tr w:rsidTr="0045565B">
        <w:tblPrEx>
          <w:tblW w:w="8997" w:type="dxa"/>
          <w:tblInd w:w="108" w:type="dxa"/>
          <w:tblLayout w:type="fixed"/>
          <w:tblLook w:val="00A0"/>
        </w:tblPrEx>
        <w:tc>
          <w:tcPr>
            <w:tcW w:w="3957" w:type="dxa"/>
            <w:vAlign w:val="center"/>
          </w:tcPr>
          <w:p w:rsidR="00F64CEB" w:rsidRPr="0045565B" w:rsidP="00F73D0C">
            <w:pPr>
              <w:rPr>
                <w:rFonts w:eastAsiaTheme="minorEastAsia"/>
                <w:color w:val="000000"/>
                <w:szCs w:val="21"/>
              </w:rPr>
            </w:pPr>
            <w:r w:rsidRPr="0045565B">
              <w:rPr>
                <w:rFonts w:eastAsiaTheme="minorEastAsia"/>
                <w:color w:val="000000"/>
                <w:szCs w:val="21"/>
              </w:rPr>
              <w:t>其他资产</w:t>
            </w:r>
          </w:p>
        </w:tc>
        <w:tc>
          <w:tcPr>
            <w:tcW w:w="2520" w:type="dxa"/>
            <w:vAlign w:val="bottom"/>
          </w:tcPr>
          <w:p w:rsidR="00F64CEB" w:rsidRPr="0045565B">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F64CEB" w:rsidRPr="0045565B">
            <w:pPr>
              <w:jc w:val="right"/>
              <w:rPr>
                <w:rFonts w:eastAsiaTheme="minorEastAsia"/>
                <w:color w:val="000000"/>
                <w:szCs w:val="21"/>
              </w:rPr>
            </w:pPr>
            <w:r w:rsidRPr="0045565B">
              <w:rPr>
                <w:rFonts w:eastAsiaTheme="minorEastAsia"/>
                <w:color w:val="000000"/>
                <w:szCs w:val="21"/>
              </w:rPr>
              <w:t>-</w:t>
            </w:r>
          </w:p>
        </w:tc>
      </w:tr>
      <w:tr w:rsidTr="0045565B">
        <w:tblPrEx>
          <w:tblW w:w="8997" w:type="dxa"/>
          <w:tblInd w:w="108" w:type="dxa"/>
          <w:tblLayout w:type="fixed"/>
          <w:tblLook w:val="00A0"/>
        </w:tblPrEx>
        <w:tc>
          <w:tcPr>
            <w:tcW w:w="3957" w:type="dxa"/>
            <w:vAlign w:val="center"/>
          </w:tcPr>
          <w:p w:rsidR="00F64CEB" w:rsidRPr="0045565B" w:rsidP="00F73D0C">
            <w:pPr>
              <w:rPr>
                <w:rFonts w:eastAsiaTheme="minorEastAsia"/>
                <w:color w:val="000000"/>
                <w:szCs w:val="21"/>
              </w:rPr>
            </w:pPr>
            <w:r w:rsidRPr="0045565B">
              <w:rPr>
                <w:rFonts w:eastAsiaTheme="minorEastAsia"/>
                <w:color w:val="000000"/>
                <w:szCs w:val="21"/>
              </w:rPr>
              <w:t>资产总计</w:t>
            </w:r>
          </w:p>
        </w:tc>
        <w:tc>
          <w:tcPr>
            <w:tcW w:w="2520" w:type="dxa"/>
            <w:vAlign w:val="bottom"/>
          </w:tcPr>
          <w:p w:rsidR="00F64CEB" w:rsidRPr="0045565B">
            <w:pPr>
              <w:jc w:val="right"/>
              <w:rPr>
                <w:rFonts w:eastAsiaTheme="minorEastAsia"/>
                <w:color w:val="000000"/>
                <w:szCs w:val="21"/>
              </w:rPr>
            </w:pPr>
            <w:r w:rsidRPr="0045565B">
              <w:rPr>
                <w:rFonts w:eastAsiaTheme="minorEastAsia"/>
                <w:color w:val="000000"/>
                <w:szCs w:val="21"/>
              </w:rPr>
              <w:t>16,282,974.69</w:t>
            </w:r>
          </w:p>
        </w:tc>
        <w:tc>
          <w:tcPr>
            <w:tcW w:w="2520" w:type="dxa"/>
            <w:vAlign w:val="bottom"/>
          </w:tcPr>
          <w:p w:rsidR="00F64CEB" w:rsidRPr="0045565B">
            <w:pPr>
              <w:jc w:val="right"/>
              <w:rPr>
                <w:rFonts w:eastAsiaTheme="minorEastAsia"/>
                <w:color w:val="000000"/>
                <w:szCs w:val="21"/>
              </w:rPr>
            </w:pPr>
            <w:r w:rsidRPr="0045565B">
              <w:rPr>
                <w:rFonts w:eastAsiaTheme="minorEastAsia"/>
                <w:color w:val="000000"/>
                <w:szCs w:val="21"/>
              </w:rPr>
              <w:t>2,770,985.89</w:t>
            </w:r>
          </w:p>
        </w:tc>
      </w:tr>
    </w:tbl>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58"/>
        <w:gridCol w:w="2520"/>
        <w:gridCol w:w="2520"/>
      </w:tblGrid>
      <w:tr w:rsidTr="0045565B">
        <w:tblPrEx>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3958" w:type="dxa"/>
            <w:vAlign w:val="center"/>
          </w:tcPr>
          <w:p w:rsidR="00D711B4" w:rsidRPr="0045565B" w:rsidP="00F73D0C">
            <w:pPr>
              <w:pStyle w:val="NormalWeb"/>
              <w:jc w:val="center"/>
              <w:rPr>
                <w:rFonts w:ascii="Times New Roman" w:hAnsi="Times New Roman" w:eastAsiaTheme="minorEastAsia"/>
                <w:b/>
                <w:color w:val="000000"/>
                <w:sz w:val="21"/>
                <w:szCs w:val="21"/>
              </w:rPr>
            </w:pPr>
            <w:r w:rsidRPr="0045565B">
              <w:rPr>
                <w:rFonts w:ascii="Times New Roman" w:hAnsi="Times New Roman" w:eastAsiaTheme="minorEastAsia"/>
                <w:b/>
                <w:color w:val="000000"/>
                <w:sz w:val="21"/>
                <w:szCs w:val="21"/>
              </w:rPr>
              <w:t>负债和所有者权益</w:t>
            </w:r>
          </w:p>
        </w:tc>
        <w:tc>
          <w:tcPr>
            <w:tcW w:w="2520" w:type="dxa"/>
            <w:vAlign w:val="center"/>
          </w:tcPr>
          <w:p w:rsidR="00D711B4" w:rsidRPr="0045565B">
            <w:pPr>
              <w:pStyle w:val="NormalWeb"/>
              <w:spacing w:before="0" w:beforeAutospacing="0" w:after="0" w:afterAutospacing="0"/>
              <w:jc w:val="center"/>
              <w:rPr>
                <w:rFonts w:ascii="Times New Roman" w:hAnsi="Times New Roman" w:eastAsiaTheme="minorEastAsia"/>
                <w:b/>
                <w:color w:val="000000"/>
                <w:sz w:val="21"/>
                <w:szCs w:val="21"/>
              </w:rPr>
            </w:pPr>
            <w:r w:rsidRPr="0045565B">
              <w:rPr>
                <w:rFonts w:ascii="Times New Roman" w:hAnsi="Times New Roman" w:eastAsiaTheme="minorEastAsia"/>
                <w:b/>
                <w:color w:val="000000"/>
                <w:sz w:val="21"/>
                <w:szCs w:val="21"/>
              </w:rPr>
              <w:t>本期末</w:t>
            </w:r>
          </w:p>
          <w:p w:rsidR="00D711B4" w:rsidRPr="0045565B">
            <w:pPr>
              <w:pStyle w:val="NormalWeb"/>
              <w:spacing w:before="0" w:beforeAutospacing="0" w:after="0" w:afterAutospacing="0"/>
              <w:jc w:val="center"/>
              <w:rPr>
                <w:rFonts w:ascii="Times New Roman" w:hAnsi="Times New Roman" w:eastAsiaTheme="minorEastAsia"/>
                <w:b/>
                <w:color w:val="000000"/>
                <w:sz w:val="21"/>
                <w:szCs w:val="21"/>
              </w:rPr>
            </w:pPr>
            <w:r w:rsidRPr="0045565B">
              <w:rPr>
                <w:rFonts w:ascii="Times New Roman" w:hAnsi="Times New Roman" w:eastAsiaTheme="minorEastAsia"/>
                <w:b/>
                <w:color w:val="000000"/>
                <w:kern w:val="2"/>
                <w:sz w:val="21"/>
                <w:szCs w:val="21"/>
              </w:rPr>
              <w:t>2019年6月30日</w:t>
            </w:r>
          </w:p>
        </w:tc>
        <w:tc>
          <w:tcPr>
            <w:tcW w:w="2520" w:type="dxa"/>
            <w:vAlign w:val="center"/>
          </w:tcPr>
          <w:p w:rsidR="00D711B4" w:rsidRPr="0045565B">
            <w:pPr>
              <w:pStyle w:val="NormalWeb"/>
              <w:spacing w:before="0" w:beforeAutospacing="0" w:after="0" w:afterAutospacing="0"/>
              <w:jc w:val="center"/>
              <w:rPr>
                <w:rFonts w:ascii="Times New Roman" w:hAnsi="Times New Roman" w:eastAsiaTheme="minorEastAsia"/>
                <w:b/>
                <w:color w:val="000000"/>
                <w:sz w:val="21"/>
                <w:szCs w:val="21"/>
              </w:rPr>
            </w:pPr>
            <w:r w:rsidRPr="0045565B">
              <w:rPr>
                <w:rFonts w:ascii="Times New Roman" w:hAnsi="Times New Roman" w:eastAsiaTheme="minorEastAsia"/>
                <w:b/>
                <w:color w:val="000000"/>
                <w:sz w:val="21"/>
                <w:szCs w:val="21"/>
              </w:rPr>
              <w:t>上年度末</w:t>
            </w:r>
          </w:p>
          <w:p w:rsidR="00D711B4" w:rsidRPr="0045565B">
            <w:pPr>
              <w:pStyle w:val="NormalWeb"/>
              <w:spacing w:before="0" w:beforeAutospacing="0" w:after="0" w:afterAutospacing="0"/>
              <w:jc w:val="center"/>
              <w:rPr>
                <w:rFonts w:ascii="Times New Roman" w:hAnsi="Times New Roman" w:eastAsiaTheme="minorEastAsia"/>
                <w:b/>
                <w:color w:val="000000"/>
                <w:sz w:val="21"/>
                <w:szCs w:val="21"/>
              </w:rPr>
            </w:pPr>
            <w:r w:rsidRPr="0045565B">
              <w:rPr>
                <w:rFonts w:ascii="Times New Roman" w:hAnsi="Times New Roman" w:eastAsiaTheme="minorEastAsia"/>
                <w:b/>
                <w:color w:val="000000"/>
                <w:sz w:val="21"/>
                <w:szCs w:val="21"/>
              </w:rPr>
              <w:t>2018年12月31日</w:t>
            </w:r>
          </w:p>
        </w:tc>
      </w:tr>
      <w:tr w:rsidTr="0045565B">
        <w:tblPrEx>
          <w:tblW w:w="8998" w:type="dxa"/>
          <w:tblInd w:w="108" w:type="dxa"/>
          <w:tblLayout w:type="fixed"/>
          <w:tblLook w:val="00A0"/>
        </w:tblPrEx>
        <w:tc>
          <w:tcPr>
            <w:tcW w:w="3958" w:type="dxa"/>
            <w:vAlign w:val="center"/>
          </w:tcPr>
          <w:p w:rsidR="00D711B4" w:rsidRPr="0045565B" w:rsidP="00F73D0C">
            <w:pPr>
              <w:rPr>
                <w:rFonts w:eastAsiaTheme="minorEastAsia"/>
                <w:b/>
                <w:color w:val="000000"/>
                <w:szCs w:val="21"/>
              </w:rPr>
            </w:pPr>
            <w:r w:rsidRPr="0045565B">
              <w:rPr>
                <w:rFonts w:eastAsiaTheme="minorEastAsia"/>
                <w:b/>
                <w:color w:val="000000"/>
                <w:szCs w:val="21"/>
              </w:rPr>
              <w:t>负债：</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r>
      <w:tr w:rsidTr="0045565B">
        <w:tblPrEx>
          <w:tblW w:w="8998" w:type="dxa"/>
          <w:tblInd w:w="108" w:type="dxa"/>
          <w:tblLayout w:type="fixed"/>
          <w:tblLook w:val="00A0"/>
        </w:tblPrEx>
        <w:tc>
          <w:tcPr>
            <w:tcW w:w="3958" w:type="dxa"/>
            <w:vAlign w:val="center"/>
          </w:tcPr>
          <w:p w:rsidR="00D711B4" w:rsidRPr="0045565B" w:rsidP="00F73D0C">
            <w:pPr>
              <w:rPr>
                <w:rFonts w:eastAsiaTheme="minorEastAsia"/>
                <w:color w:val="000000"/>
                <w:szCs w:val="21"/>
              </w:rPr>
            </w:pPr>
            <w:r w:rsidRPr="0045565B">
              <w:rPr>
                <w:rFonts w:eastAsiaTheme="minorEastAsia"/>
                <w:color w:val="000000"/>
                <w:szCs w:val="21"/>
              </w:rPr>
              <w:t>短期借款</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r>
      <w:tr w:rsidTr="0045565B">
        <w:tblPrEx>
          <w:tblW w:w="8998" w:type="dxa"/>
          <w:tblInd w:w="108" w:type="dxa"/>
          <w:tblLayout w:type="fixed"/>
          <w:tblLook w:val="00A0"/>
        </w:tblPrEx>
        <w:tc>
          <w:tcPr>
            <w:tcW w:w="3958" w:type="dxa"/>
            <w:vAlign w:val="center"/>
          </w:tcPr>
          <w:p w:rsidR="00D711B4" w:rsidRPr="0045565B" w:rsidP="00F73D0C">
            <w:pPr>
              <w:rPr>
                <w:rFonts w:eastAsiaTheme="minorEastAsia"/>
                <w:color w:val="000000"/>
                <w:szCs w:val="21"/>
              </w:rPr>
            </w:pPr>
            <w:r w:rsidRPr="0045565B">
              <w:rPr>
                <w:rFonts w:eastAsiaTheme="minorEastAsia"/>
                <w:color w:val="000000"/>
                <w:szCs w:val="21"/>
              </w:rPr>
              <w:t>交易性金融负债</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r>
      <w:tr w:rsidTr="0045565B">
        <w:tblPrEx>
          <w:tblW w:w="8998" w:type="dxa"/>
          <w:tblInd w:w="108" w:type="dxa"/>
          <w:tblLayout w:type="fixed"/>
          <w:tblLook w:val="00A0"/>
        </w:tblPrEx>
        <w:tc>
          <w:tcPr>
            <w:tcW w:w="3958" w:type="dxa"/>
            <w:vAlign w:val="center"/>
          </w:tcPr>
          <w:p w:rsidR="00D711B4" w:rsidRPr="0045565B" w:rsidP="00F73D0C">
            <w:pPr>
              <w:rPr>
                <w:rFonts w:eastAsiaTheme="minorEastAsia"/>
                <w:color w:val="000000"/>
                <w:szCs w:val="21"/>
              </w:rPr>
            </w:pPr>
            <w:r w:rsidRPr="0045565B">
              <w:rPr>
                <w:rFonts w:eastAsiaTheme="minorEastAsia"/>
                <w:color w:val="000000"/>
                <w:szCs w:val="21"/>
              </w:rPr>
              <w:t>衍生金融负债</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r>
      <w:tr w:rsidTr="0045565B">
        <w:tblPrEx>
          <w:tblW w:w="8998" w:type="dxa"/>
          <w:tblInd w:w="108" w:type="dxa"/>
          <w:tblLayout w:type="fixed"/>
          <w:tblLook w:val="00A0"/>
        </w:tblPrEx>
        <w:tc>
          <w:tcPr>
            <w:tcW w:w="3958" w:type="dxa"/>
            <w:vAlign w:val="center"/>
          </w:tcPr>
          <w:p w:rsidR="00D711B4" w:rsidRPr="0045565B" w:rsidP="00F73D0C">
            <w:pPr>
              <w:rPr>
                <w:rFonts w:eastAsiaTheme="minorEastAsia"/>
                <w:color w:val="000000"/>
                <w:szCs w:val="21"/>
              </w:rPr>
            </w:pPr>
            <w:r w:rsidRPr="0045565B">
              <w:rPr>
                <w:rFonts w:eastAsiaTheme="minorEastAsia"/>
                <w:color w:val="000000"/>
                <w:szCs w:val="21"/>
              </w:rPr>
              <w:t>卖出回购金融资产款</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r>
      <w:tr w:rsidTr="0045565B">
        <w:tblPrEx>
          <w:tblW w:w="8998" w:type="dxa"/>
          <w:tblInd w:w="108" w:type="dxa"/>
          <w:tblLayout w:type="fixed"/>
          <w:tblLook w:val="00A0"/>
        </w:tblPrEx>
        <w:tc>
          <w:tcPr>
            <w:tcW w:w="3958" w:type="dxa"/>
            <w:vAlign w:val="center"/>
          </w:tcPr>
          <w:p w:rsidR="00D711B4" w:rsidRPr="0045565B" w:rsidP="00F73D0C">
            <w:pPr>
              <w:rPr>
                <w:rFonts w:eastAsiaTheme="minorEastAsia"/>
                <w:color w:val="000000"/>
                <w:szCs w:val="21"/>
              </w:rPr>
            </w:pPr>
            <w:r w:rsidRPr="0045565B">
              <w:rPr>
                <w:rFonts w:eastAsiaTheme="minorEastAsia"/>
                <w:color w:val="000000"/>
                <w:szCs w:val="21"/>
              </w:rPr>
              <w:t>应付证券清算款</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822.00</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r>
      <w:tr w:rsidTr="0045565B">
        <w:tblPrEx>
          <w:tblW w:w="8998" w:type="dxa"/>
          <w:tblInd w:w="108" w:type="dxa"/>
          <w:tblLayout w:type="fixed"/>
          <w:tblLook w:val="00A0"/>
        </w:tblPrEx>
        <w:tc>
          <w:tcPr>
            <w:tcW w:w="3958" w:type="dxa"/>
            <w:vAlign w:val="center"/>
          </w:tcPr>
          <w:p w:rsidR="00D711B4" w:rsidRPr="0045565B" w:rsidP="00F73D0C">
            <w:pPr>
              <w:rPr>
                <w:rFonts w:eastAsiaTheme="minorEastAsia"/>
                <w:color w:val="000000"/>
                <w:szCs w:val="21"/>
              </w:rPr>
            </w:pPr>
            <w:r w:rsidRPr="0045565B">
              <w:rPr>
                <w:rFonts w:eastAsiaTheme="minorEastAsia"/>
                <w:color w:val="000000"/>
                <w:szCs w:val="21"/>
              </w:rPr>
              <w:t>应付赎回款</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517,058.93</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12,648.96</w:t>
            </w:r>
          </w:p>
        </w:tc>
      </w:tr>
      <w:tr w:rsidTr="0045565B">
        <w:tblPrEx>
          <w:tblW w:w="8998" w:type="dxa"/>
          <w:tblInd w:w="108" w:type="dxa"/>
          <w:tblLayout w:type="fixed"/>
          <w:tblLook w:val="00A0"/>
        </w:tblPrEx>
        <w:tc>
          <w:tcPr>
            <w:tcW w:w="3958" w:type="dxa"/>
            <w:vAlign w:val="center"/>
          </w:tcPr>
          <w:p w:rsidR="00D711B4" w:rsidRPr="0045565B" w:rsidP="00F73D0C">
            <w:pPr>
              <w:rPr>
                <w:rFonts w:eastAsiaTheme="minorEastAsia"/>
                <w:color w:val="000000"/>
                <w:szCs w:val="21"/>
              </w:rPr>
            </w:pPr>
            <w:r w:rsidRPr="0045565B">
              <w:rPr>
                <w:rFonts w:eastAsiaTheme="minorEastAsia"/>
                <w:color w:val="000000"/>
                <w:szCs w:val="21"/>
              </w:rPr>
              <w:t>应付管理人报酬</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20,644.03</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3,262.51</w:t>
            </w:r>
          </w:p>
        </w:tc>
      </w:tr>
      <w:tr w:rsidTr="0045565B">
        <w:tblPrEx>
          <w:tblW w:w="8998" w:type="dxa"/>
          <w:tblInd w:w="108" w:type="dxa"/>
          <w:tblLayout w:type="fixed"/>
          <w:tblLook w:val="00A0"/>
        </w:tblPrEx>
        <w:tc>
          <w:tcPr>
            <w:tcW w:w="3958" w:type="dxa"/>
            <w:vAlign w:val="center"/>
          </w:tcPr>
          <w:p w:rsidR="00D711B4" w:rsidRPr="0045565B" w:rsidP="00F73D0C">
            <w:pPr>
              <w:rPr>
                <w:rFonts w:eastAsiaTheme="minorEastAsia"/>
                <w:color w:val="000000"/>
                <w:szCs w:val="21"/>
              </w:rPr>
            </w:pPr>
            <w:r w:rsidRPr="0045565B">
              <w:rPr>
                <w:rFonts w:eastAsiaTheme="minorEastAsia"/>
                <w:color w:val="000000"/>
                <w:szCs w:val="21"/>
              </w:rPr>
              <w:t>应付托管费</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2,752.54</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435.00</w:t>
            </w:r>
          </w:p>
        </w:tc>
      </w:tr>
      <w:tr w:rsidTr="0045565B">
        <w:tblPrEx>
          <w:tblW w:w="8998" w:type="dxa"/>
          <w:tblInd w:w="108" w:type="dxa"/>
          <w:tblLayout w:type="fixed"/>
          <w:tblLook w:val="00A0"/>
        </w:tblPrEx>
        <w:tc>
          <w:tcPr>
            <w:tcW w:w="3958" w:type="dxa"/>
            <w:vAlign w:val="center"/>
          </w:tcPr>
          <w:p w:rsidR="00D711B4" w:rsidRPr="0045565B" w:rsidP="00F73D0C">
            <w:pPr>
              <w:rPr>
                <w:rFonts w:eastAsiaTheme="minorEastAsia"/>
                <w:color w:val="000000"/>
                <w:szCs w:val="21"/>
              </w:rPr>
            </w:pPr>
            <w:r w:rsidRPr="0045565B">
              <w:rPr>
                <w:rFonts w:eastAsiaTheme="minorEastAsia"/>
                <w:color w:val="000000"/>
                <w:szCs w:val="21"/>
              </w:rPr>
              <w:t>应付销售服务费</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3,063.26</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482.43</w:t>
            </w:r>
          </w:p>
        </w:tc>
      </w:tr>
      <w:tr w:rsidTr="0045565B">
        <w:tblPrEx>
          <w:tblW w:w="8998" w:type="dxa"/>
          <w:tblInd w:w="108" w:type="dxa"/>
          <w:tblLayout w:type="fixed"/>
          <w:tblLook w:val="00A0"/>
        </w:tblPrEx>
        <w:tc>
          <w:tcPr>
            <w:tcW w:w="3958" w:type="dxa"/>
            <w:vAlign w:val="center"/>
          </w:tcPr>
          <w:p w:rsidR="00D711B4" w:rsidRPr="0045565B" w:rsidP="00F73D0C">
            <w:pPr>
              <w:rPr>
                <w:rFonts w:eastAsiaTheme="minorEastAsia"/>
                <w:color w:val="000000"/>
                <w:szCs w:val="21"/>
              </w:rPr>
            </w:pPr>
            <w:r w:rsidRPr="0045565B">
              <w:rPr>
                <w:rFonts w:eastAsiaTheme="minorEastAsia"/>
                <w:color w:val="000000"/>
                <w:szCs w:val="21"/>
              </w:rPr>
              <w:t>应付交易费用</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26,133.47</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6,760.98</w:t>
            </w:r>
          </w:p>
        </w:tc>
      </w:tr>
      <w:tr w:rsidTr="0045565B">
        <w:tblPrEx>
          <w:tblW w:w="8998" w:type="dxa"/>
          <w:tblInd w:w="108" w:type="dxa"/>
          <w:tblLayout w:type="fixed"/>
          <w:tblLook w:val="00A0"/>
        </w:tblPrEx>
        <w:tc>
          <w:tcPr>
            <w:tcW w:w="3958" w:type="dxa"/>
            <w:vAlign w:val="center"/>
          </w:tcPr>
          <w:p w:rsidR="00D711B4" w:rsidRPr="0045565B" w:rsidP="00F73D0C">
            <w:pPr>
              <w:rPr>
                <w:rFonts w:eastAsiaTheme="minorEastAsia"/>
                <w:color w:val="000000"/>
                <w:szCs w:val="21"/>
              </w:rPr>
            </w:pPr>
            <w:r w:rsidRPr="0045565B">
              <w:rPr>
                <w:rFonts w:eastAsiaTheme="minorEastAsia"/>
                <w:color w:val="000000"/>
                <w:szCs w:val="21"/>
              </w:rPr>
              <w:t>应交税费</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r>
      <w:tr w:rsidTr="0045565B">
        <w:tblPrEx>
          <w:tblW w:w="8998" w:type="dxa"/>
          <w:tblInd w:w="108" w:type="dxa"/>
          <w:tblLayout w:type="fixed"/>
          <w:tblLook w:val="00A0"/>
        </w:tblPrEx>
        <w:tc>
          <w:tcPr>
            <w:tcW w:w="3958" w:type="dxa"/>
            <w:vAlign w:val="center"/>
          </w:tcPr>
          <w:p w:rsidR="00D711B4" w:rsidRPr="0045565B" w:rsidP="00F73D0C">
            <w:pPr>
              <w:rPr>
                <w:rFonts w:eastAsiaTheme="minorEastAsia"/>
                <w:color w:val="000000"/>
                <w:szCs w:val="21"/>
              </w:rPr>
            </w:pPr>
            <w:r w:rsidRPr="0045565B">
              <w:rPr>
                <w:rFonts w:eastAsiaTheme="minorEastAsia"/>
                <w:color w:val="000000"/>
                <w:szCs w:val="21"/>
              </w:rPr>
              <w:t>应付利息</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r>
      <w:tr w:rsidTr="0045565B">
        <w:tblPrEx>
          <w:tblW w:w="8998" w:type="dxa"/>
          <w:tblInd w:w="108" w:type="dxa"/>
          <w:tblLayout w:type="fixed"/>
          <w:tblLook w:val="00A0"/>
        </w:tblPrEx>
        <w:tc>
          <w:tcPr>
            <w:tcW w:w="3958" w:type="dxa"/>
            <w:vAlign w:val="center"/>
          </w:tcPr>
          <w:p w:rsidR="00D711B4" w:rsidRPr="0045565B" w:rsidP="00F73D0C">
            <w:pPr>
              <w:rPr>
                <w:rFonts w:eastAsiaTheme="minorEastAsia"/>
                <w:color w:val="000000"/>
                <w:szCs w:val="21"/>
              </w:rPr>
            </w:pPr>
            <w:r w:rsidRPr="0045565B">
              <w:rPr>
                <w:rFonts w:eastAsiaTheme="minorEastAsia"/>
                <w:color w:val="000000"/>
                <w:szCs w:val="21"/>
              </w:rPr>
              <w:t>应付利润</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r>
      <w:tr w:rsidTr="0045565B">
        <w:tblPrEx>
          <w:tblW w:w="8998" w:type="dxa"/>
          <w:tblInd w:w="108" w:type="dxa"/>
          <w:tblLayout w:type="fixed"/>
          <w:tblLook w:val="00A0"/>
        </w:tblPrEx>
        <w:tc>
          <w:tcPr>
            <w:tcW w:w="3958" w:type="dxa"/>
            <w:vAlign w:val="center"/>
          </w:tcPr>
          <w:p w:rsidR="00D711B4" w:rsidRPr="0045565B" w:rsidP="00F73D0C">
            <w:pPr>
              <w:rPr>
                <w:rFonts w:eastAsiaTheme="minorEastAsia"/>
                <w:color w:val="000000"/>
                <w:szCs w:val="21"/>
              </w:rPr>
            </w:pPr>
            <w:r w:rsidRPr="0045565B">
              <w:rPr>
                <w:rFonts w:eastAsiaTheme="minorEastAsia"/>
                <w:color w:val="000000"/>
                <w:szCs w:val="21"/>
              </w:rPr>
              <w:t>递延所得税负债</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w:t>
            </w:r>
          </w:p>
        </w:tc>
      </w:tr>
      <w:tr w:rsidTr="0045565B">
        <w:tblPrEx>
          <w:tblW w:w="8998" w:type="dxa"/>
          <w:tblInd w:w="108" w:type="dxa"/>
          <w:tblLayout w:type="fixed"/>
          <w:tblLook w:val="00A0"/>
        </w:tblPrEx>
        <w:tc>
          <w:tcPr>
            <w:tcW w:w="3958" w:type="dxa"/>
            <w:vAlign w:val="center"/>
          </w:tcPr>
          <w:p w:rsidR="00D711B4" w:rsidRPr="0045565B" w:rsidP="00F73D0C">
            <w:pPr>
              <w:rPr>
                <w:rFonts w:eastAsiaTheme="minorEastAsia"/>
                <w:color w:val="000000"/>
                <w:szCs w:val="21"/>
              </w:rPr>
            </w:pPr>
            <w:r w:rsidRPr="0045565B">
              <w:rPr>
                <w:rFonts w:eastAsiaTheme="minorEastAsia"/>
                <w:color w:val="000000"/>
                <w:szCs w:val="21"/>
              </w:rPr>
              <w:t>其他负债</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46,554.37</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32,500.00</w:t>
            </w:r>
          </w:p>
        </w:tc>
      </w:tr>
      <w:tr w:rsidTr="0045565B">
        <w:tblPrEx>
          <w:tblW w:w="8998" w:type="dxa"/>
          <w:tblInd w:w="108" w:type="dxa"/>
          <w:tblLayout w:type="fixed"/>
          <w:tblLook w:val="00A0"/>
        </w:tblPrEx>
        <w:tc>
          <w:tcPr>
            <w:tcW w:w="3958" w:type="dxa"/>
            <w:vAlign w:val="center"/>
          </w:tcPr>
          <w:p w:rsidR="00D711B4" w:rsidRPr="0045565B" w:rsidP="00F73D0C">
            <w:pPr>
              <w:pStyle w:val="NormalWeb"/>
              <w:jc w:val="both"/>
              <w:rPr>
                <w:rFonts w:ascii="Times New Roman" w:hAnsi="Times New Roman" w:eastAsiaTheme="minorEastAsia"/>
                <w:color w:val="000000"/>
                <w:sz w:val="21"/>
                <w:szCs w:val="21"/>
              </w:rPr>
            </w:pPr>
            <w:r w:rsidRPr="0045565B">
              <w:rPr>
                <w:rFonts w:ascii="Times New Roman" w:hAnsi="Times New Roman" w:eastAsiaTheme="minorEastAsia"/>
                <w:color w:val="000000"/>
                <w:sz w:val="21"/>
                <w:szCs w:val="21"/>
              </w:rPr>
              <w:t>负债合计</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617,028.60</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56,089.88</w:t>
            </w:r>
          </w:p>
        </w:tc>
      </w:tr>
      <w:tr w:rsidTr="0045565B">
        <w:tblPrEx>
          <w:tblW w:w="8998" w:type="dxa"/>
          <w:tblInd w:w="108" w:type="dxa"/>
          <w:tblLayout w:type="fixed"/>
          <w:tblLook w:val="00A0"/>
        </w:tblPrEx>
        <w:tc>
          <w:tcPr>
            <w:tcW w:w="3958" w:type="dxa"/>
            <w:vAlign w:val="center"/>
          </w:tcPr>
          <w:p w:rsidR="00D711B4" w:rsidRPr="0045565B" w:rsidP="00F73D0C">
            <w:pPr>
              <w:rPr>
                <w:rFonts w:eastAsiaTheme="minorEastAsia"/>
                <w:b/>
                <w:color w:val="000000"/>
                <w:szCs w:val="21"/>
              </w:rPr>
            </w:pPr>
            <w:r w:rsidRPr="0045565B">
              <w:rPr>
                <w:rFonts w:eastAsiaTheme="minorEastAsia"/>
                <w:b/>
                <w:color w:val="000000"/>
                <w:szCs w:val="21"/>
              </w:rPr>
              <w:t>所有者权益：</w:t>
            </w:r>
          </w:p>
        </w:tc>
        <w:tc>
          <w:tcPr>
            <w:tcW w:w="2520" w:type="dxa"/>
            <w:vAlign w:val="bottom"/>
          </w:tcPr>
          <w:p w:rsidR="00D711B4" w:rsidRPr="0045565B">
            <w:pPr>
              <w:jc w:val="right"/>
              <w:rPr>
                <w:rFonts w:eastAsiaTheme="minorEastAsia"/>
                <w:b/>
                <w:color w:val="000000"/>
                <w:szCs w:val="21"/>
              </w:rPr>
            </w:pPr>
            <w:r w:rsidRPr="0045565B">
              <w:rPr>
                <w:rFonts w:eastAsiaTheme="minorEastAsia"/>
                <w:b/>
                <w:color w:val="000000"/>
                <w:szCs w:val="21"/>
              </w:rPr>
              <w:t>-</w:t>
            </w:r>
          </w:p>
        </w:tc>
        <w:tc>
          <w:tcPr>
            <w:tcW w:w="2520" w:type="dxa"/>
            <w:vAlign w:val="bottom"/>
          </w:tcPr>
          <w:p w:rsidR="00D711B4" w:rsidRPr="0045565B">
            <w:pPr>
              <w:jc w:val="right"/>
              <w:rPr>
                <w:rFonts w:eastAsiaTheme="minorEastAsia"/>
                <w:b/>
                <w:color w:val="000000"/>
                <w:szCs w:val="21"/>
              </w:rPr>
            </w:pPr>
            <w:r w:rsidRPr="0045565B">
              <w:rPr>
                <w:rFonts w:eastAsiaTheme="minorEastAsia"/>
                <w:b/>
                <w:color w:val="000000"/>
                <w:szCs w:val="21"/>
              </w:rPr>
              <w:t>-</w:t>
            </w:r>
          </w:p>
        </w:tc>
      </w:tr>
      <w:tr w:rsidTr="0045565B">
        <w:tblPrEx>
          <w:tblW w:w="8998" w:type="dxa"/>
          <w:tblInd w:w="108" w:type="dxa"/>
          <w:tblLayout w:type="fixed"/>
          <w:tblLook w:val="00A0"/>
        </w:tblPrEx>
        <w:tc>
          <w:tcPr>
            <w:tcW w:w="3958" w:type="dxa"/>
            <w:vAlign w:val="center"/>
          </w:tcPr>
          <w:p w:rsidR="00D711B4" w:rsidRPr="0045565B" w:rsidP="00F73D0C">
            <w:pPr>
              <w:rPr>
                <w:rFonts w:eastAsiaTheme="minorEastAsia"/>
                <w:color w:val="000000"/>
                <w:szCs w:val="21"/>
              </w:rPr>
            </w:pPr>
            <w:r w:rsidRPr="0045565B">
              <w:rPr>
                <w:rFonts w:eastAsiaTheme="minorEastAsia"/>
                <w:color w:val="000000"/>
                <w:szCs w:val="21"/>
              </w:rPr>
              <w:t>实收基金</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14,314,939.73</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3,055,983.29</w:t>
            </w:r>
          </w:p>
        </w:tc>
      </w:tr>
      <w:tr w:rsidTr="0045565B">
        <w:tblPrEx>
          <w:tblW w:w="8998" w:type="dxa"/>
          <w:tblInd w:w="108" w:type="dxa"/>
          <w:tblLayout w:type="fixed"/>
          <w:tblLook w:val="00A0"/>
        </w:tblPrEx>
        <w:tc>
          <w:tcPr>
            <w:tcW w:w="3958" w:type="dxa"/>
            <w:vAlign w:val="center"/>
          </w:tcPr>
          <w:p w:rsidR="00D711B4" w:rsidRPr="0045565B" w:rsidP="00F73D0C">
            <w:pPr>
              <w:rPr>
                <w:rFonts w:eastAsiaTheme="minorEastAsia"/>
                <w:color w:val="000000"/>
                <w:szCs w:val="21"/>
              </w:rPr>
            </w:pPr>
            <w:r w:rsidRPr="0045565B">
              <w:rPr>
                <w:rFonts w:eastAsiaTheme="minorEastAsia"/>
                <w:color w:val="000000"/>
                <w:szCs w:val="21"/>
              </w:rPr>
              <w:t>未分配利润</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1,351,006.36</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-341,087.28</w:t>
            </w:r>
          </w:p>
        </w:tc>
      </w:tr>
      <w:tr w:rsidTr="0045565B">
        <w:tblPrEx>
          <w:tblW w:w="8998" w:type="dxa"/>
          <w:tblInd w:w="108" w:type="dxa"/>
          <w:tblLayout w:type="fixed"/>
          <w:tblLook w:val="00A0"/>
        </w:tblPrEx>
        <w:tc>
          <w:tcPr>
            <w:tcW w:w="3958" w:type="dxa"/>
            <w:vAlign w:val="center"/>
          </w:tcPr>
          <w:p w:rsidR="00D711B4" w:rsidRPr="0045565B" w:rsidP="00F73D0C">
            <w:pPr>
              <w:rPr>
                <w:rFonts w:eastAsiaTheme="minorEastAsia"/>
                <w:color w:val="000000"/>
                <w:szCs w:val="21"/>
              </w:rPr>
            </w:pPr>
            <w:r w:rsidRPr="0045565B">
              <w:rPr>
                <w:rFonts w:eastAsiaTheme="minorEastAsia"/>
                <w:color w:val="000000"/>
                <w:szCs w:val="21"/>
              </w:rPr>
              <w:t>所有者权益合计</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15,665,946.09</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2,714,896.01</w:t>
            </w:r>
          </w:p>
        </w:tc>
      </w:tr>
      <w:tr w:rsidTr="0045565B">
        <w:tblPrEx>
          <w:tblW w:w="8998" w:type="dxa"/>
          <w:tblInd w:w="108" w:type="dxa"/>
          <w:tblLayout w:type="fixed"/>
          <w:tblLook w:val="00A0"/>
        </w:tblPrEx>
        <w:tc>
          <w:tcPr>
            <w:tcW w:w="3958" w:type="dxa"/>
            <w:vAlign w:val="center"/>
          </w:tcPr>
          <w:p w:rsidR="00D711B4" w:rsidRPr="0045565B" w:rsidP="00F73D0C">
            <w:pPr>
              <w:rPr>
                <w:rFonts w:eastAsiaTheme="minorEastAsia"/>
                <w:color w:val="000000"/>
                <w:szCs w:val="21"/>
              </w:rPr>
            </w:pPr>
            <w:r w:rsidRPr="0045565B">
              <w:rPr>
                <w:rFonts w:eastAsiaTheme="minorEastAsia"/>
                <w:color w:val="000000"/>
                <w:szCs w:val="21"/>
              </w:rPr>
              <w:t>负债和所有者权益总计</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16,282,974.69</w:t>
            </w:r>
          </w:p>
        </w:tc>
        <w:tc>
          <w:tcPr>
            <w:tcW w:w="2520" w:type="dxa"/>
            <w:vAlign w:val="bottom"/>
          </w:tcPr>
          <w:p w:rsidR="00D711B4" w:rsidRPr="0045565B">
            <w:pPr>
              <w:jc w:val="right"/>
              <w:rPr>
                <w:rFonts w:eastAsiaTheme="minorEastAsia"/>
                <w:color w:val="000000"/>
                <w:szCs w:val="21"/>
              </w:rPr>
            </w:pPr>
            <w:r w:rsidRPr="0045565B">
              <w:rPr>
                <w:rFonts w:eastAsiaTheme="minorEastAsia"/>
                <w:color w:val="000000"/>
                <w:szCs w:val="21"/>
              </w:rPr>
              <w:t>2,770,985.89</w:t>
            </w:r>
          </w:p>
        </w:tc>
      </w:tr>
    </w:tbl>
    <w:p w:rsidR="001548F9" w:rsidRPr="0045565B" w:rsidP="0045565B">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注：截至本报告期末2019年6月30日，基金份额总额14,314,939.73份；其中金鹰医疗健康A基金份额净值1.0649元，份额总额6,694,772.77份，金鹰医疗健康C基金份额净值1.1203元，份额总额7,620,166.96份。</w:t>
      </w:r>
    </w:p>
    <w:p w:rsidR="001548F9" w:rsidRPr="0045565B" w:rsidP="0045565B">
      <w:pPr>
        <w:pStyle w:val="Heading2"/>
        <w:spacing w:before="312" w:beforeLines="100" w:after="0"/>
        <w:rPr>
          <w:rFonts w:ascii="Times New Roman" w:hAnsi="Times New Roman" w:eastAsiaTheme="minorEastAsia"/>
          <w:kern w:val="0"/>
          <w:sz w:val="21"/>
          <w:szCs w:val="21"/>
        </w:rPr>
      </w:pPr>
      <w:bookmarkStart w:id="46" w:name="_Toc331410098"/>
      <w:bookmarkStart w:id="47" w:name="_Toc225498269"/>
      <w:r w:rsidRPr="0045565B">
        <w:rPr>
          <w:rFonts w:ascii="Times New Roman" w:hAnsi="Times New Roman" w:eastAsiaTheme="minorEastAsia"/>
          <w:kern w:val="0"/>
          <w:sz w:val="21"/>
          <w:szCs w:val="21"/>
        </w:rPr>
        <w:t xml:space="preserve">6.2 </w:t>
      </w:r>
      <w:r w:rsidRPr="0045565B">
        <w:rPr>
          <w:rFonts w:ascii="Times New Roman" w:hAnsi="Times New Roman" w:eastAsiaTheme="minorEastAsia"/>
          <w:kern w:val="0"/>
          <w:sz w:val="21"/>
          <w:szCs w:val="21"/>
        </w:rPr>
        <w:t>利润表</w:t>
      </w:r>
      <w:bookmarkEnd w:id="46"/>
      <w:bookmarkEnd w:id="47"/>
    </w:p>
    <w:p w:rsidR="001548F9" w:rsidRPr="0045565B" w:rsidP="00D24622">
      <w:pPr>
        <w:spacing w:line="360" w:lineRule="auto"/>
        <w:rPr>
          <w:rFonts w:eastAsiaTheme="minorEastAsia"/>
          <w:kern w:val="0"/>
          <w:szCs w:val="21"/>
        </w:rPr>
      </w:pPr>
      <w:r w:rsidRPr="0045565B">
        <w:rPr>
          <w:rFonts w:eastAsiaTheme="minorEastAsia"/>
          <w:color w:val="000000"/>
          <w:szCs w:val="21"/>
        </w:rPr>
        <w:t>会计主体：</w:t>
      </w:r>
      <w:r w:rsidRPr="0045565B">
        <w:rPr>
          <w:rFonts w:eastAsiaTheme="minorEastAsia"/>
          <w:kern w:val="0"/>
          <w:szCs w:val="21"/>
        </w:rPr>
        <w:t>金鹰医疗健康产业股票型证券投资基金</w:t>
      </w:r>
    </w:p>
    <w:p w:rsidR="001548F9" w:rsidRPr="0045565B" w:rsidP="00D24622">
      <w:pPr>
        <w:spacing w:line="360" w:lineRule="auto"/>
        <w:rPr>
          <w:rFonts w:eastAsiaTheme="minorEastAsia"/>
          <w:color w:val="000000"/>
          <w:kern w:val="0"/>
          <w:szCs w:val="21"/>
        </w:rPr>
      </w:pPr>
      <w:r w:rsidRPr="0045565B">
        <w:rPr>
          <w:rFonts w:eastAsiaTheme="minorEastAsia"/>
          <w:color w:val="000000"/>
          <w:szCs w:val="21"/>
        </w:rPr>
        <w:t>本报告期：</w:t>
      </w:r>
      <w:r w:rsidRPr="0045565B">
        <w:rPr>
          <w:rFonts w:eastAsiaTheme="minorEastAsia"/>
          <w:kern w:val="0"/>
          <w:szCs w:val="21"/>
        </w:rPr>
        <w:t>2019年1月1日</w:t>
      </w:r>
      <w:r w:rsidRPr="0045565B">
        <w:rPr>
          <w:rFonts w:eastAsiaTheme="minorEastAsia"/>
          <w:kern w:val="0"/>
          <w:szCs w:val="21"/>
        </w:rPr>
        <w:t>至</w:t>
      </w:r>
      <w:r w:rsidRPr="0045565B">
        <w:rPr>
          <w:rFonts w:eastAsiaTheme="minorEastAsia"/>
          <w:kern w:val="0"/>
          <w:szCs w:val="21"/>
        </w:rPr>
        <w:t>2019年6月30日</w:t>
      </w:r>
    </w:p>
    <w:p w:rsidR="001548F9" w:rsidRPr="0045565B" w:rsidP="006D141C">
      <w:pPr>
        <w:autoSpaceDE w:val="0"/>
        <w:autoSpaceDN w:val="0"/>
        <w:adjustRightInd w:val="0"/>
        <w:spacing w:before="29" w:line="288" w:lineRule="auto"/>
        <w:ind w:left="15"/>
        <w:jc w:val="right"/>
        <w:rPr>
          <w:rFonts w:eastAsiaTheme="minorEastAsia"/>
          <w:color w:val="000000"/>
          <w:kern w:val="0"/>
          <w:szCs w:val="21"/>
        </w:rPr>
      </w:pPr>
      <w:r w:rsidRPr="0045565B">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20"/>
        <w:gridCol w:w="1080"/>
        <w:gridCol w:w="2250"/>
        <w:gridCol w:w="2250"/>
      </w:tblGrid>
      <w:tr w:rsidTr="000B3954">
        <w:tblPrEx>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3420" w:type="dxa"/>
            <w:vAlign w:val="center"/>
          </w:tcPr>
          <w:p w:rsidR="00CC45C6" w:rsidRPr="007715BA" w:rsidP="000B3954">
            <w:pPr>
              <w:pStyle w:val="NormalWeb"/>
              <w:jc w:val="center"/>
              <w:rPr>
                <w:rFonts w:ascii="Times New Roman" w:hAnsi="Times New Roman" w:eastAsiaTheme="minorEastAsia"/>
                <w:b/>
                <w:color w:val="000000"/>
                <w:sz w:val="21"/>
                <w:szCs w:val="21"/>
              </w:rPr>
            </w:pPr>
            <w:r w:rsidRPr="007715BA">
              <w:rPr>
                <w:rFonts w:ascii="Times New Roman" w:hAnsi="Times New Roman" w:eastAsiaTheme="minorEastAsia"/>
                <w:b/>
                <w:color w:val="000000"/>
                <w:sz w:val="21"/>
                <w:szCs w:val="21"/>
              </w:rPr>
              <w:t>项目</w:t>
            </w:r>
          </w:p>
        </w:tc>
        <w:tc>
          <w:tcPr>
            <w:tcW w:w="1080" w:type="dxa"/>
            <w:vAlign w:val="center"/>
          </w:tcPr>
          <w:p w:rsidR="00CC45C6" w:rsidRPr="007715BA" w:rsidP="000B3954">
            <w:pPr>
              <w:pStyle w:val="NormalWeb"/>
              <w:spacing w:before="0" w:beforeAutospacing="0" w:after="0" w:afterAutospacing="0"/>
              <w:jc w:val="center"/>
              <w:rPr>
                <w:rFonts w:ascii="Times New Roman" w:hAnsi="Times New Roman" w:eastAsiaTheme="minorEastAsia"/>
                <w:b/>
                <w:color w:val="000000"/>
                <w:sz w:val="21"/>
                <w:szCs w:val="21"/>
              </w:rPr>
            </w:pPr>
            <w:r w:rsidRPr="007715BA">
              <w:rPr>
                <w:rFonts w:ascii="Times New Roman" w:hAnsi="Times New Roman" w:eastAsiaTheme="minorEastAsia"/>
                <w:b/>
                <w:color w:val="000000"/>
                <w:sz w:val="21"/>
                <w:szCs w:val="21"/>
              </w:rPr>
              <w:t>附注号</w:t>
            </w:r>
          </w:p>
        </w:tc>
        <w:tc>
          <w:tcPr>
            <w:tcW w:w="2250" w:type="dxa"/>
            <w:vAlign w:val="center"/>
          </w:tcPr>
          <w:p w:rsidR="00CC45C6" w:rsidRPr="007715BA" w:rsidP="000B3954">
            <w:pPr>
              <w:pStyle w:val="NormalWeb"/>
              <w:spacing w:before="0" w:beforeAutospacing="0" w:after="0" w:afterAutospacing="0"/>
              <w:jc w:val="center"/>
              <w:rPr>
                <w:rFonts w:ascii="Times New Roman" w:hAnsi="Times New Roman" w:eastAsiaTheme="minorEastAsia"/>
                <w:b/>
                <w:color w:val="000000"/>
                <w:sz w:val="21"/>
                <w:szCs w:val="21"/>
              </w:rPr>
            </w:pPr>
            <w:r w:rsidRPr="007715BA">
              <w:rPr>
                <w:rFonts w:ascii="Times New Roman" w:hAnsi="Times New Roman" w:eastAsiaTheme="minorEastAsia"/>
                <w:b/>
                <w:color w:val="000000"/>
                <w:sz w:val="21"/>
                <w:szCs w:val="21"/>
              </w:rPr>
              <w:t>本期</w:t>
            </w:r>
          </w:p>
          <w:p w:rsidR="00CC45C6" w:rsidRPr="007715BA" w:rsidP="000B3954">
            <w:pPr>
              <w:pStyle w:val="NormalWeb"/>
              <w:spacing w:before="0" w:beforeAutospacing="0" w:after="0" w:afterAutospacing="0"/>
              <w:jc w:val="center"/>
              <w:rPr>
                <w:rFonts w:ascii="Times New Roman" w:hAnsi="Times New Roman" w:eastAsiaTheme="minorEastAsia"/>
                <w:b/>
                <w:color w:val="000000"/>
                <w:sz w:val="21"/>
                <w:szCs w:val="21"/>
              </w:rPr>
            </w:pPr>
            <w:r w:rsidRPr="007715BA">
              <w:rPr>
                <w:rFonts w:ascii="Times New Roman" w:hAnsi="Times New Roman" w:eastAsiaTheme="minorEastAsia"/>
                <w:b/>
                <w:sz w:val="21"/>
                <w:szCs w:val="21"/>
              </w:rPr>
              <w:t>2019年1月1日</w:t>
            </w:r>
            <w:r w:rsidRPr="007715BA">
              <w:rPr>
                <w:rFonts w:ascii="Times New Roman" w:hAnsi="Times New Roman" w:eastAsiaTheme="minorEastAsia"/>
                <w:b/>
                <w:sz w:val="21"/>
                <w:szCs w:val="21"/>
              </w:rPr>
              <w:t>至</w:t>
            </w:r>
            <w:r w:rsidRPr="007715BA">
              <w:rPr>
                <w:rFonts w:ascii="Times New Roman" w:hAnsi="Times New Roman" w:eastAsiaTheme="minorEastAsia"/>
                <w:b/>
                <w:sz w:val="21"/>
                <w:szCs w:val="21"/>
              </w:rPr>
              <w:t>2019年6月30日</w:t>
            </w:r>
          </w:p>
        </w:tc>
        <w:tc>
          <w:tcPr>
            <w:tcW w:w="2250" w:type="dxa"/>
            <w:vAlign w:val="center"/>
          </w:tcPr>
          <w:p w:rsidR="00CC45C6" w:rsidRPr="007715BA" w:rsidP="000B3954">
            <w:pPr>
              <w:pStyle w:val="NormalWeb"/>
              <w:spacing w:before="0" w:beforeAutospacing="0" w:after="0" w:afterAutospacing="0"/>
              <w:jc w:val="center"/>
              <w:rPr>
                <w:rFonts w:ascii="Times New Roman" w:hAnsi="Times New Roman" w:eastAsiaTheme="minorEastAsia"/>
                <w:b/>
                <w:color w:val="000000"/>
                <w:sz w:val="21"/>
                <w:szCs w:val="21"/>
              </w:rPr>
            </w:pPr>
            <w:r w:rsidRPr="007715BA">
              <w:rPr>
                <w:rFonts w:ascii="Times New Roman" w:hAnsi="Times New Roman" w:eastAsiaTheme="minorEastAsia"/>
                <w:b/>
                <w:color w:val="000000"/>
                <w:sz w:val="21"/>
                <w:szCs w:val="21"/>
              </w:rPr>
              <w:t>上年度可比期间</w:t>
            </w:r>
          </w:p>
          <w:p w:rsidR="00CC45C6" w:rsidRPr="007715BA" w:rsidP="000B3954">
            <w:pPr>
              <w:pStyle w:val="NormalWeb"/>
              <w:spacing w:before="0" w:beforeAutospacing="0" w:after="0" w:afterAutospacing="0"/>
              <w:jc w:val="center"/>
              <w:rPr>
                <w:rFonts w:ascii="Times New Roman" w:hAnsi="Times New Roman" w:eastAsiaTheme="minorEastAsia"/>
                <w:color w:val="000000"/>
                <w:sz w:val="21"/>
                <w:szCs w:val="21"/>
              </w:rPr>
            </w:pPr>
            <w:r w:rsidRPr="007715BA">
              <w:rPr>
                <w:rFonts w:ascii="Times New Roman" w:hAnsi="Times New Roman" w:eastAsiaTheme="minorEastAsia"/>
                <w:b/>
                <w:color w:val="000000"/>
                <w:sz w:val="21"/>
                <w:szCs w:val="21"/>
              </w:rPr>
              <w:t>2018年4月13日（基金合同生效日）至2018年6月30日</w:t>
            </w:r>
          </w:p>
        </w:tc>
      </w:tr>
      <w:tr w:rsidTr="000B3954">
        <w:tblPrEx>
          <w:tblW w:w="9000" w:type="dxa"/>
          <w:tblInd w:w="108" w:type="dxa"/>
          <w:tblLayout w:type="fixed"/>
          <w:tblLook w:val="00A0"/>
        </w:tblPrEx>
        <w:tc>
          <w:tcPr>
            <w:tcW w:w="3420" w:type="dxa"/>
            <w:vAlign w:val="center"/>
          </w:tcPr>
          <w:p w:rsidR="00CC45C6" w:rsidRPr="007715BA" w:rsidP="000B3954">
            <w:pPr>
              <w:rPr>
                <w:rFonts w:eastAsiaTheme="minorEastAsia"/>
                <w:b/>
                <w:color w:val="000000"/>
                <w:szCs w:val="21"/>
              </w:rPr>
            </w:pPr>
            <w:r w:rsidRPr="007715BA">
              <w:rPr>
                <w:rFonts w:eastAsiaTheme="minorEastAsia"/>
                <w:b/>
                <w:color w:val="000000"/>
                <w:szCs w:val="21"/>
              </w:rPr>
              <w:t>一、收入</w:t>
            </w:r>
          </w:p>
        </w:tc>
        <w:tc>
          <w:tcPr>
            <w:tcW w:w="1080" w:type="dxa"/>
            <w:vAlign w:val="center"/>
          </w:tcPr>
          <w:p w:rsidR="00CC45C6" w:rsidRPr="007715BA" w:rsidP="000B3954">
            <w:pPr>
              <w:pStyle w:val="NormalWeb"/>
              <w:jc w:val="center"/>
              <w:rPr>
                <w:rFonts w:ascii="Times New Roman" w:hAnsi="Times New Roman" w:eastAsiaTheme="minorEastAsia"/>
                <w:b/>
                <w:color w:val="000000"/>
                <w:sz w:val="21"/>
                <w:szCs w:val="21"/>
              </w:rPr>
            </w:pPr>
          </w:p>
        </w:tc>
        <w:tc>
          <w:tcPr>
            <w:tcW w:w="2250" w:type="dxa"/>
            <w:vAlign w:val="bottom"/>
          </w:tcPr>
          <w:p w:rsidR="00CC45C6" w:rsidRPr="007715BA" w:rsidP="000B3954">
            <w:pPr>
              <w:jc w:val="right"/>
              <w:rPr>
                <w:rFonts w:eastAsiaTheme="minorEastAsia"/>
                <w:b/>
                <w:color w:val="000000"/>
                <w:szCs w:val="21"/>
              </w:rPr>
            </w:pPr>
            <w:r w:rsidRPr="007715BA">
              <w:rPr>
                <w:rFonts w:eastAsiaTheme="minorEastAsia"/>
                <w:b/>
                <w:color w:val="000000"/>
                <w:szCs w:val="21"/>
              </w:rPr>
              <w:t>-658,411.10</w:t>
            </w:r>
          </w:p>
        </w:tc>
        <w:tc>
          <w:tcPr>
            <w:tcW w:w="2250" w:type="dxa"/>
            <w:vAlign w:val="bottom"/>
          </w:tcPr>
          <w:p w:rsidR="00CC45C6" w:rsidRPr="007715BA" w:rsidP="000B3954">
            <w:pPr>
              <w:jc w:val="right"/>
              <w:rPr>
                <w:rFonts w:eastAsiaTheme="minorEastAsia"/>
                <w:b/>
                <w:color w:val="000000"/>
                <w:szCs w:val="21"/>
              </w:rPr>
            </w:pPr>
            <w:r w:rsidRPr="007715BA">
              <w:rPr>
                <w:rFonts w:eastAsiaTheme="minorEastAsia"/>
                <w:b/>
                <w:color w:val="000000"/>
                <w:szCs w:val="21"/>
              </w:rPr>
              <w:t>18,036.56</w:t>
            </w:r>
          </w:p>
        </w:tc>
      </w:tr>
      <w:tr w:rsidTr="000B3954">
        <w:tblPrEx>
          <w:tblW w:w="9000" w:type="dxa"/>
          <w:tblInd w:w="108" w:type="dxa"/>
          <w:tblLayout w:type="fixed"/>
          <w:tblLook w:val="00A0"/>
        </w:tblPrEx>
        <w:tc>
          <w:tcPr>
            <w:tcW w:w="3420" w:type="dxa"/>
            <w:vAlign w:val="center"/>
          </w:tcPr>
          <w:p w:rsidR="00CC45C6" w:rsidRPr="007715BA" w:rsidP="000B3954">
            <w:pPr>
              <w:rPr>
                <w:rFonts w:eastAsiaTheme="minorEastAsia"/>
                <w:color w:val="000000"/>
                <w:szCs w:val="21"/>
              </w:rPr>
            </w:pPr>
            <w:r w:rsidRPr="007715BA">
              <w:rPr>
                <w:rFonts w:eastAsiaTheme="minorEastAsia"/>
                <w:color w:val="000000"/>
                <w:szCs w:val="21"/>
              </w:rPr>
              <w:t>1.</w:t>
            </w:r>
            <w:r w:rsidRPr="007715BA">
              <w:rPr>
                <w:rFonts w:eastAsiaTheme="minorEastAsia"/>
                <w:color w:val="000000"/>
                <w:szCs w:val="21"/>
              </w:rPr>
              <w:t>利息收入</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6,989.99</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9,599.23</w:t>
            </w:r>
          </w:p>
        </w:tc>
      </w:tr>
      <w:tr w:rsidTr="000B3954">
        <w:tblPrEx>
          <w:tblW w:w="9000" w:type="dxa"/>
          <w:tblInd w:w="108" w:type="dxa"/>
          <w:tblLayout w:type="fixed"/>
          <w:tblLook w:val="00A0"/>
        </w:tblPrEx>
        <w:tc>
          <w:tcPr>
            <w:tcW w:w="3420" w:type="dxa"/>
            <w:vAlign w:val="center"/>
          </w:tcPr>
          <w:p w:rsidR="00CC45C6" w:rsidRPr="007715BA" w:rsidP="000B3954">
            <w:pPr>
              <w:rPr>
                <w:rFonts w:eastAsiaTheme="minorEastAsia"/>
                <w:color w:val="000000"/>
                <w:szCs w:val="21"/>
              </w:rPr>
            </w:pPr>
            <w:r w:rsidRPr="007715BA">
              <w:rPr>
                <w:rFonts w:eastAsiaTheme="minorEastAsia"/>
                <w:color w:val="000000"/>
                <w:szCs w:val="21"/>
              </w:rPr>
              <w:t>其中：存款利息收入</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r w:rsidRPr="007715BA">
              <w:rPr>
                <w:rFonts w:ascii="Times New Roman" w:hAnsi="Times New Roman" w:eastAsiaTheme="minorEastAsia"/>
                <w:color w:val="000000"/>
                <w:sz w:val="21"/>
                <w:szCs w:val="21"/>
              </w:rPr>
              <w:t>6.4.7.11</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6,989.99</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4,121.41</w:t>
            </w:r>
          </w:p>
        </w:tc>
      </w:tr>
      <w:tr w:rsidTr="000B3954">
        <w:tblPrEx>
          <w:tblW w:w="9000" w:type="dxa"/>
          <w:tblInd w:w="108" w:type="dxa"/>
          <w:tblLayout w:type="fixed"/>
          <w:tblLook w:val="00A0"/>
        </w:tblPrEx>
        <w:tc>
          <w:tcPr>
            <w:tcW w:w="3420" w:type="dxa"/>
            <w:vAlign w:val="center"/>
          </w:tcPr>
          <w:p w:rsidR="00CC45C6" w:rsidRPr="007715BA" w:rsidP="000B3954">
            <w:pPr>
              <w:ind w:firstLine="630" w:firstLineChars="300"/>
              <w:rPr>
                <w:rFonts w:eastAsiaTheme="minorEastAsia"/>
                <w:color w:val="000000"/>
                <w:szCs w:val="21"/>
              </w:rPr>
            </w:pPr>
            <w:r w:rsidRPr="007715BA">
              <w:rPr>
                <w:rFonts w:eastAsiaTheme="minorEastAsia"/>
                <w:color w:val="000000"/>
                <w:szCs w:val="21"/>
              </w:rPr>
              <w:t>债券利息收入</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1,332.02</w:t>
            </w:r>
          </w:p>
        </w:tc>
      </w:tr>
      <w:tr w:rsidTr="000B3954">
        <w:tblPrEx>
          <w:tblW w:w="9000" w:type="dxa"/>
          <w:tblInd w:w="108" w:type="dxa"/>
          <w:tblLayout w:type="fixed"/>
          <w:tblLook w:val="00A0"/>
        </w:tblPrEx>
        <w:tc>
          <w:tcPr>
            <w:tcW w:w="3420" w:type="dxa"/>
            <w:vAlign w:val="center"/>
          </w:tcPr>
          <w:p w:rsidR="00CC45C6" w:rsidRPr="007715BA" w:rsidP="000B3954">
            <w:pPr>
              <w:ind w:firstLine="630" w:firstLineChars="300"/>
              <w:rPr>
                <w:rFonts w:eastAsiaTheme="minorEastAsia"/>
                <w:color w:val="000000"/>
                <w:szCs w:val="21"/>
              </w:rPr>
            </w:pPr>
            <w:r w:rsidRPr="007715BA">
              <w:rPr>
                <w:rFonts w:eastAsiaTheme="minorEastAsia"/>
                <w:color w:val="000000"/>
                <w:szCs w:val="21"/>
              </w:rPr>
              <w:t>资产支持证券利息收入</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w:t>
            </w:r>
          </w:p>
        </w:tc>
      </w:tr>
      <w:tr w:rsidTr="000B3954">
        <w:tblPrEx>
          <w:tblW w:w="9000" w:type="dxa"/>
          <w:tblInd w:w="108" w:type="dxa"/>
          <w:tblLayout w:type="fixed"/>
          <w:tblLook w:val="00A0"/>
        </w:tblPrEx>
        <w:tc>
          <w:tcPr>
            <w:tcW w:w="3420" w:type="dxa"/>
            <w:vAlign w:val="center"/>
          </w:tcPr>
          <w:p w:rsidR="00CC45C6" w:rsidRPr="007715BA" w:rsidP="000B3954">
            <w:pPr>
              <w:ind w:firstLine="630" w:firstLineChars="300"/>
              <w:rPr>
                <w:rFonts w:eastAsiaTheme="minorEastAsia"/>
                <w:color w:val="000000"/>
                <w:szCs w:val="21"/>
              </w:rPr>
            </w:pPr>
            <w:r w:rsidRPr="007715BA">
              <w:rPr>
                <w:rFonts w:eastAsiaTheme="minorEastAsia"/>
                <w:color w:val="000000"/>
                <w:szCs w:val="21"/>
              </w:rPr>
              <w:t>买入返售金融资产收入</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4,145.80</w:t>
            </w:r>
          </w:p>
        </w:tc>
      </w:tr>
      <w:tr w:rsidTr="000B3954">
        <w:tblPrEx>
          <w:tblW w:w="9000" w:type="dxa"/>
          <w:tblInd w:w="108" w:type="dxa"/>
          <w:tblLayout w:type="fixed"/>
          <w:tblLook w:val="00A0"/>
        </w:tblPrEx>
        <w:tc>
          <w:tcPr>
            <w:tcW w:w="3420" w:type="dxa"/>
            <w:vAlign w:val="center"/>
          </w:tcPr>
          <w:p w:rsidR="00CC45C6" w:rsidRPr="007715BA" w:rsidP="000B3954">
            <w:pPr>
              <w:ind w:firstLine="630" w:firstLineChars="300"/>
              <w:rPr>
                <w:rFonts w:eastAsiaTheme="minorEastAsia"/>
                <w:color w:val="000000"/>
                <w:szCs w:val="21"/>
              </w:rPr>
            </w:pPr>
            <w:r w:rsidRPr="007715BA">
              <w:rPr>
                <w:rFonts w:eastAsiaTheme="minorEastAsia"/>
                <w:color w:val="000000"/>
                <w:szCs w:val="21"/>
              </w:rPr>
              <w:t>其他利息收入</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w:t>
            </w:r>
          </w:p>
        </w:tc>
      </w:tr>
      <w:tr w:rsidTr="000B3954">
        <w:tblPrEx>
          <w:tblW w:w="9000" w:type="dxa"/>
          <w:tblInd w:w="108" w:type="dxa"/>
          <w:tblLayout w:type="fixed"/>
          <w:tblLook w:val="00A0"/>
        </w:tblPrEx>
        <w:tc>
          <w:tcPr>
            <w:tcW w:w="3420" w:type="dxa"/>
            <w:vAlign w:val="center"/>
          </w:tcPr>
          <w:p w:rsidR="00CC45C6" w:rsidRPr="007715BA" w:rsidP="000B3954">
            <w:pPr>
              <w:rPr>
                <w:rFonts w:eastAsiaTheme="minorEastAsia"/>
                <w:color w:val="000000"/>
                <w:szCs w:val="21"/>
              </w:rPr>
            </w:pPr>
            <w:r w:rsidRPr="007715BA">
              <w:rPr>
                <w:rFonts w:eastAsiaTheme="minorEastAsia"/>
                <w:color w:val="000000"/>
                <w:szCs w:val="21"/>
              </w:rPr>
              <w:t>2.</w:t>
            </w:r>
            <w:r w:rsidRPr="007715BA">
              <w:rPr>
                <w:rFonts w:eastAsiaTheme="minorEastAsia"/>
                <w:color w:val="000000"/>
                <w:szCs w:val="21"/>
              </w:rPr>
              <w:t>投资收益（损失以</w:t>
            </w:r>
            <w:r w:rsidRPr="007715BA">
              <w:rPr>
                <w:rFonts w:eastAsiaTheme="minorEastAsia"/>
                <w:color w:val="000000"/>
                <w:szCs w:val="21"/>
              </w:rPr>
              <w:t>“-”</w:t>
            </w:r>
            <w:r w:rsidRPr="007715BA">
              <w:rPr>
                <w:rFonts w:eastAsiaTheme="minorEastAsia"/>
                <w:color w:val="000000"/>
                <w:szCs w:val="21"/>
              </w:rPr>
              <w:t>填列）</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-1,203,393.33</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31,193.77</w:t>
            </w:r>
          </w:p>
        </w:tc>
      </w:tr>
      <w:tr w:rsidTr="000B3954">
        <w:tblPrEx>
          <w:tblW w:w="9000" w:type="dxa"/>
          <w:tblInd w:w="108" w:type="dxa"/>
          <w:tblLayout w:type="fixed"/>
          <w:tblLook w:val="00A0"/>
        </w:tblPrEx>
        <w:tc>
          <w:tcPr>
            <w:tcW w:w="3420" w:type="dxa"/>
            <w:vAlign w:val="center"/>
          </w:tcPr>
          <w:p w:rsidR="00CC45C6" w:rsidRPr="007715BA" w:rsidP="000B3954">
            <w:pPr>
              <w:rPr>
                <w:rFonts w:eastAsiaTheme="minorEastAsia"/>
                <w:color w:val="000000"/>
                <w:szCs w:val="21"/>
              </w:rPr>
            </w:pPr>
            <w:r w:rsidRPr="007715BA">
              <w:rPr>
                <w:rFonts w:eastAsiaTheme="minorEastAsia"/>
                <w:color w:val="000000"/>
                <w:szCs w:val="21"/>
              </w:rPr>
              <w:t>其中：股票投资收益</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r w:rsidRPr="007715BA">
              <w:rPr>
                <w:rFonts w:ascii="Times New Roman" w:hAnsi="Times New Roman" w:eastAsiaTheme="minorEastAsia"/>
                <w:color w:val="000000"/>
                <w:sz w:val="21"/>
                <w:szCs w:val="21"/>
              </w:rPr>
              <w:t>6.4.7.12</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-1,280,439.52</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w:t>
            </w:r>
          </w:p>
        </w:tc>
      </w:tr>
      <w:tr w:rsidTr="000B3954">
        <w:tblPrEx>
          <w:tblW w:w="9000" w:type="dxa"/>
          <w:tblInd w:w="108" w:type="dxa"/>
          <w:tblLayout w:type="fixed"/>
          <w:tblLook w:val="00A0"/>
        </w:tblPrEx>
        <w:tc>
          <w:tcPr>
            <w:tcW w:w="3420" w:type="dxa"/>
            <w:vAlign w:val="center"/>
          </w:tcPr>
          <w:p w:rsidR="00CC45C6" w:rsidRPr="007715BA" w:rsidP="000B3954">
            <w:pPr>
              <w:ind w:firstLine="630" w:firstLineChars="300"/>
              <w:rPr>
                <w:rFonts w:eastAsiaTheme="minorEastAsia"/>
                <w:color w:val="000000"/>
                <w:szCs w:val="21"/>
              </w:rPr>
            </w:pPr>
            <w:r w:rsidRPr="007715BA">
              <w:rPr>
                <w:rFonts w:eastAsiaTheme="minorEastAsia"/>
                <w:color w:val="000000"/>
                <w:szCs w:val="21"/>
              </w:rPr>
              <w:t>基金投资收益</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r w:rsidRPr="007715BA">
              <w:rPr>
                <w:rFonts w:ascii="Times New Roman" w:hAnsi="Times New Roman" w:eastAsiaTheme="minorEastAsia"/>
                <w:color w:val="000000"/>
                <w:sz w:val="21"/>
                <w:szCs w:val="21"/>
              </w:rPr>
              <w:t>6.4.7.13</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w:t>
            </w:r>
          </w:p>
        </w:tc>
      </w:tr>
      <w:tr w:rsidTr="000B3954">
        <w:tblPrEx>
          <w:tblW w:w="9000" w:type="dxa"/>
          <w:tblInd w:w="108" w:type="dxa"/>
          <w:tblLayout w:type="fixed"/>
          <w:tblLook w:val="00A0"/>
        </w:tblPrEx>
        <w:tc>
          <w:tcPr>
            <w:tcW w:w="3420" w:type="dxa"/>
            <w:vAlign w:val="center"/>
          </w:tcPr>
          <w:p w:rsidR="00CC45C6" w:rsidRPr="007715BA" w:rsidP="000B3954">
            <w:pPr>
              <w:ind w:firstLine="630" w:firstLineChars="300"/>
              <w:rPr>
                <w:rFonts w:eastAsiaTheme="minorEastAsia"/>
                <w:color w:val="000000"/>
                <w:szCs w:val="21"/>
              </w:rPr>
            </w:pPr>
            <w:r w:rsidRPr="007715BA">
              <w:rPr>
                <w:rFonts w:eastAsiaTheme="minorEastAsia"/>
                <w:color w:val="000000"/>
                <w:szCs w:val="21"/>
              </w:rPr>
              <w:t>债券投资收益</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r w:rsidRPr="007715BA">
              <w:rPr>
                <w:rFonts w:ascii="Times New Roman" w:hAnsi="Times New Roman" w:eastAsiaTheme="minorEastAsia"/>
                <w:color w:val="000000"/>
                <w:sz w:val="21"/>
                <w:szCs w:val="21"/>
              </w:rPr>
              <w:t>6.4.7.14</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31,193.77</w:t>
            </w:r>
          </w:p>
        </w:tc>
      </w:tr>
      <w:tr w:rsidTr="000B3954">
        <w:tblPrEx>
          <w:tblW w:w="9000" w:type="dxa"/>
          <w:tblInd w:w="108" w:type="dxa"/>
          <w:tblLayout w:type="fixed"/>
          <w:tblLook w:val="00A0"/>
        </w:tblPrEx>
        <w:tc>
          <w:tcPr>
            <w:tcW w:w="3420" w:type="dxa"/>
            <w:vAlign w:val="center"/>
          </w:tcPr>
          <w:p w:rsidR="00CC45C6" w:rsidRPr="007715BA" w:rsidP="000B3954">
            <w:pPr>
              <w:ind w:firstLine="630" w:firstLineChars="300"/>
              <w:rPr>
                <w:rFonts w:eastAsiaTheme="minorEastAsia"/>
                <w:color w:val="000000"/>
                <w:szCs w:val="21"/>
              </w:rPr>
            </w:pPr>
            <w:r w:rsidRPr="007715BA">
              <w:rPr>
                <w:rFonts w:eastAsiaTheme="minorEastAsia"/>
                <w:color w:val="000000"/>
                <w:szCs w:val="21"/>
              </w:rPr>
              <w:t>资产支持证券投资收益</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r w:rsidRPr="007715BA">
              <w:rPr>
                <w:rFonts w:ascii="Times New Roman" w:hAnsi="Times New Roman" w:eastAsiaTheme="minorEastAsia"/>
                <w:color w:val="000000"/>
                <w:sz w:val="21"/>
                <w:szCs w:val="21"/>
              </w:rPr>
              <w:t>6.4.7.15</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w:t>
            </w:r>
          </w:p>
        </w:tc>
      </w:tr>
      <w:tr w:rsidTr="000B3954">
        <w:tblPrEx>
          <w:tblW w:w="9000" w:type="dxa"/>
          <w:tblInd w:w="108" w:type="dxa"/>
          <w:tblLayout w:type="fixed"/>
          <w:tblLook w:val="00A0"/>
        </w:tblPrEx>
        <w:tc>
          <w:tcPr>
            <w:tcW w:w="3420" w:type="dxa"/>
            <w:vAlign w:val="center"/>
          </w:tcPr>
          <w:p w:rsidR="00CC45C6" w:rsidRPr="007715BA" w:rsidP="000B3954">
            <w:pPr>
              <w:spacing w:line="360" w:lineRule="auto"/>
              <w:ind w:firstLine="630" w:firstLineChars="300"/>
              <w:rPr>
                <w:rFonts w:eastAsiaTheme="minorEastAsia"/>
                <w:color w:val="000000"/>
                <w:szCs w:val="21"/>
              </w:rPr>
            </w:pPr>
            <w:r w:rsidRPr="007715BA">
              <w:rPr>
                <w:rFonts w:eastAsiaTheme="minorEastAsia"/>
              </w:rPr>
              <w:t>贵金属投资收益</w:t>
            </w:r>
          </w:p>
        </w:tc>
        <w:tc>
          <w:tcPr>
            <w:tcW w:w="1080" w:type="dxa"/>
            <w:vAlign w:val="center"/>
          </w:tcPr>
          <w:p w:rsidR="00CC45C6" w:rsidRPr="007715BA" w:rsidP="000B3954">
            <w:pPr>
              <w:pStyle w:val="NormalWeb"/>
              <w:spacing w:line="360" w:lineRule="auto"/>
              <w:jc w:val="center"/>
              <w:rPr>
                <w:rFonts w:ascii="Times New Roman" w:hAnsi="Times New Roman" w:eastAsiaTheme="minorEastAsia"/>
                <w:color w:val="000000"/>
                <w:sz w:val="21"/>
                <w:szCs w:val="21"/>
              </w:rPr>
            </w:pPr>
            <w:r w:rsidRPr="007715BA">
              <w:rPr>
                <w:rFonts w:ascii="Times New Roman" w:hAnsi="Times New Roman" w:eastAsiaTheme="minorEastAsia"/>
                <w:color w:val="000000"/>
                <w:sz w:val="21"/>
                <w:szCs w:val="21"/>
              </w:rPr>
              <w:t>6.4.7.16</w:t>
            </w:r>
          </w:p>
        </w:tc>
        <w:tc>
          <w:tcPr>
            <w:tcW w:w="2250" w:type="dxa"/>
            <w:vAlign w:val="center"/>
          </w:tcPr>
          <w:p w:rsidR="00CC45C6" w:rsidRPr="007715BA" w:rsidP="000B3954">
            <w:pPr>
              <w:spacing w:line="360" w:lineRule="auto"/>
              <w:jc w:val="right"/>
              <w:rPr>
                <w:rFonts w:eastAsiaTheme="minorEastAsia"/>
                <w:color w:val="000000"/>
                <w:szCs w:val="21"/>
              </w:rPr>
            </w:pPr>
            <w:r w:rsidRPr="007715BA">
              <w:rPr>
                <w:rFonts w:eastAsiaTheme="minorEastAsia"/>
                <w:color w:val="000000"/>
                <w:szCs w:val="21"/>
              </w:rPr>
              <w:t>-</w:t>
            </w:r>
          </w:p>
        </w:tc>
        <w:tc>
          <w:tcPr>
            <w:tcW w:w="2250" w:type="dxa"/>
            <w:vAlign w:val="center"/>
          </w:tcPr>
          <w:p w:rsidR="00CC45C6" w:rsidRPr="007715BA" w:rsidP="000B3954">
            <w:pPr>
              <w:spacing w:line="360" w:lineRule="auto"/>
              <w:jc w:val="right"/>
              <w:rPr>
                <w:rFonts w:eastAsiaTheme="minorEastAsia"/>
                <w:color w:val="000000"/>
                <w:szCs w:val="21"/>
              </w:rPr>
            </w:pPr>
            <w:r w:rsidRPr="007715BA">
              <w:rPr>
                <w:rFonts w:eastAsiaTheme="minorEastAsia"/>
                <w:color w:val="000000"/>
                <w:szCs w:val="21"/>
              </w:rPr>
              <w:t>-</w:t>
            </w:r>
          </w:p>
        </w:tc>
      </w:tr>
      <w:tr w:rsidTr="000B3954">
        <w:tblPrEx>
          <w:tblW w:w="9000" w:type="dxa"/>
          <w:tblInd w:w="108" w:type="dxa"/>
          <w:tblLayout w:type="fixed"/>
          <w:tblLook w:val="00A0"/>
        </w:tblPrEx>
        <w:tc>
          <w:tcPr>
            <w:tcW w:w="3420" w:type="dxa"/>
            <w:vAlign w:val="center"/>
          </w:tcPr>
          <w:p w:rsidR="00CC45C6" w:rsidRPr="007715BA" w:rsidP="000B3954">
            <w:pPr>
              <w:ind w:firstLine="630" w:firstLineChars="300"/>
              <w:rPr>
                <w:rFonts w:eastAsiaTheme="minorEastAsia"/>
                <w:color w:val="000000"/>
                <w:szCs w:val="21"/>
              </w:rPr>
            </w:pPr>
            <w:r w:rsidRPr="007715BA">
              <w:rPr>
                <w:rFonts w:eastAsiaTheme="minorEastAsia"/>
                <w:color w:val="000000"/>
                <w:szCs w:val="21"/>
              </w:rPr>
              <w:t>衍生工具收益</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r w:rsidRPr="007715BA">
              <w:rPr>
                <w:rFonts w:ascii="Times New Roman" w:hAnsi="Times New Roman" w:eastAsiaTheme="minorEastAsia"/>
                <w:color w:val="000000"/>
                <w:sz w:val="21"/>
                <w:szCs w:val="21"/>
              </w:rPr>
              <w:t>6.4.7.17</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w:t>
            </w:r>
          </w:p>
        </w:tc>
      </w:tr>
      <w:tr w:rsidTr="000B3954">
        <w:tblPrEx>
          <w:tblW w:w="9000" w:type="dxa"/>
          <w:tblInd w:w="108" w:type="dxa"/>
          <w:tblLayout w:type="fixed"/>
          <w:tblLook w:val="00A0"/>
        </w:tblPrEx>
        <w:tc>
          <w:tcPr>
            <w:tcW w:w="3420" w:type="dxa"/>
            <w:vAlign w:val="center"/>
          </w:tcPr>
          <w:p w:rsidR="00CC45C6" w:rsidRPr="007715BA" w:rsidP="000B3954">
            <w:pPr>
              <w:ind w:firstLine="630" w:firstLineChars="300"/>
              <w:rPr>
                <w:rFonts w:eastAsiaTheme="minorEastAsia"/>
                <w:color w:val="000000"/>
                <w:szCs w:val="21"/>
              </w:rPr>
            </w:pPr>
            <w:r w:rsidRPr="007715BA">
              <w:rPr>
                <w:rFonts w:eastAsiaTheme="minorEastAsia"/>
                <w:color w:val="000000"/>
                <w:szCs w:val="21"/>
              </w:rPr>
              <w:t>股利收益</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r w:rsidRPr="007715BA">
              <w:rPr>
                <w:rFonts w:ascii="Times New Roman" w:hAnsi="Times New Roman" w:eastAsiaTheme="minorEastAsia"/>
                <w:color w:val="000000"/>
                <w:sz w:val="21"/>
                <w:szCs w:val="21"/>
              </w:rPr>
              <w:t>6.4.7.18</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77,046.19</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w:t>
            </w:r>
          </w:p>
        </w:tc>
      </w:tr>
      <w:tr w:rsidTr="000B3954">
        <w:tblPrEx>
          <w:tblW w:w="9000" w:type="dxa"/>
          <w:tblInd w:w="108" w:type="dxa"/>
          <w:tblLayout w:type="fixed"/>
          <w:tblLook w:val="00A0"/>
        </w:tblPrEx>
        <w:tc>
          <w:tcPr>
            <w:tcW w:w="3420" w:type="dxa"/>
            <w:vAlign w:val="center"/>
          </w:tcPr>
          <w:p w:rsidR="00CC45C6" w:rsidRPr="007715BA" w:rsidP="000B3954">
            <w:pPr>
              <w:rPr>
                <w:rFonts w:eastAsiaTheme="minorEastAsia"/>
                <w:color w:val="000000"/>
                <w:szCs w:val="21"/>
              </w:rPr>
            </w:pPr>
            <w:r w:rsidRPr="007715BA">
              <w:rPr>
                <w:rFonts w:eastAsiaTheme="minorEastAsia"/>
                <w:color w:val="000000"/>
                <w:szCs w:val="21"/>
              </w:rPr>
              <w:t>3.</w:t>
            </w:r>
            <w:r w:rsidRPr="007715BA">
              <w:rPr>
                <w:rFonts w:eastAsiaTheme="minorEastAsia"/>
                <w:color w:val="000000"/>
                <w:szCs w:val="21"/>
              </w:rPr>
              <w:t>公允价值变动收益（损失以</w:t>
            </w:r>
            <w:r w:rsidRPr="007715BA">
              <w:rPr>
                <w:rFonts w:eastAsiaTheme="minorEastAsia"/>
                <w:color w:val="000000"/>
                <w:szCs w:val="21"/>
              </w:rPr>
              <w:t>“-”</w:t>
            </w:r>
            <w:r w:rsidRPr="007715BA">
              <w:rPr>
                <w:rFonts w:eastAsiaTheme="minorEastAsia"/>
                <w:color w:val="000000"/>
                <w:szCs w:val="21"/>
              </w:rPr>
              <w:t>号填列）</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r w:rsidRPr="007715BA">
              <w:rPr>
                <w:rFonts w:ascii="Times New Roman" w:hAnsi="Times New Roman" w:eastAsiaTheme="minorEastAsia"/>
                <w:color w:val="000000"/>
                <w:sz w:val="21"/>
                <w:szCs w:val="21"/>
              </w:rPr>
              <w:t>6.4.7.19</w:t>
            </w:r>
          </w:p>
        </w:tc>
        <w:tc>
          <w:tcPr>
            <w:tcW w:w="2250" w:type="dxa"/>
            <w:vAlign w:val="center"/>
          </w:tcPr>
          <w:p w:rsidR="00CC45C6" w:rsidRPr="007715BA" w:rsidP="000B3954">
            <w:pPr>
              <w:jc w:val="right"/>
              <w:rPr>
                <w:rFonts w:eastAsiaTheme="minorEastAsia"/>
                <w:color w:val="000000"/>
                <w:szCs w:val="21"/>
              </w:rPr>
            </w:pPr>
            <w:r w:rsidRPr="007715BA">
              <w:rPr>
                <w:rFonts w:eastAsiaTheme="minorEastAsia"/>
                <w:color w:val="000000"/>
                <w:szCs w:val="21"/>
              </w:rPr>
              <w:t>421,072.23</w:t>
            </w:r>
          </w:p>
        </w:tc>
        <w:tc>
          <w:tcPr>
            <w:tcW w:w="2250" w:type="dxa"/>
            <w:vAlign w:val="center"/>
          </w:tcPr>
          <w:p w:rsidR="00CC45C6" w:rsidRPr="007715BA" w:rsidP="000B3954">
            <w:pPr>
              <w:jc w:val="right"/>
              <w:rPr>
                <w:rFonts w:eastAsiaTheme="minorEastAsia"/>
                <w:color w:val="000000"/>
                <w:szCs w:val="21"/>
              </w:rPr>
            </w:pPr>
            <w:r w:rsidRPr="007715BA">
              <w:rPr>
                <w:rFonts w:eastAsiaTheme="minorEastAsia"/>
                <w:color w:val="000000"/>
                <w:szCs w:val="21"/>
              </w:rPr>
              <w:t>-25,439.99</w:t>
            </w:r>
          </w:p>
        </w:tc>
      </w:tr>
      <w:tr w:rsidTr="000B3954">
        <w:tblPrEx>
          <w:tblW w:w="9000" w:type="dxa"/>
          <w:tblInd w:w="108" w:type="dxa"/>
          <w:tblLayout w:type="fixed"/>
          <w:tblLook w:val="00A0"/>
        </w:tblPrEx>
        <w:tc>
          <w:tcPr>
            <w:tcW w:w="3420" w:type="dxa"/>
            <w:vAlign w:val="center"/>
          </w:tcPr>
          <w:p w:rsidR="00CC45C6" w:rsidRPr="007715BA" w:rsidP="000B3954">
            <w:pPr>
              <w:pStyle w:val="NormalWeb"/>
              <w:jc w:val="both"/>
              <w:rPr>
                <w:rFonts w:ascii="Times New Roman" w:hAnsi="Times New Roman" w:eastAsiaTheme="minorEastAsia"/>
                <w:color w:val="000000"/>
                <w:sz w:val="21"/>
                <w:szCs w:val="21"/>
              </w:rPr>
            </w:pPr>
            <w:r w:rsidRPr="007715BA">
              <w:rPr>
                <w:rFonts w:ascii="Times New Roman" w:hAnsi="Times New Roman" w:eastAsiaTheme="minorEastAsia"/>
                <w:color w:val="000000"/>
                <w:sz w:val="21"/>
                <w:szCs w:val="21"/>
              </w:rPr>
              <w:t>4.</w:t>
            </w:r>
            <w:r w:rsidRPr="007715BA">
              <w:rPr>
                <w:rFonts w:ascii="Times New Roman" w:hAnsi="Times New Roman" w:eastAsiaTheme="minorEastAsia"/>
                <w:color w:val="000000"/>
                <w:sz w:val="21"/>
                <w:szCs w:val="21"/>
              </w:rPr>
              <w:t>汇兑收益（损失以</w:t>
            </w:r>
            <w:r w:rsidRPr="007715BA">
              <w:rPr>
                <w:rFonts w:ascii="Times New Roman" w:hAnsi="Times New Roman" w:eastAsiaTheme="minorEastAsia"/>
                <w:color w:val="000000"/>
                <w:sz w:val="21"/>
                <w:szCs w:val="21"/>
              </w:rPr>
              <w:t>“</w:t>
            </w:r>
            <w:r w:rsidRPr="007715BA">
              <w:rPr>
                <w:rFonts w:ascii="Times New Roman" w:hAnsi="Times New Roman" w:eastAsiaTheme="minorEastAsia"/>
                <w:color w:val="000000"/>
                <w:sz w:val="21"/>
                <w:szCs w:val="21"/>
              </w:rPr>
              <w:t>－</w:t>
            </w:r>
            <w:r w:rsidRPr="007715BA">
              <w:rPr>
                <w:rFonts w:ascii="Times New Roman" w:hAnsi="Times New Roman" w:eastAsiaTheme="minorEastAsia"/>
                <w:color w:val="000000"/>
                <w:sz w:val="21"/>
                <w:szCs w:val="21"/>
              </w:rPr>
              <w:t>”</w:t>
            </w:r>
            <w:r w:rsidRPr="007715BA">
              <w:rPr>
                <w:rFonts w:ascii="Times New Roman" w:hAnsi="Times New Roman" w:eastAsiaTheme="minorEastAsia"/>
                <w:color w:val="000000"/>
                <w:sz w:val="21"/>
                <w:szCs w:val="21"/>
              </w:rPr>
              <w:t>号填列）</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w:t>
            </w:r>
          </w:p>
        </w:tc>
      </w:tr>
      <w:tr w:rsidTr="000B3954">
        <w:tblPrEx>
          <w:tblW w:w="9000" w:type="dxa"/>
          <w:tblInd w:w="108" w:type="dxa"/>
          <w:tblLayout w:type="fixed"/>
          <w:tblLook w:val="00A0"/>
        </w:tblPrEx>
        <w:tc>
          <w:tcPr>
            <w:tcW w:w="3420" w:type="dxa"/>
            <w:vAlign w:val="center"/>
          </w:tcPr>
          <w:p w:rsidR="00CC45C6" w:rsidRPr="007715BA" w:rsidP="000B3954">
            <w:pPr>
              <w:rPr>
                <w:rFonts w:eastAsiaTheme="minorEastAsia"/>
                <w:color w:val="000000"/>
                <w:szCs w:val="21"/>
              </w:rPr>
            </w:pPr>
            <w:r w:rsidRPr="007715BA">
              <w:rPr>
                <w:rFonts w:eastAsiaTheme="minorEastAsia"/>
                <w:color w:val="000000"/>
                <w:szCs w:val="21"/>
              </w:rPr>
              <w:t>5.</w:t>
            </w:r>
            <w:r w:rsidRPr="007715BA">
              <w:rPr>
                <w:rFonts w:eastAsiaTheme="minorEastAsia"/>
                <w:color w:val="000000"/>
                <w:szCs w:val="21"/>
              </w:rPr>
              <w:t>其他收入（损失以</w:t>
            </w:r>
            <w:r w:rsidRPr="007715BA">
              <w:rPr>
                <w:rFonts w:eastAsiaTheme="minorEastAsia"/>
                <w:color w:val="000000"/>
                <w:szCs w:val="21"/>
              </w:rPr>
              <w:t>“-”</w:t>
            </w:r>
            <w:r w:rsidRPr="007715BA">
              <w:rPr>
                <w:rFonts w:eastAsiaTheme="minorEastAsia"/>
                <w:color w:val="000000"/>
                <w:szCs w:val="21"/>
              </w:rPr>
              <w:t>号填列）</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r w:rsidRPr="007715BA">
              <w:rPr>
                <w:rFonts w:ascii="Times New Roman" w:hAnsi="Times New Roman" w:eastAsiaTheme="minorEastAsia"/>
                <w:color w:val="000000"/>
                <w:sz w:val="21"/>
                <w:szCs w:val="21"/>
              </w:rPr>
              <w:t>6.4.7.20</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116,920.01</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2,683.55</w:t>
            </w:r>
          </w:p>
        </w:tc>
      </w:tr>
      <w:tr w:rsidTr="000B3954">
        <w:tblPrEx>
          <w:tblW w:w="9000" w:type="dxa"/>
          <w:tblInd w:w="108" w:type="dxa"/>
          <w:tblLayout w:type="fixed"/>
          <w:tblLook w:val="00A0"/>
        </w:tblPrEx>
        <w:tc>
          <w:tcPr>
            <w:tcW w:w="3420" w:type="dxa"/>
            <w:vAlign w:val="center"/>
          </w:tcPr>
          <w:p w:rsidR="00CC45C6" w:rsidRPr="007715BA" w:rsidP="000B3954">
            <w:pPr>
              <w:rPr>
                <w:rFonts w:eastAsiaTheme="minorEastAsia"/>
                <w:b/>
                <w:color w:val="000000"/>
                <w:szCs w:val="21"/>
              </w:rPr>
            </w:pPr>
            <w:r w:rsidRPr="007715BA">
              <w:rPr>
                <w:rFonts w:eastAsiaTheme="minorEastAsia"/>
                <w:b/>
                <w:color w:val="000000"/>
                <w:szCs w:val="21"/>
              </w:rPr>
              <w:t>减：二、费用</w:t>
            </w:r>
          </w:p>
        </w:tc>
        <w:tc>
          <w:tcPr>
            <w:tcW w:w="1080" w:type="dxa"/>
            <w:vAlign w:val="center"/>
          </w:tcPr>
          <w:p w:rsidR="00CC45C6" w:rsidRPr="007715BA" w:rsidP="000B3954">
            <w:pPr>
              <w:pStyle w:val="NormalWeb"/>
              <w:jc w:val="center"/>
              <w:rPr>
                <w:rFonts w:ascii="Times New Roman" w:hAnsi="Times New Roman" w:eastAsiaTheme="minorEastAsia"/>
                <w:b/>
                <w:color w:val="000000"/>
                <w:sz w:val="21"/>
                <w:szCs w:val="21"/>
              </w:rPr>
            </w:pPr>
          </w:p>
        </w:tc>
        <w:tc>
          <w:tcPr>
            <w:tcW w:w="2250" w:type="dxa"/>
            <w:vAlign w:val="bottom"/>
          </w:tcPr>
          <w:p w:rsidR="00CC45C6" w:rsidRPr="007715BA" w:rsidP="000B3954">
            <w:pPr>
              <w:jc w:val="right"/>
              <w:rPr>
                <w:rFonts w:eastAsiaTheme="minorEastAsia"/>
                <w:b/>
                <w:color w:val="000000"/>
                <w:szCs w:val="21"/>
              </w:rPr>
            </w:pPr>
            <w:r w:rsidRPr="007715BA">
              <w:rPr>
                <w:rFonts w:eastAsiaTheme="minorEastAsia"/>
                <w:b/>
                <w:color w:val="000000"/>
                <w:szCs w:val="21"/>
              </w:rPr>
              <w:t>201,550.52</w:t>
            </w:r>
          </w:p>
        </w:tc>
        <w:tc>
          <w:tcPr>
            <w:tcW w:w="2250" w:type="dxa"/>
            <w:vAlign w:val="bottom"/>
          </w:tcPr>
          <w:p w:rsidR="00CC45C6" w:rsidRPr="007715BA" w:rsidP="000B3954">
            <w:pPr>
              <w:jc w:val="right"/>
              <w:rPr>
                <w:rFonts w:eastAsiaTheme="minorEastAsia"/>
                <w:b/>
                <w:color w:val="000000"/>
                <w:szCs w:val="21"/>
              </w:rPr>
            </w:pPr>
            <w:r w:rsidRPr="007715BA">
              <w:rPr>
                <w:rFonts w:eastAsiaTheme="minorEastAsia"/>
                <w:b/>
                <w:color w:val="000000"/>
                <w:szCs w:val="21"/>
              </w:rPr>
              <w:t>45,710.56</w:t>
            </w:r>
          </w:p>
        </w:tc>
      </w:tr>
      <w:tr w:rsidTr="000B3954">
        <w:tblPrEx>
          <w:tblW w:w="9000" w:type="dxa"/>
          <w:tblInd w:w="108" w:type="dxa"/>
          <w:tblLayout w:type="fixed"/>
          <w:tblLook w:val="00A0"/>
        </w:tblPrEx>
        <w:tc>
          <w:tcPr>
            <w:tcW w:w="3420" w:type="dxa"/>
            <w:vAlign w:val="center"/>
          </w:tcPr>
          <w:p w:rsidR="00CC45C6" w:rsidRPr="007715BA" w:rsidP="000B3954">
            <w:pPr>
              <w:rPr>
                <w:rFonts w:eastAsiaTheme="minorEastAsia"/>
                <w:color w:val="000000"/>
                <w:szCs w:val="21"/>
              </w:rPr>
            </w:pPr>
            <w:r w:rsidRPr="007715BA">
              <w:rPr>
                <w:rFonts w:eastAsiaTheme="minorEastAsia"/>
                <w:color w:val="000000"/>
                <w:szCs w:val="21"/>
              </w:rPr>
              <w:t>1</w:t>
            </w:r>
            <w:r w:rsidRPr="007715BA">
              <w:rPr>
                <w:rFonts w:eastAsiaTheme="minorEastAsia"/>
                <w:color w:val="000000"/>
                <w:szCs w:val="21"/>
              </w:rPr>
              <w:t>．管理人报酬</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89,758.42</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11,040.13</w:t>
            </w:r>
          </w:p>
        </w:tc>
      </w:tr>
      <w:tr w:rsidTr="000B3954">
        <w:tblPrEx>
          <w:tblW w:w="9000" w:type="dxa"/>
          <w:tblInd w:w="108" w:type="dxa"/>
          <w:tblLayout w:type="fixed"/>
          <w:tblLook w:val="00A0"/>
        </w:tblPrEx>
        <w:tc>
          <w:tcPr>
            <w:tcW w:w="3420" w:type="dxa"/>
            <w:vAlign w:val="center"/>
          </w:tcPr>
          <w:p w:rsidR="00CC45C6" w:rsidRPr="007715BA" w:rsidP="000B3954">
            <w:pPr>
              <w:rPr>
                <w:rFonts w:eastAsiaTheme="minorEastAsia"/>
                <w:color w:val="000000"/>
                <w:szCs w:val="21"/>
              </w:rPr>
            </w:pPr>
            <w:r w:rsidRPr="007715BA">
              <w:rPr>
                <w:rFonts w:eastAsiaTheme="minorEastAsia"/>
                <w:color w:val="000000"/>
                <w:szCs w:val="21"/>
              </w:rPr>
              <w:t>2</w:t>
            </w:r>
            <w:r w:rsidRPr="007715BA">
              <w:rPr>
                <w:rFonts w:eastAsiaTheme="minorEastAsia"/>
                <w:color w:val="000000"/>
                <w:szCs w:val="21"/>
              </w:rPr>
              <w:t>．托管费</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11,967.79</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1,471.99</w:t>
            </w:r>
          </w:p>
        </w:tc>
      </w:tr>
      <w:tr w:rsidTr="000B3954">
        <w:tblPrEx>
          <w:tblW w:w="9000" w:type="dxa"/>
          <w:tblInd w:w="108" w:type="dxa"/>
          <w:tblLayout w:type="fixed"/>
          <w:tblLook w:val="00A0"/>
        </w:tblPrEx>
        <w:tc>
          <w:tcPr>
            <w:tcW w:w="3420" w:type="dxa"/>
            <w:vAlign w:val="center"/>
          </w:tcPr>
          <w:p w:rsidR="00CC45C6" w:rsidRPr="007715BA" w:rsidP="000B3954">
            <w:pPr>
              <w:rPr>
                <w:rFonts w:eastAsiaTheme="minorEastAsia"/>
                <w:color w:val="000000"/>
                <w:szCs w:val="21"/>
              </w:rPr>
            </w:pPr>
            <w:r w:rsidRPr="007715BA">
              <w:rPr>
                <w:rFonts w:eastAsiaTheme="minorEastAsia"/>
                <w:color w:val="000000"/>
                <w:szCs w:val="21"/>
              </w:rPr>
              <w:t>3</w:t>
            </w:r>
            <w:r w:rsidRPr="007715BA">
              <w:rPr>
                <w:rFonts w:eastAsiaTheme="minorEastAsia"/>
                <w:color w:val="000000"/>
                <w:szCs w:val="21"/>
              </w:rPr>
              <w:t>．销售服务费</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13,907.30</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1,911.92</w:t>
            </w:r>
          </w:p>
        </w:tc>
      </w:tr>
      <w:tr w:rsidTr="000B3954">
        <w:tblPrEx>
          <w:tblW w:w="9000" w:type="dxa"/>
          <w:tblInd w:w="108" w:type="dxa"/>
          <w:tblLayout w:type="fixed"/>
          <w:tblLook w:val="00A0"/>
        </w:tblPrEx>
        <w:tc>
          <w:tcPr>
            <w:tcW w:w="3420" w:type="dxa"/>
            <w:vAlign w:val="center"/>
          </w:tcPr>
          <w:p w:rsidR="00CC45C6" w:rsidRPr="007715BA" w:rsidP="000B3954">
            <w:pPr>
              <w:rPr>
                <w:rFonts w:eastAsiaTheme="minorEastAsia"/>
                <w:color w:val="000000"/>
                <w:szCs w:val="21"/>
              </w:rPr>
            </w:pPr>
            <w:r w:rsidRPr="007715BA">
              <w:rPr>
                <w:rFonts w:eastAsiaTheme="minorEastAsia"/>
                <w:color w:val="000000"/>
                <w:szCs w:val="21"/>
              </w:rPr>
              <w:t>4</w:t>
            </w:r>
            <w:r w:rsidRPr="007715BA">
              <w:rPr>
                <w:rFonts w:eastAsiaTheme="minorEastAsia"/>
                <w:color w:val="000000"/>
                <w:szCs w:val="21"/>
              </w:rPr>
              <w:t>．交易费用</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r w:rsidRPr="007715BA">
              <w:rPr>
                <w:rFonts w:ascii="Times New Roman" w:hAnsi="Times New Roman" w:eastAsiaTheme="minorEastAsia"/>
                <w:color w:val="000000"/>
                <w:sz w:val="21"/>
                <w:szCs w:val="21"/>
              </w:rPr>
              <w:t>6.4.7.21</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52,710.58</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251.93</w:t>
            </w:r>
          </w:p>
        </w:tc>
      </w:tr>
      <w:tr w:rsidTr="000B3954">
        <w:tblPrEx>
          <w:tblW w:w="9000" w:type="dxa"/>
          <w:tblInd w:w="108" w:type="dxa"/>
          <w:tblLayout w:type="fixed"/>
          <w:tblLook w:val="00A0"/>
        </w:tblPrEx>
        <w:tc>
          <w:tcPr>
            <w:tcW w:w="3420" w:type="dxa"/>
            <w:vAlign w:val="center"/>
          </w:tcPr>
          <w:p w:rsidR="00CC45C6" w:rsidRPr="007715BA" w:rsidP="000B3954">
            <w:pPr>
              <w:rPr>
                <w:rFonts w:eastAsiaTheme="minorEastAsia"/>
                <w:color w:val="000000"/>
                <w:szCs w:val="21"/>
              </w:rPr>
            </w:pPr>
            <w:r w:rsidRPr="007715BA">
              <w:rPr>
                <w:rFonts w:eastAsiaTheme="minorEastAsia"/>
                <w:color w:val="000000"/>
                <w:szCs w:val="21"/>
              </w:rPr>
              <w:t>5</w:t>
            </w:r>
            <w:r w:rsidRPr="007715BA">
              <w:rPr>
                <w:rFonts w:eastAsiaTheme="minorEastAsia"/>
                <w:color w:val="000000"/>
                <w:szCs w:val="21"/>
              </w:rPr>
              <w:t>．利息支出</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w:t>
            </w:r>
          </w:p>
        </w:tc>
      </w:tr>
      <w:tr w:rsidTr="000B3954">
        <w:tblPrEx>
          <w:tblW w:w="9000" w:type="dxa"/>
          <w:tblInd w:w="108" w:type="dxa"/>
          <w:tblLayout w:type="fixed"/>
          <w:tblLook w:val="00A0"/>
        </w:tblPrEx>
        <w:tc>
          <w:tcPr>
            <w:tcW w:w="3420" w:type="dxa"/>
            <w:vAlign w:val="center"/>
          </w:tcPr>
          <w:p w:rsidR="00CC45C6" w:rsidRPr="007715BA" w:rsidP="000B3954">
            <w:pPr>
              <w:rPr>
                <w:rFonts w:eastAsiaTheme="minorEastAsia"/>
                <w:color w:val="000000"/>
                <w:szCs w:val="21"/>
              </w:rPr>
            </w:pPr>
            <w:r w:rsidRPr="007715BA">
              <w:rPr>
                <w:rFonts w:eastAsiaTheme="minorEastAsia"/>
                <w:color w:val="000000"/>
                <w:szCs w:val="21"/>
              </w:rPr>
              <w:t>其中：卖出回购金融资产支出</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w:t>
            </w:r>
          </w:p>
        </w:tc>
      </w:tr>
      <w:tr w:rsidTr="000B3954">
        <w:tblPrEx>
          <w:tblW w:w="9000" w:type="dxa"/>
          <w:tblInd w:w="108" w:type="dxa"/>
          <w:tblLayout w:type="fixed"/>
          <w:tblLook w:val="00A0"/>
        </w:tblPrEx>
        <w:tc>
          <w:tcPr>
            <w:tcW w:w="3420" w:type="dxa"/>
            <w:vAlign w:val="center"/>
          </w:tcPr>
          <w:p w:rsidR="00CC45C6" w:rsidRPr="003A4FDF" w:rsidP="000B3954">
            <w:pPr>
              <w:rPr>
                <w:rFonts w:eastAsiaTheme="minorEastAsia"/>
                <w:color w:val="000000"/>
                <w:szCs w:val="21"/>
                <w:highlight w:val="red"/>
              </w:rPr>
            </w:pPr>
            <w:r w:rsidRPr="001F5788">
              <w:rPr>
                <w:rFonts w:eastAsiaTheme="minorEastAsia" w:hint="eastAsia"/>
                <w:color w:val="000000"/>
                <w:szCs w:val="21"/>
              </w:rPr>
              <w:t>6</w:t>
            </w:r>
            <w:r w:rsidRPr="001F5788">
              <w:rPr>
                <w:rFonts w:eastAsiaTheme="minorEastAsia" w:hint="eastAsia"/>
                <w:color w:val="000000"/>
                <w:szCs w:val="21"/>
              </w:rPr>
              <w:t>．税金及附加</w:t>
            </w:r>
          </w:p>
        </w:tc>
        <w:tc>
          <w:tcPr>
            <w:tcW w:w="1080" w:type="dxa"/>
            <w:vAlign w:val="center"/>
          </w:tcPr>
          <w:p w:rsidR="00CC45C6" w:rsidRPr="003A4FDF" w:rsidP="000B3954">
            <w:pPr>
              <w:pStyle w:val="NormalWeb"/>
              <w:jc w:val="center"/>
              <w:rPr>
                <w:rFonts w:ascii="Times New Roman" w:hAnsi="Times New Roman" w:eastAsiaTheme="minorEastAsia"/>
                <w:color w:val="000000"/>
                <w:sz w:val="21"/>
                <w:szCs w:val="21"/>
                <w:highlight w:val="red"/>
              </w:rPr>
            </w:pPr>
          </w:p>
        </w:tc>
        <w:tc>
          <w:tcPr>
            <w:tcW w:w="2250" w:type="dxa"/>
            <w:vAlign w:val="bottom"/>
          </w:tcPr>
          <w:p w:rsidR="00CC45C6" w:rsidRPr="001F5788" w:rsidP="000B3954">
            <w:pPr>
              <w:jc w:val="right"/>
              <w:rPr>
                <w:rFonts w:eastAsiaTheme="minorEastAsia"/>
                <w:color w:val="000000"/>
                <w:szCs w:val="21"/>
              </w:rPr>
            </w:pPr>
            <w:r w:rsidRPr="001F5788">
              <w:rPr>
                <w:rFonts w:eastAsiaTheme="minorEastAsia"/>
                <w:color w:val="000000"/>
                <w:szCs w:val="21"/>
              </w:rPr>
              <w:t>-</w:t>
            </w:r>
          </w:p>
        </w:tc>
        <w:tc>
          <w:tcPr>
            <w:tcW w:w="2250" w:type="dxa"/>
            <w:vAlign w:val="bottom"/>
          </w:tcPr>
          <w:p w:rsidR="00CC45C6" w:rsidRPr="001F5788" w:rsidP="000B3954">
            <w:pPr>
              <w:jc w:val="right"/>
              <w:rPr>
                <w:rFonts w:eastAsiaTheme="minorEastAsia"/>
                <w:color w:val="000000"/>
                <w:szCs w:val="21"/>
              </w:rPr>
            </w:pPr>
            <w:r w:rsidRPr="001F5788">
              <w:rPr>
                <w:rFonts w:eastAsiaTheme="minorEastAsia"/>
                <w:color w:val="000000"/>
                <w:szCs w:val="21"/>
              </w:rPr>
              <w:t>1.39</w:t>
            </w:r>
          </w:p>
        </w:tc>
      </w:tr>
      <w:tr w:rsidTr="000B3954">
        <w:tblPrEx>
          <w:tblW w:w="9000" w:type="dxa"/>
          <w:tblInd w:w="108" w:type="dxa"/>
          <w:tblLayout w:type="fixed"/>
          <w:tblLook w:val="00A0"/>
        </w:tblPrEx>
        <w:tc>
          <w:tcPr>
            <w:tcW w:w="3420" w:type="dxa"/>
            <w:vAlign w:val="center"/>
          </w:tcPr>
          <w:p w:rsidR="00CC45C6" w:rsidRPr="007715BA" w:rsidP="000B3954">
            <w:pPr>
              <w:rPr>
                <w:rFonts w:eastAsiaTheme="minorEastAsia"/>
                <w:color w:val="000000"/>
                <w:szCs w:val="21"/>
              </w:rPr>
            </w:pPr>
            <w:r w:rsidRPr="001F5788">
              <w:rPr>
                <w:rFonts w:eastAsiaTheme="minorEastAsia" w:hint="eastAsia"/>
                <w:color w:val="000000"/>
                <w:szCs w:val="21"/>
              </w:rPr>
              <w:t>7</w:t>
            </w:r>
            <w:r w:rsidRPr="007715BA">
              <w:rPr>
                <w:rFonts w:eastAsiaTheme="minorEastAsia"/>
                <w:color w:val="000000"/>
                <w:szCs w:val="21"/>
              </w:rPr>
              <w:t>．其他费用</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r w:rsidRPr="007715BA">
              <w:rPr>
                <w:rFonts w:ascii="Times New Roman" w:hAnsi="Times New Roman" w:eastAsiaTheme="minorEastAsia"/>
                <w:color w:val="000000"/>
                <w:sz w:val="21"/>
                <w:szCs w:val="21"/>
              </w:rPr>
              <w:t>6.4.7.22</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33,206.43</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31,033.20</w:t>
            </w:r>
          </w:p>
        </w:tc>
      </w:tr>
      <w:tr w:rsidTr="000B3954">
        <w:tblPrEx>
          <w:tblW w:w="9000" w:type="dxa"/>
          <w:tblInd w:w="108" w:type="dxa"/>
          <w:tblLayout w:type="fixed"/>
          <w:tblLook w:val="00A0"/>
        </w:tblPrEx>
        <w:tc>
          <w:tcPr>
            <w:tcW w:w="3420" w:type="dxa"/>
            <w:vAlign w:val="center"/>
          </w:tcPr>
          <w:p w:rsidR="00CC45C6" w:rsidRPr="007715BA" w:rsidP="000B3954">
            <w:pPr>
              <w:rPr>
                <w:rFonts w:eastAsiaTheme="minorEastAsia"/>
                <w:b/>
                <w:color w:val="000000"/>
                <w:szCs w:val="21"/>
              </w:rPr>
            </w:pPr>
            <w:r w:rsidRPr="007715BA">
              <w:rPr>
                <w:rFonts w:eastAsiaTheme="minorEastAsia"/>
                <w:b/>
                <w:color w:val="000000"/>
                <w:szCs w:val="21"/>
              </w:rPr>
              <w:t>三、利润总额（亏损总额以</w:t>
            </w:r>
            <w:r w:rsidRPr="007715BA">
              <w:rPr>
                <w:rFonts w:eastAsiaTheme="minorEastAsia"/>
                <w:b/>
                <w:color w:val="000000"/>
                <w:szCs w:val="21"/>
              </w:rPr>
              <w:t>“-”</w:t>
            </w:r>
            <w:r w:rsidRPr="007715BA">
              <w:rPr>
                <w:rFonts w:eastAsiaTheme="minorEastAsia"/>
                <w:b/>
                <w:color w:val="000000"/>
                <w:szCs w:val="21"/>
              </w:rPr>
              <w:t>号填列）</w:t>
            </w:r>
          </w:p>
        </w:tc>
        <w:tc>
          <w:tcPr>
            <w:tcW w:w="1080" w:type="dxa"/>
            <w:vAlign w:val="center"/>
          </w:tcPr>
          <w:p w:rsidR="00CC45C6" w:rsidRPr="007715BA" w:rsidP="000B3954">
            <w:pPr>
              <w:pStyle w:val="NormalWeb"/>
              <w:jc w:val="center"/>
              <w:rPr>
                <w:rFonts w:ascii="Times New Roman" w:hAnsi="Times New Roman" w:eastAsiaTheme="minorEastAsia"/>
                <w:b/>
                <w:color w:val="000000"/>
                <w:sz w:val="21"/>
                <w:szCs w:val="21"/>
              </w:rPr>
            </w:pPr>
          </w:p>
        </w:tc>
        <w:tc>
          <w:tcPr>
            <w:tcW w:w="2250" w:type="dxa"/>
            <w:vAlign w:val="center"/>
          </w:tcPr>
          <w:p w:rsidR="00CC45C6" w:rsidRPr="007715BA" w:rsidP="000B3954">
            <w:pPr>
              <w:jc w:val="right"/>
              <w:rPr>
                <w:rFonts w:eastAsiaTheme="minorEastAsia"/>
                <w:b/>
                <w:color w:val="000000"/>
                <w:szCs w:val="21"/>
              </w:rPr>
            </w:pPr>
            <w:r w:rsidRPr="007715BA">
              <w:rPr>
                <w:rFonts w:eastAsiaTheme="minorEastAsia"/>
                <w:b/>
                <w:color w:val="000000"/>
                <w:szCs w:val="21"/>
              </w:rPr>
              <w:t>-859,961.62</w:t>
            </w:r>
          </w:p>
        </w:tc>
        <w:tc>
          <w:tcPr>
            <w:tcW w:w="2250" w:type="dxa"/>
            <w:vAlign w:val="center"/>
          </w:tcPr>
          <w:p w:rsidR="00CC45C6" w:rsidRPr="007715BA" w:rsidP="000B3954">
            <w:pPr>
              <w:jc w:val="right"/>
              <w:rPr>
                <w:rFonts w:eastAsiaTheme="minorEastAsia"/>
                <w:b/>
                <w:color w:val="000000"/>
                <w:szCs w:val="21"/>
              </w:rPr>
            </w:pPr>
            <w:r w:rsidRPr="007715BA">
              <w:rPr>
                <w:rFonts w:eastAsiaTheme="minorEastAsia"/>
                <w:b/>
                <w:color w:val="000000"/>
                <w:szCs w:val="21"/>
              </w:rPr>
              <w:t>-27,674.00</w:t>
            </w:r>
          </w:p>
        </w:tc>
      </w:tr>
      <w:tr w:rsidTr="000B3954">
        <w:tblPrEx>
          <w:tblW w:w="9000" w:type="dxa"/>
          <w:tblInd w:w="108" w:type="dxa"/>
          <w:tblLayout w:type="fixed"/>
          <w:tblLook w:val="00A0"/>
        </w:tblPrEx>
        <w:tc>
          <w:tcPr>
            <w:tcW w:w="3420" w:type="dxa"/>
            <w:vAlign w:val="center"/>
          </w:tcPr>
          <w:p w:rsidR="00CC45C6" w:rsidRPr="007715BA" w:rsidP="000B3954">
            <w:pPr>
              <w:rPr>
                <w:rFonts w:eastAsiaTheme="minorEastAsia"/>
                <w:b/>
                <w:color w:val="000000"/>
                <w:szCs w:val="21"/>
              </w:rPr>
            </w:pPr>
            <w:r w:rsidRPr="007715BA">
              <w:rPr>
                <w:rFonts w:eastAsiaTheme="minorEastAsia"/>
                <w:szCs w:val="21"/>
              </w:rPr>
              <w:t>减：所得税费用</w:t>
            </w:r>
          </w:p>
        </w:tc>
        <w:tc>
          <w:tcPr>
            <w:tcW w:w="1080" w:type="dxa"/>
            <w:vAlign w:val="center"/>
          </w:tcPr>
          <w:p w:rsidR="00CC45C6" w:rsidRPr="007715BA" w:rsidP="000B3954">
            <w:pPr>
              <w:pStyle w:val="NormalWeb"/>
              <w:jc w:val="center"/>
              <w:rPr>
                <w:rFonts w:ascii="Times New Roman" w:hAnsi="Times New Roman" w:eastAsiaTheme="minorEastAsia"/>
                <w:color w:val="000000"/>
                <w:sz w:val="21"/>
                <w:szCs w:val="21"/>
              </w:rPr>
            </w:pP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CC45C6" w:rsidRPr="007715BA" w:rsidP="000B3954">
            <w:pPr>
              <w:jc w:val="right"/>
              <w:rPr>
                <w:rFonts w:eastAsiaTheme="minorEastAsia"/>
                <w:color w:val="000000"/>
                <w:szCs w:val="21"/>
              </w:rPr>
            </w:pPr>
            <w:r w:rsidRPr="007715BA">
              <w:rPr>
                <w:rFonts w:eastAsiaTheme="minorEastAsia"/>
                <w:color w:val="000000"/>
                <w:szCs w:val="21"/>
              </w:rPr>
              <w:t>-</w:t>
            </w:r>
          </w:p>
        </w:tc>
      </w:tr>
      <w:tr w:rsidTr="000B3954">
        <w:tblPrEx>
          <w:tblW w:w="9000" w:type="dxa"/>
          <w:tblInd w:w="108" w:type="dxa"/>
          <w:tblLayout w:type="fixed"/>
          <w:tblLook w:val="00A0"/>
        </w:tblPrEx>
        <w:tc>
          <w:tcPr>
            <w:tcW w:w="3420" w:type="dxa"/>
            <w:vAlign w:val="center"/>
          </w:tcPr>
          <w:p w:rsidR="00CC45C6" w:rsidRPr="007715BA" w:rsidP="000B3954">
            <w:pPr>
              <w:rPr>
                <w:rFonts w:eastAsiaTheme="minorEastAsia"/>
                <w:b/>
                <w:color w:val="000000"/>
                <w:szCs w:val="21"/>
              </w:rPr>
            </w:pPr>
            <w:r w:rsidRPr="007715BA">
              <w:rPr>
                <w:rFonts w:eastAsiaTheme="minorEastAsia"/>
                <w:b/>
                <w:color w:val="000000"/>
                <w:szCs w:val="21"/>
              </w:rPr>
              <w:t>四、净利润（净亏损以</w:t>
            </w:r>
            <w:r w:rsidRPr="007715BA">
              <w:rPr>
                <w:rFonts w:eastAsiaTheme="minorEastAsia"/>
                <w:b/>
                <w:color w:val="000000"/>
                <w:szCs w:val="21"/>
              </w:rPr>
              <w:t>“-”</w:t>
            </w:r>
            <w:r w:rsidRPr="007715BA">
              <w:rPr>
                <w:rFonts w:eastAsiaTheme="minorEastAsia"/>
                <w:b/>
                <w:color w:val="000000"/>
                <w:szCs w:val="21"/>
              </w:rPr>
              <w:t>号填列）</w:t>
            </w:r>
          </w:p>
        </w:tc>
        <w:tc>
          <w:tcPr>
            <w:tcW w:w="1080" w:type="dxa"/>
            <w:vAlign w:val="center"/>
          </w:tcPr>
          <w:p w:rsidR="00CC45C6" w:rsidRPr="007715BA" w:rsidP="000B3954">
            <w:pPr>
              <w:pStyle w:val="NormalWeb"/>
              <w:jc w:val="center"/>
              <w:rPr>
                <w:rFonts w:ascii="Times New Roman" w:hAnsi="Times New Roman" w:eastAsiaTheme="minorEastAsia"/>
                <w:b/>
                <w:color w:val="000000"/>
                <w:sz w:val="21"/>
                <w:szCs w:val="21"/>
              </w:rPr>
            </w:pPr>
          </w:p>
        </w:tc>
        <w:tc>
          <w:tcPr>
            <w:tcW w:w="2250" w:type="dxa"/>
            <w:vAlign w:val="bottom"/>
          </w:tcPr>
          <w:p w:rsidR="00CC45C6" w:rsidRPr="007715BA" w:rsidP="000B3954">
            <w:pPr>
              <w:jc w:val="right"/>
              <w:rPr>
                <w:rFonts w:eastAsiaTheme="minorEastAsia"/>
                <w:b/>
                <w:color w:val="000000"/>
                <w:szCs w:val="21"/>
              </w:rPr>
            </w:pPr>
            <w:r w:rsidRPr="007715BA">
              <w:rPr>
                <w:rFonts w:eastAsiaTheme="minorEastAsia"/>
                <w:b/>
                <w:color w:val="000000"/>
                <w:szCs w:val="21"/>
              </w:rPr>
              <w:t>-859,961.62</w:t>
            </w:r>
          </w:p>
        </w:tc>
        <w:tc>
          <w:tcPr>
            <w:tcW w:w="2250" w:type="dxa"/>
            <w:vAlign w:val="bottom"/>
          </w:tcPr>
          <w:p w:rsidR="00CC45C6" w:rsidRPr="007715BA" w:rsidP="000B3954">
            <w:pPr>
              <w:jc w:val="right"/>
              <w:rPr>
                <w:rFonts w:eastAsiaTheme="minorEastAsia"/>
                <w:b/>
                <w:color w:val="000000"/>
                <w:szCs w:val="21"/>
              </w:rPr>
            </w:pPr>
            <w:r w:rsidRPr="007715BA">
              <w:rPr>
                <w:rFonts w:eastAsiaTheme="minorEastAsia"/>
                <w:b/>
                <w:color w:val="000000"/>
                <w:szCs w:val="21"/>
              </w:rPr>
              <w:t>-27,674.00</w:t>
            </w:r>
          </w:p>
        </w:tc>
      </w:tr>
    </w:tbl>
    <w:p w:rsidR="001548F9" w:rsidRPr="0045565B" w:rsidP="0045565B">
      <w:pPr>
        <w:pStyle w:val="Heading2"/>
        <w:spacing w:before="312" w:beforeLines="100" w:after="0"/>
        <w:rPr>
          <w:rFonts w:ascii="Times New Roman" w:hAnsi="Times New Roman" w:eastAsiaTheme="minorEastAsia"/>
          <w:kern w:val="0"/>
          <w:sz w:val="21"/>
          <w:szCs w:val="21"/>
        </w:rPr>
      </w:pPr>
      <w:bookmarkStart w:id="48" w:name="_Toc331410099"/>
      <w:bookmarkStart w:id="49" w:name="_Toc225498270"/>
      <w:r w:rsidRPr="0045565B">
        <w:rPr>
          <w:rFonts w:ascii="Times New Roman" w:hAnsi="Times New Roman" w:eastAsiaTheme="minorEastAsia"/>
          <w:kern w:val="0"/>
          <w:sz w:val="21"/>
          <w:szCs w:val="21"/>
        </w:rPr>
        <w:t xml:space="preserve">6.3 </w:t>
      </w:r>
      <w:r w:rsidRPr="0045565B">
        <w:rPr>
          <w:rFonts w:ascii="Times New Roman" w:hAnsi="Times New Roman" w:eastAsiaTheme="minorEastAsia"/>
          <w:kern w:val="0"/>
          <w:sz w:val="21"/>
          <w:szCs w:val="21"/>
        </w:rPr>
        <w:t>所有者权益（基金净值）变动表</w:t>
      </w:r>
      <w:bookmarkEnd w:id="48"/>
      <w:bookmarkEnd w:id="49"/>
    </w:p>
    <w:p w:rsidR="001548F9" w:rsidRPr="0045565B" w:rsidP="001F7147">
      <w:pPr>
        <w:spacing w:line="360" w:lineRule="auto"/>
        <w:rPr>
          <w:rFonts w:eastAsiaTheme="minorEastAsia"/>
          <w:kern w:val="0"/>
          <w:szCs w:val="21"/>
        </w:rPr>
      </w:pPr>
      <w:r w:rsidRPr="0045565B">
        <w:rPr>
          <w:rFonts w:eastAsiaTheme="minorEastAsia"/>
          <w:color w:val="000000"/>
          <w:szCs w:val="21"/>
        </w:rPr>
        <w:t>会计主体：</w:t>
      </w:r>
      <w:r w:rsidRPr="0045565B">
        <w:rPr>
          <w:rFonts w:eastAsiaTheme="minorEastAsia"/>
          <w:kern w:val="0"/>
          <w:szCs w:val="21"/>
        </w:rPr>
        <w:t>金鹰医疗健康产业股票型证券投资基金</w:t>
      </w:r>
    </w:p>
    <w:p w:rsidR="001548F9" w:rsidRPr="0045565B" w:rsidP="001F7147">
      <w:pPr>
        <w:spacing w:line="360" w:lineRule="auto"/>
        <w:rPr>
          <w:rFonts w:eastAsiaTheme="minorEastAsia"/>
          <w:kern w:val="0"/>
          <w:szCs w:val="21"/>
        </w:rPr>
      </w:pPr>
      <w:r w:rsidRPr="0045565B">
        <w:rPr>
          <w:rFonts w:eastAsiaTheme="minorEastAsia"/>
          <w:color w:val="000000"/>
          <w:szCs w:val="21"/>
        </w:rPr>
        <w:t>本报告期：</w:t>
      </w:r>
      <w:r w:rsidRPr="0045565B">
        <w:rPr>
          <w:rFonts w:eastAsiaTheme="minorEastAsia"/>
          <w:kern w:val="0"/>
          <w:szCs w:val="21"/>
        </w:rPr>
        <w:t>2019年1月1日</w:t>
      </w:r>
      <w:r w:rsidRPr="0045565B">
        <w:rPr>
          <w:rFonts w:eastAsiaTheme="minorEastAsia"/>
          <w:kern w:val="0"/>
          <w:szCs w:val="21"/>
        </w:rPr>
        <w:t>至</w:t>
      </w:r>
      <w:r w:rsidRPr="0045565B">
        <w:rPr>
          <w:rFonts w:eastAsiaTheme="minorEastAsia"/>
          <w:kern w:val="0"/>
          <w:szCs w:val="21"/>
        </w:rPr>
        <w:t>2019年6月30日</w:t>
      </w:r>
    </w:p>
    <w:p w:rsidR="001548F9" w:rsidRPr="0045565B" w:rsidP="006D141C">
      <w:pPr>
        <w:autoSpaceDE w:val="0"/>
        <w:autoSpaceDN w:val="0"/>
        <w:adjustRightInd w:val="0"/>
        <w:spacing w:before="29" w:line="288" w:lineRule="auto"/>
        <w:ind w:left="15"/>
        <w:jc w:val="right"/>
        <w:rPr>
          <w:rFonts w:eastAsiaTheme="minorEastAsia"/>
          <w:color w:val="000000"/>
          <w:kern w:val="0"/>
          <w:szCs w:val="21"/>
        </w:rPr>
      </w:pPr>
      <w:r w:rsidRPr="0045565B">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2149"/>
        <w:gridCol w:w="2149"/>
        <w:gridCol w:w="2150"/>
      </w:tblGrid>
      <w:tr w:rsidTr="001A4BE3">
        <w:tblPrEx>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2552" w:type="dxa"/>
            <w:vMerge w:val="restart"/>
            <w:vAlign w:val="center"/>
          </w:tcPr>
          <w:p w:rsidR="001548F9" w:rsidRPr="0045565B">
            <w:pPr>
              <w:jc w:val="center"/>
              <w:rPr>
                <w:rFonts w:eastAsiaTheme="minorEastAsia"/>
                <w:b/>
                <w:color w:val="000000"/>
                <w:szCs w:val="21"/>
              </w:rPr>
            </w:pPr>
            <w:r w:rsidRPr="0045565B">
              <w:rPr>
                <w:rFonts w:eastAsiaTheme="minorEastAsia"/>
                <w:b/>
                <w:color w:val="000000"/>
                <w:szCs w:val="21"/>
              </w:rPr>
              <w:t>项目</w:t>
            </w:r>
          </w:p>
        </w:tc>
        <w:tc>
          <w:tcPr>
            <w:tcW w:w="6448" w:type="dxa"/>
            <w:gridSpan w:val="3"/>
            <w:vAlign w:val="center"/>
          </w:tcPr>
          <w:p w:rsidR="001548F9" w:rsidRPr="0045565B">
            <w:pPr>
              <w:jc w:val="center"/>
              <w:rPr>
                <w:rFonts w:eastAsiaTheme="minorEastAsia"/>
                <w:b/>
                <w:color w:val="000000"/>
                <w:szCs w:val="21"/>
              </w:rPr>
            </w:pPr>
            <w:r w:rsidRPr="0045565B">
              <w:rPr>
                <w:rFonts w:eastAsiaTheme="minorEastAsia"/>
                <w:b/>
                <w:color w:val="000000"/>
                <w:szCs w:val="21"/>
              </w:rPr>
              <w:t>本期</w:t>
            </w:r>
          </w:p>
          <w:p w:rsidR="001548F9" w:rsidRPr="0045565B">
            <w:pPr>
              <w:pStyle w:val="NormalWeb"/>
              <w:spacing w:before="0" w:beforeAutospacing="0" w:after="0" w:afterAutospacing="0"/>
              <w:jc w:val="center"/>
              <w:rPr>
                <w:rFonts w:ascii="Times New Roman" w:hAnsi="Times New Roman" w:eastAsiaTheme="minorEastAsia"/>
                <w:b/>
                <w:color w:val="000000"/>
                <w:sz w:val="21"/>
                <w:szCs w:val="21"/>
              </w:rPr>
            </w:pPr>
            <w:r w:rsidRPr="0045565B">
              <w:rPr>
                <w:rFonts w:ascii="Times New Roman" w:hAnsi="Times New Roman" w:eastAsiaTheme="minorEastAsia"/>
                <w:b/>
                <w:sz w:val="21"/>
                <w:szCs w:val="21"/>
              </w:rPr>
              <w:t>2019年1月1日</w:t>
            </w:r>
            <w:r w:rsidRPr="0045565B">
              <w:rPr>
                <w:rFonts w:ascii="Times New Roman" w:hAnsi="Times New Roman" w:eastAsiaTheme="minorEastAsia"/>
                <w:b/>
                <w:sz w:val="21"/>
                <w:szCs w:val="21"/>
              </w:rPr>
              <w:t>至</w:t>
            </w:r>
            <w:r w:rsidRPr="0045565B">
              <w:rPr>
                <w:rFonts w:ascii="Times New Roman" w:hAnsi="Times New Roman" w:eastAsiaTheme="minorEastAsia"/>
                <w:b/>
                <w:sz w:val="21"/>
                <w:szCs w:val="21"/>
              </w:rPr>
              <w:t>2019年6月30日</w:t>
            </w:r>
          </w:p>
        </w:tc>
      </w:tr>
      <w:tr w:rsidTr="001A4BE3">
        <w:tblPrEx>
          <w:tblW w:w="9000" w:type="dxa"/>
          <w:tblInd w:w="108" w:type="dxa"/>
          <w:tblLayout w:type="fixed"/>
          <w:tblLook w:val="00A0"/>
        </w:tblPrEx>
        <w:tc>
          <w:tcPr>
            <w:tcW w:w="2552" w:type="dxa"/>
            <w:vMerge/>
            <w:vAlign w:val="center"/>
          </w:tcPr>
          <w:p w:rsidR="001548F9" w:rsidRPr="0045565B">
            <w:pPr>
              <w:widowControl/>
              <w:jc w:val="left"/>
              <w:rPr>
                <w:rFonts w:eastAsiaTheme="minorEastAsia"/>
                <w:b/>
                <w:color w:val="000000"/>
                <w:szCs w:val="21"/>
              </w:rPr>
            </w:pPr>
          </w:p>
        </w:tc>
        <w:tc>
          <w:tcPr>
            <w:tcW w:w="2149" w:type="dxa"/>
            <w:vAlign w:val="center"/>
          </w:tcPr>
          <w:p w:rsidR="001548F9" w:rsidRPr="0045565B">
            <w:pPr>
              <w:jc w:val="center"/>
              <w:rPr>
                <w:rFonts w:eastAsiaTheme="minorEastAsia"/>
                <w:b/>
                <w:color w:val="000000"/>
                <w:szCs w:val="21"/>
              </w:rPr>
            </w:pPr>
            <w:r w:rsidRPr="0045565B">
              <w:rPr>
                <w:rFonts w:eastAsiaTheme="minorEastAsia"/>
                <w:b/>
                <w:color w:val="000000"/>
                <w:szCs w:val="21"/>
              </w:rPr>
              <w:t>实收基金</w:t>
            </w:r>
          </w:p>
        </w:tc>
        <w:tc>
          <w:tcPr>
            <w:tcW w:w="2149" w:type="dxa"/>
            <w:vAlign w:val="center"/>
          </w:tcPr>
          <w:p w:rsidR="001548F9" w:rsidRPr="0045565B">
            <w:pPr>
              <w:jc w:val="center"/>
              <w:rPr>
                <w:rFonts w:eastAsiaTheme="minorEastAsia"/>
                <w:b/>
                <w:color w:val="000000"/>
                <w:szCs w:val="21"/>
              </w:rPr>
            </w:pPr>
            <w:r w:rsidRPr="0045565B">
              <w:rPr>
                <w:rFonts w:eastAsiaTheme="minorEastAsia"/>
                <w:b/>
                <w:color w:val="000000"/>
                <w:szCs w:val="21"/>
              </w:rPr>
              <w:t>未分配利润</w:t>
            </w:r>
          </w:p>
        </w:tc>
        <w:tc>
          <w:tcPr>
            <w:tcW w:w="2150" w:type="dxa"/>
            <w:vAlign w:val="center"/>
          </w:tcPr>
          <w:p w:rsidR="001548F9" w:rsidRPr="0045565B">
            <w:pPr>
              <w:jc w:val="center"/>
              <w:rPr>
                <w:rFonts w:eastAsiaTheme="minorEastAsia"/>
                <w:color w:val="000000"/>
                <w:szCs w:val="21"/>
              </w:rPr>
            </w:pPr>
            <w:r w:rsidRPr="0045565B">
              <w:rPr>
                <w:rFonts w:eastAsiaTheme="minorEastAsia"/>
                <w:b/>
                <w:color w:val="000000"/>
                <w:szCs w:val="21"/>
              </w:rPr>
              <w:t>所有者权益合计</w:t>
            </w:r>
          </w:p>
        </w:tc>
      </w:tr>
      <w:tr w:rsidTr="00801E52">
        <w:tblPrEx>
          <w:tblW w:w="9000" w:type="dxa"/>
          <w:tblInd w:w="108" w:type="dxa"/>
          <w:tblLayout w:type="fixed"/>
          <w:tblLook w:val="00A0"/>
        </w:tblPrEx>
        <w:tc>
          <w:tcPr>
            <w:tcW w:w="2552" w:type="dxa"/>
            <w:vAlign w:val="center"/>
          </w:tcPr>
          <w:p w:rsidR="001548F9" w:rsidRPr="0045565B" w:rsidP="00801E52">
            <w:pPr>
              <w:rPr>
                <w:rFonts w:eastAsiaTheme="minorEastAsia"/>
                <w:color w:val="000000"/>
                <w:szCs w:val="21"/>
              </w:rPr>
            </w:pPr>
            <w:r w:rsidRPr="0045565B">
              <w:rPr>
                <w:rFonts w:eastAsiaTheme="minorEastAsia"/>
                <w:color w:val="000000"/>
                <w:szCs w:val="21"/>
              </w:rPr>
              <w:t>一、期初所有者权益（基金净值）</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3,055,983.29</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-341,087.28</w:t>
            </w:r>
          </w:p>
        </w:tc>
        <w:tc>
          <w:tcPr>
            <w:tcW w:w="2150"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2,714,896.01</w:t>
            </w:r>
          </w:p>
        </w:tc>
      </w:tr>
      <w:tr w:rsidTr="00801E52">
        <w:tblPrEx>
          <w:tblW w:w="9000" w:type="dxa"/>
          <w:tblInd w:w="108" w:type="dxa"/>
          <w:tblLayout w:type="fixed"/>
          <w:tblLook w:val="00A0"/>
        </w:tblPrEx>
        <w:tc>
          <w:tcPr>
            <w:tcW w:w="2552" w:type="dxa"/>
            <w:vAlign w:val="center"/>
          </w:tcPr>
          <w:p w:rsidR="001548F9" w:rsidRPr="0045565B" w:rsidP="00801E52">
            <w:pPr>
              <w:rPr>
                <w:rFonts w:eastAsiaTheme="minorEastAsia"/>
                <w:color w:val="000000"/>
                <w:szCs w:val="21"/>
              </w:rPr>
            </w:pPr>
            <w:r w:rsidRPr="0045565B">
              <w:rPr>
                <w:rFonts w:eastAsiaTheme="minorEastAsia"/>
                <w:color w:val="000000"/>
                <w:szCs w:val="21"/>
              </w:rPr>
              <w:t>二、本期经营活动产生的基金净值变动数（本期利润）</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-859,961.62</w:t>
            </w:r>
          </w:p>
        </w:tc>
        <w:tc>
          <w:tcPr>
            <w:tcW w:w="2150"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-859,961.62</w:t>
            </w:r>
          </w:p>
        </w:tc>
      </w:tr>
      <w:tr w:rsidTr="00801E52">
        <w:tblPrEx>
          <w:tblW w:w="9000" w:type="dxa"/>
          <w:tblInd w:w="108" w:type="dxa"/>
          <w:tblLayout w:type="fixed"/>
          <w:tblLook w:val="00A0"/>
        </w:tblPrEx>
        <w:tc>
          <w:tcPr>
            <w:tcW w:w="2552" w:type="dxa"/>
            <w:vAlign w:val="center"/>
          </w:tcPr>
          <w:p w:rsidR="001548F9" w:rsidRPr="0045565B" w:rsidP="00801E52">
            <w:pPr>
              <w:rPr>
                <w:rFonts w:eastAsiaTheme="minorEastAsia"/>
                <w:color w:val="000000"/>
                <w:szCs w:val="21"/>
              </w:rPr>
            </w:pPr>
            <w:r w:rsidRPr="0045565B">
              <w:rPr>
                <w:rFonts w:eastAsiaTheme="minorEastAsia"/>
                <w:color w:val="000000"/>
                <w:szCs w:val="21"/>
              </w:rPr>
              <w:t>三、本期基金份额交易产生的基金净值变动数（净值减少以</w:t>
            </w:r>
            <w:r w:rsidRPr="0045565B">
              <w:rPr>
                <w:rFonts w:eastAsiaTheme="minorEastAsia"/>
                <w:color w:val="000000"/>
                <w:szCs w:val="21"/>
              </w:rPr>
              <w:t>“-”</w:t>
            </w:r>
            <w:r w:rsidRPr="0045565B">
              <w:rPr>
                <w:rFonts w:eastAsiaTheme="minorEastAsia"/>
                <w:color w:val="000000"/>
                <w:szCs w:val="21"/>
              </w:rPr>
              <w:t>号填列）</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11,258,956.44</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2,552,055.26</w:t>
            </w:r>
          </w:p>
        </w:tc>
        <w:tc>
          <w:tcPr>
            <w:tcW w:w="2150"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13,811,011.70</w:t>
            </w:r>
          </w:p>
        </w:tc>
      </w:tr>
      <w:tr w:rsidTr="00801E52">
        <w:tblPrEx>
          <w:tblW w:w="9000" w:type="dxa"/>
          <w:tblInd w:w="108" w:type="dxa"/>
          <w:tblLayout w:type="fixed"/>
          <w:tblLook w:val="00A0"/>
        </w:tblPrEx>
        <w:tc>
          <w:tcPr>
            <w:tcW w:w="2552" w:type="dxa"/>
            <w:vAlign w:val="center"/>
          </w:tcPr>
          <w:p w:rsidR="001548F9" w:rsidRPr="0045565B" w:rsidP="00801E52">
            <w:pPr>
              <w:rPr>
                <w:rFonts w:eastAsiaTheme="minorEastAsia"/>
                <w:color w:val="000000"/>
                <w:szCs w:val="21"/>
              </w:rPr>
            </w:pPr>
            <w:r w:rsidRPr="0045565B">
              <w:rPr>
                <w:rFonts w:eastAsiaTheme="minorEastAsia"/>
                <w:color w:val="000000"/>
                <w:szCs w:val="21"/>
              </w:rPr>
              <w:t>其中：</w:t>
            </w:r>
            <w:r w:rsidRPr="0045565B">
              <w:rPr>
                <w:rFonts w:eastAsiaTheme="minorEastAsia"/>
                <w:color w:val="000000"/>
                <w:szCs w:val="21"/>
              </w:rPr>
              <w:t>1.</w:t>
            </w:r>
            <w:r w:rsidRPr="0045565B">
              <w:rPr>
                <w:rFonts w:eastAsiaTheme="minorEastAsia"/>
                <w:color w:val="000000"/>
                <w:szCs w:val="21"/>
              </w:rPr>
              <w:t>基金申购款</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37,290,891.20</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5,122,002.78</w:t>
            </w:r>
          </w:p>
        </w:tc>
        <w:tc>
          <w:tcPr>
            <w:tcW w:w="2150"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42,412,893.98</w:t>
            </w:r>
          </w:p>
        </w:tc>
      </w:tr>
      <w:tr w:rsidTr="00801E52">
        <w:tblPrEx>
          <w:tblW w:w="9000" w:type="dxa"/>
          <w:tblInd w:w="108" w:type="dxa"/>
          <w:tblLayout w:type="fixed"/>
          <w:tblLook w:val="00A0"/>
        </w:tblPrEx>
        <w:tc>
          <w:tcPr>
            <w:tcW w:w="2552" w:type="dxa"/>
            <w:vAlign w:val="center"/>
          </w:tcPr>
          <w:p w:rsidR="001548F9" w:rsidRPr="0045565B" w:rsidP="00801E52">
            <w:pPr>
              <w:ind w:firstLine="630" w:firstLineChars="300"/>
              <w:rPr>
                <w:rFonts w:eastAsiaTheme="minorEastAsia"/>
                <w:color w:val="000000"/>
                <w:szCs w:val="21"/>
              </w:rPr>
            </w:pPr>
            <w:r w:rsidRPr="0045565B">
              <w:rPr>
                <w:rFonts w:eastAsiaTheme="minorEastAsia"/>
                <w:color w:val="000000"/>
                <w:szCs w:val="21"/>
              </w:rPr>
              <w:t>2.</w:t>
            </w:r>
            <w:r w:rsidRPr="0045565B">
              <w:rPr>
                <w:rFonts w:eastAsiaTheme="minorEastAsia"/>
                <w:color w:val="000000"/>
                <w:szCs w:val="21"/>
              </w:rPr>
              <w:t>基金赎回款</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-26,031,934.76</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-2,569,947.52</w:t>
            </w:r>
          </w:p>
        </w:tc>
        <w:tc>
          <w:tcPr>
            <w:tcW w:w="2150"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-28,601,882.28</w:t>
            </w:r>
          </w:p>
        </w:tc>
      </w:tr>
      <w:tr w:rsidTr="00801E52">
        <w:tblPrEx>
          <w:tblW w:w="9000" w:type="dxa"/>
          <w:tblInd w:w="108" w:type="dxa"/>
          <w:tblLayout w:type="fixed"/>
          <w:tblLook w:val="00A0"/>
        </w:tblPrEx>
        <w:tc>
          <w:tcPr>
            <w:tcW w:w="2552" w:type="dxa"/>
            <w:vAlign w:val="center"/>
          </w:tcPr>
          <w:p w:rsidR="001548F9" w:rsidRPr="0045565B" w:rsidP="00801E52">
            <w:pPr>
              <w:rPr>
                <w:rFonts w:eastAsiaTheme="minorEastAsia"/>
                <w:color w:val="000000"/>
                <w:szCs w:val="21"/>
              </w:rPr>
            </w:pPr>
            <w:r w:rsidRPr="0045565B">
              <w:rPr>
                <w:rFonts w:eastAsiaTheme="minorEastAsia"/>
                <w:color w:val="000000"/>
                <w:szCs w:val="21"/>
              </w:rPr>
              <w:t>四、本期向基金份额持有人分配利润产生的基金净值变动（净值减少以</w:t>
            </w:r>
            <w:r w:rsidRPr="0045565B">
              <w:rPr>
                <w:rFonts w:eastAsiaTheme="minorEastAsia"/>
                <w:color w:val="000000"/>
                <w:szCs w:val="21"/>
              </w:rPr>
              <w:t>“-”</w:t>
            </w:r>
            <w:r w:rsidRPr="0045565B">
              <w:rPr>
                <w:rFonts w:eastAsiaTheme="minorEastAsia"/>
                <w:color w:val="000000"/>
                <w:szCs w:val="21"/>
              </w:rPr>
              <w:t>号填列）</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w:t>
            </w:r>
          </w:p>
        </w:tc>
        <w:tc>
          <w:tcPr>
            <w:tcW w:w="2150"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w:t>
            </w:r>
          </w:p>
        </w:tc>
      </w:tr>
      <w:tr w:rsidTr="00801E52">
        <w:tblPrEx>
          <w:tblW w:w="9000" w:type="dxa"/>
          <w:tblInd w:w="108" w:type="dxa"/>
          <w:tblLayout w:type="fixed"/>
          <w:tblLook w:val="00A0"/>
        </w:tblPrEx>
        <w:tc>
          <w:tcPr>
            <w:tcW w:w="2552" w:type="dxa"/>
            <w:vAlign w:val="center"/>
          </w:tcPr>
          <w:p w:rsidR="001548F9" w:rsidRPr="0045565B" w:rsidP="00801E52">
            <w:pPr>
              <w:rPr>
                <w:rFonts w:eastAsiaTheme="minorEastAsia"/>
                <w:color w:val="000000"/>
                <w:szCs w:val="21"/>
              </w:rPr>
            </w:pPr>
            <w:r w:rsidRPr="0045565B">
              <w:rPr>
                <w:rFonts w:eastAsiaTheme="minorEastAsia"/>
                <w:color w:val="000000"/>
                <w:szCs w:val="21"/>
              </w:rPr>
              <w:t>五、期末所有者权益（基金净值）</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14,314,939.73</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1,351,006.36</w:t>
            </w:r>
          </w:p>
        </w:tc>
        <w:tc>
          <w:tcPr>
            <w:tcW w:w="2150"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15,665,946.09</w:t>
            </w:r>
          </w:p>
        </w:tc>
      </w:tr>
      <w:tr w:rsidTr="001A4BE3">
        <w:tblPrEx>
          <w:tblW w:w="9000" w:type="dxa"/>
          <w:tblInd w:w="108" w:type="dxa"/>
          <w:tblLayout w:type="fixed"/>
          <w:tblLook w:val="00A0"/>
        </w:tblPrEx>
        <w:tc>
          <w:tcPr>
            <w:tcW w:w="2552" w:type="dxa"/>
            <w:vMerge w:val="restart"/>
            <w:vAlign w:val="center"/>
          </w:tcPr>
          <w:p w:rsidR="001548F9" w:rsidRPr="0045565B">
            <w:pPr>
              <w:jc w:val="center"/>
              <w:rPr>
                <w:rFonts w:eastAsiaTheme="minorEastAsia"/>
                <w:color w:val="000000"/>
                <w:szCs w:val="21"/>
              </w:rPr>
            </w:pPr>
            <w:r w:rsidRPr="0045565B">
              <w:rPr>
                <w:rFonts w:eastAsiaTheme="minorEastAsia"/>
                <w:b/>
                <w:color w:val="000000"/>
                <w:szCs w:val="21"/>
              </w:rPr>
              <w:t>项目</w:t>
            </w:r>
          </w:p>
        </w:tc>
        <w:tc>
          <w:tcPr>
            <w:tcW w:w="6448" w:type="dxa"/>
            <w:gridSpan w:val="3"/>
            <w:vAlign w:val="center"/>
          </w:tcPr>
          <w:p w:rsidR="001548F9" w:rsidRPr="0045565B">
            <w:pPr>
              <w:jc w:val="center"/>
              <w:rPr>
                <w:rFonts w:eastAsiaTheme="minorEastAsia"/>
                <w:b/>
                <w:color w:val="000000"/>
                <w:szCs w:val="21"/>
              </w:rPr>
            </w:pPr>
            <w:r w:rsidRPr="0045565B">
              <w:rPr>
                <w:rFonts w:eastAsiaTheme="minorEastAsia"/>
                <w:b/>
                <w:color w:val="000000"/>
                <w:szCs w:val="21"/>
              </w:rPr>
              <w:t>上年度可比期间</w:t>
            </w:r>
          </w:p>
          <w:p w:rsidR="001548F9" w:rsidRPr="0045565B">
            <w:pPr>
              <w:pStyle w:val="NormalWeb"/>
              <w:spacing w:before="0" w:beforeAutospacing="0" w:after="0" w:afterAutospacing="0"/>
              <w:jc w:val="center"/>
              <w:rPr>
                <w:rFonts w:ascii="Times New Roman" w:hAnsi="Times New Roman" w:eastAsiaTheme="minorEastAsia"/>
                <w:b/>
                <w:color w:val="000000"/>
                <w:sz w:val="21"/>
                <w:szCs w:val="21"/>
              </w:rPr>
            </w:pPr>
            <w:r w:rsidRPr="0045565B">
              <w:rPr>
                <w:rFonts w:ascii="Times New Roman" w:hAnsi="Times New Roman" w:eastAsiaTheme="minorEastAsia"/>
                <w:b/>
                <w:color w:val="000000"/>
                <w:sz w:val="21"/>
                <w:szCs w:val="21"/>
              </w:rPr>
              <w:t>2018年4月13日（基金合同生效日）至2018年6月30日</w:t>
            </w:r>
          </w:p>
        </w:tc>
      </w:tr>
      <w:tr w:rsidTr="001A4BE3">
        <w:tblPrEx>
          <w:tblW w:w="9000" w:type="dxa"/>
          <w:tblInd w:w="108" w:type="dxa"/>
          <w:tblLayout w:type="fixed"/>
          <w:tblLook w:val="00A0"/>
        </w:tblPrEx>
        <w:tc>
          <w:tcPr>
            <w:tcW w:w="2552" w:type="dxa"/>
            <w:vMerge/>
            <w:vAlign w:val="center"/>
          </w:tcPr>
          <w:p w:rsidR="001548F9" w:rsidRPr="0045565B">
            <w:pPr>
              <w:widowControl/>
              <w:jc w:val="left"/>
              <w:rPr>
                <w:rFonts w:eastAsiaTheme="minorEastAsia"/>
                <w:color w:val="000000"/>
                <w:szCs w:val="21"/>
              </w:rPr>
            </w:pPr>
          </w:p>
        </w:tc>
        <w:tc>
          <w:tcPr>
            <w:tcW w:w="2149" w:type="dxa"/>
            <w:vAlign w:val="center"/>
          </w:tcPr>
          <w:p w:rsidR="001548F9" w:rsidRPr="0045565B">
            <w:pPr>
              <w:jc w:val="center"/>
              <w:rPr>
                <w:rFonts w:eastAsiaTheme="minorEastAsia"/>
                <w:color w:val="000000"/>
                <w:szCs w:val="21"/>
              </w:rPr>
            </w:pPr>
            <w:r w:rsidRPr="0045565B">
              <w:rPr>
                <w:rFonts w:eastAsiaTheme="minorEastAsia"/>
                <w:b/>
                <w:color w:val="000000"/>
                <w:szCs w:val="21"/>
              </w:rPr>
              <w:t>实收基金</w:t>
            </w:r>
          </w:p>
        </w:tc>
        <w:tc>
          <w:tcPr>
            <w:tcW w:w="2149" w:type="dxa"/>
          </w:tcPr>
          <w:p w:rsidR="001548F9" w:rsidRPr="0045565B">
            <w:pPr>
              <w:jc w:val="center"/>
              <w:rPr>
                <w:rFonts w:eastAsiaTheme="minorEastAsia"/>
                <w:color w:val="000000"/>
                <w:szCs w:val="21"/>
              </w:rPr>
            </w:pPr>
            <w:r w:rsidRPr="0045565B">
              <w:rPr>
                <w:rFonts w:eastAsiaTheme="minorEastAsia"/>
                <w:b/>
                <w:color w:val="000000"/>
                <w:szCs w:val="21"/>
              </w:rPr>
              <w:t>未分配利润</w:t>
            </w:r>
          </w:p>
        </w:tc>
        <w:tc>
          <w:tcPr>
            <w:tcW w:w="2150" w:type="dxa"/>
            <w:vAlign w:val="center"/>
          </w:tcPr>
          <w:p w:rsidR="001548F9" w:rsidRPr="0045565B">
            <w:pPr>
              <w:jc w:val="center"/>
              <w:rPr>
                <w:rFonts w:eastAsiaTheme="minorEastAsia"/>
                <w:b/>
                <w:color w:val="000000"/>
                <w:szCs w:val="21"/>
              </w:rPr>
            </w:pPr>
            <w:r w:rsidRPr="0045565B">
              <w:rPr>
                <w:rFonts w:eastAsiaTheme="minorEastAsia"/>
                <w:b/>
                <w:color w:val="000000"/>
                <w:szCs w:val="21"/>
              </w:rPr>
              <w:t>所有者权益合计</w:t>
            </w:r>
          </w:p>
        </w:tc>
      </w:tr>
      <w:tr w:rsidTr="00801E52">
        <w:tblPrEx>
          <w:tblW w:w="9000" w:type="dxa"/>
          <w:tblInd w:w="108" w:type="dxa"/>
          <w:tblLayout w:type="fixed"/>
          <w:tblLook w:val="00A0"/>
        </w:tblPrEx>
        <w:tc>
          <w:tcPr>
            <w:tcW w:w="2552" w:type="dxa"/>
            <w:vAlign w:val="center"/>
          </w:tcPr>
          <w:p w:rsidR="001548F9" w:rsidRPr="0045565B" w:rsidP="00801E52">
            <w:pPr>
              <w:rPr>
                <w:rFonts w:eastAsiaTheme="minorEastAsia"/>
                <w:color w:val="000000"/>
                <w:szCs w:val="21"/>
              </w:rPr>
            </w:pPr>
            <w:r w:rsidRPr="0045565B">
              <w:rPr>
                <w:rFonts w:eastAsiaTheme="minorEastAsia"/>
                <w:color w:val="000000"/>
                <w:szCs w:val="21"/>
              </w:rPr>
              <w:t>一、期初所有者权益（基金净值）</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3,400,862.65</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163,548.10</w:t>
            </w:r>
          </w:p>
        </w:tc>
        <w:tc>
          <w:tcPr>
            <w:tcW w:w="2150"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3,564,410.75</w:t>
            </w:r>
          </w:p>
        </w:tc>
      </w:tr>
      <w:tr w:rsidTr="00801E52">
        <w:tblPrEx>
          <w:tblW w:w="9000" w:type="dxa"/>
          <w:tblInd w:w="108" w:type="dxa"/>
          <w:tblLayout w:type="fixed"/>
          <w:tblLook w:val="00A0"/>
        </w:tblPrEx>
        <w:tc>
          <w:tcPr>
            <w:tcW w:w="2552" w:type="dxa"/>
            <w:vAlign w:val="center"/>
          </w:tcPr>
          <w:p w:rsidR="001548F9" w:rsidRPr="0045565B" w:rsidP="00801E52">
            <w:pPr>
              <w:rPr>
                <w:rFonts w:eastAsiaTheme="minorEastAsia"/>
                <w:color w:val="000000"/>
                <w:szCs w:val="21"/>
              </w:rPr>
            </w:pPr>
            <w:r w:rsidRPr="0045565B">
              <w:rPr>
                <w:rFonts w:eastAsiaTheme="minorEastAsia"/>
                <w:color w:val="000000"/>
                <w:szCs w:val="21"/>
              </w:rPr>
              <w:t>二、本期经营活动产生的基金净值变动数（本期利润）</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-27,674.00</w:t>
            </w:r>
          </w:p>
        </w:tc>
        <w:tc>
          <w:tcPr>
            <w:tcW w:w="2150"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-27,674.00</w:t>
            </w:r>
          </w:p>
        </w:tc>
      </w:tr>
      <w:tr w:rsidTr="00801E52">
        <w:tblPrEx>
          <w:tblW w:w="9000" w:type="dxa"/>
          <w:tblInd w:w="108" w:type="dxa"/>
          <w:tblLayout w:type="fixed"/>
          <w:tblLook w:val="00A0"/>
        </w:tblPrEx>
        <w:tc>
          <w:tcPr>
            <w:tcW w:w="2552" w:type="dxa"/>
            <w:vAlign w:val="center"/>
          </w:tcPr>
          <w:p w:rsidR="001548F9" w:rsidRPr="0045565B" w:rsidP="00801E52">
            <w:pPr>
              <w:rPr>
                <w:rFonts w:eastAsiaTheme="minorEastAsia"/>
                <w:color w:val="000000"/>
                <w:szCs w:val="21"/>
              </w:rPr>
            </w:pPr>
            <w:r w:rsidRPr="0045565B">
              <w:rPr>
                <w:rFonts w:eastAsiaTheme="minorEastAsia"/>
                <w:color w:val="000000"/>
                <w:szCs w:val="21"/>
              </w:rPr>
              <w:t>三、本期基金份额交易产</w:t>
            </w:r>
            <w:r w:rsidRPr="0045565B">
              <w:rPr>
                <w:rFonts w:eastAsiaTheme="minorEastAsia"/>
                <w:color w:val="000000"/>
                <w:szCs w:val="21"/>
              </w:rPr>
              <w:t>生的基金净值变动数（净值减少以</w:t>
            </w:r>
            <w:r w:rsidRPr="0045565B">
              <w:rPr>
                <w:rFonts w:eastAsiaTheme="minorEastAsia"/>
                <w:color w:val="000000"/>
                <w:szCs w:val="21"/>
              </w:rPr>
              <w:t>“-”</w:t>
            </w:r>
            <w:r w:rsidRPr="0045565B">
              <w:rPr>
                <w:rFonts w:eastAsiaTheme="minorEastAsia"/>
                <w:color w:val="000000"/>
                <w:szCs w:val="21"/>
              </w:rPr>
              <w:t>号填列）</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-870,208.67</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-40,109.79</w:t>
            </w:r>
          </w:p>
        </w:tc>
        <w:tc>
          <w:tcPr>
            <w:tcW w:w="2150"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-910,318.46</w:t>
            </w:r>
          </w:p>
        </w:tc>
      </w:tr>
      <w:tr w:rsidTr="00801E52">
        <w:tblPrEx>
          <w:tblW w:w="9000" w:type="dxa"/>
          <w:tblInd w:w="108" w:type="dxa"/>
          <w:tblLayout w:type="fixed"/>
          <w:tblLook w:val="00A0"/>
        </w:tblPrEx>
        <w:tc>
          <w:tcPr>
            <w:tcW w:w="2552" w:type="dxa"/>
            <w:vAlign w:val="center"/>
          </w:tcPr>
          <w:p w:rsidR="001548F9" w:rsidRPr="0045565B" w:rsidP="00801E52">
            <w:pPr>
              <w:rPr>
                <w:rFonts w:eastAsiaTheme="minorEastAsia"/>
                <w:color w:val="000000"/>
                <w:szCs w:val="21"/>
              </w:rPr>
            </w:pPr>
            <w:r w:rsidRPr="0045565B">
              <w:rPr>
                <w:rFonts w:eastAsiaTheme="minorEastAsia"/>
                <w:color w:val="000000"/>
                <w:szCs w:val="21"/>
              </w:rPr>
              <w:t>其中：</w:t>
            </w:r>
            <w:r w:rsidRPr="0045565B">
              <w:rPr>
                <w:rFonts w:eastAsiaTheme="minorEastAsia"/>
                <w:color w:val="000000"/>
                <w:szCs w:val="21"/>
              </w:rPr>
              <w:t>1.</w:t>
            </w:r>
            <w:r w:rsidRPr="0045565B">
              <w:rPr>
                <w:rFonts w:eastAsiaTheme="minorEastAsia"/>
                <w:color w:val="000000"/>
                <w:szCs w:val="21"/>
              </w:rPr>
              <w:t>基金申购款</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1,274,909.68</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72,860.55</w:t>
            </w:r>
          </w:p>
        </w:tc>
        <w:tc>
          <w:tcPr>
            <w:tcW w:w="2150"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1,347,770.23</w:t>
            </w:r>
          </w:p>
        </w:tc>
      </w:tr>
      <w:tr w:rsidTr="00801E52">
        <w:tblPrEx>
          <w:tblW w:w="9000" w:type="dxa"/>
          <w:tblInd w:w="108" w:type="dxa"/>
          <w:tblLayout w:type="fixed"/>
          <w:tblLook w:val="00A0"/>
        </w:tblPrEx>
        <w:tc>
          <w:tcPr>
            <w:tcW w:w="2552" w:type="dxa"/>
            <w:vAlign w:val="center"/>
          </w:tcPr>
          <w:p w:rsidR="001548F9" w:rsidRPr="0045565B" w:rsidP="00801E52">
            <w:pPr>
              <w:ind w:firstLine="630" w:firstLineChars="300"/>
              <w:rPr>
                <w:rFonts w:eastAsiaTheme="minorEastAsia"/>
                <w:color w:val="000000"/>
                <w:szCs w:val="21"/>
              </w:rPr>
            </w:pPr>
            <w:r w:rsidRPr="0045565B">
              <w:rPr>
                <w:rFonts w:eastAsiaTheme="minorEastAsia"/>
                <w:color w:val="000000"/>
                <w:szCs w:val="21"/>
              </w:rPr>
              <w:t>2.</w:t>
            </w:r>
            <w:r w:rsidRPr="0045565B">
              <w:rPr>
                <w:rFonts w:eastAsiaTheme="minorEastAsia"/>
                <w:color w:val="000000"/>
                <w:szCs w:val="21"/>
              </w:rPr>
              <w:t>基金赎回款</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-2,145,118.35</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-112,970.34</w:t>
            </w:r>
          </w:p>
        </w:tc>
        <w:tc>
          <w:tcPr>
            <w:tcW w:w="2150"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-2,258,088.69</w:t>
            </w:r>
          </w:p>
        </w:tc>
      </w:tr>
      <w:tr w:rsidTr="00801E52">
        <w:tblPrEx>
          <w:tblW w:w="9000" w:type="dxa"/>
          <w:tblInd w:w="108" w:type="dxa"/>
          <w:tblLayout w:type="fixed"/>
          <w:tblLook w:val="00A0"/>
        </w:tblPrEx>
        <w:tc>
          <w:tcPr>
            <w:tcW w:w="2552" w:type="dxa"/>
            <w:vAlign w:val="center"/>
          </w:tcPr>
          <w:p w:rsidR="001548F9" w:rsidRPr="0045565B" w:rsidP="00801E52">
            <w:pPr>
              <w:rPr>
                <w:rFonts w:eastAsiaTheme="minorEastAsia"/>
                <w:color w:val="000000"/>
                <w:szCs w:val="21"/>
              </w:rPr>
            </w:pPr>
            <w:r w:rsidRPr="0045565B">
              <w:rPr>
                <w:rFonts w:eastAsiaTheme="minorEastAsia"/>
                <w:color w:val="000000"/>
                <w:szCs w:val="21"/>
              </w:rPr>
              <w:t>四、本期向基金份额持有人分配利润产生的基金净值变动（净值减少以</w:t>
            </w:r>
            <w:r w:rsidRPr="0045565B">
              <w:rPr>
                <w:rFonts w:eastAsiaTheme="minorEastAsia"/>
                <w:color w:val="000000"/>
                <w:szCs w:val="21"/>
              </w:rPr>
              <w:t>“-”</w:t>
            </w:r>
            <w:r w:rsidRPr="0045565B">
              <w:rPr>
                <w:rFonts w:eastAsiaTheme="minorEastAsia"/>
                <w:color w:val="000000"/>
                <w:szCs w:val="21"/>
              </w:rPr>
              <w:t>号填列）</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w:t>
            </w:r>
          </w:p>
        </w:tc>
        <w:tc>
          <w:tcPr>
            <w:tcW w:w="2150"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w:t>
            </w:r>
          </w:p>
        </w:tc>
      </w:tr>
      <w:tr w:rsidTr="00801E52">
        <w:tblPrEx>
          <w:tblW w:w="9000" w:type="dxa"/>
          <w:tblInd w:w="108" w:type="dxa"/>
          <w:tblLayout w:type="fixed"/>
          <w:tblLook w:val="00A0"/>
        </w:tblPrEx>
        <w:tc>
          <w:tcPr>
            <w:tcW w:w="2552" w:type="dxa"/>
            <w:vAlign w:val="center"/>
          </w:tcPr>
          <w:p w:rsidR="001548F9" w:rsidRPr="0045565B" w:rsidP="00801E52">
            <w:pPr>
              <w:rPr>
                <w:rFonts w:eastAsiaTheme="minorEastAsia"/>
                <w:color w:val="000000"/>
                <w:szCs w:val="21"/>
              </w:rPr>
            </w:pPr>
            <w:r w:rsidRPr="0045565B">
              <w:rPr>
                <w:rFonts w:eastAsiaTheme="minorEastAsia"/>
                <w:color w:val="000000"/>
                <w:szCs w:val="21"/>
              </w:rPr>
              <w:t>五、期末所有者权益（基金净值）</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2,530,653.98</w:t>
            </w:r>
          </w:p>
        </w:tc>
        <w:tc>
          <w:tcPr>
            <w:tcW w:w="2149"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95,764.31</w:t>
            </w:r>
          </w:p>
        </w:tc>
        <w:tc>
          <w:tcPr>
            <w:tcW w:w="2150" w:type="dxa"/>
            <w:vAlign w:val="center"/>
          </w:tcPr>
          <w:p w:rsidR="001548F9" w:rsidRPr="0045565B" w:rsidP="00801E52">
            <w:pPr>
              <w:jc w:val="right"/>
              <w:rPr>
                <w:rFonts w:eastAsiaTheme="minorEastAsia"/>
                <w:color w:val="000000"/>
                <w:szCs w:val="21"/>
              </w:rPr>
            </w:pPr>
            <w:r w:rsidRPr="0045565B">
              <w:rPr>
                <w:rFonts w:eastAsiaTheme="minorEastAsia"/>
                <w:color w:val="000000"/>
                <w:szCs w:val="21"/>
              </w:rPr>
              <w:t>2,626,418.29</w:t>
            </w:r>
          </w:p>
        </w:tc>
      </w:tr>
    </w:tbl>
    <w:p w:rsidR="0039626A" w:rsidRPr="0045565B" w:rsidP="0072541E">
      <w:pPr>
        <w:spacing w:before="312" w:beforeLines="100" w:line="360" w:lineRule="auto"/>
        <w:rPr>
          <w:rFonts w:eastAsiaTheme="minorEastAsia"/>
          <w:szCs w:val="21"/>
        </w:rPr>
      </w:pPr>
      <w:r w:rsidRPr="0045565B">
        <w:rPr>
          <w:rFonts w:eastAsiaTheme="minorEastAsia"/>
          <w:szCs w:val="21"/>
        </w:rPr>
        <w:t>报表附注为财务报表的组成部分。</w:t>
      </w:r>
    </w:p>
    <w:p w:rsidR="0039626A" w:rsidRPr="0045565B" w:rsidP="001F7147">
      <w:pPr>
        <w:spacing w:line="360" w:lineRule="auto"/>
        <w:rPr>
          <w:rFonts w:eastAsiaTheme="minorEastAsia"/>
          <w:szCs w:val="21"/>
        </w:rPr>
      </w:pPr>
      <w:r w:rsidRPr="0045565B">
        <w:rPr>
          <w:rFonts w:eastAsiaTheme="minorEastAsia"/>
          <w:szCs w:val="21"/>
        </w:rPr>
        <w:t>本报告</w:t>
      </w:r>
      <w:r w:rsidRPr="0045565B">
        <w:rPr>
          <w:rFonts w:eastAsiaTheme="minorEastAsia"/>
          <w:szCs w:val="21"/>
        </w:rPr>
        <w:t>6.1</w:t>
      </w:r>
      <w:r w:rsidRPr="0045565B">
        <w:rPr>
          <w:rFonts w:eastAsiaTheme="minorEastAsia"/>
          <w:szCs w:val="21"/>
        </w:rPr>
        <w:t>至</w:t>
      </w:r>
      <w:r w:rsidRPr="0045565B">
        <w:rPr>
          <w:rFonts w:eastAsiaTheme="minorEastAsia"/>
          <w:szCs w:val="21"/>
        </w:rPr>
        <w:t>6.4</w:t>
      </w:r>
      <w:r w:rsidRPr="0045565B">
        <w:rPr>
          <w:rFonts w:eastAsiaTheme="minorEastAsia"/>
          <w:szCs w:val="21"/>
        </w:rPr>
        <w:t>，财务报表由下列负责人签署：</w:t>
      </w:r>
    </w:p>
    <w:p w:rsidR="001548F9" w:rsidRPr="0072541E" w:rsidP="0072541E">
      <w:pPr>
        <w:spacing w:line="360" w:lineRule="auto"/>
        <w:rPr>
          <w:rFonts w:eastAsiaTheme="minorEastAsia"/>
          <w:szCs w:val="21"/>
        </w:rPr>
      </w:pPr>
      <w:r w:rsidRPr="0045565B">
        <w:rPr>
          <w:rFonts w:eastAsiaTheme="minorEastAsia"/>
          <w:szCs w:val="21"/>
        </w:rPr>
        <w:t>基金管理人</w:t>
      </w:r>
      <w:r w:rsidRPr="0045565B" w:rsidR="0039626A">
        <w:rPr>
          <w:rFonts w:eastAsiaTheme="minorEastAsia"/>
          <w:szCs w:val="21"/>
        </w:rPr>
        <w:t>负责人：</w:t>
      </w:r>
      <w:r w:rsidRPr="0045565B" w:rsidR="0039626A">
        <w:rPr>
          <w:rFonts w:eastAsiaTheme="minorEastAsia"/>
          <w:szCs w:val="21"/>
        </w:rPr>
        <w:t>刘志刚</w:t>
      </w:r>
      <w:r w:rsidRPr="0045565B" w:rsidR="0039626A">
        <w:rPr>
          <w:rFonts w:eastAsiaTheme="minorEastAsia"/>
          <w:szCs w:val="21"/>
        </w:rPr>
        <w:t>，主管会计工作负责人：</w:t>
      </w:r>
      <w:r w:rsidRPr="0045565B" w:rsidR="0039626A">
        <w:rPr>
          <w:rFonts w:eastAsiaTheme="minorEastAsia"/>
          <w:szCs w:val="21"/>
        </w:rPr>
        <w:t>刘志刚</w:t>
      </w:r>
      <w:r w:rsidRPr="0045565B" w:rsidR="0039626A">
        <w:rPr>
          <w:rFonts w:eastAsiaTheme="minorEastAsia"/>
          <w:szCs w:val="21"/>
        </w:rPr>
        <w:t>，会计机构负责人：</w:t>
      </w:r>
      <w:r w:rsidRPr="0045565B" w:rsidR="0039626A">
        <w:rPr>
          <w:rFonts w:eastAsiaTheme="minorEastAsia"/>
          <w:szCs w:val="21"/>
        </w:rPr>
        <w:t>谢文君</w:t>
      </w:r>
    </w:p>
    <w:p w:rsidR="001548F9" w:rsidRPr="0045565B" w:rsidP="0072541E">
      <w:pPr>
        <w:pStyle w:val="Heading2"/>
        <w:spacing w:before="312" w:beforeLines="100" w:after="0"/>
        <w:rPr>
          <w:rFonts w:ascii="Times New Roman" w:hAnsi="Times New Roman" w:eastAsiaTheme="minorEastAsia"/>
          <w:kern w:val="0"/>
          <w:sz w:val="21"/>
          <w:szCs w:val="21"/>
        </w:rPr>
      </w:pPr>
      <w:bookmarkStart w:id="50" w:name="_Toc331410100"/>
      <w:bookmarkStart w:id="51" w:name="_Toc225498271"/>
      <w:r w:rsidRPr="0045565B">
        <w:rPr>
          <w:rFonts w:ascii="Times New Roman" w:hAnsi="Times New Roman" w:eastAsiaTheme="minorEastAsia"/>
          <w:kern w:val="0"/>
          <w:sz w:val="21"/>
          <w:szCs w:val="21"/>
        </w:rPr>
        <w:t xml:space="preserve">6.4 </w:t>
      </w:r>
      <w:r w:rsidRPr="0045565B">
        <w:rPr>
          <w:rFonts w:ascii="Times New Roman" w:hAnsi="Times New Roman" w:eastAsiaTheme="minorEastAsia"/>
          <w:kern w:val="0"/>
          <w:sz w:val="21"/>
          <w:szCs w:val="21"/>
        </w:rPr>
        <w:t>报表附注</w:t>
      </w:r>
      <w:bookmarkEnd w:id="50"/>
      <w:bookmarkEnd w:id="51"/>
    </w:p>
    <w:p w:rsidR="001548F9" w:rsidRPr="0045565B" w:rsidP="001F7147">
      <w:pPr>
        <w:autoSpaceDE w:val="0"/>
        <w:autoSpaceDN w:val="0"/>
        <w:adjustRightInd w:val="0"/>
        <w:spacing w:line="360" w:lineRule="auto"/>
        <w:jc w:val="left"/>
        <w:rPr>
          <w:rFonts w:eastAsiaTheme="minorEastAsia"/>
          <w:b/>
          <w:color w:val="000000"/>
          <w:kern w:val="0"/>
          <w:szCs w:val="21"/>
        </w:rPr>
      </w:pPr>
      <w:r w:rsidRPr="0045565B">
        <w:rPr>
          <w:rFonts w:eastAsiaTheme="minorEastAsia"/>
          <w:b/>
          <w:bCs/>
          <w:color w:val="000000"/>
          <w:kern w:val="0"/>
          <w:szCs w:val="21"/>
        </w:rPr>
        <w:t xml:space="preserve">6.4.1 </w:t>
      </w:r>
      <w:r w:rsidRPr="0045565B">
        <w:rPr>
          <w:rFonts w:eastAsiaTheme="minorEastAsia"/>
          <w:b/>
          <w:color w:val="000000"/>
          <w:kern w:val="0"/>
          <w:szCs w:val="21"/>
        </w:rPr>
        <w:t>基金基本情况</w:t>
      </w:r>
    </w:p>
    <w:p>
      <w:pPr>
        <w:spacing w:line="360" w:lineRule="auto"/>
        <w:ind w:firstLine="420" w:firstLineChars="200"/>
        <w:rPr>
          <w:rFonts w:eastAsiaTheme="minorEastAsia"/>
          <w:color w:val="000000"/>
          <w:szCs w:val="21"/>
        </w:rPr>
      </w:pPr>
      <w:r>
        <w:rPr>
          <w:rFonts w:eastAsiaTheme="minorEastAsia"/>
          <w:color w:val="000000"/>
          <w:szCs w:val="21"/>
        </w:rPr>
        <w:t>本基金由金鹰鑫富灵活配置混合型证券投资基金转型而来。</w:t>
      </w:r>
    </w:p>
    <w:p>
      <w:pPr>
        <w:spacing w:line="360" w:lineRule="auto"/>
        <w:ind w:firstLine="420" w:firstLineChars="200"/>
        <w:rPr>
          <w:rFonts w:eastAsiaTheme="minorEastAsia"/>
          <w:color w:val="000000"/>
          <w:szCs w:val="21"/>
        </w:rPr>
      </w:pPr>
      <w:r>
        <w:rPr>
          <w:rFonts w:eastAsiaTheme="minorEastAsia"/>
          <w:color w:val="000000"/>
          <w:szCs w:val="21"/>
        </w:rPr>
        <w:t>金鹰鑫富灵活配置混合型证券投资基金经中国证监会《关于核准金鹰鑫富灵活配置混合型证券投资基金注册的批复》（证监许可[2016]2764号）核准募集，基金管理人为金鹰基金管理有限公司，基金托管人为交通银行股份有限公司。</w:t>
      </w:r>
    </w:p>
    <w:p>
      <w:pPr>
        <w:spacing w:line="360" w:lineRule="auto"/>
        <w:ind w:firstLine="420" w:firstLineChars="200"/>
        <w:rPr>
          <w:rFonts w:eastAsiaTheme="minorEastAsia"/>
          <w:color w:val="000000"/>
          <w:szCs w:val="21"/>
        </w:rPr>
      </w:pPr>
      <w:r>
        <w:rPr>
          <w:rFonts w:eastAsiaTheme="minorEastAsia"/>
          <w:color w:val="000000"/>
          <w:szCs w:val="21"/>
        </w:rPr>
        <w:t xml:space="preserve">金鹰鑫富灵活配置混合型证券投资基金自2017年5月19日至2017年7月24日进行公开募集，募集结束后基金管理人向中国证监会办理基金备案手续。经中国证监会书面确认，《金鹰鑫富灵活配置混合型证券投资基金基金合同》于 2017年8月1日生效。 </w:t>
      </w:r>
    </w:p>
    <w:p w:rsidR="001548F9" w:rsidRPr="0045565B" w:rsidP="0072541E">
      <w:pPr>
        <w:spacing w:line="360" w:lineRule="auto"/>
        <w:ind w:firstLine="420" w:firstLineChars="200"/>
        <w:rPr>
          <w:rFonts w:eastAsiaTheme="minorEastAsia"/>
          <w:color w:val="000000"/>
          <w:szCs w:val="21"/>
        </w:rPr>
      </w:pPr>
      <w:r w:rsidRPr="0045565B">
        <w:rPr>
          <w:rFonts w:eastAsiaTheme="minorEastAsia"/>
          <w:color w:val="000000"/>
          <w:szCs w:val="21"/>
        </w:rPr>
        <w:t>自2018年3月15日至2018年4月11日，金鹰鑫富灵活配置混合型证券投资基金基金份额持有人大会以通讯方式召开，会议审议通过了《关于金鹰鑫富灵活配置混合型证券投资基金转型相关事项的议案》，内容包括金鹰鑫富灵活配置混合型证券投资基金变更为主要投资于医疗健康产业证券的股票型基金及修订基金合同等，并同意将“金鹰鑫富灵活配置混合型证券投资基金”更名为“金鹰医疗健康产业股票型证券投资基金”，上述基金份额持有人大会决议自表决通过之日起生效。自2018年4月13日（基金合同生效日）起，《金鹰医疗健康产业股票型证券投资基金基金合同》生效，原《金鹰鑫富灵活配置混合型证券投资基金基金合同》自同一日起失效。</w:t>
      </w:r>
    </w:p>
    <w:p w:rsidR="001548F9" w:rsidRPr="0045565B" w:rsidP="0072541E">
      <w:pPr>
        <w:autoSpaceDE w:val="0"/>
        <w:autoSpaceDN w:val="0"/>
        <w:adjustRightInd w:val="0"/>
        <w:spacing w:before="312" w:beforeLines="100" w:line="360" w:lineRule="auto"/>
        <w:jc w:val="left"/>
        <w:rPr>
          <w:rFonts w:eastAsiaTheme="minorEastAsia"/>
          <w:b/>
          <w:color w:val="000000"/>
          <w:kern w:val="0"/>
          <w:szCs w:val="21"/>
        </w:rPr>
      </w:pPr>
      <w:r w:rsidRPr="0045565B">
        <w:rPr>
          <w:rFonts w:eastAsiaTheme="minorEastAsia"/>
          <w:b/>
          <w:bCs/>
          <w:color w:val="000000"/>
          <w:kern w:val="0"/>
          <w:szCs w:val="21"/>
        </w:rPr>
        <w:t xml:space="preserve">6.4.2 </w:t>
      </w:r>
      <w:r w:rsidRPr="0045565B">
        <w:rPr>
          <w:rFonts w:eastAsiaTheme="minorEastAsia"/>
          <w:b/>
          <w:color w:val="000000"/>
          <w:kern w:val="0"/>
          <w:szCs w:val="21"/>
        </w:rPr>
        <w:t>会计报表的编制基础</w:t>
      </w:r>
    </w:p>
    <w:p w:rsidR="001548F9" w:rsidRPr="0072541E" w:rsidP="0072541E">
      <w:pPr>
        <w:spacing w:line="360" w:lineRule="auto"/>
        <w:ind w:firstLine="420" w:firstLineChars="200"/>
        <w:rPr>
          <w:rFonts w:eastAsiaTheme="minorEastAsia"/>
          <w:color w:val="000000"/>
          <w:szCs w:val="21"/>
        </w:rPr>
      </w:pPr>
      <w:r w:rsidRPr="0045565B">
        <w:rPr>
          <w:rFonts w:eastAsiaTheme="minorEastAsia"/>
          <w:color w:val="000000"/>
          <w:szCs w:val="21"/>
        </w:rPr>
        <w:t>本基金的财务报表按照财政部颁布的企业会计准则(以下简称“企业会计准则”)和中国证监会发布的关于基金行业实务操作的有关规定编制，同时在具体会计核算和信息披露方面也参考了中国证券投资基金业协会发布的若干基金行业实务操作。</w:t>
      </w:r>
    </w:p>
    <w:p w:rsidR="001548F9" w:rsidRPr="0045565B" w:rsidP="0072541E">
      <w:pPr>
        <w:autoSpaceDE w:val="0"/>
        <w:autoSpaceDN w:val="0"/>
        <w:adjustRightInd w:val="0"/>
        <w:spacing w:before="312" w:beforeLines="100" w:line="360" w:lineRule="auto"/>
        <w:jc w:val="left"/>
        <w:rPr>
          <w:rFonts w:eastAsiaTheme="minorEastAsia"/>
          <w:b/>
          <w:color w:val="000000"/>
          <w:kern w:val="0"/>
          <w:szCs w:val="21"/>
        </w:rPr>
      </w:pPr>
      <w:r w:rsidRPr="0045565B">
        <w:rPr>
          <w:rFonts w:eastAsiaTheme="minorEastAsia"/>
          <w:b/>
          <w:bCs/>
          <w:color w:val="000000"/>
          <w:kern w:val="0"/>
          <w:szCs w:val="21"/>
        </w:rPr>
        <w:t xml:space="preserve">6.4.3 </w:t>
      </w:r>
      <w:r w:rsidRPr="0045565B">
        <w:rPr>
          <w:rFonts w:eastAsiaTheme="minorEastAsia"/>
          <w:b/>
          <w:color w:val="000000"/>
          <w:kern w:val="0"/>
          <w:szCs w:val="21"/>
        </w:rPr>
        <w:t>遵循企业会计准则及其他有关规定的声明</w:t>
      </w:r>
    </w:p>
    <w:p w:rsidR="001548F9" w:rsidRPr="0072541E" w:rsidP="0072541E">
      <w:pPr>
        <w:spacing w:line="360" w:lineRule="auto"/>
        <w:ind w:firstLine="420" w:firstLineChars="200"/>
        <w:rPr>
          <w:rFonts w:eastAsiaTheme="minorEastAsia"/>
          <w:color w:val="000000"/>
          <w:szCs w:val="21"/>
        </w:rPr>
      </w:pPr>
      <w:r w:rsidRPr="0045565B">
        <w:rPr>
          <w:rFonts w:eastAsiaTheme="minorEastAsia"/>
          <w:color w:val="000000"/>
          <w:szCs w:val="21"/>
        </w:rPr>
        <w:t>本基金财务报表的编制符合企业会计准则和中国证监会发布的关于基金行业实务操作的有关规定的要求，真实、完整地反映了本基金2019年6月30日的财务状况以及2019年1月1日起至2019年6月30日止期间的经营成果和基金净值变动情况。</w:t>
      </w:r>
    </w:p>
    <w:p w:rsidR="00445FEE" w:rsidRPr="0045565B" w:rsidP="0072541E">
      <w:pPr>
        <w:autoSpaceDE w:val="0"/>
        <w:autoSpaceDN w:val="0"/>
        <w:adjustRightInd w:val="0"/>
        <w:spacing w:before="312" w:beforeLines="100" w:line="360" w:lineRule="auto"/>
        <w:jc w:val="left"/>
        <w:rPr>
          <w:rFonts w:eastAsiaTheme="minorEastAsia"/>
          <w:b/>
          <w:bCs/>
          <w:color w:val="000000"/>
          <w:kern w:val="0"/>
          <w:szCs w:val="21"/>
        </w:rPr>
      </w:pPr>
      <w:r w:rsidRPr="0045565B">
        <w:rPr>
          <w:rFonts w:eastAsiaTheme="minorEastAsia"/>
          <w:b/>
          <w:bCs/>
          <w:color w:val="000000"/>
          <w:kern w:val="0"/>
          <w:szCs w:val="21"/>
        </w:rPr>
        <w:t xml:space="preserve">6.4.4 </w:t>
      </w:r>
      <w:r w:rsidRPr="0045565B" w:rsidR="006E3669">
        <w:rPr>
          <w:rFonts w:eastAsiaTheme="minorEastAsia"/>
          <w:b/>
          <w:kern w:val="0"/>
          <w:szCs w:val="21"/>
        </w:rPr>
        <w:t>本报告期所采用的会计政策、会计估计与最近一期年度报告相一致的说明</w:t>
      </w:r>
    </w:p>
    <w:p w:rsidR="002E1DC2" w:rsidRPr="0072541E" w:rsidP="0072541E">
      <w:pPr>
        <w:spacing w:line="360" w:lineRule="auto"/>
        <w:ind w:firstLine="420" w:firstLineChars="200"/>
        <w:rPr>
          <w:rFonts w:eastAsiaTheme="minorEastAsia"/>
          <w:color w:val="000000"/>
          <w:szCs w:val="21"/>
        </w:rPr>
      </w:pPr>
      <w:r w:rsidRPr="0045565B">
        <w:rPr>
          <w:rFonts w:eastAsiaTheme="minorEastAsia"/>
          <w:color w:val="000000"/>
          <w:szCs w:val="21"/>
        </w:rPr>
        <w:t>本基金本报告期所采用的会计政策与上年度会计报表一致。</w:t>
      </w:r>
    </w:p>
    <w:p w:rsidR="001548F9" w:rsidRPr="0045565B" w:rsidP="0072541E">
      <w:pPr>
        <w:autoSpaceDE w:val="0"/>
        <w:autoSpaceDN w:val="0"/>
        <w:adjustRightInd w:val="0"/>
        <w:spacing w:before="312" w:beforeLines="100" w:line="360" w:lineRule="auto"/>
        <w:jc w:val="left"/>
        <w:rPr>
          <w:rFonts w:eastAsiaTheme="minorEastAsia"/>
          <w:b/>
          <w:color w:val="000000"/>
          <w:kern w:val="0"/>
          <w:szCs w:val="21"/>
        </w:rPr>
      </w:pPr>
      <w:r w:rsidRPr="0045565B">
        <w:rPr>
          <w:rFonts w:eastAsiaTheme="minorEastAsia"/>
          <w:b/>
          <w:bCs/>
          <w:color w:val="000000"/>
          <w:kern w:val="0"/>
          <w:szCs w:val="21"/>
        </w:rPr>
        <w:t xml:space="preserve">6.4.5 </w:t>
      </w:r>
      <w:r w:rsidRPr="0045565B">
        <w:rPr>
          <w:rFonts w:eastAsiaTheme="minorEastAsia"/>
          <w:b/>
          <w:color w:val="000000"/>
          <w:kern w:val="0"/>
          <w:szCs w:val="21"/>
        </w:rPr>
        <w:t>会计政策和会计估计变更以及差错更正的说明</w:t>
      </w:r>
    </w:p>
    <w:p w:rsidR="001548F9" w:rsidRPr="0045565B" w:rsidP="001F7147">
      <w:pPr>
        <w:autoSpaceDE w:val="0"/>
        <w:autoSpaceDN w:val="0"/>
        <w:adjustRightInd w:val="0"/>
        <w:spacing w:line="360" w:lineRule="auto"/>
        <w:jc w:val="left"/>
        <w:rPr>
          <w:rFonts w:eastAsiaTheme="minorEastAsia"/>
          <w:b/>
          <w:color w:val="000000"/>
          <w:kern w:val="0"/>
          <w:szCs w:val="21"/>
        </w:rPr>
      </w:pPr>
      <w:r w:rsidRPr="0045565B">
        <w:rPr>
          <w:rFonts w:eastAsiaTheme="minorEastAsia"/>
          <w:b/>
          <w:bCs/>
          <w:color w:val="000000"/>
          <w:kern w:val="0"/>
          <w:szCs w:val="21"/>
        </w:rPr>
        <w:t>6.4.5.1</w:t>
      </w:r>
      <w:r w:rsidRPr="0045565B">
        <w:rPr>
          <w:rFonts w:eastAsiaTheme="minorEastAsia"/>
          <w:b/>
          <w:color w:val="000000"/>
          <w:kern w:val="0"/>
          <w:szCs w:val="21"/>
        </w:rPr>
        <w:t>会计政策变更的说明</w:t>
      </w:r>
    </w:p>
    <w:p w:rsidR="001548F9" w:rsidRPr="0072541E" w:rsidP="0072541E">
      <w:pPr>
        <w:spacing w:line="360" w:lineRule="auto"/>
        <w:ind w:firstLine="420" w:firstLineChars="200"/>
        <w:rPr>
          <w:rFonts w:eastAsiaTheme="minorEastAsia"/>
          <w:color w:val="000000"/>
          <w:szCs w:val="21"/>
        </w:rPr>
      </w:pPr>
      <w:r w:rsidRPr="0045565B">
        <w:rPr>
          <w:rFonts w:eastAsiaTheme="minorEastAsia"/>
          <w:color w:val="000000"/>
          <w:szCs w:val="21"/>
        </w:rPr>
        <w:t>本基金在本报告期间无需说明的重大会计政策变更。</w:t>
      </w:r>
    </w:p>
    <w:p w:rsidR="001548F9" w:rsidRPr="0045565B" w:rsidP="0072541E">
      <w:pPr>
        <w:autoSpaceDE w:val="0"/>
        <w:autoSpaceDN w:val="0"/>
        <w:adjustRightInd w:val="0"/>
        <w:spacing w:before="312" w:beforeLines="100" w:line="360" w:lineRule="auto"/>
        <w:jc w:val="left"/>
        <w:rPr>
          <w:rFonts w:eastAsiaTheme="minorEastAsia"/>
          <w:b/>
          <w:color w:val="000000"/>
          <w:kern w:val="0"/>
          <w:szCs w:val="21"/>
        </w:rPr>
      </w:pPr>
      <w:r w:rsidRPr="0045565B">
        <w:rPr>
          <w:rFonts w:eastAsiaTheme="minorEastAsia"/>
          <w:b/>
          <w:bCs/>
          <w:color w:val="000000"/>
          <w:kern w:val="0"/>
          <w:szCs w:val="21"/>
        </w:rPr>
        <w:t>6.4.5.2</w:t>
      </w:r>
      <w:r w:rsidRPr="0045565B">
        <w:rPr>
          <w:rFonts w:eastAsiaTheme="minorEastAsia"/>
          <w:b/>
          <w:color w:val="000000"/>
          <w:kern w:val="0"/>
          <w:szCs w:val="21"/>
        </w:rPr>
        <w:t>会计估计变更的说明</w:t>
      </w:r>
    </w:p>
    <w:p w:rsidR="001548F9" w:rsidRPr="0072541E" w:rsidP="0072541E">
      <w:pPr>
        <w:spacing w:line="360" w:lineRule="auto"/>
        <w:ind w:firstLine="420" w:firstLineChars="200"/>
        <w:rPr>
          <w:rFonts w:eastAsiaTheme="minorEastAsia"/>
          <w:color w:val="000000"/>
          <w:szCs w:val="21"/>
        </w:rPr>
      </w:pPr>
      <w:r w:rsidRPr="0045565B">
        <w:rPr>
          <w:rFonts w:eastAsiaTheme="minorEastAsia"/>
          <w:color w:val="000000"/>
          <w:szCs w:val="21"/>
        </w:rPr>
        <w:t>本基金在本报告期间无需说明的重大会计估计变更。</w:t>
      </w:r>
    </w:p>
    <w:p w:rsidR="001548F9" w:rsidRPr="0045565B" w:rsidP="0072541E">
      <w:pPr>
        <w:autoSpaceDE w:val="0"/>
        <w:autoSpaceDN w:val="0"/>
        <w:adjustRightInd w:val="0"/>
        <w:spacing w:before="312" w:beforeLines="100" w:line="360" w:lineRule="auto"/>
        <w:jc w:val="left"/>
        <w:rPr>
          <w:rFonts w:eastAsiaTheme="minorEastAsia"/>
          <w:b/>
          <w:color w:val="000000"/>
          <w:kern w:val="0"/>
          <w:szCs w:val="21"/>
        </w:rPr>
      </w:pPr>
      <w:r w:rsidRPr="0045565B">
        <w:rPr>
          <w:rFonts w:eastAsiaTheme="minorEastAsia"/>
          <w:b/>
          <w:bCs/>
          <w:color w:val="000000"/>
          <w:kern w:val="0"/>
          <w:szCs w:val="21"/>
        </w:rPr>
        <w:t>6.4.5.3</w:t>
      </w:r>
      <w:r w:rsidRPr="0045565B">
        <w:rPr>
          <w:rFonts w:eastAsiaTheme="minorEastAsia"/>
          <w:b/>
          <w:color w:val="000000"/>
          <w:kern w:val="0"/>
          <w:szCs w:val="21"/>
        </w:rPr>
        <w:t>差错更正的说明</w:t>
      </w:r>
    </w:p>
    <w:p w:rsidR="001548F9" w:rsidRPr="0072541E" w:rsidP="0072541E">
      <w:pPr>
        <w:spacing w:line="360" w:lineRule="auto"/>
        <w:ind w:firstLine="420" w:firstLineChars="200"/>
        <w:rPr>
          <w:rFonts w:eastAsiaTheme="minorEastAsia"/>
          <w:color w:val="000000"/>
          <w:szCs w:val="21"/>
        </w:rPr>
      </w:pPr>
      <w:r w:rsidRPr="0045565B">
        <w:rPr>
          <w:rFonts w:eastAsiaTheme="minorEastAsia"/>
          <w:color w:val="000000"/>
          <w:szCs w:val="21"/>
        </w:rPr>
        <w:t>本基金在本报告期间无需说明的重大会计差错更正。</w:t>
      </w:r>
    </w:p>
    <w:p w:rsidR="001548F9" w:rsidRPr="0045565B" w:rsidP="0072541E">
      <w:pPr>
        <w:autoSpaceDE w:val="0"/>
        <w:autoSpaceDN w:val="0"/>
        <w:adjustRightInd w:val="0"/>
        <w:spacing w:before="312" w:beforeLines="100" w:line="360" w:lineRule="auto"/>
        <w:jc w:val="left"/>
        <w:rPr>
          <w:rFonts w:eastAsiaTheme="minorEastAsia"/>
          <w:b/>
          <w:color w:val="000000"/>
          <w:kern w:val="0"/>
          <w:szCs w:val="21"/>
        </w:rPr>
      </w:pPr>
      <w:r w:rsidRPr="0045565B">
        <w:rPr>
          <w:rFonts w:eastAsiaTheme="minorEastAsia"/>
          <w:b/>
          <w:bCs/>
          <w:color w:val="000000"/>
          <w:kern w:val="0"/>
          <w:szCs w:val="21"/>
        </w:rPr>
        <w:t xml:space="preserve">6.4.6 </w:t>
      </w:r>
      <w:r w:rsidRPr="0045565B">
        <w:rPr>
          <w:rFonts w:eastAsiaTheme="minorEastAsia"/>
          <w:b/>
          <w:color w:val="000000"/>
          <w:kern w:val="0"/>
          <w:szCs w:val="21"/>
        </w:rPr>
        <w:t>税项</w:t>
      </w:r>
    </w:p>
    <w:p>
      <w:pPr>
        <w:spacing w:line="360" w:lineRule="auto"/>
        <w:ind w:firstLine="420" w:firstLineChars="200"/>
        <w:rPr>
          <w:rFonts w:eastAsiaTheme="minorEastAsia"/>
          <w:color w:val="000000"/>
          <w:szCs w:val="21"/>
        </w:rPr>
      </w:pPr>
      <w:r>
        <w:rPr>
          <w:rFonts w:eastAsiaTheme="minorEastAsia"/>
          <w:color w:val="000000"/>
          <w:szCs w:val="21"/>
        </w:rPr>
        <w:t>根据财政部、国家税务总局财税[2008]1号《财政部、国家税务总局关于企业所得税若干优惠政策的通知》、2008年9月18日《上海、深圳证券交易所关于做好证券交易印花税征收方式调整工作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140号《关于明确金融房地产开发教育辅助服务等增值税政策的通知》、财税[2017]56号《关于资管产品增值税有关问题的通知》、财税[2017]90号《关于租入固定资产进项税额抵扣等增值税政策的通知》及其他相关税务法规和实务操作，主要税项列示如下：</w:t>
      </w:r>
    </w:p>
    <w:p>
      <w:pPr>
        <w:spacing w:line="360" w:lineRule="auto"/>
        <w:ind w:firstLine="420" w:firstLineChars="200"/>
        <w:rPr>
          <w:rFonts w:eastAsiaTheme="minorEastAsia"/>
          <w:color w:val="000000"/>
          <w:szCs w:val="21"/>
        </w:rPr>
      </w:pPr>
      <w:r>
        <w:rPr>
          <w:rFonts w:eastAsiaTheme="minorEastAsia"/>
          <w:color w:val="000000"/>
          <w:szCs w:val="21"/>
        </w:rPr>
        <w:t>1. 证券投资基金(封闭式证券投资基金，开放式证券投资基金)管理人运用基金买卖股票、债券免征增值税；2018年1月1日起，公开募集证券投资基金运营过程中发生的其他增值税应税行为，以基金管理人为增值税纳税人，暂适用简易计税方法，按照3%的征收率缴纳增值税。</w:t>
      </w:r>
    </w:p>
    <w:p>
      <w:pPr>
        <w:spacing w:line="360" w:lineRule="auto"/>
        <w:ind w:firstLine="420" w:firstLineChars="200"/>
        <w:rPr>
          <w:rFonts w:eastAsiaTheme="minorEastAsia"/>
          <w:color w:val="000000"/>
          <w:szCs w:val="21"/>
        </w:rPr>
      </w:pPr>
      <w:r>
        <w:rPr>
          <w:rFonts w:eastAsiaTheme="minorEastAsia"/>
          <w:color w:val="000000"/>
          <w:szCs w:val="21"/>
        </w:rPr>
        <w:t>2. 对证券投资基金从证券市场中取得的收入，包括买卖股票、债券的差价收入，股权的股息、红利收入，债券的利息收入及其他收入，暂不缴纳企业所得税。</w:t>
      </w:r>
    </w:p>
    <w:p>
      <w:pPr>
        <w:spacing w:line="360" w:lineRule="auto"/>
        <w:ind w:firstLine="420" w:firstLineChars="200"/>
        <w:rPr>
          <w:rFonts w:eastAsiaTheme="minorEastAsia"/>
          <w:color w:val="000000"/>
          <w:szCs w:val="21"/>
        </w:rPr>
      </w:pPr>
      <w:r>
        <w:rPr>
          <w:rFonts w:eastAsiaTheme="minorEastAsia"/>
          <w:color w:val="000000"/>
          <w:szCs w:val="21"/>
        </w:rPr>
        <w:t>3. 对基金取得的股票股息、红利收入，由上市公司在收到相关扣收税款当月的法定申报期内向主管税务机关申报缴纳，从公开发行和转让市场取得的上市公司股票，持股期限在1个月以内(含1个月)的，其股息红利所得全额计入应纳税所得额；持股期限在1个月以上至1年(含1年)的，暂减按50%计入应纳税所得额；持股期限超过1年的，股息红利所得暂免征收个人所得税。上述所得统一适用20%的税率计征个人所得税。</w:t>
      </w:r>
    </w:p>
    <w:p>
      <w:pPr>
        <w:spacing w:line="360" w:lineRule="auto"/>
        <w:ind w:firstLine="420" w:firstLineChars="200"/>
        <w:rPr>
          <w:rFonts w:eastAsiaTheme="minorEastAsia"/>
          <w:color w:val="000000"/>
          <w:szCs w:val="21"/>
        </w:rPr>
      </w:pPr>
      <w:r>
        <w:rPr>
          <w:rFonts w:eastAsiaTheme="minorEastAsia"/>
          <w:color w:val="000000"/>
          <w:szCs w:val="21"/>
        </w:rPr>
        <w:t>4. 对基金取得的债券利息收入，由发行债券的企业在向基金支付上述收入时代扣代缴20%的个人所得税，暂不缴纳企业所得税。</w:t>
      </w:r>
    </w:p>
    <w:p w:rsidR="001548F9" w:rsidRPr="0072541E" w:rsidP="0072541E">
      <w:pPr>
        <w:spacing w:line="360" w:lineRule="auto"/>
        <w:ind w:firstLine="420" w:firstLineChars="200"/>
        <w:rPr>
          <w:rFonts w:eastAsiaTheme="minorEastAsia"/>
          <w:color w:val="000000"/>
          <w:szCs w:val="21"/>
        </w:rPr>
      </w:pPr>
      <w:r w:rsidRPr="0045565B">
        <w:rPr>
          <w:rFonts w:eastAsiaTheme="minorEastAsia"/>
          <w:color w:val="000000"/>
          <w:szCs w:val="21"/>
        </w:rPr>
        <w:t>5. 对于基金从事A股买卖，出让方按0.10%的税率缴纳证券(股票)交易印花税，对受让方不再缴纳印花税。</w:t>
      </w:r>
    </w:p>
    <w:p w:rsidR="001548F9" w:rsidRPr="0045565B" w:rsidP="0072541E">
      <w:pPr>
        <w:autoSpaceDE w:val="0"/>
        <w:autoSpaceDN w:val="0"/>
        <w:adjustRightInd w:val="0"/>
        <w:spacing w:before="312" w:beforeLines="100" w:line="360" w:lineRule="auto"/>
        <w:jc w:val="left"/>
        <w:rPr>
          <w:rFonts w:eastAsiaTheme="minorEastAsia"/>
          <w:b/>
          <w:color w:val="000000"/>
          <w:kern w:val="0"/>
          <w:szCs w:val="21"/>
        </w:rPr>
      </w:pPr>
      <w:r w:rsidRPr="0045565B">
        <w:rPr>
          <w:rFonts w:eastAsiaTheme="minorEastAsia"/>
          <w:b/>
          <w:bCs/>
          <w:color w:val="000000"/>
          <w:kern w:val="0"/>
          <w:szCs w:val="21"/>
        </w:rPr>
        <w:t xml:space="preserve">6.4.7 </w:t>
      </w:r>
      <w:r w:rsidRPr="0045565B">
        <w:rPr>
          <w:rFonts w:eastAsiaTheme="minorEastAsia"/>
          <w:b/>
          <w:color w:val="000000"/>
          <w:kern w:val="0"/>
          <w:szCs w:val="21"/>
        </w:rPr>
        <w:t>关联方关系</w:t>
      </w:r>
    </w:p>
    <w:p w:rsidR="001548F9" w:rsidRPr="0045565B" w:rsidP="001F7147">
      <w:pPr>
        <w:spacing w:line="360" w:lineRule="auto"/>
        <w:rPr>
          <w:rFonts w:eastAsiaTheme="minorEastAsia"/>
          <w:b/>
          <w:kern w:val="0"/>
          <w:szCs w:val="21"/>
        </w:rPr>
      </w:pPr>
      <w:r w:rsidRPr="0045565B">
        <w:rPr>
          <w:rFonts w:eastAsiaTheme="minorEastAsia"/>
          <w:b/>
          <w:bCs/>
          <w:color w:val="000000"/>
          <w:kern w:val="0"/>
          <w:szCs w:val="21"/>
        </w:rPr>
        <w:t>6.4.7.1</w:t>
      </w:r>
      <w:r w:rsidRPr="0045565B">
        <w:rPr>
          <w:rFonts w:eastAsiaTheme="minorEastAsia"/>
          <w:b/>
          <w:kern w:val="0"/>
          <w:szCs w:val="21"/>
        </w:rPr>
        <w:t>本报告期存在控制关系或其他重大利害关系的关联方发生变化的情况</w:t>
      </w:r>
    </w:p>
    <w:p w:rsidR="001548F9" w:rsidRPr="0072541E" w:rsidP="0072541E">
      <w:pPr>
        <w:spacing w:line="360" w:lineRule="auto"/>
        <w:ind w:firstLine="420" w:firstLineChars="200"/>
        <w:rPr>
          <w:rFonts w:eastAsiaTheme="minorEastAsia"/>
          <w:color w:val="000000"/>
          <w:szCs w:val="21"/>
        </w:rPr>
      </w:pPr>
      <w:r w:rsidRPr="0045565B">
        <w:rPr>
          <w:rFonts w:eastAsiaTheme="minorEastAsia"/>
          <w:color w:val="000000"/>
          <w:szCs w:val="21"/>
        </w:rPr>
        <w:t>本报告期存在控制关系或其他重大利害关系的关联方未发生变化。</w:t>
      </w:r>
    </w:p>
    <w:p w:rsidR="001548F9" w:rsidRPr="0045565B" w:rsidP="0072541E">
      <w:pPr>
        <w:autoSpaceDE w:val="0"/>
        <w:autoSpaceDN w:val="0"/>
        <w:adjustRightInd w:val="0"/>
        <w:spacing w:before="312" w:beforeLines="100" w:line="360" w:lineRule="auto"/>
        <w:jc w:val="left"/>
        <w:rPr>
          <w:rFonts w:eastAsiaTheme="minorEastAsia"/>
          <w:b/>
          <w:kern w:val="0"/>
          <w:szCs w:val="21"/>
        </w:rPr>
      </w:pPr>
      <w:r w:rsidRPr="0045565B">
        <w:rPr>
          <w:rFonts w:eastAsiaTheme="minorEastAsia"/>
          <w:b/>
          <w:bCs/>
          <w:color w:val="000000"/>
          <w:kern w:val="0"/>
          <w:szCs w:val="21"/>
        </w:rPr>
        <w:t xml:space="preserve">6.4.7.2 </w:t>
      </w:r>
      <w:r w:rsidRPr="0045565B">
        <w:rPr>
          <w:rFonts w:eastAsiaTheme="minorEastAsia"/>
          <w:b/>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20"/>
        <w:gridCol w:w="3780"/>
      </w:tblGrid>
      <w:tr w:rsidTr="0070173B">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5220" w:type="dxa"/>
          </w:tcPr>
          <w:p w:rsidR="001548F9" w:rsidRPr="0045565B" w:rsidP="0070173B">
            <w:pPr>
              <w:jc w:val="center"/>
              <w:rPr>
                <w:rFonts w:eastAsiaTheme="minorEastAsia"/>
                <w:color w:val="000000"/>
                <w:szCs w:val="21"/>
              </w:rPr>
            </w:pPr>
            <w:r w:rsidRPr="0045565B">
              <w:rPr>
                <w:rFonts w:eastAsiaTheme="minorEastAsia"/>
                <w:color w:val="000000"/>
                <w:szCs w:val="21"/>
              </w:rPr>
              <w:t>关联方名称</w:t>
            </w:r>
          </w:p>
        </w:tc>
        <w:tc>
          <w:tcPr>
            <w:tcW w:w="3780" w:type="dxa"/>
          </w:tcPr>
          <w:p w:rsidR="001548F9" w:rsidRPr="0045565B" w:rsidP="0070173B">
            <w:pPr>
              <w:jc w:val="center"/>
              <w:rPr>
                <w:rFonts w:eastAsiaTheme="minorEastAsia"/>
                <w:color w:val="000000"/>
                <w:szCs w:val="21"/>
              </w:rPr>
            </w:pPr>
            <w:r w:rsidRPr="0045565B">
              <w:rPr>
                <w:rFonts w:eastAsiaTheme="minorEastAsia"/>
                <w:color w:val="000000"/>
                <w:szCs w:val="21"/>
              </w:rPr>
              <w:t>与本基金的关系</w:t>
            </w:r>
          </w:p>
        </w:tc>
      </w:tr>
      <w:tr>
        <w:tblPrEx>
          <w:tblW w:w="0" w:type="auto"/>
          <w:tblInd w:w="108" w:type="dxa"/>
          <w:tblLayout w:type="fixed"/>
          <w:tblLook w:val="00A0"/>
        </w:tblPrEx>
        <w:tc>
          <w:tcPr>
            <w:vAlign w:val="center"/>
          </w:tcPr>
          <w:p>
            <w:pPr>
              <w:jc w:val="left"/>
            </w:pPr>
            <w:r>
              <w:rPr>
                <w:rFonts w:eastAsiaTheme="minorEastAsia"/>
                <w:color w:val="000000"/>
                <w:szCs w:val="21"/>
              </w:rPr>
              <w:t>金鹰基金管理有限公司</w:t>
            </w:r>
          </w:p>
        </w:tc>
        <w:tc>
          <w:tcPr>
            <w:vAlign w:val="center"/>
          </w:tcPr>
          <w:p>
            <w:pPr>
              <w:jc w:val="right"/>
            </w:pPr>
            <w:r>
              <w:rPr>
                <w:rFonts w:eastAsiaTheme="minorEastAsia"/>
                <w:color w:val="000000"/>
                <w:szCs w:val="21"/>
              </w:rPr>
              <w:t>基金管理人、销售机构</w:t>
            </w:r>
          </w:p>
        </w:tc>
      </w:tr>
      <w:tr>
        <w:tblPrEx>
          <w:tblW w:w="0" w:type="auto"/>
          <w:tblInd w:w="108" w:type="dxa"/>
          <w:tblLayout w:type="fixed"/>
          <w:tblLook w:val="00A0"/>
        </w:tblPrEx>
        <w:tc>
          <w:tcPr>
            <w:vAlign w:val="center"/>
          </w:tcPr>
          <w:p>
            <w:pPr>
              <w:jc w:val="left"/>
            </w:pPr>
            <w:r>
              <w:rPr>
                <w:rFonts w:eastAsiaTheme="minorEastAsia"/>
                <w:color w:val="000000"/>
                <w:szCs w:val="21"/>
              </w:rPr>
              <w:t>交通银行股份有限公司</w:t>
            </w:r>
          </w:p>
        </w:tc>
        <w:tc>
          <w:tcPr>
            <w:vAlign w:val="center"/>
          </w:tcPr>
          <w:p>
            <w:pPr>
              <w:jc w:val="right"/>
            </w:pPr>
            <w:r>
              <w:rPr>
                <w:rFonts w:eastAsiaTheme="minorEastAsia"/>
                <w:color w:val="000000"/>
                <w:szCs w:val="21"/>
              </w:rPr>
              <w:t>基金托管人</w:t>
            </w:r>
          </w:p>
        </w:tc>
      </w:tr>
      <w:tr>
        <w:tblPrEx>
          <w:tblW w:w="0" w:type="auto"/>
          <w:tblInd w:w="108" w:type="dxa"/>
          <w:tblLayout w:type="fixed"/>
          <w:tblLook w:val="00A0"/>
        </w:tblPrEx>
        <w:tc>
          <w:tcPr>
            <w:vAlign w:val="center"/>
          </w:tcPr>
          <w:p>
            <w:pPr>
              <w:jc w:val="left"/>
            </w:pPr>
            <w:r>
              <w:rPr>
                <w:rFonts w:eastAsiaTheme="minorEastAsia"/>
                <w:color w:val="000000"/>
                <w:szCs w:val="21"/>
              </w:rPr>
              <w:t>广州证券股份有限公司</w:t>
            </w:r>
          </w:p>
        </w:tc>
        <w:tc>
          <w:tcPr>
            <w:vAlign w:val="center"/>
          </w:tcPr>
          <w:p>
            <w:pPr>
              <w:jc w:val="right"/>
            </w:pPr>
            <w:r>
              <w:rPr>
                <w:rFonts w:eastAsiaTheme="minorEastAsia"/>
                <w:color w:val="000000"/>
                <w:szCs w:val="21"/>
              </w:rPr>
              <w:t>基金管理人股东</w:t>
            </w:r>
          </w:p>
        </w:tc>
      </w:tr>
    </w:tbl>
    <w:p w:rsidR="001548F9" w:rsidRPr="0045565B" w:rsidP="0072541E">
      <w:pPr>
        <w:autoSpaceDE w:val="0"/>
        <w:autoSpaceDN w:val="0"/>
        <w:adjustRightInd w:val="0"/>
        <w:spacing w:before="312" w:beforeLines="100" w:line="360" w:lineRule="auto"/>
        <w:jc w:val="left"/>
        <w:rPr>
          <w:rFonts w:eastAsiaTheme="minorEastAsia"/>
          <w:b/>
          <w:color w:val="000000"/>
          <w:kern w:val="0"/>
          <w:szCs w:val="21"/>
        </w:rPr>
      </w:pPr>
      <w:r w:rsidRPr="0045565B">
        <w:rPr>
          <w:rFonts w:eastAsiaTheme="minorEastAsia"/>
          <w:b/>
          <w:bCs/>
          <w:color w:val="000000"/>
          <w:kern w:val="0"/>
          <w:szCs w:val="21"/>
        </w:rPr>
        <w:t xml:space="preserve">6.4.8 </w:t>
      </w:r>
      <w:r w:rsidRPr="0045565B">
        <w:rPr>
          <w:rFonts w:eastAsiaTheme="minorEastAsia"/>
          <w:b/>
          <w:color w:val="000000"/>
          <w:kern w:val="0"/>
          <w:szCs w:val="21"/>
        </w:rPr>
        <w:t>本报告期及上年度可比期间的关联方交易</w:t>
      </w:r>
    </w:p>
    <w:p w:rsidR="001548F9" w:rsidRPr="0045565B" w:rsidP="001F7147">
      <w:pPr>
        <w:autoSpaceDE w:val="0"/>
        <w:autoSpaceDN w:val="0"/>
        <w:adjustRightInd w:val="0"/>
        <w:spacing w:line="360" w:lineRule="auto"/>
        <w:jc w:val="left"/>
        <w:rPr>
          <w:rFonts w:eastAsiaTheme="minorEastAsia"/>
          <w:b/>
          <w:color w:val="000000"/>
          <w:kern w:val="0"/>
          <w:szCs w:val="21"/>
        </w:rPr>
      </w:pPr>
      <w:r w:rsidRPr="0045565B">
        <w:rPr>
          <w:rFonts w:eastAsiaTheme="minorEastAsia"/>
          <w:b/>
          <w:bCs/>
          <w:color w:val="000000"/>
          <w:kern w:val="0"/>
          <w:szCs w:val="21"/>
        </w:rPr>
        <w:t xml:space="preserve">6.4.8.1 </w:t>
      </w:r>
      <w:r w:rsidRPr="0045565B">
        <w:rPr>
          <w:rFonts w:eastAsiaTheme="minorEastAsia"/>
          <w:b/>
          <w:color w:val="000000"/>
          <w:kern w:val="0"/>
          <w:szCs w:val="21"/>
        </w:rPr>
        <w:t>通过关联方交易单元进行的交易</w:t>
      </w:r>
    </w:p>
    <w:p w:rsidR="001548F9" w:rsidRPr="0045565B" w:rsidP="001F7147">
      <w:pPr>
        <w:spacing w:line="360" w:lineRule="auto"/>
        <w:rPr>
          <w:rFonts w:eastAsiaTheme="minorEastAsia"/>
          <w:color w:val="000000"/>
          <w:szCs w:val="21"/>
        </w:rPr>
      </w:pPr>
      <w:r w:rsidRPr="0045565B">
        <w:rPr>
          <w:rFonts w:eastAsiaTheme="minorEastAsia"/>
          <w:b/>
          <w:bCs/>
          <w:color w:val="000000"/>
          <w:kern w:val="0"/>
          <w:szCs w:val="21"/>
        </w:rPr>
        <w:t xml:space="preserve">6.4.8.1.1 </w:t>
      </w:r>
      <w:r w:rsidRPr="0045565B">
        <w:rPr>
          <w:rFonts w:eastAsiaTheme="minorEastAsia"/>
          <w:b/>
          <w:color w:val="000000"/>
          <w:szCs w:val="21"/>
        </w:rPr>
        <w:t>股票交易</w:t>
      </w:r>
    </w:p>
    <w:p w:rsidR="001548F9" w:rsidRPr="0072541E" w:rsidP="0072541E">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本基金本报告期内及上年度可比期间未通过关联方进行股票交易。</w:t>
      </w:r>
    </w:p>
    <w:p w:rsidR="001548F9" w:rsidRPr="0045565B" w:rsidP="0072541E">
      <w:pPr>
        <w:spacing w:before="312" w:beforeLines="100" w:line="360" w:lineRule="auto"/>
        <w:rPr>
          <w:rFonts w:eastAsiaTheme="minorEastAsia"/>
          <w:b/>
          <w:color w:val="000000"/>
          <w:szCs w:val="21"/>
        </w:rPr>
      </w:pPr>
      <w:r w:rsidRPr="0045565B">
        <w:rPr>
          <w:rFonts w:eastAsiaTheme="minorEastAsia"/>
          <w:b/>
          <w:bCs/>
          <w:color w:val="000000"/>
          <w:kern w:val="0"/>
          <w:szCs w:val="21"/>
        </w:rPr>
        <w:t xml:space="preserve">6.4.8.1.2 </w:t>
      </w:r>
      <w:r w:rsidRPr="0045565B">
        <w:rPr>
          <w:rFonts w:eastAsiaTheme="minorEastAsia"/>
          <w:b/>
          <w:color w:val="000000"/>
          <w:szCs w:val="21"/>
        </w:rPr>
        <w:t>权证交易</w:t>
      </w:r>
    </w:p>
    <w:p w:rsidR="001548F9" w:rsidRPr="0072541E" w:rsidP="0072541E">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本基金本报告期内及上年度可比期间未通过关联方进行权证交易。</w:t>
      </w:r>
    </w:p>
    <w:p w:rsidR="001548F9" w:rsidRPr="0045565B" w:rsidP="0072541E">
      <w:pPr>
        <w:spacing w:before="312" w:beforeLines="100" w:line="360" w:lineRule="auto"/>
        <w:rPr>
          <w:rFonts w:eastAsiaTheme="minorEastAsia"/>
          <w:b/>
          <w:color w:val="000000"/>
          <w:szCs w:val="21"/>
        </w:rPr>
      </w:pPr>
      <w:r w:rsidRPr="0045565B">
        <w:rPr>
          <w:rFonts w:eastAsiaTheme="minorEastAsia"/>
          <w:b/>
          <w:bCs/>
          <w:color w:val="000000"/>
          <w:kern w:val="0"/>
          <w:szCs w:val="21"/>
        </w:rPr>
        <w:t xml:space="preserve">6.4.8.1.3 </w:t>
      </w:r>
      <w:r w:rsidRPr="0045565B">
        <w:rPr>
          <w:rFonts w:eastAsiaTheme="minorEastAsia"/>
          <w:b/>
          <w:color w:val="000000"/>
          <w:szCs w:val="21"/>
        </w:rPr>
        <w:t>债券交易</w:t>
      </w:r>
    </w:p>
    <w:p w:rsidR="001548F9" w:rsidRPr="0072541E" w:rsidP="0072541E">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本基金本报告期内及上年度可比期间未通过关联方进行债券交易。</w:t>
      </w:r>
    </w:p>
    <w:p w:rsidR="001548F9" w:rsidRPr="0045565B" w:rsidP="0072541E">
      <w:pPr>
        <w:spacing w:before="312" w:beforeLines="100" w:line="360" w:lineRule="auto"/>
        <w:rPr>
          <w:rFonts w:eastAsiaTheme="minorEastAsia"/>
          <w:b/>
          <w:color w:val="000000"/>
          <w:szCs w:val="21"/>
        </w:rPr>
      </w:pPr>
      <w:r w:rsidRPr="0045565B">
        <w:rPr>
          <w:rFonts w:eastAsiaTheme="minorEastAsia"/>
          <w:b/>
          <w:bCs/>
          <w:color w:val="000000"/>
          <w:kern w:val="0"/>
          <w:szCs w:val="21"/>
        </w:rPr>
        <w:t xml:space="preserve">6.4.8.1.4 </w:t>
      </w:r>
      <w:r w:rsidRPr="0045565B">
        <w:rPr>
          <w:rFonts w:eastAsiaTheme="minorEastAsia"/>
          <w:b/>
          <w:color w:val="000000"/>
          <w:szCs w:val="21"/>
        </w:rPr>
        <w:t>债券回购交易</w:t>
      </w:r>
    </w:p>
    <w:p w:rsidR="001548F9" w:rsidP="0072541E">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本基金本报告期内及上年度可比期间未通过关联方进行债券回购交易。</w:t>
      </w:r>
    </w:p>
    <w:p w:rsidR="001548F9" w:rsidRPr="0045565B" w:rsidP="0072541E">
      <w:pPr>
        <w:spacing w:before="312" w:beforeLines="100" w:line="360" w:lineRule="auto"/>
        <w:rPr>
          <w:rFonts w:eastAsiaTheme="minorEastAsia"/>
          <w:b/>
          <w:color w:val="000000"/>
          <w:szCs w:val="21"/>
        </w:rPr>
      </w:pPr>
      <w:r w:rsidRPr="0045565B">
        <w:rPr>
          <w:rFonts w:eastAsiaTheme="minorEastAsia"/>
          <w:b/>
          <w:bCs/>
          <w:color w:val="000000"/>
          <w:kern w:val="0"/>
          <w:szCs w:val="21"/>
        </w:rPr>
        <w:t xml:space="preserve">6.4.8.1.5 </w:t>
      </w:r>
      <w:r w:rsidRPr="0045565B">
        <w:rPr>
          <w:rFonts w:eastAsiaTheme="minorEastAsia"/>
          <w:b/>
          <w:color w:val="000000"/>
          <w:szCs w:val="21"/>
        </w:rPr>
        <w:t>应支付关联方的佣金</w:t>
      </w:r>
    </w:p>
    <w:p>
      <w:pPr>
        <w:tabs>
          <w:tab w:val="left" w:pos="426"/>
        </w:tabs>
        <w:spacing w:line="360" w:lineRule="auto"/>
        <w:ind w:firstLine="420" w:firstLineChars="200"/>
        <w:jc w:val="left"/>
        <w:rPr>
          <w:rFonts w:eastAsiaTheme="minorEastAsia"/>
          <w:kern w:val="0"/>
          <w:szCs w:val="21"/>
        </w:rPr>
      </w:pPr>
      <w:r>
        <w:rPr>
          <w:rFonts w:eastAsiaTheme="minorEastAsia"/>
          <w:kern w:val="0"/>
          <w:szCs w:val="21"/>
        </w:rPr>
        <w:t>本基金本报告期及上年度可比期间内无应支付关联方的佣金，本报告期末无应付关联方佣金余额。上述佣金按市场佣金率计算，以扣除中国证券登记结算公司收取的证管费、经手费和使用期间内由券商承担的证券结算风险基金后的净额列示。债券及权证交易不计佣金。</w:t>
      </w:r>
    </w:p>
    <w:p w:rsidR="001548F9" w:rsidRPr="0072541E" w:rsidP="0072541E">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该类佣金协议的服务范围还包括佣金收取方为本基金提供的证券投资研究成果和市场信息服务等。</w:t>
      </w:r>
    </w:p>
    <w:p w:rsidR="001548F9" w:rsidRPr="0045565B" w:rsidP="0072541E">
      <w:pPr>
        <w:autoSpaceDE w:val="0"/>
        <w:autoSpaceDN w:val="0"/>
        <w:adjustRightInd w:val="0"/>
        <w:spacing w:before="312" w:beforeLines="100" w:line="360" w:lineRule="auto"/>
        <w:jc w:val="left"/>
        <w:rPr>
          <w:rFonts w:eastAsiaTheme="minorEastAsia"/>
          <w:b/>
          <w:color w:val="000000"/>
          <w:kern w:val="0"/>
          <w:szCs w:val="21"/>
        </w:rPr>
      </w:pPr>
      <w:r w:rsidRPr="0045565B">
        <w:rPr>
          <w:rFonts w:eastAsiaTheme="minorEastAsia"/>
          <w:b/>
          <w:bCs/>
          <w:color w:val="000000"/>
          <w:kern w:val="0"/>
          <w:szCs w:val="21"/>
        </w:rPr>
        <w:t xml:space="preserve">6.4.8.2 </w:t>
      </w:r>
      <w:r w:rsidRPr="0045565B">
        <w:rPr>
          <w:rFonts w:eastAsiaTheme="minorEastAsia"/>
          <w:b/>
          <w:color w:val="000000"/>
          <w:kern w:val="0"/>
          <w:szCs w:val="21"/>
        </w:rPr>
        <w:t>关联方报酬</w:t>
      </w:r>
    </w:p>
    <w:p w:rsidR="001548F9" w:rsidRPr="0045565B" w:rsidP="001F7147">
      <w:pPr>
        <w:autoSpaceDE w:val="0"/>
        <w:autoSpaceDN w:val="0"/>
        <w:adjustRightInd w:val="0"/>
        <w:spacing w:line="360" w:lineRule="auto"/>
        <w:jc w:val="left"/>
        <w:rPr>
          <w:rFonts w:eastAsiaTheme="minorEastAsia"/>
          <w:b/>
          <w:color w:val="000000"/>
          <w:kern w:val="0"/>
          <w:szCs w:val="21"/>
        </w:rPr>
      </w:pPr>
      <w:r w:rsidRPr="0045565B">
        <w:rPr>
          <w:rFonts w:eastAsiaTheme="minorEastAsia"/>
          <w:b/>
          <w:bCs/>
          <w:color w:val="000000"/>
          <w:kern w:val="0"/>
          <w:szCs w:val="21"/>
        </w:rPr>
        <w:t xml:space="preserve">6.4.8.2.1 </w:t>
      </w:r>
      <w:r w:rsidRPr="0045565B">
        <w:rPr>
          <w:rFonts w:eastAsiaTheme="minorEastAsia"/>
          <w:b/>
          <w:color w:val="000000"/>
          <w:kern w:val="0"/>
          <w:szCs w:val="21"/>
        </w:rPr>
        <w:t>基金管理费</w:t>
      </w:r>
    </w:p>
    <w:p w:rsidR="001548F9" w:rsidRPr="0045565B" w:rsidP="008971E9">
      <w:pPr>
        <w:autoSpaceDE w:val="0"/>
        <w:autoSpaceDN w:val="0"/>
        <w:adjustRightInd w:val="0"/>
        <w:spacing w:before="29" w:line="288" w:lineRule="auto"/>
        <w:ind w:left="15" w:right="210"/>
        <w:jc w:val="right"/>
        <w:rPr>
          <w:rFonts w:eastAsiaTheme="minorEastAsia"/>
          <w:color w:val="000000"/>
          <w:kern w:val="0"/>
          <w:szCs w:val="21"/>
        </w:rPr>
      </w:pPr>
      <w:r w:rsidRPr="0045565B">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657"/>
      </w:tblGrid>
      <w:tr w:rsidTr="00B945E3">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3686" w:type="dxa"/>
            <w:vAlign w:val="center"/>
          </w:tcPr>
          <w:p w:rsidR="001548F9" w:rsidRPr="0045565B" w:rsidP="0070173B">
            <w:pPr>
              <w:jc w:val="center"/>
              <w:rPr>
                <w:rFonts w:eastAsiaTheme="minorEastAsia"/>
                <w:color w:val="000000"/>
                <w:szCs w:val="21"/>
              </w:rPr>
            </w:pPr>
            <w:r w:rsidRPr="0045565B">
              <w:rPr>
                <w:rFonts w:eastAsiaTheme="minorEastAsia"/>
                <w:color w:val="000000"/>
                <w:szCs w:val="21"/>
              </w:rPr>
              <w:t>项目</w:t>
            </w:r>
          </w:p>
        </w:tc>
        <w:tc>
          <w:tcPr>
            <w:tcW w:w="2657" w:type="dxa"/>
          </w:tcPr>
          <w:p w:rsidR="001548F9" w:rsidRPr="0045565B" w:rsidP="0070173B">
            <w:pPr>
              <w:jc w:val="center"/>
              <w:rPr>
                <w:rFonts w:eastAsiaTheme="minorEastAsia"/>
                <w:color w:val="000000"/>
                <w:szCs w:val="21"/>
              </w:rPr>
            </w:pPr>
            <w:r w:rsidRPr="0045565B">
              <w:rPr>
                <w:rFonts w:eastAsiaTheme="minorEastAsia"/>
                <w:color w:val="000000"/>
                <w:szCs w:val="21"/>
              </w:rPr>
              <w:t>本期</w:t>
            </w:r>
          </w:p>
          <w:p w:rsidR="001548F9" w:rsidRPr="0045565B" w:rsidP="0070173B">
            <w:pPr>
              <w:widowControl/>
              <w:autoSpaceDE w:val="0"/>
              <w:autoSpaceDN w:val="0"/>
              <w:ind w:right="-15"/>
              <w:jc w:val="center"/>
              <w:textAlignment w:val="bottom"/>
              <w:rPr>
                <w:rFonts w:eastAsiaTheme="minorEastAsia"/>
                <w:color w:val="000000"/>
                <w:szCs w:val="21"/>
              </w:rPr>
            </w:pPr>
            <w:r w:rsidRPr="0045565B">
              <w:rPr>
                <w:rFonts w:eastAsiaTheme="minorEastAsia"/>
                <w:szCs w:val="21"/>
              </w:rPr>
              <w:t>2019年1月1日</w:t>
            </w:r>
            <w:r w:rsidRPr="0045565B">
              <w:rPr>
                <w:rFonts w:eastAsiaTheme="minorEastAsia"/>
                <w:szCs w:val="21"/>
              </w:rPr>
              <w:t>至</w:t>
            </w:r>
            <w:r w:rsidRPr="0045565B">
              <w:rPr>
                <w:rFonts w:eastAsiaTheme="minorEastAsia"/>
                <w:szCs w:val="21"/>
              </w:rPr>
              <w:t>2019年6月30日</w:t>
            </w:r>
          </w:p>
        </w:tc>
        <w:tc>
          <w:tcPr>
            <w:tcW w:w="2657" w:type="dxa"/>
          </w:tcPr>
          <w:p w:rsidR="001548F9" w:rsidRPr="0045565B" w:rsidP="0070173B">
            <w:pPr>
              <w:jc w:val="center"/>
              <w:rPr>
                <w:rFonts w:eastAsiaTheme="minorEastAsia"/>
                <w:color w:val="000000"/>
                <w:szCs w:val="21"/>
              </w:rPr>
            </w:pPr>
            <w:r w:rsidRPr="0045565B">
              <w:rPr>
                <w:rFonts w:eastAsiaTheme="minorEastAsia"/>
                <w:color w:val="000000"/>
                <w:szCs w:val="21"/>
              </w:rPr>
              <w:t>上年度可比期间</w:t>
            </w:r>
          </w:p>
          <w:p w:rsidR="001548F9" w:rsidRPr="0045565B" w:rsidP="0070173B">
            <w:pPr>
              <w:widowControl/>
              <w:autoSpaceDE w:val="0"/>
              <w:autoSpaceDN w:val="0"/>
              <w:ind w:right="-15"/>
              <w:jc w:val="center"/>
              <w:textAlignment w:val="bottom"/>
              <w:rPr>
                <w:rFonts w:eastAsiaTheme="minorEastAsia"/>
                <w:color w:val="000000"/>
                <w:kern w:val="0"/>
                <w:szCs w:val="21"/>
              </w:rPr>
            </w:pPr>
            <w:r w:rsidRPr="0045565B">
              <w:rPr>
                <w:rFonts w:eastAsiaTheme="minorEastAsia"/>
                <w:color w:val="000000"/>
                <w:szCs w:val="21"/>
              </w:rPr>
              <w:t>2018年4月13日（基金合同生效日）至2018年6月30日</w:t>
            </w:r>
          </w:p>
        </w:tc>
      </w:tr>
      <w:tr w:rsidTr="00BF4798">
        <w:tblPrEx>
          <w:tblW w:w="0" w:type="auto"/>
          <w:tblInd w:w="108" w:type="dxa"/>
          <w:tblLayout w:type="fixed"/>
          <w:tblLook w:val="00A0"/>
        </w:tblPrEx>
        <w:tc>
          <w:tcPr>
            <w:tcW w:w="3686" w:type="dxa"/>
            <w:vAlign w:val="center"/>
          </w:tcPr>
          <w:p w:rsidR="001548F9" w:rsidRPr="0045565B" w:rsidP="00505CB1">
            <w:pPr>
              <w:rPr>
                <w:rFonts w:eastAsiaTheme="minorEastAsia"/>
                <w:color w:val="000000"/>
                <w:szCs w:val="21"/>
              </w:rPr>
            </w:pPr>
            <w:r w:rsidRPr="0045565B">
              <w:rPr>
                <w:rFonts w:eastAsiaTheme="minorEastAsia"/>
                <w:szCs w:val="21"/>
              </w:rPr>
              <w:t>当期发生的基金应支付的管理费</w:t>
            </w:r>
          </w:p>
        </w:tc>
        <w:tc>
          <w:tcPr>
            <w:tcW w:w="2657" w:type="dxa"/>
            <w:vAlign w:val="center"/>
          </w:tcPr>
          <w:p w:rsidR="001548F9" w:rsidRPr="0045565B" w:rsidP="00BF4798">
            <w:pPr>
              <w:jc w:val="right"/>
              <w:rPr>
                <w:rFonts w:eastAsiaTheme="minorEastAsia"/>
                <w:szCs w:val="21"/>
              </w:rPr>
            </w:pPr>
            <w:r w:rsidRPr="0045565B">
              <w:rPr>
                <w:rFonts w:eastAsiaTheme="minorEastAsia"/>
                <w:szCs w:val="21"/>
              </w:rPr>
              <w:t>89,758.42</w:t>
            </w:r>
          </w:p>
        </w:tc>
        <w:tc>
          <w:tcPr>
            <w:tcW w:w="2657" w:type="dxa"/>
            <w:vAlign w:val="center"/>
          </w:tcPr>
          <w:p w:rsidR="001548F9" w:rsidRPr="0045565B" w:rsidP="00BF4798">
            <w:pPr>
              <w:jc w:val="right"/>
              <w:rPr>
                <w:rFonts w:eastAsiaTheme="minorEastAsia"/>
                <w:szCs w:val="21"/>
              </w:rPr>
            </w:pPr>
            <w:r w:rsidRPr="0045565B">
              <w:rPr>
                <w:rFonts w:eastAsiaTheme="minorEastAsia"/>
                <w:szCs w:val="21"/>
              </w:rPr>
              <w:t>11,040.13</w:t>
            </w:r>
          </w:p>
        </w:tc>
      </w:tr>
      <w:tr w:rsidTr="00BF4798">
        <w:tblPrEx>
          <w:tblW w:w="0" w:type="auto"/>
          <w:tblInd w:w="108" w:type="dxa"/>
          <w:tblLayout w:type="fixed"/>
          <w:tblLook w:val="00A0"/>
        </w:tblPrEx>
        <w:tc>
          <w:tcPr>
            <w:tcW w:w="3686" w:type="dxa"/>
            <w:vAlign w:val="center"/>
          </w:tcPr>
          <w:p w:rsidR="001548F9" w:rsidRPr="0045565B" w:rsidP="00505CB1">
            <w:pPr>
              <w:rPr>
                <w:rFonts w:eastAsiaTheme="minorEastAsia"/>
                <w:color w:val="000000"/>
                <w:szCs w:val="21"/>
              </w:rPr>
            </w:pPr>
            <w:r w:rsidRPr="0045565B">
              <w:rPr>
                <w:rFonts w:eastAsiaTheme="minorEastAsia"/>
                <w:szCs w:val="21"/>
              </w:rPr>
              <w:t>其中：支付销售机构的客户维护费</w:t>
            </w:r>
          </w:p>
        </w:tc>
        <w:tc>
          <w:tcPr>
            <w:tcW w:w="2657" w:type="dxa"/>
            <w:vAlign w:val="center"/>
          </w:tcPr>
          <w:p w:rsidR="001548F9" w:rsidRPr="0045565B" w:rsidP="00BF4798">
            <w:pPr>
              <w:jc w:val="right"/>
              <w:rPr>
                <w:rFonts w:eastAsiaTheme="minorEastAsia"/>
                <w:szCs w:val="21"/>
              </w:rPr>
            </w:pPr>
            <w:r w:rsidRPr="0045565B">
              <w:rPr>
                <w:rFonts w:eastAsiaTheme="minorEastAsia"/>
                <w:szCs w:val="21"/>
              </w:rPr>
              <w:t>34,733.73</w:t>
            </w:r>
          </w:p>
        </w:tc>
        <w:tc>
          <w:tcPr>
            <w:tcW w:w="2657" w:type="dxa"/>
            <w:vAlign w:val="center"/>
          </w:tcPr>
          <w:p w:rsidR="001548F9" w:rsidRPr="0045565B" w:rsidP="00BF4798">
            <w:pPr>
              <w:jc w:val="right"/>
              <w:rPr>
                <w:rFonts w:eastAsiaTheme="minorEastAsia"/>
                <w:szCs w:val="21"/>
              </w:rPr>
            </w:pPr>
            <w:r w:rsidRPr="0045565B">
              <w:rPr>
                <w:rFonts w:eastAsiaTheme="minorEastAsia"/>
                <w:szCs w:val="21"/>
              </w:rPr>
              <w:t>1,804.69</w:t>
            </w:r>
          </w:p>
        </w:tc>
      </w:tr>
    </w:tbl>
    <w:p>
      <w:pPr>
        <w:tabs>
          <w:tab w:val="left" w:pos="426"/>
        </w:tabs>
        <w:spacing w:line="360" w:lineRule="auto"/>
        <w:ind w:firstLine="420" w:firstLineChars="200"/>
        <w:jc w:val="left"/>
        <w:rPr>
          <w:rFonts w:eastAsiaTheme="minorEastAsia"/>
          <w:kern w:val="0"/>
          <w:szCs w:val="21"/>
        </w:rPr>
      </w:pPr>
      <w:r>
        <w:rPr>
          <w:rFonts w:eastAsiaTheme="minorEastAsia"/>
          <w:kern w:val="0"/>
          <w:szCs w:val="21"/>
        </w:rPr>
        <w:t>注：本基金的管理费按前一日基金资产净值的1.50%年费率计提。管理费的计算方法如下：</w:t>
      </w:r>
    </w:p>
    <w:p>
      <w:pPr>
        <w:tabs>
          <w:tab w:val="left" w:pos="426"/>
        </w:tabs>
        <w:spacing w:line="360" w:lineRule="auto"/>
        <w:ind w:firstLine="420" w:firstLineChars="200"/>
        <w:jc w:val="left"/>
        <w:rPr>
          <w:rFonts w:eastAsiaTheme="minorEastAsia"/>
          <w:kern w:val="0"/>
          <w:szCs w:val="21"/>
        </w:rPr>
      </w:pPr>
      <w:r>
        <w:rPr>
          <w:rFonts w:eastAsiaTheme="minorEastAsia"/>
          <w:kern w:val="0"/>
          <w:szCs w:val="21"/>
        </w:rPr>
        <w:t>H＝E×1.50%÷当年天数</w:t>
      </w:r>
    </w:p>
    <w:p>
      <w:pPr>
        <w:tabs>
          <w:tab w:val="left" w:pos="426"/>
        </w:tabs>
        <w:spacing w:line="360" w:lineRule="auto"/>
        <w:ind w:firstLine="420" w:firstLineChars="200"/>
        <w:jc w:val="left"/>
        <w:rPr>
          <w:rFonts w:eastAsiaTheme="minorEastAsia"/>
          <w:kern w:val="0"/>
          <w:szCs w:val="21"/>
        </w:rPr>
      </w:pPr>
      <w:r>
        <w:rPr>
          <w:rFonts w:eastAsiaTheme="minorEastAsia"/>
          <w:kern w:val="0"/>
          <w:szCs w:val="21"/>
        </w:rPr>
        <w:t>H为每日应计提的基金管理费</w:t>
      </w:r>
    </w:p>
    <w:p>
      <w:pPr>
        <w:tabs>
          <w:tab w:val="left" w:pos="426"/>
        </w:tabs>
        <w:spacing w:line="360" w:lineRule="auto"/>
        <w:ind w:firstLine="420" w:firstLineChars="200"/>
        <w:jc w:val="left"/>
        <w:rPr>
          <w:rFonts w:eastAsiaTheme="minorEastAsia"/>
          <w:kern w:val="0"/>
          <w:szCs w:val="21"/>
        </w:rPr>
      </w:pPr>
      <w:r>
        <w:rPr>
          <w:rFonts w:eastAsiaTheme="minorEastAsia"/>
          <w:kern w:val="0"/>
          <w:szCs w:val="21"/>
        </w:rPr>
        <w:t>E为前一日的基金资产净值</w:t>
      </w:r>
    </w:p>
    <w:p w:rsidR="001548F9" w:rsidRPr="0072541E" w:rsidP="0072541E">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基金管理费每日计算，逐日累计至每月月末，按月支付，经基金管理人与基金托管人双方核对无误后，基金托管人按照与基金管理人协商一致的方式于次月前2个工作日内从基金财产中一次性支付给基金管理人。若遇法定节假日、公休假等，支付日期顺延。</w:t>
      </w:r>
    </w:p>
    <w:p w:rsidR="001548F9" w:rsidRPr="0045565B" w:rsidP="0072541E">
      <w:pPr>
        <w:autoSpaceDE w:val="0"/>
        <w:autoSpaceDN w:val="0"/>
        <w:adjustRightInd w:val="0"/>
        <w:spacing w:before="312" w:beforeLines="100" w:line="360" w:lineRule="auto"/>
        <w:jc w:val="left"/>
        <w:rPr>
          <w:rFonts w:eastAsiaTheme="minorEastAsia"/>
          <w:b/>
          <w:color w:val="000000"/>
          <w:kern w:val="0"/>
          <w:szCs w:val="21"/>
        </w:rPr>
      </w:pPr>
      <w:r w:rsidRPr="0045565B">
        <w:rPr>
          <w:rFonts w:eastAsiaTheme="minorEastAsia"/>
          <w:b/>
          <w:bCs/>
          <w:color w:val="000000"/>
          <w:kern w:val="0"/>
          <w:szCs w:val="21"/>
        </w:rPr>
        <w:t xml:space="preserve">6.4.8.2.2 </w:t>
      </w:r>
      <w:r w:rsidRPr="0045565B">
        <w:rPr>
          <w:rFonts w:eastAsiaTheme="minorEastAsia"/>
          <w:b/>
          <w:color w:val="000000"/>
          <w:kern w:val="0"/>
          <w:szCs w:val="21"/>
        </w:rPr>
        <w:t>基金托管费</w:t>
      </w:r>
    </w:p>
    <w:p w:rsidR="001548F9" w:rsidRPr="0045565B" w:rsidP="008971E9">
      <w:pPr>
        <w:autoSpaceDE w:val="0"/>
        <w:autoSpaceDN w:val="0"/>
        <w:adjustRightInd w:val="0"/>
        <w:spacing w:before="29" w:line="288" w:lineRule="auto"/>
        <w:ind w:left="15" w:right="210"/>
        <w:jc w:val="right"/>
        <w:rPr>
          <w:rFonts w:eastAsiaTheme="minorEastAsia"/>
          <w:color w:val="000000"/>
          <w:kern w:val="0"/>
          <w:szCs w:val="21"/>
        </w:rPr>
      </w:pPr>
      <w:r w:rsidRPr="0045565B">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657"/>
      </w:tblGrid>
      <w:tr w:rsidTr="00B945E3">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3686" w:type="dxa"/>
            <w:vAlign w:val="center"/>
          </w:tcPr>
          <w:p w:rsidR="001548F9" w:rsidRPr="0045565B" w:rsidP="0070173B">
            <w:pPr>
              <w:jc w:val="center"/>
              <w:rPr>
                <w:rFonts w:eastAsiaTheme="minorEastAsia"/>
                <w:color w:val="000000"/>
                <w:szCs w:val="21"/>
              </w:rPr>
            </w:pPr>
            <w:r w:rsidRPr="0045565B">
              <w:rPr>
                <w:rFonts w:eastAsiaTheme="minorEastAsia"/>
                <w:color w:val="000000"/>
                <w:szCs w:val="21"/>
              </w:rPr>
              <w:t>项目</w:t>
            </w:r>
          </w:p>
        </w:tc>
        <w:tc>
          <w:tcPr>
            <w:tcW w:w="2657" w:type="dxa"/>
          </w:tcPr>
          <w:p w:rsidR="001548F9" w:rsidRPr="0045565B" w:rsidP="0070173B">
            <w:pPr>
              <w:jc w:val="center"/>
              <w:rPr>
                <w:rFonts w:eastAsiaTheme="minorEastAsia"/>
                <w:color w:val="000000"/>
                <w:szCs w:val="21"/>
              </w:rPr>
            </w:pPr>
            <w:r w:rsidRPr="0045565B">
              <w:rPr>
                <w:rFonts w:eastAsiaTheme="minorEastAsia"/>
                <w:color w:val="000000"/>
                <w:szCs w:val="21"/>
              </w:rPr>
              <w:t>本期</w:t>
            </w:r>
          </w:p>
          <w:p w:rsidR="001548F9" w:rsidRPr="0045565B" w:rsidP="0070173B">
            <w:pPr>
              <w:widowControl/>
              <w:autoSpaceDE w:val="0"/>
              <w:autoSpaceDN w:val="0"/>
              <w:ind w:right="-15"/>
              <w:jc w:val="center"/>
              <w:textAlignment w:val="bottom"/>
              <w:rPr>
                <w:rFonts w:eastAsiaTheme="minorEastAsia"/>
                <w:color w:val="000000"/>
                <w:szCs w:val="21"/>
              </w:rPr>
            </w:pPr>
            <w:r w:rsidRPr="0045565B">
              <w:rPr>
                <w:rFonts w:eastAsiaTheme="minorEastAsia"/>
                <w:szCs w:val="21"/>
              </w:rPr>
              <w:t>2019年1月1日</w:t>
            </w:r>
            <w:r w:rsidRPr="0045565B">
              <w:rPr>
                <w:rFonts w:eastAsiaTheme="minorEastAsia"/>
                <w:szCs w:val="21"/>
              </w:rPr>
              <w:t>至</w:t>
            </w:r>
            <w:r w:rsidRPr="0045565B">
              <w:rPr>
                <w:rFonts w:eastAsiaTheme="minorEastAsia"/>
                <w:szCs w:val="21"/>
              </w:rPr>
              <w:t>2019年6月30日</w:t>
            </w:r>
          </w:p>
        </w:tc>
        <w:tc>
          <w:tcPr>
            <w:tcW w:w="2657" w:type="dxa"/>
          </w:tcPr>
          <w:p w:rsidR="001548F9" w:rsidRPr="0045565B" w:rsidP="0070173B">
            <w:pPr>
              <w:jc w:val="center"/>
              <w:rPr>
                <w:rFonts w:eastAsiaTheme="minorEastAsia"/>
                <w:color w:val="000000"/>
                <w:szCs w:val="21"/>
              </w:rPr>
            </w:pPr>
            <w:r w:rsidRPr="0045565B">
              <w:rPr>
                <w:rFonts w:eastAsiaTheme="minorEastAsia"/>
                <w:color w:val="000000"/>
                <w:szCs w:val="21"/>
              </w:rPr>
              <w:t>上年度可比期间</w:t>
            </w:r>
          </w:p>
          <w:p w:rsidR="001548F9" w:rsidRPr="0045565B" w:rsidP="0070173B">
            <w:pPr>
              <w:widowControl/>
              <w:autoSpaceDE w:val="0"/>
              <w:autoSpaceDN w:val="0"/>
              <w:ind w:right="-15"/>
              <w:jc w:val="center"/>
              <w:textAlignment w:val="bottom"/>
              <w:rPr>
                <w:rFonts w:eastAsiaTheme="minorEastAsia"/>
                <w:color w:val="000000"/>
                <w:kern w:val="0"/>
                <w:szCs w:val="21"/>
              </w:rPr>
            </w:pPr>
            <w:r w:rsidRPr="0045565B">
              <w:rPr>
                <w:rFonts w:eastAsiaTheme="minorEastAsia"/>
                <w:color w:val="000000"/>
                <w:szCs w:val="21"/>
              </w:rPr>
              <w:t>2018年4月13日（基金合同生效日）至2018年6月30日</w:t>
            </w:r>
          </w:p>
        </w:tc>
      </w:tr>
      <w:tr w:rsidTr="00BF4798">
        <w:tblPrEx>
          <w:tblW w:w="0" w:type="auto"/>
          <w:tblInd w:w="108" w:type="dxa"/>
          <w:tblLayout w:type="fixed"/>
          <w:tblLook w:val="00A0"/>
        </w:tblPrEx>
        <w:tc>
          <w:tcPr>
            <w:tcW w:w="3686" w:type="dxa"/>
            <w:vAlign w:val="center"/>
          </w:tcPr>
          <w:p w:rsidR="001548F9" w:rsidRPr="0045565B" w:rsidP="0070173B">
            <w:pPr>
              <w:rPr>
                <w:rFonts w:eastAsiaTheme="minorEastAsia"/>
                <w:color w:val="000000"/>
                <w:szCs w:val="21"/>
              </w:rPr>
            </w:pPr>
            <w:r w:rsidRPr="0045565B">
              <w:rPr>
                <w:rFonts w:eastAsiaTheme="minorEastAsia"/>
                <w:szCs w:val="21"/>
              </w:rPr>
              <w:t>当期发生的基金应支付的托管费</w:t>
            </w:r>
          </w:p>
        </w:tc>
        <w:tc>
          <w:tcPr>
            <w:tcW w:w="2657" w:type="dxa"/>
            <w:vAlign w:val="center"/>
          </w:tcPr>
          <w:p w:rsidR="001548F9" w:rsidRPr="0045565B" w:rsidP="00BF4798">
            <w:pPr>
              <w:jc w:val="right"/>
              <w:rPr>
                <w:rFonts w:eastAsiaTheme="minorEastAsia"/>
                <w:color w:val="000000"/>
                <w:kern w:val="0"/>
                <w:szCs w:val="21"/>
              </w:rPr>
            </w:pPr>
            <w:r w:rsidRPr="0045565B">
              <w:rPr>
                <w:rFonts w:eastAsiaTheme="minorEastAsia"/>
                <w:szCs w:val="21"/>
              </w:rPr>
              <w:t>11,967.79</w:t>
            </w:r>
          </w:p>
        </w:tc>
        <w:tc>
          <w:tcPr>
            <w:tcW w:w="2657" w:type="dxa"/>
            <w:vAlign w:val="center"/>
          </w:tcPr>
          <w:p w:rsidR="001548F9" w:rsidRPr="0045565B" w:rsidP="00BF4798">
            <w:pPr>
              <w:jc w:val="right"/>
              <w:rPr>
                <w:rFonts w:eastAsiaTheme="minorEastAsia"/>
                <w:color w:val="000000"/>
                <w:szCs w:val="21"/>
              </w:rPr>
            </w:pPr>
            <w:r w:rsidRPr="0045565B">
              <w:rPr>
                <w:rFonts w:eastAsiaTheme="minorEastAsia"/>
                <w:szCs w:val="21"/>
              </w:rPr>
              <w:t>1,471.99</w:t>
            </w:r>
          </w:p>
        </w:tc>
      </w:tr>
    </w:tbl>
    <w:p>
      <w:pPr>
        <w:tabs>
          <w:tab w:val="left" w:pos="426"/>
        </w:tabs>
        <w:spacing w:line="360" w:lineRule="auto"/>
        <w:ind w:firstLine="420" w:firstLineChars="200"/>
        <w:jc w:val="left"/>
        <w:rPr>
          <w:rFonts w:eastAsiaTheme="minorEastAsia"/>
          <w:kern w:val="0"/>
          <w:szCs w:val="21"/>
        </w:rPr>
      </w:pPr>
      <w:r>
        <w:rPr>
          <w:rFonts w:eastAsiaTheme="minorEastAsia"/>
          <w:kern w:val="0"/>
          <w:szCs w:val="21"/>
        </w:rPr>
        <w:t>注：本基金的托管费按前一日基金资产净值的0.20%的年费率计提。托管费的计算方法如下：</w:t>
      </w:r>
    </w:p>
    <w:p>
      <w:pPr>
        <w:tabs>
          <w:tab w:val="left" w:pos="426"/>
        </w:tabs>
        <w:spacing w:line="360" w:lineRule="auto"/>
        <w:ind w:firstLine="420" w:firstLineChars="200"/>
        <w:jc w:val="left"/>
        <w:rPr>
          <w:rFonts w:eastAsiaTheme="minorEastAsia"/>
          <w:kern w:val="0"/>
          <w:szCs w:val="21"/>
        </w:rPr>
      </w:pPr>
      <w:r>
        <w:rPr>
          <w:rFonts w:eastAsiaTheme="minorEastAsia"/>
          <w:kern w:val="0"/>
          <w:szCs w:val="21"/>
        </w:rPr>
        <w:t>H＝E×0.20%÷当年天数</w:t>
      </w:r>
    </w:p>
    <w:p>
      <w:pPr>
        <w:tabs>
          <w:tab w:val="left" w:pos="426"/>
        </w:tabs>
        <w:spacing w:line="360" w:lineRule="auto"/>
        <w:ind w:firstLine="420" w:firstLineChars="200"/>
        <w:jc w:val="left"/>
        <w:rPr>
          <w:rFonts w:eastAsiaTheme="minorEastAsia"/>
          <w:kern w:val="0"/>
          <w:szCs w:val="21"/>
        </w:rPr>
      </w:pPr>
      <w:r>
        <w:rPr>
          <w:rFonts w:eastAsiaTheme="minorEastAsia"/>
          <w:kern w:val="0"/>
          <w:szCs w:val="21"/>
        </w:rPr>
        <w:t>H为每日应计提的基金托管费</w:t>
      </w:r>
    </w:p>
    <w:p>
      <w:pPr>
        <w:tabs>
          <w:tab w:val="left" w:pos="426"/>
        </w:tabs>
        <w:spacing w:line="360" w:lineRule="auto"/>
        <w:ind w:firstLine="420" w:firstLineChars="200"/>
        <w:jc w:val="left"/>
        <w:rPr>
          <w:rFonts w:eastAsiaTheme="minorEastAsia"/>
          <w:kern w:val="0"/>
          <w:szCs w:val="21"/>
        </w:rPr>
      </w:pPr>
      <w:r>
        <w:rPr>
          <w:rFonts w:eastAsiaTheme="minorEastAsia"/>
          <w:kern w:val="0"/>
          <w:szCs w:val="21"/>
        </w:rPr>
        <w:t>E为前一日的基金资产净值</w:t>
      </w:r>
    </w:p>
    <w:p w:rsidR="001548F9" w:rsidRPr="0072541E" w:rsidP="0072541E">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基金托管费每日计算，逐日累计至每月月末，按月支付，经基金管理人与基金托管人双方核对无误后，基金托管人按照与基金管理人协商一致的方式于次月前2个工作日内从基金财产中一次性支取。若遇法定节假日、公休假等，支付日期顺延。</w:t>
      </w:r>
    </w:p>
    <w:p w:rsidR="001548F9" w:rsidRPr="0045565B" w:rsidP="0072541E">
      <w:pPr>
        <w:autoSpaceDE w:val="0"/>
        <w:autoSpaceDN w:val="0"/>
        <w:adjustRightInd w:val="0"/>
        <w:spacing w:before="312" w:beforeLines="100" w:line="360" w:lineRule="auto"/>
        <w:jc w:val="left"/>
        <w:rPr>
          <w:rFonts w:eastAsiaTheme="minorEastAsia"/>
          <w:b/>
          <w:color w:val="000000"/>
          <w:kern w:val="0"/>
          <w:szCs w:val="21"/>
        </w:rPr>
      </w:pPr>
      <w:r w:rsidRPr="0045565B">
        <w:rPr>
          <w:rFonts w:eastAsiaTheme="minorEastAsia"/>
          <w:b/>
          <w:bCs/>
          <w:color w:val="000000"/>
          <w:kern w:val="0"/>
          <w:szCs w:val="21"/>
        </w:rPr>
        <w:t xml:space="preserve">6.4.8.2.3 </w:t>
      </w:r>
      <w:r w:rsidRPr="0045565B">
        <w:rPr>
          <w:rFonts w:eastAsiaTheme="minorEastAsia"/>
          <w:b/>
          <w:color w:val="000000"/>
          <w:kern w:val="0"/>
          <w:szCs w:val="21"/>
        </w:rPr>
        <w:t>销售服务费</w:t>
      </w:r>
    </w:p>
    <w:p w:rsidR="001548F9" w:rsidRPr="0045565B" w:rsidP="00C958E3">
      <w:pPr>
        <w:wordWrap w:val="0"/>
        <w:autoSpaceDE w:val="0"/>
        <w:autoSpaceDN w:val="0"/>
        <w:adjustRightInd w:val="0"/>
        <w:spacing w:before="29" w:line="288" w:lineRule="auto"/>
        <w:ind w:left="15"/>
        <w:jc w:val="right"/>
        <w:rPr>
          <w:rFonts w:eastAsiaTheme="minorEastAsia"/>
          <w:color w:val="000000"/>
          <w:szCs w:val="21"/>
        </w:rPr>
      </w:pPr>
      <w:r w:rsidRPr="0045565B">
        <w:rPr>
          <w:rFonts w:eastAsiaTheme="minorEastAsia"/>
          <w:color w:val="000000"/>
          <w:szCs w:val="21"/>
        </w:rPr>
        <w:t xml:space="preserve">    </w:t>
      </w:r>
      <w:r w:rsidRPr="0045565B">
        <w:rPr>
          <w:rFonts w:eastAsiaTheme="minorEastAsia"/>
          <w:color w:val="000000"/>
          <w:szCs w:val="21"/>
        </w:rPr>
        <w:t>单位：人民币元</w:t>
      </w:r>
    </w:p>
    <w:tbl>
      <w:tblPr>
        <w:tblW w:w="95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0"/>
        <w:gridCol w:w="1862"/>
        <w:gridCol w:w="2282"/>
        <w:gridCol w:w="3247"/>
      </w:tblGrid>
      <w:tr w:rsidTr="00FD6648">
        <w:tblPrEx>
          <w:tblW w:w="95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3F7B50" w:rsidRPr="0045565B" w:rsidP="008252CB">
            <w:pPr>
              <w:widowControl/>
              <w:ind w:left="-107" w:right="-107" w:leftChars="-51" w:rightChars="-51"/>
              <w:jc w:val="center"/>
              <w:rPr>
                <w:rFonts w:eastAsiaTheme="minorEastAsia"/>
                <w:szCs w:val="21"/>
              </w:rPr>
            </w:pPr>
            <w:r w:rsidRPr="0045565B">
              <w:rPr>
                <w:rFonts w:eastAsiaTheme="minorEastAsia"/>
                <w:szCs w:val="21"/>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3F7B50" w:rsidRPr="0045565B" w:rsidP="008252CB">
            <w:pPr>
              <w:widowControl/>
              <w:autoSpaceDE w:val="0"/>
              <w:autoSpaceDN w:val="0"/>
              <w:ind w:left="-107" w:right="-107" w:leftChars="-51" w:rightChars="-51"/>
              <w:jc w:val="center"/>
              <w:textAlignment w:val="bottom"/>
              <w:rPr>
                <w:rFonts w:eastAsiaTheme="minorEastAsia"/>
                <w:szCs w:val="21"/>
              </w:rPr>
            </w:pPr>
            <w:r w:rsidRPr="0045565B">
              <w:rPr>
                <w:rFonts w:eastAsiaTheme="minorEastAsia"/>
                <w:szCs w:val="21"/>
              </w:rPr>
              <w:t>本期</w:t>
            </w:r>
          </w:p>
          <w:p w:rsidR="003F7B50" w:rsidRPr="0045565B" w:rsidP="008252CB">
            <w:pPr>
              <w:widowControl/>
              <w:autoSpaceDE w:val="0"/>
              <w:autoSpaceDN w:val="0"/>
              <w:ind w:left="-107" w:right="-107" w:leftChars="-51" w:rightChars="-51"/>
              <w:jc w:val="center"/>
              <w:textAlignment w:val="bottom"/>
              <w:rPr>
                <w:rFonts w:eastAsiaTheme="minorEastAsia"/>
                <w:szCs w:val="21"/>
              </w:rPr>
            </w:pPr>
            <w:r w:rsidRPr="0045565B">
              <w:rPr>
                <w:rFonts w:eastAsiaTheme="minorEastAsia"/>
                <w:szCs w:val="21"/>
              </w:rPr>
              <w:t>2019年1月1日</w:t>
            </w:r>
            <w:r w:rsidRPr="0045565B">
              <w:rPr>
                <w:rFonts w:eastAsiaTheme="minorEastAsia"/>
                <w:szCs w:val="21"/>
              </w:rPr>
              <w:t>至</w:t>
            </w:r>
            <w:r w:rsidRPr="0045565B">
              <w:rPr>
                <w:rFonts w:eastAsiaTheme="minorEastAsia"/>
                <w:szCs w:val="21"/>
              </w:rPr>
              <w:t>2019年6月30日</w:t>
            </w:r>
          </w:p>
        </w:tc>
      </w:tr>
      <w:tr w:rsidTr="00FD6648">
        <w:tblPrEx>
          <w:tblW w:w="9501" w:type="dxa"/>
          <w:tblInd w:w="108" w:type="dxa"/>
          <w:tblLayout w:type="fixed"/>
          <w:tblLook w:val="01E0"/>
        </w:tblPrEx>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3F7B50" w:rsidRPr="0045565B" w:rsidP="008252CB">
            <w:pPr>
              <w:widowControl/>
              <w:jc w:val="left"/>
              <w:rPr>
                <w:rFonts w:eastAsiaTheme="minorEastAsia"/>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3F7B50" w:rsidRPr="0045565B" w:rsidP="008252CB">
            <w:pPr>
              <w:widowControl/>
              <w:autoSpaceDE w:val="0"/>
              <w:autoSpaceDN w:val="0"/>
              <w:ind w:left="-107" w:right="-107" w:leftChars="-51" w:rightChars="-51"/>
              <w:jc w:val="center"/>
              <w:textAlignment w:val="bottom"/>
              <w:rPr>
                <w:rFonts w:eastAsiaTheme="minorEastAsia"/>
                <w:szCs w:val="21"/>
              </w:rPr>
            </w:pPr>
            <w:r w:rsidRPr="0045565B">
              <w:rPr>
                <w:rFonts w:eastAsiaTheme="minorEastAsia"/>
                <w:szCs w:val="21"/>
              </w:rPr>
              <w:t>当期发生的基金应支付的销售服务费</w:t>
            </w:r>
          </w:p>
        </w:tc>
      </w:tr>
      <w:tr w:rsidTr="00FD6648">
        <w:tblPrEx>
          <w:tblW w:w="9501" w:type="dxa"/>
          <w:tblInd w:w="108" w:type="dxa"/>
          <w:tblLayout w:type="fixed"/>
          <w:tblLook w:val="01E0"/>
        </w:tblPrEx>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3F7B50" w:rsidRPr="0045565B" w:rsidP="008252CB">
            <w:pPr>
              <w:widowControl/>
              <w:jc w:val="left"/>
              <w:rPr>
                <w:rFonts w:eastAsiaTheme="minorEastAsia"/>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F7B50" w:rsidRPr="0045565B" w:rsidP="008252CB">
            <w:pPr>
              <w:widowControl/>
              <w:ind w:left="-107" w:right="-107" w:leftChars="-51" w:rightChars="-51"/>
              <w:jc w:val="center"/>
              <w:rPr>
                <w:rFonts w:eastAsiaTheme="minorEastAsia"/>
                <w:szCs w:val="21"/>
              </w:rPr>
            </w:pPr>
            <w:r w:rsidRPr="0045565B">
              <w:rPr>
                <w:rFonts w:eastAsiaTheme="minorEastAsia"/>
                <w:szCs w:val="21"/>
              </w:rPr>
              <w:t>金鹰医疗健康股票A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F7B50" w:rsidRPr="0045565B" w:rsidP="003F7B50">
            <w:pPr>
              <w:widowControl/>
              <w:ind w:left="-107" w:right="-107" w:leftChars="-51" w:rightChars="-51"/>
              <w:jc w:val="center"/>
              <w:rPr>
                <w:rFonts w:eastAsiaTheme="minorEastAsia"/>
                <w:szCs w:val="21"/>
              </w:rPr>
            </w:pPr>
            <w:r w:rsidRPr="0045565B">
              <w:rPr>
                <w:rFonts w:eastAsiaTheme="minorEastAsia"/>
                <w:szCs w:val="21"/>
              </w:rPr>
              <w:t>金鹰医疗健康股票C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3F7B50" w:rsidRPr="0045565B" w:rsidP="008252CB">
            <w:pPr>
              <w:widowControl/>
              <w:ind w:left="-107" w:right="-107" w:leftChars="-51" w:rightChars="-51"/>
              <w:jc w:val="center"/>
              <w:rPr>
                <w:rFonts w:eastAsiaTheme="minorEastAsia"/>
                <w:szCs w:val="21"/>
              </w:rPr>
            </w:pPr>
            <w:r w:rsidRPr="0045565B">
              <w:rPr>
                <w:rFonts w:eastAsiaTheme="minorEastAsia"/>
                <w:szCs w:val="21"/>
              </w:rPr>
              <w:t>合计</w:t>
            </w:r>
          </w:p>
        </w:tc>
      </w:tr>
      <w:tr>
        <w:tblPrEx>
          <w:tblW w:w="9501" w:type="dxa"/>
          <w:tblInd w:w="108" w:type="dxa"/>
          <w:tblLayout w:type="fixed"/>
          <w:tblLook w:val="01E0"/>
        </w:tblPrEx>
        <w:tc>
          <w:tcPr>
            <w:vAlign w:val="center"/>
          </w:tcPr>
          <w:p>
            <w:pPr>
              <w:jc w:val="left"/>
            </w:pPr>
            <w:r>
              <w:rPr>
                <w:rFonts w:eastAsiaTheme="minorEastAsia"/>
                <w:szCs w:val="21"/>
              </w:rPr>
              <w:t>交通银行股份有限公司</w:t>
            </w:r>
          </w:p>
        </w:tc>
        <w:tc>
          <w:tcPr>
            <w:vAlign w:val="center"/>
          </w:tcPr>
          <w:p>
            <w:pPr>
              <w:jc w:val="right"/>
            </w:pPr>
            <w:r>
              <w:rPr>
                <w:rFonts w:eastAsiaTheme="minorEastAsia"/>
                <w:szCs w:val="21"/>
              </w:rPr>
              <w:t>-</w:t>
            </w:r>
          </w:p>
        </w:tc>
        <w:tc>
          <w:tcPr>
            <w:vAlign w:val="center"/>
          </w:tcPr>
          <w:p>
            <w:pPr>
              <w:jc w:val="right"/>
            </w:pPr>
            <w:r>
              <w:rPr>
                <w:rFonts w:eastAsiaTheme="minorEastAsia"/>
                <w:szCs w:val="21"/>
              </w:rPr>
              <w:t>332.22</w:t>
            </w:r>
          </w:p>
        </w:tc>
        <w:tc>
          <w:tcPr>
            <w:vAlign w:val="center"/>
          </w:tcPr>
          <w:p>
            <w:pPr>
              <w:jc w:val="right"/>
            </w:pPr>
            <w:r>
              <w:rPr>
                <w:rFonts w:eastAsiaTheme="minorEastAsia"/>
                <w:szCs w:val="21"/>
              </w:rPr>
              <w:t>332.22</w:t>
            </w:r>
          </w:p>
        </w:tc>
      </w:tr>
      <w:tr>
        <w:tblPrEx>
          <w:tblW w:w="9501" w:type="dxa"/>
          <w:tblInd w:w="108" w:type="dxa"/>
          <w:tblLayout w:type="fixed"/>
          <w:tblLook w:val="01E0"/>
        </w:tblPrEx>
        <w:tc>
          <w:tcPr>
            <w:vAlign w:val="center"/>
          </w:tcPr>
          <w:p>
            <w:pPr>
              <w:jc w:val="left"/>
            </w:pPr>
            <w:r>
              <w:rPr>
                <w:rFonts w:eastAsiaTheme="minorEastAsia"/>
                <w:szCs w:val="21"/>
              </w:rPr>
              <w:t>广州证券股份有限公司</w:t>
            </w:r>
          </w:p>
        </w:tc>
        <w:tc>
          <w:tcPr>
            <w:vAlign w:val="center"/>
          </w:tcPr>
          <w:p>
            <w:pPr>
              <w:jc w:val="right"/>
            </w:pPr>
            <w:r>
              <w:rPr>
                <w:rFonts w:eastAsiaTheme="minorEastAsia"/>
                <w:szCs w:val="21"/>
              </w:rPr>
              <w:t>-</w:t>
            </w:r>
          </w:p>
        </w:tc>
        <w:tc>
          <w:tcPr>
            <w:vAlign w:val="center"/>
          </w:tcPr>
          <w:p>
            <w:pPr>
              <w:jc w:val="right"/>
            </w:pPr>
            <w:r>
              <w:rPr>
                <w:rFonts w:eastAsiaTheme="minorEastAsia"/>
                <w:szCs w:val="21"/>
              </w:rPr>
              <w:t>418.22</w:t>
            </w:r>
          </w:p>
        </w:tc>
        <w:tc>
          <w:tcPr>
            <w:vAlign w:val="center"/>
          </w:tcPr>
          <w:p>
            <w:pPr>
              <w:jc w:val="right"/>
            </w:pPr>
            <w:r>
              <w:rPr>
                <w:rFonts w:eastAsiaTheme="minorEastAsia"/>
                <w:szCs w:val="21"/>
              </w:rPr>
              <w:t>418.22</w:t>
            </w:r>
          </w:p>
        </w:tc>
      </w:tr>
      <w:tr>
        <w:tblPrEx>
          <w:tblW w:w="9501" w:type="dxa"/>
          <w:tblInd w:w="108" w:type="dxa"/>
          <w:tblLayout w:type="fixed"/>
          <w:tblLook w:val="01E0"/>
        </w:tblPrEx>
        <w:tc>
          <w:tcPr>
            <w:vAlign w:val="center"/>
          </w:tcPr>
          <w:p>
            <w:pPr>
              <w:jc w:val="left"/>
            </w:pPr>
            <w:r>
              <w:rPr>
                <w:rFonts w:eastAsiaTheme="minorEastAsia"/>
                <w:szCs w:val="21"/>
              </w:rPr>
              <w:t>金鹰基金管理有限公司</w:t>
            </w:r>
          </w:p>
        </w:tc>
        <w:tc>
          <w:tcPr>
            <w:vAlign w:val="center"/>
          </w:tcPr>
          <w:p>
            <w:pPr>
              <w:jc w:val="right"/>
            </w:pPr>
            <w:r>
              <w:rPr>
                <w:rFonts w:eastAsiaTheme="minorEastAsia"/>
                <w:szCs w:val="21"/>
              </w:rPr>
              <w:t>-</w:t>
            </w:r>
          </w:p>
        </w:tc>
        <w:tc>
          <w:tcPr>
            <w:vAlign w:val="center"/>
          </w:tcPr>
          <w:p>
            <w:pPr>
              <w:jc w:val="right"/>
            </w:pPr>
            <w:r>
              <w:rPr>
                <w:rFonts w:eastAsiaTheme="minorEastAsia"/>
                <w:szCs w:val="21"/>
              </w:rPr>
              <w:t>30.78</w:t>
            </w:r>
          </w:p>
        </w:tc>
        <w:tc>
          <w:tcPr>
            <w:vAlign w:val="center"/>
          </w:tcPr>
          <w:p>
            <w:pPr>
              <w:jc w:val="right"/>
            </w:pPr>
            <w:r>
              <w:rPr>
                <w:rFonts w:eastAsiaTheme="minorEastAsia"/>
                <w:szCs w:val="21"/>
              </w:rPr>
              <w:t>30.78</w:t>
            </w:r>
          </w:p>
        </w:tc>
      </w:tr>
      <w:tr w:rsidTr="00283A78">
        <w:tblPrEx>
          <w:tblW w:w="9501" w:type="dxa"/>
          <w:tblInd w:w="108" w:type="dxa"/>
          <w:tblLayout w:type="fixed"/>
          <w:tblLook w:val="01E0"/>
        </w:tblPrEx>
        <w:tc>
          <w:tcPr>
            <w:tcW w:w="2110" w:type="dxa"/>
            <w:tcBorders>
              <w:top w:val="single" w:sz="4" w:space="0" w:color="000000"/>
              <w:left w:val="single" w:sz="4" w:space="0" w:color="000000"/>
              <w:bottom w:val="single" w:sz="4" w:space="0" w:color="000000"/>
              <w:right w:val="single" w:sz="4" w:space="0" w:color="000000"/>
            </w:tcBorders>
            <w:vAlign w:val="center"/>
          </w:tcPr>
          <w:p w:rsidR="003F7B50" w:rsidRPr="0045565B" w:rsidP="00283A78">
            <w:pPr>
              <w:widowControl/>
              <w:rPr>
                <w:rFonts w:eastAsiaTheme="minorEastAsia"/>
                <w:szCs w:val="21"/>
              </w:rPr>
            </w:pPr>
            <w:r w:rsidRPr="0045565B">
              <w:rPr>
                <w:rFonts w:eastAsiaTheme="minorEastAsia"/>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3F7B50" w:rsidRPr="0045565B" w:rsidP="00283A78">
            <w:pPr>
              <w:jc w:val="right"/>
              <w:rPr>
                <w:rFonts w:eastAsiaTheme="minorEastAsia"/>
                <w:szCs w:val="21"/>
              </w:rPr>
            </w:pPr>
            <w:r w:rsidRPr="0045565B">
              <w:rPr>
                <w:rFonts w:eastAsiaTheme="minorEastAsia"/>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tcPr>
          <w:p w:rsidR="003F7B50" w:rsidRPr="0045565B" w:rsidP="00283A78">
            <w:pPr>
              <w:jc w:val="right"/>
              <w:rPr>
                <w:rFonts w:eastAsiaTheme="minorEastAsia"/>
                <w:szCs w:val="21"/>
              </w:rPr>
            </w:pPr>
            <w:r w:rsidRPr="0045565B">
              <w:rPr>
                <w:rFonts w:eastAsiaTheme="minorEastAsia"/>
                <w:szCs w:val="21"/>
              </w:rPr>
              <w:t>781.22</w:t>
            </w:r>
          </w:p>
        </w:tc>
        <w:tc>
          <w:tcPr>
            <w:tcW w:w="3247" w:type="dxa"/>
            <w:tcBorders>
              <w:top w:val="single" w:sz="4" w:space="0" w:color="000000"/>
              <w:left w:val="single" w:sz="4" w:space="0" w:color="000000"/>
              <w:bottom w:val="single" w:sz="4" w:space="0" w:color="000000"/>
              <w:right w:val="single" w:sz="4" w:space="0" w:color="000000"/>
            </w:tcBorders>
            <w:vAlign w:val="center"/>
          </w:tcPr>
          <w:p w:rsidR="003F7B50" w:rsidRPr="0045565B" w:rsidP="00283A78">
            <w:pPr>
              <w:jc w:val="right"/>
              <w:rPr>
                <w:rFonts w:eastAsiaTheme="minorEastAsia"/>
                <w:szCs w:val="21"/>
              </w:rPr>
            </w:pPr>
            <w:r w:rsidRPr="0045565B">
              <w:rPr>
                <w:rFonts w:eastAsiaTheme="minorEastAsia"/>
                <w:szCs w:val="21"/>
              </w:rPr>
              <w:t>781.22</w:t>
            </w:r>
          </w:p>
        </w:tc>
      </w:tr>
      <w:tr w:rsidTr="00FD6648">
        <w:tblPrEx>
          <w:tblW w:w="9501" w:type="dxa"/>
          <w:tblInd w:w="108" w:type="dxa"/>
          <w:tblLayout w:type="fixed"/>
          <w:tblLook w:val="01E0"/>
        </w:tblPrEx>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443EF1" w:rsidRPr="0045565B" w:rsidP="004B3136">
            <w:pPr>
              <w:widowControl/>
              <w:ind w:left="-107" w:right="-107" w:leftChars="-51" w:rightChars="-51"/>
              <w:jc w:val="center"/>
              <w:rPr>
                <w:rFonts w:eastAsiaTheme="minorEastAsia"/>
                <w:szCs w:val="21"/>
              </w:rPr>
            </w:pPr>
            <w:r w:rsidRPr="0045565B">
              <w:rPr>
                <w:rFonts w:eastAsiaTheme="minorEastAsia"/>
                <w:szCs w:val="21"/>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443EF1" w:rsidRPr="0045565B" w:rsidP="004B3136">
            <w:pPr>
              <w:widowControl/>
              <w:autoSpaceDE w:val="0"/>
              <w:autoSpaceDN w:val="0"/>
              <w:ind w:left="-107" w:right="-107" w:leftChars="-51" w:rightChars="-51"/>
              <w:jc w:val="center"/>
              <w:textAlignment w:val="bottom"/>
              <w:rPr>
                <w:rFonts w:eastAsiaTheme="minorEastAsia"/>
                <w:szCs w:val="21"/>
              </w:rPr>
            </w:pPr>
            <w:r w:rsidRPr="0045565B">
              <w:rPr>
                <w:rFonts w:eastAsiaTheme="minorEastAsia"/>
                <w:szCs w:val="21"/>
              </w:rPr>
              <w:t>上年度可比期间</w:t>
            </w:r>
          </w:p>
          <w:p w:rsidR="00443EF1" w:rsidRPr="0045565B" w:rsidP="004B3136">
            <w:pPr>
              <w:widowControl/>
              <w:autoSpaceDE w:val="0"/>
              <w:autoSpaceDN w:val="0"/>
              <w:ind w:left="-107" w:right="-107" w:leftChars="-51" w:rightChars="-51"/>
              <w:jc w:val="center"/>
              <w:textAlignment w:val="bottom"/>
              <w:rPr>
                <w:rFonts w:eastAsiaTheme="minorEastAsia"/>
                <w:szCs w:val="21"/>
              </w:rPr>
            </w:pPr>
            <w:r w:rsidRPr="0045565B">
              <w:rPr>
                <w:rFonts w:eastAsiaTheme="minorEastAsia"/>
                <w:szCs w:val="21"/>
              </w:rPr>
              <w:t>2018年4月13日（基金合同生效日）至2018年6月30日</w:t>
            </w:r>
          </w:p>
        </w:tc>
      </w:tr>
      <w:tr w:rsidTr="00FD6648">
        <w:tblPrEx>
          <w:tblW w:w="9501" w:type="dxa"/>
          <w:tblInd w:w="108" w:type="dxa"/>
          <w:tblLayout w:type="fixed"/>
          <w:tblLook w:val="01E0"/>
        </w:tblPrEx>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43EF1" w:rsidRPr="0045565B" w:rsidP="004B3136">
            <w:pPr>
              <w:widowControl/>
              <w:jc w:val="left"/>
              <w:rPr>
                <w:rFonts w:eastAsiaTheme="minorEastAsia"/>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443EF1" w:rsidRPr="0045565B" w:rsidP="004B3136">
            <w:pPr>
              <w:widowControl/>
              <w:autoSpaceDE w:val="0"/>
              <w:autoSpaceDN w:val="0"/>
              <w:ind w:left="-107" w:right="-107" w:leftChars="-51" w:rightChars="-51"/>
              <w:jc w:val="center"/>
              <w:textAlignment w:val="bottom"/>
              <w:rPr>
                <w:rFonts w:eastAsiaTheme="minorEastAsia"/>
                <w:szCs w:val="21"/>
              </w:rPr>
            </w:pPr>
            <w:r w:rsidRPr="0045565B">
              <w:rPr>
                <w:rFonts w:eastAsiaTheme="minorEastAsia"/>
                <w:szCs w:val="21"/>
              </w:rPr>
              <w:t>当期发生的基金应支付的销售服务费</w:t>
            </w:r>
          </w:p>
        </w:tc>
      </w:tr>
      <w:tr w:rsidTr="00FD6648">
        <w:tblPrEx>
          <w:tblW w:w="9501" w:type="dxa"/>
          <w:tblInd w:w="108" w:type="dxa"/>
          <w:tblLayout w:type="fixed"/>
          <w:tblLook w:val="01E0"/>
        </w:tblPrEx>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43EF1" w:rsidRPr="0045565B" w:rsidP="004B3136">
            <w:pPr>
              <w:widowControl/>
              <w:jc w:val="left"/>
              <w:rPr>
                <w:rFonts w:eastAsiaTheme="minorEastAsia"/>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443EF1" w:rsidRPr="0045565B" w:rsidP="004B3136">
            <w:pPr>
              <w:widowControl/>
              <w:autoSpaceDE w:val="0"/>
              <w:autoSpaceDN w:val="0"/>
              <w:ind w:left="-107" w:right="-107" w:leftChars="-51" w:rightChars="-51"/>
              <w:jc w:val="center"/>
              <w:textAlignment w:val="bottom"/>
              <w:rPr>
                <w:rFonts w:eastAsiaTheme="minorEastAsia"/>
                <w:szCs w:val="21"/>
              </w:rPr>
            </w:pPr>
            <w:r w:rsidRPr="0045565B">
              <w:rPr>
                <w:rFonts w:eastAsiaTheme="minorEastAsia"/>
                <w:szCs w:val="21"/>
              </w:rPr>
              <w:t>金鹰医疗健康股票A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443EF1" w:rsidRPr="0045565B" w:rsidP="004B3136">
            <w:pPr>
              <w:widowControl/>
              <w:autoSpaceDE w:val="0"/>
              <w:autoSpaceDN w:val="0"/>
              <w:ind w:left="-107" w:right="-107" w:leftChars="-51" w:rightChars="-51"/>
              <w:jc w:val="center"/>
              <w:textAlignment w:val="bottom"/>
              <w:rPr>
                <w:rFonts w:eastAsiaTheme="minorEastAsia"/>
                <w:szCs w:val="21"/>
              </w:rPr>
            </w:pPr>
            <w:r w:rsidRPr="0045565B">
              <w:rPr>
                <w:rFonts w:eastAsiaTheme="minorEastAsia"/>
                <w:szCs w:val="21"/>
              </w:rPr>
              <w:t>金鹰医疗健康股票C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443EF1" w:rsidRPr="0045565B" w:rsidP="004B3136">
            <w:pPr>
              <w:widowControl/>
              <w:autoSpaceDE w:val="0"/>
              <w:autoSpaceDN w:val="0"/>
              <w:ind w:left="-107" w:right="-107" w:leftChars="-51" w:rightChars="-51"/>
              <w:jc w:val="center"/>
              <w:textAlignment w:val="bottom"/>
              <w:rPr>
                <w:rFonts w:eastAsiaTheme="minorEastAsia"/>
                <w:szCs w:val="21"/>
              </w:rPr>
            </w:pPr>
            <w:r w:rsidRPr="0045565B">
              <w:rPr>
                <w:rFonts w:eastAsiaTheme="minorEastAsia"/>
                <w:szCs w:val="21"/>
              </w:rPr>
              <w:t>合计</w:t>
            </w:r>
          </w:p>
        </w:tc>
      </w:tr>
      <w:tr>
        <w:tblPrEx>
          <w:tblW w:w="9501" w:type="dxa"/>
          <w:tblInd w:w="108" w:type="dxa"/>
          <w:tblLayout w:type="fixed"/>
          <w:tblLook w:val="01E0"/>
        </w:tblPrEx>
        <w:tc>
          <w:tcPr>
            <w:vAlign w:val="center"/>
          </w:tcPr>
          <w:p>
            <w:pPr>
              <w:jc w:val="left"/>
            </w:pPr>
            <w:r>
              <w:rPr>
                <w:rFonts w:eastAsiaTheme="minorEastAsia"/>
                <w:szCs w:val="21"/>
              </w:rPr>
              <w:t>金鹰基金管理有限公司</w:t>
            </w:r>
          </w:p>
        </w:tc>
        <w:tc>
          <w:tcPr>
            <w:vAlign w:val="center"/>
          </w:tcPr>
          <w:p>
            <w:pPr>
              <w:jc w:val="right"/>
            </w:pPr>
            <w:r>
              <w:rPr>
                <w:rFonts w:eastAsiaTheme="minorEastAsia"/>
                <w:szCs w:val="21"/>
              </w:rPr>
              <w:t>-</w:t>
            </w:r>
          </w:p>
        </w:tc>
        <w:tc>
          <w:tcPr>
            <w:vAlign w:val="center"/>
          </w:tcPr>
          <w:p>
            <w:pPr>
              <w:jc w:val="right"/>
            </w:pPr>
            <w:r>
              <w:rPr>
                <w:rFonts w:eastAsiaTheme="minorEastAsia"/>
                <w:szCs w:val="21"/>
              </w:rPr>
              <w:t>4.99</w:t>
            </w:r>
          </w:p>
        </w:tc>
        <w:tc>
          <w:tcPr>
            <w:vAlign w:val="center"/>
          </w:tcPr>
          <w:p>
            <w:pPr>
              <w:jc w:val="right"/>
            </w:pPr>
            <w:r>
              <w:rPr>
                <w:rFonts w:eastAsiaTheme="minorEastAsia"/>
                <w:szCs w:val="21"/>
              </w:rPr>
              <w:t>4.99</w:t>
            </w:r>
          </w:p>
        </w:tc>
      </w:tr>
      <w:tr>
        <w:tblPrEx>
          <w:tblW w:w="9501" w:type="dxa"/>
          <w:tblInd w:w="108" w:type="dxa"/>
          <w:tblLayout w:type="fixed"/>
          <w:tblLook w:val="01E0"/>
        </w:tblPrEx>
        <w:tc>
          <w:tcPr>
            <w:vAlign w:val="center"/>
          </w:tcPr>
          <w:p>
            <w:pPr>
              <w:jc w:val="left"/>
            </w:pPr>
            <w:r>
              <w:rPr>
                <w:rFonts w:eastAsiaTheme="minorEastAsia"/>
                <w:szCs w:val="21"/>
              </w:rPr>
              <w:t>广州证券股份有限公司</w:t>
            </w:r>
          </w:p>
        </w:tc>
        <w:tc>
          <w:tcPr>
            <w:vAlign w:val="center"/>
          </w:tcPr>
          <w:p>
            <w:pPr>
              <w:jc w:val="right"/>
            </w:pPr>
            <w:r>
              <w:rPr>
                <w:rFonts w:eastAsiaTheme="minorEastAsia"/>
                <w:szCs w:val="21"/>
              </w:rPr>
              <w:t>-</w:t>
            </w:r>
          </w:p>
        </w:tc>
        <w:tc>
          <w:tcPr>
            <w:vAlign w:val="center"/>
          </w:tcPr>
          <w:p>
            <w:pPr>
              <w:jc w:val="right"/>
            </w:pPr>
            <w:r>
              <w:rPr>
                <w:rFonts w:eastAsiaTheme="minorEastAsia"/>
                <w:szCs w:val="21"/>
              </w:rPr>
              <w:t>182.79</w:t>
            </w:r>
          </w:p>
        </w:tc>
        <w:tc>
          <w:tcPr>
            <w:vAlign w:val="center"/>
          </w:tcPr>
          <w:p>
            <w:pPr>
              <w:jc w:val="right"/>
            </w:pPr>
            <w:r>
              <w:rPr>
                <w:rFonts w:eastAsiaTheme="minorEastAsia"/>
                <w:szCs w:val="21"/>
              </w:rPr>
              <w:t>182.79</w:t>
            </w:r>
          </w:p>
        </w:tc>
      </w:tr>
      <w:tr>
        <w:tblPrEx>
          <w:tblW w:w="9501" w:type="dxa"/>
          <w:tblInd w:w="108" w:type="dxa"/>
          <w:tblLayout w:type="fixed"/>
          <w:tblLook w:val="01E0"/>
        </w:tblPrEx>
        <w:tc>
          <w:tcPr>
            <w:vAlign w:val="center"/>
          </w:tcPr>
          <w:p>
            <w:pPr>
              <w:jc w:val="left"/>
            </w:pPr>
            <w:r>
              <w:rPr>
                <w:rFonts w:eastAsiaTheme="minorEastAsia"/>
                <w:szCs w:val="21"/>
              </w:rPr>
              <w:t>交通银行股份有限公司</w:t>
            </w:r>
          </w:p>
        </w:tc>
        <w:tc>
          <w:tcPr>
            <w:vAlign w:val="center"/>
          </w:tcPr>
          <w:p>
            <w:pPr>
              <w:jc w:val="right"/>
            </w:pPr>
            <w:r>
              <w:rPr>
                <w:rFonts w:eastAsiaTheme="minorEastAsia"/>
                <w:szCs w:val="21"/>
              </w:rPr>
              <w:t>-</w:t>
            </w:r>
          </w:p>
        </w:tc>
        <w:tc>
          <w:tcPr>
            <w:vAlign w:val="center"/>
          </w:tcPr>
          <w:p>
            <w:pPr>
              <w:jc w:val="right"/>
            </w:pPr>
            <w:r>
              <w:rPr>
                <w:rFonts w:eastAsiaTheme="minorEastAsia"/>
                <w:szCs w:val="21"/>
              </w:rPr>
              <w:t>7.47</w:t>
            </w:r>
          </w:p>
        </w:tc>
        <w:tc>
          <w:tcPr>
            <w:vAlign w:val="center"/>
          </w:tcPr>
          <w:p>
            <w:pPr>
              <w:jc w:val="right"/>
            </w:pPr>
            <w:r>
              <w:rPr>
                <w:rFonts w:eastAsiaTheme="minorEastAsia"/>
                <w:szCs w:val="21"/>
              </w:rPr>
              <w:t>7.47</w:t>
            </w:r>
          </w:p>
        </w:tc>
      </w:tr>
      <w:tr w:rsidTr="00283A78">
        <w:tblPrEx>
          <w:tblW w:w="9501" w:type="dxa"/>
          <w:tblInd w:w="108" w:type="dxa"/>
          <w:tblLayout w:type="fixed"/>
          <w:tblLook w:val="01E0"/>
        </w:tblPrEx>
        <w:tc>
          <w:tcPr>
            <w:tcW w:w="2110" w:type="dxa"/>
            <w:tcBorders>
              <w:top w:val="single" w:sz="4" w:space="0" w:color="000000"/>
              <w:left w:val="single" w:sz="4" w:space="0" w:color="000000"/>
              <w:bottom w:val="single" w:sz="4" w:space="0" w:color="000000"/>
              <w:right w:val="single" w:sz="4" w:space="0" w:color="000000"/>
            </w:tcBorders>
            <w:vAlign w:val="center"/>
          </w:tcPr>
          <w:p w:rsidR="00443EF1" w:rsidRPr="0045565B" w:rsidP="00283A78">
            <w:pPr>
              <w:widowControl/>
              <w:rPr>
                <w:rFonts w:eastAsiaTheme="minorEastAsia"/>
                <w:szCs w:val="21"/>
              </w:rPr>
            </w:pPr>
            <w:r w:rsidRPr="0045565B">
              <w:rPr>
                <w:rFonts w:eastAsiaTheme="minorEastAsia"/>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443EF1" w:rsidRPr="0045565B" w:rsidP="00283A78">
            <w:pPr>
              <w:jc w:val="right"/>
              <w:rPr>
                <w:rFonts w:eastAsiaTheme="minorEastAsia"/>
                <w:szCs w:val="21"/>
              </w:rPr>
            </w:pPr>
            <w:r w:rsidRPr="0045565B">
              <w:rPr>
                <w:rFonts w:eastAsiaTheme="minorEastAsia"/>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tcPr>
          <w:p w:rsidR="00443EF1" w:rsidRPr="0045565B" w:rsidP="00283A78">
            <w:pPr>
              <w:jc w:val="right"/>
              <w:rPr>
                <w:rFonts w:eastAsiaTheme="minorEastAsia"/>
                <w:szCs w:val="21"/>
              </w:rPr>
            </w:pPr>
            <w:r w:rsidRPr="0045565B">
              <w:rPr>
                <w:rFonts w:eastAsiaTheme="minorEastAsia"/>
                <w:szCs w:val="21"/>
              </w:rPr>
              <w:t>195.25</w:t>
            </w:r>
          </w:p>
        </w:tc>
        <w:tc>
          <w:tcPr>
            <w:tcW w:w="3244" w:type="dxa"/>
            <w:tcBorders>
              <w:top w:val="single" w:sz="4" w:space="0" w:color="000000"/>
              <w:left w:val="single" w:sz="4" w:space="0" w:color="000000"/>
              <w:bottom w:val="single" w:sz="4" w:space="0" w:color="000000"/>
              <w:right w:val="single" w:sz="4" w:space="0" w:color="000000"/>
            </w:tcBorders>
            <w:vAlign w:val="center"/>
          </w:tcPr>
          <w:p w:rsidR="00443EF1" w:rsidRPr="0045565B" w:rsidP="00283A78">
            <w:pPr>
              <w:jc w:val="right"/>
              <w:rPr>
                <w:rFonts w:eastAsiaTheme="minorEastAsia"/>
                <w:szCs w:val="21"/>
              </w:rPr>
            </w:pPr>
            <w:r w:rsidRPr="0045565B">
              <w:rPr>
                <w:rFonts w:eastAsiaTheme="minorEastAsia"/>
                <w:szCs w:val="21"/>
              </w:rPr>
              <w:t>195.25</w:t>
            </w:r>
          </w:p>
        </w:tc>
      </w:tr>
    </w:tbl>
    <w:p>
      <w:pPr>
        <w:tabs>
          <w:tab w:val="left" w:pos="426"/>
        </w:tabs>
        <w:spacing w:line="360" w:lineRule="auto"/>
        <w:ind w:firstLine="420" w:firstLineChars="200"/>
        <w:jc w:val="left"/>
        <w:rPr>
          <w:rFonts w:eastAsiaTheme="minorEastAsia"/>
          <w:kern w:val="0"/>
          <w:szCs w:val="21"/>
        </w:rPr>
      </w:pPr>
      <w:r>
        <w:rPr>
          <w:rFonts w:eastAsiaTheme="minorEastAsia"/>
          <w:kern w:val="0"/>
          <w:szCs w:val="21"/>
        </w:rPr>
        <w:t>注：本基金A类基金份额不收取销售服务费，C类基金份额收取销售服务费。</w:t>
      </w:r>
    </w:p>
    <w:p>
      <w:pPr>
        <w:tabs>
          <w:tab w:val="left" w:pos="426"/>
        </w:tabs>
        <w:spacing w:line="360" w:lineRule="auto"/>
        <w:ind w:firstLine="420" w:firstLineChars="200"/>
        <w:jc w:val="left"/>
        <w:rPr>
          <w:rFonts w:eastAsiaTheme="minorEastAsia"/>
          <w:kern w:val="0"/>
          <w:szCs w:val="21"/>
        </w:rPr>
      </w:pPr>
      <w:r>
        <w:rPr>
          <w:rFonts w:eastAsiaTheme="minorEastAsia"/>
          <w:kern w:val="0"/>
          <w:szCs w:val="21"/>
        </w:rPr>
        <w:t>本基金销售服务费按前一日C类基金份额的基金资产净值的0.40%年费率计提，销售服务费的计算方法如下：</w:t>
      </w:r>
    </w:p>
    <w:p>
      <w:pPr>
        <w:tabs>
          <w:tab w:val="left" w:pos="426"/>
        </w:tabs>
        <w:spacing w:line="360" w:lineRule="auto"/>
        <w:ind w:firstLine="420" w:firstLineChars="200"/>
        <w:jc w:val="left"/>
        <w:rPr>
          <w:rFonts w:eastAsiaTheme="minorEastAsia"/>
          <w:kern w:val="0"/>
          <w:szCs w:val="21"/>
        </w:rPr>
      </w:pPr>
      <w:r>
        <w:rPr>
          <w:rFonts w:eastAsiaTheme="minorEastAsia"/>
          <w:kern w:val="0"/>
          <w:szCs w:val="21"/>
        </w:rPr>
        <w:t>H=E×0.40%÷当年天数</w:t>
      </w:r>
    </w:p>
    <w:p>
      <w:pPr>
        <w:tabs>
          <w:tab w:val="left" w:pos="426"/>
        </w:tabs>
        <w:spacing w:line="360" w:lineRule="auto"/>
        <w:ind w:firstLine="420" w:firstLineChars="200"/>
        <w:jc w:val="left"/>
        <w:rPr>
          <w:rFonts w:eastAsiaTheme="minorEastAsia"/>
          <w:kern w:val="0"/>
          <w:szCs w:val="21"/>
        </w:rPr>
      </w:pPr>
      <w:r>
        <w:rPr>
          <w:rFonts w:eastAsiaTheme="minorEastAsia"/>
          <w:kern w:val="0"/>
          <w:szCs w:val="21"/>
        </w:rPr>
        <w:t>H为C类基金份额每日应计提的销售服务费</w:t>
      </w:r>
    </w:p>
    <w:p>
      <w:pPr>
        <w:tabs>
          <w:tab w:val="left" w:pos="426"/>
        </w:tabs>
        <w:spacing w:line="360" w:lineRule="auto"/>
        <w:ind w:firstLine="420" w:firstLineChars="200"/>
        <w:jc w:val="left"/>
        <w:rPr>
          <w:rFonts w:eastAsiaTheme="minorEastAsia"/>
          <w:kern w:val="0"/>
          <w:szCs w:val="21"/>
        </w:rPr>
      </w:pPr>
      <w:r>
        <w:rPr>
          <w:rFonts w:eastAsiaTheme="minorEastAsia"/>
          <w:kern w:val="0"/>
          <w:szCs w:val="21"/>
        </w:rPr>
        <w:t>E为C类基金份额前一日基金资产净值</w:t>
      </w:r>
    </w:p>
    <w:p w:rsidR="001548F9" w:rsidRPr="0072541E" w:rsidP="0072541E">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基金销售服务费每日计算，逐日累计至每月月末，按月支付，经基金管理人与基金托管人双方核对无误后，基金托管人按照与基金管理人协商一致的方式于次月前2个工作日内从基金财产中一次性支取。若遇法定节假日、公休假等，支付日期顺延。</w:t>
      </w:r>
    </w:p>
    <w:p w:rsidR="001548F9" w:rsidRPr="0045565B" w:rsidP="0072541E">
      <w:pPr>
        <w:spacing w:before="312" w:beforeLines="100" w:line="360" w:lineRule="auto"/>
        <w:rPr>
          <w:rFonts w:eastAsiaTheme="minorEastAsia"/>
          <w:b/>
          <w:bCs/>
          <w:color w:val="000000"/>
          <w:szCs w:val="21"/>
        </w:rPr>
      </w:pPr>
      <w:r w:rsidRPr="0045565B">
        <w:rPr>
          <w:rFonts w:eastAsiaTheme="minorEastAsia"/>
          <w:b/>
          <w:bCs/>
          <w:color w:val="000000"/>
          <w:kern w:val="0"/>
          <w:szCs w:val="21"/>
        </w:rPr>
        <w:t xml:space="preserve">6.4.8.3 </w:t>
      </w:r>
      <w:r w:rsidRPr="0045565B">
        <w:rPr>
          <w:rFonts w:eastAsiaTheme="minorEastAsia"/>
          <w:b/>
          <w:bCs/>
          <w:color w:val="000000"/>
          <w:szCs w:val="21"/>
        </w:rPr>
        <w:t>与关联方进行银行间同业市场的债券</w:t>
      </w:r>
      <w:r w:rsidRPr="0045565B">
        <w:rPr>
          <w:rFonts w:eastAsiaTheme="minorEastAsia"/>
          <w:b/>
          <w:bCs/>
          <w:color w:val="000000"/>
          <w:szCs w:val="21"/>
        </w:rPr>
        <w:t>(</w:t>
      </w:r>
      <w:r w:rsidRPr="0045565B">
        <w:rPr>
          <w:rFonts w:eastAsiaTheme="minorEastAsia"/>
          <w:b/>
          <w:bCs/>
          <w:color w:val="000000"/>
          <w:szCs w:val="21"/>
        </w:rPr>
        <w:t>含回购</w:t>
      </w:r>
      <w:r w:rsidRPr="0045565B">
        <w:rPr>
          <w:rFonts w:eastAsiaTheme="minorEastAsia"/>
          <w:b/>
          <w:bCs/>
          <w:color w:val="000000"/>
          <w:szCs w:val="21"/>
        </w:rPr>
        <w:t>)</w:t>
      </w:r>
      <w:r w:rsidRPr="0045565B">
        <w:rPr>
          <w:rFonts w:eastAsiaTheme="minorEastAsia"/>
          <w:b/>
          <w:bCs/>
          <w:color w:val="000000"/>
          <w:szCs w:val="21"/>
        </w:rPr>
        <w:t>交易</w:t>
      </w:r>
    </w:p>
    <w:p w:rsidR="001548F9" w:rsidRPr="0072541E" w:rsidP="0072541E">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本基金本报告期内及上年度可比期间未与关联方进行银行间同业市场的债券(含回购)交易。</w:t>
      </w:r>
    </w:p>
    <w:p w:rsidR="001548F9" w:rsidRPr="0045565B" w:rsidP="0072541E">
      <w:pPr>
        <w:spacing w:before="312" w:beforeLines="100" w:line="360" w:lineRule="auto"/>
        <w:jc w:val="left"/>
        <w:rPr>
          <w:rFonts w:eastAsiaTheme="minorEastAsia"/>
          <w:b/>
          <w:bCs/>
          <w:color w:val="000000"/>
          <w:szCs w:val="21"/>
        </w:rPr>
      </w:pPr>
      <w:r w:rsidRPr="0045565B">
        <w:rPr>
          <w:rFonts w:eastAsiaTheme="minorEastAsia"/>
          <w:b/>
          <w:bCs/>
          <w:color w:val="000000"/>
          <w:kern w:val="0"/>
          <w:szCs w:val="21"/>
        </w:rPr>
        <w:t xml:space="preserve">6.4.8.4 </w:t>
      </w:r>
      <w:r w:rsidRPr="0045565B">
        <w:rPr>
          <w:rFonts w:eastAsiaTheme="minorEastAsia"/>
          <w:b/>
          <w:bCs/>
          <w:color w:val="000000"/>
          <w:szCs w:val="21"/>
        </w:rPr>
        <w:t>各关联方投资本基金的情况</w:t>
      </w:r>
    </w:p>
    <w:p w:rsidR="001548F9" w:rsidRPr="0045565B" w:rsidP="001F7147">
      <w:pPr>
        <w:adjustRightInd w:val="0"/>
        <w:snapToGrid w:val="0"/>
        <w:spacing w:line="360" w:lineRule="auto"/>
        <w:jc w:val="left"/>
        <w:rPr>
          <w:rFonts w:eastAsiaTheme="minorEastAsia"/>
          <w:b/>
          <w:bCs/>
          <w:color w:val="000000"/>
          <w:szCs w:val="21"/>
        </w:rPr>
      </w:pPr>
      <w:r w:rsidRPr="0045565B">
        <w:rPr>
          <w:rFonts w:eastAsiaTheme="minorEastAsia"/>
          <w:b/>
          <w:bCs/>
          <w:color w:val="000000"/>
          <w:kern w:val="0"/>
          <w:szCs w:val="21"/>
        </w:rPr>
        <w:t xml:space="preserve">6.4.8.4.1 </w:t>
      </w:r>
      <w:r w:rsidRPr="0045565B">
        <w:rPr>
          <w:rFonts w:eastAsiaTheme="minorEastAsia"/>
          <w:b/>
          <w:bCs/>
          <w:color w:val="000000"/>
          <w:szCs w:val="21"/>
        </w:rPr>
        <w:t>报告期内基金管理人运用固有资金投资本基金的情况</w:t>
      </w:r>
    </w:p>
    <w:p w:rsidR="001548F9" w:rsidRPr="0072541E" w:rsidP="0072541E">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本基金本报告期内及上年度可比期间基金管理人未运用固有资金投资本基金。</w:t>
      </w:r>
    </w:p>
    <w:p w:rsidR="001548F9" w:rsidRPr="0045565B" w:rsidP="0072541E">
      <w:pPr>
        <w:adjustRightInd w:val="0"/>
        <w:snapToGrid w:val="0"/>
        <w:spacing w:before="312" w:beforeLines="100" w:line="360" w:lineRule="auto"/>
        <w:rPr>
          <w:rFonts w:eastAsiaTheme="minorEastAsia"/>
          <w:b/>
          <w:bCs/>
          <w:color w:val="000000"/>
          <w:szCs w:val="21"/>
        </w:rPr>
      </w:pPr>
      <w:r w:rsidRPr="0045565B">
        <w:rPr>
          <w:rFonts w:eastAsiaTheme="minorEastAsia"/>
          <w:b/>
          <w:bCs/>
          <w:color w:val="000000"/>
          <w:kern w:val="0"/>
          <w:szCs w:val="21"/>
        </w:rPr>
        <w:t xml:space="preserve">6.4.8.4.2 </w:t>
      </w:r>
      <w:r w:rsidRPr="0045565B">
        <w:rPr>
          <w:rFonts w:eastAsiaTheme="minorEastAsia"/>
          <w:b/>
          <w:bCs/>
          <w:color w:val="000000"/>
          <w:szCs w:val="21"/>
        </w:rPr>
        <w:t>报告期末除基金管理人之外的其他关联方投资本基金的情况</w:t>
      </w:r>
    </w:p>
    <w:p w:rsidR="00105388" w:rsidRPr="0045565B" w:rsidP="001F7147">
      <w:pPr>
        <w:adjustRightInd w:val="0"/>
        <w:snapToGrid w:val="0"/>
        <w:spacing w:line="360" w:lineRule="auto"/>
        <w:rPr>
          <w:rFonts w:eastAsiaTheme="minorEastAsia"/>
          <w:b/>
          <w:bCs/>
          <w:color w:val="000000"/>
          <w:szCs w:val="21"/>
        </w:rPr>
      </w:pPr>
      <w:r w:rsidRPr="0045565B">
        <w:rPr>
          <w:rFonts w:eastAsiaTheme="minorEastAsia"/>
          <w:szCs w:val="21"/>
        </w:rPr>
        <w:t>金鹰医疗健康股票A</w:t>
      </w:r>
    </w:p>
    <w:p w:rsidR="008C10DC" w:rsidRPr="0045565B" w:rsidP="0072541E">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本报告期末及上年度末无除基金管理人之外的其他关联方投资本基金的情况。</w:t>
      </w:r>
      <w:r w:rsidRPr="0045565B" w:rsidR="00105388">
        <w:rPr>
          <w:rFonts w:eastAsiaTheme="minorEastAsia"/>
          <w:kern w:val="0"/>
          <w:szCs w:val="21"/>
        </w:rPr>
        <w:t>、</w:t>
      </w:r>
    </w:p>
    <w:p w:rsidR="00105388" w:rsidRPr="0045565B" w:rsidP="00105388">
      <w:pPr>
        <w:adjustRightInd w:val="0"/>
        <w:snapToGrid w:val="0"/>
        <w:spacing w:line="288" w:lineRule="auto"/>
        <w:rPr>
          <w:rFonts w:eastAsiaTheme="minorEastAsia"/>
          <w:b/>
          <w:bCs/>
          <w:color w:val="000000"/>
          <w:szCs w:val="21"/>
        </w:rPr>
      </w:pPr>
      <w:r w:rsidRPr="0045565B">
        <w:rPr>
          <w:rFonts w:eastAsiaTheme="minorEastAsia"/>
          <w:szCs w:val="21"/>
        </w:rPr>
        <w:t>金鹰医疗健康股票C</w:t>
      </w:r>
    </w:p>
    <w:p w:rsidR="008C10DC" w:rsidRPr="0045565B" w:rsidP="0072541E">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本报告期末及上年度末无除基金管理人之外的其他关联方投资本基金的情况。</w:t>
      </w:r>
    </w:p>
    <w:p w:rsidR="001548F9" w:rsidRPr="0045565B" w:rsidP="0072541E">
      <w:pPr>
        <w:spacing w:before="312" w:beforeLines="100" w:line="360" w:lineRule="auto"/>
        <w:jc w:val="left"/>
        <w:rPr>
          <w:rFonts w:eastAsiaTheme="minorEastAsia"/>
          <w:b/>
          <w:bCs/>
          <w:color w:val="000000"/>
          <w:szCs w:val="21"/>
        </w:rPr>
      </w:pPr>
      <w:r w:rsidRPr="0045565B">
        <w:rPr>
          <w:rFonts w:eastAsiaTheme="minorEastAsia"/>
          <w:b/>
          <w:bCs/>
          <w:color w:val="000000"/>
          <w:kern w:val="0"/>
          <w:szCs w:val="21"/>
        </w:rPr>
        <w:t xml:space="preserve">6.4.8.5 </w:t>
      </w:r>
      <w:r w:rsidRPr="0045565B">
        <w:rPr>
          <w:rFonts w:eastAsiaTheme="minorEastAsia"/>
          <w:b/>
          <w:bCs/>
          <w:color w:val="000000"/>
          <w:szCs w:val="21"/>
        </w:rPr>
        <w:t>由关联方保管的银行存款余额及当期产生的利息收入</w:t>
      </w:r>
    </w:p>
    <w:p w:rsidR="001548F9" w:rsidRPr="0045565B" w:rsidP="008971E9">
      <w:pPr>
        <w:autoSpaceDE w:val="0"/>
        <w:autoSpaceDN w:val="0"/>
        <w:adjustRightInd w:val="0"/>
        <w:spacing w:before="29" w:line="288" w:lineRule="auto"/>
        <w:ind w:left="15" w:right="210"/>
        <w:jc w:val="right"/>
        <w:rPr>
          <w:rFonts w:eastAsiaTheme="minorEastAsia"/>
          <w:color w:val="000000"/>
          <w:kern w:val="0"/>
          <w:szCs w:val="21"/>
        </w:rPr>
      </w:pPr>
      <w:r w:rsidRPr="0045565B">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1417"/>
        <w:gridCol w:w="1736"/>
        <w:gridCol w:w="1383"/>
        <w:gridCol w:w="1770"/>
      </w:tblGrid>
      <w:tr w:rsidTr="003C0ECA">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2694" w:type="dxa"/>
            <w:vMerge w:val="restart"/>
            <w:vAlign w:val="center"/>
          </w:tcPr>
          <w:p w:rsidR="00300128" w:rsidRPr="0045565B" w:rsidP="003C0ECA">
            <w:pPr>
              <w:spacing w:line="360" w:lineRule="auto"/>
              <w:jc w:val="center"/>
              <w:rPr>
                <w:rFonts w:eastAsiaTheme="minorEastAsia"/>
                <w:color w:val="000000"/>
                <w:szCs w:val="21"/>
              </w:rPr>
            </w:pPr>
            <w:r w:rsidRPr="0045565B">
              <w:rPr>
                <w:rFonts w:eastAsiaTheme="minorEastAsia"/>
                <w:color w:val="000000"/>
                <w:szCs w:val="21"/>
              </w:rPr>
              <w:t>关联方名称</w:t>
            </w:r>
          </w:p>
        </w:tc>
        <w:tc>
          <w:tcPr>
            <w:tcW w:w="3153" w:type="dxa"/>
            <w:gridSpan w:val="2"/>
          </w:tcPr>
          <w:p w:rsidR="00300128" w:rsidRPr="0045565B" w:rsidP="003C0ECA">
            <w:pPr>
              <w:spacing w:line="360" w:lineRule="auto"/>
              <w:jc w:val="center"/>
              <w:rPr>
                <w:rFonts w:eastAsiaTheme="minorEastAsia"/>
                <w:color w:val="000000"/>
                <w:szCs w:val="21"/>
              </w:rPr>
            </w:pPr>
            <w:r w:rsidRPr="0045565B">
              <w:rPr>
                <w:rFonts w:eastAsiaTheme="minorEastAsia"/>
                <w:color w:val="000000"/>
                <w:szCs w:val="21"/>
              </w:rPr>
              <w:t>本期</w:t>
            </w:r>
          </w:p>
          <w:p w:rsidR="00300128" w:rsidRPr="0045565B" w:rsidP="003C0ECA">
            <w:pPr>
              <w:widowControl/>
              <w:autoSpaceDE w:val="0"/>
              <w:autoSpaceDN w:val="0"/>
              <w:spacing w:line="360" w:lineRule="auto"/>
              <w:ind w:right="-15"/>
              <w:jc w:val="center"/>
              <w:textAlignment w:val="bottom"/>
              <w:rPr>
                <w:rFonts w:eastAsiaTheme="minorEastAsia"/>
                <w:color w:val="000000"/>
                <w:szCs w:val="21"/>
              </w:rPr>
            </w:pPr>
            <w:r w:rsidRPr="0045565B">
              <w:rPr>
                <w:rFonts w:eastAsiaTheme="minorEastAsia"/>
                <w:color w:val="000000"/>
                <w:szCs w:val="21"/>
              </w:rPr>
              <w:t>2019年1月1日</w:t>
            </w:r>
            <w:r w:rsidRPr="0045565B">
              <w:rPr>
                <w:rFonts w:eastAsiaTheme="minorEastAsia"/>
                <w:color w:val="000000"/>
                <w:szCs w:val="21"/>
              </w:rPr>
              <w:t>至</w:t>
            </w:r>
            <w:r w:rsidRPr="0045565B">
              <w:rPr>
                <w:rFonts w:eastAsiaTheme="minorEastAsia"/>
                <w:color w:val="000000"/>
                <w:szCs w:val="21"/>
              </w:rPr>
              <w:t>2019年6月30日</w:t>
            </w:r>
          </w:p>
        </w:tc>
        <w:tc>
          <w:tcPr>
            <w:tcW w:w="3153" w:type="dxa"/>
            <w:gridSpan w:val="2"/>
          </w:tcPr>
          <w:p w:rsidR="00300128" w:rsidRPr="0045565B" w:rsidP="003C0ECA">
            <w:pPr>
              <w:spacing w:line="360" w:lineRule="auto"/>
              <w:jc w:val="center"/>
              <w:rPr>
                <w:rFonts w:eastAsiaTheme="minorEastAsia"/>
                <w:color w:val="000000"/>
                <w:szCs w:val="21"/>
              </w:rPr>
            </w:pPr>
            <w:r w:rsidRPr="0045565B">
              <w:rPr>
                <w:rFonts w:eastAsiaTheme="minorEastAsia"/>
                <w:color w:val="000000"/>
                <w:szCs w:val="21"/>
              </w:rPr>
              <w:t>上年度可比期间</w:t>
            </w:r>
          </w:p>
          <w:p w:rsidR="00300128" w:rsidRPr="0045565B" w:rsidP="00CB3E85">
            <w:pPr>
              <w:widowControl/>
              <w:autoSpaceDE w:val="0"/>
              <w:autoSpaceDN w:val="0"/>
              <w:spacing w:line="360" w:lineRule="auto"/>
              <w:ind w:right="-15"/>
              <w:jc w:val="center"/>
              <w:textAlignment w:val="bottom"/>
              <w:rPr>
                <w:rFonts w:eastAsiaTheme="minorEastAsia"/>
                <w:color w:val="000000"/>
                <w:kern w:val="0"/>
                <w:szCs w:val="21"/>
              </w:rPr>
            </w:pPr>
            <w:r w:rsidRPr="0045565B">
              <w:rPr>
                <w:rFonts w:eastAsiaTheme="minorEastAsia"/>
                <w:color w:val="000000"/>
                <w:szCs w:val="21"/>
              </w:rPr>
              <w:t>2018年4月13日（基金合同生效日）至2018年6月30日</w:t>
            </w:r>
          </w:p>
        </w:tc>
      </w:tr>
      <w:tr w:rsidTr="003C0ECA">
        <w:tblPrEx>
          <w:tblW w:w="0" w:type="auto"/>
          <w:tblInd w:w="108" w:type="dxa"/>
          <w:tblLayout w:type="fixed"/>
          <w:tblLook w:val="00A0"/>
        </w:tblPrEx>
        <w:tc>
          <w:tcPr>
            <w:tcW w:w="2694" w:type="dxa"/>
            <w:vMerge/>
            <w:vAlign w:val="center"/>
          </w:tcPr>
          <w:p w:rsidR="00300128" w:rsidRPr="0045565B" w:rsidP="003C0ECA">
            <w:pPr>
              <w:widowControl/>
              <w:spacing w:line="360" w:lineRule="auto"/>
              <w:jc w:val="left"/>
              <w:rPr>
                <w:rFonts w:eastAsiaTheme="minorEastAsia"/>
                <w:color w:val="000000"/>
                <w:szCs w:val="21"/>
              </w:rPr>
            </w:pPr>
          </w:p>
        </w:tc>
        <w:tc>
          <w:tcPr>
            <w:tcW w:w="1417" w:type="dxa"/>
            <w:vAlign w:val="center"/>
          </w:tcPr>
          <w:p w:rsidR="00300128" w:rsidRPr="0045565B" w:rsidP="003C0ECA">
            <w:pPr>
              <w:spacing w:line="360" w:lineRule="auto"/>
              <w:jc w:val="center"/>
              <w:rPr>
                <w:rFonts w:eastAsiaTheme="minorEastAsia"/>
                <w:color w:val="000000"/>
                <w:szCs w:val="21"/>
              </w:rPr>
            </w:pPr>
            <w:r w:rsidRPr="0045565B">
              <w:rPr>
                <w:rFonts w:eastAsiaTheme="minorEastAsia"/>
                <w:color w:val="000000"/>
                <w:szCs w:val="21"/>
              </w:rPr>
              <w:t>期末余额</w:t>
            </w:r>
          </w:p>
        </w:tc>
        <w:tc>
          <w:tcPr>
            <w:tcW w:w="1736" w:type="dxa"/>
            <w:vAlign w:val="center"/>
          </w:tcPr>
          <w:p w:rsidR="00300128" w:rsidRPr="0045565B" w:rsidP="003C0ECA">
            <w:pPr>
              <w:spacing w:line="360" w:lineRule="auto"/>
              <w:jc w:val="center"/>
              <w:rPr>
                <w:rFonts w:eastAsiaTheme="minorEastAsia"/>
                <w:color w:val="000000"/>
                <w:szCs w:val="21"/>
              </w:rPr>
            </w:pPr>
            <w:r w:rsidRPr="0045565B">
              <w:rPr>
                <w:rFonts w:eastAsiaTheme="minorEastAsia"/>
                <w:color w:val="000000"/>
                <w:szCs w:val="21"/>
              </w:rPr>
              <w:t>当期利息收入</w:t>
            </w:r>
          </w:p>
        </w:tc>
        <w:tc>
          <w:tcPr>
            <w:tcW w:w="1383" w:type="dxa"/>
            <w:vAlign w:val="center"/>
          </w:tcPr>
          <w:p w:rsidR="00300128" w:rsidRPr="0045565B" w:rsidP="003C0ECA">
            <w:pPr>
              <w:spacing w:line="360" w:lineRule="auto"/>
              <w:jc w:val="center"/>
              <w:rPr>
                <w:rFonts w:eastAsiaTheme="minorEastAsia"/>
                <w:color w:val="000000"/>
                <w:szCs w:val="21"/>
              </w:rPr>
            </w:pPr>
            <w:r w:rsidRPr="0045565B">
              <w:rPr>
                <w:rFonts w:eastAsiaTheme="minorEastAsia"/>
                <w:color w:val="000000"/>
                <w:szCs w:val="21"/>
              </w:rPr>
              <w:t>期末余额</w:t>
            </w:r>
          </w:p>
        </w:tc>
        <w:tc>
          <w:tcPr>
            <w:tcW w:w="1770" w:type="dxa"/>
            <w:vAlign w:val="center"/>
          </w:tcPr>
          <w:p w:rsidR="00300128" w:rsidRPr="0045565B" w:rsidP="003C0ECA">
            <w:pPr>
              <w:spacing w:line="360" w:lineRule="auto"/>
              <w:jc w:val="center"/>
              <w:rPr>
                <w:rFonts w:eastAsiaTheme="minorEastAsia"/>
                <w:color w:val="000000"/>
                <w:szCs w:val="21"/>
              </w:rPr>
            </w:pPr>
            <w:r w:rsidRPr="0045565B">
              <w:rPr>
                <w:rFonts w:eastAsiaTheme="minorEastAsia"/>
                <w:color w:val="000000"/>
                <w:szCs w:val="21"/>
              </w:rPr>
              <w:t>当期利息收入</w:t>
            </w:r>
          </w:p>
        </w:tc>
      </w:tr>
      <w:tr>
        <w:tblPrEx>
          <w:tblW w:w="0" w:type="auto"/>
          <w:tblInd w:w="108" w:type="dxa"/>
          <w:tblLayout w:type="fixed"/>
          <w:tblLook w:val="00A0"/>
        </w:tblPrEx>
        <w:tc>
          <w:tcPr>
            <w:vAlign w:val="center"/>
          </w:tcPr>
          <w:p>
            <w:pPr>
              <w:jc w:val="center"/>
            </w:pPr>
            <w:r>
              <w:rPr>
                <w:rFonts w:eastAsiaTheme="minorEastAsia"/>
                <w:szCs w:val="21"/>
              </w:rPr>
              <w:t>交通银行股份有限公司</w:t>
            </w:r>
          </w:p>
        </w:tc>
        <w:tc>
          <w:tcPr>
            <w:vAlign w:val="center"/>
          </w:tcPr>
          <w:p>
            <w:pPr>
              <w:jc w:val="right"/>
            </w:pPr>
            <w:r>
              <w:rPr>
                <w:rFonts w:eastAsiaTheme="minorEastAsia"/>
                <w:szCs w:val="21"/>
              </w:rPr>
              <w:t>2,838,282.95</w:t>
            </w:r>
          </w:p>
        </w:tc>
        <w:tc>
          <w:tcPr>
            <w:vAlign w:val="center"/>
          </w:tcPr>
          <w:p>
            <w:pPr>
              <w:jc w:val="right"/>
            </w:pPr>
            <w:r>
              <w:rPr>
                <w:rFonts w:eastAsiaTheme="minorEastAsia"/>
                <w:szCs w:val="21"/>
              </w:rPr>
              <w:t>6,594.53</w:t>
            </w:r>
          </w:p>
        </w:tc>
        <w:tc>
          <w:tcPr>
            <w:vAlign w:val="center"/>
          </w:tcPr>
          <w:p>
            <w:pPr>
              <w:jc w:val="right"/>
            </w:pPr>
            <w:r>
              <w:rPr>
                <w:rFonts w:eastAsiaTheme="minorEastAsia"/>
                <w:szCs w:val="21"/>
              </w:rPr>
              <w:t>2,159,626.76</w:t>
            </w:r>
          </w:p>
        </w:tc>
        <w:tc>
          <w:tcPr>
            <w:vAlign w:val="center"/>
          </w:tcPr>
          <w:p>
            <w:pPr>
              <w:jc w:val="right"/>
            </w:pPr>
            <w:r>
              <w:rPr>
                <w:rFonts w:eastAsiaTheme="minorEastAsia"/>
                <w:szCs w:val="21"/>
              </w:rPr>
              <w:t>4,070.91</w:t>
            </w:r>
          </w:p>
        </w:tc>
      </w:tr>
    </w:tbl>
    <w:p w:rsidR="001548F9" w:rsidRPr="0072541E" w:rsidP="0072541E">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注：本基金清算备付金通过托管银行备付金账户转存于中国证券登记结算公司等结算账户；本报告期末清算备付金期末余额0.00元，清算备付金利息收入349.96元；上年度可比期间清算备付金期末余额9,090.91元，清算备付金利息收入50.24元。</w:t>
      </w:r>
    </w:p>
    <w:p w:rsidR="00A73CA8" w:rsidRPr="0045565B" w:rsidP="0072541E">
      <w:pPr>
        <w:spacing w:before="312" w:beforeLines="100" w:line="360" w:lineRule="auto"/>
        <w:jc w:val="left"/>
        <w:rPr>
          <w:rFonts w:eastAsiaTheme="minorEastAsia"/>
          <w:b/>
          <w:bCs/>
          <w:color w:val="000000"/>
          <w:szCs w:val="21"/>
        </w:rPr>
      </w:pPr>
      <w:r w:rsidRPr="0045565B">
        <w:rPr>
          <w:rFonts w:eastAsiaTheme="minorEastAsia"/>
          <w:b/>
          <w:bCs/>
          <w:color w:val="000000"/>
          <w:kern w:val="0"/>
          <w:szCs w:val="21"/>
        </w:rPr>
        <w:t xml:space="preserve">6.4.8.6 </w:t>
      </w:r>
      <w:r w:rsidRPr="0045565B">
        <w:rPr>
          <w:rFonts w:eastAsiaTheme="minorEastAsia"/>
          <w:b/>
          <w:bCs/>
          <w:color w:val="000000"/>
          <w:szCs w:val="21"/>
        </w:rPr>
        <w:t>本基金在承销期内参与关联方承销证券的情况</w:t>
      </w:r>
    </w:p>
    <w:p w:rsidR="001548F9" w:rsidRPr="0072541E" w:rsidP="0072541E">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本基金本报告期内及上年度可比期间无在承销期内参与关联方承销证券的情况。</w:t>
      </w:r>
    </w:p>
    <w:p w:rsidR="001548F9" w:rsidRPr="0045565B" w:rsidP="0072541E">
      <w:pPr>
        <w:adjustRightInd w:val="0"/>
        <w:snapToGrid w:val="0"/>
        <w:spacing w:before="312" w:beforeLines="100" w:line="360" w:lineRule="auto"/>
        <w:jc w:val="left"/>
        <w:rPr>
          <w:rFonts w:eastAsiaTheme="minorEastAsia"/>
          <w:b/>
          <w:color w:val="000000"/>
          <w:szCs w:val="21"/>
        </w:rPr>
      </w:pPr>
      <w:r w:rsidRPr="0045565B">
        <w:rPr>
          <w:rFonts w:eastAsiaTheme="minorEastAsia"/>
          <w:b/>
          <w:bCs/>
          <w:color w:val="000000"/>
          <w:kern w:val="0"/>
          <w:szCs w:val="21"/>
        </w:rPr>
        <w:t xml:space="preserve">6.4.8.7 </w:t>
      </w:r>
      <w:r w:rsidRPr="0045565B">
        <w:rPr>
          <w:rFonts w:eastAsiaTheme="minorEastAsia"/>
          <w:b/>
          <w:color w:val="000000"/>
          <w:szCs w:val="21"/>
        </w:rPr>
        <w:t>其他关联交易事项的说明</w:t>
      </w:r>
    </w:p>
    <w:p w:rsidR="00B3659C" w:rsidRPr="00A73188" w:rsidP="00B3659C">
      <w:pPr>
        <w:adjustRightInd w:val="0"/>
        <w:snapToGrid w:val="0"/>
        <w:spacing w:line="360" w:lineRule="auto"/>
        <w:rPr>
          <w:rFonts w:eastAsiaTheme="minorEastAsia"/>
          <w:b/>
          <w:color w:val="000000" w:themeColor="text1"/>
          <w:szCs w:val="21"/>
        </w:rPr>
      </w:pPr>
      <w:r w:rsidRPr="00A73188">
        <w:rPr>
          <w:rFonts w:eastAsiaTheme="minorEastAsia"/>
          <w:b/>
          <w:bCs/>
          <w:color w:val="000000" w:themeColor="text1"/>
          <w:kern w:val="0"/>
          <w:szCs w:val="21"/>
        </w:rPr>
        <w:t>6.4.8.7</w:t>
      </w:r>
      <w:r w:rsidRPr="00A73188">
        <w:rPr>
          <w:rFonts w:eastAsiaTheme="minorEastAsia" w:hint="eastAsia"/>
          <w:b/>
          <w:bCs/>
          <w:color w:val="000000" w:themeColor="text1"/>
          <w:kern w:val="0"/>
          <w:szCs w:val="21"/>
        </w:rPr>
        <w:t xml:space="preserve">.1 </w:t>
      </w:r>
      <w:r w:rsidRPr="00A73188">
        <w:rPr>
          <w:rFonts w:eastAsiaTheme="minorEastAsia"/>
          <w:b/>
          <w:color w:val="000000" w:themeColor="text1"/>
          <w:szCs w:val="21"/>
        </w:rPr>
        <w:t>其他关联交易事项的说明</w:t>
      </w:r>
    </w:p>
    <w:p w:rsidR="00B3659C" w:rsidRPr="00A73188" w:rsidP="00B3659C">
      <w:pPr>
        <w:widowControl/>
        <w:spacing w:line="360" w:lineRule="auto"/>
        <w:ind w:firstLine="420" w:firstLineChars="200"/>
        <w:rPr>
          <w:rFonts w:eastAsiaTheme="minorEastAsia"/>
          <w:color w:val="000000" w:themeColor="text1"/>
          <w:kern w:val="0"/>
          <w:szCs w:val="21"/>
        </w:rPr>
      </w:pPr>
      <w:r w:rsidRPr="00A73188">
        <w:rPr>
          <w:rFonts w:eastAsiaTheme="minorEastAsia"/>
          <w:color w:val="000000" w:themeColor="text1"/>
          <w:kern w:val="0"/>
          <w:szCs w:val="21"/>
        </w:rPr>
        <w:t>本基金报告期内无其他关联交易事项。</w:t>
      </w:r>
    </w:p>
    <w:p w:rsidR="00B3659C" w:rsidRPr="00A73188" w:rsidP="00B3659C">
      <w:pPr>
        <w:adjustRightInd w:val="0"/>
        <w:snapToGrid w:val="0"/>
        <w:spacing w:before="156" w:beforeLines="50" w:line="360" w:lineRule="auto"/>
        <w:rPr>
          <w:rFonts w:eastAsiaTheme="minorEastAsia"/>
          <w:b/>
          <w:bCs/>
          <w:color w:val="000000" w:themeColor="text1"/>
          <w:kern w:val="0"/>
          <w:szCs w:val="21"/>
        </w:rPr>
      </w:pPr>
      <w:r w:rsidRPr="00A73188">
        <w:rPr>
          <w:rFonts w:eastAsiaTheme="minorEastAsia"/>
          <w:b/>
          <w:bCs/>
          <w:color w:val="000000" w:themeColor="text1"/>
          <w:kern w:val="0"/>
          <w:szCs w:val="21"/>
        </w:rPr>
        <w:t>6.4.8.7</w:t>
      </w:r>
      <w:r w:rsidRPr="00A73188">
        <w:rPr>
          <w:rFonts w:eastAsiaTheme="minorEastAsia" w:hint="eastAsia"/>
          <w:b/>
          <w:bCs/>
          <w:color w:val="000000" w:themeColor="text1"/>
          <w:kern w:val="0"/>
          <w:szCs w:val="21"/>
        </w:rPr>
        <w:t xml:space="preserve">.2 </w:t>
      </w:r>
      <w:r w:rsidRPr="00A73188">
        <w:rPr>
          <w:rFonts w:eastAsiaTheme="minorEastAsia" w:hint="eastAsia"/>
          <w:b/>
          <w:bCs/>
          <w:color w:val="000000" w:themeColor="text1"/>
          <w:kern w:val="0"/>
          <w:szCs w:val="21"/>
        </w:rPr>
        <w:t>当期交易及持有基金管理人以及管理人关联方所管理基金产生的费用</w:t>
      </w:r>
    </w:p>
    <w:p w:rsidR="001548F9" w:rsidRPr="0045565B" w:rsidP="0072541E">
      <w:pPr>
        <w:spacing w:line="360" w:lineRule="auto"/>
        <w:ind w:firstLine="420" w:firstLineChars="200"/>
        <w:rPr>
          <w:rFonts w:eastAsiaTheme="minorEastAsia"/>
          <w:color w:val="000000"/>
          <w:szCs w:val="21"/>
        </w:rPr>
      </w:pPr>
      <w:r w:rsidRPr="00A73188">
        <w:rPr>
          <w:rFonts w:eastAsiaTheme="minorEastAsia"/>
          <w:color w:val="000000" w:themeColor="text1"/>
          <w:kern w:val="0"/>
          <w:szCs w:val="21"/>
        </w:rPr>
        <w:t>本基金本报告期内及上年度可比期间未投资基金。</w:t>
      </w:r>
    </w:p>
    <w:p w:rsidR="001548F9" w:rsidRPr="0045565B" w:rsidP="0072541E">
      <w:pPr>
        <w:adjustRightInd w:val="0"/>
        <w:snapToGrid w:val="0"/>
        <w:spacing w:before="312" w:beforeLines="100" w:line="360" w:lineRule="auto"/>
        <w:jc w:val="left"/>
        <w:rPr>
          <w:rFonts w:eastAsiaTheme="minorEastAsia"/>
          <w:b/>
          <w:bCs/>
          <w:color w:val="000000"/>
          <w:szCs w:val="21"/>
        </w:rPr>
      </w:pPr>
      <w:r w:rsidRPr="0045565B">
        <w:rPr>
          <w:rFonts w:eastAsiaTheme="minorEastAsia"/>
          <w:b/>
          <w:bCs/>
          <w:color w:val="000000"/>
          <w:kern w:val="0"/>
          <w:szCs w:val="21"/>
        </w:rPr>
        <w:t xml:space="preserve">6.4.9 </w:t>
      </w:r>
      <w:r w:rsidRPr="0045565B">
        <w:rPr>
          <w:rFonts w:eastAsiaTheme="minorEastAsia"/>
          <w:b/>
          <w:bCs/>
          <w:color w:val="000000"/>
          <w:szCs w:val="21"/>
        </w:rPr>
        <w:t>期末（</w:t>
      </w:r>
      <w:r w:rsidRPr="0045565B">
        <w:rPr>
          <w:rFonts w:eastAsiaTheme="minorEastAsia"/>
          <w:b/>
          <w:bCs/>
          <w:color w:val="000000"/>
          <w:szCs w:val="21"/>
        </w:rPr>
        <w:t>2019年6月30日</w:t>
      </w:r>
      <w:r w:rsidRPr="0045565B">
        <w:rPr>
          <w:rFonts w:eastAsiaTheme="minorEastAsia"/>
          <w:b/>
          <w:bCs/>
          <w:color w:val="000000"/>
          <w:szCs w:val="21"/>
        </w:rPr>
        <w:t>）本基金持有的流通受限证券</w:t>
      </w:r>
    </w:p>
    <w:p w:rsidR="001548F9" w:rsidRPr="0045565B" w:rsidP="001F7147">
      <w:pPr>
        <w:spacing w:line="360" w:lineRule="auto"/>
        <w:jc w:val="left"/>
        <w:rPr>
          <w:rFonts w:eastAsiaTheme="minorEastAsia"/>
          <w:b/>
          <w:bCs/>
          <w:color w:val="000000"/>
          <w:szCs w:val="21"/>
        </w:rPr>
      </w:pPr>
      <w:r w:rsidRPr="0045565B">
        <w:rPr>
          <w:rFonts w:eastAsiaTheme="minorEastAsia"/>
          <w:b/>
          <w:bCs/>
          <w:color w:val="000000"/>
          <w:kern w:val="0"/>
          <w:szCs w:val="21"/>
        </w:rPr>
        <w:t xml:space="preserve">6.4.9.1 </w:t>
      </w:r>
      <w:r w:rsidRPr="0045565B">
        <w:rPr>
          <w:rFonts w:eastAsiaTheme="minorEastAsia"/>
          <w:b/>
          <w:bCs/>
          <w:color w:val="000000"/>
          <w:szCs w:val="21"/>
        </w:rPr>
        <w:t>因认购新发</w:t>
      </w:r>
      <w:r w:rsidRPr="0045565B">
        <w:rPr>
          <w:rFonts w:eastAsiaTheme="minorEastAsia"/>
          <w:b/>
          <w:bCs/>
          <w:color w:val="000000"/>
          <w:szCs w:val="21"/>
        </w:rPr>
        <w:t>/</w:t>
      </w:r>
      <w:r w:rsidRPr="0045565B">
        <w:rPr>
          <w:rFonts w:eastAsiaTheme="minorEastAsia"/>
          <w:b/>
          <w:bCs/>
          <w:color w:val="000000"/>
          <w:szCs w:val="21"/>
        </w:rPr>
        <w:t>增发证券而于期末持有的流通受限证券</w:t>
      </w:r>
    </w:p>
    <w:p w:rsidR="001548F9" w:rsidRPr="0072541E" w:rsidP="0072541E">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本基金本报告期末无因认购新发/增发证券而持有的流通受限证券。</w:t>
      </w:r>
    </w:p>
    <w:p w:rsidR="001548F9" w:rsidRPr="0045565B" w:rsidP="0072541E">
      <w:pPr>
        <w:spacing w:before="312" w:beforeLines="100" w:line="360" w:lineRule="auto"/>
        <w:rPr>
          <w:rFonts w:eastAsiaTheme="minorEastAsia"/>
          <w:b/>
          <w:bCs/>
          <w:color w:val="000000"/>
          <w:szCs w:val="21"/>
        </w:rPr>
      </w:pPr>
      <w:r w:rsidRPr="0045565B">
        <w:rPr>
          <w:rFonts w:eastAsiaTheme="minorEastAsia"/>
          <w:b/>
          <w:bCs/>
          <w:color w:val="000000"/>
          <w:kern w:val="0"/>
          <w:szCs w:val="21"/>
        </w:rPr>
        <w:t xml:space="preserve">6.4.9.2 </w:t>
      </w:r>
      <w:r w:rsidRPr="0045565B">
        <w:rPr>
          <w:rFonts w:eastAsiaTheme="minorEastAsia"/>
          <w:b/>
          <w:bCs/>
          <w:color w:val="000000"/>
          <w:szCs w:val="21"/>
        </w:rPr>
        <w:t>期末持有的暂时停牌等流通受限股票</w:t>
      </w:r>
    </w:p>
    <w:p w:rsidR="001548F9" w:rsidRPr="0072541E" w:rsidP="0072541E">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本基金本报告期末无持有暂时停牌等流通受限股票。</w:t>
      </w:r>
    </w:p>
    <w:p w:rsidR="001548F9" w:rsidRPr="0045565B" w:rsidP="0072541E">
      <w:pPr>
        <w:spacing w:before="312" w:beforeLines="100" w:line="360" w:lineRule="auto"/>
        <w:rPr>
          <w:rFonts w:eastAsiaTheme="minorEastAsia"/>
          <w:b/>
          <w:bCs/>
          <w:color w:val="000000"/>
          <w:szCs w:val="21"/>
        </w:rPr>
      </w:pPr>
      <w:r w:rsidRPr="0045565B">
        <w:rPr>
          <w:rFonts w:eastAsiaTheme="minorEastAsia"/>
          <w:b/>
          <w:bCs/>
          <w:color w:val="000000"/>
          <w:kern w:val="0"/>
          <w:szCs w:val="21"/>
        </w:rPr>
        <w:t xml:space="preserve">6.4.9.3 </w:t>
      </w:r>
      <w:r w:rsidRPr="0045565B">
        <w:rPr>
          <w:rFonts w:eastAsiaTheme="minorEastAsia"/>
          <w:b/>
          <w:bCs/>
          <w:color w:val="000000"/>
          <w:szCs w:val="21"/>
        </w:rPr>
        <w:t>期末债券正回购交易中作为抵押的债券</w:t>
      </w:r>
    </w:p>
    <w:p w:rsidR="001548F9" w:rsidRPr="0045565B" w:rsidP="001F7147">
      <w:pPr>
        <w:spacing w:line="360" w:lineRule="auto"/>
        <w:rPr>
          <w:rFonts w:eastAsiaTheme="minorEastAsia"/>
          <w:b/>
          <w:bCs/>
          <w:color w:val="000000"/>
          <w:szCs w:val="21"/>
        </w:rPr>
      </w:pPr>
      <w:r w:rsidRPr="0045565B">
        <w:rPr>
          <w:rFonts w:eastAsiaTheme="minorEastAsia"/>
          <w:b/>
          <w:bCs/>
          <w:color w:val="000000"/>
          <w:kern w:val="0"/>
          <w:szCs w:val="21"/>
        </w:rPr>
        <w:t xml:space="preserve">6.4.9.3.1 </w:t>
      </w:r>
      <w:r w:rsidRPr="0045565B">
        <w:rPr>
          <w:rFonts w:eastAsiaTheme="minorEastAsia"/>
          <w:b/>
          <w:bCs/>
          <w:color w:val="000000"/>
          <w:szCs w:val="21"/>
        </w:rPr>
        <w:t>银行间市场债券正回购</w:t>
      </w:r>
    </w:p>
    <w:p w:rsidR="001548F9" w:rsidRPr="0045565B" w:rsidP="001F7147">
      <w:pPr>
        <w:spacing w:line="360" w:lineRule="auto"/>
        <w:ind w:firstLine="420" w:firstLineChars="200"/>
        <w:rPr>
          <w:rFonts w:eastAsiaTheme="minorEastAsia"/>
          <w:color w:val="000000"/>
          <w:szCs w:val="21"/>
        </w:rPr>
      </w:pPr>
      <w:r w:rsidRPr="0045565B">
        <w:rPr>
          <w:rFonts w:eastAsiaTheme="minorEastAsia"/>
          <w:color w:val="000000"/>
          <w:szCs w:val="21"/>
        </w:rPr>
        <w:t>本基金本报告期末无从事银行间市场债券正回购交易形成的卖出回购证券款余额，无抵押债券。</w:t>
      </w:r>
    </w:p>
    <w:p w:rsidR="001548F9" w:rsidRPr="0045565B" w:rsidP="0072541E">
      <w:pPr>
        <w:spacing w:before="312" w:beforeLines="100" w:line="360" w:lineRule="auto"/>
        <w:rPr>
          <w:rFonts w:eastAsiaTheme="minorEastAsia"/>
          <w:b/>
          <w:bCs/>
          <w:color w:val="000000"/>
          <w:szCs w:val="21"/>
        </w:rPr>
      </w:pPr>
      <w:r w:rsidRPr="0045565B">
        <w:rPr>
          <w:rFonts w:eastAsiaTheme="minorEastAsia"/>
          <w:b/>
          <w:bCs/>
          <w:color w:val="000000"/>
          <w:kern w:val="0"/>
          <w:szCs w:val="21"/>
        </w:rPr>
        <w:t xml:space="preserve">6.4.9.3.2 </w:t>
      </w:r>
      <w:r w:rsidRPr="0045565B">
        <w:rPr>
          <w:rFonts w:eastAsiaTheme="minorEastAsia"/>
          <w:b/>
          <w:bCs/>
          <w:color w:val="000000"/>
          <w:szCs w:val="21"/>
        </w:rPr>
        <w:t>交易所市场债券正回购</w:t>
      </w:r>
    </w:p>
    <w:p w:rsidR="001548F9" w:rsidRPr="0072541E" w:rsidP="0072541E">
      <w:pPr>
        <w:spacing w:line="360" w:lineRule="auto"/>
        <w:ind w:firstLine="420" w:firstLineChars="200"/>
        <w:rPr>
          <w:rFonts w:eastAsiaTheme="minorEastAsia"/>
          <w:color w:val="000000"/>
          <w:szCs w:val="21"/>
        </w:rPr>
      </w:pPr>
      <w:r w:rsidRPr="0045565B">
        <w:rPr>
          <w:rFonts w:eastAsiaTheme="minorEastAsia"/>
          <w:color w:val="000000"/>
          <w:szCs w:val="21"/>
        </w:rPr>
        <w:t>本基金本报告期末无从事证券交易所债券正回购交易形成的卖出回购证券款余额，无抵押债券。</w:t>
      </w:r>
    </w:p>
    <w:p w:rsidR="001548F9" w:rsidRPr="0045565B" w:rsidP="0072541E">
      <w:pPr>
        <w:spacing w:before="312" w:beforeLines="100" w:line="360" w:lineRule="auto"/>
        <w:rPr>
          <w:rFonts w:eastAsiaTheme="minorEastAsia"/>
          <w:b/>
          <w:color w:val="000000"/>
          <w:szCs w:val="21"/>
        </w:rPr>
      </w:pPr>
      <w:r w:rsidRPr="0045565B">
        <w:rPr>
          <w:rFonts w:eastAsiaTheme="minorEastAsia"/>
          <w:b/>
          <w:bCs/>
          <w:color w:val="000000"/>
          <w:kern w:val="0"/>
          <w:szCs w:val="21"/>
        </w:rPr>
        <w:t xml:space="preserve">6.4.10 </w:t>
      </w:r>
      <w:r w:rsidRPr="0045565B">
        <w:rPr>
          <w:rFonts w:eastAsiaTheme="minorEastAsia"/>
          <w:b/>
          <w:color w:val="000000"/>
          <w:szCs w:val="21"/>
        </w:rPr>
        <w:t>有助于理解和分析会计报表需要说明的其他事项</w:t>
      </w:r>
    </w:p>
    <w:p>
      <w:pPr>
        <w:spacing w:line="360" w:lineRule="auto"/>
        <w:ind w:firstLine="420" w:firstLineChars="200"/>
        <w:rPr>
          <w:rFonts w:eastAsiaTheme="minorEastAsia"/>
          <w:color w:val="000000"/>
          <w:szCs w:val="21"/>
        </w:rPr>
      </w:pPr>
      <w:r>
        <w:rPr>
          <w:rFonts w:eastAsiaTheme="minorEastAsia"/>
          <w:color w:val="000000"/>
          <w:szCs w:val="21"/>
        </w:rPr>
        <w:t>1.  公允价值</w:t>
      </w:r>
    </w:p>
    <w:p>
      <w:pPr>
        <w:spacing w:line="360" w:lineRule="auto"/>
        <w:ind w:firstLine="420" w:firstLineChars="200"/>
        <w:rPr>
          <w:rFonts w:eastAsiaTheme="minorEastAsia"/>
          <w:color w:val="000000"/>
          <w:szCs w:val="21"/>
        </w:rPr>
      </w:pPr>
      <w:r>
        <w:rPr>
          <w:rFonts w:eastAsiaTheme="minorEastAsia"/>
          <w:color w:val="000000"/>
          <w:szCs w:val="21"/>
        </w:rPr>
        <w:t>(1) 不以公允价值计量的金融工具</w:t>
      </w:r>
    </w:p>
    <w:p>
      <w:pPr>
        <w:spacing w:line="360" w:lineRule="auto"/>
        <w:ind w:firstLine="420" w:firstLineChars="200"/>
        <w:rPr>
          <w:rFonts w:eastAsiaTheme="minorEastAsia"/>
          <w:color w:val="000000"/>
          <w:szCs w:val="21"/>
        </w:rPr>
      </w:pPr>
      <w:r>
        <w:rPr>
          <w:rFonts w:eastAsiaTheme="minorEastAsia"/>
          <w:color w:val="000000"/>
          <w:szCs w:val="21"/>
        </w:rPr>
        <w:t>不以公允价值计量的金融资产和负债主要包括应收款项和其他金融负债，其账面价值接近于公允价值。</w:t>
      </w:r>
    </w:p>
    <w:p>
      <w:pPr>
        <w:spacing w:line="360" w:lineRule="auto"/>
        <w:ind w:firstLine="420" w:firstLineChars="200"/>
        <w:rPr>
          <w:rFonts w:eastAsiaTheme="minorEastAsia"/>
          <w:color w:val="000000"/>
          <w:szCs w:val="21"/>
        </w:rPr>
      </w:pPr>
      <w:r>
        <w:rPr>
          <w:rFonts w:eastAsiaTheme="minorEastAsia"/>
          <w:color w:val="000000"/>
          <w:szCs w:val="21"/>
        </w:rPr>
        <w:t>(2) 以公允价值计量的金融工具</w:t>
      </w:r>
    </w:p>
    <w:p>
      <w:pPr>
        <w:spacing w:line="360" w:lineRule="auto"/>
        <w:ind w:firstLine="420" w:firstLineChars="200"/>
        <w:rPr>
          <w:rFonts w:eastAsiaTheme="minorEastAsia"/>
          <w:color w:val="000000"/>
          <w:szCs w:val="21"/>
        </w:rPr>
      </w:pPr>
      <w:r>
        <w:rPr>
          <w:rFonts w:eastAsiaTheme="minorEastAsia"/>
          <w:color w:val="000000"/>
          <w:szCs w:val="21"/>
        </w:rPr>
        <w:t>(i) 金融工具公允价值计量的方法</w:t>
      </w:r>
    </w:p>
    <w:p>
      <w:pPr>
        <w:spacing w:line="360" w:lineRule="auto"/>
        <w:ind w:firstLine="420" w:firstLineChars="200"/>
        <w:rPr>
          <w:rFonts w:eastAsiaTheme="minorEastAsia"/>
          <w:color w:val="000000"/>
          <w:szCs w:val="21"/>
        </w:rPr>
      </w:pPr>
      <w:r>
        <w:rPr>
          <w:rFonts w:eastAsiaTheme="minorEastAsia"/>
          <w:color w:val="000000"/>
          <w:szCs w:val="21"/>
        </w:rPr>
        <w:t>本基金对以公允价值进行后续计量的金融资产与金融负债根据对计量整体具有重大意义的最低层级的输入值确定公允价值计量层级。公允价值计量层次可分为：</w:t>
      </w:r>
    </w:p>
    <w:p>
      <w:pPr>
        <w:spacing w:line="360" w:lineRule="auto"/>
        <w:ind w:firstLine="420" w:firstLineChars="200"/>
        <w:rPr>
          <w:rFonts w:eastAsiaTheme="minorEastAsia"/>
          <w:color w:val="000000"/>
          <w:szCs w:val="21"/>
        </w:rPr>
      </w:pPr>
      <w:r>
        <w:rPr>
          <w:rFonts w:eastAsiaTheme="minorEastAsia"/>
          <w:color w:val="000000"/>
          <w:szCs w:val="21"/>
        </w:rPr>
        <w:t>第一层次输入值是在计量日能够取得的相同资产或负债在活跃市场上未经调整的报价。</w:t>
      </w:r>
    </w:p>
    <w:p>
      <w:pPr>
        <w:spacing w:line="360" w:lineRule="auto"/>
        <w:ind w:firstLine="420" w:firstLineChars="200"/>
        <w:rPr>
          <w:rFonts w:eastAsiaTheme="minorEastAsia"/>
          <w:color w:val="000000"/>
          <w:szCs w:val="21"/>
        </w:rPr>
      </w:pPr>
      <w:r>
        <w:rPr>
          <w:rFonts w:eastAsiaTheme="minorEastAsia"/>
          <w:color w:val="000000"/>
          <w:szCs w:val="21"/>
        </w:rPr>
        <w:t>第二层次输入值是除第一层次输入值外相关资产或负债直接或间接可观察的输入值。</w:t>
      </w:r>
    </w:p>
    <w:p>
      <w:pPr>
        <w:spacing w:line="360" w:lineRule="auto"/>
        <w:ind w:firstLine="420" w:firstLineChars="200"/>
        <w:rPr>
          <w:rFonts w:eastAsiaTheme="minorEastAsia"/>
          <w:color w:val="000000"/>
          <w:szCs w:val="21"/>
        </w:rPr>
      </w:pPr>
      <w:r>
        <w:rPr>
          <w:rFonts w:eastAsiaTheme="minorEastAsia"/>
          <w:color w:val="000000"/>
          <w:szCs w:val="21"/>
        </w:rPr>
        <w:t>第三层次输入值是相关资产或负债的不可观察输入值。</w:t>
      </w:r>
    </w:p>
    <w:p>
      <w:pPr>
        <w:spacing w:line="360" w:lineRule="auto"/>
        <w:ind w:firstLine="420" w:firstLineChars="200"/>
        <w:rPr>
          <w:rFonts w:eastAsiaTheme="minorEastAsia"/>
          <w:color w:val="000000"/>
          <w:szCs w:val="21"/>
        </w:rPr>
      </w:pPr>
      <w:r>
        <w:rPr>
          <w:rFonts w:eastAsiaTheme="minorEastAsia"/>
          <w:color w:val="000000"/>
          <w:szCs w:val="21"/>
        </w:rPr>
        <w:t>(ii)</w:t>
        <w:tab/>
        <w:t xml:space="preserve">各层级金融工具公允价值 </w:t>
      </w:r>
    </w:p>
    <w:p>
      <w:pPr>
        <w:spacing w:line="360" w:lineRule="auto"/>
        <w:ind w:firstLine="420" w:firstLineChars="200"/>
        <w:rPr>
          <w:rFonts w:eastAsiaTheme="minorEastAsia"/>
          <w:color w:val="000000"/>
          <w:szCs w:val="21"/>
        </w:rPr>
      </w:pPr>
      <w:r>
        <w:rPr>
          <w:rFonts w:eastAsiaTheme="minorEastAsia"/>
          <w:color w:val="000000"/>
          <w:szCs w:val="21"/>
        </w:rPr>
        <w:t xml:space="preserve">于2019年6月30日，本基金持有的以公允价值计量的金融工具中属于第一层级的余额为13,366,011.50元，无属于第二层级和第三层级的金额。 </w:t>
      </w:r>
    </w:p>
    <w:p>
      <w:pPr>
        <w:spacing w:line="360" w:lineRule="auto"/>
        <w:ind w:firstLine="420" w:firstLineChars="200"/>
        <w:rPr>
          <w:rFonts w:eastAsiaTheme="minorEastAsia"/>
          <w:color w:val="000000"/>
          <w:szCs w:val="21"/>
        </w:rPr>
      </w:pPr>
      <w:r>
        <w:rPr>
          <w:rFonts w:eastAsiaTheme="minorEastAsia"/>
          <w:color w:val="000000"/>
          <w:szCs w:val="21"/>
        </w:rPr>
        <w:t>(iii) 公允价值所属层级间的重大变动</w:t>
      </w:r>
    </w:p>
    <w:p>
      <w:pPr>
        <w:spacing w:line="360" w:lineRule="auto"/>
        <w:ind w:firstLine="420" w:firstLineChars="200"/>
        <w:rPr>
          <w:rFonts w:eastAsiaTheme="minorEastAsia"/>
          <w:color w:val="000000"/>
          <w:szCs w:val="21"/>
        </w:rPr>
      </w:pPr>
      <w:r>
        <w:rPr>
          <w:rFonts w:eastAsiaTheme="minorEastAsia"/>
          <w:color w:val="000000"/>
          <w:szCs w:val="21"/>
        </w:rPr>
        <w:t>本基金本报告期内无公允价值所属层级间的重大变动。</w:t>
      </w:r>
    </w:p>
    <w:p>
      <w:pPr>
        <w:spacing w:line="360" w:lineRule="auto"/>
        <w:ind w:firstLine="420" w:firstLineChars="200"/>
        <w:rPr>
          <w:rFonts w:eastAsiaTheme="minorEastAsia"/>
          <w:color w:val="000000"/>
          <w:szCs w:val="21"/>
        </w:rPr>
      </w:pPr>
      <w:r>
        <w:rPr>
          <w:rFonts w:eastAsiaTheme="minorEastAsia"/>
          <w:color w:val="000000"/>
          <w:szCs w:val="21"/>
        </w:rPr>
        <w:t>对于证券交易所上市的证券，若出现重大事项停牌、交易不活跃、或属于非公开发行等情况，本基金分别于停牌日至交易恢复活跃日期间、交易不活跃期间及限售期间将相关证券的公允价值列入第二层级或第三层级，上述事项解除时将相关证券的公允价值列入第一层级。</w:t>
      </w:r>
    </w:p>
    <w:p w:rsidR="001548F9" w:rsidRPr="0045565B" w:rsidP="001F7147">
      <w:pPr>
        <w:spacing w:line="360" w:lineRule="auto"/>
        <w:ind w:firstLine="420" w:firstLineChars="200"/>
        <w:rPr>
          <w:rFonts w:eastAsiaTheme="minorEastAsia"/>
          <w:color w:val="000000"/>
          <w:szCs w:val="21"/>
        </w:rPr>
      </w:pPr>
      <w:r w:rsidRPr="0045565B">
        <w:rPr>
          <w:rFonts w:eastAsiaTheme="minorEastAsia"/>
          <w:color w:val="000000"/>
          <w:szCs w:val="21"/>
        </w:rPr>
        <w:t>2. 除公允价值外，截至资产负债表日本基金无需要说明的其他重要事项。</w:t>
      </w:r>
    </w:p>
    <w:p w:rsidR="001548F9" w:rsidRPr="0045565B" w:rsidP="0025572E">
      <w:pPr>
        <w:pStyle w:val="Heading1"/>
        <w:keepNext/>
        <w:keepLines/>
        <w:widowControl w:val="0"/>
        <w:spacing w:before="312" w:beforeLines="100" w:after="312" w:afterLines="100" w:line="360" w:lineRule="auto"/>
        <w:jc w:val="center"/>
        <w:rPr>
          <w:rFonts w:eastAsiaTheme="minorEastAsia"/>
          <w:b/>
          <w:bCs/>
          <w:sz w:val="21"/>
          <w:szCs w:val="21"/>
          <w:lang w:val="en-US"/>
        </w:rPr>
      </w:pPr>
      <w:bookmarkStart w:id="52" w:name="_Toc331410101"/>
      <w:bookmarkStart w:id="53" w:name="_Toc225498272"/>
      <w:r w:rsidRPr="0045565B">
        <w:rPr>
          <w:rFonts w:eastAsiaTheme="minorEastAsia"/>
          <w:b/>
          <w:bCs/>
          <w:sz w:val="21"/>
          <w:szCs w:val="21"/>
          <w:lang w:val="en-US"/>
        </w:rPr>
        <w:t xml:space="preserve">7  </w:t>
      </w:r>
      <w:r w:rsidRPr="0045565B">
        <w:rPr>
          <w:rFonts w:eastAsiaTheme="minorEastAsia"/>
          <w:b/>
          <w:bCs/>
          <w:sz w:val="21"/>
          <w:szCs w:val="21"/>
          <w:lang w:val="en-US"/>
        </w:rPr>
        <w:t>投资组合报告</w:t>
      </w:r>
      <w:bookmarkEnd w:id="52"/>
      <w:bookmarkEnd w:id="53"/>
    </w:p>
    <w:p w:rsidR="001548F9" w:rsidRPr="0045565B" w:rsidP="001F7147">
      <w:pPr>
        <w:pStyle w:val="Heading2"/>
        <w:spacing w:before="0" w:after="0"/>
        <w:rPr>
          <w:rFonts w:ascii="Times New Roman" w:hAnsi="Times New Roman" w:eastAsiaTheme="minorEastAsia"/>
          <w:kern w:val="0"/>
          <w:sz w:val="21"/>
          <w:szCs w:val="21"/>
        </w:rPr>
      </w:pPr>
      <w:bookmarkStart w:id="54" w:name="_Toc331410102"/>
      <w:bookmarkStart w:id="55" w:name="_Toc225498273"/>
      <w:r w:rsidRPr="0045565B">
        <w:rPr>
          <w:rFonts w:ascii="Times New Roman" w:hAnsi="Times New Roman" w:eastAsiaTheme="minorEastAsia"/>
          <w:bCs w:val="0"/>
          <w:color w:val="000000"/>
          <w:kern w:val="0"/>
          <w:sz w:val="21"/>
          <w:szCs w:val="21"/>
        </w:rPr>
        <w:t xml:space="preserve">7.1 </w:t>
      </w:r>
      <w:r w:rsidRPr="0045565B">
        <w:rPr>
          <w:rFonts w:ascii="Times New Roman" w:hAnsi="Times New Roman" w:eastAsiaTheme="minorEastAsia"/>
          <w:kern w:val="0"/>
          <w:sz w:val="21"/>
          <w:szCs w:val="21"/>
        </w:rPr>
        <w:t>期末基金资产组合情况</w:t>
      </w:r>
      <w:bookmarkEnd w:id="54"/>
      <w:bookmarkEnd w:id="55"/>
    </w:p>
    <w:p w:rsidR="001548F9" w:rsidRPr="0045565B" w:rsidP="008971E9">
      <w:pPr>
        <w:autoSpaceDE w:val="0"/>
        <w:autoSpaceDN w:val="0"/>
        <w:adjustRightInd w:val="0"/>
        <w:spacing w:before="29" w:line="288" w:lineRule="auto"/>
        <w:ind w:left="15"/>
        <w:jc w:val="right"/>
        <w:rPr>
          <w:rFonts w:eastAsiaTheme="minorEastAsia"/>
          <w:color w:val="000000"/>
          <w:kern w:val="0"/>
          <w:szCs w:val="21"/>
        </w:rPr>
      </w:pPr>
      <w:r w:rsidRPr="0045565B">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2748"/>
        <w:gridCol w:w="2551"/>
        <w:gridCol w:w="2621"/>
      </w:tblGrid>
      <w:tr w:rsidTr="000E05F4">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080" w:type="dxa"/>
            <w:vAlign w:val="center"/>
          </w:tcPr>
          <w:p w:rsidR="00B3659C" w:rsidRPr="00A73188" w:rsidP="000E05F4">
            <w:pPr>
              <w:spacing w:line="276" w:lineRule="auto"/>
              <w:jc w:val="center"/>
              <w:rPr>
                <w:rFonts w:eastAsiaTheme="minorEastAsia"/>
                <w:color w:val="000000" w:themeColor="text1"/>
                <w:szCs w:val="21"/>
              </w:rPr>
            </w:pPr>
            <w:r w:rsidRPr="00A73188">
              <w:rPr>
                <w:rFonts w:eastAsiaTheme="minorEastAsia"/>
                <w:color w:val="000000" w:themeColor="text1"/>
                <w:szCs w:val="21"/>
              </w:rPr>
              <w:t>序号</w:t>
            </w:r>
          </w:p>
        </w:tc>
        <w:tc>
          <w:tcPr>
            <w:tcW w:w="2748" w:type="dxa"/>
            <w:vAlign w:val="center"/>
          </w:tcPr>
          <w:p w:rsidR="00B3659C" w:rsidRPr="00A73188" w:rsidP="000E05F4">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B3659C" w:rsidRPr="00A73188" w:rsidP="000E05F4">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B3659C" w:rsidRPr="00A73188" w:rsidP="000E05F4">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Tr="000E05F4">
        <w:tblPrEx>
          <w:tblW w:w="0" w:type="auto"/>
          <w:tblInd w:w="108" w:type="dxa"/>
          <w:tblLayout w:type="fixed"/>
          <w:tblLook w:val="00A0"/>
        </w:tblPrEx>
        <w:tc>
          <w:tcPr>
            <w:tcW w:w="1080" w:type="dxa"/>
            <w:vAlign w:val="center"/>
          </w:tcPr>
          <w:p w:rsidR="00B3659C" w:rsidRPr="00A73188" w:rsidP="000E05F4">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B3659C" w:rsidRPr="00A73188" w:rsidP="000E05F4">
            <w:pPr>
              <w:spacing w:line="276" w:lineRule="auto"/>
              <w:ind w:left="105" w:leftChars="50"/>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B3659C" w:rsidRPr="00A73188"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13,366,011.50</w:t>
            </w:r>
          </w:p>
        </w:tc>
        <w:tc>
          <w:tcPr>
            <w:tcW w:w="2621" w:type="dxa"/>
            <w:vAlign w:val="center"/>
          </w:tcPr>
          <w:p w:rsidR="00B3659C" w:rsidRPr="00A73188"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82.09</w:t>
            </w:r>
          </w:p>
        </w:tc>
      </w:tr>
      <w:tr w:rsidTr="000E05F4">
        <w:tblPrEx>
          <w:tblW w:w="0" w:type="auto"/>
          <w:tblInd w:w="108" w:type="dxa"/>
          <w:tblLayout w:type="fixed"/>
          <w:tblLook w:val="00A0"/>
        </w:tblPrEx>
        <w:tc>
          <w:tcPr>
            <w:tcW w:w="1080" w:type="dxa"/>
            <w:vAlign w:val="center"/>
          </w:tcPr>
          <w:p w:rsidR="00B3659C" w:rsidRPr="00A73188" w:rsidP="000E05F4">
            <w:pPr>
              <w:spacing w:line="276" w:lineRule="auto"/>
              <w:jc w:val="center"/>
              <w:rPr>
                <w:rFonts w:eastAsiaTheme="minorEastAsia"/>
                <w:color w:val="000000" w:themeColor="text1"/>
                <w:szCs w:val="21"/>
              </w:rPr>
            </w:pPr>
          </w:p>
        </w:tc>
        <w:tc>
          <w:tcPr>
            <w:tcW w:w="2748" w:type="dxa"/>
            <w:vAlign w:val="center"/>
          </w:tcPr>
          <w:p w:rsidR="00B3659C" w:rsidRPr="00A73188" w:rsidP="000E05F4">
            <w:pPr>
              <w:spacing w:line="276" w:lineRule="auto"/>
              <w:ind w:left="105" w:leftChars="50"/>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B3659C" w:rsidRPr="00A73188"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13,366,011.50</w:t>
            </w:r>
          </w:p>
        </w:tc>
        <w:tc>
          <w:tcPr>
            <w:tcW w:w="2621" w:type="dxa"/>
            <w:vAlign w:val="center"/>
          </w:tcPr>
          <w:p w:rsidR="00B3659C" w:rsidRPr="00A73188"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82.09</w:t>
            </w:r>
          </w:p>
        </w:tc>
      </w:tr>
      <w:tr w:rsidTr="000E05F4">
        <w:tblPrEx>
          <w:tblW w:w="0" w:type="auto"/>
          <w:tblInd w:w="108" w:type="dxa"/>
          <w:tblLayout w:type="fixed"/>
          <w:tblLook w:val="00A0"/>
        </w:tblPrEx>
        <w:tc>
          <w:tcPr>
            <w:tcW w:w="1080" w:type="dxa"/>
            <w:vAlign w:val="center"/>
          </w:tcPr>
          <w:p w:rsidR="00B3659C" w:rsidRPr="00A73188" w:rsidP="000E05F4">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B3659C" w:rsidRPr="00A73188" w:rsidP="000E05F4">
            <w:pPr>
              <w:spacing w:line="276" w:lineRule="auto"/>
              <w:ind w:left="105" w:leftChars="50"/>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B3659C" w:rsidRPr="00A73188" w:rsidP="000E05F4">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B3659C" w:rsidRPr="00A73188" w:rsidP="000E05F4">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Tr="000E05F4">
        <w:tblPrEx>
          <w:tblW w:w="0" w:type="auto"/>
          <w:tblInd w:w="108" w:type="dxa"/>
          <w:tblLayout w:type="fixed"/>
          <w:tblLook w:val="00A0"/>
        </w:tblPrEx>
        <w:tc>
          <w:tcPr>
            <w:tcW w:w="1080" w:type="dxa"/>
            <w:vAlign w:val="center"/>
          </w:tcPr>
          <w:p w:rsidR="00B3659C" w:rsidRPr="00A73188" w:rsidP="000E05F4">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B3659C" w:rsidRPr="00A73188" w:rsidP="000E05F4">
            <w:pPr>
              <w:spacing w:line="276" w:lineRule="auto"/>
              <w:ind w:left="105" w:leftChars="50"/>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B3659C" w:rsidRPr="00A73188"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3659C" w:rsidRPr="00A73188"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Tr="000E05F4">
        <w:tblPrEx>
          <w:tblW w:w="0" w:type="auto"/>
          <w:tblInd w:w="108" w:type="dxa"/>
          <w:tblLayout w:type="fixed"/>
          <w:tblLook w:val="00A0"/>
        </w:tblPrEx>
        <w:tc>
          <w:tcPr>
            <w:tcW w:w="1080" w:type="dxa"/>
            <w:vAlign w:val="center"/>
          </w:tcPr>
          <w:p w:rsidR="00B3659C" w:rsidRPr="00A73188" w:rsidP="000E05F4">
            <w:pPr>
              <w:spacing w:line="276" w:lineRule="auto"/>
              <w:jc w:val="center"/>
              <w:rPr>
                <w:rFonts w:eastAsiaTheme="minorEastAsia"/>
                <w:color w:val="000000" w:themeColor="text1"/>
                <w:szCs w:val="21"/>
              </w:rPr>
            </w:pPr>
          </w:p>
        </w:tc>
        <w:tc>
          <w:tcPr>
            <w:tcW w:w="2748" w:type="dxa"/>
            <w:vAlign w:val="center"/>
          </w:tcPr>
          <w:p w:rsidR="00B3659C" w:rsidRPr="00A73188" w:rsidP="000E05F4">
            <w:pPr>
              <w:spacing w:line="276" w:lineRule="auto"/>
              <w:ind w:left="105" w:leftChars="50"/>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B3659C" w:rsidRPr="00A73188"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3659C" w:rsidRPr="00A73188"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Tr="000E05F4">
        <w:tblPrEx>
          <w:tblW w:w="0" w:type="auto"/>
          <w:tblInd w:w="108" w:type="dxa"/>
          <w:tblLayout w:type="fixed"/>
          <w:tblLook w:val="00A0"/>
        </w:tblPrEx>
        <w:tc>
          <w:tcPr>
            <w:tcW w:w="1080" w:type="dxa"/>
            <w:vAlign w:val="center"/>
          </w:tcPr>
          <w:p w:rsidR="00B3659C" w:rsidRPr="00A73188" w:rsidP="000E05F4">
            <w:pPr>
              <w:spacing w:line="276" w:lineRule="auto"/>
              <w:jc w:val="center"/>
              <w:rPr>
                <w:rFonts w:eastAsiaTheme="minorEastAsia"/>
                <w:color w:val="000000" w:themeColor="text1"/>
                <w:szCs w:val="21"/>
              </w:rPr>
            </w:pPr>
          </w:p>
        </w:tc>
        <w:tc>
          <w:tcPr>
            <w:tcW w:w="2748" w:type="dxa"/>
            <w:vAlign w:val="center"/>
          </w:tcPr>
          <w:p w:rsidR="00B3659C" w:rsidRPr="00A73188" w:rsidP="000E05F4">
            <w:pPr>
              <w:spacing w:line="276" w:lineRule="auto"/>
              <w:ind w:left="105" w:firstLine="630" w:leftChars="50" w:firstLineChars="30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B3659C" w:rsidRPr="00A73188"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3659C" w:rsidRPr="00A73188"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Tr="000E05F4">
        <w:tblPrEx>
          <w:tblW w:w="0" w:type="auto"/>
          <w:tblInd w:w="108" w:type="dxa"/>
          <w:tblLayout w:type="fixed"/>
          <w:tblLook w:val="00A0"/>
        </w:tblPrEx>
        <w:tc>
          <w:tcPr>
            <w:tcW w:w="1080" w:type="dxa"/>
            <w:vAlign w:val="center"/>
          </w:tcPr>
          <w:p w:rsidR="00B3659C" w:rsidRPr="00A73188" w:rsidP="000E05F4">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B3659C" w:rsidRPr="00A73188" w:rsidP="000E05F4">
            <w:pPr>
              <w:spacing w:line="276" w:lineRule="auto"/>
              <w:ind w:left="105" w:leftChars="50"/>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B3659C" w:rsidRPr="00A73188"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3659C" w:rsidRPr="00A73188"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Tr="000E05F4">
        <w:tblPrEx>
          <w:tblW w:w="0" w:type="auto"/>
          <w:tblInd w:w="108" w:type="dxa"/>
          <w:tblLayout w:type="fixed"/>
          <w:tblLook w:val="00A0"/>
        </w:tblPrEx>
        <w:tc>
          <w:tcPr>
            <w:tcW w:w="1080" w:type="dxa"/>
            <w:vAlign w:val="center"/>
          </w:tcPr>
          <w:p w:rsidR="00B3659C" w:rsidRPr="00A73188" w:rsidP="000E05F4">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B3659C" w:rsidRPr="00A73188" w:rsidP="000E05F4">
            <w:pPr>
              <w:spacing w:line="276" w:lineRule="auto"/>
              <w:ind w:left="105" w:leftChars="50"/>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B3659C" w:rsidRPr="00A73188"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3659C" w:rsidRPr="00A73188"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Tr="000E05F4">
        <w:tblPrEx>
          <w:tblW w:w="0" w:type="auto"/>
          <w:tblInd w:w="108" w:type="dxa"/>
          <w:tblLayout w:type="fixed"/>
          <w:tblLook w:val="00A0"/>
        </w:tblPrEx>
        <w:tc>
          <w:tcPr>
            <w:tcW w:w="1080" w:type="dxa"/>
            <w:vAlign w:val="center"/>
          </w:tcPr>
          <w:p w:rsidR="00B3659C" w:rsidRPr="00A73188" w:rsidP="000E05F4">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B3659C" w:rsidRPr="00A73188" w:rsidP="000E05F4">
            <w:pPr>
              <w:spacing w:line="276" w:lineRule="auto"/>
              <w:ind w:left="105" w:leftChars="50"/>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B3659C" w:rsidRPr="00A73188"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3659C" w:rsidRPr="00A73188"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Tr="000E05F4">
        <w:tblPrEx>
          <w:tblW w:w="0" w:type="auto"/>
          <w:tblInd w:w="108" w:type="dxa"/>
          <w:tblLayout w:type="fixed"/>
          <w:tblLook w:val="00A0"/>
        </w:tblPrEx>
        <w:tc>
          <w:tcPr>
            <w:tcW w:w="1080" w:type="dxa"/>
            <w:vAlign w:val="center"/>
          </w:tcPr>
          <w:p w:rsidR="00B3659C" w:rsidRPr="00A73188" w:rsidP="000E05F4">
            <w:pPr>
              <w:spacing w:line="276" w:lineRule="auto"/>
              <w:jc w:val="center"/>
              <w:rPr>
                <w:rFonts w:eastAsiaTheme="minorEastAsia"/>
                <w:color w:val="000000" w:themeColor="text1"/>
                <w:szCs w:val="21"/>
              </w:rPr>
            </w:pPr>
          </w:p>
        </w:tc>
        <w:tc>
          <w:tcPr>
            <w:tcW w:w="2748" w:type="dxa"/>
            <w:vAlign w:val="center"/>
          </w:tcPr>
          <w:p w:rsidR="00B3659C" w:rsidRPr="00A73188" w:rsidP="000E05F4">
            <w:pPr>
              <w:spacing w:line="276" w:lineRule="auto"/>
              <w:ind w:left="105" w:leftChars="50"/>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B3659C" w:rsidRPr="00A73188"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3659C" w:rsidRPr="00A73188"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Tr="000E05F4">
        <w:tblPrEx>
          <w:tblW w:w="0" w:type="auto"/>
          <w:tblInd w:w="108" w:type="dxa"/>
          <w:tblLayout w:type="fixed"/>
          <w:tblLook w:val="00A0"/>
        </w:tblPrEx>
        <w:tc>
          <w:tcPr>
            <w:tcW w:w="1080" w:type="dxa"/>
            <w:vAlign w:val="center"/>
          </w:tcPr>
          <w:p w:rsidR="00B3659C" w:rsidRPr="00A73188" w:rsidP="000E05F4">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B3659C" w:rsidRPr="00A73188" w:rsidP="000E05F4">
            <w:pPr>
              <w:spacing w:line="276" w:lineRule="auto"/>
              <w:ind w:left="105" w:leftChars="50"/>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B3659C" w:rsidRPr="00A73188"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2,838,282.95</w:t>
            </w:r>
          </w:p>
        </w:tc>
        <w:tc>
          <w:tcPr>
            <w:tcW w:w="2621" w:type="dxa"/>
            <w:vAlign w:val="center"/>
          </w:tcPr>
          <w:p w:rsidR="00B3659C" w:rsidRPr="00A73188"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17.43</w:t>
            </w:r>
          </w:p>
        </w:tc>
      </w:tr>
      <w:tr w:rsidTr="000E05F4">
        <w:tblPrEx>
          <w:tblW w:w="0" w:type="auto"/>
          <w:tblInd w:w="108" w:type="dxa"/>
          <w:tblLayout w:type="fixed"/>
          <w:tblLook w:val="00A0"/>
        </w:tblPrEx>
        <w:tc>
          <w:tcPr>
            <w:tcW w:w="1080" w:type="dxa"/>
            <w:vAlign w:val="center"/>
          </w:tcPr>
          <w:p w:rsidR="00B3659C" w:rsidRPr="00A73188" w:rsidP="000E05F4">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B3659C" w:rsidRPr="00A73188" w:rsidP="000E05F4">
            <w:pPr>
              <w:spacing w:line="276" w:lineRule="auto"/>
              <w:ind w:left="105" w:leftChars="50"/>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B3659C" w:rsidRPr="00A73188" w:rsidP="000E05F4">
            <w:pPr>
              <w:spacing w:line="276" w:lineRule="auto"/>
              <w:jc w:val="right"/>
              <w:rPr>
                <w:rFonts w:eastAsiaTheme="minorEastAsia"/>
                <w:color w:val="000000" w:themeColor="text1"/>
                <w:szCs w:val="21"/>
              </w:rPr>
            </w:pPr>
            <w:r w:rsidRPr="00A73188">
              <w:rPr>
                <w:rFonts w:eastAsiaTheme="minorEastAsia"/>
                <w:color w:val="000000" w:themeColor="text1"/>
                <w:szCs w:val="21"/>
              </w:rPr>
              <w:t>78,680.24</w:t>
            </w:r>
          </w:p>
        </w:tc>
        <w:tc>
          <w:tcPr>
            <w:tcW w:w="2621" w:type="dxa"/>
            <w:vAlign w:val="center"/>
          </w:tcPr>
          <w:p w:rsidR="00B3659C" w:rsidRPr="00A73188" w:rsidP="000E05F4">
            <w:pPr>
              <w:spacing w:line="276" w:lineRule="auto"/>
              <w:jc w:val="right"/>
              <w:rPr>
                <w:rFonts w:eastAsiaTheme="minorEastAsia"/>
                <w:color w:val="000000" w:themeColor="text1"/>
                <w:szCs w:val="21"/>
              </w:rPr>
            </w:pPr>
            <w:r w:rsidRPr="00A73188">
              <w:rPr>
                <w:rFonts w:eastAsiaTheme="minorEastAsia"/>
                <w:color w:val="000000" w:themeColor="text1"/>
                <w:szCs w:val="21"/>
              </w:rPr>
              <w:t>0.48</w:t>
            </w:r>
          </w:p>
        </w:tc>
      </w:tr>
      <w:tr w:rsidTr="000E05F4">
        <w:tblPrEx>
          <w:tblW w:w="0" w:type="auto"/>
          <w:tblInd w:w="108" w:type="dxa"/>
          <w:tblLayout w:type="fixed"/>
          <w:tblLook w:val="00A0"/>
        </w:tblPrEx>
        <w:tc>
          <w:tcPr>
            <w:tcW w:w="1080" w:type="dxa"/>
            <w:vAlign w:val="center"/>
          </w:tcPr>
          <w:p w:rsidR="00B3659C" w:rsidRPr="00A73188" w:rsidP="000E05F4">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B3659C" w:rsidRPr="00A73188" w:rsidP="000E05F4">
            <w:pPr>
              <w:spacing w:line="276" w:lineRule="auto"/>
              <w:ind w:left="105" w:leftChars="50"/>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B3659C" w:rsidRPr="00A73188" w:rsidP="000E05F4">
            <w:pPr>
              <w:spacing w:line="276" w:lineRule="auto"/>
              <w:jc w:val="right"/>
              <w:rPr>
                <w:rFonts w:eastAsiaTheme="minorEastAsia"/>
                <w:color w:val="000000" w:themeColor="text1"/>
                <w:szCs w:val="21"/>
              </w:rPr>
            </w:pPr>
            <w:r w:rsidRPr="00A73188">
              <w:rPr>
                <w:rFonts w:eastAsiaTheme="minorEastAsia"/>
                <w:color w:val="000000" w:themeColor="text1"/>
                <w:szCs w:val="21"/>
              </w:rPr>
              <w:t>16,282,974.69</w:t>
            </w:r>
          </w:p>
        </w:tc>
        <w:tc>
          <w:tcPr>
            <w:tcW w:w="2621" w:type="dxa"/>
            <w:vAlign w:val="center"/>
          </w:tcPr>
          <w:p w:rsidR="00B3659C" w:rsidRPr="00A73188" w:rsidP="000E05F4">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1548F9" w:rsidRPr="0072541E" w:rsidP="007745A3">
      <w:pPr>
        <w:widowControl/>
        <w:spacing w:line="360" w:lineRule="auto"/>
        <w:ind w:firstLine="420" w:firstLineChars="200"/>
        <w:jc w:val="left"/>
        <w:rPr>
          <w:rFonts w:eastAsiaTheme="minorEastAsia"/>
          <w:kern w:val="0"/>
          <w:szCs w:val="21"/>
        </w:rPr>
      </w:pPr>
      <w:r w:rsidRPr="00A73188">
        <w:rPr>
          <w:rFonts w:eastAsiaTheme="minorEastAsia"/>
          <w:color w:val="000000" w:themeColor="text1"/>
          <w:kern w:val="0"/>
          <w:szCs w:val="21"/>
        </w:rPr>
        <w:t>注：其他各项资产包括：交易保证金、应收利息、应收证券清算款、其他应收款、应收申购款、待摊费用。</w:t>
      </w:r>
    </w:p>
    <w:p w:rsidR="001548F9" w:rsidRPr="0045565B" w:rsidP="0072541E">
      <w:pPr>
        <w:pStyle w:val="Heading2"/>
        <w:spacing w:before="312" w:beforeLines="100" w:after="0"/>
        <w:rPr>
          <w:rFonts w:ascii="Times New Roman" w:hAnsi="Times New Roman" w:eastAsiaTheme="minorEastAsia"/>
          <w:kern w:val="0"/>
          <w:sz w:val="21"/>
          <w:szCs w:val="21"/>
        </w:rPr>
      </w:pPr>
      <w:bookmarkStart w:id="56" w:name="_Toc331410103"/>
      <w:bookmarkStart w:id="57" w:name="_Toc225498274"/>
      <w:r w:rsidRPr="0045565B">
        <w:rPr>
          <w:rFonts w:ascii="Times New Roman" w:hAnsi="Times New Roman" w:eastAsiaTheme="minorEastAsia"/>
          <w:kern w:val="0"/>
          <w:sz w:val="21"/>
          <w:szCs w:val="21"/>
        </w:rPr>
        <w:t xml:space="preserve">7.2 </w:t>
      </w:r>
      <w:r w:rsidRPr="0045565B">
        <w:rPr>
          <w:rFonts w:ascii="Times New Roman" w:hAnsi="Times New Roman" w:eastAsiaTheme="minorEastAsia"/>
          <w:kern w:val="0"/>
          <w:sz w:val="21"/>
          <w:szCs w:val="21"/>
        </w:rPr>
        <w:t>期末按行业分类的股票投资组合</w:t>
      </w:r>
      <w:bookmarkEnd w:id="56"/>
      <w:bookmarkEnd w:id="57"/>
    </w:p>
    <w:p w:rsidR="001548F9" w:rsidRPr="0045565B" w:rsidP="008971E9">
      <w:pPr>
        <w:autoSpaceDE w:val="0"/>
        <w:autoSpaceDN w:val="0"/>
        <w:adjustRightInd w:val="0"/>
        <w:spacing w:before="29" w:line="288" w:lineRule="auto"/>
        <w:ind w:left="15"/>
        <w:jc w:val="right"/>
        <w:rPr>
          <w:rFonts w:eastAsiaTheme="minorEastAsia"/>
          <w:color w:val="000000"/>
          <w:kern w:val="0"/>
          <w:szCs w:val="21"/>
        </w:rPr>
      </w:pPr>
      <w:r w:rsidRPr="0045565B">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3600"/>
        <w:gridCol w:w="2160"/>
        <w:gridCol w:w="2160"/>
      </w:tblGrid>
      <w:tr w:rsidTr="007366D1">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080" w:type="dxa"/>
            <w:vAlign w:val="center"/>
          </w:tcPr>
          <w:p w:rsidR="001548F9" w:rsidRPr="0045565B" w:rsidP="00DB5F3B">
            <w:pPr>
              <w:jc w:val="center"/>
              <w:rPr>
                <w:rFonts w:eastAsiaTheme="minorEastAsia"/>
                <w:color w:val="000000"/>
                <w:szCs w:val="21"/>
              </w:rPr>
            </w:pPr>
            <w:r w:rsidRPr="0045565B">
              <w:rPr>
                <w:rFonts w:eastAsiaTheme="minorEastAsia"/>
                <w:color w:val="000000"/>
                <w:szCs w:val="21"/>
              </w:rPr>
              <w:t>代码</w:t>
            </w:r>
          </w:p>
        </w:tc>
        <w:tc>
          <w:tcPr>
            <w:tcW w:w="3600" w:type="dxa"/>
            <w:vAlign w:val="center"/>
          </w:tcPr>
          <w:p w:rsidR="001548F9" w:rsidRPr="0045565B" w:rsidP="007366D1">
            <w:pPr>
              <w:jc w:val="center"/>
              <w:rPr>
                <w:rFonts w:eastAsiaTheme="minorEastAsia"/>
                <w:color w:val="000000"/>
                <w:szCs w:val="21"/>
              </w:rPr>
            </w:pPr>
            <w:r w:rsidRPr="0045565B">
              <w:rPr>
                <w:rFonts w:eastAsiaTheme="minorEastAsia"/>
                <w:color w:val="000000"/>
                <w:szCs w:val="21"/>
              </w:rPr>
              <w:t>行业类别</w:t>
            </w:r>
          </w:p>
        </w:tc>
        <w:tc>
          <w:tcPr>
            <w:tcW w:w="2160" w:type="dxa"/>
            <w:vAlign w:val="center"/>
          </w:tcPr>
          <w:p w:rsidR="001548F9" w:rsidRPr="0045565B" w:rsidP="00DB5F3B">
            <w:pPr>
              <w:jc w:val="center"/>
              <w:rPr>
                <w:rFonts w:eastAsiaTheme="minorEastAsia"/>
                <w:color w:val="000000"/>
                <w:szCs w:val="21"/>
              </w:rPr>
            </w:pPr>
            <w:r w:rsidRPr="0045565B">
              <w:rPr>
                <w:rFonts w:eastAsiaTheme="minorEastAsia"/>
                <w:color w:val="000000"/>
                <w:szCs w:val="21"/>
              </w:rPr>
              <w:t>公允价值</w:t>
            </w:r>
          </w:p>
        </w:tc>
        <w:tc>
          <w:tcPr>
            <w:tcW w:w="2160" w:type="dxa"/>
            <w:vAlign w:val="center"/>
          </w:tcPr>
          <w:p w:rsidR="001548F9" w:rsidRPr="0045565B" w:rsidP="00DB5F3B">
            <w:pPr>
              <w:jc w:val="center"/>
              <w:rPr>
                <w:rFonts w:eastAsiaTheme="minorEastAsia"/>
                <w:color w:val="000000"/>
                <w:szCs w:val="21"/>
              </w:rPr>
            </w:pPr>
            <w:r w:rsidRPr="0045565B">
              <w:rPr>
                <w:rFonts w:eastAsiaTheme="minorEastAsia"/>
                <w:color w:val="000000"/>
                <w:szCs w:val="21"/>
              </w:rPr>
              <w:t>占基金资产净值比例（％）</w:t>
            </w:r>
          </w:p>
        </w:tc>
      </w:tr>
      <w:tr w:rsidTr="00DB5F3B">
        <w:tblPrEx>
          <w:tblW w:w="0" w:type="auto"/>
          <w:tblInd w:w="108" w:type="dxa"/>
          <w:tblLayout w:type="fixed"/>
          <w:tblLook w:val="00A0"/>
        </w:tblPrEx>
        <w:tc>
          <w:tcPr>
            <w:tcW w:w="1080" w:type="dxa"/>
            <w:vAlign w:val="center"/>
          </w:tcPr>
          <w:p w:rsidR="001548F9" w:rsidRPr="0045565B" w:rsidP="00DB5F3B">
            <w:pPr>
              <w:jc w:val="center"/>
              <w:rPr>
                <w:rFonts w:eastAsiaTheme="minorEastAsia"/>
                <w:color w:val="000000"/>
                <w:szCs w:val="21"/>
              </w:rPr>
            </w:pPr>
            <w:r w:rsidRPr="0045565B">
              <w:rPr>
                <w:rFonts w:eastAsiaTheme="minorEastAsia"/>
                <w:szCs w:val="21"/>
              </w:rPr>
              <w:t>A</w:t>
            </w:r>
          </w:p>
        </w:tc>
        <w:tc>
          <w:tcPr>
            <w:tcW w:w="3600" w:type="dxa"/>
            <w:vAlign w:val="center"/>
          </w:tcPr>
          <w:p w:rsidR="001548F9" w:rsidRPr="0045565B" w:rsidP="0086710F">
            <w:pPr>
              <w:rPr>
                <w:rFonts w:eastAsiaTheme="minorEastAsia"/>
                <w:color w:val="000000"/>
                <w:szCs w:val="21"/>
              </w:rPr>
            </w:pPr>
            <w:r w:rsidRPr="0045565B">
              <w:rPr>
                <w:rFonts w:eastAsiaTheme="minorEastAsia"/>
                <w:szCs w:val="21"/>
              </w:rPr>
              <w:t>农、林、牧、渔业</w:t>
            </w:r>
          </w:p>
        </w:tc>
        <w:tc>
          <w:tcPr>
            <w:tcW w:w="2160" w:type="dxa"/>
            <w:vAlign w:val="center"/>
          </w:tcPr>
          <w:p w:rsidR="001548F9" w:rsidRPr="0045565B" w:rsidP="00DB5F3B">
            <w:pPr>
              <w:autoSpaceDE w:val="0"/>
              <w:autoSpaceDN w:val="0"/>
              <w:adjustRightInd w:val="0"/>
              <w:spacing w:before="29" w:line="360" w:lineRule="auto"/>
              <w:ind w:left="15"/>
              <w:jc w:val="right"/>
              <w:rPr>
                <w:rFonts w:eastAsiaTheme="minorEastAsia"/>
                <w:color w:val="000000"/>
                <w:kern w:val="0"/>
                <w:szCs w:val="21"/>
              </w:rPr>
            </w:pPr>
            <w:r w:rsidRPr="0045565B">
              <w:rPr>
                <w:rFonts w:eastAsiaTheme="minorEastAsia"/>
                <w:color w:val="000000"/>
                <w:kern w:val="0"/>
                <w:szCs w:val="21"/>
              </w:rPr>
              <w:t>-</w:t>
            </w:r>
          </w:p>
        </w:tc>
        <w:tc>
          <w:tcPr>
            <w:tcW w:w="2160" w:type="dxa"/>
            <w:vAlign w:val="center"/>
          </w:tcPr>
          <w:p w:rsidR="001548F9" w:rsidRPr="0045565B" w:rsidP="00DB5F3B">
            <w:pPr>
              <w:autoSpaceDE w:val="0"/>
              <w:autoSpaceDN w:val="0"/>
              <w:adjustRightInd w:val="0"/>
              <w:spacing w:before="29" w:line="360" w:lineRule="auto"/>
              <w:ind w:left="15"/>
              <w:jc w:val="right"/>
              <w:rPr>
                <w:rFonts w:eastAsiaTheme="minorEastAsia"/>
                <w:color w:val="000000"/>
                <w:kern w:val="0"/>
                <w:szCs w:val="21"/>
              </w:rPr>
            </w:pPr>
            <w:r w:rsidRPr="0045565B">
              <w:rPr>
                <w:rFonts w:eastAsiaTheme="minorEastAsia"/>
                <w:color w:val="000000"/>
                <w:kern w:val="0"/>
                <w:szCs w:val="21"/>
              </w:rPr>
              <w:t>-</w:t>
            </w:r>
          </w:p>
        </w:tc>
      </w:tr>
      <w:tr w:rsidTr="00DB5F3B">
        <w:tblPrEx>
          <w:tblW w:w="0" w:type="auto"/>
          <w:tblInd w:w="108" w:type="dxa"/>
          <w:tblLayout w:type="fixed"/>
          <w:tblLook w:val="00A0"/>
        </w:tblPrEx>
        <w:tc>
          <w:tcPr>
            <w:tcW w:w="1080" w:type="dxa"/>
            <w:vAlign w:val="center"/>
          </w:tcPr>
          <w:p w:rsidR="001548F9" w:rsidRPr="0045565B" w:rsidP="00DB5F3B">
            <w:pPr>
              <w:adjustRightInd w:val="0"/>
              <w:snapToGrid w:val="0"/>
              <w:spacing w:line="400" w:lineRule="exact"/>
              <w:jc w:val="center"/>
              <w:rPr>
                <w:rFonts w:eastAsiaTheme="minorEastAsia"/>
                <w:szCs w:val="21"/>
              </w:rPr>
            </w:pPr>
            <w:r w:rsidRPr="0045565B">
              <w:rPr>
                <w:rFonts w:eastAsiaTheme="minorEastAsia"/>
                <w:szCs w:val="21"/>
              </w:rPr>
              <w:t>B</w:t>
            </w:r>
          </w:p>
        </w:tc>
        <w:tc>
          <w:tcPr>
            <w:tcW w:w="3600" w:type="dxa"/>
            <w:vAlign w:val="center"/>
          </w:tcPr>
          <w:p w:rsidR="001548F9" w:rsidRPr="0045565B" w:rsidP="00DB5F3B">
            <w:pPr>
              <w:adjustRightInd w:val="0"/>
              <w:snapToGrid w:val="0"/>
              <w:spacing w:line="400" w:lineRule="exact"/>
              <w:rPr>
                <w:rFonts w:eastAsiaTheme="minorEastAsia"/>
                <w:szCs w:val="21"/>
              </w:rPr>
            </w:pPr>
            <w:r w:rsidRPr="0045565B">
              <w:rPr>
                <w:rFonts w:eastAsiaTheme="minorEastAsia"/>
                <w:szCs w:val="21"/>
              </w:rPr>
              <w:t>采矿业</w:t>
            </w:r>
          </w:p>
        </w:tc>
        <w:tc>
          <w:tcPr>
            <w:tcW w:w="2160" w:type="dxa"/>
            <w:vAlign w:val="center"/>
          </w:tcPr>
          <w:p w:rsidR="001548F9" w:rsidRPr="0045565B" w:rsidP="00437778">
            <w:pPr>
              <w:jc w:val="right"/>
              <w:rPr>
                <w:rFonts w:eastAsiaTheme="minorEastAsia"/>
                <w:szCs w:val="21"/>
              </w:rPr>
            </w:pPr>
            <w:r w:rsidRPr="0045565B">
              <w:rPr>
                <w:rFonts w:eastAsiaTheme="minorEastAsia"/>
                <w:szCs w:val="21"/>
              </w:rPr>
              <w:t>-</w:t>
            </w:r>
          </w:p>
        </w:tc>
        <w:tc>
          <w:tcPr>
            <w:tcW w:w="2160" w:type="dxa"/>
            <w:vAlign w:val="center"/>
          </w:tcPr>
          <w:p w:rsidR="001548F9" w:rsidRPr="0045565B" w:rsidP="00437778">
            <w:pPr>
              <w:jc w:val="right"/>
              <w:rPr>
                <w:rFonts w:eastAsiaTheme="minorEastAsia"/>
                <w:szCs w:val="21"/>
              </w:rPr>
            </w:pPr>
            <w:r w:rsidRPr="0045565B">
              <w:rPr>
                <w:rFonts w:eastAsiaTheme="minorEastAsia"/>
                <w:szCs w:val="21"/>
              </w:rPr>
              <w:t>-</w:t>
            </w:r>
          </w:p>
        </w:tc>
      </w:tr>
      <w:tr w:rsidTr="00DB5F3B">
        <w:tblPrEx>
          <w:tblW w:w="0" w:type="auto"/>
          <w:tblInd w:w="108" w:type="dxa"/>
          <w:tblLayout w:type="fixed"/>
          <w:tblLook w:val="00A0"/>
        </w:tblPrEx>
        <w:tc>
          <w:tcPr>
            <w:tcW w:w="1080" w:type="dxa"/>
            <w:vAlign w:val="center"/>
          </w:tcPr>
          <w:p w:rsidR="001548F9" w:rsidRPr="0045565B" w:rsidP="00DB5F3B">
            <w:pPr>
              <w:jc w:val="center"/>
              <w:rPr>
                <w:rFonts w:eastAsiaTheme="minorEastAsia"/>
                <w:color w:val="000000"/>
                <w:szCs w:val="21"/>
              </w:rPr>
            </w:pPr>
            <w:r w:rsidRPr="0045565B">
              <w:rPr>
                <w:rFonts w:eastAsiaTheme="minorEastAsia"/>
                <w:szCs w:val="21"/>
              </w:rPr>
              <w:t>C</w:t>
            </w:r>
          </w:p>
        </w:tc>
        <w:tc>
          <w:tcPr>
            <w:tcW w:w="3600" w:type="dxa"/>
            <w:vAlign w:val="center"/>
          </w:tcPr>
          <w:p w:rsidR="001548F9" w:rsidRPr="0045565B" w:rsidP="0086710F">
            <w:pPr>
              <w:rPr>
                <w:rFonts w:eastAsiaTheme="minorEastAsia"/>
                <w:color w:val="000000"/>
                <w:szCs w:val="21"/>
              </w:rPr>
            </w:pPr>
            <w:r w:rsidRPr="0045565B">
              <w:rPr>
                <w:rFonts w:eastAsiaTheme="minorEastAsia"/>
                <w:szCs w:val="21"/>
              </w:rPr>
              <w:t>制造业</w:t>
            </w:r>
          </w:p>
        </w:tc>
        <w:tc>
          <w:tcPr>
            <w:tcW w:w="2160" w:type="dxa"/>
            <w:vAlign w:val="center"/>
          </w:tcPr>
          <w:p w:rsidR="001548F9" w:rsidRPr="0045565B" w:rsidP="00DB5F3B">
            <w:pPr>
              <w:autoSpaceDE w:val="0"/>
              <w:autoSpaceDN w:val="0"/>
              <w:adjustRightInd w:val="0"/>
              <w:spacing w:before="29" w:line="360" w:lineRule="auto"/>
              <w:ind w:left="15"/>
              <w:jc w:val="right"/>
              <w:rPr>
                <w:rFonts w:eastAsiaTheme="minorEastAsia"/>
                <w:color w:val="000000"/>
                <w:kern w:val="0"/>
                <w:szCs w:val="21"/>
              </w:rPr>
            </w:pPr>
            <w:r w:rsidRPr="0045565B">
              <w:rPr>
                <w:rFonts w:eastAsiaTheme="minorEastAsia"/>
                <w:color w:val="000000"/>
                <w:kern w:val="0"/>
                <w:szCs w:val="21"/>
              </w:rPr>
              <w:t>10,576,096.60</w:t>
            </w:r>
          </w:p>
        </w:tc>
        <w:tc>
          <w:tcPr>
            <w:tcW w:w="2160" w:type="dxa"/>
            <w:vAlign w:val="center"/>
          </w:tcPr>
          <w:p w:rsidR="001548F9" w:rsidRPr="0045565B" w:rsidP="00DB5F3B">
            <w:pPr>
              <w:autoSpaceDE w:val="0"/>
              <w:autoSpaceDN w:val="0"/>
              <w:adjustRightInd w:val="0"/>
              <w:spacing w:before="29" w:line="360" w:lineRule="auto"/>
              <w:ind w:left="15"/>
              <w:jc w:val="right"/>
              <w:rPr>
                <w:rFonts w:eastAsiaTheme="minorEastAsia"/>
                <w:color w:val="000000"/>
                <w:kern w:val="0"/>
                <w:szCs w:val="21"/>
              </w:rPr>
            </w:pPr>
            <w:r w:rsidRPr="0045565B">
              <w:rPr>
                <w:rFonts w:eastAsiaTheme="minorEastAsia"/>
                <w:color w:val="000000"/>
                <w:kern w:val="0"/>
                <w:szCs w:val="21"/>
              </w:rPr>
              <w:t>67.51</w:t>
            </w:r>
          </w:p>
        </w:tc>
      </w:tr>
      <w:tr w:rsidTr="00DB5F3B">
        <w:tblPrEx>
          <w:tblW w:w="0" w:type="auto"/>
          <w:tblInd w:w="108" w:type="dxa"/>
          <w:tblLayout w:type="fixed"/>
          <w:tblLook w:val="00A0"/>
        </w:tblPrEx>
        <w:tc>
          <w:tcPr>
            <w:tcW w:w="1080" w:type="dxa"/>
            <w:vAlign w:val="center"/>
          </w:tcPr>
          <w:p w:rsidR="001548F9" w:rsidRPr="0045565B" w:rsidP="00DB5F3B">
            <w:pPr>
              <w:adjustRightInd w:val="0"/>
              <w:snapToGrid w:val="0"/>
              <w:spacing w:line="400" w:lineRule="exact"/>
              <w:jc w:val="center"/>
              <w:rPr>
                <w:rFonts w:eastAsiaTheme="minorEastAsia"/>
                <w:szCs w:val="21"/>
              </w:rPr>
            </w:pPr>
            <w:r w:rsidRPr="0045565B">
              <w:rPr>
                <w:rFonts w:eastAsiaTheme="minorEastAsia"/>
                <w:szCs w:val="21"/>
              </w:rPr>
              <w:t>D</w:t>
            </w:r>
          </w:p>
        </w:tc>
        <w:tc>
          <w:tcPr>
            <w:tcW w:w="3600" w:type="dxa"/>
            <w:vAlign w:val="center"/>
          </w:tcPr>
          <w:p w:rsidR="001548F9" w:rsidRPr="0045565B" w:rsidP="00DB5F3B">
            <w:pPr>
              <w:adjustRightInd w:val="0"/>
              <w:snapToGrid w:val="0"/>
              <w:spacing w:line="400" w:lineRule="exact"/>
              <w:rPr>
                <w:rFonts w:eastAsiaTheme="minorEastAsia"/>
                <w:szCs w:val="21"/>
              </w:rPr>
            </w:pPr>
            <w:r w:rsidRPr="0045565B">
              <w:rPr>
                <w:rFonts w:eastAsiaTheme="minorEastAsia"/>
                <w:szCs w:val="21"/>
              </w:rPr>
              <w:t>电力、热力、燃气及水生产和供应业</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r>
      <w:tr w:rsidTr="00DB5F3B">
        <w:tblPrEx>
          <w:tblW w:w="0" w:type="auto"/>
          <w:tblInd w:w="108" w:type="dxa"/>
          <w:tblLayout w:type="fixed"/>
          <w:tblLook w:val="00A0"/>
        </w:tblPrEx>
        <w:tc>
          <w:tcPr>
            <w:tcW w:w="1080" w:type="dxa"/>
            <w:vAlign w:val="center"/>
          </w:tcPr>
          <w:p w:rsidR="001548F9" w:rsidRPr="0045565B" w:rsidP="00DB5F3B">
            <w:pPr>
              <w:jc w:val="center"/>
              <w:rPr>
                <w:rFonts w:eastAsiaTheme="minorEastAsia"/>
                <w:color w:val="000000"/>
                <w:szCs w:val="21"/>
              </w:rPr>
            </w:pPr>
            <w:r w:rsidRPr="0045565B">
              <w:rPr>
                <w:rFonts w:eastAsiaTheme="minorEastAsia"/>
                <w:szCs w:val="21"/>
              </w:rPr>
              <w:t>E</w:t>
            </w:r>
          </w:p>
        </w:tc>
        <w:tc>
          <w:tcPr>
            <w:tcW w:w="3600" w:type="dxa"/>
            <w:vAlign w:val="center"/>
          </w:tcPr>
          <w:p w:rsidR="001548F9" w:rsidRPr="0045565B" w:rsidP="0086710F">
            <w:pPr>
              <w:rPr>
                <w:rFonts w:eastAsiaTheme="minorEastAsia"/>
                <w:color w:val="000000"/>
                <w:szCs w:val="21"/>
              </w:rPr>
            </w:pPr>
            <w:r w:rsidRPr="0045565B">
              <w:rPr>
                <w:rFonts w:eastAsiaTheme="minorEastAsia"/>
                <w:szCs w:val="21"/>
              </w:rPr>
              <w:t>建筑业</w:t>
            </w:r>
          </w:p>
        </w:tc>
        <w:tc>
          <w:tcPr>
            <w:tcW w:w="2160" w:type="dxa"/>
            <w:vAlign w:val="center"/>
          </w:tcPr>
          <w:p w:rsidR="001548F9" w:rsidRPr="0045565B" w:rsidP="00DB5F3B">
            <w:pPr>
              <w:autoSpaceDE w:val="0"/>
              <w:autoSpaceDN w:val="0"/>
              <w:adjustRightInd w:val="0"/>
              <w:spacing w:before="29" w:line="360" w:lineRule="auto"/>
              <w:ind w:left="15"/>
              <w:jc w:val="right"/>
              <w:rPr>
                <w:rFonts w:eastAsiaTheme="minorEastAsia"/>
                <w:color w:val="000000"/>
                <w:kern w:val="0"/>
                <w:szCs w:val="21"/>
              </w:rPr>
            </w:pPr>
            <w:r w:rsidRPr="0045565B">
              <w:rPr>
                <w:rFonts w:eastAsiaTheme="minorEastAsia"/>
                <w:color w:val="000000"/>
                <w:kern w:val="0"/>
                <w:szCs w:val="21"/>
              </w:rPr>
              <w:t>-</w:t>
            </w:r>
          </w:p>
        </w:tc>
        <w:tc>
          <w:tcPr>
            <w:tcW w:w="2160" w:type="dxa"/>
            <w:vAlign w:val="center"/>
          </w:tcPr>
          <w:p w:rsidR="001548F9" w:rsidRPr="0045565B" w:rsidP="00DB5F3B">
            <w:pPr>
              <w:autoSpaceDE w:val="0"/>
              <w:autoSpaceDN w:val="0"/>
              <w:adjustRightInd w:val="0"/>
              <w:spacing w:before="29" w:line="360" w:lineRule="auto"/>
              <w:ind w:left="15"/>
              <w:jc w:val="right"/>
              <w:rPr>
                <w:rFonts w:eastAsiaTheme="minorEastAsia"/>
                <w:color w:val="000000"/>
                <w:kern w:val="0"/>
                <w:szCs w:val="21"/>
              </w:rPr>
            </w:pPr>
            <w:r w:rsidRPr="0045565B">
              <w:rPr>
                <w:rFonts w:eastAsiaTheme="minorEastAsia"/>
                <w:color w:val="000000"/>
                <w:kern w:val="0"/>
                <w:szCs w:val="21"/>
              </w:rPr>
              <w:t>-</w:t>
            </w:r>
          </w:p>
        </w:tc>
      </w:tr>
      <w:tr w:rsidTr="00DB5F3B">
        <w:tblPrEx>
          <w:tblW w:w="0" w:type="auto"/>
          <w:tblInd w:w="108" w:type="dxa"/>
          <w:tblLayout w:type="fixed"/>
          <w:tblLook w:val="00A0"/>
        </w:tblPrEx>
        <w:tc>
          <w:tcPr>
            <w:tcW w:w="1080" w:type="dxa"/>
            <w:vAlign w:val="center"/>
          </w:tcPr>
          <w:p w:rsidR="001548F9" w:rsidRPr="0045565B" w:rsidP="00DB5F3B">
            <w:pPr>
              <w:adjustRightInd w:val="0"/>
              <w:snapToGrid w:val="0"/>
              <w:spacing w:line="400" w:lineRule="exact"/>
              <w:jc w:val="center"/>
              <w:rPr>
                <w:rFonts w:eastAsiaTheme="minorEastAsia"/>
                <w:szCs w:val="21"/>
              </w:rPr>
            </w:pPr>
            <w:r w:rsidRPr="0045565B">
              <w:rPr>
                <w:rFonts w:eastAsiaTheme="minorEastAsia"/>
                <w:szCs w:val="21"/>
              </w:rPr>
              <w:t>F</w:t>
            </w:r>
          </w:p>
        </w:tc>
        <w:tc>
          <w:tcPr>
            <w:tcW w:w="3600" w:type="dxa"/>
            <w:vAlign w:val="center"/>
          </w:tcPr>
          <w:p w:rsidR="001548F9" w:rsidRPr="0045565B" w:rsidP="00DB5F3B">
            <w:pPr>
              <w:adjustRightInd w:val="0"/>
              <w:snapToGrid w:val="0"/>
              <w:spacing w:line="400" w:lineRule="exact"/>
              <w:rPr>
                <w:rFonts w:eastAsiaTheme="minorEastAsia"/>
                <w:szCs w:val="21"/>
              </w:rPr>
            </w:pPr>
            <w:r w:rsidRPr="0045565B">
              <w:rPr>
                <w:rFonts w:eastAsiaTheme="minorEastAsia"/>
                <w:szCs w:val="21"/>
              </w:rPr>
              <w:t>批发和零售业</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59,722.00</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0.38</w:t>
            </w:r>
          </w:p>
        </w:tc>
      </w:tr>
      <w:tr w:rsidTr="00DB5F3B">
        <w:tblPrEx>
          <w:tblW w:w="0" w:type="auto"/>
          <w:tblInd w:w="108" w:type="dxa"/>
          <w:tblLayout w:type="fixed"/>
          <w:tblLook w:val="00A0"/>
        </w:tblPrEx>
        <w:tc>
          <w:tcPr>
            <w:tcW w:w="1080" w:type="dxa"/>
            <w:vAlign w:val="center"/>
          </w:tcPr>
          <w:p w:rsidR="001548F9" w:rsidRPr="0045565B" w:rsidP="00DB5F3B">
            <w:pPr>
              <w:adjustRightInd w:val="0"/>
              <w:snapToGrid w:val="0"/>
              <w:spacing w:line="400" w:lineRule="exact"/>
              <w:jc w:val="center"/>
              <w:rPr>
                <w:rFonts w:eastAsiaTheme="minorEastAsia"/>
                <w:szCs w:val="21"/>
              </w:rPr>
            </w:pPr>
            <w:r w:rsidRPr="0045565B">
              <w:rPr>
                <w:rFonts w:eastAsiaTheme="minorEastAsia"/>
                <w:szCs w:val="21"/>
              </w:rPr>
              <w:t>G</w:t>
            </w:r>
          </w:p>
        </w:tc>
        <w:tc>
          <w:tcPr>
            <w:tcW w:w="3600" w:type="dxa"/>
            <w:vAlign w:val="center"/>
          </w:tcPr>
          <w:p w:rsidR="001548F9" w:rsidRPr="0045565B" w:rsidP="00DB5F3B">
            <w:pPr>
              <w:adjustRightInd w:val="0"/>
              <w:snapToGrid w:val="0"/>
              <w:spacing w:line="400" w:lineRule="exact"/>
              <w:rPr>
                <w:rFonts w:eastAsiaTheme="minorEastAsia"/>
                <w:szCs w:val="21"/>
              </w:rPr>
            </w:pPr>
            <w:r w:rsidRPr="0045565B">
              <w:rPr>
                <w:rFonts w:eastAsiaTheme="minorEastAsia"/>
                <w:szCs w:val="21"/>
              </w:rPr>
              <w:t>交通运输、仓储和邮政业</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r>
      <w:tr w:rsidTr="00DB5F3B">
        <w:tblPrEx>
          <w:tblW w:w="0" w:type="auto"/>
          <w:tblInd w:w="108" w:type="dxa"/>
          <w:tblLayout w:type="fixed"/>
          <w:tblLook w:val="00A0"/>
        </w:tblPrEx>
        <w:tc>
          <w:tcPr>
            <w:tcW w:w="1080" w:type="dxa"/>
            <w:vAlign w:val="center"/>
          </w:tcPr>
          <w:p w:rsidR="001548F9" w:rsidRPr="0045565B" w:rsidP="00DB5F3B">
            <w:pPr>
              <w:adjustRightInd w:val="0"/>
              <w:snapToGrid w:val="0"/>
              <w:spacing w:line="400" w:lineRule="exact"/>
              <w:jc w:val="center"/>
              <w:rPr>
                <w:rFonts w:eastAsiaTheme="minorEastAsia"/>
                <w:szCs w:val="21"/>
              </w:rPr>
            </w:pPr>
            <w:r w:rsidRPr="0045565B">
              <w:rPr>
                <w:rFonts w:eastAsiaTheme="minorEastAsia"/>
                <w:szCs w:val="21"/>
              </w:rPr>
              <w:t>H</w:t>
            </w:r>
          </w:p>
        </w:tc>
        <w:tc>
          <w:tcPr>
            <w:tcW w:w="3600" w:type="dxa"/>
            <w:vAlign w:val="center"/>
          </w:tcPr>
          <w:p w:rsidR="001548F9" w:rsidRPr="0045565B" w:rsidP="00DB5F3B">
            <w:pPr>
              <w:adjustRightInd w:val="0"/>
              <w:snapToGrid w:val="0"/>
              <w:spacing w:line="400" w:lineRule="exact"/>
              <w:rPr>
                <w:rFonts w:eastAsiaTheme="minorEastAsia"/>
                <w:szCs w:val="21"/>
              </w:rPr>
            </w:pPr>
            <w:r w:rsidRPr="0045565B">
              <w:rPr>
                <w:rFonts w:eastAsiaTheme="minorEastAsia"/>
                <w:szCs w:val="21"/>
              </w:rPr>
              <w:t>住宿和餐饮业</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r>
      <w:tr w:rsidTr="00DB5F3B">
        <w:tblPrEx>
          <w:tblW w:w="0" w:type="auto"/>
          <w:tblInd w:w="108" w:type="dxa"/>
          <w:tblLayout w:type="fixed"/>
          <w:tblLook w:val="00A0"/>
        </w:tblPrEx>
        <w:tc>
          <w:tcPr>
            <w:tcW w:w="1080" w:type="dxa"/>
            <w:vAlign w:val="center"/>
          </w:tcPr>
          <w:p w:rsidR="001548F9" w:rsidRPr="0045565B" w:rsidP="00DB5F3B">
            <w:pPr>
              <w:adjustRightInd w:val="0"/>
              <w:snapToGrid w:val="0"/>
              <w:spacing w:line="400" w:lineRule="exact"/>
              <w:jc w:val="center"/>
              <w:rPr>
                <w:rFonts w:eastAsiaTheme="minorEastAsia"/>
                <w:szCs w:val="21"/>
              </w:rPr>
            </w:pPr>
            <w:r w:rsidRPr="0045565B">
              <w:rPr>
                <w:rFonts w:eastAsiaTheme="minorEastAsia"/>
                <w:szCs w:val="21"/>
              </w:rPr>
              <w:t>I</w:t>
            </w:r>
          </w:p>
        </w:tc>
        <w:tc>
          <w:tcPr>
            <w:tcW w:w="3600" w:type="dxa"/>
            <w:vAlign w:val="center"/>
          </w:tcPr>
          <w:p w:rsidR="001548F9" w:rsidRPr="0045565B" w:rsidP="0086710F">
            <w:pPr>
              <w:adjustRightInd w:val="0"/>
              <w:snapToGrid w:val="0"/>
              <w:spacing w:line="400" w:lineRule="exact"/>
              <w:rPr>
                <w:rFonts w:eastAsiaTheme="minorEastAsia"/>
                <w:szCs w:val="21"/>
              </w:rPr>
            </w:pPr>
            <w:r w:rsidRPr="0045565B">
              <w:rPr>
                <w:rFonts w:eastAsiaTheme="minorEastAsia"/>
                <w:szCs w:val="21"/>
              </w:rPr>
              <w:t>信息传输、软件和信息技术服务业</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844,447.50</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5.39</w:t>
            </w:r>
          </w:p>
        </w:tc>
      </w:tr>
      <w:tr w:rsidTr="00DB5F3B">
        <w:tblPrEx>
          <w:tblW w:w="0" w:type="auto"/>
          <w:tblInd w:w="108" w:type="dxa"/>
          <w:tblLayout w:type="fixed"/>
          <w:tblLook w:val="00A0"/>
        </w:tblPrEx>
        <w:tc>
          <w:tcPr>
            <w:tcW w:w="1080" w:type="dxa"/>
            <w:vAlign w:val="center"/>
          </w:tcPr>
          <w:p w:rsidR="001548F9" w:rsidRPr="0045565B" w:rsidP="00DB5F3B">
            <w:pPr>
              <w:adjustRightInd w:val="0"/>
              <w:snapToGrid w:val="0"/>
              <w:spacing w:line="400" w:lineRule="exact"/>
              <w:jc w:val="center"/>
              <w:rPr>
                <w:rFonts w:eastAsiaTheme="minorEastAsia"/>
                <w:color w:val="000000"/>
                <w:szCs w:val="21"/>
              </w:rPr>
            </w:pPr>
            <w:r w:rsidRPr="0045565B">
              <w:rPr>
                <w:rFonts w:eastAsiaTheme="minorEastAsia"/>
                <w:color w:val="000000"/>
                <w:szCs w:val="21"/>
              </w:rPr>
              <w:t>J</w:t>
            </w:r>
          </w:p>
        </w:tc>
        <w:tc>
          <w:tcPr>
            <w:tcW w:w="3600" w:type="dxa"/>
            <w:vAlign w:val="center"/>
          </w:tcPr>
          <w:p w:rsidR="001548F9" w:rsidRPr="0045565B" w:rsidP="00DB5F3B">
            <w:pPr>
              <w:adjustRightInd w:val="0"/>
              <w:snapToGrid w:val="0"/>
              <w:spacing w:line="400" w:lineRule="exact"/>
              <w:rPr>
                <w:rFonts w:eastAsiaTheme="minorEastAsia"/>
                <w:color w:val="000000"/>
                <w:szCs w:val="21"/>
              </w:rPr>
            </w:pPr>
            <w:r w:rsidRPr="0045565B">
              <w:rPr>
                <w:rFonts w:eastAsiaTheme="minorEastAsia"/>
                <w:color w:val="000000"/>
                <w:szCs w:val="21"/>
              </w:rPr>
              <w:t>金融业</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r>
      <w:tr w:rsidTr="00DB5F3B">
        <w:tblPrEx>
          <w:tblW w:w="0" w:type="auto"/>
          <w:tblInd w:w="108" w:type="dxa"/>
          <w:tblLayout w:type="fixed"/>
          <w:tblLook w:val="00A0"/>
        </w:tblPrEx>
        <w:tc>
          <w:tcPr>
            <w:tcW w:w="1080" w:type="dxa"/>
            <w:vAlign w:val="center"/>
          </w:tcPr>
          <w:p w:rsidR="001548F9" w:rsidRPr="0045565B" w:rsidP="00DB5F3B">
            <w:pPr>
              <w:adjustRightInd w:val="0"/>
              <w:snapToGrid w:val="0"/>
              <w:spacing w:line="400" w:lineRule="exact"/>
              <w:jc w:val="center"/>
              <w:rPr>
                <w:rFonts w:eastAsiaTheme="minorEastAsia"/>
                <w:color w:val="000000"/>
                <w:szCs w:val="21"/>
              </w:rPr>
            </w:pPr>
            <w:r w:rsidRPr="0045565B">
              <w:rPr>
                <w:rFonts w:eastAsiaTheme="minorEastAsia"/>
                <w:color w:val="000000"/>
                <w:szCs w:val="21"/>
              </w:rPr>
              <w:t>K</w:t>
            </w:r>
          </w:p>
        </w:tc>
        <w:tc>
          <w:tcPr>
            <w:tcW w:w="3600" w:type="dxa"/>
            <w:vAlign w:val="center"/>
          </w:tcPr>
          <w:p w:rsidR="001548F9" w:rsidRPr="0045565B" w:rsidP="00DB5F3B">
            <w:pPr>
              <w:adjustRightInd w:val="0"/>
              <w:snapToGrid w:val="0"/>
              <w:spacing w:line="400" w:lineRule="exact"/>
              <w:rPr>
                <w:rFonts w:eastAsiaTheme="minorEastAsia"/>
                <w:color w:val="000000"/>
                <w:szCs w:val="21"/>
              </w:rPr>
            </w:pPr>
            <w:r w:rsidRPr="0045565B">
              <w:rPr>
                <w:rFonts w:eastAsiaTheme="minorEastAsia"/>
                <w:color w:val="000000"/>
                <w:szCs w:val="21"/>
              </w:rPr>
              <w:t>房地产业</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r>
      <w:tr w:rsidTr="00DB5F3B">
        <w:tblPrEx>
          <w:tblW w:w="0" w:type="auto"/>
          <w:tblInd w:w="108" w:type="dxa"/>
          <w:tblLayout w:type="fixed"/>
          <w:tblLook w:val="00A0"/>
        </w:tblPrEx>
        <w:tc>
          <w:tcPr>
            <w:tcW w:w="1080" w:type="dxa"/>
            <w:vAlign w:val="center"/>
          </w:tcPr>
          <w:p w:rsidR="001548F9" w:rsidRPr="0045565B" w:rsidP="00DB5F3B">
            <w:pPr>
              <w:adjustRightInd w:val="0"/>
              <w:snapToGrid w:val="0"/>
              <w:spacing w:line="400" w:lineRule="exact"/>
              <w:jc w:val="center"/>
              <w:rPr>
                <w:rFonts w:eastAsiaTheme="minorEastAsia"/>
                <w:color w:val="000000"/>
                <w:szCs w:val="21"/>
              </w:rPr>
            </w:pPr>
            <w:r w:rsidRPr="0045565B">
              <w:rPr>
                <w:rFonts w:eastAsiaTheme="minorEastAsia"/>
                <w:color w:val="000000"/>
                <w:szCs w:val="21"/>
              </w:rPr>
              <w:t>L</w:t>
            </w:r>
          </w:p>
        </w:tc>
        <w:tc>
          <w:tcPr>
            <w:tcW w:w="3600" w:type="dxa"/>
            <w:vAlign w:val="center"/>
          </w:tcPr>
          <w:p w:rsidR="001548F9" w:rsidRPr="0045565B" w:rsidP="00DB5F3B">
            <w:pPr>
              <w:adjustRightInd w:val="0"/>
              <w:snapToGrid w:val="0"/>
              <w:spacing w:line="400" w:lineRule="exact"/>
              <w:rPr>
                <w:rFonts w:eastAsiaTheme="minorEastAsia"/>
                <w:color w:val="000000"/>
                <w:szCs w:val="21"/>
              </w:rPr>
            </w:pPr>
            <w:r w:rsidRPr="0045565B">
              <w:rPr>
                <w:rFonts w:eastAsiaTheme="minorEastAsia"/>
                <w:color w:val="000000"/>
                <w:szCs w:val="21"/>
              </w:rPr>
              <w:t>租赁和商务服务业</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r>
      <w:tr w:rsidTr="00DB5F3B">
        <w:tblPrEx>
          <w:tblW w:w="0" w:type="auto"/>
          <w:tblInd w:w="108" w:type="dxa"/>
          <w:tblLayout w:type="fixed"/>
          <w:tblLook w:val="00A0"/>
        </w:tblPrEx>
        <w:tc>
          <w:tcPr>
            <w:tcW w:w="1080" w:type="dxa"/>
            <w:vAlign w:val="center"/>
          </w:tcPr>
          <w:p w:rsidR="001548F9" w:rsidRPr="0045565B" w:rsidP="00DB5F3B">
            <w:pPr>
              <w:adjustRightInd w:val="0"/>
              <w:snapToGrid w:val="0"/>
              <w:spacing w:line="400" w:lineRule="exact"/>
              <w:jc w:val="center"/>
              <w:rPr>
                <w:rFonts w:eastAsiaTheme="minorEastAsia"/>
                <w:color w:val="000000"/>
                <w:szCs w:val="21"/>
              </w:rPr>
            </w:pPr>
            <w:r w:rsidRPr="0045565B">
              <w:rPr>
                <w:rFonts w:eastAsiaTheme="minorEastAsia"/>
                <w:color w:val="000000"/>
                <w:szCs w:val="21"/>
              </w:rPr>
              <w:t>M</w:t>
            </w:r>
          </w:p>
        </w:tc>
        <w:tc>
          <w:tcPr>
            <w:tcW w:w="3600" w:type="dxa"/>
            <w:vAlign w:val="center"/>
          </w:tcPr>
          <w:p w:rsidR="001548F9" w:rsidRPr="0045565B" w:rsidP="00DB5F3B">
            <w:pPr>
              <w:adjustRightInd w:val="0"/>
              <w:snapToGrid w:val="0"/>
              <w:spacing w:line="400" w:lineRule="exact"/>
              <w:rPr>
                <w:rFonts w:eastAsiaTheme="minorEastAsia"/>
                <w:color w:val="000000"/>
                <w:szCs w:val="21"/>
              </w:rPr>
            </w:pPr>
            <w:r w:rsidRPr="0045565B">
              <w:rPr>
                <w:rFonts w:eastAsiaTheme="minorEastAsia"/>
                <w:color w:val="000000"/>
                <w:szCs w:val="21"/>
              </w:rPr>
              <w:t>科学研究和技术服务业</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788,788.00</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5.04</w:t>
            </w:r>
          </w:p>
        </w:tc>
      </w:tr>
      <w:tr w:rsidTr="00DB5F3B">
        <w:tblPrEx>
          <w:tblW w:w="0" w:type="auto"/>
          <w:tblInd w:w="108" w:type="dxa"/>
          <w:tblLayout w:type="fixed"/>
          <w:tblLook w:val="00A0"/>
        </w:tblPrEx>
        <w:tc>
          <w:tcPr>
            <w:tcW w:w="1080" w:type="dxa"/>
            <w:vAlign w:val="center"/>
          </w:tcPr>
          <w:p w:rsidR="001548F9" w:rsidRPr="0045565B" w:rsidP="00DB5F3B">
            <w:pPr>
              <w:adjustRightInd w:val="0"/>
              <w:snapToGrid w:val="0"/>
              <w:spacing w:line="400" w:lineRule="exact"/>
              <w:jc w:val="center"/>
              <w:rPr>
                <w:rFonts w:eastAsiaTheme="minorEastAsia"/>
                <w:color w:val="000000"/>
                <w:szCs w:val="21"/>
              </w:rPr>
            </w:pPr>
            <w:r w:rsidRPr="0045565B">
              <w:rPr>
                <w:rFonts w:eastAsiaTheme="minorEastAsia"/>
                <w:color w:val="000000"/>
                <w:szCs w:val="21"/>
              </w:rPr>
              <w:t>N</w:t>
            </w:r>
          </w:p>
        </w:tc>
        <w:tc>
          <w:tcPr>
            <w:tcW w:w="3600" w:type="dxa"/>
            <w:vAlign w:val="center"/>
          </w:tcPr>
          <w:p w:rsidR="001548F9" w:rsidRPr="0045565B" w:rsidP="00DB5F3B">
            <w:pPr>
              <w:adjustRightInd w:val="0"/>
              <w:snapToGrid w:val="0"/>
              <w:spacing w:line="400" w:lineRule="exact"/>
              <w:rPr>
                <w:rFonts w:eastAsiaTheme="minorEastAsia"/>
                <w:color w:val="000000"/>
                <w:szCs w:val="21"/>
              </w:rPr>
            </w:pPr>
            <w:r w:rsidRPr="0045565B">
              <w:rPr>
                <w:rFonts w:eastAsiaTheme="minorEastAsia"/>
                <w:color w:val="000000"/>
                <w:szCs w:val="21"/>
              </w:rPr>
              <w:t>水利、环境和公共设施管理业</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r>
      <w:tr w:rsidTr="00DB5F3B">
        <w:tblPrEx>
          <w:tblW w:w="0" w:type="auto"/>
          <w:tblInd w:w="108" w:type="dxa"/>
          <w:tblLayout w:type="fixed"/>
          <w:tblLook w:val="00A0"/>
        </w:tblPrEx>
        <w:tc>
          <w:tcPr>
            <w:tcW w:w="1080" w:type="dxa"/>
            <w:vAlign w:val="center"/>
          </w:tcPr>
          <w:p w:rsidR="001548F9" w:rsidRPr="0045565B" w:rsidP="00DB5F3B">
            <w:pPr>
              <w:adjustRightInd w:val="0"/>
              <w:snapToGrid w:val="0"/>
              <w:spacing w:line="400" w:lineRule="exact"/>
              <w:jc w:val="center"/>
              <w:rPr>
                <w:rFonts w:eastAsiaTheme="minorEastAsia"/>
                <w:color w:val="000000"/>
                <w:szCs w:val="21"/>
              </w:rPr>
            </w:pPr>
            <w:r w:rsidRPr="0045565B">
              <w:rPr>
                <w:rFonts w:eastAsiaTheme="minorEastAsia"/>
                <w:color w:val="000000"/>
                <w:szCs w:val="21"/>
              </w:rPr>
              <w:t>O</w:t>
            </w:r>
          </w:p>
        </w:tc>
        <w:tc>
          <w:tcPr>
            <w:tcW w:w="3600" w:type="dxa"/>
            <w:vAlign w:val="center"/>
          </w:tcPr>
          <w:p w:rsidR="001548F9" w:rsidRPr="0045565B" w:rsidP="00DB5F3B">
            <w:pPr>
              <w:adjustRightInd w:val="0"/>
              <w:snapToGrid w:val="0"/>
              <w:spacing w:line="400" w:lineRule="exact"/>
              <w:rPr>
                <w:rFonts w:eastAsiaTheme="minorEastAsia"/>
                <w:color w:val="000000"/>
                <w:szCs w:val="21"/>
              </w:rPr>
            </w:pPr>
            <w:r w:rsidRPr="0045565B">
              <w:rPr>
                <w:rFonts w:eastAsiaTheme="minorEastAsia"/>
                <w:color w:val="000000"/>
                <w:szCs w:val="21"/>
              </w:rPr>
              <w:t>居民服务、修理和其他服务业</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r>
      <w:tr w:rsidTr="0086710F">
        <w:tblPrEx>
          <w:tblW w:w="0" w:type="auto"/>
          <w:tblInd w:w="108" w:type="dxa"/>
          <w:tblLayout w:type="fixed"/>
          <w:tblLook w:val="00A0"/>
        </w:tblPrEx>
        <w:tc>
          <w:tcPr>
            <w:tcW w:w="1080" w:type="dxa"/>
            <w:vAlign w:val="center"/>
          </w:tcPr>
          <w:p w:rsidR="001548F9" w:rsidRPr="0045565B" w:rsidP="00DB5F3B">
            <w:pPr>
              <w:adjustRightInd w:val="0"/>
              <w:snapToGrid w:val="0"/>
              <w:spacing w:line="400" w:lineRule="exact"/>
              <w:jc w:val="center"/>
              <w:rPr>
                <w:rFonts w:eastAsiaTheme="minorEastAsia"/>
                <w:color w:val="000000"/>
                <w:szCs w:val="21"/>
              </w:rPr>
            </w:pPr>
            <w:r w:rsidRPr="0045565B">
              <w:rPr>
                <w:rFonts w:eastAsiaTheme="minorEastAsia"/>
                <w:color w:val="000000"/>
                <w:szCs w:val="21"/>
              </w:rPr>
              <w:t>P</w:t>
            </w:r>
          </w:p>
        </w:tc>
        <w:tc>
          <w:tcPr>
            <w:tcW w:w="3600" w:type="dxa"/>
            <w:vAlign w:val="center"/>
          </w:tcPr>
          <w:p w:rsidR="001548F9" w:rsidRPr="0045565B" w:rsidP="0086710F">
            <w:pPr>
              <w:adjustRightInd w:val="0"/>
              <w:snapToGrid w:val="0"/>
              <w:spacing w:line="400" w:lineRule="exact"/>
              <w:rPr>
                <w:rFonts w:eastAsiaTheme="minorEastAsia"/>
                <w:color w:val="000000"/>
                <w:szCs w:val="21"/>
              </w:rPr>
            </w:pPr>
            <w:r w:rsidRPr="0045565B">
              <w:rPr>
                <w:rFonts w:eastAsiaTheme="minorEastAsia"/>
                <w:color w:val="000000"/>
                <w:szCs w:val="21"/>
              </w:rPr>
              <w:t>教育</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r>
      <w:tr w:rsidTr="0086710F">
        <w:tblPrEx>
          <w:tblW w:w="0" w:type="auto"/>
          <w:tblInd w:w="108" w:type="dxa"/>
          <w:tblLayout w:type="fixed"/>
          <w:tblLook w:val="00A0"/>
        </w:tblPrEx>
        <w:tc>
          <w:tcPr>
            <w:tcW w:w="1080" w:type="dxa"/>
            <w:vAlign w:val="center"/>
          </w:tcPr>
          <w:p w:rsidR="001548F9" w:rsidRPr="0045565B" w:rsidP="00DB5F3B">
            <w:pPr>
              <w:adjustRightInd w:val="0"/>
              <w:snapToGrid w:val="0"/>
              <w:spacing w:line="400" w:lineRule="exact"/>
              <w:jc w:val="center"/>
              <w:rPr>
                <w:rFonts w:eastAsiaTheme="minorEastAsia"/>
                <w:color w:val="000000"/>
                <w:szCs w:val="21"/>
              </w:rPr>
            </w:pPr>
            <w:r w:rsidRPr="0045565B">
              <w:rPr>
                <w:rFonts w:eastAsiaTheme="minorEastAsia"/>
                <w:color w:val="000000"/>
                <w:szCs w:val="21"/>
              </w:rPr>
              <w:t>Q</w:t>
            </w:r>
          </w:p>
        </w:tc>
        <w:tc>
          <w:tcPr>
            <w:tcW w:w="3600" w:type="dxa"/>
            <w:vAlign w:val="center"/>
          </w:tcPr>
          <w:p w:rsidR="001548F9" w:rsidRPr="0045565B" w:rsidP="0086710F">
            <w:pPr>
              <w:adjustRightInd w:val="0"/>
              <w:snapToGrid w:val="0"/>
              <w:spacing w:line="400" w:lineRule="exact"/>
              <w:rPr>
                <w:rFonts w:eastAsiaTheme="minorEastAsia"/>
                <w:color w:val="000000"/>
                <w:szCs w:val="21"/>
              </w:rPr>
            </w:pPr>
            <w:r w:rsidRPr="0045565B">
              <w:rPr>
                <w:rFonts w:eastAsiaTheme="minorEastAsia"/>
                <w:color w:val="000000"/>
                <w:szCs w:val="21"/>
              </w:rPr>
              <w:t>卫生和社会工作</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1,096,957.40</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7.00</w:t>
            </w:r>
          </w:p>
        </w:tc>
      </w:tr>
      <w:tr w:rsidTr="0086710F">
        <w:tblPrEx>
          <w:tblW w:w="0" w:type="auto"/>
          <w:tblInd w:w="108" w:type="dxa"/>
          <w:tblLayout w:type="fixed"/>
          <w:tblLook w:val="00A0"/>
        </w:tblPrEx>
        <w:tc>
          <w:tcPr>
            <w:tcW w:w="1080" w:type="dxa"/>
            <w:vAlign w:val="center"/>
          </w:tcPr>
          <w:p w:rsidR="001548F9" w:rsidRPr="0045565B" w:rsidP="00DB5F3B">
            <w:pPr>
              <w:adjustRightInd w:val="0"/>
              <w:snapToGrid w:val="0"/>
              <w:spacing w:line="400" w:lineRule="exact"/>
              <w:jc w:val="center"/>
              <w:rPr>
                <w:rFonts w:eastAsiaTheme="minorEastAsia"/>
                <w:color w:val="000000"/>
                <w:szCs w:val="21"/>
              </w:rPr>
            </w:pPr>
            <w:r w:rsidRPr="0045565B">
              <w:rPr>
                <w:rFonts w:eastAsiaTheme="minorEastAsia"/>
                <w:color w:val="000000"/>
                <w:szCs w:val="21"/>
              </w:rPr>
              <w:t>R</w:t>
            </w:r>
          </w:p>
        </w:tc>
        <w:tc>
          <w:tcPr>
            <w:tcW w:w="3600" w:type="dxa"/>
            <w:vAlign w:val="center"/>
          </w:tcPr>
          <w:p w:rsidR="001548F9" w:rsidRPr="0045565B" w:rsidP="0086710F">
            <w:pPr>
              <w:adjustRightInd w:val="0"/>
              <w:snapToGrid w:val="0"/>
              <w:spacing w:line="400" w:lineRule="exact"/>
              <w:rPr>
                <w:rFonts w:eastAsiaTheme="minorEastAsia"/>
                <w:color w:val="000000"/>
                <w:szCs w:val="21"/>
              </w:rPr>
            </w:pPr>
            <w:r w:rsidRPr="0045565B">
              <w:rPr>
                <w:rFonts w:eastAsiaTheme="minorEastAsia"/>
                <w:color w:val="000000"/>
                <w:szCs w:val="21"/>
              </w:rPr>
              <w:t>文化、体育和娱乐业</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r>
      <w:tr w:rsidTr="0086710F">
        <w:tblPrEx>
          <w:tblW w:w="0" w:type="auto"/>
          <w:tblInd w:w="108" w:type="dxa"/>
          <w:tblLayout w:type="fixed"/>
          <w:tblLook w:val="00A0"/>
        </w:tblPrEx>
        <w:tc>
          <w:tcPr>
            <w:tcW w:w="1080" w:type="dxa"/>
            <w:vAlign w:val="center"/>
          </w:tcPr>
          <w:p w:rsidR="001548F9" w:rsidRPr="0045565B" w:rsidP="00DB5F3B">
            <w:pPr>
              <w:adjustRightInd w:val="0"/>
              <w:snapToGrid w:val="0"/>
              <w:spacing w:line="400" w:lineRule="exact"/>
              <w:jc w:val="center"/>
              <w:rPr>
                <w:rFonts w:eastAsiaTheme="minorEastAsia"/>
                <w:color w:val="000000"/>
                <w:szCs w:val="21"/>
              </w:rPr>
            </w:pPr>
            <w:r w:rsidRPr="0045565B">
              <w:rPr>
                <w:rFonts w:eastAsiaTheme="minorEastAsia"/>
                <w:color w:val="000000"/>
                <w:szCs w:val="21"/>
              </w:rPr>
              <w:t>S</w:t>
            </w:r>
          </w:p>
        </w:tc>
        <w:tc>
          <w:tcPr>
            <w:tcW w:w="3600" w:type="dxa"/>
            <w:vAlign w:val="center"/>
          </w:tcPr>
          <w:p w:rsidR="001548F9" w:rsidRPr="0045565B" w:rsidP="0086710F">
            <w:pPr>
              <w:adjustRightInd w:val="0"/>
              <w:snapToGrid w:val="0"/>
              <w:spacing w:line="400" w:lineRule="exact"/>
              <w:rPr>
                <w:rFonts w:eastAsiaTheme="minorEastAsia"/>
                <w:color w:val="000000"/>
                <w:szCs w:val="21"/>
              </w:rPr>
            </w:pPr>
            <w:r w:rsidRPr="0045565B">
              <w:rPr>
                <w:rFonts w:eastAsiaTheme="minorEastAsia"/>
                <w:color w:val="000000"/>
                <w:szCs w:val="21"/>
              </w:rPr>
              <w:t>综合</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c>
          <w:tcPr>
            <w:tcW w:w="2160" w:type="dxa"/>
            <w:vAlign w:val="center"/>
          </w:tcPr>
          <w:p w:rsidR="001548F9" w:rsidRPr="0045565B" w:rsidP="00DB5F3B">
            <w:pPr>
              <w:jc w:val="right"/>
              <w:rPr>
                <w:rFonts w:eastAsiaTheme="minorEastAsia"/>
                <w:szCs w:val="21"/>
              </w:rPr>
            </w:pPr>
            <w:r w:rsidRPr="0045565B">
              <w:rPr>
                <w:rFonts w:eastAsiaTheme="minorEastAsia"/>
                <w:szCs w:val="21"/>
              </w:rPr>
              <w:t>-</w:t>
            </w:r>
          </w:p>
        </w:tc>
      </w:tr>
      <w:tr w:rsidTr="0086710F">
        <w:tblPrEx>
          <w:tblW w:w="0" w:type="auto"/>
          <w:tblInd w:w="108" w:type="dxa"/>
          <w:tblLayout w:type="fixed"/>
          <w:tblLook w:val="00A0"/>
        </w:tblPrEx>
        <w:tc>
          <w:tcPr>
            <w:tcW w:w="1080" w:type="dxa"/>
            <w:vAlign w:val="center"/>
          </w:tcPr>
          <w:p w:rsidR="001548F9" w:rsidRPr="0045565B" w:rsidP="00DB5F3B">
            <w:pPr>
              <w:jc w:val="center"/>
              <w:rPr>
                <w:rFonts w:eastAsiaTheme="minorEastAsia"/>
                <w:color w:val="000000"/>
                <w:szCs w:val="21"/>
              </w:rPr>
            </w:pPr>
          </w:p>
        </w:tc>
        <w:tc>
          <w:tcPr>
            <w:tcW w:w="3600" w:type="dxa"/>
            <w:vAlign w:val="center"/>
          </w:tcPr>
          <w:p w:rsidR="001548F9" w:rsidRPr="0045565B" w:rsidP="0086710F">
            <w:pPr>
              <w:rPr>
                <w:rFonts w:eastAsiaTheme="minorEastAsia"/>
                <w:color w:val="000000"/>
                <w:szCs w:val="21"/>
              </w:rPr>
            </w:pPr>
            <w:r w:rsidRPr="0045565B">
              <w:rPr>
                <w:rFonts w:eastAsiaTheme="minorEastAsia"/>
                <w:szCs w:val="21"/>
              </w:rPr>
              <w:t>合计</w:t>
            </w:r>
          </w:p>
        </w:tc>
        <w:tc>
          <w:tcPr>
            <w:tcW w:w="2160" w:type="dxa"/>
            <w:vAlign w:val="center"/>
          </w:tcPr>
          <w:p w:rsidR="001548F9" w:rsidRPr="0045565B" w:rsidP="00DB5F3B">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13,366,011.50</w:t>
            </w:r>
          </w:p>
        </w:tc>
        <w:tc>
          <w:tcPr>
            <w:tcW w:w="2160" w:type="dxa"/>
            <w:vAlign w:val="center"/>
          </w:tcPr>
          <w:p w:rsidR="001548F9" w:rsidRPr="0045565B" w:rsidP="00DB5F3B">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85.32</w:t>
            </w:r>
          </w:p>
        </w:tc>
      </w:tr>
    </w:tbl>
    <w:p w:rsidR="001548F9" w:rsidRPr="0045565B" w:rsidP="0072541E">
      <w:pPr>
        <w:pStyle w:val="Heading2"/>
        <w:spacing w:before="312" w:beforeLines="100" w:after="0"/>
        <w:rPr>
          <w:rFonts w:ascii="Times New Roman" w:hAnsi="Times New Roman" w:eastAsiaTheme="minorEastAsia"/>
          <w:kern w:val="0"/>
          <w:sz w:val="21"/>
          <w:szCs w:val="21"/>
        </w:rPr>
      </w:pPr>
      <w:bookmarkStart w:id="58" w:name="_Toc331410104"/>
      <w:r w:rsidRPr="0045565B">
        <w:rPr>
          <w:rFonts w:ascii="Times New Roman" w:hAnsi="Times New Roman" w:eastAsiaTheme="minorEastAsia"/>
          <w:kern w:val="0"/>
          <w:sz w:val="21"/>
          <w:szCs w:val="21"/>
        </w:rPr>
        <w:t xml:space="preserve">7.3 </w:t>
      </w:r>
      <w:r w:rsidRPr="0045565B" w:rsidR="000A6E4A">
        <w:rPr>
          <w:rFonts w:ascii="Times New Roman" w:hAnsi="Times New Roman" w:eastAsiaTheme="minorEastAsia"/>
          <w:kern w:val="0"/>
          <w:sz w:val="21"/>
          <w:szCs w:val="21"/>
        </w:rPr>
        <w:t>期末按公允价值占基金资产净值比例大小排序的前十名</w:t>
      </w:r>
      <w:r w:rsidRPr="0045565B">
        <w:rPr>
          <w:rFonts w:ascii="Times New Roman" w:hAnsi="Times New Roman" w:eastAsiaTheme="minorEastAsia"/>
          <w:kern w:val="0"/>
          <w:sz w:val="21"/>
          <w:szCs w:val="21"/>
        </w:rPr>
        <w:t>股票投资明细</w:t>
      </w:r>
      <w:bookmarkEnd w:id="58"/>
    </w:p>
    <w:p w:rsidR="00F550EB" w:rsidRPr="00B17B29" w:rsidP="00F550EB">
      <w:pPr>
        <w:autoSpaceDE w:val="0"/>
        <w:autoSpaceDN w:val="0"/>
        <w:adjustRightInd w:val="0"/>
        <w:spacing w:before="29" w:line="288" w:lineRule="auto"/>
        <w:ind w:left="15"/>
        <w:jc w:val="right"/>
        <w:rPr>
          <w:color w:val="000000"/>
          <w:kern w:val="0"/>
          <w:szCs w:val="21"/>
        </w:rPr>
      </w:pPr>
      <w:r w:rsidRPr="00B17B29">
        <w:rPr>
          <w:color w:val="000000"/>
          <w:szCs w:val="21"/>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1701"/>
        <w:gridCol w:w="1276"/>
        <w:gridCol w:w="1842"/>
        <w:gridCol w:w="1616"/>
      </w:tblGrid>
      <w:tr w:rsidTr="0049376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jc w:val="center"/>
        </w:trPr>
        <w:tc>
          <w:tcPr>
            <w:tcW w:w="817" w:type="dxa"/>
            <w:vAlign w:val="center"/>
          </w:tcPr>
          <w:p w:rsidR="00F550EB" w:rsidRPr="00B17B29" w:rsidP="0049376A">
            <w:pPr>
              <w:spacing w:before="29" w:line="360" w:lineRule="auto"/>
              <w:ind w:left="17"/>
              <w:jc w:val="center"/>
              <w:rPr>
                <w:color w:val="000000"/>
                <w:szCs w:val="21"/>
              </w:rPr>
            </w:pPr>
            <w:r w:rsidRPr="00B17B29">
              <w:rPr>
                <w:color w:val="000000"/>
                <w:szCs w:val="21"/>
              </w:rPr>
              <w:t>序号</w:t>
            </w:r>
          </w:p>
        </w:tc>
        <w:tc>
          <w:tcPr>
            <w:tcW w:w="1276" w:type="dxa"/>
            <w:vAlign w:val="center"/>
          </w:tcPr>
          <w:p w:rsidR="00F550EB" w:rsidRPr="00B17B29" w:rsidP="0049376A">
            <w:pPr>
              <w:spacing w:before="29" w:line="360" w:lineRule="auto"/>
              <w:ind w:left="17"/>
              <w:jc w:val="center"/>
              <w:rPr>
                <w:color w:val="000000"/>
                <w:szCs w:val="21"/>
              </w:rPr>
            </w:pPr>
            <w:r w:rsidRPr="00B17B29">
              <w:rPr>
                <w:color w:val="000000"/>
                <w:szCs w:val="21"/>
              </w:rPr>
              <w:t>股票代码</w:t>
            </w:r>
          </w:p>
        </w:tc>
        <w:tc>
          <w:tcPr>
            <w:tcW w:w="1701" w:type="dxa"/>
            <w:vAlign w:val="center"/>
          </w:tcPr>
          <w:p w:rsidR="00F550EB" w:rsidRPr="00B17B29" w:rsidP="0049376A">
            <w:pPr>
              <w:spacing w:before="29" w:line="360" w:lineRule="auto"/>
              <w:ind w:left="17"/>
              <w:jc w:val="center"/>
              <w:rPr>
                <w:color w:val="000000"/>
                <w:szCs w:val="21"/>
              </w:rPr>
            </w:pPr>
            <w:r w:rsidRPr="00B17B29">
              <w:rPr>
                <w:color w:val="000000"/>
                <w:szCs w:val="21"/>
              </w:rPr>
              <w:t>股票名称</w:t>
            </w:r>
          </w:p>
        </w:tc>
        <w:tc>
          <w:tcPr>
            <w:tcW w:w="1276" w:type="dxa"/>
            <w:vAlign w:val="center"/>
          </w:tcPr>
          <w:p w:rsidR="00F550EB" w:rsidRPr="00B17B29" w:rsidP="0049376A">
            <w:pPr>
              <w:spacing w:before="29" w:line="360" w:lineRule="auto"/>
              <w:ind w:left="17"/>
              <w:jc w:val="center"/>
              <w:rPr>
                <w:color w:val="000000"/>
                <w:szCs w:val="21"/>
              </w:rPr>
            </w:pPr>
            <w:r w:rsidRPr="00B17B29">
              <w:rPr>
                <w:color w:val="000000"/>
                <w:szCs w:val="21"/>
              </w:rPr>
              <w:t>数量</w:t>
            </w:r>
            <w:r w:rsidRPr="00B17B29">
              <w:rPr>
                <w:color w:val="000000"/>
                <w:szCs w:val="21"/>
              </w:rPr>
              <w:t>(</w:t>
            </w:r>
            <w:r w:rsidRPr="00B17B29">
              <w:rPr>
                <w:color w:val="000000"/>
                <w:szCs w:val="21"/>
              </w:rPr>
              <w:t>股</w:t>
            </w:r>
            <w:r w:rsidRPr="00B17B29">
              <w:rPr>
                <w:color w:val="000000"/>
                <w:szCs w:val="21"/>
              </w:rPr>
              <w:t>)</w:t>
            </w:r>
          </w:p>
        </w:tc>
        <w:tc>
          <w:tcPr>
            <w:tcW w:w="1842" w:type="dxa"/>
            <w:vAlign w:val="center"/>
          </w:tcPr>
          <w:p w:rsidR="00F550EB" w:rsidRPr="00B17B29" w:rsidP="0049376A">
            <w:pPr>
              <w:autoSpaceDE w:val="0"/>
              <w:autoSpaceDN w:val="0"/>
              <w:adjustRightInd w:val="0"/>
              <w:spacing w:before="29" w:line="360" w:lineRule="auto"/>
              <w:ind w:left="17"/>
              <w:jc w:val="center"/>
              <w:rPr>
                <w:color w:val="000000"/>
                <w:szCs w:val="21"/>
              </w:rPr>
            </w:pPr>
            <w:r w:rsidRPr="00B17B29">
              <w:rPr>
                <w:color w:val="000000"/>
                <w:szCs w:val="21"/>
              </w:rPr>
              <w:t>公允价值</w:t>
            </w:r>
          </w:p>
        </w:tc>
        <w:tc>
          <w:tcPr>
            <w:tcW w:w="1616" w:type="dxa"/>
            <w:vAlign w:val="center"/>
          </w:tcPr>
          <w:p w:rsidR="00F550EB" w:rsidRPr="00B17B29" w:rsidP="0049376A">
            <w:pPr>
              <w:spacing w:before="29" w:line="360" w:lineRule="auto"/>
              <w:ind w:left="17"/>
              <w:jc w:val="center"/>
              <w:rPr>
                <w:color w:val="000000"/>
                <w:szCs w:val="21"/>
              </w:rPr>
            </w:pPr>
            <w:r w:rsidRPr="00B17B29">
              <w:rPr>
                <w:color w:val="000000"/>
                <w:szCs w:val="21"/>
              </w:rPr>
              <w:t>占基金资产净值比例</w:t>
            </w:r>
            <w:r w:rsidRPr="00B17B29">
              <w:rPr>
                <w:color w:val="000000"/>
                <w:szCs w:val="21"/>
              </w:rPr>
              <w:t>(</w:t>
            </w:r>
            <w:r w:rsidRPr="00B17B29">
              <w:rPr>
                <w:color w:val="000000"/>
                <w:szCs w:val="21"/>
              </w:rPr>
              <w:t>％</w:t>
            </w:r>
            <w:r w:rsidRPr="00B17B29">
              <w:rPr>
                <w:color w:val="000000"/>
                <w:szCs w:val="21"/>
              </w:rPr>
              <w:t>)</w:t>
            </w:r>
          </w:p>
        </w:tc>
      </w:tr>
      <w:tr>
        <w:tblPrEx>
          <w:tblW w:w="0" w:type="auto"/>
          <w:jc w:val="center"/>
          <w:tblLayout w:type="fixed"/>
          <w:tblLook w:val="00A0"/>
        </w:tblPrEx>
        <w:trPr>
          <w:jc w:val="center"/>
        </w:trPr>
        <w:tc>
          <w:tcPr>
            <w:vAlign w:val="center"/>
          </w:tcPr>
          <w:p>
            <w:pPr>
              <w:jc w:val="center"/>
            </w:pPr>
            <w:r>
              <w:rPr>
                <w:color w:val="000000"/>
                <w:szCs w:val="21"/>
              </w:rPr>
              <w:t>1</w:t>
            </w:r>
          </w:p>
        </w:tc>
        <w:tc>
          <w:tcPr>
            <w:vAlign w:val="center"/>
          </w:tcPr>
          <w:p>
            <w:pPr>
              <w:jc w:val="center"/>
            </w:pPr>
            <w:r>
              <w:rPr>
                <w:color w:val="000000"/>
                <w:szCs w:val="21"/>
              </w:rPr>
              <w:t>300595</w:t>
            </w:r>
          </w:p>
        </w:tc>
        <w:tc>
          <w:tcPr>
            <w:vAlign w:val="center"/>
          </w:tcPr>
          <w:p>
            <w:pPr>
              <w:jc w:val="center"/>
            </w:pPr>
            <w:r>
              <w:rPr>
                <w:color w:val="000000"/>
                <w:szCs w:val="21"/>
              </w:rPr>
              <w:t>欧普康视</w:t>
            </w:r>
          </w:p>
        </w:tc>
        <w:tc>
          <w:tcPr>
            <w:vAlign w:val="center"/>
          </w:tcPr>
          <w:p>
            <w:pPr>
              <w:jc w:val="right"/>
            </w:pPr>
            <w:r>
              <w:rPr>
                <w:color w:val="000000"/>
                <w:szCs w:val="21"/>
              </w:rPr>
              <w:t>35,360</w:t>
            </w:r>
          </w:p>
        </w:tc>
        <w:tc>
          <w:tcPr>
            <w:vAlign w:val="center"/>
          </w:tcPr>
          <w:p>
            <w:pPr>
              <w:jc w:val="right"/>
            </w:pPr>
            <w:r>
              <w:rPr>
                <w:color w:val="000000"/>
                <w:szCs w:val="21"/>
              </w:rPr>
              <w:t>1,258,816.00</w:t>
            </w:r>
          </w:p>
        </w:tc>
        <w:tc>
          <w:tcPr>
            <w:vAlign w:val="center"/>
          </w:tcPr>
          <w:p>
            <w:pPr>
              <w:jc w:val="right"/>
            </w:pPr>
            <w:r>
              <w:rPr>
                <w:color w:val="000000"/>
                <w:szCs w:val="21"/>
              </w:rPr>
              <w:t>8.04</w:t>
            </w:r>
          </w:p>
        </w:tc>
      </w:tr>
      <w:tr>
        <w:tblPrEx>
          <w:tblW w:w="0" w:type="auto"/>
          <w:jc w:val="center"/>
          <w:tblLayout w:type="fixed"/>
          <w:tblLook w:val="00A0"/>
        </w:tblPrEx>
        <w:trPr>
          <w:jc w:val="center"/>
        </w:trPr>
        <w:tc>
          <w:tcPr>
            <w:vAlign w:val="center"/>
          </w:tcPr>
          <w:p>
            <w:pPr>
              <w:jc w:val="center"/>
            </w:pPr>
            <w:r>
              <w:rPr>
                <w:color w:val="000000"/>
                <w:szCs w:val="21"/>
              </w:rPr>
              <w:t>2</w:t>
            </w:r>
          </w:p>
        </w:tc>
        <w:tc>
          <w:tcPr>
            <w:vAlign w:val="center"/>
          </w:tcPr>
          <w:p>
            <w:pPr>
              <w:jc w:val="center"/>
            </w:pPr>
            <w:r>
              <w:rPr>
                <w:color w:val="000000"/>
                <w:szCs w:val="21"/>
              </w:rPr>
              <w:t>300630</w:t>
            </w:r>
          </w:p>
        </w:tc>
        <w:tc>
          <w:tcPr>
            <w:vAlign w:val="center"/>
          </w:tcPr>
          <w:p>
            <w:pPr>
              <w:jc w:val="center"/>
            </w:pPr>
            <w:r>
              <w:rPr>
                <w:color w:val="000000"/>
                <w:szCs w:val="21"/>
              </w:rPr>
              <w:t>普利制药</w:t>
            </w:r>
          </w:p>
        </w:tc>
        <w:tc>
          <w:tcPr>
            <w:vAlign w:val="center"/>
          </w:tcPr>
          <w:p>
            <w:pPr>
              <w:jc w:val="right"/>
            </w:pPr>
            <w:r>
              <w:rPr>
                <w:color w:val="000000"/>
                <w:szCs w:val="21"/>
              </w:rPr>
              <w:t>19,350</w:t>
            </w:r>
          </w:p>
        </w:tc>
        <w:tc>
          <w:tcPr>
            <w:vAlign w:val="center"/>
          </w:tcPr>
          <w:p>
            <w:pPr>
              <w:jc w:val="right"/>
            </w:pPr>
            <w:r>
              <w:rPr>
                <w:color w:val="000000"/>
                <w:szCs w:val="21"/>
              </w:rPr>
              <w:t>1,114,947.00</w:t>
            </w:r>
          </w:p>
        </w:tc>
        <w:tc>
          <w:tcPr>
            <w:vAlign w:val="center"/>
          </w:tcPr>
          <w:p>
            <w:pPr>
              <w:jc w:val="right"/>
            </w:pPr>
            <w:r>
              <w:rPr>
                <w:color w:val="000000"/>
                <w:szCs w:val="21"/>
              </w:rPr>
              <w:t>7.12</w:t>
            </w:r>
          </w:p>
        </w:tc>
      </w:tr>
      <w:tr>
        <w:tblPrEx>
          <w:tblW w:w="0" w:type="auto"/>
          <w:jc w:val="center"/>
          <w:tblLayout w:type="fixed"/>
          <w:tblLook w:val="00A0"/>
        </w:tblPrEx>
        <w:trPr>
          <w:jc w:val="center"/>
        </w:trPr>
        <w:tc>
          <w:tcPr>
            <w:vAlign w:val="center"/>
          </w:tcPr>
          <w:p>
            <w:pPr>
              <w:jc w:val="center"/>
            </w:pPr>
            <w:r>
              <w:rPr>
                <w:color w:val="000000"/>
                <w:szCs w:val="21"/>
              </w:rPr>
              <w:t>3</w:t>
            </w:r>
          </w:p>
        </w:tc>
        <w:tc>
          <w:tcPr>
            <w:vAlign w:val="center"/>
          </w:tcPr>
          <w:p>
            <w:pPr>
              <w:jc w:val="center"/>
            </w:pPr>
            <w:r>
              <w:rPr>
                <w:color w:val="000000"/>
                <w:szCs w:val="21"/>
              </w:rPr>
              <w:t>300015</w:t>
            </w:r>
          </w:p>
        </w:tc>
        <w:tc>
          <w:tcPr>
            <w:vAlign w:val="center"/>
          </w:tcPr>
          <w:p>
            <w:pPr>
              <w:jc w:val="center"/>
            </w:pPr>
            <w:r>
              <w:rPr>
                <w:color w:val="000000"/>
                <w:szCs w:val="21"/>
              </w:rPr>
              <w:t>爱尔眼科</w:t>
            </w:r>
          </w:p>
        </w:tc>
        <w:tc>
          <w:tcPr>
            <w:vAlign w:val="center"/>
          </w:tcPr>
          <w:p>
            <w:pPr>
              <w:jc w:val="right"/>
            </w:pPr>
            <w:r>
              <w:rPr>
                <w:color w:val="000000"/>
                <w:szCs w:val="21"/>
              </w:rPr>
              <w:t>35,420</w:t>
            </w:r>
          </w:p>
        </w:tc>
        <w:tc>
          <w:tcPr>
            <w:vAlign w:val="center"/>
          </w:tcPr>
          <w:p>
            <w:pPr>
              <w:jc w:val="right"/>
            </w:pPr>
            <w:r>
              <w:rPr>
                <w:color w:val="000000"/>
                <w:szCs w:val="21"/>
              </w:rPr>
              <w:t>1,096,957.40</w:t>
            </w:r>
          </w:p>
        </w:tc>
        <w:tc>
          <w:tcPr>
            <w:vAlign w:val="center"/>
          </w:tcPr>
          <w:p>
            <w:pPr>
              <w:jc w:val="right"/>
            </w:pPr>
            <w:r>
              <w:rPr>
                <w:color w:val="000000"/>
                <w:szCs w:val="21"/>
              </w:rPr>
              <w:t>7.00</w:t>
            </w:r>
          </w:p>
        </w:tc>
      </w:tr>
      <w:tr>
        <w:tblPrEx>
          <w:tblW w:w="0" w:type="auto"/>
          <w:jc w:val="center"/>
          <w:tblLayout w:type="fixed"/>
          <w:tblLook w:val="00A0"/>
        </w:tblPrEx>
        <w:trPr>
          <w:jc w:val="center"/>
        </w:trPr>
        <w:tc>
          <w:tcPr>
            <w:vAlign w:val="center"/>
          </w:tcPr>
          <w:p>
            <w:pPr>
              <w:jc w:val="center"/>
            </w:pPr>
            <w:r>
              <w:rPr>
                <w:color w:val="000000"/>
                <w:szCs w:val="21"/>
              </w:rPr>
              <w:t>4</w:t>
            </w:r>
          </w:p>
        </w:tc>
        <w:tc>
          <w:tcPr>
            <w:vAlign w:val="center"/>
          </w:tcPr>
          <w:p>
            <w:pPr>
              <w:jc w:val="center"/>
            </w:pPr>
            <w:r>
              <w:rPr>
                <w:color w:val="000000"/>
                <w:szCs w:val="21"/>
              </w:rPr>
              <w:t>002223</w:t>
            </w:r>
          </w:p>
        </w:tc>
        <w:tc>
          <w:tcPr>
            <w:vAlign w:val="center"/>
          </w:tcPr>
          <w:p>
            <w:pPr>
              <w:jc w:val="center"/>
            </w:pPr>
            <w:r>
              <w:rPr>
                <w:color w:val="000000"/>
                <w:szCs w:val="21"/>
              </w:rPr>
              <w:t>鱼跃医疗</w:t>
            </w:r>
          </w:p>
        </w:tc>
        <w:tc>
          <w:tcPr>
            <w:vAlign w:val="center"/>
          </w:tcPr>
          <w:p>
            <w:pPr>
              <w:jc w:val="right"/>
            </w:pPr>
            <w:r>
              <w:rPr>
                <w:color w:val="000000"/>
                <w:szCs w:val="21"/>
              </w:rPr>
              <w:t>43,700</w:t>
            </w:r>
          </w:p>
        </w:tc>
        <w:tc>
          <w:tcPr>
            <w:vAlign w:val="center"/>
          </w:tcPr>
          <w:p>
            <w:pPr>
              <w:jc w:val="right"/>
            </w:pPr>
            <w:r>
              <w:rPr>
                <w:color w:val="000000"/>
                <w:szCs w:val="21"/>
              </w:rPr>
              <w:t>1,075,894.00</w:t>
            </w:r>
          </w:p>
        </w:tc>
        <w:tc>
          <w:tcPr>
            <w:vAlign w:val="center"/>
          </w:tcPr>
          <w:p>
            <w:pPr>
              <w:jc w:val="right"/>
            </w:pPr>
            <w:r>
              <w:rPr>
                <w:color w:val="000000"/>
                <w:szCs w:val="21"/>
              </w:rPr>
              <w:t>6.87</w:t>
            </w:r>
          </w:p>
        </w:tc>
      </w:tr>
      <w:tr>
        <w:tblPrEx>
          <w:tblW w:w="0" w:type="auto"/>
          <w:jc w:val="center"/>
          <w:tblLayout w:type="fixed"/>
          <w:tblLook w:val="00A0"/>
        </w:tblPrEx>
        <w:trPr>
          <w:jc w:val="center"/>
        </w:trPr>
        <w:tc>
          <w:tcPr>
            <w:vAlign w:val="center"/>
          </w:tcPr>
          <w:p>
            <w:pPr>
              <w:jc w:val="center"/>
            </w:pPr>
            <w:r>
              <w:rPr>
                <w:color w:val="000000"/>
                <w:szCs w:val="21"/>
              </w:rPr>
              <w:t>5</w:t>
            </w:r>
          </w:p>
        </w:tc>
        <w:tc>
          <w:tcPr>
            <w:vAlign w:val="center"/>
          </w:tcPr>
          <w:p>
            <w:pPr>
              <w:jc w:val="center"/>
            </w:pPr>
            <w:r>
              <w:rPr>
                <w:color w:val="000000"/>
                <w:szCs w:val="21"/>
              </w:rPr>
              <w:t>603707</w:t>
            </w:r>
          </w:p>
        </w:tc>
        <w:tc>
          <w:tcPr>
            <w:vAlign w:val="center"/>
          </w:tcPr>
          <w:p>
            <w:pPr>
              <w:jc w:val="center"/>
            </w:pPr>
            <w:r>
              <w:rPr>
                <w:color w:val="000000"/>
                <w:szCs w:val="21"/>
              </w:rPr>
              <w:t>健友股份</w:t>
            </w:r>
          </w:p>
        </w:tc>
        <w:tc>
          <w:tcPr>
            <w:vAlign w:val="center"/>
          </w:tcPr>
          <w:p>
            <w:pPr>
              <w:jc w:val="right"/>
            </w:pPr>
            <w:r>
              <w:rPr>
                <w:color w:val="000000"/>
                <w:szCs w:val="21"/>
              </w:rPr>
              <w:t>29,800</w:t>
            </w:r>
          </w:p>
        </w:tc>
        <w:tc>
          <w:tcPr>
            <w:vAlign w:val="center"/>
          </w:tcPr>
          <w:p>
            <w:pPr>
              <w:jc w:val="right"/>
            </w:pPr>
            <w:r>
              <w:rPr>
                <w:color w:val="000000"/>
                <w:szCs w:val="21"/>
              </w:rPr>
              <w:t>1,053,430.00</w:t>
            </w:r>
          </w:p>
        </w:tc>
        <w:tc>
          <w:tcPr>
            <w:vAlign w:val="center"/>
          </w:tcPr>
          <w:p>
            <w:pPr>
              <w:jc w:val="right"/>
            </w:pPr>
            <w:r>
              <w:rPr>
                <w:color w:val="000000"/>
                <w:szCs w:val="21"/>
              </w:rPr>
              <w:t>6.72</w:t>
            </w:r>
          </w:p>
        </w:tc>
      </w:tr>
      <w:tr>
        <w:tblPrEx>
          <w:tblW w:w="0" w:type="auto"/>
          <w:jc w:val="center"/>
          <w:tblLayout w:type="fixed"/>
          <w:tblLook w:val="00A0"/>
        </w:tblPrEx>
        <w:trPr>
          <w:jc w:val="center"/>
        </w:trPr>
        <w:tc>
          <w:tcPr>
            <w:vAlign w:val="center"/>
          </w:tcPr>
          <w:p>
            <w:pPr>
              <w:jc w:val="center"/>
            </w:pPr>
            <w:r>
              <w:rPr>
                <w:color w:val="000000"/>
                <w:szCs w:val="21"/>
              </w:rPr>
              <w:t>6</w:t>
            </w:r>
          </w:p>
        </w:tc>
        <w:tc>
          <w:tcPr>
            <w:vAlign w:val="center"/>
          </w:tcPr>
          <w:p>
            <w:pPr>
              <w:jc w:val="center"/>
            </w:pPr>
            <w:r>
              <w:rPr>
                <w:color w:val="000000"/>
                <w:szCs w:val="21"/>
              </w:rPr>
              <w:t>600276</w:t>
            </w:r>
          </w:p>
        </w:tc>
        <w:tc>
          <w:tcPr>
            <w:vAlign w:val="center"/>
          </w:tcPr>
          <w:p>
            <w:pPr>
              <w:jc w:val="center"/>
            </w:pPr>
            <w:r>
              <w:rPr>
                <w:color w:val="000000"/>
                <w:szCs w:val="21"/>
              </w:rPr>
              <w:t>恒瑞医药</w:t>
            </w:r>
          </w:p>
        </w:tc>
        <w:tc>
          <w:tcPr>
            <w:vAlign w:val="center"/>
          </w:tcPr>
          <w:p>
            <w:pPr>
              <w:jc w:val="right"/>
            </w:pPr>
            <w:r>
              <w:rPr>
                <w:color w:val="000000"/>
                <w:szCs w:val="21"/>
              </w:rPr>
              <w:t>15,320</w:t>
            </w:r>
          </w:p>
        </w:tc>
        <w:tc>
          <w:tcPr>
            <w:vAlign w:val="center"/>
          </w:tcPr>
          <w:p>
            <w:pPr>
              <w:jc w:val="right"/>
            </w:pPr>
            <w:r>
              <w:rPr>
                <w:color w:val="000000"/>
                <w:szCs w:val="21"/>
              </w:rPr>
              <w:t>1,011,120.00</w:t>
            </w:r>
          </w:p>
        </w:tc>
        <w:tc>
          <w:tcPr>
            <w:vAlign w:val="center"/>
          </w:tcPr>
          <w:p>
            <w:pPr>
              <w:jc w:val="right"/>
            </w:pPr>
            <w:r>
              <w:rPr>
                <w:color w:val="000000"/>
                <w:szCs w:val="21"/>
              </w:rPr>
              <w:t>6.45</w:t>
            </w:r>
          </w:p>
        </w:tc>
      </w:tr>
      <w:tr>
        <w:tblPrEx>
          <w:tblW w:w="0" w:type="auto"/>
          <w:jc w:val="center"/>
          <w:tblLayout w:type="fixed"/>
          <w:tblLook w:val="00A0"/>
        </w:tblPrEx>
        <w:trPr>
          <w:jc w:val="center"/>
        </w:trPr>
        <w:tc>
          <w:tcPr>
            <w:vAlign w:val="center"/>
          </w:tcPr>
          <w:p>
            <w:pPr>
              <w:jc w:val="center"/>
            </w:pPr>
            <w:r>
              <w:rPr>
                <w:color w:val="000000"/>
                <w:szCs w:val="21"/>
              </w:rPr>
              <w:t>7</w:t>
            </w:r>
          </w:p>
        </w:tc>
        <w:tc>
          <w:tcPr>
            <w:vAlign w:val="center"/>
          </w:tcPr>
          <w:p>
            <w:pPr>
              <w:jc w:val="center"/>
            </w:pPr>
            <w:r>
              <w:rPr>
                <w:color w:val="000000"/>
                <w:szCs w:val="21"/>
              </w:rPr>
              <w:t>002810</w:t>
            </w:r>
          </w:p>
        </w:tc>
        <w:tc>
          <w:tcPr>
            <w:vAlign w:val="center"/>
          </w:tcPr>
          <w:p>
            <w:pPr>
              <w:jc w:val="center"/>
            </w:pPr>
            <w:r>
              <w:rPr>
                <w:color w:val="000000"/>
                <w:szCs w:val="21"/>
              </w:rPr>
              <w:t>山东赫达</w:t>
            </w:r>
          </w:p>
        </w:tc>
        <w:tc>
          <w:tcPr>
            <w:vAlign w:val="center"/>
          </w:tcPr>
          <w:p>
            <w:pPr>
              <w:jc w:val="right"/>
            </w:pPr>
            <w:r>
              <w:rPr>
                <w:color w:val="000000"/>
                <w:szCs w:val="21"/>
              </w:rPr>
              <w:t>61,768</w:t>
            </w:r>
          </w:p>
        </w:tc>
        <w:tc>
          <w:tcPr>
            <w:vAlign w:val="center"/>
          </w:tcPr>
          <w:p>
            <w:pPr>
              <w:jc w:val="right"/>
            </w:pPr>
            <w:r>
              <w:rPr>
                <w:color w:val="000000"/>
                <w:szCs w:val="21"/>
              </w:rPr>
              <w:t>870,928.80</w:t>
            </w:r>
          </w:p>
        </w:tc>
        <w:tc>
          <w:tcPr>
            <w:vAlign w:val="center"/>
          </w:tcPr>
          <w:p>
            <w:pPr>
              <w:jc w:val="right"/>
            </w:pPr>
            <w:r>
              <w:rPr>
                <w:color w:val="000000"/>
                <w:szCs w:val="21"/>
              </w:rPr>
              <w:t>5.56</w:t>
            </w:r>
          </w:p>
        </w:tc>
      </w:tr>
      <w:tr>
        <w:tblPrEx>
          <w:tblW w:w="0" w:type="auto"/>
          <w:jc w:val="center"/>
          <w:tblLayout w:type="fixed"/>
          <w:tblLook w:val="00A0"/>
        </w:tblPrEx>
        <w:trPr>
          <w:jc w:val="center"/>
        </w:trPr>
        <w:tc>
          <w:tcPr>
            <w:vAlign w:val="center"/>
          </w:tcPr>
          <w:p>
            <w:pPr>
              <w:jc w:val="center"/>
            </w:pPr>
            <w:r>
              <w:rPr>
                <w:color w:val="000000"/>
                <w:szCs w:val="21"/>
              </w:rPr>
              <w:t>8</w:t>
            </w:r>
          </w:p>
        </w:tc>
        <w:tc>
          <w:tcPr>
            <w:vAlign w:val="center"/>
          </w:tcPr>
          <w:p>
            <w:pPr>
              <w:jc w:val="center"/>
            </w:pPr>
            <w:r>
              <w:rPr>
                <w:color w:val="000000"/>
                <w:szCs w:val="21"/>
              </w:rPr>
              <w:t>300122</w:t>
            </w:r>
          </w:p>
        </w:tc>
        <w:tc>
          <w:tcPr>
            <w:vAlign w:val="center"/>
          </w:tcPr>
          <w:p>
            <w:pPr>
              <w:jc w:val="center"/>
            </w:pPr>
            <w:r>
              <w:rPr>
                <w:color w:val="000000"/>
                <w:szCs w:val="21"/>
              </w:rPr>
              <w:t>智飞生物</w:t>
            </w:r>
          </w:p>
        </w:tc>
        <w:tc>
          <w:tcPr>
            <w:vAlign w:val="center"/>
          </w:tcPr>
          <w:p>
            <w:pPr>
              <w:jc w:val="right"/>
            </w:pPr>
            <w:r>
              <w:rPr>
                <w:color w:val="000000"/>
                <w:szCs w:val="21"/>
              </w:rPr>
              <w:t>19,058</w:t>
            </w:r>
          </w:p>
        </w:tc>
        <w:tc>
          <w:tcPr>
            <w:vAlign w:val="center"/>
          </w:tcPr>
          <w:p>
            <w:pPr>
              <w:jc w:val="right"/>
            </w:pPr>
            <w:r>
              <w:rPr>
                <w:color w:val="000000"/>
                <w:szCs w:val="21"/>
              </w:rPr>
              <w:t>821,399.80</w:t>
            </w:r>
          </w:p>
        </w:tc>
        <w:tc>
          <w:tcPr>
            <w:vAlign w:val="center"/>
          </w:tcPr>
          <w:p>
            <w:pPr>
              <w:jc w:val="right"/>
            </w:pPr>
            <w:r>
              <w:rPr>
                <w:color w:val="000000"/>
                <w:szCs w:val="21"/>
              </w:rPr>
              <w:t>5.24</w:t>
            </w:r>
          </w:p>
        </w:tc>
      </w:tr>
      <w:tr>
        <w:tblPrEx>
          <w:tblW w:w="0" w:type="auto"/>
          <w:jc w:val="center"/>
          <w:tblLayout w:type="fixed"/>
          <w:tblLook w:val="00A0"/>
        </w:tblPrEx>
        <w:trPr>
          <w:jc w:val="center"/>
        </w:trPr>
        <w:tc>
          <w:tcPr>
            <w:vAlign w:val="center"/>
          </w:tcPr>
          <w:p>
            <w:pPr>
              <w:jc w:val="center"/>
            </w:pPr>
            <w:r>
              <w:rPr>
                <w:color w:val="000000"/>
                <w:szCs w:val="21"/>
              </w:rPr>
              <w:t>9</w:t>
            </w:r>
          </w:p>
        </w:tc>
        <w:tc>
          <w:tcPr>
            <w:vAlign w:val="center"/>
          </w:tcPr>
          <w:p>
            <w:pPr>
              <w:jc w:val="center"/>
            </w:pPr>
            <w:r>
              <w:rPr>
                <w:color w:val="000000"/>
                <w:szCs w:val="21"/>
              </w:rPr>
              <w:t>603259</w:t>
            </w:r>
          </w:p>
        </w:tc>
        <w:tc>
          <w:tcPr>
            <w:vAlign w:val="center"/>
          </w:tcPr>
          <w:p>
            <w:pPr>
              <w:jc w:val="center"/>
            </w:pPr>
            <w:r>
              <w:rPr>
                <w:color w:val="000000"/>
                <w:szCs w:val="21"/>
              </w:rPr>
              <w:t>药明康德</w:t>
            </w:r>
          </w:p>
        </w:tc>
        <w:tc>
          <w:tcPr>
            <w:vAlign w:val="center"/>
          </w:tcPr>
          <w:p>
            <w:pPr>
              <w:jc w:val="right"/>
            </w:pPr>
            <w:r>
              <w:rPr>
                <w:color w:val="000000"/>
                <w:szCs w:val="21"/>
              </w:rPr>
              <w:t>9,100</w:t>
            </w:r>
          </w:p>
        </w:tc>
        <w:tc>
          <w:tcPr>
            <w:vAlign w:val="center"/>
          </w:tcPr>
          <w:p>
            <w:pPr>
              <w:jc w:val="right"/>
            </w:pPr>
            <w:r>
              <w:rPr>
                <w:color w:val="000000"/>
                <w:szCs w:val="21"/>
              </w:rPr>
              <w:t>788,788.00</w:t>
            </w:r>
          </w:p>
        </w:tc>
        <w:tc>
          <w:tcPr>
            <w:vAlign w:val="center"/>
          </w:tcPr>
          <w:p>
            <w:pPr>
              <w:jc w:val="right"/>
            </w:pPr>
            <w:r>
              <w:rPr>
                <w:color w:val="000000"/>
                <w:szCs w:val="21"/>
              </w:rPr>
              <w:t>5.04</w:t>
            </w:r>
          </w:p>
        </w:tc>
      </w:tr>
      <w:tr>
        <w:tblPrEx>
          <w:tblW w:w="0" w:type="auto"/>
          <w:jc w:val="center"/>
          <w:tblLayout w:type="fixed"/>
          <w:tblLook w:val="00A0"/>
        </w:tblPrEx>
        <w:trPr>
          <w:jc w:val="center"/>
        </w:trPr>
        <w:tc>
          <w:tcPr>
            <w:vAlign w:val="center"/>
          </w:tcPr>
          <w:p>
            <w:pPr>
              <w:jc w:val="center"/>
            </w:pPr>
            <w:r>
              <w:rPr>
                <w:color w:val="000000"/>
                <w:szCs w:val="21"/>
              </w:rPr>
              <w:t>10</w:t>
            </w:r>
          </w:p>
        </w:tc>
        <w:tc>
          <w:tcPr>
            <w:vAlign w:val="center"/>
          </w:tcPr>
          <w:p>
            <w:pPr>
              <w:jc w:val="center"/>
            </w:pPr>
            <w:r>
              <w:rPr>
                <w:color w:val="000000"/>
                <w:szCs w:val="21"/>
              </w:rPr>
              <w:t>300451</w:t>
            </w:r>
          </w:p>
        </w:tc>
        <w:tc>
          <w:tcPr>
            <w:vAlign w:val="center"/>
          </w:tcPr>
          <w:p>
            <w:pPr>
              <w:jc w:val="center"/>
            </w:pPr>
            <w:r>
              <w:rPr>
                <w:color w:val="000000"/>
                <w:szCs w:val="21"/>
              </w:rPr>
              <w:t>创业慧康</w:t>
            </w:r>
          </w:p>
        </w:tc>
        <w:tc>
          <w:tcPr>
            <w:vAlign w:val="center"/>
          </w:tcPr>
          <w:p>
            <w:pPr>
              <w:jc w:val="right"/>
            </w:pPr>
            <w:r>
              <w:rPr>
                <w:color w:val="000000"/>
                <w:szCs w:val="21"/>
              </w:rPr>
              <w:t>48,450</w:t>
            </w:r>
          </w:p>
        </w:tc>
        <w:tc>
          <w:tcPr>
            <w:vAlign w:val="center"/>
          </w:tcPr>
          <w:p>
            <w:pPr>
              <w:jc w:val="right"/>
            </w:pPr>
            <w:r>
              <w:rPr>
                <w:color w:val="000000"/>
                <w:szCs w:val="21"/>
              </w:rPr>
              <w:t>724,327.50</w:t>
            </w:r>
          </w:p>
        </w:tc>
        <w:tc>
          <w:tcPr>
            <w:vAlign w:val="center"/>
          </w:tcPr>
          <w:p>
            <w:pPr>
              <w:jc w:val="right"/>
            </w:pPr>
            <w:r>
              <w:rPr>
                <w:color w:val="000000"/>
                <w:szCs w:val="21"/>
              </w:rPr>
              <w:t>4.62</w:t>
            </w:r>
          </w:p>
        </w:tc>
      </w:tr>
    </w:tbl>
    <w:p w:rsidR="00D911A5" w:rsidRPr="0045565B" w:rsidP="00F550EB">
      <w:pPr>
        <w:spacing w:line="360" w:lineRule="auto"/>
        <w:ind w:firstLine="420" w:firstLineChars="200"/>
        <w:rPr>
          <w:rFonts w:eastAsiaTheme="minorEastAsia"/>
        </w:rPr>
      </w:pPr>
      <w:r w:rsidRPr="00DF08E7">
        <w:rPr>
          <w:rFonts w:eastAsiaTheme="minorEastAsia"/>
          <w:color w:val="000000"/>
          <w:szCs w:val="21"/>
        </w:rPr>
        <w:t>注：投资者欲了解本报告期末基金投资的所有股票明细，应阅读登载于基金管理人网站的半年度报告正文。</w:t>
      </w:r>
    </w:p>
    <w:p w:rsidR="001548F9" w:rsidRPr="0045565B" w:rsidP="004F36AD">
      <w:pPr>
        <w:pStyle w:val="Heading2"/>
        <w:spacing w:before="312" w:beforeLines="100" w:after="0"/>
        <w:rPr>
          <w:rFonts w:ascii="Times New Roman" w:hAnsi="Times New Roman" w:eastAsiaTheme="minorEastAsia"/>
          <w:kern w:val="0"/>
          <w:sz w:val="21"/>
          <w:szCs w:val="21"/>
        </w:rPr>
      </w:pPr>
      <w:bookmarkStart w:id="59" w:name="_Toc331410105"/>
      <w:r w:rsidRPr="0045565B">
        <w:rPr>
          <w:rFonts w:ascii="Times New Roman" w:hAnsi="Times New Roman" w:eastAsiaTheme="minorEastAsia"/>
          <w:kern w:val="0"/>
          <w:sz w:val="21"/>
          <w:szCs w:val="21"/>
        </w:rPr>
        <w:t>7.4</w:t>
      </w:r>
      <w:bookmarkStart w:id="60" w:name="_Toc234814103"/>
      <w:r w:rsidRPr="0045565B">
        <w:rPr>
          <w:rFonts w:ascii="Times New Roman" w:hAnsi="Times New Roman" w:eastAsiaTheme="minorEastAsia"/>
          <w:kern w:val="0"/>
          <w:sz w:val="21"/>
          <w:szCs w:val="21"/>
        </w:rPr>
        <w:t>报告期内股票投资组合的重大变动</w:t>
      </w:r>
      <w:bookmarkEnd w:id="59"/>
      <w:bookmarkEnd w:id="60"/>
    </w:p>
    <w:p w:rsidR="001548F9" w:rsidRPr="0045565B" w:rsidP="000323F4">
      <w:pPr>
        <w:spacing w:line="360" w:lineRule="auto"/>
        <w:rPr>
          <w:rFonts w:eastAsiaTheme="minorEastAsia"/>
          <w:b/>
          <w:bCs/>
          <w:color w:val="000000"/>
          <w:szCs w:val="21"/>
        </w:rPr>
      </w:pPr>
      <w:r w:rsidRPr="0045565B">
        <w:rPr>
          <w:rFonts w:eastAsiaTheme="minorEastAsia"/>
          <w:b/>
          <w:color w:val="000000"/>
          <w:szCs w:val="21"/>
        </w:rPr>
        <w:t xml:space="preserve">7.4.1 </w:t>
      </w:r>
      <w:r w:rsidRPr="0045565B" w:rsidR="007E4BC1">
        <w:rPr>
          <w:rFonts w:eastAsiaTheme="minorEastAsia"/>
          <w:b/>
          <w:bCs/>
          <w:color w:val="000000"/>
          <w:szCs w:val="21"/>
        </w:rPr>
        <w:t>累计买入金额超出</w:t>
      </w:r>
      <w:r w:rsidRPr="0045565B" w:rsidR="007E4BC1">
        <w:rPr>
          <w:rFonts w:eastAsiaTheme="minorEastAsia"/>
          <w:b/>
          <w:color w:val="000000"/>
          <w:kern w:val="0"/>
          <w:szCs w:val="21"/>
        </w:rPr>
        <w:t>期初</w:t>
      </w:r>
      <w:r w:rsidRPr="0045565B">
        <w:rPr>
          <w:rFonts w:eastAsiaTheme="minorEastAsia"/>
          <w:b/>
          <w:bCs/>
          <w:color w:val="000000"/>
          <w:szCs w:val="21"/>
        </w:rPr>
        <w:t>基金资产净值</w:t>
      </w:r>
      <w:r w:rsidRPr="0045565B" w:rsidR="00AD1469">
        <w:rPr>
          <w:rFonts w:eastAsiaTheme="minorEastAsia"/>
          <w:b/>
          <w:bCs/>
          <w:color w:val="000000"/>
          <w:szCs w:val="21"/>
        </w:rPr>
        <w:t>2%</w:t>
      </w:r>
      <w:r w:rsidRPr="0045565B">
        <w:rPr>
          <w:rFonts w:eastAsiaTheme="minorEastAsia"/>
          <w:b/>
          <w:bCs/>
          <w:color w:val="000000"/>
          <w:szCs w:val="21"/>
        </w:rPr>
        <w:t>或前</w:t>
      </w:r>
      <w:r w:rsidRPr="0045565B">
        <w:rPr>
          <w:rFonts w:eastAsiaTheme="minorEastAsia"/>
          <w:b/>
          <w:bCs/>
          <w:color w:val="000000"/>
          <w:szCs w:val="21"/>
        </w:rPr>
        <w:t>20</w:t>
      </w:r>
      <w:r w:rsidRPr="0045565B">
        <w:rPr>
          <w:rFonts w:eastAsiaTheme="minorEastAsia"/>
          <w:b/>
          <w:bCs/>
          <w:color w:val="000000"/>
          <w:szCs w:val="21"/>
        </w:rPr>
        <w:t>名的股票明细</w:t>
      </w:r>
    </w:p>
    <w:p w:rsidR="001548F9" w:rsidRPr="0045565B" w:rsidP="008971E9">
      <w:pPr>
        <w:autoSpaceDE w:val="0"/>
        <w:autoSpaceDN w:val="0"/>
        <w:adjustRightInd w:val="0"/>
        <w:spacing w:before="29" w:line="288" w:lineRule="auto"/>
        <w:ind w:left="15"/>
        <w:jc w:val="right"/>
        <w:rPr>
          <w:rFonts w:eastAsiaTheme="minorEastAsia"/>
          <w:color w:val="000000"/>
          <w:kern w:val="0"/>
          <w:szCs w:val="21"/>
        </w:rPr>
      </w:pPr>
      <w:r w:rsidRPr="0045565B">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0"/>
        <w:gridCol w:w="1650"/>
        <w:gridCol w:w="1980"/>
        <w:gridCol w:w="2880"/>
        <w:gridCol w:w="1620"/>
      </w:tblGrid>
      <w:tr w:rsidTr="0070173B">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870" w:type="dxa"/>
            <w:vAlign w:val="center"/>
          </w:tcPr>
          <w:p w:rsidR="001548F9" w:rsidRPr="0045565B" w:rsidP="0070173B">
            <w:pPr>
              <w:jc w:val="center"/>
              <w:rPr>
                <w:rFonts w:eastAsiaTheme="minorEastAsia"/>
                <w:color w:val="000000"/>
                <w:szCs w:val="21"/>
              </w:rPr>
            </w:pPr>
            <w:r w:rsidRPr="0045565B">
              <w:rPr>
                <w:rFonts w:eastAsiaTheme="minorEastAsia"/>
                <w:color w:val="000000"/>
                <w:szCs w:val="21"/>
              </w:rPr>
              <w:t>序号</w:t>
            </w:r>
          </w:p>
        </w:tc>
        <w:tc>
          <w:tcPr>
            <w:tcW w:w="1650" w:type="dxa"/>
            <w:vAlign w:val="center"/>
          </w:tcPr>
          <w:p w:rsidR="001548F9" w:rsidRPr="0045565B" w:rsidP="0070173B">
            <w:pPr>
              <w:jc w:val="center"/>
              <w:rPr>
                <w:rFonts w:eastAsiaTheme="minorEastAsia"/>
                <w:color w:val="000000"/>
                <w:szCs w:val="21"/>
              </w:rPr>
            </w:pPr>
            <w:r w:rsidRPr="0045565B">
              <w:rPr>
                <w:rFonts w:eastAsiaTheme="minorEastAsia"/>
                <w:color w:val="000000"/>
                <w:szCs w:val="21"/>
              </w:rPr>
              <w:t>股票代码</w:t>
            </w:r>
          </w:p>
        </w:tc>
        <w:tc>
          <w:tcPr>
            <w:tcW w:w="1980" w:type="dxa"/>
            <w:vAlign w:val="center"/>
          </w:tcPr>
          <w:p w:rsidR="001548F9" w:rsidRPr="0045565B" w:rsidP="0070173B">
            <w:pPr>
              <w:jc w:val="center"/>
              <w:rPr>
                <w:rFonts w:eastAsiaTheme="minorEastAsia"/>
                <w:color w:val="000000"/>
                <w:szCs w:val="21"/>
              </w:rPr>
            </w:pPr>
            <w:r w:rsidRPr="0045565B">
              <w:rPr>
                <w:rFonts w:eastAsiaTheme="minorEastAsia"/>
                <w:color w:val="000000"/>
                <w:szCs w:val="21"/>
              </w:rPr>
              <w:t>股票名称</w:t>
            </w:r>
          </w:p>
        </w:tc>
        <w:tc>
          <w:tcPr>
            <w:tcW w:w="2880" w:type="dxa"/>
            <w:vAlign w:val="center"/>
          </w:tcPr>
          <w:p w:rsidR="001548F9" w:rsidRPr="0045565B" w:rsidP="0070173B">
            <w:pPr>
              <w:jc w:val="center"/>
              <w:rPr>
                <w:rFonts w:eastAsiaTheme="minorEastAsia"/>
                <w:color w:val="000000"/>
                <w:szCs w:val="21"/>
              </w:rPr>
            </w:pPr>
            <w:r w:rsidRPr="0045565B">
              <w:rPr>
                <w:rFonts w:eastAsiaTheme="minorEastAsia"/>
                <w:color w:val="000000"/>
                <w:szCs w:val="21"/>
              </w:rPr>
              <w:t>本期累计买入金额</w:t>
            </w:r>
          </w:p>
        </w:tc>
        <w:tc>
          <w:tcPr>
            <w:tcW w:w="1620" w:type="dxa"/>
            <w:vAlign w:val="center"/>
          </w:tcPr>
          <w:p w:rsidR="001548F9" w:rsidRPr="0045565B" w:rsidP="0070173B">
            <w:pPr>
              <w:jc w:val="center"/>
              <w:rPr>
                <w:rFonts w:eastAsiaTheme="minorEastAsia"/>
                <w:color w:val="000000"/>
                <w:szCs w:val="21"/>
              </w:rPr>
            </w:pPr>
            <w:r w:rsidRPr="0045565B">
              <w:rPr>
                <w:rFonts w:eastAsiaTheme="minorEastAsia"/>
                <w:color w:val="000000"/>
                <w:szCs w:val="21"/>
              </w:rPr>
              <w:t>占期初基金资产净值比例（％）</w:t>
            </w:r>
          </w:p>
        </w:tc>
      </w:tr>
      <w:tr>
        <w:tblPrEx>
          <w:tblW w:w="0" w:type="auto"/>
          <w:tblInd w:w="108" w:type="dxa"/>
          <w:tblLayout w:type="fixed"/>
          <w:tblLook w:val="00A0"/>
        </w:tblPrEx>
        <w:tc>
          <w:tcPr>
            <w:vAlign w:val="center"/>
          </w:tcPr>
          <w:p>
            <w:pPr>
              <w:jc w:val="center"/>
            </w:pPr>
            <w:r>
              <w:rPr>
                <w:rFonts w:eastAsiaTheme="minorEastAsia"/>
                <w:szCs w:val="21"/>
              </w:rPr>
              <w:t>1</w:t>
            </w:r>
          </w:p>
        </w:tc>
        <w:tc>
          <w:tcPr>
            <w:vAlign w:val="center"/>
          </w:tcPr>
          <w:p>
            <w:pPr>
              <w:jc w:val="center"/>
            </w:pPr>
            <w:r>
              <w:rPr>
                <w:rFonts w:eastAsiaTheme="minorEastAsia"/>
                <w:szCs w:val="21"/>
              </w:rPr>
              <w:t>300122</w:t>
            </w:r>
          </w:p>
        </w:tc>
        <w:tc>
          <w:tcPr>
            <w:vAlign w:val="center"/>
          </w:tcPr>
          <w:p>
            <w:pPr>
              <w:jc w:val="center"/>
            </w:pPr>
            <w:r>
              <w:rPr>
                <w:rFonts w:eastAsiaTheme="minorEastAsia"/>
                <w:szCs w:val="21"/>
              </w:rPr>
              <w:t>智飞生物</w:t>
            </w:r>
          </w:p>
        </w:tc>
        <w:tc>
          <w:tcPr>
            <w:vAlign w:val="center"/>
          </w:tcPr>
          <w:p>
            <w:pPr>
              <w:jc w:val="right"/>
            </w:pPr>
            <w:r>
              <w:rPr>
                <w:rFonts w:eastAsiaTheme="minorEastAsia"/>
                <w:szCs w:val="21"/>
              </w:rPr>
              <w:t>1,527,104.00</w:t>
            </w:r>
          </w:p>
        </w:tc>
        <w:tc>
          <w:tcPr>
            <w:vAlign w:val="center"/>
          </w:tcPr>
          <w:p>
            <w:pPr>
              <w:jc w:val="right"/>
            </w:pPr>
            <w:r>
              <w:rPr>
                <w:rFonts w:eastAsiaTheme="minorEastAsia"/>
                <w:szCs w:val="21"/>
              </w:rPr>
              <w:t>56.25</w:t>
            </w:r>
          </w:p>
        </w:tc>
      </w:tr>
      <w:tr>
        <w:tblPrEx>
          <w:tblW w:w="0" w:type="auto"/>
          <w:tblInd w:w="108" w:type="dxa"/>
          <w:tblLayout w:type="fixed"/>
          <w:tblLook w:val="00A0"/>
        </w:tblPrEx>
        <w:tc>
          <w:tcPr>
            <w:vAlign w:val="center"/>
          </w:tcPr>
          <w:p>
            <w:pPr>
              <w:jc w:val="center"/>
            </w:pPr>
            <w:r>
              <w:rPr>
                <w:rFonts w:eastAsiaTheme="minorEastAsia"/>
                <w:szCs w:val="21"/>
              </w:rPr>
              <w:t>2</w:t>
            </w:r>
          </w:p>
        </w:tc>
        <w:tc>
          <w:tcPr>
            <w:vAlign w:val="center"/>
          </w:tcPr>
          <w:p>
            <w:pPr>
              <w:jc w:val="center"/>
            </w:pPr>
            <w:r>
              <w:rPr>
                <w:rFonts w:eastAsiaTheme="minorEastAsia"/>
                <w:szCs w:val="21"/>
              </w:rPr>
              <w:t>600285</w:t>
            </w:r>
          </w:p>
        </w:tc>
        <w:tc>
          <w:tcPr>
            <w:vAlign w:val="center"/>
          </w:tcPr>
          <w:p>
            <w:pPr>
              <w:jc w:val="center"/>
            </w:pPr>
            <w:r>
              <w:rPr>
                <w:rFonts w:eastAsiaTheme="minorEastAsia"/>
                <w:szCs w:val="21"/>
              </w:rPr>
              <w:t>羚锐制药</w:t>
            </w:r>
          </w:p>
        </w:tc>
        <w:tc>
          <w:tcPr>
            <w:vAlign w:val="center"/>
          </w:tcPr>
          <w:p>
            <w:pPr>
              <w:jc w:val="right"/>
            </w:pPr>
            <w:r>
              <w:rPr>
                <w:rFonts w:eastAsiaTheme="minorEastAsia"/>
                <w:szCs w:val="21"/>
              </w:rPr>
              <w:t>1,500,631.00</w:t>
            </w:r>
          </w:p>
        </w:tc>
        <w:tc>
          <w:tcPr>
            <w:vAlign w:val="center"/>
          </w:tcPr>
          <w:p>
            <w:pPr>
              <w:jc w:val="right"/>
            </w:pPr>
            <w:r>
              <w:rPr>
                <w:rFonts w:eastAsiaTheme="minorEastAsia"/>
                <w:szCs w:val="21"/>
              </w:rPr>
              <w:t>55.27</w:t>
            </w:r>
          </w:p>
        </w:tc>
      </w:tr>
      <w:tr>
        <w:tblPrEx>
          <w:tblW w:w="0" w:type="auto"/>
          <w:tblInd w:w="108" w:type="dxa"/>
          <w:tblLayout w:type="fixed"/>
          <w:tblLook w:val="00A0"/>
        </w:tblPrEx>
        <w:tc>
          <w:tcPr>
            <w:vAlign w:val="center"/>
          </w:tcPr>
          <w:p>
            <w:pPr>
              <w:jc w:val="center"/>
            </w:pPr>
            <w:r>
              <w:rPr>
                <w:rFonts w:eastAsiaTheme="minorEastAsia"/>
                <w:szCs w:val="21"/>
              </w:rPr>
              <w:t>3</w:t>
            </w:r>
          </w:p>
        </w:tc>
        <w:tc>
          <w:tcPr>
            <w:vAlign w:val="center"/>
          </w:tcPr>
          <w:p>
            <w:pPr>
              <w:jc w:val="center"/>
            </w:pPr>
            <w:r>
              <w:rPr>
                <w:rFonts w:eastAsiaTheme="minorEastAsia"/>
                <w:szCs w:val="21"/>
              </w:rPr>
              <w:t>600276</w:t>
            </w:r>
          </w:p>
        </w:tc>
        <w:tc>
          <w:tcPr>
            <w:vAlign w:val="center"/>
          </w:tcPr>
          <w:p>
            <w:pPr>
              <w:jc w:val="center"/>
            </w:pPr>
            <w:r>
              <w:rPr>
                <w:rFonts w:eastAsiaTheme="minorEastAsia"/>
                <w:szCs w:val="21"/>
              </w:rPr>
              <w:t>恒瑞医药</w:t>
            </w:r>
          </w:p>
        </w:tc>
        <w:tc>
          <w:tcPr>
            <w:vAlign w:val="center"/>
          </w:tcPr>
          <w:p>
            <w:pPr>
              <w:jc w:val="right"/>
            </w:pPr>
            <w:r>
              <w:rPr>
                <w:rFonts w:eastAsiaTheme="minorEastAsia"/>
                <w:szCs w:val="21"/>
              </w:rPr>
              <w:t>1,337,803.00</w:t>
            </w:r>
          </w:p>
        </w:tc>
        <w:tc>
          <w:tcPr>
            <w:vAlign w:val="center"/>
          </w:tcPr>
          <w:p>
            <w:pPr>
              <w:jc w:val="right"/>
            </w:pPr>
            <w:r>
              <w:rPr>
                <w:rFonts w:eastAsiaTheme="minorEastAsia"/>
                <w:szCs w:val="21"/>
              </w:rPr>
              <w:t>49.28</w:t>
            </w:r>
          </w:p>
        </w:tc>
      </w:tr>
      <w:tr>
        <w:tblPrEx>
          <w:tblW w:w="0" w:type="auto"/>
          <w:tblInd w:w="108" w:type="dxa"/>
          <w:tblLayout w:type="fixed"/>
          <w:tblLook w:val="00A0"/>
        </w:tblPrEx>
        <w:tc>
          <w:tcPr>
            <w:vAlign w:val="center"/>
          </w:tcPr>
          <w:p>
            <w:pPr>
              <w:jc w:val="center"/>
            </w:pPr>
            <w:r>
              <w:rPr>
                <w:rFonts w:eastAsiaTheme="minorEastAsia"/>
                <w:szCs w:val="21"/>
              </w:rPr>
              <w:t>4</w:t>
            </w:r>
          </w:p>
        </w:tc>
        <w:tc>
          <w:tcPr>
            <w:vAlign w:val="center"/>
          </w:tcPr>
          <w:p>
            <w:pPr>
              <w:jc w:val="center"/>
            </w:pPr>
            <w:r>
              <w:rPr>
                <w:rFonts w:eastAsiaTheme="minorEastAsia"/>
                <w:szCs w:val="21"/>
              </w:rPr>
              <w:t>300006</w:t>
            </w:r>
          </w:p>
        </w:tc>
        <w:tc>
          <w:tcPr>
            <w:vAlign w:val="center"/>
          </w:tcPr>
          <w:p>
            <w:pPr>
              <w:jc w:val="center"/>
            </w:pPr>
            <w:r>
              <w:rPr>
                <w:rFonts w:eastAsiaTheme="minorEastAsia"/>
                <w:szCs w:val="21"/>
              </w:rPr>
              <w:t>莱美药业</w:t>
            </w:r>
          </w:p>
        </w:tc>
        <w:tc>
          <w:tcPr>
            <w:vAlign w:val="center"/>
          </w:tcPr>
          <w:p>
            <w:pPr>
              <w:jc w:val="right"/>
            </w:pPr>
            <w:r>
              <w:rPr>
                <w:rFonts w:eastAsiaTheme="minorEastAsia"/>
                <w:szCs w:val="21"/>
              </w:rPr>
              <w:t>1,328,044.00</w:t>
            </w:r>
          </w:p>
        </w:tc>
        <w:tc>
          <w:tcPr>
            <w:vAlign w:val="center"/>
          </w:tcPr>
          <w:p>
            <w:pPr>
              <w:jc w:val="right"/>
            </w:pPr>
            <w:r>
              <w:rPr>
                <w:rFonts w:eastAsiaTheme="minorEastAsia"/>
                <w:szCs w:val="21"/>
              </w:rPr>
              <w:t>48.92</w:t>
            </w:r>
          </w:p>
        </w:tc>
      </w:tr>
      <w:tr>
        <w:tblPrEx>
          <w:tblW w:w="0" w:type="auto"/>
          <w:tblInd w:w="108" w:type="dxa"/>
          <w:tblLayout w:type="fixed"/>
          <w:tblLook w:val="00A0"/>
        </w:tblPrEx>
        <w:tc>
          <w:tcPr>
            <w:vAlign w:val="center"/>
          </w:tcPr>
          <w:p>
            <w:pPr>
              <w:jc w:val="center"/>
            </w:pPr>
            <w:r>
              <w:rPr>
                <w:rFonts w:eastAsiaTheme="minorEastAsia"/>
                <w:szCs w:val="21"/>
              </w:rPr>
              <w:t>5</w:t>
            </w:r>
          </w:p>
        </w:tc>
        <w:tc>
          <w:tcPr>
            <w:vAlign w:val="center"/>
          </w:tcPr>
          <w:p>
            <w:pPr>
              <w:jc w:val="center"/>
            </w:pPr>
            <w:r>
              <w:rPr>
                <w:rFonts w:eastAsiaTheme="minorEastAsia"/>
                <w:szCs w:val="21"/>
              </w:rPr>
              <w:t>603707</w:t>
            </w:r>
          </w:p>
        </w:tc>
        <w:tc>
          <w:tcPr>
            <w:vAlign w:val="center"/>
          </w:tcPr>
          <w:p>
            <w:pPr>
              <w:jc w:val="center"/>
            </w:pPr>
            <w:r>
              <w:rPr>
                <w:rFonts w:eastAsiaTheme="minorEastAsia"/>
                <w:szCs w:val="21"/>
              </w:rPr>
              <w:t>健友股份</w:t>
            </w:r>
          </w:p>
        </w:tc>
        <w:tc>
          <w:tcPr>
            <w:vAlign w:val="center"/>
          </w:tcPr>
          <w:p>
            <w:pPr>
              <w:jc w:val="right"/>
            </w:pPr>
            <w:r>
              <w:rPr>
                <w:rFonts w:eastAsiaTheme="minorEastAsia"/>
                <w:szCs w:val="21"/>
              </w:rPr>
              <w:t>1,326,883.60</w:t>
            </w:r>
          </w:p>
        </w:tc>
        <w:tc>
          <w:tcPr>
            <w:vAlign w:val="center"/>
          </w:tcPr>
          <w:p>
            <w:pPr>
              <w:jc w:val="right"/>
            </w:pPr>
            <w:r>
              <w:rPr>
                <w:rFonts w:eastAsiaTheme="minorEastAsia"/>
                <w:szCs w:val="21"/>
              </w:rPr>
              <w:t>48.87</w:t>
            </w:r>
          </w:p>
        </w:tc>
      </w:tr>
      <w:tr>
        <w:tblPrEx>
          <w:tblW w:w="0" w:type="auto"/>
          <w:tblInd w:w="108" w:type="dxa"/>
          <w:tblLayout w:type="fixed"/>
          <w:tblLook w:val="00A0"/>
        </w:tblPrEx>
        <w:tc>
          <w:tcPr>
            <w:vAlign w:val="center"/>
          </w:tcPr>
          <w:p>
            <w:pPr>
              <w:jc w:val="center"/>
            </w:pPr>
            <w:r>
              <w:rPr>
                <w:rFonts w:eastAsiaTheme="minorEastAsia"/>
                <w:szCs w:val="21"/>
              </w:rPr>
              <w:t>6</w:t>
            </w:r>
          </w:p>
        </w:tc>
        <w:tc>
          <w:tcPr>
            <w:vAlign w:val="center"/>
          </w:tcPr>
          <w:p>
            <w:pPr>
              <w:jc w:val="center"/>
            </w:pPr>
            <w:r>
              <w:rPr>
                <w:rFonts w:eastAsiaTheme="minorEastAsia"/>
                <w:szCs w:val="21"/>
              </w:rPr>
              <w:t>300595</w:t>
            </w:r>
          </w:p>
        </w:tc>
        <w:tc>
          <w:tcPr>
            <w:vAlign w:val="center"/>
          </w:tcPr>
          <w:p>
            <w:pPr>
              <w:jc w:val="center"/>
            </w:pPr>
            <w:r>
              <w:rPr>
                <w:rFonts w:eastAsiaTheme="minorEastAsia"/>
                <w:szCs w:val="21"/>
              </w:rPr>
              <w:t>欧普康视</w:t>
            </w:r>
          </w:p>
        </w:tc>
        <w:tc>
          <w:tcPr>
            <w:vAlign w:val="center"/>
          </w:tcPr>
          <w:p>
            <w:pPr>
              <w:jc w:val="right"/>
            </w:pPr>
            <w:r>
              <w:rPr>
                <w:rFonts w:eastAsiaTheme="minorEastAsia"/>
                <w:szCs w:val="21"/>
              </w:rPr>
              <w:t>1,283,560.00</w:t>
            </w:r>
          </w:p>
        </w:tc>
        <w:tc>
          <w:tcPr>
            <w:vAlign w:val="center"/>
          </w:tcPr>
          <w:p>
            <w:pPr>
              <w:jc w:val="right"/>
            </w:pPr>
            <w:r>
              <w:rPr>
                <w:rFonts w:eastAsiaTheme="minorEastAsia"/>
                <w:szCs w:val="21"/>
              </w:rPr>
              <w:t>47.28</w:t>
            </w:r>
          </w:p>
        </w:tc>
      </w:tr>
      <w:tr>
        <w:tblPrEx>
          <w:tblW w:w="0" w:type="auto"/>
          <w:tblInd w:w="108" w:type="dxa"/>
          <w:tblLayout w:type="fixed"/>
          <w:tblLook w:val="00A0"/>
        </w:tblPrEx>
        <w:tc>
          <w:tcPr>
            <w:vAlign w:val="center"/>
          </w:tcPr>
          <w:p>
            <w:pPr>
              <w:jc w:val="center"/>
            </w:pPr>
            <w:r>
              <w:rPr>
                <w:rFonts w:eastAsiaTheme="minorEastAsia"/>
                <w:szCs w:val="21"/>
              </w:rPr>
              <w:t>7</w:t>
            </w:r>
          </w:p>
        </w:tc>
        <w:tc>
          <w:tcPr>
            <w:vAlign w:val="center"/>
          </w:tcPr>
          <w:p>
            <w:pPr>
              <w:jc w:val="center"/>
            </w:pPr>
            <w:r>
              <w:rPr>
                <w:rFonts w:eastAsiaTheme="minorEastAsia"/>
                <w:szCs w:val="21"/>
              </w:rPr>
              <w:t>002810</w:t>
            </w:r>
          </w:p>
        </w:tc>
        <w:tc>
          <w:tcPr>
            <w:vAlign w:val="center"/>
          </w:tcPr>
          <w:p>
            <w:pPr>
              <w:jc w:val="center"/>
            </w:pPr>
            <w:r>
              <w:rPr>
                <w:rFonts w:eastAsiaTheme="minorEastAsia"/>
                <w:szCs w:val="21"/>
              </w:rPr>
              <w:t>山东赫达</w:t>
            </w:r>
          </w:p>
        </w:tc>
        <w:tc>
          <w:tcPr>
            <w:vAlign w:val="center"/>
          </w:tcPr>
          <w:p>
            <w:pPr>
              <w:jc w:val="right"/>
            </w:pPr>
            <w:r>
              <w:rPr>
                <w:rFonts w:eastAsiaTheme="minorEastAsia"/>
                <w:szCs w:val="21"/>
              </w:rPr>
              <w:t>1,283,459.00</w:t>
            </w:r>
          </w:p>
        </w:tc>
        <w:tc>
          <w:tcPr>
            <w:vAlign w:val="center"/>
          </w:tcPr>
          <w:p>
            <w:pPr>
              <w:jc w:val="right"/>
            </w:pPr>
            <w:r>
              <w:rPr>
                <w:rFonts w:eastAsiaTheme="minorEastAsia"/>
                <w:szCs w:val="21"/>
              </w:rPr>
              <w:t>47.27</w:t>
            </w:r>
          </w:p>
        </w:tc>
      </w:tr>
      <w:tr>
        <w:tblPrEx>
          <w:tblW w:w="0" w:type="auto"/>
          <w:tblInd w:w="108" w:type="dxa"/>
          <w:tblLayout w:type="fixed"/>
          <w:tblLook w:val="00A0"/>
        </w:tblPrEx>
        <w:tc>
          <w:tcPr>
            <w:vAlign w:val="center"/>
          </w:tcPr>
          <w:p>
            <w:pPr>
              <w:jc w:val="center"/>
            </w:pPr>
            <w:r>
              <w:rPr>
                <w:rFonts w:eastAsiaTheme="minorEastAsia"/>
                <w:szCs w:val="21"/>
              </w:rPr>
              <w:t>8</w:t>
            </w:r>
          </w:p>
        </w:tc>
        <w:tc>
          <w:tcPr>
            <w:vAlign w:val="center"/>
          </w:tcPr>
          <w:p>
            <w:pPr>
              <w:jc w:val="center"/>
            </w:pPr>
            <w:r>
              <w:rPr>
                <w:rFonts w:eastAsiaTheme="minorEastAsia"/>
                <w:szCs w:val="21"/>
              </w:rPr>
              <w:t>300015</w:t>
            </w:r>
          </w:p>
        </w:tc>
        <w:tc>
          <w:tcPr>
            <w:vAlign w:val="center"/>
          </w:tcPr>
          <w:p>
            <w:pPr>
              <w:jc w:val="center"/>
            </w:pPr>
            <w:r>
              <w:rPr>
                <w:rFonts w:eastAsiaTheme="minorEastAsia"/>
                <w:szCs w:val="21"/>
              </w:rPr>
              <w:t>爱尔眼科</w:t>
            </w:r>
          </w:p>
        </w:tc>
        <w:tc>
          <w:tcPr>
            <w:vAlign w:val="center"/>
          </w:tcPr>
          <w:p>
            <w:pPr>
              <w:jc w:val="right"/>
            </w:pPr>
            <w:r>
              <w:rPr>
                <w:rFonts w:eastAsiaTheme="minorEastAsia"/>
                <w:szCs w:val="21"/>
              </w:rPr>
              <w:t>1,244,792.00</w:t>
            </w:r>
          </w:p>
        </w:tc>
        <w:tc>
          <w:tcPr>
            <w:vAlign w:val="center"/>
          </w:tcPr>
          <w:p>
            <w:pPr>
              <w:jc w:val="right"/>
            </w:pPr>
            <w:r>
              <w:rPr>
                <w:rFonts w:eastAsiaTheme="minorEastAsia"/>
                <w:szCs w:val="21"/>
              </w:rPr>
              <w:t>45.85</w:t>
            </w:r>
          </w:p>
        </w:tc>
      </w:tr>
      <w:tr>
        <w:tblPrEx>
          <w:tblW w:w="0" w:type="auto"/>
          <w:tblInd w:w="108" w:type="dxa"/>
          <w:tblLayout w:type="fixed"/>
          <w:tblLook w:val="00A0"/>
        </w:tblPrEx>
        <w:tc>
          <w:tcPr>
            <w:vAlign w:val="center"/>
          </w:tcPr>
          <w:p>
            <w:pPr>
              <w:jc w:val="center"/>
            </w:pPr>
            <w:r>
              <w:rPr>
                <w:rFonts w:eastAsiaTheme="minorEastAsia"/>
                <w:szCs w:val="21"/>
              </w:rPr>
              <w:t>9</w:t>
            </w:r>
          </w:p>
        </w:tc>
        <w:tc>
          <w:tcPr>
            <w:vAlign w:val="center"/>
          </w:tcPr>
          <w:p>
            <w:pPr>
              <w:jc w:val="center"/>
            </w:pPr>
            <w:r>
              <w:rPr>
                <w:rFonts w:eastAsiaTheme="minorEastAsia"/>
                <w:szCs w:val="21"/>
              </w:rPr>
              <w:t>300363</w:t>
            </w:r>
          </w:p>
        </w:tc>
        <w:tc>
          <w:tcPr>
            <w:vAlign w:val="center"/>
          </w:tcPr>
          <w:p>
            <w:pPr>
              <w:jc w:val="center"/>
            </w:pPr>
            <w:r>
              <w:rPr>
                <w:rFonts w:eastAsiaTheme="minorEastAsia"/>
                <w:szCs w:val="21"/>
              </w:rPr>
              <w:t>博腾股份</w:t>
            </w:r>
          </w:p>
        </w:tc>
        <w:tc>
          <w:tcPr>
            <w:vAlign w:val="center"/>
          </w:tcPr>
          <w:p>
            <w:pPr>
              <w:jc w:val="right"/>
            </w:pPr>
            <w:r>
              <w:rPr>
                <w:rFonts w:eastAsiaTheme="minorEastAsia"/>
                <w:szCs w:val="21"/>
              </w:rPr>
              <w:t>1,242,698.00</w:t>
            </w:r>
          </w:p>
        </w:tc>
        <w:tc>
          <w:tcPr>
            <w:vAlign w:val="center"/>
          </w:tcPr>
          <w:p>
            <w:pPr>
              <w:jc w:val="right"/>
            </w:pPr>
            <w:r>
              <w:rPr>
                <w:rFonts w:eastAsiaTheme="minorEastAsia"/>
                <w:szCs w:val="21"/>
              </w:rPr>
              <w:t>45.77</w:t>
            </w:r>
          </w:p>
        </w:tc>
      </w:tr>
      <w:tr>
        <w:tblPrEx>
          <w:tblW w:w="0" w:type="auto"/>
          <w:tblInd w:w="108" w:type="dxa"/>
          <w:tblLayout w:type="fixed"/>
          <w:tblLook w:val="00A0"/>
        </w:tblPrEx>
        <w:tc>
          <w:tcPr>
            <w:vAlign w:val="center"/>
          </w:tcPr>
          <w:p>
            <w:pPr>
              <w:jc w:val="center"/>
            </w:pPr>
            <w:r>
              <w:rPr>
                <w:rFonts w:eastAsiaTheme="minorEastAsia"/>
                <w:szCs w:val="21"/>
              </w:rPr>
              <w:t>10</w:t>
            </w:r>
          </w:p>
        </w:tc>
        <w:tc>
          <w:tcPr>
            <w:vAlign w:val="center"/>
          </w:tcPr>
          <w:p>
            <w:pPr>
              <w:jc w:val="center"/>
            </w:pPr>
            <w:r>
              <w:rPr>
                <w:rFonts w:eastAsiaTheme="minorEastAsia"/>
                <w:szCs w:val="21"/>
              </w:rPr>
              <w:t>002001</w:t>
            </w:r>
          </w:p>
        </w:tc>
        <w:tc>
          <w:tcPr>
            <w:vAlign w:val="center"/>
          </w:tcPr>
          <w:p>
            <w:pPr>
              <w:jc w:val="center"/>
            </w:pPr>
            <w:r>
              <w:rPr>
                <w:rFonts w:eastAsiaTheme="minorEastAsia"/>
                <w:szCs w:val="21"/>
              </w:rPr>
              <w:t>新 和 成</w:t>
            </w:r>
          </w:p>
        </w:tc>
        <w:tc>
          <w:tcPr>
            <w:vAlign w:val="center"/>
          </w:tcPr>
          <w:p>
            <w:pPr>
              <w:jc w:val="right"/>
            </w:pPr>
            <w:r>
              <w:rPr>
                <w:rFonts w:eastAsiaTheme="minorEastAsia"/>
                <w:szCs w:val="21"/>
              </w:rPr>
              <w:t>1,106,097.00</w:t>
            </w:r>
          </w:p>
        </w:tc>
        <w:tc>
          <w:tcPr>
            <w:vAlign w:val="center"/>
          </w:tcPr>
          <w:p>
            <w:pPr>
              <w:jc w:val="right"/>
            </w:pPr>
            <w:r>
              <w:rPr>
                <w:rFonts w:eastAsiaTheme="minorEastAsia"/>
                <w:szCs w:val="21"/>
              </w:rPr>
              <w:t>40.74</w:t>
            </w:r>
          </w:p>
        </w:tc>
      </w:tr>
      <w:tr>
        <w:tblPrEx>
          <w:tblW w:w="0" w:type="auto"/>
          <w:tblInd w:w="108" w:type="dxa"/>
          <w:tblLayout w:type="fixed"/>
          <w:tblLook w:val="00A0"/>
        </w:tblPrEx>
        <w:tc>
          <w:tcPr>
            <w:vAlign w:val="center"/>
          </w:tcPr>
          <w:p>
            <w:pPr>
              <w:jc w:val="center"/>
            </w:pPr>
            <w:r>
              <w:rPr>
                <w:rFonts w:eastAsiaTheme="minorEastAsia"/>
                <w:szCs w:val="21"/>
              </w:rPr>
              <w:t>11</w:t>
            </w:r>
          </w:p>
        </w:tc>
        <w:tc>
          <w:tcPr>
            <w:vAlign w:val="center"/>
          </w:tcPr>
          <w:p>
            <w:pPr>
              <w:jc w:val="center"/>
            </w:pPr>
            <w:r>
              <w:rPr>
                <w:rFonts w:eastAsiaTheme="minorEastAsia"/>
                <w:szCs w:val="21"/>
              </w:rPr>
              <w:t>300630</w:t>
            </w:r>
          </w:p>
        </w:tc>
        <w:tc>
          <w:tcPr>
            <w:vAlign w:val="center"/>
          </w:tcPr>
          <w:p>
            <w:pPr>
              <w:jc w:val="center"/>
            </w:pPr>
            <w:r>
              <w:rPr>
                <w:rFonts w:eastAsiaTheme="minorEastAsia"/>
                <w:szCs w:val="21"/>
              </w:rPr>
              <w:t>普利制药</w:t>
            </w:r>
          </w:p>
        </w:tc>
        <w:tc>
          <w:tcPr>
            <w:vAlign w:val="center"/>
          </w:tcPr>
          <w:p>
            <w:pPr>
              <w:jc w:val="right"/>
            </w:pPr>
            <w:r>
              <w:rPr>
                <w:rFonts w:eastAsiaTheme="minorEastAsia"/>
                <w:szCs w:val="21"/>
              </w:rPr>
              <w:t>1,100,470.32</w:t>
            </w:r>
          </w:p>
        </w:tc>
        <w:tc>
          <w:tcPr>
            <w:vAlign w:val="center"/>
          </w:tcPr>
          <w:p>
            <w:pPr>
              <w:jc w:val="right"/>
            </w:pPr>
            <w:r>
              <w:rPr>
                <w:rFonts w:eastAsiaTheme="minorEastAsia"/>
                <w:szCs w:val="21"/>
              </w:rPr>
              <w:t>40.53</w:t>
            </w:r>
          </w:p>
        </w:tc>
      </w:tr>
      <w:tr>
        <w:tblPrEx>
          <w:tblW w:w="0" w:type="auto"/>
          <w:tblInd w:w="108" w:type="dxa"/>
          <w:tblLayout w:type="fixed"/>
          <w:tblLook w:val="00A0"/>
        </w:tblPrEx>
        <w:tc>
          <w:tcPr>
            <w:vAlign w:val="center"/>
          </w:tcPr>
          <w:p>
            <w:pPr>
              <w:jc w:val="center"/>
            </w:pPr>
            <w:r>
              <w:rPr>
                <w:rFonts w:eastAsiaTheme="minorEastAsia"/>
                <w:szCs w:val="21"/>
              </w:rPr>
              <w:t>12</w:t>
            </w:r>
          </w:p>
        </w:tc>
        <w:tc>
          <w:tcPr>
            <w:vAlign w:val="center"/>
          </w:tcPr>
          <w:p>
            <w:pPr>
              <w:jc w:val="center"/>
            </w:pPr>
            <w:r>
              <w:rPr>
                <w:rFonts w:eastAsiaTheme="minorEastAsia"/>
                <w:szCs w:val="21"/>
              </w:rPr>
              <w:t>600085</w:t>
            </w:r>
          </w:p>
        </w:tc>
        <w:tc>
          <w:tcPr>
            <w:vAlign w:val="center"/>
          </w:tcPr>
          <w:p>
            <w:pPr>
              <w:jc w:val="center"/>
            </w:pPr>
            <w:r>
              <w:rPr>
                <w:rFonts w:eastAsiaTheme="minorEastAsia"/>
                <w:szCs w:val="21"/>
              </w:rPr>
              <w:t>同仁堂</w:t>
            </w:r>
          </w:p>
        </w:tc>
        <w:tc>
          <w:tcPr>
            <w:vAlign w:val="center"/>
          </w:tcPr>
          <w:p>
            <w:pPr>
              <w:jc w:val="right"/>
            </w:pPr>
            <w:r>
              <w:rPr>
                <w:rFonts w:eastAsiaTheme="minorEastAsia"/>
                <w:szCs w:val="21"/>
              </w:rPr>
              <w:t>1,060,991.00</w:t>
            </w:r>
          </w:p>
        </w:tc>
        <w:tc>
          <w:tcPr>
            <w:vAlign w:val="center"/>
          </w:tcPr>
          <w:p>
            <w:pPr>
              <w:jc w:val="right"/>
            </w:pPr>
            <w:r>
              <w:rPr>
                <w:rFonts w:eastAsiaTheme="minorEastAsia"/>
                <w:szCs w:val="21"/>
              </w:rPr>
              <w:t>39.08</w:t>
            </w:r>
          </w:p>
        </w:tc>
      </w:tr>
      <w:tr>
        <w:tblPrEx>
          <w:tblW w:w="0" w:type="auto"/>
          <w:tblInd w:w="108" w:type="dxa"/>
          <w:tblLayout w:type="fixed"/>
          <w:tblLook w:val="00A0"/>
        </w:tblPrEx>
        <w:tc>
          <w:tcPr>
            <w:vAlign w:val="center"/>
          </w:tcPr>
          <w:p>
            <w:pPr>
              <w:jc w:val="center"/>
            </w:pPr>
            <w:r>
              <w:rPr>
                <w:rFonts w:eastAsiaTheme="minorEastAsia"/>
                <w:szCs w:val="21"/>
              </w:rPr>
              <w:t>13</w:t>
            </w:r>
          </w:p>
        </w:tc>
        <w:tc>
          <w:tcPr>
            <w:vAlign w:val="center"/>
          </w:tcPr>
          <w:p>
            <w:pPr>
              <w:jc w:val="center"/>
            </w:pPr>
            <w:r>
              <w:rPr>
                <w:rFonts w:eastAsiaTheme="minorEastAsia"/>
                <w:szCs w:val="21"/>
              </w:rPr>
              <w:t>002223</w:t>
            </w:r>
          </w:p>
        </w:tc>
        <w:tc>
          <w:tcPr>
            <w:vAlign w:val="center"/>
          </w:tcPr>
          <w:p>
            <w:pPr>
              <w:jc w:val="center"/>
            </w:pPr>
            <w:r>
              <w:rPr>
                <w:rFonts w:eastAsiaTheme="minorEastAsia"/>
                <w:szCs w:val="21"/>
              </w:rPr>
              <w:t>鱼跃医疗</w:t>
            </w:r>
          </w:p>
        </w:tc>
        <w:tc>
          <w:tcPr>
            <w:vAlign w:val="center"/>
          </w:tcPr>
          <w:p>
            <w:pPr>
              <w:jc w:val="right"/>
            </w:pPr>
            <w:r>
              <w:rPr>
                <w:rFonts w:eastAsiaTheme="minorEastAsia"/>
                <w:szCs w:val="21"/>
              </w:rPr>
              <w:t>1,047,922.00</w:t>
            </w:r>
          </w:p>
        </w:tc>
        <w:tc>
          <w:tcPr>
            <w:vAlign w:val="center"/>
          </w:tcPr>
          <w:p>
            <w:pPr>
              <w:jc w:val="right"/>
            </w:pPr>
            <w:r>
              <w:rPr>
                <w:rFonts w:eastAsiaTheme="minorEastAsia"/>
                <w:szCs w:val="21"/>
              </w:rPr>
              <w:t>38.60</w:t>
            </w:r>
          </w:p>
        </w:tc>
      </w:tr>
      <w:tr>
        <w:tblPrEx>
          <w:tblW w:w="0" w:type="auto"/>
          <w:tblInd w:w="108" w:type="dxa"/>
          <w:tblLayout w:type="fixed"/>
          <w:tblLook w:val="00A0"/>
        </w:tblPrEx>
        <w:tc>
          <w:tcPr>
            <w:vAlign w:val="center"/>
          </w:tcPr>
          <w:p>
            <w:pPr>
              <w:jc w:val="center"/>
            </w:pPr>
            <w:r>
              <w:rPr>
                <w:rFonts w:eastAsiaTheme="minorEastAsia"/>
                <w:szCs w:val="21"/>
              </w:rPr>
              <w:t>14</w:t>
            </w:r>
          </w:p>
        </w:tc>
        <w:tc>
          <w:tcPr>
            <w:vAlign w:val="center"/>
          </w:tcPr>
          <w:p>
            <w:pPr>
              <w:jc w:val="center"/>
            </w:pPr>
            <w:r>
              <w:rPr>
                <w:rFonts w:eastAsiaTheme="minorEastAsia"/>
                <w:szCs w:val="21"/>
              </w:rPr>
              <w:t>000503</w:t>
            </w:r>
          </w:p>
        </w:tc>
        <w:tc>
          <w:tcPr>
            <w:vAlign w:val="center"/>
          </w:tcPr>
          <w:p>
            <w:pPr>
              <w:jc w:val="center"/>
            </w:pPr>
            <w:r>
              <w:rPr>
                <w:rFonts w:eastAsiaTheme="minorEastAsia"/>
                <w:szCs w:val="21"/>
              </w:rPr>
              <w:t>国新健康</w:t>
            </w:r>
          </w:p>
        </w:tc>
        <w:tc>
          <w:tcPr>
            <w:vAlign w:val="center"/>
          </w:tcPr>
          <w:p>
            <w:pPr>
              <w:jc w:val="right"/>
            </w:pPr>
            <w:r>
              <w:rPr>
                <w:rFonts w:eastAsiaTheme="minorEastAsia"/>
                <w:szCs w:val="21"/>
              </w:rPr>
              <w:t>966,543.00</w:t>
            </w:r>
          </w:p>
        </w:tc>
        <w:tc>
          <w:tcPr>
            <w:vAlign w:val="center"/>
          </w:tcPr>
          <w:p>
            <w:pPr>
              <w:jc w:val="right"/>
            </w:pPr>
            <w:r>
              <w:rPr>
                <w:rFonts w:eastAsiaTheme="minorEastAsia"/>
                <w:szCs w:val="21"/>
              </w:rPr>
              <w:t>35.60</w:t>
            </w:r>
          </w:p>
        </w:tc>
      </w:tr>
      <w:tr>
        <w:tblPrEx>
          <w:tblW w:w="0" w:type="auto"/>
          <w:tblInd w:w="108" w:type="dxa"/>
          <w:tblLayout w:type="fixed"/>
          <w:tblLook w:val="00A0"/>
        </w:tblPrEx>
        <w:tc>
          <w:tcPr>
            <w:vAlign w:val="center"/>
          </w:tcPr>
          <w:p>
            <w:pPr>
              <w:jc w:val="center"/>
            </w:pPr>
            <w:r>
              <w:rPr>
                <w:rFonts w:eastAsiaTheme="minorEastAsia"/>
                <w:szCs w:val="21"/>
              </w:rPr>
              <w:t>15</w:t>
            </w:r>
          </w:p>
        </w:tc>
        <w:tc>
          <w:tcPr>
            <w:vAlign w:val="center"/>
          </w:tcPr>
          <w:p>
            <w:pPr>
              <w:jc w:val="center"/>
            </w:pPr>
            <w:r>
              <w:rPr>
                <w:rFonts w:eastAsiaTheme="minorEastAsia"/>
                <w:szCs w:val="21"/>
              </w:rPr>
              <w:t>000590</w:t>
            </w:r>
          </w:p>
        </w:tc>
        <w:tc>
          <w:tcPr>
            <w:vAlign w:val="center"/>
          </w:tcPr>
          <w:p>
            <w:pPr>
              <w:jc w:val="center"/>
            </w:pPr>
            <w:r>
              <w:rPr>
                <w:rFonts w:eastAsiaTheme="minorEastAsia"/>
                <w:szCs w:val="21"/>
              </w:rPr>
              <w:t>启迪古汉</w:t>
            </w:r>
          </w:p>
        </w:tc>
        <w:tc>
          <w:tcPr>
            <w:vAlign w:val="center"/>
          </w:tcPr>
          <w:p>
            <w:pPr>
              <w:jc w:val="right"/>
            </w:pPr>
            <w:r>
              <w:rPr>
                <w:rFonts w:eastAsiaTheme="minorEastAsia"/>
                <w:szCs w:val="21"/>
              </w:rPr>
              <w:t>940,368.00</w:t>
            </w:r>
          </w:p>
        </w:tc>
        <w:tc>
          <w:tcPr>
            <w:vAlign w:val="center"/>
          </w:tcPr>
          <w:p>
            <w:pPr>
              <w:jc w:val="right"/>
            </w:pPr>
            <w:r>
              <w:rPr>
                <w:rFonts w:eastAsiaTheme="minorEastAsia"/>
                <w:szCs w:val="21"/>
              </w:rPr>
              <w:t>34.64</w:t>
            </w:r>
          </w:p>
        </w:tc>
      </w:tr>
      <w:tr>
        <w:tblPrEx>
          <w:tblW w:w="0" w:type="auto"/>
          <w:tblInd w:w="108" w:type="dxa"/>
          <w:tblLayout w:type="fixed"/>
          <w:tblLook w:val="00A0"/>
        </w:tblPrEx>
        <w:tc>
          <w:tcPr>
            <w:vAlign w:val="center"/>
          </w:tcPr>
          <w:p>
            <w:pPr>
              <w:jc w:val="center"/>
            </w:pPr>
            <w:r>
              <w:rPr>
                <w:rFonts w:eastAsiaTheme="minorEastAsia"/>
                <w:szCs w:val="21"/>
              </w:rPr>
              <w:t>16</w:t>
            </w:r>
          </w:p>
        </w:tc>
        <w:tc>
          <w:tcPr>
            <w:vAlign w:val="center"/>
          </w:tcPr>
          <w:p>
            <w:pPr>
              <w:jc w:val="center"/>
            </w:pPr>
            <w:r>
              <w:rPr>
                <w:rFonts w:eastAsiaTheme="minorEastAsia"/>
                <w:szCs w:val="21"/>
              </w:rPr>
              <w:t>300451</w:t>
            </w:r>
          </w:p>
        </w:tc>
        <w:tc>
          <w:tcPr>
            <w:vAlign w:val="center"/>
          </w:tcPr>
          <w:p>
            <w:pPr>
              <w:jc w:val="center"/>
            </w:pPr>
            <w:r>
              <w:rPr>
                <w:rFonts w:eastAsiaTheme="minorEastAsia"/>
                <w:szCs w:val="21"/>
              </w:rPr>
              <w:t>创业慧康</w:t>
            </w:r>
          </w:p>
        </w:tc>
        <w:tc>
          <w:tcPr>
            <w:vAlign w:val="center"/>
          </w:tcPr>
          <w:p>
            <w:pPr>
              <w:jc w:val="right"/>
            </w:pPr>
            <w:r>
              <w:rPr>
                <w:rFonts w:eastAsiaTheme="minorEastAsia"/>
                <w:szCs w:val="21"/>
              </w:rPr>
              <w:t>934,497.00</w:t>
            </w:r>
          </w:p>
        </w:tc>
        <w:tc>
          <w:tcPr>
            <w:vAlign w:val="center"/>
          </w:tcPr>
          <w:p>
            <w:pPr>
              <w:jc w:val="right"/>
            </w:pPr>
            <w:r>
              <w:rPr>
                <w:rFonts w:eastAsiaTheme="minorEastAsia"/>
                <w:szCs w:val="21"/>
              </w:rPr>
              <w:t>34.42</w:t>
            </w:r>
          </w:p>
        </w:tc>
      </w:tr>
      <w:tr>
        <w:tblPrEx>
          <w:tblW w:w="0" w:type="auto"/>
          <w:tblInd w:w="108" w:type="dxa"/>
          <w:tblLayout w:type="fixed"/>
          <w:tblLook w:val="00A0"/>
        </w:tblPrEx>
        <w:tc>
          <w:tcPr>
            <w:vAlign w:val="center"/>
          </w:tcPr>
          <w:p>
            <w:pPr>
              <w:jc w:val="center"/>
            </w:pPr>
            <w:r>
              <w:rPr>
                <w:rFonts w:eastAsiaTheme="minorEastAsia"/>
                <w:szCs w:val="21"/>
              </w:rPr>
              <w:t>17</w:t>
            </w:r>
          </w:p>
        </w:tc>
        <w:tc>
          <w:tcPr>
            <w:vAlign w:val="center"/>
          </w:tcPr>
          <w:p>
            <w:pPr>
              <w:jc w:val="center"/>
            </w:pPr>
            <w:r>
              <w:rPr>
                <w:rFonts w:eastAsiaTheme="minorEastAsia"/>
                <w:szCs w:val="21"/>
              </w:rPr>
              <w:t>300206</w:t>
            </w:r>
          </w:p>
        </w:tc>
        <w:tc>
          <w:tcPr>
            <w:vAlign w:val="center"/>
          </w:tcPr>
          <w:p>
            <w:pPr>
              <w:jc w:val="center"/>
            </w:pPr>
            <w:r>
              <w:rPr>
                <w:rFonts w:eastAsiaTheme="minorEastAsia"/>
                <w:szCs w:val="21"/>
              </w:rPr>
              <w:t>理邦仪器</w:t>
            </w:r>
          </w:p>
        </w:tc>
        <w:tc>
          <w:tcPr>
            <w:vAlign w:val="center"/>
          </w:tcPr>
          <w:p>
            <w:pPr>
              <w:jc w:val="right"/>
            </w:pPr>
            <w:r>
              <w:rPr>
                <w:rFonts w:eastAsiaTheme="minorEastAsia"/>
                <w:szCs w:val="21"/>
              </w:rPr>
              <w:t>834,259.00</w:t>
            </w:r>
          </w:p>
        </w:tc>
        <w:tc>
          <w:tcPr>
            <w:vAlign w:val="center"/>
          </w:tcPr>
          <w:p>
            <w:pPr>
              <w:jc w:val="right"/>
            </w:pPr>
            <w:r>
              <w:rPr>
                <w:rFonts w:eastAsiaTheme="minorEastAsia"/>
                <w:szCs w:val="21"/>
              </w:rPr>
              <w:t>30.73</w:t>
            </w:r>
          </w:p>
        </w:tc>
      </w:tr>
      <w:tr>
        <w:tblPrEx>
          <w:tblW w:w="0" w:type="auto"/>
          <w:tblInd w:w="108" w:type="dxa"/>
          <w:tblLayout w:type="fixed"/>
          <w:tblLook w:val="00A0"/>
        </w:tblPrEx>
        <w:tc>
          <w:tcPr>
            <w:vAlign w:val="center"/>
          </w:tcPr>
          <w:p>
            <w:pPr>
              <w:jc w:val="center"/>
            </w:pPr>
            <w:r>
              <w:rPr>
                <w:rFonts w:eastAsiaTheme="minorEastAsia"/>
                <w:szCs w:val="21"/>
              </w:rPr>
              <w:t>18</w:t>
            </w:r>
          </w:p>
        </w:tc>
        <w:tc>
          <w:tcPr>
            <w:vAlign w:val="center"/>
          </w:tcPr>
          <w:p>
            <w:pPr>
              <w:jc w:val="center"/>
            </w:pPr>
            <w:r>
              <w:rPr>
                <w:rFonts w:eastAsiaTheme="minorEastAsia"/>
                <w:szCs w:val="21"/>
              </w:rPr>
              <w:t>603259</w:t>
            </w:r>
          </w:p>
        </w:tc>
        <w:tc>
          <w:tcPr>
            <w:vAlign w:val="center"/>
          </w:tcPr>
          <w:p>
            <w:pPr>
              <w:jc w:val="center"/>
            </w:pPr>
            <w:r>
              <w:rPr>
                <w:rFonts w:eastAsiaTheme="minorEastAsia"/>
                <w:szCs w:val="21"/>
              </w:rPr>
              <w:t>药明康德</w:t>
            </w:r>
          </w:p>
        </w:tc>
        <w:tc>
          <w:tcPr>
            <w:vAlign w:val="center"/>
          </w:tcPr>
          <w:p>
            <w:pPr>
              <w:jc w:val="right"/>
            </w:pPr>
            <w:r>
              <w:rPr>
                <w:rFonts w:eastAsiaTheme="minorEastAsia"/>
                <w:szCs w:val="21"/>
              </w:rPr>
              <w:t>793,412.00</w:t>
            </w:r>
          </w:p>
        </w:tc>
        <w:tc>
          <w:tcPr>
            <w:vAlign w:val="center"/>
          </w:tcPr>
          <w:p>
            <w:pPr>
              <w:jc w:val="right"/>
            </w:pPr>
            <w:r>
              <w:rPr>
                <w:rFonts w:eastAsiaTheme="minorEastAsia"/>
                <w:szCs w:val="21"/>
              </w:rPr>
              <w:t>29.22</w:t>
            </w:r>
          </w:p>
        </w:tc>
      </w:tr>
      <w:tr>
        <w:tblPrEx>
          <w:tblW w:w="0" w:type="auto"/>
          <w:tblInd w:w="108" w:type="dxa"/>
          <w:tblLayout w:type="fixed"/>
          <w:tblLook w:val="00A0"/>
        </w:tblPrEx>
        <w:tc>
          <w:tcPr>
            <w:vAlign w:val="center"/>
          </w:tcPr>
          <w:p>
            <w:pPr>
              <w:jc w:val="center"/>
            </w:pPr>
            <w:r>
              <w:rPr>
                <w:rFonts w:eastAsiaTheme="minorEastAsia"/>
                <w:szCs w:val="21"/>
              </w:rPr>
              <w:t>19</w:t>
            </w:r>
          </w:p>
        </w:tc>
        <w:tc>
          <w:tcPr>
            <w:vAlign w:val="center"/>
          </w:tcPr>
          <w:p>
            <w:pPr>
              <w:jc w:val="center"/>
            </w:pPr>
            <w:r>
              <w:rPr>
                <w:rFonts w:eastAsiaTheme="minorEastAsia"/>
                <w:szCs w:val="21"/>
              </w:rPr>
              <w:t>600055</w:t>
            </w:r>
          </w:p>
        </w:tc>
        <w:tc>
          <w:tcPr>
            <w:vAlign w:val="center"/>
          </w:tcPr>
          <w:p>
            <w:pPr>
              <w:jc w:val="center"/>
            </w:pPr>
            <w:r>
              <w:rPr>
                <w:rFonts w:eastAsiaTheme="minorEastAsia"/>
                <w:szCs w:val="21"/>
              </w:rPr>
              <w:t>万东医疗</w:t>
            </w:r>
          </w:p>
        </w:tc>
        <w:tc>
          <w:tcPr>
            <w:vAlign w:val="center"/>
          </w:tcPr>
          <w:p>
            <w:pPr>
              <w:jc w:val="right"/>
            </w:pPr>
            <w:r>
              <w:rPr>
                <w:rFonts w:eastAsiaTheme="minorEastAsia"/>
                <w:szCs w:val="21"/>
              </w:rPr>
              <w:t>770,766.00</w:t>
            </w:r>
          </w:p>
        </w:tc>
        <w:tc>
          <w:tcPr>
            <w:vAlign w:val="center"/>
          </w:tcPr>
          <w:p>
            <w:pPr>
              <w:jc w:val="right"/>
            </w:pPr>
            <w:r>
              <w:rPr>
                <w:rFonts w:eastAsiaTheme="minorEastAsia"/>
                <w:szCs w:val="21"/>
              </w:rPr>
              <w:t>28.39</w:t>
            </w:r>
          </w:p>
        </w:tc>
      </w:tr>
      <w:tr>
        <w:tblPrEx>
          <w:tblW w:w="0" w:type="auto"/>
          <w:tblInd w:w="108" w:type="dxa"/>
          <w:tblLayout w:type="fixed"/>
          <w:tblLook w:val="00A0"/>
        </w:tblPrEx>
        <w:tc>
          <w:tcPr>
            <w:vAlign w:val="center"/>
          </w:tcPr>
          <w:p>
            <w:pPr>
              <w:jc w:val="center"/>
            </w:pPr>
            <w:r>
              <w:rPr>
                <w:rFonts w:eastAsiaTheme="minorEastAsia"/>
                <w:szCs w:val="21"/>
              </w:rPr>
              <w:t>20</w:t>
            </w:r>
          </w:p>
        </w:tc>
        <w:tc>
          <w:tcPr>
            <w:vAlign w:val="center"/>
          </w:tcPr>
          <w:p>
            <w:pPr>
              <w:jc w:val="center"/>
            </w:pPr>
            <w:r>
              <w:rPr>
                <w:rFonts w:eastAsiaTheme="minorEastAsia"/>
                <w:szCs w:val="21"/>
              </w:rPr>
              <w:t>002777</w:t>
            </w:r>
          </w:p>
        </w:tc>
        <w:tc>
          <w:tcPr>
            <w:vAlign w:val="center"/>
          </w:tcPr>
          <w:p>
            <w:pPr>
              <w:jc w:val="center"/>
            </w:pPr>
            <w:r>
              <w:rPr>
                <w:rFonts w:eastAsiaTheme="minorEastAsia"/>
                <w:szCs w:val="21"/>
              </w:rPr>
              <w:t>久远银海</w:t>
            </w:r>
          </w:p>
        </w:tc>
        <w:tc>
          <w:tcPr>
            <w:vAlign w:val="center"/>
          </w:tcPr>
          <w:p>
            <w:pPr>
              <w:jc w:val="right"/>
            </w:pPr>
            <w:r>
              <w:rPr>
                <w:rFonts w:eastAsiaTheme="minorEastAsia"/>
                <w:szCs w:val="21"/>
              </w:rPr>
              <w:t>760,898.00</w:t>
            </w:r>
          </w:p>
        </w:tc>
        <w:tc>
          <w:tcPr>
            <w:vAlign w:val="center"/>
          </w:tcPr>
          <w:p>
            <w:pPr>
              <w:jc w:val="right"/>
            </w:pPr>
            <w:r>
              <w:rPr>
                <w:rFonts w:eastAsiaTheme="minorEastAsia"/>
                <w:szCs w:val="21"/>
              </w:rPr>
              <w:t>28.03</w:t>
            </w:r>
          </w:p>
        </w:tc>
      </w:tr>
      <w:tr>
        <w:tblPrEx>
          <w:tblW w:w="0" w:type="auto"/>
          <w:tblInd w:w="108" w:type="dxa"/>
          <w:tblLayout w:type="fixed"/>
          <w:tblLook w:val="00A0"/>
        </w:tblPrEx>
        <w:tc>
          <w:tcPr>
            <w:vAlign w:val="center"/>
          </w:tcPr>
          <w:p>
            <w:pPr>
              <w:jc w:val="center"/>
            </w:pPr>
            <w:r>
              <w:rPr>
                <w:rFonts w:eastAsiaTheme="minorEastAsia"/>
                <w:szCs w:val="21"/>
              </w:rPr>
              <w:t>21</w:t>
            </w:r>
          </w:p>
        </w:tc>
        <w:tc>
          <w:tcPr>
            <w:vAlign w:val="center"/>
          </w:tcPr>
          <w:p>
            <w:pPr>
              <w:jc w:val="center"/>
            </w:pPr>
            <w:r>
              <w:rPr>
                <w:rFonts w:eastAsiaTheme="minorEastAsia"/>
                <w:szCs w:val="21"/>
              </w:rPr>
              <w:t>300253</w:t>
            </w:r>
          </w:p>
        </w:tc>
        <w:tc>
          <w:tcPr>
            <w:vAlign w:val="center"/>
          </w:tcPr>
          <w:p>
            <w:pPr>
              <w:jc w:val="center"/>
            </w:pPr>
            <w:r>
              <w:rPr>
                <w:rFonts w:eastAsiaTheme="minorEastAsia"/>
                <w:szCs w:val="21"/>
              </w:rPr>
              <w:t>卫宁健康</w:t>
            </w:r>
          </w:p>
        </w:tc>
        <w:tc>
          <w:tcPr>
            <w:vAlign w:val="center"/>
          </w:tcPr>
          <w:p>
            <w:pPr>
              <w:jc w:val="right"/>
            </w:pPr>
            <w:r>
              <w:rPr>
                <w:rFonts w:eastAsiaTheme="minorEastAsia"/>
                <w:szCs w:val="21"/>
              </w:rPr>
              <w:t>574,654.66</w:t>
            </w:r>
          </w:p>
        </w:tc>
        <w:tc>
          <w:tcPr>
            <w:vAlign w:val="center"/>
          </w:tcPr>
          <w:p>
            <w:pPr>
              <w:jc w:val="right"/>
            </w:pPr>
            <w:r>
              <w:rPr>
                <w:rFonts w:eastAsiaTheme="minorEastAsia"/>
                <w:szCs w:val="21"/>
              </w:rPr>
              <w:t>21.17</w:t>
            </w:r>
          </w:p>
        </w:tc>
      </w:tr>
      <w:tr>
        <w:tblPrEx>
          <w:tblW w:w="0" w:type="auto"/>
          <w:tblInd w:w="108" w:type="dxa"/>
          <w:tblLayout w:type="fixed"/>
          <w:tblLook w:val="00A0"/>
        </w:tblPrEx>
        <w:tc>
          <w:tcPr>
            <w:vAlign w:val="center"/>
          </w:tcPr>
          <w:p>
            <w:pPr>
              <w:jc w:val="center"/>
            </w:pPr>
            <w:r>
              <w:rPr>
                <w:rFonts w:eastAsiaTheme="minorEastAsia"/>
                <w:szCs w:val="21"/>
              </w:rPr>
              <w:t>22</w:t>
            </w:r>
          </w:p>
        </w:tc>
        <w:tc>
          <w:tcPr>
            <w:vAlign w:val="center"/>
          </w:tcPr>
          <w:p>
            <w:pPr>
              <w:jc w:val="center"/>
            </w:pPr>
            <w:r>
              <w:rPr>
                <w:rFonts w:eastAsiaTheme="minorEastAsia"/>
                <w:szCs w:val="21"/>
              </w:rPr>
              <w:t>002044</w:t>
            </w:r>
          </w:p>
        </w:tc>
        <w:tc>
          <w:tcPr>
            <w:vAlign w:val="center"/>
          </w:tcPr>
          <w:p>
            <w:pPr>
              <w:jc w:val="center"/>
            </w:pPr>
            <w:r>
              <w:rPr>
                <w:rFonts w:eastAsiaTheme="minorEastAsia"/>
                <w:szCs w:val="21"/>
              </w:rPr>
              <w:t>美年健康</w:t>
            </w:r>
          </w:p>
        </w:tc>
        <w:tc>
          <w:tcPr>
            <w:vAlign w:val="center"/>
          </w:tcPr>
          <w:p>
            <w:pPr>
              <w:jc w:val="right"/>
            </w:pPr>
            <w:r>
              <w:rPr>
                <w:rFonts w:eastAsiaTheme="minorEastAsia"/>
                <w:szCs w:val="21"/>
              </w:rPr>
              <w:t>509,687.00</w:t>
            </w:r>
          </w:p>
        </w:tc>
        <w:tc>
          <w:tcPr>
            <w:vAlign w:val="center"/>
          </w:tcPr>
          <w:p>
            <w:pPr>
              <w:jc w:val="right"/>
            </w:pPr>
            <w:r>
              <w:rPr>
                <w:rFonts w:eastAsiaTheme="minorEastAsia"/>
                <w:szCs w:val="21"/>
              </w:rPr>
              <w:t>18.77</w:t>
            </w:r>
          </w:p>
        </w:tc>
      </w:tr>
      <w:tr>
        <w:tblPrEx>
          <w:tblW w:w="0" w:type="auto"/>
          <w:tblInd w:w="108" w:type="dxa"/>
          <w:tblLayout w:type="fixed"/>
          <w:tblLook w:val="00A0"/>
        </w:tblPrEx>
        <w:tc>
          <w:tcPr>
            <w:vAlign w:val="center"/>
          </w:tcPr>
          <w:p>
            <w:pPr>
              <w:jc w:val="center"/>
            </w:pPr>
            <w:r>
              <w:rPr>
                <w:rFonts w:eastAsiaTheme="minorEastAsia"/>
                <w:szCs w:val="21"/>
              </w:rPr>
              <w:t>23</w:t>
            </w:r>
          </w:p>
        </w:tc>
        <w:tc>
          <w:tcPr>
            <w:vAlign w:val="center"/>
          </w:tcPr>
          <w:p>
            <w:pPr>
              <w:jc w:val="center"/>
            </w:pPr>
            <w:r>
              <w:rPr>
                <w:rFonts w:eastAsiaTheme="minorEastAsia"/>
                <w:szCs w:val="21"/>
              </w:rPr>
              <w:t>600718</w:t>
            </w:r>
          </w:p>
        </w:tc>
        <w:tc>
          <w:tcPr>
            <w:vAlign w:val="center"/>
          </w:tcPr>
          <w:p>
            <w:pPr>
              <w:jc w:val="center"/>
            </w:pPr>
            <w:r>
              <w:rPr>
                <w:rFonts w:eastAsiaTheme="minorEastAsia"/>
                <w:szCs w:val="21"/>
              </w:rPr>
              <w:t>东软集团</w:t>
            </w:r>
          </w:p>
        </w:tc>
        <w:tc>
          <w:tcPr>
            <w:vAlign w:val="center"/>
          </w:tcPr>
          <w:p>
            <w:pPr>
              <w:jc w:val="right"/>
            </w:pPr>
            <w:r>
              <w:rPr>
                <w:rFonts w:eastAsiaTheme="minorEastAsia"/>
                <w:szCs w:val="21"/>
              </w:rPr>
              <w:t>475,596.00</w:t>
            </w:r>
          </w:p>
        </w:tc>
        <w:tc>
          <w:tcPr>
            <w:vAlign w:val="center"/>
          </w:tcPr>
          <w:p>
            <w:pPr>
              <w:jc w:val="right"/>
            </w:pPr>
            <w:r>
              <w:rPr>
                <w:rFonts w:eastAsiaTheme="minorEastAsia"/>
                <w:szCs w:val="21"/>
              </w:rPr>
              <w:t>17.52</w:t>
            </w:r>
          </w:p>
        </w:tc>
      </w:tr>
      <w:tr>
        <w:tblPrEx>
          <w:tblW w:w="0" w:type="auto"/>
          <w:tblInd w:w="108" w:type="dxa"/>
          <w:tblLayout w:type="fixed"/>
          <w:tblLook w:val="00A0"/>
        </w:tblPrEx>
        <w:tc>
          <w:tcPr>
            <w:vAlign w:val="center"/>
          </w:tcPr>
          <w:p>
            <w:pPr>
              <w:jc w:val="center"/>
            </w:pPr>
            <w:r>
              <w:rPr>
                <w:rFonts w:eastAsiaTheme="minorEastAsia"/>
                <w:szCs w:val="21"/>
              </w:rPr>
              <w:t>24</w:t>
            </w:r>
          </w:p>
        </w:tc>
        <w:tc>
          <w:tcPr>
            <w:vAlign w:val="center"/>
          </w:tcPr>
          <w:p>
            <w:pPr>
              <w:jc w:val="center"/>
            </w:pPr>
            <w:r>
              <w:rPr>
                <w:rFonts w:eastAsiaTheme="minorEastAsia"/>
                <w:szCs w:val="21"/>
              </w:rPr>
              <w:t>000722</w:t>
            </w:r>
          </w:p>
        </w:tc>
        <w:tc>
          <w:tcPr>
            <w:vAlign w:val="center"/>
          </w:tcPr>
          <w:p>
            <w:pPr>
              <w:jc w:val="center"/>
            </w:pPr>
            <w:r>
              <w:rPr>
                <w:rFonts w:eastAsiaTheme="minorEastAsia"/>
                <w:szCs w:val="21"/>
              </w:rPr>
              <w:t>湖南发展</w:t>
            </w:r>
          </w:p>
        </w:tc>
        <w:tc>
          <w:tcPr>
            <w:vAlign w:val="center"/>
          </w:tcPr>
          <w:p>
            <w:pPr>
              <w:jc w:val="right"/>
            </w:pPr>
            <w:r>
              <w:rPr>
                <w:rFonts w:eastAsiaTheme="minorEastAsia"/>
                <w:szCs w:val="21"/>
              </w:rPr>
              <w:t>469,630.00</w:t>
            </w:r>
          </w:p>
        </w:tc>
        <w:tc>
          <w:tcPr>
            <w:vAlign w:val="center"/>
          </w:tcPr>
          <w:p>
            <w:pPr>
              <w:jc w:val="right"/>
            </w:pPr>
            <w:r>
              <w:rPr>
                <w:rFonts w:eastAsiaTheme="minorEastAsia"/>
                <w:szCs w:val="21"/>
              </w:rPr>
              <w:t>17.30</w:t>
            </w:r>
          </w:p>
        </w:tc>
      </w:tr>
      <w:tr>
        <w:tblPrEx>
          <w:tblW w:w="0" w:type="auto"/>
          <w:tblInd w:w="108" w:type="dxa"/>
          <w:tblLayout w:type="fixed"/>
          <w:tblLook w:val="00A0"/>
        </w:tblPrEx>
        <w:tc>
          <w:tcPr>
            <w:vAlign w:val="center"/>
          </w:tcPr>
          <w:p>
            <w:pPr>
              <w:jc w:val="center"/>
            </w:pPr>
            <w:r>
              <w:rPr>
                <w:rFonts w:eastAsiaTheme="minorEastAsia"/>
                <w:szCs w:val="21"/>
              </w:rPr>
              <w:t>25</w:t>
            </w:r>
          </w:p>
        </w:tc>
        <w:tc>
          <w:tcPr>
            <w:vAlign w:val="center"/>
          </w:tcPr>
          <w:p>
            <w:pPr>
              <w:jc w:val="center"/>
            </w:pPr>
            <w:r>
              <w:rPr>
                <w:rFonts w:eastAsiaTheme="minorEastAsia"/>
                <w:szCs w:val="21"/>
              </w:rPr>
              <w:t>300702</w:t>
            </w:r>
          </w:p>
        </w:tc>
        <w:tc>
          <w:tcPr>
            <w:vAlign w:val="center"/>
          </w:tcPr>
          <w:p>
            <w:pPr>
              <w:jc w:val="center"/>
            </w:pPr>
            <w:r>
              <w:rPr>
                <w:rFonts w:eastAsiaTheme="minorEastAsia"/>
                <w:szCs w:val="21"/>
              </w:rPr>
              <w:t>天宇股份</w:t>
            </w:r>
          </w:p>
        </w:tc>
        <w:tc>
          <w:tcPr>
            <w:vAlign w:val="center"/>
          </w:tcPr>
          <w:p>
            <w:pPr>
              <w:jc w:val="right"/>
            </w:pPr>
            <w:r>
              <w:rPr>
                <w:rFonts w:eastAsiaTheme="minorEastAsia"/>
                <w:szCs w:val="21"/>
              </w:rPr>
              <w:t>232,198.00</w:t>
            </w:r>
          </w:p>
        </w:tc>
        <w:tc>
          <w:tcPr>
            <w:vAlign w:val="center"/>
          </w:tcPr>
          <w:p>
            <w:pPr>
              <w:jc w:val="right"/>
            </w:pPr>
            <w:r>
              <w:rPr>
                <w:rFonts w:eastAsiaTheme="minorEastAsia"/>
                <w:szCs w:val="21"/>
              </w:rPr>
              <w:t>8.55</w:t>
            </w:r>
          </w:p>
        </w:tc>
      </w:tr>
      <w:tr>
        <w:tblPrEx>
          <w:tblW w:w="0" w:type="auto"/>
          <w:tblInd w:w="108" w:type="dxa"/>
          <w:tblLayout w:type="fixed"/>
          <w:tblLook w:val="00A0"/>
        </w:tblPrEx>
        <w:tc>
          <w:tcPr>
            <w:vAlign w:val="center"/>
          </w:tcPr>
          <w:p>
            <w:pPr>
              <w:jc w:val="center"/>
            </w:pPr>
            <w:r>
              <w:rPr>
                <w:rFonts w:eastAsiaTheme="minorEastAsia"/>
                <w:szCs w:val="21"/>
              </w:rPr>
              <w:t>26</w:t>
            </w:r>
          </w:p>
        </w:tc>
        <w:tc>
          <w:tcPr>
            <w:vAlign w:val="center"/>
          </w:tcPr>
          <w:p>
            <w:pPr>
              <w:jc w:val="center"/>
            </w:pPr>
            <w:r>
              <w:rPr>
                <w:rFonts w:eastAsiaTheme="minorEastAsia"/>
                <w:szCs w:val="21"/>
              </w:rPr>
              <w:t>000661</w:t>
            </w:r>
          </w:p>
        </w:tc>
        <w:tc>
          <w:tcPr>
            <w:vAlign w:val="center"/>
          </w:tcPr>
          <w:p>
            <w:pPr>
              <w:jc w:val="center"/>
            </w:pPr>
            <w:r>
              <w:rPr>
                <w:rFonts w:eastAsiaTheme="minorEastAsia"/>
                <w:szCs w:val="21"/>
              </w:rPr>
              <w:t>长春高新</w:t>
            </w:r>
          </w:p>
        </w:tc>
        <w:tc>
          <w:tcPr>
            <w:vAlign w:val="center"/>
          </w:tcPr>
          <w:p>
            <w:pPr>
              <w:jc w:val="right"/>
            </w:pPr>
            <w:r>
              <w:rPr>
                <w:rFonts w:eastAsiaTheme="minorEastAsia"/>
                <w:szCs w:val="21"/>
              </w:rPr>
              <w:t>188,421.00</w:t>
            </w:r>
          </w:p>
        </w:tc>
        <w:tc>
          <w:tcPr>
            <w:vAlign w:val="center"/>
          </w:tcPr>
          <w:p>
            <w:pPr>
              <w:jc w:val="right"/>
            </w:pPr>
            <w:r>
              <w:rPr>
                <w:rFonts w:eastAsiaTheme="minorEastAsia"/>
                <w:szCs w:val="21"/>
              </w:rPr>
              <w:t>6.94</w:t>
            </w:r>
          </w:p>
        </w:tc>
      </w:tr>
      <w:tr>
        <w:tblPrEx>
          <w:tblW w:w="0" w:type="auto"/>
          <w:tblInd w:w="108" w:type="dxa"/>
          <w:tblLayout w:type="fixed"/>
          <w:tblLook w:val="00A0"/>
        </w:tblPrEx>
        <w:tc>
          <w:tcPr>
            <w:vAlign w:val="center"/>
          </w:tcPr>
          <w:p>
            <w:pPr>
              <w:jc w:val="center"/>
            </w:pPr>
            <w:r>
              <w:rPr>
                <w:rFonts w:eastAsiaTheme="minorEastAsia"/>
                <w:szCs w:val="21"/>
              </w:rPr>
              <w:t>27</w:t>
            </w:r>
          </w:p>
        </w:tc>
        <w:tc>
          <w:tcPr>
            <w:vAlign w:val="center"/>
          </w:tcPr>
          <w:p>
            <w:pPr>
              <w:jc w:val="center"/>
            </w:pPr>
            <w:r>
              <w:rPr>
                <w:rFonts w:eastAsiaTheme="minorEastAsia"/>
                <w:szCs w:val="21"/>
              </w:rPr>
              <w:t>600535</w:t>
            </w:r>
          </w:p>
        </w:tc>
        <w:tc>
          <w:tcPr>
            <w:vAlign w:val="center"/>
          </w:tcPr>
          <w:p>
            <w:pPr>
              <w:jc w:val="center"/>
            </w:pPr>
            <w:r>
              <w:rPr>
                <w:rFonts w:eastAsiaTheme="minorEastAsia"/>
                <w:szCs w:val="21"/>
              </w:rPr>
              <w:t>天士力</w:t>
            </w:r>
          </w:p>
        </w:tc>
        <w:tc>
          <w:tcPr>
            <w:vAlign w:val="center"/>
          </w:tcPr>
          <w:p>
            <w:pPr>
              <w:jc w:val="right"/>
            </w:pPr>
            <w:r>
              <w:rPr>
                <w:rFonts w:eastAsiaTheme="minorEastAsia"/>
                <w:szCs w:val="21"/>
              </w:rPr>
              <w:t>152,555.00</w:t>
            </w:r>
          </w:p>
        </w:tc>
        <w:tc>
          <w:tcPr>
            <w:vAlign w:val="center"/>
          </w:tcPr>
          <w:p>
            <w:pPr>
              <w:jc w:val="right"/>
            </w:pPr>
            <w:r>
              <w:rPr>
                <w:rFonts w:eastAsiaTheme="minorEastAsia"/>
                <w:szCs w:val="21"/>
              </w:rPr>
              <w:t>5.62</w:t>
            </w:r>
          </w:p>
        </w:tc>
      </w:tr>
      <w:tr>
        <w:tblPrEx>
          <w:tblW w:w="0" w:type="auto"/>
          <w:tblInd w:w="108" w:type="dxa"/>
          <w:tblLayout w:type="fixed"/>
          <w:tblLook w:val="00A0"/>
        </w:tblPrEx>
        <w:tc>
          <w:tcPr>
            <w:vAlign w:val="center"/>
          </w:tcPr>
          <w:p>
            <w:pPr>
              <w:jc w:val="center"/>
            </w:pPr>
            <w:r>
              <w:rPr>
                <w:rFonts w:eastAsiaTheme="minorEastAsia"/>
                <w:szCs w:val="21"/>
              </w:rPr>
              <w:t>28</w:t>
            </w:r>
          </w:p>
        </w:tc>
        <w:tc>
          <w:tcPr>
            <w:vAlign w:val="center"/>
          </w:tcPr>
          <w:p>
            <w:pPr>
              <w:jc w:val="center"/>
            </w:pPr>
            <w:r>
              <w:rPr>
                <w:rFonts w:eastAsiaTheme="minorEastAsia"/>
                <w:szCs w:val="21"/>
              </w:rPr>
              <w:t>300584</w:t>
            </w:r>
          </w:p>
        </w:tc>
        <w:tc>
          <w:tcPr>
            <w:vAlign w:val="center"/>
          </w:tcPr>
          <w:p>
            <w:pPr>
              <w:jc w:val="center"/>
            </w:pPr>
            <w:r>
              <w:rPr>
                <w:rFonts w:eastAsiaTheme="minorEastAsia"/>
                <w:szCs w:val="21"/>
              </w:rPr>
              <w:t>海辰药业</w:t>
            </w:r>
          </w:p>
        </w:tc>
        <w:tc>
          <w:tcPr>
            <w:vAlign w:val="center"/>
          </w:tcPr>
          <w:p>
            <w:pPr>
              <w:jc w:val="right"/>
            </w:pPr>
            <w:r>
              <w:rPr>
                <w:rFonts w:eastAsiaTheme="minorEastAsia"/>
                <w:szCs w:val="21"/>
              </w:rPr>
              <w:t>142,794.00</w:t>
            </w:r>
          </w:p>
        </w:tc>
        <w:tc>
          <w:tcPr>
            <w:vAlign w:val="center"/>
          </w:tcPr>
          <w:p>
            <w:pPr>
              <w:jc w:val="right"/>
            </w:pPr>
            <w:r>
              <w:rPr>
                <w:rFonts w:eastAsiaTheme="minorEastAsia"/>
                <w:szCs w:val="21"/>
              </w:rPr>
              <w:t>5.26</w:t>
            </w:r>
          </w:p>
        </w:tc>
      </w:tr>
      <w:tr>
        <w:tblPrEx>
          <w:tblW w:w="0" w:type="auto"/>
          <w:tblInd w:w="108" w:type="dxa"/>
          <w:tblLayout w:type="fixed"/>
          <w:tblLook w:val="00A0"/>
        </w:tblPrEx>
        <w:tc>
          <w:tcPr>
            <w:vAlign w:val="center"/>
          </w:tcPr>
          <w:p>
            <w:pPr>
              <w:jc w:val="center"/>
            </w:pPr>
            <w:r>
              <w:rPr>
                <w:rFonts w:eastAsiaTheme="minorEastAsia"/>
                <w:szCs w:val="21"/>
              </w:rPr>
              <w:t>29</w:t>
            </w:r>
          </w:p>
        </w:tc>
        <w:tc>
          <w:tcPr>
            <w:vAlign w:val="center"/>
          </w:tcPr>
          <w:p>
            <w:pPr>
              <w:jc w:val="center"/>
            </w:pPr>
            <w:r>
              <w:rPr>
                <w:rFonts w:eastAsiaTheme="minorEastAsia"/>
                <w:szCs w:val="21"/>
              </w:rPr>
              <w:t>002065</w:t>
            </w:r>
          </w:p>
        </w:tc>
        <w:tc>
          <w:tcPr>
            <w:vAlign w:val="center"/>
          </w:tcPr>
          <w:p>
            <w:pPr>
              <w:jc w:val="center"/>
            </w:pPr>
            <w:r>
              <w:rPr>
                <w:rFonts w:eastAsiaTheme="minorEastAsia"/>
                <w:szCs w:val="21"/>
              </w:rPr>
              <w:t>东华软件</w:t>
            </w:r>
          </w:p>
        </w:tc>
        <w:tc>
          <w:tcPr>
            <w:vAlign w:val="center"/>
          </w:tcPr>
          <w:p>
            <w:pPr>
              <w:jc w:val="right"/>
            </w:pPr>
            <w:r>
              <w:rPr>
                <w:rFonts w:eastAsiaTheme="minorEastAsia"/>
                <w:szCs w:val="21"/>
              </w:rPr>
              <w:t>142,206.00</w:t>
            </w:r>
          </w:p>
        </w:tc>
        <w:tc>
          <w:tcPr>
            <w:vAlign w:val="center"/>
          </w:tcPr>
          <w:p>
            <w:pPr>
              <w:jc w:val="right"/>
            </w:pPr>
            <w:r>
              <w:rPr>
                <w:rFonts w:eastAsiaTheme="minorEastAsia"/>
                <w:szCs w:val="21"/>
              </w:rPr>
              <w:t>5.24</w:t>
            </w:r>
          </w:p>
        </w:tc>
      </w:tr>
      <w:tr>
        <w:tblPrEx>
          <w:tblW w:w="0" w:type="auto"/>
          <w:tblInd w:w="108" w:type="dxa"/>
          <w:tblLayout w:type="fixed"/>
          <w:tblLook w:val="00A0"/>
        </w:tblPrEx>
        <w:tc>
          <w:tcPr>
            <w:vAlign w:val="center"/>
          </w:tcPr>
          <w:p>
            <w:pPr>
              <w:jc w:val="center"/>
            </w:pPr>
            <w:r>
              <w:rPr>
                <w:rFonts w:eastAsiaTheme="minorEastAsia"/>
                <w:szCs w:val="21"/>
              </w:rPr>
              <w:t>30</w:t>
            </w:r>
          </w:p>
        </w:tc>
        <w:tc>
          <w:tcPr>
            <w:vAlign w:val="center"/>
          </w:tcPr>
          <w:p>
            <w:pPr>
              <w:jc w:val="center"/>
            </w:pPr>
            <w:r>
              <w:rPr>
                <w:rFonts w:eastAsiaTheme="minorEastAsia"/>
                <w:szCs w:val="21"/>
              </w:rPr>
              <w:t>002332</w:t>
            </w:r>
          </w:p>
        </w:tc>
        <w:tc>
          <w:tcPr>
            <w:vAlign w:val="center"/>
          </w:tcPr>
          <w:p>
            <w:pPr>
              <w:jc w:val="center"/>
            </w:pPr>
            <w:r>
              <w:rPr>
                <w:rFonts w:eastAsiaTheme="minorEastAsia"/>
                <w:szCs w:val="21"/>
              </w:rPr>
              <w:t>仙琚制药</w:t>
            </w:r>
          </w:p>
        </w:tc>
        <w:tc>
          <w:tcPr>
            <w:vAlign w:val="center"/>
          </w:tcPr>
          <w:p>
            <w:pPr>
              <w:jc w:val="right"/>
            </w:pPr>
            <w:r>
              <w:rPr>
                <w:rFonts w:eastAsiaTheme="minorEastAsia"/>
                <w:szCs w:val="21"/>
              </w:rPr>
              <w:t>123,648.00</w:t>
            </w:r>
          </w:p>
        </w:tc>
        <w:tc>
          <w:tcPr>
            <w:vAlign w:val="center"/>
          </w:tcPr>
          <w:p>
            <w:pPr>
              <w:jc w:val="right"/>
            </w:pPr>
            <w:r>
              <w:rPr>
                <w:rFonts w:eastAsiaTheme="minorEastAsia"/>
                <w:szCs w:val="21"/>
              </w:rPr>
              <w:t>4.55</w:t>
            </w:r>
          </w:p>
        </w:tc>
      </w:tr>
      <w:tr>
        <w:tblPrEx>
          <w:tblW w:w="0" w:type="auto"/>
          <w:tblInd w:w="108" w:type="dxa"/>
          <w:tblLayout w:type="fixed"/>
          <w:tblLook w:val="00A0"/>
        </w:tblPrEx>
        <w:tc>
          <w:tcPr>
            <w:vAlign w:val="center"/>
          </w:tcPr>
          <w:p>
            <w:pPr>
              <w:jc w:val="center"/>
            </w:pPr>
            <w:r>
              <w:rPr>
                <w:rFonts w:eastAsiaTheme="minorEastAsia"/>
                <w:szCs w:val="21"/>
              </w:rPr>
              <w:t>31</w:t>
            </w:r>
          </w:p>
        </w:tc>
        <w:tc>
          <w:tcPr>
            <w:vAlign w:val="center"/>
          </w:tcPr>
          <w:p>
            <w:pPr>
              <w:jc w:val="center"/>
            </w:pPr>
            <w:r>
              <w:rPr>
                <w:rFonts w:eastAsiaTheme="minorEastAsia"/>
                <w:szCs w:val="21"/>
              </w:rPr>
              <w:t>002007</w:t>
            </w:r>
          </w:p>
        </w:tc>
        <w:tc>
          <w:tcPr>
            <w:vAlign w:val="center"/>
          </w:tcPr>
          <w:p>
            <w:pPr>
              <w:jc w:val="center"/>
            </w:pPr>
            <w:r>
              <w:rPr>
                <w:rFonts w:eastAsiaTheme="minorEastAsia"/>
                <w:szCs w:val="21"/>
              </w:rPr>
              <w:t>华兰生物</w:t>
            </w:r>
          </w:p>
        </w:tc>
        <w:tc>
          <w:tcPr>
            <w:vAlign w:val="center"/>
          </w:tcPr>
          <w:p>
            <w:pPr>
              <w:jc w:val="right"/>
            </w:pPr>
            <w:r>
              <w:rPr>
                <w:rFonts w:eastAsiaTheme="minorEastAsia"/>
                <w:szCs w:val="21"/>
              </w:rPr>
              <w:t>118,800.00</w:t>
            </w:r>
          </w:p>
        </w:tc>
        <w:tc>
          <w:tcPr>
            <w:vAlign w:val="center"/>
          </w:tcPr>
          <w:p>
            <w:pPr>
              <w:jc w:val="right"/>
            </w:pPr>
            <w:r>
              <w:rPr>
                <w:rFonts w:eastAsiaTheme="minorEastAsia"/>
                <w:szCs w:val="21"/>
              </w:rPr>
              <w:t>4.38</w:t>
            </w:r>
          </w:p>
        </w:tc>
      </w:tr>
    </w:tbl>
    <w:p w:rsidR="001548F9" w:rsidRPr="0045565B" w:rsidP="006A2FD2">
      <w:pPr>
        <w:spacing w:before="312" w:beforeLines="100" w:line="360" w:lineRule="auto"/>
        <w:rPr>
          <w:rFonts w:eastAsiaTheme="minorEastAsia"/>
          <w:b/>
          <w:bCs/>
          <w:color w:val="000000"/>
          <w:szCs w:val="21"/>
        </w:rPr>
      </w:pPr>
      <w:r w:rsidRPr="0045565B">
        <w:rPr>
          <w:rFonts w:eastAsiaTheme="minorEastAsia"/>
          <w:b/>
          <w:color w:val="000000"/>
          <w:szCs w:val="21"/>
        </w:rPr>
        <w:t xml:space="preserve">7.4.2 </w:t>
      </w:r>
      <w:r w:rsidRPr="0045565B" w:rsidR="007E4BC1">
        <w:rPr>
          <w:rFonts w:eastAsiaTheme="minorEastAsia"/>
          <w:b/>
          <w:bCs/>
          <w:color w:val="000000"/>
          <w:szCs w:val="21"/>
        </w:rPr>
        <w:t>累计卖出金额超出</w:t>
      </w:r>
      <w:r w:rsidRPr="0045565B" w:rsidR="007E4BC1">
        <w:rPr>
          <w:rFonts w:eastAsiaTheme="minorEastAsia"/>
          <w:b/>
          <w:color w:val="000000"/>
          <w:kern w:val="0"/>
          <w:szCs w:val="21"/>
        </w:rPr>
        <w:t>期初</w:t>
      </w:r>
      <w:r w:rsidRPr="0045565B">
        <w:rPr>
          <w:rFonts w:eastAsiaTheme="minorEastAsia"/>
          <w:b/>
          <w:bCs/>
          <w:color w:val="000000"/>
          <w:szCs w:val="21"/>
        </w:rPr>
        <w:t>基金资产净值</w:t>
      </w:r>
      <w:r w:rsidRPr="0045565B">
        <w:rPr>
          <w:rFonts w:eastAsiaTheme="minorEastAsia"/>
          <w:b/>
          <w:bCs/>
          <w:color w:val="000000"/>
          <w:szCs w:val="21"/>
        </w:rPr>
        <w:t>2%</w:t>
      </w:r>
      <w:r w:rsidRPr="0045565B">
        <w:rPr>
          <w:rFonts w:eastAsiaTheme="minorEastAsia"/>
          <w:b/>
          <w:bCs/>
          <w:color w:val="000000"/>
          <w:szCs w:val="21"/>
        </w:rPr>
        <w:t>或前</w:t>
      </w:r>
      <w:r w:rsidRPr="0045565B">
        <w:rPr>
          <w:rFonts w:eastAsiaTheme="minorEastAsia"/>
          <w:b/>
          <w:bCs/>
          <w:color w:val="000000"/>
          <w:szCs w:val="21"/>
        </w:rPr>
        <w:t>20</w:t>
      </w:r>
      <w:r w:rsidRPr="0045565B">
        <w:rPr>
          <w:rFonts w:eastAsiaTheme="minorEastAsia"/>
          <w:b/>
          <w:bCs/>
          <w:color w:val="000000"/>
          <w:szCs w:val="21"/>
        </w:rPr>
        <w:t>名的股票明细</w:t>
      </w:r>
    </w:p>
    <w:p w:rsidR="001548F9" w:rsidRPr="0045565B" w:rsidP="008971E9">
      <w:pPr>
        <w:autoSpaceDE w:val="0"/>
        <w:autoSpaceDN w:val="0"/>
        <w:adjustRightInd w:val="0"/>
        <w:spacing w:before="29" w:line="288" w:lineRule="auto"/>
        <w:ind w:left="15"/>
        <w:jc w:val="right"/>
        <w:rPr>
          <w:rFonts w:eastAsiaTheme="minorEastAsia"/>
          <w:color w:val="000000"/>
          <w:kern w:val="0"/>
          <w:szCs w:val="21"/>
        </w:rPr>
      </w:pPr>
      <w:r w:rsidRPr="0045565B">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0"/>
        <w:gridCol w:w="1650"/>
        <w:gridCol w:w="1980"/>
        <w:gridCol w:w="2880"/>
        <w:gridCol w:w="1620"/>
      </w:tblGrid>
      <w:tr w:rsidTr="0070173B">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870" w:type="dxa"/>
            <w:vAlign w:val="center"/>
          </w:tcPr>
          <w:p w:rsidR="001548F9" w:rsidRPr="0045565B" w:rsidP="0070173B">
            <w:pPr>
              <w:jc w:val="center"/>
              <w:rPr>
                <w:rFonts w:eastAsiaTheme="minorEastAsia"/>
                <w:color w:val="000000"/>
                <w:szCs w:val="21"/>
              </w:rPr>
            </w:pPr>
            <w:r w:rsidRPr="0045565B">
              <w:rPr>
                <w:rFonts w:eastAsiaTheme="minorEastAsia"/>
                <w:color w:val="000000"/>
                <w:szCs w:val="21"/>
              </w:rPr>
              <w:t>序号</w:t>
            </w:r>
          </w:p>
        </w:tc>
        <w:tc>
          <w:tcPr>
            <w:tcW w:w="1650" w:type="dxa"/>
            <w:vAlign w:val="center"/>
          </w:tcPr>
          <w:p w:rsidR="001548F9" w:rsidRPr="0045565B" w:rsidP="0070173B">
            <w:pPr>
              <w:jc w:val="center"/>
              <w:rPr>
                <w:rFonts w:eastAsiaTheme="minorEastAsia"/>
                <w:color w:val="000000"/>
                <w:szCs w:val="21"/>
              </w:rPr>
            </w:pPr>
            <w:r w:rsidRPr="0045565B">
              <w:rPr>
                <w:rFonts w:eastAsiaTheme="minorEastAsia"/>
                <w:color w:val="000000"/>
                <w:szCs w:val="21"/>
              </w:rPr>
              <w:t>股票代码</w:t>
            </w:r>
          </w:p>
        </w:tc>
        <w:tc>
          <w:tcPr>
            <w:tcW w:w="1980" w:type="dxa"/>
            <w:vAlign w:val="center"/>
          </w:tcPr>
          <w:p w:rsidR="001548F9" w:rsidRPr="0045565B" w:rsidP="0070173B">
            <w:pPr>
              <w:jc w:val="center"/>
              <w:rPr>
                <w:rFonts w:eastAsiaTheme="minorEastAsia"/>
                <w:color w:val="000000"/>
                <w:szCs w:val="21"/>
              </w:rPr>
            </w:pPr>
            <w:r w:rsidRPr="0045565B">
              <w:rPr>
                <w:rFonts w:eastAsiaTheme="minorEastAsia"/>
                <w:color w:val="000000"/>
                <w:szCs w:val="21"/>
              </w:rPr>
              <w:t>股票名称</w:t>
            </w:r>
          </w:p>
        </w:tc>
        <w:tc>
          <w:tcPr>
            <w:tcW w:w="2880" w:type="dxa"/>
            <w:vAlign w:val="center"/>
          </w:tcPr>
          <w:p w:rsidR="001548F9" w:rsidRPr="0045565B" w:rsidP="0070173B">
            <w:pPr>
              <w:jc w:val="center"/>
              <w:rPr>
                <w:rFonts w:eastAsiaTheme="minorEastAsia"/>
                <w:color w:val="000000"/>
                <w:szCs w:val="21"/>
              </w:rPr>
            </w:pPr>
            <w:r w:rsidRPr="0045565B">
              <w:rPr>
                <w:rFonts w:eastAsiaTheme="minorEastAsia"/>
                <w:color w:val="000000"/>
                <w:szCs w:val="21"/>
              </w:rPr>
              <w:t>本期累计卖出金额</w:t>
            </w:r>
          </w:p>
        </w:tc>
        <w:tc>
          <w:tcPr>
            <w:tcW w:w="1620" w:type="dxa"/>
            <w:vAlign w:val="center"/>
          </w:tcPr>
          <w:p w:rsidR="001548F9" w:rsidRPr="0045565B" w:rsidP="0070173B">
            <w:pPr>
              <w:jc w:val="center"/>
              <w:rPr>
                <w:rFonts w:eastAsiaTheme="minorEastAsia"/>
                <w:color w:val="000000"/>
                <w:szCs w:val="21"/>
              </w:rPr>
            </w:pPr>
            <w:r w:rsidRPr="0045565B">
              <w:rPr>
                <w:rFonts w:eastAsiaTheme="minorEastAsia"/>
                <w:color w:val="000000"/>
                <w:szCs w:val="21"/>
              </w:rPr>
              <w:t>占期初基金资产净值比例（％）</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1</w:t>
            </w:r>
          </w:p>
        </w:tc>
        <w:tc>
          <w:tcPr>
            <w:vAlign w:val="center"/>
          </w:tcPr>
          <w:p>
            <w:pPr>
              <w:jc w:val="center"/>
            </w:pPr>
            <w:r>
              <w:rPr>
                <w:rFonts w:ascii="Times New Roman" w:hAnsi="Times New Roman" w:eastAsiaTheme="minorEastAsia"/>
                <w:kern w:val="2"/>
                <w:sz w:val="21"/>
                <w:szCs w:val="21"/>
              </w:rPr>
              <w:t>300363</w:t>
            </w:r>
          </w:p>
        </w:tc>
        <w:tc>
          <w:tcPr>
            <w:vAlign w:val="center"/>
          </w:tcPr>
          <w:p>
            <w:pPr>
              <w:jc w:val="center"/>
            </w:pPr>
            <w:r>
              <w:rPr>
                <w:rFonts w:ascii="Times New Roman" w:hAnsi="Times New Roman" w:eastAsiaTheme="minorEastAsia"/>
                <w:kern w:val="2"/>
                <w:sz w:val="21"/>
                <w:szCs w:val="21"/>
              </w:rPr>
              <w:t>博腾股份</w:t>
            </w:r>
          </w:p>
        </w:tc>
        <w:tc>
          <w:tcPr>
            <w:vAlign w:val="center"/>
          </w:tcPr>
          <w:p>
            <w:pPr>
              <w:jc w:val="right"/>
            </w:pPr>
            <w:r>
              <w:rPr>
                <w:rFonts w:ascii="Times New Roman" w:hAnsi="Times New Roman" w:eastAsiaTheme="minorEastAsia"/>
                <w:kern w:val="2"/>
                <w:sz w:val="21"/>
                <w:szCs w:val="21"/>
              </w:rPr>
              <w:t>967,272.35</w:t>
            </w:r>
          </w:p>
        </w:tc>
        <w:tc>
          <w:tcPr>
            <w:vAlign w:val="center"/>
          </w:tcPr>
          <w:p>
            <w:pPr>
              <w:jc w:val="right"/>
            </w:pPr>
            <w:r>
              <w:rPr>
                <w:rFonts w:ascii="Times New Roman" w:hAnsi="Times New Roman" w:eastAsiaTheme="minorEastAsia"/>
                <w:kern w:val="2"/>
                <w:sz w:val="21"/>
                <w:szCs w:val="21"/>
              </w:rPr>
              <w:t>35.63</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2</w:t>
            </w:r>
          </w:p>
        </w:tc>
        <w:tc>
          <w:tcPr>
            <w:vAlign w:val="center"/>
          </w:tcPr>
          <w:p>
            <w:pPr>
              <w:jc w:val="center"/>
            </w:pPr>
            <w:r>
              <w:rPr>
                <w:rFonts w:ascii="Times New Roman" w:hAnsi="Times New Roman" w:eastAsiaTheme="minorEastAsia"/>
                <w:kern w:val="2"/>
                <w:sz w:val="21"/>
                <w:szCs w:val="21"/>
              </w:rPr>
              <w:t>002001</w:t>
            </w:r>
          </w:p>
        </w:tc>
        <w:tc>
          <w:tcPr>
            <w:vAlign w:val="center"/>
          </w:tcPr>
          <w:p>
            <w:pPr>
              <w:jc w:val="center"/>
            </w:pPr>
            <w:r>
              <w:rPr>
                <w:rFonts w:ascii="Times New Roman" w:hAnsi="Times New Roman" w:eastAsiaTheme="minorEastAsia"/>
                <w:kern w:val="2"/>
                <w:sz w:val="21"/>
                <w:szCs w:val="21"/>
              </w:rPr>
              <w:t>新 和 成</w:t>
            </w:r>
          </w:p>
        </w:tc>
        <w:tc>
          <w:tcPr>
            <w:vAlign w:val="center"/>
          </w:tcPr>
          <w:p>
            <w:pPr>
              <w:jc w:val="right"/>
            </w:pPr>
            <w:r>
              <w:rPr>
                <w:rFonts w:ascii="Times New Roman" w:hAnsi="Times New Roman" w:eastAsiaTheme="minorEastAsia"/>
                <w:kern w:val="2"/>
                <w:sz w:val="21"/>
                <w:szCs w:val="21"/>
              </w:rPr>
              <w:t>946,447.00</w:t>
            </w:r>
          </w:p>
        </w:tc>
        <w:tc>
          <w:tcPr>
            <w:vAlign w:val="center"/>
          </w:tcPr>
          <w:p>
            <w:pPr>
              <w:jc w:val="right"/>
            </w:pPr>
            <w:r>
              <w:rPr>
                <w:rFonts w:ascii="Times New Roman" w:hAnsi="Times New Roman" w:eastAsiaTheme="minorEastAsia"/>
                <w:kern w:val="2"/>
                <w:sz w:val="21"/>
                <w:szCs w:val="21"/>
              </w:rPr>
              <w:t>34.86</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3</w:t>
            </w:r>
          </w:p>
        </w:tc>
        <w:tc>
          <w:tcPr>
            <w:vAlign w:val="center"/>
          </w:tcPr>
          <w:p>
            <w:pPr>
              <w:jc w:val="center"/>
            </w:pPr>
            <w:r>
              <w:rPr>
                <w:rFonts w:ascii="Times New Roman" w:hAnsi="Times New Roman" w:eastAsiaTheme="minorEastAsia"/>
                <w:kern w:val="2"/>
                <w:sz w:val="21"/>
                <w:szCs w:val="21"/>
              </w:rPr>
              <w:t>600285</w:t>
            </w:r>
          </w:p>
        </w:tc>
        <w:tc>
          <w:tcPr>
            <w:vAlign w:val="center"/>
          </w:tcPr>
          <w:p>
            <w:pPr>
              <w:jc w:val="center"/>
            </w:pPr>
            <w:r>
              <w:rPr>
                <w:rFonts w:ascii="Times New Roman" w:hAnsi="Times New Roman" w:eastAsiaTheme="minorEastAsia"/>
                <w:kern w:val="2"/>
                <w:sz w:val="21"/>
                <w:szCs w:val="21"/>
              </w:rPr>
              <w:t>羚锐制药</w:t>
            </w:r>
          </w:p>
        </w:tc>
        <w:tc>
          <w:tcPr>
            <w:vAlign w:val="center"/>
          </w:tcPr>
          <w:p>
            <w:pPr>
              <w:jc w:val="right"/>
            </w:pPr>
            <w:r>
              <w:rPr>
                <w:rFonts w:ascii="Times New Roman" w:hAnsi="Times New Roman" w:eastAsiaTheme="minorEastAsia"/>
                <w:kern w:val="2"/>
                <w:sz w:val="21"/>
                <w:szCs w:val="21"/>
              </w:rPr>
              <w:t>801,532.00</w:t>
            </w:r>
          </w:p>
        </w:tc>
        <w:tc>
          <w:tcPr>
            <w:vAlign w:val="center"/>
          </w:tcPr>
          <w:p>
            <w:pPr>
              <w:jc w:val="right"/>
            </w:pPr>
            <w:r>
              <w:rPr>
                <w:rFonts w:ascii="Times New Roman" w:hAnsi="Times New Roman" w:eastAsiaTheme="minorEastAsia"/>
                <w:kern w:val="2"/>
                <w:sz w:val="21"/>
                <w:szCs w:val="21"/>
              </w:rPr>
              <w:t>29.52</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4</w:t>
            </w:r>
          </w:p>
        </w:tc>
        <w:tc>
          <w:tcPr>
            <w:vAlign w:val="center"/>
          </w:tcPr>
          <w:p>
            <w:pPr>
              <w:jc w:val="center"/>
            </w:pPr>
            <w:r>
              <w:rPr>
                <w:rFonts w:ascii="Times New Roman" w:hAnsi="Times New Roman" w:eastAsiaTheme="minorEastAsia"/>
                <w:kern w:val="2"/>
                <w:sz w:val="21"/>
                <w:szCs w:val="21"/>
              </w:rPr>
              <w:t>300122</w:t>
            </w:r>
          </w:p>
        </w:tc>
        <w:tc>
          <w:tcPr>
            <w:vAlign w:val="center"/>
          </w:tcPr>
          <w:p>
            <w:pPr>
              <w:jc w:val="center"/>
            </w:pPr>
            <w:r>
              <w:rPr>
                <w:rFonts w:ascii="Times New Roman" w:hAnsi="Times New Roman" w:eastAsiaTheme="minorEastAsia"/>
                <w:kern w:val="2"/>
                <w:sz w:val="21"/>
                <w:szCs w:val="21"/>
              </w:rPr>
              <w:t>智飞生物</w:t>
            </w:r>
          </w:p>
        </w:tc>
        <w:tc>
          <w:tcPr>
            <w:vAlign w:val="center"/>
          </w:tcPr>
          <w:p>
            <w:pPr>
              <w:jc w:val="right"/>
            </w:pPr>
            <w:r>
              <w:rPr>
                <w:rFonts w:ascii="Times New Roman" w:hAnsi="Times New Roman" w:eastAsiaTheme="minorEastAsia"/>
                <w:kern w:val="2"/>
                <w:sz w:val="21"/>
                <w:szCs w:val="21"/>
              </w:rPr>
              <w:t>739,007.64</w:t>
            </w:r>
          </w:p>
        </w:tc>
        <w:tc>
          <w:tcPr>
            <w:vAlign w:val="center"/>
          </w:tcPr>
          <w:p>
            <w:pPr>
              <w:jc w:val="right"/>
            </w:pPr>
            <w:r>
              <w:rPr>
                <w:rFonts w:ascii="Times New Roman" w:hAnsi="Times New Roman" w:eastAsiaTheme="minorEastAsia"/>
                <w:kern w:val="2"/>
                <w:sz w:val="21"/>
                <w:szCs w:val="21"/>
              </w:rPr>
              <w:t>27.22</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5</w:t>
            </w:r>
          </w:p>
        </w:tc>
        <w:tc>
          <w:tcPr>
            <w:vAlign w:val="center"/>
          </w:tcPr>
          <w:p>
            <w:pPr>
              <w:jc w:val="center"/>
            </w:pPr>
            <w:r>
              <w:rPr>
                <w:rFonts w:ascii="Times New Roman" w:hAnsi="Times New Roman" w:eastAsiaTheme="minorEastAsia"/>
                <w:kern w:val="2"/>
                <w:sz w:val="21"/>
                <w:szCs w:val="21"/>
              </w:rPr>
              <w:t>000590</w:t>
            </w:r>
          </w:p>
        </w:tc>
        <w:tc>
          <w:tcPr>
            <w:vAlign w:val="center"/>
          </w:tcPr>
          <w:p>
            <w:pPr>
              <w:jc w:val="center"/>
            </w:pPr>
            <w:r>
              <w:rPr>
                <w:rFonts w:ascii="Times New Roman" w:hAnsi="Times New Roman" w:eastAsiaTheme="minorEastAsia"/>
                <w:kern w:val="2"/>
                <w:sz w:val="21"/>
                <w:szCs w:val="21"/>
              </w:rPr>
              <w:t>启迪古汉</w:t>
            </w:r>
          </w:p>
        </w:tc>
        <w:tc>
          <w:tcPr>
            <w:vAlign w:val="center"/>
          </w:tcPr>
          <w:p>
            <w:pPr>
              <w:jc w:val="right"/>
            </w:pPr>
            <w:r>
              <w:rPr>
                <w:rFonts w:ascii="Times New Roman" w:hAnsi="Times New Roman" w:eastAsiaTheme="minorEastAsia"/>
                <w:kern w:val="2"/>
                <w:sz w:val="21"/>
                <w:szCs w:val="21"/>
              </w:rPr>
              <w:t>715,173.00</w:t>
            </w:r>
          </w:p>
        </w:tc>
        <w:tc>
          <w:tcPr>
            <w:vAlign w:val="center"/>
          </w:tcPr>
          <w:p>
            <w:pPr>
              <w:jc w:val="right"/>
            </w:pPr>
            <w:r>
              <w:rPr>
                <w:rFonts w:ascii="Times New Roman" w:hAnsi="Times New Roman" w:eastAsiaTheme="minorEastAsia"/>
                <w:kern w:val="2"/>
                <w:sz w:val="21"/>
                <w:szCs w:val="21"/>
              </w:rPr>
              <w:t>26.34</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6</w:t>
            </w:r>
          </w:p>
        </w:tc>
        <w:tc>
          <w:tcPr>
            <w:vAlign w:val="center"/>
          </w:tcPr>
          <w:p>
            <w:pPr>
              <w:jc w:val="center"/>
            </w:pPr>
            <w:r>
              <w:rPr>
                <w:rFonts w:ascii="Times New Roman" w:hAnsi="Times New Roman" w:eastAsiaTheme="minorEastAsia"/>
                <w:kern w:val="2"/>
                <w:sz w:val="21"/>
                <w:szCs w:val="21"/>
              </w:rPr>
              <w:t>002777</w:t>
            </w:r>
          </w:p>
        </w:tc>
        <w:tc>
          <w:tcPr>
            <w:vAlign w:val="center"/>
          </w:tcPr>
          <w:p>
            <w:pPr>
              <w:jc w:val="center"/>
            </w:pPr>
            <w:r>
              <w:rPr>
                <w:rFonts w:ascii="Times New Roman" w:hAnsi="Times New Roman" w:eastAsiaTheme="minorEastAsia"/>
                <w:kern w:val="2"/>
                <w:sz w:val="21"/>
                <w:szCs w:val="21"/>
              </w:rPr>
              <w:t>久远银海</w:t>
            </w:r>
          </w:p>
        </w:tc>
        <w:tc>
          <w:tcPr>
            <w:vAlign w:val="center"/>
          </w:tcPr>
          <w:p>
            <w:pPr>
              <w:jc w:val="right"/>
            </w:pPr>
            <w:r>
              <w:rPr>
                <w:rFonts w:ascii="Times New Roman" w:hAnsi="Times New Roman" w:eastAsiaTheme="minorEastAsia"/>
                <w:kern w:val="2"/>
                <w:sz w:val="21"/>
                <w:szCs w:val="21"/>
              </w:rPr>
              <w:t>703,722.00</w:t>
            </w:r>
          </w:p>
        </w:tc>
        <w:tc>
          <w:tcPr>
            <w:vAlign w:val="center"/>
          </w:tcPr>
          <w:p>
            <w:pPr>
              <w:jc w:val="right"/>
            </w:pPr>
            <w:r>
              <w:rPr>
                <w:rFonts w:ascii="Times New Roman" w:hAnsi="Times New Roman" w:eastAsiaTheme="minorEastAsia"/>
                <w:kern w:val="2"/>
                <w:sz w:val="21"/>
                <w:szCs w:val="21"/>
              </w:rPr>
              <w:t>25.92</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7</w:t>
            </w:r>
          </w:p>
        </w:tc>
        <w:tc>
          <w:tcPr>
            <w:vAlign w:val="center"/>
          </w:tcPr>
          <w:p>
            <w:pPr>
              <w:jc w:val="center"/>
            </w:pPr>
            <w:r>
              <w:rPr>
                <w:rFonts w:ascii="Times New Roman" w:hAnsi="Times New Roman" w:eastAsiaTheme="minorEastAsia"/>
                <w:kern w:val="2"/>
                <w:sz w:val="21"/>
                <w:szCs w:val="21"/>
              </w:rPr>
              <w:t>300253</w:t>
            </w:r>
          </w:p>
        </w:tc>
        <w:tc>
          <w:tcPr>
            <w:vAlign w:val="center"/>
          </w:tcPr>
          <w:p>
            <w:pPr>
              <w:jc w:val="center"/>
            </w:pPr>
            <w:r>
              <w:rPr>
                <w:rFonts w:ascii="Times New Roman" w:hAnsi="Times New Roman" w:eastAsiaTheme="minorEastAsia"/>
                <w:kern w:val="2"/>
                <w:sz w:val="21"/>
                <w:szCs w:val="21"/>
              </w:rPr>
              <w:t>卫宁健康</w:t>
            </w:r>
          </w:p>
        </w:tc>
        <w:tc>
          <w:tcPr>
            <w:vAlign w:val="center"/>
          </w:tcPr>
          <w:p>
            <w:pPr>
              <w:jc w:val="right"/>
            </w:pPr>
            <w:r>
              <w:rPr>
                <w:rFonts w:ascii="Times New Roman" w:hAnsi="Times New Roman" w:eastAsiaTheme="minorEastAsia"/>
                <w:kern w:val="2"/>
                <w:sz w:val="21"/>
                <w:szCs w:val="21"/>
              </w:rPr>
              <w:t>690,644.00</w:t>
            </w:r>
          </w:p>
        </w:tc>
        <w:tc>
          <w:tcPr>
            <w:vAlign w:val="center"/>
          </w:tcPr>
          <w:p>
            <w:pPr>
              <w:jc w:val="right"/>
            </w:pPr>
            <w:r>
              <w:rPr>
                <w:rFonts w:ascii="Times New Roman" w:hAnsi="Times New Roman" w:eastAsiaTheme="minorEastAsia"/>
                <w:kern w:val="2"/>
                <w:sz w:val="21"/>
                <w:szCs w:val="21"/>
              </w:rPr>
              <w:t>25.44</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8</w:t>
            </w:r>
          </w:p>
        </w:tc>
        <w:tc>
          <w:tcPr>
            <w:vAlign w:val="center"/>
          </w:tcPr>
          <w:p>
            <w:pPr>
              <w:jc w:val="center"/>
            </w:pPr>
            <w:r>
              <w:rPr>
                <w:rFonts w:ascii="Times New Roman" w:hAnsi="Times New Roman" w:eastAsiaTheme="minorEastAsia"/>
                <w:kern w:val="2"/>
                <w:sz w:val="21"/>
                <w:szCs w:val="21"/>
              </w:rPr>
              <w:t>300006</w:t>
            </w:r>
          </w:p>
        </w:tc>
        <w:tc>
          <w:tcPr>
            <w:vAlign w:val="center"/>
          </w:tcPr>
          <w:p>
            <w:pPr>
              <w:jc w:val="center"/>
            </w:pPr>
            <w:r>
              <w:rPr>
                <w:rFonts w:ascii="Times New Roman" w:hAnsi="Times New Roman" w:eastAsiaTheme="minorEastAsia"/>
                <w:kern w:val="2"/>
                <w:sz w:val="21"/>
                <w:szCs w:val="21"/>
              </w:rPr>
              <w:t>莱美药业</w:t>
            </w:r>
          </w:p>
        </w:tc>
        <w:tc>
          <w:tcPr>
            <w:vAlign w:val="center"/>
          </w:tcPr>
          <w:p>
            <w:pPr>
              <w:jc w:val="right"/>
            </w:pPr>
            <w:r>
              <w:rPr>
                <w:rFonts w:ascii="Times New Roman" w:hAnsi="Times New Roman" w:eastAsiaTheme="minorEastAsia"/>
                <w:kern w:val="2"/>
                <w:sz w:val="21"/>
                <w:szCs w:val="21"/>
              </w:rPr>
              <w:t>654,297.00</w:t>
            </w:r>
          </w:p>
        </w:tc>
        <w:tc>
          <w:tcPr>
            <w:vAlign w:val="center"/>
          </w:tcPr>
          <w:p>
            <w:pPr>
              <w:jc w:val="right"/>
            </w:pPr>
            <w:r>
              <w:rPr>
                <w:rFonts w:ascii="Times New Roman" w:hAnsi="Times New Roman" w:eastAsiaTheme="minorEastAsia"/>
                <w:kern w:val="2"/>
                <w:sz w:val="21"/>
                <w:szCs w:val="21"/>
              </w:rPr>
              <w:t>24.10</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9</w:t>
            </w:r>
          </w:p>
        </w:tc>
        <w:tc>
          <w:tcPr>
            <w:vAlign w:val="center"/>
          </w:tcPr>
          <w:p>
            <w:pPr>
              <w:jc w:val="center"/>
            </w:pPr>
            <w:r>
              <w:rPr>
                <w:rFonts w:ascii="Times New Roman" w:hAnsi="Times New Roman" w:eastAsiaTheme="minorEastAsia"/>
                <w:kern w:val="2"/>
                <w:sz w:val="21"/>
                <w:szCs w:val="21"/>
              </w:rPr>
              <w:t>300206</w:t>
            </w:r>
          </w:p>
        </w:tc>
        <w:tc>
          <w:tcPr>
            <w:vAlign w:val="center"/>
          </w:tcPr>
          <w:p>
            <w:pPr>
              <w:jc w:val="center"/>
            </w:pPr>
            <w:r>
              <w:rPr>
                <w:rFonts w:ascii="Times New Roman" w:hAnsi="Times New Roman" w:eastAsiaTheme="minorEastAsia"/>
                <w:kern w:val="2"/>
                <w:sz w:val="21"/>
                <w:szCs w:val="21"/>
              </w:rPr>
              <w:t>理邦仪器</w:t>
            </w:r>
          </w:p>
        </w:tc>
        <w:tc>
          <w:tcPr>
            <w:vAlign w:val="center"/>
          </w:tcPr>
          <w:p>
            <w:pPr>
              <w:jc w:val="right"/>
            </w:pPr>
            <w:r>
              <w:rPr>
                <w:rFonts w:ascii="Times New Roman" w:hAnsi="Times New Roman" w:eastAsiaTheme="minorEastAsia"/>
                <w:kern w:val="2"/>
                <w:sz w:val="21"/>
                <w:szCs w:val="21"/>
              </w:rPr>
              <w:t>646,738.00</w:t>
            </w:r>
          </w:p>
        </w:tc>
        <w:tc>
          <w:tcPr>
            <w:vAlign w:val="center"/>
          </w:tcPr>
          <w:p>
            <w:pPr>
              <w:jc w:val="right"/>
            </w:pPr>
            <w:r>
              <w:rPr>
                <w:rFonts w:ascii="Times New Roman" w:hAnsi="Times New Roman" w:eastAsiaTheme="minorEastAsia"/>
                <w:kern w:val="2"/>
                <w:sz w:val="21"/>
                <w:szCs w:val="21"/>
              </w:rPr>
              <w:t>23.82</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10</w:t>
            </w:r>
          </w:p>
        </w:tc>
        <w:tc>
          <w:tcPr>
            <w:vAlign w:val="center"/>
          </w:tcPr>
          <w:p>
            <w:pPr>
              <w:jc w:val="center"/>
            </w:pPr>
            <w:r>
              <w:rPr>
                <w:rFonts w:ascii="Times New Roman" w:hAnsi="Times New Roman" w:eastAsiaTheme="minorEastAsia"/>
                <w:kern w:val="2"/>
                <w:sz w:val="21"/>
                <w:szCs w:val="21"/>
              </w:rPr>
              <w:t>000722</w:t>
            </w:r>
          </w:p>
        </w:tc>
        <w:tc>
          <w:tcPr>
            <w:vAlign w:val="center"/>
          </w:tcPr>
          <w:p>
            <w:pPr>
              <w:jc w:val="center"/>
            </w:pPr>
            <w:r>
              <w:rPr>
                <w:rFonts w:ascii="Times New Roman" w:hAnsi="Times New Roman" w:eastAsiaTheme="minorEastAsia"/>
                <w:kern w:val="2"/>
                <w:sz w:val="21"/>
                <w:szCs w:val="21"/>
              </w:rPr>
              <w:t>湖南发展</w:t>
            </w:r>
          </w:p>
        </w:tc>
        <w:tc>
          <w:tcPr>
            <w:vAlign w:val="center"/>
          </w:tcPr>
          <w:p>
            <w:pPr>
              <w:jc w:val="right"/>
            </w:pPr>
            <w:r>
              <w:rPr>
                <w:rFonts w:ascii="Times New Roman" w:hAnsi="Times New Roman" w:eastAsiaTheme="minorEastAsia"/>
                <w:kern w:val="2"/>
                <w:sz w:val="21"/>
                <w:szCs w:val="21"/>
              </w:rPr>
              <w:t>622,737.00</w:t>
            </w:r>
          </w:p>
        </w:tc>
        <w:tc>
          <w:tcPr>
            <w:vAlign w:val="center"/>
          </w:tcPr>
          <w:p>
            <w:pPr>
              <w:jc w:val="right"/>
            </w:pPr>
            <w:r>
              <w:rPr>
                <w:rFonts w:ascii="Times New Roman" w:hAnsi="Times New Roman" w:eastAsiaTheme="minorEastAsia"/>
                <w:kern w:val="2"/>
                <w:sz w:val="21"/>
                <w:szCs w:val="21"/>
              </w:rPr>
              <w:t>22.94</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11</w:t>
            </w:r>
          </w:p>
        </w:tc>
        <w:tc>
          <w:tcPr>
            <w:vAlign w:val="center"/>
          </w:tcPr>
          <w:p>
            <w:pPr>
              <w:jc w:val="center"/>
            </w:pPr>
            <w:r>
              <w:rPr>
                <w:rFonts w:ascii="Times New Roman" w:hAnsi="Times New Roman" w:eastAsiaTheme="minorEastAsia"/>
                <w:kern w:val="2"/>
                <w:sz w:val="21"/>
                <w:szCs w:val="21"/>
              </w:rPr>
              <w:t>600085</w:t>
            </w:r>
          </w:p>
        </w:tc>
        <w:tc>
          <w:tcPr>
            <w:vAlign w:val="center"/>
          </w:tcPr>
          <w:p>
            <w:pPr>
              <w:jc w:val="center"/>
            </w:pPr>
            <w:r>
              <w:rPr>
                <w:rFonts w:ascii="Times New Roman" w:hAnsi="Times New Roman" w:eastAsiaTheme="minorEastAsia"/>
                <w:kern w:val="2"/>
                <w:sz w:val="21"/>
                <w:szCs w:val="21"/>
              </w:rPr>
              <w:t>同仁堂</w:t>
            </w:r>
          </w:p>
        </w:tc>
        <w:tc>
          <w:tcPr>
            <w:vAlign w:val="center"/>
          </w:tcPr>
          <w:p>
            <w:pPr>
              <w:jc w:val="right"/>
            </w:pPr>
            <w:r>
              <w:rPr>
                <w:rFonts w:ascii="Times New Roman" w:hAnsi="Times New Roman" w:eastAsiaTheme="minorEastAsia"/>
                <w:kern w:val="2"/>
                <w:sz w:val="21"/>
                <w:szCs w:val="21"/>
              </w:rPr>
              <w:t>549,413.00</w:t>
            </w:r>
          </w:p>
        </w:tc>
        <w:tc>
          <w:tcPr>
            <w:vAlign w:val="center"/>
          </w:tcPr>
          <w:p>
            <w:pPr>
              <w:jc w:val="right"/>
            </w:pPr>
            <w:r>
              <w:rPr>
                <w:rFonts w:ascii="Times New Roman" w:hAnsi="Times New Roman" w:eastAsiaTheme="minorEastAsia"/>
                <w:kern w:val="2"/>
                <w:sz w:val="21"/>
                <w:szCs w:val="21"/>
              </w:rPr>
              <w:t>20.24</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12</w:t>
            </w:r>
          </w:p>
        </w:tc>
        <w:tc>
          <w:tcPr>
            <w:vAlign w:val="center"/>
          </w:tcPr>
          <w:p>
            <w:pPr>
              <w:jc w:val="center"/>
            </w:pPr>
            <w:r>
              <w:rPr>
                <w:rFonts w:ascii="Times New Roman" w:hAnsi="Times New Roman" w:eastAsiaTheme="minorEastAsia"/>
                <w:kern w:val="2"/>
                <w:sz w:val="21"/>
                <w:szCs w:val="21"/>
              </w:rPr>
              <w:t>000503</w:t>
            </w:r>
          </w:p>
        </w:tc>
        <w:tc>
          <w:tcPr>
            <w:vAlign w:val="center"/>
          </w:tcPr>
          <w:p>
            <w:pPr>
              <w:jc w:val="center"/>
            </w:pPr>
            <w:r>
              <w:rPr>
                <w:rFonts w:ascii="Times New Roman" w:hAnsi="Times New Roman" w:eastAsiaTheme="minorEastAsia"/>
                <w:kern w:val="2"/>
                <w:sz w:val="21"/>
                <w:szCs w:val="21"/>
              </w:rPr>
              <w:t>国新健康</w:t>
            </w:r>
          </w:p>
        </w:tc>
        <w:tc>
          <w:tcPr>
            <w:vAlign w:val="center"/>
          </w:tcPr>
          <w:p>
            <w:pPr>
              <w:jc w:val="right"/>
            </w:pPr>
            <w:r>
              <w:rPr>
                <w:rFonts w:ascii="Times New Roman" w:hAnsi="Times New Roman" w:eastAsiaTheme="minorEastAsia"/>
                <w:kern w:val="2"/>
                <w:sz w:val="21"/>
                <w:szCs w:val="21"/>
              </w:rPr>
              <w:t>536,495.00</w:t>
            </w:r>
          </w:p>
        </w:tc>
        <w:tc>
          <w:tcPr>
            <w:vAlign w:val="center"/>
          </w:tcPr>
          <w:p>
            <w:pPr>
              <w:jc w:val="right"/>
            </w:pPr>
            <w:r>
              <w:rPr>
                <w:rFonts w:ascii="Times New Roman" w:hAnsi="Times New Roman" w:eastAsiaTheme="minorEastAsia"/>
                <w:kern w:val="2"/>
                <w:sz w:val="21"/>
                <w:szCs w:val="21"/>
              </w:rPr>
              <w:t>19.76</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13</w:t>
            </w:r>
          </w:p>
        </w:tc>
        <w:tc>
          <w:tcPr>
            <w:vAlign w:val="center"/>
          </w:tcPr>
          <w:p>
            <w:pPr>
              <w:jc w:val="center"/>
            </w:pPr>
            <w:r>
              <w:rPr>
                <w:rFonts w:ascii="Times New Roman" w:hAnsi="Times New Roman" w:eastAsiaTheme="minorEastAsia"/>
                <w:kern w:val="2"/>
                <w:sz w:val="21"/>
                <w:szCs w:val="21"/>
              </w:rPr>
              <w:t>600276</w:t>
            </w:r>
          </w:p>
        </w:tc>
        <w:tc>
          <w:tcPr>
            <w:vAlign w:val="center"/>
          </w:tcPr>
          <w:p>
            <w:pPr>
              <w:jc w:val="center"/>
            </w:pPr>
            <w:r>
              <w:rPr>
                <w:rFonts w:ascii="Times New Roman" w:hAnsi="Times New Roman" w:eastAsiaTheme="minorEastAsia"/>
                <w:kern w:val="2"/>
                <w:sz w:val="21"/>
                <w:szCs w:val="21"/>
              </w:rPr>
              <w:t>恒瑞医药</w:t>
            </w:r>
          </w:p>
        </w:tc>
        <w:tc>
          <w:tcPr>
            <w:vAlign w:val="center"/>
          </w:tcPr>
          <w:p>
            <w:pPr>
              <w:jc w:val="right"/>
            </w:pPr>
            <w:r>
              <w:rPr>
                <w:rFonts w:ascii="Times New Roman" w:hAnsi="Times New Roman" w:eastAsiaTheme="minorEastAsia"/>
                <w:kern w:val="2"/>
                <w:sz w:val="21"/>
                <w:szCs w:val="21"/>
              </w:rPr>
              <w:t>534,304.00</w:t>
            </w:r>
          </w:p>
        </w:tc>
        <w:tc>
          <w:tcPr>
            <w:vAlign w:val="center"/>
          </w:tcPr>
          <w:p>
            <w:pPr>
              <w:jc w:val="right"/>
            </w:pPr>
            <w:r>
              <w:rPr>
                <w:rFonts w:ascii="Times New Roman" w:hAnsi="Times New Roman" w:eastAsiaTheme="minorEastAsia"/>
                <w:kern w:val="2"/>
                <w:sz w:val="21"/>
                <w:szCs w:val="21"/>
              </w:rPr>
              <w:t>19.68</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14</w:t>
            </w:r>
          </w:p>
        </w:tc>
        <w:tc>
          <w:tcPr>
            <w:vAlign w:val="center"/>
          </w:tcPr>
          <w:p>
            <w:pPr>
              <w:jc w:val="center"/>
            </w:pPr>
            <w:r>
              <w:rPr>
                <w:rFonts w:ascii="Times New Roman" w:hAnsi="Times New Roman" w:eastAsiaTheme="minorEastAsia"/>
                <w:kern w:val="2"/>
                <w:sz w:val="21"/>
                <w:szCs w:val="21"/>
              </w:rPr>
              <w:t>600718</w:t>
            </w:r>
          </w:p>
        </w:tc>
        <w:tc>
          <w:tcPr>
            <w:vAlign w:val="center"/>
          </w:tcPr>
          <w:p>
            <w:pPr>
              <w:jc w:val="center"/>
            </w:pPr>
            <w:r>
              <w:rPr>
                <w:rFonts w:ascii="Times New Roman" w:hAnsi="Times New Roman" w:eastAsiaTheme="minorEastAsia"/>
                <w:kern w:val="2"/>
                <w:sz w:val="21"/>
                <w:szCs w:val="21"/>
              </w:rPr>
              <w:t>东软集团</w:t>
            </w:r>
          </w:p>
        </w:tc>
        <w:tc>
          <w:tcPr>
            <w:vAlign w:val="center"/>
          </w:tcPr>
          <w:p>
            <w:pPr>
              <w:jc w:val="right"/>
            </w:pPr>
            <w:r>
              <w:rPr>
                <w:rFonts w:ascii="Times New Roman" w:hAnsi="Times New Roman" w:eastAsiaTheme="minorEastAsia"/>
                <w:kern w:val="2"/>
                <w:sz w:val="21"/>
                <w:szCs w:val="21"/>
              </w:rPr>
              <w:t>528,669.00</w:t>
            </w:r>
          </w:p>
        </w:tc>
        <w:tc>
          <w:tcPr>
            <w:vAlign w:val="center"/>
          </w:tcPr>
          <w:p>
            <w:pPr>
              <w:jc w:val="right"/>
            </w:pPr>
            <w:r>
              <w:rPr>
                <w:rFonts w:ascii="Times New Roman" w:hAnsi="Times New Roman" w:eastAsiaTheme="minorEastAsia"/>
                <w:kern w:val="2"/>
                <w:sz w:val="21"/>
                <w:szCs w:val="21"/>
              </w:rPr>
              <w:t>19.47</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15</w:t>
            </w:r>
          </w:p>
        </w:tc>
        <w:tc>
          <w:tcPr>
            <w:vAlign w:val="center"/>
          </w:tcPr>
          <w:p>
            <w:pPr>
              <w:jc w:val="center"/>
            </w:pPr>
            <w:r>
              <w:rPr>
                <w:rFonts w:ascii="Times New Roman" w:hAnsi="Times New Roman" w:eastAsiaTheme="minorEastAsia"/>
                <w:kern w:val="2"/>
                <w:sz w:val="21"/>
                <w:szCs w:val="21"/>
              </w:rPr>
              <w:t>300595</w:t>
            </w:r>
          </w:p>
        </w:tc>
        <w:tc>
          <w:tcPr>
            <w:vAlign w:val="center"/>
          </w:tcPr>
          <w:p>
            <w:pPr>
              <w:jc w:val="center"/>
            </w:pPr>
            <w:r>
              <w:rPr>
                <w:rFonts w:ascii="Times New Roman" w:hAnsi="Times New Roman" w:eastAsiaTheme="minorEastAsia"/>
                <w:kern w:val="2"/>
                <w:sz w:val="21"/>
                <w:szCs w:val="21"/>
              </w:rPr>
              <w:t>欧普康视</w:t>
            </w:r>
          </w:p>
        </w:tc>
        <w:tc>
          <w:tcPr>
            <w:vAlign w:val="center"/>
          </w:tcPr>
          <w:p>
            <w:pPr>
              <w:jc w:val="right"/>
            </w:pPr>
            <w:r>
              <w:rPr>
                <w:rFonts w:ascii="Times New Roman" w:hAnsi="Times New Roman" w:eastAsiaTheme="minorEastAsia"/>
                <w:kern w:val="2"/>
                <w:sz w:val="21"/>
                <w:szCs w:val="21"/>
              </w:rPr>
              <w:t>505,242.00</w:t>
            </w:r>
          </w:p>
        </w:tc>
        <w:tc>
          <w:tcPr>
            <w:vAlign w:val="center"/>
          </w:tcPr>
          <w:p>
            <w:pPr>
              <w:jc w:val="right"/>
            </w:pPr>
            <w:r>
              <w:rPr>
                <w:rFonts w:ascii="Times New Roman" w:hAnsi="Times New Roman" w:eastAsiaTheme="minorEastAsia"/>
                <w:kern w:val="2"/>
                <w:sz w:val="21"/>
                <w:szCs w:val="21"/>
              </w:rPr>
              <w:t>18.61</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16</w:t>
            </w:r>
          </w:p>
        </w:tc>
        <w:tc>
          <w:tcPr>
            <w:vAlign w:val="center"/>
          </w:tcPr>
          <w:p>
            <w:pPr>
              <w:jc w:val="center"/>
            </w:pPr>
            <w:r>
              <w:rPr>
                <w:rFonts w:ascii="Times New Roman" w:hAnsi="Times New Roman" w:eastAsiaTheme="minorEastAsia"/>
                <w:kern w:val="2"/>
                <w:sz w:val="21"/>
                <w:szCs w:val="21"/>
              </w:rPr>
              <w:t>300015</w:t>
            </w:r>
          </w:p>
        </w:tc>
        <w:tc>
          <w:tcPr>
            <w:vAlign w:val="center"/>
          </w:tcPr>
          <w:p>
            <w:pPr>
              <w:jc w:val="center"/>
            </w:pPr>
            <w:r>
              <w:rPr>
                <w:rFonts w:ascii="Times New Roman" w:hAnsi="Times New Roman" w:eastAsiaTheme="minorEastAsia"/>
                <w:kern w:val="2"/>
                <w:sz w:val="21"/>
                <w:szCs w:val="21"/>
              </w:rPr>
              <w:t>爱尔眼科</w:t>
            </w:r>
          </w:p>
        </w:tc>
        <w:tc>
          <w:tcPr>
            <w:vAlign w:val="center"/>
          </w:tcPr>
          <w:p>
            <w:pPr>
              <w:jc w:val="right"/>
            </w:pPr>
            <w:r>
              <w:rPr>
                <w:rFonts w:ascii="Times New Roman" w:hAnsi="Times New Roman" w:eastAsiaTheme="minorEastAsia"/>
                <w:kern w:val="2"/>
                <w:sz w:val="21"/>
                <w:szCs w:val="21"/>
              </w:rPr>
              <w:t>481,577.00</w:t>
            </w:r>
          </w:p>
        </w:tc>
        <w:tc>
          <w:tcPr>
            <w:vAlign w:val="center"/>
          </w:tcPr>
          <w:p>
            <w:pPr>
              <w:jc w:val="right"/>
            </w:pPr>
            <w:r>
              <w:rPr>
                <w:rFonts w:ascii="Times New Roman" w:hAnsi="Times New Roman" w:eastAsiaTheme="minorEastAsia"/>
                <w:kern w:val="2"/>
                <w:sz w:val="21"/>
                <w:szCs w:val="21"/>
              </w:rPr>
              <w:t>17.74</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17</w:t>
            </w:r>
          </w:p>
        </w:tc>
        <w:tc>
          <w:tcPr>
            <w:vAlign w:val="center"/>
          </w:tcPr>
          <w:p>
            <w:pPr>
              <w:jc w:val="center"/>
            </w:pPr>
            <w:r>
              <w:rPr>
                <w:rFonts w:ascii="Times New Roman" w:hAnsi="Times New Roman" w:eastAsiaTheme="minorEastAsia"/>
                <w:kern w:val="2"/>
                <w:sz w:val="21"/>
                <w:szCs w:val="21"/>
              </w:rPr>
              <w:t>002044</w:t>
            </w:r>
          </w:p>
        </w:tc>
        <w:tc>
          <w:tcPr>
            <w:vAlign w:val="center"/>
          </w:tcPr>
          <w:p>
            <w:pPr>
              <w:jc w:val="center"/>
            </w:pPr>
            <w:r>
              <w:rPr>
                <w:rFonts w:ascii="Times New Roman" w:hAnsi="Times New Roman" w:eastAsiaTheme="minorEastAsia"/>
                <w:kern w:val="2"/>
                <w:sz w:val="21"/>
                <w:szCs w:val="21"/>
              </w:rPr>
              <w:t>美年健康</w:t>
            </w:r>
          </w:p>
        </w:tc>
        <w:tc>
          <w:tcPr>
            <w:vAlign w:val="center"/>
          </w:tcPr>
          <w:p>
            <w:pPr>
              <w:jc w:val="right"/>
            </w:pPr>
            <w:r>
              <w:rPr>
                <w:rFonts w:ascii="Times New Roman" w:hAnsi="Times New Roman" w:eastAsiaTheme="minorEastAsia"/>
                <w:kern w:val="2"/>
                <w:sz w:val="21"/>
                <w:szCs w:val="21"/>
              </w:rPr>
              <w:t>427,765.00</w:t>
            </w:r>
          </w:p>
        </w:tc>
        <w:tc>
          <w:tcPr>
            <w:vAlign w:val="center"/>
          </w:tcPr>
          <w:p>
            <w:pPr>
              <w:jc w:val="right"/>
            </w:pPr>
            <w:r>
              <w:rPr>
                <w:rFonts w:ascii="Times New Roman" w:hAnsi="Times New Roman" w:eastAsiaTheme="minorEastAsia"/>
                <w:kern w:val="2"/>
                <w:sz w:val="21"/>
                <w:szCs w:val="21"/>
              </w:rPr>
              <w:t>15.76</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18</w:t>
            </w:r>
          </w:p>
        </w:tc>
        <w:tc>
          <w:tcPr>
            <w:vAlign w:val="center"/>
          </w:tcPr>
          <w:p>
            <w:pPr>
              <w:jc w:val="center"/>
            </w:pPr>
            <w:r>
              <w:rPr>
                <w:rFonts w:ascii="Times New Roman" w:hAnsi="Times New Roman" w:eastAsiaTheme="minorEastAsia"/>
                <w:kern w:val="2"/>
                <w:sz w:val="21"/>
                <w:szCs w:val="21"/>
              </w:rPr>
              <w:t>603707</w:t>
            </w:r>
          </w:p>
        </w:tc>
        <w:tc>
          <w:tcPr>
            <w:vAlign w:val="center"/>
          </w:tcPr>
          <w:p>
            <w:pPr>
              <w:jc w:val="center"/>
            </w:pPr>
            <w:r>
              <w:rPr>
                <w:rFonts w:ascii="Times New Roman" w:hAnsi="Times New Roman" w:eastAsiaTheme="minorEastAsia"/>
                <w:kern w:val="2"/>
                <w:sz w:val="21"/>
                <w:szCs w:val="21"/>
              </w:rPr>
              <w:t>健友股份</w:t>
            </w:r>
          </w:p>
        </w:tc>
        <w:tc>
          <w:tcPr>
            <w:vAlign w:val="center"/>
          </w:tcPr>
          <w:p>
            <w:pPr>
              <w:jc w:val="right"/>
            </w:pPr>
            <w:r>
              <w:rPr>
                <w:rFonts w:ascii="Times New Roman" w:hAnsi="Times New Roman" w:eastAsiaTheme="minorEastAsia"/>
                <w:kern w:val="2"/>
                <w:sz w:val="21"/>
                <w:szCs w:val="21"/>
              </w:rPr>
              <w:t>396,757.00</w:t>
            </w:r>
          </w:p>
        </w:tc>
        <w:tc>
          <w:tcPr>
            <w:vAlign w:val="center"/>
          </w:tcPr>
          <w:p>
            <w:pPr>
              <w:jc w:val="right"/>
            </w:pPr>
            <w:r>
              <w:rPr>
                <w:rFonts w:ascii="Times New Roman" w:hAnsi="Times New Roman" w:eastAsiaTheme="minorEastAsia"/>
                <w:kern w:val="2"/>
                <w:sz w:val="21"/>
                <w:szCs w:val="21"/>
              </w:rPr>
              <w:t>14.61</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19</w:t>
            </w:r>
          </w:p>
        </w:tc>
        <w:tc>
          <w:tcPr>
            <w:vAlign w:val="center"/>
          </w:tcPr>
          <w:p>
            <w:pPr>
              <w:jc w:val="center"/>
            </w:pPr>
            <w:r>
              <w:rPr>
                <w:rFonts w:ascii="Times New Roman" w:hAnsi="Times New Roman" w:eastAsiaTheme="minorEastAsia"/>
                <w:kern w:val="2"/>
                <w:sz w:val="21"/>
                <w:szCs w:val="21"/>
              </w:rPr>
              <w:t>002810</w:t>
            </w:r>
          </w:p>
        </w:tc>
        <w:tc>
          <w:tcPr>
            <w:vAlign w:val="center"/>
          </w:tcPr>
          <w:p>
            <w:pPr>
              <w:jc w:val="center"/>
            </w:pPr>
            <w:r>
              <w:rPr>
                <w:rFonts w:ascii="Times New Roman" w:hAnsi="Times New Roman" w:eastAsiaTheme="minorEastAsia"/>
                <w:kern w:val="2"/>
                <w:sz w:val="21"/>
                <w:szCs w:val="21"/>
              </w:rPr>
              <w:t>山东赫达</w:t>
            </w:r>
          </w:p>
        </w:tc>
        <w:tc>
          <w:tcPr>
            <w:vAlign w:val="center"/>
          </w:tcPr>
          <w:p>
            <w:pPr>
              <w:jc w:val="right"/>
            </w:pPr>
            <w:r>
              <w:rPr>
                <w:rFonts w:ascii="Times New Roman" w:hAnsi="Times New Roman" w:eastAsiaTheme="minorEastAsia"/>
                <w:kern w:val="2"/>
                <w:sz w:val="21"/>
                <w:szCs w:val="21"/>
              </w:rPr>
              <w:t>324,837.00</w:t>
            </w:r>
          </w:p>
        </w:tc>
        <w:tc>
          <w:tcPr>
            <w:vAlign w:val="center"/>
          </w:tcPr>
          <w:p>
            <w:pPr>
              <w:jc w:val="right"/>
            </w:pPr>
            <w:r>
              <w:rPr>
                <w:rFonts w:ascii="Times New Roman" w:hAnsi="Times New Roman" w:eastAsiaTheme="minorEastAsia"/>
                <w:kern w:val="2"/>
                <w:sz w:val="21"/>
                <w:szCs w:val="21"/>
              </w:rPr>
              <w:t>11.96</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20</w:t>
            </w:r>
          </w:p>
        </w:tc>
        <w:tc>
          <w:tcPr>
            <w:vAlign w:val="center"/>
          </w:tcPr>
          <w:p>
            <w:pPr>
              <w:jc w:val="center"/>
            </w:pPr>
            <w:r>
              <w:rPr>
                <w:rFonts w:ascii="Times New Roman" w:hAnsi="Times New Roman" w:eastAsiaTheme="minorEastAsia"/>
                <w:kern w:val="2"/>
                <w:sz w:val="21"/>
                <w:szCs w:val="21"/>
              </w:rPr>
              <w:t>300630</w:t>
            </w:r>
          </w:p>
        </w:tc>
        <w:tc>
          <w:tcPr>
            <w:vAlign w:val="center"/>
          </w:tcPr>
          <w:p>
            <w:pPr>
              <w:jc w:val="center"/>
            </w:pPr>
            <w:r>
              <w:rPr>
                <w:rFonts w:ascii="Times New Roman" w:hAnsi="Times New Roman" w:eastAsiaTheme="minorEastAsia"/>
                <w:kern w:val="2"/>
                <w:sz w:val="21"/>
                <w:szCs w:val="21"/>
              </w:rPr>
              <w:t>普利制药</w:t>
            </w:r>
          </w:p>
        </w:tc>
        <w:tc>
          <w:tcPr>
            <w:vAlign w:val="center"/>
          </w:tcPr>
          <w:p>
            <w:pPr>
              <w:jc w:val="right"/>
            </w:pPr>
            <w:r>
              <w:rPr>
                <w:rFonts w:ascii="Times New Roman" w:hAnsi="Times New Roman" w:eastAsiaTheme="minorEastAsia"/>
                <w:kern w:val="2"/>
                <w:sz w:val="21"/>
                <w:szCs w:val="21"/>
              </w:rPr>
              <w:t>298,503.00</w:t>
            </w:r>
          </w:p>
        </w:tc>
        <w:tc>
          <w:tcPr>
            <w:vAlign w:val="center"/>
          </w:tcPr>
          <w:p>
            <w:pPr>
              <w:jc w:val="right"/>
            </w:pPr>
            <w:r>
              <w:rPr>
                <w:rFonts w:ascii="Times New Roman" w:hAnsi="Times New Roman" w:eastAsiaTheme="minorEastAsia"/>
                <w:kern w:val="2"/>
                <w:sz w:val="21"/>
                <w:szCs w:val="21"/>
              </w:rPr>
              <w:t>11.00</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21</w:t>
            </w:r>
          </w:p>
        </w:tc>
        <w:tc>
          <w:tcPr>
            <w:vAlign w:val="center"/>
          </w:tcPr>
          <w:p>
            <w:pPr>
              <w:jc w:val="center"/>
            </w:pPr>
            <w:r>
              <w:rPr>
                <w:rFonts w:ascii="Times New Roman" w:hAnsi="Times New Roman" w:eastAsiaTheme="minorEastAsia"/>
                <w:kern w:val="2"/>
                <w:sz w:val="21"/>
                <w:szCs w:val="21"/>
              </w:rPr>
              <w:t>002065</w:t>
            </w:r>
          </w:p>
        </w:tc>
        <w:tc>
          <w:tcPr>
            <w:vAlign w:val="center"/>
          </w:tcPr>
          <w:p>
            <w:pPr>
              <w:jc w:val="center"/>
            </w:pPr>
            <w:r>
              <w:rPr>
                <w:rFonts w:ascii="Times New Roman" w:hAnsi="Times New Roman" w:eastAsiaTheme="minorEastAsia"/>
                <w:kern w:val="2"/>
                <w:sz w:val="21"/>
                <w:szCs w:val="21"/>
              </w:rPr>
              <w:t>东华软件</w:t>
            </w:r>
          </w:p>
        </w:tc>
        <w:tc>
          <w:tcPr>
            <w:vAlign w:val="center"/>
          </w:tcPr>
          <w:p>
            <w:pPr>
              <w:jc w:val="right"/>
            </w:pPr>
            <w:r>
              <w:rPr>
                <w:rFonts w:ascii="Times New Roman" w:hAnsi="Times New Roman" w:eastAsiaTheme="minorEastAsia"/>
                <w:kern w:val="2"/>
                <w:sz w:val="21"/>
                <w:szCs w:val="21"/>
              </w:rPr>
              <w:t>281,709.00</w:t>
            </w:r>
          </w:p>
        </w:tc>
        <w:tc>
          <w:tcPr>
            <w:vAlign w:val="center"/>
          </w:tcPr>
          <w:p>
            <w:pPr>
              <w:jc w:val="right"/>
            </w:pPr>
            <w:r>
              <w:rPr>
                <w:rFonts w:ascii="Times New Roman" w:hAnsi="Times New Roman" w:eastAsiaTheme="minorEastAsia"/>
                <w:kern w:val="2"/>
                <w:sz w:val="21"/>
                <w:szCs w:val="21"/>
              </w:rPr>
              <w:t>10.38</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22</w:t>
            </w:r>
          </w:p>
        </w:tc>
        <w:tc>
          <w:tcPr>
            <w:vAlign w:val="center"/>
          </w:tcPr>
          <w:p>
            <w:pPr>
              <w:jc w:val="center"/>
            </w:pPr>
            <w:r>
              <w:rPr>
                <w:rFonts w:ascii="Times New Roman" w:hAnsi="Times New Roman" w:eastAsiaTheme="minorEastAsia"/>
                <w:kern w:val="2"/>
                <w:sz w:val="21"/>
                <w:szCs w:val="21"/>
              </w:rPr>
              <w:t>002007</w:t>
            </w:r>
          </w:p>
        </w:tc>
        <w:tc>
          <w:tcPr>
            <w:vAlign w:val="center"/>
          </w:tcPr>
          <w:p>
            <w:pPr>
              <w:jc w:val="center"/>
            </w:pPr>
            <w:r>
              <w:rPr>
                <w:rFonts w:ascii="Times New Roman" w:hAnsi="Times New Roman" w:eastAsiaTheme="minorEastAsia"/>
                <w:kern w:val="2"/>
                <w:sz w:val="21"/>
                <w:szCs w:val="21"/>
              </w:rPr>
              <w:t>华兰生物</w:t>
            </w:r>
          </w:p>
        </w:tc>
        <w:tc>
          <w:tcPr>
            <w:vAlign w:val="center"/>
          </w:tcPr>
          <w:p>
            <w:pPr>
              <w:jc w:val="right"/>
            </w:pPr>
            <w:r>
              <w:rPr>
                <w:rFonts w:ascii="Times New Roman" w:hAnsi="Times New Roman" w:eastAsiaTheme="minorEastAsia"/>
                <w:kern w:val="2"/>
                <w:sz w:val="21"/>
                <w:szCs w:val="21"/>
              </w:rPr>
              <w:t>273,418.60</w:t>
            </w:r>
          </w:p>
        </w:tc>
        <w:tc>
          <w:tcPr>
            <w:vAlign w:val="center"/>
          </w:tcPr>
          <w:p>
            <w:pPr>
              <w:jc w:val="right"/>
            </w:pPr>
            <w:r>
              <w:rPr>
                <w:rFonts w:ascii="Times New Roman" w:hAnsi="Times New Roman" w:eastAsiaTheme="minorEastAsia"/>
                <w:kern w:val="2"/>
                <w:sz w:val="21"/>
                <w:szCs w:val="21"/>
              </w:rPr>
              <w:t>10.07</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23</w:t>
            </w:r>
          </w:p>
        </w:tc>
        <w:tc>
          <w:tcPr>
            <w:vAlign w:val="center"/>
          </w:tcPr>
          <w:p>
            <w:pPr>
              <w:jc w:val="center"/>
            </w:pPr>
            <w:r>
              <w:rPr>
                <w:rFonts w:ascii="Times New Roman" w:hAnsi="Times New Roman" w:eastAsiaTheme="minorEastAsia"/>
                <w:kern w:val="2"/>
                <w:sz w:val="21"/>
                <w:szCs w:val="21"/>
              </w:rPr>
              <w:t>300451</w:t>
            </w:r>
          </w:p>
        </w:tc>
        <w:tc>
          <w:tcPr>
            <w:vAlign w:val="center"/>
          </w:tcPr>
          <w:p>
            <w:pPr>
              <w:jc w:val="center"/>
            </w:pPr>
            <w:r>
              <w:rPr>
                <w:rFonts w:ascii="Times New Roman" w:hAnsi="Times New Roman" w:eastAsiaTheme="minorEastAsia"/>
                <w:kern w:val="2"/>
                <w:sz w:val="21"/>
                <w:szCs w:val="21"/>
              </w:rPr>
              <w:t>创业慧康</w:t>
            </w:r>
          </w:p>
        </w:tc>
        <w:tc>
          <w:tcPr>
            <w:vAlign w:val="center"/>
          </w:tcPr>
          <w:p>
            <w:pPr>
              <w:jc w:val="right"/>
            </w:pPr>
            <w:r>
              <w:rPr>
                <w:rFonts w:ascii="Times New Roman" w:hAnsi="Times New Roman" w:eastAsiaTheme="minorEastAsia"/>
                <w:kern w:val="2"/>
                <w:sz w:val="21"/>
                <w:szCs w:val="21"/>
              </w:rPr>
              <w:t>161,930.00</w:t>
            </w:r>
          </w:p>
        </w:tc>
        <w:tc>
          <w:tcPr>
            <w:vAlign w:val="center"/>
          </w:tcPr>
          <w:p>
            <w:pPr>
              <w:jc w:val="right"/>
            </w:pPr>
            <w:r>
              <w:rPr>
                <w:rFonts w:ascii="Times New Roman" w:hAnsi="Times New Roman" w:eastAsiaTheme="minorEastAsia"/>
                <w:kern w:val="2"/>
                <w:sz w:val="21"/>
                <w:szCs w:val="21"/>
              </w:rPr>
              <w:t>5.96</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24</w:t>
            </w:r>
          </w:p>
        </w:tc>
        <w:tc>
          <w:tcPr>
            <w:vAlign w:val="center"/>
          </w:tcPr>
          <w:p>
            <w:pPr>
              <w:jc w:val="center"/>
            </w:pPr>
            <w:r>
              <w:rPr>
                <w:rFonts w:ascii="Times New Roman" w:hAnsi="Times New Roman" w:eastAsiaTheme="minorEastAsia"/>
                <w:kern w:val="2"/>
                <w:sz w:val="21"/>
                <w:szCs w:val="21"/>
              </w:rPr>
              <w:t>002223</w:t>
            </w:r>
          </w:p>
        </w:tc>
        <w:tc>
          <w:tcPr>
            <w:vAlign w:val="center"/>
          </w:tcPr>
          <w:p>
            <w:pPr>
              <w:jc w:val="center"/>
            </w:pPr>
            <w:r>
              <w:rPr>
                <w:rFonts w:ascii="Times New Roman" w:hAnsi="Times New Roman" w:eastAsiaTheme="minorEastAsia"/>
                <w:kern w:val="2"/>
                <w:sz w:val="21"/>
                <w:szCs w:val="21"/>
              </w:rPr>
              <w:t>鱼跃医疗</w:t>
            </w:r>
          </w:p>
        </w:tc>
        <w:tc>
          <w:tcPr>
            <w:vAlign w:val="center"/>
          </w:tcPr>
          <w:p>
            <w:pPr>
              <w:jc w:val="right"/>
            </w:pPr>
            <w:r>
              <w:rPr>
                <w:rFonts w:ascii="Times New Roman" w:hAnsi="Times New Roman" w:eastAsiaTheme="minorEastAsia"/>
                <w:kern w:val="2"/>
                <w:sz w:val="21"/>
                <w:szCs w:val="21"/>
              </w:rPr>
              <w:t>161,047.00</w:t>
            </w:r>
          </w:p>
        </w:tc>
        <w:tc>
          <w:tcPr>
            <w:vAlign w:val="center"/>
          </w:tcPr>
          <w:p>
            <w:pPr>
              <w:jc w:val="right"/>
            </w:pPr>
            <w:r>
              <w:rPr>
                <w:rFonts w:ascii="Times New Roman" w:hAnsi="Times New Roman" w:eastAsiaTheme="minorEastAsia"/>
                <w:kern w:val="2"/>
                <w:sz w:val="21"/>
                <w:szCs w:val="21"/>
              </w:rPr>
              <w:t>5.93</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25</w:t>
            </w:r>
          </w:p>
        </w:tc>
        <w:tc>
          <w:tcPr>
            <w:vAlign w:val="center"/>
          </w:tcPr>
          <w:p>
            <w:pPr>
              <w:jc w:val="center"/>
            </w:pPr>
            <w:r>
              <w:rPr>
                <w:rFonts w:ascii="Times New Roman" w:hAnsi="Times New Roman" w:eastAsiaTheme="minorEastAsia"/>
                <w:kern w:val="2"/>
                <w:sz w:val="21"/>
                <w:szCs w:val="21"/>
              </w:rPr>
              <w:t>600535</w:t>
            </w:r>
          </w:p>
        </w:tc>
        <w:tc>
          <w:tcPr>
            <w:vAlign w:val="center"/>
          </w:tcPr>
          <w:p>
            <w:pPr>
              <w:jc w:val="center"/>
            </w:pPr>
            <w:r>
              <w:rPr>
                <w:rFonts w:ascii="Times New Roman" w:hAnsi="Times New Roman" w:eastAsiaTheme="minorEastAsia"/>
                <w:kern w:val="2"/>
                <w:sz w:val="21"/>
                <w:szCs w:val="21"/>
              </w:rPr>
              <w:t>天士力</w:t>
            </w:r>
          </w:p>
        </w:tc>
        <w:tc>
          <w:tcPr>
            <w:vAlign w:val="center"/>
          </w:tcPr>
          <w:p>
            <w:pPr>
              <w:jc w:val="right"/>
            </w:pPr>
            <w:r>
              <w:rPr>
                <w:rFonts w:ascii="Times New Roman" w:hAnsi="Times New Roman" w:eastAsiaTheme="minorEastAsia"/>
                <w:kern w:val="2"/>
                <w:sz w:val="21"/>
                <w:szCs w:val="21"/>
              </w:rPr>
              <w:t>144,338.00</w:t>
            </w:r>
          </w:p>
        </w:tc>
        <w:tc>
          <w:tcPr>
            <w:vAlign w:val="center"/>
          </w:tcPr>
          <w:p>
            <w:pPr>
              <w:jc w:val="right"/>
            </w:pPr>
            <w:r>
              <w:rPr>
                <w:rFonts w:ascii="Times New Roman" w:hAnsi="Times New Roman" w:eastAsiaTheme="minorEastAsia"/>
                <w:kern w:val="2"/>
                <w:sz w:val="21"/>
                <w:szCs w:val="21"/>
              </w:rPr>
              <w:t>5.32</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26</w:t>
            </w:r>
          </w:p>
        </w:tc>
        <w:tc>
          <w:tcPr>
            <w:vAlign w:val="center"/>
          </w:tcPr>
          <w:p>
            <w:pPr>
              <w:jc w:val="center"/>
            </w:pPr>
            <w:r>
              <w:rPr>
                <w:rFonts w:ascii="Times New Roman" w:hAnsi="Times New Roman" w:eastAsiaTheme="minorEastAsia"/>
                <w:kern w:val="2"/>
                <w:sz w:val="21"/>
                <w:szCs w:val="21"/>
              </w:rPr>
              <w:t>300314</w:t>
            </w:r>
          </w:p>
        </w:tc>
        <w:tc>
          <w:tcPr>
            <w:vAlign w:val="center"/>
          </w:tcPr>
          <w:p>
            <w:pPr>
              <w:jc w:val="center"/>
            </w:pPr>
            <w:r>
              <w:rPr>
                <w:rFonts w:ascii="Times New Roman" w:hAnsi="Times New Roman" w:eastAsiaTheme="minorEastAsia"/>
                <w:kern w:val="2"/>
                <w:sz w:val="21"/>
                <w:szCs w:val="21"/>
              </w:rPr>
              <w:t>戴维医疗</w:t>
            </w:r>
          </w:p>
        </w:tc>
        <w:tc>
          <w:tcPr>
            <w:vAlign w:val="center"/>
          </w:tcPr>
          <w:p>
            <w:pPr>
              <w:jc w:val="right"/>
            </w:pPr>
            <w:r>
              <w:rPr>
                <w:rFonts w:ascii="Times New Roman" w:hAnsi="Times New Roman" w:eastAsiaTheme="minorEastAsia"/>
                <w:kern w:val="2"/>
                <w:sz w:val="21"/>
                <w:szCs w:val="21"/>
              </w:rPr>
              <w:t>105,229.00</w:t>
            </w:r>
          </w:p>
        </w:tc>
        <w:tc>
          <w:tcPr>
            <w:vAlign w:val="center"/>
          </w:tcPr>
          <w:p>
            <w:pPr>
              <w:jc w:val="right"/>
            </w:pPr>
            <w:r>
              <w:rPr>
                <w:rFonts w:ascii="Times New Roman" w:hAnsi="Times New Roman" w:eastAsiaTheme="minorEastAsia"/>
                <w:kern w:val="2"/>
                <w:sz w:val="21"/>
                <w:szCs w:val="21"/>
              </w:rPr>
              <w:t>3.88</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27</w:t>
            </w:r>
          </w:p>
        </w:tc>
        <w:tc>
          <w:tcPr>
            <w:vAlign w:val="center"/>
          </w:tcPr>
          <w:p>
            <w:pPr>
              <w:jc w:val="center"/>
            </w:pPr>
            <w:r>
              <w:rPr>
                <w:rFonts w:ascii="Times New Roman" w:hAnsi="Times New Roman" w:eastAsiaTheme="minorEastAsia"/>
                <w:kern w:val="2"/>
                <w:sz w:val="21"/>
                <w:szCs w:val="21"/>
              </w:rPr>
              <w:t>300078</w:t>
            </w:r>
          </w:p>
        </w:tc>
        <w:tc>
          <w:tcPr>
            <w:vAlign w:val="center"/>
          </w:tcPr>
          <w:p>
            <w:pPr>
              <w:jc w:val="center"/>
            </w:pPr>
            <w:r>
              <w:rPr>
                <w:rFonts w:ascii="Times New Roman" w:hAnsi="Times New Roman" w:eastAsiaTheme="minorEastAsia"/>
                <w:kern w:val="2"/>
                <w:sz w:val="21"/>
                <w:szCs w:val="21"/>
              </w:rPr>
              <w:t>思创医惠</w:t>
            </w:r>
          </w:p>
        </w:tc>
        <w:tc>
          <w:tcPr>
            <w:vAlign w:val="center"/>
          </w:tcPr>
          <w:p>
            <w:pPr>
              <w:jc w:val="right"/>
            </w:pPr>
            <w:r>
              <w:rPr>
                <w:rFonts w:ascii="Times New Roman" w:hAnsi="Times New Roman" w:eastAsiaTheme="minorEastAsia"/>
                <w:kern w:val="2"/>
                <w:sz w:val="21"/>
                <w:szCs w:val="21"/>
              </w:rPr>
              <w:t>97,628.00</w:t>
            </w:r>
          </w:p>
        </w:tc>
        <w:tc>
          <w:tcPr>
            <w:vAlign w:val="center"/>
          </w:tcPr>
          <w:p>
            <w:pPr>
              <w:jc w:val="right"/>
            </w:pPr>
            <w:r>
              <w:rPr>
                <w:rFonts w:ascii="Times New Roman" w:hAnsi="Times New Roman" w:eastAsiaTheme="minorEastAsia"/>
                <w:kern w:val="2"/>
                <w:sz w:val="21"/>
                <w:szCs w:val="21"/>
              </w:rPr>
              <w:t>3.60</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28</w:t>
            </w:r>
          </w:p>
        </w:tc>
        <w:tc>
          <w:tcPr>
            <w:vAlign w:val="center"/>
          </w:tcPr>
          <w:p>
            <w:pPr>
              <w:jc w:val="center"/>
            </w:pPr>
            <w:r>
              <w:rPr>
                <w:rFonts w:ascii="Times New Roman" w:hAnsi="Times New Roman" w:eastAsiaTheme="minorEastAsia"/>
                <w:kern w:val="2"/>
                <w:sz w:val="21"/>
                <w:szCs w:val="21"/>
              </w:rPr>
              <w:t>300622</w:t>
            </w:r>
          </w:p>
        </w:tc>
        <w:tc>
          <w:tcPr>
            <w:vAlign w:val="center"/>
          </w:tcPr>
          <w:p>
            <w:pPr>
              <w:jc w:val="center"/>
            </w:pPr>
            <w:r>
              <w:rPr>
                <w:rFonts w:ascii="Times New Roman" w:hAnsi="Times New Roman" w:eastAsiaTheme="minorEastAsia"/>
                <w:kern w:val="2"/>
                <w:sz w:val="21"/>
                <w:szCs w:val="21"/>
              </w:rPr>
              <w:t>博士眼镜</w:t>
            </w:r>
          </w:p>
        </w:tc>
        <w:tc>
          <w:tcPr>
            <w:vAlign w:val="center"/>
          </w:tcPr>
          <w:p>
            <w:pPr>
              <w:jc w:val="right"/>
            </w:pPr>
            <w:r>
              <w:rPr>
                <w:rFonts w:ascii="Times New Roman" w:hAnsi="Times New Roman" w:eastAsiaTheme="minorEastAsia"/>
                <w:kern w:val="2"/>
                <w:sz w:val="21"/>
                <w:szCs w:val="21"/>
              </w:rPr>
              <w:t>83,347.00</w:t>
            </w:r>
          </w:p>
        </w:tc>
        <w:tc>
          <w:tcPr>
            <w:vAlign w:val="center"/>
          </w:tcPr>
          <w:p>
            <w:pPr>
              <w:jc w:val="right"/>
            </w:pPr>
            <w:r>
              <w:rPr>
                <w:rFonts w:ascii="Times New Roman" w:hAnsi="Times New Roman" w:eastAsiaTheme="minorEastAsia"/>
                <w:kern w:val="2"/>
                <w:sz w:val="21"/>
                <w:szCs w:val="21"/>
              </w:rPr>
              <w:t>3.07</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29</w:t>
            </w:r>
          </w:p>
        </w:tc>
        <w:tc>
          <w:tcPr>
            <w:vAlign w:val="center"/>
          </w:tcPr>
          <w:p>
            <w:pPr>
              <w:jc w:val="center"/>
            </w:pPr>
            <w:r>
              <w:rPr>
                <w:rFonts w:ascii="Times New Roman" w:hAnsi="Times New Roman" w:eastAsiaTheme="minorEastAsia"/>
                <w:kern w:val="2"/>
                <w:sz w:val="21"/>
                <w:szCs w:val="21"/>
              </w:rPr>
              <w:t>000538</w:t>
            </w:r>
          </w:p>
        </w:tc>
        <w:tc>
          <w:tcPr>
            <w:vAlign w:val="center"/>
          </w:tcPr>
          <w:p>
            <w:pPr>
              <w:jc w:val="center"/>
            </w:pPr>
            <w:r>
              <w:rPr>
                <w:rFonts w:ascii="Times New Roman" w:hAnsi="Times New Roman" w:eastAsiaTheme="minorEastAsia"/>
                <w:kern w:val="2"/>
                <w:sz w:val="21"/>
                <w:szCs w:val="21"/>
              </w:rPr>
              <w:t>云南白药</w:t>
            </w:r>
          </w:p>
        </w:tc>
        <w:tc>
          <w:tcPr>
            <w:vAlign w:val="center"/>
          </w:tcPr>
          <w:p>
            <w:pPr>
              <w:jc w:val="right"/>
            </w:pPr>
            <w:r>
              <w:rPr>
                <w:rFonts w:ascii="Times New Roman" w:hAnsi="Times New Roman" w:eastAsiaTheme="minorEastAsia"/>
                <w:kern w:val="2"/>
                <w:sz w:val="21"/>
                <w:szCs w:val="21"/>
              </w:rPr>
              <w:t>60,800.00</w:t>
            </w:r>
          </w:p>
        </w:tc>
        <w:tc>
          <w:tcPr>
            <w:vAlign w:val="center"/>
          </w:tcPr>
          <w:p>
            <w:pPr>
              <w:jc w:val="right"/>
            </w:pPr>
            <w:r>
              <w:rPr>
                <w:rFonts w:ascii="Times New Roman" w:hAnsi="Times New Roman" w:eastAsiaTheme="minorEastAsia"/>
                <w:kern w:val="2"/>
                <w:sz w:val="21"/>
                <w:szCs w:val="21"/>
              </w:rPr>
              <w:t>2.24</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30</w:t>
            </w:r>
          </w:p>
        </w:tc>
        <w:tc>
          <w:tcPr>
            <w:vAlign w:val="center"/>
          </w:tcPr>
          <w:p>
            <w:pPr>
              <w:jc w:val="center"/>
            </w:pPr>
            <w:r>
              <w:rPr>
                <w:rFonts w:ascii="Times New Roman" w:hAnsi="Times New Roman" w:eastAsiaTheme="minorEastAsia"/>
                <w:kern w:val="2"/>
                <w:sz w:val="21"/>
                <w:szCs w:val="21"/>
              </w:rPr>
              <w:t>300016</w:t>
            </w:r>
          </w:p>
        </w:tc>
        <w:tc>
          <w:tcPr>
            <w:vAlign w:val="center"/>
          </w:tcPr>
          <w:p>
            <w:pPr>
              <w:jc w:val="center"/>
            </w:pPr>
            <w:r>
              <w:rPr>
                <w:rFonts w:ascii="Times New Roman" w:hAnsi="Times New Roman" w:eastAsiaTheme="minorEastAsia"/>
                <w:kern w:val="2"/>
                <w:sz w:val="21"/>
                <w:szCs w:val="21"/>
              </w:rPr>
              <w:t>北陆药业</w:t>
            </w:r>
          </w:p>
        </w:tc>
        <w:tc>
          <w:tcPr>
            <w:vAlign w:val="center"/>
          </w:tcPr>
          <w:p>
            <w:pPr>
              <w:jc w:val="right"/>
            </w:pPr>
            <w:r>
              <w:rPr>
                <w:rFonts w:ascii="Times New Roman" w:hAnsi="Times New Roman" w:eastAsiaTheme="minorEastAsia"/>
                <w:kern w:val="2"/>
                <w:sz w:val="21"/>
                <w:szCs w:val="21"/>
              </w:rPr>
              <w:t>59,598.00</w:t>
            </w:r>
          </w:p>
        </w:tc>
        <w:tc>
          <w:tcPr>
            <w:vAlign w:val="center"/>
          </w:tcPr>
          <w:p>
            <w:pPr>
              <w:jc w:val="right"/>
            </w:pPr>
            <w:r>
              <w:rPr>
                <w:rFonts w:ascii="Times New Roman" w:hAnsi="Times New Roman" w:eastAsiaTheme="minorEastAsia"/>
                <w:kern w:val="2"/>
                <w:sz w:val="21"/>
                <w:szCs w:val="21"/>
              </w:rPr>
              <w:t>2.20</w:t>
            </w:r>
          </w:p>
        </w:tc>
      </w:tr>
      <w:tr>
        <w:tblPrEx>
          <w:tblW w:w="0" w:type="auto"/>
          <w:tblInd w:w="108" w:type="dxa"/>
          <w:tblLayout w:type="fixed"/>
          <w:tblLook w:val="00A0"/>
        </w:tblPrEx>
        <w:tc>
          <w:tcPr>
            <w:vAlign w:val="center"/>
          </w:tcPr>
          <w:p>
            <w:pPr>
              <w:jc w:val="center"/>
            </w:pPr>
            <w:r>
              <w:rPr>
                <w:rFonts w:ascii="Times New Roman" w:hAnsi="Times New Roman" w:eastAsiaTheme="minorEastAsia"/>
                <w:kern w:val="2"/>
                <w:sz w:val="21"/>
                <w:szCs w:val="21"/>
              </w:rPr>
              <w:t>31</w:t>
            </w:r>
          </w:p>
        </w:tc>
        <w:tc>
          <w:tcPr>
            <w:vAlign w:val="center"/>
          </w:tcPr>
          <w:p>
            <w:pPr>
              <w:jc w:val="center"/>
            </w:pPr>
            <w:r>
              <w:rPr>
                <w:rFonts w:ascii="Times New Roman" w:hAnsi="Times New Roman" w:eastAsiaTheme="minorEastAsia"/>
                <w:kern w:val="2"/>
                <w:sz w:val="21"/>
                <w:szCs w:val="21"/>
              </w:rPr>
              <w:t>600511</w:t>
            </w:r>
          </w:p>
        </w:tc>
        <w:tc>
          <w:tcPr>
            <w:vAlign w:val="center"/>
          </w:tcPr>
          <w:p>
            <w:pPr>
              <w:jc w:val="center"/>
            </w:pPr>
            <w:r>
              <w:rPr>
                <w:rFonts w:ascii="Times New Roman" w:hAnsi="Times New Roman" w:eastAsiaTheme="minorEastAsia"/>
                <w:kern w:val="2"/>
                <w:sz w:val="21"/>
                <w:szCs w:val="21"/>
              </w:rPr>
              <w:t>国药股份</w:t>
            </w:r>
          </w:p>
        </w:tc>
        <w:tc>
          <w:tcPr>
            <w:vAlign w:val="center"/>
          </w:tcPr>
          <w:p>
            <w:pPr>
              <w:jc w:val="right"/>
            </w:pPr>
            <w:r>
              <w:rPr>
                <w:rFonts w:ascii="Times New Roman" w:hAnsi="Times New Roman" w:eastAsiaTheme="minorEastAsia"/>
                <w:kern w:val="2"/>
                <w:sz w:val="21"/>
                <w:szCs w:val="21"/>
              </w:rPr>
              <w:t>57,494.00</w:t>
            </w:r>
          </w:p>
        </w:tc>
        <w:tc>
          <w:tcPr>
            <w:vAlign w:val="center"/>
          </w:tcPr>
          <w:p>
            <w:pPr>
              <w:jc w:val="right"/>
            </w:pPr>
            <w:r>
              <w:rPr>
                <w:rFonts w:ascii="Times New Roman" w:hAnsi="Times New Roman" w:eastAsiaTheme="minorEastAsia"/>
                <w:kern w:val="2"/>
                <w:sz w:val="21"/>
                <w:szCs w:val="21"/>
              </w:rPr>
              <w:t>2.12</w:t>
            </w:r>
          </w:p>
        </w:tc>
      </w:tr>
    </w:tbl>
    <w:p w:rsidR="001548F9" w:rsidRPr="0045565B" w:rsidP="006A2FD2">
      <w:pPr>
        <w:spacing w:before="312" w:beforeLines="100" w:line="360" w:lineRule="auto"/>
        <w:rPr>
          <w:rFonts w:eastAsiaTheme="minorEastAsia"/>
          <w:b/>
          <w:bCs/>
          <w:color w:val="000000"/>
          <w:szCs w:val="21"/>
        </w:rPr>
      </w:pPr>
      <w:r w:rsidRPr="0045565B">
        <w:rPr>
          <w:rFonts w:eastAsiaTheme="minorEastAsia"/>
          <w:b/>
          <w:color w:val="000000"/>
          <w:szCs w:val="21"/>
        </w:rPr>
        <w:t xml:space="preserve">7.4.3 </w:t>
      </w:r>
      <w:r w:rsidRPr="0045565B">
        <w:rPr>
          <w:rFonts w:eastAsiaTheme="minorEastAsia"/>
          <w:b/>
          <w:bCs/>
          <w:color w:val="000000"/>
          <w:szCs w:val="21"/>
        </w:rPr>
        <w:t>买入股票的成本总额及卖出股票的收入总额</w:t>
      </w:r>
    </w:p>
    <w:p w:rsidR="001548F9" w:rsidRPr="0045565B" w:rsidP="008971E9">
      <w:pPr>
        <w:autoSpaceDE w:val="0"/>
        <w:autoSpaceDN w:val="0"/>
        <w:adjustRightInd w:val="0"/>
        <w:spacing w:before="29" w:line="288" w:lineRule="auto"/>
        <w:ind w:left="15"/>
        <w:jc w:val="right"/>
        <w:rPr>
          <w:rFonts w:eastAsiaTheme="minorEastAsia"/>
          <w:color w:val="000000"/>
          <w:kern w:val="0"/>
          <w:szCs w:val="21"/>
        </w:rPr>
      </w:pPr>
      <w:r w:rsidRPr="0045565B">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00"/>
        <w:gridCol w:w="4500"/>
      </w:tblGrid>
      <w:tr w:rsidTr="0070173B">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4500" w:type="dxa"/>
            <w:vAlign w:val="center"/>
          </w:tcPr>
          <w:p w:rsidR="001548F9" w:rsidRPr="0045565B" w:rsidP="0070173B">
            <w:pPr>
              <w:rPr>
                <w:rFonts w:eastAsiaTheme="minorEastAsia"/>
                <w:color w:val="000000"/>
                <w:szCs w:val="21"/>
              </w:rPr>
            </w:pPr>
            <w:r w:rsidRPr="0045565B">
              <w:rPr>
                <w:rFonts w:eastAsiaTheme="minorEastAsia"/>
                <w:color w:val="000000"/>
                <w:szCs w:val="21"/>
              </w:rPr>
              <w:t>买入股票的成本（成交）总额</w:t>
            </w:r>
          </w:p>
        </w:tc>
        <w:tc>
          <w:tcPr>
            <w:tcW w:w="4500" w:type="dxa"/>
            <w:vAlign w:val="center"/>
          </w:tcPr>
          <w:p w:rsidR="001548F9" w:rsidRPr="0045565B" w:rsidP="0070173B">
            <w:pPr>
              <w:wordWrap w:val="0"/>
              <w:jc w:val="right"/>
              <w:rPr>
                <w:rFonts w:eastAsiaTheme="minorEastAsia"/>
                <w:szCs w:val="21"/>
              </w:rPr>
            </w:pPr>
            <w:r w:rsidRPr="0045565B">
              <w:rPr>
                <w:rFonts w:eastAsiaTheme="minorEastAsia"/>
                <w:szCs w:val="21"/>
              </w:rPr>
              <w:t>25,521,387.58</w:t>
            </w:r>
          </w:p>
        </w:tc>
      </w:tr>
      <w:tr w:rsidTr="0070173B">
        <w:tblPrEx>
          <w:tblW w:w="0" w:type="auto"/>
          <w:tblInd w:w="108" w:type="dxa"/>
          <w:tblLayout w:type="fixed"/>
          <w:tblLook w:val="00A0"/>
        </w:tblPrEx>
        <w:tc>
          <w:tcPr>
            <w:tcW w:w="4500" w:type="dxa"/>
            <w:vAlign w:val="center"/>
          </w:tcPr>
          <w:p w:rsidR="001548F9" w:rsidRPr="0045565B" w:rsidP="0070173B">
            <w:pPr>
              <w:rPr>
                <w:rFonts w:eastAsiaTheme="minorEastAsia"/>
                <w:color w:val="000000"/>
                <w:szCs w:val="21"/>
              </w:rPr>
            </w:pPr>
            <w:r w:rsidRPr="0045565B">
              <w:rPr>
                <w:rFonts w:eastAsiaTheme="minorEastAsia"/>
                <w:color w:val="000000"/>
                <w:szCs w:val="21"/>
              </w:rPr>
              <w:t>卖出股票的收入（成交）总额</w:t>
            </w:r>
          </w:p>
        </w:tc>
        <w:tc>
          <w:tcPr>
            <w:tcW w:w="4500" w:type="dxa"/>
            <w:vAlign w:val="center"/>
          </w:tcPr>
          <w:p w:rsidR="001548F9" w:rsidRPr="0045565B" w:rsidP="0070173B">
            <w:pPr>
              <w:jc w:val="right"/>
              <w:rPr>
                <w:rFonts w:eastAsiaTheme="minorEastAsia"/>
                <w:szCs w:val="21"/>
              </w:rPr>
            </w:pPr>
            <w:r w:rsidRPr="0045565B">
              <w:rPr>
                <w:rFonts w:eastAsiaTheme="minorEastAsia"/>
                <w:szCs w:val="21"/>
              </w:rPr>
              <w:t>13,557,670.59</w:t>
            </w:r>
          </w:p>
        </w:tc>
      </w:tr>
    </w:tbl>
    <w:p w:rsidR="001548F9" w:rsidRPr="0045565B" w:rsidP="006A2FD2">
      <w:pPr>
        <w:pStyle w:val="Heading2"/>
        <w:spacing w:before="312" w:beforeLines="100" w:after="0"/>
        <w:rPr>
          <w:rFonts w:ascii="Times New Roman" w:hAnsi="Times New Roman" w:eastAsiaTheme="minorEastAsia"/>
          <w:kern w:val="0"/>
          <w:sz w:val="21"/>
          <w:szCs w:val="21"/>
        </w:rPr>
      </w:pPr>
      <w:bookmarkStart w:id="61" w:name="_Toc331410106"/>
      <w:bookmarkStart w:id="62" w:name="_Toc234814104"/>
      <w:r w:rsidRPr="0045565B">
        <w:rPr>
          <w:rFonts w:ascii="Times New Roman" w:hAnsi="Times New Roman" w:eastAsiaTheme="minorEastAsia"/>
          <w:kern w:val="0"/>
          <w:sz w:val="21"/>
          <w:szCs w:val="21"/>
        </w:rPr>
        <w:t xml:space="preserve">7.5 </w:t>
      </w:r>
      <w:r w:rsidRPr="0045565B">
        <w:rPr>
          <w:rFonts w:ascii="Times New Roman" w:hAnsi="Times New Roman" w:eastAsiaTheme="minorEastAsia"/>
          <w:kern w:val="0"/>
          <w:sz w:val="21"/>
          <w:szCs w:val="21"/>
        </w:rPr>
        <w:t>期末按债券品种分类的债券投资组合</w:t>
      </w:r>
      <w:bookmarkEnd w:id="61"/>
      <w:bookmarkEnd w:id="62"/>
    </w:p>
    <w:p w:rsidR="001548F9" w:rsidRPr="006A2FD2" w:rsidP="006A2FD2">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本基金本报告期末未持有债券。</w:t>
      </w:r>
    </w:p>
    <w:p w:rsidR="001548F9" w:rsidRPr="0045565B" w:rsidP="006A2FD2">
      <w:pPr>
        <w:pStyle w:val="Heading2"/>
        <w:spacing w:before="312" w:beforeLines="100" w:after="0"/>
        <w:rPr>
          <w:rFonts w:ascii="Times New Roman" w:hAnsi="Times New Roman" w:eastAsiaTheme="minorEastAsia"/>
          <w:kern w:val="0"/>
          <w:sz w:val="21"/>
          <w:szCs w:val="21"/>
        </w:rPr>
      </w:pPr>
      <w:bookmarkStart w:id="63" w:name="_Toc331410107"/>
      <w:r w:rsidRPr="0045565B">
        <w:rPr>
          <w:rFonts w:ascii="Times New Roman" w:hAnsi="Times New Roman" w:eastAsiaTheme="minorEastAsia"/>
          <w:kern w:val="0"/>
          <w:sz w:val="21"/>
          <w:szCs w:val="21"/>
        </w:rPr>
        <w:t>7.6</w:t>
      </w:r>
      <w:bookmarkStart w:id="64" w:name="_Toc234814105"/>
      <w:r w:rsidRPr="0045565B">
        <w:rPr>
          <w:rFonts w:ascii="Times New Roman" w:hAnsi="Times New Roman" w:eastAsiaTheme="minorEastAsia"/>
          <w:kern w:val="0"/>
          <w:sz w:val="21"/>
          <w:szCs w:val="21"/>
        </w:rPr>
        <w:t>期末按公允价值占基金资产净值比例大小排</w:t>
      </w:r>
      <w:r w:rsidRPr="0045565B" w:rsidR="006E69D8">
        <w:rPr>
          <w:rFonts w:ascii="Times New Roman" w:hAnsi="Times New Roman" w:eastAsiaTheme="minorEastAsia"/>
          <w:kern w:val="0"/>
          <w:sz w:val="21"/>
          <w:szCs w:val="21"/>
        </w:rPr>
        <w:t>序</w:t>
      </w:r>
      <w:r w:rsidRPr="0045565B">
        <w:rPr>
          <w:rFonts w:ascii="Times New Roman" w:hAnsi="Times New Roman" w:eastAsiaTheme="minorEastAsia"/>
          <w:kern w:val="0"/>
          <w:sz w:val="21"/>
          <w:szCs w:val="21"/>
        </w:rPr>
        <w:t>的前五名债券投资明细</w:t>
      </w:r>
      <w:bookmarkEnd w:id="63"/>
      <w:bookmarkEnd w:id="64"/>
    </w:p>
    <w:p w:rsidR="001548F9" w:rsidRPr="006A2FD2" w:rsidP="006A2FD2">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本基金本报告期末未持有债券。</w:t>
      </w:r>
    </w:p>
    <w:p w:rsidR="001548F9" w:rsidRPr="0045565B" w:rsidP="006A2FD2">
      <w:pPr>
        <w:pStyle w:val="Heading2"/>
        <w:spacing w:before="312" w:beforeLines="100" w:after="0"/>
        <w:rPr>
          <w:rFonts w:ascii="Times New Roman" w:hAnsi="Times New Roman" w:eastAsiaTheme="minorEastAsia"/>
          <w:kern w:val="0"/>
          <w:sz w:val="21"/>
          <w:szCs w:val="21"/>
        </w:rPr>
      </w:pPr>
      <w:bookmarkStart w:id="65" w:name="_Toc331410108"/>
      <w:r w:rsidRPr="0045565B">
        <w:rPr>
          <w:rFonts w:ascii="Times New Roman" w:hAnsi="Times New Roman" w:eastAsiaTheme="minorEastAsia"/>
          <w:kern w:val="0"/>
          <w:sz w:val="21"/>
          <w:szCs w:val="21"/>
        </w:rPr>
        <w:t xml:space="preserve">7.7 </w:t>
      </w:r>
      <w:r w:rsidRPr="0045565B" w:rsidR="003E2C82">
        <w:rPr>
          <w:rFonts w:ascii="Times New Roman" w:hAnsi="Times New Roman" w:eastAsiaTheme="minorEastAsia"/>
          <w:kern w:val="0"/>
          <w:sz w:val="21"/>
          <w:szCs w:val="21"/>
        </w:rPr>
        <w:t>期末按公允价值占基金资产净值比例大小排</w:t>
      </w:r>
      <w:r w:rsidRPr="0045565B" w:rsidR="006E69D8">
        <w:rPr>
          <w:rFonts w:ascii="Times New Roman" w:hAnsi="Times New Roman" w:eastAsiaTheme="minorEastAsia"/>
          <w:kern w:val="0"/>
          <w:sz w:val="21"/>
          <w:szCs w:val="21"/>
        </w:rPr>
        <w:t>序</w:t>
      </w:r>
      <w:r w:rsidRPr="0045565B" w:rsidR="003E2C82">
        <w:rPr>
          <w:rFonts w:ascii="Times New Roman" w:hAnsi="Times New Roman" w:eastAsiaTheme="minorEastAsia"/>
          <w:kern w:val="0"/>
          <w:sz w:val="21"/>
          <w:szCs w:val="21"/>
        </w:rPr>
        <w:t>的前十名</w:t>
      </w:r>
      <w:r w:rsidRPr="0045565B">
        <w:rPr>
          <w:rFonts w:ascii="Times New Roman" w:hAnsi="Times New Roman" w:eastAsiaTheme="minorEastAsia"/>
          <w:kern w:val="0"/>
          <w:sz w:val="21"/>
          <w:szCs w:val="21"/>
        </w:rPr>
        <w:t>资产支持证券投资明细</w:t>
      </w:r>
      <w:bookmarkEnd w:id="65"/>
    </w:p>
    <w:p w:rsidR="001548F9" w:rsidRPr="006A2FD2" w:rsidP="006A2FD2">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本基金本报告期末未持有资产支持证券。</w:t>
      </w:r>
    </w:p>
    <w:p w:rsidR="006E69D8" w:rsidRPr="0045565B" w:rsidP="006A2FD2">
      <w:pPr>
        <w:pStyle w:val="Heading2"/>
        <w:spacing w:before="312" w:beforeLines="100" w:after="0"/>
        <w:rPr>
          <w:rFonts w:ascii="Times New Roman" w:hAnsi="Times New Roman" w:eastAsiaTheme="minorEastAsia"/>
          <w:kern w:val="0"/>
          <w:sz w:val="21"/>
          <w:szCs w:val="21"/>
        </w:rPr>
      </w:pPr>
      <w:r w:rsidRPr="0045565B">
        <w:rPr>
          <w:rFonts w:ascii="Times New Roman" w:hAnsi="Times New Roman" w:eastAsiaTheme="minorEastAsia"/>
          <w:kern w:val="0"/>
          <w:sz w:val="21"/>
          <w:szCs w:val="21"/>
        </w:rPr>
        <w:t xml:space="preserve">7.8 </w:t>
      </w:r>
      <w:r w:rsidRPr="0045565B">
        <w:rPr>
          <w:rFonts w:ascii="Times New Roman" w:hAnsi="Times New Roman" w:eastAsiaTheme="minorEastAsia"/>
          <w:kern w:val="0"/>
          <w:sz w:val="21"/>
          <w:szCs w:val="21"/>
        </w:rPr>
        <w:t>报告期末按公允价值占基金资产净值比例大小排序的前五名贵金属投资明细</w:t>
      </w:r>
    </w:p>
    <w:p w:rsidR="006E69D8" w:rsidRPr="006A2FD2" w:rsidP="006A2FD2">
      <w:pPr>
        <w:widowControl/>
        <w:spacing w:line="360" w:lineRule="auto"/>
        <w:ind w:firstLine="420" w:firstLineChars="200"/>
        <w:jc w:val="left"/>
        <w:rPr>
          <w:rFonts w:eastAsiaTheme="minorEastAsia"/>
          <w:szCs w:val="21"/>
        </w:rPr>
      </w:pPr>
      <w:r w:rsidRPr="0045565B">
        <w:rPr>
          <w:rFonts w:eastAsiaTheme="minorEastAsia"/>
          <w:szCs w:val="21"/>
        </w:rPr>
        <w:t>本基金本报告期内未投资贵金属。</w:t>
      </w:r>
    </w:p>
    <w:p w:rsidR="001548F9" w:rsidRPr="0045565B" w:rsidP="006A2FD2">
      <w:pPr>
        <w:pStyle w:val="Heading2"/>
        <w:spacing w:before="312" w:beforeLines="100" w:after="0"/>
        <w:rPr>
          <w:rFonts w:ascii="Times New Roman" w:hAnsi="Times New Roman" w:eastAsiaTheme="minorEastAsia"/>
          <w:kern w:val="0"/>
          <w:sz w:val="21"/>
          <w:szCs w:val="21"/>
        </w:rPr>
      </w:pPr>
      <w:bookmarkStart w:id="66" w:name="_Toc331410109"/>
      <w:r w:rsidRPr="0045565B">
        <w:rPr>
          <w:rFonts w:ascii="Times New Roman" w:hAnsi="Times New Roman" w:eastAsiaTheme="minorEastAsia"/>
          <w:kern w:val="0"/>
          <w:sz w:val="21"/>
          <w:szCs w:val="21"/>
        </w:rPr>
        <w:t xml:space="preserve">7.9 </w:t>
      </w:r>
      <w:r w:rsidRPr="0045565B">
        <w:rPr>
          <w:rFonts w:ascii="Times New Roman" w:hAnsi="Times New Roman" w:eastAsiaTheme="minorEastAsia"/>
          <w:kern w:val="0"/>
          <w:sz w:val="21"/>
          <w:szCs w:val="21"/>
        </w:rPr>
        <w:t>期末按公允价值占基金资产净值比例大小排</w:t>
      </w:r>
      <w:r w:rsidRPr="0045565B" w:rsidR="006E69D8">
        <w:rPr>
          <w:rFonts w:ascii="Times New Roman" w:hAnsi="Times New Roman" w:eastAsiaTheme="minorEastAsia"/>
          <w:kern w:val="0"/>
          <w:sz w:val="21"/>
          <w:szCs w:val="21"/>
        </w:rPr>
        <w:t>序</w:t>
      </w:r>
      <w:r w:rsidRPr="0045565B">
        <w:rPr>
          <w:rFonts w:ascii="Times New Roman" w:hAnsi="Times New Roman" w:eastAsiaTheme="minorEastAsia"/>
          <w:kern w:val="0"/>
          <w:sz w:val="21"/>
          <w:szCs w:val="21"/>
        </w:rPr>
        <w:t>的前五名权证投资明细</w:t>
      </w:r>
      <w:bookmarkEnd w:id="66"/>
    </w:p>
    <w:p w:rsidR="001548F9" w:rsidRPr="006A2FD2" w:rsidP="006A2FD2">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本基金本报告期内未投资权证。</w:t>
      </w:r>
    </w:p>
    <w:p w:rsidR="001548F9" w:rsidRPr="0045565B" w:rsidP="006A2FD2">
      <w:pPr>
        <w:pStyle w:val="Heading2"/>
        <w:spacing w:before="312" w:beforeLines="100" w:after="0"/>
        <w:rPr>
          <w:rFonts w:ascii="Times New Roman" w:hAnsi="Times New Roman" w:eastAsiaTheme="minorEastAsia"/>
          <w:kern w:val="0"/>
          <w:sz w:val="21"/>
          <w:szCs w:val="21"/>
        </w:rPr>
      </w:pPr>
      <w:r w:rsidRPr="0045565B">
        <w:rPr>
          <w:rFonts w:ascii="Times New Roman" w:hAnsi="Times New Roman" w:eastAsiaTheme="minorEastAsia"/>
          <w:kern w:val="0"/>
          <w:sz w:val="21"/>
          <w:szCs w:val="21"/>
        </w:rPr>
        <w:t xml:space="preserve">7.10 </w:t>
      </w:r>
      <w:r w:rsidRPr="0045565B">
        <w:rPr>
          <w:rFonts w:ascii="Times New Roman" w:hAnsi="Times New Roman" w:eastAsiaTheme="minorEastAsia"/>
          <w:kern w:val="0"/>
          <w:sz w:val="21"/>
          <w:szCs w:val="21"/>
        </w:rPr>
        <w:t>报告期末本基金投资的股指期货交易情况说明</w:t>
      </w:r>
    </w:p>
    <w:p w:rsidR="001548F9" w:rsidRPr="0045565B" w:rsidP="000323F4">
      <w:pPr>
        <w:adjustRightInd w:val="0"/>
        <w:snapToGrid w:val="0"/>
        <w:spacing w:line="360" w:lineRule="auto"/>
        <w:rPr>
          <w:rFonts w:eastAsiaTheme="minorEastAsia"/>
          <w:b/>
          <w:szCs w:val="21"/>
        </w:rPr>
      </w:pPr>
      <w:r w:rsidRPr="0045565B">
        <w:rPr>
          <w:rFonts w:eastAsiaTheme="minorEastAsia"/>
          <w:b/>
          <w:szCs w:val="21"/>
        </w:rPr>
        <w:t xml:space="preserve">7.10.1 </w:t>
      </w:r>
      <w:r w:rsidRPr="0045565B">
        <w:rPr>
          <w:rFonts w:eastAsiaTheme="minorEastAsia"/>
          <w:b/>
          <w:szCs w:val="21"/>
        </w:rPr>
        <w:t>报告期末本基金投资的股指期货持仓和损益明细</w:t>
      </w:r>
    </w:p>
    <w:p w:rsidR="001548F9" w:rsidRPr="006A2FD2" w:rsidP="006A2FD2">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本基金本报告期内未投资于股指期货。</w:t>
      </w:r>
    </w:p>
    <w:p w:rsidR="001548F9" w:rsidRPr="0045565B" w:rsidP="006A2FD2">
      <w:pPr>
        <w:adjustRightInd w:val="0"/>
        <w:snapToGrid w:val="0"/>
        <w:spacing w:before="312" w:beforeLines="100" w:line="360" w:lineRule="auto"/>
        <w:rPr>
          <w:rFonts w:eastAsiaTheme="minorEastAsia"/>
          <w:b/>
          <w:szCs w:val="21"/>
        </w:rPr>
      </w:pPr>
      <w:r w:rsidRPr="0045565B">
        <w:rPr>
          <w:rFonts w:eastAsiaTheme="minorEastAsia"/>
          <w:b/>
          <w:szCs w:val="21"/>
        </w:rPr>
        <w:t xml:space="preserve">7.10.2 </w:t>
      </w:r>
      <w:r w:rsidRPr="0045565B">
        <w:rPr>
          <w:rFonts w:eastAsiaTheme="minorEastAsia"/>
          <w:b/>
          <w:szCs w:val="21"/>
        </w:rPr>
        <w:t>本基金投资股指期货的投资政策</w:t>
      </w:r>
    </w:p>
    <w:p w:rsidR="001548F9" w:rsidRPr="0045565B" w:rsidP="006A2FD2">
      <w:pPr>
        <w:spacing w:line="360" w:lineRule="auto"/>
        <w:ind w:firstLine="420" w:firstLineChars="200"/>
        <w:rPr>
          <w:rFonts w:eastAsiaTheme="minorEastAsia"/>
          <w:color w:val="000000"/>
          <w:szCs w:val="21"/>
        </w:rPr>
      </w:pPr>
      <w:r w:rsidRPr="0045565B">
        <w:rPr>
          <w:rFonts w:eastAsiaTheme="minorEastAsia"/>
          <w:color w:val="000000"/>
          <w:szCs w:val="21"/>
        </w:rPr>
        <w:t>无</w:t>
      </w:r>
    </w:p>
    <w:p w:rsidR="00513DD2" w:rsidRPr="0045565B" w:rsidP="006A2FD2">
      <w:pPr>
        <w:pStyle w:val="Heading2"/>
        <w:spacing w:before="312" w:beforeLines="100" w:after="0"/>
        <w:rPr>
          <w:rFonts w:ascii="Times New Roman" w:hAnsi="Times New Roman" w:eastAsiaTheme="minorEastAsia"/>
          <w:kern w:val="0"/>
          <w:sz w:val="21"/>
          <w:szCs w:val="21"/>
        </w:rPr>
      </w:pPr>
      <w:r w:rsidRPr="0045565B">
        <w:rPr>
          <w:rFonts w:ascii="Times New Roman" w:hAnsi="Times New Roman" w:eastAsiaTheme="minorEastAsia"/>
          <w:kern w:val="0"/>
          <w:sz w:val="21"/>
          <w:szCs w:val="21"/>
        </w:rPr>
        <w:t>7.11</w:t>
      </w:r>
      <w:r w:rsidRPr="0045565B">
        <w:rPr>
          <w:rFonts w:ascii="Times New Roman" w:hAnsi="Times New Roman" w:eastAsiaTheme="minorEastAsia"/>
          <w:kern w:val="0"/>
          <w:sz w:val="21"/>
          <w:szCs w:val="21"/>
        </w:rPr>
        <w:t>报告期末本基金投资的国债期货交易情况说明</w:t>
      </w:r>
    </w:p>
    <w:p w:rsidR="00513DD2" w:rsidRPr="0045565B" w:rsidP="000323F4">
      <w:pPr>
        <w:adjustRightInd w:val="0"/>
        <w:snapToGrid w:val="0"/>
        <w:spacing w:line="360" w:lineRule="auto"/>
        <w:rPr>
          <w:rFonts w:eastAsiaTheme="minorEastAsia"/>
          <w:b/>
          <w:szCs w:val="21"/>
        </w:rPr>
      </w:pPr>
      <w:r w:rsidRPr="0045565B">
        <w:rPr>
          <w:rFonts w:eastAsiaTheme="minorEastAsia"/>
          <w:b/>
          <w:szCs w:val="21"/>
        </w:rPr>
        <w:t xml:space="preserve">7.11.1 </w:t>
      </w:r>
      <w:r w:rsidRPr="0045565B">
        <w:rPr>
          <w:rFonts w:eastAsiaTheme="minorEastAsia"/>
          <w:b/>
          <w:szCs w:val="21"/>
        </w:rPr>
        <w:t>本期国债期货投资政策</w:t>
      </w:r>
    </w:p>
    <w:p w:rsidR="00513DD2" w:rsidRPr="0045565B" w:rsidP="000323F4">
      <w:pPr>
        <w:spacing w:line="360" w:lineRule="auto"/>
        <w:ind w:firstLine="420" w:firstLineChars="200"/>
        <w:rPr>
          <w:rFonts w:eastAsiaTheme="minorEastAsia"/>
          <w:color w:val="000000"/>
          <w:szCs w:val="21"/>
        </w:rPr>
      </w:pPr>
      <w:r w:rsidRPr="0045565B">
        <w:rPr>
          <w:rFonts w:eastAsiaTheme="minorEastAsia"/>
          <w:color w:val="000000"/>
          <w:szCs w:val="21"/>
        </w:rPr>
        <w:t>无。</w:t>
      </w:r>
    </w:p>
    <w:p w:rsidR="00513DD2" w:rsidRPr="0045565B" w:rsidP="000323F4">
      <w:pPr>
        <w:autoSpaceDE w:val="0"/>
        <w:autoSpaceDN w:val="0"/>
        <w:adjustRightInd w:val="0"/>
        <w:spacing w:line="360" w:lineRule="auto"/>
        <w:jc w:val="left"/>
        <w:rPr>
          <w:rFonts w:eastAsiaTheme="minorEastAsia"/>
          <w:b/>
          <w:szCs w:val="21"/>
        </w:rPr>
      </w:pPr>
      <w:r w:rsidRPr="0045565B">
        <w:rPr>
          <w:rFonts w:eastAsiaTheme="minorEastAsia"/>
          <w:b/>
          <w:szCs w:val="21"/>
        </w:rPr>
        <w:t xml:space="preserve">7.11.2 </w:t>
      </w:r>
      <w:r w:rsidRPr="0045565B">
        <w:rPr>
          <w:rFonts w:eastAsiaTheme="minorEastAsia"/>
          <w:b/>
          <w:szCs w:val="21"/>
        </w:rPr>
        <w:t>报告期末本基金投资的国债期货持仓和损益明细</w:t>
      </w:r>
    </w:p>
    <w:p w:rsidR="00513DD2" w:rsidRPr="0045565B" w:rsidP="006A2FD2">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本基金本报告期内未投资于国债期货。</w:t>
      </w:r>
    </w:p>
    <w:p w:rsidR="007745A3" w:rsidRPr="00A73188" w:rsidP="007745A3">
      <w:pPr>
        <w:pStyle w:val="Heading2"/>
        <w:spacing w:before="312" w:beforeLines="100" w:after="0"/>
        <w:rPr>
          <w:rFonts w:ascii="Times New Roman" w:hAnsi="Times New Roman" w:eastAsiaTheme="minorEastAsia"/>
          <w:color w:val="000000" w:themeColor="text1"/>
          <w:kern w:val="0"/>
          <w:sz w:val="21"/>
          <w:szCs w:val="21"/>
        </w:rPr>
      </w:pPr>
      <w:r w:rsidRPr="00A73188">
        <w:rPr>
          <w:rFonts w:ascii="Times New Roman" w:hAnsi="Times New Roman" w:eastAsiaTheme="minorEastAsia"/>
          <w:color w:val="000000" w:themeColor="text1"/>
          <w:kern w:val="0"/>
          <w:sz w:val="21"/>
          <w:szCs w:val="21"/>
        </w:rPr>
        <w:t xml:space="preserve">7.12 </w:t>
      </w:r>
      <w:r w:rsidRPr="00A73188">
        <w:rPr>
          <w:rFonts w:ascii="Times New Roman" w:hAnsi="Times New Roman" w:eastAsiaTheme="minorEastAsia" w:hint="eastAsia"/>
          <w:color w:val="000000" w:themeColor="text1"/>
          <w:kern w:val="0"/>
          <w:sz w:val="21"/>
          <w:szCs w:val="21"/>
        </w:rPr>
        <w:t>本报告期投资基金情况</w:t>
      </w:r>
    </w:p>
    <w:p w:rsidR="007745A3" w:rsidRPr="00A73188" w:rsidP="007745A3">
      <w:pPr>
        <w:pStyle w:val="NormalIndent"/>
        <w:spacing w:line="360" w:lineRule="auto"/>
        <w:ind w:firstLine="0" w:firstLineChars="0"/>
        <w:rPr>
          <w:rFonts w:eastAsiaTheme="minorEastAsia"/>
          <w:color w:val="000000" w:themeColor="text1"/>
          <w:szCs w:val="21"/>
        </w:rPr>
      </w:pPr>
      <w:r w:rsidRPr="00A73188">
        <w:rPr>
          <w:rFonts w:eastAsiaTheme="minorEastAsia"/>
          <w:b/>
          <w:color w:val="000000" w:themeColor="text1"/>
          <w:szCs w:val="21"/>
        </w:rPr>
        <w:t>7.12.1</w:t>
      </w:r>
      <w:r w:rsidRPr="00A73188">
        <w:rPr>
          <w:rFonts w:eastAsiaTheme="minorEastAsia" w:hint="eastAsia"/>
          <w:b/>
          <w:color w:val="000000" w:themeColor="text1"/>
          <w:szCs w:val="21"/>
        </w:rPr>
        <w:t xml:space="preserve"> </w:t>
      </w:r>
      <w:r w:rsidRPr="00A73188">
        <w:rPr>
          <w:rFonts w:eastAsiaTheme="minorEastAsia" w:hint="eastAsia"/>
          <w:b/>
          <w:color w:val="000000" w:themeColor="text1"/>
          <w:szCs w:val="21"/>
        </w:rPr>
        <w:t>投资政策及风险说明</w:t>
      </w:r>
    </w:p>
    <w:p w:rsidR="007745A3" w:rsidRPr="00A73188" w:rsidP="007745A3">
      <w:pPr>
        <w:pStyle w:val="NormalIndent"/>
        <w:spacing w:line="360" w:lineRule="auto"/>
        <w:rPr>
          <w:rFonts w:eastAsiaTheme="minorEastAsia"/>
          <w:color w:val="000000" w:themeColor="text1"/>
          <w:szCs w:val="21"/>
        </w:rPr>
      </w:pPr>
      <w:r w:rsidRPr="00A73188">
        <w:rPr>
          <w:rFonts w:eastAsiaTheme="minorEastAsia" w:hint="eastAsia"/>
          <w:color w:val="000000" w:themeColor="text1"/>
          <w:szCs w:val="21"/>
        </w:rPr>
        <w:t>无。</w:t>
      </w:r>
    </w:p>
    <w:p w:rsidR="007745A3" w:rsidRPr="00A73188" w:rsidP="007745A3">
      <w:pPr>
        <w:pStyle w:val="NormalIndent"/>
        <w:spacing w:before="156" w:beforeLines="50" w:line="360" w:lineRule="auto"/>
        <w:ind w:firstLine="0" w:firstLineChars="0"/>
        <w:rPr>
          <w:rFonts w:eastAsiaTheme="minorEastAsia"/>
          <w:b/>
          <w:color w:val="000000" w:themeColor="text1"/>
          <w:szCs w:val="21"/>
        </w:rPr>
      </w:pPr>
      <w:r w:rsidRPr="00A73188">
        <w:rPr>
          <w:rFonts w:eastAsiaTheme="minorEastAsia"/>
          <w:b/>
          <w:color w:val="000000" w:themeColor="text1"/>
          <w:szCs w:val="21"/>
        </w:rPr>
        <w:t>7.12.2</w:t>
      </w:r>
      <w:r w:rsidRPr="00A73188">
        <w:rPr>
          <w:rFonts w:eastAsiaTheme="minorEastAsia" w:hint="eastAsia"/>
          <w:b/>
          <w:color w:val="000000" w:themeColor="text1"/>
          <w:szCs w:val="21"/>
        </w:rPr>
        <w:t xml:space="preserve"> </w:t>
      </w:r>
      <w:r w:rsidRPr="00A73188">
        <w:rPr>
          <w:rFonts w:eastAsiaTheme="minorEastAsia" w:hint="eastAsia"/>
          <w:b/>
          <w:color w:val="000000" w:themeColor="text1"/>
          <w:szCs w:val="21"/>
        </w:rPr>
        <w:t>报告期末按公允价值占基金资产净值比例大小排序的基金投资明细</w:t>
      </w:r>
    </w:p>
    <w:p w:rsidR="00513DD2" w:rsidRPr="0045565B" w:rsidP="006A2FD2">
      <w:pPr>
        <w:spacing w:line="360" w:lineRule="auto"/>
        <w:ind w:firstLine="420" w:firstLineChars="200"/>
        <w:rPr>
          <w:rFonts w:eastAsiaTheme="minorEastAsia"/>
          <w:color w:val="000000"/>
          <w:szCs w:val="21"/>
        </w:rPr>
      </w:pPr>
      <w:r w:rsidRPr="00A73188">
        <w:rPr>
          <w:rFonts w:eastAsiaTheme="minorEastAsia"/>
          <w:color w:val="000000" w:themeColor="text1"/>
          <w:szCs w:val="21"/>
        </w:rPr>
        <w:t>本基金本报告期内未投资基金。</w:t>
      </w:r>
      <w:r w:rsidRPr="0045565B">
        <w:rPr>
          <w:rFonts w:eastAsiaTheme="minorEastAsia"/>
          <w:kern w:val="0"/>
          <w:szCs w:val="21"/>
        </w:rPr>
        <w:tab/>
      </w:r>
    </w:p>
    <w:p w:rsidR="001548F9" w:rsidRPr="0045565B" w:rsidP="006A2FD2">
      <w:pPr>
        <w:pStyle w:val="Heading2"/>
        <w:spacing w:before="312" w:beforeLines="100" w:after="0"/>
        <w:rPr>
          <w:rFonts w:ascii="Times New Roman" w:hAnsi="Times New Roman" w:eastAsiaTheme="minorEastAsia"/>
          <w:kern w:val="0"/>
          <w:sz w:val="21"/>
          <w:szCs w:val="21"/>
        </w:rPr>
      </w:pPr>
      <w:bookmarkStart w:id="67" w:name="_Toc331410110"/>
      <w:r w:rsidRPr="0045565B">
        <w:rPr>
          <w:rFonts w:ascii="Times New Roman" w:hAnsi="Times New Roman" w:eastAsiaTheme="minorEastAsia"/>
          <w:kern w:val="0"/>
          <w:sz w:val="21"/>
          <w:szCs w:val="21"/>
        </w:rPr>
        <w:t xml:space="preserve">7.13 </w:t>
      </w:r>
      <w:r w:rsidRPr="0045565B">
        <w:rPr>
          <w:rFonts w:ascii="Times New Roman" w:hAnsi="Times New Roman" w:eastAsiaTheme="minorEastAsia"/>
          <w:kern w:val="0"/>
          <w:sz w:val="21"/>
          <w:szCs w:val="21"/>
        </w:rPr>
        <w:t>投资组合报告附注</w:t>
      </w:r>
      <w:bookmarkEnd w:id="67"/>
    </w:p>
    <w:p w:rsidR="001548F9" w:rsidRPr="0045565B" w:rsidP="00FF3018">
      <w:pPr>
        <w:spacing w:line="360" w:lineRule="auto"/>
        <w:rPr>
          <w:rFonts w:eastAsiaTheme="minorEastAsia"/>
          <w:color w:val="000000"/>
          <w:szCs w:val="21"/>
        </w:rPr>
      </w:pPr>
      <w:r w:rsidRPr="0045565B">
        <w:rPr>
          <w:rFonts w:eastAsiaTheme="minorEastAsia"/>
          <w:color w:val="000000"/>
          <w:szCs w:val="21"/>
        </w:rPr>
        <w:t>7.13.1本基金投资的前十名证券的发行主体本期没有出现被监管部门立案调查，或在报告编制日前一年内受到公开谴责、处罚的情形。</w:t>
      </w:r>
    </w:p>
    <w:p w:rsidR="001548F9" w:rsidRPr="0045565B" w:rsidP="00FF3018">
      <w:pPr>
        <w:spacing w:line="360" w:lineRule="auto"/>
        <w:rPr>
          <w:rFonts w:eastAsiaTheme="minorEastAsia"/>
          <w:color w:val="000000"/>
          <w:szCs w:val="21"/>
        </w:rPr>
      </w:pPr>
      <w:r w:rsidRPr="0045565B">
        <w:rPr>
          <w:rFonts w:eastAsiaTheme="minorEastAsia"/>
          <w:color w:val="000000"/>
          <w:szCs w:val="21"/>
        </w:rPr>
        <w:t>7.13.2报告期内基金投资的前十名股票未超出基金合同规定的备选股票库。</w:t>
      </w:r>
    </w:p>
    <w:p w:rsidR="001548F9" w:rsidRPr="0045565B" w:rsidP="00FF3018">
      <w:pPr>
        <w:spacing w:line="360" w:lineRule="auto"/>
        <w:rPr>
          <w:rFonts w:eastAsiaTheme="minorEastAsia"/>
          <w:b/>
          <w:bCs/>
          <w:color w:val="000000"/>
          <w:szCs w:val="21"/>
        </w:rPr>
      </w:pPr>
      <w:r w:rsidRPr="0045565B">
        <w:rPr>
          <w:rFonts w:eastAsiaTheme="minorEastAsia"/>
          <w:b/>
          <w:color w:val="000000"/>
          <w:szCs w:val="21"/>
        </w:rPr>
        <w:t>7.13.3</w:t>
      </w:r>
      <w:r w:rsidRPr="0045565B">
        <w:rPr>
          <w:rFonts w:eastAsiaTheme="minorEastAsia"/>
          <w:b/>
          <w:bCs/>
          <w:color w:val="000000"/>
          <w:szCs w:val="21"/>
        </w:rPr>
        <w:t>期末其他各项资产构成</w:t>
      </w:r>
    </w:p>
    <w:p w:rsidR="001548F9" w:rsidRPr="0045565B" w:rsidP="008971E9">
      <w:pPr>
        <w:autoSpaceDE w:val="0"/>
        <w:autoSpaceDN w:val="0"/>
        <w:adjustRightInd w:val="0"/>
        <w:spacing w:before="29" w:line="288" w:lineRule="auto"/>
        <w:ind w:left="15"/>
        <w:jc w:val="right"/>
        <w:rPr>
          <w:rFonts w:eastAsiaTheme="minorEastAsia"/>
          <w:color w:val="000000"/>
          <w:kern w:val="0"/>
          <w:szCs w:val="21"/>
        </w:rPr>
      </w:pPr>
      <w:r w:rsidRPr="0045565B">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5"/>
        <w:gridCol w:w="4117"/>
        <w:gridCol w:w="4118"/>
      </w:tblGrid>
      <w:tr w:rsidTr="00BD3790">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765" w:type="dxa"/>
            <w:vAlign w:val="center"/>
          </w:tcPr>
          <w:p w:rsidR="001548F9" w:rsidRPr="0045565B" w:rsidP="00BD3790">
            <w:pPr>
              <w:jc w:val="center"/>
              <w:rPr>
                <w:rFonts w:eastAsiaTheme="minorEastAsia"/>
                <w:color w:val="000000"/>
                <w:szCs w:val="21"/>
              </w:rPr>
            </w:pPr>
            <w:r w:rsidRPr="0045565B">
              <w:rPr>
                <w:rFonts w:eastAsiaTheme="minorEastAsia"/>
                <w:color w:val="000000"/>
                <w:szCs w:val="21"/>
              </w:rPr>
              <w:t>序号</w:t>
            </w:r>
          </w:p>
        </w:tc>
        <w:tc>
          <w:tcPr>
            <w:tcW w:w="4117" w:type="dxa"/>
            <w:vAlign w:val="center"/>
          </w:tcPr>
          <w:p w:rsidR="001548F9" w:rsidRPr="0045565B" w:rsidP="00BD3790">
            <w:pPr>
              <w:jc w:val="center"/>
              <w:rPr>
                <w:rFonts w:eastAsiaTheme="minorEastAsia"/>
                <w:color w:val="000000"/>
                <w:szCs w:val="21"/>
              </w:rPr>
            </w:pPr>
            <w:r w:rsidRPr="0045565B">
              <w:rPr>
                <w:rFonts w:eastAsiaTheme="minorEastAsia"/>
                <w:color w:val="000000"/>
                <w:szCs w:val="21"/>
              </w:rPr>
              <w:t>名称</w:t>
            </w:r>
          </w:p>
        </w:tc>
        <w:tc>
          <w:tcPr>
            <w:tcW w:w="4118" w:type="dxa"/>
            <w:vAlign w:val="center"/>
          </w:tcPr>
          <w:p w:rsidR="001548F9" w:rsidRPr="0045565B" w:rsidP="00BD3790">
            <w:pPr>
              <w:jc w:val="center"/>
              <w:rPr>
                <w:rFonts w:eastAsiaTheme="minorEastAsia"/>
                <w:color w:val="000000"/>
                <w:szCs w:val="21"/>
              </w:rPr>
            </w:pPr>
            <w:r w:rsidRPr="0045565B">
              <w:rPr>
                <w:rFonts w:eastAsiaTheme="minorEastAsia"/>
                <w:color w:val="000000"/>
                <w:szCs w:val="21"/>
              </w:rPr>
              <w:t>金额</w:t>
            </w:r>
          </w:p>
        </w:tc>
      </w:tr>
      <w:tr w:rsidTr="00BD3790">
        <w:tblPrEx>
          <w:tblW w:w="0" w:type="auto"/>
          <w:tblInd w:w="108" w:type="dxa"/>
          <w:tblLayout w:type="fixed"/>
          <w:tblLook w:val="00A0"/>
        </w:tblPrEx>
        <w:tc>
          <w:tcPr>
            <w:tcW w:w="765" w:type="dxa"/>
            <w:vAlign w:val="center"/>
          </w:tcPr>
          <w:p w:rsidR="001548F9" w:rsidRPr="0045565B" w:rsidP="00BD3790">
            <w:pPr>
              <w:jc w:val="center"/>
              <w:rPr>
                <w:rFonts w:eastAsiaTheme="minorEastAsia"/>
                <w:color w:val="000000"/>
                <w:szCs w:val="21"/>
              </w:rPr>
            </w:pPr>
            <w:r w:rsidRPr="0045565B">
              <w:rPr>
                <w:rFonts w:eastAsiaTheme="minorEastAsia"/>
                <w:color w:val="000000"/>
                <w:szCs w:val="21"/>
              </w:rPr>
              <w:t>1</w:t>
            </w:r>
          </w:p>
        </w:tc>
        <w:tc>
          <w:tcPr>
            <w:tcW w:w="4117" w:type="dxa"/>
            <w:vAlign w:val="center"/>
          </w:tcPr>
          <w:p w:rsidR="001548F9" w:rsidRPr="0045565B" w:rsidP="00BD3790">
            <w:pPr>
              <w:ind w:left="105" w:leftChars="50"/>
              <w:rPr>
                <w:rFonts w:eastAsiaTheme="minorEastAsia"/>
                <w:color w:val="000000"/>
                <w:szCs w:val="21"/>
              </w:rPr>
            </w:pPr>
            <w:r w:rsidRPr="0045565B">
              <w:rPr>
                <w:rFonts w:eastAsiaTheme="minorEastAsia"/>
                <w:color w:val="000000"/>
                <w:szCs w:val="21"/>
              </w:rPr>
              <w:t>存出保证金</w:t>
            </w:r>
          </w:p>
        </w:tc>
        <w:tc>
          <w:tcPr>
            <w:tcW w:w="4118" w:type="dxa"/>
            <w:vAlign w:val="center"/>
          </w:tcPr>
          <w:p w:rsidR="001548F9" w:rsidRPr="0045565B" w:rsidP="00BD3790">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11,420.55</w:t>
            </w:r>
          </w:p>
        </w:tc>
      </w:tr>
      <w:tr w:rsidTr="00BD3790">
        <w:tblPrEx>
          <w:tblW w:w="0" w:type="auto"/>
          <w:tblInd w:w="108" w:type="dxa"/>
          <w:tblLayout w:type="fixed"/>
          <w:tblLook w:val="00A0"/>
        </w:tblPrEx>
        <w:tc>
          <w:tcPr>
            <w:tcW w:w="765" w:type="dxa"/>
            <w:vAlign w:val="center"/>
          </w:tcPr>
          <w:p w:rsidR="001548F9" w:rsidRPr="0045565B" w:rsidP="00BD3790">
            <w:pPr>
              <w:jc w:val="center"/>
              <w:rPr>
                <w:rFonts w:eastAsiaTheme="minorEastAsia"/>
                <w:color w:val="000000"/>
                <w:szCs w:val="21"/>
              </w:rPr>
            </w:pPr>
            <w:r w:rsidRPr="0045565B">
              <w:rPr>
                <w:rFonts w:eastAsiaTheme="minorEastAsia"/>
                <w:color w:val="000000"/>
                <w:szCs w:val="21"/>
              </w:rPr>
              <w:t>2</w:t>
            </w:r>
          </w:p>
        </w:tc>
        <w:tc>
          <w:tcPr>
            <w:tcW w:w="4117" w:type="dxa"/>
            <w:vAlign w:val="center"/>
          </w:tcPr>
          <w:p w:rsidR="001548F9" w:rsidRPr="0045565B" w:rsidP="00BD3790">
            <w:pPr>
              <w:ind w:left="105" w:leftChars="50"/>
              <w:rPr>
                <w:rFonts w:eastAsiaTheme="minorEastAsia"/>
                <w:color w:val="000000"/>
                <w:szCs w:val="21"/>
              </w:rPr>
            </w:pPr>
            <w:r w:rsidRPr="0045565B">
              <w:rPr>
                <w:rFonts w:eastAsiaTheme="minorEastAsia"/>
                <w:color w:val="000000"/>
                <w:szCs w:val="21"/>
              </w:rPr>
              <w:t>应收证券清算款</w:t>
            </w:r>
          </w:p>
        </w:tc>
        <w:tc>
          <w:tcPr>
            <w:tcW w:w="4118" w:type="dxa"/>
            <w:vAlign w:val="center"/>
          </w:tcPr>
          <w:p w:rsidR="001548F9" w:rsidRPr="0045565B" w:rsidP="00BD3790">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w:t>
            </w:r>
          </w:p>
        </w:tc>
      </w:tr>
      <w:tr w:rsidTr="00BD3790">
        <w:tblPrEx>
          <w:tblW w:w="0" w:type="auto"/>
          <w:tblInd w:w="108" w:type="dxa"/>
          <w:tblLayout w:type="fixed"/>
          <w:tblLook w:val="00A0"/>
        </w:tblPrEx>
        <w:tc>
          <w:tcPr>
            <w:tcW w:w="765" w:type="dxa"/>
            <w:vAlign w:val="center"/>
          </w:tcPr>
          <w:p w:rsidR="001548F9" w:rsidRPr="0045565B" w:rsidP="00BD3790">
            <w:pPr>
              <w:jc w:val="center"/>
              <w:rPr>
                <w:rFonts w:eastAsiaTheme="minorEastAsia"/>
                <w:color w:val="000000"/>
                <w:szCs w:val="21"/>
              </w:rPr>
            </w:pPr>
            <w:r w:rsidRPr="0045565B">
              <w:rPr>
                <w:rFonts w:eastAsiaTheme="minorEastAsia"/>
                <w:color w:val="000000"/>
                <w:szCs w:val="21"/>
              </w:rPr>
              <w:t>3</w:t>
            </w:r>
          </w:p>
        </w:tc>
        <w:tc>
          <w:tcPr>
            <w:tcW w:w="4117" w:type="dxa"/>
            <w:vAlign w:val="center"/>
          </w:tcPr>
          <w:p w:rsidR="001548F9" w:rsidRPr="0045565B" w:rsidP="00BD3790">
            <w:pPr>
              <w:ind w:left="105" w:leftChars="50"/>
              <w:rPr>
                <w:rFonts w:eastAsiaTheme="minorEastAsia"/>
                <w:color w:val="000000"/>
                <w:szCs w:val="21"/>
              </w:rPr>
            </w:pPr>
            <w:r w:rsidRPr="0045565B">
              <w:rPr>
                <w:rFonts w:eastAsiaTheme="minorEastAsia"/>
                <w:color w:val="000000"/>
                <w:szCs w:val="21"/>
              </w:rPr>
              <w:t>应收股利</w:t>
            </w:r>
          </w:p>
        </w:tc>
        <w:tc>
          <w:tcPr>
            <w:tcW w:w="4118" w:type="dxa"/>
            <w:vAlign w:val="center"/>
          </w:tcPr>
          <w:p w:rsidR="001548F9" w:rsidRPr="0045565B" w:rsidP="00BD3790">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w:t>
            </w:r>
          </w:p>
        </w:tc>
      </w:tr>
      <w:tr w:rsidTr="00BD3790">
        <w:tblPrEx>
          <w:tblW w:w="0" w:type="auto"/>
          <w:tblInd w:w="108" w:type="dxa"/>
          <w:tblLayout w:type="fixed"/>
          <w:tblLook w:val="00A0"/>
        </w:tblPrEx>
        <w:tc>
          <w:tcPr>
            <w:tcW w:w="765" w:type="dxa"/>
            <w:vAlign w:val="center"/>
          </w:tcPr>
          <w:p w:rsidR="001548F9" w:rsidRPr="0045565B" w:rsidP="00BD3790">
            <w:pPr>
              <w:jc w:val="center"/>
              <w:rPr>
                <w:rFonts w:eastAsiaTheme="minorEastAsia"/>
                <w:color w:val="000000"/>
                <w:szCs w:val="21"/>
              </w:rPr>
            </w:pPr>
            <w:r w:rsidRPr="0045565B">
              <w:rPr>
                <w:rFonts w:eastAsiaTheme="minorEastAsia"/>
                <w:color w:val="000000"/>
                <w:szCs w:val="21"/>
              </w:rPr>
              <w:t>4</w:t>
            </w:r>
          </w:p>
        </w:tc>
        <w:tc>
          <w:tcPr>
            <w:tcW w:w="4117" w:type="dxa"/>
            <w:vAlign w:val="center"/>
          </w:tcPr>
          <w:p w:rsidR="001548F9" w:rsidRPr="0045565B" w:rsidP="00BD3790">
            <w:pPr>
              <w:ind w:left="105" w:leftChars="50"/>
              <w:rPr>
                <w:rFonts w:eastAsiaTheme="minorEastAsia"/>
                <w:color w:val="000000"/>
                <w:szCs w:val="21"/>
              </w:rPr>
            </w:pPr>
            <w:r w:rsidRPr="0045565B">
              <w:rPr>
                <w:rFonts w:eastAsiaTheme="minorEastAsia"/>
                <w:color w:val="000000"/>
                <w:szCs w:val="21"/>
              </w:rPr>
              <w:t>应收利息</w:t>
            </w:r>
          </w:p>
        </w:tc>
        <w:tc>
          <w:tcPr>
            <w:tcW w:w="4118" w:type="dxa"/>
            <w:vAlign w:val="center"/>
          </w:tcPr>
          <w:p w:rsidR="001548F9" w:rsidRPr="0045565B" w:rsidP="00BD3790">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465.18</w:t>
            </w:r>
          </w:p>
        </w:tc>
      </w:tr>
      <w:tr w:rsidTr="00BD3790">
        <w:tblPrEx>
          <w:tblW w:w="0" w:type="auto"/>
          <w:tblInd w:w="108" w:type="dxa"/>
          <w:tblLayout w:type="fixed"/>
          <w:tblLook w:val="00A0"/>
        </w:tblPrEx>
        <w:tc>
          <w:tcPr>
            <w:tcW w:w="765" w:type="dxa"/>
            <w:vAlign w:val="center"/>
          </w:tcPr>
          <w:p w:rsidR="001548F9" w:rsidRPr="0045565B" w:rsidP="00BD3790">
            <w:pPr>
              <w:jc w:val="center"/>
              <w:rPr>
                <w:rFonts w:eastAsiaTheme="minorEastAsia"/>
                <w:color w:val="000000"/>
                <w:szCs w:val="21"/>
              </w:rPr>
            </w:pPr>
            <w:r w:rsidRPr="0045565B">
              <w:rPr>
                <w:rFonts w:eastAsiaTheme="minorEastAsia"/>
                <w:color w:val="000000"/>
                <w:szCs w:val="21"/>
              </w:rPr>
              <w:t>5</w:t>
            </w:r>
          </w:p>
        </w:tc>
        <w:tc>
          <w:tcPr>
            <w:tcW w:w="4117" w:type="dxa"/>
            <w:vAlign w:val="center"/>
          </w:tcPr>
          <w:p w:rsidR="001548F9" w:rsidRPr="0045565B" w:rsidP="00BD3790">
            <w:pPr>
              <w:ind w:left="105" w:leftChars="50"/>
              <w:rPr>
                <w:rFonts w:eastAsiaTheme="minorEastAsia"/>
                <w:color w:val="000000"/>
                <w:szCs w:val="21"/>
              </w:rPr>
            </w:pPr>
            <w:r w:rsidRPr="0045565B">
              <w:rPr>
                <w:rFonts w:eastAsiaTheme="minorEastAsia"/>
                <w:color w:val="000000"/>
                <w:szCs w:val="21"/>
              </w:rPr>
              <w:t>应收申购款</w:t>
            </w:r>
          </w:p>
        </w:tc>
        <w:tc>
          <w:tcPr>
            <w:tcW w:w="4118" w:type="dxa"/>
            <w:vAlign w:val="center"/>
          </w:tcPr>
          <w:p w:rsidR="001548F9" w:rsidRPr="0045565B" w:rsidP="00BD3790">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66,794.51</w:t>
            </w:r>
          </w:p>
        </w:tc>
      </w:tr>
      <w:tr w:rsidTr="00BD3790">
        <w:tblPrEx>
          <w:tblW w:w="0" w:type="auto"/>
          <w:tblInd w:w="108" w:type="dxa"/>
          <w:tblLayout w:type="fixed"/>
          <w:tblLook w:val="00A0"/>
        </w:tblPrEx>
        <w:tc>
          <w:tcPr>
            <w:tcW w:w="765" w:type="dxa"/>
            <w:vAlign w:val="center"/>
          </w:tcPr>
          <w:p w:rsidR="001548F9" w:rsidRPr="0045565B" w:rsidP="00BD3790">
            <w:pPr>
              <w:jc w:val="center"/>
              <w:rPr>
                <w:rFonts w:eastAsiaTheme="minorEastAsia"/>
                <w:color w:val="000000"/>
                <w:szCs w:val="21"/>
              </w:rPr>
            </w:pPr>
            <w:r w:rsidRPr="0045565B">
              <w:rPr>
                <w:rFonts w:eastAsiaTheme="minorEastAsia"/>
                <w:color w:val="000000"/>
                <w:szCs w:val="21"/>
              </w:rPr>
              <w:t>6</w:t>
            </w:r>
          </w:p>
        </w:tc>
        <w:tc>
          <w:tcPr>
            <w:tcW w:w="4117" w:type="dxa"/>
            <w:vAlign w:val="center"/>
          </w:tcPr>
          <w:p w:rsidR="001548F9" w:rsidRPr="0045565B" w:rsidP="00BD3790">
            <w:pPr>
              <w:ind w:left="105" w:leftChars="50"/>
              <w:rPr>
                <w:rFonts w:eastAsiaTheme="minorEastAsia"/>
                <w:color w:val="000000"/>
                <w:szCs w:val="21"/>
              </w:rPr>
            </w:pPr>
            <w:r w:rsidRPr="0045565B">
              <w:rPr>
                <w:rFonts w:eastAsiaTheme="minorEastAsia"/>
                <w:color w:val="000000"/>
                <w:szCs w:val="21"/>
              </w:rPr>
              <w:t>其他应收款</w:t>
            </w:r>
          </w:p>
        </w:tc>
        <w:tc>
          <w:tcPr>
            <w:tcW w:w="4118" w:type="dxa"/>
            <w:vAlign w:val="center"/>
          </w:tcPr>
          <w:p w:rsidR="001548F9" w:rsidRPr="0045565B" w:rsidP="00BD3790">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w:t>
            </w:r>
          </w:p>
        </w:tc>
      </w:tr>
      <w:tr w:rsidTr="00BD3790">
        <w:tblPrEx>
          <w:tblW w:w="0" w:type="auto"/>
          <w:tblInd w:w="108" w:type="dxa"/>
          <w:tblLayout w:type="fixed"/>
          <w:tblLook w:val="00A0"/>
        </w:tblPrEx>
        <w:tc>
          <w:tcPr>
            <w:tcW w:w="765" w:type="dxa"/>
            <w:vAlign w:val="center"/>
          </w:tcPr>
          <w:p w:rsidR="001548F9" w:rsidRPr="0045565B" w:rsidP="00BD3790">
            <w:pPr>
              <w:jc w:val="center"/>
              <w:rPr>
                <w:rFonts w:eastAsiaTheme="minorEastAsia"/>
                <w:color w:val="000000"/>
                <w:szCs w:val="21"/>
              </w:rPr>
            </w:pPr>
            <w:r w:rsidRPr="0045565B">
              <w:rPr>
                <w:rFonts w:eastAsiaTheme="minorEastAsia"/>
                <w:color w:val="000000"/>
                <w:szCs w:val="21"/>
              </w:rPr>
              <w:t>7</w:t>
            </w:r>
          </w:p>
        </w:tc>
        <w:tc>
          <w:tcPr>
            <w:tcW w:w="4117" w:type="dxa"/>
            <w:vAlign w:val="center"/>
          </w:tcPr>
          <w:p w:rsidR="001548F9" w:rsidRPr="0045565B" w:rsidP="00BD3790">
            <w:pPr>
              <w:ind w:left="105" w:leftChars="50"/>
              <w:rPr>
                <w:rFonts w:eastAsiaTheme="minorEastAsia"/>
                <w:color w:val="000000"/>
                <w:szCs w:val="21"/>
              </w:rPr>
            </w:pPr>
            <w:r w:rsidRPr="0045565B">
              <w:rPr>
                <w:rFonts w:eastAsiaTheme="minorEastAsia"/>
                <w:color w:val="000000"/>
                <w:szCs w:val="21"/>
              </w:rPr>
              <w:t>待摊费用</w:t>
            </w:r>
          </w:p>
        </w:tc>
        <w:tc>
          <w:tcPr>
            <w:tcW w:w="4118" w:type="dxa"/>
            <w:vAlign w:val="center"/>
          </w:tcPr>
          <w:p w:rsidR="001548F9" w:rsidRPr="0045565B" w:rsidP="00BD3790">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w:t>
            </w:r>
          </w:p>
        </w:tc>
      </w:tr>
      <w:tr w:rsidTr="00BD3790">
        <w:tblPrEx>
          <w:tblW w:w="0" w:type="auto"/>
          <w:tblInd w:w="108" w:type="dxa"/>
          <w:tblLayout w:type="fixed"/>
          <w:tblLook w:val="00A0"/>
        </w:tblPrEx>
        <w:tc>
          <w:tcPr>
            <w:tcW w:w="765" w:type="dxa"/>
            <w:vAlign w:val="center"/>
          </w:tcPr>
          <w:p w:rsidR="001548F9" w:rsidRPr="0045565B" w:rsidP="00BD3790">
            <w:pPr>
              <w:autoSpaceDE w:val="0"/>
              <w:autoSpaceDN w:val="0"/>
              <w:adjustRightInd w:val="0"/>
              <w:spacing w:before="29" w:line="360" w:lineRule="auto"/>
              <w:ind w:left="15"/>
              <w:jc w:val="center"/>
              <w:rPr>
                <w:rFonts w:eastAsiaTheme="minorEastAsia"/>
                <w:color w:val="000000"/>
                <w:szCs w:val="21"/>
              </w:rPr>
            </w:pPr>
            <w:r w:rsidRPr="0045565B">
              <w:rPr>
                <w:rFonts w:eastAsiaTheme="minorEastAsia"/>
                <w:color w:val="000000"/>
                <w:szCs w:val="21"/>
              </w:rPr>
              <w:t>8</w:t>
            </w:r>
          </w:p>
        </w:tc>
        <w:tc>
          <w:tcPr>
            <w:tcW w:w="4117" w:type="dxa"/>
            <w:vAlign w:val="center"/>
          </w:tcPr>
          <w:p w:rsidR="001548F9" w:rsidRPr="0045565B" w:rsidP="00BD3790">
            <w:pPr>
              <w:ind w:left="105" w:leftChars="50"/>
              <w:rPr>
                <w:rFonts w:eastAsiaTheme="minorEastAsia"/>
                <w:color w:val="000000"/>
                <w:szCs w:val="21"/>
              </w:rPr>
            </w:pPr>
            <w:r w:rsidRPr="0045565B">
              <w:rPr>
                <w:rFonts w:eastAsiaTheme="minorEastAsia"/>
                <w:color w:val="000000"/>
                <w:szCs w:val="21"/>
              </w:rPr>
              <w:t>其他</w:t>
            </w:r>
          </w:p>
        </w:tc>
        <w:tc>
          <w:tcPr>
            <w:tcW w:w="4118" w:type="dxa"/>
            <w:vAlign w:val="center"/>
          </w:tcPr>
          <w:p w:rsidR="001548F9" w:rsidRPr="0045565B" w:rsidP="00BD3790">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w:t>
            </w:r>
          </w:p>
        </w:tc>
      </w:tr>
      <w:tr w:rsidTr="00BD3790">
        <w:tblPrEx>
          <w:tblW w:w="0" w:type="auto"/>
          <w:tblInd w:w="108" w:type="dxa"/>
          <w:tblLayout w:type="fixed"/>
          <w:tblLook w:val="00A0"/>
        </w:tblPrEx>
        <w:tc>
          <w:tcPr>
            <w:tcW w:w="765" w:type="dxa"/>
            <w:vAlign w:val="center"/>
          </w:tcPr>
          <w:p w:rsidR="001548F9" w:rsidRPr="0045565B" w:rsidP="00BD3790">
            <w:pPr>
              <w:autoSpaceDE w:val="0"/>
              <w:autoSpaceDN w:val="0"/>
              <w:adjustRightInd w:val="0"/>
              <w:spacing w:before="29" w:line="360" w:lineRule="auto"/>
              <w:ind w:left="15"/>
              <w:jc w:val="center"/>
              <w:rPr>
                <w:rFonts w:eastAsiaTheme="minorEastAsia"/>
                <w:color w:val="000000"/>
                <w:szCs w:val="21"/>
              </w:rPr>
            </w:pPr>
            <w:r w:rsidRPr="0045565B">
              <w:rPr>
                <w:rFonts w:eastAsiaTheme="minorEastAsia"/>
                <w:color w:val="000000"/>
                <w:szCs w:val="21"/>
              </w:rPr>
              <w:t>9</w:t>
            </w:r>
          </w:p>
        </w:tc>
        <w:tc>
          <w:tcPr>
            <w:tcW w:w="4117" w:type="dxa"/>
            <w:vAlign w:val="center"/>
          </w:tcPr>
          <w:p w:rsidR="001548F9" w:rsidRPr="0045565B" w:rsidP="00BD3790">
            <w:pPr>
              <w:ind w:left="105" w:leftChars="50"/>
              <w:rPr>
                <w:rFonts w:eastAsiaTheme="minorEastAsia"/>
                <w:color w:val="000000"/>
                <w:szCs w:val="21"/>
              </w:rPr>
            </w:pPr>
            <w:r w:rsidRPr="0045565B">
              <w:rPr>
                <w:rFonts w:eastAsiaTheme="minorEastAsia"/>
                <w:color w:val="000000"/>
                <w:szCs w:val="21"/>
              </w:rPr>
              <w:t>合计</w:t>
            </w:r>
          </w:p>
        </w:tc>
        <w:tc>
          <w:tcPr>
            <w:tcW w:w="4118" w:type="dxa"/>
            <w:vAlign w:val="center"/>
          </w:tcPr>
          <w:p w:rsidR="001548F9" w:rsidRPr="0045565B" w:rsidP="00BD3790">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78,680.24</w:t>
            </w:r>
          </w:p>
        </w:tc>
      </w:tr>
    </w:tbl>
    <w:p w:rsidR="001548F9" w:rsidRPr="0045565B" w:rsidP="006A2FD2">
      <w:pPr>
        <w:spacing w:before="312" w:beforeLines="100" w:line="360" w:lineRule="auto"/>
        <w:rPr>
          <w:rFonts w:eastAsiaTheme="minorEastAsia"/>
          <w:b/>
          <w:bCs/>
          <w:color w:val="000000"/>
          <w:szCs w:val="21"/>
        </w:rPr>
      </w:pPr>
      <w:r w:rsidRPr="0045565B">
        <w:rPr>
          <w:rFonts w:eastAsiaTheme="minorEastAsia"/>
          <w:b/>
          <w:color w:val="000000"/>
          <w:szCs w:val="21"/>
        </w:rPr>
        <w:t>7.13.4</w:t>
      </w:r>
      <w:r w:rsidRPr="0045565B">
        <w:rPr>
          <w:rFonts w:eastAsiaTheme="minorEastAsia"/>
          <w:b/>
          <w:bCs/>
          <w:color w:val="000000"/>
          <w:szCs w:val="21"/>
        </w:rPr>
        <w:t>期末持有的处于转股期的可转换债券明细</w:t>
      </w:r>
    </w:p>
    <w:p w:rsidR="001548F9" w:rsidRPr="006A2FD2" w:rsidP="006A2FD2">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本基金本报告期末未持有处于转股期的可转换债券。</w:t>
      </w:r>
    </w:p>
    <w:p w:rsidR="001548F9" w:rsidRPr="0045565B" w:rsidP="006A2FD2">
      <w:pPr>
        <w:spacing w:before="312" w:beforeLines="100" w:line="360" w:lineRule="auto"/>
        <w:rPr>
          <w:rFonts w:eastAsiaTheme="minorEastAsia"/>
          <w:b/>
          <w:bCs/>
          <w:color w:val="000000"/>
          <w:szCs w:val="21"/>
        </w:rPr>
      </w:pPr>
      <w:r w:rsidRPr="0045565B">
        <w:rPr>
          <w:rFonts w:eastAsiaTheme="minorEastAsia"/>
          <w:b/>
          <w:color w:val="000000"/>
          <w:szCs w:val="21"/>
        </w:rPr>
        <w:t xml:space="preserve">7.13.5 </w:t>
      </w:r>
      <w:r w:rsidRPr="0045565B">
        <w:rPr>
          <w:rFonts w:eastAsiaTheme="minorEastAsia"/>
          <w:b/>
          <w:bCs/>
          <w:color w:val="000000"/>
          <w:szCs w:val="21"/>
        </w:rPr>
        <w:t>期末前十名股票中存在流通受限情况的说明</w:t>
      </w:r>
    </w:p>
    <w:p w:rsidR="001548F9" w:rsidRPr="0045565B" w:rsidP="006A2FD2">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本基金本报告期末前十名股票中不存在流通受限情况。</w:t>
      </w:r>
    </w:p>
    <w:p w:rsidR="001548F9" w:rsidRPr="0045565B" w:rsidP="006A2FD2">
      <w:pPr>
        <w:spacing w:before="312" w:beforeLines="100" w:line="360" w:lineRule="auto"/>
        <w:rPr>
          <w:rFonts w:eastAsiaTheme="minorEastAsia"/>
          <w:b/>
          <w:color w:val="000000"/>
          <w:szCs w:val="21"/>
        </w:rPr>
      </w:pPr>
      <w:r w:rsidRPr="0045565B">
        <w:rPr>
          <w:rFonts w:eastAsiaTheme="minorEastAsia"/>
          <w:b/>
          <w:color w:val="000000"/>
          <w:szCs w:val="21"/>
        </w:rPr>
        <w:t xml:space="preserve">7.13.6 </w:t>
      </w:r>
      <w:r w:rsidRPr="0045565B">
        <w:rPr>
          <w:rFonts w:eastAsiaTheme="minorEastAsia"/>
          <w:b/>
          <w:color w:val="000000"/>
          <w:szCs w:val="21"/>
        </w:rPr>
        <w:t>投资组合报告附注的其他文字描述部分</w:t>
      </w:r>
    </w:p>
    <w:p w:rsidR="001548F9" w:rsidRPr="0045565B" w:rsidP="00FF3018">
      <w:pPr>
        <w:spacing w:line="360" w:lineRule="auto"/>
        <w:ind w:firstLine="420" w:firstLineChars="200"/>
        <w:rPr>
          <w:rFonts w:eastAsiaTheme="minorEastAsia"/>
          <w:color w:val="000000"/>
          <w:szCs w:val="21"/>
        </w:rPr>
      </w:pPr>
      <w:r w:rsidRPr="0045565B">
        <w:rPr>
          <w:rFonts w:eastAsiaTheme="minorEastAsia"/>
          <w:color w:val="000000"/>
          <w:szCs w:val="21"/>
        </w:rPr>
        <w:t>由于四舍五入的原因，分项之和与合计项之间可能存在尾差。</w:t>
      </w:r>
    </w:p>
    <w:p w:rsidR="001548F9" w:rsidRPr="0045565B" w:rsidP="0025572E">
      <w:pPr>
        <w:pStyle w:val="Heading1"/>
        <w:keepNext/>
        <w:keepLines/>
        <w:widowControl w:val="0"/>
        <w:spacing w:before="312" w:beforeLines="100" w:after="312" w:afterLines="100" w:line="360" w:lineRule="auto"/>
        <w:jc w:val="center"/>
        <w:rPr>
          <w:rFonts w:eastAsiaTheme="minorEastAsia"/>
          <w:b/>
          <w:bCs/>
          <w:sz w:val="21"/>
          <w:szCs w:val="21"/>
          <w:lang w:val="en-US"/>
        </w:rPr>
      </w:pPr>
      <w:bookmarkStart w:id="68" w:name="_Toc331410111"/>
      <w:bookmarkStart w:id="69" w:name="_Toc225500050"/>
      <w:r w:rsidRPr="0045565B">
        <w:rPr>
          <w:rFonts w:eastAsiaTheme="minorEastAsia"/>
          <w:b/>
          <w:bCs/>
          <w:sz w:val="21"/>
          <w:szCs w:val="21"/>
          <w:lang w:val="en-US"/>
        </w:rPr>
        <w:t xml:space="preserve">8  </w:t>
      </w:r>
      <w:r w:rsidRPr="0045565B">
        <w:rPr>
          <w:rFonts w:eastAsiaTheme="minorEastAsia"/>
          <w:b/>
          <w:bCs/>
          <w:sz w:val="21"/>
          <w:szCs w:val="21"/>
          <w:lang w:val="en-US"/>
        </w:rPr>
        <w:t>基金份额持有人信息</w:t>
      </w:r>
      <w:bookmarkEnd w:id="68"/>
      <w:bookmarkEnd w:id="69"/>
    </w:p>
    <w:p w:rsidR="001548F9" w:rsidRPr="0045565B" w:rsidP="00FF3018">
      <w:pPr>
        <w:pStyle w:val="Heading2"/>
        <w:spacing w:before="0" w:after="0"/>
        <w:rPr>
          <w:rFonts w:ascii="Times New Roman" w:hAnsi="Times New Roman" w:eastAsiaTheme="minorEastAsia"/>
          <w:kern w:val="0"/>
          <w:sz w:val="21"/>
          <w:szCs w:val="21"/>
        </w:rPr>
      </w:pPr>
      <w:bookmarkStart w:id="70" w:name="_Toc331410112"/>
      <w:bookmarkStart w:id="71" w:name="_Toc225500051"/>
      <w:r w:rsidRPr="0045565B">
        <w:rPr>
          <w:rFonts w:ascii="Times New Roman" w:hAnsi="Times New Roman" w:eastAsiaTheme="minorEastAsia"/>
          <w:kern w:val="0"/>
          <w:sz w:val="21"/>
          <w:szCs w:val="21"/>
        </w:rPr>
        <w:t xml:space="preserve">8.1 </w:t>
      </w:r>
      <w:r w:rsidRPr="0045565B">
        <w:rPr>
          <w:rFonts w:ascii="Times New Roman" w:hAnsi="Times New Roman" w:eastAsiaTheme="minorEastAsia"/>
          <w:kern w:val="0"/>
          <w:sz w:val="21"/>
          <w:szCs w:val="21"/>
        </w:rPr>
        <w:t>期末基金份额持有人户数及持有人结构</w:t>
      </w:r>
      <w:bookmarkEnd w:id="70"/>
      <w:bookmarkEnd w:id="71"/>
    </w:p>
    <w:p w:rsidR="00EF53E0" w:rsidRPr="0045565B" w:rsidP="00EF53E0">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份额单位：份</w:t>
      </w:r>
    </w:p>
    <w:p w:rsidR="00EF53E0" w:rsidRPr="0045565B" w:rsidP="00EF53E0">
      <w:pPr>
        <w:autoSpaceDE w:val="0"/>
        <w:autoSpaceDN w:val="0"/>
        <w:adjustRightInd w:val="0"/>
        <w:spacing w:line="360" w:lineRule="auto"/>
        <w:jc w:val="left"/>
        <w:rPr>
          <w:rFonts w:eastAsiaTheme="minorEastAsia"/>
          <w:color w:val="000000"/>
          <w:szCs w:val="21"/>
        </w:rPr>
      </w:pPr>
    </w:p>
    <w:tbl>
      <w:tblPr>
        <w:tblW w:w="0" w:type="auto"/>
        <w:tblInd w:w="108" w:type="dxa"/>
        <w:tblLook w:val="00A0"/>
      </w:tblPr>
      <w:tblGrid>
        <w:gridCol w:w="1627"/>
        <w:gridCol w:w="1196"/>
        <w:gridCol w:w="1295"/>
        <w:gridCol w:w="1096"/>
        <w:gridCol w:w="1421"/>
        <w:gridCol w:w="1109"/>
        <w:gridCol w:w="1434"/>
      </w:tblGrid>
      <w:tr w:rsidTr="006A2FD2">
        <w:tblPrEx>
          <w:tblW w:w="0" w:type="auto"/>
          <w:tblInd w:w="108" w:type="dxa"/>
          <w:tblLook w:val="00A0"/>
        </w:tblPrEx>
        <w:tc>
          <w:tcPr>
            <w:tcW w:w="964" w:type="pct"/>
            <w:vMerge w:val="restart"/>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center"/>
              <w:rPr>
                <w:rFonts w:eastAsiaTheme="minorEastAsia"/>
                <w:bCs/>
                <w:color w:val="000000"/>
                <w:szCs w:val="21"/>
              </w:rPr>
            </w:pPr>
            <w:r w:rsidRPr="0045565B">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center"/>
              <w:rPr>
                <w:rFonts w:eastAsiaTheme="minorEastAsia"/>
                <w:bCs/>
                <w:color w:val="000000"/>
                <w:szCs w:val="21"/>
              </w:rPr>
            </w:pPr>
            <w:r w:rsidRPr="0045565B">
              <w:rPr>
                <w:rFonts w:eastAsiaTheme="minorEastAsia"/>
                <w:bCs/>
                <w:color w:val="000000"/>
                <w:szCs w:val="21"/>
              </w:rPr>
              <w:t>持有人户数</w:t>
            </w:r>
            <w:r w:rsidRPr="0045565B">
              <w:rPr>
                <w:rFonts w:eastAsiaTheme="minorEastAsia"/>
                <w:bCs/>
                <w:color w:val="000000"/>
                <w:szCs w:val="21"/>
              </w:rPr>
              <w:t>(</w:t>
            </w:r>
            <w:r w:rsidRPr="0045565B">
              <w:rPr>
                <w:rFonts w:eastAsiaTheme="minorEastAsia"/>
                <w:bCs/>
                <w:color w:val="000000"/>
                <w:szCs w:val="21"/>
              </w:rPr>
              <w:t>户</w:t>
            </w:r>
            <w:r w:rsidRPr="0045565B">
              <w:rPr>
                <w:rFonts w:eastAsiaTheme="minorEastAsia"/>
                <w:bCs/>
                <w:color w:val="000000"/>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center"/>
              <w:rPr>
                <w:rFonts w:eastAsiaTheme="minorEastAsia"/>
                <w:bCs/>
                <w:color w:val="000000"/>
                <w:szCs w:val="21"/>
              </w:rPr>
            </w:pPr>
            <w:r w:rsidRPr="0045565B">
              <w:rPr>
                <w:rFonts w:eastAsiaTheme="minorEastAsia"/>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hideMark/>
          </w:tcPr>
          <w:p w:rsidR="00EF53E0" w:rsidRPr="0045565B" w:rsidP="00131110">
            <w:pPr>
              <w:spacing w:line="360" w:lineRule="auto"/>
              <w:jc w:val="center"/>
              <w:rPr>
                <w:rFonts w:eastAsiaTheme="minorEastAsia"/>
                <w:bCs/>
                <w:color w:val="000000"/>
                <w:szCs w:val="21"/>
              </w:rPr>
            </w:pPr>
            <w:r w:rsidRPr="0045565B">
              <w:rPr>
                <w:rFonts w:eastAsiaTheme="minorEastAsia"/>
                <w:bCs/>
                <w:color w:val="000000"/>
                <w:szCs w:val="21"/>
              </w:rPr>
              <w:t>持有人结构</w:t>
            </w:r>
          </w:p>
        </w:tc>
      </w:tr>
      <w:tr w:rsidTr="006A2FD2">
        <w:tblPrEx>
          <w:tblW w:w="0" w:type="auto"/>
          <w:tblInd w:w="108" w:type="dxa"/>
          <w:tblLook w:val="00A0"/>
        </w:tblPrEx>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widowControl/>
              <w:jc w:val="center"/>
              <w:rPr>
                <w:rFonts w:eastAsiaTheme="minorEastAsia"/>
                <w:bCs/>
                <w:color w:val="00000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widowControl/>
              <w:jc w:val="center"/>
              <w:rPr>
                <w:rFonts w:eastAsiaTheme="minorEastAsia"/>
                <w:bCs/>
                <w:color w:val="00000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widowControl/>
              <w:jc w:val="center"/>
              <w:rPr>
                <w:rFonts w:eastAsiaTheme="minorEastAsia"/>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center"/>
              <w:rPr>
                <w:rFonts w:eastAsiaTheme="minorEastAsia"/>
                <w:bCs/>
                <w:color w:val="000000"/>
                <w:szCs w:val="21"/>
              </w:rPr>
            </w:pPr>
            <w:r w:rsidRPr="0045565B">
              <w:rPr>
                <w:rFonts w:eastAsiaTheme="minorEastAsia"/>
                <w:bCs/>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center"/>
              <w:rPr>
                <w:rFonts w:eastAsiaTheme="minorEastAsia"/>
                <w:bCs/>
                <w:color w:val="000000"/>
                <w:szCs w:val="21"/>
              </w:rPr>
            </w:pPr>
            <w:r w:rsidRPr="0045565B">
              <w:rPr>
                <w:rFonts w:eastAsiaTheme="minorEastAsia"/>
                <w:bCs/>
                <w:color w:val="000000"/>
                <w:szCs w:val="21"/>
              </w:rPr>
              <w:t>个人投资者</w:t>
            </w:r>
          </w:p>
        </w:tc>
      </w:tr>
      <w:tr w:rsidTr="006A2FD2">
        <w:tblPrEx>
          <w:tblW w:w="0" w:type="auto"/>
          <w:tblInd w:w="108" w:type="dxa"/>
          <w:tblLook w:val="00A0"/>
        </w:tblPrEx>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widowControl/>
              <w:jc w:val="center"/>
              <w:rPr>
                <w:rFonts w:eastAsiaTheme="minorEastAsia"/>
                <w:bCs/>
                <w:color w:val="00000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widowControl/>
              <w:jc w:val="center"/>
              <w:rPr>
                <w:rFonts w:eastAsiaTheme="minorEastAsia"/>
                <w:bCs/>
                <w:color w:val="00000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widowControl/>
              <w:jc w:val="center"/>
              <w:rPr>
                <w:rFonts w:eastAsiaTheme="minorEastAsia"/>
                <w:bCs/>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center"/>
              <w:rPr>
                <w:rFonts w:eastAsiaTheme="minorEastAsia"/>
                <w:bCs/>
                <w:color w:val="000000"/>
                <w:szCs w:val="21"/>
              </w:rPr>
            </w:pPr>
            <w:r w:rsidRPr="0045565B">
              <w:rPr>
                <w:rFonts w:eastAsiaTheme="minorEastAsia"/>
                <w:bCs/>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center"/>
              <w:rPr>
                <w:rFonts w:eastAsiaTheme="minorEastAsia"/>
                <w:bCs/>
                <w:color w:val="000000"/>
                <w:szCs w:val="21"/>
              </w:rPr>
            </w:pPr>
            <w:r w:rsidRPr="0045565B">
              <w:rPr>
                <w:rFonts w:eastAsiaTheme="minorEastAsia"/>
                <w:bCs/>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center"/>
              <w:rPr>
                <w:rFonts w:eastAsiaTheme="minorEastAsia"/>
                <w:bCs/>
                <w:color w:val="000000"/>
                <w:szCs w:val="21"/>
              </w:rPr>
            </w:pPr>
            <w:r w:rsidRPr="0045565B">
              <w:rPr>
                <w:rFonts w:eastAsiaTheme="minorEastAsia"/>
                <w:bCs/>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EF53E0" w:rsidRPr="0045565B" w:rsidP="00131110">
            <w:pPr>
              <w:spacing w:line="360" w:lineRule="auto"/>
              <w:jc w:val="center"/>
              <w:rPr>
                <w:rFonts w:eastAsiaTheme="minorEastAsia"/>
                <w:bCs/>
                <w:color w:val="000000"/>
                <w:szCs w:val="21"/>
              </w:rPr>
            </w:pPr>
            <w:r w:rsidRPr="0045565B">
              <w:rPr>
                <w:rFonts w:eastAsiaTheme="minorEastAsia"/>
                <w:bCs/>
                <w:color w:val="000000"/>
                <w:szCs w:val="21"/>
              </w:rPr>
              <w:t>占总份额比例</w:t>
            </w:r>
          </w:p>
        </w:tc>
      </w:tr>
      <w:tr w:rsidTr="006A2FD2">
        <w:tblPrEx>
          <w:tblW w:w="0" w:type="auto"/>
          <w:tblInd w:w="108" w:type="dxa"/>
          <w:tblLook w:val="00A0"/>
        </w:tblPrEx>
        <w:tc>
          <w:tcPr>
            <w:tcW w:w="964" w:type="pct"/>
            <w:tcBorders>
              <w:top w:val="nil"/>
              <w:left w:val="single" w:sz="8" w:space="0" w:color="000000"/>
              <w:bottom w:val="single" w:sz="8" w:space="0" w:color="000000"/>
              <w:right w:val="single" w:sz="8" w:space="0" w:color="000000"/>
            </w:tcBorders>
            <w:vAlign w:val="center"/>
            <w:hideMark/>
          </w:tcPr>
          <w:p w:rsidR="00EF53E0" w:rsidRPr="0045565B" w:rsidP="00131110">
            <w:pPr>
              <w:widowControl/>
              <w:spacing w:line="360" w:lineRule="auto"/>
              <w:jc w:val="center"/>
              <w:rPr>
                <w:rFonts w:eastAsiaTheme="minorEastAsia"/>
                <w:bCs/>
                <w:color w:val="000000"/>
                <w:szCs w:val="21"/>
              </w:rPr>
            </w:pPr>
            <w:r w:rsidRPr="0045565B">
              <w:rPr>
                <w:rFonts w:eastAsiaTheme="minorEastAsia"/>
                <w:bCs/>
                <w:color w:val="000000"/>
                <w:szCs w:val="21"/>
              </w:rPr>
              <w:t>金鹰医疗健康股票A</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right"/>
              <w:rPr>
                <w:rFonts w:eastAsiaTheme="minorEastAsia"/>
                <w:bCs/>
                <w:color w:val="000000"/>
                <w:szCs w:val="21"/>
              </w:rPr>
            </w:pPr>
            <w:r w:rsidRPr="0045565B">
              <w:rPr>
                <w:rFonts w:eastAsiaTheme="minorEastAsia"/>
                <w:bCs/>
                <w:color w:val="000000"/>
                <w:szCs w:val="21"/>
              </w:rPr>
              <w:t>1,797</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right"/>
              <w:rPr>
                <w:rFonts w:eastAsiaTheme="minorEastAsia"/>
                <w:bCs/>
                <w:color w:val="000000"/>
                <w:szCs w:val="21"/>
              </w:rPr>
            </w:pPr>
            <w:r w:rsidRPr="0045565B">
              <w:rPr>
                <w:rFonts w:eastAsiaTheme="minorEastAsia"/>
                <w:bCs/>
                <w:color w:val="000000"/>
                <w:szCs w:val="21"/>
              </w:rPr>
              <w:t>3,725.53</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right"/>
              <w:rPr>
                <w:rFonts w:eastAsiaTheme="minorEastAsia"/>
                <w:bCs/>
                <w:color w:val="000000"/>
                <w:szCs w:val="21"/>
              </w:rPr>
            </w:pPr>
            <w:r w:rsidRPr="0045565B">
              <w:rPr>
                <w:rFonts w:eastAsiaTheme="minorEastAsia"/>
                <w:bCs/>
                <w:color w:val="000000"/>
                <w:szCs w:val="21"/>
              </w:rPr>
              <w:t>0.00</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right"/>
              <w:rPr>
                <w:rFonts w:eastAsiaTheme="minorEastAsia"/>
                <w:bCs/>
                <w:color w:val="000000"/>
                <w:szCs w:val="21"/>
              </w:rPr>
            </w:pPr>
            <w:r w:rsidRPr="0045565B">
              <w:rPr>
                <w:rFonts w:eastAsiaTheme="minorEastAsia"/>
                <w:bCs/>
                <w:color w:val="000000"/>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right"/>
              <w:rPr>
                <w:rFonts w:eastAsiaTheme="minorEastAsia"/>
                <w:bCs/>
                <w:color w:val="000000"/>
                <w:szCs w:val="21"/>
              </w:rPr>
            </w:pPr>
            <w:r w:rsidRPr="0045565B">
              <w:rPr>
                <w:rFonts w:eastAsiaTheme="minorEastAsia"/>
                <w:bCs/>
                <w:color w:val="000000"/>
                <w:szCs w:val="21"/>
              </w:rPr>
              <w:t>6,694,772.77</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EF53E0" w:rsidRPr="0045565B" w:rsidP="00131110">
            <w:pPr>
              <w:spacing w:line="360" w:lineRule="auto"/>
              <w:jc w:val="right"/>
              <w:rPr>
                <w:rFonts w:eastAsiaTheme="minorEastAsia"/>
                <w:bCs/>
                <w:color w:val="000000"/>
                <w:szCs w:val="21"/>
              </w:rPr>
            </w:pPr>
            <w:r w:rsidRPr="0045565B">
              <w:rPr>
                <w:rFonts w:eastAsiaTheme="minorEastAsia"/>
                <w:bCs/>
                <w:color w:val="000000"/>
                <w:szCs w:val="21"/>
              </w:rPr>
              <w:t>100.00%</w:t>
            </w:r>
          </w:p>
        </w:tc>
      </w:tr>
      <w:tr w:rsidTr="006A2FD2">
        <w:tblPrEx>
          <w:tblW w:w="0" w:type="auto"/>
          <w:tblInd w:w="108" w:type="dxa"/>
          <w:tblLook w:val="00A0"/>
        </w:tblPrEx>
        <w:tc>
          <w:tcPr>
            <w:tcW w:w="964" w:type="pct"/>
            <w:tcBorders>
              <w:top w:val="nil"/>
              <w:left w:val="single" w:sz="8" w:space="0" w:color="000000"/>
              <w:bottom w:val="single" w:sz="8" w:space="0" w:color="000000"/>
              <w:right w:val="single" w:sz="8" w:space="0" w:color="000000"/>
            </w:tcBorders>
            <w:vAlign w:val="center"/>
            <w:hideMark/>
          </w:tcPr>
          <w:p w:rsidR="00EF53E0" w:rsidRPr="0045565B" w:rsidP="00131110">
            <w:pPr>
              <w:widowControl/>
              <w:spacing w:line="360" w:lineRule="auto"/>
              <w:jc w:val="center"/>
              <w:rPr>
                <w:rFonts w:eastAsiaTheme="minorEastAsia"/>
                <w:bCs/>
                <w:color w:val="000000"/>
                <w:szCs w:val="21"/>
              </w:rPr>
            </w:pPr>
            <w:r w:rsidRPr="0045565B">
              <w:rPr>
                <w:rFonts w:eastAsiaTheme="minorEastAsia"/>
                <w:bCs/>
                <w:color w:val="000000"/>
                <w:szCs w:val="21"/>
              </w:rPr>
              <w:t>金鹰医疗健康股票C</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right"/>
              <w:rPr>
                <w:rFonts w:eastAsiaTheme="minorEastAsia"/>
                <w:bCs/>
                <w:color w:val="000000"/>
                <w:szCs w:val="21"/>
              </w:rPr>
            </w:pPr>
            <w:r w:rsidRPr="0045565B">
              <w:rPr>
                <w:rFonts w:eastAsiaTheme="minorEastAsia"/>
                <w:bCs/>
                <w:color w:val="000000"/>
                <w:szCs w:val="21"/>
              </w:rPr>
              <w:t>2,504</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right"/>
              <w:rPr>
                <w:rFonts w:eastAsiaTheme="minorEastAsia"/>
                <w:bCs/>
                <w:color w:val="000000"/>
                <w:szCs w:val="21"/>
              </w:rPr>
            </w:pPr>
            <w:r w:rsidRPr="0045565B">
              <w:rPr>
                <w:rFonts w:eastAsiaTheme="minorEastAsia"/>
                <w:bCs/>
                <w:color w:val="000000"/>
                <w:szCs w:val="21"/>
              </w:rPr>
              <w:t>3,043.20</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right"/>
              <w:rPr>
                <w:rFonts w:eastAsiaTheme="minorEastAsia"/>
                <w:bCs/>
                <w:color w:val="000000"/>
                <w:szCs w:val="21"/>
              </w:rPr>
            </w:pPr>
            <w:r w:rsidRPr="0045565B">
              <w:rPr>
                <w:rFonts w:eastAsiaTheme="minorEastAsia"/>
                <w:bCs/>
                <w:color w:val="000000"/>
                <w:szCs w:val="21"/>
              </w:rPr>
              <w:t>0.00</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right"/>
              <w:rPr>
                <w:rFonts w:eastAsiaTheme="minorEastAsia"/>
                <w:bCs/>
                <w:color w:val="000000"/>
                <w:szCs w:val="21"/>
              </w:rPr>
            </w:pPr>
            <w:r w:rsidRPr="0045565B">
              <w:rPr>
                <w:rFonts w:eastAsiaTheme="minorEastAsia"/>
                <w:bCs/>
                <w:color w:val="000000"/>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right"/>
              <w:rPr>
                <w:rFonts w:eastAsiaTheme="minorEastAsia"/>
                <w:bCs/>
                <w:color w:val="000000"/>
                <w:szCs w:val="21"/>
              </w:rPr>
            </w:pPr>
            <w:r w:rsidRPr="0045565B">
              <w:rPr>
                <w:rFonts w:eastAsiaTheme="minorEastAsia"/>
                <w:bCs/>
                <w:color w:val="000000"/>
                <w:szCs w:val="21"/>
              </w:rPr>
              <w:t>7,620,166.96</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EF53E0" w:rsidRPr="0045565B" w:rsidP="00131110">
            <w:pPr>
              <w:spacing w:line="360" w:lineRule="auto"/>
              <w:jc w:val="right"/>
              <w:rPr>
                <w:rFonts w:eastAsiaTheme="minorEastAsia"/>
                <w:bCs/>
                <w:color w:val="000000"/>
                <w:szCs w:val="21"/>
              </w:rPr>
            </w:pPr>
            <w:r w:rsidRPr="0045565B">
              <w:rPr>
                <w:rFonts w:eastAsiaTheme="minorEastAsia"/>
                <w:bCs/>
                <w:color w:val="000000"/>
                <w:szCs w:val="21"/>
              </w:rPr>
              <w:t>100.00%</w:t>
            </w:r>
          </w:p>
        </w:tc>
      </w:tr>
      <w:tr w:rsidTr="006A2FD2">
        <w:tblPrEx>
          <w:tblW w:w="0" w:type="auto"/>
          <w:tblInd w:w="108" w:type="dxa"/>
          <w:tblLook w:val="00A0"/>
        </w:tblPrEx>
        <w:tc>
          <w:tcPr>
            <w:tcW w:w="964"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center"/>
              <w:rPr>
                <w:rFonts w:eastAsiaTheme="minorEastAsia"/>
                <w:bCs/>
                <w:color w:val="000000"/>
                <w:szCs w:val="21"/>
              </w:rPr>
            </w:pPr>
            <w:r w:rsidRPr="0045565B">
              <w:rPr>
                <w:rFonts w:eastAsiaTheme="minorEastAsia"/>
                <w:bCs/>
                <w:color w:val="000000"/>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right"/>
              <w:rPr>
                <w:rFonts w:eastAsiaTheme="minorEastAsia"/>
                <w:bCs/>
                <w:color w:val="000000"/>
                <w:szCs w:val="21"/>
              </w:rPr>
            </w:pPr>
            <w:r w:rsidRPr="0045565B">
              <w:rPr>
                <w:rFonts w:eastAsiaTheme="minorEastAsia"/>
                <w:bCs/>
                <w:color w:val="000000"/>
                <w:szCs w:val="21"/>
              </w:rPr>
              <w:t>4,301</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right"/>
              <w:rPr>
                <w:rFonts w:eastAsiaTheme="minorEastAsia"/>
                <w:bCs/>
                <w:color w:val="000000"/>
                <w:szCs w:val="21"/>
              </w:rPr>
            </w:pPr>
            <w:r w:rsidRPr="0045565B">
              <w:rPr>
                <w:rFonts w:eastAsiaTheme="minorEastAsia"/>
                <w:bCs/>
                <w:color w:val="000000"/>
                <w:szCs w:val="21"/>
              </w:rPr>
              <w:t>3,328.28</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right"/>
              <w:rPr>
                <w:rFonts w:eastAsiaTheme="minorEastAsia"/>
                <w:bCs/>
                <w:color w:val="000000"/>
                <w:szCs w:val="21"/>
              </w:rPr>
            </w:pPr>
            <w:r w:rsidRPr="0045565B">
              <w:rPr>
                <w:rFonts w:eastAsiaTheme="minorEastAsia"/>
                <w:bCs/>
                <w:color w:val="000000"/>
                <w:szCs w:val="21"/>
              </w:rPr>
              <w:t>0.00</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right"/>
              <w:rPr>
                <w:rFonts w:eastAsiaTheme="minorEastAsia"/>
                <w:bCs/>
                <w:color w:val="000000"/>
                <w:szCs w:val="21"/>
              </w:rPr>
            </w:pPr>
            <w:r w:rsidRPr="0045565B">
              <w:rPr>
                <w:rFonts w:eastAsiaTheme="minorEastAsia"/>
                <w:bCs/>
                <w:color w:val="000000"/>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P="00131110">
            <w:pPr>
              <w:spacing w:line="360" w:lineRule="auto"/>
              <w:jc w:val="right"/>
              <w:rPr>
                <w:rFonts w:eastAsiaTheme="minorEastAsia"/>
                <w:bCs/>
                <w:color w:val="000000"/>
                <w:szCs w:val="21"/>
              </w:rPr>
            </w:pPr>
            <w:r w:rsidRPr="0045565B">
              <w:rPr>
                <w:rFonts w:eastAsiaTheme="minorEastAsia"/>
                <w:bCs/>
                <w:color w:val="000000"/>
                <w:szCs w:val="21"/>
              </w:rPr>
              <w:t>14,314,939.73</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EF53E0" w:rsidRPr="0045565B" w:rsidP="00131110">
            <w:pPr>
              <w:spacing w:line="360" w:lineRule="auto"/>
              <w:jc w:val="right"/>
              <w:rPr>
                <w:rFonts w:eastAsiaTheme="minorEastAsia"/>
                <w:bCs/>
                <w:color w:val="000000"/>
                <w:szCs w:val="21"/>
              </w:rPr>
            </w:pPr>
            <w:r w:rsidRPr="0045565B">
              <w:rPr>
                <w:rFonts w:eastAsiaTheme="minorEastAsia"/>
                <w:bCs/>
                <w:color w:val="000000"/>
                <w:szCs w:val="21"/>
              </w:rPr>
              <w:t>100.00%</w:t>
            </w:r>
          </w:p>
        </w:tc>
      </w:tr>
    </w:tbl>
    <w:p w:rsidR="001548F9" w:rsidRPr="0045565B" w:rsidP="006A2FD2">
      <w:pPr>
        <w:pStyle w:val="Heading2"/>
        <w:spacing w:before="312" w:beforeLines="100" w:after="0"/>
        <w:rPr>
          <w:rFonts w:ascii="Times New Roman" w:hAnsi="Times New Roman" w:eastAsiaTheme="minorEastAsia"/>
          <w:sz w:val="21"/>
          <w:szCs w:val="21"/>
        </w:rPr>
      </w:pPr>
      <w:r w:rsidRPr="0045565B">
        <w:rPr>
          <w:rFonts w:ascii="Times New Roman" w:hAnsi="Times New Roman" w:eastAsiaTheme="minorEastAsia"/>
          <w:kern w:val="0"/>
          <w:sz w:val="21"/>
          <w:szCs w:val="21"/>
        </w:rPr>
        <w:t xml:space="preserve">8.2 </w:t>
      </w:r>
      <w:r w:rsidRPr="0045565B">
        <w:rPr>
          <w:rFonts w:ascii="Times New Roman" w:hAnsi="Times New Roman" w:eastAsiaTheme="minorEastAsia"/>
          <w:sz w:val="21"/>
          <w:szCs w:val="21"/>
        </w:rPr>
        <w:t>期末上市基金前十名持有人</w:t>
      </w:r>
    </w:p>
    <w:p w:rsidR="001F4CE8" w:rsidRPr="006A2FD2" w:rsidP="006A2FD2">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本基金非上市基金。</w:t>
      </w:r>
    </w:p>
    <w:p w:rsidR="00E93ADE" w:rsidRPr="0045565B" w:rsidP="006A2FD2">
      <w:pPr>
        <w:spacing w:line="360" w:lineRule="auto"/>
        <w:jc w:val="left"/>
        <w:rPr>
          <w:rFonts w:eastAsiaTheme="minorEastAsia"/>
          <w:szCs w:val="21"/>
        </w:rPr>
      </w:pPr>
      <w:r w:rsidRPr="0045565B">
        <w:rPr>
          <w:rFonts w:eastAsiaTheme="minorEastAsia"/>
          <w:szCs w:val="21"/>
        </w:rPr>
        <w:t>金鹰医疗健康股票A</w:t>
      </w:r>
    </w:p>
    <w:p w:rsidR="00E93ADE" w:rsidRPr="0045565B" w:rsidP="006A2FD2">
      <w:pPr>
        <w:spacing w:line="360" w:lineRule="auto"/>
        <w:ind w:firstLine="420" w:firstLineChars="200"/>
        <w:jc w:val="left"/>
        <w:rPr>
          <w:rFonts w:eastAsiaTheme="minorEastAsia"/>
          <w:color w:val="000000"/>
          <w:szCs w:val="21"/>
        </w:rPr>
      </w:pPr>
      <w:r w:rsidRPr="0045565B">
        <w:rPr>
          <w:rFonts w:eastAsiaTheme="minorEastAsia"/>
          <w:color w:val="000000"/>
          <w:szCs w:val="21"/>
        </w:rPr>
        <w:t>本基金非上市基金。</w:t>
      </w:r>
    </w:p>
    <w:p w:rsidR="00E93ADE" w:rsidRPr="0045565B" w:rsidP="006A2FD2">
      <w:pPr>
        <w:autoSpaceDE w:val="0"/>
        <w:autoSpaceDN w:val="0"/>
        <w:adjustRightInd w:val="0"/>
        <w:spacing w:before="29" w:line="360" w:lineRule="auto"/>
        <w:ind w:right="210"/>
        <w:rPr>
          <w:rFonts w:eastAsiaTheme="minorEastAsia"/>
          <w:color w:val="000000"/>
          <w:szCs w:val="21"/>
        </w:rPr>
      </w:pPr>
      <w:r w:rsidRPr="0045565B">
        <w:rPr>
          <w:rFonts w:eastAsiaTheme="minorEastAsia"/>
          <w:szCs w:val="21"/>
        </w:rPr>
        <w:t>金鹰医疗健康股票C</w:t>
      </w:r>
    </w:p>
    <w:p w:rsidR="001548F9" w:rsidRPr="006A2FD2" w:rsidP="006A2FD2">
      <w:pPr>
        <w:tabs>
          <w:tab w:val="left" w:pos="426"/>
        </w:tabs>
        <w:spacing w:line="360" w:lineRule="auto"/>
        <w:ind w:firstLine="420" w:firstLineChars="200"/>
        <w:jc w:val="left"/>
        <w:rPr>
          <w:rFonts w:eastAsiaTheme="minorEastAsia"/>
          <w:kern w:val="0"/>
          <w:szCs w:val="21"/>
        </w:rPr>
      </w:pPr>
      <w:r w:rsidRPr="0045565B">
        <w:rPr>
          <w:rFonts w:eastAsiaTheme="minorEastAsia"/>
          <w:color w:val="000000"/>
          <w:szCs w:val="21"/>
        </w:rPr>
        <w:t>本基金非上市基金。</w:t>
      </w:r>
    </w:p>
    <w:p w:rsidR="001548F9" w:rsidRPr="0045565B" w:rsidP="006A2FD2">
      <w:pPr>
        <w:pStyle w:val="Heading2"/>
        <w:spacing w:before="312" w:beforeLines="100" w:after="0"/>
        <w:rPr>
          <w:rFonts w:ascii="Times New Roman" w:hAnsi="Times New Roman" w:eastAsiaTheme="minorEastAsia"/>
          <w:kern w:val="0"/>
          <w:sz w:val="21"/>
          <w:szCs w:val="21"/>
        </w:rPr>
      </w:pPr>
      <w:bookmarkStart w:id="72" w:name="_Toc331410113"/>
      <w:r w:rsidRPr="0045565B">
        <w:rPr>
          <w:rFonts w:ascii="Times New Roman" w:hAnsi="Times New Roman" w:eastAsiaTheme="minorEastAsia"/>
          <w:kern w:val="0"/>
          <w:sz w:val="21"/>
          <w:szCs w:val="21"/>
        </w:rPr>
        <w:t xml:space="preserve">8.3 </w:t>
      </w:r>
      <w:r w:rsidRPr="0045565B">
        <w:rPr>
          <w:rFonts w:ascii="Times New Roman" w:hAnsi="Times New Roman" w:eastAsiaTheme="minorEastAsia"/>
          <w:kern w:val="0"/>
          <w:sz w:val="21"/>
          <w:szCs w:val="21"/>
        </w:rPr>
        <w:t>期末基金管理人的从业人员持有本基金的情况</w:t>
      </w:r>
      <w:bookmarkEnd w:id="72"/>
    </w:p>
    <w:tbl>
      <w:tblPr>
        <w:tblStyle w:val="TableGrid"/>
        <w:tblW w:w="0" w:type="auto"/>
        <w:tblInd w:w="108" w:type="dxa"/>
        <w:tblLayout w:type="fixed"/>
        <w:tblLook w:val="04A0"/>
      </w:tblPr>
      <w:tblGrid>
        <w:gridCol w:w="2321"/>
        <w:gridCol w:w="2321"/>
        <w:gridCol w:w="2322"/>
        <w:gridCol w:w="2322"/>
      </w:tblGrid>
      <w:tr w:rsidTr="006A2FD2">
        <w:tblPrEx>
          <w:tblW w:w="0" w:type="auto"/>
          <w:tblInd w:w="108" w:type="dxa"/>
          <w:tblLayout w:type="fixed"/>
          <w:tblLook w:val="04A0"/>
        </w:tblPrEx>
        <w:tc>
          <w:tcPr>
            <w:tcW w:w="2321" w:type="dxa"/>
            <w:vAlign w:val="center"/>
          </w:tcPr>
          <w:p w:rsidR="00B621D7" w:rsidRPr="0045565B" w:rsidP="00B621D7">
            <w:pPr>
              <w:pStyle w:val="NormalIndent"/>
              <w:ind w:firstLine="0" w:firstLineChars="0"/>
              <w:jc w:val="center"/>
              <w:rPr>
                <w:rFonts w:eastAsiaTheme="minorEastAsia"/>
                <w:szCs w:val="21"/>
              </w:rPr>
            </w:pPr>
            <w:r w:rsidRPr="0045565B">
              <w:rPr>
                <w:rFonts w:eastAsiaTheme="minorEastAsia"/>
                <w:szCs w:val="21"/>
              </w:rPr>
              <w:t>项目</w:t>
            </w:r>
          </w:p>
        </w:tc>
        <w:tc>
          <w:tcPr>
            <w:tcW w:w="2321" w:type="dxa"/>
            <w:vAlign w:val="center"/>
          </w:tcPr>
          <w:p w:rsidR="00B621D7" w:rsidRPr="0045565B" w:rsidP="00550CCE">
            <w:pPr>
              <w:pStyle w:val="NormalIndent"/>
              <w:ind w:firstLine="0" w:firstLineChars="0"/>
              <w:jc w:val="center"/>
              <w:rPr>
                <w:rFonts w:eastAsiaTheme="minorEastAsia"/>
                <w:szCs w:val="21"/>
              </w:rPr>
            </w:pPr>
            <w:r w:rsidRPr="0045565B">
              <w:rPr>
                <w:rFonts w:eastAsiaTheme="minorEastAsia"/>
                <w:szCs w:val="21"/>
              </w:rPr>
              <w:t>份额级别</w:t>
            </w:r>
          </w:p>
        </w:tc>
        <w:tc>
          <w:tcPr>
            <w:tcW w:w="2322" w:type="dxa"/>
            <w:vAlign w:val="center"/>
          </w:tcPr>
          <w:p w:rsidR="00B621D7" w:rsidRPr="0045565B" w:rsidP="00B621D7">
            <w:pPr>
              <w:pStyle w:val="NormalIndent"/>
              <w:ind w:firstLine="0" w:firstLineChars="0"/>
              <w:jc w:val="center"/>
              <w:rPr>
                <w:rFonts w:eastAsiaTheme="minorEastAsia"/>
                <w:szCs w:val="21"/>
              </w:rPr>
            </w:pPr>
            <w:r w:rsidRPr="0045565B">
              <w:rPr>
                <w:rFonts w:eastAsiaTheme="minorEastAsia"/>
                <w:szCs w:val="21"/>
              </w:rPr>
              <w:t>持有份额总数（份）</w:t>
            </w:r>
          </w:p>
        </w:tc>
        <w:tc>
          <w:tcPr>
            <w:tcW w:w="2322" w:type="dxa"/>
            <w:vAlign w:val="center"/>
          </w:tcPr>
          <w:p w:rsidR="00B621D7" w:rsidRPr="0045565B" w:rsidP="00B621D7">
            <w:pPr>
              <w:pStyle w:val="NormalIndent"/>
              <w:ind w:firstLine="0" w:firstLineChars="0"/>
              <w:jc w:val="center"/>
              <w:rPr>
                <w:rFonts w:eastAsiaTheme="minorEastAsia"/>
                <w:szCs w:val="21"/>
              </w:rPr>
            </w:pPr>
            <w:r w:rsidRPr="0045565B">
              <w:rPr>
                <w:rFonts w:eastAsiaTheme="minorEastAsia"/>
                <w:szCs w:val="21"/>
              </w:rPr>
              <w:t>占基金总份额比例</w:t>
            </w:r>
          </w:p>
        </w:tc>
      </w:tr>
      <w:tr w:rsidTr="006A2FD2">
        <w:tblPrEx>
          <w:tblW w:w="0" w:type="auto"/>
          <w:tblInd w:w="108" w:type="dxa"/>
          <w:tblLayout w:type="fixed"/>
          <w:tblLook w:val="04A0"/>
        </w:tblPrEx>
        <w:tc>
          <w:tcPr>
            <w:tcW w:w="2321" w:type="dxa"/>
            <w:vMerge w:val="restart"/>
            <w:vAlign w:val="center"/>
          </w:tcPr>
          <w:p w:rsidR="00B621D7" w:rsidRPr="0045565B" w:rsidP="00B621D7">
            <w:pPr>
              <w:pStyle w:val="NormalIndent"/>
              <w:ind w:firstLine="0" w:firstLineChars="0"/>
              <w:jc w:val="center"/>
              <w:rPr>
                <w:rFonts w:eastAsiaTheme="minorEastAsia"/>
                <w:szCs w:val="21"/>
              </w:rPr>
            </w:pPr>
            <w:r w:rsidRPr="0045565B">
              <w:rPr>
                <w:rFonts w:eastAsiaTheme="minorEastAsia"/>
                <w:color w:val="000000"/>
                <w:szCs w:val="21"/>
              </w:rPr>
              <w:t>基金管理人</w:t>
            </w:r>
            <w:r w:rsidRPr="0045565B">
              <w:rPr>
                <w:rFonts w:eastAsiaTheme="minorEastAsia"/>
                <w:color w:val="000000"/>
                <w:szCs w:val="21"/>
              </w:rPr>
              <w:t>所有从业人员持有本基金</w:t>
            </w:r>
          </w:p>
        </w:tc>
        <w:tc>
          <w:tcPr>
            <w:tcW w:w="2321" w:type="dxa"/>
            <w:vAlign w:val="center"/>
          </w:tcPr>
          <w:p w:rsidR="00B621D7" w:rsidRPr="0045565B" w:rsidP="00550CCE">
            <w:pPr>
              <w:jc w:val="right"/>
              <w:rPr>
                <w:rFonts w:eastAsiaTheme="minorEastAsia"/>
                <w:color w:val="000000"/>
                <w:kern w:val="0"/>
                <w:szCs w:val="21"/>
              </w:rPr>
            </w:pPr>
            <w:r w:rsidRPr="0045565B">
              <w:rPr>
                <w:rFonts w:eastAsiaTheme="minorEastAsia"/>
                <w:szCs w:val="21"/>
              </w:rPr>
              <w:t>金鹰医疗健康股票A</w:t>
            </w:r>
          </w:p>
        </w:tc>
        <w:tc>
          <w:tcPr>
            <w:tcW w:w="2322" w:type="dxa"/>
            <w:vAlign w:val="center"/>
          </w:tcPr>
          <w:p w:rsidR="00B621D7" w:rsidRPr="0045565B" w:rsidP="00B621D7">
            <w:pPr>
              <w:widowControl/>
              <w:jc w:val="right"/>
              <w:rPr>
                <w:rFonts w:eastAsiaTheme="minorEastAsia"/>
                <w:color w:val="000000"/>
                <w:kern w:val="0"/>
                <w:szCs w:val="21"/>
              </w:rPr>
            </w:pPr>
            <w:r w:rsidRPr="0045565B">
              <w:rPr>
                <w:rFonts w:eastAsiaTheme="minorEastAsia"/>
                <w:color w:val="000000"/>
                <w:kern w:val="0"/>
                <w:szCs w:val="21"/>
              </w:rPr>
              <w:t>552.23</w:t>
            </w:r>
          </w:p>
        </w:tc>
        <w:tc>
          <w:tcPr>
            <w:tcW w:w="2322" w:type="dxa"/>
            <w:vAlign w:val="center"/>
          </w:tcPr>
          <w:p w:rsidR="00B621D7" w:rsidRPr="0045565B" w:rsidP="00B621D7">
            <w:pPr>
              <w:widowControl/>
              <w:jc w:val="right"/>
              <w:rPr>
                <w:rFonts w:eastAsiaTheme="minorEastAsia"/>
                <w:color w:val="000000"/>
                <w:kern w:val="0"/>
                <w:szCs w:val="21"/>
              </w:rPr>
            </w:pPr>
            <w:r w:rsidRPr="0045565B">
              <w:rPr>
                <w:rFonts w:eastAsiaTheme="minorEastAsia"/>
                <w:color w:val="000000"/>
                <w:kern w:val="0"/>
                <w:szCs w:val="21"/>
              </w:rPr>
              <w:t>0.01%</w:t>
            </w:r>
          </w:p>
        </w:tc>
      </w:tr>
      <w:tr w:rsidTr="006A2FD2">
        <w:tblPrEx>
          <w:tblW w:w="0" w:type="auto"/>
          <w:tblInd w:w="108" w:type="dxa"/>
          <w:tblLayout w:type="fixed"/>
          <w:tblLook w:val="04A0"/>
        </w:tblPrEx>
        <w:tc>
          <w:tcPr>
            <w:tcW w:w="2321" w:type="dxa"/>
            <w:vMerge/>
          </w:tcPr>
          <w:p w:rsidR="00B621D7" w:rsidRPr="0045565B" w:rsidP="005D2F95">
            <w:pPr>
              <w:pStyle w:val="NormalIndent"/>
              <w:ind w:firstLine="0" w:firstLineChars="0"/>
              <w:rPr>
                <w:rFonts w:eastAsiaTheme="minorEastAsia"/>
                <w:szCs w:val="21"/>
              </w:rPr>
            </w:pPr>
          </w:p>
        </w:tc>
        <w:tc>
          <w:tcPr>
            <w:tcW w:w="2321" w:type="dxa"/>
            <w:vAlign w:val="center"/>
          </w:tcPr>
          <w:p w:rsidR="00B621D7" w:rsidRPr="0045565B" w:rsidP="00550CCE">
            <w:pPr>
              <w:jc w:val="right"/>
              <w:rPr>
                <w:rFonts w:eastAsiaTheme="minorEastAsia"/>
                <w:color w:val="000000"/>
                <w:kern w:val="0"/>
                <w:szCs w:val="21"/>
              </w:rPr>
            </w:pPr>
            <w:r w:rsidRPr="0045565B">
              <w:rPr>
                <w:rFonts w:eastAsiaTheme="minorEastAsia"/>
                <w:szCs w:val="21"/>
              </w:rPr>
              <w:t>金鹰医疗健康股票C</w:t>
            </w:r>
          </w:p>
        </w:tc>
        <w:tc>
          <w:tcPr>
            <w:tcW w:w="2322" w:type="dxa"/>
            <w:vAlign w:val="center"/>
          </w:tcPr>
          <w:p w:rsidR="00B621D7" w:rsidRPr="0045565B" w:rsidP="00B621D7">
            <w:pPr>
              <w:widowControl/>
              <w:jc w:val="right"/>
              <w:rPr>
                <w:rFonts w:eastAsiaTheme="minorEastAsia"/>
                <w:color w:val="000000"/>
                <w:kern w:val="0"/>
                <w:szCs w:val="21"/>
              </w:rPr>
            </w:pPr>
            <w:r w:rsidRPr="0045565B">
              <w:rPr>
                <w:rFonts w:eastAsiaTheme="minorEastAsia"/>
                <w:color w:val="000000"/>
                <w:kern w:val="0"/>
                <w:szCs w:val="21"/>
              </w:rPr>
              <w:t>652.98</w:t>
            </w:r>
          </w:p>
        </w:tc>
        <w:tc>
          <w:tcPr>
            <w:tcW w:w="2322" w:type="dxa"/>
            <w:vAlign w:val="center"/>
          </w:tcPr>
          <w:p w:rsidR="00B621D7" w:rsidRPr="0045565B" w:rsidP="00B621D7">
            <w:pPr>
              <w:widowControl/>
              <w:jc w:val="right"/>
              <w:rPr>
                <w:rFonts w:eastAsiaTheme="minorEastAsia"/>
                <w:color w:val="000000"/>
                <w:kern w:val="0"/>
                <w:szCs w:val="21"/>
              </w:rPr>
            </w:pPr>
            <w:r w:rsidRPr="0045565B">
              <w:rPr>
                <w:rFonts w:eastAsiaTheme="minorEastAsia"/>
                <w:color w:val="000000"/>
                <w:kern w:val="0"/>
                <w:szCs w:val="21"/>
              </w:rPr>
              <w:t>0.01%</w:t>
            </w:r>
          </w:p>
        </w:tc>
      </w:tr>
      <w:tr w:rsidTr="006A2FD2">
        <w:tblPrEx>
          <w:tblW w:w="0" w:type="auto"/>
          <w:tblInd w:w="108" w:type="dxa"/>
          <w:tblLayout w:type="fixed"/>
          <w:tblLook w:val="04A0"/>
        </w:tblPrEx>
        <w:tc>
          <w:tcPr>
            <w:tcW w:w="2321" w:type="dxa"/>
            <w:vMerge/>
          </w:tcPr>
          <w:p w:rsidR="00B621D7" w:rsidRPr="0045565B" w:rsidP="005D2F95">
            <w:pPr>
              <w:pStyle w:val="NormalIndent"/>
              <w:ind w:firstLine="0" w:firstLineChars="0"/>
              <w:rPr>
                <w:rFonts w:eastAsiaTheme="minorEastAsia"/>
                <w:szCs w:val="21"/>
              </w:rPr>
            </w:pPr>
          </w:p>
        </w:tc>
        <w:tc>
          <w:tcPr>
            <w:tcW w:w="2321" w:type="dxa"/>
            <w:vAlign w:val="center"/>
          </w:tcPr>
          <w:p w:rsidR="00B621D7" w:rsidRPr="0045565B" w:rsidP="00B621D7">
            <w:pPr>
              <w:widowControl/>
              <w:jc w:val="center"/>
              <w:rPr>
                <w:rFonts w:eastAsiaTheme="minorEastAsia"/>
                <w:color w:val="000000"/>
                <w:kern w:val="0"/>
                <w:szCs w:val="21"/>
              </w:rPr>
            </w:pPr>
            <w:r w:rsidRPr="0045565B">
              <w:rPr>
                <w:rFonts w:eastAsiaTheme="minorEastAsia"/>
                <w:color w:val="000000"/>
                <w:kern w:val="0"/>
                <w:szCs w:val="21"/>
              </w:rPr>
              <w:t>合计</w:t>
            </w:r>
          </w:p>
        </w:tc>
        <w:tc>
          <w:tcPr>
            <w:tcW w:w="2322" w:type="dxa"/>
            <w:vAlign w:val="center"/>
          </w:tcPr>
          <w:p w:rsidR="00B621D7" w:rsidRPr="0045565B" w:rsidP="00B621D7">
            <w:pPr>
              <w:widowControl/>
              <w:jc w:val="right"/>
              <w:rPr>
                <w:rFonts w:eastAsiaTheme="minorEastAsia"/>
                <w:color w:val="000000"/>
                <w:kern w:val="0"/>
                <w:szCs w:val="21"/>
              </w:rPr>
            </w:pPr>
            <w:r w:rsidRPr="0045565B">
              <w:rPr>
                <w:rFonts w:eastAsiaTheme="minorEastAsia"/>
                <w:color w:val="000000"/>
                <w:kern w:val="0"/>
                <w:szCs w:val="21"/>
              </w:rPr>
              <w:t>1,205.21</w:t>
            </w:r>
          </w:p>
        </w:tc>
        <w:tc>
          <w:tcPr>
            <w:tcW w:w="2322" w:type="dxa"/>
            <w:vAlign w:val="center"/>
          </w:tcPr>
          <w:p w:rsidR="00B621D7" w:rsidRPr="0045565B" w:rsidP="00B621D7">
            <w:pPr>
              <w:widowControl/>
              <w:jc w:val="right"/>
              <w:rPr>
                <w:rFonts w:eastAsiaTheme="minorEastAsia"/>
                <w:color w:val="000000"/>
                <w:kern w:val="0"/>
                <w:szCs w:val="21"/>
              </w:rPr>
            </w:pPr>
            <w:r w:rsidRPr="0045565B">
              <w:rPr>
                <w:rFonts w:eastAsiaTheme="minorEastAsia"/>
                <w:color w:val="000000"/>
                <w:kern w:val="0"/>
                <w:szCs w:val="21"/>
              </w:rPr>
              <w:t>0.01%</w:t>
            </w:r>
          </w:p>
        </w:tc>
      </w:tr>
    </w:tbl>
    <w:p w:rsidR="008D25A7" w:rsidRPr="0045565B" w:rsidP="006A2FD2">
      <w:pPr>
        <w:pStyle w:val="Heading2"/>
        <w:spacing w:before="312" w:beforeLines="100" w:after="0" w:line="240" w:lineRule="auto"/>
        <w:rPr>
          <w:rFonts w:ascii="Times New Roman" w:hAnsi="Times New Roman" w:eastAsiaTheme="minorEastAsia"/>
          <w:sz w:val="21"/>
          <w:szCs w:val="21"/>
        </w:rPr>
      </w:pPr>
      <w:r w:rsidRPr="0045565B">
        <w:rPr>
          <w:rFonts w:ascii="Times New Roman" w:hAnsi="Times New Roman" w:eastAsiaTheme="minorEastAsia"/>
          <w:kern w:val="0"/>
          <w:sz w:val="21"/>
          <w:szCs w:val="21"/>
        </w:rPr>
        <w:t>8.4</w:t>
      </w:r>
      <w:r w:rsidRPr="0045565B">
        <w:rPr>
          <w:rFonts w:ascii="Times New Roman" w:hAnsi="Times New Roman" w:eastAsiaTheme="minorEastAsia"/>
          <w:sz w:val="21"/>
          <w:szCs w:val="21"/>
        </w:rPr>
        <w:t>期末基金管理人的从业人员持有本开放式基金份额总量区间的情况</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2548"/>
        <w:gridCol w:w="2424"/>
        <w:gridCol w:w="4526"/>
      </w:tblGrid>
      <w:tr w:rsidTr="006A2FD2">
        <w:tblPrEx>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Ex>
        <w:trPr>
          <w:trHeight w:val="285"/>
        </w:trPr>
        <w:tc>
          <w:tcPr>
            <w:tcW w:w="2548" w:type="dxa"/>
            <w:shd w:val="clear" w:color="auto" w:fill="auto"/>
            <w:tcMar>
              <w:top w:w="0" w:type="dxa"/>
              <w:left w:w="108" w:type="dxa"/>
              <w:bottom w:w="0" w:type="dxa"/>
              <w:right w:w="108" w:type="dxa"/>
            </w:tcMar>
            <w:vAlign w:val="center"/>
            <w:hideMark/>
          </w:tcPr>
          <w:p w:rsidR="008D25A7" w:rsidRPr="0045565B" w:rsidP="004B3136">
            <w:pPr>
              <w:widowControl/>
              <w:jc w:val="center"/>
              <w:rPr>
                <w:rFonts w:eastAsiaTheme="minorEastAsia"/>
                <w:kern w:val="0"/>
                <w:szCs w:val="21"/>
              </w:rPr>
            </w:pPr>
            <w:r w:rsidRPr="0045565B">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8D25A7" w:rsidRPr="0045565B" w:rsidP="004B3136">
            <w:pPr>
              <w:widowControl/>
              <w:jc w:val="center"/>
              <w:rPr>
                <w:rFonts w:eastAsiaTheme="minorEastAsia"/>
                <w:kern w:val="0"/>
                <w:szCs w:val="21"/>
              </w:rPr>
            </w:pPr>
            <w:r w:rsidRPr="0045565B">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8D25A7" w:rsidRPr="0045565B" w:rsidP="004B3136">
            <w:pPr>
              <w:widowControl/>
              <w:jc w:val="center"/>
              <w:rPr>
                <w:rFonts w:eastAsiaTheme="minorEastAsia"/>
                <w:kern w:val="0"/>
                <w:szCs w:val="21"/>
              </w:rPr>
            </w:pPr>
            <w:r w:rsidRPr="0045565B">
              <w:rPr>
                <w:rFonts w:eastAsiaTheme="minorEastAsia"/>
                <w:kern w:val="0"/>
                <w:szCs w:val="21"/>
              </w:rPr>
              <w:t>持有基金份额总量的数量区间（万份）</w:t>
            </w:r>
          </w:p>
        </w:tc>
      </w:tr>
      <w:tr w:rsidTr="006A2FD2">
        <w:tblPrEx>
          <w:tblW w:w="0" w:type="auto"/>
          <w:tblInd w:w="108" w:type="dxa"/>
          <w:tblLayout w:type="fixed"/>
          <w:tblCellMar>
            <w:left w:w="0" w:type="dxa"/>
            <w:right w:w="0" w:type="dxa"/>
          </w:tblCellMar>
          <w:tblLook w:val="04A0"/>
        </w:tblPrEx>
        <w:trPr>
          <w:trHeight w:val="285"/>
        </w:trPr>
        <w:tc>
          <w:tcPr>
            <w:tcW w:w="2548" w:type="dxa"/>
            <w:vMerge w:val="restart"/>
            <w:shd w:val="clear" w:color="auto" w:fill="auto"/>
            <w:tcMar>
              <w:top w:w="0" w:type="dxa"/>
              <w:left w:w="108" w:type="dxa"/>
              <w:bottom w:w="0" w:type="dxa"/>
              <w:right w:w="108" w:type="dxa"/>
            </w:tcMar>
            <w:vAlign w:val="center"/>
            <w:hideMark/>
          </w:tcPr>
          <w:p w:rsidR="008D25A7" w:rsidRPr="0045565B" w:rsidP="004B3136">
            <w:pPr>
              <w:widowControl/>
              <w:jc w:val="left"/>
              <w:rPr>
                <w:rFonts w:eastAsiaTheme="minorEastAsia"/>
                <w:kern w:val="0"/>
                <w:szCs w:val="21"/>
              </w:rPr>
            </w:pPr>
            <w:r w:rsidRPr="0045565B">
              <w:rPr>
                <w:rFonts w:eastAsiaTheme="minorEastAsia"/>
                <w:kern w:val="0"/>
                <w:szCs w:val="21"/>
              </w:rPr>
              <w:t>本公司高级管理人员、基</w:t>
            </w:r>
            <w:r w:rsidRPr="0045565B">
              <w:rPr>
                <w:rFonts w:eastAsiaTheme="minorEastAsia"/>
                <w:kern w:val="0"/>
                <w:szCs w:val="21"/>
              </w:rPr>
              <w:t>金投资和研究部门负责人</w:t>
            </w:r>
            <w:r w:rsidRPr="0045565B">
              <w:rPr>
                <w:rFonts w:eastAsiaTheme="minorEastAsia"/>
                <w:color w:val="000000"/>
                <w:kern w:val="0"/>
                <w:szCs w:val="21"/>
              </w:rPr>
              <w:t>持有本开放式基金</w:t>
            </w:r>
          </w:p>
        </w:tc>
        <w:tc>
          <w:tcPr>
            <w:tcW w:w="2424" w:type="dxa"/>
            <w:shd w:val="clear" w:color="auto" w:fill="auto"/>
            <w:tcMar>
              <w:top w:w="0" w:type="dxa"/>
              <w:left w:w="108" w:type="dxa"/>
              <w:bottom w:w="0" w:type="dxa"/>
              <w:right w:w="108" w:type="dxa"/>
            </w:tcMar>
            <w:vAlign w:val="center"/>
            <w:hideMark/>
          </w:tcPr>
          <w:p w:rsidR="008D25A7" w:rsidRPr="0045565B" w:rsidP="004B3136">
            <w:pPr>
              <w:widowControl/>
              <w:jc w:val="center"/>
              <w:rPr>
                <w:rFonts w:eastAsiaTheme="minorEastAsia"/>
                <w:kern w:val="0"/>
                <w:szCs w:val="21"/>
              </w:rPr>
            </w:pPr>
            <w:r w:rsidRPr="0045565B">
              <w:rPr>
                <w:rFonts w:eastAsiaTheme="minorEastAsia"/>
                <w:kern w:val="0"/>
                <w:szCs w:val="21"/>
              </w:rPr>
              <w:t>金鹰医疗健康股票A</w:t>
            </w:r>
          </w:p>
        </w:tc>
        <w:tc>
          <w:tcPr>
            <w:tcW w:w="4526" w:type="dxa"/>
            <w:shd w:val="clear" w:color="auto" w:fill="auto"/>
            <w:tcMar>
              <w:top w:w="0" w:type="dxa"/>
              <w:left w:w="108" w:type="dxa"/>
              <w:bottom w:w="0" w:type="dxa"/>
              <w:right w:w="108" w:type="dxa"/>
            </w:tcMar>
            <w:vAlign w:val="center"/>
            <w:hideMark/>
          </w:tcPr>
          <w:p w:rsidR="008D25A7" w:rsidRPr="0045565B" w:rsidP="004B3136">
            <w:pPr>
              <w:widowControl/>
              <w:jc w:val="center"/>
              <w:rPr>
                <w:rFonts w:eastAsiaTheme="minorEastAsia"/>
                <w:kern w:val="0"/>
                <w:szCs w:val="21"/>
              </w:rPr>
            </w:pPr>
            <w:r w:rsidRPr="0045565B">
              <w:rPr>
                <w:rFonts w:eastAsiaTheme="minorEastAsia"/>
                <w:kern w:val="0"/>
                <w:szCs w:val="21"/>
              </w:rPr>
              <w:t>0</w:t>
            </w:r>
          </w:p>
        </w:tc>
      </w:tr>
      <w:tr w:rsidTr="006A2FD2">
        <w:tblPrEx>
          <w:tblW w:w="0" w:type="auto"/>
          <w:tblInd w:w="108" w:type="dxa"/>
          <w:tblLayout w:type="fixed"/>
          <w:tblCellMar>
            <w:left w:w="0" w:type="dxa"/>
            <w:right w:w="0" w:type="dxa"/>
          </w:tblCellMar>
          <w:tblLook w:val="04A0"/>
        </w:tblPrEx>
        <w:trPr>
          <w:trHeight w:val="285"/>
        </w:trPr>
        <w:tc>
          <w:tcPr>
            <w:tcW w:w="2548" w:type="dxa"/>
            <w:vMerge/>
            <w:shd w:val="clear" w:color="auto" w:fill="auto"/>
            <w:vAlign w:val="center"/>
            <w:hideMark/>
          </w:tcPr>
          <w:p w:rsidR="008D25A7" w:rsidRPr="0045565B" w:rsidP="004B3136">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8D25A7" w:rsidRPr="0045565B" w:rsidP="004B3136">
            <w:pPr>
              <w:widowControl/>
              <w:jc w:val="center"/>
              <w:rPr>
                <w:rFonts w:eastAsiaTheme="minorEastAsia"/>
                <w:kern w:val="0"/>
                <w:szCs w:val="21"/>
              </w:rPr>
            </w:pPr>
            <w:r w:rsidRPr="0045565B">
              <w:rPr>
                <w:rFonts w:eastAsiaTheme="minorEastAsia"/>
                <w:kern w:val="0"/>
                <w:szCs w:val="21"/>
              </w:rPr>
              <w:t>金鹰医疗健康股票C</w:t>
            </w:r>
          </w:p>
        </w:tc>
        <w:tc>
          <w:tcPr>
            <w:tcW w:w="4526" w:type="dxa"/>
            <w:shd w:val="clear" w:color="auto" w:fill="auto"/>
            <w:tcMar>
              <w:top w:w="0" w:type="dxa"/>
              <w:left w:w="108" w:type="dxa"/>
              <w:bottom w:w="0" w:type="dxa"/>
              <w:right w:w="108" w:type="dxa"/>
            </w:tcMar>
            <w:vAlign w:val="center"/>
            <w:hideMark/>
          </w:tcPr>
          <w:p w:rsidR="008D25A7" w:rsidRPr="0045565B" w:rsidP="004B3136">
            <w:pPr>
              <w:widowControl/>
              <w:jc w:val="center"/>
              <w:rPr>
                <w:rFonts w:eastAsiaTheme="minorEastAsia"/>
                <w:kern w:val="0"/>
                <w:szCs w:val="21"/>
              </w:rPr>
            </w:pPr>
            <w:r w:rsidRPr="0045565B">
              <w:rPr>
                <w:rFonts w:eastAsiaTheme="minorEastAsia"/>
                <w:kern w:val="0"/>
                <w:szCs w:val="21"/>
              </w:rPr>
              <w:t>0</w:t>
            </w:r>
          </w:p>
        </w:tc>
      </w:tr>
      <w:tr w:rsidTr="006A2FD2">
        <w:tblPrEx>
          <w:tblW w:w="0" w:type="auto"/>
          <w:tblInd w:w="108" w:type="dxa"/>
          <w:tblLayout w:type="fixed"/>
          <w:tblCellMar>
            <w:left w:w="0" w:type="dxa"/>
            <w:right w:w="0" w:type="dxa"/>
          </w:tblCellMar>
          <w:tblLook w:val="04A0"/>
        </w:tblPrEx>
        <w:trPr>
          <w:trHeight w:val="285"/>
        </w:trPr>
        <w:tc>
          <w:tcPr>
            <w:tcW w:w="2548" w:type="dxa"/>
            <w:vMerge/>
            <w:shd w:val="clear" w:color="auto" w:fill="auto"/>
            <w:vAlign w:val="center"/>
            <w:hideMark/>
          </w:tcPr>
          <w:p w:rsidR="008D25A7" w:rsidRPr="0045565B" w:rsidP="004B3136">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8D25A7" w:rsidRPr="0045565B" w:rsidP="004B3136">
            <w:pPr>
              <w:widowControl/>
              <w:jc w:val="center"/>
              <w:rPr>
                <w:rFonts w:eastAsiaTheme="minorEastAsia"/>
                <w:kern w:val="0"/>
                <w:szCs w:val="21"/>
              </w:rPr>
            </w:pPr>
            <w:r w:rsidRPr="0045565B">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8D25A7" w:rsidRPr="0045565B" w:rsidP="004B3136">
            <w:pPr>
              <w:widowControl/>
              <w:jc w:val="center"/>
              <w:rPr>
                <w:rFonts w:eastAsiaTheme="minorEastAsia"/>
                <w:kern w:val="0"/>
                <w:szCs w:val="21"/>
              </w:rPr>
            </w:pPr>
            <w:r w:rsidRPr="0045565B">
              <w:rPr>
                <w:rFonts w:eastAsiaTheme="minorEastAsia"/>
                <w:kern w:val="0"/>
                <w:szCs w:val="21"/>
              </w:rPr>
              <w:t>0</w:t>
            </w:r>
          </w:p>
        </w:tc>
      </w:tr>
      <w:tr w:rsidTr="006A2FD2">
        <w:tblPrEx>
          <w:tblW w:w="0" w:type="auto"/>
          <w:tblInd w:w="108" w:type="dxa"/>
          <w:tblLayout w:type="fixed"/>
          <w:tblCellMar>
            <w:left w:w="0" w:type="dxa"/>
            <w:right w:w="0" w:type="dxa"/>
          </w:tblCellMar>
          <w:tblLook w:val="04A0"/>
        </w:tblPrEx>
        <w:trPr>
          <w:trHeight w:val="285"/>
        </w:trPr>
        <w:tc>
          <w:tcPr>
            <w:tcW w:w="2548" w:type="dxa"/>
            <w:vMerge w:val="restart"/>
            <w:shd w:val="clear" w:color="auto" w:fill="auto"/>
            <w:tcMar>
              <w:top w:w="0" w:type="dxa"/>
              <w:left w:w="108" w:type="dxa"/>
              <w:bottom w:w="0" w:type="dxa"/>
              <w:right w:w="108" w:type="dxa"/>
            </w:tcMar>
            <w:vAlign w:val="center"/>
            <w:hideMark/>
          </w:tcPr>
          <w:p w:rsidR="008D25A7" w:rsidRPr="0045565B" w:rsidP="004B3136">
            <w:pPr>
              <w:widowControl/>
              <w:jc w:val="left"/>
              <w:rPr>
                <w:rFonts w:eastAsiaTheme="minorEastAsia"/>
                <w:kern w:val="0"/>
                <w:szCs w:val="21"/>
              </w:rPr>
            </w:pPr>
            <w:r w:rsidRPr="0045565B">
              <w:rPr>
                <w:rFonts w:eastAsiaTheme="minorEastAsia"/>
                <w:kern w:val="0"/>
                <w:szCs w:val="21"/>
              </w:rPr>
              <w:t>本基金基金经理</w:t>
            </w:r>
            <w:r w:rsidRPr="0045565B">
              <w:rPr>
                <w:rFonts w:eastAsiaTheme="minorEastAsia"/>
                <w:color w:val="000000"/>
                <w:kern w:val="0"/>
                <w:szCs w:val="21"/>
              </w:rPr>
              <w:t>持有本开放式基金</w:t>
            </w:r>
          </w:p>
        </w:tc>
        <w:tc>
          <w:tcPr>
            <w:tcW w:w="2424" w:type="dxa"/>
            <w:shd w:val="clear" w:color="auto" w:fill="auto"/>
            <w:tcMar>
              <w:top w:w="0" w:type="dxa"/>
              <w:left w:w="108" w:type="dxa"/>
              <w:bottom w:w="0" w:type="dxa"/>
              <w:right w:w="108" w:type="dxa"/>
            </w:tcMar>
            <w:vAlign w:val="center"/>
            <w:hideMark/>
          </w:tcPr>
          <w:p w:rsidR="008D25A7" w:rsidRPr="0045565B" w:rsidP="004B3136">
            <w:pPr>
              <w:widowControl/>
              <w:jc w:val="center"/>
              <w:rPr>
                <w:rFonts w:eastAsiaTheme="minorEastAsia"/>
                <w:kern w:val="0"/>
                <w:szCs w:val="21"/>
              </w:rPr>
            </w:pPr>
            <w:r w:rsidRPr="0045565B">
              <w:rPr>
                <w:rFonts w:eastAsiaTheme="minorEastAsia"/>
                <w:kern w:val="0"/>
                <w:szCs w:val="21"/>
              </w:rPr>
              <w:t>金鹰医疗健康股票A</w:t>
            </w:r>
          </w:p>
        </w:tc>
        <w:tc>
          <w:tcPr>
            <w:tcW w:w="4526" w:type="dxa"/>
            <w:shd w:val="clear" w:color="auto" w:fill="auto"/>
            <w:tcMar>
              <w:top w:w="0" w:type="dxa"/>
              <w:left w:w="108" w:type="dxa"/>
              <w:bottom w:w="0" w:type="dxa"/>
              <w:right w:w="108" w:type="dxa"/>
            </w:tcMar>
            <w:vAlign w:val="center"/>
            <w:hideMark/>
          </w:tcPr>
          <w:p w:rsidR="008D25A7" w:rsidRPr="0045565B" w:rsidP="004B3136">
            <w:pPr>
              <w:widowControl/>
              <w:jc w:val="center"/>
              <w:rPr>
                <w:rFonts w:eastAsiaTheme="minorEastAsia"/>
                <w:kern w:val="0"/>
                <w:szCs w:val="21"/>
              </w:rPr>
            </w:pPr>
            <w:r w:rsidRPr="0045565B">
              <w:rPr>
                <w:rFonts w:eastAsiaTheme="minorEastAsia"/>
                <w:kern w:val="0"/>
                <w:szCs w:val="21"/>
              </w:rPr>
              <w:t>0</w:t>
            </w:r>
          </w:p>
        </w:tc>
      </w:tr>
      <w:tr w:rsidTr="006A2FD2">
        <w:tblPrEx>
          <w:tblW w:w="0" w:type="auto"/>
          <w:tblInd w:w="108" w:type="dxa"/>
          <w:tblLayout w:type="fixed"/>
          <w:tblCellMar>
            <w:left w:w="0" w:type="dxa"/>
            <w:right w:w="0" w:type="dxa"/>
          </w:tblCellMar>
          <w:tblLook w:val="04A0"/>
        </w:tblPrEx>
        <w:trPr>
          <w:trHeight w:val="525"/>
        </w:trPr>
        <w:tc>
          <w:tcPr>
            <w:tcW w:w="2548" w:type="dxa"/>
            <w:vMerge/>
            <w:shd w:val="clear" w:color="auto" w:fill="auto"/>
            <w:vAlign w:val="center"/>
            <w:hideMark/>
          </w:tcPr>
          <w:p w:rsidR="008D25A7" w:rsidRPr="0045565B" w:rsidP="004B3136">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8D25A7" w:rsidRPr="0045565B" w:rsidP="004B3136">
            <w:pPr>
              <w:widowControl/>
              <w:jc w:val="center"/>
              <w:rPr>
                <w:rFonts w:eastAsiaTheme="minorEastAsia"/>
                <w:kern w:val="0"/>
                <w:szCs w:val="21"/>
              </w:rPr>
            </w:pPr>
            <w:r w:rsidRPr="0045565B">
              <w:rPr>
                <w:rFonts w:eastAsiaTheme="minorEastAsia"/>
                <w:kern w:val="0"/>
                <w:szCs w:val="21"/>
              </w:rPr>
              <w:t>金鹰医疗健康股票C</w:t>
            </w:r>
          </w:p>
        </w:tc>
        <w:tc>
          <w:tcPr>
            <w:tcW w:w="4526" w:type="dxa"/>
            <w:shd w:val="clear" w:color="auto" w:fill="auto"/>
            <w:tcMar>
              <w:top w:w="0" w:type="dxa"/>
              <w:left w:w="108" w:type="dxa"/>
              <w:bottom w:w="0" w:type="dxa"/>
              <w:right w:w="108" w:type="dxa"/>
            </w:tcMar>
            <w:vAlign w:val="center"/>
            <w:hideMark/>
          </w:tcPr>
          <w:p w:rsidR="008D25A7" w:rsidRPr="0045565B" w:rsidP="004B3136">
            <w:pPr>
              <w:widowControl/>
              <w:jc w:val="center"/>
              <w:rPr>
                <w:rFonts w:eastAsiaTheme="minorEastAsia"/>
                <w:kern w:val="0"/>
                <w:szCs w:val="21"/>
              </w:rPr>
            </w:pPr>
            <w:r w:rsidRPr="0045565B">
              <w:rPr>
                <w:rFonts w:eastAsiaTheme="minorEastAsia"/>
                <w:kern w:val="0"/>
                <w:szCs w:val="21"/>
              </w:rPr>
              <w:t>0</w:t>
            </w:r>
          </w:p>
        </w:tc>
      </w:tr>
      <w:tr w:rsidTr="006A2FD2">
        <w:tblPrEx>
          <w:tblW w:w="0" w:type="auto"/>
          <w:tblInd w:w="108" w:type="dxa"/>
          <w:tblLayout w:type="fixed"/>
          <w:tblCellMar>
            <w:left w:w="0" w:type="dxa"/>
            <w:right w:w="0" w:type="dxa"/>
          </w:tblCellMar>
          <w:tblLook w:val="04A0"/>
        </w:tblPrEx>
        <w:trPr>
          <w:trHeight w:val="653"/>
        </w:trPr>
        <w:tc>
          <w:tcPr>
            <w:tcW w:w="2548" w:type="dxa"/>
            <w:vMerge/>
            <w:shd w:val="clear" w:color="auto" w:fill="auto"/>
            <w:vAlign w:val="center"/>
            <w:hideMark/>
          </w:tcPr>
          <w:p w:rsidR="008D25A7" w:rsidRPr="0045565B" w:rsidP="004B3136">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8D25A7" w:rsidRPr="0045565B" w:rsidP="004B3136">
            <w:pPr>
              <w:widowControl/>
              <w:jc w:val="center"/>
              <w:rPr>
                <w:rFonts w:eastAsiaTheme="minorEastAsia"/>
                <w:kern w:val="0"/>
                <w:szCs w:val="21"/>
              </w:rPr>
            </w:pPr>
            <w:r w:rsidRPr="0045565B">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8D25A7" w:rsidRPr="0045565B" w:rsidP="004B3136">
            <w:pPr>
              <w:widowControl/>
              <w:jc w:val="center"/>
              <w:rPr>
                <w:rFonts w:eastAsiaTheme="minorEastAsia"/>
                <w:kern w:val="0"/>
                <w:szCs w:val="21"/>
              </w:rPr>
            </w:pPr>
            <w:r w:rsidRPr="0045565B">
              <w:rPr>
                <w:rFonts w:eastAsiaTheme="minorEastAsia"/>
                <w:kern w:val="0"/>
                <w:szCs w:val="21"/>
              </w:rPr>
              <w:t>0</w:t>
            </w:r>
          </w:p>
        </w:tc>
      </w:tr>
    </w:tbl>
    <w:p w:rsidR="00705EC3" w:rsidRPr="0045565B" w:rsidP="006A2FD2">
      <w:pPr>
        <w:pStyle w:val="Heading2"/>
        <w:spacing w:before="312" w:beforeLines="100" w:after="0"/>
        <w:rPr>
          <w:rFonts w:ascii="Times New Roman" w:hAnsi="Times New Roman" w:eastAsiaTheme="minorEastAsia"/>
          <w:kern w:val="0"/>
          <w:sz w:val="21"/>
          <w:szCs w:val="21"/>
        </w:rPr>
      </w:pPr>
      <w:r w:rsidRPr="0045565B">
        <w:rPr>
          <w:rFonts w:ascii="Times New Roman" w:hAnsi="Times New Roman" w:eastAsiaTheme="minorEastAsia"/>
          <w:kern w:val="0"/>
          <w:sz w:val="21"/>
          <w:szCs w:val="21"/>
        </w:rPr>
        <w:t>8.5</w:t>
      </w:r>
      <w:r w:rsidRPr="0045565B">
        <w:rPr>
          <w:rFonts w:ascii="Times New Roman" w:hAnsi="Times New Roman" w:eastAsiaTheme="minorEastAsia"/>
          <w:kern w:val="0"/>
          <w:sz w:val="21"/>
          <w:szCs w:val="21"/>
        </w:rPr>
        <w:t>发起式基金发起资金持有份额情况</w:t>
      </w:r>
    </w:p>
    <w:p>
      <w:pPr>
        <w:tabs>
          <w:tab w:val="left" w:pos="426"/>
        </w:tabs>
        <w:spacing w:line="360" w:lineRule="auto"/>
        <w:ind w:firstLine="420" w:firstLineChars="200"/>
        <w:jc w:val="left"/>
        <w:rPr>
          <w:rFonts w:eastAsiaTheme="minorEastAsia"/>
          <w:kern w:val="0"/>
          <w:szCs w:val="21"/>
        </w:rPr>
      </w:pPr>
    </w:p>
    <w:p w:rsidR="00705EC3" w:rsidRPr="0045565B" w:rsidP="006A2FD2">
      <w:pPr>
        <w:tabs>
          <w:tab w:val="left" w:pos="426"/>
        </w:tabs>
        <w:spacing w:line="360" w:lineRule="auto"/>
        <w:ind w:firstLine="420" w:firstLineChars="200"/>
        <w:jc w:val="left"/>
        <w:rPr>
          <w:rFonts w:eastAsiaTheme="minorEastAsia"/>
          <w:kern w:val="0"/>
          <w:szCs w:val="21"/>
        </w:rPr>
      </w:pPr>
      <w:r w:rsidRPr="0045565B">
        <w:rPr>
          <w:rFonts w:eastAsiaTheme="minorEastAsia"/>
          <w:kern w:val="0"/>
          <w:szCs w:val="21"/>
        </w:rPr>
        <w:t>本基金非发起式基金。</w:t>
      </w:r>
    </w:p>
    <w:p w:rsidR="001548F9" w:rsidRPr="0045565B" w:rsidP="0025572E">
      <w:pPr>
        <w:pStyle w:val="Heading1"/>
        <w:keepNext/>
        <w:keepLines/>
        <w:widowControl w:val="0"/>
        <w:spacing w:before="312" w:beforeLines="100" w:after="312" w:afterLines="100" w:line="360" w:lineRule="auto"/>
        <w:jc w:val="center"/>
        <w:rPr>
          <w:rFonts w:eastAsiaTheme="minorEastAsia"/>
          <w:b/>
          <w:bCs/>
          <w:sz w:val="21"/>
          <w:szCs w:val="21"/>
          <w:lang w:val="en-US"/>
        </w:rPr>
      </w:pPr>
      <w:bookmarkStart w:id="73" w:name="_Toc331410115"/>
      <w:bookmarkStart w:id="74" w:name="_Toc225500053"/>
      <w:r w:rsidRPr="0045565B">
        <w:rPr>
          <w:rFonts w:eastAsiaTheme="minorEastAsia"/>
          <w:b/>
          <w:bCs/>
          <w:sz w:val="21"/>
          <w:szCs w:val="21"/>
          <w:lang w:val="en-US"/>
        </w:rPr>
        <w:t>9</w:t>
      </w:r>
      <w:r w:rsidRPr="0045565B" w:rsidR="00131110">
        <w:rPr>
          <w:rFonts w:eastAsiaTheme="minorEastAsia"/>
          <w:b/>
          <w:bCs/>
          <w:sz w:val="21"/>
          <w:szCs w:val="21"/>
          <w:lang w:val="en-US"/>
        </w:rPr>
        <w:t xml:space="preserve">  </w:t>
      </w:r>
      <w:r w:rsidRPr="0045565B">
        <w:rPr>
          <w:rFonts w:eastAsiaTheme="minorEastAsia"/>
          <w:b/>
          <w:bCs/>
          <w:sz w:val="21"/>
          <w:szCs w:val="21"/>
          <w:lang w:val="en-US"/>
        </w:rPr>
        <w:t>开放式基金份额变动</w:t>
      </w:r>
      <w:bookmarkEnd w:id="73"/>
      <w:bookmarkEnd w:id="74"/>
    </w:p>
    <w:p w:rsidR="001548F9" w:rsidRPr="0045565B" w:rsidP="006C6300">
      <w:pPr>
        <w:jc w:val="right"/>
        <w:rPr>
          <w:rFonts w:eastAsiaTheme="minorEastAsia"/>
          <w:szCs w:val="21"/>
        </w:rPr>
      </w:pPr>
      <w:r w:rsidRPr="0045565B">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89"/>
        <w:gridCol w:w="2998"/>
        <w:gridCol w:w="2999"/>
      </w:tblGrid>
      <w:tr w:rsidTr="006A2FD2">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771" w:type="pct"/>
            <w:vAlign w:val="center"/>
          </w:tcPr>
          <w:p w:rsidR="00343AD4" w:rsidRPr="0045565B" w:rsidP="00343AD4">
            <w:pPr>
              <w:jc w:val="center"/>
              <w:rPr>
                <w:rFonts w:eastAsiaTheme="minorEastAsia"/>
                <w:szCs w:val="21"/>
              </w:rPr>
            </w:pPr>
            <w:r w:rsidRPr="0045565B">
              <w:rPr>
                <w:rFonts w:eastAsiaTheme="minorEastAsia"/>
                <w:szCs w:val="21"/>
              </w:rPr>
              <w:t>项目</w:t>
            </w:r>
          </w:p>
        </w:tc>
        <w:tc>
          <w:tcPr>
            <w:tcW w:w="1614" w:type="pct"/>
            <w:vAlign w:val="center"/>
          </w:tcPr>
          <w:p w:rsidR="00343AD4" w:rsidRPr="0045565B" w:rsidP="00131110">
            <w:pPr>
              <w:jc w:val="center"/>
              <w:rPr>
                <w:rFonts w:eastAsiaTheme="minorEastAsia"/>
                <w:szCs w:val="21"/>
              </w:rPr>
            </w:pPr>
            <w:r w:rsidRPr="0045565B">
              <w:rPr>
                <w:rFonts w:eastAsiaTheme="minorEastAsia"/>
                <w:szCs w:val="21"/>
              </w:rPr>
              <w:t>金鹰医疗健康股票A</w:t>
            </w:r>
          </w:p>
        </w:tc>
        <w:tc>
          <w:tcPr>
            <w:tcW w:w="1615" w:type="pct"/>
            <w:vAlign w:val="center"/>
          </w:tcPr>
          <w:p w:rsidR="00343AD4" w:rsidRPr="0045565B" w:rsidP="00131110">
            <w:pPr>
              <w:jc w:val="center"/>
              <w:rPr>
                <w:rFonts w:eastAsiaTheme="minorEastAsia"/>
                <w:szCs w:val="21"/>
              </w:rPr>
            </w:pPr>
            <w:r w:rsidRPr="0045565B">
              <w:rPr>
                <w:rFonts w:eastAsiaTheme="minorEastAsia"/>
                <w:szCs w:val="21"/>
              </w:rPr>
              <w:t>金鹰医疗健康股票C</w:t>
            </w:r>
          </w:p>
        </w:tc>
      </w:tr>
      <w:tr w:rsidTr="006A2FD2">
        <w:tblPrEx>
          <w:tblW w:w="5000" w:type="pct"/>
          <w:tblInd w:w="108" w:type="dxa"/>
          <w:tblLayout w:type="fixed"/>
          <w:tblLook w:val="00A0"/>
        </w:tblPrEx>
        <w:tc>
          <w:tcPr>
            <w:tcW w:w="1771" w:type="pct"/>
            <w:vAlign w:val="center"/>
          </w:tcPr>
          <w:p w:rsidR="001548F9" w:rsidRPr="0045565B" w:rsidP="00131110">
            <w:pPr>
              <w:rPr>
                <w:rFonts w:eastAsiaTheme="minorEastAsia"/>
                <w:szCs w:val="21"/>
              </w:rPr>
            </w:pPr>
            <w:r w:rsidRPr="0045565B">
              <w:rPr>
                <w:rFonts w:eastAsiaTheme="minorEastAsia"/>
                <w:szCs w:val="21"/>
              </w:rPr>
              <w:t>基金合同生效日（</w:t>
            </w:r>
            <w:r w:rsidRPr="0045565B">
              <w:rPr>
                <w:rFonts w:eastAsiaTheme="minorEastAsia"/>
                <w:szCs w:val="21"/>
              </w:rPr>
              <w:t>2018年4月13日</w:t>
            </w:r>
            <w:r w:rsidRPr="0045565B">
              <w:rPr>
                <w:rFonts w:eastAsiaTheme="minorEastAsia"/>
                <w:szCs w:val="21"/>
              </w:rPr>
              <w:t>）基金份额总额</w:t>
            </w:r>
          </w:p>
        </w:tc>
        <w:tc>
          <w:tcPr>
            <w:tcW w:w="1614" w:type="pct"/>
            <w:vAlign w:val="center"/>
          </w:tcPr>
          <w:p w:rsidR="001548F9" w:rsidRPr="0045565B" w:rsidP="00131110">
            <w:pPr>
              <w:jc w:val="right"/>
              <w:rPr>
                <w:rFonts w:eastAsiaTheme="minorEastAsia"/>
                <w:szCs w:val="21"/>
              </w:rPr>
            </w:pPr>
            <w:r w:rsidRPr="0045565B">
              <w:rPr>
                <w:rFonts w:eastAsiaTheme="minorEastAsia"/>
                <w:szCs w:val="21"/>
              </w:rPr>
              <w:t>1,325,614.13</w:t>
            </w:r>
          </w:p>
        </w:tc>
        <w:tc>
          <w:tcPr>
            <w:tcW w:w="1615" w:type="pct"/>
            <w:vAlign w:val="center"/>
          </w:tcPr>
          <w:p w:rsidR="001548F9" w:rsidRPr="0045565B" w:rsidP="00131110">
            <w:pPr>
              <w:jc w:val="right"/>
              <w:rPr>
                <w:rFonts w:eastAsiaTheme="minorEastAsia"/>
                <w:szCs w:val="21"/>
              </w:rPr>
            </w:pPr>
            <w:r w:rsidRPr="0045565B">
              <w:rPr>
                <w:rFonts w:eastAsiaTheme="minorEastAsia"/>
                <w:szCs w:val="21"/>
              </w:rPr>
              <w:t>2,075,248.52</w:t>
            </w:r>
          </w:p>
        </w:tc>
      </w:tr>
      <w:tr w:rsidTr="006A2FD2">
        <w:tblPrEx>
          <w:tblW w:w="5000" w:type="pct"/>
          <w:tblInd w:w="108" w:type="dxa"/>
          <w:tblLayout w:type="fixed"/>
          <w:tblLook w:val="00A0"/>
        </w:tblPrEx>
        <w:tc>
          <w:tcPr>
            <w:tcW w:w="1771" w:type="pct"/>
            <w:vAlign w:val="center"/>
          </w:tcPr>
          <w:p w:rsidR="001548F9" w:rsidRPr="0045565B" w:rsidP="00131110">
            <w:pPr>
              <w:rPr>
                <w:rFonts w:eastAsiaTheme="minorEastAsia"/>
                <w:szCs w:val="21"/>
              </w:rPr>
            </w:pPr>
            <w:r w:rsidRPr="0045565B">
              <w:rPr>
                <w:rFonts w:eastAsiaTheme="minorEastAsia"/>
                <w:szCs w:val="21"/>
              </w:rPr>
              <w:t>本报告期期初基金份额总额</w:t>
            </w:r>
          </w:p>
        </w:tc>
        <w:tc>
          <w:tcPr>
            <w:tcW w:w="1614" w:type="pct"/>
            <w:vAlign w:val="center"/>
          </w:tcPr>
          <w:p w:rsidR="001548F9" w:rsidRPr="0045565B" w:rsidP="00131110">
            <w:pPr>
              <w:jc w:val="right"/>
              <w:rPr>
                <w:rFonts w:eastAsiaTheme="minorEastAsia"/>
                <w:szCs w:val="21"/>
              </w:rPr>
            </w:pPr>
            <w:r w:rsidRPr="0045565B">
              <w:rPr>
                <w:rFonts w:eastAsiaTheme="minorEastAsia"/>
                <w:szCs w:val="21"/>
              </w:rPr>
              <w:t>1,404,502.41</w:t>
            </w:r>
          </w:p>
        </w:tc>
        <w:tc>
          <w:tcPr>
            <w:tcW w:w="1615" w:type="pct"/>
            <w:vAlign w:val="center"/>
          </w:tcPr>
          <w:p w:rsidR="001548F9" w:rsidRPr="0045565B" w:rsidP="00131110">
            <w:pPr>
              <w:jc w:val="right"/>
              <w:rPr>
                <w:rFonts w:eastAsiaTheme="minorEastAsia"/>
                <w:szCs w:val="21"/>
              </w:rPr>
            </w:pPr>
            <w:r w:rsidRPr="0045565B">
              <w:rPr>
                <w:rFonts w:eastAsiaTheme="minorEastAsia"/>
                <w:szCs w:val="21"/>
              </w:rPr>
              <w:t>1,651,480.88</w:t>
            </w:r>
          </w:p>
        </w:tc>
      </w:tr>
      <w:tr w:rsidTr="006A2FD2">
        <w:tblPrEx>
          <w:tblW w:w="5000" w:type="pct"/>
          <w:tblInd w:w="108" w:type="dxa"/>
          <w:tblLayout w:type="fixed"/>
          <w:tblLook w:val="00A0"/>
        </w:tblPrEx>
        <w:tc>
          <w:tcPr>
            <w:tcW w:w="1771" w:type="pct"/>
            <w:vAlign w:val="center"/>
          </w:tcPr>
          <w:p w:rsidR="001548F9" w:rsidRPr="0045565B" w:rsidP="00131110">
            <w:pPr>
              <w:rPr>
                <w:rFonts w:eastAsiaTheme="minorEastAsia"/>
                <w:szCs w:val="21"/>
              </w:rPr>
            </w:pPr>
            <w:r w:rsidRPr="0045565B">
              <w:rPr>
                <w:rFonts w:eastAsiaTheme="minorEastAsia"/>
                <w:szCs w:val="21"/>
              </w:rPr>
              <w:t>本报告期</w:t>
            </w:r>
            <w:r w:rsidRPr="0045565B">
              <w:rPr>
                <w:rFonts w:eastAsiaTheme="minorEastAsia"/>
                <w:szCs w:val="21"/>
              </w:rPr>
              <w:t>基金总申购份额</w:t>
            </w:r>
          </w:p>
        </w:tc>
        <w:tc>
          <w:tcPr>
            <w:tcW w:w="1614" w:type="pct"/>
            <w:vAlign w:val="center"/>
          </w:tcPr>
          <w:p w:rsidR="001548F9" w:rsidRPr="0045565B" w:rsidP="00131110">
            <w:pPr>
              <w:jc w:val="right"/>
              <w:rPr>
                <w:rFonts w:eastAsiaTheme="minorEastAsia"/>
                <w:szCs w:val="21"/>
              </w:rPr>
            </w:pPr>
            <w:r w:rsidRPr="0045565B">
              <w:rPr>
                <w:rFonts w:eastAsiaTheme="minorEastAsia"/>
                <w:szCs w:val="21"/>
              </w:rPr>
              <w:t>14,412,711.56</w:t>
            </w:r>
          </w:p>
        </w:tc>
        <w:tc>
          <w:tcPr>
            <w:tcW w:w="1615" w:type="pct"/>
            <w:vAlign w:val="center"/>
          </w:tcPr>
          <w:p w:rsidR="001548F9" w:rsidRPr="0045565B" w:rsidP="00131110">
            <w:pPr>
              <w:jc w:val="right"/>
              <w:rPr>
                <w:rFonts w:eastAsiaTheme="minorEastAsia"/>
                <w:szCs w:val="21"/>
              </w:rPr>
            </w:pPr>
            <w:r w:rsidRPr="0045565B">
              <w:rPr>
                <w:rFonts w:eastAsiaTheme="minorEastAsia"/>
                <w:szCs w:val="21"/>
              </w:rPr>
              <w:t>22,878,179.64</w:t>
            </w:r>
          </w:p>
        </w:tc>
      </w:tr>
      <w:tr w:rsidTr="006A2FD2">
        <w:tblPrEx>
          <w:tblW w:w="5000" w:type="pct"/>
          <w:tblInd w:w="108" w:type="dxa"/>
          <w:tblLayout w:type="fixed"/>
          <w:tblLook w:val="00A0"/>
        </w:tblPrEx>
        <w:tc>
          <w:tcPr>
            <w:tcW w:w="1771" w:type="pct"/>
            <w:vAlign w:val="center"/>
          </w:tcPr>
          <w:p w:rsidR="001548F9" w:rsidRPr="0045565B" w:rsidP="00131110">
            <w:pPr>
              <w:rPr>
                <w:rFonts w:eastAsiaTheme="minorEastAsia"/>
                <w:szCs w:val="21"/>
              </w:rPr>
            </w:pPr>
            <w:r w:rsidRPr="0045565B">
              <w:rPr>
                <w:rFonts w:eastAsiaTheme="minorEastAsia"/>
                <w:szCs w:val="21"/>
              </w:rPr>
              <w:t>减：</w:t>
            </w:r>
            <w:r w:rsidRPr="0045565B" w:rsidR="005151E7">
              <w:rPr>
                <w:rFonts w:eastAsiaTheme="minorEastAsia"/>
                <w:szCs w:val="21"/>
              </w:rPr>
              <w:t>本报告期</w:t>
            </w:r>
            <w:r w:rsidRPr="0045565B">
              <w:rPr>
                <w:rFonts w:eastAsiaTheme="minorEastAsia"/>
                <w:szCs w:val="21"/>
              </w:rPr>
              <w:t>基金总赎回份额</w:t>
            </w:r>
          </w:p>
        </w:tc>
        <w:tc>
          <w:tcPr>
            <w:tcW w:w="1614" w:type="pct"/>
            <w:vAlign w:val="center"/>
          </w:tcPr>
          <w:p w:rsidR="001548F9" w:rsidRPr="0045565B" w:rsidP="00131110">
            <w:pPr>
              <w:jc w:val="right"/>
              <w:rPr>
                <w:rFonts w:eastAsiaTheme="minorEastAsia"/>
                <w:szCs w:val="21"/>
              </w:rPr>
            </w:pPr>
            <w:r w:rsidRPr="0045565B">
              <w:rPr>
                <w:rFonts w:eastAsiaTheme="minorEastAsia"/>
                <w:szCs w:val="21"/>
              </w:rPr>
              <w:t>9,122,441.20</w:t>
            </w:r>
          </w:p>
        </w:tc>
        <w:tc>
          <w:tcPr>
            <w:tcW w:w="1615" w:type="pct"/>
            <w:vAlign w:val="center"/>
          </w:tcPr>
          <w:p w:rsidR="001548F9" w:rsidRPr="0045565B" w:rsidP="00131110">
            <w:pPr>
              <w:jc w:val="right"/>
              <w:rPr>
                <w:rFonts w:eastAsiaTheme="minorEastAsia"/>
                <w:szCs w:val="21"/>
              </w:rPr>
            </w:pPr>
            <w:r w:rsidRPr="0045565B">
              <w:rPr>
                <w:rFonts w:eastAsiaTheme="minorEastAsia"/>
                <w:szCs w:val="21"/>
              </w:rPr>
              <w:t>16,909,493.56</w:t>
            </w:r>
          </w:p>
        </w:tc>
      </w:tr>
      <w:tr w:rsidTr="006A2FD2">
        <w:tblPrEx>
          <w:tblW w:w="5000" w:type="pct"/>
          <w:tblInd w:w="108" w:type="dxa"/>
          <w:tblLayout w:type="fixed"/>
          <w:tblLook w:val="00A0"/>
        </w:tblPrEx>
        <w:tc>
          <w:tcPr>
            <w:tcW w:w="1771" w:type="pct"/>
            <w:vAlign w:val="center"/>
          </w:tcPr>
          <w:p w:rsidR="001548F9" w:rsidRPr="0045565B" w:rsidP="00131110">
            <w:pPr>
              <w:rPr>
                <w:rFonts w:eastAsiaTheme="minorEastAsia"/>
                <w:szCs w:val="21"/>
              </w:rPr>
            </w:pPr>
            <w:r w:rsidRPr="0045565B">
              <w:rPr>
                <w:rFonts w:eastAsiaTheme="minorEastAsia"/>
                <w:szCs w:val="21"/>
              </w:rPr>
              <w:t>本报告期</w:t>
            </w:r>
            <w:r w:rsidRPr="0045565B">
              <w:rPr>
                <w:rFonts w:eastAsiaTheme="minorEastAsia"/>
                <w:szCs w:val="21"/>
              </w:rPr>
              <w:t>基金拆分变动份额</w:t>
            </w:r>
          </w:p>
        </w:tc>
        <w:tc>
          <w:tcPr>
            <w:tcW w:w="1614" w:type="pct"/>
            <w:vAlign w:val="center"/>
          </w:tcPr>
          <w:p w:rsidR="001548F9" w:rsidRPr="0045565B" w:rsidP="00131110">
            <w:pPr>
              <w:jc w:val="right"/>
              <w:rPr>
                <w:rFonts w:eastAsiaTheme="minorEastAsia"/>
                <w:szCs w:val="21"/>
              </w:rPr>
            </w:pPr>
            <w:r w:rsidRPr="0045565B">
              <w:rPr>
                <w:rFonts w:eastAsiaTheme="minorEastAsia"/>
                <w:szCs w:val="21"/>
              </w:rPr>
              <w:t>-</w:t>
            </w:r>
          </w:p>
        </w:tc>
        <w:tc>
          <w:tcPr>
            <w:tcW w:w="1615" w:type="pct"/>
            <w:vAlign w:val="center"/>
          </w:tcPr>
          <w:p w:rsidR="001548F9" w:rsidRPr="0045565B" w:rsidP="00131110">
            <w:pPr>
              <w:jc w:val="right"/>
              <w:rPr>
                <w:rFonts w:eastAsiaTheme="minorEastAsia"/>
                <w:szCs w:val="21"/>
              </w:rPr>
            </w:pPr>
            <w:r w:rsidRPr="0045565B">
              <w:rPr>
                <w:rFonts w:eastAsiaTheme="minorEastAsia"/>
                <w:szCs w:val="21"/>
              </w:rPr>
              <w:t>-</w:t>
            </w:r>
          </w:p>
        </w:tc>
      </w:tr>
      <w:tr w:rsidTr="006A2FD2">
        <w:tblPrEx>
          <w:tblW w:w="5000" w:type="pct"/>
          <w:tblInd w:w="108" w:type="dxa"/>
          <w:tblLayout w:type="fixed"/>
          <w:tblLook w:val="00A0"/>
        </w:tblPrEx>
        <w:tc>
          <w:tcPr>
            <w:tcW w:w="1771" w:type="pct"/>
            <w:vAlign w:val="center"/>
          </w:tcPr>
          <w:p w:rsidR="001548F9" w:rsidRPr="0045565B" w:rsidP="00131110">
            <w:pPr>
              <w:rPr>
                <w:rFonts w:eastAsiaTheme="minorEastAsia"/>
                <w:szCs w:val="21"/>
              </w:rPr>
            </w:pPr>
            <w:r w:rsidRPr="0045565B">
              <w:rPr>
                <w:rFonts w:eastAsiaTheme="minorEastAsia"/>
                <w:szCs w:val="21"/>
              </w:rPr>
              <w:t>本报告期期末基金份额总额</w:t>
            </w:r>
          </w:p>
        </w:tc>
        <w:tc>
          <w:tcPr>
            <w:tcW w:w="1614" w:type="pct"/>
            <w:vAlign w:val="center"/>
          </w:tcPr>
          <w:p w:rsidR="001548F9" w:rsidRPr="0045565B" w:rsidP="00131110">
            <w:pPr>
              <w:jc w:val="right"/>
              <w:rPr>
                <w:rFonts w:eastAsiaTheme="minorEastAsia"/>
                <w:szCs w:val="21"/>
              </w:rPr>
            </w:pPr>
            <w:r w:rsidRPr="0045565B">
              <w:rPr>
                <w:rFonts w:eastAsiaTheme="minorEastAsia"/>
                <w:szCs w:val="21"/>
              </w:rPr>
              <w:t>6,694,772.77</w:t>
            </w:r>
          </w:p>
        </w:tc>
        <w:tc>
          <w:tcPr>
            <w:tcW w:w="1615" w:type="pct"/>
            <w:vAlign w:val="center"/>
          </w:tcPr>
          <w:p w:rsidR="001548F9" w:rsidRPr="0045565B" w:rsidP="00131110">
            <w:pPr>
              <w:jc w:val="right"/>
              <w:rPr>
                <w:rFonts w:eastAsiaTheme="minorEastAsia"/>
                <w:szCs w:val="21"/>
              </w:rPr>
            </w:pPr>
            <w:r w:rsidRPr="0045565B">
              <w:rPr>
                <w:rFonts w:eastAsiaTheme="minorEastAsia"/>
                <w:szCs w:val="21"/>
              </w:rPr>
              <w:t>7,620,166.96</w:t>
            </w:r>
          </w:p>
        </w:tc>
      </w:tr>
    </w:tbl>
    <w:p w:rsidR="001548F9" w:rsidRPr="0045565B" w:rsidP="0025572E">
      <w:pPr>
        <w:pStyle w:val="Heading1"/>
        <w:keepNext/>
        <w:keepLines/>
        <w:widowControl w:val="0"/>
        <w:spacing w:before="312" w:beforeLines="100" w:after="312" w:afterLines="100" w:line="360" w:lineRule="auto"/>
        <w:jc w:val="center"/>
        <w:rPr>
          <w:rFonts w:eastAsiaTheme="minorEastAsia"/>
          <w:b/>
          <w:bCs/>
          <w:sz w:val="21"/>
          <w:szCs w:val="21"/>
          <w:lang w:val="en-US"/>
        </w:rPr>
      </w:pPr>
      <w:bookmarkStart w:id="75" w:name="_Toc331410116"/>
      <w:bookmarkStart w:id="76" w:name="_Toc225500054"/>
      <w:r w:rsidRPr="0045565B">
        <w:rPr>
          <w:rFonts w:eastAsiaTheme="minorEastAsia"/>
          <w:b/>
          <w:bCs/>
          <w:sz w:val="21"/>
          <w:szCs w:val="21"/>
          <w:lang w:val="en-US"/>
        </w:rPr>
        <w:t xml:space="preserve">10  </w:t>
      </w:r>
      <w:r w:rsidRPr="0045565B">
        <w:rPr>
          <w:rFonts w:eastAsiaTheme="minorEastAsia"/>
          <w:b/>
          <w:bCs/>
          <w:sz w:val="21"/>
          <w:szCs w:val="21"/>
          <w:lang w:val="en-US"/>
        </w:rPr>
        <w:t>重大事件揭示</w:t>
      </w:r>
      <w:bookmarkEnd w:id="75"/>
      <w:bookmarkEnd w:id="76"/>
    </w:p>
    <w:p w:rsidR="00FA7D39" w:rsidRPr="0091212A" w:rsidP="00FA7D39">
      <w:pPr>
        <w:pStyle w:val="Heading2"/>
        <w:spacing w:before="0" w:after="0"/>
        <w:rPr>
          <w:rFonts w:asciiTheme="minorEastAsia" w:eastAsiaTheme="minorEastAsia" w:hAnsiTheme="minorEastAsia"/>
          <w:kern w:val="0"/>
          <w:sz w:val="21"/>
          <w:szCs w:val="21"/>
        </w:rPr>
      </w:pPr>
      <w:bookmarkStart w:id="77" w:name="_Toc361324894"/>
      <w:bookmarkStart w:id="78" w:name="_Toc374438161"/>
      <w:r w:rsidRPr="00FA7D39">
        <w:rPr>
          <w:rFonts w:ascii="Times New Roman" w:hAnsi="Times New Roman" w:eastAsiaTheme="minorEastAsia"/>
          <w:bCs w:val="0"/>
          <w:color w:val="000000" w:themeColor="text1"/>
          <w:sz w:val="21"/>
          <w:szCs w:val="21"/>
        </w:rPr>
        <w:t>10.1</w:t>
      </w:r>
      <w:r w:rsidRPr="00FA7D39">
        <w:rPr>
          <w:rFonts w:ascii="Times New Roman" w:hAnsi="Times New Roman" w:eastAsiaTheme="minorEastAsia"/>
          <w:bCs w:val="0"/>
          <w:color w:val="000000" w:themeColor="text1"/>
          <w:sz w:val="21"/>
          <w:szCs w:val="21"/>
        </w:rPr>
        <w:tab/>
      </w:r>
      <w:r w:rsidRPr="00FA7D39">
        <w:rPr>
          <w:rFonts w:ascii="Times New Roman" w:hAnsi="Times New Roman" w:eastAsiaTheme="minorEastAsia" w:hint="eastAsia"/>
          <w:bCs w:val="0"/>
          <w:color w:val="000000" w:themeColor="text1"/>
          <w:sz w:val="21"/>
          <w:szCs w:val="21"/>
        </w:rPr>
        <w:t>基金份</w:t>
      </w:r>
      <w:r w:rsidRPr="0091212A">
        <w:rPr>
          <w:rFonts w:asciiTheme="minorEastAsia" w:eastAsiaTheme="minorEastAsia" w:hAnsiTheme="minorEastAsia" w:hint="eastAsia"/>
          <w:kern w:val="0"/>
          <w:sz w:val="21"/>
          <w:szCs w:val="21"/>
        </w:rPr>
        <w:t>额持有人大会决议</w:t>
      </w:r>
      <w:bookmarkEnd w:id="77"/>
      <w:bookmarkEnd w:id="78"/>
    </w:p>
    <w:p w:rsidR="00FA7D39" w:rsidRPr="00AD22E5" w:rsidP="00FA7D39">
      <w:pPr>
        <w:tabs>
          <w:tab w:val="left" w:pos="426"/>
        </w:tabs>
        <w:spacing w:line="360" w:lineRule="auto"/>
        <w:ind w:firstLine="420" w:firstLineChars="200"/>
        <w:jc w:val="left"/>
        <w:rPr>
          <w:rFonts w:eastAsiaTheme="minorEastAsia"/>
          <w:kern w:val="0"/>
          <w:szCs w:val="21"/>
        </w:rPr>
      </w:pPr>
      <w:r w:rsidRPr="00AD22E5">
        <w:rPr>
          <w:rFonts w:eastAsiaTheme="minorEastAsia"/>
          <w:kern w:val="0"/>
          <w:szCs w:val="21"/>
        </w:rPr>
        <w:t>本基金本报告期内未召开基金份额持有人大会，无会议决议。</w:t>
      </w:r>
    </w:p>
    <w:p w:rsidR="00FA7D39" w:rsidRPr="0091212A" w:rsidP="00FA7D39">
      <w:pPr>
        <w:pStyle w:val="Heading2"/>
        <w:spacing w:before="0" w:after="0"/>
        <w:rPr>
          <w:rFonts w:asciiTheme="minorEastAsia" w:eastAsiaTheme="minorEastAsia" w:hAnsiTheme="minorEastAsia"/>
          <w:kern w:val="0"/>
          <w:sz w:val="21"/>
          <w:szCs w:val="21"/>
        </w:rPr>
      </w:pPr>
      <w:bookmarkStart w:id="79" w:name="_Toc361324895"/>
      <w:bookmarkStart w:id="80" w:name="_Toc374438162"/>
      <w:r w:rsidRPr="00FA7D39">
        <w:rPr>
          <w:rFonts w:ascii="Times New Roman" w:hAnsi="Times New Roman" w:eastAsiaTheme="minorEastAsia"/>
          <w:bCs w:val="0"/>
          <w:color w:val="000000" w:themeColor="text1"/>
          <w:sz w:val="21"/>
          <w:szCs w:val="21"/>
        </w:rPr>
        <w:t>10.2</w:t>
      </w:r>
      <w:r w:rsidRPr="00FA7D39">
        <w:rPr>
          <w:rFonts w:ascii="Times New Roman" w:hAnsi="Times New Roman" w:eastAsiaTheme="minorEastAsia"/>
          <w:bCs w:val="0"/>
          <w:color w:val="000000" w:themeColor="text1"/>
          <w:sz w:val="21"/>
          <w:szCs w:val="21"/>
        </w:rPr>
        <w:tab/>
      </w:r>
      <w:r w:rsidRPr="00FA7D39">
        <w:rPr>
          <w:rFonts w:ascii="Times New Roman" w:hAnsi="Times New Roman" w:eastAsiaTheme="minorEastAsia" w:hint="eastAsia"/>
          <w:bCs w:val="0"/>
          <w:color w:val="000000" w:themeColor="text1"/>
          <w:sz w:val="21"/>
          <w:szCs w:val="21"/>
        </w:rPr>
        <w:t>基金管理人、</w:t>
      </w:r>
      <w:r w:rsidRPr="0091212A">
        <w:rPr>
          <w:rFonts w:asciiTheme="minorEastAsia" w:eastAsiaTheme="minorEastAsia" w:hAnsiTheme="minorEastAsia" w:hint="eastAsia"/>
          <w:kern w:val="0"/>
          <w:sz w:val="21"/>
          <w:szCs w:val="21"/>
        </w:rPr>
        <w:t>基金托管人的专门基金托管部门的重大人事变动</w:t>
      </w:r>
      <w:bookmarkEnd w:id="79"/>
      <w:bookmarkEnd w:id="80"/>
    </w:p>
    <w:p>
      <w:pPr>
        <w:tabs>
          <w:tab w:val="left" w:pos="426"/>
        </w:tabs>
        <w:spacing w:line="360" w:lineRule="auto"/>
        <w:ind w:firstLine="420" w:firstLineChars="200"/>
        <w:jc w:val="left"/>
        <w:rPr>
          <w:rFonts w:eastAsiaTheme="minorEastAsia"/>
          <w:kern w:val="0"/>
          <w:szCs w:val="21"/>
        </w:rPr>
      </w:pPr>
      <w:r>
        <w:rPr>
          <w:rFonts w:eastAsiaTheme="minorEastAsia"/>
          <w:kern w:val="0"/>
          <w:szCs w:val="21"/>
        </w:rPr>
        <w:t>1、经本基金管理人第六届董事会第三十四次会议审议通过，报中国证券投资基金业协会、中国证券监督管理委员会广东监管局备案，并于2019年3月5日在证监会指定媒体披露，聘请刘志刚先生担任公司总经理，李兆廷先生不再代为履行金鹰基金管理有限公司总经理职责。</w:t>
      </w:r>
    </w:p>
    <w:p>
      <w:pPr>
        <w:tabs>
          <w:tab w:val="left" w:pos="426"/>
        </w:tabs>
        <w:spacing w:line="360" w:lineRule="auto"/>
        <w:ind w:firstLine="420" w:firstLineChars="200"/>
        <w:jc w:val="left"/>
        <w:rPr>
          <w:rFonts w:eastAsiaTheme="minorEastAsia"/>
          <w:kern w:val="0"/>
          <w:szCs w:val="21"/>
        </w:rPr>
      </w:pPr>
      <w:r>
        <w:rPr>
          <w:rFonts w:eastAsiaTheme="minorEastAsia"/>
          <w:kern w:val="0"/>
          <w:szCs w:val="21"/>
        </w:rPr>
        <w:t>经广东省工商行政管理局核准，本基金管理人法定代表人于2019年3月27日由李兆廷先生变更为刘志刚先生。</w:t>
      </w:r>
    </w:p>
    <w:p w:rsidR="00FA7D39" w:rsidRPr="00AD22E5" w:rsidP="00FA7D39">
      <w:pPr>
        <w:tabs>
          <w:tab w:val="left" w:pos="426"/>
        </w:tabs>
        <w:spacing w:line="360" w:lineRule="auto"/>
        <w:ind w:firstLine="420" w:firstLineChars="200"/>
        <w:jc w:val="left"/>
        <w:rPr>
          <w:rFonts w:eastAsiaTheme="minorEastAsia"/>
          <w:kern w:val="0"/>
          <w:szCs w:val="21"/>
        </w:rPr>
      </w:pPr>
      <w:r w:rsidRPr="00AD22E5">
        <w:rPr>
          <w:rFonts w:eastAsiaTheme="minorEastAsia"/>
          <w:kern w:val="0"/>
          <w:szCs w:val="21"/>
        </w:rPr>
        <w:t>2、本报告期内，本基金托管人的专门基金托管部门无重大人事变动。</w:t>
      </w:r>
    </w:p>
    <w:p w:rsidR="00FA7D39" w:rsidRPr="0091212A" w:rsidP="00FA7D39">
      <w:pPr>
        <w:pStyle w:val="Heading2"/>
        <w:spacing w:before="0" w:after="0"/>
        <w:rPr>
          <w:rFonts w:asciiTheme="minorEastAsia" w:eastAsiaTheme="minorEastAsia" w:hAnsiTheme="minorEastAsia"/>
          <w:kern w:val="0"/>
          <w:sz w:val="21"/>
          <w:szCs w:val="21"/>
        </w:rPr>
      </w:pPr>
      <w:bookmarkStart w:id="81" w:name="_Toc361324896"/>
      <w:bookmarkStart w:id="82" w:name="_Toc374438163"/>
      <w:r w:rsidRPr="00FA7D39">
        <w:rPr>
          <w:rFonts w:ascii="Times New Roman" w:hAnsi="Times New Roman" w:eastAsiaTheme="minorEastAsia"/>
          <w:bCs w:val="0"/>
          <w:color w:val="000000" w:themeColor="text1"/>
          <w:sz w:val="21"/>
          <w:szCs w:val="21"/>
        </w:rPr>
        <w:t>10.3</w:t>
      </w:r>
      <w:r w:rsidRPr="00FA7D39">
        <w:rPr>
          <w:rFonts w:ascii="Times New Roman" w:hAnsi="Times New Roman" w:eastAsiaTheme="minorEastAsia"/>
          <w:bCs w:val="0"/>
          <w:color w:val="000000" w:themeColor="text1"/>
          <w:sz w:val="21"/>
          <w:szCs w:val="21"/>
        </w:rPr>
        <w:tab/>
      </w:r>
      <w:r w:rsidRPr="00FA7D39">
        <w:rPr>
          <w:rFonts w:ascii="Times New Roman" w:hAnsi="Times New Roman" w:eastAsiaTheme="minorEastAsia" w:hint="eastAsia"/>
          <w:bCs w:val="0"/>
          <w:color w:val="000000" w:themeColor="text1"/>
          <w:sz w:val="21"/>
          <w:szCs w:val="21"/>
        </w:rPr>
        <w:t>涉及</w:t>
      </w:r>
      <w:r w:rsidRPr="0091212A">
        <w:rPr>
          <w:rFonts w:asciiTheme="minorEastAsia" w:eastAsiaTheme="minorEastAsia" w:hAnsiTheme="minorEastAsia" w:hint="eastAsia"/>
          <w:kern w:val="0"/>
          <w:sz w:val="21"/>
          <w:szCs w:val="21"/>
        </w:rPr>
        <w:t>基金管理人、基金财产、基金托管业务的诉讼</w:t>
      </w:r>
      <w:bookmarkEnd w:id="81"/>
      <w:bookmarkEnd w:id="82"/>
    </w:p>
    <w:p w:rsidR="00FA7D39" w:rsidRPr="00AD22E5" w:rsidP="00FA7D39">
      <w:pPr>
        <w:tabs>
          <w:tab w:val="left" w:pos="426"/>
        </w:tabs>
        <w:spacing w:line="360" w:lineRule="auto"/>
        <w:ind w:firstLine="420" w:firstLineChars="200"/>
        <w:jc w:val="left"/>
        <w:rPr>
          <w:rFonts w:eastAsiaTheme="minorEastAsia"/>
          <w:kern w:val="0"/>
          <w:szCs w:val="21"/>
        </w:rPr>
      </w:pPr>
      <w:r w:rsidRPr="00AD22E5">
        <w:rPr>
          <w:rFonts w:eastAsiaTheme="minorEastAsia"/>
          <w:kern w:val="0"/>
          <w:szCs w:val="21"/>
        </w:rPr>
        <w:t>本报告期内未发生涉及基金管理人、基金财产、基金托管业务的诉讼。</w:t>
      </w:r>
    </w:p>
    <w:p w:rsidR="00FA7D39" w:rsidRPr="0091212A" w:rsidP="00FA7D39">
      <w:pPr>
        <w:pStyle w:val="Heading2"/>
        <w:spacing w:before="0" w:after="0"/>
        <w:rPr>
          <w:rFonts w:asciiTheme="minorEastAsia" w:eastAsiaTheme="minorEastAsia" w:hAnsiTheme="minorEastAsia"/>
          <w:kern w:val="0"/>
          <w:sz w:val="21"/>
          <w:szCs w:val="21"/>
        </w:rPr>
      </w:pPr>
      <w:bookmarkStart w:id="83" w:name="_Toc361324897"/>
      <w:bookmarkStart w:id="84" w:name="_Toc374438164"/>
      <w:r w:rsidRPr="00FA7D39">
        <w:rPr>
          <w:rFonts w:ascii="Times New Roman" w:hAnsi="Times New Roman" w:eastAsiaTheme="minorEastAsia"/>
          <w:bCs w:val="0"/>
          <w:color w:val="000000" w:themeColor="text1"/>
          <w:sz w:val="21"/>
          <w:szCs w:val="21"/>
        </w:rPr>
        <w:t>10.4</w:t>
      </w:r>
      <w:r w:rsidRPr="00FA7D39">
        <w:rPr>
          <w:rFonts w:ascii="Times New Roman" w:hAnsi="Times New Roman" w:eastAsiaTheme="minorEastAsia"/>
          <w:bCs w:val="0"/>
          <w:color w:val="000000" w:themeColor="text1"/>
          <w:sz w:val="21"/>
          <w:szCs w:val="21"/>
        </w:rPr>
        <w:tab/>
      </w:r>
      <w:r w:rsidRPr="00FA7D39">
        <w:rPr>
          <w:rFonts w:ascii="Times New Roman" w:hAnsi="Times New Roman" w:eastAsiaTheme="minorEastAsia" w:hint="eastAsia"/>
          <w:bCs w:val="0"/>
          <w:color w:val="000000" w:themeColor="text1"/>
          <w:sz w:val="21"/>
          <w:szCs w:val="21"/>
        </w:rPr>
        <w:t>基金</w:t>
      </w:r>
      <w:r w:rsidRPr="0091212A">
        <w:rPr>
          <w:rFonts w:asciiTheme="minorEastAsia" w:eastAsiaTheme="minorEastAsia" w:hAnsiTheme="minorEastAsia" w:hint="eastAsia"/>
          <w:kern w:val="0"/>
          <w:sz w:val="21"/>
          <w:szCs w:val="21"/>
        </w:rPr>
        <w:t>投资策略的改变</w:t>
      </w:r>
      <w:bookmarkEnd w:id="83"/>
      <w:bookmarkEnd w:id="84"/>
    </w:p>
    <w:p w:rsidR="00FA7D39" w:rsidRPr="00F13227" w:rsidP="00FA7D39">
      <w:pPr>
        <w:tabs>
          <w:tab w:val="left" w:pos="426"/>
        </w:tabs>
        <w:spacing w:line="360" w:lineRule="auto"/>
        <w:ind w:firstLine="420" w:firstLineChars="200"/>
        <w:jc w:val="left"/>
        <w:rPr>
          <w:rFonts w:eastAsiaTheme="minorEastAsia"/>
          <w:kern w:val="0"/>
          <w:szCs w:val="21"/>
        </w:rPr>
      </w:pPr>
      <w:r w:rsidRPr="00AD22E5">
        <w:rPr>
          <w:rFonts w:eastAsiaTheme="minorEastAsia"/>
          <w:kern w:val="0"/>
          <w:szCs w:val="21"/>
        </w:rPr>
        <w:t>本基金报告期内没有改变基金投资策略。</w:t>
      </w:r>
    </w:p>
    <w:p w:rsidR="00FA7D39" w:rsidRPr="00114CA1" w:rsidP="00FA7D39">
      <w:pPr>
        <w:pStyle w:val="Heading2"/>
        <w:spacing w:before="0" w:after="0"/>
        <w:rPr>
          <w:rFonts w:ascii="Times New Roman" w:hAnsi="Times New Roman" w:eastAsiaTheme="minorEastAsia"/>
          <w:color w:val="000000" w:themeColor="text1"/>
          <w:kern w:val="0"/>
          <w:sz w:val="21"/>
          <w:szCs w:val="21"/>
        </w:rPr>
      </w:pPr>
      <w:bookmarkStart w:id="85" w:name="_Toc409100466"/>
      <w:bookmarkStart w:id="86" w:name="_Toc409100103"/>
      <w:r w:rsidRPr="00FA7D39">
        <w:rPr>
          <w:rFonts w:ascii="Times New Roman" w:hAnsi="Times New Roman" w:eastAsiaTheme="minorEastAsia"/>
          <w:bCs w:val="0"/>
          <w:color w:val="000000" w:themeColor="text1"/>
          <w:sz w:val="21"/>
          <w:szCs w:val="21"/>
        </w:rPr>
        <w:t>10.5</w:t>
      </w:r>
      <w:r w:rsidRPr="00FA7D39">
        <w:rPr>
          <w:rFonts w:ascii="Times New Roman" w:hAnsi="Times New Roman" w:eastAsiaTheme="minorEastAsia"/>
          <w:bCs w:val="0"/>
          <w:color w:val="000000" w:themeColor="text1"/>
          <w:sz w:val="21"/>
          <w:szCs w:val="21"/>
        </w:rPr>
        <w:t>为基金</w:t>
      </w:r>
      <w:r w:rsidRPr="00114CA1">
        <w:rPr>
          <w:rFonts w:ascii="Times New Roman" w:hAnsi="Times New Roman" w:eastAsiaTheme="minorEastAsia"/>
          <w:color w:val="000000" w:themeColor="text1"/>
          <w:sz w:val="21"/>
          <w:szCs w:val="21"/>
        </w:rPr>
        <w:t>进行审计的会计师事务所情况</w:t>
      </w:r>
      <w:bookmarkEnd w:id="85"/>
      <w:bookmarkEnd w:id="86"/>
    </w:p>
    <w:p w:rsidR="00FA7D39" w:rsidRPr="00114CA1" w:rsidP="00FA7D39">
      <w:pPr>
        <w:spacing w:line="360" w:lineRule="auto"/>
        <w:ind w:firstLine="420" w:firstLineChars="200"/>
        <w:rPr>
          <w:rFonts w:eastAsiaTheme="minorEastAsia"/>
          <w:color w:val="000000" w:themeColor="text1"/>
          <w:szCs w:val="21"/>
        </w:rPr>
      </w:pPr>
      <w:bookmarkStart w:id="87" w:name="OLE_LINK3"/>
      <w:r w:rsidRPr="00114CA1">
        <w:rPr>
          <w:rFonts w:eastAsiaTheme="minorEastAsia"/>
          <w:color w:val="000000" w:themeColor="text1"/>
          <w:szCs w:val="21"/>
        </w:rPr>
        <w:t>本报告期未改聘会计师事务所。</w:t>
      </w:r>
    </w:p>
    <w:p w:rsidR="00FA7D39" w:rsidRPr="00114CA1" w:rsidP="00FA7D39">
      <w:pPr>
        <w:pStyle w:val="Heading2"/>
        <w:spacing w:before="0" w:after="0"/>
        <w:rPr>
          <w:rFonts w:ascii="Times New Roman" w:hAnsi="Times New Roman" w:eastAsiaTheme="minorEastAsia"/>
          <w:color w:val="000000" w:themeColor="text1"/>
          <w:kern w:val="0"/>
          <w:sz w:val="21"/>
          <w:szCs w:val="21"/>
        </w:rPr>
      </w:pPr>
      <w:bookmarkStart w:id="88" w:name="_Toc409100104"/>
      <w:bookmarkStart w:id="89" w:name="_Toc409100467"/>
      <w:bookmarkStart w:id="90" w:name="_Toc361324899"/>
      <w:bookmarkEnd w:id="87"/>
      <w:r w:rsidRPr="00FA7D39">
        <w:rPr>
          <w:rFonts w:ascii="Times New Roman" w:hAnsi="Times New Roman" w:eastAsiaTheme="minorEastAsia"/>
          <w:bCs w:val="0"/>
          <w:color w:val="000000" w:themeColor="text1"/>
          <w:sz w:val="21"/>
          <w:szCs w:val="21"/>
        </w:rPr>
        <w:t>10.6</w:t>
      </w:r>
      <w:r w:rsidRPr="00FA7D39">
        <w:rPr>
          <w:rFonts w:ascii="Times New Roman" w:hAnsi="Times New Roman" w:eastAsiaTheme="minorEastAsia"/>
          <w:bCs w:val="0"/>
          <w:color w:val="000000" w:themeColor="text1"/>
          <w:sz w:val="21"/>
          <w:szCs w:val="21"/>
        </w:rPr>
        <w:t>管理人、</w:t>
      </w:r>
      <w:r w:rsidRPr="00114CA1">
        <w:rPr>
          <w:rFonts w:ascii="Times New Roman" w:hAnsi="Times New Roman" w:eastAsiaTheme="minorEastAsia"/>
          <w:color w:val="000000" w:themeColor="text1"/>
          <w:kern w:val="0"/>
          <w:sz w:val="21"/>
          <w:szCs w:val="21"/>
        </w:rPr>
        <w:t>托管人及其高级管理人员受稽查或处罚等情况</w:t>
      </w:r>
      <w:bookmarkEnd w:id="88"/>
      <w:bookmarkEnd w:id="89"/>
      <w:bookmarkEnd w:id="90"/>
    </w:p>
    <w:p w:rsidR="00FA7D39" w:rsidRPr="00114CA1" w:rsidP="00FA7D39">
      <w:pPr>
        <w:spacing w:line="360" w:lineRule="auto"/>
        <w:ind w:firstLine="420" w:firstLineChars="200"/>
        <w:rPr>
          <w:rFonts w:eastAsiaTheme="minorEastAsia"/>
          <w:color w:val="000000" w:themeColor="text1"/>
          <w:szCs w:val="21"/>
        </w:rPr>
      </w:pPr>
      <w:r w:rsidRPr="00114CA1">
        <w:rPr>
          <w:rFonts w:eastAsiaTheme="minorEastAsia"/>
          <w:color w:val="000000" w:themeColor="text1"/>
          <w:szCs w:val="21"/>
        </w:rPr>
        <w:t>本报告期内基金管理人、基金托管人的托管业务部门及其相关高级管理人员无受稽查或处罚等情况。</w:t>
      </w:r>
    </w:p>
    <w:p w:rsidR="00FA7D39" w:rsidRPr="00FA7D39" w:rsidP="00FA7D39">
      <w:pPr>
        <w:pStyle w:val="Heading2"/>
        <w:spacing w:before="0" w:after="0"/>
        <w:rPr>
          <w:rFonts w:ascii="Times New Roman" w:hAnsi="Times New Roman" w:eastAsiaTheme="minorEastAsia"/>
          <w:bCs w:val="0"/>
          <w:color w:val="000000" w:themeColor="text1"/>
          <w:sz w:val="21"/>
          <w:szCs w:val="21"/>
        </w:rPr>
      </w:pPr>
      <w:bookmarkStart w:id="91" w:name="_Toc361324900"/>
      <w:bookmarkStart w:id="92" w:name="_Toc409100468"/>
      <w:bookmarkStart w:id="93" w:name="_Toc409100105"/>
      <w:r w:rsidRPr="00FA7D39">
        <w:rPr>
          <w:rFonts w:ascii="Times New Roman" w:hAnsi="Times New Roman" w:eastAsiaTheme="minorEastAsia"/>
          <w:bCs w:val="0"/>
          <w:color w:val="000000" w:themeColor="text1"/>
          <w:sz w:val="21"/>
          <w:szCs w:val="21"/>
        </w:rPr>
        <w:t>10.7</w:t>
      </w:r>
      <w:r w:rsidRPr="00FA7D39">
        <w:rPr>
          <w:rFonts w:ascii="Times New Roman" w:hAnsi="Times New Roman" w:eastAsiaTheme="minorEastAsia"/>
          <w:bCs w:val="0"/>
          <w:color w:val="000000" w:themeColor="text1"/>
          <w:sz w:val="21"/>
          <w:szCs w:val="21"/>
        </w:rPr>
        <w:t>基金租用证券公司交易单元的有关情况</w:t>
      </w:r>
      <w:bookmarkEnd w:id="91"/>
      <w:bookmarkEnd w:id="92"/>
      <w:bookmarkEnd w:id="93"/>
    </w:p>
    <w:p w:rsidR="00FA7D39" w:rsidRPr="00114CA1" w:rsidP="00FA7D39">
      <w:pPr>
        <w:spacing w:line="360" w:lineRule="auto"/>
        <w:rPr>
          <w:rFonts w:eastAsiaTheme="minorEastAsia"/>
          <w:b/>
          <w:color w:val="000000" w:themeColor="text1"/>
          <w:szCs w:val="21"/>
        </w:rPr>
      </w:pPr>
      <w:bookmarkStart w:id="94" w:name="_Toc249760070"/>
      <w:r w:rsidRPr="00FA7D39">
        <w:rPr>
          <w:rFonts w:eastAsiaTheme="minorEastAsia"/>
          <w:b/>
          <w:color w:val="000000" w:themeColor="text1"/>
          <w:szCs w:val="21"/>
        </w:rPr>
        <w:t>10.7.</w:t>
      </w:r>
      <w:r w:rsidRPr="00FA7D39">
        <w:rPr>
          <w:rFonts w:eastAsiaTheme="minorEastAsia"/>
          <w:b/>
          <w:color w:val="000000" w:themeColor="text1"/>
          <w:szCs w:val="21"/>
        </w:rPr>
        <w:t>1</w:t>
      </w:r>
      <w:r w:rsidRPr="00114CA1">
        <w:rPr>
          <w:rFonts w:eastAsiaTheme="minorEastAsia"/>
          <w:b/>
          <w:color w:val="000000" w:themeColor="text1"/>
          <w:szCs w:val="21"/>
        </w:rPr>
        <w:t>基金租用证券公司交易单元进行股票投资及佣金支付情况</w:t>
      </w:r>
      <w:bookmarkEnd w:id="94"/>
    </w:p>
    <w:p w:rsidR="00FA7D39" w:rsidRPr="00114CA1" w:rsidP="00FA7D39">
      <w:pPr>
        <w:pStyle w:val="NormalIndent"/>
        <w:spacing w:line="360" w:lineRule="auto"/>
        <w:ind w:firstLine="5460" w:firstLineChars="2600"/>
        <w:jc w:val="right"/>
        <w:rPr>
          <w:rFonts w:eastAsiaTheme="minorEastAsia"/>
          <w:color w:val="000000" w:themeColor="text1"/>
          <w:szCs w:val="21"/>
        </w:rPr>
      </w:pPr>
      <w:r w:rsidRPr="00114CA1">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780"/>
        <w:gridCol w:w="1800"/>
        <w:gridCol w:w="1080"/>
        <w:gridCol w:w="1620"/>
        <w:gridCol w:w="1080"/>
        <w:gridCol w:w="1080"/>
      </w:tblGrid>
      <w:tr w:rsidTr="000E05F4">
        <w:tblPrEx>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1560" w:type="dxa"/>
            <w:vMerge w:val="restart"/>
            <w:vAlign w:val="center"/>
          </w:tcPr>
          <w:p w:rsidR="00FA7D39" w:rsidRPr="00114CA1" w:rsidP="000E05F4">
            <w:pPr>
              <w:spacing w:line="276" w:lineRule="auto"/>
              <w:jc w:val="center"/>
              <w:rPr>
                <w:rFonts w:eastAsiaTheme="minorEastAsia"/>
                <w:color w:val="000000" w:themeColor="text1"/>
                <w:szCs w:val="21"/>
              </w:rPr>
            </w:pPr>
            <w:r w:rsidRPr="00114CA1">
              <w:rPr>
                <w:rFonts w:eastAsiaTheme="minorEastAsia"/>
                <w:color w:val="000000" w:themeColor="text1"/>
                <w:szCs w:val="21"/>
              </w:rPr>
              <w:t>券商名称</w:t>
            </w:r>
          </w:p>
        </w:tc>
        <w:tc>
          <w:tcPr>
            <w:tcW w:w="780" w:type="dxa"/>
            <w:vMerge w:val="restart"/>
            <w:vAlign w:val="center"/>
          </w:tcPr>
          <w:p w:rsidR="00FA7D39" w:rsidRPr="00114CA1" w:rsidP="000E05F4">
            <w:pPr>
              <w:spacing w:line="276" w:lineRule="auto"/>
              <w:jc w:val="center"/>
              <w:rPr>
                <w:rFonts w:eastAsiaTheme="minorEastAsia"/>
                <w:color w:val="000000" w:themeColor="text1"/>
                <w:szCs w:val="21"/>
              </w:rPr>
            </w:pPr>
            <w:r w:rsidRPr="00114CA1">
              <w:rPr>
                <w:rFonts w:eastAsiaTheme="minorEastAsia"/>
                <w:color w:val="000000" w:themeColor="text1"/>
                <w:szCs w:val="21"/>
              </w:rPr>
              <w:t>交易单元数量</w:t>
            </w:r>
          </w:p>
        </w:tc>
        <w:tc>
          <w:tcPr>
            <w:tcW w:w="2880" w:type="dxa"/>
            <w:gridSpan w:val="2"/>
            <w:vAlign w:val="center"/>
          </w:tcPr>
          <w:p w:rsidR="00FA7D39" w:rsidRPr="00114CA1" w:rsidP="000E05F4">
            <w:pPr>
              <w:spacing w:line="276" w:lineRule="auto"/>
              <w:jc w:val="center"/>
              <w:rPr>
                <w:rFonts w:eastAsiaTheme="minorEastAsia"/>
                <w:color w:val="000000" w:themeColor="text1"/>
                <w:szCs w:val="21"/>
              </w:rPr>
            </w:pPr>
            <w:r w:rsidRPr="00114CA1">
              <w:rPr>
                <w:rFonts w:eastAsiaTheme="minorEastAsia"/>
                <w:color w:val="000000" w:themeColor="text1"/>
                <w:szCs w:val="21"/>
              </w:rPr>
              <w:t>股票交易</w:t>
            </w:r>
          </w:p>
        </w:tc>
        <w:tc>
          <w:tcPr>
            <w:tcW w:w="2700" w:type="dxa"/>
            <w:gridSpan w:val="2"/>
            <w:vAlign w:val="center"/>
          </w:tcPr>
          <w:p w:rsidR="00FA7D39" w:rsidRPr="00114CA1" w:rsidP="000E05F4">
            <w:pPr>
              <w:spacing w:line="276" w:lineRule="auto"/>
              <w:jc w:val="center"/>
              <w:rPr>
                <w:rFonts w:eastAsiaTheme="minorEastAsia"/>
                <w:color w:val="000000" w:themeColor="text1"/>
                <w:szCs w:val="21"/>
              </w:rPr>
            </w:pPr>
            <w:r w:rsidRPr="00114CA1">
              <w:rPr>
                <w:rFonts w:eastAsiaTheme="minorEastAsia"/>
                <w:color w:val="000000" w:themeColor="text1"/>
                <w:szCs w:val="21"/>
              </w:rPr>
              <w:t>应支付该券商的佣金</w:t>
            </w:r>
          </w:p>
        </w:tc>
        <w:tc>
          <w:tcPr>
            <w:tcW w:w="1080" w:type="dxa"/>
            <w:vMerge w:val="restart"/>
            <w:vAlign w:val="center"/>
          </w:tcPr>
          <w:p w:rsidR="00FA7D39" w:rsidRPr="00114CA1" w:rsidP="000E05F4">
            <w:pPr>
              <w:spacing w:line="276" w:lineRule="auto"/>
              <w:jc w:val="center"/>
              <w:rPr>
                <w:rFonts w:eastAsiaTheme="minorEastAsia"/>
                <w:color w:val="000000" w:themeColor="text1"/>
                <w:kern w:val="0"/>
                <w:szCs w:val="21"/>
              </w:rPr>
            </w:pPr>
            <w:r w:rsidRPr="00114CA1">
              <w:rPr>
                <w:rFonts w:eastAsiaTheme="minorEastAsia"/>
                <w:color w:val="000000" w:themeColor="text1"/>
                <w:kern w:val="0"/>
                <w:szCs w:val="21"/>
              </w:rPr>
              <w:t>备注</w:t>
            </w:r>
          </w:p>
        </w:tc>
      </w:tr>
      <w:tr w:rsidTr="000E05F4">
        <w:tblPrEx>
          <w:tblW w:w="9000" w:type="dxa"/>
          <w:tblInd w:w="108" w:type="dxa"/>
          <w:tblLayout w:type="fixed"/>
          <w:tblLook w:val="04A0"/>
        </w:tblPrEx>
        <w:tc>
          <w:tcPr>
            <w:tcW w:w="1560" w:type="dxa"/>
            <w:vMerge/>
            <w:vAlign w:val="center"/>
          </w:tcPr>
          <w:p w:rsidR="00FA7D39" w:rsidRPr="00114CA1" w:rsidP="000E05F4">
            <w:pPr>
              <w:widowControl/>
              <w:spacing w:line="276" w:lineRule="auto"/>
              <w:jc w:val="left"/>
              <w:rPr>
                <w:rFonts w:eastAsiaTheme="minorEastAsia"/>
                <w:color w:val="000000" w:themeColor="text1"/>
                <w:szCs w:val="21"/>
              </w:rPr>
            </w:pPr>
          </w:p>
        </w:tc>
        <w:tc>
          <w:tcPr>
            <w:tcW w:w="780" w:type="dxa"/>
            <w:vMerge/>
            <w:vAlign w:val="center"/>
          </w:tcPr>
          <w:p w:rsidR="00FA7D39" w:rsidRPr="00114CA1" w:rsidP="000E05F4">
            <w:pPr>
              <w:widowControl/>
              <w:spacing w:line="276" w:lineRule="auto"/>
              <w:jc w:val="left"/>
              <w:rPr>
                <w:rFonts w:eastAsiaTheme="minorEastAsia"/>
                <w:color w:val="000000" w:themeColor="text1"/>
                <w:szCs w:val="21"/>
              </w:rPr>
            </w:pPr>
          </w:p>
        </w:tc>
        <w:tc>
          <w:tcPr>
            <w:tcW w:w="1800" w:type="dxa"/>
            <w:vAlign w:val="center"/>
          </w:tcPr>
          <w:p w:rsidR="00FA7D39" w:rsidRPr="00114CA1" w:rsidP="000E05F4">
            <w:pPr>
              <w:spacing w:line="276" w:lineRule="auto"/>
              <w:jc w:val="center"/>
              <w:rPr>
                <w:rFonts w:eastAsiaTheme="minorEastAsia"/>
                <w:color w:val="000000" w:themeColor="text1"/>
                <w:szCs w:val="21"/>
              </w:rPr>
            </w:pPr>
            <w:r w:rsidRPr="00114CA1">
              <w:rPr>
                <w:rFonts w:eastAsiaTheme="minorEastAsia"/>
                <w:color w:val="000000" w:themeColor="text1"/>
                <w:szCs w:val="21"/>
              </w:rPr>
              <w:t>成交金额</w:t>
            </w:r>
          </w:p>
        </w:tc>
        <w:tc>
          <w:tcPr>
            <w:tcW w:w="1080" w:type="dxa"/>
            <w:vAlign w:val="center"/>
          </w:tcPr>
          <w:p w:rsidR="00FA7D39" w:rsidRPr="00114CA1" w:rsidP="000E05F4">
            <w:pPr>
              <w:spacing w:line="276" w:lineRule="auto"/>
              <w:jc w:val="center"/>
              <w:rPr>
                <w:rFonts w:eastAsiaTheme="minorEastAsia"/>
                <w:color w:val="000000" w:themeColor="text1"/>
                <w:szCs w:val="21"/>
              </w:rPr>
            </w:pPr>
            <w:r w:rsidRPr="00114CA1">
              <w:rPr>
                <w:rFonts w:eastAsiaTheme="minorEastAsia"/>
                <w:color w:val="000000" w:themeColor="text1"/>
                <w:szCs w:val="21"/>
              </w:rPr>
              <w:t>占当期股票成交总额的比例</w:t>
            </w:r>
          </w:p>
        </w:tc>
        <w:tc>
          <w:tcPr>
            <w:tcW w:w="1620" w:type="dxa"/>
            <w:vAlign w:val="center"/>
          </w:tcPr>
          <w:p w:rsidR="00FA7D39" w:rsidRPr="00114CA1" w:rsidP="000E05F4">
            <w:pPr>
              <w:spacing w:line="276" w:lineRule="auto"/>
              <w:jc w:val="center"/>
              <w:rPr>
                <w:rFonts w:eastAsiaTheme="minorEastAsia"/>
                <w:color w:val="000000" w:themeColor="text1"/>
                <w:kern w:val="0"/>
                <w:szCs w:val="21"/>
              </w:rPr>
            </w:pPr>
            <w:r w:rsidRPr="00114CA1">
              <w:rPr>
                <w:rFonts w:eastAsiaTheme="minorEastAsia"/>
                <w:color w:val="000000" w:themeColor="text1"/>
                <w:kern w:val="0"/>
                <w:szCs w:val="21"/>
              </w:rPr>
              <w:t>佣金</w:t>
            </w:r>
          </w:p>
        </w:tc>
        <w:tc>
          <w:tcPr>
            <w:tcW w:w="1080" w:type="dxa"/>
            <w:vAlign w:val="center"/>
          </w:tcPr>
          <w:p w:rsidR="00FA7D39" w:rsidRPr="00114CA1" w:rsidP="000E05F4">
            <w:pPr>
              <w:spacing w:line="276" w:lineRule="auto"/>
              <w:jc w:val="center"/>
              <w:rPr>
                <w:rFonts w:eastAsiaTheme="minorEastAsia"/>
                <w:color w:val="000000" w:themeColor="text1"/>
                <w:szCs w:val="21"/>
              </w:rPr>
            </w:pPr>
            <w:r w:rsidRPr="00114CA1">
              <w:rPr>
                <w:rFonts w:eastAsiaTheme="minorEastAsia"/>
                <w:color w:val="000000" w:themeColor="text1"/>
                <w:szCs w:val="21"/>
              </w:rPr>
              <w:t>占当期佣金总量的比例</w:t>
            </w:r>
          </w:p>
        </w:tc>
        <w:tc>
          <w:tcPr>
            <w:tcW w:w="1080" w:type="dxa"/>
            <w:vMerge/>
            <w:vAlign w:val="center"/>
          </w:tcPr>
          <w:p w:rsidR="00FA7D39" w:rsidRPr="00114CA1" w:rsidP="000E05F4">
            <w:pPr>
              <w:widowControl/>
              <w:spacing w:line="276" w:lineRule="auto"/>
              <w:jc w:val="left"/>
              <w:rPr>
                <w:rFonts w:eastAsiaTheme="minorEastAsia"/>
                <w:color w:val="000000" w:themeColor="text1"/>
                <w:kern w:val="0"/>
                <w:szCs w:val="21"/>
              </w:rPr>
            </w:pPr>
          </w:p>
        </w:tc>
      </w:tr>
      <w:tr>
        <w:tblPrEx>
          <w:tblW w:w="9000" w:type="dxa"/>
          <w:tblInd w:w="108" w:type="dxa"/>
          <w:tblLayout w:type="fixed"/>
          <w:tblLook w:val="04A0"/>
        </w:tblPrEx>
        <w:tc>
          <w:tcPr>
            <w:vAlign w:val="center"/>
          </w:tcPr>
          <w:p>
            <w:pPr>
              <w:jc w:val="left"/>
            </w:pPr>
            <w:r>
              <w:rPr>
                <w:rFonts w:eastAsiaTheme="minorEastAsia"/>
                <w:color w:val="000000" w:themeColor="text1"/>
                <w:szCs w:val="21"/>
              </w:rPr>
              <w:t>安信证券</w:t>
            </w:r>
          </w:p>
        </w:tc>
        <w:tc>
          <w:tcPr>
            <w:vAlign w:val="center"/>
          </w:tcPr>
          <w:p>
            <w:pPr>
              <w:jc w:val="right"/>
            </w:pPr>
            <w:r>
              <w:rPr>
                <w:rFonts w:eastAsiaTheme="minorEastAsia"/>
                <w:color w:val="000000" w:themeColor="text1"/>
                <w:szCs w:val="21"/>
              </w:rPr>
              <w:t>1</w:t>
            </w:r>
          </w:p>
        </w:tc>
        <w:tc>
          <w:tcPr>
            <w:vAlign w:val="center"/>
          </w:tcPr>
          <w:p>
            <w:pPr>
              <w:jc w:val="right"/>
            </w:pPr>
            <w:r>
              <w:rPr>
                <w:rFonts w:eastAsiaTheme="minorEastAsia"/>
                <w:color w:val="000000" w:themeColor="text1"/>
                <w:szCs w:val="21"/>
              </w:rPr>
              <w:t>18,112,536.58</w:t>
            </w:r>
          </w:p>
        </w:tc>
        <w:tc>
          <w:tcPr>
            <w:vAlign w:val="center"/>
          </w:tcPr>
          <w:p>
            <w:pPr>
              <w:jc w:val="right"/>
            </w:pPr>
            <w:r>
              <w:rPr>
                <w:rFonts w:eastAsiaTheme="minorEastAsia"/>
                <w:color w:val="000000" w:themeColor="text1"/>
                <w:szCs w:val="21"/>
              </w:rPr>
              <w:t>46.35%</w:t>
            </w:r>
          </w:p>
        </w:tc>
        <w:tc>
          <w:tcPr>
            <w:vAlign w:val="center"/>
          </w:tcPr>
          <w:p>
            <w:pPr>
              <w:jc w:val="right"/>
            </w:pPr>
            <w:r>
              <w:rPr>
                <w:rFonts w:eastAsiaTheme="minorEastAsia"/>
                <w:color w:val="000000" w:themeColor="text1"/>
                <w:szCs w:val="21"/>
              </w:rPr>
              <w:t>16,505.95</w:t>
            </w:r>
          </w:p>
        </w:tc>
        <w:tc>
          <w:tcPr>
            <w:vAlign w:val="center"/>
          </w:tcPr>
          <w:p>
            <w:pPr>
              <w:jc w:val="right"/>
            </w:pPr>
            <w:r>
              <w:rPr>
                <w:rFonts w:eastAsiaTheme="minorEastAsia"/>
                <w:color w:val="000000" w:themeColor="text1"/>
                <w:szCs w:val="21"/>
              </w:rPr>
              <w:t>46.25%</w:t>
            </w:r>
          </w:p>
        </w:tc>
        <w:tc>
          <w:tcPr>
            <w:vAlign w:val="center"/>
          </w:tcPr>
          <w:p>
            <w:pPr>
              <w:jc w:val="left"/>
            </w:pPr>
            <w:r>
              <w:rPr>
                <w:rFonts w:eastAsiaTheme="minorEastAsia"/>
                <w:color w:val="000000" w:themeColor="text1"/>
                <w:szCs w:val="21"/>
              </w:rPr>
              <w:t>-</w:t>
            </w:r>
          </w:p>
        </w:tc>
      </w:tr>
      <w:tr>
        <w:tblPrEx>
          <w:tblW w:w="9000" w:type="dxa"/>
          <w:tblInd w:w="108" w:type="dxa"/>
          <w:tblLayout w:type="fixed"/>
          <w:tblLook w:val="04A0"/>
        </w:tblPrEx>
        <w:tc>
          <w:tcPr>
            <w:vAlign w:val="center"/>
          </w:tcPr>
          <w:p>
            <w:pPr>
              <w:jc w:val="left"/>
            </w:pPr>
            <w:r>
              <w:rPr>
                <w:rFonts w:eastAsiaTheme="minorEastAsia"/>
                <w:color w:val="000000" w:themeColor="text1"/>
                <w:szCs w:val="21"/>
              </w:rPr>
              <w:t>华创证券</w:t>
            </w:r>
          </w:p>
        </w:tc>
        <w:tc>
          <w:tcPr>
            <w:vAlign w:val="center"/>
          </w:tcPr>
          <w:p>
            <w:pPr>
              <w:jc w:val="right"/>
            </w:pPr>
            <w:r>
              <w:rPr>
                <w:rFonts w:eastAsiaTheme="minorEastAsia"/>
                <w:color w:val="000000" w:themeColor="text1"/>
                <w:szCs w:val="21"/>
              </w:rPr>
              <w:t>2</w:t>
            </w:r>
          </w:p>
        </w:tc>
        <w:tc>
          <w:tcPr>
            <w:vAlign w:val="center"/>
          </w:tcPr>
          <w:p>
            <w:pPr>
              <w:jc w:val="right"/>
            </w:pPr>
            <w:r>
              <w:rPr>
                <w:rFonts w:eastAsiaTheme="minorEastAsia"/>
                <w:color w:val="000000" w:themeColor="text1"/>
                <w:szCs w:val="21"/>
              </w:rPr>
              <w:t>11,059,175.99</w:t>
            </w:r>
          </w:p>
        </w:tc>
        <w:tc>
          <w:tcPr>
            <w:vAlign w:val="center"/>
          </w:tcPr>
          <w:p>
            <w:pPr>
              <w:jc w:val="right"/>
            </w:pPr>
            <w:r>
              <w:rPr>
                <w:rFonts w:eastAsiaTheme="minorEastAsia"/>
                <w:color w:val="000000" w:themeColor="text1"/>
                <w:szCs w:val="21"/>
              </w:rPr>
              <w:t>28.30%</w:t>
            </w:r>
          </w:p>
        </w:tc>
        <w:tc>
          <w:tcPr>
            <w:vAlign w:val="center"/>
          </w:tcPr>
          <w:p>
            <w:pPr>
              <w:jc w:val="right"/>
            </w:pPr>
            <w:r>
              <w:rPr>
                <w:rFonts w:eastAsiaTheme="minorEastAsia"/>
                <w:color w:val="000000" w:themeColor="text1"/>
                <w:szCs w:val="21"/>
              </w:rPr>
              <w:t>10,078.16</w:t>
            </w:r>
          </w:p>
        </w:tc>
        <w:tc>
          <w:tcPr>
            <w:vAlign w:val="center"/>
          </w:tcPr>
          <w:p>
            <w:pPr>
              <w:jc w:val="right"/>
            </w:pPr>
            <w:r>
              <w:rPr>
                <w:rFonts w:eastAsiaTheme="minorEastAsia"/>
                <w:color w:val="000000" w:themeColor="text1"/>
                <w:szCs w:val="21"/>
              </w:rPr>
              <w:t>28.24%</w:t>
            </w:r>
          </w:p>
        </w:tc>
        <w:tc>
          <w:tcPr>
            <w:vAlign w:val="center"/>
          </w:tcPr>
          <w:p>
            <w:pPr>
              <w:jc w:val="left"/>
            </w:pPr>
            <w:r>
              <w:rPr>
                <w:rFonts w:eastAsiaTheme="minorEastAsia"/>
                <w:color w:val="000000" w:themeColor="text1"/>
                <w:szCs w:val="21"/>
              </w:rPr>
              <w:t>-</w:t>
            </w:r>
          </w:p>
        </w:tc>
      </w:tr>
      <w:tr>
        <w:tblPrEx>
          <w:tblW w:w="9000" w:type="dxa"/>
          <w:tblInd w:w="108" w:type="dxa"/>
          <w:tblLayout w:type="fixed"/>
          <w:tblLook w:val="04A0"/>
        </w:tblPrEx>
        <w:tc>
          <w:tcPr>
            <w:vAlign w:val="center"/>
          </w:tcPr>
          <w:p>
            <w:pPr>
              <w:jc w:val="left"/>
            </w:pPr>
            <w:r>
              <w:rPr>
                <w:rFonts w:eastAsiaTheme="minorEastAsia"/>
                <w:color w:val="000000" w:themeColor="text1"/>
                <w:szCs w:val="21"/>
              </w:rPr>
              <w:t>中银国际证券</w:t>
            </w:r>
          </w:p>
        </w:tc>
        <w:tc>
          <w:tcPr>
            <w:vAlign w:val="center"/>
          </w:tcPr>
          <w:p>
            <w:pPr>
              <w:jc w:val="right"/>
            </w:pPr>
            <w:r>
              <w:rPr>
                <w:rFonts w:eastAsiaTheme="minorEastAsia"/>
                <w:color w:val="000000" w:themeColor="text1"/>
                <w:szCs w:val="21"/>
              </w:rPr>
              <w:t>1</w:t>
            </w:r>
          </w:p>
        </w:tc>
        <w:tc>
          <w:tcPr>
            <w:vAlign w:val="center"/>
          </w:tcPr>
          <w:p>
            <w:pPr>
              <w:jc w:val="right"/>
            </w:pPr>
            <w:r>
              <w:rPr>
                <w:rFonts w:eastAsiaTheme="minorEastAsia"/>
                <w:color w:val="000000" w:themeColor="text1"/>
                <w:szCs w:val="21"/>
              </w:rPr>
              <w:t>6,309,070.00</w:t>
            </w:r>
          </w:p>
        </w:tc>
        <w:tc>
          <w:tcPr>
            <w:vAlign w:val="center"/>
          </w:tcPr>
          <w:p>
            <w:pPr>
              <w:jc w:val="right"/>
            </w:pPr>
            <w:r>
              <w:rPr>
                <w:rFonts w:eastAsiaTheme="minorEastAsia"/>
                <w:color w:val="000000" w:themeColor="text1"/>
                <w:szCs w:val="21"/>
              </w:rPr>
              <w:t>16.14%</w:t>
            </w:r>
          </w:p>
        </w:tc>
        <w:tc>
          <w:tcPr>
            <w:vAlign w:val="center"/>
          </w:tcPr>
          <w:p>
            <w:pPr>
              <w:jc w:val="right"/>
            </w:pPr>
            <w:r>
              <w:rPr>
                <w:rFonts w:eastAsiaTheme="minorEastAsia"/>
                <w:color w:val="000000" w:themeColor="text1"/>
                <w:szCs w:val="21"/>
              </w:rPr>
              <w:t>5,749.58</w:t>
            </w:r>
          </w:p>
        </w:tc>
        <w:tc>
          <w:tcPr>
            <w:vAlign w:val="center"/>
          </w:tcPr>
          <w:p>
            <w:pPr>
              <w:jc w:val="right"/>
            </w:pPr>
            <w:r>
              <w:rPr>
                <w:rFonts w:eastAsiaTheme="minorEastAsia"/>
                <w:color w:val="000000" w:themeColor="text1"/>
                <w:szCs w:val="21"/>
              </w:rPr>
              <w:t>16.11%</w:t>
            </w:r>
          </w:p>
        </w:tc>
        <w:tc>
          <w:tcPr>
            <w:vAlign w:val="center"/>
          </w:tcPr>
          <w:p>
            <w:pPr>
              <w:jc w:val="left"/>
            </w:pPr>
            <w:r>
              <w:rPr>
                <w:rFonts w:eastAsiaTheme="minorEastAsia"/>
                <w:color w:val="000000" w:themeColor="text1"/>
                <w:szCs w:val="21"/>
              </w:rPr>
              <w:t>-</w:t>
            </w:r>
          </w:p>
        </w:tc>
      </w:tr>
      <w:tr>
        <w:tblPrEx>
          <w:tblW w:w="9000" w:type="dxa"/>
          <w:tblInd w:w="108" w:type="dxa"/>
          <w:tblLayout w:type="fixed"/>
          <w:tblLook w:val="04A0"/>
        </w:tblPrEx>
        <w:tc>
          <w:tcPr>
            <w:vAlign w:val="center"/>
          </w:tcPr>
          <w:p>
            <w:pPr>
              <w:jc w:val="left"/>
            </w:pPr>
            <w:r>
              <w:rPr>
                <w:rFonts w:eastAsiaTheme="minorEastAsia"/>
                <w:color w:val="000000" w:themeColor="text1"/>
                <w:szCs w:val="21"/>
              </w:rPr>
              <w:t>财达证券</w:t>
            </w:r>
          </w:p>
        </w:tc>
        <w:tc>
          <w:tcPr>
            <w:vAlign w:val="center"/>
          </w:tcPr>
          <w:p>
            <w:pPr>
              <w:jc w:val="right"/>
            </w:pPr>
            <w:r>
              <w:rPr>
                <w:rFonts w:eastAsiaTheme="minorEastAsia"/>
                <w:color w:val="000000" w:themeColor="text1"/>
                <w:szCs w:val="21"/>
              </w:rPr>
              <w:t>1</w:t>
            </w:r>
          </w:p>
        </w:tc>
        <w:tc>
          <w:tcPr>
            <w:vAlign w:val="center"/>
          </w:tcPr>
          <w:p>
            <w:pPr>
              <w:jc w:val="right"/>
            </w:pPr>
            <w:r>
              <w:rPr>
                <w:rFonts w:eastAsiaTheme="minorEastAsia"/>
                <w:color w:val="000000" w:themeColor="text1"/>
                <w:szCs w:val="21"/>
              </w:rPr>
              <w:t>3,598,275.60</w:t>
            </w:r>
          </w:p>
        </w:tc>
        <w:tc>
          <w:tcPr>
            <w:vAlign w:val="center"/>
          </w:tcPr>
          <w:p>
            <w:pPr>
              <w:jc w:val="right"/>
            </w:pPr>
            <w:r>
              <w:rPr>
                <w:rFonts w:eastAsiaTheme="minorEastAsia"/>
                <w:color w:val="000000" w:themeColor="text1"/>
                <w:szCs w:val="21"/>
              </w:rPr>
              <w:t>9.21%</w:t>
            </w:r>
          </w:p>
        </w:tc>
        <w:tc>
          <w:tcPr>
            <w:vAlign w:val="center"/>
          </w:tcPr>
          <w:p>
            <w:pPr>
              <w:jc w:val="right"/>
            </w:pPr>
            <w:r>
              <w:rPr>
                <w:rFonts w:eastAsiaTheme="minorEastAsia"/>
                <w:color w:val="000000" w:themeColor="text1"/>
                <w:szCs w:val="21"/>
              </w:rPr>
              <w:t>3,351.18</w:t>
            </w:r>
          </w:p>
        </w:tc>
        <w:tc>
          <w:tcPr>
            <w:vAlign w:val="center"/>
          </w:tcPr>
          <w:p>
            <w:pPr>
              <w:jc w:val="right"/>
            </w:pPr>
            <w:r>
              <w:rPr>
                <w:rFonts w:eastAsiaTheme="minorEastAsia"/>
                <w:color w:val="000000" w:themeColor="text1"/>
                <w:szCs w:val="21"/>
              </w:rPr>
              <w:t>9.39%</w:t>
            </w:r>
          </w:p>
        </w:tc>
        <w:tc>
          <w:tcPr>
            <w:vAlign w:val="center"/>
          </w:tcPr>
          <w:p>
            <w:pPr>
              <w:jc w:val="left"/>
            </w:pPr>
            <w:r>
              <w:rPr>
                <w:rFonts w:eastAsiaTheme="minorEastAsia"/>
                <w:color w:val="000000" w:themeColor="text1"/>
                <w:szCs w:val="21"/>
              </w:rPr>
              <w:t>-</w:t>
            </w:r>
          </w:p>
        </w:tc>
      </w:tr>
      <w:tr>
        <w:tblPrEx>
          <w:tblW w:w="9000" w:type="dxa"/>
          <w:tblInd w:w="108" w:type="dxa"/>
          <w:tblLayout w:type="fixed"/>
          <w:tblLook w:val="04A0"/>
        </w:tblPrEx>
        <w:tc>
          <w:tcPr>
            <w:vAlign w:val="center"/>
          </w:tcPr>
          <w:p>
            <w:pPr>
              <w:jc w:val="left"/>
            </w:pPr>
            <w:r>
              <w:rPr>
                <w:rFonts w:eastAsiaTheme="minorEastAsia"/>
                <w:color w:val="000000" w:themeColor="text1"/>
                <w:szCs w:val="21"/>
              </w:rPr>
              <w:t>广发证券</w:t>
            </w:r>
          </w:p>
        </w:tc>
        <w:tc>
          <w:tcPr>
            <w:vAlign w:val="center"/>
          </w:tcPr>
          <w:p>
            <w:pPr>
              <w:jc w:val="right"/>
            </w:pPr>
            <w:r>
              <w:rPr>
                <w:rFonts w:eastAsiaTheme="minorEastAsia"/>
                <w:color w:val="000000" w:themeColor="text1"/>
                <w:szCs w:val="21"/>
              </w:rPr>
              <w:t>3</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left"/>
            </w:pPr>
            <w:r>
              <w:rPr>
                <w:rFonts w:eastAsiaTheme="minorEastAsia"/>
                <w:color w:val="000000" w:themeColor="text1"/>
                <w:szCs w:val="21"/>
              </w:rPr>
              <w:t>-</w:t>
            </w:r>
          </w:p>
        </w:tc>
      </w:tr>
      <w:tr>
        <w:tblPrEx>
          <w:tblW w:w="9000" w:type="dxa"/>
          <w:tblInd w:w="108" w:type="dxa"/>
          <w:tblLayout w:type="fixed"/>
          <w:tblLook w:val="04A0"/>
        </w:tblPrEx>
        <w:tc>
          <w:tcPr>
            <w:vAlign w:val="center"/>
          </w:tcPr>
          <w:p>
            <w:pPr>
              <w:jc w:val="left"/>
            </w:pPr>
            <w:r>
              <w:rPr>
                <w:rFonts w:eastAsiaTheme="minorEastAsia"/>
                <w:color w:val="000000" w:themeColor="text1"/>
                <w:szCs w:val="21"/>
              </w:rPr>
              <w:t>山西证券</w:t>
            </w:r>
          </w:p>
        </w:tc>
        <w:tc>
          <w:tcPr>
            <w:vAlign w:val="center"/>
          </w:tcPr>
          <w:p>
            <w:pPr>
              <w:jc w:val="right"/>
            </w:pPr>
            <w:r>
              <w:rPr>
                <w:rFonts w:eastAsiaTheme="minorEastAsia"/>
                <w:color w:val="000000" w:themeColor="text1"/>
                <w:szCs w:val="21"/>
              </w:rPr>
              <w:t>1</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left"/>
            </w:pPr>
            <w:r>
              <w:rPr>
                <w:rFonts w:eastAsiaTheme="minorEastAsia"/>
                <w:color w:val="000000" w:themeColor="text1"/>
                <w:szCs w:val="21"/>
              </w:rPr>
              <w:t>-</w:t>
            </w:r>
          </w:p>
        </w:tc>
      </w:tr>
      <w:tr>
        <w:tblPrEx>
          <w:tblW w:w="9000" w:type="dxa"/>
          <w:tblInd w:w="108" w:type="dxa"/>
          <w:tblLayout w:type="fixed"/>
          <w:tblLook w:val="04A0"/>
        </w:tblPrEx>
        <w:tc>
          <w:tcPr>
            <w:vAlign w:val="center"/>
          </w:tcPr>
          <w:p>
            <w:pPr>
              <w:jc w:val="left"/>
            </w:pPr>
            <w:r>
              <w:rPr>
                <w:rFonts w:eastAsiaTheme="minorEastAsia"/>
                <w:color w:val="000000" w:themeColor="text1"/>
                <w:szCs w:val="21"/>
              </w:rPr>
              <w:t>湘财证券</w:t>
            </w:r>
          </w:p>
        </w:tc>
        <w:tc>
          <w:tcPr>
            <w:vAlign w:val="center"/>
          </w:tcPr>
          <w:p>
            <w:pPr>
              <w:jc w:val="right"/>
            </w:pPr>
            <w:r>
              <w:rPr>
                <w:rFonts w:eastAsiaTheme="minorEastAsia"/>
                <w:color w:val="000000" w:themeColor="text1"/>
                <w:szCs w:val="21"/>
              </w:rPr>
              <w:t>3</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left"/>
            </w:pPr>
            <w:r>
              <w:rPr>
                <w:rFonts w:eastAsiaTheme="minorEastAsia"/>
                <w:color w:val="000000" w:themeColor="text1"/>
                <w:szCs w:val="21"/>
              </w:rPr>
              <w:t>-</w:t>
            </w:r>
          </w:p>
        </w:tc>
      </w:tr>
      <w:tr>
        <w:tblPrEx>
          <w:tblW w:w="9000" w:type="dxa"/>
          <w:tblInd w:w="108" w:type="dxa"/>
          <w:tblLayout w:type="fixed"/>
          <w:tblLook w:val="04A0"/>
        </w:tblPrEx>
        <w:tc>
          <w:tcPr>
            <w:vAlign w:val="center"/>
          </w:tcPr>
          <w:p>
            <w:pPr>
              <w:jc w:val="left"/>
            </w:pPr>
            <w:r>
              <w:rPr>
                <w:rFonts w:eastAsiaTheme="minorEastAsia"/>
                <w:color w:val="000000" w:themeColor="text1"/>
                <w:szCs w:val="21"/>
              </w:rPr>
              <w:t>兴安证券</w:t>
            </w:r>
          </w:p>
        </w:tc>
        <w:tc>
          <w:tcPr>
            <w:vAlign w:val="center"/>
          </w:tcPr>
          <w:p>
            <w:pPr>
              <w:jc w:val="right"/>
            </w:pPr>
            <w:r>
              <w:rPr>
                <w:rFonts w:eastAsiaTheme="minorEastAsia"/>
                <w:color w:val="000000" w:themeColor="text1"/>
                <w:szCs w:val="21"/>
              </w:rPr>
              <w:t>1</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left"/>
            </w:pPr>
            <w:r>
              <w:rPr>
                <w:rFonts w:eastAsiaTheme="minorEastAsia"/>
                <w:color w:val="000000" w:themeColor="text1"/>
                <w:szCs w:val="21"/>
              </w:rPr>
              <w:t>-</w:t>
            </w:r>
          </w:p>
        </w:tc>
      </w:tr>
      <w:tr>
        <w:tblPrEx>
          <w:tblW w:w="9000" w:type="dxa"/>
          <w:tblInd w:w="108" w:type="dxa"/>
          <w:tblLayout w:type="fixed"/>
          <w:tblLook w:val="04A0"/>
        </w:tblPrEx>
        <w:tc>
          <w:tcPr>
            <w:vAlign w:val="center"/>
          </w:tcPr>
          <w:p>
            <w:pPr>
              <w:jc w:val="left"/>
            </w:pPr>
            <w:r>
              <w:rPr>
                <w:rFonts w:eastAsiaTheme="minorEastAsia"/>
                <w:color w:val="000000" w:themeColor="text1"/>
                <w:szCs w:val="21"/>
              </w:rPr>
              <w:t>英大证券</w:t>
            </w:r>
          </w:p>
        </w:tc>
        <w:tc>
          <w:tcPr>
            <w:vAlign w:val="center"/>
          </w:tcPr>
          <w:p>
            <w:pPr>
              <w:jc w:val="right"/>
            </w:pPr>
            <w:r>
              <w:rPr>
                <w:rFonts w:eastAsiaTheme="minorEastAsia"/>
                <w:color w:val="000000" w:themeColor="text1"/>
                <w:szCs w:val="21"/>
              </w:rPr>
              <w:t>1</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left"/>
            </w:pPr>
            <w:r>
              <w:rPr>
                <w:rFonts w:eastAsiaTheme="minorEastAsia"/>
                <w:color w:val="000000" w:themeColor="text1"/>
                <w:szCs w:val="21"/>
              </w:rPr>
              <w:t>-</w:t>
            </w:r>
          </w:p>
        </w:tc>
      </w:tr>
      <w:tr>
        <w:tblPrEx>
          <w:tblW w:w="9000" w:type="dxa"/>
          <w:tblInd w:w="108" w:type="dxa"/>
          <w:tblLayout w:type="fixed"/>
          <w:tblLook w:val="04A0"/>
        </w:tblPrEx>
        <w:tc>
          <w:tcPr>
            <w:vAlign w:val="center"/>
          </w:tcPr>
          <w:p>
            <w:pPr>
              <w:jc w:val="left"/>
            </w:pPr>
            <w:r>
              <w:rPr>
                <w:rFonts w:eastAsiaTheme="minorEastAsia"/>
                <w:color w:val="000000" w:themeColor="text1"/>
                <w:szCs w:val="21"/>
              </w:rPr>
              <w:t>中投证券</w:t>
            </w:r>
          </w:p>
        </w:tc>
        <w:tc>
          <w:tcPr>
            <w:vAlign w:val="center"/>
          </w:tcPr>
          <w:p>
            <w:pPr>
              <w:jc w:val="right"/>
            </w:pPr>
            <w:r>
              <w:rPr>
                <w:rFonts w:eastAsiaTheme="minorEastAsia"/>
                <w:color w:val="000000" w:themeColor="text1"/>
                <w:szCs w:val="21"/>
              </w:rPr>
              <w:t>1</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left"/>
            </w:pPr>
            <w:r>
              <w:rPr>
                <w:rFonts w:eastAsiaTheme="minorEastAsia"/>
                <w:color w:val="000000" w:themeColor="text1"/>
                <w:szCs w:val="21"/>
              </w:rPr>
              <w:t>-</w:t>
            </w:r>
          </w:p>
        </w:tc>
      </w:tr>
      <w:tr>
        <w:tblPrEx>
          <w:tblW w:w="9000" w:type="dxa"/>
          <w:tblInd w:w="108" w:type="dxa"/>
          <w:tblLayout w:type="fixed"/>
          <w:tblLook w:val="04A0"/>
        </w:tblPrEx>
        <w:tc>
          <w:tcPr>
            <w:vAlign w:val="center"/>
          </w:tcPr>
          <w:p>
            <w:pPr>
              <w:jc w:val="left"/>
            </w:pPr>
            <w:r>
              <w:rPr>
                <w:rFonts w:eastAsiaTheme="minorEastAsia"/>
                <w:color w:val="000000" w:themeColor="text1"/>
                <w:szCs w:val="21"/>
              </w:rPr>
              <w:t>中信建投证券</w:t>
            </w:r>
          </w:p>
        </w:tc>
        <w:tc>
          <w:tcPr>
            <w:vAlign w:val="center"/>
          </w:tcPr>
          <w:p>
            <w:pPr>
              <w:jc w:val="right"/>
            </w:pPr>
            <w:r>
              <w:rPr>
                <w:rFonts w:eastAsiaTheme="minorEastAsia"/>
                <w:color w:val="000000" w:themeColor="text1"/>
                <w:szCs w:val="21"/>
              </w:rPr>
              <w:t>1</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left"/>
            </w:pPr>
            <w:r>
              <w:rPr>
                <w:rFonts w:eastAsiaTheme="minorEastAsia"/>
                <w:color w:val="000000" w:themeColor="text1"/>
                <w:szCs w:val="21"/>
              </w:rPr>
              <w:t>-</w:t>
            </w:r>
          </w:p>
        </w:tc>
      </w:tr>
      <w:tr>
        <w:tblPrEx>
          <w:tblW w:w="9000" w:type="dxa"/>
          <w:tblInd w:w="108" w:type="dxa"/>
          <w:tblLayout w:type="fixed"/>
          <w:tblLook w:val="04A0"/>
        </w:tblPrEx>
        <w:tc>
          <w:tcPr>
            <w:vAlign w:val="center"/>
          </w:tcPr>
          <w:p>
            <w:pPr>
              <w:jc w:val="left"/>
            </w:pPr>
            <w:r>
              <w:rPr>
                <w:rFonts w:eastAsiaTheme="minorEastAsia"/>
                <w:color w:val="000000" w:themeColor="text1"/>
                <w:szCs w:val="21"/>
              </w:rPr>
              <w:t>光大证券</w:t>
            </w:r>
          </w:p>
        </w:tc>
        <w:tc>
          <w:tcPr>
            <w:vAlign w:val="center"/>
          </w:tcPr>
          <w:p>
            <w:pPr>
              <w:jc w:val="right"/>
            </w:pPr>
            <w:r>
              <w:rPr>
                <w:rFonts w:eastAsiaTheme="minorEastAsia"/>
                <w:color w:val="000000" w:themeColor="text1"/>
                <w:szCs w:val="21"/>
              </w:rPr>
              <w:t>1</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left"/>
            </w:pPr>
            <w:r>
              <w:rPr>
                <w:rFonts w:eastAsiaTheme="minorEastAsia"/>
                <w:color w:val="000000" w:themeColor="text1"/>
                <w:szCs w:val="21"/>
              </w:rPr>
              <w:t>-</w:t>
            </w:r>
          </w:p>
        </w:tc>
      </w:tr>
      <w:tr>
        <w:tblPrEx>
          <w:tblW w:w="9000" w:type="dxa"/>
          <w:tblInd w:w="108" w:type="dxa"/>
          <w:tblLayout w:type="fixed"/>
          <w:tblLook w:val="04A0"/>
        </w:tblPrEx>
        <w:tc>
          <w:tcPr>
            <w:vAlign w:val="center"/>
          </w:tcPr>
          <w:p>
            <w:pPr>
              <w:jc w:val="left"/>
            </w:pPr>
            <w:r>
              <w:rPr>
                <w:rFonts w:eastAsiaTheme="minorEastAsia"/>
                <w:color w:val="000000" w:themeColor="text1"/>
                <w:szCs w:val="21"/>
              </w:rPr>
              <w:t>海通证券</w:t>
            </w:r>
          </w:p>
        </w:tc>
        <w:tc>
          <w:tcPr>
            <w:vAlign w:val="center"/>
          </w:tcPr>
          <w:p>
            <w:pPr>
              <w:jc w:val="right"/>
            </w:pPr>
            <w:r>
              <w:rPr>
                <w:rFonts w:eastAsiaTheme="minorEastAsia"/>
                <w:color w:val="000000" w:themeColor="text1"/>
                <w:szCs w:val="21"/>
              </w:rPr>
              <w:t>3</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left"/>
            </w:pPr>
            <w:r>
              <w:rPr>
                <w:rFonts w:eastAsiaTheme="minorEastAsia"/>
                <w:color w:val="000000" w:themeColor="text1"/>
                <w:szCs w:val="21"/>
              </w:rPr>
              <w:t>-</w:t>
            </w:r>
          </w:p>
        </w:tc>
      </w:tr>
      <w:tr>
        <w:tblPrEx>
          <w:tblW w:w="9000" w:type="dxa"/>
          <w:tblInd w:w="108" w:type="dxa"/>
          <w:tblLayout w:type="fixed"/>
          <w:tblLook w:val="04A0"/>
        </w:tblPrEx>
        <w:tc>
          <w:tcPr>
            <w:vAlign w:val="center"/>
          </w:tcPr>
          <w:p>
            <w:pPr>
              <w:jc w:val="left"/>
            </w:pPr>
            <w:r>
              <w:rPr>
                <w:rFonts w:eastAsiaTheme="minorEastAsia"/>
                <w:color w:val="000000" w:themeColor="text1"/>
                <w:szCs w:val="21"/>
              </w:rPr>
              <w:t>中信证券</w:t>
            </w:r>
          </w:p>
        </w:tc>
        <w:tc>
          <w:tcPr>
            <w:vAlign w:val="center"/>
          </w:tcPr>
          <w:p>
            <w:pPr>
              <w:jc w:val="right"/>
            </w:pPr>
            <w:r>
              <w:rPr>
                <w:rFonts w:eastAsiaTheme="minorEastAsia"/>
                <w:color w:val="000000" w:themeColor="text1"/>
                <w:szCs w:val="21"/>
              </w:rPr>
              <w:t>2</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left"/>
            </w:pPr>
            <w:r>
              <w:rPr>
                <w:rFonts w:eastAsiaTheme="minorEastAsia"/>
                <w:color w:val="000000" w:themeColor="text1"/>
                <w:szCs w:val="21"/>
              </w:rPr>
              <w:t>-</w:t>
            </w:r>
          </w:p>
        </w:tc>
      </w:tr>
      <w:tr>
        <w:tblPrEx>
          <w:tblW w:w="9000" w:type="dxa"/>
          <w:tblInd w:w="108" w:type="dxa"/>
          <w:tblLayout w:type="fixed"/>
          <w:tblLook w:val="04A0"/>
        </w:tblPrEx>
        <w:tc>
          <w:tcPr>
            <w:vAlign w:val="center"/>
          </w:tcPr>
          <w:p>
            <w:pPr>
              <w:jc w:val="left"/>
            </w:pPr>
            <w:r>
              <w:rPr>
                <w:rFonts w:eastAsiaTheme="minorEastAsia"/>
                <w:color w:val="000000" w:themeColor="text1"/>
                <w:szCs w:val="21"/>
              </w:rPr>
              <w:t>国都证券</w:t>
            </w:r>
          </w:p>
        </w:tc>
        <w:tc>
          <w:tcPr>
            <w:vAlign w:val="center"/>
          </w:tcPr>
          <w:p>
            <w:pPr>
              <w:jc w:val="right"/>
            </w:pPr>
            <w:r>
              <w:rPr>
                <w:rFonts w:eastAsiaTheme="minorEastAsia"/>
                <w:color w:val="000000" w:themeColor="text1"/>
                <w:szCs w:val="21"/>
              </w:rPr>
              <w:t>1</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left"/>
            </w:pPr>
            <w:r>
              <w:rPr>
                <w:rFonts w:eastAsiaTheme="minorEastAsia"/>
                <w:color w:val="000000" w:themeColor="text1"/>
                <w:szCs w:val="21"/>
              </w:rPr>
              <w:t>-</w:t>
            </w:r>
          </w:p>
        </w:tc>
      </w:tr>
      <w:tr>
        <w:tblPrEx>
          <w:tblW w:w="9000" w:type="dxa"/>
          <w:tblInd w:w="108" w:type="dxa"/>
          <w:tblLayout w:type="fixed"/>
          <w:tblLook w:val="04A0"/>
        </w:tblPrEx>
        <w:tc>
          <w:tcPr>
            <w:vAlign w:val="center"/>
          </w:tcPr>
          <w:p>
            <w:pPr>
              <w:jc w:val="left"/>
            </w:pPr>
            <w:r>
              <w:rPr>
                <w:rFonts w:eastAsiaTheme="minorEastAsia"/>
                <w:color w:val="000000" w:themeColor="text1"/>
                <w:szCs w:val="21"/>
              </w:rPr>
              <w:t>东莞证券</w:t>
            </w:r>
          </w:p>
        </w:tc>
        <w:tc>
          <w:tcPr>
            <w:vAlign w:val="center"/>
          </w:tcPr>
          <w:p>
            <w:pPr>
              <w:jc w:val="right"/>
            </w:pPr>
            <w:r>
              <w:rPr>
                <w:rFonts w:eastAsiaTheme="minorEastAsia"/>
                <w:color w:val="000000" w:themeColor="text1"/>
                <w:szCs w:val="21"/>
              </w:rPr>
              <w:t>1</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left"/>
            </w:pPr>
            <w:r>
              <w:rPr>
                <w:rFonts w:eastAsiaTheme="minorEastAsia"/>
                <w:color w:val="000000" w:themeColor="text1"/>
                <w:szCs w:val="21"/>
              </w:rPr>
              <w:t>-</w:t>
            </w:r>
          </w:p>
        </w:tc>
      </w:tr>
      <w:tr>
        <w:tblPrEx>
          <w:tblW w:w="9000" w:type="dxa"/>
          <w:tblInd w:w="108" w:type="dxa"/>
          <w:tblLayout w:type="fixed"/>
          <w:tblLook w:val="04A0"/>
        </w:tblPrEx>
        <w:tc>
          <w:tcPr>
            <w:vAlign w:val="center"/>
          </w:tcPr>
          <w:p>
            <w:pPr>
              <w:jc w:val="left"/>
            </w:pPr>
            <w:r>
              <w:rPr>
                <w:rFonts w:eastAsiaTheme="minorEastAsia"/>
                <w:color w:val="000000" w:themeColor="text1"/>
                <w:szCs w:val="21"/>
              </w:rPr>
              <w:t>银河证券</w:t>
            </w:r>
          </w:p>
        </w:tc>
        <w:tc>
          <w:tcPr>
            <w:vAlign w:val="center"/>
          </w:tcPr>
          <w:p>
            <w:pPr>
              <w:jc w:val="right"/>
            </w:pPr>
            <w:r>
              <w:rPr>
                <w:rFonts w:eastAsiaTheme="minorEastAsia"/>
                <w:color w:val="000000" w:themeColor="text1"/>
                <w:szCs w:val="21"/>
              </w:rPr>
              <w:t>2</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left"/>
            </w:pPr>
            <w:r>
              <w:rPr>
                <w:rFonts w:eastAsiaTheme="minorEastAsia"/>
                <w:color w:val="000000" w:themeColor="text1"/>
                <w:szCs w:val="21"/>
              </w:rPr>
              <w:t>-</w:t>
            </w:r>
          </w:p>
        </w:tc>
      </w:tr>
      <w:tr>
        <w:tblPrEx>
          <w:tblW w:w="9000" w:type="dxa"/>
          <w:tblInd w:w="108" w:type="dxa"/>
          <w:tblLayout w:type="fixed"/>
          <w:tblLook w:val="04A0"/>
        </w:tblPrEx>
        <w:tc>
          <w:tcPr>
            <w:vAlign w:val="center"/>
          </w:tcPr>
          <w:p>
            <w:pPr>
              <w:jc w:val="left"/>
            </w:pPr>
            <w:r>
              <w:rPr>
                <w:rFonts w:eastAsiaTheme="minorEastAsia"/>
                <w:color w:val="000000" w:themeColor="text1"/>
                <w:szCs w:val="21"/>
              </w:rPr>
              <w:t>信达证券</w:t>
            </w:r>
          </w:p>
        </w:tc>
        <w:tc>
          <w:tcPr>
            <w:vAlign w:val="center"/>
          </w:tcPr>
          <w:p>
            <w:pPr>
              <w:jc w:val="right"/>
            </w:pPr>
            <w:r>
              <w:rPr>
                <w:rFonts w:eastAsiaTheme="minorEastAsia"/>
                <w:color w:val="000000" w:themeColor="text1"/>
                <w:szCs w:val="21"/>
              </w:rPr>
              <w:t>1</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left"/>
            </w:pPr>
            <w:r>
              <w:rPr>
                <w:rFonts w:eastAsiaTheme="minorEastAsia"/>
                <w:color w:val="000000" w:themeColor="text1"/>
                <w:szCs w:val="21"/>
              </w:rPr>
              <w:t>-</w:t>
            </w:r>
          </w:p>
        </w:tc>
      </w:tr>
      <w:tr>
        <w:tblPrEx>
          <w:tblW w:w="9000" w:type="dxa"/>
          <w:tblInd w:w="108" w:type="dxa"/>
          <w:tblLayout w:type="fixed"/>
          <w:tblLook w:val="04A0"/>
        </w:tblPrEx>
        <w:tc>
          <w:tcPr>
            <w:vAlign w:val="center"/>
          </w:tcPr>
          <w:p>
            <w:pPr>
              <w:jc w:val="left"/>
            </w:pPr>
            <w:r>
              <w:rPr>
                <w:rFonts w:eastAsiaTheme="minorEastAsia"/>
                <w:color w:val="000000" w:themeColor="text1"/>
                <w:szCs w:val="21"/>
              </w:rPr>
              <w:t>中金公司</w:t>
            </w:r>
          </w:p>
        </w:tc>
        <w:tc>
          <w:tcPr>
            <w:vAlign w:val="center"/>
          </w:tcPr>
          <w:p>
            <w:pPr>
              <w:jc w:val="right"/>
            </w:pPr>
            <w:r>
              <w:rPr>
                <w:rFonts w:eastAsiaTheme="minorEastAsia"/>
                <w:color w:val="000000" w:themeColor="text1"/>
                <w:szCs w:val="21"/>
              </w:rPr>
              <w:t>1</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left"/>
            </w:pPr>
            <w:r>
              <w:rPr>
                <w:rFonts w:eastAsiaTheme="minorEastAsia"/>
                <w:color w:val="000000" w:themeColor="text1"/>
                <w:szCs w:val="21"/>
              </w:rPr>
              <w:t>-</w:t>
            </w:r>
          </w:p>
        </w:tc>
      </w:tr>
      <w:tr>
        <w:tblPrEx>
          <w:tblW w:w="9000" w:type="dxa"/>
          <w:tblInd w:w="108" w:type="dxa"/>
          <w:tblLayout w:type="fixed"/>
          <w:tblLook w:val="04A0"/>
        </w:tblPrEx>
        <w:tc>
          <w:tcPr>
            <w:vAlign w:val="center"/>
          </w:tcPr>
          <w:p>
            <w:pPr>
              <w:jc w:val="left"/>
            </w:pPr>
            <w:r>
              <w:rPr>
                <w:rFonts w:eastAsiaTheme="minorEastAsia"/>
                <w:color w:val="000000" w:themeColor="text1"/>
                <w:szCs w:val="21"/>
              </w:rPr>
              <w:t>华泰证券</w:t>
            </w:r>
          </w:p>
        </w:tc>
        <w:tc>
          <w:tcPr>
            <w:vAlign w:val="center"/>
          </w:tcPr>
          <w:p>
            <w:pPr>
              <w:jc w:val="right"/>
            </w:pPr>
            <w:r>
              <w:rPr>
                <w:rFonts w:eastAsiaTheme="minorEastAsia"/>
                <w:color w:val="000000" w:themeColor="text1"/>
                <w:szCs w:val="21"/>
              </w:rPr>
              <w:t>1</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left"/>
            </w:pPr>
            <w:r>
              <w:rPr>
                <w:rFonts w:eastAsiaTheme="minorEastAsia"/>
                <w:color w:val="000000" w:themeColor="text1"/>
                <w:szCs w:val="21"/>
              </w:rPr>
              <w:t>-</w:t>
            </w:r>
          </w:p>
        </w:tc>
      </w:tr>
      <w:tr>
        <w:tblPrEx>
          <w:tblW w:w="9000" w:type="dxa"/>
          <w:tblInd w:w="108" w:type="dxa"/>
          <w:tblLayout w:type="fixed"/>
          <w:tblLook w:val="04A0"/>
        </w:tblPrEx>
        <w:tc>
          <w:tcPr>
            <w:vAlign w:val="center"/>
          </w:tcPr>
          <w:p>
            <w:pPr>
              <w:jc w:val="left"/>
            </w:pPr>
            <w:r>
              <w:rPr>
                <w:rFonts w:eastAsiaTheme="minorEastAsia"/>
                <w:color w:val="000000" w:themeColor="text1"/>
                <w:szCs w:val="21"/>
              </w:rPr>
              <w:t>爱建证券</w:t>
            </w:r>
          </w:p>
        </w:tc>
        <w:tc>
          <w:tcPr>
            <w:vAlign w:val="center"/>
          </w:tcPr>
          <w:p>
            <w:pPr>
              <w:jc w:val="right"/>
            </w:pPr>
            <w:r>
              <w:rPr>
                <w:rFonts w:eastAsiaTheme="minorEastAsia"/>
                <w:color w:val="000000" w:themeColor="text1"/>
                <w:szCs w:val="21"/>
              </w:rPr>
              <w:t>1</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left"/>
            </w:pPr>
            <w:r>
              <w:rPr>
                <w:rFonts w:eastAsiaTheme="minorEastAsia"/>
                <w:color w:val="000000" w:themeColor="text1"/>
                <w:szCs w:val="21"/>
              </w:rPr>
              <w:t>-</w:t>
            </w:r>
          </w:p>
        </w:tc>
      </w:tr>
      <w:tr>
        <w:tblPrEx>
          <w:tblW w:w="9000" w:type="dxa"/>
          <w:tblInd w:w="108" w:type="dxa"/>
          <w:tblLayout w:type="fixed"/>
          <w:tblLook w:val="04A0"/>
        </w:tblPrEx>
        <w:tc>
          <w:tcPr>
            <w:vAlign w:val="center"/>
          </w:tcPr>
          <w:p>
            <w:pPr>
              <w:jc w:val="left"/>
            </w:pPr>
            <w:r>
              <w:rPr>
                <w:rFonts w:eastAsiaTheme="minorEastAsia"/>
                <w:color w:val="000000" w:themeColor="text1"/>
                <w:szCs w:val="21"/>
              </w:rPr>
              <w:t>财通证券</w:t>
            </w:r>
          </w:p>
        </w:tc>
        <w:tc>
          <w:tcPr>
            <w:vAlign w:val="center"/>
          </w:tcPr>
          <w:p>
            <w:pPr>
              <w:jc w:val="right"/>
            </w:pPr>
            <w:r>
              <w:rPr>
                <w:rFonts w:eastAsiaTheme="minorEastAsia"/>
                <w:color w:val="000000" w:themeColor="text1"/>
                <w:szCs w:val="21"/>
              </w:rPr>
              <w:t>2</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left"/>
            </w:pPr>
            <w:r>
              <w:rPr>
                <w:rFonts w:eastAsiaTheme="minorEastAsia"/>
                <w:color w:val="000000" w:themeColor="text1"/>
                <w:szCs w:val="21"/>
              </w:rPr>
              <w:t>-</w:t>
            </w:r>
          </w:p>
        </w:tc>
      </w:tr>
      <w:tr>
        <w:tblPrEx>
          <w:tblW w:w="9000" w:type="dxa"/>
          <w:tblInd w:w="108" w:type="dxa"/>
          <w:tblLayout w:type="fixed"/>
          <w:tblLook w:val="04A0"/>
        </w:tblPrEx>
        <w:tc>
          <w:tcPr>
            <w:vAlign w:val="center"/>
          </w:tcPr>
          <w:p>
            <w:pPr>
              <w:jc w:val="left"/>
            </w:pPr>
            <w:r>
              <w:rPr>
                <w:rFonts w:eastAsiaTheme="minorEastAsia"/>
                <w:color w:val="000000" w:themeColor="text1"/>
                <w:szCs w:val="21"/>
              </w:rPr>
              <w:t>东兴证券</w:t>
            </w:r>
          </w:p>
        </w:tc>
        <w:tc>
          <w:tcPr>
            <w:vAlign w:val="center"/>
          </w:tcPr>
          <w:p>
            <w:pPr>
              <w:jc w:val="right"/>
            </w:pPr>
            <w:r>
              <w:rPr>
                <w:rFonts w:eastAsiaTheme="minorEastAsia"/>
                <w:color w:val="000000" w:themeColor="text1"/>
                <w:szCs w:val="21"/>
              </w:rPr>
              <w:t>1</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left"/>
            </w:pPr>
            <w:r>
              <w:rPr>
                <w:rFonts w:eastAsiaTheme="minorEastAsia"/>
                <w:color w:val="000000" w:themeColor="text1"/>
                <w:szCs w:val="21"/>
              </w:rPr>
              <w:t>-</w:t>
            </w:r>
          </w:p>
        </w:tc>
      </w:tr>
      <w:tr>
        <w:tblPrEx>
          <w:tblW w:w="9000" w:type="dxa"/>
          <w:tblInd w:w="108" w:type="dxa"/>
          <w:tblLayout w:type="fixed"/>
          <w:tblLook w:val="04A0"/>
        </w:tblPrEx>
        <w:tc>
          <w:tcPr>
            <w:vAlign w:val="center"/>
          </w:tcPr>
          <w:p>
            <w:pPr>
              <w:jc w:val="left"/>
            </w:pPr>
            <w:r>
              <w:rPr>
                <w:rFonts w:eastAsiaTheme="minorEastAsia"/>
                <w:color w:val="000000" w:themeColor="text1"/>
                <w:szCs w:val="21"/>
              </w:rPr>
              <w:t>国海证券</w:t>
            </w:r>
          </w:p>
        </w:tc>
        <w:tc>
          <w:tcPr>
            <w:vAlign w:val="center"/>
          </w:tcPr>
          <w:p>
            <w:pPr>
              <w:jc w:val="right"/>
            </w:pPr>
            <w:r>
              <w:rPr>
                <w:rFonts w:eastAsiaTheme="minorEastAsia"/>
                <w:color w:val="000000" w:themeColor="text1"/>
                <w:szCs w:val="21"/>
              </w:rPr>
              <w:t>1</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left"/>
            </w:pPr>
            <w:r>
              <w:rPr>
                <w:rFonts w:eastAsiaTheme="minorEastAsia"/>
                <w:color w:val="000000" w:themeColor="text1"/>
                <w:szCs w:val="21"/>
              </w:rPr>
              <w:t>-</w:t>
            </w:r>
          </w:p>
        </w:tc>
      </w:tr>
      <w:tr>
        <w:tblPrEx>
          <w:tblW w:w="9000" w:type="dxa"/>
          <w:tblInd w:w="108" w:type="dxa"/>
          <w:tblLayout w:type="fixed"/>
          <w:tblLook w:val="04A0"/>
        </w:tblPrEx>
        <w:tc>
          <w:tcPr>
            <w:vAlign w:val="center"/>
          </w:tcPr>
          <w:p>
            <w:pPr>
              <w:jc w:val="left"/>
            </w:pPr>
            <w:r>
              <w:rPr>
                <w:rFonts w:eastAsiaTheme="minorEastAsia"/>
                <w:color w:val="000000" w:themeColor="text1"/>
                <w:szCs w:val="21"/>
              </w:rPr>
              <w:t>国联证券</w:t>
            </w:r>
          </w:p>
        </w:tc>
        <w:tc>
          <w:tcPr>
            <w:vAlign w:val="center"/>
          </w:tcPr>
          <w:p>
            <w:pPr>
              <w:jc w:val="right"/>
            </w:pPr>
            <w:r>
              <w:rPr>
                <w:rFonts w:eastAsiaTheme="minorEastAsia"/>
                <w:color w:val="000000" w:themeColor="text1"/>
                <w:szCs w:val="21"/>
              </w:rPr>
              <w:t>2</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left"/>
            </w:pPr>
            <w:r>
              <w:rPr>
                <w:rFonts w:eastAsiaTheme="minorEastAsia"/>
                <w:color w:val="000000" w:themeColor="text1"/>
                <w:szCs w:val="21"/>
              </w:rPr>
              <w:t>-</w:t>
            </w:r>
          </w:p>
        </w:tc>
      </w:tr>
      <w:tr>
        <w:tblPrEx>
          <w:tblW w:w="9000" w:type="dxa"/>
          <w:tblInd w:w="108" w:type="dxa"/>
          <w:tblLayout w:type="fixed"/>
          <w:tblLook w:val="04A0"/>
        </w:tblPrEx>
        <w:tc>
          <w:tcPr>
            <w:vAlign w:val="center"/>
          </w:tcPr>
          <w:p>
            <w:pPr>
              <w:jc w:val="left"/>
            </w:pPr>
            <w:r>
              <w:rPr>
                <w:rFonts w:eastAsiaTheme="minorEastAsia"/>
                <w:color w:val="000000" w:themeColor="text1"/>
                <w:szCs w:val="21"/>
              </w:rPr>
              <w:t>国泰君安证券</w:t>
            </w:r>
          </w:p>
        </w:tc>
        <w:tc>
          <w:tcPr>
            <w:vAlign w:val="center"/>
          </w:tcPr>
          <w:p>
            <w:pPr>
              <w:jc w:val="right"/>
            </w:pPr>
            <w:r>
              <w:rPr>
                <w:rFonts w:eastAsiaTheme="minorEastAsia"/>
                <w:color w:val="000000" w:themeColor="text1"/>
                <w:szCs w:val="21"/>
              </w:rPr>
              <w:t>1</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left"/>
            </w:pPr>
            <w:r>
              <w:rPr>
                <w:rFonts w:eastAsiaTheme="minorEastAsia"/>
                <w:color w:val="000000" w:themeColor="text1"/>
                <w:szCs w:val="21"/>
              </w:rPr>
              <w:t>-</w:t>
            </w:r>
          </w:p>
        </w:tc>
      </w:tr>
      <w:tr>
        <w:tblPrEx>
          <w:tblW w:w="9000" w:type="dxa"/>
          <w:tblInd w:w="108" w:type="dxa"/>
          <w:tblLayout w:type="fixed"/>
          <w:tblLook w:val="04A0"/>
        </w:tblPrEx>
        <w:tc>
          <w:tcPr>
            <w:vAlign w:val="center"/>
          </w:tcPr>
          <w:p>
            <w:pPr>
              <w:jc w:val="left"/>
            </w:pPr>
            <w:r>
              <w:rPr>
                <w:rFonts w:eastAsiaTheme="minorEastAsia"/>
                <w:color w:val="000000" w:themeColor="text1"/>
                <w:szCs w:val="21"/>
              </w:rPr>
              <w:t>华泰联合证券</w:t>
            </w:r>
          </w:p>
        </w:tc>
        <w:tc>
          <w:tcPr>
            <w:vAlign w:val="center"/>
          </w:tcPr>
          <w:p>
            <w:pPr>
              <w:jc w:val="right"/>
            </w:pPr>
            <w:r>
              <w:rPr>
                <w:rFonts w:eastAsiaTheme="minorEastAsia"/>
                <w:color w:val="000000" w:themeColor="text1"/>
                <w:szCs w:val="21"/>
              </w:rPr>
              <w:t>1</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left"/>
            </w:pPr>
            <w:r>
              <w:rPr>
                <w:rFonts w:eastAsiaTheme="minorEastAsia"/>
                <w:color w:val="000000" w:themeColor="text1"/>
                <w:szCs w:val="21"/>
              </w:rPr>
              <w:t>-</w:t>
            </w:r>
          </w:p>
        </w:tc>
      </w:tr>
      <w:tr>
        <w:tblPrEx>
          <w:tblW w:w="9000" w:type="dxa"/>
          <w:tblInd w:w="108" w:type="dxa"/>
          <w:tblLayout w:type="fixed"/>
          <w:tblLook w:val="04A0"/>
        </w:tblPrEx>
        <w:tc>
          <w:tcPr>
            <w:vAlign w:val="center"/>
          </w:tcPr>
          <w:p>
            <w:pPr>
              <w:jc w:val="left"/>
            </w:pPr>
            <w:r>
              <w:rPr>
                <w:rFonts w:eastAsiaTheme="minorEastAsia"/>
                <w:color w:val="000000" w:themeColor="text1"/>
                <w:szCs w:val="21"/>
              </w:rPr>
              <w:t>江南证券</w:t>
            </w:r>
          </w:p>
        </w:tc>
        <w:tc>
          <w:tcPr>
            <w:vAlign w:val="center"/>
          </w:tcPr>
          <w:p>
            <w:pPr>
              <w:jc w:val="right"/>
            </w:pPr>
            <w:r>
              <w:rPr>
                <w:rFonts w:eastAsiaTheme="minorEastAsia"/>
                <w:color w:val="000000" w:themeColor="text1"/>
                <w:szCs w:val="21"/>
              </w:rPr>
              <w:t>2</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left"/>
            </w:pPr>
            <w:r>
              <w:rPr>
                <w:rFonts w:eastAsiaTheme="minorEastAsia"/>
                <w:color w:val="000000" w:themeColor="text1"/>
                <w:szCs w:val="21"/>
              </w:rPr>
              <w:t>-</w:t>
            </w:r>
          </w:p>
        </w:tc>
      </w:tr>
      <w:tr>
        <w:tblPrEx>
          <w:tblW w:w="9000" w:type="dxa"/>
          <w:tblInd w:w="108" w:type="dxa"/>
          <w:tblLayout w:type="fixed"/>
          <w:tblLook w:val="04A0"/>
        </w:tblPrEx>
        <w:tc>
          <w:tcPr>
            <w:vAlign w:val="center"/>
          </w:tcPr>
          <w:p>
            <w:pPr>
              <w:jc w:val="left"/>
            </w:pPr>
            <w:r>
              <w:rPr>
                <w:rFonts w:eastAsiaTheme="minorEastAsia"/>
                <w:color w:val="000000" w:themeColor="text1"/>
                <w:szCs w:val="21"/>
              </w:rPr>
              <w:t>金元证券</w:t>
            </w:r>
          </w:p>
        </w:tc>
        <w:tc>
          <w:tcPr>
            <w:vAlign w:val="center"/>
          </w:tcPr>
          <w:p>
            <w:pPr>
              <w:jc w:val="right"/>
            </w:pPr>
            <w:r>
              <w:rPr>
                <w:rFonts w:eastAsiaTheme="minorEastAsia"/>
                <w:color w:val="000000" w:themeColor="text1"/>
                <w:szCs w:val="21"/>
              </w:rPr>
              <w:t>1</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left"/>
            </w:pPr>
            <w:r>
              <w:rPr>
                <w:rFonts w:eastAsiaTheme="minorEastAsia"/>
                <w:color w:val="000000" w:themeColor="text1"/>
                <w:szCs w:val="21"/>
              </w:rPr>
              <w:t>-</w:t>
            </w:r>
          </w:p>
        </w:tc>
      </w:tr>
      <w:tr>
        <w:tblPrEx>
          <w:tblW w:w="9000" w:type="dxa"/>
          <w:tblInd w:w="108" w:type="dxa"/>
          <w:tblLayout w:type="fixed"/>
          <w:tblLook w:val="04A0"/>
        </w:tblPrEx>
        <w:tc>
          <w:tcPr>
            <w:vAlign w:val="center"/>
          </w:tcPr>
          <w:p>
            <w:pPr>
              <w:jc w:val="left"/>
            </w:pPr>
            <w:r>
              <w:rPr>
                <w:rFonts w:eastAsiaTheme="minorEastAsia"/>
                <w:color w:val="000000" w:themeColor="text1"/>
                <w:szCs w:val="21"/>
              </w:rPr>
              <w:t>开源证券</w:t>
            </w:r>
          </w:p>
        </w:tc>
        <w:tc>
          <w:tcPr>
            <w:vAlign w:val="center"/>
          </w:tcPr>
          <w:p>
            <w:pPr>
              <w:jc w:val="right"/>
            </w:pPr>
            <w:r>
              <w:rPr>
                <w:rFonts w:eastAsiaTheme="minorEastAsia"/>
                <w:color w:val="000000" w:themeColor="text1"/>
                <w:szCs w:val="21"/>
              </w:rPr>
              <w:t>1</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left"/>
            </w:pPr>
            <w:r>
              <w:rPr>
                <w:rFonts w:eastAsiaTheme="minorEastAsia"/>
                <w:color w:val="000000" w:themeColor="text1"/>
                <w:szCs w:val="21"/>
              </w:rPr>
              <w:t>-</w:t>
            </w:r>
          </w:p>
        </w:tc>
      </w:tr>
      <w:tr>
        <w:tblPrEx>
          <w:tblW w:w="9000" w:type="dxa"/>
          <w:tblInd w:w="108" w:type="dxa"/>
          <w:tblLayout w:type="fixed"/>
          <w:tblLook w:val="04A0"/>
        </w:tblPrEx>
        <w:tc>
          <w:tcPr>
            <w:vAlign w:val="center"/>
          </w:tcPr>
          <w:p>
            <w:pPr>
              <w:jc w:val="left"/>
            </w:pPr>
            <w:r>
              <w:rPr>
                <w:rFonts w:eastAsiaTheme="minorEastAsia"/>
                <w:color w:val="000000" w:themeColor="text1"/>
                <w:szCs w:val="21"/>
              </w:rPr>
              <w:t>华林证券</w:t>
            </w:r>
          </w:p>
        </w:tc>
        <w:tc>
          <w:tcPr>
            <w:vAlign w:val="center"/>
          </w:tcPr>
          <w:p>
            <w:pPr>
              <w:jc w:val="right"/>
            </w:pPr>
            <w:r>
              <w:rPr>
                <w:rFonts w:eastAsiaTheme="minorEastAsia"/>
                <w:color w:val="000000" w:themeColor="text1"/>
                <w:szCs w:val="21"/>
              </w:rPr>
              <w:t>1</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left"/>
            </w:pPr>
            <w:r>
              <w:rPr>
                <w:rFonts w:eastAsiaTheme="minorEastAsia"/>
                <w:color w:val="000000" w:themeColor="text1"/>
                <w:szCs w:val="21"/>
              </w:rPr>
              <w:t>-</w:t>
            </w:r>
          </w:p>
        </w:tc>
      </w:tr>
      <w:tr>
        <w:tblPrEx>
          <w:tblW w:w="9000" w:type="dxa"/>
          <w:tblInd w:w="108" w:type="dxa"/>
          <w:tblLayout w:type="fixed"/>
          <w:tblLook w:val="04A0"/>
        </w:tblPrEx>
        <w:tc>
          <w:tcPr>
            <w:vAlign w:val="center"/>
          </w:tcPr>
          <w:p>
            <w:pPr>
              <w:jc w:val="left"/>
            </w:pPr>
            <w:r>
              <w:rPr>
                <w:rFonts w:eastAsiaTheme="minorEastAsia"/>
                <w:color w:val="000000" w:themeColor="text1"/>
                <w:szCs w:val="21"/>
              </w:rPr>
              <w:t>国信证券</w:t>
            </w:r>
          </w:p>
        </w:tc>
        <w:tc>
          <w:tcPr>
            <w:vAlign w:val="center"/>
          </w:tcPr>
          <w:p>
            <w:pPr>
              <w:jc w:val="right"/>
            </w:pPr>
            <w:r>
              <w:rPr>
                <w:rFonts w:eastAsiaTheme="minorEastAsia"/>
                <w:color w:val="000000" w:themeColor="text1"/>
                <w:szCs w:val="21"/>
              </w:rPr>
              <w:t>1</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left"/>
            </w:pPr>
            <w:r>
              <w:rPr>
                <w:rFonts w:eastAsiaTheme="minorEastAsia"/>
                <w:color w:val="000000" w:themeColor="text1"/>
                <w:szCs w:val="21"/>
              </w:rPr>
              <w:t>-</w:t>
            </w:r>
          </w:p>
        </w:tc>
      </w:tr>
      <w:tr>
        <w:tblPrEx>
          <w:tblW w:w="9000" w:type="dxa"/>
          <w:tblInd w:w="108" w:type="dxa"/>
          <w:tblLayout w:type="fixed"/>
          <w:tblLook w:val="04A0"/>
        </w:tblPrEx>
        <w:tc>
          <w:tcPr>
            <w:vAlign w:val="center"/>
          </w:tcPr>
          <w:p>
            <w:pPr>
              <w:jc w:val="left"/>
            </w:pPr>
            <w:r>
              <w:rPr>
                <w:rFonts w:eastAsiaTheme="minorEastAsia"/>
                <w:color w:val="000000" w:themeColor="text1"/>
                <w:szCs w:val="21"/>
              </w:rPr>
              <w:t>中泰证券（齐鲁）</w:t>
            </w:r>
          </w:p>
        </w:tc>
        <w:tc>
          <w:tcPr>
            <w:vAlign w:val="center"/>
          </w:tcPr>
          <w:p>
            <w:pPr>
              <w:jc w:val="right"/>
            </w:pPr>
            <w:r>
              <w:rPr>
                <w:rFonts w:eastAsiaTheme="minorEastAsia"/>
                <w:color w:val="000000" w:themeColor="text1"/>
                <w:szCs w:val="21"/>
              </w:rPr>
              <w:t>1</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left"/>
            </w:pPr>
            <w:r>
              <w:rPr>
                <w:rFonts w:eastAsiaTheme="minorEastAsia"/>
                <w:color w:val="000000" w:themeColor="text1"/>
                <w:szCs w:val="21"/>
              </w:rPr>
              <w:t>-</w:t>
            </w:r>
          </w:p>
        </w:tc>
      </w:tr>
      <w:tr>
        <w:tblPrEx>
          <w:tblW w:w="9000" w:type="dxa"/>
          <w:tblInd w:w="108" w:type="dxa"/>
          <w:tblLayout w:type="fixed"/>
          <w:tblLook w:val="04A0"/>
        </w:tblPrEx>
        <w:tc>
          <w:tcPr>
            <w:vAlign w:val="center"/>
          </w:tcPr>
          <w:p>
            <w:pPr>
              <w:jc w:val="left"/>
            </w:pPr>
            <w:r>
              <w:rPr>
                <w:rFonts w:eastAsiaTheme="minorEastAsia"/>
                <w:color w:val="000000" w:themeColor="text1"/>
                <w:szCs w:val="21"/>
              </w:rPr>
              <w:t>广州证券</w:t>
            </w:r>
          </w:p>
        </w:tc>
        <w:tc>
          <w:tcPr>
            <w:vAlign w:val="center"/>
          </w:tcPr>
          <w:p>
            <w:pPr>
              <w:jc w:val="right"/>
            </w:pPr>
            <w:r>
              <w:rPr>
                <w:rFonts w:eastAsiaTheme="minorEastAsia"/>
                <w:color w:val="000000" w:themeColor="text1"/>
                <w:szCs w:val="21"/>
              </w:rPr>
              <w:t>1</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left"/>
            </w:pPr>
            <w:r>
              <w:rPr>
                <w:rFonts w:eastAsiaTheme="minorEastAsia"/>
                <w:color w:val="000000" w:themeColor="text1"/>
                <w:szCs w:val="21"/>
              </w:rPr>
              <w:t>-</w:t>
            </w:r>
          </w:p>
        </w:tc>
      </w:tr>
      <w:tr>
        <w:tblPrEx>
          <w:tblW w:w="9000" w:type="dxa"/>
          <w:tblInd w:w="108" w:type="dxa"/>
          <w:tblLayout w:type="fixed"/>
          <w:tblLook w:val="04A0"/>
        </w:tblPrEx>
        <w:tc>
          <w:tcPr>
            <w:vAlign w:val="center"/>
          </w:tcPr>
          <w:p>
            <w:pPr>
              <w:jc w:val="left"/>
            </w:pPr>
            <w:r>
              <w:rPr>
                <w:rFonts w:eastAsiaTheme="minorEastAsia"/>
                <w:color w:val="000000" w:themeColor="text1"/>
                <w:szCs w:val="21"/>
              </w:rPr>
              <w:t>日信证券</w:t>
            </w:r>
          </w:p>
        </w:tc>
        <w:tc>
          <w:tcPr>
            <w:vAlign w:val="center"/>
          </w:tcPr>
          <w:p>
            <w:pPr>
              <w:jc w:val="right"/>
            </w:pPr>
            <w:r>
              <w:rPr>
                <w:rFonts w:eastAsiaTheme="minorEastAsia"/>
                <w:color w:val="000000" w:themeColor="text1"/>
                <w:szCs w:val="21"/>
              </w:rPr>
              <w:t>2</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right"/>
            </w:pPr>
            <w:r>
              <w:rPr>
                <w:rFonts w:eastAsiaTheme="minorEastAsia"/>
                <w:color w:val="000000" w:themeColor="text1"/>
                <w:szCs w:val="21"/>
              </w:rPr>
              <w:t>-</w:t>
            </w:r>
          </w:p>
        </w:tc>
        <w:tc>
          <w:tcPr>
            <w:vAlign w:val="center"/>
          </w:tcPr>
          <w:p>
            <w:pPr>
              <w:jc w:val="left"/>
            </w:pPr>
            <w:r>
              <w:rPr>
                <w:rFonts w:eastAsiaTheme="minorEastAsia"/>
                <w:color w:val="000000" w:themeColor="text1"/>
                <w:szCs w:val="21"/>
              </w:rPr>
              <w:t>-</w:t>
            </w:r>
          </w:p>
        </w:tc>
      </w:tr>
    </w:tbl>
    <w:p w:rsidR="00E90C74" w:rsidRPr="0045565B" w:rsidP="0025572E">
      <w:pPr>
        <w:pStyle w:val="Heading1"/>
        <w:keepNext/>
        <w:keepLines/>
        <w:widowControl w:val="0"/>
        <w:spacing w:before="312" w:beforeLines="100" w:after="312" w:afterLines="100" w:line="360" w:lineRule="auto"/>
        <w:jc w:val="center"/>
        <w:rPr>
          <w:rFonts w:eastAsiaTheme="minorEastAsia"/>
          <w:b/>
          <w:bCs/>
          <w:sz w:val="21"/>
          <w:szCs w:val="21"/>
          <w:lang w:val="en-US"/>
        </w:rPr>
      </w:pPr>
      <w:bookmarkStart w:id="95" w:name="_Toc361324902"/>
      <w:r w:rsidRPr="0045565B">
        <w:rPr>
          <w:rFonts w:eastAsiaTheme="minorEastAsia"/>
          <w:b/>
          <w:bCs/>
          <w:sz w:val="21"/>
          <w:szCs w:val="21"/>
          <w:lang w:val="en-US"/>
        </w:rPr>
        <w:t xml:space="preserve">11  </w:t>
      </w:r>
      <w:r w:rsidRPr="0045565B">
        <w:rPr>
          <w:rFonts w:eastAsiaTheme="minorEastAsia"/>
          <w:b/>
          <w:bCs/>
          <w:sz w:val="21"/>
          <w:szCs w:val="21"/>
          <w:lang w:val="en-US"/>
        </w:rPr>
        <w:t>影响投资者决策的其他重要信息</w:t>
      </w:r>
      <w:bookmarkEnd w:id="95"/>
    </w:p>
    <w:p w:rsidR="005E0C40" w:rsidP="005E0C40">
      <w:pPr>
        <w:pStyle w:val="Heading2"/>
        <w:spacing w:before="0" w:after="0"/>
        <w:rPr>
          <w:rFonts w:ascii="Times New Roman" w:hAnsi="Times New Roman"/>
          <w:b w:val="0"/>
          <w:color w:val="000000" w:themeColor="text1"/>
          <w:kern w:val="0"/>
          <w:sz w:val="21"/>
          <w:szCs w:val="21"/>
        </w:rPr>
      </w:pPr>
      <w:r>
        <w:rPr>
          <w:rFonts w:ascii="Times New Roman" w:hAnsi="Times New Roman"/>
          <w:color w:val="000000" w:themeColor="text1"/>
          <w:kern w:val="0"/>
          <w:sz w:val="21"/>
          <w:szCs w:val="21"/>
        </w:rPr>
        <w:t xml:space="preserve">11.1 </w:t>
      </w:r>
      <w:r>
        <w:rPr>
          <w:rFonts w:ascii="Times New Roman" w:hAnsi="Times New Roman" w:hint="eastAsia"/>
          <w:color w:val="000000" w:themeColor="text1"/>
          <w:kern w:val="0"/>
          <w:sz w:val="21"/>
          <w:szCs w:val="21"/>
        </w:rPr>
        <w:t>影响投资者决策的其他重要信息</w:t>
      </w:r>
    </w:p>
    <w:p w:rsidR="001548F9" w:rsidRPr="0045565B" w:rsidP="005E0C40">
      <w:pPr>
        <w:ind w:firstLine="315" w:firstLineChars="150"/>
        <w:rPr>
          <w:rFonts w:eastAsiaTheme="minorEastAsia"/>
          <w:bCs/>
          <w:color w:val="000000"/>
          <w:szCs w:val="21"/>
        </w:rPr>
      </w:pPr>
      <w:r>
        <w:rPr>
          <w:rFonts w:eastAsiaTheme="minorEastAsia"/>
          <w:color w:val="000000" w:themeColor="text1"/>
          <w:szCs w:val="21"/>
        </w:rPr>
        <w:t>无影响投资者决策的其他重要信息。</w:t>
      </w:r>
    </w:p>
    <w:p w:rsidR="001548F9" w:rsidRPr="0045565B" w:rsidP="00D24622">
      <w:pPr>
        <w:ind w:firstLine="315" w:firstLineChars="150"/>
        <w:rPr>
          <w:rFonts w:eastAsiaTheme="minorEastAsia"/>
          <w:bCs/>
          <w:color w:val="000000"/>
          <w:szCs w:val="21"/>
        </w:rPr>
      </w:pPr>
    </w:p>
    <w:p w:rsidR="001548F9" w:rsidRPr="0045565B" w:rsidP="00D24622">
      <w:pPr>
        <w:ind w:firstLine="315" w:firstLineChars="150"/>
        <w:rPr>
          <w:rFonts w:eastAsiaTheme="minorEastAsia"/>
          <w:bCs/>
          <w:color w:val="000000"/>
          <w:szCs w:val="21"/>
        </w:rPr>
      </w:pPr>
    </w:p>
    <w:p w:rsidR="001548F9" w:rsidRPr="0045565B" w:rsidP="006A2FD2">
      <w:pPr>
        <w:spacing w:before="312" w:beforeLines="100" w:line="360" w:lineRule="auto"/>
        <w:ind w:left="839"/>
        <w:jc w:val="right"/>
        <w:rPr>
          <w:rFonts w:eastAsiaTheme="minorEastAsia"/>
          <w:b/>
          <w:bCs/>
          <w:szCs w:val="21"/>
        </w:rPr>
      </w:pPr>
      <w:r w:rsidRPr="0045565B">
        <w:rPr>
          <w:rFonts w:eastAsiaTheme="minorEastAsia"/>
          <w:b/>
          <w:bCs/>
          <w:szCs w:val="21"/>
        </w:rPr>
        <w:t>金鹰基金管理有限公司</w:t>
      </w:r>
    </w:p>
    <w:p w:rsidR="001548F9" w:rsidRPr="0045565B" w:rsidP="000372F8">
      <w:pPr>
        <w:spacing w:line="360" w:lineRule="auto"/>
        <w:ind w:left="840"/>
        <w:jc w:val="right"/>
        <w:rPr>
          <w:rFonts w:eastAsiaTheme="minorEastAsia"/>
          <w:b/>
          <w:bCs/>
          <w:szCs w:val="21"/>
        </w:rPr>
      </w:pPr>
      <w:r w:rsidRPr="0045565B">
        <w:rPr>
          <w:rFonts w:eastAsiaTheme="minorEastAsia"/>
          <w:b/>
          <w:bCs/>
          <w:szCs w:val="21"/>
        </w:rPr>
        <w:t>二〇一九年八月二十三日</w:t>
      </w:r>
    </w:p>
    <w:sectPr w:rsidSect="00937AC9">
      <w:footerReference w:type="even" r:id="rId7"/>
      <w:footerReference w:type="default" r:id="rId8"/>
      <w:pgSz w:w="11906" w:h="16838" w:code="9"/>
      <w:pgMar w:top="1418" w:right="1418" w:bottom="851"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3136" w:rsidP="00C03B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B3136" w:rsidP="00C03B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3136" w:rsidP="00C03B3A">
    <w:pPr>
      <w:pStyle w:val="Footer"/>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30</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30</w:t>
    </w:r>
    <w:r>
      <w:rPr>
        <w:kern w:val="0"/>
        <w:szCs w:val="21"/>
      </w:rPr>
      <w:fldChar w:fldCharType="end"/>
    </w:r>
    <w:r>
      <w:rPr>
        <w:rFonts w:hint="eastAsia"/>
        <w:kern w:val="0"/>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3136" w:rsidRPr="00801E52" w:rsidP="002243A3">
    <w:pPr>
      <w:pStyle w:val="Header"/>
      <w:pBdr>
        <w:bottom w:val="single" w:sz="6" w:space="0" w:color="auto"/>
      </w:pBdr>
      <w:jc w:val="right"/>
    </w:pPr>
    <w:r w:rsidRPr="00801E52">
      <w:t>金鹰医疗健康产业股票型证券投资基金2019年半年度报告</w:t>
    </w:r>
    <w:r w:rsidRPr="00801E52">
      <w:rPr>
        <w:rFonts w:hint="eastAsia"/>
      </w:rPr>
      <w:t>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055987"/>
    <w:multiLevelType w:val="hybridMultilevel"/>
    <w:tmpl w:val="6DACDB38"/>
    <w:lvl w:ilvl="0">
      <w:start w:val="2006"/>
      <w:numFmt w:val="bullet"/>
      <w:lvlText w:val="●"/>
      <w:lvlJc w:val="left"/>
      <w:pPr>
        <w:tabs>
          <w:tab w:val="num" w:pos="780"/>
        </w:tabs>
        <w:ind w:left="780" w:hanging="360"/>
      </w:pPr>
      <w:rPr>
        <w:rFonts w:ascii="Times New Roman" w:eastAsia="宋体" w:hAnsi="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start w:val="1"/>
      <w:numFmt w:val="decimal"/>
      <w:lvlText w:val="（%1）"/>
      <w:lvlJc w:val="left"/>
      <w:pPr>
        <w:tabs>
          <w:tab w:val="num" w:pos="1200"/>
        </w:tabs>
        <w:ind w:left="1200" w:hanging="720"/>
      </w:pPr>
      <w:rPr>
        <w:rFonts w:cs="Times New Roman" w:hint="eastAsia"/>
        <w:sz w:val="24"/>
      </w:rPr>
    </w:lvl>
    <w:lvl w:ilvl="1" w:tentative="1">
      <w:start w:val="1"/>
      <w:numFmt w:val="lowerLetter"/>
      <w:lvlText w:val="%2)"/>
      <w:lvlJc w:val="left"/>
      <w:pPr>
        <w:tabs>
          <w:tab w:val="num" w:pos="1320"/>
        </w:tabs>
        <w:ind w:left="1320" w:hanging="420"/>
      </w:pPr>
      <w:rPr>
        <w:rFonts w:cs="Times New Roman"/>
      </w:rPr>
    </w:lvl>
    <w:lvl w:ilvl="2" w:tentative="1">
      <w:start w:val="1"/>
      <w:numFmt w:val="lowerRoman"/>
      <w:lvlText w:val="%3."/>
      <w:lvlJc w:val="right"/>
      <w:pPr>
        <w:tabs>
          <w:tab w:val="num" w:pos="1740"/>
        </w:tabs>
        <w:ind w:left="1740" w:hanging="420"/>
      </w:pPr>
      <w:rPr>
        <w:rFonts w:cs="Times New Roman"/>
      </w:rPr>
    </w:lvl>
    <w:lvl w:ilvl="3" w:tentative="1">
      <w:start w:val="1"/>
      <w:numFmt w:val="decimal"/>
      <w:lvlText w:val="%4."/>
      <w:lvlJc w:val="left"/>
      <w:pPr>
        <w:tabs>
          <w:tab w:val="num" w:pos="2160"/>
        </w:tabs>
        <w:ind w:left="2160" w:hanging="420"/>
      </w:pPr>
      <w:rPr>
        <w:rFonts w:cs="Times New Roman"/>
      </w:rPr>
    </w:lvl>
    <w:lvl w:ilvl="4" w:tentative="1">
      <w:start w:val="1"/>
      <w:numFmt w:val="lowerLetter"/>
      <w:lvlText w:val="%5)"/>
      <w:lvlJc w:val="left"/>
      <w:pPr>
        <w:tabs>
          <w:tab w:val="num" w:pos="2580"/>
        </w:tabs>
        <w:ind w:left="2580" w:hanging="420"/>
      </w:pPr>
      <w:rPr>
        <w:rFonts w:cs="Times New Roman"/>
      </w:rPr>
    </w:lvl>
    <w:lvl w:ilvl="5" w:tentative="1">
      <w:start w:val="1"/>
      <w:numFmt w:val="lowerRoman"/>
      <w:lvlText w:val="%6."/>
      <w:lvlJc w:val="right"/>
      <w:pPr>
        <w:tabs>
          <w:tab w:val="num" w:pos="3000"/>
        </w:tabs>
        <w:ind w:left="3000" w:hanging="420"/>
      </w:pPr>
      <w:rPr>
        <w:rFonts w:cs="Times New Roman"/>
      </w:rPr>
    </w:lvl>
    <w:lvl w:ilvl="6" w:tentative="1">
      <w:start w:val="1"/>
      <w:numFmt w:val="decimal"/>
      <w:lvlText w:val="%7."/>
      <w:lvlJc w:val="left"/>
      <w:pPr>
        <w:tabs>
          <w:tab w:val="num" w:pos="3420"/>
        </w:tabs>
        <w:ind w:left="3420" w:hanging="420"/>
      </w:pPr>
      <w:rPr>
        <w:rFonts w:cs="Times New Roman"/>
      </w:rPr>
    </w:lvl>
    <w:lvl w:ilvl="7" w:tentative="1">
      <w:start w:val="1"/>
      <w:numFmt w:val="lowerLetter"/>
      <w:lvlText w:val="%8)"/>
      <w:lvlJc w:val="left"/>
      <w:pPr>
        <w:tabs>
          <w:tab w:val="num" w:pos="3840"/>
        </w:tabs>
        <w:ind w:left="3840" w:hanging="420"/>
      </w:pPr>
      <w:rPr>
        <w:rFonts w:cs="Times New Roman"/>
      </w:rPr>
    </w:lvl>
    <w:lvl w:ilvl="8"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start w:val="1"/>
      <w:numFmt w:val="japaneseCounting"/>
      <w:lvlText w:val="%1、"/>
      <w:lvlJc w:val="left"/>
      <w:pPr>
        <w:tabs>
          <w:tab w:val="num" w:pos="480"/>
        </w:tabs>
        <w:ind w:left="480" w:hanging="480"/>
      </w:pPr>
      <w:rPr>
        <w:rFonts w:eastAsia="宋体" w:cs="Times New Roman" w:hint="eastAsia"/>
        <w:color w:val="auto"/>
      </w:rPr>
    </w:lvl>
    <w:lvl w:ilvl="1">
      <w:start w:val="1"/>
      <w:numFmt w:val="japaneseCounting"/>
      <w:lvlText w:val="(%2)"/>
      <w:lvlJc w:val="left"/>
      <w:pPr>
        <w:tabs>
          <w:tab w:val="num" w:pos="810"/>
        </w:tabs>
        <w:ind w:left="810" w:hanging="390"/>
      </w:pPr>
      <w:rPr>
        <w:rFonts w:cs="Times New Roman" w:hint="eastAsia"/>
      </w:rPr>
    </w:lvl>
    <w:lvl w:ilvl="2">
      <w:start w:val="1"/>
      <w:numFmt w:val="decimal"/>
      <w:lvlText w:val="%3、"/>
      <w:lvlJc w:val="left"/>
      <w:pPr>
        <w:tabs>
          <w:tab w:val="num" w:pos="1200"/>
        </w:tabs>
        <w:ind w:left="1200" w:hanging="360"/>
      </w:pPr>
      <w:rPr>
        <w:rFonts w:cs="Times New Roman" w:hint="eastAsia"/>
      </w:rPr>
    </w:lvl>
    <w:lvl w:ilvl="3" w:tentative="1">
      <w:start w:val="1"/>
      <w:numFmt w:val="decimal"/>
      <w:lvlText w:val="%4."/>
      <w:lvlJc w:val="left"/>
      <w:pPr>
        <w:tabs>
          <w:tab w:val="num" w:pos="1680"/>
        </w:tabs>
        <w:ind w:left="1680" w:hanging="420"/>
      </w:pPr>
      <w:rPr>
        <w:rFonts w:cs="Times New Roman"/>
      </w:rPr>
    </w:lvl>
    <w:lvl w:ilvl="4" w:tentative="1">
      <w:start w:val="1"/>
      <w:numFmt w:val="lowerLetter"/>
      <w:lvlText w:val="%5)"/>
      <w:lvlJc w:val="left"/>
      <w:pPr>
        <w:tabs>
          <w:tab w:val="num" w:pos="2100"/>
        </w:tabs>
        <w:ind w:left="2100" w:hanging="420"/>
      </w:pPr>
      <w:rPr>
        <w:rFonts w:cs="Times New Roman"/>
      </w:rPr>
    </w:lvl>
    <w:lvl w:ilvl="5" w:tentative="1">
      <w:start w:val="1"/>
      <w:numFmt w:val="lowerRoman"/>
      <w:lvlText w:val="%6."/>
      <w:lvlJc w:val="righ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lowerLetter"/>
      <w:lvlText w:val="%8)"/>
      <w:lvlJc w:val="left"/>
      <w:pPr>
        <w:tabs>
          <w:tab w:val="num" w:pos="3360"/>
        </w:tabs>
        <w:ind w:left="3360" w:hanging="420"/>
      </w:pPr>
      <w:rPr>
        <w:rFonts w:cs="Times New Roman"/>
      </w:rPr>
    </w:lvl>
    <w:lvl w:ilvl="8"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start w:val="0"/>
        <w:numFmt w:val="decim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start w:val="0"/>
        <w:numFmt w:val="decim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printPostScriptOverText/>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qFormat="1"/>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404"/>
    <w:pPr>
      <w:widowControl w:val="0"/>
      <w:jc w:val="both"/>
    </w:pPr>
    <w:rPr>
      <w:kern w:val="2"/>
      <w:sz w:val="21"/>
      <w:szCs w:val="24"/>
    </w:rPr>
  </w:style>
  <w:style w:type="paragraph" w:styleId="Heading1">
    <w:name w:val="heading 1"/>
    <w:basedOn w:val="Normal"/>
    <w:next w:val="Normal"/>
    <w:link w:val="1Char"/>
    <w:uiPriority w:val="99"/>
    <w:qFormat/>
    <w:rsid w:val="0089214A"/>
    <w:pPr>
      <w:widowControl/>
      <w:jc w:val="left"/>
      <w:outlineLvl w:val="0"/>
    </w:pPr>
    <w:rPr>
      <w:kern w:val="0"/>
      <w:sz w:val="24"/>
      <w:szCs w:val="20"/>
      <w:lang w:val="en-GB"/>
    </w:rPr>
  </w:style>
  <w:style w:type="paragraph" w:styleId="Heading2">
    <w:name w:val="heading 2"/>
    <w:basedOn w:val="Normal"/>
    <w:next w:val="NormalIndent"/>
    <w:link w:val="2Char"/>
    <w:uiPriority w:val="99"/>
    <w:qFormat/>
    <w:rsid w:val="00FB732E"/>
    <w:pPr>
      <w:keepNext/>
      <w:keepLines/>
      <w:spacing w:before="260" w:after="260" w:line="360" w:lineRule="auto"/>
      <w:outlineLvl w:val="1"/>
    </w:pPr>
    <w:rPr>
      <w:rFonts w:ascii="Arial" w:hAnsi="Arial"/>
      <w:b/>
      <w:bCs/>
      <w:sz w:val="24"/>
      <w:szCs w:val="28"/>
    </w:rPr>
  </w:style>
  <w:style w:type="paragraph" w:styleId="Heading3">
    <w:name w:val="heading 3"/>
    <w:basedOn w:val="Normal"/>
    <w:next w:val="Normal"/>
    <w:link w:val="3Char"/>
    <w:uiPriority w:val="99"/>
    <w:qFormat/>
    <w:rsid w:val="00F85F83"/>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link w:val="Heading1"/>
    <w:uiPriority w:val="99"/>
    <w:locked/>
    <w:rsid w:val="0003228A"/>
    <w:rPr>
      <w:rFonts w:cs="Times New Roman"/>
      <w:sz w:val="24"/>
      <w:lang w:val="en-GB"/>
    </w:rPr>
  </w:style>
  <w:style w:type="character" w:customStyle="1" w:styleId="2Char">
    <w:name w:val="标题 2 Char"/>
    <w:link w:val="Heading2"/>
    <w:uiPriority w:val="99"/>
    <w:qFormat/>
    <w:locked/>
    <w:rsid w:val="00A3655D"/>
    <w:rPr>
      <w:rFonts w:ascii="Arial" w:hAnsi="Arial" w:cs="Times New Roman"/>
      <w:b/>
      <w:kern w:val="2"/>
      <w:sz w:val="28"/>
    </w:rPr>
  </w:style>
  <w:style w:type="character" w:customStyle="1" w:styleId="3Char">
    <w:name w:val="标题 3 Char"/>
    <w:link w:val="Heading3"/>
    <w:uiPriority w:val="99"/>
    <w:locked/>
    <w:rsid w:val="006D141C"/>
    <w:rPr>
      <w:rFonts w:cs="Times New Roman"/>
      <w:b/>
      <w:bCs/>
      <w:kern w:val="2"/>
      <w:sz w:val="32"/>
      <w:szCs w:val="32"/>
    </w:rPr>
  </w:style>
  <w:style w:type="paragraph" w:styleId="NormalIndent">
    <w:name w:val="Normal Indent"/>
    <w:basedOn w:val="Normal"/>
    <w:uiPriority w:val="99"/>
    <w:qFormat/>
    <w:rsid w:val="00FB732E"/>
    <w:pPr>
      <w:ind w:firstLine="420" w:firstLineChars="200"/>
    </w:pPr>
  </w:style>
  <w:style w:type="paragraph" w:styleId="BodyTextIndent">
    <w:name w:val="Body Text Indent"/>
    <w:basedOn w:val="Normal"/>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BodyTextIndent"/>
    <w:uiPriority w:val="99"/>
    <w:locked/>
    <w:rsid w:val="006D141C"/>
    <w:rPr>
      <w:rFonts w:ascii="Arial Unicode MS" w:hAnsi="Arial Unicode MS" w:cs="Arial Unicode MS"/>
      <w:sz w:val="24"/>
      <w:szCs w:val="24"/>
    </w:rPr>
  </w:style>
  <w:style w:type="paragraph" w:styleId="PlainText">
    <w:name w:val="Plain Text"/>
    <w:basedOn w:val="Normal"/>
    <w:link w:val="Char0"/>
    <w:uiPriority w:val="99"/>
    <w:rsid w:val="00FB732E"/>
    <w:rPr>
      <w:rFonts w:ascii="宋体" w:hAnsi="Courier New"/>
      <w:szCs w:val="21"/>
    </w:rPr>
  </w:style>
  <w:style w:type="character" w:customStyle="1" w:styleId="Char0">
    <w:name w:val="纯文本 Char"/>
    <w:link w:val="PlainText"/>
    <w:uiPriority w:val="99"/>
    <w:locked/>
    <w:rsid w:val="00586E9A"/>
    <w:rPr>
      <w:rFonts w:ascii="宋体" w:hAnsi="Courier New" w:cs="Times New Roman"/>
      <w:kern w:val="2"/>
      <w:sz w:val="21"/>
    </w:rPr>
  </w:style>
  <w:style w:type="paragraph" w:styleId="BodyTextIndent2">
    <w:name w:val="Body Text Indent 2"/>
    <w:basedOn w:val="Normal"/>
    <w:link w:val="2Char0"/>
    <w:rsid w:val="00FB732E"/>
    <w:pPr>
      <w:spacing w:line="560" w:lineRule="exact"/>
      <w:ind w:firstLine="480" w:firstLineChars="200"/>
    </w:pPr>
    <w:rPr>
      <w:rFonts w:ascii="宋体" w:hAnsi="宋体"/>
      <w:color w:val="FF0000"/>
      <w:sz w:val="24"/>
    </w:rPr>
  </w:style>
  <w:style w:type="character" w:customStyle="1" w:styleId="2Char0">
    <w:name w:val="正文文本缩进 2 Char"/>
    <w:link w:val="BodyTextIndent2"/>
    <w:locked/>
    <w:rsid w:val="006D141C"/>
    <w:rPr>
      <w:rFonts w:ascii="宋体" w:eastAsia="宋体" w:cs="Times New Roman"/>
      <w:color w:val="FF0000"/>
      <w:kern w:val="2"/>
      <w:sz w:val="24"/>
      <w:szCs w:val="24"/>
    </w:rPr>
  </w:style>
  <w:style w:type="paragraph" w:styleId="Footer">
    <w:name w:val="footer"/>
    <w:basedOn w:val="Normal"/>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Footer"/>
    <w:uiPriority w:val="99"/>
    <w:locked/>
    <w:rsid w:val="006D141C"/>
    <w:rPr>
      <w:rFonts w:cs="Times New Roman"/>
      <w:kern w:val="2"/>
      <w:sz w:val="18"/>
      <w:szCs w:val="18"/>
    </w:rPr>
  </w:style>
  <w:style w:type="character" w:styleId="PageNumber">
    <w:name w:val="page number"/>
    <w:uiPriority w:val="99"/>
    <w:rsid w:val="00FB732E"/>
    <w:rPr>
      <w:rFonts w:cs="Times New Roman"/>
    </w:rPr>
  </w:style>
  <w:style w:type="character" w:styleId="Hyperlink">
    <w:name w:val="Hyperlink"/>
    <w:uiPriority w:val="99"/>
    <w:rsid w:val="00FB732E"/>
    <w:rPr>
      <w:rFonts w:cs="Times New Roman"/>
      <w:color w:val="0000FF"/>
      <w:u w:val="single"/>
    </w:rPr>
  </w:style>
  <w:style w:type="paragraph" w:styleId="BodyTextIndent3">
    <w:name w:val="Body Text Indent 3"/>
    <w:basedOn w:val="Normal"/>
    <w:link w:val="3Char0"/>
    <w:uiPriority w:val="99"/>
    <w:rsid w:val="00FB732E"/>
    <w:pPr>
      <w:spacing w:line="560" w:lineRule="exact"/>
      <w:ind w:firstLine="420" w:firstLineChars="200"/>
    </w:pPr>
    <w:rPr>
      <w:rFonts w:ascii="Arial" w:hAnsi="Arial" w:cs="Arial"/>
      <w:color w:val="FF0000"/>
    </w:rPr>
  </w:style>
  <w:style w:type="character" w:customStyle="1" w:styleId="3Char0">
    <w:name w:val="正文文本缩进 3 Char"/>
    <w:link w:val="BodyTextIndent3"/>
    <w:uiPriority w:val="99"/>
    <w:locked/>
    <w:rsid w:val="006D141C"/>
    <w:rPr>
      <w:rFonts w:ascii="Arial" w:hAnsi="Arial" w:cs="Arial"/>
      <w:color w:val="FF0000"/>
      <w:kern w:val="2"/>
      <w:sz w:val="24"/>
      <w:szCs w:val="24"/>
    </w:rPr>
  </w:style>
  <w:style w:type="paragraph" w:styleId="Header">
    <w:name w:val="header"/>
    <w:basedOn w:val="Normal"/>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Header"/>
    <w:uiPriority w:val="99"/>
    <w:locked/>
    <w:rsid w:val="006D141C"/>
    <w:rPr>
      <w:rFonts w:cs="Times New Roman"/>
      <w:kern w:val="2"/>
      <w:sz w:val="18"/>
      <w:szCs w:val="18"/>
    </w:rPr>
  </w:style>
  <w:style w:type="character" w:styleId="FollowedHyperlink">
    <w:name w:val="FollowedHyperlink"/>
    <w:uiPriority w:val="99"/>
    <w:rsid w:val="00FB732E"/>
    <w:rPr>
      <w:rFonts w:cs="Times New Roman"/>
      <w:color w:val="800080"/>
      <w:u w:val="single"/>
    </w:rPr>
  </w:style>
  <w:style w:type="paragraph" w:styleId="List">
    <w:name w:val="List"/>
    <w:basedOn w:val="BodyText"/>
    <w:uiPriority w:val="99"/>
    <w:rsid w:val="00FB732E"/>
    <w:pPr>
      <w:spacing w:after="220" w:line="220" w:lineRule="atLeast"/>
      <w:ind w:left="1440" w:hanging="360"/>
    </w:pPr>
    <w:rPr>
      <w:szCs w:val="20"/>
    </w:rPr>
  </w:style>
  <w:style w:type="paragraph" w:styleId="BodyText">
    <w:name w:val="Body Text"/>
    <w:basedOn w:val="Normal"/>
    <w:link w:val="Char3"/>
    <w:uiPriority w:val="99"/>
    <w:rsid w:val="00FB732E"/>
    <w:pPr>
      <w:spacing w:after="120"/>
    </w:pPr>
  </w:style>
  <w:style w:type="character" w:customStyle="1" w:styleId="Char3">
    <w:name w:val="正文文本 Char"/>
    <w:link w:val="BodyText"/>
    <w:uiPriority w:val="99"/>
    <w:locked/>
    <w:rsid w:val="006D141C"/>
    <w:rPr>
      <w:rFonts w:cs="Times New Roman"/>
      <w:kern w:val="2"/>
      <w:sz w:val="24"/>
      <w:szCs w:val="24"/>
    </w:rPr>
  </w:style>
  <w:style w:type="paragraph" w:styleId="Date">
    <w:name w:val="Date"/>
    <w:basedOn w:val="Normal"/>
    <w:next w:val="Normal"/>
    <w:link w:val="Char4"/>
    <w:uiPriority w:val="99"/>
    <w:rsid w:val="00FB732E"/>
    <w:rPr>
      <w:sz w:val="24"/>
      <w:szCs w:val="20"/>
    </w:rPr>
  </w:style>
  <w:style w:type="character" w:customStyle="1" w:styleId="Char4">
    <w:name w:val="日期 Char"/>
    <w:link w:val="Dat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Index1">
    <w:name w:val="index 1"/>
    <w:basedOn w:val="Normal"/>
    <w:next w:val="Normal"/>
    <w:autoRedefine/>
    <w:uiPriority w:val="99"/>
    <w:semiHidden/>
    <w:rsid w:val="00FB732E"/>
    <w:pPr>
      <w:jc w:val="right"/>
    </w:pPr>
    <w:rPr>
      <w:color w:val="008000"/>
    </w:rPr>
  </w:style>
  <w:style w:type="paragraph" w:customStyle="1" w:styleId="font5">
    <w:name w:val="font5"/>
    <w:basedOn w:val="Normal"/>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Normal"/>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Normal"/>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Normal"/>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Normal"/>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Normal"/>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Normal"/>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Normal"/>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Normal"/>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Normal"/>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Normal"/>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Normal"/>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Normal"/>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Normal"/>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Normal"/>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Normal"/>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BalloonText">
    <w:name w:val="Balloon Text"/>
    <w:basedOn w:val="Normal"/>
    <w:link w:val="Char5"/>
    <w:uiPriority w:val="99"/>
    <w:semiHidden/>
    <w:rsid w:val="00FB732E"/>
    <w:rPr>
      <w:sz w:val="18"/>
      <w:szCs w:val="18"/>
    </w:rPr>
  </w:style>
  <w:style w:type="character" w:customStyle="1" w:styleId="Char5">
    <w:name w:val="批注框文本 Char"/>
    <w:link w:val="BalloonText"/>
    <w:uiPriority w:val="99"/>
    <w:semiHidden/>
    <w:locked/>
    <w:rsid w:val="006D141C"/>
    <w:rPr>
      <w:rFonts w:cs="Times New Roman"/>
      <w:kern w:val="2"/>
      <w:sz w:val="18"/>
      <w:szCs w:val="18"/>
    </w:rPr>
  </w:style>
  <w:style w:type="character" w:styleId="CommentReference">
    <w:name w:val="annotation reference"/>
    <w:uiPriority w:val="99"/>
    <w:semiHidden/>
    <w:rsid w:val="00FB732E"/>
    <w:rPr>
      <w:rFonts w:cs="Times New Roman"/>
      <w:sz w:val="21"/>
    </w:rPr>
  </w:style>
  <w:style w:type="paragraph" w:styleId="CommentText">
    <w:name w:val="annotation text"/>
    <w:basedOn w:val="Normal"/>
    <w:link w:val="Char6"/>
    <w:uiPriority w:val="99"/>
    <w:semiHidden/>
    <w:rsid w:val="00FB732E"/>
    <w:pPr>
      <w:jc w:val="left"/>
    </w:pPr>
  </w:style>
  <w:style w:type="character" w:customStyle="1" w:styleId="Char6">
    <w:name w:val="批注文字 Char"/>
    <w:link w:val="CommentText"/>
    <w:uiPriority w:val="99"/>
    <w:semiHidden/>
    <w:locked/>
    <w:rsid w:val="006D141C"/>
    <w:rPr>
      <w:rFonts w:cs="Times New Roman"/>
      <w:kern w:val="2"/>
      <w:sz w:val="24"/>
      <w:szCs w:val="24"/>
    </w:rPr>
  </w:style>
  <w:style w:type="paragraph" w:styleId="CommentSubject">
    <w:name w:val="annotation subject"/>
    <w:basedOn w:val="CommentText"/>
    <w:next w:val="CommentText"/>
    <w:link w:val="Char7"/>
    <w:uiPriority w:val="99"/>
    <w:semiHidden/>
    <w:rsid w:val="00FB732E"/>
    <w:rPr>
      <w:b/>
      <w:bCs/>
    </w:rPr>
  </w:style>
  <w:style w:type="character" w:customStyle="1" w:styleId="Char7">
    <w:name w:val="批注主题 Char"/>
    <w:link w:val="CommentSubject"/>
    <w:uiPriority w:val="99"/>
    <w:semiHidden/>
    <w:locked/>
    <w:rsid w:val="006D141C"/>
    <w:rPr>
      <w:rFonts w:cs="Times New Roman"/>
      <w:b/>
      <w:bCs/>
      <w:kern w:val="2"/>
      <w:sz w:val="24"/>
      <w:szCs w:val="24"/>
    </w:rPr>
  </w:style>
  <w:style w:type="paragraph" w:customStyle="1" w:styleId="Char8">
    <w:name w:val="Char"/>
    <w:basedOn w:val="Normal"/>
    <w:uiPriority w:val="99"/>
    <w:rsid w:val="00FB732E"/>
  </w:style>
  <w:style w:type="paragraph" w:styleId="DocumentMap">
    <w:name w:val="Document Map"/>
    <w:basedOn w:val="Normal"/>
    <w:link w:val="Char9"/>
    <w:uiPriority w:val="99"/>
    <w:semiHidden/>
    <w:rsid w:val="000A549A"/>
    <w:pPr>
      <w:shd w:val="clear" w:color="auto" w:fill="000080"/>
    </w:pPr>
  </w:style>
  <w:style w:type="character" w:customStyle="1" w:styleId="Char9">
    <w:name w:val="文档结构图 Char"/>
    <w:link w:val="DocumentMap"/>
    <w:uiPriority w:val="99"/>
    <w:semiHidden/>
    <w:locked/>
    <w:rsid w:val="006D141C"/>
    <w:rPr>
      <w:rFonts w:cs="Times New Roman"/>
      <w:kern w:val="2"/>
      <w:sz w:val="24"/>
      <w:szCs w:val="24"/>
      <w:shd w:val="clear" w:color="auto" w:fill="000080"/>
    </w:rPr>
  </w:style>
  <w:style w:type="paragraph" w:customStyle="1" w:styleId="a">
    <w:name w:val="正文 + (符号) 宋体"/>
    <w:aliases w:val="小四,紧缩量  0.2 磅"/>
    <w:basedOn w:val="Normal"/>
    <w:uiPriority w:val="99"/>
    <w:rsid w:val="00C22CCE"/>
    <w:pPr>
      <w:autoSpaceDE w:val="0"/>
      <w:autoSpaceDN w:val="0"/>
      <w:adjustRightInd w:val="0"/>
      <w:ind w:right="1409" w:firstLine="1229" w:rightChars="671" w:firstLineChars="512"/>
      <w:jc w:val="distribute"/>
    </w:pPr>
    <w:rPr>
      <w:sz w:val="24"/>
    </w:rPr>
  </w:style>
  <w:style w:type="paragraph" w:styleId="FootnoteText">
    <w:name w:val="footnote text"/>
    <w:basedOn w:val="Normal"/>
    <w:link w:val="Char10"/>
    <w:uiPriority w:val="99"/>
    <w:rsid w:val="00547D9C"/>
    <w:pPr>
      <w:snapToGrid w:val="0"/>
      <w:jc w:val="left"/>
    </w:pPr>
    <w:rPr>
      <w:sz w:val="18"/>
      <w:szCs w:val="18"/>
    </w:rPr>
  </w:style>
  <w:style w:type="character" w:customStyle="1" w:styleId="Char10">
    <w:name w:val="脚注文本 Char"/>
    <w:link w:val="FootnoteText"/>
    <w:uiPriority w:val="99"/>
    <w:locked/>
    <w:rsid w:val="006D141C"/>
    <w:rPr>
      <w:rFonts w:cs="Times New Roman"/>
      <w:kern w:val="2"/>
      <w:sz w:val="18"/>
      <w:szCs w:val="18"/>
    </w:rPr>
  </w:style>
  <w:style w:type="character" w:styleId="FootnoteReference">
    <w:name w:val="footnote reference"/>
    <w:uiPriority w:val="99"/>
    <w:rsid w:val="00547D9C"/>
    <w:rPr>
      <w:rFonts w:cs="Times New Roman"/>
      <w:vertAlign w:val="superscript"/>
    </w:rPr>
  </w:style>
  <w:style w:type="paragraph" w:styleId="NormalWeb">
    <w:name w:val="Normal (Web)"/>
    <w:basedOn w:val="Normal"/>
    <w:uiPriority w:val="99"/>
    <w:rsid w:val="005D45B3"/>
    <w:pPr>
      <w:widowControl/>
      <w:spacing w:before="100" w:beforeAutospacing="1" w:after="100" w:afterAutospacing="1"/>
      <w:jc w:val="left"/>
    </w:pPr>
    <w:rPr>
      <w:rFonts w:ascii="宋体" w:hAnsi="宋体"/>
      <w:kern w:val="0"/>
      <w:sz w:val="24"/>
    </w:rPr>
  </w:style>
  <w:style w:type="table" w:styleId="TableGrid">
    <w:name w:val="Table Grid"/>
    <w:basedOn w:val="TableNormal"/>
    <w:qFormat/>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1">
    <w:name w:val="Char1"/>
    <w:basedOn w:val="Normal"/>
    <w:uiPriority w:val="99"/>
    <w:rsid w:val="00043ABF"/>
  </w:style>
  <w:style w:type="paragraph" w:customStyle="1" w:styleId="CharCharCharCharCharChar1CharCharChar">
    <w:name w:val="Char Char Char Char Char Char1 Char Char Char"/>
    <w:basedOn w:val="Normal"/>
    <w:uiPriority w:val="99"/>
    <w:rsid w:val="005166E9"/>
    <w:pPr>
      <w:autoSpaceDE w:val="0"/>
      <w:autoSpaceDN w:val="0"/>
      <w:adjustRightInd w:val="0"/>
      <w:jc w:val="left"/>
      <w:textAlignment w:val="baseline"/>
    </w:pPr>
    <w:rPr>
      <w:rFonts w:ascii="宋体"/>
      <w:kern w:val="0"/>
      <w:sz w:val="34"/>
      <w:szCs w:val="20"/>
    </w:rPr>
  </w:style>
  <w:style w:type="paragraph" w:styleId="TOC2">
    <w:name w:val="toc 2"/>
    <w:basedOn w:val="Normal"/>
    <w:next w:val="Normal"/>
    <w:autoRedefine/>
    <w:uiPriority w:val="99"/>
    <w:semiHidden/>
    <w:rsid w:val="00D35D4A"/>
    <w:pPr>
      <w:tabs>
        <w:tab w:val="left" w:pos="1260"/>
        <w:tab w:val="right" w:leader="dot" w:pos="9072"/>
      </w:tabs>
      <w:ind w:left="420" w:leftChars="200"/>
    </w:pPr>
    <w:rPr>
      <w:kern w:val="0"/>
      <w:szCs w:val="21"/>
    </w:rPr>
  </w:style>
  <w:style w:type="paragraph" w:customStyle="1" w:styleId="CharCharCharChar">
    <w:name w:val="Char Char Char Char"/>
    <w:basedOn w:val="Normal"/>
    <w:autoRedefine/>
    <w:uiPriority w:val="99"/>
    <w:rsid w:val="005721D0"/>
    <w:pPr>
      <w:tabs>
        <w:tab w:val="num" w:pos="840"/>
      </w:tabs>
      <w:adjustRightInd w:val="0"/>
      <w:spacing w:line="360" w:lineRule="atLeast"/>
      <w:ind w:left="840" w:hanging="360"/>
      <w:textAlignment w:val="baseline"/>
    </w:pPr>
    <w:rPr>
      <w:sz w:val="24"/>
    </w:rPr>
  </w:style>
  <w:style w:type="paragraph" w:styleId="TOC1">
    <w:name w:val="toc 1"/>
    <w:basedOn w:val="Normal"/>
    <w:next w:val="Normal"/>
    <w:autoRedefine/>
    <w:uiPriority w:val="99"/>
    <w:semiHidden/>
    <w:rsid w:val="00BE2A17"/>
    <w:pPr>
      <w:tabs>
        <w:tab w:val="right" w:leader="dot" w:pos="9072"/>
      </w:tabs>
    </w:pPr>
  </w:style>
  <w:style w:type="paragraph" w:styleId="TOC3">
    <w:name w:val="toc 3"/>
    <w:basedOn w:val="Normal"/>
    <w:next w:val="Normal"/>
    <w:autoRedefine/>
    <w:uiPriority w:val="99"/>
    <w:semiHidden/>
    <w:rsid w:val="00954A89"/>
    <w:pPr>
      <w:ind w:left="840" w:leftChars="400"/>
    </w:pPr>
  </w:style>
  <w:style w:type="paragraph" w:customStyle="1" w:styleId="CharCharCharCharCharChar1CharCharChar1">
    <w:name w:val="Char Char Char Char Char Char1 Char Char Char1"/>
    <w:basedOn w:val="Normal"/>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Strong">
    <w:name w:val="Strong"/>
    <w:basedOn w:val="DefaultParagraphFont"/>
    <w:uiPriority w:val="22"/>
    <w:qFormat/>
    <w:locked/>
    <w:rsid w:val="006E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30</Pages>
  <Words>12383</Words>
  <Characters>70584</Characters>
  <Application>Microsoft Office Word</Application>
  <DocSecurity>0</DocSecurity>
  <Lines>588</Lines>
  <Paragraphs>165</Paragraphs>
  <ScaleCrop>false</ScaleCrop>
  <Company/>
  <LinksUpToDate>false</LinksUpToDate>
  <CharactersWithSpaces>82802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hp</cp:lastModifiedBy>
  <cp:revision>324</cp:revision>
  <cp:lastPrinted>2007-07-19T00:46:00Z</cp:lastPrinted>
  <dcterms:created xsi:type="dcterms:W3CDTF">2013-08-19T07:43:00Z</dcterms:created>
  <dcterms:modified xsi:type="dcterms:W3CDTF">2018-07-25T03:21:00Z</dcterms:modified>
</cp:coreProperties>
</file>