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412F67">
      <w:pPr>
        <w:spacing w:line="360" w:lineRule="auto"/>
        <w:jc w:val="center"/>
        <w:rPr>
          <w:rFonts w:ascii="宋体" w:hAnsi="宋体"/>
          <w:b/>
          <w:bCs/>
          <w:sz w:val="32"/>
          <w:szCs w:val="32"/>
        </w:rPr>
      </w:pPr>
      <w:r>
        <w:rPr>
          <w:rFonts w:ascii="宋体" w:hAnsi="宋体" w:hint="eastAsia"/>
          <w:b/>
          <w:bCs/>
          <w:sz w:val="32"/>
          <w:szCs w:val="32"/>
        </w:rPr>
        <w:t>中银证券瑞丰定期开放灵活配置混合型证券投资基金</w:t>
      </w:r>
    </w:p>
    <w:p w:rsidR="00B10A0B" w:rsidRDefault="00412F67">
      <w:pPr>
        <w:spacing w:line="360" w:lineRule="auto"/>
        <w:jc w:val="center"/>
        <w:rPr>
          <w:rFonts w:ascii="宋体" w:hAnsi="宋体"/>
          <w:b/>
          <w:bCs/>
          <w:sz w:val="32"/>
          <w:szCs w:val="32"/>
        </w:rPr>
      </w:pPr>
      <w:r>
        <w:rPr>
          <w:rFonts w:ascii="宋体" w:hAnsi="宋体" w:hint="eastAsia"/>
          <w:b/>
          <w:bCs/>
          <w:sz w:val="32"/>
          <w:szCs w:val="32"/>
        </w:rPr>
        <w:t>清算报告</w:t>
      </w: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B10A0B">
      <w:pPr>
        <w:spacing w:line="360" w:lineRule="auto"/>
        <w:jc w:val="center"/>
        <w:rPr>
          <w:rFonts w:ascii="宋体" w:hAnsi="宋体"/>
          <w:b/>
          <w:bCs/>
          <w:sz w:val="32"/>
          <w:szCs w:val="32"/>
        </w:rPr>
      </w:pPr>
    </w:p>
    <w:p w:rsidR="00B10A0B" w:rsidRDefault="00412F67">
      <w:pPr>
        <w:spacing w:line="360" w:lineRule="auto"/>
        <w:ind w:firstLineChars="246" w:firstLine="790"/>
        <w:rPr>
          <w:rFonts w:ascii="宋体" w:hAnsi="宋体"/>
          <w:b/>
          <w:bCs/>
          <w:sz w:val="32"/>
          <w:szCs w:val="32"/>
        </w:rPr>
      </w:pPr>
      <w:r>
        <w:rPr>
          <w:rFonts w:ascii="宋体" w:hAnsi="宋体"/>
          <w:b/>
          <w:bCs/>
          <w:sz w:val="32"/>
          <w:szCs w:val="32"/>
        </w:rPr>
        <w:t>基金管理人：</w:t>
      </w:r>
      <w:r>
        <w:rPr>
          <w:rFonts w:ascii="宋体" w:hAnsi="宋体" w:hint="eastAsia"/>
          <w:b/>
          <w:bCs/>
          <w:sz w:val="32"/>
          <w:szCs w:val="32"/>
        </w:rPr>
        <w:t>中银国际证券股份</w:t>
      </w:r>
      <w:r>
        <w:rPr>
          <w:rFonts w:ascii="宋体" w:hAnsi="宋体"/>
          <w:b/>
          <w:bCs/>
          <w:sz w:val="32"/>
          <w:szCs w:val="32"/>
        </w:rPr>
        <w:t>有限公司</w:t>
      </w:r>
    </w:p>
    <w:p w:rsidR="00B10A0B" w:rsidRDefault="00412F67">
      <w:pPr>
        <w:spacing w:line="360" w:lineRule="auto"/>
        <w:ind w:firstLineChars="246" w:firstLine="790"/>
        <w:rPr>
          <w:rFonts w:ascii="宋体" w:hAnsi="宋体"/>
          <w:b/>
          <w:bCs/>
          <w:sz w:val="32"/>
          <w:szCs w:val="32"/>
        </w:rPr>
      </w:pPr>
      <w:r>
        <w:rPr>
          <w:rFonts w:ascii="宋体" w:hAnsi="宋体"/>
          <w:b/>
          <w:bCs/>
          <w:sz w:val="32"/>
          <w:szCs w:val="32"/>
        </w:rPr>
        <w:t>基金托管人：</w:t>
      </w:r>
      <w:r>
        <w:rPr>
          <w:rFonts w:ascii="宋体" w:hAnsi="宋体" w:hint="eastAsia"/>
          <w:b/>
          <w:bCs/>
          <w:sz w:val="32"/>
          <w:szCs w:val="32"/>
        </w:rPr>
        <w:t>中国农业银行股份有限公司</w:t>
      </w:r>
    </w:p>
    <w:p w:rsidR="00B10A0B" w:rsidRDefault="00412F67">
      <w:pPr>
        <w:spacing w:line="360" w:lineRule="auto"/>
        <w:ind w:firstLineChars="246" w:firstLine="790"/>
        <w:rPr>
          <w:rFonts w:ascii="宋体" w:hAnsi="宋体"/>
          <w:b/>
          <w:bCs/>
          <w:sz w:val="32"/>
          <w:szCs w:val="32"/>
        </w:rPr>
      </w:pPr>
      <w:r>
        <w:rPr>
          <w:rFonts w:ascii="宋体" w:hAnsi="宋体"/>
          <w:b/>
          <w:bCs/>
          <w:sz w:val="32"/>
          <w:szCs w:val="32"/>
        </w:rPr>
        <w:t>报告送出日期：</w:t>
      </w:r>
      <w:r>
        <w:rPr>
          <w:rFonts w:ascii="宋体" w:hAnsi="宋体" w:hint="eastAsia"/>
          <w:b/>
          <w:bCs/>
          <w:sz w:val="32"/>
          <w:szCs w:val="32"/>
        </w:rPr>
        <w:t>2019年</w:t>
      </w:r>
      <w:r w:rsidR="00152952">
        <w:rPr>
          <w:rFonts w:ascii="宋体" w:hAnsi="宋体" w:hint="eastAsia"/>
          <w:b/>
          <w:bCs/>
          <w:sz w:val="32"/>
          <w:szCs w:val="32"/>
        </w:rPr>
        <w:t>8</w:t>
      </w:r>
      <w:r>
        <w:rPr>
          <w:rFonts w:ascii="宋体" w:hAnsi="宋体" w:hint="eastAsia"/>
          <w:b/>
          <w:bCs/>
          <w:sz w:val="32"/>
          <w:szCs w:val="32"/>
        </w:rPr>
        <w:t>月</w:t>
      </w:r>
      <w:r w:rsidR="00152952">
        <w:rPr>
          <w:rFonts w:ascii="宋体" w:hAnsi="宋体" w:hint="eastAsia"/>
          <w:b/>
          <w:bCs/>
          <w:sz w:val="32"/>
          <w:szCs w:val="32"/>
        </w:rPr>
        <w:t>15</w:t>
      </w:r>
      <w:r>
        <w:rPr>
          <w:rFonts w:ascii="宋体" w:hAnsi="宋体" w:hint="eastAsia"/>
          <w:b/>
          <w:bCs/>
          <w:sz w:val="32"/>
          <w:szCs w:val="32"/>
        </w:rPr>
        <w:t>日</w:t>
      </w:r>
    </w:p>
    <w:p w:rsidR="00B10A0B" w:rsidRDefault="00B10A0B">
      <w:pPr>
        <w:spacing w:line="360" w:lineRule="auto"/>
        <w:ind w:firstLineChars="600" w:firstLine="1928"/>
        <w:jc w:val="left"/>
        <w:rPr>
          <w:rFonts w:ascii="宋体" w:hAnsi="宋体"/>
          <w:b/>
          <w:bCs/>
          <w:sz w:val="32"/>
          <w:szCs w:val="32"/>
        </w:rPr>
      </w:pPr>
    </w:p>
    <w:p w:rsidR="00B10A0B" w:rsidRDefault="00B10A0B">
      <w:pPr>
        <w:spacing w:line="360" w:lineRule="auto"/>
        <w:ind w:firstLineChars="600" w:firstLine="1928"/>
        <w:jc w:val="left"/>
        <w:rPr>
          <w:rFonts w:ascii="宋体" w:hAnsi="宋体"/>
          <w:b/>
          <w:bCs/>
          <w:sz w:val="32"/>
          <w:szCs w:val="32"/>
        </w:rPr>
      </w:pPr>
    </w:p>
    <w:p w:rsidR="00B10A0B" w:rsidRDefault="00B10A0B">
      <w:pPr>
        <w:spacing w:line="360" w:lineRule="auto"/>
        <w:ind w:firstLineChars="600" w:firstLine="1928"/>
        <w:jc w:val="left"/>
        <w:rPr>
          <w:rFonts w:ascii="宋体" w:hAnsi="宋体"/>
          <w:b/>
          <w:bCs/>
          <w:sz w:val="32"/>
          <w:szCs w:val="32"/>
        </w:rPr>
      </w:pPr>
    </w:p>
    <w:p w:rsidR="00B10A0B" w:rsidRDefault="00412F67">
      <w:pPr>
        <w:pStyle w:val="a8"/>
        <w:spacing w:line="360" w:lineRule="auto"/>
        <w:ind w:firstLineChars="200" w:firstLine="422"/>
        <w:jc w:val="center"/>
        <w:rPr>
          <w:rFonts w:cs="Times New Roman"/>
          <w:b/>
          <w:kern w:val="2"/>
          <w:sz w:val="21"/>
          <w:szCs w:val="21"/>
        </w:rPr>
      </w:pPr>
      <w:r>
        <w:rPr>
          <w:rFonts w:cs="Times New Roman"/>
          <w:b/>
          <w:kern w:val="2"/>
          <w:sz w:val="21"/>
          <w:szCs w:val="21"/>
        </w:rPr>
        <w:t>一、重要提示</w:t>
      </w:r>
    </w:p>
    <w:p w:rsidR="00B10A0B" w:rsidRDefault="00412F67">
      <w:pPr>
        <w:spacing w:line="360" w:lineRule="auto"/>
        <w:rPr>
          <w:rFonts w:ascii="宋体" w:hAnsi="宋体"/>
          <w:szCs w:val="24"/>
        </w:rPr>
      </w:pPr>
      <w:r>
        <w:rPr>
          <w:rFonts w:ascii="宋体" w:hAnsi="宋体" w:hint="eastAsia"/>
          <w:szCs w:val="24"/>
        </w:rPr>
        <w:t xml:space="preserve">    中银证券瑞丰定期开放灵活配置混合型证券投资基金(以下简称“本基金”)经中国证券监督管理委员会(以下简称“中国证监会”)证监许可[2017]1003号《关于准予中银证券瑞丰定期开放灵活配置混合型证券投资基金注册的批复》注册，由中银国际证券股份有限公司依照《中华人民共和国证券投资基金法》和《中银证券瑞丰定期开放灵活配置混合型证券投资基金基金合同》负责公开募集。经向中国证监会备案，中银证券瑞丰定期开放灵活配置混合型证券投资基金基金合同于2017年9月6日正式生效，基金管理人为中银国际证券股份有限公司，基金托管人为中国农业银行股份有限公司。</w:t>
      </w:r>
    </w:p>
    <w:p w:rsidR="00B10A0B" w:rsidRDefault="00412F67">
      <w:pPr>
        <w:spacing w:line="360" w:lineRule="auto"/>
        <w:rPr>
          <w:rFonts w:ascii="宋体" w:hAnsi="宋体"/>
          <w:szCs w:val="24"/>
        </w:rPr>
      </w:pPr>
      <w:r>
        <w:rPr>
          <w:rFonts w:ascii="宋体" w:hAnsi="宋体" w:hint="eastAsia"/>
          <w:szCs w:val="24"/>
        </w:rPr>
        <w:t xml:space="preserve">    根据《基金合同》</w:t>
      </w:r>
      <w:r>
        <w:rPr>
          <w:rFonts w:ascii="宋体" w:hAnsi="宋体"/>
          <w:szCs w:val="24"/>
        </w:rPr>
        <w:t>“</w:t>
      </w:r>
      <w:r>
        <w:rPr>
          <w:rFonts w:ascii="宋体" w:hAnsi="宋体" w:hint="eastAsia"/>
          <w:szCs w:val="24"/>
        </w:rPr>
        <w:t>第二十部分</w:t>
      </w:r>
      <w:r>
        <w:rPr>
          <w:rFonts w:ascii="宋体" w:hAnsi="宋体"/>
          <w:szCs w:val="24"/>
        </w:rPr>
        <w:t xml:space="preserve"> </w:t>
      </w:r>
      <w:r>
        <w:rPr>
          <w:rFonts w:ascii="宋体" w:hAnsi="宋体" w:hint="eastAsia"/>
          <w:szCs w:val="24"/>
        </w:rPr>
        <w:t>基金合同的变更、终止与基金财产的清算</w:t>
      </w:r>
      <w:r>
        <w:rPr>
          <w:rFonts w:ascii="宋体" w:hAnsi="宋体"/>
          <w:szCs w:val="24"/>
        </w:rPr>
        <w:t>”</w:t>
      </w:r>
      <w:r>
        <w:rPr>
          <w:rFonts w:ascii="宋体" w:hAnsi="宋体" w:hint="eastAsia"/>
          <w:szCs w:val="24"/>
        </w:rPr>
        <w:t>中</w:t>
      </w:r>
      <w:r>
        <w:rPr>
          <w:rFonts w:ascii="宋体" w:hAnsi="宋体"/>
          <w:szCs w:val="24"/>
        </w:rPr>
        <w:t>“</w:t>
      </w:r>
      <w:r>
        <w:rPr>
          <w:rFonts w:ascii="宋体" w:hAnsi="宋体" w:hint="eastAsia"/>
          <w:szCs w:val="24"/>
        </w:rPr>
        <w:t>二、《基金合同》的终止事由</w:t>
      </w:r>
      <w:r>
        <w:rPr>
          <w:rFonts w:ascii="宋体" w:hAnsi="宋体"/>
          <w:szCs w:val="24"/>
        </w:rPr>
        <w:t>”</w:t>
      </w:r>
      <w:r>
        <w:rPr>
          <w:rFonts w:ascii="宋体" w:hAnsi="宋体" w:hint="eastAsia"/>
          <w:szCs w:val="24"/>
        </w:rPr>
        <w:t>的约定：</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w:t>
      </w:r>
      <w:r>
        <w:rPr>
          <w:rFonts w:ascii="宋体" w:hAnsi="宋体" w:hint="eastAsia"/>
          <w:szCs w:val="24"/>
        </w:rPr>
        <w:t>本基金自基金合同生效之日起，在任一开放期最后一日日终（登记机构完成最后一日申购、赎回、转换业务申请的确认以后），如发生以下情形之一，则无须召开基金份额持有人大会，《基金合同》将于该日次日终止并根据本部分的约定进行基金财产清算：</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1</w:t>
      </w:r>
      <w:r>
        <w:rPr>
          <w:rFonts w:ascii="宋体" w:hAnsi="宋体" w:hint="eastAsia"/>
          <w:szCs w:val="24"/>
        </w:rPr>
        <w:t>、基金份额持有人数量不满</w:t>
      </w:r>
      <w:r>
        <w:rPr>
          <w:rFonts w:ascii="宋体" w:hAnsi="宋体"/>
          <w:szCs w:val="24"/>
        </w:rPr>
        <w:t xml:space="preserve">200 </w:t>
      </w:r>
      <w:r>
        <w:rPr>
          <w:rFonts w:ascii="宋体" w:hAnsi="宋体" w:hint="eastAsia"/>
          <w:szCs w:val="24"/>
        </w:rPr>
        <w:t>人；</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2</w:t>
      </w:r>
      <w:r>
        <w:rPr>
          <w:rFonts w:ascii="宋体" w:hAnsi="宋体" w:hint="eastAsia"/>
          <w:szCs w:val="24"/>
        </w:rPr>
        <w:t>、基金资产净值低于</w:t>
      </w:r>
      <w:r>
        <w:rPr>
          <w:rFonts w:ascii="宋体" w:hAnsi="宋体"/>
          <w:szCs w:val="24"/>
        </w:rPr>
        <w:t xml:space="preserve">5000 </w:t>
      </w:r>
      <w:r>
        <w:rPr>
          <w:rFonts w:ascii="宋体" w:hAnsi="宋体" w:hint="eastAsia"/>
          <w:szCs w:val="24"/>
        </w:rPr>
        <w:t>万元。</w:t>
      </w:r>
      <w:r>
        <w:rPr>
          <w:rFonts w:ascii="宋体" w:hAnsi="宋体"/>
          <w:szCs w:val="24"/>
        </w:rPr>
        <w:t xml:space="preserve">” </w:t>
      </w:r>
    </w:p>
    <w:p w:rsidR="00B10A0B" w:rsidRDefault="00412F67">
      <w:pPr>
        <w:widowControl/>
        <w:spacing w:line="360" w:lineRule="auto"/>
        <w:ind w:firstLineChars="200" w:firstLine="420"/>
        <w:rPr>
          <w:rFonts w:ascii="宋体" w:hAnsi="宋体"/>
          <w:snapToGrid w:val="0"/>
          <w:szCs w:val="24"/>
        </w:rPr>
      </w:pPr>
      <w:r>
        <w:rPr>
          <w:rFonts w:ascii="宋体" w:hAnsi="宋体" w:hint="eastAsia"/>
          <w:szCs w:val="24"/>
        </w:rPr>
        <w:t>本基金最近一个开放期自</w:t>
      </w:r>
      <w:r>
        <w:rPr>
          <w:rFonts w:ascii="宋体" w:hAnsi="宋体"/>
          <w:szCs w:val="24"/>
        </w:rPr>
        <w:t>2019</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24</w:t>
      </w:r>
      <w:r>
        <w:rPr>
          <w:rFonts w:ascii="宋体" w:hAnsi="宋体" w:hint="eastAsia"/>
          <w:szCs w:val="24"/>
        </w:rPr>
        <w:t>日至</w:t>
      </w:r>
      <w:r>
        <w:rPr>
          <w:rFonts w:ascii="宋体" w:hAnsi="宋体"/>
          <w:szCs w:val="24"/>
        </w:rPr>
        <w:t>20</w:t>
      </w:r>
      <w:r>
        <w:rPr>
          <w:rFonts w:ascii="宋体" w:hAnsi="宋体"/>
          <w:snapToGrid w:val="0"/>
          <w:szCs w:val="24"/>
        </w:rPr>
        <w:t>19</w:t>
      </w:r>
      <w:r>
        <w:rPr>
          <w:rFonts w:ascii="宋体" w:hAnsi="宋体" w:hint="eastAsia"/>
          <w:snapToGrid w:val="0"/>
          <w:szCs w:val="24"/>
        </w:rPr>
        <w:t>年</w:t>
      </w:r>
      <w:r>
        <w:rPr>
          <w:rFonts w:ascii="宋体" w:hAnsi="宋体"/>
          <w:snapToGrid w:val="0"/>
          <w:szCs w:val="24"/>
        </w:rPr>
        <w:t>5</w:t>
      </w:r>
      <w:r>
        <w:rPr>
          <w:rFonts w:ascii="宋体" w:hAnsi="宋体" w:hint="eastAsia"/>
          <w:snapToGrid w:val="0"/>
          <w:szCs w:val="24"/>
        </w:rPr>
        <w:t>月</w:t>
      </w:r>
      <w:r>
        <w:rPr>
          <w:rFonts w:ascii="宋体" w:hAnsi="宋体"/>
          <w:snapToGrid w:val="0"/>
          <w:szCs w:val="24"/>
        </w:rPr>
        <w:t>24</w:t>
      </w:r>
      <w:r>
        <w:rPr>
          <w:rFonts w:ascii="宋体" w:hAnsi="宋体" w:hint="eastAsia"/>
          <w:snapToGrid w:val="0"/>
          <w:szCs w:val="24"/>
        </w:rPr>
        <w:t>日，截至</w:t>
      </w:r>
      <w:r>
        <w:rPr>
          <w:rFonts w:ascii="宋体" w:hAnsi="宋体"/>
          <w:snapToGrid w:val="0"/>
          <w:szCs w:val="24"/>
        </w:rPr>
        <w:t>2019</w:t>
      </w:r>
      <w:r>
        <w:rPr>
          <w:rFonts w:ascii="宋体" w:hAnsi="宋体" w:hint="eastAsia"/>
          <w:snapToGrid w:val="0"/>
          <w:szCs w:val="24"/>
        </w:rPr>
        <w:t>年</w:t>
      </w:r>
      <w:r>
        <w:rPr>
          <w:rFonts w:ascii="宋体" w:hAnsi="宋体"/>
          <w:snapToGrid w:val="0"/>
          <w:szCs w:val="24"/>
        </w:rPr>
        <w:t>5</w:t>
      </w:r>
      <w:r>
        <w:rPr>
          <w:rFonts w:ascii="宋体" w:hAnsi="宋体" w:hint="eastAsia"/>
          <w:snapToGrid w:val="0"/>
          <w:szCs w:val="24"/>
        </w:rPr>
        <w:t>月</w:t>
      </w:r>
      <w:r>
        <w:rPr>
          <w:rFonts w:ascii="宋体" w:hAnsi="宋体"/>
          <w:snapToGrid w:val="0"/>
          <w:szCs w:val="24"/>
        </w:rPr>
        <w:t>24</w:t>
      </w:r>
      <w:r>
        <w:rPr>
          <w:rFonts w:ascii="宋体" w:hAnsi="宋体" w:hint="eastAsia"/>
          <w:snapToGrid w:val="0"/>
          <w:szCs w:val="24"/>
        </w:rPr>
        <w:t>日日终，本基金出现基金资产净值低于</w:t>
      </w:r>
      <w:r>
        <w:rPr>
          <w:rFonts w:ascii="宋体" w:hAnsi="宋体"/>
          <w:snapToGrid w:val="0"/>
          <w:szCs w:val="24"/>
        </w:rPr>
        <w:t>5000</w:t>
      </w:r>
      <w:r>
        <w:rPr>
          <w:rFonts w:ascii="宋体" w:hAnsi="宋体" w:hint="eastAsia"/>
          <w:snapToGrid w:val="0"/>
          <w:szCs w:val="24"/>
        </w:rPr>
        <w:t>万元的情形，已触发《基金合同》中约定的基金合同终止条款。根据《基金合同》的有关约定，本基金将进入基金财产的清算程序并终止，无须召开基金份额持有人大会审议。</w:t>
      </w:r>
    </w:p>
    <w:p w:rsidR="00B10A0B" w:rsidRDefault="00412F67">
      <w:pPr>
        <w:widowControl/>
        <w:spacing w:line="360" w:lineRule="auto"/>
        <w:ind w:firstLineChars="200" w:firstLine="420"/>
        <w:rPr>
          <w:rFonts w:ascii="宋体" w:hAnsi="宋体"/>
          <w:szCs w:val="24"/>
        </w:rPr>
      </w:pPr>
      <w:r>
        <w:rPr>
          <w:rFonts w:ascii="宋体" w:hAnsi="宋体" w:hint="eastAsia"/>
          <w:szCs w:val="24"/>
        </w:rPr>
        <w:t>本基金于2019年5月25日起进入清算期，由基金管理人中银国际证券股份有限公司、基金托管人中国农业银行股份有限公司、普华永道中天会计师事务所（特殊普通合伙）和上海源泰律师事务所于2019年5月25日组成基金财产清算小组履行基金财产清算程序，并由普华永道中天会计师事务所（特殊普通合伙）对清算报告进行审计，上海源泰律师事务所对清算报告出具法律意见。</w:t>
      </w:r>
    </w:p>
    <w:p w:rsidR="00B10A0B" w:rsidRDefault="00412F67">
      <w:pPr>
        <w:pStyle w:val="a8"/>
        <w:spacing w:line="360" w:lineRule="auto"/>
        <w:ind w:firstLineChars="200" w:firstLine="422"/>
        <w:jc w:val="center"/>
        <w:rPr>
          <w:rFonts w:cs="Arial"/>
          <w:kern w:val="2"/>
          <w:sz w:val="21"/>
          <w:szCs w:val="21"/>
        </w:rPr>
      </w:pPr>
      <w:r>
        <w:rPr>
          <w:rFonts w:cs="Times New Roman"/>
          <w:b/>
          <w:kern w:val="2"/>
          <w:sz w:val="21"/>
          <w:szCs w:val="21"/>
        </w:rPr>
        <w:t>二、基金概况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6"/>
        <w:gridCol w:w="5916"/>
      </w:tblGrid>
      <w:tr w:rsidR="00B10A0B">
        <w:trPr>
          <w:trHeight w:val="295"/>
          <w:jc w:val="center"/>
        </w:trPr>
        <w:tc>
          <w:tcPr>
            <w:tcW w:w="2606" w:type="dxa"/>
            <w:vAlign w:val="center"/>
          </w:tcPr>
          <w:p w:rsidR="00B10A0B" w:rsidRDefault="00412F67">
            <w:pPr>
              <w:rPr>
                <w:rStyle w:val="ac"/>
                <w:rFonts w:ascii="宋体" w:hAnsi="宋体"/>
              </w:rPr>
            </w:pPr>
            <w:r>
              <w:rPr>
                <w:rStyle w:val="ac"/>
                <w:rFonts w:ascii="宋体" w:hAnsi="宋体" w:hint="eastAsia"/>
              </w:rPr>
              <w:t>基金名称</w:t>
            </w:r>
          </w:p>
        </w:tc>
        <w:tc>
          <w:tcPr>
            <w:tcW w:w="5916" w:type="dxa"/>
            <w:vAlign w:val="center"/>
          </w:tcPr>
          <w:p w:rsidR="00B10A0B" w:rsidRDefault="00412F67">
            <w:pPr>
              <w:jc w:val="left"/>
              <w:rPr>
                <w:rFonts w:ascii="宋体" w:hAnsi="宋体"/>
                <w:kern w:val="0"/>
                <w:szCs w:val="24"/>
                <w:highlight w:val="yellow"/>
              </w:rPr>
            </w:pPr>
            <w:r>
              <w:rPr>
                <w:rFonts w:ascii="宋体" w:hAnsi="宋体" w:hint="eastAsia"/>
                <w:kern w:val="0"/>
              </w:rPr>
              <w:t>中银证券瑞丰定期开放灵活配置混合型证券投资基金</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lastRenderedPageBreak/>
              <w:t>基金简称</w:t>
            </w:r>
          </w:p>
        </w:tc>
        <w:tc>
          <w:tcPr>
            <w:tcW w:w="5916" w:type="dxa"/>
            <w:vAlign w:val="center"/>
          </w:tcPr>
          <w:p w:rsidR="00B10A0B" w:rsidRDefault="00412F67">
            <w:pPr>
              <w:jc w:val="left"/>
              <w:rPr>
                <w:rFonts w:ascii="宋体" w:hAnsi="宋体"/>
                <w:kern w:val="0"/>
                <w:szCs w:val="24"/>
                <w:highlight w:val="yellow"/>
              </w:rPr>
            </w:pPr>
            <w:r>
              <w:rPr>
                <w:rFonts w:ascii="宋体" w:hAnsi="宋体" w:hint="eastAsia"/>
                <w:kern w:val="0"/>
              </w:rPr>
              <w:t>中银证券瑞丰混合</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基金主代码</w:t>
            </w:r>
          </w:p>
        </w:tc>
        <w:tc>
          <w:tcPr>
            <w:tcW w:w="5916" w:type="dxa"/>
            <w:vAlign w:val="center"/>
          </w:tcPr>
          <w:p w:rsidR="00B10A0B" w:rsidRDefault="00412F67">
            <w:pPr>
              <w:jc w:val="left"/>
              <w:rPr>
                <w:rFonts w:ascii="宋体" w:hAnsi="宋体"/>
                <w:kern w:val="0"/>
                <w:szCs w:val="24"/>
                <w:highlight w:val="yellow"/>
              </w:rPr>
            </w:pPr>
            <w:r>
              <w:rPr>
                <w:rFonts w:ascii="宋体" w:hAnsi="宋体"/>
                <w:kern w:val="0"/>
              </w:rPr>
              <w:t>004883</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基金运作方式</w:t>
            </w:r>
          </w:p>
        </w:tc>
        <w:tc>
          <w:tcPr>
            <w:tcW w:w="5916" w:type="dxa"/>
            <w:vAlign w:val="center"/>
          </w:tcPr>
          <w:p w:rsidR="00B10A0B" w:rsidRDefault="00412F67">
            <w:pPr>
              <w:rPr>
                <w:rFonts w:ascii="宋体" w:hAnsi="宋体"/>
                <w:kern w:val="0"/>
              </w:rPr>
            </w:pPr>
            <w:r>
              <w:rPr>
                <w:rFonts w:ascii="宋体" w:hAnsi="宋体" w:hint="eastAsia"/>
                <w:kern w:val="0"/>
              </w:rPr>
              <w:t>契约型，定期开放式</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基金合同生效日</w:t>
            </w:r>
          </w:p>
        </w:tc>
        <w:tc>
          <w:tcPr>
            <w:tcW w:w="5916" w:type="dxa"/>
            <w:vAlign w:val="center"/>
          </w:tcPr>
          <w:p w:rsidR="00B10A0B" w:rsidRDefault="00412F67">
            <w:pPr>
              <w:rPr>
                <w:rFonts w:ascii="宋体" w:hAnsi="宋体"/>
                <w:kern w:val="0"/>
              </w:rPr>
            </w:pPr>
            <w:r>
              <w:rPr>
                <w:rFonts w:ascii="宋体" w:hAnsi="宋体"/>
                <w:kern w:val="0"/>
              </w:rPr>
              <w:t>2017年9月6日</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基金管理人</w:t>
            </w:r>
          </w:p>
        </w:tc>
        <w:tc>
          <w:tcPr>
            <w:tcW w:w="5916" w:type="dxa"/>
            <w:vAlign w:val="center"/>
          </w:tcPr>
          <w:p w:rsidR="00B10A0B" w:rsidRDefault="00412F67">
            <w:pPr>
              <w:rPr>
                <w:rFonts w:ascii="宋体" w:hAnsi="宋体"/>
                <w:szCs w:val="24"/>
              </w:rPr>
            </w:pPr>
            <w:r>
              <w:rPr>
                <w:rFonts w:ascii="宋体" w:hAnsi="宋体" w:hint="eastAsia"/>
                <w:szCs w:val="24"/>
              </w:rPr>
              <w:t>中银国际证券股份有限公司</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基金托管人</w:t>
            </w:r>
          </w:p>
        </w:tc>
        <w:tc>
          <w:tcPr>
            <w:tcW w:w="5916" w:type="dxa"/>
            <w:vAlign w:val="center"/>
          </w:tcPr>
          <w:p w:rsidR="00B10A0B" w:rsidRDefault="00412F67">
            <w:pPr>
              <w:rPr>
                <w:rFonts w:ascii="宋体" w:hAnsi="宋体"/>
                <w:szCs w:val="24"/>
              </w:rPr>
            </w:pPr>
            <w:r>
              <w:rPr>
                <w:rFonts w:ascii="宋体" w:hAnsi="宋体" w:hint="eastAsia"/>
                <w:szCs w:val="24"/>
              </w:rPr>
              <w:t>中国农业银行股份有限公司</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rPr>
              <w:t>最后运作日（2019-5-24）基金份额总额</w:t>
            </w:r>
          </w:p>
        </w:tc>
        <w:tc>
          <w:tcPr>
            <w:tcW w:w="5916" w:type="dxa"/>
            <w:vAlign w:val="center"/>
          </w:tcPr>
          <w:p w:rsidR="00B10A0B" w:rsidRDefault="00412F67">
            <w:pPr>
              <w:jc w:val="left"/>
              <w:rPr>
                <w:rFonts w:ascii="宋体" w:hAnsi="宋体"/>
                <w:kern w:val="0"/>
                <w:szCs w:val="24"/>
                <w:highlight w:val="yellow"/>
              </w:rPr>
            </w:pPr>
            <w:r>
              <w:rPr>
                <w:rFonts w:ascii="宋体" w:hAnsi="宋体"/>
                <w:kern w:val="0"/>
                <w:szCs w:val="24"/>
              </w:rPr>
              <w:t>22,063,833.30</w:t>
            </w:r>
            <w:r>
              <w:rPr>
                <w:rFonts w:ascii="宋体" w:hAnsi="宋体" w:hint="eastAsia"/>
                <w:kern w:val="0"/>
                <w:szCs w:val="24"/>
              </w:rPr>
              <w:t>份</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szCs w:val="21"/>
              </w:rPr>
              <w:t>投资目标</w:t>
            </w:r>
          </w:p>
        </w:tc>
        <w:tc>
          <w:tcPr>
            <w:tcW w:w="5916" w:type="dxa"/>
            <w:vAlign w:val="center"/>
          </w:tcPr>
          <w:p w:rsidR="00B10A0B" w:rsidRDefault="00412F67">
            <w:pPr>
              <w:rPr>
                <w:rFonts w:ascii="宋体" w:hAnsi="宋体"/>
                <w:kern w:val="0"/>
              </w:rPr>
            </w:pPr>
            <w:r>
              <w:rPr>
                <w:rFonts w:ascii="宋体" w:hAnsi="宋体" w:hint="eastAsia"/>
                <w:kern w:val="0"/>
              </w:rPr>
              <w:t>在严格控制风险的基础上，通过定期开放的形式保持适度流动性，力求取得超越基金业绩比较基准的收益。</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szCs w:val="21"/>
              </w:rPr>
              <w:t>投资策略</w:t>
            </w:r>
          </w:p>
        </w:tc>
        <w:tc>
          <w:tcPr>
            <w:tcW w:w="5916" w:type="dxa"/>
            <w:vAlign w:val="center"/>
          </w:tcPr>
          <w:p w:rsidR="00B10A0B" w:rsidRDefault="00412F67">
            <w:pPr>
              <w:rPr>
                <w:rFonts w:ascii="宋体" w:hAnsi="宋体"/>
                <w:kern w:val="0"/>
              </w:rPr>
            </w:pPr>
            <w:r>
              <w:rPr>
                <w:rFonts w:ascii="宋体" w:hAnsi="宋体" w:hint="eastAsia"/>
                <w:kern w:val="0"/>
              </w:rPr>
              <w:t>本基金通过资产配置策略、股票投资策略、权证投资策略</w:t>
            </w:r>
            <w:r>
              <w:rPr>
                <w:rFonts w:ascii="宋体" w:hAnsi="宋体"/>
                <w:kern w:val="0"/>
              </w:rPr>
              <w:t xml:space="preserve"> 、债券投资策略、资产支持证券投资策略及股指期货投资策略，以实现基金资产的稳健增值。</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szCs w:val="21"/>
              </w:rPr>
              <w:t>业绩比较基准</w:t>
            </w:r>
          </w:p>
        </w:tc>
        <w:tc>
          <w:tcPr>
            <w:tcW w:w="5916" w:type="dxa"/>
            <w:vAlign w:val="center"/>
          </w:tcPr>
          <w:p w:rsidR="00B10A0B" w:rsidRDefault="00412F67">
            <w:pPr>
              <w:rPr>
                <w:rFonts w:ascii="宋体" w:hAnsi="宋体"/>
                <w:kern w:val="0"/>
              </w:rPr>
            </w:pPr>
            <w:r>
              <w:rPr>
                <w:rFonts w:ascii="宋体" w:hAnsi="宋体" w:hint="eastAsia"/>
                <w:kern w:val="0"/>
              </w:rPr>
              <w:t>沪深</w:t>
            </w:r>
            <w:r>
              <w:rPr>
                <w:rFonts w:ascii="宋体" w:hAnsi="宋体"/>
                <w:kern w:val="0"/>
              </w:rPr>
              <w:t>300指数收益率×40%＋中债综合全价指数收益率×60%</w:t>
            </w:r>
          </w:p>
        </w:tc>
      </w:tr>
      <w:tr w:rsidR="00B10A0B">
        <w:trPr>
          <w:jc w:val="center"/>
        </w:trPr>
        <w:tc>
          <w:tcPr>
            <w:tcW w:w="2606" w:type="dxa"/>
            <w:vAlign w:val="center"/>
          </w:tcPr>
          <w:p w:rsidR="00B10A0B" w:rsidRDefault="00412F67">
            <w:pPr>
              <w:rPr>
                <w:rStyle w:val="ac"/>
                <w:rFonts w:ascii="宋体" w:hAnsi="宋体"/>
              </w:rPr>
            </w:pPr>
            <w:r>
              <w:rPr>
                <w:rStyle w:val="ac"/>
                <w:rFonts w:ascii="宋体" w:hAnsi="宋体" w:hint="eastAsia"/>
                <w:szCs w:val="21"/>
              </w:rPr>
              <w:t>风险收益特征</w:t>
            </w:r>
          </w:p>
        </w:tc>
        <w:tc>
          <w:tcPr>
            <w:tcW w:w="5916" w:type="dxa"/>
            <w:vAlign w:val="center"/>
          </w:tcPr>
          <w:p w:rsidR="00B10A0B" w:rsidRDefault="00412F67">
            <w:pPr>
              <w:jc w:val="left"/>
              <w:rPr>
                <w:rFonts w:ascii="宋体" w:hAnsi="宋体"/>
                <w:kern w:val="0"/>
                <w:szCs w:val="24"/>
                <w:highlight w:val="yellow"/>
              </w:rPr>
            </w:pPr>
            <w:r>
              <w:rPr>
                <w:rFonts w:ascii="宋体" w:hAnsi="宋体" w:hint="eastAsia"/>
                <w:kern w:val="0"/>
              </w:rPr>
              <w:t>本基金为混合型基金，其预期收益及预期风险水平高于债券型基金和货币市场基金，但低于股票型基金，属于中等收益风险特征的投资品种。</w:t>
            </w:r>
          </w:p>
        </w:tc>
      </w:tr>
    </w:tbl>
    <w:p w:rsidR="00B10A0B" w:rsidRDefault="00412F67">
      <w:pPr>
        <w:pStyle w:val="a8"/>
        <w:spacing w:line="360" w:lineRule="auto"/>
        <w:ind w:firstLineChars="200" w:firstLine="422"/>
        <w:jc w:val="center"/>
        <w:rPr>
          <w:rFonts w:cs="Times New Roman"/>
          <w:b/>
          <w:kern w:val="2"/>
          <w:sz w:val="21"/>
          <w:szCs w:val="21"/>
        </w:rPr>
      </w:pPr>
      <w:r>
        <w:rPr>
          <w:rFonts w:cs="Times New Roman" w:hint="eastAsia"/>
          <w:b/>
          <w:kern w:val="2"/>
          <w:sz w:val="21"/>
          <w:szCs w:val="21"/>
        </w:rPr>
        <w:t>三、</w:t>
      </w:r>
      <w:r>
        <w:rPr>
          <w:rFonts w:cs="Times New Roman"/>
          <w:b/>
          <w:kern w:val="2"/>
          <w:sz w:val="21"/>
          <w:szCs w:val="21"/>
        </w:rPr>
        <w:t xml:space="preserve">  </w:t>
      </w:r>
      <w:r>
        <w:rPr>
          <w:rFonts w:cs="Times New Roman" w:hint="eastAsia"/>
          <w:b/>
          <w:kern w:val="2"/>
          <w:sz w:val="21"/>
          <w:szCs w:val="21"/>
        </w:rPr>
        <w:t>基金运作情况</w:t>
      </w:r>
    </w:p>
    <w:p w:rsidR="00B10A0B" w:rsidRDefault="00412F67">
      <w:pPr>
        <w:spacing w:line="360" w:lineRule="auto"/>
        <w:ind w:firstLineChars="200" w:firstLine="420"/>
        <w:rPr>
          <w:rFonts w:ascii="宋体" w:hAnsi="宋体"/>
          <w:szCs w:val="24"/>
        </w:rPr>
      </w:pPr>
      <w:r>
        <w:rPr>
          <w:rFonts w:ascii="宋体" w:hAnsi="宋体"/>
          <w:szCs w:val="24"/>
        </w:rPr>
        <w:t>本基金经中国证券监督管理委员会证监许可[2017]1003号《关于准予</w:t>
      </w:r>
      <w:r>
        <w:rPr>
          <w:rFonts w:ascii="宋体" w:hAnsi="宋体" w:hint="eastAsia"/>
          <w:szCs w:val="24"/>
        </w:rPr>
        <w:t>中银证券瑞丰定期开放灵活配置混合型证券投资基金注册</w:t>
      </w:r>
      <w:r>
        <w:rPr>
          <w:rFonts w:ascii="宋体" w:hAnsi="宋体"/>
          <w:szCs w:val="24"/>
        </w:rPr>
        <w:t>的批复》</w:t>
      </w:r>
      <w:r>
        <w:rPr>
          <w:rFonts w:ascii="宋体" w:hAnsi="宋体" w:hint="eastAsia"/>
          <w:szCs w:val="24"/>
        </w:rPr>
        <w:t>注册</w:t>
      </w:r>
      <w:r>
        <w:rPr>
          <w:rFonts w:ascii="宋体" w:hAnsi="宋体"/>
          <w:szCs w:val="24"/>
        </w:rPr>
        <w:t>，由</w:t>
      </w:r>
      <w:r>
        <w:rPr>
          <w:rFonts w:ascii="宋体" w:hAnsi="宋体" w:hint="eastAsia"/>
          <w:szCs w:val="24"/>
        </w:rPr>
        <w:t>中银国际证券股份有限公司</w:t>
      </w:r>
      <w:r>
        <w:rPr>
          <w:rFonts w:ascii="宋体" w:hAnsi="宋体"/>
          <w:szCs w:val="24"/>
        </w:rPr>
        <w:t>依照《</w:t>
      </w:r>
      <w:r>
        <w:rPr>
          <w:rFonts w:ascii="宋体" w:hAnsi="宋体" w:hint="eastAsia"/>
          <w:szCs w:val="24"/>
        </w:rPr>
        <w:t>中华</w:t>
      </w:r>
      <w:r>
        <w:rPr>
          <w:rFonts w:ascii="宋体" w:hAnsi="宋体"/>
          <w:szCs w:val="24"/>
        </w:rPr>
        <w:t>人民共和国证券投资基金法》和《</w:t>
      </w:r>
      <w:r>
        <w:rPr>
          <w:rFonts w:ascii="宋体" w:hAnsi="宋体" w:hint="eastAsia"/>
          <w:szCs w:val="24"/>
        </w:rPr>
        <w:t>中银证券瑞丰定期开放灵活配置混合型证券投资基金基金</w:t>
      </w:r>
      <w:r>
        <w:rPr>
          <w:rFonts w:ascii="宋体" w:hAnsi="宋体"/>
          <w:szCs w:val="24"/>
        </w:rPr>
        <w:t>合同》负责公开募集。</w:t>
      </w:r>
      <w:r>
        <w:rPr>
          <w:rFonts w:ascii="宋体" w:hAnsi="宋体" w:hint="eastAsia"/>
          <w:szCs w:val="24"/>
        </w:rPr>
        <w:t>本基金</w:t>
      </w:r>
      <w:r>
        <w:rPr>
          <w:rFonts w:ascii="宋体" w:hAnsi="宋体"/>
          <w:szCs w:val="24"/>
        </w:rPr>
        <w:t>基金合同于2017年9月6日正式生效，基金合同生效日的基金份额总额为225,059,438.54 份基金份额。</w:t>
      </w:r>
      <w:r>
        <w:rPr>
          <w:rFonts w:ascii="宋体" w:hAnsi="宋体" w:hint="eastAsia"/>
          <w:szCs w:val="24"/>
        </w:rPr>
        <w:t>自</w:t>
      </w:r>
      <w:r>
        <w:rPr>
          <w:rFonts w:ascii="宋体" w:hAnsi="宋体"/>
          <w:szCs w:val="24"/>
        </w:rPr>
        <w:t>2017年9月6日</w:t>
      </w:r>
      <w:r>
        <w:rPr>
          <w:rFonts w:ascii="宋体" w:hAnsi="宋体" w:hint="eastAsia"/>
          <w:szCs w:val="24"/>
        </w:rPr>
        <w:t>至</w:t>
      </w:r>
      <w:r>
        <w:rPr>
          <w:rFonts w:ascii="宋体" w:hAnsi="宋体"/>
          <w:szCs w:val="24"/>
        </w:rPr>
        <w:t>2019年5月24日</w:t>
      </w:r>
      <w:r>
        <w:rPr>
          <w:rFonts w:ascii="宋体" w:hAnsi="宋体" w:hint="eastAsia"/>
          <w:szCs w:val="24"/>
        </w:rPr>
        <w:t>期间，本基金按基金合同约定正常运作。</w:t>
      </w:r>
    </w:p>
    <w:p w:rsidR="00B10A0B" w:rsidRDefault="00412F67">
      <w:pPr>
        <w:spacing w:line="360" w:lineRule="auto"/>
        <w:rPr>
          <w:rFonts w:ascii="宋体" w:hAnsi="宋体"/>
          <w:szCs w:val="24"/>
        </w:rPr>
      </w:pPr>
      <w:r>
        <w:rPr>
          <w:rFonts w:ascii="宋体" w:hAnsi="宋体" w:hint="eastAsia"/>
          <w:szCs w:val="24"/>
        </w:rPr>
        <w:t xml:space="preserve">    根据《基金合同》</w:t>
      </w:r>
      <w:r>
        <w:rPr>
          <w:rFonts w:ascii="宋体" w:hAnsi="宋体"/>
          <w:szCs w:val="24"/>
        </w:rPr>
        <w:t>“</w:t>
      </w:r>
      <w:r>
        <w:rPr>
          <w:rFonts w:ascii="宋体" w:hAnsi="宋体" w:hint="eastAsia"/>
          <w:szCs w:val="24"/>
        </w:rPr>
        <w:t>第二十部分</w:t>
      </w:r>
      <w:r>
        <w:rPr>
          <w:rFonts w:ascii="宋体" w:hAnsi="宋体"/>
          <w:szCs w:val="24"/>
        </w:rPr>
        <w:t xml:space="preserve"> </w:t>
      </w:r>
      <w:r>
        <w:rPr>
          <w:rFonts w:ascii="宋体" w:hAnsi="宋体" w:hint="eastAsia"/>
          <w:szCs w:val="24"/>
        </w:rPr>
        <w:t>基金合同的变更、终止与基金财产的清算</w:t>
      </w:r>
      <w:r>
        <w:rPr>
          <w:rFonts w:ascii="宋体" w:hAnsi="宋体"/>
          <w:szCs w:val="24"/>
        </w:rPr>
        <w:t>”</w:t>
      </w:r>
      <w:r>
        <w:rPr>
          <w:rFonts w:ascii="宋体" w:hAnsi="宋体" w:hint="eastAsia"/>
          <w:szCs w:val="24"/>
        </w:rPr>
        <w:t>中</w:t>
      </w:r>
      <w:r>
        <w:rPr>
          <w:rFonts w:ascii="宋体" w:hAnsi="宋体"/>
          <w:szCs w:val="24"/>
        </w:rPr>
        <w:t>“</w:t>
      </w:r>
      <w:r>
        <w:rPr>
          <w:rFonts w:ascii="宋体" w:hAnsi="宋体" w:hint="eastAsia"/>
          <w:szCs w:val="24"/>
        </w:rPr>
        <w:t>二、《基金合同》的终止事由</w:t>
      </w:r>
      <w:r>
        <w:rPr>
          <w:rFonts w:ascii="宋体" w:hAnsi="宋体"/>
          <w:szCs w:val="24"/>
        </w:rPr>
        <w:t>”</w:t>
      </w:r>
      <w:r>
        <w:rPr>
          <w:rFonts w:ascii="宋体" w:hAnsi="宋体" w:hint="eastAsia"/>
          <w:szCs w:val="24"/>
        </w:rPr>
        <w:t>的约定：</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w:t>
      </w:r>
      <w:r>
        <w:rPr>
          <w:rFonts w:ascii="宋体" w:hAnsi="宋体" w:hint="eastAsia"/>
          <w:szCs w:val="24"/>
        </w:rPr>
        <w:t>本基金自基金合同生效之日起，在任一开放期最后一日日终（登记机构完成最后一日申购、赎回、转换业务申请的确认以后），如发生以下情形之一，则无须召开基金份额持有人大会，《基金合同》将于该日次日终止并根据本部分的约定进行基金财产清算：</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1</w:t>
      </w:r>
      <w:r>
        <w:rPr>
          <w:rFonts w:ascii="宋体" w:hAnsi="宋体" w:hint="eastAsia"/>
          <w:szCs w:val="24"/>
        </w:rPr>
        <w:t>、基金份额持有人数量不满</w:t>
      </w:r>
      <w:r>
        <w:rPr>
          <w:rFonts w:ascii="宋体" w:hAnsi="宋体"/>
          <w:szCs w:val="24"/>
        </w:rPr>
        <w:t xml:space="preserve">200 </w:t>
      </w:r>
      <w:r>
        <w:rPr>
          <w:rFonts w:ascii="宋体" w:hAnsi="宋体" w:hint="eastAsia"/>
          <w:szCs w:val="24"/>
        </w:rPr>
        <w:t>人；</w:t>
      </w:r>
      <w:r>
        <w:rPr>
          <w:rFonts w:ascii="宋体" w:hAnsi="宋体"/>
          <w:szCs w:val="24"/>
        </w:rPr>
        <w:t xml:space="preserve"> </w:t>
      </w:r>
    </w:p>
    <w:p w:rsidR="00B10A0B" w:rsidRDefault="00412F67">
      <w:pPr>
        <w:spacing w:line="360" w:lineRule="auto"/>
        <w:rPr>
          <w:rFonts w:ascii="宋体" w:hAnsi="宋体"/>
          <w:szCs w:val="24"/>
        </w:rPr>
      </w:pPr>
      <w:r>
        <w:rPr>
          <w:rFonts w:ascii="宋体" w:hAnsi="宋体" w:hint="eastAsia"/>
          <w:szCs w:val="24"/>
        </w:rPr>
        <w:t xml:space="preserve">    </w:t>
      </w:r>
      <w:r>
        <w:rPr>
          <w:rFonts w:ascii="宋体" w:hAnsi="宋体"/>
          <w:szCs w:val="24"/>
        </w:rPr>
        <w:t>2</w:t>
      </w:r>
      <w:r>
        <w:rPr>
          <w:rFonts w:ascii="宋体" w:hAnsi="宋体" w:hint="eastAsia"/>
          <w:szCs w:val="24"/>
        </w:rPr>
        <w:t>、基金资产净值低于</w:t>
      </w:r>
      <w:r>
        <w:rPr>
          <w:rFonts w:ascii="宋体" w:hAnsi="宋体"/>
          <w:szCs w:val="24"/>
        </w:rPr>
        <w:t xml:space="preserve">5000 </w:t>
      </w:r>
      <w:r>
        <w:rPr>
          <w:rFonts w:ascii="宋体" w:hAnsi="宋体" w:hint="eastAsia"/>
          <w:szCs w:val="24"/>
        </w:rPr>
        <w:t>万元。</w:t>
      </w:r>
      <w:r>
        <w:rPr>
          <w:rFonts w:ascii="宋体" w:hAnsi="宋体"/>
          <w:szCs w:val="24"/>
        </w:rPr>
        <w:t xml:space="preserve">” </w:t>
      </w:r>
    </w:p>
    <w:p w:rsidR="00B10A0B" w:rsidRDefault="00412F67">
      <w:pPr>
        <w:widowControl/>
        <w:spacing w:line="360" w:lineRule="auto"/>
        <w:ind w:firstLineChars="200" w:firstLine="420"/>
        <w:rPr>
          <w:rFonts w:ascii="宋体" w:hAnsi="宋体"/>
          <w:snapToGrid w:val="0"/>
          <w:szCs w:val="24"/>
        </w:rPr>
      </w:pPr>
      <w:r>
        <w:rPr>
          <w:rFonts w:ascii="宋体" w:hAnsi="宋体" w:hint="eastAsia"/>
          <w:szCs w:val="24"/>
        </w:rPr>
        <w:t>本基金最近一个开放期自</w:t>
      </w:r>
      <w:r>
        <w:rPr>
          <w:rFonts w:ascii="宋体" w:hAnsi="宋体"/>
          <w:szCs w:val="24"/>
        </w:rPr>
        <w:t>2019</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24</w:t>
      </w:r>
      <w:r>
        <w:rPr>
          <w:rFonts w:ascii="宋体" w:hAnsi="宋体" w:hint="eastAsia"/>
          <w:szCs w:val="24"/>
        </w:rPr>
        <w:t>日至</w:t>
      </w:r>
      <w:r>
        <w:rPr>
          <w:rFonts w:ascii="宋体" w:hAnsi="宋体"/>
          <w:szCs w:val="24"/>
        </w:rPr>
        <w:t>20</w:t>
      </w:r>
      <w:r>
        <w:rPr>
          <w:rFonts w:ascii="宋体" w:hAnsi="宋体"/>
          <w:snapToGrid w:val="0"/>
          <w:szCs w:val="24"/>
        </w:rPr>
        <w:t>19</w:t>
      </w:r>
      <w:r>
        <w:rPr>
          <w:rFonts w:ascii="宋体" w:hAnsi="宋体" w:hint="eastAsia"/>
          <w:snapToGrid w:val="0"/>
          <w:szCs w:val="24"/>
        </w:rPr>
        <w:t>年</w:t>
      </w:r>
      <w:r>
        <w:rPr>
          <w:rFonts w:ascii="宋体" w:hAnsi="宋体"/>
          <w:snapToGrid w:val="0"/>
          <w:szCs w:val="24"/>
        </w:rPr>
        <w:t>5</w:t>
      </w:r>
      <w:r>
        <w:rPr>
          <w:rFonts w:ascii="宋体" w:hAnsi="宋体" w:hint="eastAsia"/>
          <w:snapToGrid w:val="0"/>
          <w:szCs w:val="24"/>
        </w:rPr>
        <w:t>月</w:t>
      </w:r>
      <w:r>
        <w:rPr>
          <w:rFonts w:ascii="宋体" w:hAnsi="宋体"/>
          <w:snapToGrid w:val="0"/>
          <w:szCs w:val="24"/>
        </w:rPr>
        <w:t>24</w:t>
      </w:r>
      <w:r>
        <w:rPr>
          <w:rFonts w:ascii="宋体" w:hAnsi="宋体" w:hint="eastAsia"/>
          <w:snapToGrid w:val="0"/>
          <w:szCs w:val="24"/>
        </w:rPr>
        <w:t>日，截至</w:t>
      </w:r>
      <w:r>
        <w:rPr>
          <w:rFonts w:ascii="宋体" w:hAnsi="宋体"/>
          <w:snapToGrid w:val="0"/>
          <w:szCs w:val="24"/>
        </w:rPr>
        <w:t>2019</w:t>
      </w:r>
      <w:r>
        <w:rPr>
          <w:rFonts w:ascii="宋体" w:hAnsi="宋体" w:hint="eastAsia"/>
          <w:snapToGrid w:val="0"/>
          <w:szCs w:val="24"/>
        </w:rPr>
        <w:t>年</w:t>
      </w:r>
      <w:r>
        <w:rPr>
          <w:rFonts w:ascii="宋体" w:hAnsi="宋体"/>
          <w:snapToGrid w:val="0"/>
          <w:szCs w:val="24"/>
        </w:rPr>
        <w:t>5</w:t>
      </w:r>
      <w:r>
        <w:rPr>
          <w:rFonts w:ascii="宋体" w:hAnsi="宋体" w:hint="eastAsia"/>
          <w:snapToGrid w:val="0"/>
          <w:szCs w:val="24"/>
        </w:rPr>
        <w:t>月</w:t>
      </w:r>
      <w:r>
        <w:rPr>
          <w:rFonts w:ascii="宋体" w:hAnsi="宋体"/>
          <w:snapToGrid w:val="0"/>
          <w:szCs w:val="24"/>
        </w:rPr>
        <w:t>24</w:t>
      </w:r>
      <w:r>
        <w:rPr>
          <w:rFonts w:ascii="宋体" w:hAnsi="宋体" w:hint="eastAsia"/>
          <w:snapToGrid w:val="0"/>
          <w:szCs w:val="24"/>
        </w:rPr>
        <w:t>日日终，本基金出现基金资产净值低于</w:t>
      </w:r>
      <w:r>
        <w:rPr>
          <w:rFonts w:ascii="宋体" w:hAnsi="宋体"/>
          <w:snapToGrid w:val="0"/>
          <w:szCs w:val="24"/>
        </w:rPr>
        <w:t>5000</w:t>
      </w:r>
      <w:r>
        <w:rPr>
          <w:rFonts w:ascii="宋体" w:hAnsi="宋体" w:hint="eastAsia"/>
          <w:snapToGrid w:val="0"/>
          <w:szCs w:val="24"/>
        </w:rPr>
        <w:t>万元的情形，已触发《基金合同》中约定的基金合同终止条款。根据《基金合同》的有关约定，本基金将进入基金财产的清算程序并终止，无须召开基金份额持有人大会审议。</w:t>
      </w:r>
    </w:p>
    <w:p w:rsidR="00B10A0B" w:rsidRDefault="00412F67">
      <w:pPr>
        <w:pStyle w:val="a8"/>
        <w:spacing w:line="360" w:lineRule="auto"/>
        <w:ind w:firstLineChars="200" w:firstLine="422"/>
        <w:jc w:val="center"/>
        <w:rPr>
          <w:rFonts w:cs="Times New Roman"/>
          <w:b/>
          <w:kern w:val="2"/>
          <w:sz w:val="21"/>
          <w:szCs w:val="21"/>
        </w:rPr>
      </w:pPr>
      <w:r>
        <w:rPr>
          <w:rFonts w:cs="Times New Roman" w:hint="eastAsia"/>
          <w:b/>
          <w:kern w:val="2"/>
          <w:sz w:val="21"/>
          <w:szCs w:val="21"/>
        </w:rPr>
        <w:t>四</w:t>
      </w:r>
      <w:r>
        <w:rPr>
          <w:rFonts w:cs="Times New Roman"/>
          <w:b/>
          <w:kern w:val="2"/>
          <w:sz w:val="21"/>
          <w:szCs w:val="21"/>
        </w:rPr>
        <w:t>、财务会计报告</w:t>
      </w:r>
    </w:p>
    <w:p w:rsidR="00B10A0B" w:rsidRDefault="00412F67">
      <w:pPr>
        <w:spacing w:before="240" w:line="360" w:lineRule="auto"/>
        <w:jc w:val="left"/>
        <w:rPr>
          <w:rFonts w:ascii="宋体" w:hAnsi="宋体" w:cs="Arial"/>
          <w:szCs w:val="21"/>
        </w:rPr>
      </w:pPr>
      <w:r>
        <w:rPr>
          <w:rFonts w:ascii="宋体" w:hAnsi="宋体" w:cs="Arial" w:hint="eastAsia"/>
          <w:szCs w:val="21"/>
        </w:rPr>
        <w:t>1、基金最后运作日</w:t>
      </w:r>
      <w:r>
        <w:rPr>
          <w:rFonts w:ascii="宋体" w:hAnsi="宋体" w:cs="Arial"/>
          <w:szCs w:val="21"/>
        </w:rPr>
        <w:t>资产负债表（</w:t>
      </w:r>
      <w:r>
        <w:rPr>
          <w:rFonts w:ascii="宋体" w:hAnsi="宋体" w:cs="Arial" w:hint="eastAsia"/>
          <w:szCs w:val="21"/>
        </w:rPr>
        <w:t>已</w:t>
      </w:r>
      <w:r>
        <w:rPr>
          <w:rFonts w:ascii="宋体" w:hAnsi="宋体" w:cs="Arial"/>
          <w:szCs w:val="21"/>
        </w:rPr>
        <w:t>审计）</w:t>
      </w:r>
    </w:p>
    <w:p w:rsidR="00B10A0B" w:rsidRDefault="00412F67">
      <w:pPr>
        <w:spacing w:line="360" w:lineRule="auto"/>
        <w:jc w:val="left"/>
        <w:rPr>
          <w:rFonts w:ascii="宋体" w:hAnsi="宋体" w:cs="Arial"/>
          <w:szCs w:val="21"/>
        </w:rPr>
      </w:pPr>
      <w:r>
        <w:rPr>
          <w:rFonts w:ascii="宋体" w:hAnsi="宋体" w:cs="Arial"/>
          <w:szCs w:val="21"/>
        </w:rPr>
        <w:t>会计主体：</w:t>
      </w:r>
      <w:r>
        <w:rPr>
          <w:rFonts w:ascii="宋体" w:hAnsi="宋体" w:hint="eastAsia"/>
          <w:kern w:val="0"/>
        </w:rPr>
        <w:t>中银证券瑞丰定期开放灵活配置混合型证券投资基金</w:t>
      </w:r>
    </w:p>
    <w:p w:rsidR="00B10A0B" w:rsidRDefault="00412F67">
      <w:pPr>
        <w:spacing w:line="360" w:lineRule="auto"/>
        <w:jc w:val="left"/>
        <w:rPr>
          <w:rFonts w:ascii="宋体" w:hAnsi="宋体" w:cs="Arial"/>
          <w:szCs w:val="21"/>
        </w:rPr>
      </w:pPr>
      <w:r>
        <w:rPr>
          <w:rFonts w:ascii="宋体" w:hAnsi="宋体" w:cs="Arial"/>
          <w:szCs w:val="21"/>
        </w:rPr>
        <w:t>报告截止日：201</w:t>
      </w:r>
      <w:r>
        <w:rPr>
          <w:rFonts w:ascii="宋体" w:hAnsi="宋体" w:cs="Arial" w:hint="eastAsia"/>
          <w:szCs w:val="21"/>
        </w:rPr>
        <w:t>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24</w:t>
      </w:r>
      <w:r>
        <w:rPr>
          <w:rFonts w:ascii="宋体" w:hAnsi="宋体" w:cs="Arial"/>
          <w:szCs w:val="21"/>
        </w:rPr>
        <w:t>日</w:t>
      </w:r>
    </w:p>
    <w:p w:rsidR="00B10A0B" w:rsidRDefault="00412F67">
      <w:pPr>
        <w:spacing w:line="360" w:lineRule="auto"/>
        <w:jc w:val="left"/>
        <w:rPr>
          <w:rFonts w:ascii="宋体" w:hAnsi="宋体" w:cs="Arial"/>
          <w:szCs w:val="21"/>
        </w:rPr>
      </w:pPr>
      <w:r>
        <w:rPr>
          <w:rFonts w:ascii="宋体" w:hAnsi="宋体" w:cs="Arial"/>
          <w:szCs w:val="21"/>
        </w:rPr>
        <w:t>单位：人民币元</w:t>
      </w:r>
    </w:p>
    <w:tbl>
      <w:tblPr>
        <w:tblW w:w="7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278"/>
        <w:gridCol w:w="2279"/>
      </w:tblGrid>
      <w:tr w:rsidR="00B10A0B">
        <w:trPr>
          <w:cantSplit/>
          <w:trHeight w:val="632"/>
        </w:trPr>
        <w:tc>
          <w:tcPr>
            <w:tcW w:w="2970" w:type="dxa"/>
            <w:vAlign w:val="bottom"/>
          </w:tcPr>
          <w:p w:rsidR="00B10A0B" w:rsidRDefault="00412F67">
            <w:pPr>
              <w:pStyle w:val="a8"/>
              <w:spacing w:before="0" w:beforeAutospacing="0" w:after="0" w:afterAutospacing="0"/>
              <w:jc w:val="center"/>
              <w:rPr>
                <w:rFonts w:ascii="Arial" w:hAnsi="Arial" w:cs="Arial"/>
                <w:b/>
              </w:rPr>
            </w:pPr>
            <w:r>
              <w:rPr>
                <w:rFonts w:ascii="Arial" w:hAnsi="Arial" w:cs="Arial"/>
                <w:b/>
              </w:rPr>
              <w:t>资</w:t>
            </w:r>
            <w:r>
              <w:rPr>
                <w:rFonts w:ascii="Arial" w:hAnsi="Arial" w:cs="Arial"/>
                <w:b/>
              </w:rPr>
              <w:t xml:space="preserve"> </w:t>
            </w:r>
            <w:r>
              <w:rPr>
                <w:rFonts w:ascii="Arial" w:hAnsi="Arial" w:cs="Arial"/>
                <w:b/>
              </w:rPr>
              <w:t>产</w:t>
            </w:r>
          </w:p>
        </w:tc>
        <w:tc>
          <w:tcPr>
            <w:tcW w:w="2278" w:type="dxa"/>
            <w:vAlign w:val="bottom"/>
          </w:tcPr>
          <w:p w:rsidR="00B10A0B" w:rsidRDefault="00412F67">
            <w:pPr>
              <w:pStyle w:val="a8"/>
              <w:spacing w:before="0" w:beforeAutospacing="0" w:after="0" w:afterAutospacing="0"/>
              <w:ind w:left="-110" w:right="-84"/>
              <w:jc w:val="center"/>
              <w:rPr>
                <w:rFonts w:ascii="Arial" w:hAnsi="Arial" w:cs="Arial"/>
                <w:b/>
              </w:rPr>
            </w:pPr>
            <w:r>
              <w:rPr>
                <w:rFonts w:ascii="Arial" w:hAnsi="Arial" w:cs="Arial" w:hint="eastAsia"/>
                <w:b/>
              </w:rPr>
              <w:t>本期末</w:t>
            </w:r>
          </w:p>
          <w:p w:rsidR="00B10A0B" w:rsidRDefault="00412F67">
            <w:pPr>
              <w:pStyle w:val="a8"/>
              <w:spacing w:before="0" w:beforeAutospacing="0" w:after="0" w:afterAutospacing="0"/>
              <w:ind w:left="-110" w:right="-84"/>
              <w:jc w:val="center"/>
              <w:rPr>
                <w:rFonts w:ascii="Arial" w:hAnsi="Arial" w:cs="Arial"/>
                <w:b/>
              </w:rPr>
            </w:pPr>
            <w:r>
              <w:rPr>
                <w:rFonts w:ascii="Arial" w:hAnsi="Arial" w:cs="Arial"/>
                <w:b/>
              </w:rPr>
              <w:t>2019</w:t>
            </w:r>
            <w:r>
              <w:rPr>
                <w:rFonts w:ascii="Arial" w:hAnsi="Arial" w:cs="Arial"/>
                <w:b/>
              </w:rPr>
              <w:t>年</w:t>
            </w:r>
            <w:r>
              <w:rPr>
                <w:rFonts w:ascii="Arial" w:hAnsi="Arial" w:cs="Arial"/>
                <w:b/>
              </w:rPr>
              <w:t>5</w:t>
            </w:r>
            <w:r>
              <w:rPr>
                <w:rFonts w:ascii="Arial" w:hAnsi="Arial" w:cs="Arial"/>
                <w:b/>
              </w:rPr>
              <w:t>月</w:t>
            </w:r>
            <w:r>
              <w:rPr>
                <w:rFonts w:ascii="Arial" w:hAnsi="Arial" w:cs="Arial"/>
                <w:b/>
              </w:rPr>
              <w:t>24</w:t>
            </w:r>
            <w:r>
              <w:rPr>
                <w:rFonts w:ascii="Arial" w:hAnsi="Arial" w:cs="Arial"/>
                <w:b/>
              </w:rPr>
              <w:t>日</w:t>
            </w:r>
          </w:p>
          <w:p w:rsidR="00B10A0B" w:rsidRDefault="00412F67">
            <w:pPr>
              <w:pStyle w:val="a8"/>
              <w:spacing w:before="0" w:beforeAutospacing="0" w:after="0" w:afterAutospacing="0"/>
              <w:ind w:left="-110" w:right="-84"/>
              <w:jc w:val="center"/>
              <w:rPr>
                <w:rFonts w:ascii="Arial" w:hAnsi="Arial" w:cs="Arial"/>
                <w:b/>
                <w:highlight w:val="yellow"/>
              </w:rPr>
            </w:pPr>
            <w:r>
              <w:rPr>
                <w:rFonts w:ascii="Arial" w:hAnsi="Arial" w:cs="Arial" w:hint="eastAsia"/>
                <w:b/>
              </w:rPr>
              <w:t>(</w:t>
            </w:r>
            <w:r>
              <w:rPr>
                <w:rFonts w:ascii="Arial" w:hAnsi="Arial" w:cs="Arial" w:hint="eastAsia"/>
                <w:b/>
              </w:rPr>
              <w:t>基金</w:t>
            </w:r>
            <w:r>
              <w:rPr>
                <w:rFonts w:ascii="Arial" w:hAnsi="Arial" w:cs="Arial"/>
                <w:b/>
              </w:rPr>
              <w:t>最后运作日</w:t>
            </w:r>
            <w:r>
              <w:rPr>
                <w:rFonts w:ascii="Arial" w:hAnsi="Arial" w:cs="Arial" w:hint="eastAsia"/>
                <w:b/>
              </w:rPr>
              <w:t>)</w:t>
            </w:r>
          </w:p>
        </w:tc>
        <w:tc>
          <w:tcPr>
            <w:tcW w:w="2279" w:type="dxa"/>
            <w:vAlign w:val="bottom"/>
          </w:tcPr>
          <w:p w:rsidR="00B10A0B" w:rsidRDefault="00412F67">
            <w:pPr>
              <w:pStyle w:val="a8"/>
              <w:spacing w:before="0" w:beforeAutospacing="0" w:after="0" w:afterAutospacing="0"/>
              <w:ind w:left="-48" w:right="-44"/>
              <w:jc w:val="center"/>
              <w:rPr>
                <w:rFonts w:ascii="Arial" w:hAnsi="Arial" w:cs="Arial"/>
                <w:b/>
              </w:rPr>
            </w:pPr>
            <w:r>
              <w:rPr>
                <w:rFonts w:ascii="Arial" w:hAnsi="Arial" w:cs="Arial" w:hint="eastAsia"/>
                <w:b/>
              </w:rPr>
              <w:t>上年度末</w:t>
            </w:r>
          </w:p>
          <w:p w:rsidR="00B10A0B" w:rsidRDefault="00412F67">
            <w:pPr>
              <w:pStyle w:val="a8"/>
              <w:spacing w:before="0" w:beforeAutospacing="0" w:after="0" w:afterAutospacing="0"/>
              <w:ind w:left="-48" w:right="-44"/>
              <w:jc w:val="center"/>
              <w:rPr>
                <w:rFonts w:ascii="Arial" w:hAnsi="Arial" w:cs="Arial"/>
                <w:b/>
              </w:rPr>
            </w:pPr>
            <w:r>
              <w:rPr>
                <w:rFonts w:ascii="Arial" w:hAnsi="Arial" w:cs="Arial"/>
                <w:b/>
              </w:rPr>
              <w:t>2018</w:t>
            </w:r>
            <w:r>
              <w:rPr>
                <w:rFonts w:ascii="Arial" w:hAnsi="Arial" w:cs="Arial"/>
                <w:b/>
              </w:rPr>
              <w:t>年</w:t>
            </w:r>
            <w:r>
              <w:rPr>
                <w:rFonts w:ascii="Arial" w:hAnsi="Arial" w:cs="Arial"/>
                <w:b/>
              </w:rPr>
              <w:t>12</w:t>
            </w:r>
            <w:r>
              <w:rPr>
                <w:rFonts w:ascii="Arial" w:hAnsi="Arial" w:cs="Arial"/>
                <w:b/>
              </w:rPr>
              <w:t>月</w:t>
            </w:r>
            <w:r>
              <w:rPr>
                <w:rFonts w:ascii="Arial" w:hAnsi="Arial" w:cs="Arial"/>
                <w:b/>
              </w:rPr>
              <w:t>31</w:t>
            </w:r>
            <w:r>
              <w:rPr>
                <w:rFonts w:ascii="Arial" w:hAnsi="Arial" w:cs="Arial"/>
                <w:b/>
              </w:rPr>
              <w:t>日</w:t>
            </w:r>
          </w:p>
        </w:tc>
      </w:tr>
      <w:tr w:rsidR="00B10A0B">
        <w:trPr>
          <w:cantSplit/>
          <w:trHeight w:val="263"/>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资</w:t>
            </w:r>
            <w:r>
              <w:rPr>
                <w:rFonts w:ascii="Arial" w:hAnsi="Arial" w:cs="Arial"/>
                <w:b/>
              </w:rPr>
              <w:t xml:space="preserve"> </w:t>
            </w:r>
            <w:r>
              <w:rPr>
                <w:rFonts w:ascii="Arial" w:hAnsi="Arial" w:cs="Arial"/>
                <w:b/>
              </w:rPr>
              <w:t>产：</w:t>
            </w:r>
          </w:p>
        </w:tc>
        <w:tc>
          <w:tcPr>
            <w:tcW w:w="2278" w:type="dxa"/>
            <w:vAlign w:val="bottom"/>
          </w:tcPr>
          <w:p w:rsidR="00B10A0B" w:rsidRDefault="00B10A0B">
            <w:pPr>
              <w:pStyle w:val="a8"/>
              <w:spacing w:before="0" w:beforeAutospacing="0" w:after="0" w:afterAutospacing="0"/>
              <w:rPr>
                <w:rFonts w:ascii="Arial" w:hAnsi="Arial" w:cs="Arial"/>
                <w:highlight w:val="yellow"/>
              </w:rPr>
            </w:pPr>
          </w:p>
        </w:tc>
        <w:tc>
          <w:tcPr>
            <w:tcW w:w="2279" w:type="dxa"/>
            <w:vAlign w:val="bottom"/>
          </w:tcPr>
          <w:p w:rsidR="00B10A0B" w:rsidRDefault="00B10A0B">
            <w:pPr>
              <w:pStyle w:val="a8"/>
              <w:spacing w:before="0" w:beforeAutospacing="0" w:after="0" w:afterAutospacing="0"/>
              <w:rPr>
                <w:rFonts w:ascii="Arial" w:hAnsi="Arial" w:cs="Arial"/>
              </w:rPr>
            </w:pP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rPr>
              <w:t>银行存款</w:t>
            </w:r>
          </w:p>
        </w:tc>
        <w:tc>
          <w:tcPr>
            <w:tcW w:w="2278" w:type="dxa"/>
            <w:vAlign w:val="bottom"/>
          </w:tcPr>
          <w:p w:rsidR="00B10A0B" w:rsidRDefault="00412F67">
            <w:pPr>
              <w:tabs>
                <w:tab w:val="decimal" w:pos="1641"/>
              </w:tabs>
              <w:ind w:rightChars="-32" w:right="-67"/>
              <w:rPr>
                <w:rFonts w:ascii="Arial" w:hAnsi="Arial"/>
                <w:color w:val="000000"/>
                <w:sz w:val="24"/>
                <w:szCs w:val="24"/>
                <w:highlight w:val="yellow"/>
              </w:rPr>
            </w:pPr>
            <w:r>
              <w:rPr>
                <w:rFonts w:ascii="Arial" w:hAnsi="Arial"/>
                <w:color w:val="000000"/>
                <w:sz w:val="24"/>
                <w:szCs w:val="24"/>
              </w:rPr>
              <w:t>3,365,836.36</w:t>
            </w:r>
          </w:p>
        </w:tc>
        <w:tc>
          <w:tcPr>
            <w:tcW w:w="2279" w:type="dxa"/>
            <w:vAlign w:val="bottom"/>
          </w:tcPr>
          <w:p w:rsidR="00B10A0B" w:rsidRDefault="00412F67">
            <w:pPr>
              <w:tabs>
                <w:tab w:val="decimal" w:pos="1692"/>
              </w:tabs>
              <w:ind w:right="-77"/>
              <w:rPr>
                <w:rFonts w:ascii="Arial" w:hAnsi="Arial"/>
                <w:color w:val="000000"/>
                <w:sz w:val="24"/>
                <w:szCs w:val="24"/>
              </w:rPr>
            </w:pPr>
            <w:bookmarkStart w:id="0" w:name="FC5a"/>
            <w:r>
              <w:rPr>
                <w:rFonts w:ascii="Arial" w:hAnsi="Arial"/>
                <w:color w:val="000000"/>
                <w:sz w:val="24"/>
                <w:szCs w:val="24"/>
              </w:rPr>
              <w:t>3,910,383.32</w:t>
            </w:r>
            <w:bookmarkEnd w:id="0"/>
          </w:p>
        </w:tc>
      </w:tr>
      <w:tr w:rsidR="00B10A0B">
        <w:trPr>
          <w:cantSplit/>
        </w:trPr>
        <w:tc>
          <w:tcPr>
            <w:tcW w:w="2970" w:type="dxa"/>
            <w:vAlign w:val="center"/>
          </w:tcPr>
          <w:p w:rsidR="00B10A0B" w:rsidRDefault="00412F67">
            <w:pPr>
              <w:rPr>
                <w:rFonts w:cs="Calibri"/>
                <w:color w:val="000000"/>
                <w:sz w:val="22"/>
              </w:rPr>
            </w:pPr>
            <w:r>
              <w:rPr>
                <w:rFonts w:cs="Calibri" w:hint="eastAsia"/>
                <w:color w:val="000000"/>
                <w:sz w:val="22"/>
              </w:rPr>
              <w:t>结算备付金</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1,158,989.90</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99,782.78</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存出保证金</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29,220.20</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15,501.19</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交易性金融资产</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20,815,849.02</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45,327,441.91</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其中：股票投资</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20,316,849.02</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45,327,441.91</w:t>
            </w:r>
          </w:p>
        </w:tc>
      </w:tr>
      <w:tr w:rsidR="00B10A0B">
        <w:trPr>
          <w:cantSplit/>
        </w:trPr>
        <w:tc>
          <w:tcPr>
            <w:tcW w:w="2970" w:type="dxa"/>
            <w:vAlign w:val="center"/>
          </w:tcPr>
          <w:p w:rsidR="00B10A0B" w:rsidRDefault="00412F67">
            <w:pPr>
              <w:pStyle w:val="a8"/>
              <w:spacing w:before="0" w:beforeAutospacing="0" w:after="0" w:afterAutospacing="0"/>
              <w:ind w:firstLine="685"/>
              <w:rPr>
                <w:rFonts w:ascii="Arial" w:hAnsi="Arial" w:cs="Arial"/>
              </w:rPr>
            </w:pPr>
            <w:r>
              <w:rPr>
                <w:rFonts w:ascii="Arial" w:hAnsi="Arial" w:cs="Arial" w:hint="eastAsia"/>
              </w:rPr>
              <w:t>债券投资</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499,000.00</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hint="eastAsia"/>
                <w:color w:val="000000"/>
                <w:sz w:val="24"/>
                <w:szCs w:val="24"/>
              </w:rPr>
              <w:t>-</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买入返售金融资产</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hint="eastAsia"/>
                <w:color w:val="000000"/>
                <w:sz w:val="24"/>
                <w:szCs w:val="24"/>
              </w:rPr>
              <w:t>-</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6,000,000.00</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应收证券清算款</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2,394,922.69</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90,570.51</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应收利息</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12,005.05</w:t>
            </w:r>
          </w:p>
        </w:tc>
        <w:tc>
          <w:tcPr>
            <w:tcW w:w="2279" w:type="dxa"/>
            <w:vAlign w:val="bottom"/>
          </w:tcPr>
          <w:p w:rsidR="00B10A0B" w:rsidRDefault="00412F67">
            <w:pPr>
              <w:tabs>
                <w:tab w:val="decimal" w:pos="1676"/>
              </w:tabs>
              <w:ind w:right="-77"/>
              <w:rPr>
                <w:rFonts w:ascii="Arial" w:hAnsi="Arial"/>
                <w:color w:val="000000"/>
                <w:sz w:val="24"/>
                <w:szCs w:val="24"/>
              </w:rPr>
            </w:pPr>
            <w:r>
              <w:rPr>
                <w:rFonts w:ascii="Arial" w:hAnsi="Arial"/>
                <w:color w:val="000000"/>
                <w:sz w:val="24"/>
                <w:szCs w:val="24"/>
              </w:rPr>
              <w:t>-1,103.62</w:t>
            </w:r>
          </w:p>
        </w:tc>
      </w:tr>
      <w:tr w:rsidR="00B10A0B">
        <w:trPr>
          <w:cantSplit/>
        </w:trPr>
        <w:tc>
          <w:tcPr>
            <w:tcW w:w="2970" w:type="dxa"/>
            <w:vAlign w:val="center"/>
          </w:tcPr>
          <w:p w:rsidR="00B10A0B" w:rsidRDefault="00412F67">
            <w:pPr>
              <w:pStyle w:val="a8"/>
              <w:spacing w:before="0" w:beforeAutospacing="0" w:after="0" w:afterAutospacing="0"/>
              <w:rPr>
                <w:rFonts w:ascii="Arial" w:hAnsi="Arial" w:cs="Arial"/>
              </w:rPr>
            </w:pPr>
            <w:r>
              <w:rPr>
                <w:rFonts w:ascii="Arial" w:hAnsi="Arial" w:cs="Arial" w:hint="eastAsia"/>
              </w:rPr>
              <w:t>应收申购款</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1,000.00</w:t>
            </w:r>
          </w:p>
        </w:tc>
        <w:tc>
          <w:tcPr>
            <w:tcW w:w="2279" w:type="dxa"/>
            <w:vAlign w:val="bottom"/>
          </w:tcPr>
          <w:p w:rsidR="00B10A0B" w:rsidRDefault="00412F67">
            <w:pPr>
              <w:tabs>
                <w:tab w:val="decimal" w:pos="1676"/>
              </w:tabs>
              <w:ind w:right="-77"/>
              <w:rPr>
                <w:rFonts w:ascii="Arial" w:hAnsi="Arial"/>
                <w:color w:val="000000"/>
                <w:sz w:val="24"/>
                <w:szCs w:val="24"/>
              </w:rPr>
            </w:pPr>
            <w:r>
              <w:rPr>
                <w:rFonts w:ascii="Arial" w:hAnsi="Arial" w:hint="eastAsia"/>
                <w:color w:val="000000"/>
                <w:sz w:val="24"/>
                <w:szCs w:val="24"/>
              </w:rPr>
              <w:t>-</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资产总计</w:t>
            </w:r>
          </w:p>
        </w:tc>
        <w:tc>
          <w:tcPr>
            <w:tcW w:w="2278" w:type="dxa"/>
            <w:vAlign w:val="bottom"/>
          </w:tcPr>
          <w:p w:rsidR="00B10A0B" w:rsidRDefault="00412F67">
            <w:pPr>
              <w:tabs>
                <w:tab w:val="decimal" w:pos="1621"/>
              </w:tabs>
              <w:ind w:rightChars="-32" w:right="-67"/>
              <w:rPr>
                <w:rFonts w:ascii="Arial" w:hAnsi="Arial"/>
                <w:b/>
                <w:color w:val="000000"/>
                <w:sz w:val="24"/>
                <w:szCs w:val="24"/>
              </w:rPr>
            </w:pPr>
            <w:r>
              <w:rPr>
                <w:rFonts w:ascii="Arial" w:hAnsi="Arial"/>
                <w:b/>
                <w:color w:val="000000"/>
                <w:sz w:val="24"/>
                <w:szCs w:val="24"/>
              </w:rPr>
              <w:t>27,777,823.22</w:t>
            </w:r>
          </w:p>
        </w:tc>
        <w:tc>
          <w:tcPr>
            <w:tcW w:w="2279" w:type="dxa"/>
            <w:vAlign w:val="bottom"/>
          </w:tcPr>
          <w:p w:rsidR="00B10A0B" w:rsidRDefault="00412F67">
            <w:pPr>
              <w:tabs>
                <w:tab w:val="decimal" w:pos="1692"/>
              </w:tabs>
              <w:ind w:right="-77"/>
              <w:rPr>
                <w:rFonts w:ascii="Arial" w:hAnsi="Arial"/>
                <w:b/>
                <w:color w:val="000000"/>
                <w:sz w:val="24"/>
                <w:szCs w:val="24"/>
              </w:rPr>
            </w:pPr>
            <w:bookmarkStart w:id="1" w:name="FC22a"/>
            <w:r>
              <w:rPr>
                <w:rFonts w:ascii="Arial" w:hAnsi="Arial"/>
                <w:b/>
                <w:color w:val="000000"/>
                <w:sz w:val="24"/>
                <w:szCs w:val="24"/>
              </w:rPr>
              <w:t>55,442,576.09</w:t>
            </w:r>
            <w:bookmarkEnd w:id="1"/>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负债和所有者权益</w:t>
            </w:r>
          </w:p>
        </w:tc>
        <w:tc>
          <w:tcPr>
            <w:tcW w:w="2278" w:type="dxa"/>
            <w:vAlign w:val="bottom"/>
          </w:tcPr>
          <w:p w:rsidR="00B10A0B" w:rsidRDefault="00B10A0B">
            <w:pPr>
              <w:tabs>
                <w:tab w:val="decimal" w:pos="1641"/>
              </w:tabs>
              <w:ind w:rightChars="-32" w:right="-67"/>
              <w:rPr>
                <w:rFonts w:ascii="Arial" w:hAnsi="Arial"/>
                <w:color w:val="000000"/>
                <w:sz w:val="24"/>
                <w:szCs w:val="24"/>
              </w:rPr>
            </w:pPr>
          </w:p>
        </w:tc>
        <w:tc>
          <w:tcPr>
            <w:tcW w:w="2279" w:type="dxa"/>
            <w:vAlign w:val="bottom"/>
          </w:tcPr>
          <w:p w:rsidR="00B10A0B" w:rsidRDefault="00B10A0B">
            <w:pPr>
              <w:tabs>
                <w:tab w:val="decimal" w:pos="1692"/>
              </w:tabs>
              <w:ind w:right="-77"/>
              <w:rPr>
                <w:rFonts w:ascii="Arial" w:hAnsi="Arial"/>
                <w:color w:val="000000"/>
                <w:sz w:val="24"/>
                <w:szCs w:val="24"/>
              </w:rPr>
            </w:pP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负</w:t>
            </w:r>
            <w:r>
              <w:rPr>
                <w:rFonts w:ascii="Arial" w:hAnsi="Arial" w:cs="Arial"/>
                <w:b/>
              </w:rPr>
              <w:t xml:space="preserve"> </w:t>
            </w:r>
            <w:r>
              <w:rPr>
                <w:rFonts w:ascii="Arial" w:hAnsi="Arial" w:cs="Arial"/>
                <w:b/>
              </w:rPr>
              <w:t>债：</w:t>
            </w:r>
          </w:p>
        </w:tc>
        <w:tc>
          <w:tcPr>
            <w:tcW w:w="2278" w:type="dxa"/>
            <w:vAlign w:val="bottom"/>
          </w:tcPr>
          <w:p w:rsidR="00B10A0B" w:rsidRDefault="00B10A0B">
            <w:pPr>
              <w:tabs>
                <w:tab w:val="decimal" w:pos="1641"/>
              </w:tabs>
              <w:ind w:rightChars="-32" w:right="-67"/>
              <w:rPr>
                <w:rFonts w:ascii="Arial" w:hAnsi="Arial"/>
                <w:color w:val="000000"/>
                <w:sz w:val="24"/>
                <w:szCs w:val="24"/>
              </w:rPr>
            </w:pPr>
          </w:p>
        </w:tc>
        <w:tc>
          <w:tcPr>
            <w:tcW w:w="2279" w:type="dxa"/>
            <w:vAlign w:val="bottom"/>
          </w:tcPr>
          <w:p w:rsidR="00B10A0B" w:rsidRDefault="00B10A0B">
            <w:pPr>
              <w:tabs>
                <w:tab w:val="decimal" w:pos="1692"/>
              </w:tabs>
              <w:ind w:right="-77"/>
              <w:rPr>
                <w:rFonts w:ascii="Arial" w:hAnsi="Arial"/>
                <w:color w:val="000000"/>
                <w:sz w:val="24"/>
                <w:szCs w:val="24"/>
              </w:rPr>
            </w:pPr>
          </w:p>
        </w:tc>
      </w:tr>
      <w:tr w:rsidR="00B10A0B">
        <w:trPr>
          <w:cantSplit/>
        </w:trPr>
        <w:tc>
          <w:tcPr>
            <w:tcW w:w="2970" w:type="dxa"/>
            <w:vAlign w:val="bottom"/>
          </w:tcPr>
          <w:p w:rsidR="00B10A0B" w:rsidRDefault="00412F67">
            <w:pPr>
              <w:pStyle w:val="a8"/>
              <w:spacing w:before="0" w:beforeAutospacing="0" w:after="0" w:afterAutospacing="0"/>
              <w:rPr>
                <w:rFonts w:ascii="Arial" w:hAnsi="Arial"/>
              </w:rPr>
            </w:pPr>
            <w:r>
              <w:rPr>
                <w:rFonts w:ascii="Arial" w:hAnsi="Arial"/>
              </w:rPr>
              <w:t>应付赎回</w:t>
            </w:r>
            <w:r>
              <w:rPr>
                <w:rFonts w:ascii="Arial" w:hAnsi="Arial" w:hint="eastAsia"/>
              </w:rPr>
              <w:t>款</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6,871,106.67</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rPr>
            </w:pPr>
            <w:r>
              <w:rPr>
                <w:rFonts w:ascii="Arial" w:hAnsi="Arial"/>
              </w:rPr>
              <w:t>应付管理人报酬</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13,801.29</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28,881.59</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rPr>
            </w:pPr>
            <w:r>
              <w:rPr>
                <w:rFonts w:ascii="Arial" w:hAnsi="Arial"/>
              </w:rPr>
              <w:t>应付托管费</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2,300.21</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4,813.63</w:t>
            </w:r>
          </w:p>
        </w:tc>
      </w:tr>
      <w:tr w:rsidR="00B10A0B">
        <w:trPr>
          <w:cantSplit/>
        </w:trPr>
        <w:tc>
          <w:tcPr>
            <w:tcW w:w="2970" w:type="dxa"/>
            <w:vAlign w:val="bottom"/>
          </w:tcPr>
          <w:p w:rsidR="00B10A0B" w:rsidRDefault="00412F67">
            <w:pPr>
              <w:pStyle w:val="a8"/>
              <w:spacing w:before="0" w:beforeAutospacing="0" w:after="0" w:afterAutospacing="0"/>
              <w:rPr>
                <w:rFonts w:ascii="Arial" w:hAnsi="Arial"/>
              </w:rPr>
            </w:pPr>
            <w:r>
              <w:rPr>
                <w:rFonts w:ascii="Arial" w:hAnsi="Arial" w:hint="eastAsia"/>
              </w:rPr>
              <w:t>应付销售服务费</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636.73</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2,123.18</w:t>
            </w:r>
          </w:p>
        </w:tc>
      </w:tr>
      <w:tr w:rsidR="00B10A0B">
        <w:trPr>
          <w:cantSplit/>
        </w:trPr>
        <w:tc>
          <w:tcPr>
            <w:tcW w:w="2970" w:type="dxa"/>
            <w:vAlign w:val="bottom"/>
          </w:tcPr>
          <w:p w:rsidR="00B10A0B" w:rsidRDefault="00412F67">
            <w:pPr>
              <w:pStyle w:val="a8"/>
              <w:spacing w:before="0" w:beforeAutospacing="0" w:after="0" w:afterAutospacing="0"/>
              <w:rPr>
                <w:rFonts w:ascii="Arial" w:hAnsi="Arial"/>
              </w:rPr>
            </w:pPr>
            <w:r>
              <w:rPr>
                <w:rFonts w:ascii="Arial" w:hAnsi="Arial" w:hint="eastAsia"/>
              </w:rPr>
              <w:t>应付交易费用</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8,998.81</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9,350.92</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rPr>
            </w:pPr>
            <w:r>
              <w:rPr>
                <w:rFonts w:ascii="Arial" w:hAnsi="Arial"/>
              </w:rPr>
              <w:t>其他负债</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73,801.64</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350,000.00</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负债合计</w:t>
            </w:r>
          </w:p>
        </w:tc>
        <w:tc>
          <w:tcPr>
            <w:tcW w:w="2278" w:type="dxa"/>
            <w:vAlign w:val="bottom"/>
          </w:tcPr>
          <w:p w:rsidR="00B10A0B" w:rsidRDefault="00412F67">
            <w:pPr>
              <w:tabs>
                <w:tab w:val="decimal" w:pos="1621"/>
              </w:tabs>
              <w:ind w:rightChars="-32" w:right="-67"/>
              <w:rPr>
                <w:rFonts w:ascii="Arial" w:hAnsi="Arial"/>
                <w:b/>
                <w:color w:val="000000"/>
                <w:sz w:val="24"/>
                <w:szCs w:val="24"/>
              </w:rPr>
            </w:pPr>
            <w:r>
              <w:rPr>
                <w:rFonts w:ascii="Arial" w:hAnsi="Arial"/>
                <w:b/>
                <w:color w:val="000000"/>
                <w:sz w:val="24"/>
                <w:szCs w:val="24"/>
              </w:rPr>
              <w:t>6,970,645.35</w:t>
            </w:r>
          </w:p>
        </w:tc>
        <w:tc>
          <w:tcPr>
            <w:tcW w:w="2279" w:type="dxa"/>
            <w:vAlign w:val="bottom"/>
          </w:tcPr>
          <w:p w:rsidR="00B10A0B" w:rsidRDefault="00412F67">
            <w:pPr>
              <w:tabs>
                <w:tab w:val="decimal" w:pos="1692"/>
              </w:tabs>
              <w:ind w:right="-77"/>
              <w:rPr>
                <w:rFonts w:ascii="Arial" w:hAnsi="Arial"/>
                <w:b/>
                <w:color w:val="000000"/>
                <w:sz w:val="24"/>
                <w:szCs w:val="24"/>
              </w:rPr>
            </w:pPr>
            <w:bookmarkStart w:id="2" w:name="FC41a"/>
            <w:r>
              <w:rPr>
                <w:rFonts w:ascii="Arial" w:hAnsi="Arial"/>
                <w:b/>
                <w:color w:val="000000"/>
                <w:sz w:val="24"/>
                <w:szCs w:val="24"/>
              </w:rPr>
              <w:t>395,169.32</w:t>
            </w:r>
            <w:bookmarkEnd w:id="2"/>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b/>
              </w:rPr>
              <w:t>所有者权益：</w:t>
            </w:r>
          </w:p>
        </w:tc>
        <w:tc>
          <w:tcPr>
            <w:tcW w:w="2278" w:type="dxa"/>
            <w:vAlign w:val="bottom"/>
          </w:tcPr>
          <w:p w:rsidR="00B10A0B" w:rsidRDefault="00B10A0B">
            <w:pPr>
              <w:tabs>
                <w:tab w:val="decimal" w:pos="1621"/>
              </w:tabs>
              <w:ind w:rightChars="-32" w:right="-67"/>
              <w:rPr>
                <w:rFonts w:ascii="Arial" w:hAnsi="Arial"/>
                <w:color w:val="000000"/>
                <w:sz w:val="24"/>
                <w:szCs w:val="24"/>
              </w:rPr>
            </w:pPr>
          </w:p>
        </w:tc>
        <w:tc>
          <w:tcPr>
            <w:tcW w:w="2279" w:type="dxa"/>
            <w:vAlign w:val="bottom"/>
          </w:tcPr>
          <w:p w:rsidR="00B10A0B" w:rsidRDefault="00B10A0B">
            <w:pPr>
              <w:tabs>
                <w:tab w:val="decimal" w:pos="1674"/>
              </w:tabs>
              <w:ind w:right="-77"/>
              <w:rPr>
                <w:rFonts w:ascii="Arial" w:hAnsi="Arial"/>
                <w:color w:val="000000"/>
                <w:sz w:val="24"/>
                <w:szCs w:val="24"/>
              </w:rPr>
            </w:pP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hint="eastAsia"/>
              </w:rPr>
              <w:t>实收基金</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22,063,833.30</w:t>
            </w:r>
          </w:p>
        </w:tc>
        <w:tc>
          <w:tcPr>
            <w:tcW w:w="2279" w:type="dxa"/>
            <w:vAlign w:val="bottom"/>
          </w:tcPr>
          <w:p w:rsidR="00B10A0B" w:rsidRDefault="00412F67">
            <w:pPr>
              <w:tabs>
                <w:tab w:val="decimal" w:pos="1692"/>
              </w:tabs>
              <w:ind w:right="-77"/>
              <w:rPr>
                <w:rFonts w:ascii="Arial" w:hAnsi="Arial"/>
                <w:color w:val="000000"/>
                <w:sz w:val="24"/>
                <w:szCs w:val="24"/>
              </w:rPr>
            </w:pPr>
            <w:bookmarkStart w:id="3" w:name="FC43a"/>
            <w:r>
              <w:rPr>
                <w:rFonts w:ascii="Arial" w:hAnsi="Arial"/>
                <w:color w:val="000000"/>
                <w:sz w:val="24"/>
                <w:szCs w:val="24"/>
              </w:rPr>
              <w:t>64,114,560.36</w:t>
            </w:r>
            <w:bookmarkEnd w:id="3"/>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hint="eastAsia"/>
              </w:rPr>
              <w:t>未分配利润</w:t>
            </w:r>
          </w:p>
        </w:tc>
        <w:tc>
          <w:tcPr>
            <w:tcW w:w="2278" w:type="dxa"/>
            <w:vAlign w:val="bottom"/>
          </w:tcPr>
          <w:p w:rsidR="00B10A0B" w:rsidRDefault="00412F67">
            <w:pPr>
              <w:tabs>
                <w:tab w:val="decimal" w:pos="1641"/>
              </w:tabs>
              <w:ind w:rightChars="-32" w:right="-67"/>
              <w:rPr>
                <w:rFonts w:ascii="Arial" w:hAnsi="Arial"/>
                <w:color w:val="000000"/>
                <w:sz w:val="24"/>
                <w:szCs w:val="24"/>
              </w:rPr>
            </w:pPr>
            <w:r>
              <w:rPr>
                <w:rFonts w:ascii="Arial" w:hAnsi="Arial"/>
                <w:color w:val="000000"/>
                <w:sz w:val="24"/>
                <w:szCs w:val="24"/>
              </w:rPr>
              <w:t>-1,256,655.43</w:t>
            </w:r>
          </w:p>
        </w:tc>
        <w:tc>
          <w:tcPr>
            <w:tcW w:w="2279" w:type="dxa"/>
            <w:vAlign w:val="bottom"/>
          </w:tcPr>
          <w:p w:rsidR="00B10A0B" w:rsidRDefault="00412F67">
            <w:pPr>
              <w:tabs>
                <w:tab w:val="decimal" w:pos="1692"/>
              </w:tabs>
              <w:ind w:right="-77"/>
              <w:rPr>
                <w:rFonts w:ascii="Arial" w:hAnsi="Arial"/>
                <w:color w:val="000000"/>
                <w:sz w:val="24"/>
                <w:szCs w:val="24"/>
              </w:rPr>
            </w:pPr>
            <w:r>
              <w:rPr>
                <w:rFonts w:ascii="Arial" w:hAnsi="Arial"/>
                <w:color w:val="000000"/>
                <w:sz w:val="24"/>
                <w:szCs w:val="24"/>
              </w:rPr>
              <w:t>-9,067,153.59</w:t>
            </w:r>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r>
              <w:rPr>
                <w:rFonts w:ascii="Arial" w:hAnsi="Arial" w:cs="Arial" w:hint="eastAsia"/>
                <w:b/>
              </w:rPr>
              <w:t>所有者权益合计</w:t>
            </w:r>
          </w:p>
        </w:tc>
        <w:tc>
          <w:tcPr>
            <w:tcW w:w="2278" w:type="dxa"/>
            <w:vAlign w:val="bottom"/>
          </w:tcPr>
          <w:p w:rsidR="00B10A0B" w:rsidRDefault="00412F67">
            <w:pPr>
              <w:tabs>
                <w:tab w:val="decimal" w:pos="1641"/>
              </w:tabs>
              <w:ind w:rightChars="-32" w:right="-67"/>
              <w:rPr>
                <w:rFonts w:ascii="Arial" w:hAnsi="Arial"/>
                <w:b/>
                <w:color w:val="000000"/>
                <w:sz w:val="24"/>
                <w:szCs w:val="24"/>
              </w:rPr>
            </w:pPr>
            <w:r>
              <w:rPr>
                <w:rFonts w:ascii="Arial" w:hAnsi="Arial"/>
                <w:b/>
                <w:color w:val="000000"/>
                <w:sz w:val="24"/>
                <w:szCs w:val="24"/>
              </w:rPr>
              <w:t>20,807,177.87</w:t>
            </w:r>
          </w:p>
        </w:tc>
        <w:tc>
          <w:tcPr>
            <w:tcW w:w="2279" w:type="dxa"/>
            <w:vAlign w:val="bottom"/>
          </w:tcPr>
          <w:p w:rsidR="00B10A0B" w:rsidRDefault="00412F67">
            <w:pPr>
              <w:tabs>
                <w:tab w:val="decimal" w:pos="1692"/>
              </w:tabs>
              <w:ind w:right="-77"/>
              <w:rPr>
                <w:rFonts w:ascii="Arial" w:hAnsi="Arial"/>
                <w:b/>
                <w:color w:val="000000"/>
                <w:sz w:val="24"/>
                <w:szCs w:val="24"/>
              </w:rPr>
            </w:pPr>
            <w:bookmarkStart w:id="4" w:name="FC45a"/>
            <w:r>
              <w:rPr>
                <w:rFonts w:ascii="Arial" w:hAnsi="Arial"/>
                <w:b/>
                <w:color w:val="000000"/>
                <w:sz w:val="24"/>
                <w:szCs w:val="24"/>
              </w:rPr>
              <w:t>55,047,406.77</w:t>
            </w:r>
            <w:bookmarkEnd w:id="4"/>
          </w:p>
        </w:tc>
      </w:tr>
      <w:tr w:rsidR="00B10A0B">
        <w:trPr>
          <w:cantSplit/>
        </w:trPr>
        <w:tc>
          <w:tcPr>
            <w:tcW w:w="2970" w:type="dxa"/>
            <w:vAlign w:val="bottom"/>
          </w:tcPr>
          <w:p w:rsidR="00B10A0B" w:rsidRDefault="00412F67">
            <w:pPr>
              <w:pStyle w:val="a8"/>
              <w:spacing w:before="0" w:beforeAutospacing="0" w:after="0" w:afterAutospacing="0"/>
              <w:rPr>
                <w:rFonts w:ascii="Arial" w:hAnsi="Arial" w:cs="Arial"/>
                <w:b/>
              </w:rPr>
            </w:pPr>
            <w:bookmarkStart w:id="5" w:name="_Hlk517732884"/>
            <w:r>
              <w:rPr>
                <w:rFonts w:ascii="Arial" w:hAnsi="Arial" w:cs="Arial" w:hint="eastAsia"/>
                <w:b/>
              </w:rPr>
              <w:t>负债和所有者权益总计</w:t>
            </w:r>
          </w:p>
        </w:tc>
        <w:tc>
          <w:tcPr>
            <w:tcW w:w="2278" w:type="dxa"/>
            <w:vAlign w:val="bottom"/>
          </w:tcPr>
          <w:p w:rsidR="00B10A0B" w:rsidRDefault="00412F67">
            <w:pPr>
              <w:tabs>
                <w:tab w:val="decimal" w:pos="1621"/>
              </w:tabs>
              <w:ind w:rightChars="-32" w:right="-67"/>
              <w:rPr>
                <w:rFonts w:ascii="Arial" w:hAnsi="Arial"/>
                <w:b/>
                <w:color w:val="000000"/>
                <w:sz w:val="24"/>
                <w:szCs w:val="24"/>
              </w:rPr>
            </w:pPr>
            <w:r>
              <w:rPr>
                <w:rFonts w:ascii="Arial" w:hAnsi="Arial"/>
                <w:b/>
                <w:color w:val="000000"/>
                <w:sz w:val="24"/>
                <w:szCs w:val="24"/>
              </w:rPr>
              <w:t>27,777,823.22</w:t>
            </w:r>
          </w:p>
        </w:tc>
        <w:tc>
          <w:tcPr>
            <w:tcW w:w="2279" w:type="dxa"/>
            <w:vAlign w:val="bottom"/>
          </w:tcPr>
          <w:p w:rsidR="00B10A0B" w:rsidRDefault="00412F67">
            <w:pPr>
              <w:tabs>
                <w:tab w:val="decimal" w:pos="1692"/>
              </w:tabs>
              <w:ind w:right="-77"/>
              <w:rPr>
                <w:rFonts w:ascii="Arial" w:hAnsi="Arial"/>
                <w:b/>
                <w:color w:val="000000"/>
                <w:sz w:val="24"/>
                <w:szCs w:val="24"/>
              </w:rPr>
            </w:pPr>
            <w:r>
              <w:rPr>
                <w:rFonts w:ascii="Arial" w:hAnsi="Arial"/>
                <w:b/>
                <w:color w:val="000000"/>
                <w:sz w:val="24"/>
                <w:szCs w:val="24"/>
              </w:rPr>
              <w:t>55,442,576.09</w:t>
            </w:r>
          </w:p>
        </w:tc>
      </w:tr>
      <w:bookmarkEnd w:id="5"/>
    </w:tbl>
    <w:p w:rsidR="00B10A0B" w:rsidRDefault="00B10A0B">
      <w:pPr>
        <w:spacing w:line="360" w:lineRule="auto"/>
        <w:ind w:firstLineChars="200" w:firstLine="420"/>
        <w:rPr>
          <w:rFonts w:ascii="宋体" w:hAnsi="宋体" w:cs="Arial"/>
          <w:szCs w:val="21"/>
        </w:rPr>
      </w:pPr>
    </w:p>
    <w:p w:rsidR="00B10A0B" w:rsidRDefault="00412F67">
      <w:pPr>
        <w:spacing w:line="360" w:lineRule="auto"/>
        <w:ind w:firstLineChars="200" w:firstLine="420"/>
        <w:rPr>
          <w:rFonts w:ascii="宋体" w:hAnsi="宋体" w:cs="Arial"/>
          <w:szCs w:val="21"/>
        </w:rPr>
      </w:pPr>
      <w:r>
        <w:rPr>
          <w:rFonts w:ascii="宋体" w:hAnsi="宋体" w:cs="Arial"/>
          <w:szCs w:val="21"/>
        </w:rPr>
        <w:t>注：</w:t>
      </w:r>
      <w:r>
        <w:rPr>
          <w:rFonts w:ascii="宋体" w:hAnsi="宋体" w:cs="Arial" w:hint="eastAsia"/>
          <w:szCs w:val="21"/>
        </w:rPr>
        <w:t>1.报告截止日2019年5月24日，中银证券瑞丰定期开放灵活配置混合型证券投资基金基金份额总额22,063,833.30份，其中中银证券瑞丰定期开放灵活配置混合型证券投资基金A类基金的份额总额21,398,393.05份，基金份额净值0.9432元；中银证券瑞丰定期开放灵活配置混合型证券投资基金C类基金的份额总额665,440.25份，基金份额净值0.9368元。</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2. 本财务报表的实际编制期间为2019年1月1日至2019年5月24日(基金最后运作日)止期间。</w:t>
      </w:r>
    </w:p>
    <w:p w:rsidR="00B10A0B" w:rsidRDefault="00412F67">
      <w:pPr>
        <w:spacing w:before="240" w:line="360" w:lineRule="auto"/>
        <w:jc w:val="left"/>
        <w:rPr>
          <w:rFonts w:ascii="宋体" w:hAnsi="宋体" w:cs="Arial"/>
          <w:szCs w:val="21"/>
        </w:rPr>
      </w:pPr>
      <w:r>
        <w:rPr>
          <w:rFonts w:ascii="宋体" w:hAnsi="宋体" w:cs="Arial" w:hint="eastAsia"/>
          <w:szCs w:val="21"/>
        </w:rPr>
        <w:t>2、2019年1月1日至2019年5月24日（基金最后运作日）利润</w:t>
      </w:r>
      <w:r>
        <w:rPr>
          <w:rFonts w:ascii="宋体" w:hAnsi="宋体" w:cs="Arial"/>
          <w:szCs w:val="21"/>
        </w:rPr>
        <w:t>表（</w:t>
      </w:r>
      <w:r>
        <w:rPr>
          <w:rFonts w:ascii="宋体" w:hAnsi="宋体" w:cs="Arial" w:hint="eastAsia"/>
          <w:szCs w:val="21"/>
        </w:rPr>
        <w:t>已</w:t>
      </w:r>
      <w:r>
        <w:rPr>
          <w:rFonts w:ascii="宋体" w:hAnsi="宋体" w:cs="Arial"/>
          <w:szCs w:val="21"/>
        </w:rPr>
        <w:t>审计）</w:t>
      </w:r>
    </w:p>
    <w:p w:rsidR="00B10A0B" w:rsidRDefault="00412F67">
      <w:pPr>
        <w:spacing w:line="360" w:lineRule="auto"/>
        <w:jc w:val="left"/>
        <w:rPr>
          <w:rFonts w:ascii="宋体" w:hAnsi="宋体" w:cs="Arial"/>
          <w:szCs w:val="21"/>
        </w:rPr>
      </w:pPr>
      <w:r>
        <w:rPr>
          <w:rFonts w:ascii="宋体" w:hAnsi="宋体" w:cs="Arial"/>
          <w:szCs w:val="21"/>
        </w:rPr>
        <w:t>会计主体：</w:t>
      </w:r>
      <w:r>
        <w:rPr>
          <w:rFonts w:ascii="宋体" w:hAnsi="宋体" w:hint="eastAsia"/>
          <w:kern w:val="0"/>
        </w:rPr>
        <w:t>中银证券瑞丰定期开放灵活配置混合型证券投资基金</w:t>
      </w:r>
    </w:p>
    <w:p w:rsidR="00B10A0B" w:rsidRDefault="00412F67">
      <w:pPr>
        <w:spacing w:line="360" w:lineRule="auto"/>
        <w:jc w:val="left"/>
        <w:rPr>
          <w:rFonts w:ascii="宋体" w:hAnsi="宋体" w:cs="Arial"/>
          <w:szCs w:val="21"/>
        </w:rPr>
      </w:pPr>
      <w:r>
        <w:rPr>
          <w:rFonts w:ascii="宋体" w:hAnsi="宋体" w:cs="Arial"/>
          <w:szCs w:val="21"/>
        </w:rPr>
        <w:t>报告截止日：201</w:t>
      </w:r>
      <w:r>
        <w:rPr>
          <w:rFonts w:ascii="宋体" w:hAnsi="宋体" w:cs="Arial" w:hint="eastAsia"/>
          <w:szCs w:val="21"/>
        </w:rPr>
        <w:t>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24</w:t>
      </w:r>
      <w:r>
        <w:rPr>
          <w:rFonts w:ascii="宋体" w:hAnsi="宋体" w:cs="Arial"/>
          <w:szCs w:val="21"/>
        </w:rPr>
        <w:t>日</w:t>
      </w:r>
    </w:p>
    <w:p w:rsidR="00B10A0B" w:rsidRDefault="00412F67">
      <w:pPr>
        <w:spacing w:line="360" w:lineRule="auto"/>
        <w:jc w:val="left"/>
        <w:rPr>
          <w:rFonts w:ascii="宋体" w:hAnsi="宋体" w:cs="Arial"/>
          <w:szCs w:val="21"/>
        </w:rPr>
      </w:pPr>
      <w:r>
        <w:rPr>
          <w:rFonts w:ascii="宋体" w:hAnsi="宋体" w:cs="Arial"/>
          <w:szCs w:val="21"/>
        </w:rPr>
        <w:t>单位：人民币元</w:t>
      </w:r>
    </w:p>
    <w:tbl>
      <w:tblPr>
        <w:tblW w:w="75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4"/>
        <w:gridCol w:w="2281"/>
        <w:gridCol w:w="2282"/>
      </w:tblGrid>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jc w:val="center"/>
              <w:rPr>
                <w:rFonts w:ascii="Arial" w:hAnsi="Arial" w:cs="Arial"/>
                <w:b/>
              </w:rPr>
            </w:pPr>
            <w:r>
              <w:rPr>
                <w:rFonts w:ascii="Arial" w:hAnsi="Arial" w:cs="Arial"/>
                <w:b/>
              </w:rPr>
              <w:t>项</w:t>
            </w:r>
            <w:r>
              <w:rPr>
                <w:rFonts w:ascii="Arial" w:hAnsi="Arial" w:cs="Arial"/>
                <w:b/>
              </w:rPr>
              <w:t xml:space="preserve"> </w:t>
            </w:r>
            <w:r>
              <w:rPr>
                <w:rFonts w:ascii="Arial" w:hAnsi="Arial" w:cs="Arial"/>
                <w:b/>
              </w:rPr>
              <w:t>目</w:t>
            </w:r>
          </w:p>
        </w:tc>
        <w:tc>
          <w:tcPr>
            <w:tcW w:w="2281" w:type="dxa"/>
            <w:tcBorders>
              <w:top w:val="single" w:sz="4" w:space="0" w:color="auto"/>
              <w:left w:val="single" w:sz="4" w:space="0" w:color="auto"/>
              <w:bottom w:val="single" w:sz="4" w:space="0" w:color="auto"/>
              <w:right w:val="single" w:sz="4" w:space="0" w:color="auto"/>
            </w:tcBorders>
            <w:vAlign w:val="center"/>
          </w:tcPr>
          <w:p w:rsidR="00B10A0B" w:rsidRDefault="00412F67">
            <w:pPr>
              <w:pStyle w:val="a8"/>
              <w:spacing w:before="0" w:beforeAutospacing="0" w:after="0" w:afterAutospacing="0"/>
              <w:jc w:val="center"/>
              <w:rPr>
                <w:rFonts w:ascii="Arial" w:hAnsi="Arial" w:cs="Arial"/>
                <w:b/>
              </w:rPr>
            </w:pPr>
            <w:r>
              <w:rPr>
                <w:rFonts w:ascii="Arial" w:hAnsi="Arial" w:cs="Arial" w:hint="eastAsia"/>
                <w:b/>
              </w:rPr>
              <w:t>本期</w:t>
            </w:r>
          </w:p>
          <w:p w:rsidR="00B10A0B" w:rsidRDefault="00412F67">
            <w:pPr>
              <w:pStyle w:val="a8"/>
              <w:spacing w:before="0" w:beforeAutospacing="0" w:after="0" w:afterAutospacing="0"/>
              <w:ind w:left="-64" w:right="-91" w:hanging="10"/>
              <w:jc w:val="center"/>
              <w:rPr>
                <w:rFonts w:ascii="Arial" w:hAnsi="Arial" w:cs="Arial"/>
                <w:b/>
              </w:rPr>
            </w:pPr>
            <w:r>
              <w:rPr>
                <w:rFonts w:ascii="Arial" w:hAnsi="Arial" w:cs="Arial" w:hint="eastAsia"/>
                <w:b/>
              </w:rPr>
              <w:t>2019</w:t>
            </w:r>
            <w:r>
              <w:rPr>
                <w:rFonts w:ascii="Arial" w:hAnsi="Arial" w:cs="Arial" w:hint="eastAsia"/>
                <w:b/>
              </w:rPr>
              <w:t>年</w:t>
            </w:r>
            <w:r>
              <w:rPr>
                <w:rFonts w:ascii="Arial" w:hAnsi="Arial" w:cs="Arial" w:hint="eastAsia"/>
                <w:b/>
              </w:rPr>
              <w:t>1</w:t>
            </w:r>
            <w:r>
              <w:rPr>
                <w:rFonts w:ascii="Arial" w:hAnsi="Arial" w:cs="Arial" w:hint="eastAsia"/>
                <w:b/>
              </w:rPr>
              <w:t>月</w:t>
            </w:r>
            <w:r>
              <w:rPr>
                <w:rFonts w:ascii="Arial" w:hAnsi="Arial" w:cs="Arial" w:hint="eastAsia"/>
                <w:b/>
              </w:rPr>
              <w:t>1</w:t>
            </w:r>
            <w:r>
              <w:rPr>
                <w:rFonts w:ascii="Arial" w:hAnsi="Arial" w:cs="Arial" w:hint="eastAsia"/>
                <w:b/>
              </w:rPr>
              <w:t>日至</w:t>
            </w:r>
            <w:r>
              <w:rPr>
                <w:rFonts w:ascii="Arial" w:hAnsi="Arial" w:cs="Arial" w:hint="eastAsia"/>
                <w:b/>
              </w:rPr>
              <w:t>2019</w:t>
            </w:r>
            <w:r>
              <w:rPr>
                <w:rFonts w:ascii="Arial" w:hAnsi="Arial" w:cs="Arial" w:hint="eastAsia"/>
                <w:b/>
              </w:rPr>
              <w:t>年</w:t>
            </w:r>
            <w:r>
              <w:rPr>
                <w:rFonts w:ascii="Arial" w:hAnsi="Arial" w:cs="Arial" w:hint="eastAsia"/>
                <w:b/>
              </w:rPr>
              <w:t>5</w:t>
            </w:r>
            <w:r>
              <w:rPr>
                <w:rFonts w:ascii="Arial" w:hAnsi="Arial" w:cs="Arial" w:hint="eastAsia"/>
                <w:b/>
              </w:rPr>
              <w:t>月</w:t>
            </w:r>
            <w:r>
              <w:rPr>
                <w:rFonts w:ascii="Arial" w:hAnsi="Arial" w:cs="Arial" w:hint="eastAsia"/>
                <w:b/>
              </w:rPr>
              <w:t>24</w:t>
            </w:r>
            <w:r>
              <w:rPr>
                <w:rFonts w:ascii="Arial" w:hAnsi="Arial" w:cs="Arial" w:hint="eastAsia"/>
                <w:b/>
              </w:rPr>
              <w:t>日</w:t>
            </w:r>
          </w:p>
          <w:p w:rsidR="00B10A0B" w:rsidRDefault="00412F67">
            <w:pPr>
              <w:pStyle w:val="a8"/>
              <w:spacing w:before="0" w:beforeAutospacing="0" w:after="0" w:afterAutospacing="0"/>
              <w:jc w:val="center"/>
              <w:rPr>
                <w:rFonts w:ascii="Arial" w:hAnsi="Arial" w:cs="Arial"/>
                <w:b/>
              </w:rPr>
            </w:pPr>
            <w:r>
              <w:rPr>
                <w:rFonts w:ascii="Arial" w:hAnsi="Arial" w:cs="Arial" w:hint="eastAsia"/>
                <w:b/>
              </w:rPr>
              <w:t>(</w:t>
            </w:r>
            <w:r>
              <w:rPr>
                <w:rFonts w:ascii="Arial" w:hAnsi="Arial" w:cs="Arial" w:hint="eastAsia"/>
                <w:b/>
              </w:rPr>
              <w:t>基金最后运作日</w:t>
            </w:r>
            <w:r>
              <w:rPr>
                <w:rFonts w:ascii="Arial" w:hAnsi="Arial" w:cs="Arial" w:hint="eastAsia"/>
                <w:b/>
              </w:rPr>
              <w:t>)</w:t>
            </w:r>
          </w:p>
        </w:tc>
        <w:tc>
          <w:tcPr>
            <w:tcW w:w="2282" w:type="dxa"/>
            <w:tcBorders>
              <w:top w:val="single" w:sz="4" w:space="0" w:color="auto"/>
              <w:left w:val="single" w:sz="4" w:space="0" w:color="auto"/>
              <w:bottom w:val="single" w:sz="4" w:space="0" w:color="auto"/>
              <w:right w:val="single" w:sz="4" w:space="0" w:color="auto"/>
            </w:tcBorders>
            <w:vAlign w:val="center"/>
          </w:tcPr>
          <w:p w:rsidR="00B10A0B" w:rsidRDefault="00412F67">
            <w:pPr>
              <w:pStyle w:val="a8"/>
              <w:spacing w:before="0" w:beforeAutospacing="0" w:after="0" w:afterAutospacing="0"/>
              <w:jc w:val="center"/>
              <w:rPr>
                <w:rFonts w:ascii="Arial" w:hAnsi="Arial" w:cs="Arial"/>
                <w:b/>
              </w:rPr>
            </w:pPr>
            <w:r>
              <w:rPr>
                <w:rFonts w:ascii="Arial" w:hAnsi="Arial" w:cs="Arial" w:hint="eastAsia"/>
                <w:b/>
              </w:rPr>
              <w:t>上年度可比期间</w:t>
            </w:r>
          </w:p>
          <w:p w:rsidR="00B10A0B" w:rsidRDefault="00412F67">
            <w:pPr>
              <w:pStyle w:val="a8"/>
              <w:spacing w:before="0" w:beforeAutospacing="0" w:after="0" w:afterAutospacing="0"/>
              <w:ind w:right="-75"/>
              <w:jc w:val="center"/>
              <w:rPr>
                <w:rFonts w:ascii="Arial" w:hAnsi="Arial" w:cs="Arial"/>
                <w:b/>
                <w:highlight w:val="yellow"/>
              </w:rPr>
            </w:pPr>
            <w:r>
              <w:rPr>
                <w:rFonts w:ascii="Arial" w:hAnsi="Arial" w:cs="Arial"/>
                <w:b/>
              </w:rPr>
              <w:t>2018</w:t>
            </w:r>
            <w:r>
              <w:rPr>
                <w:rFonts w:ascii="Arial" w:hAnsi="Arial" w:cs="Arial"/>
                <w:b/>
              </w:rPr>
              <w:t>年</w:t>
            </w:r>
            <w:r>
              <w:rPr>
                <w:rFonts w:ascii="Arial" w:hAnsi="Arial" w:cs="Arial"/>
                <w:b/>
              </w:rPr>
              <w:t>1</w:t>
            </w:r>
            <w:r>
              <w:rPr>
                <w:rFonts w:ascii="Arial" w:hAnsi="Arial" w:cs="Arial"/>
                <w:b/>
              </w:rPr>
              <w:t>月</w:t>
            </w:r>
            <w:r>
              <w:rPr>
                <w:rFonts w:ascii="Arial" w:hAnsi="Arial" w:cs="Arial"/>
                <w:b/>
              </w:rPr>
              <w:t>1</w:t>
            </w:r>
            <w:r>
              <w:rPr>
                <w:rFonts w:ascii="Arial" w:hAnsi="Arial" w:cs="Arial"/>
                <w:b/>
              </w:rPr>
              <w:t>日</w:t>
            </w:r>
            <w:r>
              <w:rPr>
                <w:rFonts w:ascii="Arial" w:hAnsi="Arial" w:cs="Arial" w:hint="eastAsia"/>
                <w:b/>
              </w:rPr>
              <w:t>至</w:t>
            </w:r>
            <w:r>
              <w:rPr>
                <w:rFonts w:ascii="Arial" w:hAnsi="Arial" w:cs="Arial" w:hint="eastAsia"/>
                <w:b/>
              </w:rPr>
              <w:t>2018</w:t>
            </w:r>
            <w:r>
              <w:rPr>
                <w:rFonts w:ascii="Arial" w:hAnsi="Arial" w:cs="Arial" w:hint="eastAsia"/>
                <w:b/>
              </w:rPr>
              <w:t>年</w:t>
            </w:r>
            <w:r>
              <w:rPr>
                <w:rFonts w:ascii="Arial" w:hAnsi="Arial" w:cs="Arial" w:hint="eastAsia"/>
                <w:b/>
              </w:rPr>
              <w:t>12</w:t>
            </w:r>
            <w:r>
              <w:rPr>
                <w:rFonts w:ascii="Arial" w:hAnsi="Arial" w:cs="Arial" w:hint="eastAsia"/>
                <w:b/>
              </w:rPr>
              <w:t>月</w:t>
            </w:r>
            <w:r>
              <w:rPr>
                <w:rFonts w:ascii="Arial" w:hAnsi="Arial" w:cs="Arial" w:hint="eastAsia"/>
                <w:b/>
              </w:rPr>
              <w:t>31</w:t>
            </w:r>
            <w:r>
              <w:rPr>
                <w:rFonts w:ascii="Arial" w:hAnsi="Arial" w:cs="Arial" w:hint="eastAsia"/>
                <w:b/>
              </w:rPr>
              <w:t>日</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b/>
              </w:rPr>
            </w:pPr>
            <w:r>
              <w:rPr>
                <w:rFonts w:ascii="Arial" w:hAnsi="Arial" w:cs="Arial"/>
                <w:b/>
              </w:rPr>
              <w:t>一、收入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b/>
                <w:color w:val="000000"/>
                <w:sz w:val="24"/>
                <w:szCs w:val="24"/>
              </w:rPr>
            </w:pPr>
            <w:r>
              <w:rPr>
                <w:rFonts w:ascii="Arial" w:hAnsi="Arial"/>
                <w:b/>
                <w:color w:val="000000"/>
                <w:sz w:val="24"/>
                <w:szCs w:val="24"/>
              </w:rPr>
              <w:t>10,295,045.66</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leftChars="-23" w:left="-2" w:rightChars="21" w:right="44" w:hangingChars="19" w:hanging="46"/>
              <w:rPr>
                <w:rFonts w:ascii="Arial" w:hAnsi="Arial"/>
                <w:b/>
                <w:color w:val="000000"/>
                <w:sz w:val="24"/>
                <w:szCs w:val="24"/>
                <w:highlight w:val="yellow"/>
              </w:rPr>
            </w:pPr>
            <w:r>
              <w:rPr>
                <w:rFonts w:ascii="Arial" w:hAnsi="Arial"/>
                <w:b/>
                <w:color w:val="000000"/>
                <w:sz w:val="24"/>
                <w:szCs w:val="24"/>
              </w:rPr>
              <w:t>-511,794.11</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1.</w:t>
            </w:r>
            <w:r>
              <w:rPr>
                <w:rFonts w:ascii="Arial" w:hAnsi="Arial" w:cs="Arial"/>
              </w:rPr>
              <w:t>利息收入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91,297.26</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highlight w:val="yellow"/>
              </w:rPr>
            </w:pPr>
            <w:r>
              <w:rPr>
                <w:rFonts w:ascii="Arial" w:hAnsi="Arial"/>
                <w:color w:val="000000"/>
                <w:sz w:val="24"/>
                <w:szCs w:val="24"/>
              </w:rPr>
              <w:t>2,954,390.71</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rPr>
              <w:t>其中：存款利息收入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16,321.89</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65,242.20</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ind w:firstLineChars="300" w:firstLine="720"/>
              <w:rPr>
                <w:rFonts w:ascii="Arial" w:hAnsi="Arial" w:cs="Arial"/>
              </w:rPr>
            </w:pPr>
            <w:r>
              <w:rPr>
                <w:rFonts w:ascii="Arial" w:hAnsi="Arial" w:cs="Arial" w:hint="eastAsia"/>
              </w:rPr>
              <w:t>债券</w:t>
            </w:r>
            <w:r>
              <w:rPr>
                <w:rFonts w:ascii="Arial" w:hAnsi="Arial" w:cs="Arial"/>
              </w:rPr>
              <w:t>利息收入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292.05</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2,271,189.35</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ind w:left="731"/>
              <w:rPr>
                <w:rFonts w:ascii="Arial" w:hAnsi="Arial" w:cs="Arial"/>
              </w:rPr>
            </w:pPr>
            <w:r>
              <w:rPr>
                <w:rFonts w:ascii="Arial" w:hAnsi="Arial" w:cs="Arial" w:hint="eastAsia"/>
              </w:rPr>
              <w:t>买入返售金融资产收入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74,683.32</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617,959.16</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2.</w:t>
            </w:r>
            <w:r>
              <w:rPr>
                <w:rFonts w:ascii="Arial" w:hAnsi="Arial" w:cs="Arial"/>
              </w:rPr>
              <w:t>投资收益</w:t>
            </w:r>
            <w:r>
              <w:rPr>
                <w:rFonts w:ascii="Arial" w:hAnsi="Arial" w:cs="Arial"/>
              </w:rPr>
              <w:t>(</w:t>
            </w:r>
            <w:r>
              <w:rPr>
                <w:rFonts w:ascii="Arial" w:hAnsi="Arial" w:cs="Arial"/>
              </w:rPr>
              <w:t>损失以</w:t>
            </w:r>
            <w:r>
              <w:rPr>
                <w:rFonts w:ascii="Arial" w:hAnsi="Arial" w:cs="Arial"/>
              </w:rPr>
              <w:t>“-”</w:t>
            </w:r>
            <w:r>
              <w:rPr>
                <w:rFonts w:ascii="Arial" w:hAnsi="Arial" w:cs="Arial"/>
              </w:rPr>
              <w:t>填列</w:t>
            </w:r>
            <w:r>
              <w:rPr>
                <w:rFonts w:ascii="Arial" w:hAnsi="Arial" w:cs="Arial"/>
              </w:rPr>
              <w:t>)</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4,037,949.92</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3,128,757.45</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其中</w:t>
            </w:r>
            <w:r>
              <w:rPr>
                <w:rFonts w:ascii="Arial" w:hAnsi="Arial" w:cs="Arial"/>
              </w:rPr>
              <w:t>：</w:t>
            </w:r>
            <w:r>
              <w:rPr>
                <w:rFonts w:ascii="Arial" w:hAnsi="Arial" w:cs="Arial" w:hint="eastAsia"/>
              </w:rPr>
              <w:t>股票</w:t>
            </w:r>
            <w:r>
              <w:rPr>
                <w:rFonts w:ascii="Arial" w:hAnsi="Arial" w:cs="Arial"/>
              </w:rPr>
              <w:t>投资收益</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3,999,147.11</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2,500,604.30</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ind w:firstLine="747"/>
              <w:rPr>
                <w:rFonts w:ascii="Arial" w:hAnsi="Arial" w:cs="Arial"/>
              </w:rPr>
            </w:pPr>
            <w:r>
              <w:rPr>
                <w:rFonts w:ascii="Arial" w:hAnsi="Arial" w:cs="Arial" w:hint="eastAsia"/>
              </w:rPr>
              <w:t>债券</w:t>
            </w:r>
            <w:r>
              <w:rPr>
                <w:rFonts w:ascii="Arial" w:hAnsi="Arial" w:cs="Arial"/>
              </w:rPr>
              <w:t>投资收益</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-89,881.04</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ind w:firstLine="747"/>
              <w:rPr>
                <w:rFonts w:ascii="Arial" w:hAnsi="Arial" w:cs="Arial"/>
              </w:rPr>
            </w:pPr>
            <w:r>
              <w:rPr>
                <w:rFonts w:ascii="Arial" w:hAnsi="Arial" w:cs="Arial" w:hint="eastAsia"/>
              </w:rPr>
              <w:t>股利</w:t>
            </w:r>
            <w:r>
              <w:rPr>
                <w:rFonts w:ascii="Arial" w:hAnsi="Arial" w:cs="Arial"/>
              </w:rPr>
              <w:t>收益</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38,802.81</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718,034.19</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3.</w:t>
            </w:r>
            <w:r>
              <w:rPr>
                <w:rFonts w:ascii="Arial" w:hAnsi="Arial" w:cs="Arial"/>
              </w:rPr>
              <w:t>公允价值变动收益</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bookmarkStart w:id="6" w:name="OLE_LINK4"/>
            <w:r>
              <w:rPr>
                <w:rFonts w:ascii="Arial" w:hAnsi="Arial"/>
                <w:color w:val="000000"/>
                <w:sz w:val="24"/>
                <w:szCs w:val="24"/>
              </w:rPr>
              <w:t>6,146,878.42</w:t>
            </w:r>
            <w:bookmarkEnd w:id="6"/>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-6,602,544.92</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4.</w:t>
            </w:r>
            <w:r>
              <w:rPr>
                <w:rFonts w:ascii="Arial" w:hAnsi="Arial" w:cs="Arial" w:hint="eastAsia"/>
              </w:rPr>
              <w:t>其他收入</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18,920.06</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7,602.65</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b/>
              </w:rPr>
            </w:pPr>
            <w:r>
              <w:rPr>
                <w:rFonts w:ascii="Arial" w:hAnsi="Arial" w:cs="Arial"/>
                <w:b/>
              </w:rPr>
              <w:t>减：二、费用</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b/>
                <w:color w:val="000000"/>
                <w:sz w:val="24"/>
                <w:szCs w:val="24"/>
              </w:rPr>
            </w:pPr>
            <w:r>
              <w:rPr>
                <w:rFonts w:ascii="Arial" w:hAnsi="Arial"/>
                <w:b/>
                <w:color w:val="000000"/>
                <w:sz w:val="24"/>
                <w:szCs w:val="24"/>
              </w:rPr>
              <w:t>300,443.12</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leftChars="-23" w:left="-2" w:rightChars="21" w:right="44" w:hangingChars="19" w:hanging="46"/>
              <w:rPr>
                <w:rFonts w:ascii="Arial" w:hAnsi="Arial"/>
                <w:b/>
                <w:color w:val="000000"/>
                <w:sz w:val="24"/>
                <w:szCs w:val="24"/>
              </w:rPr>
            </w:pPr>
            <w:r>
              <w:rPr>
                <w:rFonts w:ascii="Arial" w:hAnsi="Arial"/>
                <w:b/>
                <w:color w:val="000000"/>
                <w:sz w:val="24"/>
                <w:szCs w:val="24"/>
              </w:rPr>
              <w:t>1,677,621.27</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1.</w:t>
            </w:r>
            <w:r>
              <w:rPr>
                <w:rFonts w:ascii="Arial" w:hAnsi="Arial" w:cs="Arial"/>
              </w:rPr>
              <w:t>管理人报酬</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137,702.75</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536,729.07</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2.</w:t>
            </w:r>
            <w:r>
              <w:rPr>
                <w:rFonts w:ascii="Arial" w:hAnsi="Arial" w:cs="Arial"/>
              </w:rPr>
              <w:t>托管费</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22,950.40</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89,454.87</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3.</w:t>
            </w:r>
            <w:r>
              <w:rPr>
                <w:rFonts w:ascii="Arial" w:hAnsi="Arial" w:cs="Arial" w:hint="eastAsia"/>
              </w:rPr>
              <w:t>销售服务费</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9,691.30</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11,907.43</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4.</w:t>
            </w:r>
            <w:r>
              <w:rPr>
                <w:rFonts w:ascii="Arial" w:hAnsi="Arial" w:cs="Arial" w:hint="eastAsia"/>
              </w:rPr>
              <w:t>交易费用</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148,232.20</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234,892.68</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5.</w:t>
            </w:r>
            <w:r>
              <w:rPr>
                <w:rFonts w:ascii="Arial" w:hAnsi="Arial" w:cs="Arial" w:hint="eastAsia"/>
              </w:rPr>
              <w:t>利息支出</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410,830.80</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其中：卖出回购金融资产支出</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410,830.80</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6.</w:t>
            </w:r>
            <w:r>
              <w:rPr>
                <w:rFonts w:ascii="Arial" w:hAnsi="Arial" w:cs="Arial" w:hint="eastAsia"/>
              </w:rPr>
              <w:t>税金及附加</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3,459.28</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hint="eastAsia"/>
              </w:rPr>
              <w:t>7.</w:t>
            </w:r>
            <w:r>
              <w:rPr>
                <w:rFonts w:ascii="Arial" w:hAnsi="Arial" w:cs="Arial"/>
              </w:rPr>
              <w:t>其他费用</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-18,133.53</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r>
              <w:rPr>
                <w:rFonts w:ascii="Arial" w:hAnsi="Arial"/>
                <w:color w:val="000000"/>
                <w:sz w:val="24"/>
                <w:szCs w:val="24"/>
              </w:rPr>
              <w:t>390,347.14</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b/>
              </w:rPr>
            </w:pPr>
            <w:r>
              <w:rPr>
                <w:rFonts w:ascii="Arial" w:hAnsi="Arial" w:cs="Arial"/>
                <w:b/>
              </w:rPr>
              <w:t>三、利润总额</w:t>
            </w:r>
            <w:r>
              <w:rPr>
                <w:rFonts w:ascii="Arial" w:hAnsi="Arial" w:cs="Arial"/>
                <w:b/>
              </w:rPr>
              <w:t>(</w:t>
            </w:r>
            <w:r>
              <w:rPr>
                <w:rFonts w:ascii="Arial" w:hAnsi="Arial" w:cs="Arial"/>
                <w:b/>
              </w:rPr>
              <w:t>亏损总额以</w:t>
            </w:r>
            <w:r>
              <w:rPr>
                <w:rFonts w:ascii="Arial" w:hAnsi="Arial" w:cs="Arial"/>
                <w:b/>
              </w:rPr>
              <w:t>“-”</w:t>
            </w:r>
            <w:r>
              <w:rPr>
                <w:rFonts w:ascii="Arial" w:hAnsi="Arial" w:cs="Arial"/>
                <w:b/>
              </w:rPr>
              <w:t>号填列</w:t>
            </w:r>
            <w:r>
              <w:rPr>
                <w:rFonts w:ascii="Arial" w:hAnsi="Arial" w:cs="Arial"/>
                <w:b/>
              </w:rPr>
              <w:t>)</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b/>
                <w:color w:val="000000"/>
                <w:sz w:val="24"/>
                <w:szCs w:val="24"/>
              </w:rPr>
            </w:pPr>
            <w:r>
              <w:rPr>
                <w:rFonts w:ascii="Arial" w:hAnsi="Arial"/>
                <w:b/>
                <w:color w:val="000000"/>
                <w:sz w:val="24"/>
                <w:szCs w:val="24"/>
              </w:rPr>
              <w:t>9,994,602.54</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8"/>
              </w:tabs>
              <w:ind w:leftChars="-23" w:left="-2" w:rightChars="21" w:right="44" w:hangingChars="19" w:hanging="46"/>
              <w:rPr>
                <w:rFonts w:ascii="Arial" w:hAnsi="Arial"/>
                <w:b/>
                <w:color w:val="000000"/>
                <w:sz w:val="24"/>
                <w:szCs w:val="24"/>
              </w:rPr>
            </w:pPr>
            <w:r>
              <w:rPr>
                <w:rFonts w:ascii="Arial" w:hAnsi="Arial"/>
                <w:b/>
                <w:color w:val="000000"/>
                <w:sz w:val="24"/>
                <w:szCs w:val="24"/>
              </w:rPr>
              <w:t>-2,189,415.38</w:t>
            </w:r>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rPr>
            </w:pPr>
            <w:r>
              <w:rPr>
                <w:rFonts w:ascii="Arial" w:hAnsi="Arial" w:cs="Arial"/>
              </w:rPr>
              <w:t>减：所得税费用</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color w:val="000000"/>
                <w:sz w:val="24"/>
                <w:szCs w:val="24"/>
              </w:rPr>
            </w:pPr>
            <w:r>
              <w:rPr>
                <w:rFonts w:ascii="Arial" w:hAnsi="Arial"/>
                <w:color w:val="000000"/>
                <w:sz w:val="24"/>
                <w:szCs w:val="24"/>
              </w:rPr>
              <w:t>-</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rsidP="009272B9">
            <w:pPr>
              <w:tabs>
                <w:tab w:val="decimal" w:pos="1718"/>
              </w:tabs>
              <w:ind w:leftChars="-23" w:left="-2" w:rightChars="21" w:right="44" w:hangingChars="19" w:hanging="46"/>
              <w:rPr>
                <w:rFonts w:ascii="Arial" w:hAnsi="Arial"/>
                <w:color w:val="000000"/>
                <w:sz w:val="24"/>
                <w:szCs w:val="24"/>
              </w:rPr>
            </w:pPr>
            <w:bookmarkStart w:id="7" w:name="FC80a"/>
            <w:r>
              <w:rPr>
                <w:rFonts w:ascii="Arial" w:hAnsi="Arial"/>
                <w:color w:val="000000"/>
                <w:sz w:val="24"/>
                <w:szCs w:val="24"/>
              </w:rPr>
              <w:t>-</w:t>
            </w:r>
            <w:bookmarkEnd w:id="7"/>
          </w:p>
        </w:tc>
      </w:tr>
      <w:tr w:rsidR="00B10A0B">
        <w:trPr>
          <w:cantSplit/>
        </w:trPr>
        <w:tc>
          <w:tcPr>
            <w:tcW w:w="2954" w:type="dxa"/>
            <w:tcBorders>
              <w:top w:val="single" w:sz="4" w:space="0" w:color="auto"/>
              <w:left w:val="single" w:sz="4" w:space="0" w:color="auto"/>
              <w:bottom w:val="single" w:sz="4" w:space="0" w:color="auto"/>
              <w:right w:val="single" w:sz="4" w:space="0" w:color="auto"/>
            </w:tcBorders>
            <w:vAlign w:val="bottom"/>
          </w:tcPr>
          <w:p w:rsidR="00B10A0B" w:rsidRDefault="00412F67">
            <w:pPr>
              <w:pStyle w:val="a8"/>
              <w:spacing w:before="0" w:beforeAutospacing="0" w:after="0" w:afterAutospacing="0"/>
              <w:rPr>
                <w:rFonts w:ascii="Arial" w:hAnsi="Arial" w:cs="Arial"/>
                <w:b/>
              </w:rPr>
            </w:pPr>
            <w:r>
              <w:rPr>
                <w:rFonts w:ascii="Arial" w:hAnsi="Arial" w:cs="Arial"/>
                <w:b/>
              </w:rPr>
              <w:t>四、净利润</w:t>
            </w:r>
            <w:r>
              <w:rPr>
                <w:rFonts w:ascii="Arial" w:hAnsi="Arial" w:cs="Arial"/>
                <w:b/>
              </w:rPr>
              <w:t>(</w:t>
            </w:r>
            <w:r>
              <w:rPr>
                <w:rFonts w:ascii="Arial" w:hAnsi="Arial" w:cs="Arial"/>
                <w:b/>
              </w:rPr>
              <w:t>净亏损以</w:t>
            </w:r>
            <w:r>
              <w:rPr>
                <w:rFonts w:ascii="Arial" w:hAnsi="Arial" w:cs="Arial"/>
                <w:b/>
              </w:rPr>
              <w:t>“-”</w:t>
            </w:r>
            <w:r>
              <w:rPr>
                <w:rFonts w:ascii="Arial" w:hAnsi="Arial" w:cs="Arial"/>
                <w:b/>
              </w:rPr>
              <w:t>号填列</w:t>
            </w:r>
            <w:r>
              <w:rPr>
                <w:rFonts w:ascii="Arial" w:hAnsi="Arial" w:cs="Arial"/>
                <w:b/>
              </w:rPr>
              <w:t>)</w:t>
            </w:r>
          </w:p>
        </w:tc>
        <w:tc>
          <w:tcPr>
            <w:tcW w:w="2281"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rightChars="21" w:right="44"/>
              <w:rPr>
                <w:rFonts w:ascii="Arial" w:hAnsi="Arial"/>
                <w:b/>
                <w:color w:val="000000"/>
                <w:sz w:val="24"/>
                <w:szCs w:val="24"/>
              </w:rPr>
            </w:pPr>
            <w:r>
              <w:rPr>
                <w:rFonts w:ascii="Arial" w:hAnsi="Arial"/>
                <w:b/>
                <w:color w:val="000000"/>
                <w:sz w:val="24"/>
                <w:szCs w:val="24"/>
              </w:rPr>
              <w:t>9,994,602.54</w:t>
            </w:r>
          </w:p>
        </w:tc>
        <w:tc>
          <w:tcPr>
            <w:tcW w:w="2282" w:type="dxa"/>
            <w:tcBorders>
              <w:top w:val="single" w:sz="4" w:space="0" w:color="auto"/>
              <w:left w:val="single" w:sz="4" w:space="0" w:color="auto"/>
              <w:bottom w:val="single" w:sz="4" w:space="0" w:color="auto"/>
              <w:right w:val="single" w:sz="4" w:space="0" w:color="auto"/>
            </w:tcBorders>
            <w:vAlign w:val="bottom"/>
          </w:tcPr>
          <w:p w:rsidR="00B10A0B" w:rsidRDefault="00412F67">
            <w:pPr>
              <w:tabs>
                <w:tab w:val="decimal" w:pos="1711"/>
              </w:tabs>
              <w:ind w:leftChars="-23" w:left="-2" w:rightChars="21" w:right="44" w:hangingChars="19" w:hanging="46"/>
              <w:rPr>
                <w:rFonts w:ascii="Arial" w:hAnsi="Arial"/>
                <w:b/>
                <w:color w:val="000000"/>
                <w:sz w:val="24"/>
                <w:szCs w:val="24"/>
              </w:rPr>
            </w:pPr>
            <w:r>
              <w:rPr>
                <w:rFonts w:ascii="Arial" w:hAnsi="Arial"/>
                <w:b/>
                <w:color w:val="000000"/>
                <w:sz w:val="24"/>
                <w:szCs w:val="24"/>
              </w:rPr>
              <w:t>-2,189,415.38</w:t>
            </w:r>
          </w:p>
        </w:tc>
      </w:tr>
    </w:tbl>
    <w:p w:rsidR="00B10A0B" w:rsidRDefault="00412F67">
      <w:pPr>
        <w:spacing w:line="360" w:lineRule="auto"/>
        <w:ind w:firstLineChars="200" w:firstLine="420"/>
        <w:rPr>
          <w:rFonts w:ascii="宋体" w:hAnsi="宋体" w:cs="Arial"/>
          <w:szCs w:val="21"/>
        </w:rPr>
      </w:pPr>
      <w:r>
        <w:rPr>
          <w:rFonts w:ascii="宋体" w:hAnsi="宋体" w:cs="Arial" w:hint="eastAsia"/>
          <w:szCs w:val="21"/>
        </w:rPr>
        <w:t>注：本财务报告已经普华永道中天会计师事务所（特殊普通合伙）审计，注册会计师张振波、叶尔甸签字出具了普华永道中天特审字（2019）第2615号标准无保留意见的审计报告。</w:t>
      </w:r>
    </w:p>
    <w:p w:rsidR="00B10A0B" w:rsidRDefault="00412F67">
      <w:pPr>
        <w:pStyle w:val="a8"/>
        <w:spacing w:line="360" w:lineRule="auto"/>
        <w:ind w:firstLineChars="200" w:firstLine="422"/>
        <w:jc w:val="center"/>
        <w:outlineLvl w:val="0"/>
        <w:rPr>
          <w:rFonts w:cs="Times New Roman"/>
          <w:b/>
          <w:kern w:val="2"/>
          <w:sz w:val="21"/>
          <w:szCs w:val="21"/>
        </w:rPr>
      </w:pPr>
      <w:r>
        <w:rPr>
          <w:rFonts w:cs="Times New Roman"/>
          <w:b/>
          <w:kern w:val="2"/>
          <w:sz w:val="21"/>
          <w:szCs w:val="21"/>
        </w:rPr>
        <w:t>五、清算情况</w:t>
      </w:r>
    </w:p>
    <w:p w:rsidR="00B10A0B" w:rsidRDefault="00412F67">
      <w:pPr>
        <w:spacing w:line="360" w:lineRule="auto"/>
        <w:ind w:firstLineChars="200" w:firstLine="420"/>
        <w:rPr>
          <w:rFonts w:ascii="宋体" w:hAnsi="宋体" w:cs="Arial"/>
          <w:szCs w:val="21"/>
        </w:rPr>
      </w:pPr>
      <w:r>
        <w:rPr>
          <w:rFonts w:ascii="宋体" w:hAnsi="宋体" w:cs="Arial"/>
          <w:szCs w:val="21"/>
        </w:rPr>
        <w:t>自201</w:t>
      </w:r>
      <w:r>
        <w:rPr>
          <w:rFonts w:ascii="宋体" w:hAnsi="宋体" w:cs="Arial" w:hint="eastAsia"/>
          <w:szCs w:val="21"/>
        </w:rPr>
        <w:t>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25</w:t>
      </w:r>
      <w:r>
        <w:rPr>
          <w:rFonts w:ascii="宋体" w:hAnsi="宋体" w:cs="Arial"/>
          <w:szCs w:val="21"/>
        </w:rPr>
        <w:t>日至201</w:t>
      </w:r>
      <w:r>
        <w:rPr>
          <w:rFonts w:ascii="宋体" w:hAnsi="宋体" w:cs="Arial" w:hint="eastAsia"/>
          <w:szCs w:val="21"/>
        </w:rPr>
        <w:t>9</w:t>
      </w:r>
      <w:r>
        <w:rPr>
          <w:rFonts w:ascii="宋体" w:hAnsi="宋体" w:cs="Arial"/>
          <w:szCs w:val="21"/>
        </w:rPr>
        <w:t>年</w:t>
      </w:r>
      <w:r>
        <w:rPr>
          <w:rFonts w:ascii="宋体" w:hAnsi="宋体" w:cs="Arial" w:hint="eastAsia"/>
          <w:szCs w:val="21"/>
        </w:rPr>
        <w:t>7</w:t>
      </w:r>
      <w:r>
        <w:rPr>
          <w:rFonts w:ascii="宋体" w:hAnsi="宋体" w:cs="Arial"/>
          <w:szCs w:val="21"/>
        </w:rPr>
        <w:t>月</w:t>
      </w:r>
      <w:r>
        <w:rPr>
          <w:rFonts w:ascii="宋体" w:hAnsi="宋体" w:cs="Arial" w:hint="eastAsia"/>
          <w:szCs w:val="21"/>
        </w:rPr>
        <w:t>10</w:t>
      </w:r>
      <w:r>
        <w:rPr>
          <w:rFonts w:ascii="宋体" w:hAnsi="宋体" w:cs="Arial"/>
          <w:szCs w:val="21"/>
        </w:rPr>
        <w:t>日止清算期间，基金财产清算小组对本基金的资产、负债进行清算，具体清算情况如下：</w:t>
      </w:r>
    </w:p>
    <w:p w:rsidR="00B10A0B" w:rsidRDefault="00412F67">
      <w:pPr>
        <w:spacing w:line="360" w:lineRule="auto"/>
        <w:ind w:firstLineChars="200" w:firstLine="420"/>
        <w:rPr>
          <w:rFonts w:ascii="宋体" w:hAnsi="宋体" w:cs="Arial"/>
          <w:szCs w:val="21"/>
        </w:rPr>
      </w:pPr>
      <w:r>
        <w:rPr>
          <w:rFonts w:ascii="宋体" w:hAnsi="宋体" w:cs="Arial"/>
          <w:szCs w:val="21"/>
        </w:rPr>
        <w:t>1、 清算</w:t>
      </w:r>
      <w:r>
        <w:rPr>
          <w:rFonts w:ascii="宋体" w:hAnsi="宋体"/>
          <w:szCs w:val="21"/>
        </w:rPr>
        <w:t>费用</w:t>
      </w:r>
    </w:p>
    <w:p w:rsidR="00B10A0B" w:rsidRDefault="00412F67">
      <w:pPr>
        <w:spacing w:line="360" w:lineRule="auto"/>
        <w:ind w:firstLineChars="200" w:firstLine="420"/>
        <w:rPr>
          <w:rFonts w:ascii="宋体" w:hAnsi="宋体" w:cs="Arial"/>
          <w:szCs w:val="21"/>
        </w:rPr>
      </w:pPr>
      <w:r>
        <w:rPr>
          <w:rFonts w:ascii="宋体" w:hAnsi="宋体" w:cs="Arial"/>
          <w:szCs w:val="21"/>
        </w:rPr>
        <w:t>按照《</w:t>
      </w:r>
      <w:r>
        <w:rPr>
          <w:rFonts w:ascii="宋体" w:hAnsi="宋体" w:hint="eastAsia"/>
          <w:szCs w:val="24"/>
        </w:rPr>
        <w:t>中银证券瑞丰定期开放灵活配置混合型证券投资基金</w:t>
      </w:r>
      <w:r>
        <w:rPr>
          <w:rFonts w:ascii="宋体" w:hAnsi="宋体" w:cs="Arial"/>
          <w:szCs w:val="21"/>
        </w:rPr>
        <w:t>基金合同》第</w:t>
      </w:r>
      <w:r>
        <w:rPr>
          <w:rFonts w:ascii="宋体" w:hAnsi="宋体" w:cs="Arial" w:hint="eastAsia"/>
          <w:szCs w:val="21"/>
        </w:rPr>
        <w:t>二十</w:t>
      </w:r>
      <w:r>
        <w:rPr>
          <w:rFonts w:ascii="宋体" w:hAnsi="宋体" w:cs="Arial"/>
          <w:szCs w:val="21"/>
        </w:rPr>
        <w:t>部分“基金合同的变更、终止与基金财产的清算”的</w:t>
      </w:r>
      <w:r>
        <w:rPr>
          <w:rFonts w:ascii="宋体" w:hAnsi="宋体"/>
          <w:szCs w:val="21"/>
        </w:rPr>
        <w:t>规定</w:t>
      </w:r>
      <w:r>
        <w:rPr>
          <w:rFonts w:ascii="宋体" w:hAnsi="宋体" w:cs="Arial"/>
          <w:szCs w:val="21"/>
        </w:rPr>
        <w:t>，清算费用是指基金财产清算小组在进行基金清算过程中发生的所有合理费用，清算费用由基金财产清算小组优先从基金财产中支付。</w:t>
      </w:r>
    </w:p>
    <w:p w:rsidR="00B10A0B" w:rsidRDefault="00412F67">
      <w:pPr>
        <w:spacing w:line="360" w:lineRule="auto"/>
        <w:ind w:firstLineChars="200" w:firstLine="420"/>
        <w:rPr>
          <w:rFonts w:ascii="宋体" w:hAnsi="宋体" w:cs="Arial"/>
          <w:szCs w:val="21"/>
        </w:rPr>
      </w:pPr>
      <w:r>
        <w:rPr>
          <w:rFonts w:ascii="宋体" w:hAnsi="宋体" w:cs="Arial"/>
          <w:szCs w:val="21"/>
        </w:rPr>
        <w:t>2、资产处置情况</w:t>
      </w:r>
    </w:p>
    <w:p w:rsidR="00B10A0B" w:rsidRDefault="00412F67">
      <w:pPr>
        <w:spacing w:line="360" w:lineRule="auto"/>
        <w:ind w:firstLineChars="200" w:firstLine="420"/>
        <w:rPr>
          <w:rFonts w:ascii="宋体" w:hAnsi="宋体" w:cs="Arial"/>
          <w:szCs w:val="21"/>
        </w:rPr>
      </w:pPr>
      <w:r>
        <w:rPr>
          <w:rFonts w:ascii="宋体" w:hAnsi="宋体" w:cs="Arial"/>
          <w:szCs w:val="21"/>
        </w:rPr>
        <w:t>（</w:t>
      </w:r>
      <w:r>
        <w:rPr>
          <w:rFonts w:ascii="宋体" w:hAnsi="宋体"/>
          <w:szCs w:val="21"/>
        </w:rPr>
        <w:t>1</w:t>
      </w:r>
      <w:r>
        <w:rPr>
          <w:rFonts w:ascii="宋体" w:hAnsi="宋体" w:cs="Arial"/>
          <w:szCs w:val="21"/>
        </w:rPr>
        <w:t>）</w:t>
      </w:r>
      <w:r>
        <w:rPr>
          <w:rFonts w:ascii="宋体" w:hAnsi="宋体" w:cs="Arial" w:hint="eastAsia"/>
          <w:szCs w:val="21"/>
        </w:rPr>
        <w:t>本基金最后运作日的银行存款余额为人民币</w:t>
      </w:r>
      <w:r>
        <w:rPr>
          <w:rFonts w:ascii="宋体" w:hAnsi="宋体" w:cs="Arial"/>
          <w:szCs w:val="21"/>
        </w:rPr>
        <w:t>3</w:t>
      </w:r>
      <w:r>
        <w:rPr>
          <w:rFonts w:ascii="宋体" w:hAnsi="宋体" w:cs="Arial" w:hint="eastAsia"/>
          <w:szCs w:val="21"/>
        </w:rPr>
        <w:t>,</w:t>
      </w:r>
      <w:r>
        <w:rPr>
          <w:rFonts w:ascii="宋体" w:hAnsi="宋体" w:cs="Arial"/>
          <w:szCs w:val="21"/>
        </w:rPr>
        <w:t>365</w:t>
      </w:r>
      <w:r>
        <w:rPr>
          <w:rFonts w:ascii="宋体" w:hAnsi="宋体" w:cs="Arial" w:hint="eastAsia"/>
          <w:szCs w:val="21"/>
        </w:rPr>
        <w:t>,</w:t>
      </w:r>
      <w:r>
        <w:rPr>
          <w:rFonts w:ascii="宋体" w:hAnsi="宋体" w:cs="Arial"/>
          <w:szCs w:val="21"/>
        </w:rPr>
        <w:t>836.36</w:t>
      </w:r>
      <w:r>
        <w:rPr>
          <w:rFonts w:ascii="宋体" w:hAnsi="宋体" w:cs="Arial" w:hint="eastAsia"/>
          <w:szCs w:val="21"/>
        </w:rPr>
        <w:t>元，该部分款项由基金托管人负责保管；</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（2）本基金最后运作日</w:t>
      </w:r>
      <w:r>
        <w:rPr>
          <w:rFonts w:ascii="宋体" w:hAnsi="宋体" w:hint="eastAsia"/>
          <w:color w:val="000000"/>
          <w:szCs w:val="21"/>
        </w:rPr>
        <w:t>存出备付金</w:t>
      </w:r>
      <w:r>
        <w:rPr>
          <w:rFonts w:ascii="宋体" w:hAnsi="宋体" w:cs="Arial" w:hint="eastAsia"/>
          <w:szCs w:val="21"/>
        </w:rPr>
        <w:t>人民币</w:t>
      </w:r>
      <w:r>
        <w:rPr>
          <w:rFonts w:ascii="宋体" w:hAnsi="宋体"/>
          <w:color w:val="000000"/>
          <w:szCs w:val="21"/>
        </w:rPr>
        <w:t>1</w:t>
      </w:r>
      <w:r>
        <w:rPr>
          <w:rFonts w:ascii="宋体" w:hAnsi="宋体" w:hint="eastAsia"/>
          <w:color w:val="000000"/>
          <w:szCs w:val="21"/>
        </w:rPr>
        <w:t>,</w:t>
      </w:r>
      <w:r>
        <w:rPr>
          <w:rFonts w:ascii="宋体" w:hAnsi="宋体"/>
          <w:color w:val="000000"/>
          <w:szCs w:val="21"/>
        </w:rPr>
        <w:t>158</w:t>
      </w:r>
      <w:r>
        <w:rPr>
          <w:rFonts w:ascii="宋体" w:hAnsi="宋体" w:hint="eastAsia"/>
          <w:color w:val="000000"/>
          <w:szCs w:val="21"/>
        </w:rPr>
        <w:t>,</w:t>
      </w:r>
      <w:r>
        <w:rPr>
          <w:rFonts w:ascii="宋体" w:hAnsi="宋体"/>
          <w:color w:val="000000"/>
          <w:szCs w:val="21"/>
        </w:rPr>
        <w:t>989.90</w:t>
      </w:r>
      <w:r>
        <w:rPr>
          <w:rFonts w:ascii="宋体" w:hAnsi="宋体" w:cs="Arial" w:hint="eastAsia"/>
          <w:szCs w:val="21"/>
        </w:rPr>
        <w:t>元，该款项由中国证券登记结算有限责任公司上海、深圳分公司收取并保管。实际划付清算款时，该款项由基金管理人</w:t>
      </w:r>
      <w:r>
        <w:rPr>
          <w:rFonts w:ascii="宋体" w:hAnsi="宋体" w:hint="eastAsia"/>
          <w:szCs w:val="24"/>
        </w:rPr>
        <w:t>中银国际证券股份有限公司</w:t>
      </w:r>
      <w:r>
        <w:rPr>
          <w:rFonts w:ascii="宋体" w:hAnsi="宋体" w:cs="Arial" w:hint="eastAsia"/>
          <w:szCs w:val="21"/>
        </w:rPr>
        <w:t>以自有资金先行垫付，该垫付款已于2019年7月9日收到，供清盘分配使用，</w:t>
      </w:r>
      <w:r>
        <w:rPr>
          <w:rFonts w:ascii="宋体" w:hAnsi="宋体" w:cs="宋体" w:hint="eastAsia"/>
          <w:bCs/>
          <w:color w:val="000000"/>
          <w:kern w:val="0"/>
          <w:szCs w:val="21"/>
        </w:rPr>
        <w:t>待回款后再</w:t>
      </w:r>
      <w:r>
        <w:rPr>
          <w:rFonts w:ascii="宋体" w:hAnsi="宋体" w:cs="Arial" w:hint="eastAsia"/>
          <w:szCs w:val="21"/>
        </w:rPr>
        <w:t>返还给基金管理人</w:t>
      </w:r>
      <w:r>
        <w:rPr>
          <w:rFonts w:ascii="宋体" w:hAnsi="宋体" w:cs="宋体" w:hint="eastAsia"/>
          <w:bCs/>
          <w:color w:val="000000"/>
          <w:kern w:val="0"/>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（3）本基金最后运作日</w:t>
      </w:r>
      <w:r>
        <w:rPr>
          <w:rFonts w:ascii="宋体" w:hAnsi="宋体" w:hint="eastAsia"/>
          <w:color w:val="000000"/>
          <w:szCs w:val="21"/>
        </w:rPr>
        <w:t>存出保证金</w:t>
      </w:r>
      <w:r>
        <w:rPr>
          <w:rFonts w:ascii="宋体" w:hAnsi="宋体" w:cs="Arial" w:hint="eastAsia"/>
          <w:szCs w:val="21"/>
        </w:rPr>
        <w:t>人民币</w:t>
      </w:r>
      <w:r>
        <w:rPr>
          <w:rFonts w:ascii="宋体" w:hAnsi="宋体"/>
          <w:color w:val="000000"/>
          <w:szCs w:val="21"/>
        </w:rPr>
        <w:t>29</w:t>
      </w:r>
      <w:r>
        <w:rPr>
          <w:rFonts w:ascii="宋体" w:hAnsi="宋体" w:hint="eastAsia"/>
          <w:color w:val="000000"/>
          <w:szCs w:val="21"/>
        </w:rPr>
        <w:t>,</w:t>
      </w:r>
      <w:r>
        <w:rPr>
          <w:rFonts w:ascii="宋体" w:hAnsi="宋体"/>
          <w:color w:val="000000"/>
          <w:szCs w:val="21"/>
        </w:rPr>
        <w:t>220.20</w:t>
      </w:r>
      <w:r>
        <w:rPr>
          <w:rFonts w:ascii="宋体" w:hAnsi="宋体" w:cs="Arial" w:hint="eastAsia"/>
          <w:szCs w:val="21"/>
        </w:rPr>
        <w:t>元，该款项由中国证券登记结算有限责任公司上海、深圳分公司收取并保管。实际划付清算款时，该款项由基金管理人</w:t>
      </w:r>
      <w:r>
        <w:rPr>
          <w:rFonts w:ascii="宋体" w:hAnsi="宋体" w:hint="eastAsia"/>
          <w:szCs w:val="24"/>
        </w:rPr>
        <w:t>中银国际证券股份有限公司</w:t>
      </w:r>
      <w:r>
        <w:rPr>
          <w:rFonts w:ascii="宋体" w:hAnsi="宋体" w:cs="Arial" w:hint="eastAsia"/>
          <w:szCs w:val="21"/>
        </w:rPr>
        <w:t>以自有资金先行垫付，该垫付款已于2019年7月9日收到，供清盘分配使用，</w:t>
      </w:r>
      <w:r>
        <w:rPr>
          <w:rFonts w:ascii="宋体" w:hAnsi="宋体" w:cs="宋体" w:hint="eastAsia"/>
          <w:bCs/>
          <w:color w:val="000000"/>
          <w:kern w:val="0"/>
          <w:szCs w:val="21"/>
        </w:rPr>
        <w:t>待回款后再</w:t>
      </w:r>
      <w:r>
        <w:rPr>
          <w:rFonts w:ascii="宋体" w:hAnsi="宋体" w:cs="Arial" w:hint="eastAsia"/>
          <w:szCs w:val="21"/>
        </w:rPr>
        <w:t>返还给基金管理人</w:t>
      </w:r>
      <w:r>
        <w:rPr>
          <w:rFonts w:ascii="宋体" w:hAnsi="宋体" w:cs="宋体" w:hint="eastAsia"/>
          <w:bCs/>
          <w:color w:val="000000"/>
          <w:kern w:val="0"/>
          <w:szCs w:val="21"/>
        </w:rPr>
        <w:t>。</w:t>
      </w:r>
    </w:p>
    <w:p w:rsidR="00B10A0B" w:rsidRDefault="00412F67">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4</w:t>
      </w:r>
      <w:r>
        <w:rPr>
          <w:rFonts w:ascii="宋体" w:hAnsi="宋体" w:cs="Arial"/>
          <w:szCs w:val="21"/>
        </w:rPr>
        <w:t>）</w:t>
      </w:r>
      <w:r>
        <w:rPr>
          <w:rFonts w:ascii="宋体" w:hAnsi="宋体" w:cs="Arial" w:hint="eastAsia"/>
          <w:szCs w:val="21"/>
        </w:rPr>
        <w:t>本基金最后运作日应收利息为人民币</w:t>
      </w:r>
      <w:r>
        <w:rPr>
          <w:rFonts w:ascii="宋体" w:hAnsi="宋体"/>
          <w:color w:val="000000"/>
          <w:szCs w:val="21"/>
        </w:rPr>
        <w:t>12</w:t>
      </w:r>
      <w:r>
        <w:rPr>
          <w:rFonts w:ascii="宋体" w:hAnsi="宋体" w:hint="eastAsia"/>
          <w:color w:val="000000"/>
          <w:szCs w:val="21"/>
        </w:rPr>
        <w:t>.</w:t>
      </w:r>
      <w:r>
        <w:rPr>
          <w:rFonts w:ascii="宋体" w:hAnsi="宋体"/>
          <w:color w:val="000000"/>
          <w:szCs w:val="21"/>
        </w:rPr>
        <w:t>005.05</w:t>
      </w:r>
      <w:r>
        <w:rPr>
          <w:rFonts w:ascii="宋体" w:hAnsi="宋体" w:cs="Arial" w:hint="eastAsia"/>
          <w:szCs w:val="21"/>
        </w:rPr>
        <w:t>元，实际划付清算款时，该款项由基金管理人</w:t>
      </w:r>
      <w:r>
        <w:rPr>
          <w:rFonts w:ascii="宋体" w:hAnsi="宋体" w:hint="eastAsia"/>
          <w:szCs w:val="24"/>
        </w:rPr>
        <w:t>中银国际证券股份有限公司</w:t>
      </w:r>
      <w:r>
        <w:rPr>
          <w:rFonts w:ascii="宋体" w:hAnsi="宋体" w:cs="Arial" w:hint="eastAsia"/>
          <w:szCs w:val="21"/>
        </w:rPr>
        <w:t>以自有资金先行垫付，该垫付款已于2019年7月9日收到，供清盘分配使用，待结息日回款后再返还给基金管理人。</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（5）本基金最后运作日股票投资为</w:t>
      </w:r>
      <w:r>
        <w:rPr>
          <w:rFonts w:ascii="宋体" w:hAnsi="宋体" w:cs="Arial"/>
          <w:szCs w:val="21"/>
        </w:rPr>
        <w:t>20</w:t>
      </w:r>
      <w:r>
        <w:rPr>
          <w:rFonts w:ascii="宋体" w:hAnsi="宋体" w:cs="Arial" w:hint="eastAsia"/>
          <w:szCs w:val="21"/>
        </w:rPr>
        <w:t>,</w:t>
      </w:r>
      <w:r>
        <w:rPr>
          <w:rFonts w:ascii="宋体" w:hAnsi="宋体" w:cs="Arial"/>
          <w:szCs w:val="21"/>
        </w:rPr>
        <w:t>316</w:t>
      </w:r>
      <w:r>
        <w:rPr>
          <w:rFonts w:ascii="宋体" w:hAnsi="宋体" w:cs="Arial" w:hint="eastAsia"/>
          <w:szCs w:val="21"/>
        </w:rPr>
        <w:t>,</w:t>
      </w:r>
      <w:r>
        <w:rPr>
          <w:rFonts w:ascii="宋体" w:hAnsi="宋体" w:cs="Arial"/>
          <w:szCs w:val="21"/>
        </w:rPr>
        <w:t xml:space="preserve">849.02 </w:t>
      </w:r>
      <w:r>
        <w:rPr>
          <w:rFonts w:ascii="宋体" w:hAnsi="宋体" w:cs="Arial" w:hint="eastAsia"/>
          <w:szCs w:val="21"/>
        </w:rPr>
        <w:t>元，自2019年5月25日起陆续变现</w:t>
      </w:r>
      <w:r w:rsidR="009272B9">
        <w:rPr>
          <w:rFonts w:ascii="宋体" w:hAnsi="宋体" w:cs="Arial" w:hint="eastAsia"/>
          <w:szCs w:val="21"/>
        </w:rPr>
        <w:t>,截止7月10日已全部变现</w:t>
      </w:r>
      <w:r>
        <w:rPr>
          <w:rFonts w:ascii="宋体" w:hAnsi="宋体" w:cs="Arial" w:hint="eastAsia"/>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（6）本基金最后运作日债券投资为</w:t>
      </w:r>
      <w:r>
        <w:rPr>
          <w:rFonts w:ascii="宋体" w:hAnsi="宋体" w:cs="Arial"/>
          <w:szCs w:val="21"/>
        </w:rPr>
        <w:t>499</w:t>
      </w:r>
      <w:r>
        <w:rPr>
          <w:rFonts w:ascii="宋体" w:hAnsi="宋体" w:cs="Arial" w:hint="eastAsia"/>
          <w:szCs w:val="21"/>
        </w:rPr>
        <w:t>,</w:t>
      </w:r>
      <w:r>
        <w:rPr>
          <w:rFonts w:ascii="宋体" w:hAnsi="宋体" w:cs="Arial"/>
          <w:szCs w:val="21"/>
        </w:rPr>
        <w:t xml:space="preserve">000.00 </w:t>
      </w:r>
      <w:r>
        <w:rPr>
          <w:rFonts w:ascii="宋体" w:hAnsi="宋体" w:cs="Arial" w:hint="eastAsia"/>
          <w:szCs w:val="21"/>
        </w:rPr>
        <w:t>元，自2019年5月25日起陆续变现</w:t>
      </w:r>
      <w:r w:rsidR="009272B9">
        <w:rPr>
          <w:rFonts w:ascii="宋体" w:hAnsi="宋体" w:cs="Arial" w:hint="eastAsia"/>
          <w:szCs w:val="21"/>
        </w:rPr>
        <w:t>,截止7月10日已全部变现</w:t>
      </w:r>
      <w:r>
        <w:rPr>
          <w:rFonts w:ascii="宋体" w:hAnsi="宋体" w:cs="Arial" w:hint="eastAsia"/>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（7）本基金最后运作日应收申购款</w:t>
      </w:r>
      <w:r>
        <w:rPr>
          <w:rFonts w:ascii="宋体" w:hAnsi="宋体" w:cs="Arial"/>
          <w:szCs w:val="21"/>
        </w:rPr>
        <w:t>1</w:t>
      </w:r>
      <w:r>
        <w:rPr>
          <w:rFonts w:ascii="宋体" w:hAnsi="宋体" w:cs="Arial" w:hint="eastAsia"/>
          <w:szCs w:val="21"/>
        </w:rPr>
        <w:t>，</w:t>
      </w:r>
      <w:r>
        <w:rPr>
          <w:rFonts w:ascii="宋体" w:hAnsi="宋体" w:cs="Arial"/>
          <w:szCs w:val="21"/>
        </w:rPr>
        <w:t>000.00</w:t>
      </w:r>
      <w:r>
        <w:rPr>
          <w:rFonts w:ascii="宋体" w:hAnsi="宋体" w:cs="Arial" w:hint="eastAsia"/>
          <w:szCs w:val="21"/>
        </w:rPr>
        <w:t>元，该款项于</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年5</w:t>
      </w:r>
      <w:r>
        <w:rPr>
          <w:rFonts w:ascii="宋体" w:hAnsi="宋体" w:cs="Arial"/>
          <w:szCs w:val="21"/>
        </w:rPr>
        <w:t xml:space="preserve"> </w:t>
      </w:r>
      <w:r>
        <w:rPr>
          <w:rFonts w:ascii="宋体" w:hAnsi="宋体" w:cs="Arial" w:hint="eastAsia"/>
          <w:szCs w:val="21"/>
        </w:rPr>
        <w:t>月27</w:t>
      </w:r>
      <w:r>
        <w:rPr>
          <w:rFonts w:ascii="宋体" w:hAnsi="宋体" w:cs="Arial"/>
          <w:szCs w:val="21"/>
        </w:rPr>
        <w:t xml:space="preserve"> </w:t>
      </w:r>
      <w:r>
        <w:rPr>
          <w:rFonts w:ascii="宋体" w:hAnsi="宋体" w:cs="Arial" w:hint="eastAsia"/>
          <w:szCs w:val="21"/>
        </w:rPr>
        <w:t>日收到。</w:t>
      </w:r>
    </w:p>
    <w:p w:rsidR="00B10A0B" w:rsidRDefault="00412F67">
      <w:pPr>
        <w:spacing w:line="360" w:lineRule="auto"/>
        <w:ind w:firstLineChars="200" w:firstLine="420"/>
        <w:rPr>
          <w:rFonts w:ascii="宋体" w:hAnsi="宋体" w:cs="Arial"/>
          <w:szCs w:val="21"/>
        </w:rPr>
      </w:pPr>
      <w:r>
        <w:rPr>
          <w:rFonts w:ascii="宋体" w:hAnsi="宋体" w:cs="Arial"/>
          <w:szCs w:val="21"/>
        </w:rPr>
        <w:t>3、负债清偿情况</w:t>
      </w:r>
    </w:p>
    <w:p w:rsidR="00B10A0B" w:rsidRDefault="00412F67">
      <w:pPr>
        <w:spacing w:line="360" w:lineRule="auto"/>
        <w:ind w:firstLineChars="200" w:firstLine="420"/>
        <w:rPr>
          <w:rFonts w:ascii="宋体" w:hAnsi="宋体" w:cs="Arial"/>
          <w:szCs w:val="21"/>
        </w:rPr>
      </w:pPr>
      <w:r>
        <w:rPr>
          <w:rFonts w:ascii="宋体" w:hAnsi="宋体" w:cs="Arial"/>
          <w:szCs w:val="21"/>
        </w:rPr>
        <w:t>（1） 本基金最后运作日应付管理人报酬为人民币</w:t>
      </w:r>
      <w:r>
        <w:rPr>
          <w:rFonts w:ascii="宋体" w:hAnsi="宋体"/>
          <w:color w:val="000000"/>
          <w:szCs w:val="21"/>
        </w:rPr>
        <w:t>13</w:t>
      </w:r>
      <w:r>
        <w:rPr>
          <w:rFonts w:ascii="宋体" w:hAnsi="宋体" w:hint="eastAsia"/>
          <w:color w:val="000000"/>
          <w:szCs w:val="21"/>
        </w:rPr>
        <w:t>,</w:t>
      </w:r>
      <w:r>
        <w:rPr>
          <w:rFonts w:ascii="宋体" w:hAnsi="宋体"/>
          <w:color w:val="000000"/>
          <w:szCs w:val="21"/>
        </w:rPr>
        <w:t>801.29</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5</w:t>
      </w:r>
      <w:r>
        <w:rPr>
          <w:rFonts w:ascii="宋体" w:hAnsi="宋体" w:cs="Arial"/>
          <w:szCs w:val="21"/>
        </w:rPr>
        <w:t>日支付。</w:t>
      </w:r>
    </w:p>
    <w:p w:rsidR="00B10A0B" w:rsidRDefault="00412F67">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2</w:t>
      </w:r>
      <w:r>
        <w:rPr>
          <w:rFonts w:ascii="宋体" w:hAnsi="宋体" w:cs="Arial"/>
          <w:szCs w:val="21"/>
        </w:rPr>
        <w:t>） 本基金最后运作日应付</w:t>
      </w:r>
      <w:r>
        <w:rPr>
          <w:rFonts w:ascii="宋体" w:hAnsi="宋体" w:cs="Arial" w:hint="eastAsia"/>
          <w:szCs w:val="21"/>
        </w:rPr>
        <w:t>托管费</w:t>
      </w:r>
      <w:r>
        <w:rPr>
          <w:rFonts w:ascii="宋体" w:hAnsi="宋体" w:cs="Arial"/>
          <w:szCs w:val="21"/>
        </w:rPr>
        <w:t>为人民币</w:t>
      </w:r>
      <w:r>
        <w:rPr>
          <w:rFonts w:ascii="宋体" w:hAnsi="宋体"/>
          <w:color w:val="000000"/>
          <w:szCs w:val="21"/>
        </w:rPr>
        <w:t>2</w:t>
      </w:r>
      <w:r>
        <w:rPr>
          <w:rFonts w:ascii="宋体" w:hAnsi="宋体" w:hint="eastAsia"/>
          <w:color w:val="000000"/>
          <w:szCs w:val="21"/>
        </w:rPr>
        <w:t>,</w:t>
      </w:r>
      <w:r>
        <w:rPr>
          <w:rFonts w:ascii="宋体" w:hAnsi="宋体"/>
          <w:color w:val="000000"/>
          <w:szCs w:val="21"/>
        </w:rPr>
        <w:t>300.21</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5</w:t>
      </w:r>
      <w:r>
        <w:rPr>
          <w:rFonts w:ascii="宋体" w:hAnsi="宋体" w:cs="Arial"/>
          <w:szCs w:val="21"/>
        </w:rPr>
        <w:t>日支付。</w:t>
      </w:r>
    </w:p>
    <w:p w:rsidR="00B10A0B" w:rsidRDefault="00412F67">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3</w:t>
      </w:r>
      <w:r>
        <w:rPr>
          <w:rFonts w:ascii="宋体" w:hAnsi="宋体" w:cs="Arial"/>
          <w:szCs w:val="21"/>
        </w:rPr>
        <w:t>） 本基金最后运作日应付</w:t>
      </w:r>
      <w:r>
        <w:rPr>
          <w:rFonts w:ascii="宋体" w:hAnsi="宋体" w:cs="Arial" w:hint="eastAsia"/>
          <w:szCs w:val="21"/>
        </w:rPr>
        <w:t>销售服务费</w:t>
      </w:r>
      <w:r>
        <w:rPr>
          <w:rFonts w:ascii="宋体" w:hAnsi="宋体" w:cs="Arial"/>
          <w:szCs w:val="21"/>
        </w:rPr>
        <w:t>为人民币</w:t>
      </w:r>
      <w:r>
        <w:rPr>
          <w:rFonts w:ascii="宋体" w:hAnsi="宋体"/>
          <w:color w:val="000000"/>
          <w:szCs w:val="21"/>
        </w:rPr>
        <w:t>636.73</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5</w:t>
      </w:r>
      <w:r>
        <w:rPr>
          <w:rFonts w:ascii="宋体" w:hAnsi="宋体" w:cs="Arial"/>
          <w:szCs w:val="21"/>
        </w:rPr>
        <w:t>日支付。</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（4）</w:t>
      </w:r>
      <w:r>
        <w:rPr>
          <w:rFonts w:ascii="宋体" w:hAnsi="宋体" w:cs="Arial"/>
          <w:szCs w:val="21"/>
        </w:rPr>
        <w:t>本基金最后运作日应付</w:t>
      </w:r>
      <w:r>
        <w:rPr>
          <w:rFonts w:ascii="宋体" w:hAnsi="宋体" w:cs="Arial" w:hint="eastAsia"/>
          <w:szCs w:val="21"/>
        </w:rPr>
        <w:t>交易费</w:t>
      </w:r>
      <w:r>
        <w:rPr>
          <w:rFonts w:ascii="宋体" w:hAnsi="宋体" w:cs="Arial"/>
          <w:szCs w:val="21"/>
        </w:rPr>
        <w:t>为人民币</w:t>
      </w:r>
      <w:r>
        <w:rPr>
          <w:rFonts w:ascii="宋体" w:hAnsi="宋体"/>
          <w:color w:val="000000"/>
          <w:szCs w:val="21"/>
        </w:rPr>
        <w:t>8</w:t>
      </w:r>
      <w:r>
        <w:rPr>
          <w:rFonts w:ascii="宋体" w:hAnsi="宋体" w:hint="eastAsia"/>
          <w:color w:val="000000"/>
          <w:szCs w:val="21"/>
        </w:rPr>
        <w:t>,</w:t>
      </w:r>
      <w:r>
        <w:rPr>
          <w:rFonts w:ascii="宋体" w:hAnsi="宋体"/>
          <w:color w:val="000000"/>
          <w:szCs w:val="21"/>
        </w:rPr>
        <w:t>998.81</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5</w:t>
      </w:r>
      <w:r>
        <w:rPr>
          <w:rFonts w:ascii="宋体" w:hAnsi="宋体" w:cs="Arial"/>
          <w:szCs w:val="21"/>
        </w:rPr>
        <w:t>日支付。</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（5）</w:t>
      </w:r>
      <w:r>
        <w:rPr>
          <w:rFonts w:ascii="宋体" w:hAnsi="宋体" w:cs="Arial"/>
          <w:szCs w:val="21"/>
        </w:rPr>
        <w:t>本基金最后运作日</w:t>
      </w:r>
      <w:r>
        <w:rPr>
          <w:rFonts w:ascii="宋体" w:hAnsi="宋体" w:cs="Arial" w:hint="eastAsia"/>
          <w:szCs w:val="21"/>
        </w:rPr>
        <w:t>预提审计费用，金额为</w:t>
      </w:r>
      <w:r>
        <w:rPr>
          <w:rFonts w:ascii="宋体" w:hAnsi="宋体" w:cs="Arial"/>
          <w:szCs w:val="21"/>
        </w:rPr>
        <w:t>人民币30</w:t>
      </w:r>
      <w:r>
        <w:rPr>
          <w:rFonts w:ascii="宋体" w:hAnsi="宋体" w:cs="Arial" w:hint="eastAsia"/>
          <w:szCs w:val="21"/>
        </w:rPr>
        <w:t>,</w:t>
      </w:r>
      <w:r>
        <w:rPr>
          <w:rFonts w:ascii="宋体" w:hAnsi="宋体" w:cs="Arial"/>
          <w:szCs w:val="21"/>
        </w:rPr>
        <w:t>000.00元，该款项</w:t>
      </w:r>
      <w:r>
        <w:rPr>
          <w:rFonts w:ascii="宋体" w:hAnsi="宋体" w:cs="Arial" w:hint="eastAsia"/>
          <w:szCs w:val="21"/>
        </w:rPr>
        <w:t>待收到会计师事务所审计费发票后支付</w:t>
      </w:r>
      <w:r>
        <w:rPr>
          <w:rFonts w:ascii="宋体" w:hAnsi="宋体" w:cs="Arial"/>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（6）</w:t>
      </w:r>
      <w:r>
        <w:rPr>
          <w:rFonts w:ascii="宋体" w:hAnsi="宋体" w:cs="Arial"/>
          <w:szCs w:val="21"/>
        </w:rPr>
        <w:t>本基金最后运作日</w:t>
      </w:r>
      <w:r>
        <w:rPr>
          <w:rFonts w:ascii="宋体" w:hAnsi="宋体" w:cs="Arial" w:hint="eastAsia"/>
          <w:szCs w:val="21"/>
        </w:rPr>
        <w:t>预提</w:t>
      </w:r>
      <w:r w:rsidR="009272B9">
        <w:rPr>
          <w:rFonts w:ascii="宋体" w:hAnsi="宋体" w:cs="Arial" w:hint="eastAsia"/>
          <w:szCs w:val="21"/>
        </w:rPr>
        <w:t>账户维护费9,300.00元，其中预提</w:t>
      </w:r>
      <w:r>
        <w:rPr>
          <w:rFonts w:ascii="宋体" w:hAnsi="宋体" w:cs="Arial" w:hint="eastAsia"/>
          <w:szCs w:val="21"/>
        </w:rPr>
        <w:t>中债费用金额为</w:t>
      </w:r>
      <w:r>
        <w:rPr>
          <w:rFonts w:ascii="宋体" w:hAnsi="宋体" w:cs="Arial"/>
          <w:szCs w:val="21"/>
        </w:rPr>
        <w:t>人民币</w:t>
      </w:r>
      <w:r>
        <w:rPr>
          <w:rFonts w:ascii="宋体" w:hAnsi="宋体" w:cs="Arial" w:hint="eastAsia"/>
          <w:szCs w:val="21"/>
        </w:rPr>
        <w:t>4,500.00</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24</w:t>
      </w:r>
      <w:r>
        <w:rPr>
          <w:rFonts w:ascii="宋体" w:hAnsi="宋体" w:cs="Arial"/>
          <w:szCs w:val="21"/>
        </w:rPr>
        <w:t>日</w:t>
      </w:r>
      <w:r>
        <w:rPr>
          <w:rFonts w:ascii="宋体" w:hAnsi="宋体" w:cs="Arial" w:hint="eastAsia"/>
          <w:szCs w:val="21"/>
        </w:rPr>
        <w:t>实际</w:t>
      </w:r>
      <w:r>
        <w:rPr>
          <w:rFonts w:ascii="宋体" w:hAnsi="宋体" w:cs="Arial"/>
          <w:szCs w:val="21"/>
        </w:rPr>
        <w:t>支付</w:t>
      </w:r>
      <w:r>
        <w:rPr>
          <w:rFonts w:ascii="宋体" w:hAnsi="宋体" w:cs="Arial" w:hint="eastAsia"/>
          <w:szCs w:val="21"/>
        </w:rPr>
        <w:t>3.000.00元</w:t>
      </w:r>
      <w:r>
        <w:rPr>
          <w:rFonts w:ascii="宋体" w:hAnsi="宋体" w:cs="Arial"/>
          <w:szCs w:val="21"/>
        </w:rPr>
        <w:t>。</w:t>
      </w:r>
      <w:r>
        <w:rPr>
          <w:rFonts w:ascii="宋体" w:hAnsi="宋体" w:cs="Arial" w:hint="eastAsia"/>
          <w:szCs w:val="21"/>
        </w:rPr>
        <w:t>预提上清所费用，金额为</w:t>
      </w:r>
      <w:r>
        <w:rPr>
          <w:rFonts w:ascii="宋体" w:hAnsi="宋体" w:cs="Arial"/>
          <w:szCs w:val="21"/>
        </w:rPr>
        <w:t>人民币</w:t>
      </w:r>
      <w:r>
        <w:rPr>
          <w:rFonts w:ascii="宋体" w:hAnsi="宋体" w:cs="Arial" w:hint="eastAsia"/>
          <w:szCs w:val="21"/>
        </w:rPr>
        <w:t>4,800.00</w:t>
      </w:r>
      <w:r>
        <w:rPr>
          <w:rFonts w:ascii="宋体" w:hAnsi="宋体" w:cs="Arial"/>
          <w:szCs w:val="21"/>
        </w:rPr>
        <w:t>元，该款项已于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24</w:t>
      </w:r>
      <w:r>
        <w:rPr>
          <w:rFonts w:ascii="宋体" w:hAnsi="宋体" w:cs="Arial"/>
          <w:szCs w:val="21"/>
        </w:rPr>
        <w:t>日</w:t>
      </w:r>
      <w:r>
        <w:rPr>
          <w:rFonts w:ascii="宋体" w:hAnsi="宋体" w:cs="Arial" w:hint="eastAsia"/>
          <w:szCs w:val="21"/>
        </w:rPr>
        <w:t>实际</w:t>
      </w:r>
      <w:r>
        <w:rPr>
          <w:rFonts w:ascii="宋体" w:hAnsi="宋体" w:cs="Arial"/>
          <w:szCs w:val="21"/>
        </w:rPr>
        <w:t>支付</w:t>
      </w:r>
      <w:r>
        <w:rPr>
          <w:rFonts w:ascii="宋体" w:hAnsi="宋体" w:cs="Arial" w:hint="eastAsia"/>
          <w:szCs w:val="21"/>
        </w:rPr>
        <w:t>3,200.00元</w:t>
      </w:r>
      <w:r>
        <w:rPr>
          <w:rFonts w:ascii="宋体" w:hAnsi="宋体" w:cs="Arial"/>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（7）</w:t>
      </w:r>
      <w:r>
        <w:rPr>
          <w:rFonts w:ascii="宋体" w:hAnsi="宋体" w:cs="Arial"/>
          <w:szCs w:val="21"/>
        </w:rPr>
        <w:t>本基金最后运作日</w:t>
      </w:r>
      <w:r>
        <w:rPr>
          <w:rFonts w:ascii="宋体" w:hAnsi="宋体" w:cs="Arial" w:hint="eastAsia"/>
          <w:szCs w:val="21"/>
        </w:rPr>
        <w:t>预提信息披露费用，金额为</w:t>
      </w:r>
      <w:r>
        <w:rPr>
          <w:rFonts w:ascii="宋体" w:hAnsi="宋体" w:cs="Arial"/>
          <w:szCs w:val="21"/>
        </w:rPr>
        <w:t>人民币33</w:t>
      </w:r>
      <w:r>
        <w:rPr>
          <w:rFonts w:ascii="宋体" w:hAnsi="宋体" w:cs="Arial" w:hint="eastAsia"/>
          <w:szCs w:val="21"/>
        </w:rPr>
        <w:t>,</w:t>
      </w:r>
      <w:r>
        <w:rPr>
          <w:rFonts w:ascii="宋体" w:hAnsi="宋体" w:cs="Arial"/>
          <w:szCs w:val="21"/>
        </w:rPr>
        <w:t>300.00元，该款项</w:t>
      </w:r>
      <w:r>
        <w:rPr>
          <w:rFonts w:ascii="宋体" w:hAnsi="宋体" w:cs="Arial" w:hint="eastAsia"/>
          <w:szCs w:val="21"/>
        </w:rPr>
        <w:t>待收到报社信息披露费发票后支付</w:t>
      </w:r>
      <w:r>
        <w:rPr>
          <w:rFonts w:ascii="宋体" w:hAnsi="宋体" w:cs="Arial"/>
          <w:szCs w:val="21"/>
        </w:rPr>
        <w:t>。</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（8）</w:t>
      </w:r>
      <w:r>
        <w:rPr>
          <w:rFonts w:ascii="宋体" w:hAnsi="宋体" w:cs="Arial"/>
          <w:szCs w:val="21"/>
        </w:rPr>
        <w:t>本基金最后运作日</w:t>
      </w:r>
      <w:r>
        <w:rPr>
          <w:rFonts w:ascii="宋体" w:hAnsi="宋体" w:cs="Arial" w:hint="eastAsia"/>
          <w:szCs w:val="21"/>
        </w:rPr>
        <w:t>应付赎回款</w:t>
      </w:r>
      <w:r>
        <w:rPr>
          <w:rFonts w:ascii="宋体" w:hAnsi="宋体" w:cs="Arial"/>
          <w:szCs w:val="21"/>
        </w:rPr>
        <w:t>人民币6</w:t>
      </w:r>
      <w:r>
        <w:rPr>
          <w:rFonts w:ascii="宋体" w:hAnsi="宋体" w:cs="Arial" w:hint="eastAsia"/>
          <w:szCs w:val="21"/>
        </w:rPr>
        <w:t>,</w:t>
      </w:r>
      <w:r>
        <w:rPr>
          <w:rFonts w:ascii="宋体" w:hAnsi="宋体" w:cs="Arial"/>
          <w:szCs w:val="21"/>
        </w:rPr>
        <w:t>112</w:t>
      </w:r>
      <w:r>
        <w:rPr>
          <w:rFonts w:ascii="宋体" w:hAnsi="宋体" w:cs="Arial" w:hint="eastAsia"/>
          <w:szCs w:val="21"/>
        </w:rPr>
        <w:t>,</w:t>
      </w:r>
      <w:r>
        <w:rPr>
          <w:rFonts w:ascii="宋体" w:hAnsi="宋体" w:cs="Arial"/>
          <w:szCs w:val="21"/>
        </w:rPr>
        <w:t>926.26</w:t>
      </w:r>
      <w:r>
        <w:rPr>
          <w:rFonts w:ascii="宋体" w:hAnsi="宋体" w:cs="Arial" w:hint="eastAsia"/>
          <w:szCs w:val="21"/>
        </w:rPr>
        <w:t>元及应付赎回费</w:t>
      </w:r>
      <w:r>
        <w:rPr>
          <w:rFonts w:ascii="宋体" w:hAnsi="宋体" w:cs="Arial"/>
          <w:szCs w:val="21"/>
        </w:rPr>
        <w:t>人民币1</w:t>
      </w:r>
      <w:r>
        <w:rPr>
          <w:rFonts w:ascii="宋体" w:hAnsi="宋体" w:cs="Arial" w:hint="eastAsia"/>
          <w:szCs w:val="21"/>
        </w:rPr>
        <w:t>,</w:t>
      </w:r>
      <w:r>
        <w:rPr>
          <w:rFonts w:ascii="宋体" w:hAnsi="宋体" w:cs="Arial"/>
          <w:szCs w:val="21"/>
        </w:rPr>
        <w:t>201.64</w:t>
      </w:r>
      <w:r>
        <w:rPr>
          <w:rFonts w:ascii="宋体" w:hAnsi="宋体" w:cs="Arial" w:hint="eastAsia"/>
          <w:szCs w:val="21"/>
        </w:rPr>
        <w:t>元，</w:t>
      </w:r>
      <w:r>
        <w:rPr>
          <w:rFonts w:ascii="宋体" w:hAnsi="宋体" w:cs="Arial"/>
          <w:szCs w:val="21"/>
        </w:rPr>
        <w:t>该款项已于</w:t>
      </w:r>
      <w:r>
        <w:rPr>
          <w:rFonts w:ascii="宋体" w:hAnsi="宋体" w:cs="Arial" w:hint="eastAsia"/>
          <w:szCs w:val="21"/>
        </w:rPr>
        <w:t>2019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29</w:t>
      </w:r>
      <w:r>
        <w:rPr>
          <w:rFonts w:ascii="宋体" w:hAnsi="宋体" w:cs="Arial"/>
          <w:szCs w:val="21"/>
        </w:rPr>
        <w:t>日</w:t>
      </w:r>
      <w:r>
        <w:rPr>
          <w:rFonts w:ascii="宋体" w:hAnsi="宋体" w:cs="Arial" w:hint="eastAsia"/>
          <w:szCs w:val="21"/>
        </w:rPr>
        <w:t>支付</w:t>
      </w:r>
      <w:r>
        <w:rPr>
          <w:rFonts w:ascii="宋体" w:hAnsi="宋体" w:cs="Arial"/>
          <w:szCs w:val="21"/>
        </w:rPr>
        <w:t>。本基金最后运作日</w:t>
      </w:r>
      <w:r>
        <w:rPr>
          <w:rFonts w:ascii="宋体" w:hAnsi="宋体" w:cs="Arial" w:hint="eastAsia"/>
          <w:szCs w:val="21"/>
        </w:rPr>
        <w:t>应付转出款</w:t>
      </w:r>
      <w:r>
        <w:rPr>
          <w:rFonts w:ascii="宋体" w:hAnsi="宋体" w:cs="Arial"/>
          <w:szCs w:val="21"/>
        </w:rPr>
        <w:t>人民币758</w:t>
      </w:r>
      <w:r>
        <w:rPr>
          <w:rFonts w:ascii="宋体" w:hAnsi="宋体" w:cs="Arial" w:hint="eastAsia"/>
          <w:szCs w:val="21"/>
        </w:rPr>
        <w:t>,</w:t>
      </w:r>
      <w:r>
        <w:rPr>
          <w:rFonts w:ascii="宋体" w:hAnsi="宋体" w:cs="Arial"/>
          <w:szCs w:val="21"/>
        </w:rPr>
        <w:t>180.41</w:t>
      </w:r>
      <w:r>
        <w:rPr>
          <w:rFonts w:ascii="宋体" w:hAnsi="宋体" w:cs="Arial" w:hint="eastAsia"/>
          <w:szCs w:val="21"/>
        </w:rPr>
        <w:t>元，</w:t>
      </w:r>
      <w:r>
        <w:rPr>
          <w:rFonts w:ascii="宋体" w:hAnsi="宋体" w:cs="Arial"/>
          <w:szCs w:val="21"/>
        </w:rPr>
        <w:t>该款项</w:t>
      </w:r>
      <w:r>
        <w:rPr>
          <w:rFonts w:ascii="宋体" w:hAnsi="宋体" w:cs="Arial" w:hint="eastAsia"/>
          <w:szCs w:val="21"/>
        </w:rPr>
        <w:t>已于2019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27</w:t>
      </w:r>
      <w:r>
        <w:rPr>
          <w:rFonts w:ascii="宋体" w:hAnsi="宋体" w:cs="Arial"/>
          <w:szCs w:val="21"/>
        </w:rPr>
        <w:t>日支付</w:t>
      </w:r>
      <w:r>
        <w:rPr>
          <w:rFonts w:ascii="宋体" w:hAnsi="宋体" w:cs="Arial" w:hint="eastAsia"/>
          <w:szCs w:val="21"/>
        </w:rPr>
        <w:t>。</w:t>
      </w:r>
    </w:p>
    <w:p w:rsidR="00B10A0B" w:rsidRDefault="00412F67">
      <w:pPr>
        <w:spacing w:line="360" w:lineRule="auto"/>
        <w:ind w:firstLineChars="200" w:firstLine="420"/>
        <w:rPr>
          <w:rFonts w:ascii="宋体" w:hAnsi="宋体" w:cs="Arial"/>
          <w:szCs w:val="21"/>
        </w:rPr>
      </w:pPr>
      <w:r>
        <w:rPr>
          <w:rFonts w:ascii="宋体" w:hAnsi="宋体" w:cs="Arial"/>
          <w:szCs w:val="21"/>
        </w:rPr>
        <w:t>4、</w:t>
      </w:r>
      <w:r>
        <w:rPr>
          <w:rFonts w:ascii="宋体" w:hAnsi="宋体" w:cs="Arial" w:hint="eastAsia"/>
          <w:szCs w:val="21"/>
        </w:rPr>
        <w:t>清算期间清算损益</w:t>
      </w:r>
      <w:r>
        <w:rPr>
          <w:rFonts w:ascii="宋体" w:hAnsi="宋体" w:cs="Arial"/>
          <w:szCs w:val="21"/>
        </w:rPr>
        <w:t>情况</w:t>
      </w:r>
    </w:p>
    <w:p w:rsidR="00B10A0B" w:rsidRDefault="00412F67">
      <w:pPr>
        <w:spacing w:line="360" w:lineRule="auto"/>
        <w:ind w:firstLineChars="200" w:firstLine="420"/>
        <w:jc w:val="right"/>
        <w:rPr>
          <w:rFonts w:ascii="宋体" w:hAnsi="宋体" w:cs="Arial"/>
          <w:szCs w:val="21"/>
        </w:rPr>
      </w:pPr>
      <w:r>
        <w:rPr>
          <w:rFonts w:ascii="宋体" w:hAnsi="宋体" w:cs="Arial"/>
          <w:szCs w:val="21"/>
        </w:rPr>
        <w:t>单位：人民币元</w:t>
      </w:r>
    </w:p>
    <w:tbl>
      <w:tblPr>
        <w:tblStyle w:val="aa"/>
        <w:tblW w:w="8723" w:type="dxa"/>
        <w:tblLayout w:type="fixed"/>
        <w:tblLook w:val="04A0"/>
      </w:tblPr>
      <w:tblGrid>
        <w:gridCol w:w="3519"/>
        <w:gridCol w:w="5204"/>
      </w:tblGrid>
      <w:tr w:rsidR="00B10A0B">
        <w:tc>
          <w:tcPr>
            <w:tcW w:w="3519" w:type="dxa"/>
            <w:vAlign w:val="bottom"/>
          </w:tcPr>
          <w:p w:rsidR="00B10A0B" w:rsidRDefault="00412F67">
            <w:pPr>
              <w:rPr>
                <w:rFonts w:ascii="宋体" w:hAnsi="宋体" w:cs="Arial"/>
                <w:b/>
                <w:bCs/>
                <w:sz w:val="24"/>
                <w:szCs w:val="24"/>
              </w:rPr>
            </w:pPr>
            <w:r>
              <w:rPr>
                <w:rFonts w:ascii="宋体" w:hAnsi="宋体" w:cs="Arial" w:hint="eastAsia"/>
                <w:szCs w:val="21"/>
              </w:rPr>
              <w:t>一、清算期间（</w:t>
            </w:r>
            <w:r>
              <w:rPr>
                <w:rFonts w:ascii="宋体" w:hAnsi="宋体" w:cs="Arial"/>
                <w:szCs w:val="21"/>
              </w:rPr>
              <w:t>201</w:t>
            </w:r>
            <w:r>
              <w:rPr>
                <w:rFonts w:ascii="宋体" w:hAnsi="宋体" w:cs="Arial" w:hint="eastAsia"/>
                <w:szCs w:val="21"/>
              </w:rPr>
              <w:t>9</w:t>
            </w:r>
            <w:r>
              <w:rPr>
                <w:rFonts w:ascii="宋体" w:hAnsi="宋体" w:cs="Arial"/>
                <w:szCs w:val="21"/>
              </w:rPr>
              <w:t>-</w:t>
            </w:r>
            <w:r>
              <w:rPr>
                <w:rFonts w:ascii="宋体" w:hAnsi="宋体" w:cs="Arial" w:hint="eastAsia"/>
                <w:szCs w:val="21"/>
              </w:rPr>
              <w:t>05</w:t>
            </w:r>
            <w:r>
              <w:rPr>
                <w:rFonts w:ascii="宋体" w:hAnsi="宋体" w:cs="Arial"/>
                <w:szCs w:val="21"/>
              </w:rPr>
              <w:t>-</w:t>
            </w:r>
            <w:r>
              <w:rPr>
                <w:rFonts w:ascii="宋体" w:hAnsi="宋体" w:cs="Arial" w:hint="eastAsia"/>
                <w:szCs w:val="21"/>
              </w:rPr>
              <w:t>25至</w:t>
            </w:r>
            <w:r>
              <w:rPr>
                <w:rFonts w:ascii="宋体" w:hAnsi="宋体" w:cs="Arial"/>
                <w:szCs w:val="21"/>
              </w:rPr>
              <w:t>201</w:t>
            </w:r>
            <w:r>
              <w:rPr>
                <w:rFonts w:ascii="宋体" w:hAnsi="宋体" w:cs="Arial" w:hint="eastAsia"/>
                <w:szCs w:val="21"/>
              </w:rPr>
              <w:t>9</w:t>
            </w:r>
            <w:r>
              <w:rPr>
                <w:rFonts w:ascii="宋体" w:hAnsi="宋体" w:cs="Arial"/>
                <w:szCs w:val="21"/>
              </w:rPr>
              <w:t>-</w:t>
            </w:r>
            <w:r>
              <w:rPr>
                <w:rFonts w:ascii="宋体" w:hAnsi="宋体" w:cs="Arial" w:hint="eastAsia"/>
                <w:szCs w:val="21"/>
              </w:rPr>
              <w:t>07</w:t>
            </w:r>
            <w:r>
              <w:rPr>
                <w:rFonts w:ascii="宋体" w:hAnsi="宋体" w:cs="Arial"/>
                <w:szCs w:val="21"/>
              </w:rPr>
              <w:t>-</w:t>
            </w:r>
            <w:r>
              <w:rPr>
                <w:rFonts w:ascii="宋体" w:hAnsi="宋体" w:cs="Arial" w:hint="eastAsia"/>
                <w:szCs w:val="21"/>
              </w:rPr>
              <w:t>10）收入</w:t>
            </w:r>
          </w:p>
        </w:tc>
        <w:tc>
          <w:tcPr>
            <w:tcW w:w="5204" w:type="dxa"/>
            <w:vAlign w:val="bottom"/>
          </w:tcPr>
          <w:p w:rsidR="00B10A0B" w:rsidRDefault="00412F67">
            <w:pPr>
              <w:jc w:val="right"/>
              <w:rPr>
                <w:rFonts w:cs="Arial"/>
                <w:color w:val="000000"/>
                <w:szCs w:val="21"/>
              </w:rPr>
            </w:pPr>
            <w:r>
              <w:rPr>
                <w:rFonts w:cs="Arial"/>
                <w:color w:val="000000"/>
                <w:szCs w:val="21"/>
              </w:rPr>
              <w:t xml:space="preserve">       252,582.50 </w:t>
            </w:r>
          </w:p>
        </w:tc>
      </w:tr>
      <w:tr w:rsidR="00B10A0B">
        <w:tc>
          <w:tcPr>
            <w:tcW w:w="3519" w:type="dxa"/>
            <w:vAlign w:val="bottom"/>
          </w:tcPr>
          <w:p w:rsidR="00B10A0B" w:rsidRDefault="00412F67">
            <w:pPr>
              <w:rPr>
                <w:rFonts w:ascii="Arial" w:hAnsi="Arial" w:cs="Arial"/>
                <w:sz w:val="24"/>
                <w:szCs w:val="24"/>
              </w:rPr>
            </w:pPr>
            <w:r>
              <w:rPr>
                <w:rFonts w:ascii="Arial" w:hAnsi="Arial" w:cs="Arial"/>
                <w:lang w:val="en-GB"/>
              </w:rPr>
              <w:t>1.</w:t>
            </w:r>
            <w:r>
              <w:rPr>
                <w:rFonts w:cs="Arial" w:hint="eastAsia"/>
                <w:lang w:val="en-GB"/>
              </w:rPr>
              <w:t>利息收入</w:t>
            </w:r>
          </w:p>
        </w:tc>
        <w:tc>
          <w:tcPr>
            <w:tcW w:w="5204" w:type="dxa"/>
            <w:vAlign w:val="bottom"/>
          </w:tcPr>
          <w:p w:rsidR="00B10A0B" w:rsidRDefault="00412F67">
            <w:pPr>
              <w:jc w:val="right"/>
              <w:rPr>
                <w:rFonts w:cs="Arial"/>
                <w:color w:val="000000"/>
                <w:szCs w:val="21"/>
              </w:rPr>
            </w:pPr>
            <w:r>
              <w:rPr>
                <w:rFonts w:cs="Arial"/>
                <w:color w:val="000000"/>
                <w:szCs w:val="21"/>
              </w:rPr>
              <w:t xml:space="preserve">          5,463.06 </w:t>
            </w:r>
          </w:p>
        </w:tc>
      </w:tr>
      <w:tr w:rsidR="00B10A0B">
        <w:tc>
          <w:tcPr>
            <w:tcW w:w="3519" w:type="dxa"/>
            <w:vAlign w:val="bottom"/>
          </w:tcPr>
          <w:p w:rsidR="00B10A0B" w:rsidRDefault="00412F67">
            <w:pPr>
              <w:rPr>
                <w:rFonts w:ascii="宋体" w:hAnsi="宋体" w:cs="Arial"/>
                <w:sz w:val="24"/>
                <w:szCs w:val="24"/>
              </w:rPr>
            </w:pPr>
            <w:r>
              <w:rPr>
                <w:rFonts w:cs="Arial" w:hint="eastAsia"/>
              </w:rPr>
              <w:t>其中：存款利息收入</w:t>
            </w:r>
            <w:r>
              <w:rPr>
                <w:rFonts w:ascii="宋体" w:hAnsi="宋体" w:cs="Arial" w:hint="eastAsia"/>
                <w:szCs w:val="21"/>
              </w:rPr>
              <w:t>（1）</w:t>
            </w:r>
          </w:p>
        </w:tc>
        <w:tc>
          <w:tcPr>
            <w:tcW w:w="5204" w:type="dxa"/>
            <w:vAlign w:val="bottom"/>
          </w:tcPr>
          <w:p w:rsidR="00B10A0B" w:rsidRDefault="00412F67">
            <w:pPr>
              <w:jc w:val="right"/>
              <w:rPr>
                <w:rFonts w:cs="Arial"/>
                <w:color w:val="000000"/>
                <w:szCs w:val="21"/>
              </w:rPr>
            </w:pPr>
            <w:r>
              <w:rPr>
                <w:rFonts w:cs="Arial"/>
                <w:color w:val="000000"/>
                <w:szCs w:val="21"/>
              </w:rPr>
              <w:t xml:space="preserve">          3,967.17 </w:t>
            </w:r>
          </w:p>
        </w:tc>
      </w:tr>
      <w:tr w:rsidR="00B10A0B">
        <w:tc>
          <w:tcPr>
            <w:tcW w:w="3519" w:type="dxa"/>
            <w:vAlign w:val="bottom"/>
          </w:tcPr>
          <w:p w:rsidR="00B10A0B" w:rsidRDefault="00412F67">
            <w:pPr>
              <w:ind w:firstLineChars="300" w:firstLine="630"/>
              <w:rPr>
                <w:rFonts w:ascii="宋体" w:hAnsi="宋体" w:cs="Arial"/>
                <w:sz w:val="24"/>
                <w:szCs w:val="24"/>
              </w:rPr>
            </w:pPr>
            <w:r>
              <w:rPr>
                <w:rFonts w:cs="Arial" w:hint="eastAsia"/>
              </w:rPr>
              <w:t>债券利息收入</w:t>
            </w:r>
          </w:p>
        </w:tc>
        <w:tc>
          <w:tcPr>
            <w:tcW w:w="5204" w:type="dxa"/>
            <w:vAlign w:val="bottom"/>
          </w:tcPr>
          <w:p w:rsidR="00B10A0B" w:rsidRDefault="00412F67">
            <w:pPr>
              <w:jc w:val="right"/>
              <w:rPr>
                <w:rFonts w:cs="Arial"/>
                <w:color w:val="000000"/>
                <w:szCs w:val="21"/>
              </w:rPr>
            </w:pPr>
            <w:r>
              <w:rPr>
                <w:rFonts w:cs="Arial"/>
                <w:color w:val="000000"/>
                <w:szCs w:val="21"/>
              </w:rPr>
              <w:t xml:space="preserve">             126.57 </w:t>
            </w:r>
          </w:p>
        </w:tc>
      </w:tr>
      <w:tr w:rsidR="00B10A0B">
        <w:tc>
          <w:tcPr>
            <w:tcW w:w="3519" w:type="dxa"/>
            <w:vAlign w:val="bottom"/>
          </w:tcPr>
          <w:p w:rsidR="00B10A0B" w:rsidRDefault="00412F67">
            <w:pPr>
              <w:rPr>
                <w:rFonts w:ascii="宋体" w:hAnsi="宋体" w:cs="Arial"/>
                <w:sz w:val="24"/>
                <w:szCs w:val="24"/>
              </w:rPr>
            </w:pPr>
            <w:r>
              <w:rPr>
                <w:rFonts w:cs="Arial" w:hint="eastAsia"/>
              </w:rPr>
              <w:t xml:space="preserve">      </w:t>
            </w:r>
            <w:r>
              <w:rPr>
                <w:rFonts w:cs="Arial" w:hint="eastAsia"/>
              </w:rPr>
              <w:t>买入返售金融资产收入</w:t>
            </w:r>
          </w:p>
        </w:tc>
        <w:tc>
          <w:tcPr>
            <w:tcW w:w="5204" w:type="dxa"/>
            <w:vAlign w:val="bottom"/>
          </w:tcPr>
          <w:p w:rsidR="00B10A0B" w:rsidRDefault="00412F67">
            <w:pPr>
              <w:jc w:val="right"/>
              <w:rPr>
                <w:rFonts w:cs="Arial"/>
                <w:color w:val="000000"/>
                <w:szCs w:val="21"/>
              </w:rPr>
            </w:pPr>
            <w:r>
              <w:rPr>
                <w:rFonts w:cs="Arial"/>
                <w:color w:val="000000"/>
                <w:szCs w:val="21"/>
              </w:rPr>
              <w:t xml:space="preserve">          1,369.32 </w:t>
            </w:r>
          </w:p>
        </w:tc>
      </w:tr>
      <w:tr w:rsidR="00B10A0B">
        <w:tc>
          <w:tcPr>
            <w:tcW w:w="3519" w:type="dxa"/>
            <w:vAlign w:val="bottom"/>
          </w:tcPr>
          <w:p w:rsidR="00B10A0B" w:rsidRDefault="00412F67">
            <w:pPr>
              <w:rPr>
                <w:rFonts w:ascii="Arial" w:hAnsi="Arial" w:cs="Arial"/>
                <w:sz w:val="24"/>
                <w:szCs w:val="24"/>
              </w:rPr>
            </w:pPr>
            <w:r>
              <w:rPr>
                <w:rFonts w:ascii="Arial" w:hAnsi="Arial" w:cs="Arial"/>
                <w:lang w:val="en-GB"/>
              </w:rPr>
              <w:t>2.</w:t>
            </w:r>
            <w:r>
              <w:rPr>
                <w:rFonts w:cs="Arial" w:hint="eastAsia"/>
                <w:lang w:val="en-GB"/>
              </w:rPr>
              <w:t>投资收益</w:t>
            </w:r>
            <w:r>
              <w:rPr>
                <w:rFonts w:ascii="Arial" w:hAnsi="Arial" w:cs="Arial"/>
                <w:lang w:val="en-GB"/>
              </w:rPr>
              <w:t>(</w:t>
            </w:r>
            <w:r>
              <w:rPr>
                <w:rFonts w:cs="Arial" w:hint="eastAsia"/>
                <w:lang w:val="en-GB"/>
              </w:rPr>
              <w:t>损失以</w:t>
            </w:r>
            <w:r>
              <w:rPr>
                <w:rFonts w:ascii="Arial" w:hAnsi="Arial" w:cs="Arial"/>
                <w:lang w:val="en-GB"/>
              </w:rPr>
              <w:t>“-”</w:t>
            </w:r>
            <w:r>
              <w:rPr>
                <w:rFonts w:cs="Arial" w:hint="eastAsia"/>
                <w:lang w:val="en-GB"/>
              </w:rPr>
              <w:t>填列</w:t>
            </w:r>
            <w:r>
              <w:rPr>
                <w:rFonts w:ascii="Arial" w:hAnsi="Arial" w:cs="Arial"/>
                <w:lang w:val="en-GB"/>
              </w:rPr>
              <w:t>)</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-3,679,208.50</w:t>
            </w:r>
          </w:p>
        </w:tc>
      </w:tr>
      <w:tr w:rsidR="00B10A0B">
        <w:tc>
          <w:tcPr>
            <w:tcW w:w="3519" w:type="dxa"/>
            <w:vAlign w:val="bottom"/>
          </w:tcPr>
          <w:p w:rsidR="00B10A0B" w:rsidRDefault="00412F67">
            <w:pPr>
              <w:rPr>
                <w:rFonts w:ascii="宋体" w:hAnsi="宋体" w:cs="Arial"/>
                <w:sz w:val="24"/>
                <w:szCs w:val="24"/>
              </w:rPr>
            </w:pPr>
            <w:r>
              <w:rPr>
                <w:rFonts w:cs="Arial" w:hint="eastAsia"/>
              </w:rPr>
              <w:t>其中：股票投资收益</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-3,668,991.47</w:t>
            </w:r>
          </w:p>
        </w:tc>
      </w:tr>
      <w:tr w:rsidR="00B10A0B">
        <w:tc>
          <w:tcPr>
            <w:tcW w:w="3519" w:type="dxa"/>
            <w:vAlign w:val="bottom"/>
          </w:tcPr>
          <w:p w:rsidR="00B10A0B" w:rsidRDefault="00412F67">
            <w:pPr>
              <w:rPr>
                <w:rFonts w:ascii="宋体" w:hAnsi="宋体" w:cs="Arial"/>
                <w:sz w:val="24"/>
                <w:szCs w:val="24"/>
              </w:rPr>
            </w:pPr>
            <w:r>
              <w:rPr>
                <w:rFonts w:cs="Arial" w:hint="eastAsia"/>
              </w:rPr>
              <w:t>债券投资收益</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-349.30</w:t>
            </w:r>
          </w:p>
        </w:tc>
      </w:tr>
      <w:tr w:rsidR="00B10A0B">
        <w:tc>
          <w:tcPr>
            <w:tcW w:w="3519" w:type="dxa"/>
            <w:vAlign w:val="bottom"/>
          </w:tcPr>
          <w:p w:rsidR="00B10A0B" w:rsidRDefault="00412F67">
            <w:pPr>
              <w:rPr>
                <w:rFonts w:ascii="宋体" w:hAnsi="宋体" w:cs="Arial"/>
                <w:sz w:val="24"/>
                <w:szCs w:val="24"/>
              </w:rPr>
            </w:pPr>
            <w:r>
              <w:rPr>
                <w:rFonts w:cs="Arial" w:hint="eastAsia"/>
              </w:rPr>
              <w:t>股利收益</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-9,867.73</w:t>
            </w:r>
          </w:p>
        </w:tc>
      </w:tr>
      <w:tr w:rsidR="00B10A0B">
        <w:tc>
          <w:tcPr>
            <w:tcW w:w="3519" w:type="dxa"/>
            <w:vAlign w:val="bottom"/>
          </w:tcPr>
          <w:p w:rsidR="00B10A0B" w:rsidRDefault="00412F67">
            <w:pPr>
              <w:rPr>
                <w:rFonts w:ascii="Arial" w:hAnsi="Arial" w:cs="Arial"/>
                <w:sz w:val="24"/>
                <w:szCs w:val="24"/>
              </w:rPr>
            </w:pPr>
            <w:r>
              <w:rPr>
                <w:rFonts w:ascii="Arial" w:hAnsi="Arial" w:cs="Arial"/>
                <w:lang w:val="en-GB"/>
              </w:rPr>
              <w:t>3.</w:t>
            </w:r>
            <w:r>
              <w:rPr>
                <w:rFonts w:cs="Arial" w:hint="eastAsia"/>
                <w:lang w:val="en-GB"/>
              </w:rPr>
              <w:t>公允价值变动收益</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3,926,181.35</w:t>
            </w:r>
          </w:p>
        </w:tc>
      </w:tr>
      <w:tr w:rsidR="00B10A0B">
        <w:tc>
          <w:tcPr>
            <w:tcW w:w="3519" w:type="dxa"/>
            <w:vAlign w:val="bottom"/>
          </w:tcPr>
          <w:p w:rsidR="00B10A0B" w:rsidRDefault="00412F67">
            <w:pPr>
              <w:rPr>
                <w:rFonts w:ascii="Arial" w:hAnsi="Arial" w:cs="Arial"/>
                <w:sz w:val="24"/>
                <w:szCs w:val="24"/>
              </w:rPr>
            </w:pPr>
            <w:r>
              <w:rPr>
                <w:rFonts w:ascii="Arial" w:hAnsi="Arial" w:cs="Arial"/>
                <w:lang w:val="en-GB"/>
              </w:rPr>
              <w:t>4.</w:t>
            </w:r>
            <w:r>
              <w:rPr>
                <w:rFonts w:cs="Arial" w:hint="eastAsia"/>
                <w:lang w:val="en-GB"/>
              </w:rPr>
              <w:t>其他收入（</w:t>
            </w:r>
            <w:r>
              <w:rPr>
                <w:rFonts w:cs="Arial" w:hint="eastAsia"/>
              </w:rPr>
              <w:t>2</w:t>
            </w:r>
            <w:r>
              <w:rPr>
                <w:rFonts w:cs="Arial" w:hint="eastAsia"/>
                <w:lang w:val="en-GB"/>
              </w:rPr>
              <w:t>）</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146.59</w:t>
            </w:r>
          </w:p>
        </w:tc>
      </w:tr>
      <w:tr w:rsidR="00B10A0B">
        <w:tc>
          <w:tcPr>
            <w:tcW w:w="3519" w:type="dxa"/>
            <w:vAlign w:val="bottom"/>
          </w:tcPr>
          <w:p w:rsidR="00B10A0B" w:rsidRDefault="00412F67">
            <w:pPr>
              <w:rPr>
                <w:rFonts w:ascii="宋体" w:hAnsi="宋体" w:cs="Arial"/>
                <w:b/>
                <w:bCs/>
                <w:sz w:val="24"/>
                <w:szCs w:val="24"/>
              </w:rPr>
            </w:pPr>
            <w:r>
              <w:rPr>
                <w:rFonts w:ascii="宋体" w:hAnsi="宋体" w:cs="Arial" w:hint="eastAsia"/>
                <w:szCs w:val="21"/>
              </w:rPr>
              <w:t>二、</w:t>
            </w:r>
            <w:r>
              <w:rPr>
                <w:rFonts w:cs="Arial" w:hint="eastAsia"/>
                <w:b/>
                <w:bCs/>
              </w:rPr>
              <w:t>减：</w:t>
            </w:r>
            <w:r>
              <w:rPr>
                <w:rFonts w:ascii="宋体" w:hAnsi="宋体" w:cs="Arial" w:hint="eastAsia"/>
                <w:szCs w:val="21"/>
              </w:rPr>
              <w:t>清算期间（</w:t>
            </w:r>
            <w:r>
              <w:rPr>
                <w:rFonts w:ascii="宋体" w:hAnsi="宋体" w:cs="Arial"/>
                <w:szCs w:val="21"/>
              </w:rPr>
              <w:t>201</w:t>
            </w:r>
            <w:r>
              <w:rPr>
                <w:rFonts w:ascii="宋体" w:hAnsi="宋体" w:cs="Arial" w:hint="eastAsia"/>
                <w:szCs w:val="21"/>
              </w:rPr>
              <w:t>9</w:t>
            </w:r>
            <w:r>
              <w:rPr>
                <w:rFonts w:ascii="宋体" w:hAnsi="宋体" w:cs="Arial"/>
                <w:szCs w:val="21"/>
              </w:rPr>
              <w:t>-</w:t>
            </w:r>
            <w:r>
              <w:rPr>
                <w:rFonts w:ascii="宋体" w:hAnsi="宋体" w:cs="Arial" w:hint="eastAsia"/>
                <w:szCs w:val="21"/>
              </w:rPr>
              <w:t>05</w:t>
            </w:r>
            <w:r>
              <w:rPr>
                <w:rFonts w:ascii="宋体" w:hAnsi="宋体" w:cs="Arial"/>
                <w:szCs w:val="21"/>
              </w:rPr>
              <w:t>-</w:t>
            </w:r>
            <w:r>
              <w:rPr>
                <w:rFonts w:ascii="宋体" w:hAnsi="宋体" w:cs="Arial" w:hint="eastAsia"/>
                <w:szCs w:val="21"/>
              </w:rPr>
              <w:t>25至</w:t>
            </w:r>
            <w:r>
              <w:rPr>
                <w:rFonts w:ascii="宋体" w:hAnsi="宋体" w:cs="Arial"/>
                <w:szCs w:val="21"/>
              </w:rPr>
              <w:t>201</w:t>
            </w:r>
            <w:r>
              <w:rPr>
                <w:rFonts w:ascii="宋体" w:hAnsi="宋体" w:cs="Arial" w:hint="eastAsia"/>
                <w:szCs w:val="21"/>
              </w:rPr>
              <w:t>9</w:t>
            </w:r>
            <w:r>
              <w:rPr>
                <w:rFonts w:ascii="宋体" w:hAnsi="宋体" w:cs="Arial"/>
                <w:szCs w:val="21"/>
              </w:rPr>
              <w:t>-</w:t>
            </w:r>
            <w:r>
              <w:rPr>
                <w:rFonts w:ascii="宋体" w:hAnsi="宋体" w:cs="Arial" w:hint="eastAsia"/>
                <w:szCs w:val="21"/>
              </w:rPr>
              <w:t>07</w:t>
            </w:r>
            <w:r>
              <w:rPr>
                <w:rFonts w:ascii="宋体" w:hAnsi="宋体" w:cs="Arial"/>
                <w:szCs w:val="21"/>
              </w:rPr>
              <w:t>-</w:t>
            </w:r>
            <w:r>
              <w:rPr>
                <w:rFonts w:ascii="宋体" w:hAnsi="宋体" w:cs="Arial" w:hint="eastAsia"/>
                <w:szCs w:val="21"/>
              </w:rPr>
              <w:t>10）费用</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35,490.31</w:t>
            </w:r>
          </w:p>
        </w:tc>
      </w:tr>
      <w:tr w:rsidR="00B10A0B">
        <w:tc>
          <w:tcPr>
            <w:tcW w:w="3519" w:type="dxa"/>
            <w:vAlign w:val="bottom"/>
          </w:tcPr>
          <w:p w:rsidR="00B10A0B" w:rsidRDefault="00412F67">
            <w:pPr>
              <w:rPr>
                <w:rFonts w:ascii="Arial" w:hAnsi="Arial" w:cs="Arial"/>
                <w:sz w:val="24"/>
                <w:szCs w:val="24"/>
              </w:rPr>
            </w:pPr>
            <w:r>
              <w:rPr>
                <w:rFonts w:ascii="Arial" w:hAnsi="Arial" w:cs="Arial" w:hint="eastAsia"/>
                <w:lang w:val="en-GB"/>
              </w:rPr>
              <w:t>1</w:t>
            </w:r>
            <w:r>
              <w:rPr>
                <w:rFonts w:ascii="Arial" w:hAnsi="Arial" w:cs="Arial"/>
                <w:lang w:val="en-GB"/>
              </w:rPr>
              <w:t>.</w:t>
            </w:r>
            <w:r>
              <w:rPr>
                <w:rFonts w:cs="Arial" w:hint="eastAsia"/>
                <w:lang w:val="en-GB"/>
              </w:rPr>
              <w:t>交易费用（</w:t>
            </w:r>
            <w:r>
              <w:rPr>
                <w:rFonts w:cs="Arial" w:hint="eastAsia"/>
                <w:lang w:val="en-GB"/>
              </w:rPr>
              <w:t>3</w:t>
            </w:r>
            <w:r>
              <w:rPr>
                <w:rFonts w:cs="Arial" w:hint="eastAsia"/>
                <w:lang w:val="en-GB"/>
              </w:rPr>
              <w:t>）</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37,470.60</w:t>
            </w:r>
          </w:p>
        </w:tc>
      </w:tr>
      <w:tr w:rsidR="00B10A0B">
        <w:tc>
          <w:tcPr>
            <w:tcW w:w="3519" w:type="dxa"/>
            <w:vAlign w:val="bottom"/>
          </w:tcPr>
          <w:p w:rsidR="00B10A0B" w:rsidRDefault="00412F67">
            <w:pPr>
              <w:rPr>
                <w:rFonts w:ascii="Arial" w:hAnsi="Arial" w:cs="Arial"/>
                <w:sz w:val="24"/>
                <w:szCs w:val="24"/>
              </w:rPr>
            </w:pPr>
            <w:r>
              <w:rPr>
                <w:rFonts w:ascii="Arial" w:hAnsi="Arial" w:cs="Arial" w:hint="eastAsia"/>
                <w:lang w:val="en-GB"/>
              </w:rPr>
              <w:t>2</w:t>
            </w:r>
            <w:r>
              <w:rPr>
                <w:rFonts w:ascii="Arial" w:hAnsi="Arial" w:cs="Arial"/>
                <w:lang w:val="en-GB"/>
              </w:rPr>
              <w:t>.</w:t>
            </w:r>
            <w:r>
              <w:rPr>
                <w:rFonts w:cs="Arial" w:hint="eastAsia"/>
                <w:lang w:val="en-GB"/>
              </w:rPr>
              <w:t>其他费用（</w:t>
            </w:r>
            <w:r>
              <w:rPr>
                <w:rFonts w:cs="Arial" w:hint="eastAsia"/>
                <w:lang w:val="en-GB"/>
              </w:rPr>
              <w:t>4</w:t>
            </w:r>
            <w:r>
              <w:rPr>
                <w:rFonts w:cs="Arial" w:hint="eastAsia"/>
                <w:lang w:val="en-GB"/>
              </w:rPr>
              <w:t>）</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-3,100.00</w:t>
            </w:r>
          </w:p>
        </w:tc>
      </w:tr>
      <w:tr w:rsidR="00B10A0B">
        <w:tc>
          <w:tcPr>
            <w:tcW w:w="3519" w:type="dxa"/>
            <w:vAlign w:val="bottom"/>
          </w:tcPr>
          <w:p w:rsidR="00B10A0B" w:rsidRDefault="00412F67">
            <w:pPr>
              <w:rPr>
                <w:rFonts w:ascii="Arial" w:hAnsi="Arial" w:cs="Arial"/>
                <w:lang w:val="en-GB"/>
              </w:rPr>
            </w:pPr>
            <w:r>
              <w:rPr>
                <w:rFonts w:ascii="Arial" w:hAnsi="Arial" w:cs="Arial" w:hint="eastAsia"/>
                <w:lang w:val="en-GB"/>
              </w:rPr>
              <w:t>3</w:t>
            </w:r>
            <w:r>
              <w:rPr>
                <w:rFonts w:ascii="Arial" w:hAnsi="Arial" w:cs="Arial"/>
                <w:lang w:val="en-GB"/>
              </w:rPr>
              <w:t>.</w:t>
            </w:r>
            <w:r>
              <w:rPr>
                <w:rFonts w:ascii="Arial" w:hAnsi="Arial" w:cs="Arial" w:hint="eastAsia"/>
                <w:lang w:val="en-GB"/>
              </w:rPr>
              <w:t>银行汇划费</w:t>
            </w:r>
          </w:p>
        </w:tc>
        <w:tc>
          <w:tcPr>
            <w:tcW w:w="5204" w:type="dxa"/>
            <w:vAlign w:val="bottom"/>
          </w:tcPr>
          <w:p w:rsidR="00B10A0B" w:rsidRDefault="00412F67">
            <w:pPr>
              <w:jc w:val="right"/>
              <w:rPr>
                <w:rFonts w:cs="Arial"/>
                <w:color w:val="000000"/>
                <w:szCs w:val="21"/>
              </w:rPr>
            </w:pPr>
            <w:r>
              <w:rPr>
                <w:rFonts w:cs="Arial"/>
                <w:color w:val="000000"/>
                <w:szCs w:val="21"/>
              </w:rPr>
              <w:t>1,119.71</w:t>
            </w:r>
          </w:p>
        </w:tc>
      </w:tr>
      <w:tr w:rsidR="00B10A0B">
        <w:tc>
          <w:tcPr>
            <w:tcW w:w="3519" w:type="dxa"/>
            <w:vAlign w:val="bottom"/>
          </w:tcPr>
          <w:p w:rsidR="00B10A0B" w:rsidRDefault="00412F67">
            <w:pPr>
              <w:rPr>
                <w:rFonts w:ascii="宋体" w:hAnsi="宋体" w:cs="Arial"/>
                <w:b/>
                <w:bCs/>
                <w:sz w:val="24"/>
                <w:szCs w:val="24"/>
              </w:rPr>
            </w:pPr>
            <w:r>
              <w:rPr>
                <w:rFonts w:ascii="宋体" w:hAnsi="宋体" w:cs="Arial" w:hint="eastAsia"/>
                <w:szCs w:val="21"/>
              </w:rPr>
              <w:t>三、清算期间净收益</w:t>
            </w:r>
          </w:p>
        </w:tc>
        <w:tc>
          <w:tcPr>
            <w:tcW w:w="5204" w:type="dxa"/>
            <w:vAlign w:val="bottom"/>
          </w:tcPr>
          <w:p w:rsidR="00B10A0B" w:rsidRDefault="00412F67">
            <w:pPr>
              <w:jc w:val="right"/>
              <w:rPr>
                <w:rFonts w:ascii="宋体" w:hAnsi="宋体" w:cs="Arial"/>
                <w:color w:val="000000"/>
                <w:szCs w:val="21"/>
              </w:rPr>
            </w:pPr>
            <w:r>
              <w:rPr>
                <w:rFonts w:cs="Arial" w:hint="eastAsia"/>
                <w:color w:val="000000"/>
                <w:szCs w:val="21"/>
              </w:rPr>
              <w:t>217,092.19</w:t>
            </w:r>
          </w:p>
        </w:tc>
      </w:tr>
    </w:tbl>
    <w:p w:rsidR="00B10A0B" w:rsidRDefault="00412F67">
      <w:pPr>
        <w:spacing w:line="360" w:lineRule="auto"/>
        <w:rPr>
          <w:rFonts w:ascii="宋体" w:hAnsi="宋体" w:cs="Arial"/>
          <w:szCs w:val="21"/>
        </w:rPr>
      </w:pPr>
      <w:r>
        <w:rPr>
          <w:rFonts w:ascii="宋体" w:hAnsi="宋体" w:cs="Arial" w:hint="eastAsia"/>
          <w:szCs w:val="21"/>
        </w:rPr>
        <w:t>注：（1）利息收入系计提的自</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年5月25</w:t>
      </w:r>
      <w:r>
        <w:rPr>
          <w:rFonts w:ascii="宋体" w:hAnsi="宋体" w:cs="Arial"/>
          <w:szCs w:val="21"/>
        </w:rPr>
        <w:t xml:space="preserve"> </w:t>
      </w:r>
      <w:r>
        <w:rPr>
          <w:rFonts w:ascii="宋体" w:hAnsi="宋体" w:cs="Arial" w:hint="eastAsia"/>
          <w:szCs w:val="21"/>
        </w:rPr>
        <w:t>日至</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年7</w:t>
      </w:r>
      <w:r>
        <w:rPr>
          <w:rFonts w:ascii="宋体" w:hAnsi="宋体" w:cs="Arial"/>
          <w:szCs w:val="21"/>
        </w:rPr>
        <w:t xml:space="preserve"> </w:t>
      </w:r>
      <w:r>
        <w:rPr>
          <w:rFonts w:ascii="宋体" w:hAnsi="宋体" w:cs="Arial" w:hint="eastAsia"/>
          <w:szCs w:val="21"/>
        </w:rPr>
        <w:t>月</w:t>
      </w:r>
      <w:r>
        <w:rPr>
          <w:rFonts w:ascii="宋体" w:hAnsi="宋体" w:cs="Arial"/>
          <w:szCs w:val="21"/>
        </w:rPr>
        <w:t xml:space="preserve">10 </w:t>
      </w:r>
      <w:r>
        <w:rPr>
          <w:rFonts w:ascii="宋体" w:hAnsi="宋体" w:cs="Arial" w:hint="eastAsia"/>
          <w:szCs w:val="21"/>
        </w:rPr>
        <w:t>日止清算期间的银行存款及最低备付金、结算保证金利息。</w:t>
      </w:r>
    </w:p>
    <w:p w:rsidR="00B10A0B" w:rsidRDefault="00412F67">
      <w:pPr>
        <w:spacing w:line="360" w:lineRule="auto"/>
        <w:ind w:firstLine="405"/>
        <w:rPr>
          <w:rFonts w:ascii="宋体" w:hAnsi="宋体" w:cs="Arial"/>
          <w:szCs w:val="21"/>
        </w:rPr>
      </w:pPr>
      <w:r>
        <w:rPr>
          <w:rFonts w:ascii="宋体" w:hAnsi="宋体" w:cs="Arial" w:hint="eastAsia"/>
          <w:szCs w:val="21"/>
        </w:rPr>
        <w:t>（2）其他收入为自</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年5月25</w:t>
      </w:r>
      <w:r>
        <w:rPr>
          <w:rFonts w:ascii="宋体" w:hAnsi="宋体" w:cs="Arial"/>
          <w:szCs w:val="21"/>
        </w:rPr>
        <w:t xml:space="preserve"> </w:t>
      </w:r>
      <w:r>
        <w:rPr>
          <w:rFonts w:ascii="宋体" w:hAnsi="宋体" w:cs="Arial" w:hint="eastAsia"/>
          <w:szCs w:val="21"/>
        </w:rPr>
        <w:t>日至</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年7</w:t>
      </w:r>
      <w:r>
        <w:rPr>
          <w:rFonts w:ascii="宋体" w:hAnsi="宋体" w:cs="Arial"/>
          <w:szCs w:val="21"/>
        </w:rPr>
        <w:t xml:space="preserve"> </w:t>
      </w:r>
      <w:r>
        <w:rPr>
          <w:rFonts w:ascii="宋体" w:hAnsi="宋体" w:cs="Arial" w:hint="eastAsia"/>
          <w:szCs w:val="21"/>
        </w:rPr>
        <w:t>月</w:t>
      </w:r>
      <w:r>
        <w:rPr>
          <w:rFonts w:ascii="宋体" w:hAnsi="宋体" w:cs="Arial"/>
          <w:szCs w:val="21"/>
        </w:rPr>
        <w:t xml:space="preserve">10 </w:t>
      </w:r>
      <w:r>
        <w:rPr>
          <w:rFonts w:ascii="宋体" w:hAnsi="宋体" w:cs="Arial" w:hint="eastAsia"/>
          <w:szCs w:val="21"/>
        </w:rPr>
        <w:t>日止清算期间赎回费归入基金资产的部分。</w:t>
      </w:r>
    </w:p>
    <w:p w:rsidR="00B10A0B" w:rsidRDefault="00412F67">
      <w:pPr>
        <w:spacing w:line="360" w:lineRule="auto"/>
        <w:ind w:firstLine="405"/>
        <w:rPr>
          <w:rFonts w:ascii="宋体" w:hAnsi="宋体" w:cs="Arial"/>
          <w:szCs w:val="21"/>
        </w:rPr>
      </w:pPr>
      <w:r>
        <w:rPr>
          <w:rFonts w:ascii="宋体" w:hAnsi="宋体" w:cs="Arial" w:hint="eastAsia"/>
          <w:szCs w:val="21"/>
        </w:rPr>
        <w:t>（3）交易费用为自</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年5月25</w:t>
      </w:r>
      <w:r>
        <w:rPr>
          <w:rFonts w:ascii="宋体" w:hAnsi="宋体" w:cs="Arial"/>
          <w:szCs w:val="21"/>
        </w:rPr>
        <w:t xml:space="preserve"> </w:t>
      </w:r>
      <w:r>
        <w:rPr>
          <w:rFonts w:ascii="宋体" w:hAnsi="宋体" w:cs="Arial" w:hint="eastAsia"/>
          <w:szCs w:val="21"/>
        </w:rPr>
        <w:t>日至</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年7</w:t>
      </w:r>
      <w:r>
        <w:rPr>
          <w:rFonts w:ascii="宋体" w:hAnsi="宋体" w:cs="Arial"/>
          <w:szCs w:val="21"/>
        </w:rPr>
        <w:t xml:space="preserve"> </w:t>
      </w:r>
      <w:r>
        <w:rPr>
          <w:rFonts w:ascii="宋体" w:hAnsi="宋体" w:cs="Arial" w:hint="eastAsia"/>
          <w:szCs w:val="21"/>
        </w:rPr>
        <w:t>月</w:t>
      </w:r>
      <w:r>
        <w:rPr>
          <w:rFonts w:ascii="宋体" w:hAnsi="宋体" w:cs="Arial"/>
          <w:szCs w:val="21"/>
        </w:rPr>
        <w:t xml:space="preserve">10 </w:t>
      </w:r>
      <w:r>
        <w:rPr>
          <w:rFonts w:ascii="宋体" w:hAnsi="宋体" w:cs="Arial" w:hint="eastAsia"/>
          <w:szCs w:val="21"/>
        </w:rPr>
        <w:t>日止清算期间交易所市场交易费用。</w:t>
      </w:r>
    </w:p>
    <w:p w:rsidR="00B10A0B" w:rsidRDefault="00412F67">
      <w:pPr>
        <w:spacing w:line="360" w:lineRule="auto"/>
        <w:ind w:firstLine="405"/>
        <w:rPr>
          <w:rFonts w:ascii="宋体" w:hAnsi="宋体" w:cs="Arial"/>
          <w:szCs w:val="21"/>
        </w:rPr>
      </w:pPr>
      <w:r>
        <w:rPr>
          <w:rFonts w:ascii="宋体" w:hAnsi="宋体" w:cs="Arial" w:hint="eastAsia"/>
          <w:szCs w:val="21"/>
        </w:rPr>
        <w:t>（4）其他费用为预提账户维护费9,300.00与2019</w:t>
      </w:r>
      <w:r>
        <w:rPr>
          <w:rFonts w:ascii="宋体" w:hAnsi="宋体" w:cs="Arial"/>
          <w:szCs w:val="21"/>
        </w:rPr>
        <w:t>年</w:t>
      </w:r>
      <w:r>
        <w:rPr>
          <w:rFonts w:ascii="宋体" w:hAnsi="宋体" w:cs="Arial" w:hint="eastAsia"/>
          <w:szCs w:val="21"/>
        </w:rPr>
        <w:t>6</w:t>
      </w:r>
      <w:r>
        <w:rPr>
          <w:rFonts w:ascii="宋体" w:hAnsi="宋体" w:cs="Arial"/>
          <w:szCs w:val="21"/>
        </w:rPr>
        <w:t>月</w:t>
      </w:r>
      <w:r>
        <w:rPr>
          <w:rFonts w:ascii="宋体" w:hAnsi="宋体" w:cs="Arial" w:hint="eastAsia"/>
          <w:szCs w:val="21"/>
        </w:rPr>
        <w:t>24</w:t>
      </w:r>
      <w:r>
        <w:rPr>
          <w:rFonts w:ascii="宋体" w:hAnsi="宋体" w:cs="Arial"/>
          <w:szCs w:val="21"/>
        </w:rPr>
        <w:t>日</w:t>
      </w:r>
      <w:r>
        <w:rPr>
          <w:rFonts w:ascii="宋体" w:hAnsi="宋体" w:cs="Arial" w:hint="eastAsia"/>
          <w:szCs w:val="21"/>
        </w:rPr>
        <w:t>实际支付支付金额6,200.00的差额。</w:t>
      </w:r>
    </w:p>
    <w:p w:rsidR="00B10A0B" w:rsidRDefault="00412F67">
      <w:pPr>
        <w:spacing w:line="360" w:lineRule="auto"/>
        <w:ind w:firstLineChars="200" w:firstLine="420"/>
        <w:outlineLvl w:val="0"/>
        <w:rPr>
          <w:rFonts w:ascii="宋体" w:hAnsi="宋体" w:cs="Arial"/>
          <w:szCs w:val="21"/>
        </w:rPr>
      </w:pPr>
      <w:r>
        <w:rPr>
          <w:rFonts w:ascii="宋体" w:hAnsi="宋体" w:cs="Arial"/>
          <w:szCs w:val="21"/>
        </w:rPr>
        <w:t>5、</w:t>
      </w:r>
      <w:r>
        <w:rPr>
          <w:rFonts w:ascii="宋体" w:hAnsi="宋体" w:cs="Arial" w:hint="eastAsia"/>
          <w:szCs w:val="21"/>
        </w:rPr>
        <w:t>资产处置及负债清偿后的剩余资产分配情况</w:t>
      </w:r>
    </w:p>
    <w:p w:rsidR="00B10A0B" w:rsidRDefault="00412F67">
      <w:pPr>
        <w:spacing w:line="360" w:lineRule="auto"/>
        <w:ind w:firstLineChars="200" w:firstLine="420"/>
        <w:outlineLvl w:val="0"/>
        <w:rPr>
          <w:rFonts w:ascii="宋体" w:hAnsi="宋体" w:cs="Arial"/>
          <w:szCs w:val="21"/>
        </w:rPr>
      </w:pPr>
      <w:r>
        <w:rPr>
          <w:rFonts w:ascii="宋体" w:hAnsi="宋体" w:cs="Arial" w:hint="eastAsia"/>
          <w:szCs w:val="21"/>
        </w:rPr>
        <w:t xml:space="preserve">                                                          单位：人民币元</w:t>
      </w:r>
    </w:p>
    <w:tbl>
      <w:tblPr>
        <w:tblStyle w:val="aa"/>
        <w:tblW w:w="8522" w:type="dxa"/>
        <w:tblLayout w:type="fixed"/>
        <w:tblLook w:val="04A0"/>
      </w:tblPr>
      <w:tblGrid>
        <w:gridCol w:w="5211"/>
        <w:gridCol w:w="3311"/>
      </w:tblGrid>
      <w:tr w:rsidR="00B10A0B">
        <w:tc>
          <w:tcPr>
            <w:tcW w:w="5211" w:type="dxa"/>
          </w:tcPr>
          <w:p w:rsidR="00B10A0B" w:rsidRDefault="00412F67">
            <w:pPr>
              <w:autoSpaceDE w:val="0"/>
              <w:autoSpaceDN w:val="0"/>
              <w:adjustRightInd w:val="0"/>
              <w:jc w:val="center"/>
              <w:rPr>
                <w:rFonts w:ascii="宋体" w:hAnsi="宋体" w:cs="Arial"/>
                <w:szCs w:val="21"/>
              </w:rPr>
            </w:pPr>
            <w:r>
              <w:rPr>
                <w:rFonts w:ascii="宋体" w:hAnsi="宋体" w:cs="Arial" w:hint="eastAsia"/>
                <w:szCs w:val="21"/>
              </w:rPr>
              <w:t>项目</w:t>
            </w:r>
          </w:p>
        </w:tc>
        <w:tc>
          <w:tcPr>
            <w:tcW w:w="3311" w:type="dxa"/>
          </w:tcPr>
          <w:p w:rsidR="00B10A0B" w:rsidRDefault="00412F67">
            <w:pPr>
              <w:autoSpaceDE w:val="0"/>
              <w:autoSpaceDN w:val="0"/>
              <w:adjustRightInd w:val="0"/>
              <w:jc w:val="center"/>
              <w:rPr>
                <w:rFonts w:ascii="宋体" w:hAnsi="宋体" w:cs="Arial"/>
                <w:szCs w:val="21"/>
              </w:rPr>
            </w:pPr>
            <w:r>
              <w:rPr>
                <w:rFonts w:ascii="宋体" w:hAnsi="宋体" w:cs="Arial" w:hint="eastAsia"/>
                <w:szCs w:val="21"/>
              </w:rPr>
              <w:t>金额</w:t>
            </w:r>
          </w:p>
        </w:tc>
      </w:tr>
      <w:tr w:rsidR="00B10A0B">
        <w:tc>
          <w:tcPr>
            <w:tcW w:w="5211" w:type="dxa"/>
          </w:tcPr>
          <w:p w:rsidR="00B10A0B" w:rsidRDefault="00412F67">
            <w:pPr>
              <w:autoSpaceDE w:val="0"/>
              <w:autoSpaceDN w:val="0"/>
              <w:adjustRightInd w:val="0"/>
              <w:jc w:val="left"/>
              <w:rPr>
                <w:rFonts w:ascii="宋体" w:hAnsi="宋体" w:cs="Arial"/>
                <w:szCs w:val="21"/>
              </w:rPr>
            </w:pPr>
            <w:r>
              <w:rPr>
                <w:rFonts w:ascii="宋体" w:hAnsi="宋体" w:cs="Arial" w:hint="eastAsia"/>
                <w:szCs w:val="21"/>
              </w:rPr>
              <w:t>最后运作日</w:t>
            </w:r>
            <w:r>
              <w:rPr>
                <w:rFonts w:ascii="宋体" w:hAnsi="宋体" w:cs="Arial"/>
                <w:szCs w:val="21"/>
              </w:rPr>
              <w:t>201</w:t>
            </w:r>
            <w:r>
              <w:rPr>
                <w:rFonts w:ascii="宋体" w:hAnsi="宋体" w:cs="Arial" w:hint="eastAsia"/>
                <w:szCs w:val="21"/>
              </w:rPr>
              <w:t>9</w:t>
            </w:r>
            <w:r>
              <w:rPr>
                <w:rFonts w:ascii="宋体" w:hAnsi="宋体" w:cs="Arial"/>
                <w:szCs w:val="21"/>
              </w:rPr>
              <w:t xml:space="preserve"> </w:t>
            </w:r>
            <w:r>
              <w:rPr>
                <w:rFonts w:ascii="宋体" w:hAnsi="宋体" w:cs="Arial" w:hint="eastAsia"/>
                <w:szCs w:val="21"/>
              </w:rPr>
              <w:t>年5月24日基金净资产</w:t>
            </w:r>
          </w:p>
        </w:tc>
        <w:tc>
          <w:tcPr>
            <w:tcW w:w="3311" w:type="dxa"/>
          </w:tcPr>
          <w:p w:rsidR="00B10A0B" w:rsidRDefault="00412F67">
            <w:pPr>
              <w:autoSpaceDE w:val="0"/>
              <w:autoSpaceDN w:val="0"/>
              <w:adjustRightInd w:val="0"/>
              <w:jc w:val="right"/>
              <w:rPr>
                <w:rFonts w:ascii="宋体" w:hAnsi="宋体" w:cs="Arial"/>
                <w:szCs w:val="21"/>
              </w:rPr>
            </w:pPr>
            <w:r>
              <w:rPr>
                <w:rFonts w:ascii="宋体" w:hAnsi="宋体" w:cs="Arial"/>
                <w:szCs w:val="21"/>
              </w:rPr>
              <w:t>20,807,177.87</w:t>
            </w:r>
          </w:p>
        </w:tc>
      </w:tr>
      <w:tr w:rsidR="00B10A0B">
        <w:tc>
          <w:tcPr>
            <w:tcW w:w="5211" w:type="dxa"/>
          </w:tcPr>
          <w:p w:rsidR="00B10A0B" w:rsidRDefault="00412F67">
            <w:pPr>
              <w:jc w:val="left"/>
              <w:rPr>
                <w:rFonts w:ascii="宋体" w:hAnsi="宋体" w:cs="Arial"/>
                <w:szCs w:val="21"/>
              </w:rPr>
            </w:pPr>
            <w:r>
              <w:rPr>
                <w:rFonts w:ascii="宋体" w:hAnsi="宋体" w:cs="Arial" w:hint="eastAsia"/>
                <w:b/>
                <w:szCs w:val="21"/>
              </w:rPr>
              <w:t>加：</w:t>
            </w:r>
            <w:r>
              <w:rPr>
                <w:rFonts w:ascii="宋体" w:hAnsi="宋体" w:cs="Arial" w:hint="eastAsia"/>
                <w:szCs w:val="21"/>
              </w:rPr>
              <w:t>清算期间净收益</w:t>
            </w:r>
          </w:p>
        </w:tc>
        <w:tc>
          <w:tcPr>
            <w:tcW w:w="3311" w:type="dxa"/>
          </w:tcPr>
          <w:p w:rsidR="00B10A0B" w:rsidRDefault="00412F67">
            <w:pPr>
              <w:jc w:val="right"/>
              <w:rPr>
                <w:rFonts w:ascii="宋体" w:hAnsi="宋体" w:cs="Arial"/>
                <w:szCs w:val="21"/>
              </w:rPr>
            </w:pPr>
            <w:r>
              <w:rPr>
                <w:rFonts w:ascii="宋体" w:hAnsi="宋体" w:cs="Arial" w:hint="eastAsia"/>
                <w:szCs w:val="21"/>
              </w:rPr>
              <w:t>217,092.19</w:t>
            </w:r>
          </w:p>
        </w:tc>
      </w:tr>
      <w:tr w:rsidR="00B10A0B">
        <w:tc>
          <w:tcPr>
            <w:tcW w:w="5211" w:type="dxa"/>
          </w:tcPr>
          <w:p w:rsidR="00B10A0B" w:rsidRDefault="00412F67">
            <w:pPr>
              <w:autoSpaceDE w:val="0"/>
              <w:autoSpaceDN w:val="0"/>
              <w:adjustRightInd w:val="0"/>
              <w:jc w:val="left"/>
              <w:rPr>
                <w:rFonts w:ascii="宋体" w:hAnsi="宋体" w:cs="Arial"/>
                <w:b/>
                <w:szCs w:val="21"/>
              </w:rPr>
            </w:pPr>
            <w:r>
              <w:rPr>
                <w:rFonts w:ascii="宋体" w:hAnsi="宋体" w:cs="Arial" w:hint="eastAsia"/>
                <w:b/>
                <w:szCs w:val="21"/>
              </w:rPr>
              <w:t>减：</w:t>
            </w:r>
            <w:r>
              <w:rPr>
                <w:rFonts w:ascii="宋体" w:hAnsi="宋体" w:cs="Arial" w:hint="eastAsia"/>
                <w:szCs w:val="21"/>
              </w:rPr>
              <w:t>期间赎回影响</w:t>
            </w:r>
          </w:p>
        </w:tc>
        <w:tc>
          <w:tcPr>
            <w:tcW w:w="3311" w:type="dxa"/>
          </w:tcPr>
          <w:p w:rsidR="00B10A0B" w:rsidRDefault="00412F67">
            <w:pPr>
              <w:jc w:val="right"/>
              <w:rPr>
                <w:rFonts w:ascii="宋体" w:hAnsi="宋体" w:cs="Arial"/>
                <w:szCs w:val="21"/>
              </w:rPr>
            </w:pPr>
            <w:r>
              <w:rPr>
                <w:rFonts w:ascii="宋体" w:hAnsi="宋体" w:cs="Arial"/>
                <w:szCs w:val="21"/>
              </w:rPr>
              <w:t xml:space="preserve">-17,259,502.12 </w:t>
            </w:r>
          </w:p>
        </w:tc>
      </w:tr>
      <w:tr w:rsidR="00B10A0B">
        <w:tc>
          <w:tcPr>
            <w:tcW w:w="5211" w:type="dxa"/>
          </w:tcPr>
          <w:p w:rsidR="00B10A0B" w:rsidRDefault="00412F67">
            <w:pPr>
              <w:autoSpaceDE w:val="0"/>
              <w:autoSpaceDN w:val="0"/>
              <w:adjustRightInd w:val="0"/>
              <w:jc w:val="left"/>
              <w:rPr>
                <w:rFonts w:ascii="宋体" w:hAnsi="宋体" w:cs="Arial"/>
                <w:szCs w:val="21"/>
              </w:rPr>
            </w:pPr>
            <w:r>
              <w:rPr>
                <w:rFonts w:ascii="宋体" w:hAnsi="宋体" w:cs="Arial"/>
                <w:szCs w:val="21"/>
              </w:rPr>
              <w:t>201</w:t>
            </w:r>
            <w:r>
              <w:rPr>
                <w:rFonts w:ascii="宋体" w:hAnsi="宋体" w:cs="Arial" w:hint="eastAsia"/>
                <w:szCs w:val="21"/>
              </w:rPr>
              <w:t>9年7月</w:t>
            </w:r>
            <w:r>
              <w:rPr>
                <w:rFonts w:ascii="宋体" w:hAnsi="宋体" w:cs="Arial"/>
                <w:szCs w:val="21"/>
              </w:rPr>
              <w:t>1</w:t>
            </w:r>
            <w:r>
              <w:rPr>
                <w:rFonts w:ascii="宋体" w:hAnsi="宋体" w:cs="Arial" w:hint="eastAsia"/>
                <w:szCs w:val="21"/>
              </w:rPr>
              <w:t>0日基金净资产</w:t>
            </w:r>
          </w:p>
        </w:tc>
        <w:tc>
          <w:tcPr>
            <w:tcW w:w="3311" w:type="dxa"/>
          </w:tcPr>
          <w:p w:rsidR="00B10A0B" w:rsidRDefault="00412F67">
            <w:pPr>
              <w:jc w:val="right"/>
              <w:rPr>
                <w:rFonts w:ascii="宋体" w:hAnsi="宋体" w:cs="Arial"/>
                <w:szCs w:val="21"/>
              </w:rPr>
            </w:pPr>
            <w:r>
              <w:rPr>
                <w:rFonts w:ascii="宋体" w:hAnsi="宋体" w:cs="Arial"/>
                <w:szCs w:val="21"/>
              </w:rPr>
              <w:t>3,764,767.94</w:t>
            </w:r>
          </w:p>
        </w:tc>
      </w:tr>
    </w:tbl>
    <w:p w:rsidR="00B10A0B" w:rsidRDefault="00412F67">
      <w:pPr>
        <w:autoSpaceDE w:val="0"/>
        <w:autoSpaceDN w:val="0"/>
        <w:adjustRightInd w:val="0"/>
        <w:spacing w:line="360" w:lineRule="auto"/>
        <w:jc w:val="left"/>
        <w:rPr>
          <w:rFonts w:ascii="宋体" w:hAnsi="宋体" w:cs="Arial"/>
          <w:szCs w:val="21"/>
        </w:rPr>
      </w:pPr>
      <w:r>
        <w:rPr>
          <w:rFonts w:ascii="宋体" w:hAnsi="宋体" w:cs="Arial" w:hint="eastAsia"/>
          <w:szCs w:val="21"/>
        </w:rPr>
        <w:t>注：2019年5月24日(基金最后运作日)提出申请并于2019年5月27日确认的应付赎回款及应付转出金额为</w:t>
      </w:r>
      <w:r>
        <w:rPr>
          <w:rFonts w:ascii="宋体" w:hAnsi="宋体" w:cs="Arial"/>
          <w:szCs w:val="21"/>
        </w:rPr>
        <w:t>17</w:t>
      </w:r>
      <w:r>
        <w:rPr>
          <w:rFonts w:ascii="宋体" w:hAnsi="宋体" w:cs="Arial" w:hint="eastAsia"/>
          <w:szCs w:val="21"/>
        </w:rPr>
        <w:t>,</w:t>
      </w:r>
      <w:r>
        <w:rPr>
          <w:rFonts w:ascii="宋体" w:hAnsi="宋体" w:cs="Arial"/>
          <w:szCs w:val="21"/>
        </w:rPr>
        <w:t>258</w:t>
      </w:r>
      <w:r>
        <w:rPr>
          <w:rFonts w:ascii="宋体" w:hAnsi="宋体" w:cs="Arial" w:hint="eastAsia"/>
          <w:szCs w:val="21"/>
        </w:rPr>
        <w:t>,</w:t>
      </w:r>
      <w:r>
        <w:rPr>
          <w:rFonts w:ascii="宋体" w:hAnsi="宋体" w:cs="Arial"/>
          <w:szCs w:val="21"/>
        </w:rPr>
        <w:t>563.97</w:t>
      </w:r>
      <w:r>
        <w:rPr>
          <w:rFonts w:ascii="宋体" w:hAnsi="宋体" w:cs="Arial" w:hint="eastAsia"/>
          <w:szCs w:val="21"/>
        </w:rPr>
        <w:t>元，应付赎回费为938.15。上述款项已从本基金托管账户划付给基金份额持有人。</w:t>
      </w:r>
    </w:p>
    <w:p w:rsidR="00B10A0B" w:rsidRDefault="00412F67">
      <w:pPr>
        <w:spacing w:line="360" w:lineRule="auto"/>
        <w:ind w:firstLineChars="200" w:firstLine="420"/>
        <w:outlineLvl w:val="0"/>
        <w:rPr>
          <w:rFonts w:ascii="宋体" w:hAnsi="宋体" w:cs="Arial"/>
          <w:szCs w:val="21"/>
        </w:rPr>
      </w:pPr>
      <w:r>
        <w:rPr>
          <w:rFonts w:ascii="宋体" w:hAnsi="宋体" w:cs="Arial" w:hint="eastAsia"/>
          <w:szCs w:val="21"/>
        </w:rPr>
        <w:t>截至本次清算期结束日2019年7月10日，本基金剩余财产为3,764,767.94元。</w:t>
      </w:r>
      <w:r w:rsidR="009272B9">
        <w:rPr>
          <w:rFonts w:ascii="宋体" w:hAnsi="宋体" w:cs="Arial" w:hint="eastAsia"/>
          <w:szCs w:val="21"/>
        </w:rPr>
        <w:t>自本次清算期结束次日（2019年7月11日）至本次清算款划出前一日所产生的利息（含管理人垫付资金产生利息），归</w:t>
      </w:r>
      <w:r w:rsidR="004A7ED0">
        <w:rPr>
          <w:rFonts w:ascii="宋体" w:hAnsi="宋体" w:cs="Arial" w:hint="eastAsia"/>
          <w:szCs w:val="21"/>
        </w:rPr>
        <w:t>基金份额持有人</w:t>
      </w:r>
      <w:r w:rsidR="009272B9">
        <w:rPr>
          <w:rFonts w:ascii="宋体" w:hAnsi="宋体" w:cs="Arial" w:hint="eastAsia"/>
          <w:szCs w:val="21"/>
        </w:rPr>
        <w:t>所有。</w:t>
      </w:r>
    </w:p>
    <w:p w:rsidR="009272B9" w:rsidRDefault="009272B9">
      <w:pPr>
        <w:spacing w:line="360" w:lineRule="auto"/>
        <w:ind w:firstLineChars="200" w:firstLine="420"/>
        <w:outlineLvl w:val="0"/>
        <w:rPr>
          <w:rFonts w:ascii="宋体" w:hAnsi="宋体" w:cs="Arial"/>
          <w:szCs w:val="21"/>
        </w:rPr>
      </w:pPr>
      <w:r>
        <w:rPr>
          <w:rFonts w:ascii="宋体" w:hAnsi="宋体" w:cs="Arial" w:hint="eastAsia"/>
          <w:szCs w:val="21"/>
        </w:rPr>
        <w:t>本基金所有剩余财产在扣除基金财产清算费用、交纳所欠税款并清偿基金债务后，按基金份额持有人持有的基金份额比例进行分配。</w:t>
      </w:r>
    </w:p>
    <w:p w:rsidR="00B10A0B" w:rsidRDefault="00412F67">
      <w:pPr>
        <w:spacing w:line="360" w:lineRule="auto"/>
        <w:ind w:firstLineChars="200" w:firstLine="420"/>
        <w:outlineLvl w:val="0"/>
        <w:rPr>
          <w:rFonts w:ascii="宋体" w:hAnsi="宋体" w:cs="Arial"/>
          <w:szCs w:val="21"/>
        </w:rPr>
      </w:pPr>
      <w:r>
        <w:rPr>
          <w:rFonts w:ascii="宋体" w:hAnsi="宋体" w:cs="Arial" w:hint="eastAsia"/>
          <w:szCs w:val="21"/>
        </w:rPr>
        <w:t>6、</w:t>
      </w:r>
      <w:r>
        <w:rPr>
          <w:rFonts w:ascii="宋体" w:hAnsi="宋体" w:cs="Arial"/>
          <w:szCs w:val="21"/>
        </w:rPr>
        <w:t>基金财产清算报告的告知安排</w:t>
      </w:r>
    </w:p>
    <w:p w:rsidR="00B10A0B" w:rsidRDefault="00412F67">
      <w:pPr>
        <w:spacing w:line="360" w:lineRule="auto"/>
        <w:ind w:firstLineChars="200" w:firstLine="420"/>
        <w:rPr>
          <w:rFonts w:ascii="宋体" w:hAnsi="宋体" w:cs="Arial"/>
          <w:sz w:val="18"/>
          <w:szCs w:val="18"/>
        </w:rPr>
      </w:pPr>
      <w:r>
        <w:rPr>
          <w:rFonts w:ascii="宋体" w:hAnsi="宋体" w:cs="Arial"/>
          <w:szCs w:val="21"/>
        </w:rPr>
        <w:t>本清算报告已经基金托管人复核，</w:t>
      </w:r>
      <w:r>
        <w:rPr>
          <w:rFonts w:ascii="宋体" w:hAnsi="宋体" w:cs="Arial" w:hint="eastAsia"/>
          <w:szCs w:val="21"/>
        </w:rPr>
        <w:t>将与</w:t>
      </w:r>
      <w:r>
        <w:rPr>
          <w:rFonts w:ascii="宋体" w:hAnsi="宋体" w:cs="Arial"/>
          <w:szCs w:val="21"/>
        </w:rPr>
        <w:t>会计师事务所</w:t>
      </w:r>
      <w:r>
        <w:rPr>
          <w:rFonts w:ascii="宋体" w:hAnsi="宋体" w:cs="Arial" w:hint="eastAsia"/>
          <w:szCs w:val="21"/>
        </w:rPr>
        <w:t>出具的</w:t>
      </w:r>
      <w:r>
        <w:rPr>
          <w:rFonts w:ascii="宋体" w:hAnsi="宋体" w:cs="Arial"/>
          <w:szCs w:val="21"/>
        </w:rPr>
        <w:t>审计</w:t>
      </w:r>
      <w:r>
        <w:rPr>
          <w:rFonts w:ascii="宋体" w:hAnsi="宋体" w:cs="Arial" w:hint="eastAsia"/>
          <w:szCs w:val="21"/>
        </w:rPr>
        <w:t>报告</w:t>
      </w:r>
      <w:r>
        <w:rPr>
          <w:rFonts w:ascii="宋体" w:hAnsi="宋体" w:cs="Arial"/>
          <w:szCs w:val="21"/>
        </w:rPr>
        <w:t>、律师事务所出具</w:t>
      </w:r>
      <w:r>
        <w:rPr>
          <w:rFonts w:ascii="宋体" w:hAnsi="宋体" w:cs="Arial" w:hint="eastAsia"/>
          <w:szCs w:val="21"/>
        </w:rPr>
        <w:t>的</w:t>
      </w:r>
      <w:r>
        <w:rPr>
          <w:rFonts w:ascii="宋体" w:hAnsi="宋体" w:cs="Arial"/>
          <w:szCs w:val="21"/>
        </w:rPr>
        <w:t>法律意见书</w:t>
      </w:r>
      <w:r>
        <w:rPr>
          <w:rFonts w:ascii="宋体" w:hAnsi="宋体" w:cs="Arial" w:hint="eastAsia"/>
          <w:szCs w:val="21"/>
        </w:rPr>
        <w:t>一并</w:t>
      </w:r>
      <w:r>
        <w:rPr>
          <w:rFonts w:ascii="宋体" w:hAnsi="宋体" w:cs="Arial"/>
          <w:szCs w:val="21"/>
        </w:rPr>
        <w:t>报中国证监会备案</w:t>
      </w:r>
      <w:r>
        <w:rPr>
          <w:rFonts w:ascii="宋体" w:hAnsi="宋体" w:cs="Arial" w:hint="eastAsia"/>
          <w:szCs w:val="21"/>
        </w:rPr>
        <w:t>后</w:t>
      </w:r>
      <w:r>
        <w:rPr>
          <w:rFonts w:ascii="宋体" w:hAnsi="宋体" w:cs="Arial"/>
          <w:szCs w:val="21"/>
        </w:rPr>
        <w:t>向基金份额持有人公告。</w:t>
      </w:r>
      <w:r>
        <w:rPr>
          <w:rFonts w:ascii="宋体" w:hAnsi="宋体" w:cs="Arial" w:hint="eastAsia"/>
          <w:szCs w:val="21"/>
        </w:rPr>
        <w:t>清算报告公告后，基金管理人将根据法律法规及本基金的基金合同约定及时进行基金剩余财产的分配。</w:t>
      </w:r>
    </w:p>
    <w:p w:rsidR="00B10A0B" w:rsidRDefault="00412F67">
      <w:pPr>
        <w:pStyle w:val="a8"/>
        <w:spacing w:line="360" w:lineRule="auto"/>
        <w:ind w:firstLineChars="200" w:firstLine="422"/>
        <w:jc w:val="center"/>
        <w:outlineLvl w:val="0"/>
        <w:rPr>
          <w:rFonts w:cs="Times New Roman"/>
          <w:b/>
          <w:kern w:val="2"/>
          <w:sz w:val="21"/>
          <w:szCs w:val="21"/>
        </w:rPr>
      </w:pPr>
      <w:r>
        <w:rPr>
          <w:rFonts w:cs="Times New Roman"/>
          <w:b/>
          <w:kern w:val="2"/>
          <w:sz w:val="21"/>
          <w:szCs w:val="21"/>
        </w:rPr>
        <w:t>六、备查文件</w:t>
      </w:r>
    </w:p>
    <w:p w:rsidR="00B10A0B" w:rsidRDefault="00412F67">
      <w:pPr>
        <w:spacing w:line="360" w:lineRule="auto"/>
        <w:ind w:firstLineChars="200" w:firstLine="420"/>
        <w:rPr>
          <w:rFonts w:ascii="宋体" w:hAnsi="宋体" w:cs="Arial"/>
          <w:szCs w:val="21"/>
        </w:rPr>
      </w:pPr>
      <w:r>
        <w:rPr>
          <w:rFonts w:ascii="宋体" w:hAnsi="宋体" w:cs="Arial"/>
          <w:szCs w:val="21"/>
        </w:rPr>
        <w:t>1、备查文件目录</w:t>
      </w:r>
    </w:p>
    <w:p w:rsidR="00B10A0B" w:rsidRDefault="00412F67">
      <w:pPr>
        <w:spacing w:line="360" w:lineRule="auto"/>
        <w:ind w:firstLineChars="200" w:firstLine="420"/>
        <w:rPr>
          <w:rFonts w:ascii="宋体" w:hAnsi="宋体" w:cs="Arial"/>
          <w:szCs w:val="21"/>
        </w:rPr>
      </w:pPr>
      <w:r>
        <w:rPr>
          <w:rFonts w:ascii="宋体" w:hAnsi="宋体" w:cs="Arial"/>
          <w:szCs w:val="21"/>
        </w:rPr>
        <w:t>（1）</w:t>
      </w:r>
      <w:r>
        <w:rPr>
          <w:rFonts w:ascii="宋体" w:hAnsi="宋体" w:cs="Arial" w:hint="eastAsia"/>
          <w:szCs w:val="21"/>
        </w:rPr>
        <w:t>《中银证券瑞丰定期开放灵活配置混合型证券投资基金</w:t>
      </w:r>
      <w:r>
        <w:rPr>
          <w:rFonts w:ascii="宋体" w:hAnsi="宋体" w:cs="Arial"/>
          <w:szCs w:val="21"/>
        </w:rPr>
        <w:t>2017年9月6日(基金合同生效日)至201</w:t>
      </w:r>
      <w:r>
        <w:rPr>
          <w:rFonts w:ascii="宋体" w:hAnsi="宋体" w:cs="Arial" w:hint="eastAsia"/>
          <w:szCs w:val="21"/>
        </w:rPr>
        <w:t>9</w:t>
      </w:r>
      <w:r>
        <w:rPr>
          <w:rFonts w:ascii="宋体" w:hAnsi="宋体" w:cs="Arial"/>
          <w:szCs w:val="21"/>
        </w:rPr>
        <w:t>年</w:t>
      </w:r>
      <w:r>
        <w:rPr>
          <w:rFonts w:ascii="宋体" w:hAnsi="宋体" w:cs="Arial" w:hint="eastAsia"/>
          <w:szCs w:val="21"/>
        </w:rPr>
        <w:t>5</w:t>
      </w:r>
      <w:r>
        <w:rPr>
          <w:rFonts w:ascii="宋体" w:hAnsi="宋体" w:cs="Arial"/>
          <w:szCs w:val="21"/>
        </w:rPr>
        <w:t>月</w:t>
      </w:r>
      <w:r>
        <w:rPr>
          <w:rFonts w:ascii="宋体" w:hAnsi="宋体" w:cs="Arial" w:hint="eastAsia"/>
          <w:szCs w:val="21"/>
        </w:rPr>
        <w:t>24</w:t>
      </w:r>
      <w:r>
        <w:rPr>
          <w:rFonts w:ascii="宋体" w:hAnsi="宋体" w:cs="Arial"/>
          <w:szCs w:val="21"/>
        </w:rPr>
        <w:t>日(基金最后运作日)止期间的</w:t>
      </w:r>
      <w:bookmarkStart w:id="8" w:name="OLE_LINK21"/>
      <w:bookmarkStart w:id="9" w:name="OLE_LINK20"/>
      <w:r>
        <w:rPr>
          <w:rFonts w:ascii="宋体" w:hAnsi="宋体" w:cs="Arial" w:hint="eastAsia"/>
          <w:szCs w:val="21"/>
        </w:rPr>
        <w:t>财务报表及审计报告</w:t>
      </w:r>
      <w:bookmarkEnd w:id="8"/>
      <w:bookmarkEnd w:id="9"/>
      <w:r>
        <w:rPr>
          <w:rFonts w:ascii="宋体" w:hAnsi="宋体" w:cs="Arial" w:hint="eastAsia"/>
          <w:szCs w:val="21"/>
        </w:rPr>
        <w:t>》</w:t>
      </w:r>
    </w:p>
    <w:p w:rsidR="00B10A0B" w:rsidRDefault="00412F67">
      <w:pPr>
        <w:spacing w:line="360" w:lineRule="auto"/>
        <w:ind w:firstLineChars="200" w:firstLine="420"/>
        <w:rPr>
          <w:rFonts w:ascii="宋体" w:hAnsi="宋体" w:cs="Arial"/>
          <w:szCs w:val="21"/>
        </w:rPr>
      </w:pPr>
      <w:r>
        <w:rPr>
          <w:rFonts w:ascii="宋体" w:hAnsi="宋体" w:cs="Arial"/>
          <w:szCs w:val="21"/>
        </w:rPr>
        <w:t>（2）</w:t>
      </w:r>
      <w:r>
        <w:rPr>
          <w:rFonts w:ascii="宋体" w:hAnsi="宋体" w:cs="Arial" w:hint="eastAsia"/>
          <w:szCs w:val="21"/>
        </w:rPr>
        <w:t>关于《中银证券瑞丰定期开放灵活配置混合型证券投资基金清算报告》的法律意见</w:t>
      </w:r>
    </w:p>
    <w:p w:rsidR="00B10A0B" w:rsidRDefault="00412F67">
      <w:pPr>
        <w:spacing w:line="360" w:lineRule="auto"/>
        <w:ind w:firstLineChars="200" w:firstLine="420"/>
        <w:rPr>
          <w:rFonts w:ascii="宋体" w:hAnsi="宋体" w:cs="Arial"/>
          <w:szCs w:val="21"/>
        </w:rPr>
      </w:pPr>
      <w:bookmarkStart w:id="10" w:name="_GoBack"/>
      <w:bookmarkEnd w:id="10"/>
      <w:r>
        <w:rPr>
          <w:rFonts w:ascii="宋体" w:hAnsi="宋体" w:cs="Arial"/>
          <w:szCs w:val="21"/>
        </w:rPr>
        <w:t>2、存放地点</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基金管理人和基金托管人的办公场所，并登载于基金管理人基金网站www.bocifunds.com。</w:t>
      </w:r>
    </w:p>
    <w:p w:rsidR="00B10A0B" w:rsidRDefault="00412F67">
      <w:pPr>
        <w:spacing w:line="360" w:lineRule="auto"/>
        <w:ind w:firstLineChars="200" w:firstLine="420"/>
        <w:rPr>
          <w:rFonts w:ascii="宋体" w:hAnsi="宋体" w:cs="Arial"/>
          <w:szCs w:val="21"/>
        </w:rPr>
      </w:pPr>
      <w:r>
        <w:rPr>
          <w:rFonts w:ascii="宋体" w:hAnsi="宋体" w:cs="Arial"/>
          <w:szCs w:val="21"/>
        </w:rPr>
        <w:t>3、查阅方式</w:t>
      </w:r>
    </w:p>
    <w:p w:rsidR="00B10A0B" w:rsidRDefault="00412F67">
      <w:pPr>
        <w:spacing w:line="360" w:lineRule="auto"/>
        <w:ind w:firstLineChars="200" w:firstLine="420"/>
        <w:rPr>
          <w:rFonts w:ascii="宋体" w:hAnsi="宋体" w:cs="Arial"/>
          <w:szCs w:val="21"/>
        </w:rPr>
      </w:pPr>
      <w:r>
        <w:rPr>
          <w:rFonts w:ascii="宋体" w:hAnsi="宋体" w:cs="Arial" w:hint="eastAsia"/>
          <w:szCs w:val="21"/>
        </w:rPr>
        <w:t>投资者可以在开放时间内至基金管理人或基金托管人住所免费查阅，也可登陆基金管理人基金网站www.bocifunds.com查阅。</w:t>
      </w:r>
    </w:p>
    <w:p w:rsidR="00B10A0B" w:rsidRDefault="00B10A0B">
      <w:pPr>
        <w:spacing w:line="360" w:lineRule="auto"/>
        <w:ind w:firstLineChars="200" w:firstLine="420"/>
        <w:rPr>
          <w:rFonts w:ascii="宋体" w:hAnsi="宋体" w:cs="Arial"/>
          <w:szCs w:val="21"/>
        </w:rPr>
      </w:pPr>
    </w:p>
    <w:p w:rsidR="00B10A0B" w:rsidRDefault="00412F67">
      <w:pPr>
        <w:pStyle w:val="a8"/>
        <w:tabs>
          <w:tab w:val="left" w:pos="5340"/>
        </w:tabs>
        <w:spacing w:line="360" w:lineRule="auto"/>
        <w:ind w:right="420" w:firstLineChars="200" w:firstLine="420"/>
        <w:rPr>
          <w:rFonts w:cs="Arial"/>
          <w:kern w:val="2"/>
          <w:sz w:val="21"/>
          <w:szCs w:val="21"/>
        </w:rPr>
      </w:pPr>
      <w:r>
        <w:rPr>
          <w:rFonts w:cs="Arial" w:hint="eastAsia"/>
          <w:sz w:val="21"/>
          <w:szCs w:val="21"/>
        </w:rPr>
        <w:t>基金管理人：</w:t>
      </w:r>
      <w:r>
        <w:rPr>
          <w:rFonts w:cs="Arial" w:hint="eastAsia"/>
          <w:kern w:val="2"/>
          <w:sz w:val="21"/>
          <w:szCs w:val="21"/>
        </w:rPr>
        <w:t>中银国际证券股份</w:t>
      </w:r>
      <w:r>
        <w:rPr>
          <w:rFonts w:cs="Arial"/>
          <w:kern w:val="2"/>
          <w:sz w:val="21"/>
          <w:szCs w:val="21"/>
        </w:rPr>
        <w:t>有限公司</w:t>
      </w:r>
    </w:p>
    <w:p w:rsidR="00B10A0B" w:rsidRDefault="00B10A0B">
      <w:pPr>
        <w:pStyle w:val="a8"/>
        <w:tabs>
          <w:tab w:val="left" w:pos="5340"/>
        </w:tabs>
        <w:spacing w:line="360" w:lineRule="auto"/>
        <w:ind w:right="420" w:firstLineChars="200" w:firstLine="420"/>
        <w:rPr>
          <w:rFonts w:cs="Arial"/>
          <w:sz w:val="21"/>
          <w:szCs w:val="21"/>
        </w:rPr>
      </w:pPr>
    </w:p>
    <w:p w:rsidR="00B10A0B" w:rsidRDefault="00412F67">
      <w:pPr>
        <w:pStyle w:val="a8"/>
        <w:tabs>
          <w:tab w:val="left" w:pos="5340"/>
        </w:tabs>
        <w:spacing w:line="360" w:lineRule="auto"/>
        <w:ind w:right="420" w:firstLineChars="200" w:firstLine="420"/>
        <w:rPr>
          <w:rFonts w:cs="Arial"/>
          <w:kern w:val="2"/>
          <w:sz w:val="21"/>
          <w:szCs w:val="21"/>
        </w:rPr>
      </w:pPr>
      <w:r>
        <w:rPr>
          <w:rFonts w:cs="Arial" w:hint="eastAsia"/>
          <w:sz w:val="21"/>
          <w:szCs w:val="21"/>
        </w:rPr>
        <w:t>基金托管人：</w:t>
      </w:r>
      <w:r>
        <w:rPr>
          <w:rFonts w:cs="Arial" w:hint="eastAsia"/>
          <w:kern w:val="2"/>
          <w:sz w:val="21"/>
          <w:szCs w:val="21"/>
        </w:rPr>
        <w:t>中国农业银行股份有限公司</w:t>
      </w:r>
    </w:p>
    <w:p w:rsidR="00B10A0B" w:rsidRDefault="00B10A0B">
      <w:pPr>
        <w:pStyle w:val="a8"/>
        <w:spacing w:line="360" w:lineRule="auto"/>
        <w:jc w:val="right"/>
        <w:rPr>
          <w:rFonts w:cs="Arial"/>
          <w:sz w:val="21"/>
          <w:szCs w:val="21"/>
        </w:rPr>
      </w:pPr>
    </w:p>
    <w:p w:rsidR="00B10A0B" w:rsidRDefault="00412F67">
      <w:pPr>
        <w:pStyle w:val="a8"/>
        <w:spacing w:line="360" w:lineRule="auto"/>
        <w:jc w:val="right"/>
        <w:rPr>
          <w:rFonts w:cs="Arial"/>
          <w:kern w:val="2"/>
          <w:sz w:val="21"/>
          <w:szCs w:val="21"/>
        </w:rPr>
      </w:pPr>
      <w:r>
        <w:rPr>
          <w:rFonts w:cs="Arial"/>
          <w:kern w:val="2"/>
          <w:sz w:val="21"/>
          <w:szCs w:val="21"/>
        </w:rPr>
        <w:t>201</w:t>
      </w:r>
      <w:r>
        <w:rPr>
          <w:rFonts w:cs="Arial" w:hint="eastAsia"/>
          <w:kern w:val="2"/>
          <w:sz w:val="21"/>
          <w:szCs w:val="21"/>
        </w:rPr>
        <w:t>9</w:t>
      </w:r>
      <w:r>
        <w:rPr>
          <w:rFonts w:cs="Arial"/>
          <w:kern w:val="2"/>
          <w:sz w:val="21"/>
          <w:szCs w:val="21"/>
        </w:rPr>
        <w:t>年</w:t>
      </w:r>
      <w:r>
        <w:rPr>
          <w:rFonts w:cs="Arial" w:hint="eastAsia"/>
          <w:kern w:val="2"/>
          <w:sz w:val="21"/>
          <w:szCs w:val="21"/>
        </w:rPr>
        <w:t>7</w:t>
      </w:r>
      <w:r>
        <w:rPr>
          <w:rFonts w:cs="Arial"/>
          <w:kern w:val="2"/>
          <w:sz w:val="21"/>
          <w:szCs w:val="21"/>
        </w:rPr>
        <w:t>月</w:t>
      </w:r>
      <w:r>
        <w:rPr>
          <w:rFonts w:cs="Arial" w:hint="eastAsia"/>
          <w:kern w:val="2"/>
          <w:sz w:val="21"/>
          <w:szCs w:val="21"/>
        </w:rPr>
        <w:t>1</w:t>
      </w:r>
      <w:r w:rsidR="000C28EB">
        <w:rPr>
          <w:rFonts w:cs="Arial" w:hint="eastAsia"/>
          <w:kern w:val="2"/>
          <w:sz w:val="21"/>
          <w:szCs w:val="21"/>
        </w:rPr>
        <w:t>8</w:t>
      </w:r>
      <w:r>
        <w:rPr>
          <w:rFonts w:cs="Arial"/>
          <w:kern w:val="2"/>
          <w:sz w:val="21"/>
          <w:szCs w:val="21"/>
        </w:rPr>
        <w:t>日</w:t>
      </w:r>
    </w:p>
    <w:sectPr w:rsidR="00B10A0B" w:rsidSect="00B10A0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2525A6" w15:done="0"/>
  <w15:commentEx w15:paraId="256822D5" w15:done="0"/>
  <w15:commentEx w15:paraId="5BD51A3A" w15:done="0"/>
  <w15:commentEx w15:paraId="0F1635BB" w15:done="0"/>
  <w15:commentEx w15:paraId="3D5D4453" w15:done="0"/>
  <w15:commentEx w15:paraId="777031EB" w15:done="0"/>
  <w15:commentEx w15:paraId="1CD436C4" w15:done="0"/>
  <w15:commentEx w15:paraId="366D436F" w15:done="0"/>
  <w15:commentEx w15:paraId="4B181571" w15:done="0"/>
  <w15:commentEx w15:paraId="260001FB" w15:done="0"/>
  <w15:commentEx w15:paraId="04C32F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41" w:rsidRDefault="00215F41" w:rsidP="009272B9">
      <w:r>
        <w:separator/>
      </w:r>
    </w:p>
  </w:endnote>
  <w:endnote w:type="continuationSeparator" w:id="1">
    <w:p w:rsidR="00215F41" w:rsidRDefault="00215F41" w:rsidP="00927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41" w:rsidRDefault="00215F41" w:rsidP="009272B9">
      <w:r>
        <w:separator/>
      </w:r>
    </w:p>
  </w:footnote>
  <w:footnote w:type="continuationSeparator" w:id="1">
    <w:p w:rsidR="00215F41" w:rsidRDefault="00215F41" w:rsidP="009272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阳萌">
    <w15:presenceInfo w15:providerId="None" w15:userId="徐阳萌"/>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B0C"/>
    <w:rsid w:val="00001849"/>
    <w:rsid w:val="0000378E"/>
    <w:rsid w:val="00004CA7"/>
    <w:rsid w:val="000056D7"/>
    <w:rsid w:val="000059AA"/>
    <w:rsid w:val="0001543D"/>
    <w:rsid w:val="00015FB0"/>
    <w:rsid w:val="000161CC"/>
    <w:rsid w:val="00023565"/>
    <w:rsid w:val="00023AF9"/>
    <w:rsid w:val="00024004"/>
    <w:rsid w:val="00024EF1"/>
    <w:rsid w:val="00025DAB"/>
    <w:rsid w:val="00026DE4"/>
    <w:rsid w:val="00032B03"/>
    <w:rsid w:val="00033140"/>
    <w:rsid w:val="0003439A"/>
    <w:rsid w:val="00034A88"/>
    <w:rsid w:val="00035818"/>
    <w:rsid w:val="0004097F"/>
    <w:rsid w:val="00041548"/>
    <w:rsid w:val="00042922"/>
    <w:rsid w:val="00042F73"/>
    <w:rsid w:val="000432B6"/>
    <w:rsid w:val="00043365"/>
    <w:rsid w:val="00043858"/>
    <w:rsid w:val="00045E3D"/>
    <w:rsid w:val="0006237F"/>
    <w:rsid w:val="000676ED"/>
    <w:rsid w:val="000706BD"/>
    <w:rsid w:val="000707EB"/>
    <w:rsid w:val="00074561"/>
    <w:rsid w:val="0007604D"/>
    <w:rsid w:val="00076650"/>
    <w:rsid w:val="00077CDC"/>
    <w:rsid w:val="0008119B"/>
    <w:rsid w:val="00081346"/>
    <w:rsid w:val="00084C8C"/>
    <w:rsid w:val="000855E8"/>
    <w:rsid w:val="000873F9"/>
    <w:rsid w:val="00094F31"/>
    <w:rsid w:val="000A20D2"/>
    <w:rsid w:val="000A6B31"/>
    <w:rsid w:val="000B53A0"/>
    <w:rsid w:val="000B561E"/>
    <w:rsid w:val="000C08B4"/>
    <w:rsid w:val="000C28EB"/>
    <w:rsid w:val="000C3C02"/>
    <w:rsid w:val="000C6425"/>
    <w:rsid w:val="000C6672"/>
    <w:rsid w:val="000D18D4"/>
    <w:rsid w:val="000D1CD5"/>
    <w:rsid w:val="000D2426"/>
    <w:rsid w:val="000D4E36"/>
    <w:rsid w:val="000D5EB4"/>
    <w:rsid w:val="000E0528"/>
    <w:rsid w:val="000E272A"/>
    <w:rsid w:val="000E2EF5"/>
    <w:rsid w:val="000E5DC3"/>
    <w:rsid w:val="000E69CA"/>
    <w:rsid w:val="00102971"/>
    <w:rsid w:val="0010521E"/>
    <w:rsid w:val="00107C25"/>
    <w:rsid w:val="001117F9"/>
    <w:rsid w:val="0011199F"/>
    <w:rsid w:val="001147BA"/>
    <w:rsid w:val="00114FE4"/>
    <w:rsid w:val="001176DA"/>
    <w:rsid w:val="00121E28"/>
    <w:rsid w:val="00122EB5"/>
    <w:rsid w:val="00130051"/>
    <w:rsid w:val="00131039"/>
    <w:rsid w:val="00134803"/>
    <w:rsid w:val="001350A4"/>
    <w:rsid w:val="00135174"/>
    <w:rsid w:val="00140717"/>
    <w:rsid w:val="0014245A"/>
    <w:rsid w:val="00143553"/>
    <w:rsid w:val="0014672D"/>
    <w:rsid w:val="00150445"/>
    <w:rsid w:val="0015058E"/>
    <w:rsid w:val="00150C39"/>
    <w:rsid w:val="00151155"/>
    <w:rsid w:val="00152952"/>
    <w:rsid w:val="00153FE1"/>
    <w:rsid w:val="001543E5"/>
    <w:rsid w:val="0015546B"/>
    <w:rsid w:val="00156555"/>
    <w:rsid w:val="0015692F"/>
    <w:rsid w:val="001639C0"/>
    <w:rsid w:val="001657BA"/>
    <w:rsid w:val="00167131"/>
    <w:rsid w:val="001719DB"/>
    <w:rsid w:val="00173909"/>
    <w:rsid w:val="00174149"/>
    <w:rsid w:val="0018299E"/>
    <w:rsid w:val="00182CED"/>
    <w:rsid w:val="001842DE"/>
    <w:rsid w:val="00186F2F"/>
    <w:rsid w:val="0018793E"/>
    <w:rsid w:val="00187D34"/>
    <w:rsid w:val="00190E50"/>
    <w:rsid w:val="0019154B"/>
    <w:rsid w:val="00193B55"/>
    <w:rsid w:val="00195D4C"/>
    <w:rsid w:val="001A1F6F"/>
    <w:rsid w:val="001A51C4"/>
    <w:rsid w:val="001A5999"/>
    <w:rsid w:val="001B199C"/>
    <w:rsid w:val="001B4CC0"/>
    <w:rsid w:val="001C125C"/>
    <w:rsid w:val="001C6EEF"/>
    <w:rsid w:val="001D3668"/>
    <w:rsid w:val="001D3FAF"/>
    <w:rsid w:val="001D43AD"/>
    <w:rsid w:val="001D570E"/>
    <w:rsid w:val="001D682E"/>
    <w:rsid w:val="001E1675"/>
    <w:rsid w:val="001E3145"/>
    <w:rsid w:val="001E5EE3"/>
    <w:rsid w:val="001E79D1"/>
    <w:rsid w:val="001E7C23"/>
    <w:rsid w:val="001F02CB"/>
    <w:rsid w:val="001F2E01"/>
    <w:rsid w:val="001F50C1"/>
    <w:rsid w:val="001F5484"/>
    <w:rsid w:val="001F568C"/>
    <w:rsid w:val="00200BF9"/>
    <w:rsid w:val="00200EC2"/>
    <w:rsid w:val="0020218E"/>
    <w:rsid w:val="00204C2D"/>
    <w:rsid w:val="00206EC2"/>
    <w:rsid w:val="00212F06"/>
    <w:rsid w:val="00214352"/>
    <w:rsid w:val="00215E27"/>
    <w:rsid w:val="00215F41"/>
    <w:rsid w:val="00216C83"/>
    <w:rsid w:val="00217851"/>
    <w:rsid w:val="002213B2"/>
    <w:rsid w:val="002257CD"/>
    <w:rsid w:val="002313E4"/>
    <w:rsid w:val="00233D69"/>
    <w:rsid w:val="00233DC4"/>
    <w:rsid w:val="00234E34"/>
    <w:rsid w:val="002354F6"/>
    <w:rsid w:val="002366D7"/>
    <w:rsid w:val="00236900"/>
    <w:rsid w:val="00236DA8"/>
    <w:rsid w:val="00246B2E"/>
    <w:rsid w:val="00252C43"/>
    <w:rsid w:val="002535E9"/>
    <w:rsid w:val="00254A2F"/>
    <w:rsid w:val="00256D05"/>
    <w:rsid w:val="0026046F"/>
    <w:rsid w:val="002608EF"/>
    <w:rsid w:val="00261A5A"/>
    <w:rsid w:val="00262F30"/>
    <w:rsid w:val="00265665"/>
    <w:rsid w:val="002666D8"/>
    <w:rsid w:val="00266B3A"/>
    <w:rsid w:val="002708E3"/>
    <w:rsid w:val="00270BE4"/>
    <w:rsid w:val="002712AB"/>
    <w:rsid w:val="002731DF"/>
    <w:rsid w:val="00273350"/>
    <w:rsid w:val="002733F8"/>
    <w:rsid w:val="00281705"/>
    <w:rsid w:val="0028436D"/>
    <w:rsid w:val="0028749C"/>
    <w:rsid w:val="002A240A"/>
    <w:rsid w:val="002A520E"/>
    <w:rsid w:val="002A5EE1"/>
    <w:rsid w:val="002B07DA"/>
    <w:rsid w:val="002B0952"/>
    <w:rsid w:val="002B09B1"/>
    <w:rsid w:val="002B50A4"/>
    <w:rsid w:val="002C20E2"/>
    <w:rsid w:val="002C2A4C"/>
    <w:rsid w:val="002C2F35"/>
    <w:rsid w:val="002C33FB"/>
    <w:rsid w:val="002C5390"/>
    <w:rsid w:val="002C6269"/>
    <w:rsid w:val="002C716D"/>
    <w:rsid w:val="002D0696"/>
    <w:rsid w:val="002D47EA"/>
    <w:rsid w:val="002D7237"/>
    <w:rsid w:val="002E09B6"/>
    <w:rsid w:val="002E2A98"/>
    <w:rsid w:val="002F22B0"/>
    <w:rsid w:val="002F2377"/>
    <w:rsid w:val="002F2DE9"/>
    <w:rsid w:val="002F4F41"/>
    <w:rsid w:val="0030139D"/>
    <w:rsid w:val="00302230"/>
    <w:rsid w:val="00302F7D"/>
    <w:rsid w:val="00312A58"/>
    <w:rsid w:val="003165F8"/>
    <w:rsid w:val="0032319F"/>
    <w:rsid w:val="0032606A"/>
    <w:rsid w:val="0033011F"/>
    <w:rsid w:val="00331F20"/>
    <w:rsid w:val="00332A53"/>
    <w:rsid w:val="00332F1B"/>
    <w:rsid w:val="00333EE0"/>
    <w:rsid w:val="003341BE"/>
    <w:rsid w:val="00340EC6"/>
    <w:rsid w:val="00342146"/>
    <w:rsid w:val="00344AF7"/>
    <w:rsid w:val="0035758D"/>
    <w:rsid w:val="00361A03"/>
    <w:rsid w:val="00362D26"/>
    <w:rsid w:val="00372712"/>
    <w:rsid w:val="00373266"/>
    <w:rsid w:val="003761BD"/>
    <w:rsid w:val="0037650D"/>
    <w:rsid w:val="00380503"/>
    <w:rsid w:val="00383FE1"/>
    <w:rsid w:val="00390448"/>
    <w:rsid w:val="0039163A"/>
    <w:rsid w:val="00396BC6"/>
    <w:rsid w:val="00396DE3"/>
    <w:rsid w:val="00397529"/>
    <w:rsid w:val="00397800"/>
    <w:rsid w:val="003A0F58"/>
    <w:rsid w:val="003A74A4"/>
    <w:rsid w:val="003B2E4C"/>
    <w:rsid w:val="003B3647"/>
    <w:rsid w:val="003B4078"/>
    <w:rsid w:val="003B63C1"/>
    <w:rsid w:val="003C0B30"/>
    <w:rsid w:val="003C2DB1"/>
    <w:rsid w:val="003C3F92"/>
    <w:rsid w:val="003C4230"/>
    <w:rsid w:val="003C73A0"/>
    <w:rsid w:val="003D067A"/>
    <w:rsid w:val="003D1AC9"/>
    <w:rsid w:val="003D7C88"/>
    <w:rsid w:val="003E0E3B"/>
    <w:rsid w:val="003E10DE"/>
    <w:rsid w:val="003E69CF"/>
    <w:rsid w:val="003F1662"/>
    <w:rsid w:val="003F23FB"/>
    <w:rsid w:val="003F3072"/>
    <w:rsid w:val="003F6A79"/>
    <w:rsid w:val="003F6CF3"/>
    <w:rsid w:val="00400363"/>
    <w:rsid w:val="0040066F"/>
    <w:rsid w:val="004024EA"/>
    <w:rsid w:val="0040720E"/>
    <w:rsid w:val="00411A95"/>
    <w:rsid w:val="00412F67"/>
    <w:rsid w:val="00415245"/>
    <w:rsid w:val="004156F5"/>
    <w:rsid w:val="004164B4"/>
    <w:rsid w:val="00416D72"/>
    <w:rsid w:val="0042073F"/>
    <w:rsid w:val="00425E2F"/>
    <w:rsid w:val="00427727"/>
    <w:rsid w:val="004301DC"/>
    <w:rsid w:val="00430DDC"/>
    <w:rsid w:val="00432BF9"/>
    <w:rsid w:val="00433C28"/>
    <w:rsid w:val="0043492E"/>
    <w:rsid w:val="0043524F"/>
    <w:rsid w:val="0043532E"/>
    <w:rsid w:val="00441737"/>
    <w:rsid w:val="00443535"/>
    <w:rsid w:val="00446242"/>
    <w:rsid w:val="00446AB5"/>
    <w:rsid w:val="00446B0E"/>
    <w:rsid w:val="00447D8D"/>
    <w:rsid w:val="004516FD"/>
    <w:rsid w:val="004517AB"/>
    <w:rsid w:val="00454532"/>
    <w:rsid w:val="0045515B"/>
    <w:rsid w:val="00456D07"/>
    <w:rsid w:val="00456D4F"/>
    <w:rsid w:val="004609C7"/>
    <w:rsid w:val="00462ED3"/>
    <w:rsid w:val="004645C4"/>
    <w:rsid w:val="004727B4"/>
    <w:rsid w:val="0047504D"/>
    <w:rsid w:val="00475D4B"/>
    <w:rsid w:val="00476A5B"/>
    <w:rsid w:val="0047703E"/>
    <w:rsid w:val="00477415"/>
    <w:rsid w:val="00481BC0"/>
    <w:rsid w:val="00483394"/>
    <w:rsid w:val="004840C4"/>
    <w:rsid w:val="004857C1"/>
    <w:rsid w:val="00485D67"/>
    <w:rsid w:val="0048741F"/>
    <w:rsid w:val="004913A2"/>
    <w:rsid w:val="00491783"/>
    <w:rsid w:val="00491915"/>
    <w:rsid w:val="0049304A"/>
    <w:rsid w:val="00495F1B"/>
    <w:rsid w:val="00496784"/>
    <w:rsid w:val="00497D3B"/>
    <w:rsid w:val="004A1262"/>
    <w:rsid w:val="004A1946"/>
    <w:rsid w:val="004A1A90"/>
    <w:rsid w:val="004A1B2C"/>
    <w:rsid w:val="004A271E"/>
    <w:rsid w:val="004A3A21"/>
    <w:rsid w:val="004A662C"/>
    <w:rsid w:val="004A72C5"/>
    <w:rsid w:val="004A7666"/>
    <w:rsid w:val="004A7ED0"/>
    <w:rsid w:val="004B1703"/>
    <w:rsid w:val="004B1AF7"/>
    <w:rsid w:val="004B298C"/>
    <w:rsid w:val="004B3E06"/>
    <w:rsid w:val="004B433D"/>
    <w:rsid w:val="004B442A"/>
    <w:rsid w:val="004B5AD1"/>
    <w:rsid w:val="004C0D35"/>
    <w:rsid w:val="004C21A3"/>
    <w:rsid w:val="004C2499"/>
    <w:rsid w:val="004C2599"/>
    <w:rsid w:val="004C3EE6"/>
    <w:rsid w:val="004D6487"/>
    <w:rsid w:val="004E0E10"/>
    <w:rsid w:val="004E17D4"/>
    <w:rsid w:val="004E3912"/>
    <w:rsid w:val="004E3913"/>
    <w:rsid w:val="004E4557"/>
    <w:rsid w:val="004E5A8C"/>
    <w:rsid w:val="004F1A39"/>
    <w:rsid w:val="004F1FB6"/>
    <w:rsid w:val="00503673"/>
    <w:rsid w:val="00503A65"/>
    <w:rsid w:val="00503B29"/>
    <w:rsid w:val="005042B7"/>
    <w:rsid w:val="00504D46"/>
    <w:rsid w:val="00510213"/>
    <w:rsid w:val="005106AB"/>
    <w:rsid w:val="005112DF"/>
    <w:rsid w:val="00513A2E"/>
    <w:rsid w:val="00515921"/>
    <w:rsid w:val="0051748A"/>
    <w:rsid w:val="00523A6A"/>
    <w:rsid w:val="00527DAE"/>
    <w:rsid w:val="005328C6"/>
    <w:rsid w:val="00533D9B"/>
    <w:rsid w:val="005346BB"/>
    <w:rsid w:val="00536A05"/>
    <w:rsid w:val="00540AF6"/>
    <w:rsid w:val="00541525"/>
    <w:rsid w:val="005430DF"/>
    <w:rsid w:val="00543894"/>
    <w:rsid w:val="00543F95"/>
    <w:rsid w:val="0054406C"/>
    <w:rsid w:val="00550F23"/>
    <w:rsid w:val="005534A9"/>
    <w:rsid w:val="00557F28"/>
    <w:rsid w:val="00557F8F"/>
    <w:rsid w:val="00563B48"/>
    <w:rsid w:val="005640A8"/>
    <w:rsid w:val="00566755"/>
    <w:rsid w:val="00567043"/>
    <w:rsid w:val="00567BF1"/>
    <w:rsid w:val="005725B9"/>
    <w:rsid w:val="005732E9"/>
    <w:rsid w:val="00575FB1"/>
    <w:rsid w:val="00582ED7"/>
    <w:rsid w:val="0058773D"/>
    <w:rsid w:val="00595C98"/>
    <w:rsid w:val="005968D6"/>
    <w:rsid w:val="00596D7B"/>
    <w:rsid w:val="00597113"/>
    <w:rsid w:val="00597328"/>
    <w:rsid w:val="005A0622"/>
    <w:rsid w:val="005A1F41"/>
    <w:rsid w:val="005A2320"/>
    <w:rsid w:val="005A2717"/>
    <w:rsid w:val="005A285C"/>
    <w:rsid w:val="005A2C68"/>
    <w:rsid w:val="005A3415"/>
    <w:rsid w:val="005A709F"/>
    <w:rsid w:val="005A7A2E"/>
    <w:rsid w:val="005A7BB4"/>
    <w:rsid w:val="005B1BE4"/>
    <w:rsid w:val="005B6025"/>
    <w:rsid w:val="005C04D3"/>
    <w:rsid w:val="005C6F5E"/>
    <w:rsid w:val="005E36CE"/>
    <w:rsid w:val="005E6FF6"/>
    <w:rsid w:val="005F1A14"/>
    <w:rsid w:val="005F1B54"/>
    <w:rsid w:val="005F3BE2"/>
    <w:rsid w:val="005F4400"/>
    <w:rsid w:val="005F769C"/>
    <w:rsid w:val="006010C2"/>
    <w:rsid w:val="00602F82"/>
    <w:rsid w:val="006044D0"/>
    <w:rsid w:val="00606294"/>
    <w:rsid w:val="0060745A"/>
    <w:rsid w:val="0061078A"/>
    <w:rsid w:val="0061171F"/>
    <w:rsid w:val="00612952"/>
    <w:rsid w:val="00612C88"/>
    <w:rsid w:val="00613D40"/>
    <w:rsid w:val="006144D4"/>
    <w:rsid w:val="00615AA7"/>
    <w:rsid w:val="006202C2"/>
    <w:rsid w:val="00620B2F"/>
    <w:rsid w:val="00640EE2"/>
    <w:rsid w:val="00642017"/>
    <w:rsid w:val="00642AC9"/>
    <w:rsid w:val="00642B9E"/>
    <w:rsid w:val="0064369D"/>
    <w:rsid w:val="00650CD0"/>
    <w:rsid w:val="00655402"/>
    <w:rsid w:val="0065599E"/>
    <w:rsid w:val="006564F9"/>
    <w:rsid w:val="00657307"/>
    <w:rsid w:val="006612D6"/>
    <w:rsid w:val="00663ECF"/>
    <w:rsid w:val="00665558"/>
    <w:rsid w:val="00666192"/>
    <w:rsid w:val="00667C28"/>
    <w:rsid w:val="00670253"/>
    <w:rsid w:val="00670B8D"/>
    <w:rsid w:val="00676503"/>
    <w:rsid w:val="0068134D"/>
    <w:rsid w:val="00682F45"/>
    <w:rsid w:val="00684A3A"/>
    <w:rsid w:val="0068572F"/>
    <w:rsid w:val="0069109F"/>
    <w:rsid w:val="00691CF3"/>
    <w:rsid w:val="006950C3"/>
    <w:rsid w:val="006973D5"/>
    <w:rsid w:val="006A3E7A"/>
    <w:rsid w:val="006A40AB"/>
    <w:rsid w:val="006A47AC"/>
    <w:rsid w:val="006A4B79"/>
    <w:rsid w:val="006A50FF"/>
    <w:rsid w:val="006A7344"/>
    <w:rsid w:val="006C11C8"/>
    <w:rsid w:val="006C1551"/>
    <w:rsid w:val="006C16B0"/>
    <w:rsid w:val="006C32C3"/>
    <w:rsid w:val="006C502A"/>
    <w:rsid w:val="006C5CA7"/>
    <w:rsid w:val="006C6ADE"/>
    <w:rsid w:val="006D1155"/>
    <w:rsid w:val="006E1EA3"/>
    <w:rsid w:val="006E40FF"/>
    <w:rsid w:val="006E4AC6"/>
    <w:rsid w:val="006E5BE0"/>
    <w:rsid w:val="006F1916"/>
    <w:rsid w:val="006F1D82"/>
    <w:rsid w:val="006F409E"/>
    <w:rsid w:val="006F4C88"/>
    <w:rsid w:val="006F618D"/>
    <w:rsid w:val="006F76E0"/>
    <w:rsid w:val="007055E5"/>
    <w:rsid w:val="00705996"/>
    <w:rsid w:val="00716C8A"/>
    <w:rsid w:val="0072041E"/>
    <w:rsid w:val="00723146"/>
    <w:rsid w:val="00723198"/>
    <w:rsid w:val="00723E89"/>
    <w:rsid w:val="00725FEB"/>
    <w:rsid w:val="007278C0"/>
    <w:rsid w:val="00731B26"/>
    <w:rsid w:val="007320B0"/>
    <w:rsid w:val="00737903"/>
    <w:rsid w:val="0073798A"/>
    <w:rsid w:val="0074349C"/>
    <w:rsid w:val="00746D20"/>
    <w:rsid w:val="00747CBD"/>
    <w:rsid w:val="007502F6"/>
    <w:rsid w:val="007543EF"/>
    <w:rsid w:val="007551BC"/>
    <w:rsid w:val="00755373"/>
    <w:rsid w:val="0075772E"/>
    <w:rsid w:val="00760985"/>
    <w:rsid w:val="007617B0"/>
    <w:rsid w:val="0076200B"/>
    <w:rsid w:val="00764AB4"/>
    <w:rsid w:val="00764F04"/>
    <w:rsid w:val="0076698C"/>
    <w:rsid w:val="00772AC5"/>
    <w:rsid w:val="00772B80"/>
    <w:rsid w:val="007740F0"/>
    <w:rsid w:val="00774D09"/>
    <w:rsid w:val="0078107A"/>
    <w:rsid w:val="00781EB6"/>
    <w:rsid w:val="00786164"/>
    <w:rsid w:val="007864DD"/>
    <w:rsid w:val="00790121"/>
    <w:rsid w:val="007915E4"/>
    <w:rsid w:val="00793159"/>
    <w:rsid w:val="007A13EC"/>
    <w:rsid w:val="007A273E"/>
    <w:rsid w:val="007A380C"/>
    <w:rsid w:val="007A5DDE"/>
    <w:rsid w:val="007B18EB"/>
    <w:rsid w:val="007B204D"/>
    <w:rsid w:val="007B226F"/>
    <w:rsid w:val="007C023F"/>
    <w:rsid w:val="007C07F0"/>
    <w:rsid w:val="007C1580"/>
    <w:rsid w:val="007C3C5F"/>
    <w:rsid w:val="007C5DFA"/>
    <w:rsid w:val="007C66E2"/>
    <w:rsid w:val="007C762A"/>
    <w:rsid w:val="007D5CDC"/>
    <w:rsid w:val="007E08E0"/>
    <w:rsid w:val="007E0EDC"/>
    <w:rsid w:val="007E431C"/>
    <w:rsid w:val="007F4E65"/>
    <w:rsid w:val="008043FF"/>
    <w:rsid w:val="0081119C"/>
    <w:rsid w:val="008138BF"/>
    <w:rsid w:val="00813BFB"/>
    <w:rsid w:val="00814455"/>
    <w:rsid w:val="008167AC"/>
    <w:rsid w:val="0081752D"/>
    <w:rsid w:val="0082273E"/>
    <w:rsid w:val="00822FD9"/>
    <w:rsid w:val="008245EE"/>
    <w:rsid w:val="00826C95"/>
    <w:rsid w:val="008305EC"/>
    <w:rsid w:val="008324B5"/>
    <w:rsid w:val="00833FF1"/>
    <w:rsid w:val="00837220"/>
    <w:rsid w:val="0084299A"/>
    <w:rsid w:val="00847887"/>
    <w:rsid w:val="00851B4C"/>
    <w:rsid w:val="00852E2D"/>
    <w:rsid w:val="008543EE"/>
    <w:rsid w:val="00854798"/>
    <w:rsid w:val="00854902"/>
    <w:rsid w:val="00856073"/>
    <w:rsid w:val="008562BA"/>
    <w:rsid w:val="00857A93"/>
    <w:rsid w:val="00864EF6"/>
    <w:rsid w:val="00865DC0"/>
    <w:rsid w:val="00865E16"/>
    <w:rsid w:val="00866B72"/>
    <w:rsid w:val="00874543"/>
    <w:rsid w:val="008752E3"/>
    <w:rsid w:val="00875F05"/>
    <w:rsid w:val="00876B93"/>
    <w:rsid w:val="0088079E"/>
    <w:rsid w:val="0088171A"/>
    <w:rsid w:val="0088297A"/>
    <w:rsid w:val="00883A03"/>
    <w:rsid w:val="00885333"/>
    <w:rsid w:val="00885371"/>
    <w:rsid w:val="00886852"/>
    <w:rsid w:val="008868AF"/>
    <w:rsid w:val="00894054"/>
    <w:rsid w:val="00894BC2"/>
    <w:rsid w:val="00896CC3"/>
    <w:rsid w:val="008A4EB2"/>
    <w:rsid w:val="008A64DF"/>
    <w:rsid w:val="008C2744"/>
    <w:rsid w:val="008C3060"/>
    <w:rsid w:val="008C3E20"/>
    <w:rsid w:val="008C4332"/>
    <w:rsid w:val="008D0C32"/>
    <w:rsid w:val="008D3422"/>
    <w:rsid w:val="008D444D"/>
    <w:rsid w:val="008D4765"/>
    <w:rsid w:val="008E2FE9"/>
    <w:rsid w:val="008E38ED"/>
    <w:rsid w:val="008E3F91"/>
    <w:rsid w:val="008E6EFC"/>
    <w:rsid w:val="008F0800"/>
    <w:rsid w:val="008F519B"/>
    <w:rsid w:val="008F55D1"/>
    <w:rsid w:val="008F59CC"/>
    <w:rsid w:val="008F5AF5"/>
    <w:rsid w:val="008F7242"/>
    <w:rsid w:val="00902EF8"/>
    <w:rsid w:val="00902FCA"/>
    <w:rsid w:val="00904B09"/>
    <w:rsid w:val="00904BF4"/>
    <w:rsid w:val="00906072"/>
    <w:rsid w:val="009075FC"/>
    <w:rsid w:val="00910F0F"/>
    <w:rsid w:val="00914292"/>
    <w:rsid w:val="00916FA0"/>
    <w:rsid w:val="009207E1"/>
    <w:rsid w:val="009216C0"/>
    <w:rsid w:val="0092212C"/>
    <w:rsid w:val="00923E13"/>
    <w:rsid w:val="009272B9"/>
    <w:rsid w:val="00927904"/>
    <w:rsid w:val="0093105E"/>
    <w:rsid w:val="00931B9F"/>
    <w:rsid w:val="00934B84"/>
    <w:rsid w:val="00937C81"/>
    <w:rsid w:val="009439B6"/>
    <w:rsid w:val="00943C18"/>
    <w:rsid w:val="0094417C"/>
    <w:rsid w:val="0094430C"/>
    <w:rsid w:val="00944EEF"/>
    <w:rsid w:val="009501F9"/>
    <w:rsid w:val="009537BA"/>
    <w:rsid w:val="009551BF"/>
    <w:rsid w:val="00955919"/>
    <w:rsid w:val="0095732A"/>
    <w:rsid w:val="00957845"/>
    <w:rsid w:val="0096505E"/>
    <w:rsid w:val="009710A3"/>
    <w:rsid w:val="00971D10"/>
    <w:rsid w:val="00975938"/>
    <w:rsid w:val="00975A88"/>
    <w:rsid w:val="00976657"/>
    <w:rsid w:val="00984045"/>
    <w:rsid w:val="00990B63"/>
    <w:rsid w:val="00992131"/>
    <w:rsid w:val="009934A8"/>
    <w:rsid w:val="009943B3"/>
    <w:rsid w:val="0099453B"/>
    <w:rsid w:val="0099475E"/>
    <w:rsid w:val="009A2B65"/>
    <w:rsid w:val="009A6C22"/>
    <w:rsid w:val="009B164A"/>
    <w:rsid w:val="009B3A58"/>
    <w:rsid w:val="009B3B29"/>
    <w:rsid w:val="009B4D9C"/>
    <w:rsid w:val="009B53A4"/>
    <w:rsid w:val="009B5FB5"/>
    <w:rsid w:val="009C2960"/>
    <w:rsid w:val="009C5BCB"/>
    <w:rsid w:val="009C7E31"/>
    <w:rsid w:val="009D32A1"/>
    <w:rsid w:val="009D588C"/>
    <w:rsid w:val="009E28BD"/>
    <w:rsid w:val="009E5024"/>
    <w:rsid w:val="009F1617"/>
    <w:rsid w:val="009F1ED7"/>
    <w:rsid w:val="009F2E85"/>
    <w:rsid w:val="009F457E"/>
    <w:rsid w:val="009F52DA"/>
    <w:rsid w:val="00A00A64"/>
    <w:rsid w:val="00A0320F"/>
    <w:rsid w:val="00A05F2D"/>
    <w:rsid w:val="00A12F46"/>
    <w:rsid w:val="00A13D0E"/>
    <w:rsid w:val="00A149ED"/>
    <w:rsid w:val="00A1547A"/>
    <w:rsid w:val="00A15B84"/>
    <w:rsid w:val="00A174F8"/>
    <w:rsid w:val="00A1767C"/>
    <w:rsid w:val="00A202EC"/>
    <w:rsid w:val="00A21C6D"/>
    <w:rsid w:val="00A25113"/>
    <w:rsid w:val="00A27585"/>
    <w:rsid w:val="00A31C78"/>
    <w:rsid w:val="00A3295D"/>
    <w:rsid w:val="00A32B91"/>
    <w:rsid w:val="00A34CD7"/>
    <w:rsid w:val="00A34F3D"/>
    <w:rsid w:val="00A3665C"/>
    <w:rsid w:val="00A41CF6"/>
    <w:rsid w:val="00A43F67"/>
    <w:rsid w:val="00A43F6A"/>
    <w:rsid w:val="00A46684"/>
    <w:rsid w:val="00A46737"/>
    <w:rsid w:val="00A508EF"/>
    <w:rsid w:val="00A51828"/>
    <w:rsid w:val="00A54AB8"/>
    <w:rsid w:val="00A54AE7"/>
    <w:rsid w:val="00A5580A"/>
    <w:rsid w:val="00A609F8"/>
    <w:rsid w:val="00A65429"/>
    <w:rsid w:val="00A70C56"/>
    <w:rsid w:val="00A72BE1"/>
    <w:rsid w:val="00A854D6"/>
    <w:rsid w:val="00A85A78"/>
    <w:rsid w:val="00A96467"/>
    <w:rsid w:val="00A96DC8"/>
    <w:rsid w:val="00AA5279"/>
    <w:rsid w:val="00AC1CB7"/>
    <w:rsid w:val="00AC1EFE"/>
    <w:rsid w:val="00AC2A4C"/>
    <w:rsid w:val="00AC34AF"/>
    <w:rsid w:val="00AC6B22"/>
    <w:rsid w:val="00AD0218"/>
    <w:rsid w:val="00AD05AD"/>
    <w:rsid w:val="00AD1607"/>
    <w:rsid w:val="00AD1A58"/>
    <w:rsid w:val="00AD3630"/>
    <w:rsid w:val="00AD6658"/>
    <w:rsid w:val="00AD7764"/>
    <w:rsid w:val="00AE49FB"/>
    <w:rsid w:val="00AE5FD3"/>
    <w:rsid w:val="00AE61BD"/>
    <w:rsid w:val="00AF1F78"/>
    <w:rsid w:val="00AF3C8E"/>
    <w:rsid w:val="00AF50B7"/>
    <w:rsid w:val="00B001BE"/>
    <w:rsid w:val="00B02D22"/>
    <w:rsid w:val="00B033DB"/>
    <w:rsid w:val="00B0555A"/>
    <w:rsid w:val="00B0780B"/>
    <w:rsid w:val="00B10A0B"/>
    <w:rsid w:val="00B11A33"/>
    <w:rsid w:val="00B145E5"/>
    <w:rsid w:val="00B151F3"/>
    <w:rsid w:val="00B16571"/>
    <w:rsid w:val="00B20428"/>
    <w:rsid w:val="00B20B78"/>
    <w:rsid w:val="00B2180E"/>
    <w:rsid w:val="00B26E59"/>
    <w:rsid w:val="00B32186"/>
    <w:rsid w:val="00B34386"/>
    <w:rsid w:val="00B3461B"/>
    <w:rsid w:val="00B37070"/>
    <w:rsid w:val="00B37349"/>
    <w:rsid w:val="00B37C7B"/>
    <w:rsid w:val="00B407A8"/>
    <w:rsid w:val="00B42A31"/>
    <w:rsid w:val="00B438E0"/>
    <w:rsid w:val="00B47539"/>
    <w:rsid w:val="00B50CEC"/>
    <w:rsid w:val="00B52282"/>
    <w:rsid w:val="00B5288B"/>
    <w:rsid w:val="00B56EF9"/>
    <w:rsid w:val="00B6374F"/>
    <w:rsid w:val="00B65E1D"/>
    <w:rsid w:val="00B67152"/>
    <w:rsid w:val="00B678C5"/>
    <w:rsid w:val="00B73F71"/>
    <w:rsid w:val="00B74083"/>
    <w:rsid w:val="00B742F1"/>
    <w:rsid w:val="00B74D1E"/>
    <w:rsid w:val="00B75C19"/>
    <w:rsid w:val="00B76BB7"/>
    <w:rsid w:val="00B840D3"/>
    <w:rsid w:val="00B872A0"/>
    <w:rsid w:val="00B905E8"/>
    <w:rsid w:val="00B9188F"/>
    <w:rsid w:val="00B94310"/>
    <w:rsid w:val="00B946F4"/>
    <w:rsid w:val="00B9580E"/>
    <w:rsid w:val="00B95D90"/>
    <w:rsid w:val="00B96D16"/>
    <w:rsid w:val="00BA37D8"/>
    <w:rsid w:val="00BA4BFE"/>
    <w:rsid w:val="00BA6DE0"/>
    <w:rsid w:val="00BB1C46"/>
    <w:rsid w:val="00BB1E6A"/>
    <w:rsid w:val="00BB4578"/>
    <w:rsid w:val="00BB4D0F"/>
    <w:rsid w:val="00BB5B0C"/>
    <w:rsid w:val="00BB7354"/>
    <w:rsid w:val="00BB77DF"/>
    <w:rsid w:val="00BC2306"/>
    <w:rsid w:val="00BC405E"/>
    <w:rsid w:val="00BC4283"/>
    <w:rsid w:val="00BC4F6B"/>
    <w:rsid w:val="00BC7FFB"/>
    <w:rsid w:val="00BD34E2"/>
    <w:rsid w:val="00BD39FE"/>
    <w:rsid w:val="00BD5F63"/>
    <w:rsid w:val="00BE4A50"/>
    <w:rsid w:val="00BE5C2C"/>
    <w:rsid w:val="00BE733B"/>
    <w:rsid w:val="00BF0728"/>
    <w:rsid w:val="00BF0C3E"/>
    <w:rsid w:val="00BF2270"/>
    <w:rsid w:val="00BF293B"/>
    <w:rsid w:val="00BF34D6"/>
    <w:rsid w:val="00BF3871"/>
    <w:rsid w:val="00BF4743"/>
    <w:rsid w:val="00BF60DE"/>
    <w:rsid w:val="00C007B3"/>
    <w:rsid w:val="00C02F84"/>
    <w:rsid w:val="00C03A06"/>
    <w:rsid w:val="00C04C11"/>
    <w:rsid w:val="00C107A4"/>
    <w:rsid w:val="00C12476"/>
    <w:rsid w:val="00C136DC"/>
    <w:rsid w:val="00C149F8"/>
    <w:rsid w:val="00C1570D"/>
    <w:rsid w:val="00C215D9"/>
    <w:rsid w:val="00C222D7"/>
    <w:rsid w:val="00C22ECD"/>
    <w:rsid w:val="00C26CFD"/>
    <w:rsid w:val="00C27F11"/>
    <w:rsid w:val="00C31671"/>
    <w:rsid w:val="00C3389A"/>
    <w:rsid w:val="00C41C37"/>
    <w:rsid w:val="00C44206"/>
    <w:rsid w:val="00C44518"/>
    <w:rsid w:val="00C46359"/>
    <w:rsid w:val="00C51C24"/>
    <w:rsid w:val="00C53725"/>
    <w:rsid w:val="00C632BC"/>
    <w:rsid w:val="00C7047F"/>
    <w:rsid w:val="00C70787"/>
    <w:rsid w:val="00C728DD"/>
    <w:rsid w:val="00C7317A"/>
    <w:rsid w:val="00C73BA4"/>
    <w:rsid w:val="00C7741C"/>
    <w:rsid w:val="00C814A6"/>
    <w:rsid w:val="00C81624"/>
    <w:rsid w:val="00C82FE0"/>
    <w:rsid w:val="00C8376C"/>
    <w:rsid w:val="00C83782"/>
    <w:rsid w:val="00C86636"/>
    <w:rsid w:val="00C9009F"/>
    <w:rsid w:val="00C92AB0"/>
    <w:rsid w:val="00C949FA"/>
    <w:rsid w:val="00C95644"/>
    <w:rsid w:val="00C95A44"/>
    <w:rsid w:val="00CA3583"/>
    <w:rsid w:val="00CB28F7"/>
    <w:rsid w:val="00CB490C"/>
    <w:rsid w:val="00CB5710"/>
    <w:rsid w:val="00CB6E37"/>
    <w:rsid w:val="00CC05BA"/>
    <w:rsid w:val="00CC489C"/>
    <w:rsid w:val="00CC5220"/>
    <w:rsid w:val="00CD0A3D"/>
    <w:rsid w:val="00CD0DBB"/>
    <w:rsid w:val="00CD0F88"/>
    <w:rsid w:val="00CD10B5"/>
    <w:rsid w:val="00CD439F"/>
    <w:rsid w:val="00CD61A9"/>
    <w:rsid w:val="00CD65A5"/>
    <w:rsid w:val="00CD6ED6"/>
    <w:rsid w:val="00CE2F8F"/>
    <w:rsid w:val="00CE3193"/>
    <w:rsid w:val="00CE690A"/>
    <w:rsid w:val="00CF7B3C"/>
    <w:rsid w:val="00D04DA5"/>
    <w:rsid w:val="00D05396"/>
    <w:rsid w:val="00D063DA"/>
    <w:rsid w:val="00D10FD3"/>
    <w:rsid w:val="00D115BB"/>
    <w:rsid w:val="00D1198C"/>
    <w:rsid w:val="00D20860"/>
    <w:rsid w:val="00D21A9B"/>
    <w:rsid w:val="00D27D4D"/>
    <w:rsid w:val="00D30570"/>
    <w:rsid w:val="00D327B1"/>
    <w:rsid w:val="00D33086"/>
    <w:rsid w:val="00D33A43"/>
    <w:rsid w:val="00D40958"/>
    <w:rsid w:val="00D41C6B"/>
    <w:rsid w:val="00D44B0D"/>
    <w:rsid w:val="00D53DF4"/>
    <w:rsid w:val="00D55CB7"/>
    <w:rsid w:val="00D568A6"/>
    <w:rsid w:val="00D61A9B"/>
    <w:rsid w:val="00D62A83"/>
    <w:rsid w:val="00D6587A"/>
    <w:rsid w:val="00D67050"/>
    <w:rsid w:val="00D673C0"/>
    <w:rsid w:val="00D7174C"/>
    <w:rsid w:val="00D71C5F"/>
    <w:rsid w:val="00D733D5"/>
    <w:rsid w:val="00D7351A"/>
    <w:rsid w:val="00D73864"/>
    <w:rsid w:val="00D822E2"/>
    <w:rsid w:val="00D83B46"/>
    <w:rsid w:val="00D84B39"/>
    <w:rsid w:val="00D87D35"/>
    <w:rsid w:val="00D90349"/>
    <w:rsid w:val="00D9720B"/>
    <w:rsid w:val="00D974CF"/>
    <w:rsid w:val="00DB3781"/>
    <w:rsid w:val="00DB4279"/>
    <w:rsid w:val="00DB56ED"/>
    <w:rsid w:val="00DB5726"/>
    <w:rsid w:val="00DB5D10"/>
    <w:rsid w:val="00DB5E4E"/>
    <w:rsid w:val="00DB648B"/>
    <w:rsid w:val="00DC2256"/>
    <w:rsid w:val="00DC386F"/>
    <w:rsid w:val="00DD18FE"/>
    <w:rsid w:val="00DD3722"/>
    <w:rsid w:val="00DE0852"/>
    <w:rsid w:val="00DE4104"/>
    <w:rsid w:val="00DE6E6F"/>
    <w:rsid w:val="00DF13DE"/>
    <w:rsid w:val="00DF3576"/>
    <w:rsid w:val="00DF64FE"/>
    <w:rsid w:val="00DF75B8"/>
    <w:rsid w:val="00E014C7"/>
    <w:rsid w:val="00E06257"/>
    <w:rsid w:val="00E06F89"/>
    <w:rsid w:val="00E1187C"/>
    <w:rsid w:val="00E13B47"/>
    <w:rsid w:val="00E1555C"/>
    <w:rsid w:val="00E17070"/>
    <w:rsid w:val="00E2280C"/>
    <w:rsid w:val="00E31013"/>
    <w:rsid w:val="00E32206"/>
    <w:rsid w:val="00E33F8D"/>
    <w:rsid w:val="00E418E0"/>
    <w:rsid w:val="00E42070"/>
    <w:rsid w:val="00E43005"/>
    <w:rsid w:val="00E44F7A"/>
    <w:rsid w:val="00E51682"/>
    <w:rsid w:val="00E53C60"/>
    <w:rsid w:val="00E56B17"/>
    <w:rsid w:val="00E6620D"/>
    <w:rsid w:val="00E71FE1"/>
    <w:rsid w:val="00E76E25"/>
    <w:rsid w:val="00E8432D"/>
    <w:rsid w:val="00E84A65"/>
    <w:rsid w:val="00E90057"/>
    <w:rsid w:val="00E92A3E"/>
    <w:rsid w:val="00EA5D00"/>
    <w:rsid w:val="00EB0995"/>
    <w:rsid w:val="00EB3221"/>
    <w:rsid w:val="00EB4A6C"/>
    <w:rsid w:val="00EB782C"/>
    <w:rsid w:val="00EC017D"/>
    <w:rsid w:val="00EC1C51"/>
    <w:rsid w:val="00EC4776"/>
    <w:rsid w:val="00EC48BE"/>
    <w:rsid w:val="00EC6763"/>
    <w:rsid w:val="00EC7623"/>
    <w:rsid w:val="00ED1A9B"/>
    <w:rsid w:val="00ED4AF9"/>
    <w:rsid w:val="00ED5FEA"/>
    <w:rsid w:val="00EE0EDB"/>
    <w:rsid w:val="00EE5495"/>
    <w:rsid w:val="00EE5961"/>
    <w:rsid w:val="00EE7B43"/>
    <w:rsid w:val="00EF0BE4"/>
    <w:rsid w:val="00EF114E"/>
    <w:rsid w:val="00F002AA"/>
    <w:rsid w:val="00F03265"/>
    <w:rsid w:val="00F07C65"/>
    <w:rsid w:val="00F15235"/>
    <w:rsid w:val="00F1554E"/>
    <w:rsid w:val="00F2198F"/>
    <w:rsid w:val="00F24E8C"/>
    <w:rsid w:val="00F25C43"/>
    <w:rsid w:val="00F25F9C"/>
    <w:rsid w:val="00F300A4"/>
    <w:rsid w:val="00F325D1"/>
    <w:rsid w:val="00F33D78"/>
    <w:rsid w:val="00F3603C"/>
    <w:rsid w:val="00F36329"/>
    <w:rsid w:val="00F41B25"/>
    <w:rsid w:val="00F4408E"/>
    <w:rsid w:val="00F451B5"/>
    <w:rsid w:val="00F4589B"/>
    <w:rsid w:val="00F53E06"/>
    <w:rsid w:val="00F60968"/>
    <w:rsid w:val="00F631C9"/>
    <w:rsid w:val="00F653A9"/>
    <w:rsid w:val="00F65888"/>
    <w:rsid w:val="00F660E6"/>
    <w:rsid w:val="00F708F0"/>
    <w:rsid w:val="00F70B37"/>
    <w:rsid w:val="00F74DDA"/>
    <w:rsid w:val="00F8373F"/>
    <w:rsid w:val="00F84180"/>
    <w:rsid w:val="00F86E65"/>
    <w:rsid w:val="00F86FC9"/>
    <w:rsid w:val="00F876CF"/>
    <w:rsid w:val="00F9602E"/>
    <w:rsid w:val="00F96D26"/>
    <w:rsid w:val="00F97113"/>
    <w:rsid w:val="00F97451"/>
    <w:rsid w:val="00F97BC5"/>
    <w:rsid w:val="00FA2DF7"/>
    <w:rsid w:val="00FA451D"/>
    <w:rsid w:val="00FA4ADE"/>
    <w:rsid w:val="00FA4D2C"/>
    <w:rsid w:val="00FA5723"/>
    <w:rsid w:val="00FA7EE4"/>
    <w:rsid w:val="00FB10CB"/>
    <w:rsid w:val="00FB27DE"/>
    <w:rsid w:val="00FB3A5A"/>
    <w:rsid w:val="00FB4AC1"/>
    <w:rsid w:val="00FB6005"/>
    <w:rsid w:val="00FB7F0A"/>
    <w:rsid w:val="00FC346A"/>
    <w:rsid w:val="00FC3924"/>
    <w:rsid w:val="00FC444F"/>
    <w:rsid w:val="00FC62E3"/>
    <w:rsid w:val="00FC79A0"/>
    <w:rsid w:val="00FD0878"/>
    <w:rsid w:val="00FD3050"/>
    <w:rsid w:val="00FD369A"/>
    <w:rsid w:val="00FD544D"/>
    <w:rsid w:val="00FE0023"/>
    <w:rsid w:val="00FE536E"/>
    <w:rsid w:val="00FF6B34"/>
    <w:rsid w:val="00FF754B"/>
    <w:rsid w:val="00FF78BA"/>
    <w:rsid w:val="02272F1A"/>
    <w:rsid w:val="02590E08"/>
    <w:rsid w:val="03C264B8"/>
    <w:rsid w:val="08414823"/>
    <w:rsid w:val="089D778E"/>
    <w:rsid w:val="09366D18"/>
    <w:rsid w:val="0FA73BA6"/>
    <w:rsid w:val="11B70756"/>
    <w:rsid w:val="169734E9"/>
    <w:rsid w:val="16D33D54"/>
    <w:rsid w:val="16E33402"/>
    <w:rsid w:val="184007E2"/>
    <w:rsid w:val="187B11F2"/>
    <w:rsid w:val="18FA216D"/>
    <w:rsid w:val="1E2A3D93"/>
    <w:rsid w:val="1F7C4EA7"/>
    <w:rsid w:val="22867F98"/>
    <w:rsid w:val="24527A02"/>
    <w:rsid w:val="25F64FB5"/>
    <w:rsid w:val="27A865FB"/>
    <w:rsid w:val="27AA6882"/>
    <w:rsid w:val="2D6C2170"/>
    <w:rsid w:val="2EED0F24"/>
    <w:rsid w:val="33AF1900"/>
    <w:rsid w:val="35391F08"/>
    <w:rsid w:val="3586263D"/>
    <w:rsid w:val="361D2670"/>
    <w:rsid w:val="385C366E"/>
    <w:rsid w:val="3F532CB9"/>
    <w:rsid w:val="41162AB6"/>
    <w:rsid w:val="413E702E"/>
    <w:rsid w:val="451C6D82"/>
    <w:rsid w:val="45B20569"/>
    <w:rsid w:val="48811ACC"/>
    <w:rsid w:val="49A610BB"/>
    <w:rsid w:val="49F01277"/>
    <w:rsid w:val="504F5DA3"/>
    <w:rsid w:val="529338ED"/>
    <w:rsid w:val="53CD799B"/>
    <w:rsid w:val="586F0972"/>
    <w:rsid w:val="590158EC"/>
    <w:rsid w:val="5D155DD9"/>
    <w:rsid w:val="5DAC7E1C"/>
    <w:rsid w:val="61C13CB1"/>
    <w:rsid w:val="71A42093"/>
    <w:rsid w:val="73F2045C"/>
    <w:rsid w:val="7474446E"/>
    <w:rsid w:val="7BB07AED"/>
    <w:rsid w:val="7C2A1F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0B"/>
    <w:pPr>
      <w:widowControl w:val="0"/>
      <w:jc w:val="both"/>
    </w:pPr>
    <w:rPr>
      <w:kern w:val="2"/>
      <w:sz w:val="21"/>
      <w:szCs w:val="22"/>
    </w:rPr>
  </w:style>
  <w:style w:type="paragraph" w:styleId="3">
    <w:name w:val="heading 3"/>
    <w:basedOn w:val="a"/>
    <w:next w:val="a"/>
    <w:link w:val="3Char"/>
    <w:uiPriority w:val="9"/>
    <w:qFormat/>
    <w:rsid w:val="00B10A0B"/>
    <w:pPr>
      <w:widowControl/>
      <w:jc w:val="left"/>
      <w:outlineLvl w:val="2"/>
    </w:pPr>
    <w:rPr>
      <w:rFonts w:ascii="宋体" w:hAnsi="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10A0B"/>
    <w:rPr>
      <w:rFonts w:ascii="宋体"/>
      <w:sz w:val="18"/>
      <w:szCs w:val="18"/>
    </w:rPr>
  </w:style>
  <w:style w:type="paragraph" w:styleId="a4">
    <w:name w:val="annotation text"/>
    <w:basedOn w:val="a"/>
    <w:link w:val="Char0"/>
    <w:uiPriority w:val="99"/>
    <w:semiHidden/>
    <w:unhideWhenUsed/>
    <w:qFormat/>
    <w:rsid w:val="00B10A0B"/>
    <w:pPr>
      <w:jc w:val="left"/>
    </w:pPr>
  </w:style>
  <w:style w:type="paragraph" w:styleId="a5">
    <w:name w:val="Balloon Text"/>
    <w:basedOn w:val="a"/>
    <w:link w:val="Char1"/>
    <w:uiPriority w:val="99"/>
    <w:semiHidden/>
    <w:unhideWhenUsed/>
    <w:qFormat/>
    <w:rsid w:val="00B10A0B"/>
    <w:rPr>
      <w:kern w:val="0"/>
      <w:sz w:val="18"/>
      <w:szCs w:val="18"/>
    </w:rPr>
  </w:style>
  <w:style w:type="paragraph" w:styleId="a6">
    <w:name w:val="footer"/>
    <w:basedOn w:val="a"/>
    <w:link w:val="Char2"/>
    <w:uiPriority w:val="99"/>
    <w:unhideWhenUsed/>
    <w:qFormat/>
    <w:rsid w:val="00B10A0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10A0B"/>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B10A0B"/>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B10A0B"/>
    <w:rPr>
      <w:b/>
      <w:bCs/>
    </w:rPr>
  </w:style>
  <w:style w:type="table" w:styleId="aa">
    <w:name w:val="Table Grid"/>
    <w:basedOn w:val="a1"/>
    <w:uiPriority w:val="59"/>
    <w:qFormat/>
    <w:rsid w:val="00B10A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uiPriority w:val="99"/>
    <w:semiHidden/>
    <w:unhideWhenUsed/>
    <w:rsid w:val="00B10A0B"/>
    <w:rPr>
      <w:sz w:val="21"/>
      <w:szCs w:val="21"/>
    </w:rPr>
  </w:style>
  <w:style w:type="character" w:customStyle="1" w:styleId="Char1">
    <w:name w:val="批注框文本 Char"/>
    <w:link w:val="a5"/>
    <w:uiPriority w:val="99"/>
    <w:semiHidden/>
    <w:rsid w:val="00B10A0B"/>
    <w:rPr>
      <w:sz w:val="18"/>
      <w:szCs w:val="18"/>
    </w:rPr>
  </w:style>
  <w:style w:type="character" w:customStyle="1" w:styleId="ac">
    <w:name w:val="样式 宋体"/>
    <w:qFormat/>
    <w:rsid w:val="00B10A0B"/>
    <w:rPr>
      <w:rFonts w:ascii="Times New Roman" w:eastAsia="宋体" w:hAnsi="Times New Roman"/>
    </w:rPr>
  </w:style>
  <w:style w:type="character" w:customStyle="1" w:styleId="Char0">
    <w:name w:val="批注文字 Char"/>
    <w:link w:val="a4"/>
    <w:uiPriority w:val="99"/>
    <w:semiHidden/>
    <w:qFormat/>
    <w:rsid w:val="00B10A0B"/>
    <w:rPr>
      <w:kern w:val="2"/>
      <w:sz w:val="21"/>
      <w:szCs w:val="22"/>
    </w:rPr>
  </w:style>
  <w:style w:type="character" w:customStyle="1" w:styleId="Char4">
    <w:name w:val="批注主题 Char"/>
    <w:link w:val="a9"/>
    <w:uiPriority w:val="99"/>
    <w:semiHidden/>
    <w:qFormat/>
    <w:rsid w:val="00B10A0B"/>
    <w:rPr>
      <w:b/>
      <w:bCs/>
      <w:kern w:val="2"/>
      <w:sz w:val="21"/>
      <w:szCs w:val="22"/>
    </w:rPr>
  </w:style>
  <w:style w:type="character" w:customStyle="1" w:styleId="3Char">
    <w:name w:val="标题 3 Char"/>
    <w:link w:val="3"/>
    <w:uiPriority w:val="9"/>
    <w:qFormat/>
    <w:rsid w:val="00B10A0B"/>
    <w:rPr>
      <w:rFonts w:ascii="宋体" w:hAnsi="宋体" w:cs="宋体"/>
      <w:b/>
      <w:bCs/>
      <w:sz w:val="21"/>
      <w:szCs w:val="21"/>
    </w:rPr>
  </w:style>
  <w:style w:type="character" w:customStyle="1" w:styleId="date7">
    <w:name w:val="date7"/>
    <w:basedOn w:val="a0"/>
    <w:qFormat/>
    <w:rsid w:val="00B10A0B"/>
  </w:style>
  <w:style w:type="character" w:customStyle="1" w:styleId="Char3">
    <w:name w:val="页眉 Char"/>
    <w:link w:val="a7"/>
    <w:uiPriority w:val="99"/>
    <w:qFormat/>
    <w:rsid w:val="00B10A0B"/>
    <w:rPr>
      <w:kern w:val="2"/>
      <w:sz w:val="18"/>
      <w:szCs w:val="18"/>
    </w:rPr>
  </w:style>
  <w:style w:type="character" w:customStyle="1" w:styleId="Char2">
    <w:name w:val="页脚 Char"/>
    <w:link w:val="a6"/>
    <w:uiPriority w:val="99"/>
    <w:qFormat/>
    <w:rsid w:val="00B10A0B"/>
    <w:rPr>
      <w:kern w:val="2"/>
      <w:sz w:val="18"/>
      <w:szCs w:val="18"/>
    </w:rPr>
  </w:style>
  <w:style w:type="paragraph" w:customStyle="1" w:styleId="1">
    <w:name w:val="修订1"/>
    <w:hidden/>
    <w:uiPriority w:val="99"/>
    <w:semiHidden/>
    <w:rsid w:val="00B10A0B"/>
    <w:rPr>
      <w:kern w:val="2"/>
      <w:sz w:val="21"/>
      <w:szCs w:val="22"/>
    </w:rPr>
  </w:style>
  <w:style w:type="character" w:customStyle="1" w:styleId="Char">
    <w:name w:val="文档结构图 Char"/>
    <w:basedOn w:val="a0"/>
    <w:link w:val="a3"/>
    <w:uiPriority w:val="99"/>
    <w:semiHidden/>
    <w:qFormat/>
    <w:rsid w:val="00B10A0B"/>
    <w:rPr>
      <w:rFonts w:ascii="宋体"/>
      <w:kern w:val="2"/>
      <w:sz w:val="18"/>
      <w:szCs w:val="18"/>
    </w:rPr>
  </w:style>
  <w:style w:type="paragraph" w:customStyle="1" w:styleId="Default">
    <w:name w:val="Default"/>
    <w:rsid w:val="00B10A0B"/>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3E9D7A-FD97-45CA-BA34-B7A5DBD929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5945</Characters>
  <Application>Microsoft Office Word</Application>
  <DocSecurity>4</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dc:creator>
  <cp:lastModifiedBy>ZHONGM</cp:lastModifiedBy>
  <cp:revision>2</cp:revision>
  <cp:lastPrinted>2017-08-23T02:00:00Z</cp:lastPrinted>
  <dcterms:created xsi:type="dcterms:W3CDTF">2019-08-14T16:01:00Z</dcterms:created>
  <dcterms:modified xsi:type="dcterms:W3CDTF">2019-08-14T16:01:00Z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