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D3639B" w:rsidRDefault="006634A8"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D3639B" w:rsidRDefault="006634A8"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6634A8"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6634A8"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6634A8"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B0BB7"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易方达深证成指交易型开放式指数证券投资基金联接基金</w:t>
      </w:r>
    </w:p>
    <w:p w:rsidR="002D2A00" w:rsidRPr="00D3639B" w:rsidRDefault="002B0BB7"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年第</w:t>
      </w:r>
      <w:r w:rsidRPr="00D3639B">
        <w:rPr>
          <w:rFonts w:eastAsiaTheme="minorEastAsia"/>
          <w:b/>
          <w:color w:val="000000" w:themeColor="text1"/>
          <w:sz w:val="36"/>
          <w:szCs w:val="36"/>
        </w:rPr>
        <w:t>2</w:t>
      </w:r>
      <w:r w:rsidRPr="00D3639B">
        <w:rPr>
          <w:rFonts w:eastAsiaTheme="minorEastAsia"/>
          <w:b/>
          <w:color w:val="000000" w:themeColor="text1"/>
          <w:sz w:val="36"/>
          <w:szCs w:val="36"/>
        </w:rPr>
        <w:t>季度报告</w:t>
      </w:r>
    </w:p>
    <w:p w:rsidR="009A2283" w:rsidRPr="00D3639B" w:rsidRDefault="002B0BB7"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w:t>
      </w:r>
      <w:r w:rsidRPr="00D3639B">
        <w:rPr>
          <w:rFonts w:eastAsiaTheme="minorEastAsia"/>
          <w:b/>
          <w:color w:val="000000" w:themeColor="text1"/>
          <w:sz w:val="36"/>
          <w:szCs w:val="36"/>
        </w:rPr>
        <w:t>6</w:t>
      </w:r>
      <w:r w:rsidRPr="00D3639B">
        <w:rPr>
          <w:rFonts w:eastAsiaTheme="minorEastAsia"/>
          <w:b/>
          <w:color w:val="000000" w:themeColor="text1"/>
          <w:sz w:val="36"/>
          <w:szCs w:val="36"/>
        </w:rPr>
        <w:t>月</w:t>
      </w:r>
      <w:r w:rsidRPr="00D3639B">
        <w:rPr>
          <w:rFonts w:eastAsiaTheme="minorEastAsia"/>
          <w:b/>
          <w:color w:val="000000" w:themeColor="text1"/>
          <w:sz w:val="36"/>
          <w:szCs w:val="36"/>
        </w:rPr>
        <w:t>26</w:t>
      </w:r>
      <w:r w:rsidRPr="00D3639B">
        <w:rPr>
          <w:rFonts w:eastAsiaTheme="minorEastAsia"/>
          <w:b/>
          <w:color w:val="000000" w:themeColor="text1"/>
          <w:sz w:val="36"/>
          <w:szCs w:val="36"/>
        </w:rPr>
        <w:t>日</w:t>
      </w: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E27360">
      <w:pPr>
        <w:spacing w:line="360" w:lineRule="auto"/>
        <w:jc w:val="center"/>
        <w:rPr>
          <w:rFonts w:eastAsiaTheme="minorEastAsia"/>
          <w:b/>
          <w:color w:val="000000" w:themeColor="text1"/>
          <w:szCs w:val="21"/>
        </w:rPr>
      </w:pPr>
    </w:p>
    <w:p w:rsidR="00E27360" w:rsidRPr="00D3639B" w:rsidRDefault="006634A8" w:rsidP="00E27360">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jc w:val="center"/>
        <w:rPr>
          <w:rFonts w:eastAsiaTheme="minorEastAsia"/>
          <w:b/>
          <w:color w:val="000000" w:themeColor="text1"/>
          <w:szCs w:val="21"/>
        </w:rPr>
      </w:pPr>
    </w:p>
    <w:p w:rsidR="009A2283" w:rsidRPr="00D3639B" w:rsidRDefault="006634A8" w:rsidP="009A2283">
      <w:pPr>
        <w:spacing w:line="360" w:lineRule="auto"/>
        <w:rPr>
          <w:rFonts w:eastAsiaTheme="minorEastAsia"/>
          <w:b/>
          <w:color w:val="000000" w:themeColor="text1"/>
          <w:szCs w:val="21"/>
        </w:rPr>
      </w:pPr>
    </w:p>
    <w:p w:rsidR="009A2283" w:rsidRPr="00D3639B" w:rsidRDefault="002B0BB7"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基金管理人：易方达基金管理有限公司</w:t>
      </w:r>
    </w:p>
    <w:p w:rsidR="009A2283" w:rsidRPr="00D3639B" w:rsidRDefault="002B0BB7"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基金托管人：中国银行股份有限公司</w:t>
      </w:r>
    </w:p>
    <w:p w:rsidR="009A2283" w:rsidRPr="00D3639B" w:rsidRDefault="002B0BB7" w:rsidP="004B54B8">
      <w:pPr>
        <w:spacing w:line="360" w:lineRule="auto"/>
        <w:ind w:firstLineChars="900" w:firstLine="2168"/>
        <w:rPr>
          <w:rFonts w:eastAsiaTheme="minorEastAsia"/>
          <w:color w:val="000000" w:themeColor="text1"/>
          <w:sz w:val="24"/>
        </w:rPr>
        <w:sectPr w:rsidR="009A2283" w:rsidRPr="00D3639B" w:rsidSect="00F7094A">
          <w:headerReference w:type="default" r:id="rId9"/>
          <w:footerReference w:type="default" r:id="rId10"/>
          <w:pgSz w:w="11926" w:h="15840"/>
          <w:pgMar w:top="1418" w:right="1418" w:bottom="851" w:left="1418" w:header="851" w:footer="992" w:gutter="0"/>
          <w:cols w:space="720"/>
          <w:noEndnote/>
        </w:sectPr>
      </w:pPr>
      <w:r w:rsidRPr="00D3639B">
        <w:rPr>
          <w:rFonts w:eastAsiaTheme="minorEastAsia"/>
          <w:b/>
          <w:color w:val="000000" w:themeColor="text1"/>
          <w:sz w:val="24"/>
        </w:rPr>
        <w:t>报告送出日期：二〇一九年七月十九日</w:t>
      </w:r>
    </w:p>
    <w:p w:rsidR="009238DB" w:rsidRPr="00B34368" w:rsidRDefault="002B0BB7" w:rsidP="00C544B8">
      <w:pPr>
        <w:pStyle w:val="1"/>
        <w:spacing w:beforeLines="100" w:before="312" w:afterLines="100" w:after="312" w:line="360" w:lineRule="auto"/>
        <w:jc w:val="center"/>
        <w:rPr>
          <w:rFonts w:eastAsiaTheme="minorEastAsia"/>
          <w:b w:val="0"/>
          <w:color w:val="000000" w:themeColor="text1"/>
          <w:kern w:val="0"/>
          <w:sz w:val="24"/>
          <w:szCs w:val="24"/>
        </w:rPr>
      </w:pPr>
      <w:r w:rsidRPr="00B34368">
        <w:rPr>
          <w:rFonts w:eastAsiaTheme="minorEastAsia"/>
          <w:color w:val="000000" w:themeColor="text1"/>
          <w:kern w:val="0"/>
          <w:sz w:val="24"/>
          <w:szCs w:val="24"/>
        </w:rPr>
        <w:lastRenderedPageBreak/>
        <w:t xml:space="preserve">§1  </w:t>
      </w:r>
      <w:r w:rsidRPr="00B34368">
        <w:rPr>
          <w:rFonts w:eastAsiaTheme="minorEastAsia" w:hAnsiTheme="minorEastAsia"/>
          <w:color w:val="000000" w:themeColor="text1"/>
          <w:kern w:val="0"/>
          <w:sz w:val="24"/>
          <w:szCs w:val="24"/>
        </w:rPr>
        <w:t>重要提示</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p>
    <w:p w:rsidR="00DA7297" w:rsidRDefault="00DA7297">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根据《中华人民共和国证券投资基金法》、《公开募集证券投资基金运作管理办法》等法律法规的规定和《易方达深证成指交易型开放式指数证券投资基金联接基金基金合同》（以下简称</w:t>
      </w:r>
      <w:r>
        <w:rPr>
          <w:rFonts w:eastAsiaTheme="minorEastAsia"/>
          <w:color w:val="000000" w:themeColor="text1"/>
          <w:sz w:val="24"/>
        </w:rPr>
        <w:t>“</w:t>
      </w:r>
      <w:r>
        <w:rPr>
          <w:rFonts w:eastAsiaTheme="minorEastAsia" w:hint="eastAsia"/>
          <w:color w:val="000000" w:themeColor="text1"/>
          <w:sz w:val="24"/>
        </w:rPr>
        <w:t>《基金合同》</w:t>
      </w:r>
      <w:r>
        <w:rPr>
          <w:rFonts w:eastAsiaTheme="minorEastAsia"/>
          <w:color w:val="000000" w:themeColor="text1"/>
          <w:sz w:val="24"/>
        </w:rPr>
        <w:t>”)</w:t>
      </w:r>
      <w:r>
        <w:rPr>
          <w:rFonts w:eastAsiaTheme="minorEastAsia" w:hint="eastAsia"/>
          <w:color w:val="000000" w:themeColor="text1"/>
          <w:sz w:val="24"/>
        </w:rPr>
        <w:t>的有关约定，本基金以通讯方式召开本基金的基金份额持有人大会，审议通过了《关于易方达深证成指交易型开放式指数证券投资基金联接基金终止基金合同有关事项的议案》。本基金的最后运作日定为</w:t>
      </w:r>
      <w:r>
        <w:rPr>
          <w:rFonts w:eastAsiaTheme="minorEastAsia"/>
          <w:color w:val="000000" w:themeColor="text1"/>
          <w:sz w:val="24"/>
        </w:rPr>
        <w:t>2019</w:t>
      </w:r>
      <w:r>
        <w:rPr>
          <w:rFonts w:eastAsiaTheme="minorEastAsia" w:hint="eastAsia"/>
          <w:color w:val="000000" w:themeColor="text1"/>
          <w:sz w:val="24"/>
        </w:rPr>
        <w:t>年</w:t>
      </w:r>
      <w:r>
        <w:rPr>
          <w:rFonts w:eastAsiaTheme="minorEastAsia"/>
          <w:color w:val="000000" w:themeColor="text1"/>
          <w:sz w:val="24"/>
        </w:rPr>
        <w:t>6</w:t>
      </w:r>
      <w:r>
        <w:rPr>
          <w:rFonts w:eastAsiaTheme="minorEastAsia" w:hint="eastAsia"/>
          <w:color w:val="000000" w:themeColor="text1"/>
          <w:sz w:val="24"/>
        </w:rPr>
        <w:t>月</w:t>
      </w:r>
      <w:r>
        <w:rPr>
          <w:rFonts w:eastAsiaTheme="minorEastAsia"/>
          <w:color w:val="000000" w:themeColor="text1"/>
          <w:sz w:val="24"/>
        </w:rPr>
        <w:t>26</w:t>
      </w:r>
      <w:r>
        <w:rPr>
          <w:rFonts w:eastAsiaTheme="minorEastAsia" w:hint="eastAsia"/>
          <w:color w:val="000000" w:themeColor="text1"/>
          <w:sz w:val="24"/>
        </w:rPr>
        <w:t>日，并于</w:t>
      </w:r>
      <w:r>
        <w:rPr>
          <w:rFonts w:eastAsiaTheme="minorEastAsia"/>
          <w:color w:val="000000" w:themeColor="text1"/>
          <w:sz w:val="24"/>
        </w:rPr>
        <w:t>2019</w:t>
      </w:r>
      <w:r>
        <w:rPr>
          <w:rFonts w:eastAsiaTheme="minorEastAsia" w:hint="eastAsia"/>
          <w:color w:val="000000" w:themeColor="text1"/>
          <w:sz w:val="24"/>
        </w:rPr>
        <w:t>年</w:t>
      </w:r>
      <w:r>
        <w:rPr>
          <w:rFonts w:eastAsiaTheme="minorEastAsia"/>
          <w:color w:val="000000" w:themeColor="text1"/>
          <w:sz w:val="24"/>
        </w:rPr>
        <w:t>6</w:t>
      </w:r>
      <w:r>
        <w:rPr>
          <w:rFonts w:eastAsiaTheme="minorEastAsia" w:hint="eastAsia"/>
          <w:color w:val="000000" w:themeColor="text1"/>
          <w:sz w:val="24"/>
        </w:rPr>
        <w:t>月</w:t>
      </w:r>
      <w:r>
        <w:rPr>
          <w:rFonts w:eastAsiaTheme="minorEastAsia"/>
          <w:color w:val="000000" w:themeColor="text1"/>
          <w:sz w:val="24"/>
        </w:rPr>
        <w:t>27</w:t>
      </w:r>
      <w:r>
        <w:rPr>
          <w:rFonts w:eastAsiaTheme="minorEastAsia" w:hint="eastAsia"/>
          <w:color w:val="000000" w:themeColor="text1"/>
          <w:sz w:val="24"/>
        </w:rPr>
        <w:t>日进入清算程序。基金财产清算结果将在报中国证监会备案后公告，并将遵照法律法规、《基金合同》等规定及时进行分配，敬请投资者留意。</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8DB"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日起至</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日（基金最后运作日）止。</w:t>
      </w:r>
    </w:p>
    <w:p w:rsidR="009238DB" w:rsidRPr="00B34368" w:rsidRDefault="002B0BB7"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§2  </w:t>
      </w:r>
      <w:r w:rsidRPr="00B34368">
        <w:rPr>
          <w:rFonts w:eastAsiaTheme="minorEastAsia" w:hAnsiTheme="minorEastAsia"/>
          <w:color w:val="000000" w:themeColor="text1"/>
          <w:kern w:val="0"/>
          <w:sz w:val="24"/>
          <w:szCs w:val="24"/>
        </w:rPr>
        <w:t>基金产品概况</w:t>
      </w:r>
    </w:p>
    <w:p w:rsidR="002C32ED" w:rsidRPr="00B34368" w:rsidRDefault="002B0BB7" w:rsidP="002C32ED">
      <w:pPr>
        <w:pStyle w:val="2"/>
        <w:keepNext w:val="0"/>
        <w:keepLines w:val="0"/>
        <w:spacing w:before="0" w:after="0"/>
        <w:rPr>
          <w:rFonts w:ascii="Times New Roman" w:eastAsiaTheme="minorEastAsia" w:hAnsi="Times New Roman" w:cs="Times New Roman"/>
          <w:color w:val="000000" w:themeColor="text1"/>
          <w:szCs w:val="24"/>
        </w:rPr>
      </w:pPr>
      <w:bookmarkStart w:id="1" w:name="_Toc245193810"/>
      <w:r w:rsidRPr="00B34368">
        <w:rPr>
          <w:rFonts w:ascii="Times New Roman" w:eastAsiaTheme="minorEastAsia" w:hAnsi="Times New Roman" w:cs="Times New Roman"/>
          <w:color w:val="000000" w:themeColor="text1"/>
          <w:szCs w:val="24"/>
        </w:rPr>
        <w:t>2.1</w:t>
      </w:r>
      <w:r w:rsidRPr="00B34368">
        <w:rPr>
          <w:rFonts w:ascii="Times New Roman" w:eastAsiaTheme="minorEastAsia" w:hAnsiTheme="minorEastAsia" w:cs="Times New Roman"/>
          <w:color w:val="000000" w:themeColor="text1"/>
          <w:szCs w:val="24"/>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基金简称</w:t>
            </w:r>
          </w:p>
        </w:tc>
        <w:tc>
          <w:tcPr>
            <w:tcW w:w="5479" w:type="dxa"/>
            <w:gridSpan w:val="2"/>
          </w:tcPr>
          <w:p w:rsidR="00A6200E" w:rsidRPr="00B34368" w:rsidRDefault="002B0BB7"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易方达深证成指</w:t>
            </w:r>
            <w:r w:rsidRPr="00B34368">
              <w:rPr>
                <w:rFonts w:eastAsiaTheme="minorEastAsia"/>
                <w:color w:val="000000" w:themeColor="text1"/>
                <w:kern w:val="0"/>
                <w:sz w:val="24"/>
              </w:rPr>
              <w:t>ETF</w:t>
            </w:r>
            <w:r w:rsidRPr="00B34368">
              <w:rPr>
                <w:rFonts w:eastAsiaTheme="minorEastAsia"/>
                <w:color w:val="000000" w:themeColor="text1"/>
                <w:kern w:val="0"/>
                <w:sz w:val="24"/>
              </w:rPr>
              <w:t>联接</w:t>
            </w:r>
          </w:p>
        </w:tc>
      </w:tr>
      <w:tr w:rsidR="00B01047" w:rsidTr="00AA7EBD">
        <w:tc>
          <w:tcPr>
            <w:tcW w:w="2835" w:type="dxa"/>
          </w:tcPr>
          <w:p w:rsidR="00B95753" w:rsidRPr="00B34368" w:rsidRDefault="002B0BB7"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479" w:type="dxa"/>
            <w:gridSpan w:val="2"/>
            <w:tcBorders>
              <w:bottom w:val="single" w:sz="4" w:space="0" w:color="auto"/>
            </w:tcBorders>
          </w:tcPr>
          <w:p w:rsidR="00B95753" w:rsidRPr="00B34368" w:rsidRDefault="002B0BB7"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003524</w:t>
            </w:r>
          </w:p>
        </w:tc>
      </w:tr>
      <w:tr w:rsidR="00B01047" w:rsidTr="00AA7EBD">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基金运作方式</w:t>
            </w:r>
          </w:p>
        </w:tc>
        <w:tc>
          <w:tcPr>
            <w:tcW w:w="5479" w:type="dxa"/>
            <w:gridSpan w:val="2"/>
            <w:tcBorders>
              <w:top w:val="single" w:sz="4" w:space="0" w:color="auto"/>
            </w:tcBorders>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契约型开放式</w:t>
            </w:r>
          </w:p>
        </w:tc>
      </w:tr>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基金合同生效日</w:t>
            </w:r>
          </w:p>
        </w:tc>
        <w:tc>
          <w:tcPr>
            <w:tcW w:w="5479" w:type="dxa"/>
            <w:gridSpan w:val="2"/>
          </w:tcPr>
          <w:p w:rsidR="00A6200E" w:rsidRPr="00B34368" w:rsidRDefault="002B0BB7" w:rsidP="00121533">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2017</w:t>
            </w:r>
            <w:r w:rsidRPr="00B34368">
              <w:rPr>
                <w:rFonts w:eastAsiaTheme="minorEastAsia"/>
                <w:color w:val="000000" w:themeColor="text1"/>
                <w:kern w:val="0"/>
                <w:sz w:val="24"/>
              </w:rPr>
              <w:t>年</w:t>
            </w:r>
            <w:r w:rsidRPr="00B34368">
              <w:rPr>
                <w:rFonts w:eastAsiaTheme="minorEastAsia"/>
                <w:color w:val="000000" w:themeColor="text1"/>
                <w:kern w:val="0"/>
                <w:sz w:val="24"/>
              </w:rPr>
              <w:t>5</w:t>
            </w:r>
            <w:r w:rsidRPr="00B34368">
              <w:rPr>
                <w:rFonts w:eastAsiaTheme="minorEastAsia"/>
                <w:color w:val="000000" w:themeColor="text1"/>
                <w:kern w:val="0"/>
                <w:sz w:val="24"/>
              </w:rPr>
              <w:t>月</w:t>
            </w:r>
            <w:r w:rsidRPr="00B34368">
              <w:rPr>
                <w:rFonts w:eastAsiaTheme="minorEastAsia"/>
                <w:color w:val="000000" w:themeColor="text1"/>
                <w:kern w:val="0"/>
                <w:sz w:val="24"/>
              </w:rPr>
              <w:t>4</w:t>
            </w:r>
            <w:r w:rsidRPr="00B34368">
              <w:rPr>
                <w:rFonts w:eastAsiaTheme="minorEastAsia"/>
                <w:color w:val="000000" w:themeColor="text1"/>
                <w:kern w:val="0"/>
                <w:sz w:val="24"/>
              </w:rPr>
              <w:t>日</w:t>
            </w:r>
          </w:p>
        </w:tc>
      </w:tr>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报告期末基金份额总额</w:t>
            </w:r>
          </w:p>
        </w:tc>
        <w:tc>
          <w:tcPr>
            <w:tcW w:w="5479" w:type="dxa"/>
            <w:gridSpan w:val="2"/>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19,635,411.11</w:t>
            </w:r>
            <w:r w:rsidRPr="00B34368">
              <w:rPr>
                <w:rFonts w:eastAsiaTheme="minorEastAsia" w:hAnsiTheme="minorEastAsia"/>
                <w:color w:val="000000" w:themeColor="text1"/>
                <w:kern w:val="0"/>
                <w:sz w:val="24"/>
              </w:rPr>
              <w:t>份</w:t>
            </w:r>
          </w:p>
        </w:tc>
      </w:tr>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lastRenderedPageBreak/>
              <w:t>投资目标</w:t>
            </w:r>
          </w:p>
        </w:tc>
        <w:tc>
          <w:tcPr>
            <w:tcW w:w="5479" w:type="dxa"/>
            <w:gridSpan w:val="2"/>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紧密跟踪业绩比较基准，追求跟踪偏离度及跟踪误差的最小化。</w:t>
            </w:r>
          </w:p>
        </w:tc>
      </w:tr>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投资策略</w:t>
            </w:r>
          </w:p>
        </w:tc>
        <w:tc>
          <w:tcPr>
            <w:tcW w:w="5479" w:type="dxa"/>
            <w:gridSpan w:val="2"/>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本基金为易方达深证成指</w:t>
            </w:r>
            <w:r w:rsidRPr="00B34368">
              <w:rPr>
                <w:rFonts w:eastAsiaTheme="minorEastAsia"/>
                <w:color w:val="000000" w:themeColor="text1"/>
                <w:kern w:val="0"/>
                <w:sz w:val="24"/>
              </w:rPr>
              <w:t>ETF</w:t>
            </w:r>
            <w:r w:rsidRPr="00B34368">
              <w:rPr>
                <w:rFonts w:eastAsiaTheme="minorEastAsia"/>
                <w:color w:val="000000" w:themeColor="text1"/>
                <w:kern w:val="0"/>
                <w:sz w:val="24"/>
              </w:rPr>
              <w:t>的联接基金，易方达深证成指</w:t>
            </w:r>
            <w:r w:rsidRPr="00B34368">
              <w:rPr>
                <w:rFonts w:eastAsiaTheme="minorEastAsia"/>
                <w:color w:val="000000" w:themeColor="text1"/>
                <w:kern w:val="0"/>
                <w:sz w:val="24"/>
              </w:rPr>
              <w:t>ETF</w:t>
            </w:r>
            <w:r w:rsidRPr="00B34368">
              <w:rPr>
                <w:rFonts w:eastAsiaTheme="minorEastAsia"/>
                <w:color w:val="000000" w:themeColor="text1"/>
                <w:kern w:val="0"/>
                <w:sz w:val="24"/>
              </w:rPr>
              <w:t>是</w:t>
            </w:r>
            <w:r w:rsidR="00300EDE">
              <w:rPr>
                <w:rFonts w:eastAsiaTheme="minorEastAsia" w:hint="eastAsia"/>
                <w:color w:val="000000" w:themeColor="text1"/>
                <w:kern w:val="0"/>
                <w:sz w:val="24"/>
              </w:rPr>
              <w:t>主要</w:t>
            </w:r>
            <w:r w:rsidRPr="00B34368">
              <w:rPr>
                <w:rFonts w:eastAsiaTheme="minorEastAsia"/>
                <w:color w:val="000000" w:themeColor="text1"/>
                <w:kern w:val="0"/>
                <w:sz w:val="24"/>
              </w:rPr>
              <w:t>采用完全复制法实现对深证成份指数紧密跟踪的全被动指数基金，本基金主要通过投资于易方达深证成指</w:t>
            </w:r>
            <w:r w:rsidRPr="00B34368">
              <w:rPr>
                <w:rFonts w:eastAsiaTheme="minorEastAsia"/>
                <w:color w:val="000000" w:themeColor="text1"/>
                <w:kern w:val="0"/>
                <w:sz w:val="24"/>
              </w:rPr>
              <w:t>ETF</w:t>
            </w:r>
            <w:r w:rsidRPr="00B34368">
              <w:rPr>
                <w:rFonts w:eastAsiaTheme="minorEastAsia"/>
                <w:color w:val="000000" w:themeColor="text1"/>
                <w:kern w:val="0"/>
                <w:sz w:val="24"/>
              </w:rPr>
              <w:t>实现对业绩比较基准的紧密跟踪，力争将年化跟踪误差控制在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t>以内。本基金将在综合考虑合规、风险、效率、成本等因素的基础上，决定采用申购、赎回的方式或证券二级市场交易的方式进行易方达深证成指</w:t>
            </w:r>
            <w:r w:rsidRPr="00B34368">
              <w:rPr>
                <w:rFonts w:eastAsiaTheme="minorEastAsia"/>
                <w:color w:val="000000" w:themeColor="text1"/>
                <w:kern w:val="0"/>
                <w:sz w:val="24"/>
              </w:rPr>
              <w:t>ETF</w:t>
            </w:r>
            <w:r w:rsidRPr="00B34368">
              <w:rPr>
                <w:rFonts w:eastAsiaTheme="minorEastAsia"/>
                <w:color w:val="000000" w:themeColor="text1"/>
                <w:kern w:val="0"/>
                <w:sz w:val="24"/>
              </w:rPr>
              <w:t>的投资。本基金还可适度参与易方达深证成指</w:t>
            </w:r>
            <w:r w:rsidRPr="00B34368">
              <w:rPr>
                <w:rFonts w:eastAsiaTheme="minorEastAsia"/>
                <w:color w:val="000000" w:themeColor="text1"/>
                <w:kern w:val="0"/>
                <w:sz w:val="24"/>
              </w:rPr>
              <w:t>ETF</w:t>
            </w:r>
            <w:r w:rsidRPr="00B34368">
              <w:rPr>
                <w:rFonts w:eastAsiaTheme="minorEastAsia"/>
                <w:color w:val="000000" w:themeColor="text1"/>
                <w:kern w:val="0"/>
                <w:sz w:val="24"/>
              </w:rPr>
              <w:t>基金份额交易和申购、赎回之间的套利，以增强基金收益。为更好地实现投资目标，本基金可投资股指期货和其他经中国证监会允许的衍生金融产品，如权证以及其他与标的指数或标的指数成份股、备选成份股相关的衍生工具。</w:t>
            </w:r>
            <w:r w:rsidRPr="00B34368">
              <w:rPr>
                <w:rFonts w:eastAsiaTheme="minorEastAsia"/>
                <w:color w:val="000000" w:themeColor="text1"/>
                <w:kern w:val="0"/>
                <w:sz w:val="24"/>
              </w:rPr>
              <w:t xml:space="preserve"> </w:t>
            </w:r>
          </w:p>
        </w:tc>
      </w:tr>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业绩比较基准</w:t>
            </w:r>
          </w:p>
        </w:tc>
        <w:tc>
          <w:tcPr>
            <w:tcW w:w="5479" w:type="dxa"/>
            <w:gridSpan w:val="2"/>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深证成份指数收益率</w:t>
            </w:r>
            <w:r w:rsidRPr="00B34368">
              <w:rPr>
                <w:rFonts w:eastAsiaTheme="minorEastAsia"/>
                <w:color w:val="000000" w:themeColor="text1"/>
                <w:kern w:val="0"/>
                <w:sz w:val="24"/>
              </w:rPr>
              <w:t>×95%+</w:t>
            </w:r>
            <w:r w:rsidRPr="00B34368">
              <w:rPr>
                <w:rFonts w:eastAsiaTheme="minorEastAsia"/>
                <w:color w:val="000000" w:themeColor="text1"/>
                <w:kern w:val="0"/>
                <w:sz w:val="24"/>
              </w:rPr>
              <w:t>活期存款利率</w:t>
            </w:r>
            <w:r w:rsidRPr="00B34368">
              <w:rPr>
                <w:rFonts w:eastAsiaTheme="minorEastAsia"/>
                <w:color w:val="000000" w:themeColor="text1"/>
                <w:kern w:val="0"/>
                <w:sz w:val="24"/>
              </w:rPr>
              <w:t>(</w:t>
            </w:r>
            <w:r w:rsidRPr="00B34368">
              <w:rPr>
                <w:rFonts w:eastAsiaTheme="minorEastAsia"/>
                <w:color w:val="000000" w:themeColor="text1"/>
                <w:kern w:val="0"/>
                <w:sz w:val="24"/>
              </w:rPr>
              <w:t>税后</w:t>
            </w:r>
            <w:r w:rsidRPr="00B34368">
              <w:rPr>
                <w:rFonts w:eastAsiaTheme="minorEastAsia"/>
                <w:color w:val="000000" w:themeColor="text1"/>
                <w:kern w:val="0"/>
                <w:sz w:val="24"/>
              </w:rPr>
              <w:t>) ×5%</w:t>
            </w:r>
          </w:p>
        </w:tc>
      </w:tr>
      <w:tr w:rsidR="00B01047" w:rsidTr="009A045B">
        <w:tc>
          <w:tcPr>
            <w:tcW w:w="2835" w:type="dxa"/>
          </w:tcPr>
          <w:p w:rsidR="00846C2B"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风险收益特征</w:t>
            </w:r>
          </w:p>
        </w:tc>
        <w:tc>
          <w:tcPr>
            <w:tcW w:w="5479" w:type="dxa"/>
            <w:gridSpan w:val="2"/>
          </w:tcPr>
          <w:p w:rsidR="00846C2B"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本基金是</w:t>
            </w:r>
            <w:r w:rsidRPr="00B34368">
              <w:rPr>
                <w:rFonts w:eastAsiaTheme="minorEastAsia"/>
                <w:color w:val="000000" w:themeColor="text1"/>
                <w:kern w:val="0"/>
                <w:sz w:val="24"/>
              </w:rPr>
              <w:t>ETF</w:t>
            </w:r>
            <w:r w:rsidRPr="00B34368">
              <w:rPr>
                <w:rFonts w:eastAsiaTheme="minorEastAsia"/>
                <w:color w:val="000000" w:themeColor="text1"/>
                <w:kern w:val="0"/>
                <w:sz w:val="24"/>
              </w:rPr>
              <w:t>联接基金，理论上其风险收益水平高于混合型基金、债券基金和货币市场基金。本基金主要通过投资于深证成指</w:t>
            </w:r>
            <w:r w:rsidRPr="00B34368">
              <w:rPr>
                <w:rFonts w:eastAsiaTheme="minorEastAsia"/>
                <w:color w:val="000000" w:themeColor="text1"/>
                <w:kern w:val="0"/>
                <w:sz w:val="24"/>
              </w:rPr>
              <w:t>ETF</w:t>
            </w:r>
            <w:r w:rsidRPr="00B34368">
              <w:rPr>
                <w:rFonts w:eastAsiaTheme="minorEastAsia"/>
                <w:color w:val="000000" w:themeColor="text1"/>
                <w:kern w:val="0"/>
                <w:sz w:val="24"/>
              </w:rPr>
              <w:t>实现对业绩比较基准的紧密跟踪，具有与业绩比较基准相似的风险收益特征。</w:t>
            </w:r>
          </w:p>
        </w:tc>
      </w:tr>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基金管理人</w:t>
            </w:r>
          </w:p>
        </w:tc>
        <w:tc>
          <w:tcPr>
            <w:tcW w:w="5479" w:type="dxa"/>
            <w:gridSpan w:val="2"/>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易方达基金管理有限公司</w:t>
            </w:r>
          </w:p>
        </w:tc>
      </w:tr>
      <w:tr w:rsidR="00B01047" w:rsidTr="00950413">
        <w:tc>
          <w:tcPr>
            <w:tcW w:w="2835" w:type="dxa"/>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基金托管人</w:t>
            </w:r>
          </w:p>
        </w:tc>
        <w:tc>
          <w:tcPr>
            <w:tcW w:w="5479" w:type="dxa"/>
            <w:gridSpan w:val="2"/>
          </w:tcPr>
          <w:p w:rsidR="00A6200E"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中国银行股份有限公司</w:t>
            </w:r>
          </w:p>
        </w:tc>
      </w:tr>
      <w:tr w:rsidR="00B01047" w:rsidTr="00950413">
        <w:tc>
          <w:tcPr>
            <w:tcW w:w="2835" w:type="dxa"/>
          </w:tcPr>
          <w:p w:rsidR="00950413" w:rsidRPr="00B34368" w:rsidRDefault="002B0BB7" w:rsidP="00E205AA">
            <w:pPr>
              <w:adjustRightInd w:val="0"/>
              <w:spacing w:before="29" w:line="360" w:lineRule="auto"/>
              <w:ind w:left="17"/>
              <w:jc w:val="left"/>
              <w:rPr>
                <w:rFonts w:eastAsiaTheme="minorEastAsia"/>
                <w:color w:val="000000" w:themeColor="text1"/>
                <w:kern w:val="0"/>
                <w:sz w:val="24"/>
              </w:rPr>
            </w:pPr>
            <w:r>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级基金的基金简称</w:t>
            </w:r>
          </w:p>
        </w:tc>
        <w:tc>
          <w:tcPr>
            <w:tcW w:w="2739" w:type="dxa"/>
            <w:vAlign w:val="center"/>
          </w:tcPr>
          <w:p w:rsidR="00950413" w:rsidRPr="00B34368" w:rsidRDefault="002B0BB7" w:rsidP="00950413">
            <w:pPr>
              <w:jc w:val="left"/>
              <w:rPr>
                <w:rFonts w:eastAsia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740" w:type="dxa"/>
            <w:vAlign w:val="center"/>
          </w:tcPr>
          <w:p w:rsidR="00950413" w:rsidRPr="00B34368" w:rsidRDefault="002B0BB7" w:rsidP="00950413">
            <w:pPr>
              <w:jc w:val="left"/>
              <w:rPr>
                <w:rFonts w:eastAsia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B01047" w:rsidTr="00950413">
        <w:tc>
          <w:tcPr>
            <w:tcW w:w="2835" w:type="dxa"/>
          </w:tcPr>
          <w:p w:rsidR="00950413"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级基金的交易代码</w:t>
            </w:r>
          </w:p>
        </w:tc>
        <w:tc>
          <w:tcPr>
            <w:tcW w:w="2739" w:type="dxa"/>
            <w:vAlign w:val="center"/>
          </w:tcPr>
          <w:p w:rsidR="00950413" w:rsidRPr="00B34368" w:rsidRDefault="002B0BB7" w:rsidP="00950413">
            <w:pPr>
              <w:jc w:val="left"/>
              <w:rPr>
                <w:rFonts w:eastAsiaTheme="minorEastAsia"/>
                <w:color w:val="000000" w:themeColor="text1"/>
                <w:sz w:val="24"/>
              </w:rPr>
            </w:pPr>
            <w:r w:rsidRPr="00B34368">
              <w:rPr>
                <w:rFonts w:eastAsiaTheme="minorEastAsia"/>
                <w:color w:val="000000" w:themeColor="text1"/>
                <w:sz w:val="24"/>
              </w:rPr>
              <w:t>003524</w:t>
            </w:r>
          </w:p>
        </w:tc>
        <w:tc>
          <w:tcPr>
            <w:tcW w:w="2740" w:type="dxa"/>
            <w:vAlign w:val="center"/>
          </w:tcPr>
          <w:p w:rsidR="00950413" w:rsidRPr="00B34368" w:rsidRDefault="002B0BB7" w:rsidP="00950413">
            <w:pPr>
              <w:jc w:val="left"/>
              <w:rPr>
                <w:rFonts w:eastAsiaTheme="minorEastAsia"/>
                <w:color w:val="000000" w:themeColor="text1"/>
                <w:sz w:val="24"/>
              </w:rPr>
            </w:pPr>
            <w:r w:rsidRPr="00B34368">
              <w:rPr>
                <w:rFonts w:eastAsiaTheme="minorEastAsia"/>
                <w:color w:val="000000" w:themeColor="text1"/>
                <w:sz w:val="24"/>
              </w:rPr>
              <w:t>006262</w:t>
            </w:r>
          </w:p>
        </w:tc>
      </w:tr>
      <w:tr w:rsidR="00B01047" w:rsidTr="00950413">
        <w:tc>
          <w:tcPr>
            <w:tcW w:w="2835" w:type="dxa"/>
          </w:tcPr>
          <w:p w:rsidR="00950413" w:rsidRPr="00B34368" w:rsidRDefault="002B0BB7"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报告期末下属</w:t>
            </w:r>
            <w:r>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级基金的份额总额</w:t>
            </w:r>
          </w:p>
        </w:tc>
        <w:tc>
          <w:tcPr>
            <w:tcW w:w="2739" w:type="dxa"/>
            <w:vAlign w:val="center"/>
          </w:tcPr>
          <w:p w:rsidR="00950413" w:rsidRPr="00B34368" w:rsidRDefault="002B0BB7" w:rsidP="00950413">
            <w:pPr>
              <w:jc w:val="left"/>
              <w:rPr>
                <w:rFonts w:eastAsiaTheme="minorEastAsia"/>
                <w:color w:val="000000" w:themeColor="text1"/>
                <w:sz w:val="24"/>
              </w:rPr>
            </w:pPr>
            <w:r w:rsidRPr="00B34368">
              <w:rPr>
                <w:rFonts w:eastAsiaTheme="minorEastAsia"/>
                <w:color w:val="000000" w:themeColor="text1"/>
                <w:sz w:val="24"/>
              </w:rPr>
              <w:t>17,655,864.07</w:t>
            </w:r>
            <w:r w:rsidRPr="00B34368">
              <w:rPr>
                <w:rFonts w:eastAsiaTheme="minorEastAsia" w:hAnsiTheme="minorEastAsia"/>
                <w:color w:val="000000" w:themeColor="text1"/>
                <w:kern w:val="0"/>
                <w:sz w:val="24"/>
              </w:rPr>
              <w:t>份</w:t>
            </w:r>
          </w:p>
        </w:tc>
        <w:tc>
          <w:tcPr>
            <w:tcW w:w="2740" w:type="dxa"/>
            <w:vAlign w:val="center"/>
          </w:tcPr>
          <w:p w:rsidR="00950413" w:rsidRPr="00B34368" w:rsidRDefault="002B0BB7" w:rsidP="00950413">
            <w:pPr>
              <w:jc w:val="left"/>
              <w:rPr>
                <w:rFonts w:eastAsiaTheme="minorEastAsia"/>
                <w:color w:val="000000" w:themeColor="text1"/>
                <w:sz w:val="24"/>
              </w:rPr>
            </w:pPr>
            <w:r w:rsidRPr="00B34368">
              <w:rPr>
                <w:rFonts w:eastAsiaTheme="minorEastAsia"/>
                <w:color w:val="000000" w:themeColor="text1"/>
                <w:sz w:val="24"/>
              </w:rPr>
              <w:t>1,979,547.04</w:t>
            </w:r>
            <w:r w:rsidRPr="00B34368">
              <w:rPr>
                <w:rFonts w:eastAsiaTheme="minorEastAsia" w:hAnsiTheme="minorEastAsia"/>
                <w:color w:val="000000" w:themeColor="text1"/>
                <w:kern w:val="0"/>
                <w:sz w:val="24"/>
              </w:rPr>
              <w:t>份</w:t>
            </w:r>
          </w:p>
        </w:tc>
      </w:tr>
    </w:tbl>
    <w:p w:rsidR="002C32ED"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2018</w:t>
      </w:r>
      <w:r w:rsidRPr="00B34368">
        <w:rPr>
          <w:rFonts w:eastAsiaTheme="minorEastAsia"/>
          <w:color w:val="000000" w:themeColor="text1"/>
          <w:sz w:val="24"/>
        </w:rPr>
        <w:t>年</w:t>
      </w:r>
      <w:r w:rsidRPr="00B34368">
        <w:rPr>
          <w:rFonts w:eastAsiaTheme="minorEastAsia"/>
          <w:color w:val="000000" w:themeColor="text1"/>
          <w:sz w:val="24"/>
        </w:rPr>
        <w:t>8</w:t>
      </w:r>
      <w:r w:rsidRPr="00B34368">
        <w:rPr>
          <w:rFonts w:eastAsiaTheme="minorEastAsia"/>
          <w:color w:val="000000" w:themeColor="text1"/>
          <w:sz w:val="24"/>
        </w:rPr>
        <w:t>月</w:t>
      </w:r>
      <w:r w:rsidRPr="00B34368">
        <w:rPr>
          <w:rFonts w:eastAsiaTheme="minorEastAsia"/>
          <w:color w:val="000000" w:themeColor="text1"/>
          <w:sz w:val="24"/>
        </w:rPr>
        <w:t>13</w:t>
      </w:r>
      <w:r w:rsidRPr="00B34368">
        <w:rPr>
          <w:rFonts w:eastAsiaTheme="minorEastAsia"/>
          <w:color w:val="000000" w:themeColor="text1"/>
          <w:sz w:val="24"/>
        </w:rPr>
        <w:t>日起，本基金增设</w:t>
      </w:r>
      <w:r w:rsidRPr="00B34368">
        <w:rPr>
          <w:rFonts w:eastAsiaTheme="minorEastAsia"/>
          <w:color w:val="000000" w:themeColor="text1"/>
          <w:sz w:val="24"/>
        </w:rPr>
        <w:t>C</w:t>
      </w:r>
      <w:r w:rsidRPr="00B34368">
        <w:rPr>
          <w:rFonts w:eastAsiaTheme="minorEastAsia"/>
          <w:color w:val="000000" w:themeColor="text1"/>
          <w:sz w:val="24"/>
        </w:rPr>
        <w:t>类份额类别，份额首次确认日为</w:t>
      </w:r>
      <w:r w:rsidRPr="00B34368">
        <w:rPr>
          <w:rFonts w:eastAsiaTheme="minorEastAsia"/>
          <w:color w:val="000000" w:themeColor="text1"/>
          <w:sz w:val="24"/>
        </w:rPr>
        <w:t>2018</w:t>
      </w:r>
      <w:r w:rsidRPr="00B34368">
        <w:rPr>
          <w:rFonts w:eastAsiaTheme="minorEastAsia"/>
          <w:color w:val="000000" w:themeColor="text1"/>
          <w:sz w:val="24"/>
        </w:rPr>
        <w:t>年</w:t>
      </w:r>
      <w:r w:rsidRPr="00B34368">
        <w:rPr>
          <w:rFonts w:eastAsiaTheme="minorEastAsia"/>
          <w:color w:val="000000" w:themeColor="text1"/>
          <w:sz w:val="24"/>
        </w:rPr>
        <w:t>8</w:t>
      </w:r>
      <w:r w:rsidRPr="00B34368">
        <w:rPr>
          <w:rFonts w:eastAsiaTheme="minorEastAsia"/>
          <w:color w:val="000000" w:themeColor="text1"/>
          <w:sz w:val="24"/>
        </w:rPr>
        <w:t>月</w:t>
      </w:r>
      <w:r w:rsidRPr="00B34368">
        <w:rPr>
          <w:rFonts w:eastAsiaTheme="minorEastAsia"/>
          <w:color w:val="000000" w:themeColor="text1"/>
          <w:sz w:val="24"/>
        </w:rPr>
        <w:t>14</w:t>
      </w:r>
      <w:r w:rsidRPr="00B34368">
        <w:rPr>
          <w:rFonts w:eastAsiaTheme="minorEastAsia"/>
          <w:color w:val="000000" w:themeColor="text1"/>
          <w:sz w:val="24"/>
        </w:rPr>
        <w:t>日。</w:t>
      </w:r>
    </w:p>
    <w:p w:rsidR="002C32ED" w:rsidRPr="00B34368" w:rsidRDefault="002B0BB7"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2.1.1</w:t>
      </w:r>
      <w:r w:rsidRPr="00B34368">
        <w:rPr>
          <w:rFonts w:ascii="Times New Roman" w:eastAsiaTheme="minorEastAsia" w:hAnsiTheme="minorEastAsia" w:cs="Times New Roman"/>
          <w:color w:val="000000" w:themeColor="text1"/>
          <w:szCs w:val="24"/>
        </w:rPr>
        <w:t>目标基金基本情况</w:t>
      </w:r>
    </w:p>
    <w:tbl>
      <w:tblPr>
        <w:tblW w:w="8460" w:type="dxa"/>
        <w:tblInd w:w="108" w:type="dxa"/>
        <w:tblLayout w:type="fixed"/>
        <w:tblLook w:val="0000" w:firstRow="0" w:lastRow="0" w:firstColumn="0" w:lastColumn="0" w:noHBand="0" w:noVBand="0"/>
      </w:tblPr>
      <w:tblGrid>
        <w:gridCol w:w="2724"/>
        <w:gridCol w:w="5736"/>
      </w:tblGrid>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易方达深证成指交易型开放式指数证券投资基金</w:t>
            </w:r>
            <w:r w:rsidRPr="00B34368">
              <w:rPr>
                <w:rFonts w:eastAsiaTheme="minorEastAsia"/>
                <w:color w:val="000000" w:themeColor="text1"/>
                <w:sz w:val="24"/>
              </w:rPr>
              <w:t xml:space="preserve"> </w:t>
            </w:r>
          </w:p>
        </w:tc>
      </w:tr>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159950</w:t>
            </w:r>
          </w:p>
        </w:tc>
      </w:tr>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交易型开放式（</w:t>
            </w:r>
            <w:r w:rsidRPr="00B34368">
              <w:rPr>
                <w:rFonts w:eastAsiaTheme="minorEastAsia"/>
                <w:color w:val="000000" w:themeColor="text1"/>
                <w:sz w:val="24"/>
              </w:rPr>
              <w:t>ETF</w:t>
            </w:r>
            <w:r w:rsidRPr="00B34368">
              <w:rPr>
                <w:rFonts w:eastAsiaTheme="minorEastAsia"/>
                <w:color w:val="000000" w:themeColor="text1"/>
                <w:sz w:val="24"/>
              </w:rPr>
              <w:t>）</w:t>
            </w:r>
            <w:r w:rsidRPr="00B34368">
              <w:rPr>
                <w:rFonts w:eastAsiaTheme="minorEastAsia"/>
                <w:color w:val="000000" w:themeColor="text1"/>
                <w:sz w:val="24"/>
              </w:rPr>
              <w:t xml:space="preserve"> </w:t>
            </w:r>
          </w:p>
        </w:tc>
      </w:tr>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27</w:t>
            </w:r>
            <w:r w:rsidRPr="00B34368">
              <w:rPr>
                <w:rFonts w:eastAsiaTheme="minorEastAsia"/>
                <w:color w:val="000000" w:themeColor="text1"/>
                <w:sz w:val="24"/>
              </w:rPr>
              <w:t>日</w:t>
            </w:r>
          </w:p>
        </w:tc>
      </w:tr>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深圳证券交易所</w:t>
            </w:r>
            <w:r w:rsidRPr="00B34368">
              <w:rPr>
                <w:rFonts w:eastAsiaTheme="minorEastAsia"/>
                <w:color w:val="000000" w:themeColor="text1"/>
                <w:sz w:val="24"/>
              </w:rPr>
              <w:t xml:space="preserve"> </w:t>
            </w:r>
          </w:p>
        </w:tc>
      </w:tr>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5</w:t>
            </w:r>
            <w:r w:rsidRPr="00B34368">
              <w:rPr>
                <w:rFonts w:eastAsiaTheme="minorEastAsia"/>
                <w:color w:val="000000" w:themeColor="text1"/>
                <w:sz w:val="24"/>
              </w:rPr>
              <w:t>月</w:t>
            </w:r>
            <w:r w:rsidRPr="00B34368">
              <w:rPr>
                <w:rFonts w:eastAsiaTheme="minorEastAsia"/>
                <w:color w:val="000000" w:themeColor="text1"/>
                <w:sz w:val="24"/>
              </w:rPr>
              <w:t>10</w:t>
            </w:r>
            <w:r w:rsidRPr="00B34368">
              <w:rPr>
                <w:rFonts w:eastAsiaTheme="minorEastAsia"/>
                <w:color w:val="000000" w:themeColor="text1"/>
                <w:sz w:val="24"/>
              </w:rPr>
              <w:t>日</w:t>
            </w:r>
          </w:p>
        </w:tc>
      </w:tr>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易方达基金管理有限公司</w:t>
            </w:r>
          </w:p>
        </w:tc>
      </w:tr>
      <w:tr w:rsidR="00B01047"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中国银行股份有限公司</w:t>
            </w:r>
          </w:p>
        </w:tc>
      </w:tr>
    </w:tbl>
    <w:p w:rsidR="002C32ED" w:rsidRPr="00B34368" w:rsidRDefault="002B0BB7"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2.1.2</w:t>
      </w:r>
      <w:r w:rsidRPr="00B34368">
        <w:rPr>
          <w:rFonts w:ascii="Times New Roman" w:eastAsiaTheme="minorEastAsia" w:hAnsiTheme="minorEastAsia" w:cs="Times New Roman"/>
          <w:color w:val="000000" w:themeColor="text1"/>
          <w:szCs w:val="24"/>
        </w:rPr>
        <w:t>目标基金产品说明</w:t>
      </w:r>
    </w:p>
    <w:tbl>
      <w:tblPr>
        <w:tblW w:w="8460" w:type="dxa"/>
        <w:tblInd w:w="108" w:type="dxa"/>
        <w:tblLook w:val="0000" w:firstRow="0" w:lastRow="0" w:firstColumn="0" w:lastColumn="0" w:noHBand="0" w:noVBand="0"/>
      </w:tblPr>
      <w:tblGrid>
        <w:gridCol w:w="2820"/>
        <w:gridCol w:w="5640"/>
      </w:tblGrid>
      <w:tr w:rsidR="00B01047"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紧密跟踪标的指数，追求跟踪偏离度和跟踪误差的最小化。</w:t>
            </w:r>
          </w:p>
        </w:tc>
      </w:tr>
      <w:tr w:rsidR="00B01047"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w:t>
            </w:r>
            <w:r w:rsidR="00300EDE">
              <w:rPr>
                <w:rFonts w:eastAsiaTheme="minorEastAsia" w:hint="eastAsia"/>
                <w:color w:val="000000" w:themeColor="text1"/>
                <w:sz w:val="24"/>
              </w:rPr>
              <w:t>可</w:t>
            </w:r>
            <w:r w:rsidRPr="00B34368">
              <w:rPr>
                <w:rFonts w:eastAsiaTheme="minorEastAsia"/>
                <w:color w:val="000000" w:themeColor="text1"/>
                <w:sz w:val="24"/>
              </w:rPr>
              <w:t>采取其他指数投资技术适当调整基金投资组合，以达到紧密跟踪标的指数的目的。本基金可投资股指期货和其他经中国证监会允许的衍生金融产品。本基金投资股指期货将根据风险管理的原则，以套期保值为目的，主要选择流动性好、交易活跃的股指期货合约。本基金力争将日均跟踪偏离度的绝对值控制在</w:t>
            </w:r>
            <w:r w:rsidRPr="00B34368">
              <w:rPr>
                <w:rFonts w:eastAsiaTheme="minorEastAsia"/>
                <w:color w:val="000000" w:themeColor="text1"/>
                <w:sz w:val="24"/>
              </w:rPr>
              <w:t>0.2%</w:t>
            </w:r>
            <w:r w:rsidRPr="00B34368">
              <w:rPr>
                <w:rFonts w:eastAsiaTheme="minorEastAsia"/>
                <w:color w:val="000000" w:themeColor="text1"/>
                <w:sz w:val="24"/>
              </w:rPr>
              <w:t>内，年化跟踪误差控制在</w:t>
            </w:r>
            <w:r w:rsidRPr="00B34368">
              <w:rPr>
                <w:rFonts w:eastAsiaTheme="minorEastAsia"/>
                <w:color w:val="000000" w:themeColor="text1"/>
                <w:sz w:val="24"/>
              </w:rPr>
              <w:t>2%</w:t>
            </w:r>
            <w:r w:rsidRPr="00B34368">
              <w:rPr>
                <w:rFonts w:eastAsiaTheme="minorEastAsia"/>
                <w:color w:val="000000" w:themeColor="text1"/>
                <w:sz w:val="24"/>
              </w:rPr>
              <w:t>内。</w:t>
            </w:r>
          </w:p>
        </w:tc>
      </w:tr>
      <w:tr w:rsidR="00B01047"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深证成份指数收益率</w:t>
            </w:r>
            <w:r w:rsidRPr="00B34368">
              <w:rPr>
                <w:rFonts w:eastAsiaTheme="minorEastAsia"/>
                <w:color w:val="000000" w:themeColor="text1"/>
                <w:sz w:val="24"/>
              </w:rPr>
              <w:t xml:space="preserve"> </w:t>
            </w:r>
          </w:p>
        </w:tc>
      </w:tr>
      <w:tr w:rsidR="00B01047"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B0BB7" w:rsidP="005472A0">
            <w:pPr>
              <w:jc w:val="left"/>
              <w:rPr>
                <w:rFonts w:eastAsiaTheme="minorEastAsia"/>
                <w:color w:val="000000" w:themeColor="text1"/>
                <w:sz w:val="24"/>
              </w:rPr>
            </w:pPr>
            <w:r w:rsidRPr="00B34368">
              <w:rPr>
                <w:rFonts w:eastAsiaTheme="minorEastAsia"/>
                <w:color w:val="000000" w:themeColor="text1"/>
                <w:sz w:val="24"/>
              </w:rPr>
              <w:t>本基金属股票型基金，预期风险与预期收益水平高于混合型基金、债券型基金与货币市场基金。本基金为指数型基金，主要采用完全复制法跟踪标的指数的表现，具有与标的指数相似的风险收益特征。</w:t>
            </w:r>
          </w:p>
        </w:tc>
      </w:tr>
    </w:tbl>
    <w:p w:rsidR="009238DB" w:rsidRPr="00B34368" w:rsidRDefault="002B0BB7"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§3  </w:t>
      </w:r>
      <w:r w:rsidRPr="00B34368">
        <w:rPr>
          <w:rFonts w:eastAsiaTheme="minorEastAsia" w:hAnsiTheme="minorEastAsia"/>
          <w:color w:val="000000" w:themeColor="text1"/>
          <w:kern w:val="0"/>
          <w:sz w:val="24"/>
          <w:szCs w:val="24"/>
        </w:rPr>
        <w:t>主要财务指标和基金净值表现</w:t>
      </w:r>
    </w:p>
    <w:p w:rsidR="009238DB" w:rsidRPr="00B34368" w:rsidRDefault="002B0BB7"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3.1 </w:t>
      </w:r>
      <w:r w:rsidRPr="00B34368">
        <w:rPr>
          <w:rFonts w:eastAsiaTheme="minorEastAsia" w:hAnsiTheme="minorEastAsia"/>
          <w:b/>
          <w:color w:val="000000" w:themeColor="text1"/>
          <w:kern w:val="0"/>
          <w:sz w:val="24"/>
        </w:rPr>
        <w:t>主要财务指标</w:t>
      </w:r>
    </w:p>
    <w:p w:rsidR="009238DB" w:rsidRPr="00B34368" w:rsidRDefault="002B0BB7"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B01047" w:rsidTr="008B5312">
        <w:tc>
          <w:tcPr>
            <w:tcW w:w="3402" w:type="dxa"/>
            <w:vMerge w:val="restart"/>
            <w:vAlign w:val="center"/>
          </w:tcPr>
          <w:p w:rsidR="009E549D" w:rsidRPr="00B34368" w:rsidRDefault="002B0BB7" w:rsidP="00E205AA">
            <w:pPr>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主要财务指标</w:t>
            </w:r>
          </w:p>
        </w:tc>
        <w:tc>
          <w:tcPr>
            <w:tcW w:w="4962" w:type="dxa"/>
            <w:gridSpan w:val="2"/>
            <w:vAlign w:val="center"/>
          </w:tcPr>
          <w:p w:rsidR="002976E5" w:rsidRPr="00B34368" w:rsidRDefault="002B0BB7" w:rsidP="00E205AA">
            <w:pPr>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报告期</w:t>
            </w:r>
          </w:p>
          <w:p w:rsidR="009E549D" w:rsidRPr="00B34368" w:rsidRDefault="002B0BB7"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w:t>
            </w:r>
            <w:r w:rsidRPr="00B34368">
              <w:rPr>
                <w:rFonts w:eastAsiaTheme="minorEastAsia"/>
                <w:color w:val="000000" w:themeColor="text1"/>
                <w:sz w:val="24"/>
              </w:rPr>
              <w:t>)</w:t>
            </w:r>
          </w:p>
        </w:tc>
      </w:tr>
      <w:tr w:rsidR="00B01047" w:rsidTr="008B5312">
        <w:tc>
          <w:tcPr>
            <w:tcW w:w="3402" w:type="dxa"/>
            <w:vMerge/>
            <w:vAlign w:val="center"/>
          </w:tcPr>
          <w:p w:rsidR="009E549D" w:rsidRPr="00B34368" w:rsidRDefault="006634A8" w:rsidP="00E205AA">
            <w:pPr>
              <w:adjustRightInd w:val="0"/>
              <w:spacing w:before="29" w:line="360" w:lineRule="auto"/>
              <w:ind w:left="17"/>
              <w:jc w:val="center"/>
              <w:rPr>
                <w:rFonts w:eastAsiaTheme="minorEastAsia"/>
                <w:color w:val="000000" w:themeColor="text1"/>
                <w:kern w:val="0"/>
                <w:sz w:val="24"/>
              </w:rPr>
            </w:pPr>
          </w:p>
        </w:tc>
        <w:tc>
          <w:tcPr>
            <w:tcW w:w="2481" w:type="dxa"/>
            <w:vAlign w:val="center"/>
          </w:tcPr>
          <w:p w:rsidR="009E549D" w:rsidRPr="00B34368" w:rsidRDefault="002B0BB7"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481" w:type="dxa"/>
            <w:vAlign w:val="center"/>
          </w:tcPr>
          <w:p w:rsidR="009E549D" w:rsidRPr="00B34368" w:rsidRDefault="002B0BB7"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B01047" w:rsidTr="00973B57">
        <w:tc>
          <w:tcPr>
            <w:tcW w:w="3402" w:type="dxa"/>
          </w:tcPr>
          <w:p w:rsidR="005F293E" w:rsidRPr="00B34368" w:rsidRDefault="002B0BB7" w:rsidP="00973B57">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1.</w:t>
            </w:r>
            <w:r w:rsidRPr="00B34368">
              <w:rPr>
                <w:rFonts w:eastAsiaTheme="minorEastAsia" w:hAnsiTheme="minorEastAsia"/>
                <w:color w:val="000000" w:themeColor="text1"/>
                <w:kern w:val="0"/>
                <w:sz w:val="24"/>
              </w:rPr>
              <w:t>本期已实现收益</w:t>
            </w:r>
          </w:p>
        </w:tc>
        <w:tc>
          <w:tcPr>
            <w:tcW w:w="2481" w:type="dxa"/>
            <w:vAlign w:val="bottom"/>
          </w:tcPr>
          <w:p w:rsidR="005F293E" w:rsidRPr="00B34368" w:rsidRDefault="002B0BB7" w:rsidP="00973B57">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305,554.11</w:t>
            </w:r>
          </w:p>
        </w:tc>
        <w:tc>
          <w:tcPr>
            <w:tcW w:w="2481" w:type="dxa"/>
            <w:vAlign w:val="bottom"/>
          </w:tcPr>
          <w:p w:rsidR="005F293E" w:rsidRPr="00B34368" w:rsidRDefault="002B0BB7" w:rsidP="0037768B">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-53,323.76</w:t>
            </w:r>
          </w:p>
        </w:tc>
      </w:tr>
      <w:tr w:rsidR="00B01047" w:rsidTr="009A5C1D">
        <w:tc>
          <w:tcPr>
            <w:tcW w:w="3402" w:type="dxa"/>
          </w:tcPr>
          <w:p w:rsidR="005F293E" w:rsidRPr="00B34368" w:rsidRDefault="002B0BB7"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2.</w:t>
            </w:r>
            <w:r w:rsidRPr="00B34368">
              <w:rPr>
                <w:rFonts w:eastAsiaTheme="minorEastAsia" w:hAnsiTheme="minorEastAsia"/>
                <w:color w:val="000000" w:themeColor="text1"/>
                <w:kern w:val="0"/>
                <w:sz w:val="24"/>
              </w:rPr>
              <w:t>本期利润</w:t>
            </w:r>
          </w:p>
        </w:tc>
        <w:tc>
          <w:tcPr>
            <w:tcW w:w="2481" w:type="dxa"/>
            <w:vAlign w:val="bottom"/>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-1,006,621.84</w:t>
            </w:r>
          </w:p>
        </w:tc>
        <w:tc>
          <w:tcPr>
            <w:tcW w:w="2481" w:type="dxa"/>
            <w:vAlign w:val="bottom"/>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-1,651,865.65</w:t>
            </w:r>
          </w:p>
        </w:tc>
      </w:tr>
      <w:tr w:rsidR="00B01047" w:rsidTr="009A5C1D">
        <w:tc>
          <w:tcPr>
            <w:tcW w:w="3402" w:type="dxa"/>
          </w:tcPr>
          <w:p w:rsidR="005F293E" w:rsidRPr="00B34368" w:rsidRDefault="002B0BB7"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3.</w:t>
            </w:r>
            <w:r w:rsidRPr="00B34368">
              <w:rPr>
                <w:rFonts w:eastAsiaTheme="minorEastAsia" w:hAnsiTheme="minorEastAsia"/>
                <w:color w:val="000000" w:themeColor="text1"/>
                <w:kern w:val="0"/>
                <w:sz w:val="24"/>
              </w:rPr>
              <w:t>加权平均基金份额本期利润</w:t>
            </w:r>
          </w:p>
        </w:tc>
        <w:tc>
          <w:tcPr>
            <w:tcW w:w="2481" w:type="dxa"/>
            <w:vAlign w:val="bottom"/>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-0.0391</w:t>
            </w:r>
          </w:p>
        </w:tc>
        <w:tc>
          <w:tcPr>
            <w:tcW w:w="2481" w:type="dxa"/>
            <w:vAlign w:val="bottom"/>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-0.1619</w:t>
            </w:r>
          </w:p>
        </w:tc>
      </w:tr>
      <w:tr w:rsidR="00B01047" w:rsidTr="009A5C1D">
        <w:tc>
          <w:tcPr>
            <w:tcW w:w="3402" w:type="dxa"/>
          </w:tcPr>
          <w:p w:rsidR="005F293E" w:rsidRPr="00B34368" w:rsidRDefault="002B0BB7"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4.</w:t>
            </w:r>
            <w:r w:rsidRPr="00B34368">
              <w:rPr>
                <w:rFonts w:eastAsiaTheme="minorEastAsia" w:hAnsiTheme="minorEastAsia"/>
                <w:color w:val="000000" w:themeColor="text1"/>
                <w:kern w:val="0"/>
                <w:sz w:val="24"/>
              </w:rPr>
              <w:t>期末基金资产净值</w:t>
            </w:r>
          </w:p>
        </w:tc>
        <w:tc>
          <w:tcPr>
            <w:tcW w:w="2481" w:type="dxa"/>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17,189,727.22</w:t>
            </w:r>
          </w:p>
        </w:tc>
        <w:tc>
          <w:tcPr>
            <w:tcW w:w="2481" w:type="dxa"/>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1,927,393.85</w:t>
            </w:r>
          </w:p>
        </w:tc>
      </w:tr>
      <w:tr w:rsidR="00B01047" w:rsidTr="009A5C1D">
        <w:trPr>
          <w:trHeight w:val="158"/>
        </w:trPr>
        <w:tc>
          <w:tcPr>
            <w:tcW w:w="3402" w:type="dxa"/>
          </w:tcPr>
          <w:p w:rsidR="005F293E" w:rsidRPr="00B34368" w:rsidRDefault="002B0BB7"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5.</w:t>
            </w:r>
            <w:r w:rsidRPr="00B34368">
              <w:rPr>
                <w:rFonts w:eastAsiaTheme="minorEastAsia" w:hAnsiTheme="minorEastAsia"/>
                <w:color w:val="000000" w:themeColor="text1"/>
                <w:kern w:val="0"/>
                <w:sz w:val="24"/>
              </w:rPr>
              <w:t>期末基金份额净值</w:t>
            </w:r>
          </w:p>
        </w:tc>
        <w:tc>
          <w:tcPr>
            <w:tcW w:w="2481" w:type="dxa"/>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0.9736</w:t>
            </w:r>
          </w:p>
        </w:tc>
        <w:tc>
          <w:tcPr>
            <w:tcW w:w="2481" w:type="dxa"/>
          </w:tcPr>
          <w:p w:rsidR="005F293E" w:rsidRPr="00B34368" w:rsidRDefault="002B0BB7"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0.9737</w:t>
            </w:r>
          </w:p>
        </w:tc>
      </w:tr>
    </w:tbl>
    <w:p w:rsidR="00B01047" w:rsidRDefault="002B0BB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所述基金业绩指标不包括持有人认购或交易基金的各项费用</w:t>
      </w:r>
      <w:r>
        <w:rPr>
          <w:rFonts w:eastAsiaTheme="minorEastAsia"/>
          <w:color w:val="000000" w:themeColor="text1"/>
          <w:sz w:val="24"/>
        </w:rPr>
        <w:t>,</w:t>
      </w:r>
      <w:r>
        <w:rPr>
          <w:rFonts w:eastAsiaTheme="minorEastAsia"/>
          <w:color w:val="000000" w:themeColor="text1"/>
          <w:sz w:val="24"/>
        </w:rPr>
        <w:t>计入费用后实际收益水平要低于所列数字。</w:t>
      </w:r>
    </w:p>
    <w:p w:rsidR="00B01047" w:rsidRDefault="002B0BB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本期已实现收益指基金本期利息收入、投资收益、其他收入</w:t>
      </w:r>
      <w:r>
        <w:rPr>
          <w:rFonts w:eastAsiaTheme="minorEastAsia"/>
          <w:color w:val="000000" w:themeColor="text1"/>
          <w:sz w:val="24"/>
        </w:rPr>
        <w:t>(</w:t>
      </w:r>
      <w:r>
        <w:rPr>
          <w:rFonts w:eastAsiaTheme="minorEastAsia"/>
          <w:color w:val="000000" w:themeColor="text1"/>
          <w:sz w:val="24"/>
        </w:rPr>
        <w:t>不含公允价值变动收益</w:t>
      </w:r>
      <w:r>
        <w:rPr>
          <w:rFonts w:eastAsiaTheme="minorEastAsia"/>
          <w:color w:val="000000" w:themeColor="text1"/>
          <w:sz w:val="24"/>
        </w:rPr>
        <w:t>)</w:t>
      </w:r>
      <w:r>
        <w:rPr>
          <w:rFonts w:eastAsiaTheme="minorEastAsia"/>
          <w:color w:val="000000" w:themeColor="text1"/>
          <w:sz w:val="24"/>
        </w:rPr>
        <w:t>扣除相关费用后的余额</w:t>
      </w:r>
      <w:r>
        <w:rPr>
          <w:rFonts w:eastAsiaTheme="minorEastAsia"/>
          <w:color w:val="000000" w:themeColor="text1"/>
          <w:sz w:val="24"/>
        </w:rPr>
        <w:t>,</w:t>
      </w:r>
      <w:r>
        <w:rPr>
          <w:rFonts w:eastAsiaTheme="minorEastAsia"/>
          <w:color w:val="000000" w:themeColor="text1"/>
          <w:sz w:val="24"/>
        </w:rPr>
        <w:t>本期利润为本期已实现收益加上本期公允价值变动收益。</w:t>
      </w:r>
    </w:p>
    <w:p w:rsidR="009238DB"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3.</w:t>
      </w:r>
      <w:r w:rsidRPr="00B34368">
        <w:rPr>
          <w:rFonts w:eastAsiaTheme="minorEastAsia"/>
          <w:color w:val="000000" w:themeColor="text1"/>
          <w:sz w:val="24"/>
        </w:rPr>
        <w:t>本报告的实际编制期间为</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日至</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w:t>
      </w:r>
      <w:r w:rsidRPr="00B34368">
        <w:rPr>
          <w:rFonts w:eastAsiaTheme="minorEastAsia"/>
          <w:color w:val="000000" w:themeColor="text1"/>
          <w:sz w:val="24"/>
        </w:rPr>
        <w:t>(</w:t>
      </w:r>
      <w:r w:rsidRPr="00B34368">
        <w:rPr>
          <w:rFonts w:eastAsiaTheme="minorEastAsia"/>
          <w:color w:val="000000" w:themeColor="text1"/>
          <w:sz w:val="24"/>
        </w:rPr>
        <w:t>基金最后运作日</w:t>
      </w:r>
      <w:r w:rsidRPr="00B34368">
        <w:rPr>
          <w:rFonts w:eastAsiaTheme="minorEastAsia"/>
          <w:color w:val="000000" w:themeColor="text1"/>
          <w:sz w:val="24"/>
        </w:rPr>
        <w:t>)</w:t>
      </w:r>
      <w:r w:rsidRPr="00B34368">
        <w:rPr>
          <w:rFonts w:eastAsiaTheme="minorEastAsia"/>
          <w:color w:val="000000" w:themeColor="text1"/>
          <w:sz w:val="24"/>
        </w:rPr>
        <w:t>。</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3.2 </w:t>
      </w:r>
      <w:r w:rsidRPr="00B34368">
        <w:rPr>
          <w:rFonts w:eastAsiaTheme="minorEastAsia" w:hAnsiTheme="minorEastAsia"/>
          <w:b/>
          <w:color w:val="000000" w:themeColor="text1"/>
          <w:kern w:val="0"/>
          <w:sz w:val="24"/>
        </w:rPr>
        <w:t>基金净值表现</w:t>
      </w:r>
    </w:p>
    <w:p w:rsidR="009238DB" w:rsidRPr="00B34368" w:rsidRDefault="002B0BB7"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3.2.1</w:t>
      </w:r>
      <w:r w:rsidRPr="00B34368">
        <w:rPr>
          <w:rFonts w:eastAsiaTheme="minorEastAsia" w:hAnsiTheme="minorEastAsia"/>
          <w:b/>
          <w:color w:val="000000" w:themeColor="text1"/>
          <w:kern w:val="0"/>
          <w:sz w:val="24"/>
        </w:rPr>
        <w:t>本报告期基金份额净值增长率及其与同期业绩比较基准收益率的比较</w:t>
      </w:r>
    </w:p>
    <w:p w:rsidR="009238DB" w:rsidRPr="00B34368" w:rsidRDefault="002B0BB7" w:rsidP="00FC13C8">
      <w:pPr>
        <w:spacing w:line="360" w:lineRule="auto"/>
        <w:rPr>
          <w:rFonts w:eastAsiaTheme="minorEastAsia"/>
          <w:b/>
          <w:color w:val="000000" w:themeColor="text1"/>
          <w:sz w:val="24"/>
        </w:rPr>
      </w:pPr>
      <w:r w:rsidRPr="00B34368">
        <w:rPr>
          <w:rFonts w:eastAsiaTheme="minorEastAsia"/>
          <w:b/>
          <w:color w:val="000000" w:themeColor="text1"/>
          <w:kern w:val="0"/>
          <w:sz w:val="24"/>
        </w:rPr>
        <w:t>易方达深证成指</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A</w:t>
      </w:r>
      <w:r w:rsidRPr="00B34368">
        <w:rPr>
          <w:rFonts w:eastAsiaTheme="minorEastAsia" w:hAnsiTheme="minorEastAsia"/>
          <w:b/>
          <w:color w:val="000000" w:themeColor="text1"/>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01047" w:rsidTr="00975D18">
        <w:tc>
          <w:tcPr>
            <w:tcW w:w="1290"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B01047">
        <w:tc>
          <w:tcPr>
            <w:tcW w:w="1290" w:type="dxa"/>
            <w:vAlign w:val="center"/>
          </w:tcPr>
          <w:p w:rsidR="00B01047" w:rsidRDefault="002B0BB7">
            <w:pPr>
              <w:jc w:val="left"/>
            </w:pPr>
            <w:r>
              <w:rPr>
                <w:rFonts w:eastAsiaTheme="minorEastAsia"/>
                <w:color w:val="000000" w:themeColor="text1"/>
                <w:sz w:val="24"/>
              </w:rPr>
              <w:t>过去三个月</w:t>
            </w:r>
          </w:p>
        </w:tc>
        <w:tc>
          <w:tcPr>
            <w:tcW w:w="1291" w:type="dxa"/>
            <w:vAlign w:val="center"/>
          </w:tcPr>
          <w:p w:rsidR="00B01047" w:rsidRDefault="002B0BB7">
            <w:pPr>
              <w:jc w:val="right"/>
            </w:pPr>
            <w:r>
              <w:rPr>
                <w:rFonts w:eastAsiaTheme="minorEastAsia"/>
                <w:color w:val="000000" w:themeColor="text1"/>
                <w:sz w:val="24"/>
              </w:rPr>
              <w:t>-3.77%</w:t>
            </w:r>
          </w:p>
        </w:tc>
        <w:tc>
          <w:tcPr>
            <w:tcW w:w="1291" w:type="dxa"/>
            <w:vAlign w:val="center"/>
          </w:tcPr>
          <w:p w:rsidR="00B01047" w:rsidRDefault="002B0BB7">
            <w:pPr>
              <w:jc w:val="right"/>
            </w:pPr>
            <w:r>
              <w:rPr>
                <w:rFonts w:eastAsiaTheme="minorEastAsia"/>
                <w:color w:val="000000" w:themeColor="text1"/>
                <w:sz w:val="24"/>
              </w:rPr>
              <w:t>1.67%</w:t>
            </w:r>
          </w:p>
        </w:tc>
        <w:tc>
          <w:tcPr>
            <w:tcW w:w="1291" w:type="dxa"/>
            <w:vAlign w:val="center"/>
          </w:tcPr>
          <w:p w:rsidR="00B01047" w:rsidRDefault="002B0BB7">
            <w:pPr>
              <w:jc w:val="right"/>
            </w:pPr>
            <w:r>
              <w:rPr>
                <w:rFonts w:eastAsiaTheme="minorEastAsia"/>
                <w:color w:val="000000" w:themeColor="text1"/>
                <w:sz w:val="24"/>
              </w:rPr>
              <w:t>-7.49%</w:t>
            </w:r>
          </w:p>
        </w:tc>
        <w:tc>
          <w:tcPr>
            <w:tcW w:w="1291" w:type="dxa"/>
            <w:vAlign w:val="center"/>
          </w:tcPr>
          <w:p w:rsidR="00B01047" w:rsidRDefault="002B0BB7">
            <w:pPr>
              <w:jc w:val="right"/>
            </w:pPr>
            <w:r>
              <w:rPr>
                <w:rFonts w:eastAsiaTheme="minorEastAsia"/>
                <w:color w:val="000000" w:themeColor="text1"/>
                <w:sz w:val="24"/>
              </w:rPr>
              <w:t>1.78%</w:t>
            </w:r>
          </w:p>
        </w:tc>
        <w:tc>
          <w:tcPr>
            <w:tcW w:w="1291" w:type="dxa"/>
            <w:vAlign w:val="center"/>
          </w:tcPr>
          <w:p w:rsidR="00B01047" w:rsidRDefault="002B0BB7">
            <w:pPr>
              <w:jc w:val="right"/>
            </w:pPr>
            <w:r>
              <w:rPr>
                <w:rFonts w:eastAsiaTheme="minorEastAsia"/>
                <w:color w:val="000000" w:themeColor="text1"/>
                <w:sz w:val="24"/>
              </w:rPr>
              <w:t>3.72%</w:t>
            </w:r>
          </w:p>
        </w:tc>
        <w:tc>
          <w:tcPr>
            <w:tcW w:w="1291" w:type="dxa"/>
            <w:vAlign w:val="center"/>
          </w:tcPr>
          <w:p w:rsidR="00B01047" w:rsidRDefault="002B0BB7">
            <w:pPr>
              <w:jc w:val="right"/>
            </w:pPr>
            <w:r>
              <w:rPr>
                <w:rFonts w:eastAsiaTheme="minorEastAsia"/>
                <w:color w:val="000000" w:themeColor="text1"/>
                <w:sz w:val="24"/>
              </w:rPr>
              <w:t>-0.11%</w:t>
            </w:r>
          </w:p>
        </w:tc>
      </w:tr>
    </w:tbl>
    <w:p w:rsidR="009238DB" w:rsidRPr="00B34368" w:rsidRDefault="002B0BB7" w:rsidP="00C544B8">
      <w:pPr>
        <w:adjustRightInd w:val="0"/>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易方达深证成指</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C</w:t>
      </w:r>
      <w:r w:rsidRPr="00B34368">
        <w:rPr>
          <w:rFonts w:eastAsiaTheme="minorEastAsia" w:hAnsiTheme="minorEastAsia"/>
          <w:b/>
          <w:color w:val="000000" w:themeColor="text1"/>
          <w:kern w:val="0"/>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01047" w:rsidTr="00975D18">
        <w:tc>
          <w:tcPr>
            <w:tcW w:w="1290"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2B0BB7"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B01047">
        <w:tc>
          <w:tcPr>
            <w:tcW w:w="1290" w:type="dxa"/>
            <w:vAlign w:val="center"/>
          </w:tcPr>
          <w:p w:rsidR="00B01047" w:rsidRDefault="002B0BB7">
            <w:pPr>
              <w:jc w:val="left"/>
            </w:pPr>
            <w:r>
              <w:rPr>
                <w:rFonts w:eastAsiaTheme="minorEastAsia"/>
                <w:color w:val="000000" w:themeColor="text1"/>
                <w:sz w:val="24"/>
              </w:rPr>
              <w:t>过去三个月</w:t>
            </w:r>
          </w:p>
        </w:tc>
        <w:tc>
          <w:tcPr>
            <w:tcW w:w="1291" w:type="dxa"/>
            <w:vAlign w:val="center"/>
          </w:tcPr>
          <w:p w:rsidR="00B01047" w:rsidRDefault="002B0BB7">
            <w:pPr>
              <w:jc w:val="right"/>
            </w:pPr>
            <w:r>
              <w:rPr>
                <w:rFonts w:eastAsiaTheme="minorEastAsia"/>
                <w:color w:val="000000" w:themeColor="text1"/>
                <w:sz w:val="24"/>
              </w:rPr>
              <w:t>-3.88%</w:t>
            </w:r>
          </w:p>
        </w:tc>
        <w:tc>
          <w:tcPr>
            <w:tcW w:w="1291" w:type="dxa"/>
            <w:vAlign w:val="center"/>
          </w:tcPr>
          <w:p w:rsidR="00B01047" w:rsidRDefault="002B0BB7">
            <w:pPr>
              <w:jc w:val="right"/>
            </w:pPr>
            <w:r>
              <w:rPr>
                <w:rFonts w:eastAsiaTheme="minorEastAsia"/>
                <w:color w:val="000000" w:themeColor="text1"/>
                <w:sz w:val="24"/>
              </w:rPr>
              <w:t>1.67%</w:t>
            </w:r>
          </w:p>
        </w:tc>
        <w:tc>
          <w:tcPr>
            <w:tcW w:w="1291" w:type="dxa"/>
            <w:vAlign w:val="center"/>
          </w:tcPr>
          <w:p w:rsidR="00B01047" w:rsidRDefault="002B0BB7">
            <w:pPr>
              <w:jc w:val="right"/>
            </w:pPr>
            <w:r>
              <w:rPr>
                <w:rFonts w:eastAsiaTheme="minorEastAsia"/>
                <w:color w:val="000000" w:themeColor="text1"/>
                <w:sz w:val="24"/>
              </w:rPr>
              <w:t>-7.49%</w:t>
            </w:r>
          </w:p>
        </w:tc>
        <w:tc>
          <w:tcPr>
            <w:tcW w:w="1291" w:type="dxa"/>
            <w:vAlign w:val="center"/>
          </w:tcPr>
          <w:p w:rsidR="00B01047" w:rsidRDefault="002B0BB7">
            <w:pPr>
              <w:jc w:val="right"/>
            </w:pPr>
            <w:r>
              <w:rPr>
                <w:rFonts w:eastAsiaTheme="minorEastAsia"/>
                <w:color w:val="000000" w:themeColor="text1"/>
                <w:sz w:val="24"/>
              </w:rPr>
              <w:t>1.78%</w:t>
            </w:r>
          </w:p>
        </w:tc>
        <w:tc>
          <w:tcPr>
            <w:tcW w:w="1291" w:type="dxa"/>
            <w:vAlign w:val="center"/>
          </w:tcPr>
          <w:p w:rsidR="00B01047" w:rsidRDefault="002B0BB7">
            <w:pPr>
              <w:jc w:val="right"/>
            </w:pPr>
            <w:r>
              <w:rPr>
                <w:rFonts w:eastAsiaTheme="minorEastAsia"/>
                <w:color w:val="000000" w:themeColor="text1"/>
                <w:sz w:val="24"/>
              </w:rPr>
              <w:t>3.61%</w:t>
            </w:r>
          </w:p>
        </w:tc>
        <w:tc>
          <w:tcPr>
            <w:tcW w:w="1291" w:type="dxa"/>
            <w:vAlign w:val="center"/>
          </w:tcPr>
          <w:p w:rsidR="00B01047" w:rsidRDefault="002B0BB7">
            <w:pPr>
              <w:jc w:val="right"/>
            </w:pPr>
            <w:r>
              <w:rPr>
                <w:rFonts w:eastAsiaTheme="minorEastAsia"/>
                <w:color w:val="000000" w:themeColor="text1"/>
                <w:sz w:val="24"/>
              </w:rPr>
              <w:t>-0.11%</w:t>
            </w:r>
          </w:p>
        </w:tc>
      </w:tr>
    </w:tbl>
    <w:p w:rsidR="009238DB" w:rsidRPr="00B34368" w:rsidRDefault="002B0BB7" w:rsidP="00C544B8">
      <w:pPr>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3.2.2</w:t>
      </w:r>
      <w:r w:rsidRPr="00B34368">
        <w:rPr>
          <w:rFonts w:eastAsiaTheme="minorEastAsia" w:hAnsiTheme="minorEastAsia"/>
          <w:b/>
          <w:color w:val="000000" w:themeColor="text1"/>
          <w:kern w:val="0"/>
          <w:sz w:val="24"/>
        </w:rPr>
        <w:t xml:space="preserve">　</w:t>
      </w:r>
      <w:r w:rsidRPr="00285166">
        <w:rPr>
          <w:rFonts w:eastAsiaTheme="minorEastAsia" w:hAnsiTheme="minorEastAsia" w:hint="eastAsia"/>
          <w:b/>
          <w:color w:val="000000" w:themeColor="text1"/>
          <w:sz w:val="24"/>
        </w:rPr>
        <w:t>自基金合同生效以来</w:t>
      </w:r>
      <w:r w:rsidRPr="00B34368">
        <w:rPr>
          <w:rFonts w:eastAsiaTheme="minorEastAsia" w:hAnsiTheme="minorEastAsia"/>
          <w:b/>
          <w:color w:val="000000" w:themeColor="text1"/>
          <w:sz w:val="24"/>
        </w:rPr>
        <w:t>基金累计净值增长率变动及其与同期业绩比较基准收益率变动的比较</w:t>
      </w:r>
    </w:p>
    <w:p w:rsidR="009A045B" w:rsidRPr="00B34368" w:rsidRDefault="002B0BB7" w:rsidP="00FC13C8">
      <w:pPr>
        <w:spacing w:line="360" w:lineRule="auto"/>
        <w:jc w:val="center"/>
        <w:rPr>
          <w:rFonts w:eastAsiaTheme="minorEastAsia"/>
          <w:color w:val="000000" w:themeColor="text1"/>
          <w:sz w:val="24"/>
        </w:rPr>
      </w:pPr>
      <w:r w:rsidRPr="00B34368">
        <w:rPr>
          <w:rFonts w:eastAsiaTheme="minorEastAsia"/>
          <w:color w:val="000000" w:themeColor="text1"/>
          <w:sz w:val="24"/>
        </w:rPr>
        <w:t>易方达深证成指交易型开放式指数证券投资基金联接基金</w:t>
      </w:r>
    </w:p>
    <w:p w:rsidR="00022396" w:rsidRPr="00B34368" w:rsidRDefault="002B0BB7" w:rsidP="00FC13C8">
      <w:pPr>
        <w:pStyle w:val="a5"/>
        <w:snapToGrid w:val="0"/>
        <w:spacing w:line="360" w:lineRule="auto"/>
        <w:jc w:val="center"/>
        <w:rPr>
          <w:rFonts w:ascii="Times New Roman" w:eastAsiaTheme="minorEastAsia" w:hAnsi="Times New Roman"/>
          <w:color w:val="000000" w:themeColor="text1"/>
          <w:sz w:val="24"/>
          <w:szCs w:val="24"/>
        </w:rPr>
      </w:pPr>
      <w:r w:rsidRPr="00B34368">
        <w:rPr>
          <w:rFonts w:ascii="Times New Roman" w:eastAsiaTheme="minorEastAsia" w:hAnsiTheme="minorEastAsia"/>
          <w:color w:val="000000" w:themeColor="text1"/>
          <w:sz w:val="24"/>
          <w:szCs w:val="24"/>
        </w:rPr>
        <w:t>累计净值增长率与业绩比较基准收益率的历史走势对比图</w:t>
      </w:r>
    </w:p>
    <w:p w:rsidR="003C67C6" w:rsidRDefault="002B0BB7" w:rsidP="00FC13C8">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r w:rsidRPr="00B34368">
        <w:rPr>
          <w:rFonts w:eastAsiaTheme="minorEastAsia" w:hAnsiTheme="minorEastAsia"/>
          <w:color w:val="000000" w:themeColor="text1"/>
          <w:sz w:val="24"/>
        </w:rPr>
        <w:t>：</w:t>
      </w:r>
    </w:p>
    <w:p w:rsidR="009238DB" w:rsidRPr="00B34368" w:rsidRDefault="002B0BB7" w:rsidP="003C67C6">
      <w:pPr>
        <w:snapToGrid w:val="0"/>
        <w:spacing w:line="360" w:lineRule="auto"/>
        <w:jc w:val="center"/>
        <w:rPr>
          <w:rFonts w:eastAsiaTheme="minorEastAsia"/>
          <w:color w:val="000000" w:themeColor="text1"/>
          <w:sz w:val="24"/>
        </w:rPr>
      </w:pP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5</w:t>
      </w:r>
      <w:r w:rsidRPr="00B34368">
        <w:rPr>
          <w:rFonts w:eastAsiaTheme="minorEastAsia"/>
          <w:color w:val="000000" w:themeColor="text1"/>
          <w:sz w:val="24"/>
        </w:rPr>
        <w:t>月</w:t>
      </w:r>
      <w:r w:rsidRPr="00B34368">
        <w:rPr>
          <w:rFonts w:eastAsiaTheme="minorEastAsia"/>
          <w:color w:val="000000" w:themeColor="text1"/>
          <w:sz w:val="24"/>
        </w:rPr>
        <w:t>4</w:t>
      </w:r>
      <w:r w:rsidRPr="00B34368">
        <w:rPr>
          <w:rFonts w:eastAsiaTheme="minorEastAsia"/>
          <w:color w:val="000000" w:themeColor="text1"/>
          <w:sz w:val="24"/>
        </w:rPr>
        <w:t>日</w:t>
      </w:r>
      <w:r w:rsidRPr="00B34368">
        <w:rPr>
          <w:rFonts w:eastAsiaTheme="minorEastAsia" w:hAnsiTheme="minorEastAsia"/>
          <w:color w:val="000000" w:themeColor="text1"/>
          <w:sz w:val="24"/>
        </w:rPr>
        <w:t>至</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w:t>
      </w:r>
      <w:r w:rsidRPr="00B34368">
        <w:rPr>
          <w:rFonts w:eastAsiaTheme="minorEastAsia"/>
          <w:color w:val="000000" w:themeColor="text1"/>
          <w:sz w:val="24"/>
        </w:rPr>
        <w:t>)</w:t>
      </w:r>
    </w:p>
    <w:p w:rsidR="00FC7F43" w:rsidRPr="00B34368" w:rsidRDefault="002B0BB7"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91175" cy="3276600"/>
                    </a:xfrm>
                    <a:prstGeom prst="rect">
                      <a:avLst/>
                    </a:prstGeom>
                    <a:noFill/>
                    <a:ln>
                      <a:noFill/>
                    </a:ln>
                  </pic:spPr>
                </pic:pic>
              </a:graphicData>
            </a:graphic>
          </wp:inline>
        </w:drawing>
      </w:r>
    </w:p>
    <w:p w:rsidR="003C67C6" w:rsidRDefault="002B0BB7" w:rsidP="003C67C6">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r w:rsidRPr="00B34368">
        <w:rPr>
          <w:rFonts w:eastAsiaTheme="minorEastAsia" w:hAnsiTheme="minorEastAsia"/>
          <w:color w:val="000000" w:themeColor="text1"/>
          <w:sz w:val="24"/>
        </w:rPr>
        <w:t>：</w:t>
      </w:r>
    </w:p>
    <w:p w:rsidR="009238DB" w:rsidRPr="00B34368" w:rsidRDefault="002B0BB7" w:rsidP="003C67C6">
      <w:pPr>
        <w:snapToGrid w:val="0"/>
        <w:spacing w:beforeLines="100" w:before="312" w:line="360" w:lineRule="auto"/>
        <w:jc w:val="center"/>
        <w:rPr>
          <w:rFonts w:eastAsiaTheme="minorEastAsia"/>
          <w:color w:val="000000" w:themeColor="text1"/>
          <w:sz w:val="24"/>
        </w:rPr>
      </w:pPr>
      <w:r w:rsidRPr="00B34368">
        <w:rPr>
          <w:rFonts w:eastAsiaTheme="minorEastAsia"/>
          <w:color w:val="000000" w:themeColor="text1"/>
          <w:sz w:val="24"/>
        </w:rPr>
        <w:t>(</w:t>
      </w:r>
      <w:r w:rsidRPr="00FE7DDE">
        <w:rPr>
          <w:rFonts w:hint="eastAsia"/>
          <w:sz w:val="24"/>
        </w:rPr>
        <w:t>2018</w:t>
      </w:r>
      <w:r w:rsidRPr="00FE7DDE">
        <w:rPr>
          <w:rFonts w:hint="eastAsia"/>
          <w:sz w:val="24"/>
        </w:rPr>
        <w:t>年</w:t>
      </w:r>
      <w:r w:rsidRPr="00FE7DDE">
        <w:rPr>
          <w:rFonts w:hint="eastAsia"/>
          <w:sz w:val="24"/>
        </w:rPr>
        <w:t>8</w:t>
      </w:r>
      <w:r w:rsidRPr="00FE7DDE">
        <w:rPr>
          <w:rFonts w:hint="eastAsia"/>
          <w:sz w:val="24"/>
        </w:rPr>
        <w:t>月</w:t>
      </w:r>
      <w:r w:rsidRPr="00FE7DDE">
        <w:rPr>
          <w:rFonts w:hint="eastAsia"/>
          <w:sz w:val="24"/>
        </w:rPr>
        <w:t>14</w:t>
      </w:r>
      <w:r w:rsidRPr="00FE7DDE">
        <w:rPr>
          <w:rFonts w:hint="eastAsia"/>
          <w:sz w:val="24"/>
        </w:rPr>
        <w:t>日</w:t>
      </w:r>
      <w:r w:rsidRPr="00B34368">
        <w:rPr>
          <w:rFonts w:eastAsiaTheme="minorEastAsia" w:hAnsiTheme="minorEastAsia"/>
          <w:color w:val="000000" w:themeColor="text1"/>
          <w:sz w:val="24"/>
        </w:rPr>
        <w:t>至</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w:t>
      </w:r>
      <w:r w:rsidRPr="00B34368">
        <w:rPr>
          <w:rFonts w:eastAsiaTheme="minorEastAsia"/>
          <w:color w:val="000000" w:themeColor="text1"/>
          <w:sz w:val="24"/>
        </w:rPr>
        <w:t>)</w:t>
      </w:r>
    </w:p>
    <w:p w:rsidR="00FC7F43" w:rsidRPr="00B34368" w:rsidRDefault="002B0BB7"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591175" cy="3276600"/>
                    </a:xfrm>
                    <a:prstGeom prst="rect">
                      <a:avLst/>
                    </a:prstGeom>
                    <a:noFill/>
                    <a:ln>
                      <a:noFill/>
                    </a:ln>
                  </pic:spPr>
                </pic:pic>
              </a:graphicData>
            </a:graphic>
          </wp:inline>
        </w:drawing>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自</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w:t>
      </w:r>
      <w:r>
        <w:rPr>
          <w:rFonts w:eastAsiaTheme="minorEastAsia"/>
          <w:color w:val="000000" w:themeColor="text1"/>
          <w:sz w:val="24"/>
        </w:rPr>
        <w:t>13</w:t>
      </w:r>
      <w:r>
        <w:rPr>
          <w:rFonts w:eastAsiaTheme="minorEastAsia"/>
          <w:color w:val="000000" w:themeColor="text1"/>
          <w:sz w:val="24"/>
        </w:rPr>
        <w:t>日起，本基金增设</w:t>
      </w:r>
      <w:r>
        <w:rPr>
          <w:rFonts w:eastAsiaTheme="minorEastAsia"/>
          <w:color w:val="000000" w:themeColor="text1"/>
          <w:sz w:val="24"/>
        </w:rPr>
        <w:t>C</w:t>
      </w:r>
      <w:r>
        <w:rPr>
          <w:rFonts w:eastAsiaTheme="minorEastAsia"/>
          <w:color w:val="000000" w:themeColor="text1"/>
          <w:sz w:val="24"/>
        </w:rPr>
        <w:t>类份额类别，份额首次确认日为</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w:t>
      </w:r>
      <w:r>
        <w:rPr>
          <w:rFonts w:eastAsiaTheme="minorEastAsia"/>
          <w:color w:val="000000" w:themeColor="text1"/>
          <w:sz w:val="24"/>
        </w:rPr>
        <w:t>14</w:t>
      </w:r>
      <w:r>
        <w:rPr>
          <w:rFonts w:eastAsiaTheme="minorEastAsia"/>
          <w:color w:val="000000" w:themeColor="text1"/>
          <w:sz w:val="24"/>
        </w:rPr>
        <w:t>日，增设当期的相关数据和指标按实际存续期计算。</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自基金合同生效至报告期末，</w:t>
      </w:r>
      <w:r>
        <w:rPr>
          <w:rFonts w:eastAsiaTheme="minorEastAsia"/>
          <w:color w:val="000000" w:themeColor="text1"/>
          <w:sz w:val="24"/>
        </w:rPr>
        <w:t>A</w:t>
      </w:r>
      <w:r>
        <w:rPr>
          <w:rFonts w:eastAsiaTheme="minorEastAsia"/>
          <w:color w:val="000000" w:themeColor="text1"/>
          <w:sz w:val="24"/>
        </w:rPr>
        <w:t>类基金份额净值增长率为</w:t>
      </w:r>
      <w:r>
        <w:rPr>
          <w:rFonts w:eastAsiaTheme="minorEastAsia"/>
          <w:color w:val="000000" w:themeColor="text1"/>
          <w:sz w:val="24"/>
        </w:rPr>
        <w:t>-2.64%</w:t>
      </w:r>
      <w:r>
        <w:rPr>
          <w:rFonts w:eastAsiaTheme="minorEastAsia"/>
          <w:color w:val="000000" w:themeColor="text1"/>
          <w:sz w:val="24"/>
        </w:rPr>
        <w:t>，同期业绩比较基准收益率为</w:t>
      </w:r>
      <w:r>
        <w:rPr>
          <w:rFonts w:eastAsiaTheme="minorEastAsia"/>
          <w:color w:val="000000" w:themeColor="text1"/>
          <w:sz w:val="24"/>
        </w:rPr>
        <w:t>-9.66%</w:t>
      </w:r>
      <w:r>
        <w:rPr>
          <w:rFonts w:eastAsiaTheme="minorEastAsia"/>
          <w:color w:val="000000" w:themeColor="text1"/>
          <w:sz w:val="24"/>
        </w:rPr>
        <w:t>。</w:t>
      </w:r>
      <w:r>
        <w:rPr>
          <w:rFonts w:eastAsiaTheme="minorEastAsia"/>
          <w:color w:val="000000" w:themeColor="text1"/>
          <w:sz w:val="24"/>
        </w:rPr>
        <w:t>C</w:t>
      </w:r>
      <w:r>
        <w:rPr>
          <w:rFonts w:eastAsiaTheme="minorEastAsia"/>
          <w:color w:val="000000" w:themeColor="text1"/>
          <w:sz w:val="24"/>
        </w:rPr>
        <w:t>类基金份额净值增长率为</w:t>
      </w:r>
      <w:r>
        <w:rPr>
          <w:rFonts w:eastAsiaTheme="minorEastAsia"/>
          <w:color w:val="000000" w:themeColor="text1"/>
          <w:sz w:val="24"/>
        </w:rPr>
        <w:t>9.69%</w:t>
      </w:r>
      <w:r>
        <w:rPr>
          <w:rFonts w:eastAsiaTheme="minorEastAsia"/>
          <w:color w:val="000000" w:themeColor="text1"/>
          <w:sz w:val="24"/>
        </w:rPr>
        <w:t>，同期业绩比较基准收益率为</w:t>
      </w:r>
      <w:r>
        <w:rPr>
          <w:rFonts w:eastAsiaTheme="minorEastAsia"/>
          <w:color w:val="000000" w:themeColor="text1"/>
          <w:sz w:val="24"/>
        </w:rPr>
        <w:t>3.15%</w:t>
      </w:r>
      <w:r>
        <w:rPr>
          <w:rFonts w:eastAsiaTheme="minorEastAsia"/>
          <w:color w:val="000000" w:themeColor="text1"/>
          <w:sz w:val="24"/>
        </w:rPr>
        <w:t>。</w:t>
      </w:r>
      <w:r>
        <w:rPr>
          <w:rFonts w:eastAsiaTheme="minorEastAsia"/>
          <w:color w:val="000000" w:themeColor="text1"/>
          <w:sz w:val="24"/>
        </w:rPr>
        <w:t xml:space="preserve"> </w:t>
      </w:r>
    </w:p>
    <w:p w:rsidR="00973B57"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 xml:space="preserve">3. </w:t>
      </w:r>
      <w:r w:rsidRPr="00B34368">
        <w:rPr>
          <w:rFonts w:eastAsiaTheme="minorEastAsia"/>
          <w:color w:val="000000" w:themeColor="text1"/>
          <w:sz w:val="24"/>
        </w:rPr>
        <w:t>本报告截止日期为</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w:t>
      </w:r>
      <w:r w:rsidRPr="00B34368">
        <w:rPr>
          <w:rFonts w:eastAsiaTheme="minorEastAsia"/>
          <w:color w:val="000000" w:themeColor="text1"/>
          <w:sz w:val="24"/>
        </w:rPr>
        <w:t>(</w:t>
      </w:r>
      <w:r w:rsidRPr="00B34368">
        <w:rPr>
          <w:rFonts w:eastAsiaTheme="minorEastAsia"/>
          <w:color w:val="000000" w:themeColor="text1"/>
          <w:sz w:val="24"/>
        </w:rPr>
        <w:t>基金最后运作日</w:t>
      </w:r>
      <w:r w:rsidRPr="00B34368">
        <w:rPr>
          <w:rFonts w:eastAsiaTheme="minorEastAsia"/>
          <w:color w:val="000000" w:themeColor="text1"/>
          <w:sz w:val="24"/>
        </w:rPr>
        <w:t>)</w:t>
      </w:r>
      <w:r w:rsidRPr="00B34368">
        <w:rPr>
          <w:rFonts w:eastAsiaTheme="minorEastAsia"/>
          <w:color w:val="000000" w:themeColor="text1"/>
          <w:sz w:val="24"/>
        </w:rPr>
        <w:t>。</w:t>
      </w:r>
    </w:p>
    <w:p w:rsidR="00E561F9" w:rsidRPr="00B34368" w:rsidRDefault="006634A8" w:rsidP="00E561F9">
      <w:pPr>
        <w:tabs>
          <w:tab w:val="left" w:pos="1800"/>
        </w:tabs>
        <w:spacing w:line="288" w:lineRule="auto"/>
        <w:rPr>
          <w:rFonts w:eastAsiaTheme="minorEastAsia"/>
          <w:color w:val="000000" w:themeColor="text1"/>
          <w:sz w:val="24"/>
        </w:rPr>
      </w:pPr>
    </w:p>
    <w:p w:rsidR="009238DB" w:rsidRPr="00B34368" w:rsidRDefault="002B0BB7"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§4  </w:t>
      </w:r>
      <w:r w:rsidRPr="00B34368">
        <w:rPr>
          <w:rFonts w:eastAsiaTheme="minorEastAsia" w:hAnsiTheme="minorEastAsia"/>
          <w:color w:val="000000" w:themeColor="text1"/>
          <w:kern w:val="0"/>
          <w:sz w:val="24"/>
          <w:szCs w:val="24"/>
        </w:rPr>
        <w:t>管理人报告</w:t>
      </w:r>
    </w:p>
    <w:p w:rsidR="00C544B8" w:rsidRDefault="002B0BB7" w:rsidP="00C544B8">
      <w:pPr>
        <w:autoSpaceDE w:val="0"/>
        <w:autoSpaceDN w:val="0"/>
        <w:adjustRightInd w:val="0"/>
        <w:spacing w:line="360" w:lineRule="auto"/>
        <w:jc w:val="left"/>
        <w:rPr>
          <w:rFonts w:ascii="宋体" w:cs="Arial"/>
          <w:b/>
          <w:color w:val="000000"/>
          <w:kern w:val="0"/>
          <w:sz w:val="24"/>
        </w:rPr>
      </w:pPr>
      <w:r w:rsidRPr="00B34368">
        <w:rPr>
          <w:rFonts w:eastAsiaTheme="minorEastAsia"/>
          <w:b/>
          <w:color w:val="000000" w:themeColor="text1"/>
          <w:kern w:val="0"/>
          <w:sz w:val="24"/>
        </w:rPr>
        <w:t xml:space="preserve">4.1 </w:t>
      </w:r>
      <w:r w:rsidRPr="00B34368">
        <w:rPr>
          <w:rFonts w:eastAsiaTheme="minorEastAsia" w:hAnsiTheme="minorEastAsia"/>
          <w:b/>
          <w:color w:val="000000" w:themeColor="text1"/>
          <w:kern w:val="0"/>
          <w:sz w:val="24"/>
        </w:rPr>
        <w:t>基金经理（或基金经理小组）简介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2"/>
        <w:gridCol w:w="851"/>
        <w:gridCol w:w="850"/>
        <w:gridCol w:w="851"/>
        <w:gridCol w:w="2975"/>
      </w:tblGrid>
      <w:tr w:rsidR="00B01047" w:rsidTr="00C544B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2B0BB7">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2B0BB7">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C544B8" w:rsidRDefault="002B0BB7">
            <w:pPr>
              <w:autoSpaceDE w:val="0"/>
              <w:autoSpaceDN w:val="0"/>
              <w:adjustRightInd w:val="0"/>
              <w:spacing w:before="29" w:line="288" w:lineRule="auto"/>
              <w:ind w:left="15"/>
              <w:jc w:val="center"/>
              <w:rPr>
                <w:color w:val="000000"/>
                <w:kern w:val="0"/>
                <w:sz w:val="24"/>
              </w:rPr>
            </w:pPr>
            <w:r>
              <w:rPr>
                <w:rFonts w:hint="eastAsia"/>
                <w:color w:val="000000"/>
                <w:kern w:val="0"/>
                <w:sz w:val="24"/>
              </w:rPr>
              <w:t>任本基金的基金经理期限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2B0BB7">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2B0BB7">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B01047" w:rsidTr="00C544B8">
        <w:trPr>
          <w:cantSplit/>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544B8" w:rsidRDefault="006634A8">
            <w:pPr>
              <w:widowControl/>
              <w:jc w:val="left"/>
              <w:rPr>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44B8" w:rsidRDefault="006634A8">
            <w:pPr>
              <w:widowControl/>
              <w:jc w:val="left"/>
              <w:rPr>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44B8" w:rsidRDefault="002B0BB7">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4B8" w:rsidRDefault="002B0BB7">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44B8" w:rsidRDefault="006634A8">
            <w:pPr>
              <w:widowControl/>
              <w:jc w:val="left"/>
              <w:rPr>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44B8" w:rsidRDefault="006634A8">
            <w:pPr>
              <w:widowControl/>
              <w:jc w:val="left"/>
              <w:rPr>
                <w:color w:val="000000"/>
                <w:kern w:val="0"/>
                <w:sz w:val="24"/>
              </w:rPr>
            </w:pPr>
          </w:p>
        </w:tc>
      </w:tr>
      <w:tr w:rsidR="00B01047">
        <w:tc>
          <w:tcPr>
            <w:tcW w:w="566" w:type="dxa"/>
            <w:vAlign w:val="center"/>
          </w:tcPr>
          <w:p w:rsidR="00B01047" w:rsidRDefault="002B0BB7">
            <w:pPr>
              <w:jc w:val="center"/>
            </w:pPr>
            <w:r>
              <w:rPr>
                <w:color w:val="000000"/>
                <w:sz w:val="24"/>
              </w:rPr>
              <w:t>成曦</w:t>
            </w:r>
          </w:p>
        </w:tc>
        <w:tc>
          <w:tcPr>
            <w:tcW w:w="2832" w:type="dxa"/>
            <w:vAlign w:val="center"/>
          </w:tcPr>
          <w:p w:rsidR="00B01047" w:rsidRDefault="002B0BB7">
            <w:pPr>
              <w:jc w:val="center"/>
            </w:pPr>
            <w:r>
              <w:rPr>
                <w:color w:val="000000"/>
                <w:sz w:val="24"/>
              </w:rPr>
              <w:t>本基金的基金经理、易方达中小板指数分级证券投资基金的基金经理、易方达原油证券投资基金</w:t>
            </w:r>
            <w:r>
              <w:rPr>
                <w:color w:val="000000"/>
                <w:sz w:val="24"/>
              </w:rPr>
              <w:t>(QDII)</w:t>
            </w:r>
            <w:r>
              <w:rPr>
                <w:color w:val="000000"/>
                <w:sz w:val="24"/>
              </w:rPr>
              <w:t>的基金经理、易方达银行指数分级证券投资基金的基金经理、易方达生物科技指数分级证券投资基金的基金经理、易方达深证成指交易型开放式指数证券投资基金的基金经理、易方达深证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恒生中国企业交易型开放式指数证券投资基金联接基金的基金经理、易方达恒生中国企业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w:t>
            </w:r>
          </w:p>
        </w:tc>
        <w:tc>
          <w:tcPr>
            <w:tcW w:w="851" w:type="dxa"/>
            <w:vAlign w:val="center"/>
          </w:tcPr>
          <w:p w:rsidR="00B01047" w:rsidRDefault="002B0BB7">
            <w:pPr>
              <w:jc w:val="center"/>
            </w:pPr>
            <w:r>
              <w:rPr>
                <w:color w:val="000000"/>
                <w:sz w:val="24"/>
              </w:rPr>
              <w:t>2017-05-04</w:t>
            </w:r>
          </w:p>
        </w:tc>
        <w:tc>
          <w:tcPr>
            <w:tcW w:w="850" w:type="dxa"/>
            <w:vAlign w:val="center"/>
          </w:tcPr>
          <w:p w:rsidR="00B01047" w:rsidRDefault="002B0BB7">
            <w:pPr>
              <w:jc w:val="center"/>
            </w:pPr>
            <w:r>
              <w:rPr>
                <w:color w:val="000000"/>
                <w:sz w:val="24"/>
              </w:rPr>
              <w:t>-</w:t>
            </w:r>
          </w:p>
        </w:tc>
        <w:tc>
          <w:tcPr>
            <w:tcW w:w="851" w:type="dxa"/>
            <w:vAlign w:val="center"/>
          </w:tcPr>
          <w:p w:rsidR="00B01047" w:rsidRDefault="002B0BB7">
            <w:pPr>
              <w:jc w:val="center"/>
            </w:pPr>
            <w:r>
              <w:rPr>
                <w:color w:val="000000"/>
                <w:sz w:val="24"/>
              </w:rPr>
              <w:t>11</w:t>
            </w:r>
            <w:r>
              <w:rPr>
                <w:color w:val="000000"/>
                <w:sz w:val="24"/>
              </w:rPr>
              <w:t>年</w:t>
            </w:r>
          </w:p>
        </w:tc>
        <w:tc>
          <w:tcPr>
            <w:tcW w:w="2975" w:type="dxa"/>
            <w:vAlign w:val="center"/>
          </w:tcPr>
          <w:p w:rsidR="00B01047" w:rsidRDefault="002B0BB7">
            <w:r>
              <w:rPr>
                <w:color w:val="000000"/>
                <w:sz w:val="24"/>
              </w:rPr>
              <w:t>硕士研究生，曾任华泰联合证券资产管理部研究员，易方达基金管理有限公司集中交易室交易员、指数与量化投资部指数基金运作专员、基金经理助理。</w:t>
            </w:r>
          </w:p>
        </w:tc>
      </w:tr>
      <w:tr w:rsidR="00B01047">
        <w:tc>
          <w:tcPr>
            <w:tcW w:w="566" w:type="dxa"/>
            <w:vAlign w:val="center"/>
          </w:tcPr>
          <w:p w:rsidR="00B01047" w:rsidRDefault="002B0BB7">
            <w:pPr>
              <w:jc w:val="center"/>
            </w:pPr>
            <w:r>
              <w:rPr>
                <w:color w:val="000000"/>
                <w:sz w:val="24"/>
              </w:rPr>
              <w:t>刘树荣</w:t>
            </w:r>
          </w:p>
        </w:tc>
        <w:tc>
          <w:tcPr>
            <w:tcW w:w="2832" w:type="dxa"/>
            <w:vAlign w:val="center"/>
          </w:tcPr>
          <w:p w:rsidR="00B01047" w:rsidRDefault="002B0BB7">
            <w:pPr>
              <w:jc w:val="center"/>
            </w:pPr>
            <w:r>
              <w:rPr>
                <w:color w:val="000000"/>
                <w:sz w:val="24"/>
              </w:rPr>
              <w:t>本基金的基金经理、易方达中小板指数分级证券投资基金的基金经理、易方达银行指数分级证券投资基金的基金经理、易方达香港恒生综合小型股指数证券投资基金</w:t>
            </w:r>
            <w:r>
              <w:rPr>
                <w:color w:val="000000"/>
                <w:sz w:val="24"/>
              </w:rPr>
              <w:t>(LOF)</w:t>
            </w:r>
            <w:r>
              <w:rPr>
                <w:color w:val="000000"/>
                <w:sz w:val="24"/>
              </w:rPr>
              <w:t>的基金经理、易方达生物科技指数分级证券投资基金的基金经理、易方达深证成指交易型开放式指数证券投资基金的基金经理、易方达深证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上证中盘交易型开放式指数证券投资基金联接基金的基金经理、易方达上证中盘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标普医疗保健指数证券投资基金</w:t>
            </w:r>
            <w:r>
              <w:rPr>
                <w:color w:val="000000"/>
                <w:sz w:val="24"/>
              </w:rPr>
              <w:t>(LOF)</w:t>
            </w:r>
            <w:r>
              <w:rPr>
                <w:color w:val="000000"/>
                <w:sz w:val="24"/>
              </w:rPr>
              <w:t>的基金经理、易方达标普信息科技指数证券投资基金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w:t>
            </w:r>
          </w:p>
        </w:tc>
        <w:tc>
          <w:tcPr>
            <w:tcW w:w="851" w:type="dxa"/>
            <w:vAlign w:val="center"/>
          </w:tcPr>
          <w:p w:rsidR="00B01047" w:rsidRDefault="002B0BB7">
            <w:pPr>
              <w:jc w:val="center"/>
            </w:pPr>
            <w:r>
              <w:rPr>
                <w:color w:val="000000"/>
                <w:sz w:val="24"/>
              </w:rPr>
              <w:t>2017-07-18</w:t>
            </w:r>
          </w:p>
        </w:tc>
        <w:tc>
          <w:tcPr>
            <w:tcW w:w="850" w:type="dxa"/>
            <w:vAlign w:val="center"/>
          </w:tcPr>
          <w:p w:rsidR="00B01047" w:rsidRDefault="002B0BB7">
            <w:pPr>
              <w:jc w:val="center"/>
            </w:pPr>
            <w:r>
              <w:rPr>
                <w:color w:val="000000"/>
                <w:sz w:val="24"/>
              </w:rPr>
              <w:t>-</w:t>
            </w:r>
          </w:p>
        </w:tc>
        <w:tc>
          <w:tcPr>
            <w:tcW w:w="851" w:type="dxa"/>
            <w:vAlign w:val="center"/>
          </w:tcPr>
          <w:p w:rsidR="00B01047" w:rsidRDefault="002B0BB7">
            <w:pPr>
              <w:jc w:val="center"/>
            </w:pPr>
            <w:r>
              <w:rPr>
                <w:color w:val="000000"/>
                <w:sz w:val="24"/>
              </w:rPr>
              <w:t>12</w:t>
            </w:r>
            <w:r>
              <w:rPr>
                <w:color w:val="000000"/>
                <w:sz w:val="24"/>
              </w:rPr>
              <w:t>年</w:t>
            </w:r>
          </w:p>
        </w:tc>
        <w:tc>
          <w:tcPr>
            <w:tcW w:w="2975" w:type="dxa"/>
            <w:vAlign w:val="center"/>
          </w:tcPr>
          <w:p w:rsidR="00B01047" w:rsidRDefault="002B0BB7">
            <w:r>
              <w:rPr>
                <w:color w:val="000000"/>
                <w:sz w:val="24"/>
              </w:rPr>
              <w:t>硕士研究生，曾任招商银行资产托管部基金会计，易方达基金管理有限公司核算部基金核算专员、指数与量化投资部运作支持专员、基金经理助理。</w:t>
            </w:r>
          </w:p>
        </w:tc>
      </w:tr>
    </w:tbl>
    <w:p w:rsidR="00B01047" w:rsidRDefault="002B0BB7">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注：</w:t>
      </w:r>
      <w:r>
        <w:rPr>
          <w:color w:val="000000"/>
          <w:sz w:val="24"/>
        </w:rPr>
        <w:t>1.</w:t>
      </w:r>
      <w:r>
        <w:rPr>
          <w:color w:val="000000"/>
          <w:sz w:val="24"/>
        </w:rPr>
        <w:t>此处的</w:t>
      </w:r>
      <w:r>
        <w:rPr>
          <w:color w:val="000000"/>
          <w:sz w:val="24"/>
        </w:rPr>
        <w:t>“</w:t>
      </w:r>
      <w:r>
        <w:rPr>
          <w:color w:val="000000"/>
          <w:sz w:val="24"/>
        </w:rPr>
        <w:t>离任日期</w:t>
      </w:r>
      <w:r>
        <w:rPr>
          <w:color w:val="000000"/>
          <w:sz w:val="24"/>
        </w:rPr>
        <w:t>”</w:t>
      </w:r>
      <w:r>
        <w:rPr>
          <w:color w:val="000000"/>
          <w:sz w:val="24"/>
        </w:rPr>
        <w:t>为公告确定的解聘日期，成曦的</w:t>
      </w:r>
      <w:r>
        <w:rPr>
          <w:color w:val="000000"/>
          <w:sz w:val="24"/>
        </w:rPr>
        <w:t>“</w:t>
      </w:r>
      <w:r>
        <w:rPr>
          <w:color w:val="000000"/>
          <w:sz w:val="24"/>
        </w:rPr>
        <w:t>任职日期</w:t>
      </w:r>
      <w:r>
        <w:rPr>
          <w:color w:val="000000"/>
          <w:sz w:val="24"/>
        </w:rPr>
        <w:t>”</w:t>
      </w:r>
      <w:r>
        <w:rPr>
          <w:color w:val="000000"/>
          <w:sz w:val="24"/>
        </w:rPr>
        <w:t>为基金合同生效之日，刘树荣的</w:t>
      </w:r>
      <w:r>
        <w:rPr>
          <w:color w:val="000000"/>
          <w:sz w:val="24"/>
        </w:rPr>
        <w:t>“</w:t>
      </w:r>
      <w:r>
        <w:rPr>
          <w:color w:val="000000"/>
          <w:sz w:val="24"/>
        </w:rPr>
        <w:t>任职日期</w:t>
      </w:r>
      <w:r>
        <w:rPr>
          <w:color w:val="000000"/>
          <w:sz w:val="24"/>
        </w:rPr>
        <w:t>”</w:t>
      </w:r>
      <w:r>
        <w:rPr>
          <w:color w:val="000000"/>
          <w:sz w:val="24"/>
        </w:rPr>
        <w:t>为公告确定的聘任日期。</w:t>
      </w:r>
    </w:p>
    <w:p w:rsidR="005C7D00" w:rsidRPr="00B34368" w:rsidRDefault="002B0BB7" w:rsidP="00547A9A">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2.</w:t>
      </w:r>
      <w:r>
        <w:rPr>
          <w:color w:val="000000"/>
          <w:sz w:val="24"/>
        </w:rPr>
        <w:t>证券从业的含义遵从《证券业从业人员资格管理办法》的相关规定。</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4.2</w:t>
      </w:r>
      <w:r w:rsidRPr="00B34368">
        <w:rPr>
          <w:rFonts w:eastAsiaTheme="minorEastAsia" w:hAnsiTheme="minorEastAsia"/>
          <w:b/>
          <w:color w:val="000000" w:themeColor="text1"/>
          <w:kern w:val="0"/>
          <w:sz w:val="24"/>
        </w:rPr>
        <w:t>管理人对报告期内本基金运作遵规守信情况</w:t>
      </w:r>
      <w:r w:rsidRPr="002F7889">
        <w:rPr>
          <w:rFonts w:eastAsiaTheme="minorEastAsia" w:hAnsiTheme="minorEastAsia"/>
          <w:b/>
          <w:color w:val="000000" w:themeColor="text1"/>
          <w:kern w:val="0"/>
          <w:sz w:val="24"/>
        </w:rPr>
        <w:t>的</w:t>
      </w:r>
      <w:r w:rsidRPr="00B34368">
        <w:rPr>
          <w:rFonts w:eastAsiaTheme="minorEastAsia" w:hAnsiTheme="minorEastAsia"/>
          <w:b/>
          <w:color w:val="000000" w:themeColor="text1"/>
          <w:kern w:val="0"/>
          <w:sz w:val="24"/>
        </w:rPr>
        <w:t>说明</w:t>
      </w:r>
    </w:p>
    <w:p w:rsidR="009238DB"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4.3 </w:t>
      </w:r>
      <w:r w:rsidRPr="00B34368">
        <w:rPr>
          <w:rFonts w:eastAsiaTheme="minorEastAsia" w:hAnsiTheme="minorEastAsia"/>
          <w:b/>
          <w:color w:val="000000" w:themeColor="text1"/>
          <w:kern w:val="0"/>
          <w:sz w:val="24"/>
        </w:rPr>
        <w:t>公平交易专项说明</w:t>
      </w:r>
    </w:p>
    <w:p w:rsidR="00D15733" w:rsidRPr="00B34368" w:rsidRDefault="002B0BB7"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4.3.1 </w:t>
      </w:r>
      <w:r w:rsidRPr="00B34368">
        <w:rPr>
          <w:rFonts w:eastAsiaTheme="minorEastAsia" w:hAnsiTheme="minorEastAsia"/>
          <w:color w:val="000000" w:themeColor="text1"/>
          <w:sz w:val="24"/>
        </w:rPr>
        <w:t>公平交易制度的执行情况</w:t>
      </w:r>
    </w:p>
    <w:p w:rsidR="00D15733"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B34368">
        <w:rPr>
          <w:rFonts w:eastAsiaTheme="minorEastAsia"/>
          <w:color w:val="000000" w:themeColor="text1"/>
          <w:sz w:val="24"/>
        </w:rPr>
        <w:t>“</w:t>
      </w:r>
      <w:r w:rsidRPr="00B34368">
        <w:rPr>
          <w:rFonts w:eastAsiaTheme="minorEastAsia"/>
          <w:color w:val="000000" w:themeColor="text1"/>
          <w:sz w:val="24"/>
        </w:rPr>
        <w:t>时间优先、价格优先</w:t>
      </w:r>
      <w:r w:rsidRPr="00B34368">
        <w:rPr>
          <w:rFonts w:eastAsiaTheme="minorEastAsia"/>
          <w:color w:val="000000" w:themeColor="text1"/>
          <w:sz w:val="24"/>
        </w:rPr>
        <w:t>”</w:t>
      </w:r>
      <w:r w:rsidRPr="00B34368">
        <w:rPr>
          <w:rFonts w:eastAsiaTheme="minorEastAsia"/>
          <w:color w:val="000000" w:themeColor="text1"/>
          <w:sz w:val="24"/>
        </w:rPr>
        <w:t>作为执行指令的基本原则，通过投资交易系统中的公平交易模块，以尽可能确保公平对待各投资组合。本报告期内，公平交易制度总体执行情况良好。</w:t>
      </w:r>
    </w:p>
    <w:p w:rsidR="00D15733" w:rsidRPr="00B34368" w:rsidRDefault="002B0BB7"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4.3.2 </w:t>
      </w:r>
      <w:r w:rsidRPr="00B34368">
        <w:rPr>
          <w:rFonts w:eastAsiaTheme="minorEastAsia" w:hAnsiTheme="minorEastAsia"/>
          <w:color w:val="000000" w:themeColor="text1"/>
          <w:sz w:val="24"/>
        </w:rPr>
        <w:t>异常交易行为的专项说明</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本报告期内，公司旗下所有投资组合参与的交易所公开竞价交易中，同日反向交易成交较少的单边交易量超过该证券当日成交量的</w:t>
      </w:r>
      <w:r>
        <w:rPr>
          <w:rFonts w:eastAsiaTheme="minorEastAsia"/>
          <w:color w:val="000000" w:themeColor="text1"/>
          <w:sz w:val="24"/>
        </w:rPr>
        <w:t>5%</w:t>
      </w:r>
      <w:r>
        <w:rPr>
          <w:rFonts w:eastAsiaTheme="minorEastAsia"/>
          <w:color w:val="000000" w:themeColor="text1"/>
          <w:sz w:val="24"/>
        </w:rPr>
        <w:t>的交易共</w:t>
      </w:r>
      <w:r>
        <w:rPr>
          <w:rFonts w:eastAsiaTheme="minorEastAsia"/>
          <w:color w:val="000000" w:themeColor="text1"/>
          <w:sz w:val="24"/>
        </w:rPr>
        <w:t>28</w:t>
      </w:r>
      <w:r>
        <w:rPr>
          <w:rFonts w:eastAsiaTheme="minorEastAsia"/>
          <w:color w:val="000000" w:themeColor="text1"/>
          <w:sz w:val="24"/>
        </w:rPr>
        <w:t>次，其中</w:t>
      </w:r>
      <w:r>
        <w:rPr>
          <w:rFonts w:eastAsiaTheme="minorEastAsia"/>
          <w:color w:val="000000" w:themeColor="text1"/>
          <w:sz w:val="24"/>
        </w:rPr>
        <w:t>27</w:t>
      </w:r>
      <w:r>
        <w:rPr>
          <w:rFonts w:eastAsiaTheme="minorEastAsia"/>
          <w:color w:val="000000" w:themeColor="text1"/>
          <w:sz w:val="24"/>
        </w:rPr>
        <w:t>次为指数量化投资组合因投资策略需要和其他组合发生的反向交易，</w:t>
      </w:r>
      <w:r>
        <w:rPr>
          <w:rFonts w:eastAsiaTheme="minorEastAsia"/>
          <w:color w:val="000000" w:themeColor="text1"/>
          <w:sz w:val="24"/>
        </w:rPr>
        <w:t>1</w:t>
      </w:r>
      <w:r>
        <w:rPr>
          <w:rFonts w:eastAsiaTheme="minorEastAsia"/>
          <w:color w:val="000000" w:themeColor="text1"/>
          <w:sz w:val="24"/>
        </w:rPr>
        <w:t>次为不同基金经理管理的基金因投资策略不同而发生的反向交易，有关基金经理按规定履行了审批程序。</w:t>
      </w:r>
    </w:p>
    <w:p w:rsidR="009238DB"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本报告期内，未发现本基金有可能导致不公平交易和利益输送的异常交易。</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4.4 </w:t>
      </w:r>
      <w:r w:rsidRPr="00B34368">
        <w:rPr>
          <w:rFonts w:eastAsiaTheme="minorEastAsia" w:hAnsiTheme="minorEastAsia"/>
          <w:b/>
          <w:color w:val="000000" w:themeColor="text1"/>
          <w:kern w:val="0"/>
          <w:sz w:val="24"/>
        </w:rPr>
        <w:t>报告期内基金的投资策略和业绩表现说明</w:t>
      </w:r>
    </w:p>
    <w:p w:rsidR="00952A72" w:rsidRPr="00B34368" w:rsidRDefault="002B0BB7" w:rsidP="00FC13C8">
      <w:pPr>
        <w:spacing w:line="360" w:lineRule="auto"/>
        <w:rPr>
          <w:rFonts w:eastAsiaTheme="minorEastAsia"/>
          <w:color w:val="000000" w:themeColor="text1"/>
          <w:sz w:val="24"/>
        </w:rPr>
      </w:pPr>
      <w:r w:rsidRPr="00B34368">
        <w:rPr>
          <w:rFonts w:eastAsiaTheme="minorEastAsia"/>
          <w:color w:val="000000" w:themeColor="text1"/>
          <w:sz w:val="24"/>
        </w:rPr>
        <w:t>4.4.1</w:t>
      </w:r>
      <w:r w:rsidRPr="00B34368">
        <w:rPr>
          <w:rFonts w:eastAsiaTheme="minorEastAsia" w:hAnsiTheme="minorEastAsia"/>
          <w:color w:val="000000" w:themeColor="text1"/>
          <w:sz w:val="24"/>
        </w:rPr>
        <w:t>报告期内基金投资策略和运作分析</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本基金跟踪的标的指数为深证成指。深证成指由深圳证券市场规模大、流动性好、最具代表性的</w:t>
      </w:r>
      <w:r>
        <w:rPr>
          <w:rFonts w:eastAsiaTheme="minorEastAsia"/>
          <w:color w:val="000000" w:themeColor="text1"/>
          <w:sz w:val="24"/>
        </w:rPr>
        <w:t>500</w:t>
      </w:r>
      <w:r>
        <w:rPr>
          <w:rFonts w:eastAsiaTheme="minorEastAsia"/>
          <w:color w:val="000000" w:themeColor="text1"/>
          <w:sz w:val="24"/>
        </w:rPr>
        <w:t>只股票组成，既包含了市值超千亿的大盘蓝筹，也包含中小板、创业板中的小盘成长股，兼具了价值股与成长股的特性，风格较均衡，深圳股票市场代表性强。报告期内，本基金主要采取完全复制法的投资策略，即完全按照标的指数的成份股组成及其权重构建基金股票投资组合，并根据标的指数成份股及其权重的变动而进行相应调整。</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年第二季度，受中美贸易摩擦影响，市场风险偏好明显下降，股票市场经历了一波调整，在此过程中，市场资金的博弈性上升，对短期波动更为敏感。随着</w:t>
      </w:r>
      <w:r>
        <w:rPr>
          <w:rFonts w:eastAsiaTheme="minorEastAsia"/>
          <w:color w:val="000000" w:themeColor="text1"/>
          <w:sz w:val="24"/>
        </w:rPr>
        <w:t>G20</w:t>
      </w:r>
      <w:r>
        <w:rPr>
          <w:rFonts w:eastAsiaTheme="minorEastAsia"/>
          <w:color w:val="000000" w:themeColor="text1"/>
          <w:sz w:val="24"/>
        </w:rPr>
        <w:t>会议</w:t>
      </w:r>
      <w:r>
        <w:rPr>
          <w:rFonts w:eastAsiaTheme="minorEastAsia"/>
          <w:color w:val="000000" w:themeColor="text1"/>
          <w:sz w:val="24"/>
        </w:rPr>
        <w:t>6</w:t>
      </w:r>
      <w:r>
        <w:rPr>
          <w:rFonts w:eastAsiaTheme="minorEastAsia"/>
          <w:color w:val="000000" w:themeColor="text1"/>
          <w:sz w:val="24"/>
        </w:rPr>
        <w:t>月底在日本大阪召开，中美贸易摩擦得到缓解，市场明显企稳回升。</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报告期内，国内经济增速逐步走稳，货币和财政政策持续宽松，</w:t>
      </w:r>
      <w:r>
        <w:rPr>
          <w:rFonts w:eastAsiaTheme="minorEastAsia"/>
          <w:color w:val="000000" w:themeColor="text1"/>
          <w:sz w:val="24"/>
        </w:rPr>
        <w:t>MSCI</w:t>
      </w:r>
      <w:r>
        <w:rPr>
          <w:rFonts w:eastAsiaTheme="minorEastAsia"/>
          <w:color w:val="000000" w:themeColor="text1"/>
          <w:sz w:val="24"/>
        </w:rPr>
        <w:t>扩大了</w:t>
      </w:r>
      <w:r>
        <w:rPr>
          <w:rFonts w:eastAsiaTheme="minorEastAsia"/>
          <w:color w:val="000000" w:themeColor="text1"/>
          <w:sz w:val="24"/>
        </w:rPr>
        <w:t>A</w:t>
      </w:r>
      <w:r>
        <w:rPr>
          <w:rFonts w:eastAsiaTheme="minorEastAsia"/>
          <w:color w:val="000000" w:themeColor="text1"/>
          <w:sz w:val="24"/>
        </w:rPr>
        <w:t>股纳入比例，外资持续流入，此外财政政策中降费减税的效果也开始逐渐体现，使得国内股市的中长期预期在发生转变。</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市场普遍预期科创板将在</w:t>
      </w:r>
      <w:r>
        <w:rPr>
          <w:rFonts w:eastAsiaTheme="minorEastAsia"/>
          <w:color w:val="000000" w:themeColor="text1"/>
          <w:sz w:val="24"/>
        </w:rPr>
        <w:t>2019</w:t>
      </w:r>
      <w:r>
        <w:rPr>
          <w:rFonts w:eastAsiaTheme="minorEastAsia"/>
          <w:color w:val="000000" w:themeColor="text1"/>
          <w:sz w:val="24"/>
        </w:rPr>
        <w:t>年第三季度开市交易，该板块的推出将进一步提升市场对高新技术类公司的偏好，尤其是能够体现国内自主发展，自主可控的科技产业将更受资本关注。</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在上述背景下，预计股票市场有可能将继续体现两类投资偏好：一种是行业竞争格局清晰，市场占比高，业绩稳定增长的龙头公司；另一种是受政策和资本青睐，具备核心技术，行业空间扩张中的成长类公司。</w:t>
      </w:r>
    </w:p>
    <w:p w:rsidR="00952A72"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2019</w:t>
      </w:r>
      <w:r w:rsidRPr="00B34368">
        <w:rPr>
          <w:rFonts w:eastAsiaTheme="minorEastAsia"/>
          <w:color w:val="000000" w:themeColor="text1"/>
          <w:sz w:val="24"/>
        </w:rPr>
        <w:t>年第二季度，根据《中华人民共和国证券投资基金法》、《公开募集证券投资基金运作管理办法》等法律法规的规定和《基金合同》的有关约定，基金管理人经与基金托管人协商一致，召集了本基金的基金份额持有人大会，审议终止本基金基金合同有关事项，审议议案于</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25</w:t>
      </w:r>
      <w:r w:rsidRPr="00B34368">
        <w:rPr>
          <w:rFonts w:eastAsiaTheme="minorEastAsia"/>
          <w:color w:val="000000" w:themeColor="text1"/>
          <w:sz w:val="24"/>
        </w:rPr>
        <w:t>日表决通过，自该日起本次基金份额持有人大会决议生效。本基金最后运作日为</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27</w:t>
      </w:r>
      <w:r w:rsidRPr="00B34368">
        <w:rPr>
          <w:rFonts w:eastAsiaTheme="minorEastAsia"/>
          <w:color w:val="000000" w:themeColor="text1"/>
          <w:sz w:val="24"/>
        </w:rPr>
        <w:t>日起，本基金进入基金财产清算程序。</w:t>
      </w:r>
    </w:p>
    <w:p w:rsidR="00E900ED" w:rsidRDefault="00E900ED" w:rsidP="00E900ED">
      <w:pPr>
        <w:spacing w:line="360" w:lineRule="auto"/>
        <w:ind w:firstLineChars="200" w:firstLine="480"/>
        <w:rPr>
          <w:color w:val="000000"/>
          <w:sz w:val="24"/>
        </w:rPr>
      </w:pPr>
      <w:r>
        <w:rPr>
          <w:rFonts w:hint="eastAsia"/>
          <w:color w:val="000000"/>
          <w:sz w:val="24"/>
        </w:rPr>
        <w:t>本基金是易方达深证成指</w:t>
      </w:r>
      <w:r>
        <w:rPr>
          <w:color w:val="000000"/>
          <w:sz w:val="24"/>
        </w:rPr>
        <w:t>ETF</w:t>
      </w:r>
      <w:r>
        <w:rPr>
          <w:rFonts w:hint="eastAsia"/>
          <w:color w:val="000000"/>
          <w:sz w:val="24"/>
        </w:rPr>
        <w:t>的联接基金。基金运作层面，报告期内，本基金严守基金合同认真对待投资者申购、赎回以及成分股调整事项，保障基金的正常运作，基金跟踪误差以及日均偏离度等指标控制在合同规定范围之内。</w:t>
      </w:r>
    </w:p>
    <w:p w:rsidR="00E900ED" w:rsidRPr="00E900ED" w:rsidRDefault="00E900ED" w:rsidP="00B34368">
      <w:pPr>
        <w:spacing w:line="360" w:lineRule="auto"/>
        <w:ind w:firstLineChars="200" w:firstLine="480"/>
        <w:rPr>
          <w:rFonts w:eastAsiaTheme="minorEastAsia"/>
          <w:color w:val="000000" w:themeColor="text1"/>
          <w:sz w:val="24"/>
        </w:rPr>
      </w:pPr>
    </w:p>
    <w:p w:rsidR="00952A72" w:rsidRPr="00B34368" w:rsidRDefault="002B0BB7" w:rsidP="00FC13C8">
      <w:pPr>
        <w:spacing w:line="360" w:lineRule="auto"/>
        <w:rPr>
          <w:rFonts w:eastAsiaTheme="minorEastAsia"/>
          <w:color w:val="000000" w:themeColor="text1"/>
          <w:sz w:val="24"/>
        </w:rPr>
      </w:pPr>
      <w:r w:rsidRPr="00B34368">
        <w:rPr>
          <w:rFonts w:eastAsiaTheme="minorEastAsia"/>
          <w:color w:val="000000" w:themeColor="text1"/>
          <w:sz w:val="24"/>
        </w:rPr>
        <w:t>4.4.2</w:t>
      </w:r>
      <w:r w:rsidRPr="00B34368">
        <w:rPr>
          <w:rFonts w:eastAsiaTheme="minorEastAsia" w:hAnsiTheme="minorEastAsia"/>
          <w:color w:val="000000" w:themeColor="text1"/>
          <w:sz w:val="24"/>
        </w:rPr>
        <w:t>报告期内基金的业绩表现</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截至报告期末，本基金</w:t>
      </w:r>
      <w:r>
        <w:rPr>
          <w:rFonts w:eastAsiaTheme="minorEastAsia"/>
          <w:color w:val="000000" w:themeColor="text1"/>
          <w:sz w:val="24"/>
        </w:rPr>
        <w:t>A</w:t>
      </w:r>
      <w:r>
        <w:rPr>
          <w:rFonts w:eastAsiaTheme="minorEastAsia"/>
          <w:color w:val="000000" w:themeColor="text1"/>
          <w:sz w:val="24"/>
        </w:rPr>
        <w:t>类基金份额净值为</w:t>
      </w:r>
      <w:r>
        <w:rPr>
          <w:rFonts w:eastAsiaTheme="minorEastAsia"/>
          <w:color w:val="000000" w:themeColor="text1"/>
          <w:sz w:val="24"/>
        </w:rPr>
        <w:t>0.9736</w:t>
      </w:r>
      <w:r>
        <w:rPr>
          <w:rFonts w:eastAsiaTheme="minorEastAsia"/>
          <w:color w:val="000000" w:themeColor="text1"/>
          <w:sz w:val="24"/>
        </w:rPr>
        <w:t>元，本报告期份额净值增长率为</w:t>
      </w:r>
      <w:r>
        <w:rPr>
          <w:rFonts w:eastAsiaTheme="minorEastAsia"/>
          <w:color w:val="000000" w:themeColor="text1"/>
          <w:sz w:val="24"/>
        </w:rPr>
        <w:t>-3.77%</w:t>
      </w:r>
      <w:r>
        <w:rPr>
          <w:rFonts w:eastAsiaTheme="minorEastAsia"/>
          <w:color w:val="000000" w:themeColor="text1"/>
          <w:sz w:val="24"/>
        </w:rPr>
        <w:t>；</w:t>
      </w:r>
      <w:r>
        <w:rPr>
          <w:rFonts w:eastAsiaTheme="minorEastAsia"/>
          <w:color w:val="000000" w:themeColor="text1"/>
          <w:sz w:val="24"/>
        </w:rPr>
        <w:t>C</w:t>
      </w:r>
      <w:r>
        <w:rPr>
          <w:rFonts w:eastAsiaTheme="minorEastAsia"/>
          <w:color w:val="000000" w:themeColor="text1"/>
          <w:sz w:val="24"/>
        </w:rPr>
        <w:t>类基金份额净值为</w:t>
      </w:r>
      <w:r>
        <w:rPr>
          <w:rFonts w:eastAsiaTheme="minorEastAsia"/>
          <w:color w:val="000000" w:themeColor="text1"/>
          <w:sz w:val="24"/>
        </w:rPr>
        <w:t>0.9737</w:t>
      </w:r>
      <w:r>
        <w:rPr>
          <w:rFonts w:eastAsiaTheme="minorEastAsia"/>
          <w:color w:val="000000" w:themeColor="text1"/>
          <w:sz w:val="24"/>
        </w:rPr>
        <w:t>元，本报告期份额净值增长率为</w:t>
      </w:r>
      <w:r>
        <w:rPr>
          <w:rFonts w:eastAsiaTheme="minorEastAsia"/>
          <w:color w:val="000000" w:themeColor="text1"/>
          <w:sz w:val="24"/>
        </w:rPr>
        <w:t>-3.88%</w:t>
      </w:r>
      <w:r>
        <w:rPr>
          <w:rFonts w:eastAsiaTheme="minorEastAsia"/>
          <w:color w:val="000000" w:themeColor="text1"/>
          <w:sz w:val="24"/>
        </w:rPr>
        <w:t>；同期业绩比较基准收益率为</w:t>
      </w:r>
      <w:r>
        <w:rPr>
          <w:rFonts w:eastAsiaTheme="minorEastAsia"/>
          <w:color w:val="000000" w:themeColor="text1"/>
          <w:sz w:val="24"/>
        </w:rPr>
        <w:t>-7.49%</w:t>
      </w:r>
      <w:r>
        <w:rPr>
          <w:rFonts w:eastAsiaTheme="minorEastAsia"/>
          <w:color w:val="000000" w:themeColor="text1"/>
          <w:sz w:val="24"/>
        </w:rPr>
        <w:t>。</w:t>
      </w:r>
    </w:p>
    <w:p w:rsidR="008129C0" w:rsidRPr="00F405D4" w:rsidRDefault="002B0BB7" w:rsidP="00F405D4">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本报告期，本基金日跟踪偏离度的均值为</w:t>
      </w:r>
      <w:r w:rsidRPr="00B34368">
        <w:rPr>
          <w:rFonts w:eastAsiaTheme="minorEastAsia"/>
          <w:color w:val="000000" w:themeColor="text1"/>
          <w:sz w:val="24"/>
        </w:rPr>
        <w:t>0.17%</w:t>
      </w:r>
      <w:r w:rsidRPr="00B34368">
        <w:rPr>
          <w:rFonts w:eastAsiaTheme="minorEastAsia"/>
          <w:color w:val="000000" w:themeColor="text1"/>
          <w:sz w:val="24"/>
        </w:rPr>
        <w:t>，年化跟踪误差</w:t>
      </w:r>
      <w:r w:rsidRPr="00B34368">
        <w:rPr>
          <w:rFonts w:eastAsiaTheme="minorEastAsia"/>
          <w:color w:val="000000" w:themeColor="text1"/>
          <w:sz w:val="24"/>
        </w:rPr>
        <w:t>5.51%</w:t>
      </w:r>
      <w:r w:rsidRPr="00B34368">
        <w:rPr>
          <w:rFonts w:eastAsiaTheme="minorEastAsia"/>
          <w:color w:val="000000" w:themeColor="text1"/>
          <w:sz w:val="24"/>
        </w:rPr>
        <w:t>，超过合同规定的控制范围，因为期间本基金发生清盘，变现基金资产所致。</w:t>
      </w:r>
    </w:p>
    <w:p w:rsidR="001B06D5" w:rsidRPr="00F405D4"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4.5</w:t>
      </w:r>
      <w:r w:rsidRPr="00F405D4">
        <w:rPr>
          <w:rFonts w:eastAsiaTheme="minorEastAsia"/>
          <w:b/>
          <w:color w:val="000000" w:themeColor="text1"/>
          <w:kern w:val="0"/>
          <w:sz w:val="24"/>
        </w:rPr>
        <w:t>报告期内基金持有人数或基金资产净值预警说明</w:t>
      </w:r>
    </w:p>
    <w:p w:rsidR="00B01047" w:rsidRDefault="002B0BB7" w:rsidP="004D7A8D">
      <w:pPr>
        <w:spacing w:line="360" w:lineRule="auto"/>
        <w:ind w:firstLineChars="200" w:firstLine="480"/>
        <w:rPr>
          <w:rFonts w:eastAsiaTheme="minorEastAsia"/>
          <w:color w:val="000000" w:themeColor="text1"/>
          <w:sz w:val="24"/>
        </w:rPr>
      </w:pPr>
      <w:r>
        <w:rPr>
          <w:rFonts w:eastAsiaTheme="minorEastAsia"/>
          <w:color w:val="000000" w:themeColor="text1"/>
          <w:kern w:val="0"/>
          <w:sz w:val="24"/>
        </w:rPr>
        <w:t>自本报告期初至</w:t>
      </w:r>
      <w:r>
        <w:rPr>
          <w:rFonts w:eastAsiaTheme="minorEastAsia"/>
          <w:color w:val="000000" w:themeColor="text1"/>
          <w:kern w:val="0"/>
          <w:sz w:val="24"/>
        </w:rPr>
        <w:t>2019</w:t>
      </w:r>
      <w:r>
        <w:rPr>
          <w:rFonts w:eastAsiaTheme="minorEastAsia"/>
          <w:color w:val="000000" w:themeColor="text1"/>
          <w:kern w:val="0"/>
          <w:sz w:val="24"/>
        </w:rPr>
        <w:t>年</w:t>
      </w:r>
      <w:r>
        <w:rPr>
          <w:rFonts w:eastAsiaTheme="minorEastAsia"/>
          <w:color w:val="000000" w:themeColor="text1"/>
          <w:kern w:val="0"/>
          <w:sz w:val="24"/>
        </w:rPr>
        <w:t>5</w:t>
      </w:r>
      <w:r>
        <w:rPr>
          <w:rFonts w:eastAsiaTheme="minorEastAsia"/>
          <w:color w:val="000000" w:themeColor="text1"/>
          <w:kern w:val="0"/>
          <w:sz w:val="24"/>
        </w:rPr>
        <w:t>月</w:t>
      </w:r>
      <w:r>
        <w:rPr>
          <w:rFonts w:eastAsiaTheme="minorEastAsia"/>
          <w:color w:val="000000" w:themeColor="text1"/>
          <w:kern w:val="0"/>
          <w:sz w:val="24"/>
        </w:rPr>
        <w:t>16</w:t>
      </w:r>
      <w:r>
        <w:rPr>
          <w:rFonts w:eastAsiaTheme="minorEastAsia"/>
          <w:color w:val="000000" w:themeColor="text1"/>
          <w:kern w:val="0"/>
          <w:sz w:val="24"/>
        </w:rPr>
        <w:t>日、</w:t>
      </w:r>
      <w:r>
        <w:rPr>
          <w:rFonts w:eastAsiaTheme="minorEastAsia"/>
          <w:color w:val="000000" w:themeColor="text1"/>
          <w:kern w:val="0"/>
          <w:sz w:val="24"/>
        </w:rPr>
        <w:t>2019</w:t>
      </w:r>
      <w:r>
        <w:rPr>
          <w:rFonts w:eastAsiaTheme="minorEastAsia"/>
          <w:color w:val="000000" w:themeColor="text1"/>
          <w:kern w:val="0"/>
          <w:sz w:val="24"/>
        </w:rPr>
        <w:t>年</w:t>
      </w:r>
      <w:r>
        <w:rPr>
          <w:rFonts w:eastAsiaTheme="minorEastAsia"/>
          <w:color w:val="000000" w:themeColor="text1"/>
          <w:kern w:val="0"/>
          <w:sz w:val="24"/>
        </w:rPr>
        <w:t>6</w:t>
      </w:r>
      <w:r>
        <w:rPr>
          <w:rFonts w:eastAsiaTheme="minorEastAsia"/>
          <w:color w:val="000000" w:themeColor="text1"/>
          <w:kern w:val="0"/>
          <w:sz w:val="24"/>
        </w:rPr>
        <w:t>月</w:t>
      </w:r>
      <w:r>
        <w:rPr>
          <w:rFonts w:eastAsiaTheme="minorEastAsia"/>
          <w:color w:val="000000" w:themeColor="text1"/>
          <w:kern w:val="0"/>
          <w:sz w:val="24"/>
        </w:rPr>
        <w:t>24</w:t>
      </w:r>
      <w:r>
        <w:rPr>
          <w:rFonts w:eastAsiaTheme="minorEastAsia"/>
          <w:color w:val="000000" w:themeColor="text1"/>
          <w:kern w:val="0"/>
          <w:sz w:val="24"/>
        </w:rPr>
        <w:t>日至本报告期末，本基金均存在连续二十个工作日基金资产净值低于五千万元的情形。</w:t>
      </w:r>
    </w:p>
    <w:p w:rsidR="001B06D5" w:rsidRPr="00B34368" w:rsidRDefault="002B0BB7" w:rsidP="004D7A8D">
      <w:pPr>
        <w:spacing w:line="360" w:lineRule="auto"/>
        <w:ind w:firstLineChars="200" w:firstLine="480"/>
        <w:rPr>
          <w:rFonts w:eastAsiaTheme="minorEastAsia"/>
          <w:color w:val="000000" w:themeColor="text1"/>
          <w:sz w:val="24"/>
        </w:rPr>
      </w:pPr>
      <w:r w:rsidRPr="00B34368">
        <w:rPr>
          <w:rFonts w:eastAsiaTheme="minorEastAsia"/>
          <w:color w:val="000000" w:themeColor="text1"/>
          <w:kern w:val="0"/>
          <w:sz w:val="24"/>
        </w:rPr>
        <w:t>自本报告期初至</w:t>
      </w:r>
      <w:r w:rsidRPr="00B34368">
        <w:rPr>
          <w:rFonts w:eastAsiaTheme="minorEastAsia"/>
          <w:color w:val="000000" w:themeColor="text1"/>
          <w:kern w:val="0"/>
          <w:sz w:val="24"/>
        </w:rPr>
        <w:t>2019</w:t>
      </w:r>
      <w:r w:rsidRPr="00B34368">
        <w:rPr>
          <w:rFonts w:eastAsiaTheme="minorEastAsia"/>
          <w:color w:val="000000" w:themeColor="text1"/>
          <w:kern w:val="0"/>
          <w:sz w:val="24"/>
        </w:rPr>
        <w:t>年</w:t>
      </w:r>
      <w:r w:rsidRPr="00B34368">
        <w:rPr>
          <w:rFonts w:eastAsiaTheme="minorEastAsia"/>
          <w:color w:val="000000" w:themeColor="text1"/>
          <w:kern w:val="0"/>
          <w:sz w:val="24"/>
        </w:rPr>
        <w:t>5</w:t>
      </w:r>
      <w:r w:rsidRPr="00B34368">
        <w:rPr>
          <w:rFonts w:eastAsiaTheme="minorEastAsia"/>
          <w:color w:val="000000" w:themeColor="text1"/>
          <w:kern w:val="0"/>
          <w:sz w:val="24"/>
        </w:rPr>
        <w:t>月</w:t>
      </w:r>
      <w:r w:rsidRPr="00B34368">
        <w:rPr>
          <w:rFonts w:eastAsiaTheme="minorEastAsia"/>
          <w:color w:val="000000" w:themeColor="text1"/>
          <w:kern w:val="0"/>
          <w:sz w:val="24"/>
        </w:rPr>
        <w:t>16</w:t>
      </w:r>
      <w:r w:rsidRPr="00B34368">
        <w:rPr>
          <w:rFonts w:eastAsiaTheme="minorEastAsia"/>
          <w:color w:val="000000" w:themeColor="text1"/>
          <w:kern w:val="0"/>
          <w:sz w:val="24"/>
        </w:rPr>
        <w:t>日，本基金均存在连续六十个工作日基金资产净值低于五千万元的情形。基金资产净值的下滑主要受市场环境影响，基金管理人已按照法律法规及《基金合同》的有关约定，召集了本基金基金份额持有人大会，审议通过了《关于易方达深证成指交易型开放式指数证券投资基金联接基金终止基金合同有关事项的议案》，本基金于</w:t>
      </w:r>
      <w:r w:rsidRPr="00B34368">
        <w:rPr>
          <w:rFonts w:eastAsiaTheme="minorEastAsia"/>
          <w:color w:val="000000" w:themeColor="text1"/>
          <w:kern w:val="0"/>
          <w:sz w:val="24"/>
        </w:rPr>
        <w:t>2019</w:t>
      </w:r>
      <w:r w:rsidRPr="00B34368">
        <w:rPr>
          <w:rFonts w:eastAsiaTheme="minorEastAsia"/>
          <w:color w:val="000000" w:themeColor="text1"/>
          <w:kern w:val="0"/>
          <w:sz w:val="24"/>
        </w:rPr>
        <w:t>年</w:t>
      </w:r>
      <w:r w:rsidRPr="00B34368">
        <w:rPr>
          <w:rFonts w:eastAsiaTheme="minorEastAsia"/>
          <w:color w:val="000000" w:themeColor="text1"/>
          <w:kern w:val="0"/>
          <w:sz w:val="24"/>
        </w:rPr>
        <w:t>6</w:t>
      </w:r>
      <w:r w:rsidRPr="00B34368">
        <w:rPr>
          <w:rFonts w:eastAsiaTheme="minorEastAsia"/>
          <w:color w:val="000000" w:themeColor="text1"/>
          <w:kern w:val="0"/>
          <w:sz w:val="24"/>
        </w:rPr>
        <w:t>月</w:t>
      </w:r>
      <w:r w:rsidRPr="00B34368">
        <w:rPr>
          <w:rFonts w:eastAsiaTheme="minorEastAsia"/>
          <w:color w:val="000000" w:themeColor="text1"/>
          <w:kern w:val="0"/>
          <w:sz w:val="24"/>
        </w:rPr>
        <w:t>27</w:t>
      </w:r>
      <w:r w:rsidRPr="00B34368">
        <w:rPr>
          <w:rFonts w:eastAsiaTheme="minorEastAsia"/>
          <w:color w:val="000000" w:themeColor="text1"/>
          <w:kern w:val="0"/>
          <w:sz w:val="24"/>
        </w:rPr>
        <w:t>日进入清算程序。</w:t>
      </w:r>
    </w:p>
    <w:p w:rsidR="009238DB" w:rsidRPr="00B34368" w:rsidRDefault="002B0BB7"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§5  </w:t>
      </w:r>
      <w:r w:rsidRPr="00B34368">
        <w:rPr>
          <w:rFonts w:eastAsiaTheme="minorEastAsia" w:hAnsiTheme="minorEastAsia"/>
          <w:color w:val="000000" w:themeColor="text1"/>
          <w:kern w:val="0"/>
          <w:sz w:val="24"/>
          <w:szCs w:val="24"/>
        </w:rPr>
        <w:t>投资组合报告</w:t>
      </w:r>
    </w:p>
    <w:p w:rsidR="009238DB" w:rsidRPr="00B34368" w:rsidRDefault="002B0BB7"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5.1 </w:t>
      </w:r>
      <w:r w:rsidRPr="00B34368">
        <w:rPr>
          <w:rFonts w:eastAsiaTheme="minorEastAsia" w:hAnsiTheme="minorEastAsia"/>
          <w:b/>
          <w:color w:val="000000" w:themeColor="text1"/>
          <w:kern w:val="0"/>
          <w:sz w:val="24"/>
        </w:rPr>
        <w:t>报告期末基金资产组合情况</w:t>
      </w:r>
    </w:p>
    <w:tbl>
      <w:tblPr>
        <w:tblStyle w:val="af2"/>
        <w:tblW w:w="0" w:type="auto"/>
        <w:tblInd w:w="108" w:type="dxa"/>
        <w:tblLayout w:type="fixed"/>
        <w:tblLook w:val="04A0" w:firstRow="1" w:lastRow="0" w:firstColumn="1" w:lastColumn="0" w:noHBand="0" w:noVBand="1"/>
      </w:tblPr>
      <w:tblGrid>
        <w:gridCol w:w="720"/>
        <w:gridCol w:w="3357"/>
        <w:gridCol w:w="2694"/>
        <w:gridCol w:w="1757"/>
      </w:tblGrid>
      <w:tr w:rsidR="00B01047" w:rsidTr="00975D18">
        <w:tc>
          <w:tcPr>
            <w:tcW w:w="720" w:type="dxa"/>
            <w:vAlign w:val="center"/>
          </w:tcPr>
          <w:p w:rsidR="00B20F47"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357" w:type="dxa"/>
            <w:vAlign w:val="center"/>
          </w:tcPr>
          <w:p w:rsidR="00B20F47"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项目</w:t>
            </w:r>
          </w:p>
        </w:tc>
        <w:tc>
          <w:tcPr>
            <w:tcW w:w="2694" w:type="dxa"/>
            <w:vAlign w:val="center"/>
          </w:tcPr>
          <w:p w:rsidR="00B20F47"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金额</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757" w:type="dxa"/>
            <w:vAlign w:val="center"/>
          </w:tcPr>
          <w:p w:rsidR="00B20F47"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占基金总资产的比例</w:t>
            </w:r>
            <w:r w:rsidRPr="00B34368">
              <w:rPr>
                <w:rFonts w:eastAsiaTheme="minorEastAsia"/>
                <w:color w:val="000000" w:themeColor="text1"/>
                <w:sz w:val="24"/>
              </w:rPr>
              <w:t>(%)</w:t>
            </w:r>
          </w:p>
        </w:tc>
      </w:tr>
      <w:tr w:rsidR="00B01047" w:rsidTr="00975D18">
        <w:tc>
          <w:tcPr>
            <w:tcW w:w="720" w:type="dxa"/>
            <w:vAlign w:val="center"/>
          </w:tcPr>
          <w:p w:rsidR="00B20F47"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357" w:type="dxa"/>
            <w:vAlign w:val="center"/>
          </w:tcPr>
          <w:p w:rsidR="00B20F47"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权益投资</w:t>
            </w:r>
          </w:p>
        </w:tc>
        <w:tc>
          <w:tcPr>
            <w:tcW w:w="2694"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20F47" w:rsidRPr="00B34368" w:rsidRDefault="006634A8"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其中：股票</w:t>
            </w:r>
          </w:p>
        </w:tc>
        <w:tc>
          <w:tcPr>
            <w:tcW w:w="2694"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20F47"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357" w:type="dxa"/>
            <w:vAlign w:val="center"/>
          </w:tcPr>
          <w:p w:rsidR="00B20F47"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基金投资</w:t>
            </w:r>
          </w:p>
        </w:tc>
        <w:tc>
          <w:tcPr>
            <w:tcW w:w="2694"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17,419,636.91</w:t>
            </w:r>
          </w:p>
        </w:tc>
        <w:tc>
          <w:tcPr>
            <w:tcW w:w="1757"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77.48</w:t>
            </w:r>
          </w:p>
        </w:tc>
      </w:tr>
      <w:tr w:rsidR="00B01047" w:rsidTr="00975D18">
        <w:tc>
          <w:tcPr>
            <w:tcW w:w="720" w:type="dxa"/>
            <w:vAlign w:val="center"/>
          </w:tcPr>
          <w:p w:rsidR="00B20F47"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357" w:type="dxa"/>
            <w:vAlign w:val="center"/>
          </w:tcPr>
          <w:p w:rsidR="00B20F47"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固定收益投资</w:t>
            </w:r>
          </w:p>
        </w:tc>
        <w:tc>
          <w:tcPr>
            <w:tcW w:w="2694"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20F47" w:rsidRPr="00B34368" w:rsidRDefault="006634A8"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其中：债券</w:t>
            </w:r>
          </w:p>
        </w:tc>
        <w:tc>
          <w:tcPr>
            <w:tcW w:w="2694"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20F47" w:rsidRPr="00B34368" w:rsidRDefault="006634A8"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2B0BB7" w:rsidP="00B34368">
            <w:pPr>
              <w:autoSpaceDE w:val="0"/>
              <w:autoSpaceDN w:val="0"/>
              <w:adjustRightInd w:val="0"/>
              <w:spacing w:before="29" w:line="360" w:lineRule="auto"/>
              <w:ind w:left="17" w:firstLineChars="300" w:firstLine="720"/>
              <w:jc w:val="left"/>
              <w:rPr>
                <w:rFonts w:eastAsiaTheme="minorEastAsia"/>
                <w:color w:val="000000" w:themeColor="text1"/>
                <w:sz w:val="24"/>
              </w:rPr>
            </w:pPr>
            <w:r w:rsidRPr="00B34368">
              <w:rPr>
                <w:rFonts w:eastAsiaTheme="minorEastAsia" w:hAnsiTheme="minorEastAsia"/>
                <w:color w:val="000000" w:themeColor="text1"/>
                <w:sz w:val="24"/>
              </w:rPr>
              <w:t>资产支持证券</w:t>
            </w:r>
          </w:p>
        </w:tc>
        <w:tc>
          <w:tcPr>
            <w:tcW w:w="2694"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tcPr>
          <w:p w:rsidR="00B007B6" w:rsidRPr="00B34368" w:rsidRDefault="002B0BB7" w:rsidP="00DD272F">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357" w:type="dxa"/>
          </w:tcPr>
          <w:p w:rsidR="00B007B6" w:rsidRPr="00B34368" w:rsidRDefault="002B0BB7" w:rsidP="00DD272F">
            <w:pPr>
              <w:spacing w:before="29" w:line="360" w:lineRule="auto"/>
              <w:ind w:leftChars="50" w:left="105"/>
              <w:rPr>
                <w:rFonts w:eastAsiaTheme="minorEastAsia"/>
                <w:color w:val="000000" w:themeColor="text1"/>
                <w:sz w:val="24"/>
              </w:rPr>
            </w:pPr>
            <w:r w:rsidRPr="00B34368">
              <w:rPr>
                <w:rFonts w:eastAsiaTheme="minorEastAsia" w:hAnsiTheme="minorEastAsia"/>
                <w:color w:val="000000" w:themeColor="text1"/>
                <w:sz w:val="24"/>
              </w:rPr>
              <w:t>贵金属投资</w:t>
            </w:r>
          </w:p>
        </w:tc>
        <w:tc>
          <w:tcPr>
            <w:tcW w:w="2694" w:type="dxa"/>
            <w:vAlign w:val="center"/>
          </w:tcPr>
          <w:p w:rsidR="00B007B6" w:rsidRPr="00B34368" w:rsidRDefault="002B0BB7"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2B0BB7"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007B6"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357" w:type="dxa"/>
            <w:vAlign w:val="center"/>
          </w:tcPr>
          <w:p w:rsidR="00B007B6"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金融衍生品投资</w:t>
            </w:r>
          </w:p>
        </w:tc>
        <w:tc>
          <w:tcPr>
            <w:tcW w:w="2694"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007B6"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357" w:type="dxa"/>
            <w:vAlign w:val="center"/>
          </w:tcPr>
          <w:p w:rsidR="00B007B6"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买入返售金融资产</w:t>
            </w:r>
          </w:p>
        </w:tc>
        <w:tc>
          <w:tcPr>
            <w:tcW w:w="2694"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007B6" w:rsidRPr="00B34368" w:rsidRDefault="006634A8" w:rsidP="00A3193E">
            <w:pPr>
              <w:spacing w:before="29" w:line="360" w:lineRule="auto"/>
              <w:ind w:left="17"/>
              <w:jc w:val="center"/>
              <w:rPr>
                <w:rFonts w:eastAsiaTheme="minorEastAsia"/>
                <w:color w:val="000000" w:themeColor="text1"/>
                <w:sz w:val="24"/>
              </w:rPr>
            </w:pPr>
          </w:p>
        </w:tc>
        <w:tc>
          <w:tcPr>
            <w:tcW w:w="3357" w:type="dxa"/>
            <w:vAlign w:val="center"/>
          </w:tcPr>
          <w:p w:rsidR="00B007B6"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其中：买断式回购的买入返售金融资产</w:t>
            </w:r>
          </w:p>
        </w:tc>
        <w:tc>
          <w:tcPr>
            <w:tcW w:w="2694"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720" w:type="dxa"/>
            <w:vAlign w:val="center"/>
          </w:tcPr>
          <w:p w:rsidR="00B007B6" w:rsidRPr="00B34368" w:rsidRDefault="002B0BB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357" w:type="dxa"/>
            <w:vAlign w:val="center"/>
          </w:tcPr>
          <w:p w:rsidR="00B007B6" w:rsidRPr="00B34368" w:rsidRDefault="002B0BB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银行存款和结算备付金合计</w:t>
            </w:r>
          </w:p>
        </w:tc>
        <w:tc>
          <w:tcPr>
            <w:tcW w:w="2694"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3,067,348.80</w:t>
            </w:r>
          </w:p>
        </w:tc>
        <w:tc>
          <w:tcPr>
            <w:tcW w:w="1757" w:type="dxa"/>
            <w:vAlign w:val="center"/>
          </w:tcPr>
          <w:p w:rsidR="00B007B6" w:rsidRPr="00B34368" w:rsidRDefault="002B0BB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13.64</w:t>
            </w:r>
          </w:p>
        </w:tc>
      </w:tr>
      <w:tr w:rsidR="00B01047" w:rsidTr="00975D18">
        <w:tc>
          <w:tcPr>
            <w:tcW w:w="720" w:type="dxa"/>
            <w:vAlign w:val="center"/>
          </w:tcPr>
          <w:p w:rsidR="00B007B6" w:rsidRPr="00B34368" w:rsidRDefault="002B0BB7"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357" w:type="dxa"/>
            <w:vAlign w:val="center"/>
          </w:tcPr>
          <w:p w:rsidR="00B007B6" w:rsidRPr="00B34368" w:rsidRDefault="002B0BB7" w:rsidP="00A3193E">
            <w:pPr>
              <w:jc w:val="left"/>
              <w:rPr>
                <w:rFonts w:eastAsiaTheme="minorEastAsia"/>
                <w:color w:val="000000" w:themeColor="text1"/>
                <w:sz w:val="24"/>
              </w:rPr>
            </w:pPr>
            <w:r>
              <w:rPr>
                <w:rFonts w:eastAsiaTheme="minorEastAsia" w:hAnsiTheme="minorEastAsia"/>
                <w:color w:val="000000" w:themeColor="text1"/>
                <w:sz w:val="24"/>
              </w:rPr>
              <w:t>其他</w:t>
            </w:r>
            <w:r w:rsidRPr="00B34368">
              <w:rPr>
                <w:rFonts w:eastAsiaTheme="minorEastAsia" w:hAnsiTheme="minorEastAsia"/>
                <w:color w:val="000000" w:themeColor="text1"/>
                <w:sz w:val="24"/>
              </w:rPr>
              <w:t>资产</w:t>
            </w:r>
          </w:p>
        </w:tc>
        <w:tc>
          <w:tcPr>
            <w:tcW w:w="2694" w:type="dxa"/>
            <w:vAlign w:val="center"/>
          </w:tcPr>
          <w:p w:rsidR="00B007B6" w:rsidRPr="00B34368" w:rsidRDefault="002B0BB7" w:rsidP="00A3193E">
            <w:pPr>
              <w:jc w:val="right"/>
              <w:rPr>
                <w:rFonts w:eastAsiaTheme="minorEastAsia"/>
                <w:color w:val="000000" w:themeColor="text1"/>
                <w:sz w:val="24"/>
              </w:rPr>
            </w:pPr>
            <w:r w:rsidRPr="00B34368">
              <w:rPr>
                <w:rFonts w:eastAsiaTheme="minorEastAsia"/>
                <w:color w:val="000000" w:themeColor="text1"/>
                <w:sz w:val="24"/>
              </w:rPr>
              <w:t>1,995,602.39</w:t>
            </w:r>
          </w:p>
        </w:tc>
        <w:tc>
          <w:tcPr>
            <w:tcW w:w="1757" w:type="dxa"/>
            <w:vAlign w:val="center"/>
          </w:tcPr>
          <w:p w:rsidR="00B007B6" w:rsidRPr="00B34368" w:rsidRDefault="002B0BB7" w:rsidP="00A3193E">
            <w:pPr>
              <w:jc w:val="right"/>
              <w:rPr>
                <w:rFonts w:eastAsiaTheme="minorEastAsia"/>
                <w:color w:val="000000" w:themeColor="text1"/>
                <w:sz w:val="24"/>
              </w:rPr>
            </w:pPr>
            <w:r w:rsidRPr="00B34368">
              <w:rPr>
                <w:rFonts w:eastAsiaTheme="minorEastAsia"/>
                <w:color w:val="000000" w:themeColor="text1"/>
                <w:sz w:val="24"/>
              </w:rPr>
              <w:t>8.88</w:t>
            </w:r>
          </w:p>
        </w:tc>
      </w:tr>
      <w:tr w:rsidR="00B01047" w:rsidTr="00975D18">
        <w:tc>
          <w:tcPr>
            <w:tcW w:w="720" w:type="dxa"/>
            <w:vAlign w:val="center"/>
          </w:tcPr>
          <w:p w:rsidR="00B007B6" w:rsidRPr="00B34368" w:rsidRDefault="002B0BB7"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357" w:type="dxa"/>
            <w:vAlign w:val="center"/>
          </w:tcPr>
          <w:p w:rsidR="00B007B6" w:rsidRPr="00B34368" w:rsidRDefault="002B0BB7" w:rsidP="00A3193E">
            <w:pPr>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694" w:type="dxa"/>
            <w:vAlign w:val="center"/>
          </w:tcPr>
          <w:p w:rsidR="00B007B6" w:rsidRPr="00B34368" w:rsidRDefault="002B0BB7" w:rsidP="00A3193E">
            <w:pPr>
              <w:jc w:val="right"/>
              <w:rPr>
                <w:rFonts w:eastAsiaTheme="minorEastAsia"/>
                <w:color w:val="000000" w:themeColor="text1"/>
                <w:sz w:val="24"/>
              </w:rPr>
            </w:pPr>
            <w:r w:rsidRPr="00B34368">
              <w:rPr>
                <w:rFonts w:eastAsiaTheme="minorEastAsia"/>
                <w:color w:val="000000" w:themeColor="text1"/>
                <w:sz w:val="24"/>
              </w:rPr>
              <w:t>22,482,588.10</w:t>
            </w:r>
          </w:p>
        </w:tc>
        <w:tc>
          <w:tcPr>
            <w:tcW w:w="1757" w:type="dxa"/>
            <w:vAlign w:val="center"/>
          </w:tcPr>
          <w:p w:rsidR="00B007B6" w:rsidRPr="00B34368" w:rsidRDefault="002B0BB7" w:rsidP="00A3193E">
            <w:pPr>
              <w:jc w:val="right"/>
              <w:rPr>
                <w:rFonts w:eastAsiaTheme="minorEastAsia"/>
                <w:color w:val="000000" w:themeColor="text1"/>
                <w:sz w:val="24"/>
              </w:rPr>
            </w:pPr>
            <w:r w:rsidRPr="00B34368">
              <w:rPr>
                <w:rFonts w:eastAsiaTheme="minorEastAsia"/>
                <w:color w:val="000000" w:themeColor="text1"/>
                <w:sz w:val="24"/>
              </w:rPr>
              <w:t>100.00</w:t>
            </w:r>
          </w:p>
        </w:tc>
      </w:tr>
    </w:tbl>
    <w:p w:rsidR="0040218E"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5.2</w:t>
      </w:r>
      <w:r w:rsidRPr="00B34368">
        <w:rPr>
          <w:rFonts w:eastAsiaTheme="minorEastAsia" w:hAnsiTheme="minorEastAsia"/>
          <w:b/>
          <w:color w:val="000000" w:themeColor="text1"/>
          <w:kern w:val="0"/>
          <w:sz w:val="24"/>
        </w:rPr>
        <w:t>期末投资目标基金明细</w:t>
      </w:r>
    </w:p>
    <w:tbl>
      <w:tblPr>
        <w:tblStyle w:val="af2"/>
        <w:tblW w:w="0" w:type="auto"/>
        <w:tblInd w:w="108" w:type="dxa"/>
        <w:tblLook w:val="04A0" w:firstRow="1" w:lastRow="0" w:firstColumn="1" w:lastColumn="0" w:noHBand="0" w:noVBand="1"/>
      </w:tblPr>
      <w:tblGrid>
        <w:gridCol w:w="716"/>
        <w:gridCol w:w="2041"/>
        <w:gridCol w:w="715"/>
        <w:gridCol w:w="1595"/>
        <w:gridCol w:w="1254"/>
        <w:gridCol w:w="1596"/>
        <w:gridCol w:w="1011"/>
      </w:tblGrid>
      <w:tr w:rsidR="00B01047" w:rsidTr="00975D18">
        <w:tc>
          <w:tcPr>
            <w:tcW w:w="1215" w:type="dxa"/>
            <w:vAlign w:val="center"/>
          </w:tcPr>
          <w:p w:rsidR="0040218E" w:rsidRPr="00B34368" w:rsidRDefault="002B0BB7"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216" w:type="dxa"/>
            <w:vAlign w:val="center"/>
          </w:tcPr>
          <w:p w:rsidR="0040218E" w:rsidRPr="00B34368" w:rsidRDefault="002B0BB7"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1216" w:type="dxa"/>
            <w:vAlign w:val="center"/>
          </w:tcPr>
          <w:p w:rsidR="0040218E" w:rsidRPr="00B34368" w:rsidRDefault="002B0BB7"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基金类型</w:t>
            </w:r>
          </w:p>
        </w:tc>
        <w:tc>
          <w:tcPr>
            <w:tcW w:w="1216" w:type="dxa"/>
            <w:vAlign w:val="center"/>
          </w:tcPr>
          <w:p w:rsidR="0040218E" w:rsidRPr="00B34368" w:rsidRDefault="002B0BB7"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运作方式</w:t>
            </w:r>
          </w:p>
        </w:tc>
        <w:tc>
          <w:tcPr>
            <w:tcW w:w="1216" w:type="dxa"/>
            <w:vAlign w:val="center"/>
          </w:tcPr>
          <w:p w:rsidR="0040218E" w:rsidRPr="00B34368" w:rsidRDefault="002B0BB7"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管理人</w:t>
            </w:r>
          </w:p>
        </w:tc>
        <w:tc>
          <w:tcPr>
            <w:tcW w:w="1217" w:type="dxa"/>
            <w:vAlign w:val="center"/>
          </w:tcPr>
          <w:p w:rsidR="0040218E" w:rsidRPr="00B34368" w:rsidRDefault="002B0BB7"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p>
        </w:tc>
        <w:tc>
          <w:tcPr>
            <w:tcW w:w="1217" w:type="dxa"/>
            <w:vAlign w:val="center"/>
          </w:tcPr>
          <w:p w:rsidR="0040218E" w:rsidRPr="00B34368" w:rsidRDefault="002B0BB7"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占基金资产净值比例（</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w:t>
            </w:r>
          </w:p>
        </w:tc>
      </w:tr>
      <w:tr w:rsidR="00B01047">
        <w:tc>
          <w:tcPr>
            <w:tcW w:w="0" w:type="auto"/>
            <w:vAlign w:val="center"/>
          </w:tcPr>
          <w:p w:rsidR="00B01047" w:rsidRDefault="002B0BB7">
            <w:pPr>
              <w:jc w:val="center"/>
            </w:pPr>
            <w:r>
              <w:rPr>
                <w:rFonts w:eastAsiaTheme="minorEastAsia"/>
                <w:color w:val="000000" w:themeColor="text1"/>
                <w:sz w:val="24"/>
              </w:rPr>
              <w:t>1</w:t>
            </w:r>
          </w:p>
        </w:tc>
        <w:tc>
          <w:tcPr>
            <w:tcW w:w="0" w:type="auto"/>
            <w:vAlign w:val="center"/>
          </w:tcPr>
          <w:p w:rsidR="00B01047" w:rsidRDefault="002B0BB7">
            <w:pPr>
              <w:jc w:val="center"/>
            </w:pPr>
            <w:r>
              <w:rPr>
                <w:rFonts w:eastAsiaTheme="minorEastAsia"/>
                <w:color w:val="000000" w:themeColor="text1"/>
                <w:sz w:val="24"/>
              </w:rPr>
              <w:t>易方达深证成指交易型开放式指数证券投资基金</w:t>
            </w:r>
          </w:p>
        </w:tc>
        <w:tc>
          <w:tcPr>
            <w:tcW w:w="0" w:type="auto"/>
            <w:vAlign w:val="center"/>
          </w:tcPr>
          <w:p w:rsidR="00B01047" w:rsidRDefault="002B0BB7">
            <w:pPr>
              <w:jc w:val="center"/>
            </w:pPr>
            <w:r>
              <w:rPr>
                <w:rFonts w:eastAsiaTheme="minorEastAsia"/>
                <w:color w:val="000000" w:themeColor="text1"/>
                <w:sz w:val="24"/>
              </w:rPr>
              <w:t>股票型</w:t>
            </w:r>
          </w:p>
        </w:tc>
        <w:tc>
          <w:tcPr>
            <w:tcW w:w="0" w:type="auto"/>
            <w:vAlign w:val="center"/>
          </w:tcPr>
          <w:p w:rsidR="00B01047" w:rsidRDefault="002B0BB7">
            <w:pPr>
              <w:jc w:val="center"/>
            </w:pPr>
            <w:r>
              <w:rPr>
                <w:rFonts w:eastAsiaTheme="minorEastAsia"/>
                <w:color w:val="000000" w:themeColor="text1"/>
                <w:sz w:val="24"/>
              </w:rPr>
              <w:t>交易型开放式（</w:t>
            </w:r>
            <w:r>
              <w:rPr>
                <w:rFonts w:eastAsiaTheme="minorEastAsia"/>
                <w:color w:val="000000" w:themeColor="text1"/>
                <w:sz w:val="24"/>
              </w:rPr>
              <w:t>ETF</w:t>
            </w:r>
            <w:r>
              <w:rPr>
                <w:rFonts w:eastAsiaTheme="minorEastAsia"/>
                <w:color w:val="000000" w:themeColor="text1"/>
                <w:sz w:val="24"/>
              </w:rPr>
              <w:t>）</w:t>
            </w:r>
          </w:p>
        </w:tc>
        <w:tc>
          <w:tcPr>
            <w:tcW w:w="0" w:type="auto"/>
            <w:vAlign w:val="center"/>
          </w:tcPr>
          <w:p w:rsidR="00B01047" w:rsidRDefault="002B0BB7">
            <w:pPr>
              <w:jc w:val="center"/>
            </w:pPr>
            <w:r>
              <w:rPr>
                <w:rFonts w:eastAsiaTheme="minorEastAsia"/>
                <w:color w:val="000000" w:themeColor="text1"/>
                <w:sz w:val="24"/>
              </w:rPr>
              <w:t>易方达基金管理有限公司</w:t>
            </w:r>
          </w:p>
        </w:tc>
        <w:tc>
          <w:tcPr>
            <w:tcW w:w="0" w:type="auto"/>
            <w:vAlign w:val="center"/>
          </w:tcPr>
          <w:p w:rsidR="00B01047" w:rsidRDefault="002B0BB7">
            <w:pPr>
              <w:jc w:val="right"/>
            </w:pPr>
            <w:r>
              <w:rPr>
                <w:rFonts w:eastAsiaTheme="minorEastAsia"/>
                <w:color w:val="000000" w:themeColor="text1"/>
                <w:sz w:val="24"/>
              </w:rPr>
              <w:t>17,419,636.91</w:t>
            </w:r>
          </w:p>
        </w:tc>
        <w:tc>
          <w:tcPr>
            <w:tcW w:w="0" w:type="auto"/>
            <w:vAlign w:val="center"/>
          </w:tcPr>
          <w:p w:rsidR="00B01047" w:rsidRDefault="002B0BB7">
            <w:pPr>
              <w:jc w:val="right"/>
            </w:pPr>
            <w:r>
              <w:rPr>
                <w:rFonts w:eastAsiaTheme="minorEastAsia"/>
                <w:color w:val="000000" w:themeColor="text1"/>
                <w:sz w:val="24"/>
              </w:rPr>
              <w:t>91.12</w:t>
            </w:r>
          </w:p>
        </w:tc>
      </w:tr>
    </w:tbl>
    <w:p w:rsidR="0054389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5.3 </w:t>
      </w:r>
      <w:r w:rsidRPr="00B34368">
        <w:rPr>
          <w:rFonts w:eastAsiaTheme="minorEastAsia" w:hAnsiTheme="minorEastAsia"/>
          <w:b/>
          <w:color w:val="000000" w:themeColor="text1"/>
          <w:kern w:val="0"/>
          <w:sz w:val="24"/>
        </w:rPr>
        <w:t>报告期末按行业分类的股票投资组合</w:t>
      </w:r>
    </w:p>
    <w:p w:rsidR="0054389B" w:rsidRPr="00B34368" w:rsidRDefault="002B0BB7" w:rsidP="0054389B">
      <w:pPr>
        <w:rPr>
          <w:rFonts w:eastAsiaTheme="minorEastAsia"/>
          <w:b/>
          <w:sz w:val="24"/>
        </w:rPr>
      </w:pPr>
      <w:r w:rsidRPr="00B34368">
        <w:rPr>
          <w:rFonts w:eastAsiaTheme="minorEastAsia"/>
          <w:b/>
          <w:color w:val="000000" w:themeColor="text1"/>
          <w:kern w:val="0"/>
          <w:sz w:val="24"/>
        </w:rPr>
        <w:t>5.3.1</w:t>
      </w:r>
      <w:r w:rsidRPr="00B34368">
        <w:rPr>
          <w:rFonts w:eastAsiaTheme="minorEastAsia" w:hAnsiTheme="minorEastAsia"/>
          <w:b/>
          <w:color w:val="000000" w:themeColor="text1"/>
          <w:kern w:val="0"/>
          <w:sz w:val="24"/>
        </w:rPr>
        <w:t>报告期末按行业分类的境内股票投资组合</w:t>
      </w:r>
    </w:p>
    <w:p w:rsidR="009238DB"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本基金本报告期末未持有境内股票。</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5.4 </w:t>
      </w:r>
      <w:r w:rsidRPr="00B34368">
        <w:rPr>
          <w:rFonts w:eastAsiaTheme="minorEastAsia" w:hAnsiTheme="minorEastAsia"/>
          <w:b/>
          <w:color w:val="000000" w:themeColor="text1"/>
          <w:kern w:val="0"/>
          <w:sz w:val="24"/>
        </w:rPr>
        <w:t>报告期末按公允价值占基金资产净值比例大小排序的前十名股票投资明细</w:t>
      </w:r>
    </w:p>
    <w:p w:rsidR="009238DB"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本基金本报告期末未持有股票。</w:t>
      </w:r>
    </w:p>
    <w:p w:rsidR="00F21B6D"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5.5 </w:t>
      </w:r>
      <w:r w:rsidRPr="00B34368">
        <w:rPr>
          <w:rFonts w:eastAsiaTheme="minorEastAsia" w:hAnsiTheme="minorEastAsia"/>
          <w:b/>
          <w:color w:val="000000" w:themeColor="text1"/>
          <w:kern w:val="0"/>
          <w:sz w:val="24"/>
        </w:rPr>
        <w:t>报告期末按债券品种分类的债券投资组合</w:t>
      </w:r>
    </w:p>
    <w:p w:rsidR="009238DB"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本基金本报告期末未持有债券。</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5.6 </w:t>
      </w:r>
      <w:r w:rsidRPr="00B34368">
        <w:rPr>
          <w:rFonts w:eastAsiaTheme="minorEastAsia" w:hAnsiTheme="minorEastAsia"/>
          <w:b/>
          <w:color w:val="000000" w:themeColor="text1"/>
          <w:kern w:val="0"/>
          <w:sz w:val="24"/>
        </w:rPr>
        <w:t>报告期末按公允价值占基金资产净值比例大小排序的前五名债券投资明细</w:t>
      </w:r>
    </w:p>
    <w:p w:rsidR="009238DB"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本基金本报告期末未持有债券。</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5.7</w:t>
      </w:r>
      <w:r w:rsidRPr="00B34368">
        <w:rPr>
          <w:rFonts w:eastAsiaTheme="minorEastAsia" w:hAnsiTheme="minorEastAsia"/>
          <w:b/>
          <w:color w:val="000000" w:themeColor="text1"/>
          <w:kern w:val="0"/>
          <w:sz w:val="24"/>
        </w:rPr>
        <w:t xml:space="preserve">　报告期末按公允价值占基金资产净值比例大小排序的前十名资产支持证券投资明细</w:t>
      </w:r>
    </w:p>
    <w:p w:rsidR="009238DB"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本基金本报告期末未持有资产支持证券。</w:t>
      </w:r>
    </w:p>
    <w:p w:rsidR="00E15FD1" w:rsidRPr="00B34368" w:rsidRDefault="002B0BB7"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 xml:space="preserve">5.8 </w:t>
      </w:r>
      <w:r w:rsidRPr="00B34368">
        <w:rPr>
          <w:rFonts w:eastAsiaTheme="minorEastAsia" w:hAnsiTheme="minorEastAsia"/>
          <w:b/>
          <w:bCs/>
          <w:color w:val="000000" w:themeColor="text1"/>
          <w:kern w:val="0"/>
          <w:sz w:val="24"/>
        </w:rPr>
        <w:t>报告期末按公允价值占基金资产净值比例大小排序的前五名贵金属投资明细</w:t>
      </w:r>
    </w:p>
    <w:p w:rsidR="00E15FD1" w:rsidRPr="00B34368" w:rsidRDefault="002B0BB7" w:rsidP="00B34368">
      <w:pPr>
        <w:widowControl/>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本基金本报告期末未持有贵金属。</w:t>
      </w:r>
    </w:p>
    <w:p w:rsidR="009238DB"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5.9 </w:t>
      </w:r>
      <w:r w:rsidRPr="00B34368">
        <w:rPr>
          <w:rFonts w:eastAsiaTheme="minorEastAsia" w:hAnsiTheme="minorEastAsia"/>
          <w:b/>
          <w:color w:val="000000" w:themeColor="text1"/>
          <w:kern w:val="0"/>
          <w:sz w:val="24"/>
        </w:rPr>
        <w:t>报告</w:t>
      </w:r>
      <w:r w:rsidRPr="00B34368">
        <w:rPr>
          <w:rFonts w:eastAsiaTheme="minorEastAsia" w:hAnsiTheme="minorEastAsia"/>
          <w:b/>
          <w:bCs/>
          <w:color w:val="000000" w:themeColor="text1"/>
          <w:kern w:val="0"/>
          <w:sz w:val="24"/>
        </w:rPr>
        <w:t>期末</w:t>
      </w:r>
      <w:r w:rsidRPr="00B34368">
        <w:rPr>
          <w:rFonts w:eastAsiaTheme="minorEastAsia" w:hAnsiTheme="minorEastAsia"/>
          <w:b/>
          <w:color w:val="000000" w:themeColor="text1"/>
          <w:kern w:val="0"/>
          <w:sz w:val="24"/>
        </w:rPr>
        <w:t>按公允价值占基金资产净值比例大小排序的前五名权证投资明细</w:t>
      </w:r>
    </w:p>
    <w:p w:rsidR="001D5CD0"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本基金本报告期末未持有权证。</w:t>
      </w:r>
    </w:p>
    <w:p w:rsidR="001D5CD0" w:rsidRPr="00B34368" w:rsidRDefault="002B0BB7" w:rsidP="00C544B8">
      <w:pPr>
        <w:autoSpaceDE w:val="0"/>
        <w:autoSpaceDN w:val="0"/>
        <w:adjustRightInd w:val="0"/>
        <w:spacing w:beforeLines="100" w:before="312" w:line="360" w:lineRule="auto"/>
        <w:jc w:val="left"/>
        <w:rPr>
          <w:rFonts w:eastAsiaTheme="minorEastAsia"/>
          <w:b/>
          <w:color w:val="000000" w:themeColor="text1"/>
          <w:sz w:val="24"/>
        </w:rPr>
      </w:pPr>
      <w:r w:rsidRPr="00B34368">
        <w:rPr>
          <w:rFonts w:eastAsiaTheme="minorEastAsia"/>
          <w:b/>
          <w:color w:val="000000" w:themeColor="text1"/>
          <w:sz w:val="24"/>
        </w:rPr>
        <w:t xml:space="preserve">5.10 </w:t>
      </w:r>
      <w:r w:rsidRPr="00B34368">
        <w:rPr>
          <w:rFonts w:eastAsiaTheme="minorEastAsia" w:hAnsiTheme="minorEastAsia"/>
          <w:b/>
          <w:color w:val="000000" w:themeColor="text1"/>
          <w:sz w:val="24"/>
        </w:rPr>
        <w:t>报告期末本基金投资的股指期货交易情况说明</w:t>
      </w:r>
    </w:p>
    <w:p w:rsidR="001D5CD0"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本基金本报告期末未投资股指期货。</w:t>
      </w:r>
    </w:p>
    <w:p w:rsidR="001D5CD0" w:rsidRPr="00B34368" w:rsidRDefault="002B0BB7"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5.11</w:t>
      </w:r>
      <w:r w:rsidRPr="00B34368">
        <w:rPr>
          <w:rFonts w:eastAsiaTheme="minorEastAsia" w:hAnsiTheme="minorEastAsia"/>
          <w:b/>
          <w:color w:val="000000" w:themeColor="text1"/>
          <w:sz w:val="24"/>
        </w:rPr>
        <w:t>报告期末本基金投资的国债期货交易情况说明</w:t>
      </w:r>
    </w:p>
    <w:p w:rsidR="001D5CD0"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本基金本报告期末未投资国债期货。</w:t>
      </w:r>
    </w:p>
    <w:p w:rsidR="001D5CD0"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w:t>
      </w:r>
      <w:r w:rsidRPr="00B34368">
        <w:rPr>
          <w:rFonts w:eastAsiaTheme="minorEastAsia" w:hAnsiTheme="minorEastAsia"/>
          <w:b/>
          <w:color w:val="000000" w:themeColor="text1"/>
          <w:kern w:val="0"/>
          <w:sz w:val="24"/>
        </w:rPr>
        <w:t>投资组合报告附注</w:t>
      </w:r>
    </w:p>
    <w:p w:rsidR="000C3452" w:rsidRPr="00B34368" w:rsidRDefault="002B0BB7"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5.12.1</w:t>
      </w:r>
      <w:r w:rsidRPr="00B34368">
        <w:rPr>
          <w:rFonts w:eastAsiaTheme="minorEastAsia"/>
          <w:color w:val="000000" w:themeColor="text1"/>
          <w:sz w:val="24"/>
        </w:rPr>
        <w:t>本基金投资的前十名证券的发行主体本期没有出现被监管部门立案调查，或在报告编制日前一年内受到公开谴责、处罚的情形。</w:t>
      </w:r>
    </w:p>
    <w:p w:rsidR="000C3452" w:rsidRPr="00B34368" w:rsidRDefault="002B0BB7"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5.12.2</w:t>
      </w:r>
      <w:r w:rsidR="001A018A" w:rsidRPr="004D7A8D">
        <w:rPr>
          <w:rFonts w:eastAsiaTheme="minorEastAsia" w:hint="eastAsia"/>
          <w:color w:val="000000" w:themeColor="text1"/>
          <w:sz w:val="24"/>
        </w:rPr>
        <w:t>本基金本报告期末未持有股票，不存在投资的前十名股票超出基金合同规定的备选股票库情况。</w:t>
      </w:r>
    </w:p>
    <w:p w:rsidR="001D5CD0" w:rsidRPr="00B34368" w:rsidRDefault="002B0BB7" w:rsidP="001D5CD0">
      <w:pPr>
        <w:autoSpaceDE w:val="0"/>
        <w:autoSpaceDN w:val="0"/>
        <w:adjustRightInd w:val="0"/>
        <w:spacing w:line="360" w:lineRule="auto"/>
        <w:rPr>
          <w:rFonts w:eastAsiaTheme="minorEastAsia"/>
          <w:b/>
          <w:color w:val="000000" w:themeColor="text1"/>
          <w:kern w:val="0"/>
          <w:sz w:val="24"/>
        </w:rPr>
      </w:pPr>
      <w:r w:rsidRPr="00B34368">
        <w:rPr>
          <w:rFonts w:eastAsiaTheme="minorEastAsia"/>
          <w:b/>
          <w:color w:val="000000" w:themeColor="text1"/>
          <w:kern w:val="0"/>
          <w:sz w:val="24"/>
        </w:rPr>
        <w:t>5.12.3</w:t>
      </w:r>
      <w:r w:rsidRPr="00B34368">
        <w:rPr>
          <w:rFonts w:eastAsiaTheme="minorEastAsia" w:hAnsiTheme="minorEastAsia"/>
          <w:b/>
          <w:color w:val="000000" w:themeColor="text1"/>
          <w:kern w:val="0"/>
          <w:sz w:val="24"/>
        </w:rPr>
        <w:t>其他各项资产构成</w:t>
      </w:r>
    </w:p>
    <w:tbl>
      <w:tblPr>
        <w:tblStyle w:val="af2"/>
        <w:tblW w:w="0" w:type="auto"/>
        <w:tblInd w:w="108" w:type="dxa"/>
        <w:tblLook w:val="04A0" w:firstRow="1" w:lastRow="0" w:firstColumn="1" w:lastColumn="0" w:noHBand="0" w:noVBand="1"/>
      </w:tblPr>
      <w:tblGrid>
        <w:gridCol w:w="944"/>
        <w:gridCol w:w="2761"/>
        <w:gridCol w:w="4808"/>
      </w:tblGrid>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2761" w:type="dxa"/>
            <w:vAlign w:val="center"/>
          </w:tcPr>
          <w:p w:rsidR="001D5CD0" w:rsidRPr="00B34368" w:rsidRDefault="002B0BB7"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名称</w:t>
            </w:r>
          </w:p>
        </w:tc>
        <w:tc>
          <w:tcPr>
            <w:tcW w:w="4808" w:type="dxa"/>
            <w:vAlign w:val="center"/>
          </w:tcPr>
          <w:p w:rsidR="001D5CD0" w:rsidRPr="00B34368" w:rsidRDefault="002B0BB7"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金额</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color w:val="000000" w:themeColor="text1"/>
                <w:sz w:val="24"/>
              </w:rPr>
              <w:t>1</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存出保证金</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6,877.50</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2</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应收证券清算款</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1,988,442.85</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3</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应收股利</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4</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应收利息</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282.04</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5</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应收申购款</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6</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其他应收款</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7</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sz w:val="24"/>
              </w:rPr>
            </w:pPr>
            <w:r w:rsidRPr="00B34368">
              <w:rPr>
                <w:rFonts w:eastAsiaTheme="minorEastAsia" w:hAnsiTheme="minorEastAsia"/>
                <w:color w:val="000000" w:themeColor="text1"/>
                <w:sz w:val="24"/>
              </w:rPr>
              <w:t>待摊费用</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8</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B01047" w:rsidTr="00975D18">
        <w:tc>
          <w:tcPr>
            <w:tcW w:w="944" w:type="dxa"/>
            <w:vAlign w:val="center"/>
          </w:tcPr>
          <w:p w:rsidR="001D5CD0" w:rsidRPr="00B34368" w:rsidRDefault="002B0BB7"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9</w:t>
            </w:r>
          </w:p>
        </w:tc>
        <w:tc>
          <w:tcPr>
            <w:tcW w:w="2761" w:type="dxa"/>
            <w:vAlign w:val="center"/>
          </w:tcPr>
          <w:p w:rsidR="001D5CD0" w:rsidRPr="00B34368" w:rsidRDefault="002B0BB7"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合计</w:t>
            </w:r>
          </w:p>
        </w:tc>
        <w:tc>
          <w:tcPr>
            <w:tcW w:w="4808" w:type="dxa"/>
            <w:vAlign w:val="center"/>
          </w:tcPr>
          <w:p w:rsidR="001D5CD0" w:rsidRPr="00B34368" w:rsidRDefault="002B0BB7"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1,995,602.39</w:t>
            </w:r>
          </w:p>
        </w:tc>
      </w:tr>
    </w:tbl>
    <w:p w:rsidR="001D5CD0" w:rsidRPr="00B34368" w:rsidRDefault="002B0BB7"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5.12.4</w:t>
      </w:r>
      <w:r w:rsidRPr="00B34368">
        <w:rPr>
          <w:rFonts w:eastAsiaTheme="minorEastAsia" w:hAnsiTheme="minorEastAsia"/>
          <w:b/>
          <w:color w:val="000000" w:themeColor="text1"/>
          <w:kern w:val="0"/>
          <w:sz w:val="24"/>
        </w:rPr>
        <w:t>报告期末持有的处于转股期的可转换债券明细</w:t>
      </w:r>
    </w:p>
    <w:p w:rsidR="001D5CD0"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本基金本报告期末未持有处于转股期的可转换债券。</w:t>
      </w:r>
    </w:p>
    <w:p w:rsidR="001D5CD0" w:rsidRPr="00B34368" w:rsidRDefault="002B0BB7" w:rsidP="00C544B8">
      <w:pPr>
        <w:autoSpaceDE w:val="0"/>
        <w:autoSpaceDN w:val="0"/>
        <w:adjustRightInd w:val="0"/>
        <w:spacing w:beforeLines="100" w:before="312" w:line="360" w:lineRule="auto"/>
        <w:jc w:val="left"/>
        <w:rPr>
          <w:rFonts w:eastAsiaTheme="minorEastAsia"/>
          <w:b/>
          <w:bCs/>
          <w:color w:val="000000" w:themeColor="text1"/>
          <w:sz w:val="24"/>
        </w:rPr>
      </w:pPr>
      <w:r w:rsidRPr="00B34368">
        <w:rPr>
          <w:rFonts w:eastAsiaTheme="minorEastAsia"/>
          <w:b/>
          <w:color w:val="000000" w:themeColor="text1"/>
          <w:kern w:val="0"/>
          <w:sz w:val="24"/>
        </w:rPr>
        <w:t>5.12.5</w:t>
      </w:r>
      <w:r w:rsidRPr="00B34368">
        <w:rPr>
          <w:rFonts w:eastAsiaTheme="minorEastAsia" w:hAnsiTheme="minorEastAsia"/>
          <w:b/>
          <w:bCs/>
          <w:color w:val="000000" w:themeColor="text1"/>
          <w:sz w:val="24"/>
        </w:rPr>
        <w:t>报告期末前十名股票中存在流通受限情况的说明</w:t>
      </w:r>
    </w:p>
    <w:p w:rsidR="001D5CD0"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本基金本报告期末未持有股票。</w:t>
      </w:r>
    </w:p>
    <w:p w:rsidR="009238DB" w:rsidRPr="00B34368" w:rsidRDefault="002B0BB7"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§6  </w:t>
      </w:r>
      <w:r w:rsidRPr="00B34368">
        <w:rPr>
          <w:rFonts w:eastAsiaTheme="minorEastAsia" w:hAnsiTheme="minorEastAsia"/>
          <w:color w:val="000000" w:themeColor="text1"/>
          <w:kern w:val="0"/>
          <w:sz w:val="24"/>
          <w:szCs w:val="24"/>
        </w:rPr>
        <w:t>开放式基金份额变动</w:t>
      </w:r>
    </w:p>
    <w:p w:rsidR="009238DB" w:rsidRPr="00B34368" w:rsidRDefault="002B0BB7"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900"/>
        <w:gridCol w:w="2367"/>
        <w:gridCol w:w="2367"/>
      </w:tblGrid>
      <w:tr w:rsidR="00B01047"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B84643">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易方达深证成指</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B01047"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28,387,841.35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5,116,152.60</w:t>
            </w:r>
          </w:p>
        </w:tc>
      </w:tr>
      <w:tr w:rsidR="00B01047"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Pr="00B34368">
              <w:rPr>
                <w:rFonts w:eastAsiaTheme="minorEastAsia" w:hAnsi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8,127,295.29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54,247,163.96</w:t>
            </w:r>
          </w:p>
        </w:tc>
      </w:tr>
      <w:tr w:rsidR="00B01047"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减：</w:t>
            </w:r>
            <w:r w:rsidRPr="00B34368">
              <w:rPr>
                <w:rFonts w:eastAsiaTheme="minorEastAsia"/>
                <w:color w:val="000000" w:themeColor="text1"/>
                <w:kern w:val="0"/>
                <w:sz w:val="24"/>
              </w:rPr>
              <w:t>本报告期</w:t>
            </w:r>
            <w:r w:rsidRPr="00B34368">
              <w:rPr>
                <w:rFonts w:eastAsiaTheme="minorEastAsia" w:hAnsi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18,859,272.57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57,383,769.52</w:t>
            </w:r>
          </w:p>
        </w:tc>
      </w:tr>
      <w:tr w:rsidR="00B01047"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Pr="00B34368">
              <w:rPr>
                <w:rFonts w:eastAsiaTheme="minorEastAsia" w:hAnsiTheme="minorEastAsia"/>
                <w:color w:val="000000" w:themeColor="text1"/>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B01047"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B57BCF">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17,655,864.07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2B0BB7"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1,979,547.04</w:t>
            </w:r>
          </w:p>
        </w:tc>
      </w:tr>
    </w:tbl>
    <w:p w:rsidR="00FB3C94"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27</w:t>
      </w:r>
      <w:r w:rsidRPr="00B34368">
        <w:rPr>
          <w:rFonts w:eastAsiaTheme="minorEastAsia"/>
          <w:color w:val="000000" w:themeColor="text1"/>
          <w:sz w:val="24"/>
        </w:rPr>
        <w:t>日起，本基金进入清算程序，本报告期的相关数据按实际存续期计算。</w:t>
      </w:r>
    </w:p>
    <w:p w:rsidR="00617125" w:rsidRPr="00B34368" w:rsidRDefault="002B0BB7" w:rsidP="00C544B8">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B34368">
        <w:rPr>
          <w:rFonts w:eastAsiaTheme="minorEastAsia"/>
          <w:color w:val="000000" w:themeColor="text1"/>
          <w:kern w:val="0"/>
          <w:sz w:val="24"/>
          <w:szCs w:val="24"/>
        </w:rPr>
        <w:t xml:space="preserve">§7  </w:t>
      </w:r>
      <w:r w:rsidRPr="00B34368">
        <w:rPr>
          <w:rFonts w:eastAsiaTheme="minorEastAsia" w:hAnsiTheme="minorEastAsia"/>
          <w:color w:val="000000" w:themeColor="text1"/>
          <w:sz w:val="24"/>
          <w:szCs w:val="24"/>
        </w:rPr>
        <w:t>基金管理人运用固有资金投资本基金情况</w:t>
      </w:r>
    </w:p>
    <w:p w:rsidR="00617125" w:rsidRPr="00B34368" w:rsidRDefault="002B0BB7" w:rsidP="00617125">
      <w:pPr>
        <w:spacing w:line="360" w:lineRule="auto"/>
        <w:jc w:val="left"/>
        <w:rPr>
          <w:rFonts w:eastAsiaTheme="minorEastAsia"/>
          <w:color w:val="000000" w:themeColor="text1"/>
          <w:sz w:val="24"/>
        </w:rPr>
      </w:pPr>
      <w:r w:rsidRPr="00B34368">
        <w:rPr>
          <w:rFonts w:eastAsiaTheme="minorEastAsia"/>
          <w:b/>
          <w:color w:val="000000" w:themeColor="text1"/>
          <w:sz w:val="24"/>
        </w:rPr>
        <w:t xml:space="preserve">7.1 </w:t>
      </w:r>
      <w:r w:rsidRPr="00B34368">
        <w:rPr>
          <w:rFonts w:eastAsiaTheme="minorEastAsia" w:hAnsiTheme="minorEastAsia"/>
          <w:b/>
          <w:color w:val="000000" w:themeColor="text1"/>
          <w:sz w:val="24"/>
        </w:rPr>
        <w:t>基金管理人持有本基金份额变动情况</w:t>
      </w:r>
    </w:p>
    <w:p w:rsidR="00617125"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DF18FE">
        <w:rPr>
          <w:color w:val="000000"/>
          <w:sz w:val="24"/>
        </w:rPr>
        <w:t>本报告期内基金管理人未持有本基金份额。</w:t>
      </w:r>
    </w:p>
    <w:p w:rsidR="00617125" w:rsidRPr="00B34368" w:rsidRDefault="002B0BB7" w:rsidP="00C544B8">
      <w:pPr>
        <w:spacing w:beforeLines="100" w:before="312" w:line="360" w:lineRule="auto"/>
        <w:jc w:val="left"/>
        <w:rPr>
          <w:rFonts w:eastAsiaTheme="minorEastAsia"/>
          <w:color w:val="000000" w:themeColor="text1"/>
          <w:sz w:val="24"/>
        </w:rPr>
      </w:pPr>
      <w:r w:rsidRPr="00B34368">
        <w:rPr>
          <w:rFonts w:eastAsiaTheme="minorEastAsia"/>
          <w:b/>
          <w:color w:val="000000" w:themeColor="text1"/>
          <w:sz w:val="24"/>
        </w:rPr>
        <w:t xml:space="preserve">7.2 </w:t>
      </w:r>
      <w:r w:rsidRPr="00B34368">
        <w:rPr>
          <w:rFonts w:eastAsiaTheme="minorEastAsia" w:hAnsiTheme="minorEastAsia"/>
          <w:b/>
          <w:color w:val="000000" w:themeColor="text1"/>
          <w:sz w:val="24"/>
        </w:rPr>
        <w:t>基金管理人运用固有资金投资本基金交易明细</w:t>
      </w:r>
    </w:p>
    <w:p w:rsidR="00617125" w:rsidRPr="00B34368" w:rsidRDefault="002B0BB7"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本报告期内基金管理人未运用固有资金申购、赎回、买卖本基金份额。</w:t>
      </w:r>
    </w:p>
    <w:p w:rsidR="00024FB8" w:rsidRPr="007E75F6" w:rsidRDefault="002B0BB7" w:rsidP="00024FB8">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B34368">
        <w:rPr>
          <w:rFonts w:eastAsiaTheme="minorEastAsia"/>
          <w:color w:val="000000" w:themeColor="text1"/>
          <w:kern w:val="0"/>
          <w:sz w:val="24"/>
          <w:szCs w:val="24"/>
        </w:rPr>
        <w:t xml:space="preserve">  </w:t>
      </w:r>
      <w:r w:rsidRPr="007E75F6">
        <w:rPr>
          <w:rFonts w:eastAsiaTheme="minorEastAsia"/>
          <w:color w:val="000000" w:themeColor="text1"/>
          <w:kern w:val="0"/>
          <w:sz w:val="24"/>
          <w:szCs w:val="24"/>
        </w:rPr>
        <w:t>影响投资者决策的其他重要信息</w:t>
      </w:r>
    </w:p>
    <w:p w:rsidR="006D3BC4" w:rsidRPr="001F5F5D" w:rsidRDefault="002B0BB7" w:rsidP="006D3BC4">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8.1 报告期内单一投资者持有基金份额比例达到或超过20%的情况</w:t>
      </w:r>
    </w:p>
    <w:tbl>
      <w:tblPr>
        <w:tblStyle w:val="a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B01047" w:rsidTr="00CD72D6">
        <w:trPr>
          <w:jc w:val="center"/>
        </w:trPr>
        <w:tc>
          <w:tcPr>
            <w:tcW w:w="709" w:type="dxa"/>
            <w:vMerge w:val="restart"/>
            <w:vAlign w:val="center"/>
          </w:tcPr>
          <w:p w:rsidR="006D3BC4" w:rsidRPr="00FC0759" w:rsidRDefault="002B0BB7" w:rsidP="00CD72D6">
            <w:pPr>
              <w:autoSpaceDE w:val="0"/>
              <w:autoSpaceDN w:val="0"/>
              <w:adjustRightInd w:val="0"/>
              <w:jc w:val="center"/>
              <w:rPr>
                <w:rFonts w:eastAsiaTheme="minorEastAsia"/>
                <w:b/>
                <w:bCs/>
                <w:color w:val="000000" w:themeColor="text1"/>
                <w:sz w:val="24"/>
              </w:rPr>
            </w:pPr>
            <w:r w:rsidRPr="00FC0759">
              <w:rPr>
                <w:color w:val="000000"/>
                <w:sz w:val="24"/>
              </w:rPr>
              <w:t>投资者类别</w:t>
            </w:r>
          </w:p>
        </w:tc>
        <w:tc>
          <w:tcPr>
            <w:tcW w:w="6663" w:type="dxa"/>
            <w:gridSpan w:val="5"/>
            <w:vAlign w:val="center"/>
          </w:tcPr>
          <w:p w:rsidR="006D3BC4" w:rsidRPr="00FC0759" w:rsidRDefault="002B0BB7" w:rsidP="00CD72D6">
            <w:pPr>
              <w:autoSpaceDE w:val="0"/>
              <w:autoSpaceDN w:val="0"/>
              <w:adjustRightInd w:val="0"/>
              <w:ind w:firstLine="1126"/>
              <w:jc w:val="center"/>
              <w:rPr>
                <w:rFonts w:eastAsiaTheme="minorEastAsia"/>
                <w:b/>
                <w:bCs/>
                <w:color w:val="000000" w:themeColor="text1"/>
                <w:sz w:val="24"/>
              </w:rPr>
            </w:pPr>
            <w:r w:rsidRPr="00FC0759">
              <w:rPr>
                <w:color w:val="000000"/>
                <w:sz w:val="24"/>
              </w:rPr>
              <w:t>报告期内持有基金份额变化情况</w:t>
            </w:r>
          </w:p>
        </w:tc>
        <w:tc>
          <w:tcPr>
            <w:tcW w:w="2268" w:type="dxa"/>
            <w:gridSpan w:val="2"/>
            <w:vAlign w:val="center"/>
          </w:tcPr>
          <w:p w:rsidR="006D3BC4" w:rsidRPr="00FC0759" w:rsidRDefault="002B0BB7" w:rsidP="00CD72D6">
            <w:pPr>
              <w:autoSpaceDE w:val="0"/>
              <w:autoSpaceDN w:val="0"/>
              <w:adjustRightInd w:val="0"/>
              <w:jc w:val="center"/>
              <w:rPr>
                <w:rFonts w:eastAsiaTheme="minorEastAsia"/>
                <w:b/>
                <w:bCs/>
                <w:color w:val="000000" w:themeColor="text1"/>
                <w:sz w:val="24"/>
              </w:rPr>
            </w:pPr>
            <w:r w:rsidRPr="00FC0759">
              <w:rPr>
                <w:color w:val="000000"/>
                <w:sz w:val="24"/>
              </w:rPr>
              <w:t>报告期末持有基金情况</w:t>
            </w:r>
          </w:p>
        </w:tc>
      </w:tr>
      <w:tr w:rsidR="00B01047" w:rsidTr="00CD72D6">
        <w:trPr>
          <w:jc w:val="center"/>
        </w:trPr>
        <w:tc>
          <w:tcPr>
            <w:tcW w:w="709" w:type="dxa"/>
            <w:vMerge/>
            <w:vAlign w:val="center"/>
          </w:tcPr>
          <w:p w:rsidR="006D3BC4" w:rsidRPr="00FC0759" w:rsidRDefault="006634A8" w:rsidP="00CD72D6">
            <w:pPr>
              <w:autoSpaceDE w:val="0"/>
              <w:autoSpaceDN w:val="0"/>
              <w:adjustRightInd w:val="0"/>
              <w:ind w:firstLine="1234"/>
              <w:jc w:val="center"/>
              <w:rPr>
                <w:rFonts w:eastAsiaTheme="minorEastAsia"/>
                <w:b/>
                <w:bCs/>
                <w:color w:val="000000" w:themeColor="text1"/>
                <w:sz w:val="24"/>
              </w:rPr>
            </w:pPr>
          </w:p>
        </w:tc>
        <w:tc>
          <w:tcPr>
            <w:tcW w:w="709" w:type="dxa"/>
            <w:vAlign w:val="center"/>
          </w:tcPr>
          <w:p w:rsidR="006D3BC4" w:rsidRPr="00FC0759" w:rsidRDefault="002B0BB7" w:rsidP="00CD72D6">
            <w:pPr>
              <w:autoSpaceDE w:val="0"/>
              <w:autoSpaceDN w:val="0"/>
              <w:adjustRightInd w:val="0"/>
              <w:jc w:val="center"/>
              <w:rPr>
                <w:rFonts w:eastAsiaTheme="minorEastAsia"/>
                <w:b/>
                <w:bCs/>
                <w:color w:val="000000" w:themeColor="text1"/>
                <w:sz w:val="24"/>
              </w:rPr>
            </w:pPr>
            <w:r w:rsidRPr="00FC0759">
              <w:rPr>
                <w:color w:val="000000"/>
                <w:sz w:val="24"/>
              </w:rPr>
              <w:t>序号</w:t>
            </w:r>
          </w:p>
        </w:tc>
        <w:tc>
          <w:tcPr>
            <w:tcW w:w="2126" w:type="dxa"/>
            <w:vAlign w:val="center"/>
          </w:tcPr>
          <w:p w:rsidR="006D3BC4" w:rsidRPr="00FC0759" w:rsidRDefault="002B0BB7" w:rsidP="00CD72D6">
            <w:pPr>
              <w:autoSpaceDE w:val="0"/>
              <w:autoSpaceDN w:val="0"/>
              <w:adjustRightInd w:val="0"/>
              <w:jc w:val="center"/>
              <w:rPr>
                <w:rFonts w:eastAsiaTheme="minorEastAsia"/>
                <w:b/>
                <w:bCs/>
                <w:color w:val="000000" w:themeColor="text1"/>
                <w:sz w:val="24"/>
              </w:rPr>
            </w:pPr>
            <w:r w:rsidRPr="00FC0759">
              <w:rPr>
                <w:color w:val="000000"/>
                <w:sz w:val="24"/>
              </w:rPr>
              <w:t>持有基金份额比例达到或者超过</w:t>
            </w:r>
            <w:r w:rsidRPr="00FC0759">
              <w:rPr>
                <w:color w:val="000000"/>
                <w:sz w:val="24"/>
              </w:rPr>
              <w:t>20%</w:t>
            </w:r>
            <w:r w:rsidRPr="00FC0759">
              <w:rPr>
                <w:color w:val="000000"/>
                <w:sz w:val="24"/>
              </w:rPr>
              <w:t>的时间区间</w:t>
            </w:r>
          </w:p>
        </w:tc>
        <w:tc>
          <w:tcPr>
            <w:tcW w:w="1276" w:type="dxa"/>
            <w:vAlign w:val="center"/>
          </w:tcPr>
          <w:p w:rsidR="006D3BC4" w:rsidRPr="00FC0759" w:rsidRDefault="002B0BB7" w:rsidP="00CD72D6">
            <w:pPr>
              <w:widowControl/>
              <w:rPr>
                <w:rFonts w:eastAsiaTheme="minorEastAsia"/>
                <w:b/>
                <w:bCs/>
                <w:color w:val="000000" w:themeColor="text1"/>
                <w:sz w:val="24"/>
              </w:rPr>
            </w:pPr>
            <w:r w:rsidRPr="00FC0759">
              <w:rPr>
                <w:color w:val="000000"/>
                <w:sz w:val="24"/>
              </w:rPr>
              <w:t>期初份额</w:t>
            </w:r>
          </w:p>
        </w:tc>
        <w:tc>
          <w:tcPr>
            <w:tcW w:w="1276" w:type="dxa"/>
            <w:vAlign w:val="center"/>
          </w:tcPr>
          <w:p w:rsidR="006D3BC4" w:rsidRPr="00FC0759" w:rsidRDefault="002B0BB7" w:rsidP="00CD72D6">
            <w:pPr>
              <w:widowControl/>
              <w:rPr>
                <w:rFonts w:eastAsiaTheme="minorEastAsia"/>
                <w:b/>
                <w:bCs/>
                <w:color w:val="000000" w:themeColor="text1"/>
                <w:sz w:val="24"/>
              </w:rPr>
            </w:pPr>
            <w:r w:rsidRPr="00FC0759">
              <w:rPr>
                <w:color w:val="000000"/>
                <w:sz w:val="24"/>
              </w:rPr>
              <w:t>申购份额</w:t>
            </w:r>
          </w:p>
        </w:tc>
        <w:tc>
          <w:tcPr>
            <w:tcW w:w="1276" w:type="dxa"/>
            <w:vAlign w:val="center"/>
          </w:tcPr>
          <w:p w:rsidR="006D3BC4" w:rsidRPr="00FC0759" w:rsidRDefault="002B0BB7" w:rsidP="00CD72D6">
            <w:pPr>
              <w:widowControl/>
              <w:rPr>
                <w:rFonts w:eastAsiaTheme="minorEastAsia"/>
                <w:b/>
                <w:bCs/>
                <w:color w:val="000000" w:themeColor="text1"/>
                <w:sz w:val="24"/>
              </w:rPr>
            </w:pPr>
            <w:r w:rsidRPr="00FC0759">
              <w:rPr>
                <w:color w:val="000000"/>
                <w:sz w:val="24"/>
              </w:rPr>
              <w:t>赎回份额</w:t>
            </w:r>
          </w:p>
        </w:tc>
        <w:tc>
          <w:tcPr>
            <w:tcW w:w="1417" w:type="dxa"/>
            <w:vAlign w:val="center"/>
          </w:tcPr>
          <w:p w:rsidR="006D3BC4" w:rsidRPr="00FC0759" w:rsidRDefault="002B0BB7" w:rsidP="00CD72D6">
            <w:pPr>
              <w:autoSpaceDE w:val="0"/>
              <w:autoSpaceDN w:val="0"/>
              <w:adjustRightInd w:val="0"/>
              <w:jc w:val="center"/>
              <w:rPr>
                <w:rFonts w:eastAsiaTheme="minorEastAsia"/>
                <w:b/>
                <w:bCs/>
                <w:color w:val="000000" w:themeColor="text1"/>
                <w:sz w:val="24"/>
              </w:rPr>
            </w:pPr>
            <w:r w:rsidRPr="00FC0759">
              <w:rPr>
                <w:color w:val="000000"/>
                <w:sz w:val="24"/>
              </w:rPr>
              <w:t>持有份额</w:t>
            </w:r>
          </w:p>
        </w:tc>
        <w:tc>
          <w:tcPr>
            <w:tcW w:w="851" w:type="dxa"/>
            <w:vAlign w:val="center"/>
          </w:tcPr>
          <w:p w:rsidR="006D3BC4" w:rsidRPr="00FC0759" w:rsidRDefault="002B0BB7" w:rsidP="00CD72D6">
            <w:pPr>
              <w:autoSpaceDE w:val="0"/>
              <w:autoSpaceDN w:val="0"/>
              <w:adjustRightInd w:val="0"/>
              <w:jc w:val="center"/>
              <w:rPr>
                <w:rFonts w:eastAsiaTheme="minorEastAsia"/>
                <w:b/>
                <w:bCs/>
                <w:color w:val="000000" w:themeColor="text1"/>
                <w:sz w:val="24"/>
              </w:rPr>
            </w:pPr>
            <w:r w:rsidRPr="00FC0759">
              <w:rPr>
                <w:color w:val="000000"/>
                <w:sz w:val="24"/>
              </w:rPr>
              <w:t>份额占比</w:t>
            </w:r>
          </w:p>
        </w:tc>
      </w:tr>
      <w:tr w:rsidR="00B01047">
        <w:trPr>
          <w:jc w:val="center"/>
        </w:trPr>
        <w:tc>
          <w:tcPr>
            <w:tcW w:w="709" w:type="dxa"/>
            <w:vMerge w:val="restart"/>
            <w:vAlign w:val="center"/>
          </w:tcPr>
          <w:p w:rsidR="00B01047" w:rsidRDefault="002B0BB7">
            <w:r>
              <w:rPr>
                <w:rFonts w:eastAsiaTheme="minorEastAsia"/>
                <w:bCs/>
                <w:color w:val="000000" w:themeColor="text1"/>
                <w:sz w:val="24"/>
              </w:rPr>
              <w:t>机构</w:t>
            </w:r>
          </w:p>
        </w:tc>
        <w:tc>
          <w:tcPr>
            <w:tcW w:w="709" w:type="dxa"/>
            <w:vAlign w:val="center"/>
          </w:tcPr>
          <w:p w:rsidR="00B01047" w:rsidRDefault="002B0BB7">
            <w:pPr>
              <w:jc w:val="center"/>
            </w:pPr>
            <w:r>
              <w:rPr>
                <w:sz w:val="24"/>
              </w:rPr>
              <w:t>1</w:t>
            </w:r>
          </w:p>
        </w:tc>
        <w:tc>
          <w:tcPr>
            <w:tcW w:w="2126" w:type="dxa"/>
            <w:vAlign w:val="center"/>
          </w:tcPr>
          <w:p w:rsidR="00B01047" w:rsidRDefault="002B0BB7">
            <w:pPr>
              <w:jc w:val="center"/>
            </w:pPr>
            <w:r>
              <w:rPr>
                <w:sz w:val="24"/>
              </w:rPr>
              <w:t>2019</w:t>
            </w:r>
            <w:r>
              <w:rPr>
                <w:sz w:val="24"/>
              </w:rPr>
              <w:t>年</w:t>
            </w:r>
            <w:r>
              <w:rPr>
                <w:sz w:val="24"/>
              </w:rPr>
              <w:t>05</w:t>
            </w:r>
            <w:r>
              <w:rPr>
                <w:sz w:val="24"/>
              </w:rPr>
              <w:t>月</w:t>
            </w:r>
            <w:r>
              <w:rPr>
                <w:sz w:val="24"/>
              </w:rPr>
              <w:t>17</w:t>
            </w:r>
            <w:r>
              <w:rPr>
                <w:sz w:val="24"/>
              </w:rPr>
              <w:t>日</w:t>
            </w:r>
            <w:r>
              <w:rPr>
                <w:sz w:val="24"/>
              </w:rPr>
              <w:t>~2019</w:t>
            </w:r>
            <w:r>
              <w:rPr>
                <w:sz w:val="24"/>
              </w:rPr>
              <w:t>年</w:t>
            </w:r>
            <w:r>
              <w:rPr>
                <w:sz w:val="24"/>
              </w:rPr>
              <w:t>05</w:t>
            </w:r>
            <w:r>
              <w:rPr>
                <w:sz w:val="24"/>
              </w:rPr>
              <w:t>月</w:t>
            </w:r>
            <w:r>
              <w:rPr>
                <w:sz w:val="24"/>
              </w:rPr>
              <w:t>26</w:t>
            </w:r>
            <w:r>
              <w:rPr>
                <w:sz w:val="24"/>
              </w:rPr>
              <w:t>日</w:t>
            </w:r>
          </w:p>
        </w:tc>
        <w:tc>
          <w:tcPr>
            <w:tcW w:w="1276" w:type="dxa"/>
            <w:vAlign w:val="center"/>
          </w:tcPr>
          <w:p w:rsidR="00B01047" w:rsidRDefault="002B0BB7">
            <w:pPr>
              <w:jc w:val="center"/>
            </w:pPr>
            <w:r>
              <w:rPr>
                <w:sz w:val="24"/>
              </w:rPr>
              <w:t>-</w:t>
            </w:r>
          </w:p>
        </w:tc>
        <w:tc>
          <w:tcPr>
            <w:tcW w:w="1276" w:type="dxa"/>
            <w:vAlign w:val="center"/>
          </w:tcPr>
          <w:p w:rsidR="00B01047" w:rsidRDefault="002B0BB7">
            <w:pPr>
              <w:jc w:val="center"/>
            </w:pPr>
            <w:r>
              <w:rPr>
                <w:sz w:val="24"/>
              </w:rPr>
              <w:t>29,273,392.58</w:t>
            </w:r>
          </w:p>
        </w:tc>
        <w:tc>
          <w:tcPr>
            <w:tcW w:w="1276" w:type="dxa"/>
            <w:vAlign w:val="center"/>
          </w:tcPr>
          <w:p w:rsidR="00B01047" w:rsidRDefault="002B0BB7">
            <w:pPr>
              <w:jc w:val="center"/>
            </w:pPr>
            <w:r>
              <w:rPr>
                <w:sz w:val="24"/>
              </w:rPr>
              <w:t>29,273,392.58</w:t>
            </w:r>
          </w:p>
        </w:tc>
        <w:tc>
          <w:tcPr>
            <w:tcW w:w="1417" w:type="dxa"/>
            <w:vAlign w:val="center"/>
          </w:tcPr>
          <w:p w:rsidR="00B01047" w:rsidRDefault="002B0BB7">
            <w:pPr>
              <w:jc w:val="center"/>
            </w:pPr>
            <w:r>
              <w:rPr>
                <w:sz w:val="24"/>
              </w:rPr>
              <w:t>-</w:t>
            </w:r>
          </w:p>
        </w:tc>
        <w:tc>
          <w:tcPr>
            <w:tcW w:w="851" w:type="dxa"/>
            <w:vAlign w:val="center"/>
          </w:tcPr>
          <w:p w:rsidR="00B01047" w:rsidRDefault="002B0BB7">
            <w:pPr>
              <w:jc w:val="center"/>
            </w:pPr>
            <w:r>
              <w:rPr>
                <w:sz w:val="24"/>
              </w:rPr>
              <w:t>-</w:t>
            </w:r>
          </w:p>
        </w:tc>
      </w:tr>
      <w:tr w:rsidR="00B01047">
        <w:trPr>
          <w:jc w:val="center"/>
        </w:trPr>
        <w:tc>
          <w:tcPr>
            <w:tcW w:w="709" w:type="dxa"/>
            <w:vMerge/>
          </w:tcPr>
          <w:p w:rsidR="00B01047" w:rsidRDefault="00B01047"/>
        </w:tc>
        <w:tc>
          <w:tcPr>
            <w:tcW w:w="709" w:type="dxa"/>
            <w:vAlign w:val="center"/>
          </w:tcPr>
          <w:p w:rsidR="00B01047" w:rsidRDefault="002B0BB7">
            <w:pPr>
              <w:jc w:val="center"/>
            </w:pPr>
            <w:r>
              <w:rPr>
                <w:sz w:val="24"/>
              </w:rPr>
              <w:t>2</w:t>
            </w:r>
          </w:p>
        </w:tc>
        <w:tc>
          <w:tcPr>
            <w:tcW w:w="2126" w:type="dxa"/>
            <w:vAlign w:val="center"/>
          </w:tcPr>
          <w:p w:rsidR="00B01047" w:rsidRDefault="002B0BB7">
            <w:pPr>
              <w:jc w:val="center"/>
            </w:pPr>
            <w:r>
              <w:rPr>
                <w:sz w:val="24"/>
              </w:rPr>
              <w:t>2019</w:t>
            </w:r>
            <w:r>
              <w:rPr>
                <w:sz w:val="24"/>
              </w:rPr>
              <w:t>年</w:t>
            </w:r>
            <w:r>
              <w:rPr>
                <w:sz w:val="24"/>
              </w:rPr>
              <w:t>05</w:t>
            </w:r>
            <w:r>
              <w:rPr>
                <w:sz w:val="24"/>
              </w:rPr>
              <w:t>月</w:t>
            </w:r>
            <w:r>
              <w:rPr>
                <w:sz w:val="24"/>
              </w:rPr>
              <w:t>22</w:t>
            </w:r>
            <w:r>
              <w:rPr>
                <w:sz w:val="24"/>
              </w:rPr>
              <w:t>日</w:t>
            </w:r>
            <w:r>
              <w:rPr>
                <w:sz w:val="24"/>
              </w:rPr>
              <w:t>~2019</w:t>
            </w:r>
            <w:r>
              <w:rPr>
                <w:sz w:val="24"/>
              </w:rPr>
              <w:t>年</w:t>
            </w:r>
            <w:r>
              <w:rPr>
                <w:sz w:val="24"/>
              </w:rPr>
              <w:t>05</w:t>
            </w:r>
            <w:r>
              <w:rPr>
                <w:sz w:val="24"/>
              </w:rPr>
              <w:t>月</w:t>
            </w:r>
            <w:r>
              <w:rPr>
                <w:sz w:val="24"/>
              </w:rPr>
              <w:t>23</w:t>
            </w:r>
            <w:r>
              <w:rPr>
                <w:sz w:val="24"/>
              </w:rPr>
              <w:t>日</w:t>
            </w:r>
          </w:p>
        </w:tc>
        <w:tc>
          <w:tcPr>
            <w:tcW w:w="1276" w:type="dxa"/>
            <w:vAlign w:val="center"/>
          </w:tcPr>
          <w:p w:rsidR="00B01047" w:rsidRDefault="002B0BB7">
            <w:pPr>
              <w:jc w:val="center"/>
            </w:pPr>
            <w:r>
              <w:rPr>
                <w:sz w:val="24"/>
              </w:rPr>
              <w:t>-</w:t>
            </w:r>
          </w:p>
        </w:tc>
        <w:tc>
          <w:tcPr>
            <w:tcW w:w="1276" w:type="dxa"/>
            <w:vAlign w:val="center"/>
          </w:tcPr>
          <w:p w:rsidR="00B01047" w:rsidRDefault="002B0BB7">
            <w:pPr>
              <w:jc w:val="center"/>
            </w:pPr>
            <w:r>
              <w:rPr>
                <w:sz w:val="24"/>
              </w:rPr>
              <w:t>15,682,174.59</w:t>
            </w:r>
          </w:p>
        </w:tc>
        <w:tc>
          <w:tcPr>
            <w:tcW w:w="1276" w:type="dxa"/>
            <w:vAlign w:val="center"/>
          </w:tcPr>
          <w:p w:rsidR="00B01047" w:rsidRDefault="002B0BB7">
            <w:pPr>
              <w:jc w:val="center"/>
            </w:pPr>
            <w:r>
              <w:rPr>
                <w:sz w:val="24"/>
              </w:rPr>
              <w:t>15,682,174.59</w:t>
            </w:r>
          </w:p>
        </w:tc>
        <w:tc>
          <w:tcPr>
            <w:tcW w:w="1417" w:type="dxa"/>
            <w:vAlign w:val="center"/>
          </w:tcPr>
          <w:p w:rsidR="00B01047" w:rsidRDefault="002B0BB7">
            <w:pPr>
              <w:jc w:val="center"/>
            </w:pPr>
            <w:r>
              <w:rPr>
                <w:sz w:val="24"/>
              </w:rPr>
              <w:t>-</w:t>
            </w:r>
          </w:p>
        </w:tc>
        <w:tc>
          <w:tcPr>
            <w:tcW w:w="851" w:type="dxa"/>
            <w:vAlign w:val="center"/>
          </w:tcPr>
          <w:p w:rsidR="00B01047" w:rsidRDefault="002B0BB7">
            <w:pPr>
              <w:jc w:val="center"/>
            </w:pPr>
            <w:r>
              <w:rPr>
                <w:sz w:val="24"/>
              </w:rPr>
              <w:t>-</w:t>
            </w:r>
          </w:p>
        </w:tc>
      </w:tr>
      <w:tr w:rsidR="00B01047" w:rsidTr="00FD4AA8">
        <w:trPr>
          <w:jc w:val="center"/>
        </w:trPr>
        <w:tc>
          <w:tcPr>
            <w:tcW w:w="9640" w:type="dxa"/>
            <w:gridSpan w:val="8"/>
            <w:vAlign w:val="center"/>
          </w:tcPr>
          <w:p w:rsidR="006D3BC4" w:rsidRPr="00FC0759" w:rsidRDefault="002B0BB7" w:rsidP="00782390">
            <w:pPr>
              <w:autoSpaceDE w:val="0"/>
              <w:autoSpaceDN w:val="0"/>
              <w:adjustRightInd w:val="0"/>
              <w:jc w:val="center"/>
              <w:rPr>
                <w:sz w:val="24"/>
              </w:rPr>
            </w:pPr>
            <w:r w:rsidRPr="00FC0759">
              <w:rPr>
                <w:color w:val="000000"/>
                <w:sz w:val="24"/>
              </w:rPr>
              <w:t>产品特有风险</w:t>
            </w:r>
          </w:p>
        </w:tc>
      </w:tr>
      <w:tr w:rsidR="00B01047" w:rsidTr="00FD4AA8">
        <w:trPr>
          <w:jc w:val="center"/>
        </w:trPr>
        <w:tc>
          <w:tcPr>
            <w:tcW w:w="9640" w:type="dxa"/>
            <w:gridSpan w:val="8"/>
            <w:vAlign w:val="center"/>
          </w:tcPr>
          <w:p w:rsidR="006D3BC4" w:rsidRPr="00FC0759" w:rsidRDefault="002B0BB7" w:rsidP="00CD72D6">
            <w:pPr>
              <w:autoSpaceDE w:val="0"/>
              <w:autoSpaceDN w:val="0"/>
              <w:adjustRightInd w:val="0"/>
              <w:jc w:val="left"/>
              <w:rPr>
                <w:sz w:val="24"/>
              </w:rPr>
            </w:pPr>
            <w:r w:rsidRPr="00FC0759">
              <w:rPr>
                <w:sz w:val="24"/>
              </w:rPr>
              <w:t>报告期内，本基金存在单一投资者持有份额比例达到或超过</w:t>
            </w:r>
            <w:r w:rsidRPr="00FC0759">
              <w:rPr>
                <w:sz w:val="24"/>
              </w:rPr>
              <w:t>20%</w:t>
            </w:r>
            <w:r w:rsidRPr="00FC0759">
              <w:rPr>
                <w:sz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FC0759">
              <w:rPr>
                <w:sz w:val="24"/>
              </w:rPr>
              <w:t>5000</w:t>
            </w:r>
            <w:r w:rsidRPr="00FC0759">
              <w:rPr>
                <w:sz w:val="24"/>
              </w:rPr>
              <w:t>万元，基金还可能面临转换运作方式、与其他基金合并或者终止基金合同等情形；持有基金份额占比较高的投资者在召开持有人大会并对审议事项进行投票表决时可能拥有较大话语权。</w:t>
            </w:r>
          </w:p>
        </w:tc>
      </w:tr>
    </w:tbl>
    <w:p w:rsidR="00FD4AA8" w:rsidRDefault="00FD4AA8" w:rsidP="00FD4AA8">
      <w:pPr>
        <w:autoSpaceDE w:val="0"/>
        <w:autoSpaceDN w:val="0"/>
        <w:adjustRightInd w:val="0"/>
        <w:spacing w:line="360" w:lineRule="auto"/>
        <w:jc w:val="left"/>
        <w:rPr>
          <w:rFonts w:ascii="宋体"/>
          <w:b/>
          <w:bCs/>
          <w:color w:val="000000"/>
          <w:kern w:val="0"/>
          <w:sz w:val="24"/>
        </w:rPr>
      </w:pPr>
      <w:r>
        <w:rPr>
          <w:rFonts w:ascii="宋体" w:hint="eastAsia"/>
          <w:b/>
          <w:bCs/>
          <w:color w:val="000000"/>
          <w:kern w:val="0"/>
          <w:sz w:val="24"/>
        </w:rPr>
        <w:t>8.2 影响投资者决策的其他重要信息</w:t>
      </w:r>
    </w:p>
    <w:p w:rsidR="00FD4AA8" w:rsidRPr="004D7A8D" w:rsidRDefault="00FD4AA8" w:rsidP="004D7A8D">
      <w:pPr>
        <w:spacing w:line="360" w:lineRule="auto"/>
        <w:ind w:firstLineChars="200" w:firstLine="480"/>
        <w:rPr>
          <w:rFonts w:eastAsiaTheme="minorEastAsia"/>
          <w:color w:val="000000" w:themeColor="text1"/>
          <w:sz w:val="24"/>
        </w:rPr>
      </w:pPr>
      <w:r>
        <w:rPr>
          <w:rFonts w:eastAsiaTheme="minorEastAsia" w:hint="eastAsia"/>
          <w:color w:val="000000" w:themeColor="text1"/>
          <w:sz w:val="24"/>
        </w:rPr>
        <w:t>本基金于</w:t>
      </w:r>
      <w:r>
        <w:rPr>
          <w:rFonts w:eastAsiaTheme="minorEastAsia"/>
          <w:color w:val="000000" w:themeColor="text1"/>
          <w:sz w:val="24"/>
        </w:rPr>
        <w:t>2019</w:t>
      </w:r>
      <w:r>
        <w:rPr>
          <w:rFonts w:eastAsiaTheme="minorEastAsia" w:hint="eastAsia"/>
          <w:color w:val="000000" w:themeColor="text1"/>
          <w:sz w:val="24"/>
        </w:rPr>
        <w:t>年</w:t>
      </w:r>
      <w:r>
        <w:rPr>
          <w:rFonts w:eastAsiaTheme="minorEastAsia"/>
          <w:color w:val="000000" w:themeColor="text1"/>
          <w:sz w:val="24"/>
        </w:rPr>
        <w:t>5</w:t>
      </w:r>
      <w:r>
        <w:rPr>
          <w:rFonts w:eastAsiaTheme="minorEastAsia" w:hint="eastAsia"/>
          <w:color w:val="000000" w:themeColor="text1"/>
          <w:sz w:val="24"/>
        </w:rPr>
        <w:t>月</w:t>
      </w:r>
      <w:r>
        <w:rPr>
          <w:rFonts w:eastAsiaTheme="minorEastAsia"/>
          <w:color w:val="000000" w:themeColor="text1"/>
          <w:sz w:val="24"/>
        </w:rPr>
        <w:t>22</w:t>
      </w:r>
      <w:r>
        <w:rPr>
          <w:rFonts w:eastAsiaTheme="minorEastAsia" w:hint="eastAsia"/>
          <w:color w:val="000000" w:themeColor="text1"/>
          <w:sz w:val="24"/>
        </w:rPr>
        <w:t>日至</w:t>
      </w:r>
      <w:r>
        <w:rPr>
          <w:rFonts w:eastAsiaTheme="minorEastAsia"/>
          <w:color w:val="000000" w:themeColor="text1"/>
          <w:sz w:val="24"/>
        </w:rPr>
        <w:t>2019</w:t>
      </w:r>
      <w:r>
        <w:rPr>
          <w:rFonts w:eastAsiaTheme="minorEastAsia" w:hint="eastAsia"/>
          <w:color w:val="000000" w:themeColor="text1"/>
          <w:sz w:val="24"/>
        </w:rPr>
        <w:t>年</w:t>
      </w:r>
      <w:r>
        <w:rPr>
          <w:rFonts w:eastAsiaTheme="minorEastAsia"/>
          <w:color w:val="000000" w:themeColor="text1"/>
          <w:sz w:val="24"/>
        </w:rPr>
        <w:t>6</w:t>
      </w:r>
      <w:r>
        <w:rPr>
          <w:rFonts w:eastAsiaTheme="minorEastAsia" w:hint="eastAsia"/>
          <w:color w:val="000000" w:themeColor="text1"/>
          <w:sz w:val="24"/>
        </w:rPr>
        <w:t>月</w:t>
      </w:r>
      <w:r>
        <w:rPr>
          <w:rFonts w:eastAsiaTheme="minorEastAsia"/>
          <w:color w:val="000000" w:themeColor="text1"/>
          <w:sz w:val="24"/>
        </w:rPr>
        <w:t>24</w:t>
      </w:r>
      <w:r>
        <w:rPr>
          <w:rFonts w:eastAsiaTheme="minorEastAsia" w:hint="eastAsia"/>
          <w:color w:val="000000" w:themeColor="text1"/>
          <w:sz w:val="24"/>
        </w:rPr>
        <w:t>日期间以通讯方式召开了基金份额持有人大会，并于</w:t>
      </w:r>
      <w:r>
        <w:rPr>
          <w:rFonts w:eastAsiaTheme="minorEastAsia"/>
          <w:color w:val="000000" w:themeColor="text1"/>
          <w:sz w:val="24"/>
        </w:rPr>
        <w:t>2019</w:t>
      </w:r>
      <w:r>
        <w:rPr>
          <w:rFonts w:eastAsiaTheme="minorEastAsia" w:hint="eastAsia"/>
          <w:color w:val="000000" w:themeColor="text1"/>
          <w:sz w:val="24"/>
        </w:rPr>
        <w:t>年</w:t>
      </w:r>
      <w:r>
        <w:rPr>
          <w:rFonts w:eastAsiaTheme="minorEastAsia"/>
          <w:color w:val="000000" w:themeColor="text1"/>
          <w:sz w:val="24"/>
        </w:rPr>
        <w:t>6</w:t>
      </w:r>
      <w:r>
        <w:rPr>
          <w:rFonts w:eastAsiaTheme="minorEastAsia" w:hint="eastAsia"/>
          <w:color w:val="000000" w:themeColor="text1"/>
          <w:sz w:val="24"/>
        </w:rPr>
        <w:t>月</w:t>
      </w:r>
      <w:r>
        <w:rPr>
          <w:rFonts w:eastAsiaTheme="minorEastAsia"/>
          <w:color w:val="000000" w:themeColor="text1"/>
          <w:sz w:val="24"/>
        </w:rPr>
        <w:t>25</w:t>
      </w:r>
      <w:r>
        <w:rPr>
          <w:rFonts w:eastAsiaTheme="minorEastAsia" w:hint="eastAsia"/>
          <w:color w:val="000000" w:themeColor="text1"/>
          <w:sz w:val="24"/>
        </w:rPr>
        <w:t>日表决通过了《关于易方达深证成指交易型开放式指数证券投资基金联接基金终止基金合同有关事项的议案》。根据基金份额持有人大会通过的议案，自</w:t>
      </w:r>
      <w:r>
        <w:rPr>
          <w:rFonts w:eastAsiaTheme="minorEastAsia"/>
          <w:color w:val="000000" w:themeColor="text1"/>
          <w:sz w:val="24"/>
        </w:rPr>
        <w:t>2019</w:t>
      </w:r>
      <w:r>
        <w:rPr>
          <w:rFonts w:eastAsiaTheme="minorEastAsia" w:hint="eastAsia"/>
          <w:color w:val="000000" w:themeColor="text1"/>
          <w:sz w:val="24"/>
        </w:rPr>
        <w:t>年</w:t>
      </w:r>
      <w:r>
        <w:rPr>
          <w:rFonts w:eastAsiaTheme="minorEastAsia"/>
          <w:color w:val="000000" w:themeColor="text1"/>
          <w:sz w:val="24"/>
        </w:rPr>
        <w:t>6</w:t>
      </w:r>
      <w:r>
        <w:rPr>
          <w:rFonts w:eastAsiaTheme="minorEastAsia" w:hint="eastAsia"/>
          <w:color w:val="000000" w:themeColor="text1"/>
          <w:sz w:val="24"/>
        </w:rPr>
        <w:t>月</w:t>
      </w:r>
      <w:r>
        <w:rPr>
          <w:rFonts w:eastAsiaTheme="minorEastAsia"/>
          <w:color w:val="000000" w:themeColor="text1"/>
          <w:sz w:val="24"/>
        </w:rPr>
        <w:t>27</w:t>
      </w:r>
      <w:r>
        <w:rPr>
          <w:rFonts w:eastAsiaTheme="minorEastAsia" w:hint="eastAsia"/>
          <w:color w:val="000000" w:themeColor="text1"/>
          <w:sz w:val="24"/>
        </w:rPr>
        <w:t>日起，本基金进入清算期，基金管理人将组织成立基金财产清算小组履行基金财产清算程序，并将清算结果及时予以公告。有关重要事项详情可见基金管理人</w:t>
      </w:r>
      <w:r>
        <w:rPr>
          <w:rFonts w:eastAsiaTheme="minorEastAsia"/>
          <w:color w:val="000000" w:themeColor="text1"/>
          <w:sz w:val="24"/>
        </w:rPr>
        <w:t>2019</w:t>
      </w:r>
      <w:r>
        <w:rPr>
          <w:rFonts w:eastAsiaTheme="minorEastAsia" w:hint="eastAsia"/>
          <w:color w:val="000000" w:themeColor="text1"/>
          <w:sz w:val="24"/>
        </w:rPr>
        <w:t>年</w:t>
      </w:r>
      <w:r>
        <w:rPr>
          <w:rFonts w:eastAsiaTheme="minorEastAsia"/>
          <w:color w:val="000000" w:themeColor="text1"/>
          <w:sz w:val="24"/>
        </w:rPr>
        <w:t>6</w:t>
      </w:r>
      <w:r>
        <w:rPr>
          <w:rFonts w:eastAsiaTheme="minorEastAsia" w:hint="eastAsia"/>
          <w:color w:val="000000" w:themeColor="text1"/>
          <w:sz w:val="24"/>
        </w:rPr>
        <w:t>月</w:t>
      </w:r>
      <w:r>
        <w:rPr>
          <w:rFonts w:eastAsiaTheme="minorEastAsia"/>
          <w:color w:val="000000" w:themeColor="text1"/>
          <w:sz w:val="24"/>
        </w:rPr>
        <w:t>26</w:t>
      </w:r>
      <w:r>
        <w:rPr>
          <w:rFonts w:eastAsiaTheme="minorEastAsia" w:hint="eastAsia"/>
          <w:color w:val="000000" w:themeColor="text1"/>
          <w:sz w:val="24"/>
        </w:rPr>
        <w:t>日在《证券时报》和基金管理人官网发布的《易方达基金管理有限公司关于易方达深证成指交易型开放式指数证券投资基金联接基金基金份额持有人大会表决结果暨决议生效的公告》。</w:t>
      </w:r>
    </w:p>
    <w:p w:rsidR="009238DB" w:rsidRPr="00B34368" w:rsidRDefault="002B0BB7"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§9  </w:t>
      </w:r>
      <w:r w:rsidRPr="00B34368">
        <w:rPr>
          <w:rFonts w:eastAsiaTheme="minorEastAsia" w:hAnsiTheme="minorEastAsia"/>
          <w:color w:val="000000" w:themeColor="text1"/>
          <w:kern w:val="0"/>
          <w:sz w:val="24"/>
          <w:szCs w:val="24"/>
        </w:rPr>
        <w:t>备查文件目录</w:t>
      </w:r>
    </w:p>
    <w:p w:rsidR="00FB3C94" w:rsidRPr="00B34368" w:rsidRDefault="002B0BB7" w:rsidP="00FC13C8">
      <w:pPr>
        <w:autoSpaceDE w:val="0"/>
        <w:autoSpaceDN w:val="0"/>
        <w:adjustRightInd w:val="0"/>
        <w:spacing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9.1</w:t>
      </w:r>
      <w:r w:rsidRPr="00B34368">
        <w:rPr>
          <w:rFonts w:eastAsiaTheme="minorEastAsia" w:hAnsiTheme="minorEastAsia"/>
          <w:b/>
          <w:bCs/>
          <w:color w:val="000000" w:themeColor="text1"/>
          <w:kern w:val="0"/>
          <w:sz w:val="24"/>
        </w:rPr>
        <w:t>备查文件目录</w:t>
      </w:r>
    </w:p>
    <w:p w:rsidR="00B01047" w:rsidRDefault="00B01047">
      <w:pPr>
        <w:spacing w:line="360" w:lineRule="auto"/>
        <w:ind w:firstLineChars="200" w:firstLine="480"/>
        <w:rPr>
          <w:rFonts w:eastAsiaTheme="minorEastAsia"/>
          <w:color w:val="000000" w:themeColor="text1"/>
          <w:sz w:val="24"/>
        </w:rPr>
      </w:pP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中国证监会准予易方达深证成指交易型开放式指数证券投资基金联接基金注册的文件；</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易方达基金管理有限公司关于易方达深证成指交易型开放式指数证券投资基金联接基金基金份额持有人大会表决结果暨决议生效的公告；</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《易方达深证成指交易型开放式指数证券投资基金联接基金基金合同》；</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《易方达深证成指交易型开放式指数证券投资基金联接基金托管协议》；</w:t>
      </w:r>
    </w:p>
    <w:p w:rsidR="00B01047" w:rsidRDefault="002B0BB7">
      <w:pPr>
        <w:spacing w:line="360" w:lineRule="auto"/>
        <w:ind w:firstLineChars="200" w:firstLine="480"/>
        <w:rPr>
          <w:rFonts w:eastAsiaTheme="minorEastAsia"/>
          <w:color w:val="000000" w:themeColor="text1"/>
          <w:sz w:val="24"/>
        </w:rPr>
      </w:pPr>
      <w:r>
        <w:rPr>
          <w:rFonts w:eastAsiaTheme="minorEastAsia"/>
          <w:color w:val="000000" w:themeColor="text1"/>
          <w:sz w:val="24"/>
        </w:rPr>
        <w:t>5.</w:t>
      </w:r>
      <w:r>
        <w:rPr>
          <w:rFonts w:eastAsiaTheme="minorEastAsia"/>
          <w:color w:val="000000" w:themeColor="text1"/>
          <w:sz w:val="24"/>
        </w:rPr>
        <w:t>《易方达基金管理有限公司开放式基金业务规则》；</w:t>
      </w:r>
    </w:p>
    <w:p w:rsidR="00F11783"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6.</w:t>
      </w:r>
      <w:r w:rsidRPr="00B34368">
        <w:rPr>
          <w:rFonts w:eastAsiaTheme="minorEastAsia"/>
          <w:color w:val="000000" w:themeColor="text1"/>
          <w:sz w:val="24"/>
        </w:rPr>
        <w:t>基金管理人业务资格批件、营业执照。</w:t>
      </w:r>
    </w:p>
    <w:p w:rsidR="00FB3C94" w:rsidRPr="00B34368" w:rsidRDefault="002B0BB7"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9.2</w:t>
      </w:r>
      <w:r w:rsidRPr="00B34368">
        <w:rPr>
          <w:rFonts w:eastAsiaTheme="minorEastAsia" w:hAnsiTheme="minorEastAsia"/>
          <w:b/>
          <w:bCs/>
          <w:color w:val="000000" w:themeColor="text1"/>
          <w:kern w:val="0"/>
          <w:sz w:val="24"/>
        </w:rPr>
        <w:t>存放地点</w:t>
      </w:r>
    </w:p>
    <w:p w:rsidR="00F11783"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广州市天河区珠江新城珠江东路</w:t>
      </w:r>
      <w:r w:rsidRPr="00B34368">
        <w:rPr>
          <w:rFonts w:eastAsiaTheme="minorEastAsia"/>
          <w:color w:val="000000" w:themeColor="text1"/>
          <w:sz w:val="24"/>
        </w:rPr>
        <w:t>30</w:t>
      </w:r>
      <w:r w:rsidRPr="00B34368">
        <w:rPr>
          <w:rFonts w:eastAsiaTheme="minorEastAsia"/>
          <w:color w:val="000000" w:themeColor="text1"/>
          <w:sz w:val="24"/>
        </w:rPr>
        <w:t>号广州银行大厦</w:t>
      </w:r>
      <w:r w:rsidRPr="00B34368">
        <w:rPr>
          <w:rFonts w:eastAsiaTheme="minorEastAsia"/>
          <w:color w:val="000000" w:themeColor="text1"/>
          <w:sz w:val="24"/>
        </w:rPr>
        <w:t>40-43</w:t>
      </w:r>
      <w:r w:rsidRPr="00B34368">
        <w:rPr>
          <w:rFonts w:eastAsiaTheme="minorEastAsia"/>
          <w:color w:val="000000" w:themeColor="text1"/>
          <w:sz w:val="24"/>
        </w:rPr>
        <w:t>楼。</w:t>
      </w:r>
    </w:p>
    <w:p w:rsidR="00FB3C94" w:rsidRPr="00B34368" w:rsidRDefault="002B0BB7"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9.3</w:t>
      </w:r>
      <w:r w:rsidRPr="00B34368">
        <w:rPr>
          <w:rFonts w:eastAsiaTheme="minorEastAsia" w:hAnsiTheme="minorEastAsia"/>
          <w:b/>
          <w:bCs/>
          <w:color w:val="000000" w:themeColor="text1"/>
          <w:kern w:val="0"/>
          <w:sz w:val="24"/>
        </w:rPr>
        <w:t>查阅方式</w:t>
      </w:r>
    </w:p>
    <w:p w:rsidR="00FB3C94" w:rsidRPr="00B34368" w:rsidRDefault="002B0BB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投资者可在营业时间免费查阅，也可按工本费购买复印件。</w:t>
      </w:r>
    </w:p>
    <w:p w:rsidR="00FB3C94" w:rsidRPr="00B34368" w:rsidRDefault="006634A8" w:rsidP="00FB3C94">
      <w:pPr>
        <w:spacing w:line="360" w:lineRule="auto"/>
        <w:ind w:left="840"/>
        <w:jc w:val="right"/>
        <w:rPr>
          <w:rFonts w:eastAsiaTheme="minorEastAsia"/>
          <w:color w:val="000000" w:themeColor="text1"/>
          <w:sz w:val="24"/>
        </w:rPr>
      </w:pPr>
    </w:p>
    <w:p w:rsidR="00AF3AF9" w:rsidRPr="00B34368" w:rsidRDefault="006634A8" w:rsidP="00053FFD">
      <w:pPr>
        <w:spacing w:line="360" w:lineRule="auto"/>
        <w:ind w:left="840"/>
        <w:jc w:val="center"/>
        <w:rPr>
          <w:rFonts w:eastAsiaTheme="minorEastAsia"/>
          <w:b/>
          <w:color w:val="000000" w:themeColor="text1"/>
          <w:sz w:val="24"/>
        </w:rPr>
      </w:pPr>
    </w:p>
    <w:p w:rsidR="00FB3C94" w:rsidRPr="00B34368" w:rsidRDefault="002B0BB7"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易方达基金管理有限公司</w:t>
      </w:r>
    </w:p>
    <w:p w:rsidR="009238DB" w:rsidRPr="00B34368" w:rsidRDefault="002B0BB7"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二〇一九年七月十九日</w:t>
      </w:r>
    </w:p>
    <w:sectPr w:rsidR="009238DB" w:rsidRPr="00B34368" w:rsidSect="00A8324F">
      <w:footerReference w:type="even" r:id="rId13"/>
      <w:footerReference w:type="default" r:id="rId14"/>
      <w:pgSz w:w="11906" w:h="16838"/>
      <w:pgMar w:top="1440" w:right="1286"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52" w:rsidRDefault="002B0BB7">
      <w:r>
        <w:separator/>
      </w:r>
    </w:p>
  </w:endnote>
  <w:endnote w:type="continuationSeparator" w:id="0">
    <w:p w:rsidR="00E84B52" w:rsidRDefault="002B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2B0BB7"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634A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634A8">
      <w:rPr>
        <w:noProof/>
        <w:kern w:val="0"/>
        <w:szCs w:val="21"/>
      </w:rPr>
      <w:t>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2B0BB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1122" w:rsidRDefault="006634A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2B0BB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634A8">
      <w:rPr>
        <w:rStyle w:val="a7"/>
        <w:noProof/>
      </w:rPr>
      <w:t>2</w:t>
    </w:r>
    <w:r>
      <w:rPr>
        <w:rStyle w:val="a7"/>
      </w:rPr>
      <w:fldChar w:fldCharType="end"/>
    </w:r>
  </w:p>
  <w:p w:rsidR="007C1122" w:rsidRDefault="006634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52" w:rsidRDefault="002B0BB7">
      <w:r>
        <w:separator/>
      </w:r>
    </w:p>
  </w:footnote>
  <w:footnote w:type="continuationSeparator" w:id="0">
    <w:p w:rsidR="00E84B52" w:rsidRDefault="002B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2B0BB7" w:rsidP="001207F2">
    <w:pPr>
      <w:pStyle w:val="a9"/>
      <w:pBdr>
        <w:bottom w:val="single" w:sz="6" w:space="0" w:color="auto"/>
      </w:pBdr>
      <w:jc w:val="right"/>
    </w:pPr>
    <w:r>
      <w:rPr>
        <w:sz w:val="21"/>
        <w:szCs w:val="21"/>
      </w:rPr>
      <w:t>易方达深证成指交易型开放式指数证券投资基金联接基金</w:t>
    </w:r>
    <w:r>
      <w:rPr>
        <w:sz w:val="21"/>
        <w:szCs w:val="21"/>
      </w:rPr>
      <w:t>2019</w:t>
    </w:r>
    <w:r>
      <w:rPr>
        <w:sz w:val="21"/>
        <w:szCs w:val="21"/>
      </w:rPr>
      <w:t>年第</w:t>
    </w:r>
    <w:r>
      <w:rPr>
        <w:sz w:val="21"/>
        <w:szCs w:val="21"/>
      </w:rPr>
      <w:t>2</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867838EA">
      <w:start w:val="2006"/>
      <w:numFmt w:val="bullet"/>
      <w:lvlText w:val="●"/>
      <w:lvlJc w:val="left"/>
      <w:pPr>
        <w:tabs>
          <w:tab w:val="num" w:pos="780"/>
        </w:tabs>
        <w:ind w:left="780" w:hanging="360"/>
      </w:pPr>
      <w:rPr>
        <w:rFonts w:ascii="Times New Roman" w:eastAsia="宋体" w:hAnsi="Times New Roman" w:cs="Times New Roman" w:hint="default"/>
      </w:rPr>
    </w:lvl>
    <w:lvl w:ilvl="1" w:tplc="FBA81B68" w:tentative="1">
      <w:start w:val="1"/>
      <w:numFmt w:val="bullet"/>
      <w:lvlText w:val=""/>
      <w:lvlJc w:val="left"/>
      <w:pPr>
        <w:tabs>
          <w:tab w:val="num" w:pos="1260"/>
        </w:tabs>
        <w:ind w:left="1260" w:hanging="420"/>
      </w:pPr>
      <w:rPr>
        <w:rFonts w:ascii="Wingdings" w:hAnsi="Wingdings" w:hint="default"/>
      </w:rPr>
    </w:lvl>
    <w:lvl w:ilvl="2" w:tplc="CB8AEA8A" w:tentative="1">
      <w:start w:val="1"/>
      <w:numFmt w:val="bullet"/>
      <w:lvlText w:val=""/>
      <w:lvlJc w:val="left"/>
      <w:pPr>
        <w:tabs>
          <w:tab w:val="num" w:pos="1680"/>
        </w:tabs>
        <w:ind w:left="1680" w:hanging="420"/>
      </w:pPr>
      <w:rPr>
        <w:rFonts w:ascii="Wingdings" w:hAnsi="Wingdings" w:hint="default"/>
      </w:rPr>
    </w:lvl>
    <w:lvl w:ilvl="3" w:tplc="5A12BEE8" w:tentative="1">
      <w:start w:val="1"/>
      <w:numFmt w:val="bullet"/>
      <w:lvlText w:val=""/>
      <w:lvlJc w:val="left"/>
      <w:pPr>
        <w:tabs>
          <w:tab w:val="num" w:pos="2100"/>
        </w:tabs>
        <w:ind w:left="2100" w:hanging="420"/>
      </w:pPr>
      <w:rPr>
        <w:rFonts w:ascii="Wingdings" w:hAnsi="Wingdings" w:hint="default"/>
      </w:rPr>
    </w:lvl>
    <w:lvl w:ilvl="4" w:tplc="5D92158E" w:tentative="1">
      <w:start w:val="1"/>
      <w:numFmt w:val="bullet"/>
      <w:lvlText w:val=""/>
      <w:lvlJc w:val="left"/>
      <w:pPr>
        <w:tabs>
          <w:tab w:val="num" w:pos="2520"/>
        </w:tabs>
        <w:ind w:left="2520" w:hanging="420"/>
      </w:pPr>
      <w:rPr>
        <w:rFonts w:ascii="Wingdings" w:hAnsi="Wingdings" w:hint="default"/>
      </w:rPr>
    </w:lvl>
    <w:lvl w:ilvl="5" w:tplc="4DCC0806" w:tentative="1">
      <w:start w:val="1"/>
      <w:numFmt w:val="bullet"/>
      <w:lvlText w:val=""/>
      <w:lvlJc w:val="left"/>
      <w:pPr>
        <w:tabs>
          <w:tab w:val="num" w:pos="2940"/>
        </w:tabs>
        <w:ind w:left="2940" w:hanging="420"/>
      </w:pPr>
      <w:rPr>
        <w:rFonts w:ascii="Wingdings" w:hAnsi="Wingdings" w:hint="default"/>
      </w:rPr>
    </w:lvl>
    <w:lvl w:ilvl="6" w:tplc="48CC0EE6" w:tentative="1">
      <w:start w:val="1"/>
      <w:numFmt w:val="bullet"/>
      <w:lvlText w:val=""/>
      <w:lvlJc w:val="left"/>
      <w:pPr>
        <w:tabs>
          <w:tab w:val="num" w:pos="3360"/>
        </w:tabs>
        <w:ind w:left="3360" w:hanging="420"/>
      </w:pPr>
      <w:rPr>
        <w:rFonts w:ascii="Wingdings" w:hAnsi="Wingdings" w:hint="default"/>
      </w:rPr>
    </w:lvl>
    <w:lvl w:ilvl="7" w:tplc="DC16FC4A" w:tentative="1">
      <w:start w:val="1"/>
      <w:numFmt w:val="bullet"/>
      <w:lvlText w:val=""/>
      <w:lvlJc w:val="left"/>
      <w:pPr>
        <w:tabs>
          <w:tab w:val="num" w:pos="3780"/>
        </w:tabs>
        <w:ind w:left="3780" w:hanging="420"/>
      </w:pPr>
      <w:rPr>
        <w:rFonts w:ascii="Wingdings" w:hAnsi="Wingdings" w:hint="default"/>
      </w:rPr>
    </w:lvl>
    <w:lvl w:ilvl="8" w:tplc="40AEBE38"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0532AD36">
      <w:start w:val="1"/>
      <w:numFmt w:val="japaneseCounting"/>
      <w:lvlText w:val="（%1）"/>
      <w:lvlJc w:val="left"/>
      <w:pPr>
        <w:tabs>
          <w:tab w:val="num" w:pos="1200"/>
        </w:tabs>
        <w:ind w:left="1200" w:hanging="720"/>
      </w:pPr>
      <w:rPr>
        <w:rFonts w:hAnsi="宋体" w:hint="default"/>
      </w:rPr>
    </w:lvl>
    <w:lvl w:ilvl="1" w:tplc="7A30F0DA" w:tentative="1">
      <w:start w:val="1"/>
      <w:numFmt w:val="lowerLetter"/>
      <w:lvlText w:val="%2)"/>
      <w:lvlJc w:val="left"/>
      <w:pPr>
        <w:tabs>
          <w:tab w:val="num" w:pos="1320"/>
        </w:tabs>
        <w:ind w:left="1320" w:hanging="420"/>
      </w:pPr>
    </w:lvl>
    <w:lvl w:ilvl="2" w:tplc="8828FDD6" w:tentative="1">
      <w:start w:val="1"/>
      <w:numFmt w:val="lowerRoman"/>
      <w:lvlText w:val="%3."/>
      <w:lvlJc w:val="right"/>
      <w:pPr>
        <w:tabs>
          <w:tab w:val="num" w:pos="1740"/>
        </w:tabs>
        <w:ind w:left="1740" w:hanging="420"/>
      </w:pPr>
    </w:lvl>
    <w:lvl w:ilvl="3" w:tplc="AE2C4DB6" w:tentative="1">
      <w:start w:val="1"/>
      <w:numFmt w:val="decimal"/>
      <w:lvlText w:val="%4."/>
      <w:lvlJc w:val="left"/>
      <w:pPr>
        <w:tabs>
          <w:tab w:val="num" w:pos="2160"/>
        </w:tabs>
        <w:ind w:left="2160" w:hanging="420"/>
      </w:pPr>
    </w:lvl>
    <w:lvl w:ilvl="4" w:tplc="CE9CD230" w:tentative="1">
      <w:start w:val="1"/>
      <w:numFmt w:val="lowerLetter"/>
      <w:lvlText w:val="%5)"/>
      <w:lvlJc w:val="left"/>
      <w:pPr>
        <w:tabs>
          <w:tab w:val="num" w:pos="2580"/>
        </w:tabs>
        <w:ind w:left="2580" w:hanging="420"/>
      </w:pPr>
    </w:lvl>
    <w:lvl w:ilvl="5" w:tplc="2DAA4FD8" w:tentative="1">
      <w:start w:val="1"/>
      <w:numFmt w:val="lowerRoman"/>
      <w:lvlText w:val="%6."/>
      <w:lvlJc w:val="right"/>
      <w:pPr>
        <w:tabs>
          <w:tab w:val="num" w:pos="3000"/>
        </w:tabs>
        <w:ind w:left="3000" w:hanging="420"/>
      </w:pPr>
    </w:lvl>
    <w:lvl w:ilvl="6" w:tplc="A9907D46" w:tentative="1">
      <w:start w:val="1"/>
      <w:numFmt w:val="decimal"/>
      <w:lvlText w:val="%7."/>
      <w:lvlJc w:val="left"/>
      <w:pPr>
        <w:tabs>
          <w:tab w:val="num" w:pos="3420"/>
        </w:tabs>
        <w:ind w:left="3420" w:hanging="420"/>
      </w:pPr>
    </w:lvl>
    <w:lvl w:ilvl="7" w:tplc="825690F8" w:tentative="1">
      <w:start w:val="1"/>
      <w:numFmt w:val="lowerLetter"/>
      <w:lvlText w:val="%8)"/>
      <w:lvlJc w:val="left"/>
      <w:pPr>
        <w:tabs>
          <w:tab w:val="num" w:pos="3840"/>
        </w:tabs>
        <w:ind w:left="3840" w:hanging="420"/>
      </w:pPr>
    </w:lvl>
    <w:lvl w:ilvl="8" w:tplc="08EC9F92"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6FB4BFA8">
      <w:start w:val="1"/>
      <w:numFmt w:val="bullet"/>
      <w:lvlText w:val=""/>
      <w:lvlJc w:val="left"/>
      <w:pPr>
        <w:tabs>
          <w:tab w:val="num" w:pos="420"/>
        </w:tabs>
        <w:ind w:left="420" w:hanging="420"/>
      </w:pPr>
      <w:rPr>
        <w:rFonts w:ascii="Wingdings" w:hAnsi="Wingdings" w:hint="default"/>
      </w:rPr>
    </w:lvl>
    <w:lvl w:ilvl="1" w:tplc="12DAAA2C" w:tentative="1">
      <w:start w:val="1"/>
      <w:numFmt w:val="bullet"/>
      <w:lvlText w:val=""/>
      <w:lvlJc w:val="left"/>
      <w:pPr>
        <w:tabs>
          <w:tab w:val="num" w:pos="840"/>
        </w:tabs>
        <w:ind w:left="840" w:hanging="420"/>
      </w:pPr>
      <w:rPr>
        <w:rFonts w:ascii="Wingdings" w:hAnsi="Wingdings" w:hint="default"/>
      </w:rPr>
    </w:lvl>
    <w:lvl w:ilvl="2" w:tplc="F3C42DA2" w:tentative="1">
      <w:start w:val="1"/>
      <w:numFmt w:val="bullet"/>
      <w:lvlText w:val=""/>
      <w:lvlJc w:val="left"/>
      <w:pPr>
        <w:tabs>
          <w:tab w:val="num" w:pos="1260"/>
        </w:tabs>
        <w:ind w:left="1260" w:hanging="420"/>
      </w:pPr>
      <w:rPr>
        <w:rFonts w:ascii="Wingdings" w:hAnsi="Wingdings" w:hint="default"/>
      </w:rPr>
    </w:lvl>
    <w:lvl w:ilvl="3" w:tplc="1D9C50DE" w:tentative="1">
      <w:start w:val="1"/>
      <w:numFmt w:val="bullet"/>
      <w:lvlText w:val=""/>
      <w:lvlJc w:val="left"/>
      <w:pPr>
        <w:tabs>
          <w:tab w:val="num" w:pos="1680"/>
        </w:tabs>
        <w:ind w:left="1680" w:hanging="420"/>
      </w:pPr>
      <w:rPr>
        <w:rFonts w:ascii="Wingdings" w:hAnsi="Wingdings" w:hint="default"/>
      </w:rPr>
    </w:lvl>
    <w:lvl w:ilvl="4" w:tplc="ABB008D6" w:tentative="1">
      <w:start w:val="1"/>
      <w:numFmt w:val="bullet"/>
      <w:lvlText w:val=""/>
      <w:lvlJc w:val="left"/>
      <w:pPr>
        <w:tabs>
          <w:tab w:val="num" w:pos="2100"/>
        </w:tabs>
        <w:ind w:left="2100" w:hanging="420"/>
      </w:pPr>
      <w:rPr>
        <w:rFonts w:ascii="Wingdings" w:hAnsi="Wingdings" w:hint="default"/>
      </w:rPr>
    </w:lvl>
    <w:lvl w:ilvl="5" w:tplc="50F2D43A" w:tentative="1">
      <w:start w:val="1"/>
      <w:numFmt w:val="bullet"/>
      <w:lvlText w:val=""/>
      <w:lvlJc w:val="left"/>
      <w:pPr>
        <w:tabs>
          <w:tab w:val="num" w:pos="2520"/>
        </w:tabs>
        <w:ind w:left="2520" w:hanging="420"/>
      </w:pPr>
      <w:rPr>
        <w:rFonts w:ascii="Wingdings" w:hAnsi="Wingdings" w:hint="default"/>
      </w:rPr>
    </w:lvl>
    <w:lvl w:ilvl="6" w:tplc="437E83B4" w:tentative="1">
      <w:start w:val="1"/>
      <w:numFmt w:val="bullet"/>
      <w:lvlText w:val=""/>
      <w:lvlJc w:val="left"/>
      <w:pPr>
        <w:tabs>
          <w:tab w:val="num" w:pos="2940"/>
        </w:tabs>
        <w:ind w:left="2940" w:hanging="420"/>
      </w:pPr>
      <w:rPr>
        <w:rFonts w:ascii="Wingdings" w:hAnsi="Wingdings" w:hint="default"/>
      </w:rPr>
    </w:lvl>
    <w:lvl w:ilvl="7" w:tplc="015A2F44" w:tentative="1">
      <w:start w:val="1"/>
      <w:numFmt w:val="bullet"/>
      <w:lvlText w:val=""/>
      <w:lvlJc w:val="left"/>
      <w:pPr>
        <w:tabs>
          <w:tab w:val="num" w:pos="3360"/>
        </w:tabs>
        <w:ind w:left="3360" w:hanging="420"/>
      </w:pPr>
      <w:rPr>
        <w:rFonts w:ascii="Wingdings" w:hAnsi="Wingdings" w:hint="default"/>
      </w:rPr>
    </w:lvl>
    <w:lvl w:ilvl="8" w:tplc="C6FE7CA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221E642E">
      <w:start w:val="1"/>
      <w:numFmt w:val="decimal"/>
      <w:lvlText w:val="（%1）"/>
      <w:lvlJc w:val="left"/>
      <w:pPr>
        <w:tabs>
          <w:tab w:val="num" w:pos="1200"/>
        </w:tabs>
        <w:ind w:left="1200" w:hanging="720"/>
      </w:pPr>
      <w:rPr>
        <w:rFonts w:hint="eastAsia"/>
        <w:sz w:val="24"/>
      </w:rPr>
    </w:lvl>
    <w:lvl w:ilvl="1" w:tplc="D228C982" w:tentative="1">
      <w:start w:val="1"/>
      <w:numFmt w:val="lowerLetter"/>
      <w:lvlText w:val="%2)"/>
      <w:lvlJc w:val="left"/>
      <w:pPr>
        <w:tabs>
          <w:tab w:val="num" w:pos="1320"/>
        </w:tabs>
        <w:ind w:left="1320" w:hanging="420"/>
      </w:pPr>
    </w:lvl>
    <w:lvl w:ilvl="2" w:tplc="236A2398" w:tentative="1">
      <w:start w:val="1"/>
      <w:numFmt w:val="lowerRoman"/>
      <w:lvlText w:val="%3."/>
      <w:lvlJc w:val="right"/>
      <w:pPr>
        <w:tabs>
          <w:tab w:val="num" w:pos="1740"/>
        </w:tabs>
        <w:ind w:left="1740" w:hanging="420"/>
      </w:pPr>
    </w:lvl>
    <w:lvl w:ilvl="3" w:tplc="E640DB12" w:tentative="1">
      <w:start w:val="1"/>
      <w:numFmt w:val="decimal"/>
      <w:lvlText w:val="%4."/>
      <w:lvlJc w:val="left"/>
      <w:pPr>
        <w:tabs>
          <w:tab w:val="num" w:pos="2160"/>
        </w:tabs>
        <w:ind w:left="2160" w:hanging="420"/>
      </w:pPr>
    </w:lvl>
    <w:lvl w:ilvl="4" w:tplc="F67EEDC2" w:tentative="1">
      <w:start w:val="1"/>
      <w:numFmt w:val="lowerLetter"/>
      <w:lvlText w:val="%5)"/>
      <w:lvlJc w:val="left"/>
      <w:pPr>
        <w:tabs>
          <w:tab w:val="num" w:pos="2580"/>
        </w:tabs>
        <w:ind w:left="2580" w:hanging="420"/>
      </w:pPr>
    </w:lvl>
    <w:lvl w:ilvl="5" w:tplc="CF4C52B6" w:tentative="1">
      <w:start w:val="1"/>
      <w:numFmt w:val="lowerRoman"/>
      <w:lvlText w:val="%6."/>
      <w:lvlJc w:val="right"/>
      <w:pPr>
        <w:tabs>
          <w:tab w:val="num" w:pos="3000"/>
        </w:tabs>
        <w:ind w:left="3000" w:hanging="420"/>
      </w:pPr>
    </w:lvl>
    <w:lvl w:ilvl="6" w:tplc="A3D82A50" w:tentative="1">
      <w:start w:val="1"/>
      <w:numFmt w:val="decimal"/>
      <w:lvlText w:val="%7."/>
      <w:lvlJc w:val="left"/>
      <w:pPr>
        <w:tabs>
          <w:tab w:val="num" w:pos="3420"/>
        </w:tabs>
        <w:ind w:left="3420" w:hanging="420"/>
      </w:pPr>
    </w:lvl>
    <w:lvl w:ilvl="7" w:tplc="B0E6E0B0" w:tentative="1">
      <w:start w:val="1"/>
      <w:numFmt w:val="lowerLetter"/>
      <w:lvlText w:val="%8)"/>
      <w:lvlJc w:val="left"/>
      <w:pPr>
        <w:tabs>
          <w:tab w:val="num" w:pos="3840"/>
        </w:tabs>
        <w:ind w:left="3840" w:hanging="420"/>
      </w:pPr>
    </w:lvl>
    <w:lvl w:ilvl="8" w:tplc="6AA0D4C6"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2AAE9F36">
      <w:start w:val="1"/>
      <w:numFmt w:val="japaneseCounting"/>
      <w:lvlText w:val="%1、"/>
      <w:lvlJc w:val="left"/>
      <w:pPr>
        <w:tabs>
          <w:tab w:val="num" w:pos="480"/>
        </w:tabs>
        <w:ind w:left="480" w:hanging="480"/>
      </w:pPr>
      <w:rPr>
        <w:rFonts w:eastAsia="宋体" w:hint="eastAsia"/>
        <w:color w:val="auto"/>
      </w:rPr>
    </w:lvl>
    <w:lvl w:ilvl="1" w:tplc="48C29654">
      <w:start w:val="1"/>
      <w:numFmt w:val="japaneseCounting"/>
      <w:lvlText w:val="(%2)"/>
      <w:lvlJc w:val="left"/>
      <w:pPr>
        <w:tabs>
          <w:tab w:val="num" w:pos="810"/>
        </w:tabs>
        <w:ind w:left="810" w:hanging="390"/>
      </w:pPr>
      <w:rPr>
        <w:rFonts w:hint="eastAsia"/>
      </w:rPr>
    </w:lvl>
    <w:lvl w:ilvl="2" w:tplc="9D065ECA">
      <w:start w:val="1"/>
      <w:numFmt w:val="decimal"/>
      <w:lvlText w:val="%3、"/>
      <w:lvlJc w:val="left"/>
      <w:pPr>
        <w:tabs>
          <w:tab w:val="num" w:pos="1200"/>
        </w:tabs>
        <w:ind w:left="1200" w:hanging="360"/>
      </w:pPr>
      <w:rPr>
        <w:rFonts w:hint="eastAsia"/>
      </w:rPr>
    </w:lvl>
    <w:lvl w:ilvl="3" w:tplc="F95CDAE4" w:tentative="1">
      <w:start w:val="1"/>
      <w:numFmt w:val="decimal"/>
      <w:lvlText w:val="%4."/>
      <w:lvlJc w:val="left"/>
      <w:pPr>
        <w:tabs>
          <w:tab w:val="num" w:pos="1680"/>
        </w:tabs>
        <w:ind w:left="1680" w:hanging="420"/>
      </w:pPr>
    </w:lvl>
    <w:lvl w:ilvl="4" w:tplc="148EE68C" w:tentative="1">
      <w:start w:val="1"/>
      <w:numFmt w:val="lowerLetter"/>
      <w:lvlText w:val="%5)"/>
      <w:lvlJc w:val="left"/>
      <w:pPr>
        <w:tabs>
          <w:tab w:val="num" w:pos="2100"/>
        </w:tabs>
        <w:ind w:left="2100" w:hanging="420"/>
      </w:pPr>
    </w:lvl>
    <w:lvl w:ilvl="5" w:tplc="11044AE2" w:tentative="1">
      <w:start w:val="1"/>
      <w:numFmt w:val="lowerRoman"/>
      <w:lvlText w:val="%6."/>
      <w:lvlJc w:val="right"/>
      <w:pPr>
        <w:tabs>
          <w:tab w:val="num" w:pos="2520"/>
        </w:tabs>
        <w:ind w:left="2520" w:hanging="420"/>
      </w:pPr>
    </w:lvl>
    <w:lvl w:ilvl="6" w:tplc="373AFACC" w:tentative="1">
      <w:start w:val="1"/>
      <w:numFmt w:val="decimal"/>
      <w:lvlText w:val="%7."/>
      <w:lvlJc w:val="left"/>
      <w:pPr>
        <w:tabs>
          <w:tab w:val="num" w:pos="2940"/>
        </w:tabs>
        <w:ind w:left="2940" w:hanging="420"/>
      </w:pPr>
    </w:lvl>
    <w:lvl w:ilvl="7" w:tplc="F82A2C0A" w:tentative="1">
      <w:start w:val="1"/>
      <w:numFmt w:val="lowerLetter"/>
      <w:lvlText w:val="%8)"/>
      <w:lvlJc w:val="left"/>
      <w:pPr>
        <w:tabs>
          <w:tab w:val="num" w:pos="3360"/>
        </w:tabs>
        <w:ind w:left="3360" w:hanging="420"/>
      </w:pPr>
    </w:lvl>
    <w:lvl w:ilvl="8" w:tplc="F45CF43E"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47"/>
    <w:rsid w:val="001A018A"/>
    <w:rsid w:val="002B0BB7"/>
    <w:rsid w:val="00300EDE"/>
    <w:rsid w:val="00350FCC"/>
    <w:rsid w:val="004D7A8D"/>
    <w:rsid w:val="00547CCF"/>
    <w:rsid w:val="006634A8"/>
    <w:rsid w:val="00B01047"/>
    <w:rsid w:val="00DA7297"/>
    <w:rsid w:val="00E83C63"/>
    <w:rsid w:val="00E84B52"/>
    <w:rsid w:val="00E900ED"/>
    <w:rsid w:val="00FD4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BB23F39-B71F-437B-AF86-7A16E3D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0">
    <w:name w:val="Char_0"/>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FE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77852">
      <w:bodyDiv w:val="1"/>
      <w:marLeft w:val="0"/>
      <w:marRight w:val="0"/>
      <w:marTop w:val="0"/>
      <w:marBottom w:val="0"/>
      <w:divBdr>
        <w:top w:val="none" w:sz="0" w:space="0" w:color="auto"/>
        <w:left w:val="none" w:sz="0" w:space="0" w:color="auto"/>
        <w:bottom w:val="none" w:sz="0" w:space="0" w:color="auto"/>
        <w:right w:val="none" w:sz="0" w:space="0" w:color="auto"/>
      </w:divBdr>
    </w:div>
    <w:div w:id="1410613066">
      <w:bodyDiv w:val="1"/>
      <w:marLeft w:val="0"/>
      <w:marRight w:val="0"/>
      <w:marTop w:val="0"/>
      <w:marBottom w:val="0"/>
      <w:divBdr>
        <w:top w:val="none" w:sz="0" w:space="0" w:color="auto"/>
        <w:left w:val="none" w:sz="0" w:space="0" w:color="auto"/>
        <w:bottom w:val="none" w:sz="0" w:space="0" w:color="auto"/>
        <w:right w:val="none" w:sz="0" w:space="0" w:color="auto"/>
      </w:divBdr>
    </w:div>
    <w:div w:id="18666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AF70-CE3C-43A3-A8A0-F2FC8269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3</Pages>
  <Words>1389</Words>
  <Characters>7922</Characters>
  <Application>Microsoft Office Word</Application>
  <DocSecurity>0</DocSecurity>
  <Lines>66</Lines>
  <Paragraphs>18</Paragraphs>
  <ScaleCrop>false</ScaleCrop>
  <Company>TRT. Ltd. Co.</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李维</cp:lastModifiedBy>
  <cp:revision>4</cp:revision>
  <cp:lastPrinted>2007-07-19T00:46:00Z</cp:lastPrinted>
  <dcterms:created xsi:type="dcterms:W3CDTF">2019-07-16T08:51:00Z</dcterms:created>
  <dcterms:modified xsi:type="dcterms:W3CDTF">2019-07-16T09:29:00Z</dcterms:modified>
</cp:coreProperties>
</file>