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0C1E17" w:rsidRPr="00E74406" w:rsidRDefault="000C1E17" w:rsidP="004061AC">
      <w:pPr>
        <w:autoSpaceDE w:val="0"/>
        <w:autoSpaceDN w:val="0"/>
        <w:adjustRightInd w:val="0"/>
        <w:spacing w:line="360" w:lineRule="auto"/>
        <w:jc w:val="left"/>
        <w:rPr>
          <w:rFonts w:eastAsiaTheme="minorEastAsia"/>
          <w:color w:val="000000" w:themeColor="text1"/>
          <w:kern w:val="0"/>
          <w:sz w:val="24"/>
          <w:szCs w:val="24"/>
        </w:rPr>
      </w:pPr>
    </w:p>
    <w:p w:rsidR="000C1E17" w:rsidRPr="00E74406" w:rsidRDefault="000C1E17" w:rsidP="004061AC">
      <w:pPr>
        <w:autoSpaceDE w:val="0"/>
        <w:autoSpaceDN w:val="0"/>
        <w:adjustRightInd w:val="0"/>
        <w:spacing w:line="360" w:lineRule="auto"/>
        <w:jc w:val="left"/>
        <w:rPr>
          <w:rFonts w:eastAsiaTheme="minorEastAsia"/>
          <w:color w:val="000000" w:themeColor="text1"/>
          <w:kern w:val="0"/>
          <w:sz w:val="24"/>
          <w:szCs w:val="24"/>
        </w:rPr>
      </w:pPr>
    </w:p>
    <w:p w:rsidR="002279D3" w:rsidRPr="004819A0" w:rsidRDefault="002279D3" w:rsidP="00542546">
      <w:pPr>
        <w:spacing w:line="360" w:lineRule="auto"/>
        <w:jc w:val="center"/>
        <w:rPr>
          <w:rFonts w:eastAsiaTheme="minorEastAsia"/>
          <w:b/>
          <w:color w:val="000000" w:themeColor="text1"/>
          <w:sz w:val="24"/>
          <w:szCs w:val="24"/>
        </w:rPr>
      </w:pPr>
      <w:r w:rsidRPr="004819A0">
        <w:rPr>
          <w:rFonts w:eastAsiaTheme="minorEastAsia"/>
          <w:b/>
          <w:color w:val="000000" w:themeColor="text1"/>
          <w:sz w:val="24"/>
          <w:szCs w:val="24"/>
        </w:rPr>
        <w:t>国投瑞银瑞盛灵活配置混合型证券投资基金</w:t>
      </w:r>
      <w:r w:rsidRPr="004819A0">
        <w:rPr>
          <w:rFonts w:eastAsiaTheme="minorEastAsia"/>
          <w:b/>
          <w:color w:val="000000" w:themeColor="text1"/>
          <w:sz w:val="24"/>
          <w:szCs w:val="24"/>
        </w:rPr>
        <w:t>(LOF)</w:t>
      </w:r>
    </w:p>
    <w:p w:rsidR="002279D3" w:rsidRPr="004819A0" w:rsidRDefault="002279D3" w:rsidP="00542546">
      <w:pPr>
        <w:spacing w:line="360" w:lineRule="auto"/>
        <w:jc w:val="center"/>
        <w:rPr>
          <w:rFonts w:eastAsiaTheme="minorEastAsia"/>
          <w:b/>
          <w:color w:val="000000" w:themeColor="text1"/>
          <w:sz w:val="24"/>
          <w:szCs w:val="24"/>
        </w:rPr>
      </w:pPr>
      <w:r w:rsidRPr="004819A0">
        <w:rPr>
          <w:rFonts w:eastAsiaTheme="minorEastAsia"/>
          <w:b/>
          <w:color w:val="000000" w:themeColor="text1"/>
          <w:sz w:val="24"/>
          <w:szCs w:val="24"/>
        </w:rPr>
        <w:t>2019</w:t>
      </w:r>
      <w:r w:rsidRPr="004819A0">
        <w:rPr>
          <w:rFonts w:eastAsiaTheme="minorEastAsia"/>
          <w:b/>
          <w:color w:val="000000" w:themeColor="text1"/>
          <w:sz w:val="24"/>
          <w:szCs w:val="24"/>
        </w:rPr>
        <w:t>年第</w:t>
      </w:r>
      <w:r w:rsidRPr="004819A0">
        <w:rPr>
          <w:rFonts w:eastAsiaTheme="minorEastAsia"/>
          <w:b/>
          <w:color w:val="000000" w:themeColor="text1"/>
          <w:sz w:val="24"/>
          <w:szCs w:val="24"/>
        </w:rPr>
        <w:t>2</w:t>
      </w:r>
      <w:r w:rsidRPr="004819A0">
        <w:rPr>
          <w:rFonts w:eastAsiaTheme="minorEastAsia"/>
          <w:b/>
          <w:color w:val="000000" w:themeColor="text1"/>
          <w:sz w:val="24"/>
          <w:szCs w:val="24"/>
        </w:rPr>
        <w:t>季度报告</w:t>
      </w:r>
    </w:p>
    <w:p w:rsidR="004061AC" w:rsidRPr="004819A0" w:rsidRDefault="00655CD8" w:rsidP="00542546">
      <w:pPr>
        <w:spacing w:line="360" w:lineRule="auto"/>
        <w:jc w:val="center"/>
        <w:rPr>
          <w:rFonts w:eastAsiaTheme="minorEastAsia"/>
          <w:b/>
          <w:color w:val="000000" w:themeColor="text1"/>
          <w:sz w:val="24"/>
          <w:szCs w:val="24"/>
        </w:rPr>
      </w:pPr>
      <w:r w:rsidRPr="004819A0">
        <w:rPr>
          <w:rFonts w:eastAsiaTheme="minorEastAsia"/>
          <w:b/>
          <w:color w:val="000000" w:themeColor="text1"/>
          <w:sz w:val="24"/>
          <w:szCs w:val="24"/>
        </w:rPr>
        <w:t>2019</w:t>
      </w:r>
      <w:r w:rsidRPr="004819A0">
        <w:rPr>
          <w:rFonts w:eastAsiaTheme="minorEastAsia"/>
          <w:b/>
          <w:color w:val="000000" w:themeColor="text1"/>
          <w:sz w:val="24"/>
          <w:szCs w:val="24"/>
        </w:rPr>
        <w:t>年</w:t>
      </w:r>
      <w:r w:rsidRPr="004819A0">
        <w:rPr>
          <w:rFonts w:eastAsiaTheme="minorEastAsia"/>
          <w:b/>
          <w:color w:val="000000" w:themeColor="text1"/>
          <w:sz w:val="24"/>
          <w:szCs w:val="24"/>
        </w:rPr>
        <w:t>6</w:t>
      </w:r>
      <w:r w:rsidRPr="004819A0">
        <w:rPr>
          <w:rFonts w:eastAsiaTheme="minorEastAsia"/>
          <w:b/>
          <w:color w:val="000000" w:themeColor="text1"/>
          <w:sz w:val="24"/>
          <w:szCs w:val="24"/>
        </w:rPr>
        <w:t>月</w:t>
      </w:r>
      <w:r w:rsidRPr="004819A0">
        <w:rPr>
          <w:rFonts w:eastAsiaTheme="minorEastAsia"/>
          <w:b/>
          <w:color w:val="000000" w:themeColor="text1"/>
          <w:sz w:val="24"/>
          <w:szCs w:val="24"/>
        </w:rPr>
        <w:t>30</w:t>
      </w:r>
      <w:r w:rsidRPr="004819A0">
        <w:rPr>
          <w:rFonts w:eastAsiaTheme="minorEastAsia"/>
          <w:b/>
          <w:color w:val="000000" w:themeColor="text1"/>
          <w:sz w:val="24"/>
          <w:szCs w:val="24"/>
        </w:rPr>
        <w:t>日</w:t>
      </w: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bookmarkStart w:id="0" w:name="_GoBack"/>
      <w:bookmarkEnd w:id="0"/>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jc w:val="center"/>
        <w:rPr>
          <w:rFonts w:eastAsiaTheme="minorEastAsia"/>
          <w:b/>
          <w:bCs/>
          <w:color w:val="000000" w:themeColor="text1"/>
          <w:sz w:val="24"/>
          <w:szCs w:val="24"/>
        </w:rPr>
      </w:pPr>
    </w:p>
    <w:p w:rsidR="004061AC" w:rsidRPr="00E74406" w:rsidRDefault="004061AC" w:rsidP="004061AC">
      <w:pPr>
        <w:spacing w:line="360" w:lineRule="auto"/>
        <w:rPr>
          <w:rFonts w:eastAsiaTheme="minorEastAsia"/>
          <w:b/>
          <w:bCs/>
          <w:color w:val="000000" w:themeColor="text1"/>
          <w:sz w:val="24"/>
          <w:szCs w:val="24"/>
        </w:rPr>
      </w:pPr>
    </w:p>
    <w:p w:rsidR="004061AC" w:rsidRPr="00E74406" w:rsidRDefault="004061AC" w:rsidP="00542546">
      <w:pPr>
        <w:spacing w:line="360" w:lineRule="auto"/>
        <w:ind w:firstLineChars="900" w:firstLine="2168"/>
        <w:rPr>
          <w:rFonts w:eastAsiaTheme="minorEastAsia"/>
          <w:b/>
          <w:color w:val="000000" w:themeColor="text1"/>
          <w:sz w:val="24"/>
          <w:szCs w:val="24"/>
        </w:rPr>
      </w:pPr>
      <w:r w:rsidRPr="00E74406">
        <w:rPr>
          <w:rFonts w:eastAsiaTheme="minorEastAsia"/>
          <w:b/>
          <w:color w:val="000000" w:themeColor="text1"/>
          <w:sz w:val="24"/>
          <w:szCs w:val="24"/>
        </w:rPr>
        <w:t>基金管理人：国投瑞银基金管理有限公司</w:t>
      </w:r>
    </w:p>
    <w:p w:rsidR="004061AC" w:rsidRPr="00E74406" w:rsidRDefault="004061AC" w:rsidP="00542546">
      <w:pPr>
        <w:spacing w:line="360" w:lineRule="auto"/>
        <w:ind w:firstLineChars="900" w:firstLine="2168"/>
        <w:rPr>
          <w:rFonts w:eastAsiaTheme="minorEastAsia"/>
          <w:b/>
          <w:color w:val="000000" w:themeColor="text1"/>
          <w:sz w:val="24"/>
          <w:szCs w:val="24"/>
        </w:rPr>
      </w:pPr>
      <w:r w:rsidRPr="00E74406">
        <w:rPr>
          <w:rFonts w:eastAsiaTheme="minorEastAsia"/>
          <w:b/>
          <w:color w:val="000000" w:themeColor="text1"/>
          <w:sz w:val="24"/>
          <w:szCs w:val="24"/>
        </w:rPr>
        <w:t>基金托管人：中国银行股份有限公司</w:t>
      </w:r>
    </w:p>
    <w:p w:rsidR="004061AC" w:rsidRPr="00E74406" w:rsidRDefault="004061AC" w:rsidP="00542546">
      <w:pPr>
        <w:spacing w:line="360" w:lineRule="auto"/>
        <w:ind w:firstLineChars="900" w:firstLine="2168"/>
        <w:rPr>
          <w:rFonts w:eastAsiaTheme="minorEastAsia"/>
          <w:b/>
          <w:color w:val="000000" w:themeColor="text1"/>
          <w:sz w:val="24"/>
          <w:szCs w:val="24"/>
        </w:rPr>
        <w:sectPr w:rsidR="004061AC" w:rsidRPr="00E74406" w:rsidSect="00304A12">
          <w:headerReference w:type="default" r:id="rId8"/>
          <w:footerReference w:type="default" r:id="rId9"/>
          <w:pgSz w:w="11926" w:h="15840"/>
          <w:pgMar w:top="1418" w:right="1418" w:bottom="851" w:left="1418" w:header="851" w:footer="992" w:gutter="0"/>
          <w:cols w:space="720"/>
          <w:noEndnote/>
        </w:sectPr>
      </w:pPr>
      <w:r w:rsidRPr="00E74406">
        <w:rPr>
          <w:rFonts w:eastAsiaTheme="minorEastAsia"/>
          <w:b/>
          <w:color w:val="000000" w:themeColor="text1"/>
          <w:sz w:val="24"/>
          <w:szCs w:val="24"/>
        </w:rPr>
        <w:t>报告送出日期：</w:t>
      </w:r>
      <w:r w:rsidR="00F16E3F" w:rsidRPr="00E74406">
        <w:rPr>
          <w:rFonts w:eastAsiaTheme="minorEastAsia"/>
          <w:b/>
          <w:color w:val="000000" w:themeColor="text1"/>
          <w:sz w:val="24"/>
          <w:szCs w:val="24"/>
        </w:rPr>
        <w:t>二〇一九年七月十八日</w:t>
      </w:r>
    </w:p>
    <w:p w:rsidR="004061AC" w:rsidRPr="00E74406" w:rsidRDefault="004061AC" w:rsidP="00104A8C">
      <w:pPr>
        <w:pStyle w:val="1"/>
        <w:spacing w:beforeLines="100" w:afterLines="100" w:line="360" w:lineRule="auto"/>
        <w:jc w:val="center"/>
        <w:rPr>
          <w:rFonts w:eastAsiaTheme="minorEastAsia"/>
          <w:b w:val="0"/>
          <w:bCs w:val="0"/>
          <w:color w:val="000000" w:themeColor="text1"/>
          <w:kern w:val="0"/>
          <w:sz w:val="24"/>
          <w:szCs w:val="24"/>
        </w:rPr>
      </w:pPr>
      <w:r w:rsidRPr="00E74406">
        <w:rPr>
          <w:rFonts w:eastAsiaTheme="minorEastAsia"/>
          <w:color w:val="000000" w:themeColor="text1"/>
          <w:kern w:val="0"/>
          <w:sz w:val="24"/>
          <w:szCs w:val="24"/>
        </w:rPr>
        <w:lastRenderedPageBreak/>
        <w:t xml:space="preserve">§1  </w:t>
      </w:r>
      <w:r w:rsidRPr="00E74406">
        <w:rPr>
          <w:rFonts w:eastAsiaTheme="minorEastAsia"/>
          <w:color w:val="000000" w:themeColor="text1"/>
          <w:kern w:val="0"/>
          <w:sz w:val="24"/>
          <w:szCs w:val="24"/>
        </w:rPr>
        <w:t>重要提示</w:t>
      </w:r>
    </w:p>
    <w:tbl>
      <w:tblPr>
        <w:tblStyle w:val="af7"/>
        <w:tblW w:w="0" w:type="auto"/>
        <w:tblLook w:val="04A0"/>
      </w:tblPr>
      <w:tblGrid>
        <w:gridCol w:w="8528"/>
      </w:tblGrid>
      <w:tr w:rsidR="006B42EA" w:rsidRPr="00E74406" w:rsidTr="006B42EA">
        <w:tc>
          <w:tcPr>
            <w:tcW w:w="8528" w:type="dxa"/>
          </w:tcPr>
          <w:p w:rsidR="00217638" w:rsidRDefault="00A071BC">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基金管理人的董事会及董事保证本报告所载资料不存在虚假记载、误导性陈述或重大遗漏，并对其内容的真实性、准确性和完整性承担个别及连带责任。</w:t>
            </w:r>
          </w:p>
          <w:p w:rsidR="00217638" w:rsidRDefault="00A071BC">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基金托管人中国银行股份有限公司根据本基金合同规定，于</w:t>
            </w:r>
            <w:r>
              <w:rPr>
                <w:rFonts w:eastAsiaTheme="minorEastAsia"/>
                <w:color w:val="000000" w:themeColor="text1"/>
                <w:sz w:val="24"/>
                <w:szCs w:val="24"/>
              </w:rPr>
              <w:t>2019</w:t>
            </w:r>
            <w:r>
              <w:rPr>
                <w:rFonts w:eastAsiaTheme="minorEastAsia"/>
                <w:color w:val="000000" w:themeColor="text1"/>
                <w:sz w:val="24"/>
                <w:szCs w:val="24"/>
              </w:rPr>
              <w:t>年</w:t>
            </w:r>
            <w:r>
              <w:rPr>
                <w:rFonts w:eastAsiaTheme="minorEastAsia"/>
                <w:color w:val="000000" w:themeColor="text1"/>
                <w:sz w:val="24"/>
                <w:szCs w:val="24"/>
              </w:rPr>
              <w:t>7</w:t>
            </w:r>
            <w:r>
              <w:rPr>
                <w:rFonts w:eastAsiaTheme="minorEastAsia"/>
                <w:color w:val="000000" w:themeColor="text1"/>
                <w:sz w:val="24"/>
                <w:szCs w:val="24"/>
              </w:rPr>
              <w:t>月</w:t>
            </w:r>
            <w:r>
              <w:rPr>
                <w:rFonts w:eastAsiaTheme="minorEastAsia"/>
                <w:color w:val="000000" w:themeColor="text1"/>
                <w:sz w:val="24"/>
                <w:szCs w:val="24"/>
              </w:rPr>
              <w:t>17</w:t>
            </w:r>
            <w:r>
              <w:rPr>
                <w:rFonts w:eastAsiaTheme="minorEastAsia"/>
                <w:color w:val="000000" w:themeColor="text1"/>
                <w:sz w:val="24"/>
                <w:szCs w:val="24"/>
              </w:rPr>
              <w:t>日复核了本报告中的财务指标、净值表现和投资组合报告等内容，保证复核内容不存在虚假记载、误导性陈述或者重大遗漏。</w:t>
            </w:r>
          </w:p>
          <w:p w:rsidR="00217638" w:rsidRDefault="00A071BC">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基金管理人承诺以诚实信用、勤勉尽责的原则管理和运用基金资产，但不保证基金一定盈利。</w:t>
            </w:r>
          </w:p>
          <w:p w:rsidR="00217638" w:rsidRDefault="00A071BC">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基金的过往业绩并不代表其未来表现。投资有风险，投资者在作出投资决策前应仔细阅读本基金的招募说明书。</w:t>
            </w:r>
          </w:p>
          <w:p w:rsidR="00217638" w:rsidRDefault="00A071BC">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本报告中财务资料未经审计。</w:t>
            </w:r>
          </w:p>
          <w:p w:rsidR="006B42EA" w:rsidRPr="00E74406" w:rsidRDefault="006B42EA"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本报告期自</w:t>
            </w:r>
            <w:r w:rsidRPr="00E74406">
              <w:rPr>
                <w:rFonts w:eastAsiaTheme="minorEastAsia"/>
                <w:color w:val="000000" w:themeColor="text1"/>
                <w:sz w:val="24"/>
                <w:szCs w:val="24"/>
              </w:rPr>
              <w:t>2019</w:t>
            </w:r>
            <w:r w:rsidRPr="00E74406">
              <w:rPr>
                <w:rFonts w:eastAsiaTheme="minorEastAsia"/>
                <w:color w:val="000000" w:themeColor="text1"/>
                <w:sz w:val="24"/>
                <w:szCs w:val="24"/>
              </w:rPr>
              <w:t>年</w:t>
            </w:r>
            <w:r w:rsidRPr="00E74406">
              <w:rPr>
                <w:rFonts w:eastAsiaTheme="minorEastAsia"/>
                <w:color w:val="000000" w:themeColor="text1"/>
                <w:sz w:val="24"/>
                <w:szCs w:val="24"/>
              </w:rPr>
              <w:t>4</w:t>
            </w:r>
            <w:r w:rsidRPr="00E74406">
              <w:rPr>
                <w:rFonts w:eastAsiaTheme="minorEastAsia"/>
                <w:color w:val="000000" w:themeColor="text1"/>
                <w:sz w:val="24"/>
                <w:szCs w:val="24"/>
              </w:rPr>
              <w:t>月</w:t>
            </w:r>
            <w:r w:rsidRPr="00E74406">
              <w:rPr>
                <w:rFonts w:eastAsiaTheme="minorEastAsia"/>
                <w:color w:val="000000" w:themeColor="text1"/>
                <w:sz w:val="24"/>
                <w:szCs w:val="24"/>
              </w:rPr>
              <w:t>1</w:t>
            </w:r>
            <w:r w:rsidRPr="00E74406">
              <w:rPr>
                <w:rFonts w:eastAsiaTheme="minorEastAsia"/>
                <w:color w:val="000000" w:themeColor="text1"/>
                <w:sz w:val="24"/>
                <w:szCs w:val="24"/>
              </w:rPr>
              <w:t>日起至</w:t>
            </w:r>
            <w:r w:rsidRPr="00E74406">
              <w:rPr>
                <w:rFonts w:eastAsiaTheme="minorEastAsia"/>
                <w:color w:val="000000" w:themeColor="text1"/>
                <w:sz w:val="24"/>
                <w:szCs w:val="24"/>
              </w:rPr>
              <w:t>6</w:t>
            </w:r>
            <w:r w:rsidRPr="00E74406">
              <w:rPr>
                <w:rFonts w:eastAsiaTheme="minorEastAsia"/>
                <w:color w:val="000000" w:themeColor="text1"/>
                <w:sz w:val="24"/>
                <w:szCs w:val="24"/>
              </w:rPr>
              <w:t>月</w:t>
            </w:r>
            <w:r w:rsidRPr="00E74406">
              <w:rPr>
                <w:rFonts w:eastAsiaTheme="minorEastAsia"/>
                <w:color w:val="000000" w:themeColor="text1"/>
                <w:sz w:val="24"/>
                <w:szCs w:val="24"/>
              </w:rPr>
              <w:t>30</w:t>
            </w:r>
            <w:r w:rsidRPr="00E74406">
              <w:rPr>
                <w:rFonts w:eastAsiaTheme="minorEastAsia"/>
                <w:color w:val="000000" w:themeColor="text1"/>
                <w:sz w:val="24"/>
                <w:szCs w:val="24"/>
              </w:rPr>
              <w:t>日止。</w:t>
            </w:r>
          </w:p>
        </w:tc>
      </w:tr>
    </w:tbl>
    <w:p w:rsidR="004061AC" w:rsidRPr="00E74406" w:rsidRDefault="004061AC" w:rsidP="00104A8C">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 xml:space="preserve">§2  </w:t>
      </w:r>
      <w:r w:rsidRPr="00E74406">
        <w:rPr>
          <w:rFonts w:eastAsiaTheme="minorEastAsia"/>
          <w:color w:val="000000" w:themeColor="text1"/>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5479"/>
      </w:tblGrid>
      <w:tr w:rsidR="00220C32" w:rsidRPr="00E74406" w:rsidTr="00BF6314">
        <w:tc>
          <w:tcPr>
            <w:tcW w:w="2835" w:type="dxa"/>
            <w:vAlign w:val="center"/>
          </w:tcPr>
          <w:p w:rsidR="004061AC" w:rsidRPr="00E74406" w:rsidRDefault="004061AC"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基金简称</w:t>
            </w:r>
          </w:p>
        </w:tc>
        <w:tc>
          <w:tcPr>
            <w:tcW w:w="5479" w:type="dxa"/>
            <w:vAlign w:val="center"/>
          </w:tcPr>
          <w:p w:rsidR="004061AC" w:rsidRPr="00E74406" w:rsidRDefault="004061AC"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国投瑞银瑞盛混合（</w:t>
            </w:r>
            <w:r w:rsidRPr="00E74406">
              <w:rPr>
                <w:rFonts w:eastAsiaTheme="minorEastAsia"/>
                <w:color w:val="000000" w:themeColor="text1"/>
                <w:kern w:val="0"/>
                <w:sz w:val="24"/>
                <w:szCs w:val="24"/>
              </w:rPr>
              <w:t>LOF</w:t>
            </w:r>
            <w:r w:rsidRPr="00E74406">
              <w:rPr>
                <w:rFonts w:eastAsiaTheme="minorEastAsia"/>
                <w:color w:val="000000" w:themeColor="text1"/>
                <w:kern w:val="0"/>
                <w:sz w:val="24"/>
                <w:szCs w:val="24"/>
              </w:rPr>
              <w:t>）</w:t>
            </w:r>
          </w:p>
        </w:tc>
      </w:tr>
      <w:tr w:rsidR="00220C32" w:rsidRPr="00E74406" w:rsidTr="00C37530">
        <w:tc>
          <w:tcPr>
            <w:tcW w:w="2835" w:type="dxa"/>
            <w:vAlign w:val="center"/>
          </w:tcPr>
          <w:p w:rsidR="00C37530" w:rsidRPr="00E74406" w:rsidRDefault="00C37530" w:rsidP="00C37530">
            <w:pPr>
              <w:rPr>
                <w:rFonts w:eastAsiaTheme="minorEastAsia"/>
                <w:color w:val="000000" w:themeColor="text1"/>
                <w:sz w:val="24"/>
                <w:szCs w:val="24"/>
              </w:rPr>
            </w:pPr>
            <w:r w:rsidRPr="00E74406">
              <w:rPr>
                <w:rFonts w:eastAsiaTheme="minorEastAsia"/>
                <w:color w:val="000000" w:themeColor="text1"/>
                <w:sz w:val="24"/>
                <w:szCs w:val="24"/>
              </w:rPr>
              <w:t>场内简称</w:t>
            </w:r>
          </w:p>
        </w:tc>
        <w:tc>
          <w:tcPr>
            <w:tcW w:w="5479" w:type="dxa"/>
            <w:vAlign w:val="center"/>
          </w:tcPr>
          <w:p w:rsidR="00C37530" w:rsidRPr="00E74406" w:rsidRDefault="00C37530" w:rsidP="00C37530">
            <w:pPr>
              <w:rPr>
                <w:rFonts w:eastAsiaTheme="minorEastAsia"/>
                <w:color w:val="000000" w:themeColor="text1"/>
                <w:sz w:val="24"/>
                <w:szCs w:val="24"/>
              </w:rPr>
            </w:pPr>
            <w:r w:rsidRPr="00E74406">
              <w:rPr>
                <w:rFonts w:eastAsiaTheme="minorEastAsia"/>
                <w:color w:val="000000" w:themeColor="text1"/>
                <w:sz w:val="24"/>
                <w:szCs w:val="24"/>
              </w:rPr>
              <w:t>国投瑞盛</w:t>
            </w:r>
          </w:p>
        </w:tc>
      </w:tr>
      <w:tr w:rsidR="00220C32" w:rsidRPr="00E74406"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E74406" w:rsidRDefault="00D94B8D"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基金主代码</w:t>
            </w:r>
          </w:p>
        </w:tc>
        <w:tc>
          <w:tcPr>
            <w:tcW w:w="5479" w:type="dxa"/>
            <w:tcBorders>
              <w:top w:val="single" w:sz="4" w:space="0" w:color="auto"/>
              <w:left w:val="single" w:sz="4" w:space="0" w:color="auto"/>
              <w:bottom w:val="single" w:sz="4" w:space="0" w:color="auto"/>
              <w:right w:val="single" w:sz="4" w:space="0" w:color="auto"/>
            </w:tcBorders>
            <w:vAlign w:val="center"/>
            <w:hideMark/>
          </w:tcPr>
          <w:p w:rsidR="00D94B8D" w:rsidRPr="00E74406" w:rsidRDefault="00D94B8D"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161232</w:t>
            </w:r>
          </w:p>
        </w:tc>
      </w:tr>
      <w:tr w:rsidR="00220C32" w:rsidRPr="00E74406"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E74406" w:rsidRDefault="001B2F35"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1B2F35" w:rsidRPr="00E74406" w:rsidRDefault="00C5218C" w:rsidP="00BF6314">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161232</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基金运作方式</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契约型基金。基金合同生效后，封闭期为</w:t>
            </w:r>
            <w:r w:rsidRPr="00E74406">
              <w:rPr>
                <w:rFonts w:eastAsiaTheme="minorEastAsia"/>
                <w:color w:val="000000" w:themeColor="text1"/>
                <w:kern w:val="0"/>
                <w:sz w:val="24"/>
                <w:szCs w:val="24"/>
              </w:rPr>
              <w:t>18</w:t>
            </w:r>
            <w:r w:rsidRPr="00E74406">
              <w:rPr>
                <w:rFonts w:eastAsiaTheme="minorEastAsia"/>
                <w:color w:val="000000" w:themeColor="text1"/>
                <w:kern w:val="0"/>
                <w:sz w:val="24"/>
                <w:szCs w:val="24"/>
              </w:rPr>
              <w:t>个月（含</w:t>
            </w:r>
            <w:r w:rsidRPr="00E74406">
              <w:rPr>
                <w:rFonts w:eastAsiaTheme="minorEastAsia"/>
                <w:color w:val="000000" w:themeColor="text1"/>
                <w:kern w:val="0"/>
                <w:sz w:val="24"/>
                <w:szCs w:val="24"/>
              </w:rPr>
              <w:t>18</w:t>
            </w:r>
            <w:r w:rsidRPr="00E74406">
              <w:rPr>
                <w:rFonts w:eastAsiaTheme="minorEastAsia"/>
                <w:color w:val="000000" w:themeColor="text1"/>
                <w:kern w:val="0"/>
                <w:sz w:val="24"/>
                <w:szCs w:val="24"/>
              </w:rPr>
              <w:t>个月），本基金封闭期自基金合同生效之日起至</w:t>
            </w:r>
            <w:r w:rsidRPr="00E74406">
              <w:rPr>
                <w:rFonts w:eastAsiaTheme="minorEastAsia"/>
                <w:color w:val="000000" w:themeColor="text1"/>
                <w:kern w:val="0"/>
                <w:sz w:val="24"/>
                <w:szCs w:val="24"/>
              </w:rPr>
              <w:t>18</w:t>
            </w:r>
            <w:r w:rsidRPr="00E74406">
              <w:rPr>
                <w:rFonts w:eastAsiaTheme="minorEastAsia"/>
                <w:color w:val="000000" w:themeColor="text1"/>
                <w:kern w:val="0"/>
                <w:sz w:val="24"/>
                <w:szCs w:val="24"/>
              </w:rPr>
              <w:t>个月后对应日前一个工作日止，在封闭期内不开放申购、赎回业务，但投资人可在本基金上市交易后通过深圳证券交易所转让基金份额。封闭期届满后，本基金转换为上市开放式基金（</w:t>
            </w:r>
            <w:r w:rsidRPr="00E74406">
              <w:rPr>
                <w:rFonts w:eastAsiaTheme="minorEastAsia"/>
                <w:color w:val="000000" w:themeColor="text1"/>
                <w:kern w:val="0"/>
                <w:sz w:val="24"/>
                <w:szCs w:val="24"/>
              </w:rPr>
              <w:t>LOF</w:t>
            </w:r>
            <w:r w:rsidRPr="00E74406">
              <w:rPr>
                <w:rFonts w:eastAsiaTheme="minorEastAsia"/>
                <w:color w:val="000000" w:themeColor="text1"/>
                <w:kern w:val="0"/>
                <w:sz w:val="24"/>
                <w:szCs w:val="24"/>
              </w:rPr>
              <w:t>）。</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基金合同生效日</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2016</w:t>
            </w:r>
            <w:r w:rsidRPr="00E74406">
              <w:rPr>
                <w:rFonts w:eastAsiaTheme="minorEastAsia"/>
                <w:color w:val="000000" w:themeColor="text1"/>
                <w:kern w:val="0"/>
                <w:sz w:val="24"/>
                <w:szCs w:val="24"/>
              </w:rPr>
              <w:t>年</w:t>
            </w:r>
            <w:r w:rsidRPr="00E74406">
              <w:rPr>
                <w:rFonts w:eastAsiaTheme="minorEastAsia"/>
                <w:color w:val="000000" w:themeColor="text1"/>
                <w:kern w:val="0"/>
                <w:sz w:val="24"/>
                <w:szCs w:val="24"/>
              </w:rPr>
              <w:t>5</w:t>
            </w:r>
            <w:r w:rsidRPr="00E74406">
              <w:rPr>
                <w:rFonts w:eastAsiaTheme="minorEastAsia"/>
                <w:color w:val="000000" w:themeColor="text1"/>
                <w:kern w:val="0"/>
                <w:sz w:val="24"/>
                <w:szCs w:val="24"/>
              </w:rPr>
              <w:t>月</w:t>
            </w:r>
            <w:r w:rsidRPr="00E74406">
              <w:rPr>
                <w:rFonts w:eastAsiaTheme="minorEastAsia"/>
                <w:color w:val="000000" w:themeColor="text1"/>
                <w:kern w:val="0"/>
                <w:sz w:val="24"/>
                <w:szCs w:val="24"/>
              </w:rPr>
              <w:t>25</w:t>
            </w:r>
            <w:r w:rsidRPr="00E74406">
              <w:rPr>
                <w:rFonts w:eastAsiaTheme="minorEastAsia"/>
                <w:color w:val="000000" w:themeColor="text1"/>
                <w:kern w:val="0"/>
                <w:sz w:val="24"/>
                <w:szCs w:val="24"/>
              </w:rPr>
              <w:t>日</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报告期末基金份额总额</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584,849,893.11</w:t>
            </w:r>
            <w:r w:rsidRPr="00E74406">
              <w:rPr>
                <w:rFonts w:eastAsiaTheme="minorEastAsia"/>
                <w:color w:val="000000" w:themeColor="text1"/>
                <w:kern w:val="0"/>
                <w:sz w:val="24"/>
                <w:szCs w:val="24"/>
              </w:rPr>
              <w:t>份</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lastRenderedPageBreak/>
              <w:t>投资目标</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在有效控制风险的前提下，通过股票与债券等资产的合理配置，力争基金资产的持续稳健增值。</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投资策略</w:t>
            </w:r>
          </w:p>
        </w:tc>
        <w:tc>
          <w:tcPr>
            <w:tcW w:w="5479" w:type="dxa"/>
            <w:vAlign w:val="center"/>
          </w:tcPr>
          <w:p w:rsidR="00217638" w:rsidRDefault="00A071BC">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本基金的投资策略包括类别资产配置策略、股票投资管理、折价与套利策略、债券投资策略等。</w:t>
            </w:r>
          </w:p>
          <w:p w:rsidR="00217638" w:rsidRDefault="00A071BC">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（一）类别资产配置</w:t>
            </w:r>
          </w:p>
          <w:p w:rsidR="00217638" w:rsidRDefault="00A071BC">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本基金根据各类资产的市场趋势和预期收益风险的比较判别，对股票、债券及货币市场工具等类别资产的配置比例进行动态调整，以期在投资中达到风险和收益的优化平衡。</w:t>
            </w:r>
          </w:p>
          <w:p w:rsidR="00217638" w:rsidRDefault="00A071BC">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（二）股票投资管理</w:t>
            </w:r>
          </w:p>
          <w:p w:rsidR="00217638" w:rsidRDefault="00A071BC">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股票投资管理包括行业配置策略和优选个股策略。</w:t>
            </w:r>
          </w:p>
          <w:p w:rsidR="00217638" w:rsidRDefault="00A071BC">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（三）折价与套利策略</w:t>
            </w:r>
          </w:p>
          <w:p w:rsidR="00217638" w:rsidRDefault="00A071BC">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折价与套利策略主要包括可转债投资策略、定向增发策略、大宗交易策略。</w:t>
            </w:r>
          </w:p>
          <w:p w:rsidR="00217638" w:rsidRDefault="00A071BC">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（四）债券投资管理</w:t>
            </w:r>
          </w:p>
          <w:p w:rsidR="00217638" w:rsidRDefault="00A071BC">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本基金采取</w:t>
            </w:r>
            <w:r>
              <w:rPr>
                <w:rFonts w:eastAsiaTheme="minorEastAsia"/>
                <w:color w:val="000000" w:themeColor="text1"/>
                <w:kern w:val="0"/>
                <w:sz w:val="24"/>
                <w:szCs w:val="24"/>
              </w:rPr>
              <w:t>"</w:t>
            </w:r>
            <w:r>
              <w:rPr>
                <w:rFonts w:eastAsiaTheme="minorEastAsia"/>
                <w:color w:val="000000" w:themeColor="text1"/>
                <w:kern w:val="0"/>
                <w:sz w:val="24"/>
                <w:szCs w:val="24"/>
              </w:rPr>
              <w:t>自上而下</w:t>
            </w:r>
            <w:r>
              <w:rPr>
                <w:rFonts w:eastAsiaTheme="minorEastAsia"/>
                <w:color w:val="000000" w:themeColor="text1"/>
                <w:kern w:val="0"/>
                <w:sz w:val="24"/>
                <w:szCs w:val="24"/>
              </w:rPr>
              <w:t>"</w:t>
            </w:r>
            <w:r>
              <w:rPr>
                <w:rFonts w:eastAsiaTheme="minorEastAsia"/>
                <w:color w:val="000000" w:themeColor="text1"/>
                <w:kern w:val="0"/>
                <w:sz w:val="24"/>
                <w:szCs w:val="24"/>
              </w:rPr>
              <w:t>的债券分析方法，确定债券投资组合，并管理组合风险。债券投资策略主要包括：久期策略、收益率曲线策略、类别选择策略和个券选择策略。</w:t>
            </w:r>
          </w:p>
          <w:p w:rsidR="00217638" w:rsidRDefault="00A071BC">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（五）衍生品投资策略</w:t>
            </w:r>
          </w:p>
          <w:p w:rsidR="00217638" w:rsidRDefault="00A071BC">
            <w:pPr>
              <w:adjustRightInd w:val="0"/>
              <w:spacing w:before="29" w:line="360" w:lineRule="auto"/>
              <w:ind w:left="17"/>
              <w:rPr>
                <w:rFonts w:eastAsiaTheme="minorEastAsia"/>
                <w:color w:val="000000" w:themeColor="text1"/>
                <w:sz w:val="24"/>
                <w:szCs w:val="24"/>
              </w:rPr>
            </w:pPr>
            <w:r>
              <w:rPr>
                <w:rFonts w:eastAsiaTheme="minorEastAsia"/>
                <w:color w:val="000000" w:themeColor="text1"/>
                <w:kern w:val="0"/>
                <w:sz w:val="24"/>
                <w:szCs w:val="24"/>
              </w:rPr>
              <w:t>1</w:t>
            </w:r>
            <w:r>
              <w:rPr>
                <w:rFonts w:eastAsiaTheme="minorEastAsia"/>
                <w:color w:val="000000" w:themeColor="text1"/>
                <w:kern w:val="0"/>
                <w:sz w:val="24"/>
                <w:szCs w:val="24"/>
              </w:rPr>
              <w:t>、股指期货投资策略：为更好地实现投资目标，本基金在注重风险管理的前提下，以套期保值为目的，适度运用股指期货。</w:t>
            </w:r>
          </w:p>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2</w:t>
            </w:r>
            <w:r w:rsidRPr="00E74406">
              <w:rPr>
                <w:rFonts w:eastAsiaTheme="minorEastAsia"/>
                <w:color w:val="000000" w:themeColor="text1"/>
                <w:kern w:val="0"/>
                <w:sz w:val="24"/>
                <w:szCs w:val="24"/>
              </w:rPr>
              <w:t>、国债期货投资策略：为有效控制债券投资的系统性风险，本基金根据风险管理的原则，以套期保值为目的，适度运用国债期货，提高投资组合的运作效率。</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业绩比较基准</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沪深</w:t>
            </w:r>
            <w:r w:rsidRPr="00E74406">
              <w:rPr>
                <w:rFonts w:eastAsiaTheme="minorEastAsia"/>
                <w:color w:val="000000" w:themeColor="text1"/>
                <w:kern w:val="0"/>
                <w:sz w:val="24"/>
                <w:szCs w:val="24"/>
              </w:rPr>
              <w:t xml:space="preserve">300 </w:t>
            </w:r>
            <w:r w:rsidRPr="00E74406">
              <w:rPr>
                <w:rFonts w:eastAsiaTheme="minorEastAsia"/>
                <w:color w:val="000000" w:themeColor="text1"/>
                <w:kern w:val="0"/>
                <w:sz w:val="24"/>
                <w:szCs w:val="24"/>
              </w:rPr>
              <w:t>指数收益率</w:t>
            </w:r>
            <w:r w:rsidRPr="00E74406">
              <w:rPr>
                <w:rFonts w:eastAsiaTheme="minorEastAsia"/>
                <w:color w:val="000000" w:themeColor="text1"/>
                <w:kern w:val="0"/>
                <w:sz w:val="24"/>
                <w:szCs w:val="24"/>
              </w:rPr>
              <w:t>×50%</w:t>
            </w:r>
            <w:r w:rsidRPr="00E74406">
              <w:rPr>
                <w:rFonts w:eastAsiaTheme="minorEastAsia"/>
                <w:color w:val="000000" w:themeColor="text1"/>
                <w:kern w:val="0"/>
                <w:sz w:val="24"/>
                <w:szCs w:val="24"/>
              </w:rPr>
              <w:t>＋中债综合指数收益率</w:t>
            </w:r>
            <w:r w:rsidRPr="00E74406">
              <w:rPr>
                <w:rFonts w:eastAsiaTheme="minorEastAsia"/>
                <w:color w:val="000000" w:themeColor="text1"/>
                <w:kern w:val="0"/>
                <w:sz w:val="24"/>
                <w:szCs w:val="24"/>
              </w:rPr>
              <w:t>×50%</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风险收益特征</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本基金为混合型基金，属于中高风险、中高收益的基金品种，其预期风险和预期收益高于债券型基金和货币市场基金，低于股票型基金。</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基金管理人</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国投瑞银基金管理有限公司</w:t>
            </w:r>
          </w:p>
        </w:tc>
      </w:tr>
      <w:tr w:rsidR="00220C32" w:rsidRPr="00E74406" w:rsidTr="00BF6314">
        <w:tc>
          <w:tcPr>
            <w:tcW w:w="2835"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基金托管人</w:t>
            </w:r>
          </w:p>
        </w:tc>
        <w:tc>
          <w:tcPr>
            <w:tcW w:w="5479" w:type="dxa"/>
            <w:vAlign w:val="center"/>
          </w:tcPr>
          <w:p w:rsidR="001B2F35" w:rsidRPr="00E74406" w:rsidRDefault="001B2F35" w:rsidP="00BF6314">
            <w:pPr>
              <w:adjustRightInd w:val="0"/>
              <w:spacing w:before="29" w:line="360" w:lineRule="auto"/>
              <w:ind w:left="17"/>
              <w:rPr>
                <w:rFonts w:eastAsiaTheme="minorEastAsia"/>
                <w:color w:val="000000" w:themeColor="text1"/>
                <w:sz w:val="24"/>
                <w:szCs w:val="24"/>
              </w:rPr>
            </w:pPr>
            <w:r w:rsidRPr="00E74406">
              <w:rPr>
                <w:rFonts w:eastAsiaTheme="minorEastAsia"/>
                <w:color w:val="000000" w:themeColor="text1"/>
                <w:kern w:val="0"/>
                <w:sz w:val="24"/>
                <w:szCs w:val="24"/>
              </w:rPr>
              <w:t>中国银行股份有限公司</w:t>
            </w:r>
          </w:p>
        </w:tc>
      </w:tr>
    </w:tbl>
    <w:p w:rsidR="004061AC" w:rsidRPr="00E74406" w:rsidRDefault="004061AC" w:rsidP="00104A8C">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 xml:space="preserve">§3  </w:t>
      </w:r>
      <w:r w:rsidRPr="00E74406">
        <w:rPr>
          <w:rFonts w:eastAsiaTheme="minorEastAsia"/>
          <w:color w:val="000000" w:themeColor="text1"/>
          <w:kern w:val="0"/>
          <w:sz w:val="24"/>
          <w:szCs w:val="24"/>
        </w:rPr>
        <w:t>主要财务指标和基金净值表现</w:t>
      </w: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3.1 </w:t>
      </w:r>
      <w:r w:rsidRPr="00E74406">
        <w:rPr>
          <w:rFonts w:eastAsiaTheme="minorEastAsia"/>
          <w:b/>
          <w:bCs/>
          <w:color w:val="000000" w:themeColor="text1"/>
          <w:kern w:val="0"/>
          <w:sz w:val="24"/>
          <w:szCs w:val="24"/>
        </w:rPr>
        <w:t>主要财务指标</w:t>
      </w:r>
    </w:p>
    <w:p w:rsidR="004061AC" w:rsidRPr="00E74406" w:rsidRDefault="004061AC" w:rsidP="004061AC">
      <w:pPr>
        <w:autoSpaceDE w:val="0"/>
        <w:autoSpaceDN w:val="0"/>
        <w:adjustRightInd w:val="0"/>
        <w:spacing w:before="29" w:line="360" w:lineRule="auto"/>
        <w:ind w:left="15"/>
        <w:jc w:val="right"/>
        <w:rPr>
          <w:rFonts w:eastAsiaTheme="minorEastAsia"/>
          <w:color w:val="000000" w:themeColor="text1"/>
          <w:kern w:val="0"/>
          <w:sz w:val="24"/>
          <w:szCs w:val="24"/>
        </w:rPr>
      </w:pPr>
      <w:r w:rsidRPr="00E74406">
        <w:rPr>
          <w:rFonts w:eastAsiaTheme="minorEastAsia"/>
          <w:color w:val="000000" w:themeColor="text1"/>
          <w:kern w:val="0"/>
          <w:sz w:val="24"/>
          <w:szCs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4962"/>
      </w:tblGrid>
      <w:tr w:rsidR="009A7032" w:rsidRPr="00E74406" w:rsidTr="009A7032">
        <w:tc>
          <w:tcPr>
            <w:tcW w:w="3402" w:type="dxa"/>
            <w:vAlign w:val="center"/>
          </w:tcPr>
          <w:p w:rsidR="00C21520" w:rsidRPr="00E74406" w:rsidRDefault="00C21520" w:rsidP="00237F09">
            <w:pPr>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主要财务指标</w:t>
            </w:r>
          </w:p>
        </w:tc>
        <w:tc>
          <w:tcPr>
            <w:tcW w:w="4962" w:type="dxa"/>
            <w:vAlign w:val="center"/>
          </w:tcPr>
          <w:p w:rsidR="009C60F7" w:rsidRPr="00E74406" w:rsidRDefault="009C60F7" w:rsidP="00237F09">
            <w:pPr>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报告期</w:t>
            </w:r>
          </w:p>
          <w:p w:rsidR="00C21520" w:rsidRPr="00E74406" w:rsidRDefault="009C60F7" w:rsidP="00237F09">
            <w:pPr>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(2019</w:t>
            </w:r>
            <w:r w:rsidRPr="00E74406">
              <w:rPr>
                <w:rFonts w:eastAsiaTheme="minorEastAsia"/>
                <w:color w:val="000000" w:themeColor="text1"/>
                <w:sz w:val="24"/>
                <w:szCs w:val="24"/>
              </w:rPr>
              <w:t>年</w:t>
            </w:r>
            <w:r w:rsidRPr="00E74406">
              <w:rPr>
                <w:rFonts w:eastAsiaTheme="minorEastAsia"/>
                <w:color w:val="000000" w:themeColor="text1"/>
                <w:sz w:val="24"/>
                <w:szCs w:val="24"/>
              </w:rPr>
              <w:t>4</w:t>
            </w:r>
            <w:r w:rsidRPr="00E74406">
              <w:rPr>
                <w:rFonts w:eastAsiaTheme="minorEastAsia"/>
                <w:color w:val="000000" w:themeColor="text1"/>
                <w:sz w:val="24"/>
                <w:szCs w:val="24"/>
              </w:rPr>
              <w:t>月</w:t>
            </w:r>
            <w:r w:rsidRPr="00E74406">
              <w:rPr>
                <w:rFonts w:eastAsiaTheme="minorEastAsia"/>
                <w:color w:val="000000" w:themeColor="text1"/>
                <w:sz w:val="24"/>
                <w:szCs w:val="24"/>
              </w:rPr>
              <w:t>1</w:t>
            </w:r>
            <w:r w:rsidRPr="00E74406">
              <w:rPr>
                <w:rFonts w:eastAsiaTheme="minorEastAsia"/>
                <w:color w:val="000000" w:themeColor="text1"/>
                <w:sz w:val="24"/>
                <w:szCs w:val="24"/>
              </w:rPr>
              <w:t>日</w:t>
            </w:r>
            <w:r w:rsidRPr="00E74406">
              <w:rPr>
                <w:rFonts w:eastAsiaTheme="minorEastAsia"/>
                <w:color w:val="000000" w:themeColor="text1"/>
                <w:sz w:val="24"/>
                <w:szCs w:val="24"/>
              </w:rPr>
              <w:t>-2019</w:t>
            </w:r>
            <w:r w:rsidRPr="00E74406">
              <w:rPr>
                <w:rFonts w:eastAsiaTheme="minorEastAsia"/>
                <w:color w:val="000000" w:themeColor="text1"/>
                <w:sz w:val="24"/>
                <w:szCs w:val="24"/>
              </w:rPr>
              <w:t>年</w:t>
            </w:r>
            <w:r w:rsidRPr="00E74406">
              <w:rPr>
                <w:rFonts w:eastAsiaTheme="minorEastAsia"/>
                <w:color w:val="000000" w:themeColor="text1"/>
                <w:sz w:val="24"/>
                <w:szCs w:val="24"/>
              </w:rPr>
              <w:t>6</w:t>
            </w:r>
            <w:r w:rsidRPr="00E74406">
              <w:rPr>
                <w:rFonts w:eastAsiaTheme="minorEastAsia"/>
                <w:color w:val="000000" w:themeColor="text1"/>
                <w:sz w:val="24"/>
                <w:szCs w:val="24"/>
              </w:rPr>
              <w:t>月</w:t>
            </w:r>
            <w:r w:rsidRPr="00E74406">
              <w:rPr>
                <w:rFonts w:eastAsiaTheme="minorEastAsia"/>
                <w:color w:val="000000" w:themeColor="text1"/>
                <w:sz w:val="24"/>
                <w:szCs w:val="24"/>
              </w:rPr>
              <w:t>30</w:t>
            </w:r>
            <w:r w:rsidRPr="00E74406">
              <w:rPr>
                <w:rFonts w:eastAsiaTheme="minorEastAsia"/>
                <w:color w:val="000000" w:themeColor="text1"/>
                <w:sz w:val="24"/>
                <w:szCs w:val="24"/>
              </w:rPr>
              <w:t>日</w:t>
            </w:r>
            <w:r w:rsidRPr="00E74406">
              <w:rPr>
                <w:rFonts w:eastAsiaTheme="minorEastAsia"/>
                <w:color w:val="000000" w:themeColor="text1"/>
                <w:sz w:val="24"/>
                <w:szCs w:val="24"/>
              </w:rPr>
              <w:t>)</w:t>
            </w:r>
          </w:p>
        </w:tc>
      </w:tr>
      <w:tr w:rsidR="009A7032" w:rsidRPr="00E74406" w:rsidTr="009A7032">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1.</w:t>
            </w:r>
            <w:r w:rsidRPr="00E74406">
              <w:rPr>
                <w:rFonts w:eastAsiaTheme="minorEastAsia"/>
                <w:color w:val="000000" w:themeColor="text1"/>
                <w:kern w:val="0"/>
                <w:sz w:val="24"/>
                <w:szCs w:val="24"/>
              </w:rPr>
              <w:t>本期已实现收益</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8,825,450.57</w:t>
            </w:r>
          </w:p>
        </w:tc>
      </w:tr>
      <w:tr w:rsidR="009A7032" w:rsidRPr="00E74406" w:rsidTr="009A7032">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2.</w:t>
            </w:r>
            <w:r w:rsidRPr="00E74406">
              <w:rPr>
                <w:rFonts w:eastAsiaTheme="minorEastAsia"/>
                <w:color w:val="000000" w:themeColor="text1"/>
                <w:kern w:val="0"/>
                <w:sz w:val="24"/>
                <w:szCs w:val="24"/>
              </w:rPr>
              <w:t>本期利润</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-11,106,662.03</w:t>
            </w:r>
          </w:p>
        </w:tc>
      </w:tr>
      <w:tr w:rsidR="009A7032" w:rsidRPr="00E74406" w:rsidTr="009A7032">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3.</w:t>
            </w:r>
            <w:r w:rsidRPr="00E74406">
              <w:rPr>
                <w:rFonts w:eastAsiaTheme="minorEastAsia"/>
                <w:color w:val="000000" w:themeColor="text1"/>
                <w:kern w:val="0"/>
                <w:sz w:val="24"/>
                <w:szCs w:val="24"/>
              </w:rPr>
              <w:t>加权平均基金份额本期利润</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-0.0188</w:t>
            </w:r>
          </w:p>
        </w:tc>
      </w:tr>
      <w:tr w:rsidR="009A7032" w:rsidRPr="00E74406" w:rsidTr="009A7032">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4.</w:t>
            </w:r>
            <w:r w:rsidRPr="00E74406">
              <w:rPr>
                <w:rFonts w:eastAsiaTheme="minorEastAsia"/>
                <w:color w:val="000000" w:themeColor="text1"/>
                <w:kern w:val="0"/>
                <w:sz w:val="24"/>
                <w:szCs w:val="24"/>
              </w:rPr>
              <w:t>期末基金资产净值</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387,961,656.58</w:t>
            </w:r>
          </w:p>
        </w:tc>
      </w:tr>
      <w:tr w:rsidR="009A7032" w:rsidRPr="00E74406" w:rsidTr="009A7032">
        <w:trPr>
          <w:trHeight w:val="158"/>
        </w:trPr>
        <w:tc>
          <w:tcPr>
            <w:tcW w:w="3402" w:type="dxa"/>
            <w:vAlign w:val="center"/>
          </w:tcPr>
          <w:p w:rsidR="00C21520" w:rsidRPr="00E74406" w:rsidRDefault="00C21520" w:rsidP="00237F09">
            <w:pPr>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5.</w:t>
            </w:r>
            <w:r w:rsidRPr="00E74406">
              <w:rPr>
                <w:rFonts w:eastAsiaTheme="minorEastAsia"/>
                <w:color w:val="000000" w:themeColor="text1"/>
                <w:kern w:val="0"/>
                <w:sz w:val="24"/>
                <w:szCs w:val="24"/>
              </w:rPr>
              <w:t>期末基金份额净值</w:t>
            </w:r>
          </w:p>
        </w:tc>
        <w:tc>
          <w:tcPr>
            <w:tcW w:w="4962" w:type="dxa"/>
            <w:vAlign w:val="center"/>
          </w:tcPr>
          <w:p w:rsidR="00C21520" w:rsidRPr="00E74406" w:rsidRDefault="00C21520" w:rsidP="00237F09">
            <w:pPr>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0.663</w:t>
            </w:r>
          </w:p>
        </w:tc>
      </w:tr>
    </w:tbl>
    <w:p w:rsidR="00217638" w:rsidRDefault="00A071BC">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color w:val="000000" w:themeColor="text1"/>
          <w:sz w:val="24"/>
          <w:szCs w:val="24"/>
        </w:rPr>
        <w:t>注：</w:t>
      </w:r>
      <w:r>
        <w:rPr>
          <w:rFonts w:eastAsiaTheme="minorEastAsia"/>
          <w:color w:val="000000" w:themeColor="text1"/>
          <w:sz w:val="24"/>
          <w:szCs w:val="24"/>
        </w:rPr>
        <w:t>1</w:t>
      </w:r>
      <w:r>
        <w:rPr>
          <w:rFonts w:eastAsiaTheme="minorEastAsia"/>
          <w:color w:val="000000" w:themeColor="text1"/>
          <w:sz w:val="24"/>
          <w:szCs w:val="24"/>
        </w:rPr>
        <w:t>、本期已实现收益指基金本期利息收入、投资收益、其他收入（不含公允价值变动收益）扣除相关费用后的余额，本期利润为本期已实现收益加上本期公允价值变动收益。</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2</w:t>
      </w:r>
      <w:r w:rsidRPr="00313F0D">
        <w:rPr>
          <w:rFonts w:eastAsiaTheme="minorEastAsia"/>
          <w:color w:val="000000" w:themeColor="text1"/>
          <w:sz w:val="24"/>
          <w:szCs w:val="24"/>
        </w:rPr>
        <w:t>、以上所述基金业绩指标不包括持有人认购或交易基金的各项费用（例如基金申购赎回费、基金转换费等），计入费用后实际利润水平要低于所列数字。</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3.2 </w:t>
      </w:r>
      <w:r w:rsidRPr="00E74406">
        <w:rPr>
          <w:rFonts w:eastAsiaTheme="minorEastAsia"/>
          <w:b/>
          <w:bCs/>
          <w:color w:val="000000" w:themeColor="text1"/>
          <w:kern w:val="0"/>
          <w:sz w:val="24"/>
          <w:szCs w:val="24"/>
        </w:rPr>
        <w:t>基金净值表现</w:t>
      </w:r>
    </w:p>
    <w:p w:rsidR="00CF6572"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3.2.1 </w:t>
      </w:r>
      <w:r w:rsidRPr="00E74406">
        <w:rPr>
          <w:rFonts w:eastAsiaTheme="minorEastAsia"/>
          <w:b/>
          <w:bCs/>
          <w:color w:val="000000" w:themeColor="text1"/>
          <w:kern w:val="0"/>
          <w:sz w:val="24"/>
          <w:szCs w:val="24"/>
        </w:rPr>
        <w:t>本报告期基金份额净值增长率及其与同期业绩比较基准收益率的比较</w:t>
      </w:r>
    </w:p>
    <w:tbl>
      <w:tblPr>
        <w:tblStyle w:val="af7"/>
        <w:tblW w:w="0" w:type="auto"/>
        <w:tblInd w:w="108" w:type="dxa"/>
        <w:tblLayout w:type="fixed"/>
        <w:tblLook w:val="04A0"/>
      </w:tblPr>
      <w:tblGrid>
        <w:gridCol w:w="1395"/>
        <w:gridCol w:w="1092"/>
        <w:gridCol w:w="1161"/>
        <w:gridCol w:w="1181"/>
        <w:gridCol w:w="1188"/>
        <w:gridCol w:w="1199"/>
        <w:gridCol w:w="1204"/>
      </w:tblGrid>
      <w:tr w:rsidR="00220C32" w:rsidRPr="00E74406" w:rsidTr="00BD7703">
        <w:tc>
          <w:tcPr>
            <w:tcW w:w="1395"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阶段</w:t>
            </w:r>
          </w:p>
        </w:tc>
        <w:tc>
          <w:tcPr>
            <w:tcW w:w="1092"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净值增长率</w:t>
            </w:r>
            <w:r w:rsidRPr="00E74406">
              <w:rPr>
                <w:rFonts w:ascii="宋体" w:hAnsi="宋体" w:cs="宋体" w:hint="eastAsia"/>
                <w:color w:val="000000" w:themeColor="text1"/>
                <w:sz w:val="24"/>
                <w:szCs w:val="24"/>
              </w:rPr>
              <w:t>①</w:t>
            </w:r>
          </w:p>
        </w:tc>
        <w:tc>
          <w:tcPr>
            <w:tcW w:w="1161"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净值增长率标准差</w:t>
            </w:r>
            <w:r w:rsidRPr="00E74406">
              <w:rPr>
                <w:rFonts w:ascii="宋体" w:hAnsi="宋体" w:cs="宋体" w:hint="eastAsia"/>
                <w:color w:val="000000" w:themeColor="text1"/>
                <w:sz w:val="24"/>
                <w:szCs w:val="24"/>
              </w:rPr>
              <w:t>②</w:t>
            </w:r>
          </w:p>
        </w:tc>
        <w:tc>
          <w:tcPr>
            <w:tcW w:w="1181"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业绩比较基准收益率</w:t>
            </w:r>
            <w:r w:rsidRPr="00E74406">
              <w:rPr>
                <w:rFonts w:ascii="宋体" w:hAnsi="宋体" w:cs="宋体" w:hint="eastAsia"/>
                <w:color w:val="000000" w:themeColor="text1"/>
                <w:sz w:val="24"/>
                <w:szCs w:val="24"/>
              </w:rPr>
              <w:t>③</w:t>
            </w:r>
          </w:p>
        </w:tc>
        <w:tc>
          <w:tcPr>
            <w:tcW w:w="1188"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业绩比较基准收益率标准差</w:t>
            </w:r>
            <w:r w:rsidRPr="00E74406">
              <w:rPr>
                <w:rFonts w:ascii="宋体" w:hAnsi="宋体" w:cs="宋体" w:hint="eastAsia"/>
                <w:color w:val="000000" w:themeColor="text1"/>
                <w:sz w:val="24"/>
                <w:szCs w:val="24"/>
              </w:rPr>
              <w:t>④</w:t>
            </w:r>
          </w:p>
        </w:tc>
        <w:tc>
          <w:tcPr>
            <w:tcW w:w="1199"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ascii="宋体" w:hAnsi="宋体" w:cs="宋体" w:hint="eastAsia"/>
                <w:color w:val="000000" w:themeColor="text1"/>
                <w:sz w:val="24"/>
                <w:szCs w:val="24"/>
              </w:rPr>
              <w:t>①</w:t>
            </w:r>
            <w:r w:rsidRPr="00E74406">
              <w:rPr>
                <w:rFonts w:eastAsiaTheme="minorEastAsia"/>
                <w:color w:val="000000" w:themeColor="text1"/>
                <w:sz w:val="24"/>
                <w:szCs w:val="24"/>
              </w:rPr>
              <w:t>-</w:t>
            </w:r>
            <w:r w:rsidRPr="00E74406">
              <w:rPr>
                <w:rFonts w:ascii="宋体" w:hAnsi="宋体" w:cs="宋体" w:hint="eastAsia"/>
                <w:color w:val="000000" w:themeColor="text1"/>
                <w:sz w:val="24"/>
                <w:szCs w:val="24"/>
              </w:rPr>
              <w:t>③</w:t>
            </w:r>
          </w:p>
        </w:tc>
        <w:tc>
          <w:tcPr>
            <w:tcW w:w="1204" w:type="dxa"/>
            <w:vAlign w:val="center"/>
          </w:tcPr>
          <w:p w:rsidR="00154BE1" w:rsidRPr="00E74406" w:rsidRDefault="00154BE1" w:rsidP="00CF6572">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ascii="宋体" w:hAnsi="宋体" w:cs="宋体" w:hint="eastAsia"/>
                <w:color w:val="000000" w:themeColor="text1"/>
                <w:sz w:val="24"/>
                <w:szCs w:val="24"/>
              </w:rPr>
              <w:t>②</w:t>
            </w:r>
            <w:r w:rsidRPr="00E74406">
              <w:rPr>
                <w:rFonts w:eastAsiaTheme="minorEastAsia"/>
                <w:color w:val="000000" w:themeColor="text1"/>
                <w:sz w:val="24"/>
                <w:szCs w:val="24"/>
              </w:rPr>
              <w:t>-</w:t>
            </w:r>
            <w:r w:rsidRPr="00E74406">
              <w:rPr>
                <w:rFonts w:ascii="宋体" w:hAnsi="宋体" w:cs="宋体" w:hint="eastAsia"/>
                <w:color w:val="000000" w:themeColor="text1"/>
                <w:sz w:val="24"/>
                <w:szCs w:val="24"/>
              </w:rPr>
              <w:t>④</w:t>
            </w:r>
          </w:p>
        </w:tc>
      </w:tr>
      <w:tr w:rsidR="00217638">
        <w:tc>
          <w:tcPr>
            <w:tcW w:w="1395" w:type="dxa"/>
            <w:vAlign w:val="center"/>
          </w:tcPr>
          <w:p w:rsidR="00217638" w:rsidRDefault="00A071BC">
            <w:pPr>
              <w:jc w:val="left"/>
            </w:pPr>
            <w:r>
              <w:rPr>
                <w:rFonts w:eastAsiaTheme="minorEastAsia"/>
                <w:color w:val="000000" w:themeColor="text1"/>
                <w:sz w:val="24"/>
                <w:szCs w:val="24"/>
              </w:rPr>
              <w:t>过去三个月</w:t>
            </w:r>
          </w:p>
        </w:tc>
        <w:tc>
          <w:tcPr>
            <w:tcW w:w="1092" w:type="dxa"/>
            <w:vAlign w:val="center"/>
          </w:tcPr>
          <w:p w:rsidR="00217638" w:rsidRDefault="00A071BC">
            <w:pPr>
              <w:jc w:val="center"/>
            </w:pPr>
            <w:r>
              <w:rPr>
                <w:rFonts w:eastAsiaTheme="minorEastAsia"/>
                <w:color w:val="000000" w:themeColor="text1"/>
                <w:sz w:val="24"/>
                <w:szCs w:val="24"/>
              </w:rPr>
              <w:t>-2.79%</w:t>
            </w:r>
          </w:p>
        </w:tc>
        <w:tc>
          <w:tcPr>
            <w:tcW w:w="1161" w:type="dxa"/>
            <w:vAlign w:val="center"/>
          </w:tcPr>
          <w:p w:rsidR="00217638" w:rsidRDefault="00A071BC">
            <w:pPr>
              <w:jc w:val="center"/>
            </w:pPr>
            <w:r>
              <w:rPr>
                <w:rFonts w:eastAsiaTheme="minorEastAsia"/>
                <w:color w:val="000000" w:themeColor="text1"/>
                <w:sz w:val="24"/>
                <w:szCs w:val="24"/>
              </w:rPr>
              <w:t>1.30%</w:t>
            </w:r>
          </w:p>
        </w:tc>
        <w:tc>
          <w:tcPr>
            <w:tcW w:w="1181" w:type="dxa"/>
            <w:vAlign w:val="center"/>
          </w:tcPr>
          <w:p w:rsidR="00217638" w:rsidRDefault="00A071BC">
            <w:pPr>
              <w:jc w:val="center"/>
            </w:pPr>
            <w:r>
              <w:rPr>
                <w:rFonts w:eastAsiaTheme="minorEastAsia"/>
                <w:color w:val="000000" w:themeColor="text1"/>
                <w:sz w:val="24"/>
                <w:szCs w:val="24"/>
              </w:rPr>
              <w:t>-0.54%</w:t>
            </w:r>
          </w:p>
        </w:tc>
        <w:tc>
          <w:tcPr>
            <w:tcW w:w="1188" w:type="dxa"/>
            <w:vAlign w:val="center"/>
          </w:tcPr>
          <w:p w:rsidR="00217638" w:rsidRDefault="00A071BC">
            <w:pPr>
              <w:jc w:val="center"/>
            </w:pPr>
            <w:r>
              <w:rPr>
                <w:rFonts w:eastAsiaTheme="minorEastAsia"/>
                <w:color w:val="000000" w:themeColor="text1"/>
                <w:sz w:val="24"/>
                <w:szCs w:val="24"/>
              </w:rPr>
              <w:t>0.75%</w:t>
            </w:r>
          </w:p>
        </w:tc>
        <w:tc>
          <w:tcPr>
            <w:tcW w:w="1199" w:type="dxa"/>
            <w:vAlign w:val="center"/>
          </w:tcPr>
          <w:p w:rsidR="00217638" w:rsidRDefault="00A071BC">
            <w:pPr>
              <w:jc w:val="center"/>
            </w:pPr>
            <w:r>
              <w:rPr>
                <w:rFonts w:eastAsiaTheme="minorEastAsia"/>
                <w:color w:val="000000" w:themeColor="text1"/>
                <w:sz w:val="24"/>
                <w:szCs w:val="24"/>
              </w:rPr>
              <w:t>-2.25%</w:t>
            </w:r>
          </w:p>
        </w:tc>
        <w:tc>
          <w:tcPr>
            <w:tcW w:w="1204" w:type="dxa"/>
            <w:vAlign w:val="center"/>
          </w:tcPr>
          <w:p w:rsidR="00217638" w:rsidRDefault="00A071BC">
            <w:pPr>
              <w:jc w:val="center"/>
            </w:pPr>
            <w:r>
              <w:rPr>
                <w:rFonts w:eastAsiaTheme="minorEastAsia"/>
                <w:color w:val="000000" w:themeColor="text1"/>
                <w:sz w:val="24"/>
                <w:szCs w:val="24"/>
              </w:rPr>
              <w:t>0.55%</w:t>
            </w:r>
          </w:p>
        </w:tc>
      </w:tr>
    </w:tbl>
    <w:p w:rsidR="00217638" w:rsidRDefault="00A071BC">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color w:val="000000" w:themeColor="text1"/>
          <w:sz w:val="24"/>
          <w:szCs w:val="24"/>
        </w:rPr>
        <w:t>注：</w:t>
      </w:r>
      <w:r>
        <w:rPr>
          <w:rFonts w:eastAsiaTheme="minorEastAsia"/>
          <w:color w:val="000000" w:themeColor="text1"/>
          <w:sz w:val="24"/>
          <w:szCs w:val="24"/>
        </w:rPr>
        <w:t>1</w:t>
      </w:r>
      <w:r>
        <w:rPr>
          <w:rFonts w:eastAsiaTheme="minorEastAsia"/>
          <w:color w:val="000000" w:themeColor="text1"/>
          <w:sz w:val="24"/>
          <w:szCs w:val="24"/>
        </w:rPr>
        <w:t>、本基金的业绩比较基准中，沪深</w:t>
      </w:r>
      <w:r>
        <w:rPr>
          <w:rFonts w:eastAsiaTheme="minorEastAsia"/>
          <w:color w:val="000000" w:themeColor="text1"/>
          <w:sz w:val="24"/>
          <w:szCs w:val="24"/>
        </w:rPr>
        <w:t>300</w:t>
      </w:r>
      <w:r>
        <w:rPr>
          <w:rFonts w:eastAsiaTheme="minorEastAsia"/>
          <w:color w:val="000000" w:themeColor="text1"/>
          <w:sz w:val="24"/>
          <w:szCs w:val="24"/>
        </w:rPr>
        <w:t>指数是上海证券交易所和深圳证券交易所共同推出的沪深两个市场第一个统一指数，该指数编制合理、透明，有一定市场覆盖率，抗操纵性强，并且有较高的知名度和市场影响力。中债综合指数由中央国债登记结算有限责任公司编制，样本债券涵盖的范围全面，具有广泛的市场代表性，涵盖主要交易市场、不同发行主体和期限，能够很好地反映中国债券市场总体价格水平和变动趋势。综合考虑基金资产配置与市场指数代表性等因素，本基金选用沪深</w:t>
      </w:r>
      <w:r>
        <w:rPr>
          <w:rFonts w:eastAsiaTheme="minorEastAsia"/>
          <w:color w:val="000000" w:themeColor="text1"/>
          <w:sz w:val="24"/>
          <w:szCs w:val="24"/>
        </w:rPr>
        <w:t>300</w:t>
      </w:r>
      <w:r>
        <w:rPr>
          <w:rFonts w:eastAsiaTheme="minorEastAsia"/>
          <w:color w:val="000000" w:themeColor="text1"/>
          <w:sz w:val="24"/>
          <w:szCs w:val="24"/>
        </w:rPr>
        <w:t>指数和中债综合指数加权作为本基金的投资业绩评价基准。</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2</w:t>
      </w:r>
      <w:r w:rsidRPr="00313F0D">
        <w:rPr>
          <w:rFonts w:eastAsiaTheme="minorEastAsia"/>
          <w:color w:val="000000" w:themeColor="text1"/>
          <w:sz w:val="24"/>
          <w:szCs w:val="24"/>
        </w:rPr>
        <w:t>、本基金对业绩比较基准采用每日再平衡的计算方法。</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3.2.2</w:t>
      </w:r>
      <w:r w:rsidR="007B4D7A" w:rsidRPr="00E74406">
        <w:rPr>
          <w:rStyle w:val="afb"/>
          <w:rFonts w:eastAsiaTheme="minorEastAsia"/>
          <w:color w:val="000000" w:themeColor="text1"/>
          <w:sz w:val="24"/>
          <w:szCs w:val="24"/>
          <w:shd w:val="clear" w:color="auto" w:fill="FFFFFF"/>
        </w:rPr>
        <w:t>自基金合同生效以来</w:t>
      </w:r>
      <w:r w:rsidR="00FB0BC9" w:rsidRPr="00E74406">
        <w:rPr>
          <w:rFonts w:eastAsiaTheme="minorEastAsia"/>
          <w:b/>
          <w:bCs/>
          <w:color w:val="000000" w:themeColor="text1"/>
          <w:kern w:val="0"/>
          <w:sz w:val="24"/>
          <w:szCs w:val="24"/>
        </w:rPr>
        <w:t>基金累计</w:t>
      </w:r>
      <w:r w:rsidRPr="00E74406">
        <w:rPr>
          <w:rFonts w:eastAsiaTheme="minorEastAsia"/>
          <w:b/>
          <w:bCs/>
          <w:color w:val="000000" w:themeColor="text1"/>
          <w:kern w:val="0"/>
          <w:sz w:val="24"/>
          <w:szCs w:val="24"/>
        </w:rPr>
        <w:t>净值增长率变动及其与同期业绩比较基准收益率变动的比较</w:t>
      </w:r>
    </w:p>
    <w:p w:rsidR="008606B6" w:rsidRPr="00E74406" w:rsidRDefault="008606B6" w:rsidP="009E7C6A">
      <w:pPr>
        <w:spacing w:line="360" w:lineRule="auto"/>
        <w:jc w:val="center"/>
        <w:rPr>
          <w:rFonts w:eastAsiaTheme="minorEastAsia"/>
          <w:color w:val="000000" w:themeColor="text1"/>
          <w:sz w:val="24"/>
          <w:szCs w:val="24"/>
        </w:rPr>
      </w:pPr>
      <w:r w:rsidRPr="00E74406">
        <w:rPr>
          <w:rFonts w:eastAsiaTheme="minorEastAsia"/>
          <w:color w:val="000000" w:themeColor="text1"/>
          <w:sz w:val="24"/>
          <w:szCs w:val="24"/>
        </w:rPr>
        <w:t>国投瑞银瑞盛灵活配置混合型证券投资基金</w:t>
      </w:r>
      <w:r w:rsidRPr="00E74406">
        <w:rPr>
          <w:rFonts w:eastAsiaTheme="minorEastAsia"/>
          <w:color w:val="000000" w:themeColor="text1"/>
          <w:sz w:val="24"/>
          <w:szCs w:val="24"/>
        </w:rPr>
        <w:t>(LOF)</w:t>
      </w:r>
    </w:p>
    <w:p w:rsidR="004061AC" w:rsidRPr="00E74406" w:rsidRDefault="00FB0BC9" w:rsidP="009E7C6A">
      <w:pPr>
        <w:pStyle w:val="a5"/>
        <w:snapToGrid w:val="0"/>
        <w:spacing w:line="360" w:lineRule="auto"/>
        <w:jc w:val="center"/>
        <w:rPr>
          <w:rFonts w:ascii="Times New Roman" w:eastAsiaTheme="minorEastAsia" w:hAnsi="Times New Roman" w:cs="Times New Roman"/>
          <w:color w:val="000000" w:themeColor="text1"/>
          <w:sz w:val="24"/>
          <w:szCs w:val="24"/>
        </w:rPr>
      </w:pPr>
      <w:r w:rsidRPr="00E74406">
        <w:rPr>
          <w:rFonts w:ascii="Times New Roman" w:eastAsiaTheme="minorEastAsia" w:hAnsi="Times New Roman" w:cs="Times New Roman"/>
          <w:color w:val="000000" w:themeColor="text1"/>
          <w:sz w:val="24"/>
          <w:szCs w:val="24"/>
        </w:rPr>
        <w:t>累计净值增长率与业绩比较基准收益率</w:t>
      </w:r>
      <w:r w:rsidR="004061AC" w:rsidRPr="00E74406">
        <w:rPr>
          <w:rFonts w:ascii="Times New Roman" w:eastAsiaTheme="minorEastAsia" w:hAnsi="Times New Roman" w:cs="Times New Roman"/>
          <w:color w:val="000000" w:themeColor="text1"/>
          <w:sz w:val="24"/>
          <w:szCs w:val="24"/>
        </w:rPr>
        <w:t>历史走势对比图</w:t>
      </w:r>
    </w:p>
    <w:p w:rsidR="00AE7962" w:rsidRPr="00E74406" w:rsidRDefault="00AE7962" w:rsidP="009E7C6A">
      <w:pPr>
        <w:pStyle w:val="a5"/>
        <w:snapToGrid w:val="0"/>
        <w:spacing w:line="360" w:lineRule="auto"/>
        <w:ind w:firstLine="480"/>
        <w:jc w:val="center"/>
        <w:rPr>
          <w:rFonts w:ascii="Times New Roman" w:eastAsiaTheme="minorEastAsia" w:hAnsi="Times New Roman" w:cs="Times New Roman"/>
          <w:color w:val="000000" w:themeColor="text1"/>
          <w:sz w:val="24"/>
          <w:szCs w:val="24"/>
        </w:rPr>
      </w:pPr>
      <w:r w:rsidRPr="00E74406">
        <w:rPr>
          <w:rFonts w:ascii="Times New Roman" w:eastAsiaTheme="minorEastAsia" w:hAnsi="Times New Roman" w:cs="Times New Roman"/>
          <w:color w:val="000000" w:themeColor="text1"/>
          <w:sz w:val="24"/>
          <w:szCs w:val="24"/>
        </w:rPr>
        <w:t>(</w:t>
      </w:r>
      <w:r w:rsidR="0042009D" w:rsidRPr="00E74406">
        <w:rPr>
          <w:rFonts w:ascii="Times New Roman" w:eastAsiaTheme="minorEastAsia" w:hAnsi="Times New Roman" w:cs="Times New Roman"/>
          <w:color w:val="000000" w:themeColor="text1"/>
          <w:sz w:val="24"/>
          <w:szCs w:val="24"/>
        </w:rPr>
        <w:t>2016</w:t>
      </w:r>
      <w:r w:rsidR="0042009D" w:rsidRPr="00E74406">
        <w:rPr>
          <w:rFonts w:ascii="Times New Roman" w:eastAsiaTheme="minorEastAsia" w:hAnsi="Times New Roman" w:cs="Times New Roman"/>
          <w:color w:val="000000" w:themeColor="text1"/>
          <w:sz w:val="24"/>
          <w:szCs w:val="24"/>
        </w:rPr>
        <w:t>年</w:t>
      </w:r>
      <w:r w:rsidR="0042009D" w:rsidRPr="00E74406">
        <w:rPr>
          <w:rFonts w:ascii="Times New Roman" w:eastAsiaTheme="minorEastAsia" w:hAnsi="Times New Roman" w:cs="Times New Roman"/>
          <w:color w:val="000000" w:themeColor="text1"/>
          <w:sz w:val="24"/>
          <w:szCs w:val="24"/>
        </w:rPr>
        <w:t>5</w:t>
      </w:r>
      <w:r w:rsidR="0042009D" w:rsidRPr="00E74406">
        <w:rPr>
          <w:rFonts w:ascii="Times New Roman" w:eastAsiaTheme="minorEastAsia" w:hAnsi="Times New Roman" w:cs="Times New Roman"/>
          <w:color w:val="000000" w:themeColor="text1"/>
          <w:sz w:val="24"/>
          <w:szCs w:val="24"/>
        </w:rPr>
        <w:t>月</w:t>
      </w:r>
      <w:r w:rsidR="0042009D" w:rsidRPr="00E74406">
        <w:rPr>
          <w:rFonts w:ascii="Times New Roman" w:eastAsiaTheme="minorEastAsia" w:hAnsi="Times New Roman" w:cs="Times New Roman"/>
          <w:color w:val="000000" w:themeColor="text1"/>
          <w:sz w:val="24"/>
          <w:szCs w:val="24"/>
        </w:rPr>
        <w:t>25</w:t>
      </w:r>
      <w:r w:rsidR="0042009D" w:rsidRPr="00E74406">
        <w:rPr>
          <w:rFonts w:ascii="Times New Roman" w:eastAsiaTheme="minorEastAsia" w:hAnsi="Times New Roman" w:cs="Times New Roman"/>
          <w:color w:val="000000" w:themeColor="text1"/>
          <w:sz w:val="24"/>
          <w:szCs w:val="24"/>
        </w:rPr>
        <w:t>日</w:t>
      </w:r>
      <w:r w:rsidRPr="00E74406">
        <w:rPr>
          <w:rFonts w:ascii="Times New Roman" w:eastAsiaTheme="minorEastAsia" w:hAnsi="Times New Roman" w:cs="Times New Roman"/>
          <w:color w:val="000000" w:themeColor="text1"/>
          <w:sz w:val="24"/>
          <w:szCs w:val="24"/>
        </w:rPr>
        <w:t>至</w:t>
      </w:r>
      <w:r w:rsidRPr="00E74406">
        <w:rPr>
          <w:rFonts w:ascii="Times New Roman" w:eastAsiaTheme="minorEastAsia" w:hAnsi="Times New Roman" w:cs="Times New Roman"/>
          <w:color w:val="000000" w:themeColor="text1"/>
          <w:sz w:val="24"/>
          <w:szCs w:val="24"/>
        </w:rPr>
        <w:t>2019</w:t>
      </w:r>
      <w:r w:rsidRPr="00E74406">
        <w:rPr>
          <w:rFonts w:ascii="Times New Roman" w:eastAsiaTheme="minorEastAsia" w:hAnsi="Times New Roman" w:cs="Times New Roman"/>
          <w:color w:val="000000" w:themeColor="text1"/>
          <w:sz w:val="24"/>
          <w:szCs w:val="24"/>
        </w:rPr>
        <w:t>年</w:t>
      </w:r>
      <w:r w:rsidRPr="00E74406">
        <w:rPr>
          <w:rFonts w:ascii="Times New Roman" w:eastAsiaTheme="minorEastAsia" w:hAnsi="Times New Roman" w:cs="Times New Roman"/>
          <w:color w:val="000000" w:themeColor="text1"/>
          <w:sz w:val="24"/>
          <w:szCs w:val="24"/>
        </w:rPr>
        <w:t>6</w:t>
      </w:r>
      <w:r w:rsidRPr="00E74406">
        <w:rPr>
          <w:rFonts w:ascii="Times New Roman" w:eastAsiaTheme="minorEastAsia" w:hAnsi="Times New Roman" w:cs="Times New Roman"/>
          <w:color w:val="000000" w:themeColor="text1"/>
          <w:sz w:val="24"/>
          <w:szCs w:val="24"/>
        </w:rPr>
        <w:t>月</w:t>
      </w:r>
      <w:r w:rsidRPr="00E74406">
        <w:rPr>
          <w:rFonts w:ascii="Times New Roman" w:eastAsiaTheme="minorEastAsia" w:hAnsi="Times New Roman" w:cs="Times New Roman"/>
          <w:color w:val="000000" w:themeColor="text1"/>
          <w:sz w:val="24"/>
          <w:szCs w:val="24"/>
        </w:rPr>
        <w:t>30</w:t>
      </w:r>
      <w:r w:rsidRPr="00E74406">
        <w:rPr>
          <w:rFonts w:ascii="Times New Roman" w:eastAsiaTheme="minorEastAsia" w:hAnsi="Times New Roman" w:cs="Times New Roman"/>
          <w:color w:val="000000" w:themeColor="text1"/>
          <w:sz w:val="24"/>
          <w:szCs w:val="24"/>
        </w:rPr>
        <w:t>日</w:t>
      </w:r>
      <w:r w:rsidRPr="00E74406">
        <w:rPr>
          <w:rFonts w:ascii="Times New Roman" w:eastAsiaTheme="minorEastAsia" w:hAnsi="Times New Roman" w:cs="Times New Roman"/>
          <w:color w:val="000000" w:themeColor="text1"/>
          <w:sz w:val="24"/>
          <w:szCs w:val="24"/>
        </w:rPr>
        <w:t>)</w:t>
      </w:r>
    </w:p>
    <w:p w:rsidR="004061AC" w:rsidRPr="00E74406" w:rsidRDefault="00866CF2" w:rsidP="004061AC">
      <w:pPr>
        <w:pStyle w:val="a5"/>
        <w:snapToGrid w:val="0"/>
        <w:spacing w:before="120" w:line="360" w:lineRule="auto"/>
        <w:jc w:val="center"/>
        <w:rPr>
          <w:rFonts w:ascii="Times New Roman" w:eastAsiaTheme="minorEastAsia" w:hAnsi="Times New Roman" w:cs="Times New Roman"/>
          <w:color w:val="000000" w:themeColor="text1"/>
          <w:sz w:val="24"/>
          <w:szCs w:val="24"/>
        </w:rPr>
      </w:pPr>
      <w:r w:rsidRPr="00E74406">
        <w:rPr>
          <w:rFonts w:ascii="Times New Roman" w:eastAsiaTheme="minorEastAsia" w:hAnsi="Times New Roman" w:cs="Times New Roman"/>
          <w:noProof/>
          <w:color w:val="000000" w:themeColor="text1"/>
          <w:sz w:val="24"/>
          <w:szCs w:val="24"/>
        </w:rPr>
        <w:drawing>
          <wp:inline distT="0" distB="0" distL="0" distR="0">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3086100"/>
                    </a:xfrm>
                    <a:prstGeom prst="rect">
                      <a:avLst/>
                    </a:prstGeom>
                    <a:noFill/>
                    <a:ln>
                      <a:noFill/>
                    </a:ln>
                  </pic:spPr>
                </pic:pic>
              </a:graphicData>
            </a:graphic>
          </wp:inline>
        </w:drawing>
      </w:r>
    </w:p>
    <w:p w:rsidR="00217638" w:rsidRDefault="00A071BC">
      <w:pPr>
        <w:autoSpaceDE w:val="0"/>
        <w:autoSpaceDN w:val="0"/>
        <w:adjustRightInd w:val="0"/>
        <w:spacing w:line="360" w:lineRule="auto"/>
        <w:ind w:firstLineChars="200" w:firstLine="480"/>
        <w:jc w:val="left"/>
        <w:rPr>
          <w:rFonts w:eastAsiaTheme="minorEastAsia"/>
          <w:color w:val="000000" w:themeColor="text1"/>
          <w:sz w:val="24"/>
          <w:szCs w:val="24"/>
        </w:rPr>
      </w:pPr>
      <w:r>
        <w:rPr>
          <w:rFonts w:eastAsiaTheme="minorEastAsia"/>
          <w:color w:val="000000" w:themeColor="text1"/>
          <w:sz w:val="24"/>
          <w:szCs w:val="24"/>
        </w:rPr>
        <w:t>注：本基金建仓期为自基金合同生效日起的</w:t>
      </w:r>
      <w:r>
        <w:rPr>
          <w:rFonts w:eastAsiaTheme="minorEastAsia"/>
          <w:color w:val="000000" w:themeColor="text1"/>
          <w:sz w:val="24"/>
          <w:szCs w:val="24"/>
        </w:rPr>
        <w:t>6</w:t>
      </w:r>
      <w:r>
        <w:rPr>
          <w:rFonts w:eastAsiaTheme="minorEastAsia"/>
          <w:color w:val="000000" w:themeColor="text1"/>
          <w:sz w:val="24"/>
          <w:szCs w:val="24"/>
        </w:rPr>
        <w:t>个月。截至建仓期结束，本基金各项资产配置比例符合基金合同及招募说明书有关投资比例的约定。</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p>
    <w:p w:rsidR="00957594" w:rsidRPr="00E74406" w:rsidRDefault="00957594" w:rsidP="004061AC">
      <w:pPr>
        <w:tabs>
          <w:tab w:val="left" w:pos="1800"/>
        </w:tabs>
        <w:spacing w:line="360" w:lineRule="auto"/>
        <w:rPr>
          <w:rFonts w:eastAsiaTheme="minorEastAsia"/>
          <w:color w:val="000000" w:themeColor="text1"/>
          <w:sz w:val="24"/>
          <w:szCs w:val="24"/>
        </w:rPr>
      </w:pPr>
    </w:p>
    <w:p w:rsidR="00693843" w:rsidRPr="00E74406" w:rsidRDefault="00693843" w:rsidP="00693843">
      <w:pPr>
        <w:tabs>
          <w:tab w:val="left" w:pos="1800"/>
        </w:tabs>
        <w:spacing w:line="288" w:lineRule="auto"/>
        <w:rPr>
          <w:rFonts w:eastAsiaTheme="minorEastAsia"/>
          <w:color w:val="000000" w:themeColor="text1"/>
          <w:sz w:val="24"/>
          <w:szCs w:val="24"/>
        </w:rPr>
      </w:pPr>
    </w:p>
    <w:p w:rsidR="004061AC" w:rsidRPr="00E74406" w:rsidRDefault="004061AC" w:rsidP="00104A8C">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 xml:space="preserve">§4  </w:t>
      </w:r>
      <w:r w:rsidRPr="00E74406">
        <w:rPr>
          <w:rFonts w:eastAsiaTheme="minorEastAsia"/>
          <w:color w:val="000000" w:themeColor="text1"/>
          <w:kern w:val="0"/>
          <w:sz w:val="24"/>
          <w:szCs w:val="24"/>
        </w:rPr>
        <w:t>管理人报告</w:t>
      </w:r>
    </w:p>
    <w:p w:rsidR="00B12B7D"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4.1 </w:t>
      </w:r>
      <w:r w:rsidRPr="00E74406">
        <w:rPr>
          <w:rFonts w:eastAsiaTheme="minorEastAsia"/>
          <w:b/>
          <w:bCs/>
          <w:color w:val="000000" w:themeColor="text1"/>
          <w:kern w:val="0"/>
          <w:sz w:val="24"/>
          <w:szCs w:val="24"/>
        </w:rPr>
        <w:t>基金经理</w:t>
      </w:r>
      <w:r w:rsidR="00D57B7C" w:rsidRPr="00E74406">
        <w:rPr>
          <w:rFonts w:eastAsiaTheme="minorEastAsia"/>
          <w:b/>
          <w:bCs/>
          <w:color w:val="000000" w:themeColor="text1"/>
          <w:kern w:val="0"/>
          <w:sz w:val="24"/>
          <w:szCs w:val="24"/>
        </w:rPr>
        <w:t>(</w:t>
      </w:r>
      <w:r w:rsidRPr="00E74406">
        <w:rPr>
          <w:rFonts w:eastAsiaTheme="minorEastAsia"/>
          <w:b/>
          <w:bCs/>
          <w:color w:val="000000" w:themeColor="text1"/>
          <w:kern w:val="0"/>
          <w:sz w:val="24"/>
          <w:szCs w:val="24"/>
        </w:rPr>
        <w:t>或基金经理小组</w:t>
      </w:r>
      <w:r w:rsidR="00D57B7C" w:rsidRPr="00E74406">
        <w:rPr>
          <w:rFonts w:eastAsiaTheme="minorEastAsia"/>
          <w:b/>
          <w:bCs/>
          <w:color w:val="000000" w:themeColor="text1"/>
          <w:kern w:val="0"/>
          <w:sz w:val="24"/>
          <w:szCs w:val="24"/>
        </w:rPr>
        <w:t>)</w:t>
      </w:r>
      <w:r w:rsidRPr="00E74406">
        <w:rPr>
          <w:rFonts w:eastAsiaTheme="minorEastAsia"/>
          <w:b/>
          <w:bCs/>
          <w:color w:val="000000" w:themeColor="text1"/>
          <w:kern w:val="0"/>
          <w:sz w:val="24"/>
          <w:szCs w:val="24"/>
        </w:rPr>
        <w:t>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850"/>
        <w:gridCol w:w="1560"/>
        <w:gridCol w:w="1559"/>
        <w:gridCol w:w="1417"/>
        <w:gridCol w:w="2694"/>
      </w:tblGrid>
      <w:tr w:rsidR="00220C32" w:rsidRPr="00E74406" w:rsidTr="00B32AA7">
        <w:trPr>
          <w:cantSplit/>
          <w:trHeight w:val="292"/>
        </w:trPr>
        <w:tc>
          <w:tcPr>
            <w:tcW w:w="851" w:type="dxa"/>
            <w:vMerge w:val="restart"/>
            <w:vAlign w:val="center"/>
          </w:tcPr>
          <w:p w:rsidR="004061AC" w:rsidRPr="00E74406" w:rsidRDefault="004061AC" w:rsidP="008014F9">
            <w:pPr>
              <w:widowControl/>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姓名</w:t>
            </w:r>
          </w:p>
        </w:tc>
        <w:tc>
          <w:tcPr>
            <w:tcW w:w="850" w:type="dxa"/>
            <w:vMerge w:val="restart"/>
            <w:vAlign w:val="center"/>
          </w:tcPr>
          <w:p w:rsidR="004061AC" w:rsidRPr="00E74406" w:rsidRDefault="004061AC" w:rsidP="008014F9">
            <w:pPr>
              <w:widowControl/>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职务</w:t>
            </w:r>
          </w:p>
        </w:tc>
        <w:tc>
          <w:tcPr>
            <w:tcW w:w="3119" w:type="dxa"/>
            <w:gridSpan w:val="2"/>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任本基金的基金经理期限</w:t>
            </w:r>
          </w:p>
        </w:tc>
        <w:tc>
          <w:tcPr>
            <w:tcW w:w="1417" w:type="dxa"/>
            <w:vMerge w:val="restart"/>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证券从业年限</w:t>
            </w:r>
          </w:p>
        </w:tc>
        <w:tc>
          <w:tcPr>
            <w:tcW w:w="2694" w:type="dxa"/>
            <w:vMerge w:val="restart"/>
            <w:vAlign w:val="center"/>
          </w:tcPr>
          <w:p w:rsidR="004061AC" w:rsidRPr="00E74406" w:rsidRDefault="004061AC" w:rsidP="008014F9">
            <w:pPr>
              <w:widowControl/>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说明</w:t>
            </w:r>
          </w:p>
        </w:tc>
      </w:tr>
      <w:tr w:rsidR="00220C32" w:rsidRPr="00E74406" w:rsidTr="00B32AA7">
        <w:trPr>
          <w:cantSplit/>
        </w:trPr>
        <w:tc>
          <w:tcPr>
            <w:tcW w:w="851"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c>
          <w:tcPr>
            <w:tcW w:w="850"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c>
          <w:tcPr>
            <w:tcW w:w="1560" w:type="dxa"/>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任职日期</w:t>
            </w:r>
          </w:p>
        </w:tc>
        <w:tc>
          <w:tcPr>
            <w:tcW w:w="1559" w:type="dxa"/>
            <w:vAlign w:val="center"/>
          </w:tcPr>
          <w:p w:rsidR="004061AC" w:rsidRPr="00E74406" w:rsidRDefault="004061AC" w:rsidP="008014F9">
            <w:pPr>
              <w:autoSpaceDE w:val="0"/>
              <w:autoSpaceDN w:val="0"/>
              <w:adjustRightInd w:val="0"/>
              <w:spacing w:before="29" w:line="360" w:lineRule="auto"/>
              <w:ind w:left="17"/>
              <w:jc w:val="center"/>
              <w:rPr>
                <w:rFonts w:eastAsiaTheme="minorEastAsia"/>
                <w:color w:val="000000" w:themeColor="text1"/>
                <w:kern w:val="0"/>
                <w:sz w:val="24"/>
                <w:szCs w:val="24"/>
              </w:rPr>
            </w:pPr>
            <w:r w:rsidRPr="00E74406">
              <w:rPr>
                <w:rFonts w:eastAsiaTheme="minorEastAsia"/>
                <w:color w:val="000000" w:themeColor="text1"/>
                <w:kern w:val="0"/>
                <w:sz w:val="24"/>
                <w:szCs w:val="24"/>
              </w:rPr>
              <w:t>离任日期</w:t>
            </w:r>
          </w:p>
        </w:tc>
        <w:tc>
          <w:tcPr>
            <w:tcW w:w="1417"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c>
          <w:tcPr>
            <w:tcW w:w="2694" w:type="dxa"/>
            <w:vMerge/>
            <w:vAlign w:val="center"/>
          </w:tcPr>
          <w:p w:rsidR="004061AC" w:rsidRPr="00E74406" w:rsidRDefault="004061AC" w:rsidP="008014F9">
            <w:pPr>
              <w:widowControl/>
              <w:spacing w:line="360" w:lineRule="auto"/>
              <w:jc w:val="left"/>
              <w:rPr>
                <w:rFonts w:eastAsiaTheme="minorEastAsia"/>
                <w:color w:val="000000" w:themeColor="text1"/>
                <w:kern w:val="0"/>
                <w:sz w:val="24"/>
                <w:szCs w:val="24"/>
              </w:rPr>
            </w:pPr>
          </w:p>
        </w:tc>
      </w:tr>
      <w:tr w:rsidR="00217638">
        <w:tc>
          <w:tcPr>
            <w:tcW w:w="851" w:type="dxa"/>
            <w:vAlign w:val="center"/>
          </w:tcPr>
          <w:p w:rsidR="00217638" w:rsidRDefault="00A071BC">
            <w:pPr>
              <w:jc w:val="center"/>
            </w:pPr>
            <w:r>
              <w:rPr>
                <w:rFonts w:eastAsiaTheme="minorEastAsia"/>
                <w:color w:val="000000" w:themeColor="text1"/>
                <w:sz w:val="24"/>
                <w:szCs w:val="24"/>
              </w:rPr>
              <w:t>吴潇</w:t>
            </w:r>
          </w:p>
        </w:tc>
        <w:tc>
          <w:tcPr>
            <w:tcW w:w="850" w:type="dxa"/>
            <w:vAlign w:val="center"/>
          </w:tcPr>
          <w:p w:rsidR="00217638" w:rsidRDefault="00A071BC">
            <w:pPr>
              <w:jc w:val="center"/>
            </w:pPr>
            <w:r>
              <w:rPr>
                <w:rFonts w:eastAsiaTheme="minorEastAsia"/>
                <w:color w:val="000000" w:themeColor="text1"/>
                <w:sz w:val="24"/>
                <w:szCs w:val="24"/>
              </w:rPr>
              <w:t>本基金基金经理</w:t>
            </w:r>
          </w:p>
        </w:tc>
        <w:tc>
          <w:tcPr>
            <w:tcW w:w="1560" w:type="dxa"/>
            <w:vAlign w:val="center"/>
          </w:tcPr>
          <w:p w:rsidR="00217638" w:rsidRDefault="00A071BC">
            <w:pPr>
              <w:jc w:val="center"/>
            </w:pPr>
            <w:r>
              <w:rPr>
                <w:rFonts w:eastAsiaTheme="minorEastAsia"/>
                <w:color w:val="000000" w:themeColor="text1"/>
                <w:sz w:val="24"/>
                <w:szCs w:val="24"/>
              </w:rPr>
              <w:t>2016-12-29</w:t>
            </w:r>
          </w:p>
        </w:tc>
        <w:tc>
          <w:tcPr>
            <w:tcW w:w="1559" w:type="dxa"/>
            <w:vAlign w:val="center"/>
          </w:tcPr>
          <w:p w:rsidR="00217638" w:rsidRDefault="00A071BC">
            <w:pPr>
              <w:jc w:val="center"/>
            </w:pPr>
            <w:r>
              <w:rPr>
                <w:rFonts w:eastAsiaTheme="minorEastAsia"/>
                <w:color w:val="000000" w:themeColor="text1"/>
                <w:sz w:val="24"/>
                <w:szCs w:val="24"/>
              </w:rPr>
              <w:t>-</w:t>
            </w:r>
          </w:p>
        </w:tc>
        <w:tc>
          <w:tcPr>
            <w:tcW w:w="1417" w:type="dxa"/>
            <w:vAlign w:val="center"/>
          </w:tcPr>
          <w:p w:rsidR="00217638" w:rsidRDefault="00A071BC">
            <w:pPr>
              <w:jc w:val="center"/>
            </w:pPr>
            <w:r>
              <w:rPr>
                <w:rFonts w:eastAsiaTheme="minorEastAsia"/>
                <w:color w:val="000000" w:themeColor="text1"/>
                <w:sz w:val="24"/>
                <w:szCs w:val="24"/>
              </w:rPr>
              <w:t>5</w:t>
            </w:r>
          </w:p>
        </w:tc>
        <w:tc>
          <w:tcPr>
            <w:tcW w:w="2694" w:type="dxa"/>
            <w:vAlign w:val="center"/>
          </w:tcPr>
          <w:p w:rsidR="00217638" w:rsidRDefault="00BB1ADD">
            <w:r w:rsidRPr="00BB1ADD">
              <w:rPr>
                <w:rFonts w:eastAsiaTheme="minorEastAsia" w:hint="eastAsia"/>
                <w:color w:val="000000" w:themeColor="text1"/>
                <w:sz w:val="24"/>
                <w:szCs w:val="24"/>
              </w:rPr>
              <w:t>中国籍，硕士，具有基金从业资格。</w:t>
            </w:r>
            <w:r w:rsidRPr="00BB1ADD">
              <w:rPr>
                <w:rFonts w:eastAsiaTheme="minorEastAsia" w:hint="eastAsia"/>
                <w:color w:val="000000" w:themeColor="text1"/>
                <w:sz w:val="24"/>
                <w:szCs w:val="24"/>
              </w:rPr>
              <w:t>2013</w:t>
            </w:r>
            <w:r w:rsidRPr="00BB1ADD">
              <w:rPr>
                <w:rFonts w:eastAsiaTheme="minorEastAsia" w:hint="eastAsia"/>
                <w:color w:val="000000" w:themeColor="text1"/>
                <w:sz w:val="24"/>
                <w:szCs w:val="24"/>
              </w:rPr>
              <w:t>年</w:t>
            </w:r>
            <w:r w:rsidRPr="00BB1ADD">
              <w:rPr>
                <w:rFonts w:eastAsiaTheme="minorEastAsia" w:hint="eastAsia"/>
                <w:color w:val="000000" w:themeColor="text1"/>
                <w:sz w:val="24"/>
                <w:szCs w:val="24"/>
              </w:rPr>
              <w:t>10</w:t>
            </w:r>
            <w:r w:rsidRPr="00BB1ADD">
              <w:rPr>
                <w:rFonts w:eastAsiaTheme="minorEastAsia" w:hint="eastAsia"/>
                <w:color w:val="000000" w:themeColor="text1"/>
                <w:sz w:val="24"/>
                <w:szCs w:val="24"/>
              </w:rPr>
              <w:t>月加入国投瑞银基金，</w:t>
            </w:r>
            <w:r w:rsidRPr="00BB1ADD">
              <w:rPr>
                <w:rFonts w:eastAsiaTheme="minorEastAsia" w:hint="eastAsia"/>
                <w:color w:val="000000" w:themeColor="text1"/>
                <w:sz w:val="24"/>
                <w:szCs w:val="24"/>
              </w:rPr>
              <w:t>2014</w:t>
            </w:r>
            <w:r w:rsidRPr="00BB1ADD">
              <w:rPr>
                <w:rFonts w:eastAsiaTheme="minorEastAsia" w:hint="eastAsia"/>
                <w:color w:val="000000" w:themeColor="text1"/>
                <w:sz w:val="24"/>
                <w:szCs w:val="24"/>
              </w:rPr>
              <w:t>年</w:t>
            </w:r>
            <w:r w:rsidRPr="00BB1ADD">
              <w:rPr>
                <w:rFonts w:eastAsiaTheme="minorEastAsia" w:hint="eastAsia"/>
                <w:color w:val="000000" w:themeColor="text1"/>
                <w:sz w:val="24"/>
                <w:szCs w:val="24"/>
              </w:rPr>
              <w:t>8</w:t>
            </w:r>
            <w:r w:rsidRPr="00BB1ADD">
              <w:rPr>
                <w:rFonts w:eastAsiaTheme="minorEastAsia" w:hint="eastAsia"/>
                <w:color w:val="000000" w:themeColor="text1"/>
                <w:sz w:val="24"/>
                <w:szCs w:val="24"/>
              </w:rPr>
              <w:t>月起担任专户投资部投资经理，</w:t>
            </w:r>
            <w:r w:rsidRPr="00BB1ADD">
              <w:rPr>
                <w:rFonts w:eastAsiaTheme="minorEastAsia" w:hint="eastAsia"/>
                <w:color w:val="000000" w:themeColor="text1"/>
                <w:sz w:val="24"/>
                <w:szCs w:val="24"/>
              </w:rPr>
              <w:t>2016</w:t>
            </w:r>
            <w:r w:rsidRPr="00BB1ADD">
              <w:rPr>
                <w:rFonts w:eastAsiaTheme="minorEastAsia" w:hint="eastAsia"/>
                <w:color w:val="000000" w:themeColor="text1"/>
                <w:sz w:val="24"/>
                <w:szCs w:val="24"/>
              </w:rPr>
              <w:t>年</w:t>
            </w:r>
            <w:r w:rsidRPr="00BB1ADD">
              <w:rPr>
                <w:rFonts w:eastAsiaTheme="minorEastAsia" w:hint="eastAsia"/>
                <w:color w:val="000000" w:themeColor="text1"/>
                <w:sz w:val="24"/>
                <w:szCs w:val="24"/>
              </w:rPr>
              <w:t>4</w:t>
            </w:r>
            <w:r w:rsidRPr="00BB1ADD">
              <w:rPr>
                <w:rFonts w:eastAsiaTheme="minorEastAsia" w:hint="eastAsia"/>
                <w:color w:val="000000" w:themeColor="text1"/>
                <w:sz w:val="24"/>
                <w:szCs w:val="24"/>
              </w:rPr>
              <w:t>月转入研究部。曾任国投瑞银新活力定期开放混合型证券投资基金及国投瑞银新收益灵活配置混合型证券投资基金基金经理。现任国投瑞银瑞盛灵活配置混合型证券投资基金</w:t>
            </w:r>
            <w:r w:rsidRPr="00BB1ADD">
              <w:rPr>
                <w:rFonts w:eastAsiaTheme="minorEastAsia" w:hint="eastAsia"/>
                <w:color w:val="000000" w:themeColor="text1"/>
                <w:sz w:val="24"/>
                <w:szCs w:val="24"/>
              </w:rPr>
              <w:t>(LOF)</w:t>
            </w:r>
            <w:r w:rsidRPr="00BB1ADD">
              <w:rPr>
                <w:rFonts w:eastAsiaTheme="minorEastAsia" w:hint="eastAsia"/>
                <w:color w:val="000000" w:themeColor="text1"/>
                <w:sz w:val="24"/>
                <w:szCs w:val="24"/>
              </w:rPr>
              <w:t>、国投瑞银瑞盈灵活配置混合型证券投资基金（</w:t>
            </w:r>
            <w:r w:rsidRPr="00BB1ADD">
              <w:rPr>
                <w:rFonts w:eastAsiaTheme="minorEastAsia" w:hint="eastAsia"/>
                <w:color w:val="000000" w:themeColor="text1"/>
                <w:sz w:val="24"/>
                <w:szCs w:val="24"/>
              </w:rPr>
              <w:t>LOF</w:t>
            </w:r>
            <w:r w:rsidRPr="00BB1ADD">
              <w:rPr>
                <w:rFonts w:eastAsiaTheme="minorEastAsia" w:hint="eastAsia"/>
                <w:color w:val="000000" w:themeColor="text1"/>
                <w:sz w:val="24"/>
                <w:szCs w:val="24"/>
              </w:rPr>
              <w:t>）、国投瑞银瑞泰多策略灵活配置混合型证券投资基金（</w:t>
            </w:r>
            <w:r w:rsidRPr="00BB1ADD">
              <w:rPr>
                <w:rFonts w:eastAsiaTheme="minorEastAsia" w:hint="eastAsia"/>
                <w:color w:val="000000" w:themeColor="text1"/>
                <w:sz w:val="24"/>
                <w:szCs w:val="24"/>
              </w:rPr>
              <w:t>LOF</w:t>
            </w:r>
            <w:r w:rsidRPr="00BB1ADD">
              <w:rPr>
                <w:rFonts w:eastAsiaTheme="minorEastAsia" w:hint="eastAsia"/>
                <w:color w:val="000000" w:themeColor="text1"/>
                <w:sz w:val="24"/>
                <w:szCs w:val="24"/>
              </w:rPr>
              <w:t>）（原国投瑞银瑞泰定增灵活配置混合型证券投资基金）、国投瑞银岁赢利债券型证券投资基金（原国投瑞银岁赢利一年期定期开放债券型证券投资基金）及国投瑞银信息消费灵活配置混合型证券投资基金基金经理。</w:t>
            </w:r>
          </w:p>
        </w:tc>
      </w:tr>
    </w:tbl>
    <w:p w:rsidR="004061AC" w:rsidRPr="00E74406"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注：任职日期和离任日期均指公司作出决定后正式对外公告之日。证券从业的含义遵从行业协会《证券业从业人员资格管理办法》的相关规定。</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4.2 </w:t>
      </w:r>
      <w:r w:rsidRPr="00E74406">
        <w:rPr>
          <w:rFonts w:eastAsiaTheme="minorEastAsia"/>
          <w:b/>
          <w:bCs/>
          <w:color w:val="000000" w:themeColor="text1"/>
          <w:kern w:val="0"/>
          <w:sz w:val="24"/>
          <w:szCs w:val="24"/>
        </w:rPr>
        <w:t>管理人对报告期内本基金运作遵规守信情况的说明</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在报告期内，本基金管理人遵守《证券法》、《证券投资基金法》及其系列法规和《国投瑞银瑞盛灵活配置混合型证券投资基金基金合同（</w:t>
      </w:r>
      <w:r w:rsidRPr="00E74406">
        <w:rPr>
          <w:rFonts w:eastAsiaTheme="minorEastAsia"/>
          <w:color w:val="000000" w:themeColor="text1"/>
          <w:sz w:val="24"/>
          <w:szCs w:val="24"/>
        </w:rPr>
        <w:t>LOF</w:t>
      </w:r>
      <w:r w:rsidRPr="00E74406">
        <w:rPr>
          <w:rFonts w:eastAsiaTheme="minorEastAsia"/>
          <w:color w:val="000000" w:themeColor="text1"/>
          <w:sz w:val="24"/>
          <w:szCs w:val="24"/>
        </w:rPr>
        <w:t>）》等有关规定，本着恪守诚信、审慎勤勉，忠实尽职的原则，为基金份额持有人的利益管理和运用基金资产。在报告期内，基金的投资决策规范，基金运作合法合规，没有损害基金份额持有人利益的行为。</w:t>
      </w:r>
    </w:p>
    <w:p w:rsidR="004061AC" w:rsidRPr="00E74406" w:rsidRDefault="004061AC" w:rsidP="009E7C6A">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4.3 </w:t>
      </w:r>
      <w:r w:rsidRPr="00E74406">
        <w:rPr>
          <w:rFonts w:eastAsiaTheme="minorEastAsia"/>
          <w:b/>
          <w:bCs/>
          <w:color w:val="000000" w:themeColor="text1"/>
          <w:kern w:val="0"/>
          <w:sz w:val="24"/>
          <w:szCs w:val="24"/>
        </w:rPr>
        <w:t>公平交易专项说明</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 xml:space="preserve">4.3.1 </w:t>
      </w:r>
      <w:r w:rsidRPr="00E74406">
        <w:rPr>
          <w:rFonts w:eastAsiaTheme="minorEastAsia"/>
          <w:color w:val="000000" w:themeColor="text1"/>
          <w:sz w:val="24"/>
          <w:szCs w:val="24"/>
        </w:rPr>
        <w:t>公平交易制度的执行情况</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本报告期内，本基金管理人严格执行了公平交易相关的系列制度，通过工作制度、流程和技术手段保证公平交易原则的实现，以确保本基金管理人旗下各投资组合在研究、决策、交易执行等各方面均得到公平对待，通过对投资交易行为的监控、分析评估和信息披露来加强对公平交易过程和结果的监督，形成了有效的公平交易体系。本报告期，本基金管理人各项公平交易制度流程均得到良好地贯彻执行，未发现存在违反公平交易原则的现象。</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 xml:space="preserve">4.3.2 </w:t>
      </w:r>
      <w:r w:rsidRPr="00E74406">
        <w:rPr>
          <w:rFonts w:eastAsiaTheme="minorEastAsia"/>
          <w:color w:val="000000" w:themeColor="text1"/>
          <w:sz w:val="24"/>
          <w:szCs w:val="24"/>
        </w:rPr>
        <w:t>异常交易行为的专项说明</w:t>
      </w:r>
    </w:p>
    <w:p w:rsidR="00217638" w:rsidRDefault="00A071BC">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本基金于本报告期内不存在异常交易行为。</w:t>
      </w:r>
    </w:p>
    <w:p w:rsidR="004061AC" w:rsidRPr="00E74406" w:rsidRDefault="00957594"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基金管理人管理的所有投资组合在本报告期内未出现参与交易所公开竞价同日反向交易成交较少的单边交易量超过该证券当日总成交量</w:t>
      </w:r>
      <w:r w:rsidRPr="00E74406">
        <w:rPr>
          <w:rFonts w:eastAsiaTheme="minorEastAsia"/>
          <w:color w:val="000000" w:themeColor="text1"/>
          <w:sz w:val="24"/>
          <w:szCs w:val="24"/>
        </w:rPr>
        <w:t>5%</w:t>
      </w:r>
      <w:r w:rsidRPr="00E74406">
        <w:rPr>
          <w:rFonts w:eastAsiaTheme="minorEastAsia"/>
          <w:color w:val="000000" w:themeColor="text1"/>
          <w:sz w:val="24"/>
          <w:szCs w:val="24"/>
        </w:rPr>
        <w:t>的情况。</w:t>
      </w:r>
    </w:p>
    <w:p w:rsidR="004061AC" w:rsidRPr="00E74406" w:rsidRDefault="004061AC" w:rsidP="009E7C6A">
      <w:pPr>
        <w:spacing w:line="360" w:lineRule="auto"/>
        <w:ind w:firstLineChars="200" w:firstLine="480"/>
        <w:rPr>
          <w:rFonts w:eastAsiaTheme="minorEastAsia"/>
          <w:color w:val="000000" w:themeColor="text1"/>
          <w:sz w:val="24"/>
          <w:szCs w:val="24"/>
        </w:rPr>
      </w:pPr>
    </w:p>
    <w:p w:rsidR="004061AC" w:rsidRPr="00E74406" w:rsidRDefault="004061AC" w:rsidP="009E7C6A">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4.4 </w:t>
      </w:r>
      <w:r w:rsidRPr="00E74406">
        <w:rPr>
          <w:rFonts w:eastAsiaTheme="minorEastAsia"/>
          <w:b/>
          <w:bCs/>
          <w:color w:val="000000" w:themeColor="text1"/>
          <w:kern w:val="0"/>
          <w:sz w:val="24"/>
          <w:szCs w:val="24"/>
        </w:rPr>
        <w:t>报告期内基金的投资策略和业绩表现说明</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4.4.1</w:t>
      </w:r>
      <w:r w:rsidRPr="00E74406">
        <w:rPr>
          <w:rFonts w:eastAsiaTheme="minorEastAsia"/>
          <w:color w:val="000000" w:themeColor="text1"/>
          <w:sz w:val="24"/>
          <w:szCs w:val="24"/>
        </w:rPr>
        <w:t>报告期内基金投资策略和运作分析</w:t>
      </w:r>
    </w:p>
    <w:p w:rsidR="00217638" w:rsidRDefault="00A071BC">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2019</w:t>
      </w:r>
      <w:r>
        <w:rPr>
          <w:rFonts w:eastAsiaTheme="minorEastAsia"/>
          <w:color w:val="000000" w:themeColor="text1"/>
          <w:sz w:val="24"/>
          <w:szCs w:val="24"/>
        </w:rPr>
        <w:t>年二季度，市场在经历了一季度的大幅上涨后有所调整，贸易战的反复和经济的下行压力使得市场的估值和盈利难有大幅的抬升。在充满不确定性的环境背景下，市场更愿意给有长期确定性的资产更多的估值溢价。食品饮料、家电、银行表现优异，传媒、电子、计算机等传统成长板块下跌较为明显。</w:t>
      </w:r>
    </w:p>
    <w:p w:rsidR="00217638" w:rsidRDefault="00A071BC">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报告期内，组合进行了调整，减少了对计算机、医药的配置，加大了对有色、商贸零售配置。</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展望后市，贸易战对情绪上的影响会逐步减弱，中美贸易摩擦成为新常态，关税对外贸出口企业的盈利和经济的影响在下半年会有所体现，货币政策和财政政策会积极托底，预计市场将在震荡中寻找企业的盈利底。</w:t>
      </w:r>
    </w:p>
    <w:p w:rsidR="004061AC" w:rsidRPr="00E74406" w:rsidRDefault="004061AC" w:rsidP="009E7C6A">
      <w:pPr>
        <w:spacing w:line="360" w:lineRule="auto"/>
        <w:rPr>
          <w:rFonts w:eastAsiaTheme="minorEastAsia"/>
          <w:color w:val="000000" w:themeColor="text1"/>
          <w:sz w:val="24"/>
          <w:szCs w:val="24"/>
        </w:rPr>
      </w:pPr>
      <w:r w:rsidRPr="00E74406">
        <w:rPr>
          <w:rFonts w:eastAsiaTheme="minorEastAsia"/>
          <w:color w:val="000000" w:themeColor="text1"/>
          <w:sz w:val="24"/>
          <w:szCs w:val="24"/>
        </w:rPr>
        <w:t>4.4.2</w:t>
      </w:r>
      <w:r w:rsidRPr="00E74406">
        <w:rPr>
          <w:rFonts w:eastAsiaTheme="minorEastAsia"/>
          <w:color w:val="000000" w:themeColor="text1"/>
          <w:sz w:val="24"/>
          <w:szCs w:val="24"/>
        </w:rPr>
        <w:t>报告期内基金的业绩表现</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截至报告期末，本基金份额净值为</w:t>
      </w:r>
      <w:r w:rsidRPr="00E74406">
        <w:rPr>
          <w:rFonts w:eastAsiaTheme="minorEastAsia"/>
          <w:color w:val="000000" w:themeColor="text1"/>
          <w:sz w:val="24"/>
          <w:szCs w:val="24"/>
        </w:rPr>
        <w:t>0.663</w:t>
      </w:r>
      <w:r w:rsidRPr="00E74406">
        <w:rPr>
          <w:rFonts w:eastAsiaTheme="minorEastAsia"/>
          <w:color w:val="000000" w:themeColor="text1"/>
          <w:sz w:val="24"/>
          <w:szCs w:val="24"/>
        </w:rPr>
        <w:t>元，本报告期份额净值增长率</w:t>
      </w:r>
      <w:r w:rsidRPr="00E74406">
        <w:rPr>
          <w:rFonts w:eastAsiaTheme="minorEastAsia"/>
          <w:color w:val="000000" w:themeColor="text1"/>
          <w:sz w:val="24"/>
          <w:szCs w:val="24"/>
        </w:rPr>
        <w:t>-2.79%</w:t>
      </w:r>
      <w:r w:rsidRPr="00E74406">
        <w:rPr>
          <w:rFonts w:eastAsiaTheme="minorEastAsia"/>
          <w:color w:val="000000" w:themeColor="text1"/>
          <w:sz w:val="24"/>
          <w:szCs w:val="24"/>
        </w:rPr>
        <w:t>，同期业绩比较基准收益率为</w:t>
      </w:r>
      <w:r w:rsidRPr="00E74406">
        <w:rPr>
          <w:rFonts w:eastAsiaTheme="minorEastAsia"/>
          <w:color w:val="000000" w:themeColor="text1"/>
          <w:sz w:val="24"/>
          <w:szCs w:val="24"/>
        </w:rPr>
        <w:t>-0.54%</w:t>
      </w:r>
      <w:r w:rsidRPr="00E74406">
        <w:rPr>
          <w:rFonts w:eastAsiaTheme="minorEastAsia"/>
          <w:color w:val="000000" w:themeColor="text1"/>
          <w:sz w:val="24"/>
          <w:szCs w:val="24"/>
        </w:rPr>
        <w:t>。</w:t>
      </w:r>
    </w:p>
    <w:p w:rsidR="009C5186" w:rsidRPr="00E74406" w:rsidRDefault="009C5186" w:rsidP="009E7C6A">
      <w:pPr>
        <w:spacing w:line="360" w:lineRule="auto"/>
        <w:ind w:firstLineChars="200" w:firstLine="480"/>
        <w:rPr>
          <w:rFonts w:eastAsiaTheme="minorEastAsia"/>
          <w:color w:val="000000" w:themeColor="text1"/>
          <w:sz w:val="24"/>
          <w:szCs w:val="24"/>
        </w:rPr>
      </w:pPr>
    </w:p>
    <w:p w:rsidR="004061AC" w:rsidRPr="00E74406" w:rsidRDefault="004061AC" w:rsidP="00104A8C">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w:t>
      </w:r>
      <w:r w:rsidR="001C0993" w:rsidRPr="00E74406">
        <w:rPr>
          <w:rFonts w:eastAsiaTheme="minorEastAsia"/>
          <w:color w:val="000000" w:themeColor="text1"/>
          <w:kern w:val="0"/>
          <w:sz w:val="24"/>
          <w:szCs w:val="24"/>
        </w:rPr>
        <w:t>5</w:t>
      </w:r>
      <w:r w:rsidRPr="00E74406">
        <w:rPr>
          <w:rFonts w:eastAsiaTheme="minorEastAsia"/>
          <w:color w:val="000000" w:themeColor="text1"/>
          <w:kern w:val="0"/>
          <w:sz w:val="24"/>
          <w:szCs w:val="24"/>
        </w:rPr>
        <w:t>投资组合报告</w:t>
      </w: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5.1 </w:t>
      </w:r>
      <w:r w:rsidRPr="00E74406">
        <w:rPr>
          <w:rFonts w:eastAsiaTheme="minorEastAsia"/>
          <w:b/>
          <w:bCs/>
          <w:color w:val="000000" w:themeColor="text1"/>
          <w:kern w:val="0"/>
          <w:sz w:val="24"/>
          <w:szCs w:val="24"/>
        </w:rPr>
        <w:t>报告期末基金资产组合情况</w:t>
      </w:r>
    </w:p>
    <w:tbl>
      <w:tblPr>
        <w:tblStyle w:val="af7"/>
        <w:tblW w:w="8897" w:type="dxa"/>
        <w:jc w:val="center"/>
        <w:tblLayout w:type="fixed"/>
        <w:tblLook w:val="04A0"/>
      </w:tblPr>
      <w:tblGrid>
        <w:gridCol w:w="720"/>
        <w:gridCol w:w="3357"/>
        <w:gridCol w:w="2977"/>
        <w:gridCol w:w="1843"/>
      </w:tblGrid>
      <w:tr w:rsidR="00220C32" w:rsidRPr="00E74406" w:rsidTr="0069426C">
        <w:trPr>
          <w:jc w:val="center"/>
        </w:trPr>
        <w:tc>
          <w:tcPr>
            <w:tcW w:w="720" w:type="dxa"/>
            <w:vAlign w:val="center"/>
          </w:tcPr>
          <w:p w:rsidR="00853140" w:rsidRPr="00E74406" w:rsidRDefault="00853140" w:rsidP="00F71057">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3357" w:type="dxa"/>
            <w:vAlign w:val="center"/>
          </w:tcPr>
          <w:p w:rsidR="00853140" w:rsidRPr="00E74406" w:rsidRDefault="00853140" w:rsidP="00F71057">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项目</w:t>
            </w:r>
          </w:p>
        </w:tc>
        <w:tc>
          <w:tcPr>
            <w:tcW w:w="2977" w:type="dxa"/>
            <w:vAlign w:val="center"/>
          </w:tcPr>
          <w:p w:rsidR="00853140" w:rsidRPr="00E74406" w:rsidRDefault="00853140" w:rsidP="00316484">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金额</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元</w:t>
            </w:r>
            <w:r w:rsidR="00D57B7C" w:rsidRPr="00E74406">
              <w:rPr>
                <w:rFonts w:eastAsiaTheme="minorEastAsia"/>
                <w:color w:val="000000" w:themeColor="text1"/>
                <w:sz w:val="24"/>
                <w:szCs w:val="24"/>
              </w:rPr>
              <w:t>)</w:t>
            </w:r>
          </w:p>
        </w:tc>
        <w:tc>
          <w:tcPr>
            <w:tcW w:w="1843" w:type="dxa"/>
            <w:vAlign w:val="center"/>
          </w:tcPr>
          <w:p w:rsidR="00853140" w:rsidRPr="00E74406" w:rsidRDefault="00853140" w:rsidP="00316484">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占基金总资产的比例</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w:t>
            </w:r>
            <w:r w:rsidR="00D57B7C"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1</w:t>
            </w: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权益投资</w:t>
            </w:r>
          </w:p>
        </w:tc>
        <w:tc>
          <w:tcPr>
            <w:tcW w:w="2977" w:type="dxa"/>
            <w:vAlign w:val="center"/>
          </w:tcPr>
          <w:p w:rsidR="00853140" w:rsidRPr="00E74406" w:rsidRDefault="00C77AEF" w:rsidP="00C77AEF">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305,674,023.49</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77.79</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其中：股票</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305,674,023.49</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77.79</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2</w:t>
            </w: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固定收益投资</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p>
        </w:tc>
        <w:tc>
          <w:tcPr>
            <w:tcW w:w="3357" w:type="dxa"/>
            <w:vAlign w:val="center"/>
          </w:tcPr>
          <w:p w:rsidR="00853140" w:rsidRPr="00E74406" w:rsidRDefault="00853140"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其中：债券</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853140" w:rsidRPr="00E74406" w:rsidRDefault="00853140" w:rsidP="00A03AAC">
            <w:pPr>
              <w:spacing w:before="29" w:line="360" w:lineRule="auto"/>
              <w:ind w:left="17"/>
              <w:jc w:val="center"/>
              <w:rPr>
                <w:rFonts w:eastAsiaTheme="minorEastAsia"/>
                <w:color w:val="000000" w:themeColor="text1"/>
                <w:sz w:val="24"/>
                <w:szCs w:val="24"/>
              </w:rPr>
            </w:pPr>
          </w:p>
        </w:tc>
        <w:tc>
          <w:tcPr>
            <w:tcW w:w="3357" w:type="dxa"/>
            <w:vAlign w:val="center"/>
          </w:tcPr>
          <w:p w:rsidR="00853140" w:rsidRPr="00E74406" w:rsidRDefault="00853140" w:rsidP="006B42EA">
            <w:pPr>
              <w:autoSpaceDE w:val="0"/>
              <w:autoSpaceDN w:val="0"/>
              <w:adjustRightInd w:val="0"/>
              <w:spacing w:before="29" w:line="360" w:lineRule="auto"/>
              <w:ind w:left="17" w:firstLineChars="250" w:firstLine="600"/>
              <w:jc w:val="left"/>
              <w:rPr>
                <w:rFonts w:eastAsiaTheme="minorEastAsia"/>
                <w:color w:val="000000" w:themeColor="text1"/>
                <w:sz w:val="24"/>
                <w:szCs w:val="24"/>
              </w:rPr>
            </w:pPr>
            <w:r w:rsidRPr="00E74406">
              <w:rPr>
                <w:rFonts w:eastAsiaTheme="minorEastAsia"/>
                <w:color w:val="000000" w:themeColor="text1"/>
                <w:sz w:val="24"/>
                <w:szCs w:val="24"/>
              </w:rPr>
              <w:t>资产支持证券</w:t>
            </w:r>
          </w:p>
        </w:tc>
        <w:tc>
          <w:tcPr>
            <w:tcW w:w="2977"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853140" w:rsidRPr="00E74406" w:rsidRDefault="001675CD"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95020">
        <w:trPr>
          <w:jc w:val="center"/>
        </w:trPr>
        <w:tc>
          <w:tcPr>
            <w:tcW w:w="720" w:type="dxa"/>
          </w:tcPr>
          <w:p w:rsidR="001D63BB" w:rsidRPr="00E74406" w:rsidRDefault="001D63BB" w:rsidP="001D63BB">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3</w:t>
            </w:r>
          </w:p>
        </w:tc>
        <w:tc>
          <w:tcPr>
            <w:tcW w:w="3357" w:type="dxa"/>
          </w:tcPr>
          <w:p w:rsidR="001D63BB" w:rsidRPr="00E74406" w:rsidRDefault="001D63BB" w:rsidP="001D63BB">
            <w:pPr>
              <w:spacing w:before="29" w:line="360" w:lineRule="auto"/>
              <w:ind w:leftChars="50" w:left="105"/>
              <w:rPr>
                <w:rFonts w:eastAsiaTheme="minorEastAsia"/>
                <w:color w:val="000000" w:themeColor="text1"/>
                <w:sz w:val="24"/>
                <w:szCs w:val="24"/>
              </w:rPr>
            </w:pPr>
            <w:r w:rsidRPr="00E74406">
              <w:rPr>
                <w:rFonts w:eastAsiaTheme="minorEastAsia"/>
                <w:color w:val="000000" w:themeColor="text1"/>
                <w:sz w:val="24"/>
                <w:szCs w:val="24"/>
              </w:rPr>
              <w:t>贵金属投资</w:t>
            </w:r>
          </w:p>
        </w:tc>
        <w:tc>
          <w:tcPr>
            <w:tcW w:w="2977" w:type="dxa"/>
            <w:vAlign w:val="center"/>
          </w:tcPr>
          <w:p w:rsidR="001D63BB" w:rsidRPr="00E74406" w:rsidRDefault="001D63BB" w:rsidP="00DD272F">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DD272F">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4</w:t>
            </w:r>
          </w:p>
        </w:tc>
        <w:tc>
          <w:tcPr>
            <w:tcW w:w="3357" w:type="dxa"/>
            <w:vAlign w:val="center"/>
          </w:tcPr>
          <w:p w:rsidR="001D63BB" w:rsidRPr="00E74406" w:rsidRDefault="001D63BB"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金融衍生品投资</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5</w:t>
            </w:r>
          </w:p>
        </w:tc>
        <w:tc>
          <w:tcPr>
            <w:tcW w:w="3357" w:type="dxa"/>
            <w:vAlign w:val="center"/>
          </w:tcPr>
          <w:p w:rsidR="001D63BB" w:rsidRPr="00E74406" w:rsidRDefault="001D63BB"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买入返售金融资产</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1675CD">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p>
        </w:tc>
        <w:tc>
          <w:tcPr>
            <w:tcW w:w="3357" w:type="dxa"/>
            <w:vAlign w:val="center"/>
          </w:tcPr>
          <w:p w:rsidR="001D63BB" w:rsidRPr="00E74406" w:rsidRDefault="001D63BB" w:rsidP="00EA70F1">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其中：买断式回购的买入返售金融资产</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c>
          <w:tcPr>
            <w:tcW w:w="1843"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69426C">
        <w:trPr>
          <w:jc w:val="center"/>
        </w:trPr>
        <w:tc>
          <w:tcPr>
            <w:tcW w:w="720" w:type="dxa"/>
            <w:vAlign w:val="center"/>
          </w:tcPr>
          <w:p w:rsidR="001D63BB" w:rsidRPr="00E74406" w:rsidRDefault="001D63BB" w:rsidP="00A03AAC">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6</w:t>
            </w:r>
          </w:p>
        </w:tc>
        <w:tc>
          <w:tcPr>
            <w:tcW w:w="3357" w:type="dxa"/>
            <w:vAlign w:val="center"/>
          </w:tcPr>
          <w:p w:rsidR="001D63BB" w:rsidRPr="00E74406" w:rsidRDefault="001D63BB" w:rsidP="00A03AAC">
            <w:pPr>
              <w:spacing w:before="29" w:line="360" w:lineRule="auto"/>
              <w:ind w:left="17"/>
              <w:jc w:val="left"/>
              <w:rPr>
                <w:rFonts w:eastAsiaTheme="minorEastAsia"/>
                <w:color w:val="000000" w:themeColor="text1"/>
                <w:sz w:val="24"/>
                <w:szCs w:val="24"/>
              </w:rPr>
            </w:pPr>
            <w:r w:rsidRPr="00E74406">
              <w:rPr>
                <w:rFonts w:eastAsiaTheme="minorEastAsia"/>
                <w:color w:val="000000" w:themeColor="text1"/>
                <w:sz w:val="24"/>
                <w:szCs w:val="24"/>
              </w:rPr>
              <w:t>银行存款和结算备付金合计</w:t>
            </w:r>
          </w:p>
        </w:tc>
        <w:tc>
          <w:tcPr>
            <w:tcW w:w="2977" w:type="dxa"/>
            <w:vAlign w:val="center"/>
          </w:tcPr>
          <w:p w:rsidR="001D63BB" w:rsidRPr="00E74406" w:rsidRDefault="001D63BB" w:rsidP="00A03AAC">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87,088,400.50</w:t>
            </w:r>
          </w:p>
        </w:tc>
        <w:tc>
          <w:tcPr>
            <w:tcW w:w="1843" w:type="dxa"/>
            <w:vAlign w:val="center"/>
          </w:tcPr>
          <w:p w:rsidR="001D63BB" w:rsidRPr="00E74406" w:rsidRDefault="001D63BB" w:rsidP="001675CD">
            <w:pPr>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22.16</w:t>
            </w:r>
          </w:p>
        </w:tc>
      </w:tr>
      <w:tr w:rsidR="00220C32" w:rsidRPr="00E74406" w:rsidTr="0069426C">
        <w:trPr>
          <w:jc w:val="center"/>
        </w:trPr>
        <w:tc>
          <w:tcPr>
            <w:tcW w:w="720" w:type="dxa"/>
            <w:vAlign w:val="center"/>
          </w:tcPr>
          <w:p w:rsidR="001D63BB" w:rsidRPr="00E74406" w:rsidRDefault="001D63BB" w:rsidP="001D63BB">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7</w:t>
            </w:r>
          </w:p>
        </w:tc>
        <w:tc>
          <w:tcPr>
            <w:tcW w:w="3357" w:type="dxa"/>
            <w:vAlign w:val="center"/>
          </w:tcPr>
          <w:p w:rsidR="001D63BB" w:rsidRPr="00E74406" w:rsidRDefault="001D63BB" w:rsidP="00A03AAC">
            <w:pPr>
              <w:jc w:val="left"/>
              <w:rPr>
                <w:rFonts w:eastAsiaTheme="minorEastAsia"/>
                <w:color w:val="000000" w:themeColor="text1"/>
                <w:sz w:val="24"/>
                <w:szCs w:val="24"/>
              </w:rPr>
            </w:pPr>
            <w:r w:rsidRPr="00E74406">
              <w:rPr>
                <w:rFonts w:eastAsiaTheme="minorEastAsia"/>
                <w:color w:val="000000" w:themeColor="text1"/>
                <w:sz w:val="24"/>
                <w:szCs w:val="24"/>
              </w:rPr>
              <w:t>其他各项资产</w:t>
            </w:r>
          </w:p>
        </w:tc>
        <w:tc>
          <w:tcPr>
            <w:tcW w:w="2977" w:type="dxa"/>
            <w:vAlign w:val="center"/>
          </w:tcPr>
          <w:p w:rsidR="001D63BB" w:rsidRPr="00E74406" w:rsidRDefault="001D63BB" w:rsidP="00A03AAC">
            <w:pPr>
              <w:jc w:val="right"/>
              <w:rPr>
                <w:rFonts w:eastAsiaTheme="minorEastAsia"/>
                <w:color w:val="000000" w:themeColor="text1"/>
                <w:sz w:val="24"/>
                <w:szCs w:val="24"/>
              </w:rPr>
            </w:pPr>
            <w:r w:rsidRPr="00E74406">
              <w:rPr>
                <w:rFonts w:eastAsiaTheme="minorEastAsia"/>
                <w:color w:val="000000" w:themeColor="text1"/>
                <w:sz w:val="24"/>
                <w:szCs w:val="24"/>
              </w:rPr>
              <w:t>178,253.46</w:t>
            </w:r>
          </w:p>
        </w:tc>
        <w:tc>
          <w:tcPr>
            <w:tcW w:w="1843" w:type="dxa"/>
            <w:vAlign w:val="center"/>
          </w:tcPr>
          <w:p w:rsidR="001D63BB" w:rsidRPr="00E74406" w:rsidRDefault="001D63BB" w:rsidP="00A03AAC">
            <w:pPr>
              <w:jc w:val="right"/>
              <w:rPr>
                <w:rFonts w:eastAsiaTheme="minorEastAsia"/>
                <w:color w:val="000000" w:themeColor="text1"/>
                <w:sz w:val="24"/>
                <w:szCs w:val="24"/>
              </w:rPr>
            </w:pPr>
            <w:r w:rsidRPr="00E74406">
              <w:rPr>
                <w:rFonts w:eastAsiaTheme="minorEastAsia"/>
                <w:color w:val="000000" w:themeColor="text1"/>
                <w:sz w:val="24"/>
                <w:szCs w:val="24"/>
              </w:rPr>
              <w:t>0.05</w:t>
            </w:r>
          </w:p>
        </w:tc>
      </w:tr>
      <w:tr w:rsidR="00220C32" w:rsidRPr="00E74406" w:rsidTr="0069426C">
        <w:trPr>
          <w:jc w:val="center"/>
        </w:trPr>
        <w:tc>
          <w:tcPr>
            <w:tcW w:w="720" w:type="dxa"/>
            <w:vAlign w:val="center"/>
          </w:tcPr>
          <w:p w:rsidR="001D63BB" w:rsidRPr="00E74406" w:rsidRDefault="001D63BB" w:rsidP="001D63BB">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8</w:t>
            </w:r>
          </w:p>
        </w:tc>
        <w:tc>
          <w:tcPr>
            <w:tcW w:w="3357" w:type="dxa"/>
            <w:vAlign w:val="center"/>
          </w:tcPr>
          <w:p w:rsidR="001D63BB" w:rsidRPr="00E74406" w:rsidRDefault="001D63BB" w:rsidP="00A03AAC">
            <w:pPr>
              <w:jc w:val="left"/>
              <w:rPr>
                <w:rFonts w:eastAsiaTheme="minorEastAsia"/>
                <w:color w:val="000000" w:themeColor="text1"/>
                <w:sz w:val="24"/>
                <w:szCs w:val="24"/>
              </w:rPr>
            </w:pPr>
            <w:r w:rsidRPr="00E74406">
              <w:rPr>
                <w:rFonts w:eastAsiaTheme="minorEastAsia"/>
                <w:color w:val="000000" w:themeColor="text1"/>
                <w:sz w:val="24"/>
                <w:szCs w:val="24"/>
              </w:rPr>
              <w:t>合计</w:t>
            </w:r>
          </w:p>
        </w:tc>
        <w:tc>
          <w:tcPr>
            <w:tcW w:w="2977" w:type="dxa"/>
            <w:vAlign w:val="center"/>
          </w:tcPr>
          <w:p w:rsidR="001D63BB" w:rsidRPr="00E74406" w:rsidRDefault="001D63BB" w:rsidP="00A03AAC">
            <w:pPr>
              <w:jc w:val="right"/>
              <w:rPr>
                <w:rFonts w:eastAsiaTheme="minorEastAsia"/>
                <w:color w:val="000000" w:themeColor="text1"/>
                <w:sz w:val="24"/>
                <w:szCs w:val="24"/>
              </w:rPr>
            </w:pPr>
            <w:r w:rsidRPr="00E74406">
              <w:rPr>
                <w:rFonts w:eastAsiaTheme="minorEastAsia"/>
                <w:color w:val="000000" w:themeColor="text1"/>
                <w:sz w:val="24"/>
                <w:szCs w:val="24"/>
              </w:rPr>
              <w:t>392,940,677.45</w:t>
            </w:r>
          </w:p>
        </w:tc>
        <w:tc>
          <w:tcPr>
            <w:tcW w:w="1843" w:type="dxa"/>
            <w:vAlign w:val="center"/>
          </w:tcPr>
          <w:p w:rsidR="001D63BB" w:rsidRPr="00E74406" w:rsidRDefault="001D63BB" w:rsidP="001675CD">
            <w:pPr>
              <w:jc w:val="right"/>
              <w:rPr>
                <w:rFonts w:eastAsiaTheme="minorEastAsia"/>
                <w:color w:val="000000" w:themeColor="text1"/>
                <w:sz w:val="24"/>
                <w:szCs w:val="24"/>
              </w:rPr>
            </w:pPr>
            <w:r w:rsidRPr="00E74406">
              <w:rPr>
                <w:rFonts w:eastAsiaTheme="minorEastAsia"/>
                <w:color w:val="000000" w:themeColor="text1"/>
                <w:sz w:val="24"/>
                <w:szCs w:val="24"/>
              </w:rPr>
              <w:t>100.00</w:t>
            </w:r>
          </w:p>
        </w:tc>
      </w:tr>
    </w:tbl>
    <w:p w:rsidR="004061AC" w:rsidRPr="00313F0D" w:rsidRDefault="001675CD"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注：本基金本报告期末未持有通过港股通交易机制投资的港股。</w:t>
      </w:r>
    </w:p>
    <w:p w:rsidR="004061AC" w:rsidRPr="00E74406" w:rsidRDefault="004061AC" w:rsidP="004061AC">
      <w:pPr>
        <w:autoSpaceDE w:val="0"/>
        <w:autoSpaceDN w:val="0"/>
        <w:adjustRightInd w:val="0"/>
        <w:spacing w:line="360" w:lineRule="auto"/>
        <w:jc w:val="left"/>
        <w:rPr>
          <w:rFonts w:eastAsiaTheme="minorEastAsia"/>
          <w:color w:val="000000" w:themeColor="text1"/>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5.2 </w:t>
      </w:r>
      <w:r w:rsidRPr="00E74406">
        <w:rPr>
          <w:rFonts w:eastAsiaTheme="minorEastAsia"/>
          <w:b/>
          <w:bCs/>
          <w:color w:val="000000" w:themeColor="text1"/>
          <w:kern w:val="0"/>
          <w:sz w:val="24"/>
          <w:szCs w:val="24"/>
        </w:rPr>
        <w:t>报告期末按行业分类的股票投资组合</w:t>
      </w:r>
    </w:p>
    <w:p w:rsidR="008A409E" w:rsidRPr="00E74406" w:rsidRDefault="008A409E" w:rsidP="008A409E">
      <w:pPr>
        <w:rPr>
          <w:rFonts w:eastAsiaTheme="minorEastAsia"/>
          <w:b/>
          <w:sz w:val="24"/>
          <w:szCs w:val="24"/>
        </w:rPr>
      </w:pPr>
      <w:r w:rsidRPr="00E74406">
        <w:rPr>
          <w:rFonts w:eastAsiaTheme="minorEastAsia"/>
          <w:b/>
          <w:color w:val="000000" w:themeColor="text1"/>
          <w:kern w:val="0"/>
          <w:sz w:val="24"/>
          <w:szCs w:val="24"/>
        </w:rPr>
        <w:t>5.2.1</w:t>
      </w:r>
      <w:r w:rsidRPr="00E74406">
        <w:rPr>
          <w:rFonts w:eastAsiaTheme="minorEastAsia"/>
          <w:b/>
          <w:color w:val="000000" w:themeColor="text1"/>
          <w:kern w:val="0"/>
          <w:sz w:val="24"/>
          <w:szCs w:val="24"/>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2852"/>
        <w:gridCol w:w="1648"/>
      </w:tblGrid>
      <w:tr w:rsidR="008A409E" w:rsidRPr="00E74406" w:rsidTr="009F3012">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占基金资产净值比例（％）</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autoSpaceDE w:val="0"/>
              <w:autoSpaceDN w:val="0"/>
              <w:adjustRightInd w:val="0"/>
              <w:spacing w:before="29" w:line="360" w:lineRule="auto"/>
              <w:ind w:left="15"/>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utoSpaceDE w:val="0"/>
              <w:autoSpaceDN w:val="0"/>
              <w:adjustRightInd w:val="0"/>
              <w:spacing w:before="29" w:line="360" w:lineRule="auto"/>
              <w:ind w:left="15"/>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9,324,120.00</w:t>
            </w:r>
          </w:p>
          <w:p w:rsidR="008A409E" w:rsidRPr="00E74406" w:rsidRDefault="008A409E" w:rsidP="009F3012">
            <w:pPr>
              <w:jc w:val="right"/>
              <w:rPr>
                <w:rFonts w:eastAsiaTheme="minorEastAsia"/>
                <w:color w:val="000000" w:themeColor="text1"/>
                <w:kern w:val="0"/>
                <w:sz w:val="24"/>
                <w:szCs w:val="24"/>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2.40</w:t>
            </w:r>
          </w:p>
          <w:p w:rsidR="008A409E" w:rsidRPr="00E74406" w:rsidRDefault="008A409E" w:rsidP="009F3012">
            <w:pPr>
              <w:jc w:val="right"/>
              <w:rPr>
                <w:rFonts w:eastAsiaTheme="minorEastAsia"/>
                <w:color w:val="000000" w:themeColor="text1"/>
                <w:kern w:val="0"/>
                <w:sz w:val="24"/>
                <w:szCs w:val="24"/>
              </w:rPr>
            </w:pP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176,141,436.70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45.40</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8,187,680.55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2.11</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25,223,067.14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6.50</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6,801,992.00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1.75</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19,409,639.76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5.00</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38,008,477.07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9.80</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16,377,628.35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4.22</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6,199,981.92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1.60</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r w:rsidRPr="00E74406">
              <w:rPr>
                <w:rFonts w:eastAsiaTheme="minorEastAsia"/>
                <w:color w:val="000000" w:themeColor="text1"/>
                <w:kern w:val="0"/>
                <w:sz w:val="24"/>
                <w:szCs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w:t>
            </w:r>
          </w:p>
        </w:tc>
      </w:tr>
      <w:tr w:rsidR="008A409E" w:rsidRPr="00E74406" w:rsidTr="009F3012">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jc w:val="center"/>
              <w:rPr>
                <w:rFonts w:eastAsiaTheme="minorEastAsia"/>
                <w:color w:val="000000" w:themeColor="text1"/>
                <w:kern w:val="0"/>
                <w:sz w:val="24"/>
                <w:szCs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8A409E" w:rsidRPr="00E74406" w:rsidRDefault="008A409E" w:rsidP="009F3012">
            <w:pPr>
              <w:adjustRightInd w:val="0"/>
              <w:snapToGrid w:val="0"/>
              <w:spacing w:line="400" w:lineRule="exact"/>
              <w:rPr>
                <w:rFonts w:eastAsiaTheme="minorEastAsia"/>
                <w:color w:val="000000" w:themeColor="text1"/>
                <w:kern w:val="0"/>
                <w:sz w:val="24"/>
                <w:szCs w:val="24"/>
              </w:rPr>
            </w:pPr>
            <w:r w:rsidRPr="00E74406">
              <w:rPr>
                <w:rFonts w:eastAsiaTheme="minorEastAsia"/>
                <w:color w:val="000000" w:themeColor="text1"/>
                <w:kern w:val="0"/>
                <w:sz w:val="24"/>
                <w:szCs w:val="24"/>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305,674,023.49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8A409E" w:rsidRPr="00E74406" w:rsidRDefault="008A409E" w:rsidP="009F3012">
            <w:pPr>
              <w:jc w:val="right"/>
              <w:rPr>
                <w:rFonts w:eastAsiaTheme="minorEastAsia"/>
                <w:color w:val="000000" w:themeColor="text1"/>
                <w:kern w:val="0"/>
                <w:sz w:val="24"/>
                <w:szCs w:val="24"/>
              </w:rPr>
            </w:pPr>
            <w:r w:rsidRPr="00E74406">
              <w:rPr>
                <w:rFonts w:eastAsiaTheme="minorEastAsia"/>
                <w:color w:val="000000" w:themeColor="text1"/>
                <w:kern w:val="0"/>
                <w:sz w:val="24"/>
                <w:szCs w:val="24"/>
              </w:rPr>
              <w:t>78.79</w:t>
            </w:r>
          </w:p>
        </w:tc>
      </w:tr>
    </w:tbl>
    <w:p w:rsidR="008A409E" w:rsidRPr="00E74406" w:rsidRDefault="008A409E" w:rsidP="008A409E">
      <w:pPr>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 5.2.2</w:t>
      </w:r>
      <w:r w:rsidRPr="00E74406">
        <w:rPr>
          <w:rFonts w:eastAsiaTheme="minorEastAsia"/>
          <w:b/>
          <w:bCs/>
          <w:color w:val="000000" w:themeColor="text1"/>
          <w:kern w:val="0"/>
          <w:sz w:val="24"/>
          <w:szCs w:val="24"/>
        </w:rPr>
        <w:t>报告期末按行业分类的</w:t>
      </w:r>
      <w:r w:rsidR="002F29FF">
        <w:rPr>
          <w:rFonts w:eastAsiaTheme="minorEastAsia"/>
          <w:b/>
          <w:bCs/>
          <w:color w:val="000000" w:themeColor="text1"/>
          <w:kern w:val="0"/>
          <w:sz w:val="24"/>
          <w:szCs w:val="24"/>
        </w:rPr>
        <w:t>港股通</w:t>
      </w:r>
      <w:r w:rsidRPr="00E74406">
        <w:rPr>
          <w:rFonts w:eastAsiaTheme="minorEastAsia"/>
          <w:b/>
          <w:bCs/>
          <w:color w:val="000000" w:themeColor="text1"/>
          <w:kern w:val="0"/>
          <w:sz w:val="24"/>
          <w:szCs w:val="24"/>
        </w:rPr>
        <w:t>投资股票投资组合</w:t>
      </w:r>
    </w:p>
    <w:p w:rsidR="008A409E" w:rsidRPr="00313F0D" w:rsidRDefault="008A409E"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本基金本报告期末未持有通过港股通交易机制投资的港股。</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5.3 </w:t>
      </w:r>
      <w:r w:rsidRPr="00E74406">
        <w:rPr>
          <w:rFonts w:eastAsiaTheme="minorEastAsia"/>
          <w:b/>
          <w:bCs/>
          <w:color w:val="000000" w:themeColor="text1"/>
          <w:kern w:val="0"/>
          <w:sz w:val="24"/>
          <w:szCs w:val="24"/>
        </w:rPr>
        <w:t>报告期末按公允价值占基金资产净值比例大小排序的前十名股票投资明细</w:t>
      </w:r>
    </w:p>
    <w:tbl>
      <w:tblPr>
        <w:tblStyle w:val="af7"/>
        <w:tblW w:w="0" w:type="auto"/>
        <w:tblLayout w:type="fixed"/>
        <w:tblLook w:val="04A0"/>
      </w:tblPr>
      <w:tblGrid>
        <w:gridCol w:w="817"/>
        <w:gridCol w:w="1276"/>
        <w:gridCol w:w="1701"/>
        <w:gridCol w:w="1276"/>
        <w:gridCol w:w="1842"/>
        <w:gridCol w:w="1616"/>
      </w:tblGrid>
      <w:tr w:rsidR="00220C32" w:rsidRPr="00E74406" w:rsidTr="00D57B7C">
        <w:tc>
          <w:tcPr>
            <w:tcW w:w="817"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1276"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股票代码</w:t>
            </w:r>
          </w:p>
        </w:tc>
        <w:tc>
          <w:tcPr>
            <w:tcW w:w="1701"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股票名称</w:t>
            </w:r>
          </w:p>
        </w:tc>
        <w:tc>
          <w:tcPr>
            <w:tcW w:w="1276"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数量</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股</w:t>
            </w:r>
            <w:r w:rsidR="00D57B7C" w:rsidRPr="00E74406">
              <w:rPr>
                <w:rFonts w:eastAsiaTheme="minorEastAsia"/>
                <w:color w:val="000000" w:themeColor="text1"/>
                <w:sz w:val="24"/>
                <w:szCs w:val="24"/>
              </w:rPr>
              <w:t>)</w:t>
            </w:r>
          </w:p>
        </w:tc>
        <w:tc>
          <w:tcPr>
            <w:tcW w:w="1842" w:type="dxa"/>
            <w:vAlign w:val="center"/>
          </w:tcPr>
          <w:p w:rsidR="00853140" w:rsidRPr="00E74406" w:rsidRDefault="00853140" w:rsidP="006E042A">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公允价值</w:t>
            </w:r>
            <w:r w:rsidRPr="00E74406">
              <w:rPr>
                <w:rFonts w:eastAsiaTheme="minorEastAsia"/>
                <w:color w:val="000000" w:themeColor="text1"/>
                <w:sz w:val="24"/>
                <w:szCs w:val="24"/>
              </w:rPr>
              <w:t>(</w:t>
            </w:r>
            <w:r w:rsidRPr="00E74406">
              <w:rPr>
                <w:rFonts w:eastAsiaTheme="minorEastAsia"/>
                <w:color w:val="000000" w:themeColor="text1"/>
                <w:sz w:val="24"/>
                <w:szCs w:val="24"/>
              </w:rPr>
              <w:t>元</w:t>
            </w:r>
            <w:r w:rsidRPr="00E74406">
              <w:rPr>
                <w:rFonts w:eastAsiaTheme="minorEastAsia"/>
                <w:color w:val="000000" w:themeColor="text1"/>
                <w:sz w:val="24"/>
                <w:szCs w:val="24"/>
              </w:rPr>
              <w:t>)</w:t>
            </w:r>
          </w:p>
        </w:tc>
        <w:tc>
          <w:tcPr>
            <w:tcW w:w="1616" w:type="dxa"/>
            <w:vAlign w:val="center"/>
          </w:tcPr>
          <w:p w:rsidR="00853140" w:rsidRPr="00E74406" w:rsidRDefault="00853140" w:rsidP="006E042A">
            <w:pPr>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占基金资产净值比例</w:t>
            </w:r>
            <w:r w:rsidR="00D57B7C" w:rsidRPr="00E74406">
              <w:rPr>
                <w:rFonts w:eastAsiaTheme="minorEastAsia"/>
                <w:color w:val="000000" w:themeColor="text1"/>
                <w:sz w:val="24"/>
                <w:szCs w:val="24"/>
              </w:rPr>
              <w:t>(</w:t>
            </w:r>
            <w:r w:rsidRPr="00E74406">
              <w:rPr>
                <w:rFonts w:eastAsiaTheme="minorEastAsia"/>
                <w:color w:val="000000" w:themeColor="text1"/>
                <w:sz w:val="24"/>
                <w:szCs w:val="24"/>
              </w:rPr>
              <w:t>％</w:t>
            </w:r>
            <w:r w:rsidR="00D57B7C" w:rsidRPr="00E74406">
              <w:rPr>
                <w:rFonts w:eastAsiaTheme="minorEastAsia"/>
                <w:color w:val="000000" w:themeColor="text1"/>
                <w:sz w:val="24"/>
                <w:szCs w:val="24"/>
              </w:rPr>
              <w:t>)</w:t>
            </w:r>
          </w:p>
        </w:tc>
      </w:tr>
      <w:tr w:rsidR="00217638">
        <w:tc>
          <w:tcPr>
            <w:tcW w:w="817" w:type="dxa"/>
            <w:vAlign w:val="center"/>
          </w:tcPr>
          <w:p w:rsidR="00217638" w:rsidRDefault="00A071BC">
            <w:pPr>
              <w:jc w:val="center"/>
            </w:pPr>
            <w:r>
              <w:rPr>
                <w:rFonts w:eastAsiaTheme="minorEastAsia"/>
                <w:color w:val="000000" w:themeColor="text1"/>
                <w:sz w:val="24"/>
                <w:szCs w:val="24"/>
              </w:rPr>
              <w:t>1</w:t>
            </w:r>
          </w:p>
        </w:tc>
        <w:tc>
          <w:tcPr>
            <w:tcW w:w="1276" w:type="dxa"/>
            <w:vAlign w:val="center"/>
          </w:tcPr>
          <w:p w:rsidR="00217638" w:rsidRDefault="00A071BC">
            <w:pPr>
              <w:jc w:val="center"/>
            </w:pPr>
            <w:r>
              <w:rPr>
                <w:rFonts w:eastAsiaTheme="minorEastAsia"/>
                <w:color w:val="000000" w:themeColor="text1"/>
                <w:sz w:val="24"/>
                <w:szCs w:val="24"/>
              </w:rPr>
              <w:t>601336</w:t>
            </w:r>
          </w:p>
        </w:tc>
        <w:tc>
          <w:tcPr>
            <w:tcW w:w="1701" w:type="dxa"/>
            <w:vAlign w:val="center"/>
          </w:tcPr>
          <w:p w:rsidR="00217638" w:rsidRDefault="00A071BC">
            <w:pPr>
              <w:jc w:val="center"/>
            </w:pPr>
            <w:r>
              <w:rPr>
                <w:rFonts w:eastAsiaTheme="minorEastAsia"/>
                <w:color w:val="000000" w:themeColor="text1"/>
                <w:sz w:val="24"/>
                <w:szCs w:val="24"/>
              </w:rPr>
              <w:t>新华保险</w:t>
            </w:r>
          </w:p>
        </w:tc>
        <w:tc>
          <w:tcPr>
            <w:tcW w:w="1276" w:type="dxa"/>
            <w:vAlign w:val="center"/>
          </w:tcPr>
          <w:p w:rsidR="00217638" w:rsidRDefault="00A071BC">
            <w:pPr>
              <w:jc w:val="right"/>
            </w:pPr>
            <w:r>
              <w:rPr>
                <w:rFonts w:eastAsiaTheme="minorEastAsia"/>
                <w:color w:val="000000" w:themeColor="text1"/>
                <w:sz w:val="24"/>
                <w:szCs w:val="24"/>
              </w:rPr>
              <w:t>690,071.00</w:t>
            </w:r>
          </w:p>
        </w:tc>
        <w:tc>
          <w:tcPr>
            <w:tcW w:w="1842" w:type="dxa"/>
            <w:vAlign w:val="center"/>
          </w:tcPr>
          <w:p w:rsidR="00217638" w:rsidRDefault="00A071BC">
            <w:pPr>
              <w:jc w:val="right"/>
            </w:pPr>
            <w:r>
              <w:rPr>
                <w:rFonts w:eastAsiaTheme="minorEastAsia"/>
                <w:color w:val="000000" w:themeColor="text1"/>
                <w:sz w:val="24"/>
                <w:szCs w:val="24"/>
              </w:rPr>
              <w:t>37,974,607.13</w:t>
            </w:r>
          </w:p>
        </w:tc>
        <w:tc>
          <w:tcPr>
            <w:tcW w:w="1616" w:type="dxa"/>
            <w:vAlign w:val="center"/>
          </w:tcPr>
          <w:p w:rsidR="00217638" w:rsidRDefault="00A071BC">
            <w:pPr>
              <w:jc w:val="right"/>
            </w:pPr>
            <w:r>
              <w:rPr>
                <w:rFonts w:eastAsiaTheme="minorEastAsia"/>
                <w:color w:val="000000" w:themeColor="text1"/>
                <w:sz w:val="24"/>
                <w:szCs w:val="24"/>
              </w:rPr>
              <w:t>9.79</w:t>
            </w:r>
          </w:p>
        </w:tc>
      </w:tr>
      <w:tr w:rsidR="00217638">
        <w:tc>
          <w:tcPr>
            <w:tcW w:w="817" w:type="dxa"/>
            <w:vAlign w:val="center"/>
          </w:tcPr>
          <w:p w:rsidR="00217638" w:rsidRDefault="00A071BC">
            <w:pPr>
              <w:jc w:val="center"/>
            </w:pPr>
            <w:r>
              <w:rPr>
                <w:rFonts w:eastAsiaTheme="minorEastAsia"/>
                <w:color w:val="000000" w:themeColor="text1"/>
                <w:sz w:val="24"/>
                <w:szCs w:val="24"/>
              </w:rPr>
              <w:t>2</w:t>
            </w:r>
          </w:p>
        </w:tc>
        <w:tc>
          <w:tcPr>
            <w:tcW w:w="1276" w:type="dxa"/>
            <w:vAlign w:val="center"/>
          </w:tcPr>
          <w:p w:rsidR="00217638" w:rsidRDefault="00A071BC">
            <w:pPr>
              <w:jc w:val="center"/>
            </w:pPr>
            <w:r>
              <w:rPr>
                <w:rFonts w:eastAsiaTheme="minorEastAsia"/>
                <w:color w:val="000000" w:themeColor="text1"/>
                <w:sz w:val="24"/>
                <w:szCs w:val="24"/>
              </w:rPr>
              <w:t>300232</w:t>
            </w:r>
          </w:p>
        </w:tc>
        <w:tc>
          <w:tcPr>
            <w:tcW w:w="1701" w:type="dxa"/>
            <w:vAlign w:val="center"/>
          </w:tcPr>
          <w:p w:rsidR="00217638" w:rsidRDefault="00A071BC">
            <w:pPr>
              <w:jc w:val="center"/>
            </w:pPr>
            <w:r>
              <w:rPr>
                <w:rFonts w:eastAsiaTheme="minorEastAsia"/>
                <w:color w:val="000000" w:themeColor="text1"/>
                <w:sz w:val="24"/>
                <w:szCs w:val="24"/>
              </w:rPr>
              <w:t>洲明科技</w:t>
            </w:r>
          </w:p>
        </w:tc>
        <w:tc>
          <w:tcPr>
            <w:tcW w:w="1276" w:type="dxa"/>
            <w:vAlign w:val="center"/>
          </w:tcPr>
          <w:p w:rsidR="00217638" w:rsidRDefault="00A071BC">
            <w:pPr>
              <w:jc w:val="right"/>
            </w:pPr>
            <w:r>
              <w:rPr>
                <w:rFonts w:eastAsiaTheme="minorEastAsia"/>
                <w:color w:val="000000" w:themeColor="text1"/>
                <w:sz w:val="24"/>
                <w:szCs w:val="24"/>
              </w:rPr>
              <w:t>2,534,184.00</w:t>
            </w:r>
          </w:p>
        </w:tc>
        <w:tc>
          <w:tcPr>
            <w:tcW w:w="1842" w:type="dxa"/>
            <w:vAlign w:val="center"/>
          </w:tcPr>
          <w:p w:rsidR="00217638" w:rsidRDefault="00A071BC">
            <w:pPr>
              <w:jc w:val="right"/>
            </w:pPr>
            <w:r>
              <w:rPr>
                <w:rFonts w:eastAsiaTheme="minorEastAsia"/>
                <w:color w:val="000000" w:themeColor="text1"/>
                <w:sz w:val="24"/>
                <w:szCs w:val="24"/>
              </w:rPr>
              <w:t>24,530,901.12</w:t>
            </w:r>
          </w:p>
        </w:tc>
        <w:tc>
          <w:tcPr>
            <w:tcW w:w="1616" w:type="dxa"/>
            <w:vAlign w:val="center"/>
          </w:tcPr>
          <w:p w:rsidR="00217638" w:rsidRDefault="00A071BC">
            <w:pPr>
              <w:jc w:val="right"/>
            </w:pPr>
            <w:r>
              <w:rPr>
                <w:rFonts w:eastAsiaTheme="minorEastAsia"/>
                <w:color w:val="000000" w:themeColor="text1"/>
                <w:sz w:val="24"/>
                <w:szCs w:val="24"/>
              </w:rPr>
              <w:t>6.32</w:t>
            </w:r>
          </w:p>
        </w:tc>
      </w:tr>
      <w:tr w:rsidR="00217638">
        <w:tc>
          <w:tcPr>
            <w:tcW w:w="817" w:type="dxa"/>
            <w:vAlign w:val="center"/>
          </w:tcPr>
          <w:p w:rsidR="00217638" w:rsidRDefault="00A071BC">
            <w:pPr>
              <w:jc w:val="center"/>
            </w:pPr>
            <w:r>
              <w:rPr>
                <w:rFonts w:eastAsiaTheme="minorEastAsia"/>
                <w:color w:val="000000" w:themeColor="text1"/>
                <w:sz w:val="24"/>
                <w:szCs w:val="24"/>
              </w:rPr>
              <w:t>3</w:t>
            </w:r>
          </w:p>
        </w:tc>
        <w:tc>
          <w:tcPr>
            <w:tcW w:w="1276" w:type="dxa"/>
            <w:vAlign w:val="center"/>
          </w:tcPr>
          <w:p w:rsidR="00217638" w:rsidRDefault="00A071BC">
            <w:pPr>
              <w:jc w:val="center"/>
            </w:pPr>
            <w:r>
              <w:rPr>
                <w:rFonts w:eastAsiaTheme="minorEastAsia"/>
                <w:color w:val="000000" w:themeColor="text1"/>
                <w:sz w:val="24"/>
                <w:szCs w:val="24"/>
              </w:rPr>
              <w:t>603517</w:t>
            </w:r>
          </w:p>
        </w:tc>
        <w:tc>
          <w:tcPr>
            <w:tcW w:w="1701" w:type="dxa"/>
            <w:vAlign w:val="center"/>
          </w:tcPr>
          <w:p w:rsidR="00217638" w:rsidRDefault="00A071BC">
            <w:pPr>
              <w:jc w:val="center"/>
            </w:pPr>
            <w:r>
              <w:rPr>
                <w:rFonts w:eastAsiaTheme="minorEastAsia"/>
                <w:color w:val="000000" w:themeColor="text1"/>
                <w:sz w:val="24"/>
                <w:szCs w:val="24"/>
              </w:rPr>
              <w:t>绝味食品</w:t>
            </w:r>
          </w:p>
        </w:tc>
        <w:tc>
          <w:tcPr>
            <w:tcW w:w="1276" w:type="dxa"/>
            <w:vAlign w:val="center"/>
          </w:tcPr>
          <w:p w:rsidR="00217638" w:rsidRDefault="00A071BC">
            <w:pPr>
              <w:jc w:val="right"/>
            </w:pPr>
            <w:r>
              <w:rPr>
                <w:rFonts w:eastAsiaTheme="minorEastAsia"/>
                <w:color w:val="000000" w:themeColor="text1"/>
                <w:sz w:val="24"/>
                <w:szCs w:val="24"/>
              </w:rPr>
              <w:t>435,960.00</w:t>
            </w:r>
          </w:p>
        </w:tc>
        <w:tc>
          <w:tcPr>
            <w:tcW w:w="1842" w:type="dxa"/>
            <w:vAlign w:val="center"/>
          </w:tcPr>
          <w:p w:rsidR="00217638" w:rsidRDefault="00A071BC">
            <w:pPr>
              <w:jc w:val="right"/>
            </w:pPr>
            <w:r>
              <w:rPr>
                <w:rFonts w:eastAsiaTheme="minorEastAsia"/>
                <w:color w:val="000000" w:themeColor="text1"/>
                <w:sz w:val="24"/>
                <w:szCs w:val="24"/>
              </w:rPr>
              <w:t>16,963,203.60</w:t>
            </w:r>
          </w:p>
        </w:tc>
        <w:tc>
          <w:tcPr>
            <w:tcW w:w="1616" w:type="dxa"/>
            <w:vAlign w:val="center"/>
          </w:tcPr>
          <w:p w:rsidR="00217638" w:rsidRDefault="00A071BC">
            <w:pPr>
              <w:jc w:val="right"/>
            </w:pPr>
            <w:r>
              <w:rPr>
                <w:rFonts w:eastAsiaTheme="minorEastAsia"/>
                <w:color w:val="000000" w:themeColor="text1"/>
                <w:sz w:val="24"/>
                <w:szCs w:val="24"/>
              </w:rPr>
              <w:t>4.37</w:t>
            </w:r>
          </w:p>
        </w:tc>
      </w:tr>
      <w:tr w:rsidR="00217638">
        <w:tc>
          <w:tcPr>
            <w:tcW w:w="817" w:type="dxa"/>
            <w:vAlign w:val="center"/>
          </w:tcPr>
          <w:p w:rsidR="00217638" w:rsidRDefault="00A071BC">
            <w:pPr>
              <w:jc w:val="center"/>
            </w:pPr>
            <w:r>
              <w:rPr>
                <w:rFonts w:eastAsiaTheme="minorEastAsia"/>
                <w:color w:val="000000" w:themeColor="text1"/>
                <w:sz w:val="24"/>
                <w:szCs w:val="24"/>
              </w:rPr>
              <w:t>4</w:t>
            </w:r>
          </w:p>
        </w:tc>
        <w:tc>
          <w:tcPr>
            <w:tcW w:w="1276" w:type="dxa"/>
            <w:vAlign w:val="center"/>
          </w:tcPr>
          <w:p w:rsidR="00217638" w:rsidRDefault="00A071BC">
            <w:pPr>
              <w:jc w:val="center"/>
            </w:pPr>
            <w:r>
              <w:rPr>
                <w:rFonts w:eastAsiaTheme="minorEastAsia"/>
                <w:color w:val="000000" w:themeColor="text1"/>
                <w:sz w:val="24"/>
                <w:szCs w:val="24"/>
              </w:rPr>
              <w:t>600760</w:t>
            </w:r>
          </w:p>
        </w:tc>
        <w:tc>
          <w:tcPr>
            <w:tcW w:w="1701" w:type="dxa"/>
            <w:vAlign w:val="center"/>
          </w:tcPr>
          <w:p w:rsidR="00217638" w:rsidRDefault="00A071BC">
            <w:pPr>
              <w:jc w:val="center"/>
            </w:pPr>
            <w:r>
              <w:rPr>
                <w:rFonts w:eastAsiaTheme="minorEastAsia"/>
                <w:color w:val="000000" w:themeColor="text1"/>
                <w:sz w:val="24"/>
                <w:szCs w:val="24"/>
              </w:rPr>
              <w:t>中航沈飞</w:t>
            </w:r>
          </w:p>
        </w:tc>
        <w:tc>
          <w:tcPr>
            <w:tcW w:w="1276" w:type="dxa"/>
            <w:vAlign w:val="center"/>
          </w:tcPr>
          <w:p w:rsidR="00217638" w:rsidRDefault="00A071BC">
            <w:pPr>
              <w:jc w:val="right"/>
            </w:pPr>
            <w:r>
              <w:rPr>
                <w:rFonts w:eastAsiaTheme="minorEastAsia"/>
                <w:color w:val="000000" w:themeColor="text1"/>
                <w:sz w:val="24"/>
                <w:szCs w:val="24"/>
              </w:rPr>
              <w:t>492,901.00</w:t>
            </w:r>
          </w:p>
        </w:tc>
        <w:tc>
          <w:tcPr>
            <w:tcW w:w="1842" w:type="dxa"/>
            <w:vAlign w:val="center"/>
          </w:tcPr>
          <w:p w:rsidR="00217638" w:rsidRDefault="00A071BC">
            <w:pPr>
              <w:jc w:val="right"/>
            </w:pPr>
            <w:r>
              <w:rPr>
                <w:rFonts w:eastAsiaTheme="minorEastAsia"/>
                <w:color w:val="000000" w:themeColor="text1"/>
                <w:sz w:val="24"/>
                <w:szCs w:val="24"/>
              </w:rPr>
              <w:t>14,308,916.03</w:t>
            </w:r>
          </w:p>
        </w:tc>
        <w:tc>
          <w:tcPr>
            <w:tcW w:w="1616" w:type="dxa"/>
            <w:vAlign w:val="center"/>
          </w:tcPr>
          <w:p w:rsidR="00217638" w:rsidRDefault="00A071BC">
            <w:pPr>
              <w:jc w:val="right"/>
            </w:pPr>
            <w:r>
              <w:rPr>
                <w:rFonts w:eastAsiaTheme="minorEastAsia"/>
                <w:color w:val="000000" w:themeColor="text1"/>
                <w:sz w:val="24"/>
                <w:szCs w:val="24"/>
              </w:rPr>
              <w:t>3.69</w:t>
            </w:r>
          </w:p>
        </w:tc>
      </w:tr>
      <w:tr w:rsidR="00217638">
        <w:tc>
          <w:tcPr>
            <w:tcW w:w="817" w:type="dxa"/>
            <w:vAlign w:val="center"/>
          </w:tcPr>
          <w:p w:rsidR="00217638" w:rsidRDefault="00A071BC">
            <w:pPr>
              <w:jc w:val="center"/>
            </w:pPr>
            <w:r>
              <w:rPr>
                <w:rFonts w:eastAsiaTheme="minorEastAsia"/>
                <w:color w:val="000000" w:themeColor="text1"/>
                <w:sz w:val="24"/>
                <w:szCs w:val="24"/>
              </w:rPr>
              <w:t>5</w:t>
            </w:r>
          </w:p>
        </w:tc>
        <w:tc>
          <w:tcPr>
            <w:tcW w:w="1276" w:type="dxa"/>
            <w:vAlign w:val="center"/>
          </w:tcPr>
          <w:p w:rsidR="00217638" w:rsidRDefault="00A071BC">
            <w:pPr>
              <w:jc w:val="center"/>
            </w:pPr>
            <w:r>
              <w:rPr>
                <w:rFonts w:eastAsiaTheme="minorEastAsia"/>
                <w:color w:val="000000" w:themeColor="text1"/>
                <w:sz w:val="24"/>
                <w:szCs w:val="24"/>
              </w:rPr>
              <w:t>300416</w:t>
            </w:r>
          </w:p>
        </w:tc>
        <w:tc>
          <w:tcPr>
            <w:tcW w:w="1701" w:type="dxa"/>
            <w:vAlign w:val="center"/>
          </w:tcPr>
          <w:p w:rsidR="00217638" w:rsidRDefault="00A071BC">
            <w:pPr>
              <w:jc w:val="center"/>
            </w:pPr>
            <w:r>
              <w:rPr>
                <w:rFonts w:eastAsiaTheme="minorEastAsia"/>
                <w:color w:val="000000" w:themeColor="text1"/>
                <w:sz w:val="24"/>
                <w:szCs w:val="24"/>
              </w:rPr>
              <w:t>苏试试验</w:t>
            </w:r>
          </w:p>
        </w:tc>
        <w:tc>
          <w:tcPr>
            <w:tcW w:w="1276" w:type="dxa"/>
            <w:vAlign w:val="center"/>
          </w:tcPr>
          <w:p w:rsidR="00217638" w:rsidRDefault="00A071BC">
            <w:pPr>
              <w:jc w:val="right"/>
            </w:pPr>
            <w:r>
              <w:rPr>
                <w:rFonts w:eastAsiaTheme="minorEastAsia"/>
                <w:color w:val="000000" w:themeColor="text1"/>
                <w:sz w:val="24"/>
                <w:szCs w:val="24"/>
              </w:rPr>
              <w:t>658,700.00</w:t>
            </w:r>
          </w:p>
        </w:tc>
        <w:tc>
          <w:tcPr>
            <w:tcW w:w="1842" w:type="dxa"/>
            <w:vAlign w:val="center"/>
          </w:tcPr>
          <w:p w:rsidR="00217638" w:rsidRDefault="00A071BC">
            <w:pPr>
              <w:jc w:val="right"/>
            </w:pPr>
            <w:r>
              <w:rPr>
                <w:rFonts w:eastAsiaTheme="minorEastAsia"/>
                <w:color w:val="000000" w:themeColor="text1"/>
                <w:sz w:val="24"/>
                <w:szCs w:val="24"/>
              </w:rPr>
              <w:t>12,251,820.00</w:t>
            </w:r>
          </w:p>
        </w:tc>
        <w:tc>
          <w:tcPr>
            <w:tcW w:w="1616" w:type="dxa"/>
            <w:vAlign w:val="center"/>
          </w:tcPr>
          <w:p w:rsidR="00217638" w:rsidRDefault="00A071BC">
            <w:pPr>
              <w:jc w:val="right"/>
            </w:pPr>
            <w:r>
              <w:rPr>
                <w:rFonts w:eastAsiaTheme="minorEastAsia"/>
                <w:color w:val="000000" w:themeColor="text1"/>
                <w:sz w:val="24"/>
                <w:szCs w:val="24"/>
              </w:rPr>
              <w:t>3.16</w:t>
            </w:r>
          </w:p>
        </w:tc>
      </w:tr>
      <w:tr w:rsidR="00217638">
        <w:tc>
          <w:tcPr>
            <w:tcW w:w="817" w:type="dxa"/>
            <w:vAlign w:val="center"/>
          </w:tcPr>
          <w:p w:rsidR="00217638" w:rsidRDefault="00A071BC">
            <w:pPr>
              <w:jc w:val="center"/>
            </w:pPr>
            <w:r>
              <w:rPr>
                <w:rFonts w:eastAsiaTheme="minorEastAsia"/>
                <w:color w:val="000000" w:themeColor="text1"/>
                <w:sz w:val="24"/>
                <w:szCs w:val="24"/>
              </w:rPr>
              <w:t>6</w:t>
            </w:r>
          </w:p>
        </w:tc>
        <w:tc>
          <w:tcPr>
            <w:tcW w:w="1276" w:type="dxa"/>
            <w:vAlign w:val="center"/>
          </w:tcPr>
          <w:p w:rsidR="00217638" w:rsidRDefault="00A071BC">
            <w:pPr>
              <w:jc w:val="center"/>
            </w:pPr>
            <w:r>
              <w:rPr>
                <w:rFonts w:eastAsiaTheme="minorEastAsia"/>
                <w:color w:val="000000" w:themeColor="text1"/>
                <w:sz w:val="24"/>
                <w:szCs w:val="24"/>
              </w:rPr>
              <w:t>600967</w:t>
            </w:r>
          </w:p>
        </w:tc>
        <w:tc>
          <w:tcPr>
            <w:tcW w:w="1701" w:type="dxa"/>
            <w:vAlign w:val="center"/>
          </w:tcPr>
          <w:p w:rsidR="00217638" w:rsidRDefault="00A071BC">
            <w:pPr>
              <w:jc w:val="center"/>
            </w:pPr>
            <w:r>
              <w:rPr>
                <w:rFonts w:eastAsiaTheme="minorEastAsia"/>
                <w:color w:val="000000" w:themeColor="text1"/>
                <w:sz w:val="24"/>
                <w:szCs w:val="24"/>
              </w:rPr>
              <w:t>内蒙一机</w:t>
            </w:r>
          </w:p>
        </w:tc>
        <w:tc>
          <w:tcPr>
            <w:tcW w:w="1276" w:type="dxa"/>
            <w:vAlign w:val="center"/>
          </w:tcPr>
          <w:p w:rsidR="00217638" w:rsidRDefault="00A071BC">
            <w:pPr>
              <w:jc w:val="right"/>
            </w:pPr>
            <w:r>
              <w:rPr>
                <w:rFonts w:eastAsiaTheme="minorEastAsia"/>
                <w:color w:val="000000" w:themeColor="text1"/>
                <w:sz w:val="24"/>
                <w:szCs w:val="24"/>
              </w:rPr>
              <w:t>1,061,123.00</w:t>
            </w:r>
          </w:p>
        </w:tc>
        <w:tc>
          <w:tcPr>
            <w:tcW w:w="1842" w:type="dxa"/>
            <w:vAlign w:val="center"/>
          </w:tcPr>
          <w:p w:rsidR="00217638" w:rsidRDefault="00A071BC">
            <w:pPr>
              <w:jc w:val="right"/>
            </w:pPr>
            <w:r>
              <w:rPr>
                <w:rFonts w:eastAsiaTheme="minorEastAsia"/>
                <w:color w:val="000000" w:themeColor="text1"/>
                <w:sz w:val="24"/>
                <w:szCs w:val="24"/>
              </w:rPr>
              <w:t>11,884,577.60</w:t>
            </w:r>
          </w:p>
        </w:tc>
        <w:tc>
          <w:tcPr>
            <w:tcW w:w="1616" w:type="dxa"/>
            <w:vAlign w:val="center"/>
          </w:tcPr>
          <w:p w:rsidR="00217638" w:rsidRDefault="00A071BC">
            <w:pPr>
              <w:jc w:val="right"/>
            </w:pPr>
            <w:r>
              <w:rPr>
                <w:rFonts w:eastAsiaTheme="minorEastAsia"/>
                <w:color w:val="000000" w:themeColor="text1"/>
                <w:sz w:val="24"/>
                <w:szCs w:val="24"/>
              </w:rPr>
              <w:t>3.06</w:t>
            </w:r>
          </w:p>
        </w:tc>
      </w:tr>
      <w:tr w:rsidR="00217638">
        <w:tc>
          <w:tcPr>
            <w:tcW w:w="817" w:type="dxa"/>
            <w:vAlign w:val="center"/>
          </w:tcPr>
          <w:p w:rsidR="00217638" w:rsidRDefault="00A071BC">
            <w:pPr>
              <w:jc w:val="center"/>
            </w:pPr>
            <w:r>
              <w:rPr>
                <w:rFonts w:eastAsiaTheme="minorEastAsia"/>
                <w:color w:val="000000" w:themeColor="text1"/>
                <w:sz w:val="24"/>
                <w:szCs w:val="24"/>
              </w:rPr>
              <w:t>7</w:t>
            </w:r>
          </w:p>
        </w:tc>
        <w:tc>
          <w:tcPr>
            <w:tcW w:w="1276" w:type="dxa"/>
            <w:vAlign w:val="center"/>
          </w:tcPr>
          <w:p w:rsidR="00217638" w:rsidRDefault="00A071BC">
            <w:pPr>
              <w:jc w:val="center"/>
            </w:pPr>
            <w:r>
              <w:rPr>
                <w:rFonts w:eastAsiaTheme="minorEastAsia"/>
                <w:color w:val="000000" w:themeColor="text1"/>
                <w:sz w:val="24"/>
                <w:szCs w:val="24"/>
              </w:rPr>
              <w:t>300037</w:t>
            </w:r>
          </w:p>
        </w:tc>
        <w:tc>
          <w:tcPr>
            <w:tcW w:w="1701" w:type="dxa"/>
            <w:vAlign w:val="center"/>
          </w:tcPr>
          <w:p w:rsidR="00217638" w:rsidRDefault="00A071BC">
            <w:pPr>
              <w:jc w:val="center"/>
            </w:pPr>
            <w:r>
              <w:rPr>
                <w:rFonts w:eastAsiaTheme="minorEastAsia"/>
                <w:color w:val="000000" w:themeColor="text1"/>
                <w:sz w:val="24"/>
                <w:szCs w:val="24"/>
              </w:rPr>
              <w:t>新宙邦</w:t>
            </w:r>
          </w:p>
        </w:tc>
        <w:tc>
          <w:tcPr>
            <w:tcW w:w="1276" w:type="dxa"/>
            <w:vAlign w:val="center"/>
          </w:tcPr>
          <w:p w:rsidR="00217638" w:rsidRDefault="00A071BC">
            <w:pPr>
              <w:jc w:val="right"/>
            </w:pPr>
            <w:r>
              <w:rPr>
                <w:rFonts w:eastAsiaTheme="minorEastAsia"/>
                <w:color w:val="000000" w:themeColor="text1"/>
                <w:sz w:val="24"/>
                <w:szCs w:val="24"/>
              </w:rPr>
              <w:t>569,200.00</w:t>
            </w:r>
          </w:p>
        </w:tc>
        <w:tc>
          <w:tcPr>
            <w:tcW w:w="1842" w:type="dxa"/>
            <w:vAlign w:val="center"/>
          </w:tcPr>
          <w:p w:rsidR="00217638" w:rsidRDefault="00A071BC">
            <w:pPr>
              <w:jc w:val="right"/>
            </w:pPr>
            <w:r>
              <w:rPr>
                <w:rFonts w:eastAsiaTheme="minorEastAsia"/>
                <w:color w:val="000000" w:themeColor="text1"/>
                <w:sz w:val="24"/>
                <w:szCs w:val="24"/>
              </w:rPr>
              <w:t>11,862,128.00</w:t>
            </w:r>
          </w:p>
        </w:tc>
        <w:tc>
          <w:tcPr>
            <w:tcW w:w="1616" w:type="dxa"/>
            <w:vAlign w:val="center"/>
          </w:tcPr>
          <w:p w:rsidR="00217638" w:rsidRDefault="00A071BC">
            <w:pPr>
              <w:jc w:val="right"/>
            </w:pPr>
            <w:r>
              <w:rPr>
                <w:rFonts w:eastAsiaTheme="minorEastAsia"/>
                <w:color w:val="000000" w:themeColor="text1"/>
                <w:sz w:val="24"/>
                <w:szCs w:val="24"/>
              </w:rPr>
              <w:t>3.06</w:t>
            </w:r>
          </w:p>
        </w:tc>
      </w:tr>
      <w:tr w:rsidR="00217638">
        <w:tc>
          <w:tcPr>
            <w:tcW w:w="817" w:type="dxa"/>
            <w:vAlign w:val="center"/>
          </w:tcPr>
          <w:p w:rsidR="00217638" w:rsidRDefault="00A071BC">
            <w:pPr>
              <w:jc w:val="center"/>
            </w:pPr>
            <w:r>
              <w:rPr>
                <w:rFonts w:eastAsiaTheme="minorEastAsia"/>
                <w:color w:val="000000" w:themeColor="text1"/>
                <w:sz w:val="24"/>
                <w:szCs w:val="24"/>
              </w:rPr>
              <w:t>8</w:t>
            </w:r>
          </w:p>
        </w:tc>
        <w:tc>
          <w:tcPr>
            <w:tcW w:w="1276" w:type="dxa"/>
            <w:vAlign w:val="center"/>
          </w:tcPr>
          <w:p w:rsidR="00217638" w:rsidRDefault="00A071BC">
            <w:pPr>
              <w:jc w:val="center"/>
            </w:pPr>
            <w:r>
              <w:rPr>
                <w:rFonts w:eastAsiaTheme="minorEastAsia"/>
                <w:color w:val="000000" w:themeColor="text1"/>
                <w:sz w:val="24"/>
                <w:szCs w:val="24"/>
              </w:rPr>
              <w:t>300170</w:t>
            </w:r>
          </w:p>
        </w:tc>
        <w:tc>
          <w:tcPr>
            <w:tcW w:w="1701" w:type="dxa"/>
            <w:vAlign w:val="center"/>
          </w:tcPr>
          <w:p w:rsidR="00217638" w:rsidRDefault="00A071BC">
            <w:pPr>
              <w:jc w:val="center"/>
            </w:pPr>
            <w:r>
              <w:rPr>
                <w:rFonts w:eastAsiaTheme="minorEastAsia"/>
                <w:color w:val="000000" w:themeColor="text1"/>
                <w:sz w:val="24"/>
                <w:szCs w:val="24"/>
              </w:rPr>
              <w:t>汉得信息</w:t>
            </w:r>
          </w:p>
        </w:tc>
        <w:tc>
          <w:tcPr>
            <w:tcW w:w="1276" w:type="dxa"/>
            <w:vAlign w:val="center"/>
          </w:tcPr>
          <w:p w:rsidR="00217638" w:rsidRDefault="00A071BC">
            <w:pPr>
              <w:jc w:val="right"/>
            </w:pPr>
            <w:r>
              <w:rPr>
                <w:rFonts w:eastAsiaTheme="minorEastAsia"/>
                <w:color w:val="000000" w:themeColor="text1"/>
                <w:sz w:val="24"/>
                <w:szCs w:val="24"/>
              </w:rPr>
              <w:t>842,600.00</w:t>
            </w:r>
          </w:p>
        </w:tc>
        <w:tc>
          <w:tcPr>
            <w:tcW w:w="1842" w:type="dxa"/>
            <w:vAlign w:val="center"/>
          </w:tcPr>
          <w:p w:rsidR="00217638" w:rsidRDefault="00A071BC">
            <w:pPr>
              <w:jc w:val="right"/>
            </w:pPr>
            <w:r>
              <w:rPr>
                <w:rFonts w:eastAsiaTheme="minorEastAsia"/>
                <w:color w:val="000000" w:themeColor="text1"/>
                <w:sz w:val="24"/>
                <w:szCs w:val="24"/>
              </w:rPr>
              <w:t>11,450,934.00</w:t>
            </w:r>
          </w:p>
        </w:tc>
        <w:tc>
          <w:tcPr>
            <w:tcW w:w="1616" w:type="dxa"/>
            <w:vAlign w:val="center"/>
          </w:tcPr>
          <w:p w:rsidR="00217638" w:rsidRDefault="00A071BC">
            <w:pPr>
              <w:jc w:val="right"/>
            </w:pPr>
            <w:r>
              <w:rPr>
                <w:rFonts w:eastAsiaTheme="minorEastAsia"/>
                <w:color w:val="000000" w:themeColor="text1"/>
                <w:sz w:val="24"/>
                <w:szCs w:val="24"/>
              </w:rPr>
              <w:t>2.95</w:t>
            </w:r>
          </w:p>
        </w:tc>
      </w:tr>
      <w:tr w:rsidR="00217638">
        <w:tc>
          <w:tcPr>
            <w:tcW w:w="817" w:type="dxa"/>
            <w:vAlign w:val="center"/>
          </w:tcPr>
          <w:p w:rsidR="00217638" w:rsidRDefault="00A071BC">
            <w:pPr>
              <w:jc w:val="center"/>
            </w:pPr>
            <w:r>
              <w:rPr>
                <w:rFonts w:eastAsiaTheme="minorEastAsia"/>
                <w:color w:val="000000" w:themeColor="text1"/>
                <w:sz w:val="24"/>
                <w:szCs w:val="24"/>
              </w:rPr>
              <w:t>9</w:t>
            </w:r>
          </w:p>
        </w:tc>
        <w:tc>
          <w:tcPr>
            <w:tcW w:w="1276" w:type="dxa"/>
            <w:vAlign w:val="center"/>
          </w:tcPr>
          <w:p w:rsidR="00217638" w:rsidRDefault="00A071BC">
            <w:pPr>
              <w:jc w:val="center"/>
            </w:pPr>
            <w:r>
              <w:rPr>
                <w:rFonts w:eastAsiaTheme="minorEastAsia"/>
                <w:color w:val="000000" w:themeColor="text1"/>
                <w:sz w:val="24"/>
                <w:szCs w:val="24"/>
              </w:rPr>
              <w:t>601933</w:t>
            </w:r>
          </w:p>
        </w:tc>
        <w:tc>
          <w:tcPr>
            <w:tcW w:w="1701" w:type="dxa"/>
            <w:vAlign w:val="center"/>
          </w:tcPr>
          <w:p w:rsidR="00217638" w:rsidRDefault="00A071BC">
            <w:pPr>
              <w:jc w:val="center"/>
            </w:pPr>
            <w:r>
              <w:rPr>
                <w:rFonts w:eastAsiaTheme="minorEastAsia"/>
                <w:color w:val="000000" w:themeColor="text1"/>
                <w:sz w:val="24"/>
                <w:szCs w:val="24"/>
              </w:rPr>
              <w:t>永辉超市</w:t>
            </w:r>
          </w:p>
        </w:tc>
        <w:tc>
          <w:tcPr>
            <w:tcW w:w="1276" w:type="dxa"/>
            <w:vAlign w:val="center"/>
          </w:tcPr>
          <w:p w:rsidR="00217638" w:rsidRDefault="00A071BC">
            <w:pPr>
              <w:jc w:val="right"/>
            </w:pPr>
            <w:r>
              <w:rPr>
                <w:rFonts w:eastAsiaTheme="minorEastAsia"/>
                <w:color w:val="000000" w:themeColor="text1"/>
                <w:sz w:val="24"/>
                <w:szCs w:val="24"/>
              </w:rPr>
              <w:t>1,107,000.00</w:t>
            </w:r>
          </w:p>
        </w:tc>
        <w:tc>
          <w:tcPr>
            <w:tcW w:w="1842" w:type="dxa"/>
            <w:vAlign w:val="center"/>
          </w:tcPr>
          <w:p w:rsidR="00217638" w:rsidRDefault="00A071BC">
            <w:pPr>
              <w:jc w:val="right"/>
            </w:pPr>
            <w:r>
              <w:rPr>
                <w:rFonts w:eastAsiaTheme="minorEastAsia"/>
                <w:color w:val="000000" w:themeColor="text1"/>
                <w:sz w:val="24"/>
                <w:szCs w:val="24"/>
              </w:rPr>
              <w:t>11,302,470.00</w:t>
            </w:r>
          </w:p>
        </w:tc>
        <w:tc>
          <w:tcPr>
            <w:tcW w:w="1616" w:type="dxa"/>
            <w:vAlign w:val="center"/>
          </w:tcPr>
          <w:p w:rsidR="00217638" w:rsidRDefault="00A071BC">
            <w:pPr>
              <w:jc w:val="right"/>
            </w:pPr>
            <w:r>
              <w:rPr>
                <w:rFonts w:eastAsiaTheme="minorEastAsia"/>
                <w:color w:val="000000" w:themeColor="text1"/>
                <w:sz w:val="24"/>
                <w:szCs w:val="24"/>
              </w:rPr>
              <w:t>2.91</w:t>
            </w:r>
          </w:p>
        </w:tc>
      </w:tr>
      <w:tr w:rsidR="00217638">
        <w:tc>
          <w:tcPr>
            <w:tcW w:w="817" w:type="dxa"/>
            <w:vAlign w:val="center"/>
          </w:tcPr>
          <w:p w:rsidR="00217638" w:rsidRDefault="00A071BC">
            <w:pPr>
              <w:jc w:val="center"/>
            </w:pPr>
            <w:r>
              <w:rPr>
                <w:rFonts w:eastAsiaTheme="minorEastAsia"/>
                <w:color w:val="000000" w:themeColor="text1"/>
                <w:sz w:val="24"/>
                <w:szCs w:val="24"/>
              </w:rPr>
              <w:t>10</w:t>
            </w:r>
          </w:p>
        </w:tc>
        <w:tc>
          <w:tcPr>
            <w:tcW w:w="1276" w:type="dxa"/>
            <w:vAlign w:val="center"/>
          </w:tcPr>
          <w:p w:rsidR="00217638" w:rsidRDefault="00A071BC">
            <w:pPr>
              <w:jc w:val="center"/>
            </w:pPr>
            <w:r>
              <w:rPr>
                <w:rFonts w:eastAsiaTheme="minorEastAsia"/>
                <w:color w:val="000000" w:themeColor="text1"/>
                <w:sz w:val="24"/>
                <w:szCs w:val="24"/>
              </w:rPr>
              <w:t>300568</w:t>
            </w:r>
          </w:p>
        </w:tc>
        <w:tc>
          <w:tcPr>
            <w:tcW w:w="1701" w:type="dxa"/>
            <w:vAlign w:val="center"/>
          </w:tcPr>
          <w:p w:rsidR="00217638" w:rsidRDefault="00A071BC">
            <w:pPr>
              <w:jc w:val="center"/>
            </w:pPr>
            <w:r>
              <w:rPr>
                <w:rFonts w:eastAsiaTheme="minorEastAsia"/>
                <w:color w:val="000000" w:themeColor="text1"/>
                <w:sz w:val="24"/>
                <w:szCs w:val="24"/>
              </w:rPr>
              <w:t>星源材质</w:t>
            </w:r>
          </w:p>
        </w:tc>
        <w:tc>
          <w:tcPr>
            <w:tcW w:w="1276" w:type="dxa"/>
            <w:vAlign w:val="center"/>
          </w:tcPr>
          <w:p w:rsidR="00217638" w:rsidRDefault="00A071BC">
            <w:pPr>
              <w:jc w:val="right"/>
            </w:pPr>
            <w:r>
              <w:rPr>
                <w:rFonts w:eastAsiaTheme="minorEastAsia"/>
                <w:color w:val="000000" w:themeColor="text1"/>
                <w:sz w:val="24"/>
                <w:szCs w:val="24"/>
              </w:rPr>
              <w:t>460,333.00</w:t>
            </w:r>
          </w:p>
        </w:tc>
        <w:tc>
          <w:tcPr>
            <w:tcW w:w="1842" w:type="dxa"/>
            <w:vAlign w:val="center"/>
          </w:tcPr>
          <w:p w:rsidR="00217638" w:rsidRDefault="00A071BC">
            <w:pPr>
              <w:jc w:val="right"/>
            </w:pPr>
            <w:r>
              <w:rPr>
                <w:rFonts w:eastAsiaTheme="minorEastAsia"/>
                <w:color w:val="000000" w:themeColor="text1"/>
                <w:sz w:val="24"/>
                <w:szCs w:val="24"/>
              </w:rPr>
              <w:t>10,610,675.65</w:t>
            </w:r>
          </w:p>
        </w:tc>
        <w:tc>
          <w:tcPr>
            <w:tcW w:w="1616" w:type="dxa"/>
            <w:vAlign w:val="center"/>
          </w:tcPr>
          <w:p w:rsidR="00217638" w:rsidRDefault="00A071BC">
            <w:pPr>
              <w:jc w:val="right"/>
            </w:pPr>
            <w:r>
              <w:rPr>
                <w:rFonts w:eastAsiaTheme="minorEastAsia"/>
                <w:color w:val="000000" w:themeColor="text1"/>
                <w:sz w:val="24"/>
                <w:szCs w:val="24"/>
              </w:rPr>
              <w:t>2.73</w:t>
            </w:r>
          </w:p>
        </w:tc>
      </w:tr>
    </w:tbl>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5.4 </w:t>
      </w:r>
      <w:r w:rsidRPr="00E74406">
        <w:rPr>
          <w:rFonts w:eastAsiaTheme="minorEastAsia"/>
          <w:b/>
          <w:bCs/>
          <w:color w:val="000000" w:themeColor="text1"/>
          <w:kern w:val="0"/>
          <w:sz w:val="24"/>
          <w:szCs w:val="24"/>
        </w:rPr>
        <w:t>报告期末按债券品种分类的债券投资组合</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本基金本报告期末未持有债券。</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5.5 </w:t>
      </w:r>
      <w:r w:rsidRPr="00E74406">
        <w:rPr>
          <w:rFonts w:eastAsiaTheme="minorEastAsia"/>
          <w:b/>
          <w:bCs/>
          <w:color w:val="000000" w:themeColor="text1"/>
          <w:kern w:val="0"/>
          <w:sz w:val="24"/>
          <w:szCs w:val="24"/>
        </w:rPr>
        <w:t>报告期末按公允价值占基金资产净值比例大小排</w:t>
      </w:r>
      <w:r w:rsidR="001D63BB" w:rsidRPr="00E74406">
        <w:rPr>
          <w:rFonts w:eastAsiaTheme="minorEastAsia"/>
          <w:b/>
          <w:bCs/>
          <w:color w:val="000000" w:themeColor="text1"/>
          <w:kern w:val="0"/>
          <w:sz w:val="24"/>
          <w:szCs w:val="24"/>
        </w:rPr>
        <w:t>序</w:t>
      </w:r>
      <w:r w:rsidRPr="00E74406">
        <w:rPr>
          <w:rFonts w:eastAsiaTheme="minorEastAsia"/>
          <w:b/>
          <w:bCs/>
          <w:color w:val="000000" w:themeColor="text1"/>
          <w:kern w:val="0"/>
          <w:sz w:val="24"/>
          <w:szCs w:val="24"/>
        </w:rPr>
        <w:t>的前五名债券投资明细</w:t>
      </w:r>
    </w:p>
    <w:p w:rsidR="009A7032" w:rsidRDefault="009A7032" w:rsidP="009F0F49">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本基金本报告期末未持有债券。</w:t>
      </w:r>
    </w:p>
    <w:p w:rsidR="004061AC" w:rsidRPr="00E74406" w:rsidRDefault="004061AC" w:rsidP="009F0F49">
      <w:pPr>
        <w:autoSpaceDE w:val="0"/>
        <w:autoSpaceDN w:val="0"/>
        <w:adjustRightInd w:val="0"/>
        <w:spacing w:line="360" w:lineRule="auto"/>
        <w:ind w:firstLineChars="200" w:firstLine="482"/>
        <w:jc w:val="left"/>
        <w:rPr>
          <w:rFonts w:eastAsiaTheme="minorEastAsia"/>
          <w:b/>
          <w:bCs/>
          <w:color w:val="000000" w:themeColor="text1"/>
          <w:kern w:val="0"/>
          <w:sz w:val="24"/>
          <w:szCs w:val="24"/>
        </w:rPr>
      </w:pPr>
    </w:p>
    <w:p w:rsidR="004061AC" w:rsidRPr="00E74406" w:rsidRDefault="004061AC"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5.6 </w:t>
      </w:r>
      <w:r w:rsidRPr="00E74406">
        <w:rPr>
          <w:rFonts w:eastAsiaTheme="minorEastAsia"/>
          <w:b/>
          <w:bCs/>
          <w:color w:val="000000" w:themeColor="text1"/>
          <w:kern w:val="0"/>
          <w:sz w:val="24"/>
          <w:szCs w:val="24"/>
        </w:rPr>
        <w:t>报告期末按公允价值占基金资产净值比例大小排</w:t>
      </w:r>
      <w:r w:rsidR="001D63BB" w:rsidRPr="00E74406">
        <w:rPr>
          <w:rFonts w:eastAsiaTheme="minorEastAsia"/>
          <w:b/>
          <w:bCs/>
          <w:color w:val="000000" w:themeColor="text1"/>
          <w:kern w:val="0"/>
          <w:sz w:val="24"/>
          <w:szCs w:val="24"/>
        </w:rPr>
        <w:t>序</w:t>
      </w:r>
      <w:r w:rsidRPr="00E74406">
        <w:rPr>
          <w:rFonts w:eastAsiaTheme="minorEastAsia"/>
          <w:b/>
          <w:bCs/>
          <w:color w:val="000000" w:themeColor="text1"/>
          <w:kern w:val="0"/>
          <w:sz w:val="24"/>
          <w:szCs w:val="24"/>
        </w:rPr>
        <w:t>的前十名资产支持证券投资明细</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本基金本报告期末未持有资产支持证券。</w:t>
      </w:r>
    </w:p>
    <w:p w:rsidR="001D63BB" w:rsidRPr="00E74406" w:rsidRDefault="001D63BB" w:rsidP="001D63BB">
      <w:pPr>
        <w:autoSpaceDE w:val="0"/>
        <w:autoSpaceDN w:val="0"/>
        <w:adjustRightInd w:val="0"/>
        <w:spacing w:line="360" w:lineRule="auto"/>
        <w:jc w:val="left"/>
        <w:rPr>
          <w:rFonts w:eastAsiaTheme="minorEastAsia"/>
          <w:color w:val="000000" w:themeColor="text1"/>
          <w:sz w:val="24"/>
          <w:szCs w:val="24"/>
        </w:rPr>
      </w:pPr>
    </w:p>
    <w:p w:rsidR="001D63BB" w:rsidRPr="00E74406" w:rsidRDefault="001D63BB" w:rsidP="001D63BB">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5.7 </w:t>
      </w:r>
      <w:r w:rsidRPr="00E74406">
        <w:rPr>
          <w:rFonts w:eastAsiaTheme="minorEastAsia"/>
          <w:b/>
          <w:bCs/>
          <w:color w:val="000000" w:themeColor="text1"/>
          <w:kern w:val="0"/>
          <w:sz w:val="24"/>
          <w:szCs w:val="24"/>
        </w:rPr>
        <w:t>报告期末按公允价值占基金资产净值比例大小排序的前五名贵金属投资明细</w:t>
      </w:r>
    </w:p>
    <w:p w:rsidR="001D63BB" w:rsidRPr="00313F0D" w:rsidRDefault="001D63BB"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本基金本报告期末未持有贵金属。</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4061AC" w:rsidRPr="00E74406" w:rsidRDefault="00A917BF"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5.8</w:t>
      </w:r>
      <w:r w:rsidR="004061AC" w:rsidRPr="00E74406">
        <w:rPr>
          <w:rFonts w:eastAsiaTheme="minorEastAsia"/>
          <w:b/>
          <w:bCs/>
          <w:color w:val="000000" w:themeColor="text1"/>
          <w:kern w:val="0"/>
          <w:sz w:val="24"/>
          <w:szCs w:val="24"/>
        </w:rPr>
        <w:t>报告期末按公允价值占基金资产净值比例大小排</w:t>
      </w:r>
      <w:r w:rsidR="001D63BB" w:rsidRPr="00E74406">
        <w:rPr>
          <w:rFonts w:eastAsiaTheme="minorEastAsia"/>
          <w:b/>
          <w:bCs/>
          <w:color w:val="000000" w:themeColor="text1"/>
          <w:kern w:val="0"/>
          <w:sz w:val="24"/>
          <w:szCs w:val="24"/>
        </w:rPr>
        <w:t>序</w:t>
      </w:r>
      <w:r w:rsidR="004061AC" w:rsidRPr="00E74406">
        <w:rPr>
          <w:rFonts w:eastAsiaTheme="minorEastAsia"/>
          <w:b/>
          <w:bCs/>
          <w:color w:val="000000" w:themeColor="text1"/>
          <w:kern w:val="0"/>
          <w:sz w:val="24"/>
          <w:szCs w:val="24"/>
        </w:rPr>
        <w:t>的前五名权证投资明细</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本基金本报告期末未持有权证。</w:t>
      </w:r>
    </w:p>
    <w:p w:rsidR="004061AC" w:rsidRPr="00E74406" w:rsidRDefault="004061AC" w:rsidP="004061AC">
      <w:pPr>
        <w:autoSpaceDE w:val="0"/>
        <w:autoSpaceDN w:val="0"/>
        <w:adjustRightInd w:val="0"/>
        <w:spacing w:line="360" w:lineRule="auto"/>
        <w:jc w:val="left"/>
        <w:rPr>
          <w:rFonts w:eastAsiaTheme="minorEastAsia"/>
          <w:color w:val="000000" w:themeColor="text1"/>
          <w:kern w:val="0"/>
          <w:sz w:val="24"/>
          <w:szCs w:val="24"/>
        </w:rPr>
      </w:pPr>
    </w:p>
    <w:p w:rsidR="00275745"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A917BF"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9</w:t>
      </w:r>
      <w:r w:rsidR="00275745" w:rsidRPr="00E74406">
        <w:rPr>
          <w:rFonts w:eastAsiaTheme="minorEastAsia"/>
          <w:b/>
          <w:bCs/>
          <w:color w:val="000000" w:themeColor="text1"/>
          <w:kern w:val="0"/>
          <w:sz w:val="24"/>
          <w:szCs w:val="24"/>
        </w:rPr>
        <w:t>报告期末本基金投资的股指期货交易情况说明</w:t>
      </w:r>
    </w:p>
    <w:p w:rsidR="00A96A94"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59076B" w:rsidRPr="00E74406">
        <w:rPr>
          <w:rFonts w:eastAsiaTheme="minorEastAsia"/>
          <w:b/>
          <w:bCs/>
          <w:color w:val="000000" w:themeColor="text1"/>
          <w:kern w:val="0"/>
          <w:sz w:val="24"/>
          <w:szCs w:val="24"/>
        </w:rPr>
        <w:t>.9.1</w:t>
      </w:r>
      <w:r w:rsidR="00A96A94" w:rsidRPr="00E74406">
        <w:rPr>
          <w:rFonts w:eastAsiaTheme="minorEastAsia"/>
          <w:b/>
          <w:bCs/>
          <w:color w:val="000000" w:themeColor="text1"/>
          <w:kern w:val="0"/>
          <w:sz w:val="24"/>
          <w:szCs w:val="24"/>
        </w:rPr>
        <w:t>报告期末本基金投资的股指期货持仓和损益明细</w:t>
      </w:r>
    </w:p>
    <w:p w:rsidR="00275745" w:rsidRPr="00313F0D" w:rsidRDefault="00AA3A38"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本基金本报告期末未投资股指期货。</w:t>
      </w:r>
    </w:p>
    <w:p w:rsidR="00AA3A38" w:rsidRPr="00E74406" w:rsidRDefault="00AA3A38" w:rsidP="00275745">
      <w:pPr>
        <w:adjustRightInd w:val="0"/>
        <w:snapToGrid w:val="0"/>
        <w:spacing w:line="360" w:lineRule="exact"/>
        <w:rPr>
          <w:rFonts w:eastAsiaTheme="minorEastAsia"/>
          <w:color w:val="000000" w:themeColor="text1"/>
          <w:sz w:val="24"/>
          <w:szCs w:val="24"/>
        </w:rPr>
      </w:pPr>
    </w:p>
    <w:p w:rsidR="00275745"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59076B" w:rsidRPr="00E74406">
        <w:rPr>
          <w:rFonts w:eastAsiaTheme="minorEastAsia"/>
          <w:b/>
          <w:bCs/>
          <w:color w:val="000000" w:themeColor="text1"/>
          <w:kern w:val="0"/>
          <w:sz w:val="24"/>
          <w:szCs w:val="24"/>
        </w:rPr>
        <w:t>.9.2</w:t>
      </w:r>
      <w:r w:rsidR="00275745" w:rsidRPr="00E74406">
        <w:rPr>
          <w:rFonts w:eastAsiaTheme="minorEastAsia"/>
          <w:b/>
          <w:bCs/>
          <w:color w:val="000000" w:themeColor="text1"/>
          <w:kern w:val="0"/>
          <w:sz w:val="24"/>
          <w:szCs w:val="24"/>
        </w:rPr>
        <w:t>本基金投资股指期货的投资政策</w:t>
      </w:r>
    </w:p>
    <w:p w:rsidR="00275745" w:rsidRPr="00E74406" w:rsidRDefault="00275745"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为更好地实现投资目标，本基金在注重风险管理的前提下，以套期保值为目的，适度运用股指期货。本基金利用股指期货合约流动性好、交易成本低和杠杆操作等特点，提高投资组合的运作效率。</w:t>
      </w:r>
    </w:p>
    <w:p w:rsidR="00275745" w:rsidRPr="00E74406" w:rsidRDefault="00275745" w:rsidP="004061AC">
      <w:pPr>
        <w:autoSpaceDE w:val="0"/>
        <w:autoSpaceDN w:val="0"/>
        <w:adjustRightInd w:val="0"/>
        <w:spacing w:line="360" w:lineRule="auto"/>
        <w:jc w:val="left"/>
        <w:rPr>
          <w:rFonts w:eastAsiaTheme="minorEastAsia"/>
          <w:color w:val="000000" w:themeColor="text1"/>
          <w:kern w:val="0"/>
          <w:sz w:val="24"/>
          <w:szCs w:val="24"/>
        </w:rPr>
      </w:pPr>
    </w:p>
    <w:p w:rsidR="00312A9F" w:rsidRPr="00E74406" w:rsidRDefault="00312A9F"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5.10</w:t>
      </w:r>
      <w:r w:rsidRPr="00E74406">
        <w:rPr>
          <w:rFonts w:eastAsiaTheme="minorEastAsia"/>
          <w:b/>
          <w:bCs/>
          <w:color w:val="000000" w:themeColor="text1"/>
          <w:kern w:val="0"/>
          <w:sz w:val="24"/>
          <w:szCs w:val="24"/>
        </w:rPr>
        <w:t>报告期末本基金投资的国债期货交易情况说明</w:t>
      </w:r>
    </w:p>
    <w:p w:rsidR="00312A9F" w:rsidRPr="00E74406" w:rsidRDefault="00312A9F"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5.10.1 </w:t>
      </w:r>
      <w:r w:rsidRPr="00E74406">
        <w:rPr>
          <w:rFonts w:eastAsiaTheme="minorEastAsia"/>
          <w:b/>
          <w:bCs/>
          <w:color w:val="000000" w:themeColor="text1"/>
          <w:kern w:val="0"/>
          <w:sz w:val="24"/>
          <w:szCs w:val="24"/>
        </w:rPr>
        <w:t>本期国债期货投资政策</w:t>
      </w:r>
    </w:p>
    <w:p w:rsidR="00312A9F" w:rsidRPr="00E74406" w:rsidRDefault="00312A9F"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为有效控制债券投资的系统性风险，本基金根据风险管理的原则，以套期保值为目的，适度运用国债期货，提高投资组合的运作效率。在国债期货投资时，本基金将首先分析国债期货各合约价格与最便宜可交割债券的关系，选择定价合理的国债期货合约，其次，考虑国债期货各合约的流动性情况，以达到风险管理的目标。</w:t>
      </w:r>
    </w:p>
    <w:p w:rsidR="00312A9F" w:rsidRPr="00E74406" w:rsidRDefault="00312A9F"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 xml:space="preserve">5.10.2 </w:t>
      </w:r>
      <w:r w:rsidRPr="00E74406">
        <w:rPr>
          <w:rFonts w:eastAsiaTheme="minorEastAsia"/>
          <w:b/>
          <w:bCs/>
          <w:color w:val="000000" w:themeColor="text1"/>
          <w:kern w:val="0"/>
          <w:sz w:val="24"/>
          <w:szCs w:val="24"/>
        </w:rPr>
        <w:t>报告期末本基金投资的国债期货持仓和损益明细</w:t>
      </w:r>
    </w:p>
    <w:p w:rsidR="00312A9F" w:rsidRPr="00313F0D" w:rsidRDefault="00312A9F"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本基金本报告期末未投资国债期货。</w:t>
      </w: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275745"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w:t>
      </w:r>
      <w:r w:rsidR="004061AC" w:rsidRPr="00E74406">
        <w:rPr>
          <w:rFonts w:eastAsiaTheme="minorEastAsia"/>
          <w:b/>
          <w:bCs/>
          <w:color w:val="000000" w:themeColor="text1"/>
          <w:kern w:val="0"/>
          <w:sz w:val="24"/>
          <w:szCs w:val="24"/>
        </w:rPr>
        <w:t>投资组合报告附注</w:t>
      </w:r>
    </w:p>
    <w:p w:rsidR="004061AC" w:rsidRPr="00E74406" w:rsidRDefault="003259C8" w:rsidP="001B0A62">
      <w:pPr>
        <w:spacing w:line="360" w:lineRule="auto"/>
        <w:rPr>
          <w:rFonts w:eastAsiaTheme="minorEastAsia"/>
          <w:color w:val="000000" w:themeColor="text1"/>
          <w:sz w:val="24"/>
          <w:szCs w:val="24"/>
        </w:rPr>
      </w:pPr>
      <w:r w:rsidRPr="00E74406">
        <w:rPr>
          <w:rFonts w:eastAsiaTheme="minorEastAsia"/>
          <w:color w:val="000000" w:themeColor="text1"/>
          <w:sz w:val="24"/>
          <w:szCs w:val="24"/>
        </w:rPr>
        <w:t>5</w:t>
      </w:r>
      <w:r w:rsidR="004061AC" w:rsidRPr="00E74406">
        <w:rPr>
          <w:rFonts w:eastAsiaTheme="minorEastAsia"/>
          <w:color w:val="000000" w:themeColor="text1"/>
          <w:sz w:val="24"/>
          <w:szCs w:val="24"/>
        </w:rPr>
        <w:t>.</w:t>
      </w:r>
      <w:r w:rsidR="0059076B" w:rsidRPr="00E74406">
        <w:rPr>
          <w:rFonts w:eastAsiaTheme="minorEastAsia"/>
          <w:color w:val="000000" w:themeColor="text1"/>
          <w:sz w:val="24"/>
          <w:szCs w:val="24"/>
        </w:rPr>
        <w:t>11</w:t>
      </w:r>
      <w:r w:rsidR="004061AC" w:rsidRPr="00E74406">
        <w:rPr>
          <w:rFonts w:eastAsiaTheme="minorEastAsia"/>
          <w:color w:val="000000" w:themeColor="text1"/>
          <w:sz w:val="24"/>
          <w:szCs w:val="24"/>
        </w:rPr>
        <w:t>.</w:t>
      </w:r>
      <w:r w:rsidR="0059076B" w:rsidRPr="00E74406">
        <w:rPr>
          <w:rFonts w:eastAsiaTheme="minorEastAsia"/>
          <w:color w:val="000000" w:themeColor="text1"/>
          <w:sz w:val="24"/>
          <w:szCs w:val="24"/>
        </w:rPr>
        <w:t>1</w:t>
      </w:r>
      <w:r w:rsidR="004061AC" w:rsidRPr="00E74406">
        <w:rPr>
          <w:rFonts w:eastAsiaTheme="minorEastAsia"/>
          <w:color w:val="000000" w:themeColor="text1"/>
          <w:sz w:val="24"/>
          <w:szCs w:val="24"/>
        </w:rPr>
        <w:t>本基金投资的前十名证券中，持有</w:t>
      </w:r>
      <w:r w:rsidR="004061AC" w:rsidRPr="00E74406">
        <w:rPr>
          <w:rFonts w:eastAsiaTheme="minorEastAsia"/>
          <w:color w:val="000000" w:themeColor="text1"/>
          <w:sz w:val="24"/>
          <w:szCs w:val="24"/>
        </w:rPr>
        <w:t>“</w:t>
      </w:r>
      <w:r w:rsidR="004061AC" w:rsidRPr="00E74406">
        <w:rPr>
          <w:rFonts w:eastAsiaTheme="minorEastAsia"/>
          <w:color w:val="000000" w:themeColor="text1"/>
          <w:sz w:val="24"/>
          <w:szCs w:val="24"/>
        </w:rPr>
        <w:t>新华保险</w:t>
      </w:r>
      <w:r w:rsidR="004061AC" w:rsidRPr="00E74406">
        <w:rPr>
          <w:rFonts w:eastAsiaTheme="minorEastAsia"/>
          <w:color w:val="000000" w:themeColor="text1"/>
          <w:sz w:val="24"/>
          <w:szCs w:val="24"/>
        </w:rPr>
        <w:t>”</w:t>
      </w:r>
      <w:r w:rsidR="004061AC" w:rsidRPr="00E74406">
        <w:rPr>
          <w:rFonts w:eastAsiaTheme="minorEastAsia"/>
          <w:color w:val="000000" w:themeColor="text1"/>
          <w:sz w:val="24"/>
          <w:szCs w:val="24"/>
        </w:rPr>
        <w:t>市值</w:t>
      </w:r>
      <w:r w:rsidR="004061AC" w:rsidRPr="00E74406">
        <w:rPr>
          <w:rFonts w:eastAsiaTheme="minorEastAsia"/>
          <w:color w:val="000000" w:themeColor="text1"/>
          <w:sz w:val="24"/>
          <w:szCs w:val="24"/>
        </w:rPr>
        <w:t>37,974,607.13</w:t>
      </w:r>
      <w:r w:rsidR="004061AC" w:rsidRPr="00E74406">
        <w:rPr>
          <w:rFonts w:eastAsiaTheme="minorEastAsia"/>
          <w:color w:val="000000" w:themeColor="text1"/>
          <w:sz w:val="24"/>
          <w:szCs w:val="24"/>
        </w:rPr>
        <w:t>元，占基金资产净值</w:t>
      </w:r>
      <w:r w:rsidR="004061AC" w:rsidRPr="00E74406">
        <w:rPr>
          <w:rFonts w:eastAsiaTheme="minorEastAsia"/>
          <w:color w:val="000000" w:themeColor="text1"/>
          <w:sz w:val="24"/>
          <w:szCs w:val="24"/>
        </w:rPr>
        <w:t>9.79%</w:t>
      </w:r>
      <w:r w:rsidR="004061AC" w:rsidRPr="00E74406">
        <w:rPr>
          <w:rFonts w:eastAsiaTheme="minorEastAsia"/>
          <w:color w:val="000000" w:themeColor="text1"/>
          <w:sz w:val="24"/>
          <w:szCs w:val="24"/>
        </w:rPr>
        <w:t>。根据中国保险监督管理委员会行政处罚决定书（银保监保罚决字〔</w:t>
      </w:r>
      <w:r w:rsidR="004061AC" w:rsidRPr="00E74406">
        <w:rPr>
          <w:rFonts w:eastAsiaTheme="minorEastAsia"/>
          <w:color w:val="000000" w:themeColor="text1"/>
          <w:sz w:val="24"/>
          <w:szCs w:val="24"/>
        </w:rPr>
        <w:t>2018</w:t>
      </w:r>
      <w:r w:rsidR="004061AC" w:rsidRPr="00E74406">
        <w:rPr>
          <w:rFonts w:eastAsiaTheme="minorEastAsia"/>
          <w:color w:val="000000" w:themeColor="text1"/>
          <w:sz w:val="24"/>
          <w:szCs w:val="24"/>
        </w:rPr>
        <w:t>〕</w:t>
      </w:r>
      <w:r w:rsidR="004061AC" w:rsidRPr="00E74406">
        <w:rPr>
          <w:rFonts w:eastAsiaTheme="minorEastAsia"/>
          <w:color w:val="000000" w:themeColor="text1"/>
          <w:sz w:val="24"/>
          <w:szCs w:val="24"/>
        </w:rPr>
        <w:t>1</w:t>
      </w:r>
      <w:r w:rsidR="004061AC" w:rsidRPr="00E74406">
        <w:rPr>
          <w:rFonts w:eastAsiaTheme="minorEastAsia"/>
          <w:color w:val="000000" w:themeColor="text1"/>
          <w:sz w:val="24"/>
          <w:szCs w:val="24"/>
        </w:rPr>
        <w:t>号），新华保险股份有限公司因欺骗投保人、编制提供虚假资料、未按照规定使用经批准或备案的保险费率等行为，被中国保险监督管理委员会分别罚款</w:t>
      </w:r>
      <w:r w:rsidR="004061AC" w:rsidRPr="00E74406">
        <w:rPr>
          <w:rFonts w:eastAsiaTheme="minorEastAsia"/>
          <w:color w:val="000000" w:themeColor="text1"/>
          <w:sz w:val="24"/>
          <w:szCs w:val="24"/>
        </w:rPr>
        <w:t>30</w:t>
      </w:r>
      <w:r w:rsidR="004061AC" w:rsidRPr="00E74406">
        <w:rPr>
          <w:rFonts w:eastAsiaTheme="minorEastAsia"/>
          <w:color w:val="000000" w:themeColor="text1"/>
          <w:sz w:val="24"/>
          <w:szCs w:val="24"/>
        </w:rPr>
        <w:t>万元、罚款</w:t>
      </w:r>
      <w:r w:rsidR="004061AC" w:rsidRPr="00E74406">
        <w:rPr>
          <w:rFonts w:eastAsiaTheme="minorEastAsia"/>
          <w:color w:val="000000" w:themeColor="text1"/>
          <w:sz w:val="24"/>
          <w:szCs w:val="24"/>
        </w:rPr>
        <w:t>50</w:t>
      </w:r>
      <w:r w:rsidR="004061AC" w:rsidRPr="00E74406">
        <w:rPr>
          <w:rFonts w:eastAsiaTheme="minorEastAsia"/>
          <w:color w:val="000000" w:themeColor="text1"/>
          <w:sz w:val="24"/>
          <w:szCs w:val="24"/>
        </w:rPr>
        <w:t>万元、罚款</w:t>
      </w:r>
      <w:r w:rsidR="004061AC" w:rsidRPr="00E74406">
        <w:rPr>
          <w:rFonts w:eastAsiaTheme="minorEastAsia"/>
          <w:color w:val="000000" w:themeColor="text1"/>
          <w:sz w:val="24"/>
          <w:szCs w:val="24"/>
        </w:rPr>
        <w:t>30</w:t>
      </w:r>
      <w:r w:rsidR="004061AC" w:rsidRPr="00E74406">
        <w:rPr>
          <w:rFonts w:eastAsiaTheme="minorEastAsia"/>
          <w:color w:val="000000" w:themeColor="text1"/>
          <w:sz w:val="24"/>
          <w:szCs w:val="24"/>
        </w:rPr>
        <w:t>万元。基金管理人认为，该公司上述被处罚事项有利于公司加强内部管理，公司当前总体生产经营和财务状况保持稳定，事件对该公司经营活动未产生实质性影响，不改变该公司基本面。</w:t>
      </w:r>
    </w:p>
    <w:p w:rsidR="00217638" w:rsidRDefault="00A071BC">
      <w:pPr>
        <w:spacing w:line="360" w:lineRule="auto"/>
        <w:rPr>
          <w:rFonts w:eastAsiaTheme="minorEastAsia"/>
          <w:color w:val="000000" w:themeColor="text1"/>
          <w:sz w:val="24"/>
          <w:szCs w:val="24"/>
        </w:rPr>
      </w:pPr>
      <w:r>
        <w:rPr>
          <w:rFonts w:eastAsiaTheme="minorEastAsia"/>
          <w:color w:val="000000" w:themeColor="text1"/>
          <w:sz w:val="24"/>
          <w:szCs w:val="24"/>
        </w:rPr>
        <w:t>本基金对上述证券的投资严格执行了基金管理人规定的投资决策程序。</w:t>
      </w:r>
    </w:p>
    <w:p w:rsidR="00217638" w:rsidRDefault="00A071BC">
      <w:pPr>
        <w:spacing w:line="360" w:lineRule="auto"/>
        <w:rPr>
          <w:rFonts w:eastAsiaTheme="minorEastAsia"/>
          <w:color w:val="000000" w:themeColor="text1"/>
          <w:sz w:val="24"/>
          <w:szCs w:val="24"/>
        </w:rPr>
      </w:pPr>
      <w:r>
        <w:rPr>
          <w:rFonts w:eastAsiaTheme="minorEastAsia"/>
          <w:color w:val="000000" w:themeColor="text1"/>
          <w:sz w:val="24"/>
          <w:szCs w:val="24"/>
        </w:rPr>
        <w:t>除上述情况外，本基金投资的前十名证券的发行主体本期没有被监管部门立案调查的，在报告编制日前一年内未受到公开谴责、处罚。</w:t>
      </w:r>
    </w:p>
    <w:p w:rsidR="004061AC" w:rsidRPr="00E74406" w:rsidRDefault="003259C8" w:rsidP="001B0A62">
      <w:pPr>
        <w:spacing w:line="360" w:lineRule="auto"/>
        <w:rPr>
          <w:rFonts w:eastAsiaTheme="minorEastAsia"/>
          <w:color w:val="000000" w:themeColor="text1"/>
          <w:sz w:val="24"/>
          <w:szCs w:val="24"/>
        </w:rPr>
      </w:pPr>
      <w:r w:rsidRPr="00E74406">
        <w:rPr>
          <w:rFonts w:eastAsiaTheme="minorEastAsia"/>
          <w:color w:val="000000" w:themeColor="text1"/>
          <w:sz w:val="24"/>
          <w:szCs w:val="24"/>
        </w:rPr>
        <w:t>5</w:t>
      </w:r>
      <w:r w:rsidR="00275745" w:rsidRPr="00E74406">
        <w:rPr>
          <w:rFonts w:eastAsiaTheme="minorEastAsia"/>
          <w:color w:val="000000" w:themeColor="text1"/>
          <w:sz w:val="24"/>
          <w:szCs w:val="24"/>
        </w:rPr>
        <w:t>.</w:t>
      </w:r>
      <w:r w:rsidR="0059076B" w:rsidRPr="00E74406">
        <w:rPr>
          <w:rFonts w:eastAsiaTheme="minorEastAsia"/>
          <w:color w:val="000000" w:themeColor="text1"/>
          <w:sz w:val="24"/>
          <w:szCs w:val="24"/>
        </w:rPr>
        <w:t>11</w:t>
      </w:r>
      <w:r w:rsidR="004061AC" w:rsidRPr="00E74406">
        <w:rPr>
          <w:rFonts w:eastAsiaTheme="minorEastAsia"/>
          <w:color w:val="000000" w:themeColor="text1"/>
          <w:sz w:val="24"/>
          <w:szCs w:val="24"/>
        </w:rPr>
        <w:t>.</w:t>
      </w:r>
      <w:r w:rsidR="0059076B" w:rsidRPr="00E74406">
        <w:rPr>
          <w:rFonts w:eastAsiaTheme="minorEastAsia"/>
          <w:color w:val="000000" w:themeColor="text1"/>
          <w:sz w:val="24"/>
          <w:szCs w:val="24"/>
        </w:rPr>
        <w:t>2</w:t>
      </w:r>
      <w:r w:rsidR="004061AC" w:rsidRPr="00E74406">
        <w:rPr>
          <w:rFonts w:eastAsiaTheme="minorEastAsia"/>
          <w:color w:val="000000" w:themeColor="text1"/>
          <w:sz w:val="24"/>
          <w:szCs w:val="24"/>
        </w:rPr>
        <w:t>本基金不存在投资的前十名股票超出基金合同规定的备选库的情况。</w:t>
      </w: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275745"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11.3</w:t>
      </w:r>
      <w:r w:rsidR="00D53190" w:rsidRPr="00E74406">
        <w:rPr>
          <w:rFonts w:eastAsiaTheme="minorEastAsia"/>
          <w:b/>
          <w:bCs/>
          <w:color w:val="000000" w:themeColor="text1"/>
          <w:kern w:val="0"/>
          <w:sz w:val="24"/>
          <w:szCs w:val="24"/>
        </w:rPr>
        <w:t>其他</w:t>
      </w:r>
      <w:r w:rsidR="004061AC" w:rsidRPr="00E74406">
        <w:rPr>
          <w:rFonts w:eastAsiaTheme="minorEastAsia"/>
          <w:b/>
          <w:bCs/>
          <w:color w:val="000000" w:themeColor="text1"/>
          <w:kern w:val="0"/>
          <w:sz w:val="24"/>
          <w:szCs w:val="24"/>
        </w:rPr>
        <w:t>资产构成</w:t>
      </w:r>
    </w:p>
    <w:tbl>
      <w:tblPr>
        <w:tblStyle w:val="af7"/>
        <w:tblW w:w="0" w:type="auto"/>
        <w:tblInd w:w="15" w:type="dxa"/>
        <w:tblLook w:val="04A0"/>
      </w:tblPr>
      <w:tblGrid>
        <w:gridCol w:w="1235"/>
        <w:gridCol w:w="2470"/>
        <w:gridCol w:w="4808"/>
      </w:tblGrid>
      <w:tr w:rsidR="00220C32" w:rsidRPr="00E74406" w:rsidTr="00F31F6E">
        <w:tc>
          <w:tcPr>
            <w:tcW w:w="1235" w:type="dxa"/>
            <w:vAlign w:val="center"/>
          </w:tcPr>
          <w:p w:rsidR="00F31F6E" w:rsidRPr="00E74406" w:rsidRDefault="00F31F6E" w:rsidP="00FB41D3">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序号</w:t>
            </w:r>
          </w:p>
        </w:tc>
        <w:tc>
          <w:tcPr>
            <w:tcW w:w="2470" w:type="dxa"/>
            <w:vAlign w:val="center"/>
          </w:tcPr>
          <w:p w:rsidR="00F31F6E" w:rsidRPr="00E74406" w:rsidRDefault="00F31F6E" w:rsidP="00FB41D3">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名称</w:t>
            </w:r>
          </w:p>
        </w:tc>
        <w:tc>
          <w:tcPr>
            <w:tcW w:w="4808" w:type="dxa"/>
            <w:vAlign w:val="center"/>
          </w:tcPr>
          <w:p w:rsidR="00F31F6E" w:rsidRPr="00E74406" w:rsidRDefault="00F31F6E" w:rsidP="00FB41D3">
            <w:pPr>
              <w:autoSpaceDE w:val="0"/>
              <w:autoSpaceDN w:val="0"/>
              <w:adjustRightInd w:val="0"/>
              <w:spacing w:before="29" w:line="360" w:lineRule="auto"/>
              <w:ind w:left="17"/>
              <w:jc w:val="center"/>
              <w:rPr>
                <w:rFonts w:eastAsiaTheme="minorEastAsia"/>
                <w:color w:val="000000" w:themeColor="text1"/>
                <w:sz w:val="24"/>
                <w:szCs w:val="24"/>
              </w:rPr>
            </w:pPr>
            <w:r w:rsidRPr="00E74406">
              <w:rPr>
                <w:rFonts w:eastAsiaTheme="minorEastAsia"/>
                <w:color w:val="000000" w:themeColor="text1"/>
                <w:sz w:val="24"/>
                <w:szCs w:val="24"/>
              </w:rPr>
              <w:t>金额</w:t>
            </w:r>
            <w:r w:rsidRPr="00E74406">
              <w:rPr>
                <w:rFonts w:eastAsiaTheme="minorEastAsia"/>
                <w:color w:val="000000" w:themeColor="text1"/>
                <w:sz w:val="24"/>
                <w:szCs w:val="24"/>
              </w:rPr>
              <w:t>(</w:t>
            </w:r>
            <w:r w:rsidRPr="00E74406">
              <w:rPr>
                <w:rFonts w:eastAsiaTheme="minorEastAsia"/>
                <w:color w:val="000000" w:themeColor="text1"/>
                <w:sz w:val="24"/>
                <w:szCs w:val="24"/>
              </w:rPr>
              <w:t>元</w:t>
            </w: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1</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存出保证金</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148,798.26</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2</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应收证券清算款</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3</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应收股利</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4</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应收利息</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17,462.91</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5</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应收申购款</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11,992.29</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6</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其他应收款</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EB2C07" w:rsidRPr="00E74406" w:rsidRDefault="00EB2C07"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7</w:t>
            </w:r>
          </w:p>
        </w:tc>
        <w:tc>
          <w:tcPr>
            <w:tcW w:w="2470" w:type="dxa"/>
            <w:vAlign w:val="center"/>
          </w:tcPr>
          <w:p w:rsidR="00EB2C07" w:rsidRPr="00E74406" w:rsidRDefault="00EB2C07"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待摊费用</w:t>
            </w:r>
          </w:p>
        </w:tc>
        <w:tc>
          <w:tcPr>
            <w:tcW w:w="4808" w:type="dxa"/>
            <w:vAlign w:val="center"/>
          </w:tcPr>
          <w:p w:rsidR="00EB2C07" w:rsidRPr="00E74406" w:rsidRDefault="00EB2C07"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8</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其他</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1235" w:type="dxa"/>
            <w:vAlign w:val="center"/>
          </w:tcPr>
          <w:p w:rsidR="00F31F6E" w:rsidRPr="00E74406" w:rsidRDefault="00F31F6E" w:rsidP="00FB41D3">
            <w:pPr>
              <w:autoSpaceDE w:val="0"/>
              <w:autoSpaceDN w:val="0"/>
              <w:adjustRightInd w:val="0"/>
              <w:spacing w:before="29" w:line="360" w:lineRule="auto"/>
              <w:ind w:left="15"/>
              <w:jc w:val="center"/>
              <w:rPr>
                <w:rFonts w:eastAsiaTheme="minorEastAsia"/>
                <w:color w:val="000000" w:themeColor="text1"/>
                <w:sz w:val="24"/>
                <w:szCs w:val="24"/>
              </w:rPr>
            </w:pPr>
            <w:r w:rsidRPr="00E74406">
              <w:rPr>
                <w:rFonts w:eastAsiaTheme="minorEastAsia"/>
                <w:color w:val="000000" w:themeColor="text1"/>
                <w:sz w:val="24"/>
                <w:szCs w:val="24"/>
              </w:rPr>
              <w:t>9</w:t>
            </w:r>
          </w:p>
        </w:tc>
        <w:tc>
          <w:tcPr>
            <w:tcW w:w="2470" w:type="dxa"/>
            <w:vAlign w:val="center"/>
          </w:tcPr>
          <w:p w:rsidR="00F31F6E" w:rsidRPr="00E74406" w:rsidRDefault="00F31F6E" w:rsidP="00175D4F">
            <w:pPr>
              <w:autoSpaceDE w:val="0"/>
              <w:autoSpaceDN w:val="0"/>
              <w:adjustRightInd w:val="0"/>
              <w:spacing w:before="29" w:line="360" w:lineRule="auto"/>
              <w:ind w:left="15"/>
              <w:rPr>
                <w:rFonts w:eastAsiaTheme="minorEastAsia"/>
                <w:color w:val="000000" w:themeColor="text1"/>
                <w:sz w:val="24"/>
                <w:szCs w:val="24"/>
              </w:rPr>
            </w:pPr>
            <w:r w:rsidRPr="00E74406">
              <w:rPr>
                <w:rFonts w:eastAsiaTheme="minorEastAsia"/>
                <w:color w:val="000000" w:themeColor="text1"/>
                <w:sz w:val="24"/>
                <w:szCs w:val="24"/>
              </w:rPr>
              <w:t>合计</w:t>
            </w:r>
          </w:p>
        </w:tc>
        <w:tc>
          <w:tcPr>
            <w:tcW w:w="4808" w:type="dxa"/>
            <w:vAlign w:val="center"/>
          </w:tcPr>
          <w:p w:rsidR="00F31F6E" w:rsidRPr="00E74406" w:rsidRDefault="00F31F6E" w:rsidP="00FB41D3">
            <w:pPr>
              <w:autoSpaceDE w:val="0"/>
              <w:autoSpaceDN w:val="0"/>
              <w:adjustRightInd w:val="0"/>
              <w:spacing w:before="29" w:line="360" w:lineRule="auto"/>
              <w:ind w:left="15"/>
              <w:jc w:val="right"/>
              <w:rPr>
                <w:rFonts w:eastAsiaTheme="minorEastAsia"/>
                <w:color w:val="000000" w:themeColor="text1"/>
                <w:sz w:val="24"/>
                <w:szCs w:val="24"/>
              </w:rPr>
            </w:pPr>
            <w:r w:rsidRPr="00E74406">
              <w:rPr>
                <w:rFonts w:eastAsiaTheme="minorEastAsia"/>
                <w:color w:val="000000" w:themeColor="text1"/>
                <w:sz w:val="24"/>
                <w:szCs w:val="24"/>
              </w:rPr>
              <w:t>178,253.46</w:t>
            </w:r>
          </w:p>
        </w:tc>
      </w:tr>
    </w:tbl>
    <w:p w:rsidR="002918E3" w:rsidRPr="00E74406" w:rsidRDefault="002918E3" w:rsidP="00D57B7C">
      <w:pPr>
        <w:autoSpaceDE w:val="0"/>
        <w:autoSpaceDN w:val="0"/>
        <w:adjustRightInd w:val="0"/>
        <w:spacing w:line="360" w:lineRule="auto"/>
        <w:rPr>
          <w:rFonts w:eastAsiaTheme="minorEastAsia"/>
          <w:color w:val="000000" w:themeColor="text1"/>
          <w:sz w:val="24"/>
          <w:szCs w:val="24"/>
        </w:rPr>
      </w:pP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275745"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11.4</w:t>
      </w:r>
      <w:r w:rsidR="004061AC" w:rsidRPr="00E74406">
        <w:rPr>
          <w:rFonts w:eastAsiaTheme="minorEastAsia"/>
          <w:b/>
          <w:bCs/>
          <w:color w:val="000000" w:themeColor="text1"/>
          <w:kern w:val="0"/>
          <w:sz w:val="24"/>
          <w:szCs w:val="24"/>
        </w:rPr>
        <w:t>报告期末持有的处于转股期的可转换债券明细</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本基金本报告期末未持有处于转股期的可转债。</w:t>
      </w:r>
    </w:p>
    <w:p w:rsidR="002918E3" w:rsidRPr="00E74406" w:rsidRDefault="002918E3" w:rsidP="00924582">
      <w:pPr>
        <w:autoSpaceDE w:val="0"/>
        <w:autoSpaceDN w:val="0"/>
        <w:adjustRightInd w:val="0"/>
        <w:spacing w:line="360" w:lineRule="auto"/>
        <w:rPr>
          <w:rFonts w:eastAsiaTheme="minorEastAsia"/>
          <w:color w:val="000000" w:themeColor="text1"/>
          <w:sz w:val="24"/>
          <w:szCs w:val="24"/>
        </w:rPr>
      </w:pP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4061AC"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11.5</w:t>
      </w:r>
      <w:r w:rsidR="004061AC" w:rsidRPr="00E74406">
        <w:rPr>
          <w:rFonts w:eastAsiaTheme="minorEastAsia"/>
          <w:b/>
          <w:bCs/>
          <w:color w:val="000000" w:themeColor="text1"/>
          <w:kern w:val="0"/>
          <w:sz w:val="24"/>
          <w:szCs w:val="24"/>
        </w:rPr>
        <w:t>报告期末前十名股票中存在流通受限情况的说明</w:t>
      </w:r>
    </w:p>
    <w:p w:rsidR="004061AC" w:rsidRPr="00313F0D" w:rsidRDefault="004061AC" w:rsidP="00313F0D">
      <w:pPr>
        <w:autoSpaceDE w:val="0"/>
        <w:autoSpaceDN w:val="0"/>
        <w:adjustRightInd w:val="0"/>
        <w:spacing w:line="360" w:lineRule="auto"/>
        <w:ind w:firstLineChars="200" w:firstLine="480"/>
        <w:jc w:val="left"/>
        <w:rPr>
          <w:rFonts w:eastAsiaTheme="minorEastAsia"/>
          <w:color w:val="000000" w:themeColor="text1"/>
          <w:sz w:val="24"/>
          <w:szCs w:val="24"/>
        </w:rPr>
      </w:pPr>
      <w:r w:rsidRPr="00313F0D">
        <w:rPr>
          <w:rFonts w:eastAsiaTheme="minorEastAsia"/>
          <w:color w:val="000000" w:themeColor="text1"/>
          <w:sz w:val="24"/>
          <w:szCs w:val="24"/>
        </w:rPr>
        <w:t>本基金本报告期末前十名股票中不存在流通受限的情况。</w:t>
      </w:r>
    </w:p>
    <w:p w:rsidR="002918E3" w:rsidRPr="00E74406" w:rsidRDefault="002918E3" w:rsidP="00924582">
      <w:pPr>
        <w:autoSpaceDE w:val="0"/>
        <w:autoSpaceDN w:val="0"/>
        <w:adjustRightInd w:val="0"/>
        <w:spacing w:line="360" w:lineRule="auto"/>
        <w:rPr>
          <w:rFonts w:eastAsiaTheme="minorEastAsia"/>
          <w:color w:val="000000" w:themeColor="text1"/>
          <w:sz w:val="24"/>
          <w:szCs w:val="24"/>
        </w:rPr>
      </w:pPr>
    </w:p>
    <w:p w:rsidR="004061AC" w:rsidRPr="00E74406" w:rsidRDefault="003259C8" w:rsidP="001B0A62">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5</w:t>
      </w:r>
      <w:r w:rsidR="004061AC" w:rsidRPr="00E74406">
        <w:rPr>
          <w:rFonts w:eastAsiaTheme="minorEastAsia"/>
          <w:b/>
          <w:bCs/>
          <w:color w:val="000000" w:themeColor="text1"/>
          <w:kern w:val="0"/>
          <w:sz w:val="24"/>
          <w:szCs w:val="24"/>
        </w:rPr>
        <w:t>.</w:t>
      </w:r>
      <w:r w:rsidR="0059076B" w:rsidRPr="00E74406">
        <w:rPr>
          <w:rFonts w:eastAsiaTheme="minorEastAsia"/>
          <w:b/>
          <w:bCs/>
          <w:color w:val="000000" w:themeColor="text1"/>
          <w:kern w:val="0"/>
          <w:sz w:val="24"/>
          <w:szCs w:val="24"/>
        </w:rPr>
        <w:t>11.6</w:t>
      </w:r>
      <w:r w:rsidR="001675CD" w:rsidRPr="00E74406">
        <w:rPr>
          <w:rFonts w:eastAsiaTheme="minorEastAsia"/>
          <w:b/>
          <w:bCs/>
          <w:color w:val="000000" w:themeColor="text1"/>
          <w:kern w:val="0"/>
          <w:sz w:val="24"/>
          <w:szCs w:val="24"/>
        </w:rPr>
        <w:t>投资组合报告附注的其他文字描述部分</w:t>
      </w:r>
    </w:p>
    <w:p w:rsidR="004061AC" w:rsidRPr="00E74406" w:rsidRDefault="004061AC"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由于四舍五入的原因，分项之和与合计项之间可能存在尾差。</w:t>
      </w:r>
    </w:p>
    <w:p w:rsidR="004061AC" w:rsidRPr="00E74406" w:rsidRDefault="004061AC" w:rsidP="00104A8C">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 xml:space="preserve">§6  </w:t>
      </w:r>
      <w:r w:rsidRPr="00E74406">
        <w:rPr>
          <w:rFonts w:eastAsiaTheme="minorEastAsia"/>
          <w:color w:val="000000" w:themeColor="text1"/>
          <w:kern w:val="0"/>
          <w:sz w:val="24"/>
          <w:szCs w:val="24"/>
        </w:rPr>
        <w:t>开放式基金份额变动</w:t>
      </w:r>
    </w:p>
    <w:p w:rsidR="004061AC" w:rsidRPr="00E74406" w:rsidRDefault="004061AC" w:rsidP="004061AC">
      <w:pPr>
        <w:autoSpaceDE w:val="0"/>
        <w:autoSpaceDN w:val="0"/>
        <w:adjustRightInd w:val="0"/>
        <w:spacing w:before="29" w:line="360" w:lineRule="auto"/>
        <w:ind w:left="15"/>
        <w:jc w:val="right"/>
        <w:rPr>
          <w:rFonts w:eastAsiaTheme="minorEastAsia"/>
          <w:color w:val="000000" w:themeColor="text1"/>
          <w:kern w:val="0"/>
          <w:sz w:val="24"/>
          <w:szCs w:val="24"/>
        </w:rPr>
      </w:pPr>
      <w:r w:rsidRPr="00E74406">
        <w:rPr>
          <w:rFonts w:eastAsiaTheme="minorEastAsia"/>
          <w:color w:val="000000" w:themeColor="text1"/>
          <w:kern w:val="0"/>
          <w:sz w:val="24"/>
          <w:szCs w:val="24"/>
        </w:rPr>
        <w:t>单位：份</w:t>
      </w:r>
    </w:p>
    <w:tbl>
      <w:tblPr>
        <w:tblW w:w="0" w:type="auto"/>
        <w:tblInd w:w="-106" w:type="dxa"/>
        <w:tblLayout w:type="fixed"/>
        <w:tblLook w:val="0000"/>
      </w:tblPr>
      <w:tblGrid>
        <w:gridCol w:w="4609"/>
        <w:gridCol w:w="4025"/>
      </w:tblGrid>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6D7FF8"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603,558,482.27</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FE179F"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报告期</w:t>
            </w:r>
            <w:r w:rsidR="004061AC" w:rsidRPr="00E74406">
              <w:rPr>
                <w:rFonts w:eastAsiaTheme="minorEastAsia"/>
                <w:color w:val="000000" w:themeColor="text1"/>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773,941.64</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减：</w:t>
            </w:r>
            <w:r w:rsidR="00FE179F" w:rsidRPr="00E74406">
              <w:rPr>
                <w:rFonts w:eastAsiaTheme="minorEastAsia"/>
                <w:color w:val="000000" w:themeColor="text1"/>
                <w:kern w:val="0"/>
                <w:sz w:val="24"/>
                <w:szCs w:val="24"/>
              </w:rPr>
              <w:t>报告期</w:t>
            </w:r>
            <w:r w:rsidRPr="00E74406">
              <w:rPr>
                <w:rFonts w:eastAsiaTheme="minorEastAsia"/>
                <w:color w:val="000000" w:themeColor="text1"/>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19,482,530.80</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FE179F"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报告期</w:t>
            </w:r>
            <w:r w:rsidR="004061AC" w:rsidRPr="00E74406">
              <w:rPr>
                <w:rFonts w:eastAsiaTheme="minorEastAsia"/>
                <w:color w:val="000000" w:themeColor="text1"/>
                <w:kern w:val="0"/>
                <w:sz w:val="24"/>
                <w:szCs w:val="24"/>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E74406" w:rsidRDefault="004061AC" w:rsidP="00924582">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w:t>
            </w:r>
          </w:p>
        </w:tc>
      </w:tr>
      <w:tr w:rsidR="00220C32" w:rsidRPr="00E74406"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E74406" w:rsidRDefault="006D7FF8" w:rsidP="00175D4F">
            <w:pPr>
              <w:autoSpaceDE w:val="0"/>
              <w:autoSpaceDN w:val="0"/>
              <w:adjustRightInd w:val="0"/>
              <w:spacing w:before="29" w:line="360" w:lineRule="auto"/>
              <w:ind w:left="17"/>
              <w:rPr>
                <w:rFonts w:eastAsiaTheme="minorEastAsia"/>
                <w:color w:val="000000" w:themeColor="text1"/>
                <w:kern w:val="0"/>
                <w:sz w:val="24"/>
                <w:szCs w:val="24"/>
              </w:rPr>
            </w:pPr>
            <w:r w:rsidRPr="00E74406">
              <w:rPr>
                <w:rFonts w:eastAsiaTheme="minorEastAsia"/>
                <w:color w:val="000000" w:themeColor="text1"/>
                <w:kern w:val="0"/>
                <w:sz w:val="24"/>
                <w:szCs w:val="24"/>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E74406" w:rsidRDefault="006D7FF8" w:rsidP="000A2B53">
            <w:pPr>
              <w:autoSpaceDE w:val="0"/>
              <w:autoSpaceDN w:val="0"/>
              <w:adjustRightInd w:val="0"/>
              <w:spacing w:before="29" w:line="360" w:lineRule="auto"/>
              <w:ind w:left="17"/>
              <w:jc w:val="right"/>
              <w:rPr>
                <w:rFonts w:eastAsiaTheme="minorEastAsia"/>
                <w:color w:val="000000" w:themeColor="text1"/>
                <w:sz w:val="24"/>
                <w:szCs w:val="24"/>
              </w:rPr>
            </w:pPr>
            <w:r w:rsidRPr="00E74406">
              <w:rPr>
                <w:rFonts w:eastAsiaTheme="minorEastAsia"/>
                <w:color w:val="000000" w:themeColor="text1"/>
                <w:sz w:val="24"/>
                <w:szCs w:val="24"/>
              </w:rPr>
              <w:t>584,849,893.11</w:t>
            </w:r>
          </w:p>
        </w:tc>
      </w:tr>
    </w:tbl>
    <w:p w:rsidR="00EB374A" w:rsidRPr="00E74406" w:rsidRDefault="00EB374A" w:rsidP="00104A8C">
      <w:pPr>
        <w:pStyle w:val="1"/>
        <w:tabs>
          <w:tab w:val="center" w:pos="4156"/>
          <w:tab w:val="right" w:pos="8312"/>
        </w:tabs>
        <w:spacing w:beforeLines="100" w:afterLines="100" w:line="360" w:lineRule="auto"/>
        <w:jc w:val="center"/>
        <w:rPr>
          <w:rFonts w:eastAsiaTheme="minorEastAsia"/>
          <w:color w:val="000000" w:themeColor="text1"/>
          <w:sz w:val="24"/>
          <w:szCs w:val="24"/>
        </w:rPr>
      </w:pPr>
      <w:r w:rsidRPr="00E74406">
        <w:rPr>
          <w:rFonts w:eastAsiaTheme="minorEastAsia"/>
          <w:color w:val="000000" w:themeColor="text1"/>
          <w:kern w:val="0"/>
          <w:sz w:val="24"/>
          <w:szCs w:val="24"/>
        </w:rPr>
        <w:t xml:space="preserve">§7  </w:t>
      </w:r>
      <w:r w:rsidRPr="00E74406">
        <w:rPr>
          <w:rFonts w:eastAsiaTheme="minorEastAsia"/>
          <w:color w:val="000000" w:themeColor="text1"/>
          <w:sz w:val="24"/>
          <w:szCs w:val="24"/>
        </w:rPr>
        <w:t>基金管理人运用固有资金投资本基金情况</w:t>
      </w:r>
    </w:p>
    <w:p w:rsidR="00EB374A" w:rsidRPr="00E74406" w:rsidRDefault="00EB374A" w:rsidP="00EB374A">
      <w:pPr>
        <w:spacing w:line="360" w:lineRule="auto"/>
        <w:jc w:val="left"/>
        <w:rPr>
          <w:rFonts w:eastAsiaTheme="minorEastAsia"/>
          <w:color w:val="000000" w:themeColor="text1"/>
          <w:sz w:val="24"/>
          <w:szCs w:val="24"/>
        </w:rPr>
      </w:pPr>
      <w:r w:rsidRPr="00E74406">
        <w:rPr>
          <w:rFonts w:eastAsiaTheme="minorEastAsia"/>
          <w:b/>
          <w:color w:val="000000" w:themeColor="text1"/>
          <w:sz w:val="24"/>
          <w:szCs w:val="24"/>
        </w:rPr>
        <w:t xml:space="preserve">7.1 </w:t>
      </w:r>
      <w:r w:rsidRPr="00E74406">
        <w:rPr>
          <w:rFonts w:eastAsiaTheme="minorEastAsia"/>
          <w:b/>
          <w:color w:val="000000" w:themeColor="text1"/>
          <w:sz w:val="24"/>
          <w:szCs w:val="24"/>
        </w:rPr>
        <w:t>基金管理人持有本基金份额变动情况</w:t>
      </w:r>
    </w:p>
    <w:p w:rsidR="00EB374A" w:rsidRPr="004819A0" w:rsidRDefault="00D967D3" w:rsidP="00313F0D">
      <w:pPr>
        <w:autoSpaceDE w:val="0"/>
        <w:autoSpaceDN w:val="0"/>
        <w:adjustRightInd w:val="0"/>
        <w:spacing w:line="360" w:lineRule="auto"/>
        <w:ind w:firstLineChars="200" w:firstLine="480"/>
        <w:jc w:val="left"/>
        <w:rPr>
          <w:rFonts w:eastAsiaTheme="minorEastAsia"/>
          <w:color w:val="000000" w:themeColor="text1"/>
        </w:rPr>
      </w:pPr>
      <w:r w:rsidRPr="00313F0D">
        <w:rPr>
          <w:rFonts w:eastAsiaTheme="minorEastAsia"/>
          <w:color w:val="000000" w:themeColor="text1"/>
          <w:sz w:val="24"/>
          <w:szCs w:val="24"/>
        </w:rPr>
        <w:t>本报告期内本基金管理人无运用固有资金投资本基金的情况。</w:t>
      </w:r>
    </w:p>
    <w:p w:rsidR="00EB374A" w:rsidRPr="00E74406" w:rsidRDefault="00EB374A" w:rsidP="00EB374A">
      <w:pPr>
        <w:autoSpaceDE w:val="0"/>
        <w:autoSpaceDN w:val="0"/>
        <w:adjustRightInd w:val="0"/>
        <w:spacing w:line="360" w:lineRule="auto"/>
        <w:jc w:val="left"/>
        <w:rPr>
          <w:rFonts w:eastAsiaTheme="minorEastAsia"/>
          <w:color w:val="000000" w:themeColor="text1"/>
          <w:kern w:val="0"/>
          <w:sz w:val="24"/>
          <w:szCs w:val="24"/>
        </w:rPr>
      </w:pPr>
    </w:p>
    <w:p w:rsidR="00EB374A" w:rsidRPr="00E74406" w:rsidRDefault="00EB374A" w:rsidP="00EB374A">
      <w:pPr>
        <w:spacing w:line="360" w:lineRule="auto"/>
        <w:jc w:val="left"/>
        <w:rPr>
          <w:rFonts w:eastAsiaTheme="minorEastAsia"/>
          <w:color w:val="000000" w:themeColor="text1"/>
          <w:sz w:val="24"/>
          <w:szCs w:val="24"/>
        </w:rPr>
      </w:pPr>
      <w:r w:rsidRPr="00E74406">
        <w:rPr>
          <w:rFonts w:eastAsiaTheme="minorEastAsia"/>
          <w:b/>
          <w:color w:val="000000" w:themeColor="text1"/>
          <w:sz w:val="24"/>
          <w:szCs w:val="24"/>
        </w:rPr>
        <w:t xml:space="preserve">7.2 </w:t>
      </w:r>
      <w:r w:rsidRPr="00E74406">
        <w:rPr>
          <w:rFonts w:eastAsiaTheme="minorEastAsia"/>
          <w:b/>
          <w:color w:val="000000" w:themeColor="text1"/>
          <w:sz w:val="24"/>
          <w:szCs w:val="24"/>
        </w:rPr>
        <w:t>基金管理人运用固有资金投资本基金交易明细</w:t>
      </w:r>
    </w:p>
    <w:p w:rsidR="00EB374A" w:rsidRPr="004819A0" w:rsidRDefault="00EB374A" w:rsidP="00313F0D">
      <w:pPr>
        <w:autoSpaceDE w:val="0"/>
        <w:autoSpaceDN w:val="0"/>
        <w:adjustRightInd w:val="0"/>
        <w:spacing w:line="360" w:lineRule="auto"/>
        <w:ind w:firstLineChars="200" w:firstLine="480"/>
        <w:jc w:val="left"/>
        <w:rPr>
          <w:rFonts w:eastAsiaTheme="minorEastAsia"/>
          <w:color w:val="000000" w:themeColor="text1"/>
        </w:rPr>
      </w:pPr>
      <w:r w:rsidRPr="00313F0D">
        <w:rPr>
          <w:rFonts w:eastAsiaTheme="minorEastAsia"/>
          <w:color w:val="000000" w:themeColor="text1"/>
          <w:sz w:val="24"/>
          <w:szCs w:val="24"/>
        </w:rPr>
        <w:t>本基金管理人本报告期无运用固有资金投资本基金的交易明细。</w:t>
      </w:r>
    </w:p>
    <w:p w:rsidR="00C9481C" w:rsidRPr="00C9481C" w:rsidRDefault="00C9481C" w:rsidP="00104A8C">
      <w:pPr>
        <w:pStyle w:val="1"/>
        <w:spacing w:beforeLines="100" w:afterLines="100" w:line="360" w:lineRule="auto"/>
        <w:jc w:val="center"/>
        <w:rPr>
          <w:rFonts w:eastAsiaTheme="minorEastAsia"/>
          <w:color w:val="000000" w:themeColor="text1"/>
          <w:kern w:val="0"/>
          <w:sz w:val="24"/>
          <w:szCs w:val="24"/>
        </w:rPr>
      </w:pPr>
      <w:r w:rsidRPr="00C9481C">
        <w:rPr>
          <w:rFonts w:eastAsiaTheme="minorEastAsia"/>
          <w:color w:val="000000" w:themeColor="text1"/>
          <w:kern w:val="0"/>
          <w:sz w:val="24"/>
          <w:szCs w:val="24"/>
        </w:rPr>
        <w:t>§8</w:t>
      </w:r>
      <w:r w:rsidRPr="00C9481C">
        <w:rPr>
          <w:rFonts w:eastAsiaTheme="minorEastAsia"/>
          <w:color w:val="000000" w:themeColor="text1"/>
          <w:kern w:val="0"/>
          <w:sz w:val="24"/>
          <w:szCs w:val="24"/>
        </w:rPr>
        <w:t>影响投资者决策的其他重要信息</w:t>
      </w:r>
    </w:p>
    <w:p w:rsidR="00DF2AD4" w:rsidRPr="002F6268" w:rsidRDefault="00DF2AD4" w:rsidP="00DF2AD4">
      <w:pPr>
        <w:autoSpaceDE w:val="0"/>
        <w:autoSpaceDN w:val="0"/>
        <w:adjustRightInd w:val="0"/>
        <w:spacing w:line="360" w:lineRule="auto"/>
        <w:jc w:val="left"/>
        <w:rPr>
          <w:rFonts w:eastAsiaTheme="minorEastAsia"/>
          <w:b/>
          <w:bCs/>
          <w:color w:val="000000" w:themeColor="text1"/>
          <w:kern w:val="0"/>
          <w:sz w:val="24"/>
          <w:szCs w:val="24"/>
        </w:rPr>
      </w:pPr>
      <w:r w:rsidRPr="002F6268">
        <w:rPr>
          <w:rFonts w:eastAsiaTheme="minorEastAsia"/>
          <w:b/>
          <w:bCs/>
          <w:color w:val="000000" w:themeColor="text1"/>
          <w:kern w:val="0"/>
          <w:sz w:val="24"/>
          <w:szCs w:val="24"/>
        </w:rPr>
        <w:t xml:space="preserve">8.1 </w:t>
      </w:r>
      <w:r w:rsidRPr="002F6268">
        <w:rPr>
          <w:rFonts w:eastAsiaTheme="minorEastAsia"/>
          <w:b/>
          <w:bCs/>
          <w:color w:val="000000" w:themeColor="text1"/>
          <w:kern w:val="0"/>
          <w:sz w:val="24"/>
          <w:szCs w:val="24"/>
        </w:rPr>
        <w:t>报告期内单一投资者持有基金份额比例达到或超过</w:t>
      </w:r>
      <w:r w:rsidRPr="002F6268">
        <w:rPr>
          <w:rFonts w:eastAsiaTheme="minorEastAsia"/>
          <w:b/>
          <w:bCs/>
          <w:color w:val="000000" w:themeColor="text1"/>
          <w:kern w:val="0"/>
          <w:sz w:val="24"/>
          <w:szCs w:val="24"/>
        </w:rPr>
        <w:t>20%</w:t>
      </w:r>
      <w:r w:rsidRPr="002F6268">
        <w:rPr>
          <w:rFonts w:eastAsiaTheme="minorEastAsia"/>
          <w:b/>
          <w:bCs/>
          <w:color w:val="000000" w:themeColor="text1"/>
          <w:kern w:val="0"/>
          <w:sz w:val="24"/>
          <w:szCs w:val="24"/>
        </w:rPr>
        <w:t>的情况</w:t>
      </w:r>
    </w:p>
    <w:tbl>
      <w:tblPr>
        <w:tblStyle w:val="af7"/>
        <w:tblW w:w="9640" w:type="dxa"/>
        <w:jc w:val="center"/>
        <w:tblLayout w:type="fixed"/>
        <w:tblLook w:val="04A0"/>
      </w:tblPr>
      <w:tblGrid>
        <w:gridCol w:w="709"/>
        <w:gridCol w:w="709"/>
        <w:gridCol w:w="2126"/>
        <w:gridCol w:w="1276"/>
        <w:gridCol w:w="1276"/>
        <w:gridCol w:w="1276"/>
        <w:gridCol w:w="1417"/>
        <w:gridCol w:w="851"/>
      </w:tblGrid>
      <w:tr w:rsidR="00DF2AD4" w:rsidRPr="00FC0759" w:rsidTr="00350318">
        <w:trPr>
          <w:jc w:val="center"/>
        </w:trPr>
        <w:tc>
          <w:tcPr>
            <w:tcW w:w="709" w:type="dxa"/>
            <w:vMerge w:val="restart"/>
            <w:vAlign w:val="center"/>
          </w:tcPr>
          <w:p w:rsidR="00DF2AD4" w:rsidRPr="00FC0759" w:rsidRDefault="00DF2AD4" w:rsidP="00350318">
            <w:pPr>
              <w:autoSpaceDE w:val="0"/>
              <w:autoSpaceDN w:val="0"/>
              <w:adjustRightInd w:val="0"/>
              <w:jc w:val="center"/>
              <w:rPr>
                <w:rFonts w:eastAsiaTheme="minorEastAsia"/>
                <w:b/>
                <w:bCs/>
                <w:color w:val="000000" w:themeColor="text1"/>
                <w:sz w:val="24"/>
                <w:szCs w:val="24"/>
              </w:rPr>
            </w:pPr>
            <w:r w:rsidRPr="00FC0759">
              <w:rPr>
                <w:color w:val="000000"/>
                <w:sz w:val="24"/>
                <w:szCs w:val="24"/>
              </w:rPr>
              <w:t>投资者类别</w:t>
            </w:r>
          </w:p>
        </w:tc>
        <w:tc>
          <w:tcPr>
            <w:tcW w:w="6663" w:type="dxa"/>
            <w:gridSpan w:val="5"/>
            <w:vAlign w:val="center"/>
          </w:tcPr>
          <w:p w:rsidR="00DF2AD4" w:rsidRPr="00FC0759" w:rsidRDefault="00DF2AD4" w:rsidP="00350318">
            <w:pPr>
              <w:autoSpaceDE w:val="0"/>
              <w:autoSpaceDN w:val="0"/>
              <w:adjustRightInd w:val="0"/>
              <w:ind w:firstLine="1126"/>
              <w:jc w:val="center"/>
              <w:rPr>
                <w:rFonts w:eastAsiaTheme="minorEastAsia"/>
                <w:b/>
                <w:bCs/>
                <w:color w:val="000000" w:themeColor="text1"/>
                <w:sz w:val="24"/>
                <w:szCs w:val="24"/>
              </w:rPr>
            </w:pPr>
            <w:r w:rsidRPr="00FC0759">
              <w:rPr>
                <w:color w:val="000000"/>
                <w:sz w:val="24"/>
                <w:szCs w:val="24"/>
              </w:rPr>
              <w:t>报告期内持有基金份额变化情况</w:t>
            </w:r>
          </w:p>
        </w:tc>
        <w:tc>
          <w:tcPr>
            <w:tcW w:w="2268" w:type="dxa"/>
            <w:gridSpan w:val="2"/>
            <w:vAlign w:val="center"/>
          </w:tcPr>
          <w:p w:rsidR="00DF2AD4" w:rsidRPr="00FC0759" w:rsidRDefault="00DF2AD4" w:rsidP="00350318">
            <w:pPr>
              <w:autoSpaceDE w:val="0"/>
              <w:autoSpaceDN w:val="0"/>
              <w:adjustRightInd w:val="0"/>
              <w:jc w:val="center"/>
              <w:rPr>
                <w:rFonts w:eastAsiaTheme="minorEastAsia"/>
                <w:b/>
                <w:bCs/>
                <w:color w:val="000000" w:themeColor="text1"/>
                <w:sz w:val="24"/>
                <w:szCs w:val="24"/>
              </w:rPr>
            </w:pPr>
            <w:r w:rsidRPr="00FC0759">
              <w:rPr>
                <w:color w:val="000000"/>
                <w:sz w:val="24"/>
                <w:szCs w:val="24"/>
              </w:rPr>
              <w:t>报告期末持有基金情况</w:t>
            </w:r>
          </w:p>
        </w:tc>
      </w:tr>
      <w:tr w:rsidR="00DF2AD4" w:rsidRPr="00FC0759" w:rsidTr="00350318">
        <w:trPr>
          <w:jc w:val="center"/>
        </w:trPr>
        <w:tc>
          <w:tcPr>
            <w:tcW w:w="709" w:type="dxa"/>
            <w:vMerge/>
            <w:vAlign w:val="center"/>
          </w:tcPr>
          <w:p w:rsidR="00DF2AD4" w:rsidRPr="00FC0759" w:rsidRDefault="00DF2AD4" w:rsidP="00350318">
            <w:pPr>
              <w:autoSpaceDE w:val="0"/>
              <w:autoSpaceDN w:val="0"/>
              <w:adjustRightInd w:val="0"/>
              <w:ind w:firstLine="1234"/>
              <w:jc w:val="center"/>
              <w:rPr>
                <w:rFonts w:eastAsiaTheme="minorEastAsia"/>
                <w:b/>
                <w:bCs/>
                <w:color w:val="000000" w:themeColor="text1"/>
                <w:sz w:val="24"/>
                <w:szCs w:val="24"/>
              </w:rPr>
            </w:pPr>
          </w:p>
        </w:tc>
        <w:tc>
          <w:tcPr>
            <w:tcW w:w="709" w:type="dxa"/>
            <w:vAlign w:val="center"/>
          </w:tcPr>
          <w:p w:rsidR="00DF2AD4" w:rsidRPr="00FC0759" w:rsidRDefault="00DF2AD4" w:rsidP="00350318">
            <w:pPr>
              <w:autoSpaceDE w:val="0"/>
              <w:autoSpaceDN w:val="0"/>
              <w:adjustRightInd w:val="0"/>
              <w:jc w:val="center"/>
              <w:rPr>
                <w:rFonts w:eastAsiaTheme="minorEastAsia"/>
                <w:b/>
                <w:bCs/>
                <w:color w:val="000000" w:themeColor="text1"/>
                <w:sz w:val="24"/>
                <w:szCs w:val="24"/>
              </w:rPr>
            </w:pPr>
            <w:r w:rsidRPr="00FC0759">
              <w:rPr>
                <w:color w:val="000000"/>
                <w:sz w:val="24"/>
                <w:szCs w:val="24"/>
              </w:rPr>
              <w:t>序号</w:t>
            </w:r>
          </w:p>
        </w:tc>
        <w:tc>
          <w:tcPr>
            <w:tcW w:w="2126" w:type="dxa"/>
            <w:vAlign w:val="center"/>
          </w:tcPr>
          <w:p w:rsidR="00DF2AD4" w:rsidRPr="00FC0759" w:rsidRDefault="00DF2AD4" w:rsidP="00350318">
            <w:pPr>
              <w:autoSpaceDE w:val="0"/>
              <w:autoSpaceDN w:val="0"/>
              <w:adjustRightInd w:val="0"/>
              <w:jc w:val="center"/>
              <w:rPr>
                <w:rFonts w:eastAsiaTheme="minorEastAsia"/>
                <w:b/>
                <w:bCs/>
                <w:color w:val="000000" w:themeColor="text1"/>
                <w:sz w:val="24"/>
                <w:szCs w:val="24"/>
              </w:rPr>
            </w:pPr>
            <w:r w:rsidRPr="00FC0759">
              <w:rPr>
                <w:color w:val="000000"/>
                <w:sz w:val="24"/>
                <w:szCs w:val="24"/>
              </w:rPr>
              <w:t>持有基金份额比例达到或者超过</w:t>
            </w:r>
            <w:r w:rsidRPr="00FC0759">
              <w:rPr>
                <w:color w:val="000000"/>
                <w:sz w:val="24"/>
                <w:szCs w:val="24"/>
              </w:rPr>
              <w:t>20%</w:t>
            </w:r>
            <w:r w:rsidRPr="00FC0759">
              <w:rPr>
                <w:color w:val="000000"/>
                <w:sz w:val="24"/>
                <w:szCs w:val="24"/>
              </w:rPr>
              <w:t>的时间区间</w:t>
            </w:r>
          </w:p>
        </w:tc>
        <w:tc>
          <w:tcPr>
            <w:tcW w:w="1276" w:type="dxa"/>
            <w:vAlign w:val="center"/>
          </w:tcPr>
          <w:p w:rsidR="00DF2AD4" w:rsidRPr="00FC0759" w:rsidRDefault="00DF2AD4" w:rsidP="00350318">
            <w:pPr>
              <w:widowControl/>
              <w:rPr>
                <w:rFonts w:eastAsiaTheme="minorEastAsia"/>
                <w:b/>
                <w:bCs/>
                <w:color w:val="000000" w:themeColor="text1"/>
                <w:sz w:val="24"/>
                <w:szCs w:val="24"/>
              </w:rPr>
            </w:pPr>
            <w:r w:rsidRPr="00FC0759">
              <w:rPr>
                <w:color w:val="000000"/>
                <w:sz w:val="24"/>
                <w:szCs w:val="24"/>
              </w:rPr>
              <w:t>期初份额</w:t>
            </w:r>
          </w:p>
        </w:tc>
        <w:tc>
          <w:tcPr>
            <w:tcW w:w="1276" w:type="dxa"/>
            <w:vAlign w:val="center"/>
          </w:tcPr>
          <w:p w:rsidR="00DF2AD4" w:rsidRPr="00FC0759" w:rsidRDefault="00DF2AD4" w:rsidP="00350318">
            <w:pPr>
              <w:widowControl/>
              <w:rPr>
                <w:rFonts w:eastAsiaTheme="minorEastAsia"/>
                <w:b/>
                <w:bCs/>
                <w:color w:val="000000" w:themeColor="text1"/>
                <w:sz w:val="24"/>
                <w:szCs w:val="24"/>
              </w:rPr>
            </w:pPr>
            <w:r w:rsidRPr="00FC0759">
              <w:rPr>
                <w:color w:val="000000"/>
                <w:sz w:val="24"/>
                <w:szCs w:val="24"/>
              </w:rPr>
              <w:t>申购份额</w:t>
            </w:r>
          </w:p>
        </w:tc>
        <w:tc>
          <w:tcPr>
            <w:tcW w:w="1276" w:type="dxa"/>
            <w:vAlign w:val="center"/>
          </w:tcPr>
          <w:p w:rsidR="00DF2AD4" w:rsidRPr="00FC0759" w:rsidRDefault="00DF2AD4" w:rsidP="00350318">
            <w:pPr>
              <w:widowControl/>
              <w:rPr>
                <w:rFonts w:eastAsiaTheme="minorEastAsia"/>
                <w:b/>
                <w:bCs/>
                <w:color w:val="000000" w:themeColor="text1"/>
                <w:sz w:val="24"/>
                <w:szCs w:val="24"/>
              </w:rPr>
            </w:pPr>
            <w:r w:rsidRPr="00FC0759">
              <w:rPr>
                <w:color w:val="000000"/>
                <w:sz w:val="24"/>
                <w:szCs w:val="24"/>
              </w:rPr>
              <w:t>赎回份额</w:t>
            </w:r>
          </w:p>
        </w:tc>
        <w:tc>
          <w:tcPr>
            <w:tcW w:w="1417" w:type="dxa"/>
            <w:vAlign w:val="center"/>
          </w:tcPr>
          <w:p w:rsidR="00DF2AD4" w:rsidRPr="00FC0759" w:rsidRDefault="00DF2AD4" w:rsidP="00350318">
            <w:pPr>
              <w:autoSpaceDE w:val="0"/>
              <w:autoSpaceDN w:val="0"/>
              <w:adjustRightInd w:val="0"/>
              <w:jc w:val="center"/>
              <w:rPr>
                <w:rFonts w:eastAsiaTheme="minorEastAsia"/>
                <w:b/>
                <w:bCs/>
                <w:color w:val="000000" w:themeColor="text1"/>
                <w:sz w:val="24"/>
                <w:szCs w:val="24"/>
              </w:rPr>
            </w:pPr>
            <w:r w:rsidRPr="00FC0759">
              <w:rPr>
                <w:color w:val="000000"/>
                <w:sz w:val="24"/>
                <w:szCs w:val="24"/>
              </w:rPr>
              <w:t>持有份额</w:t>
            </w:r>
          </w:p>
        </w:tc>
        <w:tc>
          <w:tcPr>
            <w:tcW w:w="851" w:type="dxa"/>
            <w:vAlign w:val="center"/>
          </w:tcPr>
          <w:p w:rsidR="00DF2AD4" w:rsidRPr="00FC0759" w:rsidRDefault="00DF2AD4" w:rsidP="00350318">
            <w:pPr>
              <w:autoSpaceDE w:val="0"/>
              <w:autoSpaceDN w:val="0"/>
              <w:adjustRightInd w:val="0"/>
              <w:jc w:val="center"/>
              <w:rPr>
                <w:rFonts w:eastAsiaTheme="minorEastAsia"/>
                <w:b/>
                <w:bCs/>
                <w:color w:val="000000" w:themeColor="text1"/>
                <w:sz w:val="24"/>
                <w:szCs w:val="24"/>
              </w:rPr>
            </w:pPr>
            <w:r w:rsidRPr="00FC0759">
              <w:rPr>
                <w:color w:val="000000"/>
                <w:sz w:val="24"/>
                <w:szCs w:val="24"/>
              </w:rPr>
              <w:t>份额占比</w:t>
            </w:r>
          </w:p>
        </w:tc>
      </w:tr>
      <w:tr w:rsidR="00217638">
        <w:trPr>
          <w:jc w:val="center"/>
        </w:trPr>
        <w:tc>
          <w:tcPr>
            <w:tcW w:w="709" w:type="dxa"/>
            <w:vMerge w:val="restart"/>
          </w:tcPr>
          <w:p w:rsidR="00217638" w:rsidRDefault="00217638"/>
          <w:p w:rsidR="00217638" w:rsidRDefault="00A071BC">
            <w:r>
              <w:rPr>
                <w:rFonts w:eastAsiaTheme="minorEastAsia"/>
                <w:bCs/>
                <w:color w:val="000000" w:themeColor="text1"/>
                <w:sz w:val="24"/>
                <w:szCs w:val="24"/>
              </w:rPr>
              <w:t>机构</w:t>
            </w:r>
          </w:p>
        </w:tc>
        <w:tc>
          <w:tcPr>
            <w:tcW w:w="709" w:type="dxa"/>
            <w:vAlign w:val="center"/>
          </w:tcPr>
          <w:p w:rsidR="00217638" w:rsidRDefault="00A071BC">
            <w:pPr>
              <w:jc w:val="center"/>
            </w:pPr>
            <w:r>
              <w:rPr>
                <w:sz w:val="24"/>
                <w:szCs w:val="24"/>
              </w:rPr>
              <w:t>1</w:t>
            </w:r>
          </w:p>
        </w:tc>
        <w:tc>
          <w:tcPr>
            <w:tcW w:w="2126" w:type="dxa"/>
            <w:vAlign w:val="center"/>
          </w:tcPr>
          <w:p w:rsidR="00217638" w:rsidRDefault="00A071BC">
            <w:pPr>
              <w:jc w:val="center"/>
            </w:pPr>
            <w:r>
              <w:rPr>
                <w:sz w:val="24"/>
                <w:szCs w:val="24"/>
              </w:rPr>
              <w:t>20190401-20190630</w:t>
            </w:r>
          </w:p>
        </w:tc>
        <w:tc>
          <w:tcPr>
            <w:tcW w:w="1276" w:type="dxa"/>
            <w:vAlign w:val="center"/>
          </w:tcPr>
          <w:p w:rsidR="00217638" w:rsidRDefault="00A071BC">
            <w:pPr>
              <w:jc w:val="center"/>
            </w:pPr>
            <w:r>
              <w:rPr>
                <w:sz w:val="24"/>
                <w:szCs w:val="24"/>
              </w:rPr>
              <w:t>300,147,500.00</w:t>
            </w:r>
          </w:p>
        </w:tc>
        <w:tc>
          <w:tcPr>
            <w:tcW w:w="1276" w:type="dxa"/>
            <w:vAlign w:val="center"/>
          </w:tcPr>
          <w:p w:rsidR="00217638" w:rsidRDefault="00A071BC">
            <w:pPr>
              <w:jc w:val="center"/>
            </w:pPr>
            <w:r>
              <w:rPr>
                <w:sz w:val="24"/>
                <w:szCs w:val="24"/>
              </w:rPr>
              <w:t>0.00</w:t>
            </w:r>
          </w:p>
        </w:tc>
        <w:tc>
          <w:tcPr>
            <w:tcW w:w="1276" w:type="dxa"/>
            <w:vAlign w:val="center"/>
          </w:tcPr>
          <w:p w:rsidR="00217638" w:rsidRDefault="00A071BC">
            <w:pPr>
              <w:jc w:val="center"/>
            </w:pPr>
            <w:r>
              <w:rPr>
                <w:sz w:val="24"/>
                <w:szCs w:val="24"/>
              </w:rPr>
              <w:t>0.00</w:t>
            </w:r>
          </w:p>
        </w:tc>
        <w:tc>
          <w:tcPr>
            <w:tcW w:w="1417" w:type="dxa"/>
            <w:vAlign w:val="center"/>
          </w:tcPr>
          <w:p w:rsidR="00217638" w:rsidRDefault="00A071BC">
            <w:pPr>
              <w:jc w:val="center"/>
            </w:pPr>
            <w:r>
              <w:rPr>
                <w:sz w:val="24"/>
                <w:szCs w:val="24"/>
              </w:rPr>
              <w:t>300,147,500.00</w:t>
            </w:r>
          </w:p>
        </w:tc>
        <w:tc>
          <w:tcPr>
            <w:tcW w:w="851" w:type="dxa"/>
            <w:vAlign w:val="center"/>
          </w:tcPr>
          <w:p w:rsidR="00217638" w:rsidRDefault="00A071BC">
            <w:pPr>
              <w:jc w:val="center"/>
            </w:pPr>
            <w:r>
              <w:rPr>
                <w:sz w:val="24"/>
                <w:szCs w:val="24"/>
              </w:rPr>
              <w:t>51.32%</w:t>
            </w:r>
          </w:p>
        </w:tc>
      </w:tr>
      <w:tr w:rsidR="00DF2AD4" w:rsidRPr="00FC0759" w:rsidTr="00350318">
        <w:trPr>
          <w:jc w:val="center"/>
        </w:trPr>
        <w:tc>
          <w:tcPr>
            <w:tcW w:w="9637" w:type="dxa"/>
            <w:gridSpan w:val="8"/>
            <w:vAlign w:val="center"/>
          </w:tcPr>
          <w:p w:rsidR="00DF2AD4" w:rsidRPr="00FC0759" w:rsidRDefault="00DF2AD4" w:rsidP="00350318">
            <w:pPr>
              <w:autoSpaceDE w:val="0"/>
              <w:autoSpaceDN w:val="0"/>
              <w:adjustRightInd w:val="0"/>
              <w:ind w:firstLine="1126"/>
              <w:jc w:val="center"/>
              <w:rPr>
                <w:sz w:val="24"/>
                <w:szCs w:val="24"/>
              </w:rPr>
            </w:pPr>
            <w:r w:rsidRPr="00FC0759">
              <w:rPr>
                <w:color w:val="000000"/>
                <w:sz w:val="24"/>
                <w:szCs w:val="24"/>
              </w:rPr>
              <w:t>产品特有风险</w:t>
            </w:r>
          </w:p>
        </w:tc>
      </w:tr>
      <w:tr w:rsidR="00DF2AD4" w:rsidRPr="00FC0759" w:rsidTr="00350318">
        <w:trPr>
          <w:jc w:val="center"/>
        </w:trPr>
        <w:tc>
          <w:tcPr>
            <w:tcW w:w="9637" w:type="dxa"/>
            <w:gridSpan w:val="8"/>
            <w:vAlign w:val="center"/>
          </w:tcPr>
          <w:p w:rsidR="00217638" w:rsidRDefault="00A071BC">
            <w:pPr>
              <w:autoSpaceDE w:val="0"/>
              <w:autoSpaceDN w:val="0"/>
              <w:adjustRightInd w:val="0"/>
              <w:jc w:val="left"/>
              <w:rPr>
                <w:sz w:val="24"/>
                <w:szCs w:val="24"/>
              </w:rPr>
            </w:pPr>
            <w:r>
              <w:rPr>
                <w:sz w:val="24"/>
                <w:szCs w:val="24"/>
              </w:rPr>
              <w:t>投资者应关注本基金单一投资者持有份额比例过高时，可能出现以下风险：</w:t>
            </w:r>
          </w:p>
          <w:p w:rsidR="00217638" w:rsidRDefault="00A071BC">
            <w:pPr>
              <w:autoSpaceDE w:val="0"/>
              <w:autoSpaceDN w:val="0"/>
              <w:adjustRightInd w:val="0"/>
              <w:jc w:val="left"/>
              <w:rPr>
                <w:sz w:val="24"/>
                <w:szCs w:val="24"/>
              </w:rPr>
            </w:pPr>
            <w:r>
              <w:rPr>
                <w:sz w:val="24"/>
                <w:szCs w:val="24"/>
              </w:rPr>
              <w:t>1</w:t>
            </w:r>
            <w:r>
              <w:rPr>
                <w:sz w:val="24"/>
                <w:szCs w:val="24"/>
              </w:rPr>
              <w:t>、赎回申请延期办理的风险</w:t>
            </w:r>
          </w:p>
          <w:p w:rsidR="00217638" w:rsidRDefault="00A071BC">
            <w:pPr>
              <w:autoSpaceDE w:val="0"/>
              <w:autoSpaceDN w:val="0"/>
              <w:adjustRightInd w:val="0"/>
              <w:jc w:val="left"/>
              <w:rPr>
                <w:sz w:val="24"/>
                <w:szCs w:val="24"/>
              </w:rPr>
            </w:pPr>
            <w:r>
              <w:rPr>
                <w:sz w:val="24"/>
                <w:szCs w:val="24"/>
              </w:rPr>
              <w:t>单一投资者大额赎回时易触发本基金巨额赎回的条件，中小投资者可能面临小额赎回申请也需要部分延期办理的风险。</w:t>
            </w:r>
          </w:p>
          <w:p w:rsidR="00217638" w:rsidRDefault="00A071BC">
            <w:pPr>
              <w:autoSpaceDE w:val="0"/>
              <w:autoSpaceDN w:val="0"/>
              <w:adjustRightInd w:val="0"/>
              <w:jc w:val="left"/>
              <w:rPr>
                <w:sz w:val="24"/>
                <w:szCs w:val="24"/>
              </w:rPr>
            </w:pPr>
            <w:r>
              <w:rPr>
                <w:sz w:val="24"/>
                <w:szCs w:val="24"/>
              </w:rPr>
              <w:t>2</w:t>
            </w:r>
            <w:r>
              <w:rPr>
                <w:sz w:val="24"/>
                <w:szCs w:val="24"/>
              </w:rPr>
              <w:t>、基金净值大幅波动的风险</w:t>
            </w:r>
          </w:p>
          <w:p w:rsidR="00217638" w:rsidRDefault="00A071BC">
            <w:pPr>
              <w:autoSpaceDE w:val="0"/>
              <w:autoSpaceDN w:val="0"/>
              <w:adjustRightInd w:val="0"/>
              <w:jc w:val="left"/>
              <w:rPr>
                <w:sz w:val="24"/>
                <w:szCs w:val="24"/>
              </w:rPr>
            </w:pPr>
            <w:r>
              <w:rPr>
                <w:sz w:val="24"/>
                <w:szCs w:val="24"/>
              </w:rPr>
              <w:t>单一投资者大额赎回时，基金管理人进行基金财产变现可能会对基金资产净值造成较大波动；单一投资者大额赎回时，相应的赎回费归入基金资产以及赎回时的份额净值的精度问题均可能引起基金份额净值出现较大波动。</w:t>
            </w:r>
          </w:p>
          <w:p w:rsidR="00217638" w:rsidRDefault="00A071BC">
            <w:pPr>
              <w:autoSpaceDE w:val="0"/>
              <w:autoSpaceDN w:val="0"/>
              <w:adjustRightInd w:val="0"/>
              <w:jc w:val="left"/>
              <w:rPr>
                <w:sz w:val="24"/>
                <w:szCs w:val="24"/>
              </w:rPr>
            </w:pPr>
            <w:r>
              <w:rPr>
                <w:sz w:val="24"/>
                <w:szCs w:val="24"/>
              </w:rPr>
              <w:t>3</w:t>
            </w:r>
            <w:r>
              <w:rPr>
                <w:sz w:val="24"/>
                <w:szCs w:val="24"/>
              </w:rPr>
              <w:t>、基金投资策略难以实现的风险</w:t>
            </w:r>
          </w:p>
          <w:p w:rsidR="00217638" w:rsidRDefault="00A071BC">
            <w:pPr>
              <w:autoSpaceDE w:val="0"/>
              <w:autoSpaceDN w:val="0"/>
              <w:adjustRightInd w:val="0"/>
              <w:jc w:val="left"/>
              <w:rPr>
                <w:sz w:val="24"/>
                <w:szCs w:val="24"/>
              </w:rPr>
            </w:pPr>
            <w:r>
              <w:rPr>
                <w:sz w:val="24"/>
                <w:szCs w:val="24"/>
              </w:rPr>
              <w:t>单一投资者大额赎回后，可能使基金资产净值显著降低，从而使基金在拟参与银行间市场交易等投资时受到限制，导致基金投资策略难以实现。</w:t>
            </w:r>
          </w:p>
          <w:p w:rsidR="00217638" w:rsidRDefault="00A071BC">
            <w:pPr>
              <w:autoSpaceDE w:val="0"/>
              <w:autoSpaceDN w:val="0"/>
              <w:adjustRightInd w:val="0"/>
              <w:jc w:val="left"/>
              <w:rPr>
                <w:sz w:val="24"/>
                <w:szCs w:val="24"/>
              </w:rPr>
            </w:pPr>
            <w:r>
              <w:rPr>
                <w:sz w:val="24"/>
                <w:szCs w:val="24"/>
              </w:rPr>
              <w:t>4</w:t>
            </w:r>
            <w:r>
              <w:rPr>
                <w:sz w:val="24"/>
                <w:szCs w:val="24"/>
              </w:rPr>
              <w:t>、基金财产清算（或转型）的风险</w:t>
            </w:r>
          </w:p>
          <w:p w:rsidR="00217638" w:rsidRDefault="00A071BC">
            <w:pPr>
              <w:autoSpaceDE w:val="0"/>
              <w:autoSpaceDN w:val="0"/>
              <w:adjustRightInd w:val="0"/>
              <w:jc w:val="left"/>
              <w:rPr>
                <w:sz w:val="24"/>
                <w:szCs w:val="24"/>
              </w:rPr>
            </w:pPr>
            <w:r>
              <w:rPr>
                <w:sz w:val="24"/>
                <w:szCs w:val="24"/>
              </w:rPr>
              <w:t>根据本基金基金合同的约定，基金合同生效后的存续期内，若连续</w:t>
            </w:r>
            <w:r>
              <w:rPr>
                <w:sz w:val="24"/>
                <w:szCs w:val="24"/>
              </w:rPr>
              <w:t>60</w:t>
            </w:r>
            <w:r>
              <w:rPr>
                <w:sz w:val="24"/>
                <w:szCs w:val="24"/>
              </w:rPr>
              <w:t>个工作日出现基金份额持有人数量不满</w:t>
            </w:r>
            <w:r>
              <w:rPr>
                <w:sz w:val="24"/>
                <w:szCs w:val="24"/>
              </w:rPr>
              <w:t>200</w:t>
            </w:r>
            <w:r>
              <w:rPr>
                <w:sz w:val="24"/>
                <w:szCs w:val="24"/>
              </w:rPr>
              <w:t>人或者基金资产净值低于</w:t>
            </w:r>
            <w:r>
              <w:rPr>
                <w:sz w:val="24"/>
                <w:szCs w:val="24"/>
              </w:rPr>
              <w:t>5000</w:t>
            </w:r>
            <w:r>
              <w:rPr>
                <w:sz w:val="24"/>
                <w:szCs w:val="24"/>
              </w:rPr>
              <w:t>万元情形的，基金管理人应当向中国证监会报告并提出解决方案，如转换运作方式、与其他基金合并或者终止基金合同等，并召开基金份额持有人大会进行表决。单一投资者大额赎回后，可能造成基金资产净值大幅缩减而导致本基金转换运作方式、与其他基金合并或基金合同终止等情形。</w:t>
            </w:r>
          </w:p>
          <w:p w:rsidR="00217638" w:rsidRDefault="00A071BC">
            <w:pPr>
              <w:autoSpaceDE w:val="0"/>
              <w:autoSpaceDN w:val="0"/>
              <w:adjustRightInd w:val="0"/>
              <w:jc w:val="left"/>
              <w:rPr>
                <w:sz w:val="24"/>
                <w:szCs w:val="24"/>
              </w:rPr>
            </w:pPr>
            <w:r>
              <w:rPr>
                <w:sz w:val="24"/>
                <w:szCs w:val="24"/>
              </w:rPr>
              <w:t>5</w:t>
            </w:r>
            <w:r>
              <w:rPr>
                <w:sz w:val="24"/>
                <w:szCs w:val="24"/>
              </w:rPr>
              <w:t>、召开基金份额持有人大会及表决时可能存在的风险</w:t>
            </w:r>
          </w:p>
          <w:p w:rsidR="00DF2AD4" w:rsidRPr="00FC0759" w:rsidRDefault="00DF2AD4" w:rsidP="001023CF">
            <w:pPr>
              <w:autoSpaceDE w:val="0"/>
              <w:autoSpaceDN w:val="0"/>
              <w:adjustRightInd w:val="0"/>
              <w:jc w:val="left"/>
              <w:rPr>
                <w:sz w:val="24"/>
                <w:szCs w:val="24"/>
              </w:rPr>
            </w:pPr>
            <w:r w:rsidRPr="00FC0759">
              <w:rPr>
                <w:sz w:val="24"/>
                <w:szCs w:val="24"/>
              </w:rPr>
              <w:t>由于单一机构投资者所持有的基金份额占比较高，在召开持有人大会并对重大事项进行投票表决时，单一机构投资者将拥有高的投票权重。</w:t>
            </w:r>
          </w:p>
        </w:tc>
      </w:tr>
    </w:tbl>
    <w:p w:rsidR="00DF2AD4" w:rsidRPr="002F6268" w:rsidRDefault="00DF2AD4" w:rsidP="00DF2AD4">
      <w:pPr>
        <w:autoSpaceDE w:val="0"/>
        <w:autoSpaceDN w:val="0"/>
        <w:adjustRightInd w:val="0"/>
        <w:spacing w:line="360" w:lineRule="auto"/>
        <w:jc w:val="left"/>
        <w:rPr>
          <w:rFonts w:eastAsiaTheme="minorEastAsia"/>
          <w:b/>
          <w:bCs/>
          <w:color w:val="000000" w:themeColor="text1"/>
          <w:kern w:val="0"/>
          <w:sz w:val="24"/>
          <w:szCs w:val="24"/>
        </w:rPr>
      </w:pPr>
      <w:r w:rsidRPr="002F6268">
        <w:rPr>
          <w:rFonts w:eastAsiaTheme="minorEastAsia"/>
          <w:b/>
          <w:bCs/>
          <w:color w:val="000000" w:themeColor="text1"/>
          <w:kern w:val="0"/>
          <w:sz w:val="24"/>
          <w:szCs w:val="24"/>
        </w:rPr>
        <w:t xml:space="preserve">8.2 </w:t>
      </w:r>
      <w:r w:rsidRPr="002F6268">
        <w:rPr>
          <w:rFonts w:eastAsiaTheme="minorEastAsia"/>
          <w:b/>
          <w:bCs/>
          <w:color w:val="000000" w:themeColor="text1"/>
          <w:kern w:val="0"/>
          <w:sz w:val="24"/>
          <w:szCs w:val="24"/>
        </w:rPr>
        <w:t>影响投资者决策的其他重要信息</w:t>
      </w:r>
    </w:p>
    <w:p w:rsidR="00251058" w:rsidRPr="00251058" w:rsidRDefault="00251058" w:rsidP="00251058">
      <w:pPr>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1</w:t>
      </w:r>
      <w:r>
        <w:rPr>
          <w:rFonts w:eastAsiaTheme="minorEastAsia" w:hint="eastAsia"/>
          <w:color w:val="000000" w:themeColor="text1"/>
          <w:sz w:val="24"/>
          <w:szCs w:val="24"/>
        </w:rPr>
        <w:t>、</w:t>
      </w:r>
      <w:r w:rsidRPr="00251058">
        <w:rPr>
          <w:rFonts w:eastAsiaTheme="minorEastAsia" w:hint="eastAsia"/>
          <w:color w:val="000000" w:themeColor="text1"/>
          <w:sz w:val="24"/>
          <w:szCs w:val="24"/>
        </w:rPr>
        <w:t>报告期内基金管理人对基金行业高级管理人员变更进行公告，指定媒体公告时间为</w:t>
      </w:r>
      <w:r w:rsidRPr="00251058">
        <w:rPr>
          <w:rFonts w:eastAsiaTheme="minorEastAsia" w:hint="eastAsia"/>
          <w:color w:val="000000" w:themeColor="text1"/>
          <w:sz w:val="24"/>
          <w:szCs w:val="24"/>
        </w:rPr>
        <w:t>2019</w:t>
      </w:r>
      <w:r w:rsidRPr="00251058">
        <w:rPr>
          <w:rFonts w:eastAsiaTheme="minorEastAsia" w:hint="eastAsia"/>
          <w:color w:val="000000" w:themeColor="text1"/>
          <w:sz w:val="24"/>
          <w:szCs w:val="24"/>
        </w:rPr>
        <w:t>年</w:t>
      </w:r>
      <w:r w:rsidRPr="00251058">
        <w:rPr>
          <w:rFonts w:eastAsiaTheme="minorEastAsia" w:hint="eastAsia"/>
          <w:color w:val="000000" w:themeColor="text1"/>
          <w:sz w:val="24"/>
          <w:szCs w:val="24"/>
        </w:rPr>
        <w:t>5</w:t>
      </w:r>
      <w:r w:rsidRPr="00251058">
        <w:rPr>
          <w:rFonts w:eastAsiaTheme="minorEastAsia" w:hint="eastAsia"/>
          <w:color w:val="000000" w:themeColor="text1"/>
          <w:sz w:val="24"/>
          <w:szCs w:val="24"/>
        </w:rPr>
        <w:t>月</w:t>
      </w:r>
      <w:r w:rsidRPr="00251058">
        <w:rPr>
          <w:rFonts w:eastAsiaTheme="minorEastAsia" w:hint="eastAsia"/>
          <w:color w:val="000000" w:themeColor="text1"/>
          <w:sz w:val="24"/>
          <w:szCs w:val="24"/>
        </w:rPr>
        <w:t>17</w:t>
      </w:r>
      <w:r w:rsidRPr="00251058">
        <w:rPr>
          <w:rFonts w:eastAsiaTheme="minorEastAsia" w:hint="eastAsia"/>
          <w:color w:val="000000" w:themeColor="text1"/>
          <w:sz w:val="24"/>
          <w:szCs w:val="24"/>
        </w:rPr>
        <w:t>日。</w:t>
      </w:r>
    </w:p>
    <w:p w:rsidR="00251058" w:rsidRPr="00251058" w:rsidRDefault="00251058" w:rsidP="00251058">
      <w:pPr>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2</w:t>
      </w:r>
      <w:r>
        <w:rPr>
          <w:rFonts w:eastAsiaTheme="minorEastAsia" w:hint="eastAsia"/>
          <w:color w:val="000000" w:themeColor="text1"/>
          <w:sz w:val="24"/>
          <w:szCs w:val="24"/>
        </w:rPr>
        <w:t>、</w:t>
      </w:r>
      <w:r w:rsidRPr="00251058">
        <w:rPr>
          <w:rFonts w:eastAsiaTheme="minorEastAsia" w:hint="eastAsia"/>
          <w:color w:val="000000" w:themeColor="text1"/>
          <w:sz w:val="24"/>
          <w:szCs w:val="24"/>
        </w:rPr>
        <w:t>报告期内基金管理人对基金行业高级管理人员变更进行公告，指定媒体公告时间为</w:t>
      </w:r>
      <w:r w:rsidRPr="00251058">
        <w:rPr>
          <w:rFonts w:eastAsiaTheme="minorEastAsia" w:hint="eastAsia"/>
          <w:color w:val="000000" w:themeColor="text1"/>
          <w:sz w:val="24"/>
          <w:szCs w:val="24"/>
        </w:rPr>
        <w:t>2019</w:t>
      </w:r>
      <w:r w:rsidRPr="00251058">
        <w:rPr>
          <w:rFonts w:eastAsiaTheme="minorEastAsia" w:hint="eastAsia"/>
          <w:color w:val="000000" w:themeColor="text1"/>
          <w:sz w:val="24"/>
          <w:szCs w:val="24"/>
        </w:rPr>
        <w:t>年</w:t>
      </w:r>
      <w:r w:rsidRPr="00251058">
        <w:rPr>
          <w:rFonts w:eastAsiaTheme="minorEastAsia" w:hint="eastAsia"/>
          <w:color w:val="000000" w:themeColor="text1"/>
          <w:sz w:val="24"/>
          <w:szCs w:val="24"/>
        </w:rPr>
        <w:t>5</w:t>
      </w:r>
      <w:r w:rsidRPr="00251058">
        <w:rPr>
          <w:rFonts w:eastAsiaTheme="minorEastAsia" w:hint="eastAsia"/>
          <w:color w:val="000000" w:themeColor="text1"/>
          <w:sz w:val="24"/>
          <w:szCs w:val="24"/>
        </w:rPr>
        <w:t>月</w:t>
      </w:r>
      <w:r w:rsidRPr="00251058">
        <w:rPr>
          <w:rFonts w:eastAsiaTheme="minorEastAsia" w:hint="eastAsia"/>
          <w:color w:val="000000" w:themeColor="text1"/>
          <w:sz w:val="24"/>
          <w:szCs w:val="24"/>
        </w:rPr>
        <w:t>17</w:t>
      </w:r>
      <w:r w:rsidRPr="00251058">
        <w:rPr>
          <w:rFonts w:eastAsiaTheme="minorEastAsia" w:hint="eastAsia"/>
          <w:color w:val="000000" w:themeColor="text1"/>
          <w:sz w:val="24"/>
          <w:szCs w:val="24"/>
        </w:rPr>
        <w:t>日。</w:t>
      </w:r>
    </w:p>
    <w:p w:rsidR="00251058" w:rsidRPr="00251058" w:rsidRDefault="00251058" w:rsidP="00251058">
      <w:pPr>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3</w:t>
      </w:r>
      <w:r>
        <w:rPr>
          <w:rFonts w:eastAsiaTheme="minorEastAsia" w:hint="eastAsia"/>
          <w:color w:val="000000" w:themeColor="text1"/>
          <w:sz w:val="24"/>
          <w:szCs w:val="24"/>
        </w:rPr>
        <w:t>、</w:t>
      </w:r>
      <w:r w:rsidRPr="00251058">
        <w:rPr>
          <w:rFonts w:eastAsiaTheme="minorEastAsia" w:hint="eastAsia"/>
          <w:color w:val="000000" w:themeColor="text1"/>
          <w:sz w:val="24"/>
          <w:szCs w:val="24"/>
        </w:rPr>
        <w:t>报告期内基金管理人对基金行业高级管理人员变更进行公告，指定媒体公告时间为</w:t>
      </w:r>
      <w:r w:rsidRPr="00251058">
        <w:rPr>
          <w:rFonts w:eastAsiaTheme="minorEastAsia" w:hint="eastAsia"/>
          <w:color w:val="000000" w:themeColor="text1"/>
          <w:sz w:val="24"/>
          <w:szCs w:val="24"/>
        </w:rPr>
        <w:t>2019</w:t>
      </w:r>
      <w:r w:rsidRPr="00251058">
        <w:rPr>
          <w:rFonts w:eastAsiaTheme="minorEastAsia" w:hint="eastAsia"/>
          <w:color w:val="000000" w:themeColor="text1"/>
          <w:sz w:val="24"/>
          <w:szCs w:val="24"/>
        </w:rPr>
        <w:t>年</w:t>
      </w:r>
      <w:r w:rsidRPr="00251058">
        <w:rPr>
          <w:rFonts w:eastAsiaTheme="minorEastAsia" w:hint="eastAsia"/>
          <w:color w:val="000000" w:themeColor="text1"/>
          <w:sz w:val="24"/>
          <w:szCs w:val="24"/>
        </w:rPr>
        <w:t>6</w:t>
      </w:r>
      <w:r w:rsidRPr="00251058">
        <w:rPr>
          <w:rFonts w:eastAsiaTheme="minorEastAsia" w:hint="eastAsia"/>
          <w:color w:val="000000" w:themeColor="text1"/>
          <w:sz w:val="24"/>
          <w:szCs w:val="24"/>
        </w:rPr>
        <w:t>月</w:t>
      </w:r>
      <w:r w:rsidRPr="00251058">
        <w:rPr>
          <w:rFonts w:eastAsiaTheme="minorEastAsia" w:hint="eastAsia"/>
          <w:color w:val="000000" w:themeColor="text1"/>
          <w:sz w:val="24"/>
          <w:szCs w:val="24"/>
        </w:rPr>
        <w:t>6</w:t>
      </w:r>
      <w:r w:rsidRPr="00251058">
        <w:rPr>
          <w:rFonts w:eastAsiaTheme="minorEastAsia" w:hint="eastAsia"/>
          <w:color w:val="000000" w:themeColor="text1"/>
          <w:sz w:val="24"/>
          <w:szCs w:val="24"/>
        </w:rPr>
        <w:t>日。</w:t>
      </w:r>
    </w:p>
    <w:p w:rsidR="004061AC" w:rsidRPr="00E74406" w:rsidRDefault="00251058" w:rsidP="00251058">
      <w:pPr>
        <w:spacing w:line="360" w:lineRule="auto"/>
        <w:ind w:firstLineChars="200" w:firstLine="480"/>
        <w:rPr>
          <w:rFonts w:eastAsiaTheme="minorEastAsia"/>
          <w:color w:val="000000" w:themeColor="text1"/>
          <w:sz w:val="24"/>
          <w:szCs w:val="24"/>
        </w:rPr>
      </w:pPr>
      <w:r>
        <w:rPr>
          <w:rFonts w:eastAsiaTheme="minorEastAsia" w:hint="eastAsia"/>
          <w:color w:val="000000" w:themeColor="text1"/>
          <w:sz w:val="24"/>
          <w:szCs w:val="24"/>
        </w:rPr>
        <w:t>4</w:t>
      </w:r>
      <w:r>
        <w:rPr>
          <w:rFonts w:eastAsiaTheme="minorEastAsia" w:hint="eastAsia"/>
          <w:color w:val="000000" w:themeColor="text1"/>
          <w:sz w:val="24"/>
          <w:szCs w:val="24"/>
        </w:rPr>
        <w:t>、</w:t>
      </w:r>
      <w:r w:rsidRPr="00251058">
        <w:rPr>
          <w:rFonts w:eastAsiaTheme="minorEastAsia" w:hint="eastAsia"/>
          <w:color w:val="000000" w:themeColor="text1"/>
          <w:sz w:val="24"/>
          <w:szCs w:val="24"/>
        </w:rPr>
        <w:t>报告期内基金管理人对本基金可投资于科创板股票进行公告，指定媒体公告时间为</w:t>
      </w:r>
      <w:r w:rsidRPr="00251058">
        <w:rPr>
          <w:rFonts w:eastAsiaTheme="minorEastAsia" w:hint="eastAsia"/>
          <w:color w:val="000000" w:themeColor="text1"/>
          <w:sz w:val="24"/>
          <w:szCs w:val="24"/>
        </w:rPr>
        <w:t>2019</w:t>
      </w:r>
      <w:r w:rsidRPr="00251058">
        <w:rPr>
          <w:rFonts w:eastAsiaTheme="minorEastAsia" w:hint="eastAsia"/>
          <w:color w:val="000000" w:themeColor="text1"/>
          <w:sz w:val="24"/>
          <w:szCs w:val="24"/>
        </w:rPr>
        <w:t>年</w:t>
      </w:r>
      <w:r w:rsidRPr="00251058">
        <w:rPr>
          <w:rFonts w:eastAsiaTheme="minorEastAsia" w:hint="eastAsia"/>
          <w:color w:val="000000" w:themeColor="text1"/>
          <w:sz w:val="24"/>
          <w:szCs w:val="24"/>
        </w:rPr>
        <w:t>6</w:t>
      </w:r>
      <w:r w:rsidRPr="00251058">
        <w:rPr>
          <w:rFonts w:eastAsiaTheme="minorEastAsia" w:hint="eastAsia"/>
          <w:color w:val="000000" w:themeColor="text1"/>
          <w:sz w:val="24"/>
          <w:szCs w:val="24"/>
        </w:rPr>
        <w:t>月</w:t>
      </w:r>
      <w:r w:rsidRPr="00251058">
        <w:rPr>
          <w:rFonts w:eastAsiaTheme="minorEastAsia" w:hint="eastAsia"/>
          <w:color w:val="000000" w:themeColor="text1"/>
          <w:sz w:val="24"/>
          <w:szCs w:val="24"/>
        </w:rPr>
        <w:t>21</w:t>
      </w:r>
      <w:r w:rsidRPr="00251058">
        <w:rPr>
          <w:rFonts w:eastAsiaTheme="minorEastAsia" w:hint="eastAsia"/>
          <w:color w:val="000000" w:themeColor="text1"/>
          <w:sz w:val="24"/>
          <w:szCs w:val="24"/>
        </w:rPr>
        <w:t>日。</w:t>
      </w:r>
    </w:p>
    <w:p w:rsidR="004061AC" w:rsidRPr="00E74406" w:rsidRDefault="004061AC" w:rsidP="00104A8C">
      <w:pPr>
        <w:pStyle w:val="1"/>
        <w:spacing w:beforeLines="100" w:afterLines="100" w:line="360" w:lineRule="auto"/>
        <w:jc w:val="center"/>
        <w:rPr>
          <w:rFonts w:eastAsiaTheme="minorEastAsia"/>
          <w:color w:val="000000" w:themeColor="text1"/>
          <w:kern w:val="0"/>
          <w:sz w:val="24"/>
          <w:szCs w:val="24"/>
        </w:rPr>
      </w:pPr>
      <w:r w:rsidRPr="00E74406">
        <w:rPr>
          <w:rFonts w:eastAsiaTheme="minorEastAsia"/>
          <w:color w:val="000000" w:themeColor="text1"/>
          <w:kern w:val="0"/>
          <w:sz w:val="24"/>
          <w:szCs w:val="24"/>
        </w:rPr>
        <w:t>§</w:t>
      </w:r>
      <w:r w:rsidR="00D02347" w:rsidRPr="00E74406">
        <w:rPr>
          <w:rFonts w:eastAsiaTheme="minorEastAsia"/>
          <w:color w:val="000000" w:themeColor="text1"/>
          <w:kern w:val="0"/>
          <w:sz w:val="24"/>
          <w:szCs w:val="24"/>
        </w:rPr>
        <w:t>9</w:t>
      </w:r>
      <w:r w:rsidRPr="00E74406">
        <w:rPr>
          <w:rFonts w:eastAsiaTheme="minorEastAsia"/>
          <w:color w:val="000000" w:themeColor="text1"/>
          <w:kern w:val="0"/>
          <w:sz w:val="24"/>
          <w:szCs w:val="24"/>
        </w:rPr>
        <w:t>备查文件目录</w:t>
      </w:r>
    </w:p>
    <w:p w:rsidR="004061AC" w:rsidRPr="00E74406" w:rsidRDefault="00D02347" w:rsidP="00C71497">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9</w:t>
      </w:r>
      <w:r w:rsidR="004061AC" w:rsidRPr="00E74406">
        <w:rPr>
          <w:rFonts w:eastAsiaTheme="minorEastAsia"/>
          <w:b/>
          <w:bCs/>
          <w:color w:val="000000" w:themeColor="text1"/>
          <w:kern w:val="0"/>
          <w:sz w:val="24"/>
          <w:szCs w:val="24"/>
        </w:rPr>
        <w:t>.</w:t>
      </w:r>
      <w:r w:rsidR="00676095" w:rsidRPr="00E74406">
        <w:rPr>
          <w:rFonts w:eastAsiaTheme="minorEastAsia"/>
          <w:b/>
          <w:bCs/>
          <w:color w:val="000000" w:themeColor="text1"/>
          <w:kern w:val="0"/>
          <w:sz w:val="24"/>
          <w:szCs w:val="24"/>
        </w:rPr>
        <w:t>1</w:t>
      </w:r>
      <w:r w:rsidR="004061AC" w:rsidRPr="00E74406">
        <w:rPr>
          <w:rFonts w:eastAsiaTheme="minorEastAsia"/>
          <w:b/>
          <w:bCs/>
          <w:color w:val="000000" w:themeColor="text1"/>
          <w:kern w:val="0"/>
          <w:sz w:val="24"/>
          <w:szCs w:val="24"/>
        </w:rPr>
        <w:t>备查文件目录</w:t>
      </w:r>
    </w:p>
    <w:p w:rsidR="00217638" w:rsidRDefault="00A071BC">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《关于准予国投瑞银瑞盛灵活配置混合型证券投资基金注册的批复》（证监许可</w:t>
      </w:r>
      <w:r>
        <w:rPr>
          <w:rFonts w:eastAsiaTheme="minorEastAsia"/>
          <w:color w:val="000000" w:themeColor="text1"/>
          <w:sz w:val="24"/>
          <w:szCs w:val="24"/>
        </w:rPr>
        <w:t>[2015]2067</w:t>
      </w:r>
      <w:r>
        <w:rPr>
          <w:rFonts w:eastAsiaTheme="minorEastAsia"/>
          <w:color w:val="000000" w:themeColor="text1"/>
          <w:sz w:val="24"/>
          <w:szCs w:val="24"/>
        </w:rPr>
        <w:t>号）</w:t>
      </w:r>
    </w:p>
    <w:p w:rsidR="00217638" w:rsidRDefault="00A071BC">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《关于国投瑞银瑞盛灵活配置混合型证券投资基金备案确认的函》（机构部函</w:t>
      </w:r>
      <w:r>
        <w:rPr>
          <w:rFonts w:eastAsiaTheme="minorEastAsia"/>
          <w:color w:val="000000" w:themeColor="text1"/>
          <w:sz w:val="24"/>
          <w:szCs w:val="24"/>
        </w:rPr>
        <w:t>[2016]1111</w:t>
      </w:r>
      <w:r>
        <w:rPr>
          <w:rFonts w:eastAsiaTheme="minorEastAsia"/>
          <w:color w:val="000000" w:themeColor="text1"/>
          <w:sz w:val="24"/>
          <w:szCs w:val="24"/>
        </w:rPr>
        <w:t>号）</w:t>
      </w:r>
    </w:p>
    <w:p w:rsidR="00217638" w:rsidRDefault="00A071BC">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《国投瑞银瑞盛灵活配置混合型证券投资基金基金合同》</w:t>
      </w:r>
    </w:p>
    <w:p w:rsidR="00217638" w:rsidRDefault="00A071BC">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《国投瑞银瑞盛灵活配置混合型证券投资基金托管协议》</w:t>
      </w:r>
    </w:p>
    <w:p w:rsidR="00217638" w:rsidRDefault="00A071BC">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国投瑞银基金管理有限公司营业执照、公司章程及基金管理人业务资格批件</w:t>
      </w:r>
    </w:p>
    <w:p w:rsidR="00217638" w:rsidRDefault="00A071BC">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本报告期内在中国证监会指定信息披露报刊上披露的信息公告原文</w:t>
      </w:r>
    </w:p>
    <w:p w:rsidR="004061AC" w:rsidRPr="00E74406" w:rsidRDefault="006D7FF8"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国投瑞银瑞盛灵活配置混合型证券投资基金（</w:t>
      </w:r>
      <w:r w:rsidRPr="00E74406">
        <w:rPr>
          <w:rFonts w:eastAsiaTheme="minorEastAsia"/>
          <w:color w:val="000000" w:themeColor="text1"/>
          <w:sz w:val="24"/>
          <w:szCs w:val="24"/>
        </w:rPr>
        <w:t>LOF</w:t>
      </w:r>
      <w:r w:rsidRPr="00E74406">
        <w:rPr>
          <w:rFonts w:eastAsiaTheme="minorEastAsia"/>
          <w:color w:val="000000" w:themeColor="text1"/>
          <w:sz w:val="24"/>
          <w:szCs w:val="24"/>
        </w:rPr>
        <w:t>）</w:t>
      </w:r>
      <w:r w:rsidRPr="00E74406">
        <w:rPr>
          <w:rFonts w:eastAsiaTheme="minorEastAsia"/>
          <w:color w:val="000000" w:themeColor="text1"/>
          <w:sz w:val="24"/>
          <w:szCs w:val="24"/>
        </w:rPr>
        <w:t>2019</w:t>
      </w:r>
      <w:r w:rsidRPr="00E74406">
        <w:rPr>
          <w:rFonts w:eastAsiaTheme="minorEastAsia"/>
          <w:color w:val="000000" w:themeColor="text1"/>
          <w:sz w:val="24"/>
          <w:szCs w:val="24"/>
        </w:rPr>
        <w:t>年第</w:t>
      </w:r>
      <w:r w:rsidRPr="00E74406">
        <w:rPr>
          <w:rFonts w:eastAsiaTheme="minorEastAsia"/>
          <w:color w:val="000000" w:themeColor="text1"/>
          <w:sz w:val="24"/>
          <w:szCs w:val="24"/>
        </w:rPr>
        <w:t>2</w:t>
      </w:r>
      <w:r w:rsidRPr="00E74406">
        <w:rPr>
          <w:rFonts w:eastAsiaTheme="minorEastAsia"/>
          <w:color w:val="000000" w:themeColor="text1"/>
          <w:sz w:val="24"/>
          <w:szCs w:val="24"/>
        </w:rPr>
        <w:t>季度报告原文</w:t>
      </w:r>
    </w:p>
    <w:p w:rsidR="006A48FD" w:rsidRPr="00E74406" w:rsidRDefault="006A48FD" w:rsidP="00C71497">
      <w:pPr>
        <w:spacing w:line="360" w:lineRule="auto"/>
        <w:ind w:firstLineChars="200" w:firstLine="480"/>
        <w:rPr>
          <w:rFonts w:eastAsiaTheme="minorEastAsia"/>
          <w:color w:val="000000" w:themeColor="text1"/>
          <w:sz w:val="24"/>
          <w:szCs w:val="24"/>
        </w:rPr>
      </w:pPr>
    </w:p>
    <w:p w:rsidR="004061AC" w:rsidRPr="00E74406" w:rsidRDefault="00D02347" w:rsidP="00C71497">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9</w:t>
      </w:r>
      <w:r w:rsidR="004061AC" w:rsidRPr="00E74406">
        <w:rPr>
          <w:rFonts w:eastAsiaTheme="minorEastAsia"/>
          <w:b/>
          <w:bCs/>
          <w:color w:val="000000" w:themeColor="text1"/>
          <w:kern w:val="0"/>
          <w:sz w:val="24"/>
          <w:szCs w:val="24"/>
        </w:rPr>
        <w:t>.</w:t>
      </w:r>
      <w:r w:rsidR="00676095" w:rsidRPr="00E74406">
        <w:rPr>
          <w:rFonts w:eastAsiaTheme="minorEastAsia"/>
          <w:b/>
          <w:bCs/>
          <w:color w:val="000000" w:themeColor="text1"/>
          <w:kern w:val="0"/>
          <w:sz w:val="24"/>
          <w:szCs w:val="24"/>
        </w:rPr>
        <w:t>2</w:t>
      </w:r>
      <w:r w:rsidR="004061AC" w:rsidRPr="00E74406">
        <w:rPr>
          <w:rFonts w:eastAsiaTheme="minorEastAsia"/>
          <w:b/>
          <w:bCs/>
          <w:color w:val="000000" w:themeColor="text1"/>
          <w:kern w:val="0"/>
          <w:sz w:val="24"/>
          <w:szCs w:val="24"/>
        </w:rPr>
        <w:t>存放地点</w:t>
      </w:r>
    </w:p>
    <w:p w:rsidR="00217638" w:rsidRDefault="00A071BC">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中国广东省深圳市福田区金田路</w:t>
      </w:r>
      <w:r>
        <w:rPr>
          <w:rFonts w:eastAsiaTheme="minorEastAsia"/>
          <w:color w:val="000000" w:themeColor="text1"/>
          <w:sz w:val="24"/>
          <w:szCs w:val="24"/>
        </w:rPr>
        <w:t>4028</w:t>
      </w:r>
      <w:r>
        <w:rPr>
          <w:rFonts w:eastAsiaTheme="minorEastAsia"/>
          <w:color w:val="000000" w:themeColor="text1"/>
          <w:sz w:val="24"/>
          <w:szCs w:val="24"/>
        </w:rPr>
        <w:t>号荣超经贸中心</w:t>
      </w:r>
      <w:r>
        <w:rPr>
          <w:rFonts w:eastAsiaTheme="minorEastAsia"/>
          <w:color w:val="000000" w:themeColor="text1"/>
          <w:sz w:val="24"/>
          <w:szCs w:val="24"/>
        </w:rPr>
        <w:t>46</w:t>
      </w:r>
      <w:r>
        <w:rPr>
          <w:rFonts w:eastAsiaTheme="minorEastAsia"/>
          <w:color w:val="000000" w:themeColor="text1"/>
          <w:sz w:val="24"/>
          <w:szCs w:val="24"/>
        </w:rPr>
        <w:t>层</w:t>
      </w:r>
    </w:p>
    <w:p w:rsidR="004061AC" w:rsidRPr="00E74406" w:rsidRDefault="006D7FF8"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存放网址：</w:t>
      </w:r>
      <w:r w:rsidRPr="00E74406">
        <w:rPr>
          <w:rFonts w:eastAsiaTheme="minorEastAsia"/>
          <w:color w:val="000000" w:themeColor="text1"/>
          <w:sz w:val="24"/>
          <w:szCs w:val="24"/>
        </w:rPr>
        <w:t>http://www.ubssdic.com</w:t>
      </w:r>
    </w:p>
    <w:p w:rsidR="006A48FD" w:rsidRPr="00E74406" w:rsidRDefault="006A48FD" w:rsidP="00C71497">
      <w:pPr>
        <w:spacing w:line="360" w:lineRule="auto"/>
        <w:ind w:firstLineChars="200" w:firstLine="480"/>
        <w:rPr>
          <w:rFonts w:eastAsiaTheme="minorEastAsia"/>
          <w:color w:val="000000" w:themeColor="text1"/>
          <w:sz w:val="24"/>
          <w:szCs w:val="24"/>
        </w:rPr>
      </w:pPr>
    </w:p>
    <w:p w:rsidR="004061AC" w:rsidRPr="00E74406" w:rsidRDefault="00D02347" w:rsidP="00C71497">
      <w:pPr>
        <w:autoSpaceDE w:val="0"/>
        <w:autoSpaceDN w:val="0"/>
        <w:adjustRightInd w:val="0"/>
        <w:spacing w:line="360" w:lineRule="auto"/>
        <w:jc w:val="left"/>
        <w:rPr>
          <w:rFonts w:eastAsiaTheme="minorEastAsia"/>
          <w:b/>
          <w:bCs/>
          <w:color w:val="000000" w:themeColor="text1"/>
          <w:kern w:val="0"/>
          <w:sz w:val="24"/>
          <w:szCs w:val="24"/>
        </w:rPr>
      </w:pPr>
      <w:r w:rsidRPr="00E74406">
        <w:rPr>
          <w:rFonts w:eastAsiaTheme="minorEastAsia"/>
          <w:b/>
          <w:bCs/>
          <w:color w:val="000000" w:themeColor="text1"/>
          <w:kern w:val="0"/>
          <w:sz w:val="24"/>
          <w:szCs w:val="24"/>
        </w:rPr>
        <w:t>9</w:t>
      </w:r>
      <w:r w:rsidR="004061AC" w:rsidRPr="00E74406">
        <w:rPr>
          <w:rFonts w:eastAsiaTheme="minorEastAsia"/>
          <w:b/>
          <w:bCs/>
          <w:color w:val="000000" w:themeColor="text1"/>
          <w:kern w:val="0"/>
          <w:sz w:val="24"/>
          <w:szCs w:val="24"/>
        </w:rPr>
        <w:t>.</w:t>
      </w:r>
      <w:r w:rsidR="00676095" w:rsidRPr="00E74406">
        <w:rPr>
          <w:rFonts w:eastAsiaTheme="minorEastAsia"/>
          <w:b/>
          <w:bCs/>
          <w:color w:val="000000" w:themeColor="text1"/>
          <w:kern w:val="0"/>
          <w:sz w:val="24"/>
          <w:szCs w:val="24"/>
        </w:rPr>
        <w:t>3</w:t>
      </w:r>
      <w:r w:rsidR="004061AC" w:rsidRPr="00E74406">
        <w:rPr>
          <w:rFonts w:eastAsiaTheme="minorEastAsia"/>
          <w:b/>
          <w:bCs/>
          <w:color w:val="000000" w:themeColor="text1"/>
          <w:kern w:val="0"/>
          <w:sz w:val="24"/>
          <w:szCs w:val="24"/>
        </w:rPr>
        <w:t>查阅方式</w:t>
      </w:r>
    </w:p>
    <w:p w:rsidR="00217638" w:rsidRDefault="00A071BC">
      <w:pPr>
        <w:spacing w:line="360" w:lineRule="auto"/>
        <w:ind w:firstLineChars="200" w:firstLine="480"/>
        <w:rPr>
          <w:rFonts w:eastAsiaTheme="minorEastAsia"/>
          <w:color w:val="000000" w:themeColor="text1"/>
          <w:sz w:val="24"/>
          <w:szCs w:val="24"/>
        </w:rPr>
      </w:pPr>
      <w:r>
        <w:rPr>
          <w:rFonts w:eastAsiaTheme="minorEastAsia"/>
          <w:color w:val="000000" w:themeColor="text1"/>
          <w:sz w:val="24"/>
          <w:szCs w:val="24"/>
        </w:rPr>
        <w:t>投资者可在营业时间免费查阅，也可按工本费购买复印件</w:t>
      </w:r>
    </w:p>
    <w:p w:rsidR="00636DB7" w:rsidRPr="00E74406" w:rsidRDefault="006D7FF8" w:rsidP="006B42EA">
      <w:pPr>
        <w:spacing w:line="360" w:lineRule="auto"/>
        <w:ind w:firstLineChars="200" w:firstLine="480"/>
        <w:rPr>
          <w:rFonts w:eastAsiaTheme="minorEastAsia"/>
          <w:color w:val="000000" w:themeColor="text1"/>
          <w:sz w:val="24"/>
          <w:szCs w:val="24"/>
        </w:rPr>
      </w:pPr>
      <w:r w:rsidRPr="00E74406">
        <w:rPr>
          <w:rFonts w:eastAsiaTheme="minorEastAsia"/>
          <w:color w:val="000000" w:themeColor="text1"/>
          <w:sz w:val="24"/>
          <w:szCs w:val="24"/>
        </w:rPr>
        <w:t>咨询电话：</w:t>
      </w:r>
      <w:r w:rsidRPr="00E74406">
        <w:rPr>
          <w:rFonts w:eastAsiaTheme="minorEastAsia"/>
          <w:color w:val="000000" w:themeColor="text1"/>
          <w:sz w:val="24"/>
          <w:szCs w:val="24"/>
        </w:rPr>
        <w:t>400-880-6868</w:t>
      </w:r>
    </w:p>
    <w:p w:rsidR="004061AC" w:rsidRPr="00E74406" w:rsidRDefault="004061AC"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C71497" w:rsidRPr="00E74406" w:rsidRDefault="00C71497" w:rsidP="004061AC">
      <w:pPr>
        <w:spacing w:line="360" w:lineRule="auto"/>
        <w:ind w:left="840"/>
        <w:jc w:val="right"/>
        <w:rPr>
          <w:rFonts w:eastAsiaTheme="minorEastAsia"/>
          <w:color w:val="000000" w:themeColor="text1"/>
          <w:sz w:val="24"/>
          <w:szCs w:val="24"/>
        </w:rPr>
      </w:pPr>
    </w:p>
    <w:p w:rsidR="004061AC" w:rsidRPr="00E74406" w:rsidRDefault="004061AC" w:rsidP="004061AC">
      <w:pPr>
        <w:spacing w:line="360" w:lineRule="auto"/>
        <w:ind w:left="840"/>
        <w:jc w:val="right"/>
        <w:rPr>
          <w:rFonts w:eastAsiaTheme="minorEastAsia"/>
          <w:color w:val="000000" w:themeColor="text1"/>
          <w:sz w:val="24"/>
          <w:szCs w:val="24"/>
        </w:rPr>
      </w:pPr>
    </w:p>
    <w:p w:rsidR="004061AC" w:rsidRPr="00E74406" w:rsidRDefault="004061AC" w:rsidP="004061AC">
      <w:pPr>
        <w:spacing w:line="360" w:lineRule="auto"/>
        <w:ind w:left="840"/>
        <w:jc w:val="right"/>
        <w:rPr>
          <w:rFonts w:eastAsiaTheme="minorEastAsia"/>
          <w:color w:val="000000" w:themeColor="text1"/>
          <w:sz w:val="24"/>
          <w:szCs w:val="24"/>
        </w:rPr>
      </w:pPr>
    </w:p>
    <w:p w:rsidR="004061AC" w:rsidRPr="00E74406" w:rsidRDefault="00832A00" w:rsidP="00C71497">
      <w:pPr>
        <w:spacing w:line="360" w:lineRule="auto"/>
        <w:jc w:val="right"/>
        <w:rPr>
          <w:rFonts w:eastAsiaTheme="minorEastAsia"/>
          <w:b/>
          <w:bCs/>
          <w:color w:val="000000" w:themeColor="text1"/>
          <w:sz w:val="24"/>
          <w:szCs w:val="24"/>
        </w:rPr>
      </w:pPr>
      <w:r w:rsidRPr="00E74406">
        <w:rPr>
          <w:rFonts w:eastAsiaTheme="minorEastAsia"/>
          <w:b/>
          <w:bCs/>
          <w:color w:val="000000" w:themeColor="text1"/>
          <w:sz w:val="24"/>
          <w:szCs w:val="24"/>
        </w:rPr>
        <w:t>国投瑞银基金管理有限公司</w:t>
      </w:r>
    </w:p>
    <w:p w:rsidR="004061AC" w:rsidRPr="00E74406" w:rsidRDefault="00945AF6" w:rsidP="00C71497">
      <w:pPr>
        <w:spacing w:line="360" w:lineRule="auto"/>
        <w:jc w:val="right"/>
        <w:rPr>
          <w:rFonts w:eastAsiaTheme="minorEastAsia"/>
          <w:b/>
          <w:bCs/>
          <w:color w:val="000000" w:themeColor="text1"/>
          <w:sz w:val="24"/>
          <w:szCs w:val="24"/>
        </w:rPr>
      </w:pPr>
      <w:r w:rsidRPr="00E74406">
        <w:rPr>
          <w:rFonts w:eastAsiaTheme="minorEastAsia"/>
          <w:b/>
          <w:bCs/>
          <w:color w:val="000000" w:themeColor="text1"/>
          <w:sz w:val="24"/>
          <w:szCs w:val="24"/>
        </w:rPr>
        <w:t>二〇一九年七月十八日</w:t>
      </w:r>
    </w:p>
    <w:p w:rsidR="00304A12" w:rsidRPr="00E74406" w:rsidRDefault="00304A12" w:rsidP="00955BE8">
      <w:pPr>
        <w:spacing w:line="360" w:lineRule="auto"/>
        <w:ind w:left="840"/>
        <w:jc w:val="right"/>
        <w:rPr>
          <w:rFonts w:eastAsiaTheme="minorEastAsia"/>
          <w:b/>
          <w:bCs/>
          <w:color w:val="000000" w:themeColor="text1"/>
          <w:sz w:val="24"/>
          <w:szCs w:val="24"/>
        </w:rPr>
      </w:pPr>
    </w:p>
    <w:p w:rsidR="00A90049" w:rsidRPr="00E74406" w:rsidRDefault="00A90049">
      <w:pPr>
        <w:rPr>
          <w:rFonts w:eastAsiaTheme="minorEastAsia"/>
          <w:color w:val="000000" w:themeColor="text1"/>
          <w:sz w:val="24"/>
          <w:szCs w:val="24"/>
        </w:rPr>
      </w:pPr>
    </w:p>
    <w:sectPr w:rsidR="00A90049" w:rsidRPr="00E74406" w:rsidSect="00304A12">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1BC" w:rsidRDefault="00A071BC" w:rsidP="00876D65">
      <w:r>
        <w:separator/>
      </w:r>
    </w:p>
  </w:endnote>
  <w:endnote w:type="continuationSeparator" w:id="1">
    <w:p w:rsidR="00A071BC" w:rsidRDefault="00A071BC"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4819A0" w:rsidRDefault="004819A0" w:rsidP="004819A0">
    <w:pPr>
      <w:pStyle w:val="a6"/>
      <w:jc w:val="center"/>
      <w:rPr>
        <w:rFonts w:eastAsiaTheme="minorEastAsia"/>
        <w:sz w:val="21"/>
        <w:szCs w:val="21"/>
      </w:rPr>
    </w:pPr>
    <w:r>
      <w:rPr>
        <w:rFonts w:eastAsiaTheme="minorEastAsia" w:hint="eastAsia"/>
        <w:kern w:val="0"/>
        <w:sz w:val="21"/>
        <w:szCs w:val="21"/>
      </w:rPr>
      <w:t>第</w:t>
    </w:r>
    <w:r w:rsidR="008B1165">
      <w:rPr>
        <w:rFonts w:eastAsiaTheme="minorEastAsia"/>
        <w:kern w:val="0"/>
        <w:sz w:val="21"/>
        <w:szCs w:val="21"/>
      </w:rPr>
      <w:fldChar w:fldCharType="begin"/>
    </w:r>
    <w:r>
      <w:rPr>
        <w:rFonts w:eastAsiaTheme="minorEastAsia"/>
        <w:kern w:val="0"/>
        <w:sz w:val="21"/>
        <w:szCs w:val="21"/>
      </w:rPr>
      <w:instrText xml:space="preserve"> PAGE </w:instrText>
    </w:r>
    <w:r w:rsidR="008B1165">
      <w:rPr>
        <w:rFonts w:eastAsiaTheme="minorEastAsia"/>
        <w:kern w:val="0"/>
        <w:sz w:val="21"/>
        <w:szCs w:val="21"/>
      </w:rPr>
      <w:fldChar w:fldCharType="separate"/>
    </w:r>
    <w:r w:rsidR="00104A8C">
      <w:rPr>
        <w:rFonts w:eastAsiaTheme="minorEastAsia"/>
        <w:noProof/>
        <w:kern w:val="0"/>
        <w:sz w:val="21"/>
        <w:szCs w:val="21"/>
      </w:rPr>
      <w:t>1</w:t>
    </w:r>
    <w:r w:rsidR="008B1165">
      <w:rPr>
        <w:rFonts w:eastAsiaTheme="minorEastAsia"/>
        <w:kern w:val="0"/>
        <w:sz w:val="21"/>
        <w:szCs w:val="21"/>
      </w:rPr>
      <w:fldChar w:fldCharType="end"/>
    </w:r>
    <w:r>
      <w:rPr>
        <w:rFonts w:eastAsiaTheme="minorEastAsia" w:hint="eastAsia"/>
        <w:kern w:val="0"/>
        <w:sz w:val="21"/>
        <w:szCs w:val="21"/>
      </w:rPr>
      <w:t>页，共</w:t>
    </w:r>
    <w:r w:rsidR="008B1165">
      <w:rPr>
        <w:rFonts w:eastAsiaTheme="minorEastAsia"/>
        <w:kern w:val="0"/>
        <w:sz w:val="21"/>
        <w:szCs w:val="21"/>
      </w:rPr>
      <w:fldChar w:fldCharType="begin"/>
    </w:r>
    <w:r>
      <w:rPr>
        <w:rFonts w:eastAsiaTheme="minorEastAsia"/>
        <w:kern w:val="0"/>
        <w:sz w:val="21"/>
        <w:szCs w:val="21"/>
      </w:rPr>
      <w:instrText xml:space="preserve"> NUMPAGES </w:instrText>
    </w:r>
    <w:r w:rsidR="008B1165">
      <w:rPr>
        <w:rFonts w:eastAsiaTheme="minorEastAsia"/>
        <w:kern w:val="0"/>
        <w:sz w:val="21"/>
        <w:szCs w:val="21"/>
      </w:rPr>
      <w:fldChar w:fldCharType="separate"/>
    </w:r>
    <w:r w:rsidR="00104A8C">
      <w:rPr>
        <w:rFonts w:eastAsiaTheme="minorEastAsia"/>
        <w:noProof/>
        <w:kern w:val="0"/>
        <w:sz w:val="21"/>
        <w:szCs w:val="21"/>
      </w:rPr>
      <w:t>3</w:t>
    </w:r>
    <w:r w:rsidR="008B1165">
      <w:rPr>
        <w:rFonts w:eastAsiaTheme="minorEastAsia"/>
        <w:kern w:val="0"/>
        <w:sz w:val="21"/>
        <w:szCs w:val="21"/>
      </w:rPr>
      <w:fldChar w:fldCharType="end"/>
    </w:r>
    <w:r>
      <w:rPr>
        <w:rFonts w:eastAsiaTheme="minorEastAsia" w:hint="eastAsia"/>
        <w:kern w:val="0"/>
        <w:sz w:val="21"/>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1BC" w:rsidRDefault="00A071BC" w:rsidP="00876D65">
      <w:r>
        <w:separator/>
      </w:r>
    </w:p>
  </w:footnote>
  <w:footnote w:type="continuationSeparator" w:id="1">
    <w:p w:rsidR="00A071BC" w:rsidRDefault="00A071BC"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EF0" w:rsidRPr="00E74406" w:rsidRDefault="00171EF0" w:rsidP="00090A26">
    <w:pPr>
      <w:pStyle w:val="a9"/>
      <w:pBdr>
        <w:bottom w:val="single" w:sz="6" w:space="0" w:color="auto"/>
      </w:pBdr>
      <w:jc w:val="right"/>
      <w:rPr>
        <w:sz w:val="21"/>
        <w:szCs w:val="21"/>
      </w:rPr>
    </w:pPr>
    <w:r w:rsidRPr="00E74406">
      <w:rPr>
        <w:rFonts w:hint="eastAsia"/>
        <w:sz w:val="21"/>
        <w:szCs w:val="21"/>
      </w:rPr>
      <w:t>国投瑞银瑞盛灵活配置混合型证券投资基金</w:t>
    </w:r>
    <w:r w:rsidRPr="00E74406">
      <w:rPr>
        <w:rFonts w:hint="eastAsia"/>
        <w:sz w:val="21"/>
        <w:szCs w:val="21"/>
      </w:rPr>
      <w:t>(LOF)2019</w:t>
    </w:r>
    <w:r w:rsidRPr="00E74406">
      <w:rPr>
        <w:rFonts w:hint="eastAsia"/>
        <w:sz w:val="21"/>
        <w:szCs w:val="21"/>
      </w:rPr>
      <w:t>年第</w:t>
    </w:r>
    <w:r w:rsidRPr="00E74406">
      <w:rPr>
        <w:rFonts w:hint="eastAsia"/>
        <w:sz w:val="21"/>
        <w:szCs w:val="21"/>
      </w:rPr>
      <w:t>2</w:t>
    </w:r>
    <w:r w:rsidRPr="00E74406">
      <w:rPr>
        <w:rFonts w:hint="eastAsia"/>
        <w:sz w:val="21"/>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31EBB"/>
    <w:rsid w:val="00033B8D"/>
    <w:rsid w:val="00043852"/>
    <w:rsid w:val="000450DD"/>
    <w:rsid w:val="000463DE"/>
    <w:rsid w:val="000668C1"/>
    <w:rsid w:val="0008313A"/>
    <w:rsid w:val="000907D2"/>
    <w:rsid w:val="00090A26"/>
    <w:rsid w:val="000A00FA"/>
    <w:rsid w:val="000A2B53"/>
    <w:rsid w:val="000B624F"/>
    <w:rsid w:val="000B73C6"/>
    <w:rsid w:val="000C190B"/>
    <w:rsid w:val="000C1E17"/>
    <w:rsid w:val="000C3A61"/>
    <w:rsid w:val="000C5216"/>
    <w:rsid w:val="000D0E6C"/>
    <w:rsid w:val="000D3ED4"/>
    <w:rsid w:val="000F6CC8"/>
    <w:rsid w:val="001023CF"/>
    <w:rsid w:val="00104A8C"/>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24BA"/>
    <w:rsid w:val="001C78B2"/>
    <w:rsid w:val="001C79F2"/>
    <w:rsid w:val="001D63BB"/>
    <w:rsid w:val="001D6A4B"/>
    <w:rsid w:val="001E4630"/>
    <w:rsid w:val="001F0964"/>
    <w:rsid w:val="001F30DA"/>
    <w:rsid w:val="001F5DC5"/>
    <w:rsid w:val="00200FAB"/>
    <w:rsid w:val="002012C7"/>
    <w:rsid w:val="00213821"/>
    <w:rsid w:val="00217638"/>
    <w:rsid w:val="00217B92"/>
    <w:rsid w:val="00220C32"/>
    <w:rsid w:val="002279D3"/>
    <w:rsid w:val="00237F09"/>
    <w:rsid w:val="00240248"/>
    <w:rsid w:val="0024363B"/>
    <w:rsid w:val="00251058"/>
    <w:rsid w:val="00261111"/>
    <w:rsid w:val="00264E55"/>
    <w:rsid w:val="00275745"/>
    <w:rsid w:val="0027688F"/>
    <w:rsid w:val="00276E44"/>
    <w:rsid w:val="002835C9"/>
    <w:rsid w:val="00286BEF"/>
    <w:rsid w:val="00286FA2"/>
    <w:rsid w:val="002918E3"/>
    <w:rsid w:val="00296604"/>
    <w:rsid w:val="002973A9"/>
    <w:rsid w:val="002A692D"/>
    <w:rsid w:val="002B1D1A"/>
    <w:rsid w:val="002D6FB6"/>
    <w:rsid w:val="002E1B9F"/>
    <w:rsid w:val="002E3B09"/>
    <w:rsid w:val="002E52B3"/>
    <w:rsid w:val="002E66E5"/>
    <w:rsid w:val="002F29FF"/>
    <w:rsid w:val="00304A12"/>
    <w:rsid w:val="00305636"/>
    <w:rsid w:val="00305A29"/>
    <w:rsid w:val="00311662"/>
    <w:rsid w:val="00312A9F"/>
    <w:rsid w:val="00313F0D"/>
    <w:rsid w:val="00315D5D"/>
    <w:rsid w:val="00316484"/>
    <w:rsid w:val="00316E01"/>
    <w:rsid w:val="00320300"/>
    <w:rsid w:val="00324508"/>
    <w:rsid w:val="003259C8"/>
    <w:rsid w:val="003307FE"/>
    <w:rsid w:val="003470E2"/>
    <w:rsid w:val="0034730F"/>
    <w:rsid w:val="00352719"/>
    <w:rsid w:val="00355364"/>
    <w:rsid w:val="00364CCB"/>
    <w:rsid w:val="0039085F"/>
    <w:rsid w:val="00394069"/>
    <w:rsid w:val="00394E02"/>
    <w:rsid w:val="003A6061"/>
    <w:rsid w:val="003B6FBC"/>
    <w:rsid w:val="003C2B36"/>
    <w:rsid w:val="003D7B9D"/>
    <w:rsid w:val="003E2240"/>
    <w:rsid w:val="003E62FB"/>
    <w:rsid w:val="003F39DF"/>
    <w:rsid w:val="003F63BE"/>
    <w:rsid w:val="004061AC"/>
    <w:rsid w:val="00406C52"/>
    <w:rsid w:val="004149AC"/>
    <w:rsid w:val="0042009D"/>
    <w:rsid w:val="00427F58"/>
    <w:rsid w:val="00433805"/>
    <w:rsid w:val="00465285"/>
    <w:rsid w:val="00471408"/>
    <w:rsid w:val="004819A0"/>
    <w:rsid w:val="004830A5"/>
    <w:rsid w:val="004858E0"/>
    <w:rsid w:val="004934E9"/>
    <w:rsid w:val="004943C2"/>
    <w:rsid w:val="004A11A7"/>
    <w:rsid w:val="004C702F"/>
    <w:rsid w:val="004D495A"/>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2343"/>
    <w:rsid w:val="005E475E"/>
    <w:rsid w:val="005F3996"/>
    <w:rsid w:val="005F6AF6"/>
    <w:rsid w:val="006066D2"/>
    <w:rsid w:val="0061286A"/>
    <w:rsid w:val="00614CC4"/>
    <w:rsid w:val="0062025E"/>
    <w:rsid w:val="00626998"/>
    <w:rsid w:val="006269FB"/>
    <w:rsid w:val="00631ED8"/>
    <w:rsid w:val="006360DC"/>
    <w:rsid w:val="00636DB7"/>
    <w:rsid w:val="0063783A"/>
    <w:rsid w:val="006423B9"/>
    <w:rsid w:val="00654B0D"/>
    <w:rsid w:val="00655CD8"/>
    <w:rsid w:val="006571DC"/>
    <w:rsid w:val="00657F4D"/>
    <w:rsid w:val="00660D4B"/>
    <w:rsid w:val="00664ECC"/>
    <w:rsid w:val="00670989"/>
    <w:rsid w:val="006757DC"/>
    <w:rsid w:val="00676095"/>
    <w:rsid w:val="00693843"/>
    <w:rsid w:val="0069426C"/>
    <w:rsid w:val="00694DFB"/>
    <w:rsid w:val="006A1C62"/>
    <w:rsid w:val="006A48FD"/>
    <w:rsid w:val="006A67F8"/>
    <w:rsid w:val="006A7AF1"/>
    <w:rsid w:val="006B11BB"/>
    <w:rsid w:val="006B42EA"/>
    <w:rsid w:val="006C12B8"/>
    <w:rsid w:val="006C37FC"/>
    <w:rsid w:val="006C57F1"/>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67C98"/>
    <w:rsid w:val="00770971"/>
    <w:rsid w:val="0078699A"/>
    <w:rsid w:val="00796CA8"/>
    <w:rsid w:val="00797305"/>
    <w:rsid w:val="007B035B"/>
    <w:rsid w:val="007B490D"/>
    <w:rsid w:val="007B4C04"/>
    <w:rsid w:val="007B4D7A"/>
    <w:rsid w:val="007B5AFB"/>
    <w:rsid w:val="007C5862"/>
    <w:rsid w:val="007F33CD"/>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5791D"/>
    <w:rsid w:val="008606B6"/>
    <w:rsid w:val="00862989"/>
    <w:rsid w:val="00864F98"/>
    <w:rsid w:val="00866CF2"/>
    <w:rsid w:val="008700EC"/>
    <w:rsid w:val="00876D65"/>
    <w:rsid w:val="00891261"/>
    <w:rsid w:val="008A21B2"/>
    <w:rsid w:val="008A409E"/>
    <w:rsid w:val="008B1165"/>
    <w:rsid w:val="008B2FDD"/>
    <w:rsid w:val="008C75E7"/>
    <w:rsid w:val="008C7CA8"/>
    <w:rsid w:val="008D09EC"/>
    <w:rsid w:val="008E07EB"/>
    <w:rsid w:val="008E2DCB"/>
    <w:rsid w:val="008E326D"/>
    <w:rsid w:val="008F5F67"/>
    <w:rsid w:val="008F60F2"/>
    <w:rsid w:val="0090217D"/>
    <w:rsid w:val="0090366E"/>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A7032"/>
    <w:rsid w:val="009B2D4B"/>
    <w:rsid w:val="009C0430"/>
    <w:rsid w:val="009C1729"/>
    <w:rsid w:val="009C4E99"/>
    <w:rsid w:val="009C5186"/>
    <w:rsid w:val="009C60F7"/>
    <w:rsid w:val="009D0952"/>
    <w:rsid w:val="009E0273"/>
    <w:rsid w:val="009E31DA"/>
    <w:rsid w:val="009E402C"/>
    <w:rsid w:val="009E7C6A"/>
    <w:rsid w:val="009F0F49"/>
    <w:rsid w:val="009F7ED4"/>
    <w:rsid w:val="00A03AAC"/>
    <w:rsid w:val="00A047D1"/>
    <w:rsid w:val="00A04F76"/>
    <w:rsid w:val="00A071BC"/>
    <w:rsid w:val="00A22AD0"/>
    <w:rsid w:val="00A22DA8"/>
    <w:rsid w:val="00A31671"/>
    <w:rsid w:val="00A33DA9"/>
    <w:rsid w:val="00A45320"/>
    <w:rsid w:val="00A52F8F"/>
    <w:rsid w:val="00A5612C"/>
    <w:rsid w:val="00A5689C"/>
    <w:rsid w:val="00A57AE4"/>
    <w:rsid w:val="00A633C6"/>
    <w:rsid w:val="00A63F19"/>
    <w:rsid w:val="00A66F42"/>
    <w:rsid w:val="00A76625"/>
    <w:rsid w:val="00A83500"/>
    <w:rsid w:val="00A90049"/>
    <w:rsid w:val="00A917BF"/>
    <w:rsid w:val="00A96A94"/>
    <w:rsid w:val="00AA3A38"/>
    <w:rsid w:val="00AA4F94"/>
    <w:rsid w:val="00AB047E"/>
    <w:rsid w:val="00AB2D90"/>
    <w:rsid w:val="00AB4DA2"/>
    <w:rsid w:val="00AC2BE8"/>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B1ADD"/>
    <w:rsid w:val="00BC4585"/>
    <w:rsid w:val="00BC50F1"/>
    <w:rsid w:val="00BC73E5"/>
    <w:rsid w:val="00BD7473"/>
    <w:rsid w:val="00BD7703"/>
    <w:rsid w:val="00BE420D"/>
    <w:rsid w:val="00BF6314"/>
    <w:rsid w:val="00BF78B3"/>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9481C"/>
    <w:rsid w:val="00CA5FD5"/>
    <w:rsid w:val="00CA7703"/>
    <w:rsid w:val="00CB0F92"/>
    <w:rsid w:val="00CB6255"/>
    <w:rsid w:val="00CD4E6D"/>
    <w:rsid w:val="00CD5707"/>
    <w:rsid w:val="00CD7702"/>
    <w:rsid w:val="00CE29EA"/>
    <w:rsid w:val="00CF6572"/>
    <w:rsid w:val="00D02347"/>
    <w:rsid w:val="00D04755"/>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DF2AD4"/>
    <w:rsid w:val="00E44E18"/>
    <w:rsid w:val="00E54301"/>
    <w:rsid w:val="00E55ABD"/>
    <w:rsid w:val="00E60817"/>
    <w:rsid w:val="00E71F78"/>
    <w:rsid w:val="00E74406"/>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67669"/>
    <w:rsid w:val="00F71057"/>
    <w:rsid w:val="00F71A4B"/>
    <w:rsid w:val="00F728CF"/>
    <w:rsid w:val="00F743D4"/>
    <w:rsid w:val="00F83B17"/>
    <w:rsid w:val="00F87EDA"/>
    <w:rsid w:val="00F96C56"/>
    <w:rsid w:val="00F970EE"/>
    <w:rsid w:val="00FB0BC9"/>
    <w:rsid w:val="00FB41D3"/>
    <w:rsid w:val="00FB4F70"/>
    <w:rsid w:val="00FB5EFC"/>
    <w:rsid w:val="00FB77BB"/>
    <w:rsid w:val="00FC15AA"/>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7B4D7A"/>
    <w:rPr>
      <w:b/>
      <w:bCs/>
    </w:rPr>
  </w:style>
</w:styles>
</file>

<file path=word/webSettings.xml><?xml version="1.0" encoding="utf-8"?>
<w:webSettings xmlns:r="http://schemas.openxmlformats.org/officeDocument/2006/relationships" xmlns:w="http://schemas.openxmlformats.org/wordprocessingml/2006/main">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251046334">
      <w:bodyDiv w:val="1"/>
      <w:marLeft w:val="0"/>
      <w:marRight w:val="0"/>
      <w:marTop w:val="0"/>
      <w:marBottom w:val="0"/>
      <w:divBdr>
        <w:top w:val="none" w:sz="0" w:space="0" w:color="auto"/>
        <w:left w:val="none" w:sz="0" w:space="0" w:color="auto"/>
        <w:bottom w:val="none" w:sz="0" w:space="0" w:color="auto"/>
        <w:right w:val="none" w:sz="0" w:space="0" w:color="auto"/>
      </w:divBdr>
    </w:div>
    <w:div w:id="1410469053">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20C40-5D2D-4E3E-9341-EEAA0B82E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1221</Words>
  <Characters>6962</Characters>
  <Application>Microsoft Office Word</Application>
  <DocSecurity>4</DocSecurity>
  <Lines>58</Lines>
  <Paragraphs>16</Paragraphs>
  <ScaleCrop>false</ScaleCrop>
  <Company/>
  <LinksUpToDate>false</LinksUpToDate>
  <CharactersWithSpaces>8167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钟嘉泉</dc:creator>
  <cp:lastModifiedBy>ZHONGM</cp:lastModifiedBy>
  <cp:revision>2</cp:revision>
  <dcterms:created xsi:type="dcterms:W3CDTF">2019-07-17T16:06:00Z</dcterms:created>
  <dcterms:modified xsi:type="dcterms:W3CDTF">2019-07-17T16:06:00Z</dcterms:modified>
</cp:coreProperties>
</file>