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
      </w:r>
      <w:r w:rsidRPr="00221340">
        <w:rPr>
          <w:rFonts w:asciiTheme="minorEastAsia" w:eastAsiaTheme="minorEastAsia" w:hAnsiTheme="minorEastAsia"/>
          <w:b/>
          <w:color w:val="000000" w:themeColor="text1"/>
          <w:sz w:val="36"/>
          <w:szCs w:val="36"/>
        </w:rPr>
        <w:t/>
      </w:r>
      <w:r w:rsidRPr="00221340">
        <w:rPr>
          <w:rFonts w:asciiTheme="minorEastAsia" w:eastAsiaTheme="minorEastAsia" w:hAnsiTheme="minorEastAsia" w:hint="eastAsia"/>
          <w:b/>
          <w:color w:val="000000" w:themeColor="text1"/>
          <w:sz w:val="36"/>
          <w:szCs w:val="36"/>
        </w:rPr>
        <w:t/>
      </w:r>
      <w:r w:rsidRPr="00221340">
        <w:rPr>
          <w:rFonts w:asciiTheme="minorEastAsia" w:eastAsiaTheme="minorEastAsia" w:hAnsiTheme="minorEastAsia"/>
          <w:b/>
          <w:color w:val="000000" w:themeColor="text1"/>
          <w:sz w:val="36"/>
          <w:szCs w:val="36"/>
        </w:rPr>
        <w:t/>
      </w:r>
      <w:r w:rsidRPr="00221340">
        <w:rPr>
          <w:rFonts w:asciiTheme="minorEastAsia" w:eastAsiaTheme="minorEastAsia" w:hAnsiTheme="minorEastAsia" w:hint="eastAsia"/>
          <w:b/>
          <w:color w:val="000000" w:themeColor="text1"/>
          <w:sz w:val="36"/>
          <w:szCs w:val="36"/>
        </w:rPr>
        <w:t>光大保德信添天盈月度理财债券型证券投资基金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2019年第2季度报告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2019年6月30日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光大保德信基金管理有限公司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
      </w:r>
      <w:r w:rsidR="00EF56FA" w:rsidRPr="00221340">
        <w:rPr>
          <w:rFonts w:asciiTheme="minorEastAsia" w:eastAsiaTheme="minorEastAsia" w:hAnsiTheme="minorEastAsia" w:hint="eastAsia"/>
          <w:b/>
          <w:color w:val="000000" w:themeColor="text1"/>
          <w:sz w:val="24"/>
        </w:rPr>
        <w:t/>
      </w:r>
      <w:r w:rsidR="00D87D00" w:rsidRPr="00221340">
        <w:rPr>
          <w:rFonts w:asciiTheme="minorEastAsia" w:eastAsiaTheme="minorEastAsia" w:hAnsiTheme="minorEastAsia" w:hint="eastAsia"/>
          <w:b/>
          <w:color w:val="000000" w:themeColor="text1"/>
          <w:sz w:val="24"/>
        </w:rPr>
        <w:t/>
      </w:r>
      <w:r w:rsidR="00EF56FA" w:rsidRPr="00221340">
        <w:rPr>
          <w:rFonts w:asciiTheme="minorEastAsia" w:eastAsiaTheme="minorEastAsia" w:hAnsiTheme="minorEastAsia"/>
          <w:b/>
          <w:color w:val="000000" w:themeColor="text1"/>
          <w:sz w:val="24"/>
        </w:rPr>
        <w:t>二〇一九年七月十八日</w:t>
      </w:r>
    </w:p>
    <w:p w:rsidR="00902E3F" w:rsidRPr="00221340" w:rsidRDefault="00902E3F" w:rsidP="00863749">
      <w:pPr>
        <w:pStyle w:val="1"/>
        <w:spacing w:beforeLines="100" w:afterLines="10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基金托管人中国建设银行股份有限公司根据本基金合同规定，于2019年7月17日复核了本报告中的财务指标、净值表现和投资组合报告等内容，保证复核内容不存在虚假记载、误导性陈述或者重大遗漏。 </w:t>
      </w:r>
    </w:p>
    <w:p>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本报告期自2019年4月1日起至6月30日止。</w:t>
      </w:r>
    </w:p>
    <w:p w:rsidR="00902E3F" w:rsidRPr="00221340" w:rsidRDefault="00902E3F" w:rsidP="00863749">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olor w:val="000000" w:themeColor="text1"/>
                <w:kern w:val="0"/>
                <w:szCs w:val="21"/>
              </w:rPr>
              <w:t>光大保德信添天盈理财债券</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360019</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2012年10月25日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olor w:val="000000" w:themeColor="text1"/>
                <w:kern w:val="0"/>
                <w:szCs w:val="21"/>
              </w:rPr>
              <w:t>30,919,586,237.32</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olor w:val="000000" w:themeColor="text1"/>
                <w:kern w:val="0"/>
                <w:szCs w:val="21"/>
              </w:rPr>
              <w:t>本基金通过投资于银行存款等投资标的，力争获得超过人民币7天通知存款利率（税后）的投资回报。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olor w:val="000000" w:themeColor="text1"/>
                <w:kern w:val="0"/>
                <w:szCs w:val="21"/>
              </w:rPr>
              <w:t>本基金将综合考虑各类投资品种的收益和风险特征，在保证基金资产安全性的基础上力争为投资人创造稳定的收益。同时，本基金将关注宏观经济走势、货币政策和财政政策的变化，结合对货币市场利率变动的预期，对投资组合进行管理。本基金资产可以投资于上市商业银行、大型商业银行、国有商业银行、股份制商业银行、城市商业银行、邮政储蓄银行、农村商业银行、外资银行中具有证券投资基金托管人资格、证券投资基金代销业务资格或合格境外机构投资者托管人资格的商业银行的协议存款。若本基金投资的协议存款中未约定可提前支取并无利息损失的，则该笔存款的到期日不得晚于该运作周期的第一个开放日。本基金在投资银行存款时将对不同银行的银行存款收益率做深入的分析，同时结合各银行的信用等级、存款期限等因素的研究，综合考量整体利率市场环境及其变动趋势，在严格控制风险的前提下决定各银行存款的投资比例。</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olor w:val="000000" w:themeColor="text1"/>
                <w:kern w:val="0"/>
                <w:szCs w:val="21"/>
              </w:rPr>
              <w:t>人民币7天通知存款利率（税后）。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风险收益特征</w:t>
            </w:r>
          </w:p>
        </w:tc>
        <w:tc>
          <w:tcPr>
            <w:tcW w:w="5479" w:type="dxa"/>
            <w:gridSpan w:val="2"/>
            <w:vAlign w:val="center"/>
          </w:tcPr>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hint="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kern w:val="0"/>
                <w:szCs w:val="21"/>
              </w:rPr>
              <w:t>本基金预期收益和预期风险低于普通债券型基金、混合型基金和股票型基金。</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olor w:val="000000" w:themeColor="text1"/>
                <w:kern w:val="0"/>
                <w:szCs w:val="21"/>
              </w:rPr>
              <w:t>光大保德信基金管理有限公司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007B082A"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光大保德信添天盈理财债券A类</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007B082A"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光大保德信添天盈理财债券B类</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007B082A"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360019</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007B082A"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360020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kern w:val="0"/>
                <w:szCs w:val="21"/>
              </w:rPr>
              <w:t/>
            </w:r>
            <w:r w:rsidR="004702DF"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007B082A"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131,625,811.71</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kern w:val="0"/>
                <w:szCs w:val="21"/>
              </w:rPr>
              <w:t/>
            </w:r>
            <w:r w:rsidR="004702DF" w:rsidRPr="00221340">
              <w:rPr>
                <w:rFonts w:asciiTheme="minorEastAsia" w:eastAsiaTheme="minorEastAsia" w:hAnsiTheme="minorEastAsia" w:cs="宋体"/>
                <w:color w:val="000000" w:themeColor="text1"/>
                <w:kern w:val="0"/>
                <w:szCs w:val="21"/>
              </w:rPr>
              <w:t/>
            </w:r>
            <w:r w:rsidR="007B082A"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30,787,960,425.61</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863749">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2019年4月1日-2019年6月30日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光大保德信添天盈理财债券A类</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光大保德信添天盈理财债券B类</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000F5947" w:rsidRPr="00221340">
              <w:rPr>
                <w:rFonts w:asciiTheme="minorEastAsia" w:eastAsiaTheme="minorEastAsia" w:hAnsiTheme="minorEastAsia" w:cs="宋体" w:hint="eastAsia"/>
                <w:color w:val="000000" w:themeColor="text1"/>
                <w:szCs w:val="21"/>
              </w:rPr>
              <w:t/>
            </w:r>
            <w:r w:rsidR="001D75D9"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984,808.88</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000F5947" w:rsidRPr="00221340">
              <w:rPr>
                <w:rFonts w:asciiTheme="minorEastAsia" w:eastAsiaTheme="minorEastAsia" w:hAnsiTheme="minorEastAsia" w:cs="宋体" w:hint="eastAsia"/>
                <w:color w:val="000000" w:themeColor="text1"/>
                <w:szCs w:val="21"/>
              </w:rPr>
              <w:t/>
            </w:r>
            <w:r w:rsidR="001D75D9"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222,318,618.50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000F5947" w:rsidRPr="00221340">
              <w:rPr>
                <w:rFonts w:asciiTheme="minorEastAsia" w:eastAsiaTheme="minorEastAsia" w:hAnsiTheme="minorEastAsia" w:cs="宋体" w:hint="eastAsia"/>
                <w:color w:val="000000" w:themeColor="text1"/>
                <w:szCs w:val="21"/>
              </w:rPr>
              <w:t/>
            </w:r>
            <w:r w:rsidR="001D75D9"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984,808.88</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000F5947" w:rsidRPr="00221340">
              <w:rPr>
                <w:rFonts w:asciiTheme="minorEastAsia" w:eastAsiaTheme="minorEastAsia" w:hAnsiTheme="minorEastAsia" w:cs="宋体" w:hint="eastAsia"/>
                <w:color w:val="000000" w:themeColor="text1"/>
                <w:szCs w:val="21"/>
              </w:rPr>
              <w:t/>
            </w:r>
            <w:r w:rsidR="001D75D9"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222,318,618.50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000F5947" w:rsidRPr="00221340">
              <w:rPr>
                <w:rFonts w:asciiTheme="minorEastAsia" w:eastAsiaTheme="minorEastAsia" w:hAnsiTheme="minorEastAsia" w:cs="宋体" w:hint="eastAsia"/>
                <w:color w:val="000000" w:themeColor="text1"/>
                <w:szCs w:val="21"/>
              </w:rPr>
              <w:t/>
            </w:r>
            <w:r w:rsidR="001D75D9"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131,625,811.71</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000F5947" w:rsidRPr="00221340">
              <w:rPr>
                <w:rFonts w:asciiTheme="minorEastAsia" w:eastAsiaTheme="minorEastAsia" w:hAnsiTheme="minorEastAsia" w:cs="宋体" w:hint="eastAsia"/>
                <w:color w:val="000000" w:themeColor="text1"/>
                <w:szCs w:val="21"/>
              </w:rPr>
              <w:t/>
            </w:r>
            <w:r w:rsidR="001D75D9"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30,787,960,425.61</w:t>
            </w:r>
          </w:p>
        </w:tc>
      </w:tr>
    </w:tbl>
    <w:p>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注：1、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 </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002507FE"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2、本基金无持有人认购或交易基金的各项费用。</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b/>
          <w:color w:val="000000" w:themeColor="text1"/>
        </w:rPr>
        <w:t/>
      </w:r>
      <w:r w:rsidR="0024424F" w:rsidRPr="00221340">
        <w:rPr>
          <w:rFonts w:asciiTheme="minorEastAsia" w:eastAsiaTheme="minorEastAsia" w:hAnsiTheme="minorEastAsia" w:cs="宋体"/>
          <w:b/>
          <w:color w:val="000000" w:themeColor="text1"/>
        </w:rPr>
        <w:t/>
      </w:r>
      <w:r w:rsidR="00063BA4" w:rsidRPr="00221340">
        <w:rPr>
          <w:rFonts w:asciiTheme="minorEastAsia" w:eastAsiaTheme="minorEastAsia" w:hAnsiTheme="minorEastAsia" w:cs="宋体"/>
          <w:b/>
          <w:color w:val="000000" w:themeColor="text1"/>
          <w:kern w:val="0"/>
        </w:rPr>
        <w:t/>
      </w:r>
      <w:r w:rsidR="0024424F" w:rsidRPr="00221340">
        <w:rPr>
          <w:rFonts w:asciiTheme="minorEastAsia" w:eastAsiaTheme="minorEastAsia" w:hAnsiTheme="minorEastAsia" w:cs="宋体"/>
          <w:b/>
          <w:color w:val="000000" w:themeColor="text1"/>
        </w:rPr>
        <w:t/>
      </w:r>
      <w:r w:rsidR="0024424F" w:rsidRPr="00221340">
        <w:rPr>
          <w:rFonts w:asciiTheme="minorEastAsia" w:eastAsiaTheme="minorEastAsia" w:hAnsiTheme="minorEastAsia"/>
          <w:b/>
          <w:color w:val="000000" w:themeColor="text1"/>
        </w:rPr>
        <w:t/>
      </w:r>
      <w:r w:rsidR="0024424F" w:rsidRPr="00221340">
        <w:rPr>
          <w:rFonts w:asciiTheme="minorEastAsia" w:eastAsiaTheme="minorEastAsia" w:hAnsiTheme="minorEastAsia" w:hint="eastAsia"/>
          <w:b/>
          <w:color w:val="000000" w:themeColor="text1"/>
        </w:rPr>
        <w:t/>
      </w:r>
      <w:r w:rsidR="00E63B3D" w:rsidRPr="00221340">
        <w:rPr>
          <w:rFonts w:asciiTheme="minorEastAsia" w:eastAsiaTheme="minorEastAsia" w:hAnsiTheme="minorEastAsia" w:hint="eastAsia"/>
          <w:b/>
          <w:color w:val="000000" w:themeColor="text1"/>
        </w:rPr>
        <w:t/>
      </w:r>
      <w:r w:rsidR="0024424F" w:rsidRPr="00221340">
        <w:rPr>
          <w:rFonts w:asciiTheme="minorEastAsia" w:eastAsiaTheme="minorEastAsia" w:hAnsiTheme="minorEastAsia" w:hint="eastAsia"/>
          <w:b/>
          <w:color w:val="000000" w:themeColor="text1"/>
        </w:rPr>
        <w:t>光大保德信添天盈理财债券A类:</w:t>
      </w:r>
    </w:p>
    <w:tbl>
      <w:tblPr>
        <w:tblStyle w:val="aa"/>
        <w:tblW w:w="0" w:type="auto"/>
        <w:tblLayout w:type="fixed"/>
        <w:tblLook w:val="04A0"/>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r w:rsidR="00636B17" w:rsidRPr="00221340">
              <w:rPr>
                <w:rFonts w:asciiTheme="minorEastAsia" w:eastAsiaTheme="minorEastAsia" w:hAnsiTheme="minorEastAsia" w:cs="Arial" w:hint="eastAsia"/>
                <w:color w:val="000000" w:themeColor="text1"/>
                <w:sz w:val="21"/>
                <w:szCs w:val="21"/>
              </w:rPr>
              <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tc>
          <w:tcPr>
            <w:vAlign w:val="center"/>
          </w:tcPr>
          <w:p>
            <w:pPr>
              <w:jc w:val="left"/>
            </w:pPr>
            <w:r>
              <w:rPr>
                <w:rFonts w:asciiTheme="minorEastAsia" w:eastAsiaTheme="minorEastAsia" w:hAnsiTheme="minorEastAsia"/>
                <w:color w:val="000000" w:themeColor="text1"/>
                <w:sz w:val="21"/>
                <w:szCs w:val="21"/>
              </w:rPr>
              <w:t>过去三个月</w:t>
            </w:r>
          </w:p>
        </w:tc>
        <w:tc>
          <w:tcPr>
            <w:vAlign w:val="center"/>
          </w:tcPr>
          <w:p>
            <w:pPr>
              <w:jc w:val="center"/>
            </w:pPr>
            <w:r>
              <w:rPr>
                <w:rFonts w:asciiTheme="minorEastAsia" w:eastAsiaTheme="minorEastAsia" w:hAnsiTheme="minorEastAsia"/>
                <w:color w:val="000000" w:themeColor="text1"/>
                <w:sz w:val="21"/>
                <w:szCs w:val="21"/>
              </w:rPr>
              <w:t>0.6667%</w:t>
            </w:r>
          </w:p>
        </w:tc>
        <w:tc>
          <w:tcPr>
            <w:vAlign w:val="center"/>
          </w:tcPr>
          <w:p>
            <w:pPr>
              <w:jc w:val="center"/>
            </w:pPr>
            <w:r>
              <w:rPr>
                <w:rFonts w:asciiTheme="minorEastAsia" w:eastAsiaTheme="minorEastAsia" w:hAnsiTheme="minorEastAsia"/>
                <w:color w:val="000000" w:themeColor="text1"/>
                <w:sz w:val="21"/>
                <w:szCs w:val="21"/>
              </w:rPr>
              <w:t>0.0021%</w:t>
            </w:r>
          </w:p>
        </w:tc>
        <w:tc>
          <w:tcPr>
            <w:vAlign w:val="center"/>
          </w:tcPr>
          <w:p>
            <w:pPr>
              <w:jc w:val="center"/>
            </w:pPr>
            <w:r>
              <w:rPr>
                <w:rFonts w:asciiTheme="minorEastAsia" w:eastAsiaTheme="minorEastAsia" w:hAnsiTheme="minorEastAsia"/>
                <w:color w:val="000000" w:themeColor="text1"/>
                <w:sz w:val="21"/>
                <w:szCs w:val="21"/>
              </w:rPr>
              <w:t>0.3413%</w:t>
            </w:r>
          </w:p>
        </w:tc>
        <w:tc>
          <w:tcPr>
            <w:vAlign w:val="center"/>
          </w:tcPr>
          <w:p>
            <w:pPr>
              <w:jc w:val="center"/>
            </w:pPr>
            <w:r>
              <w:rPr>
                <w:rFonts w:asciiTheme="minorEastAsia" w:eastAsiaTheme="minorEastAsia" w:hAnsiTheme="minorEastAsia"/>
                <w:color w:val="000000" w:themeColor="text1"/>
                <w:sz w:val="21"/>
                <w:szCs w:val="21"/>
              </w:rPr>
              <w:t>0.0000%</w:t>
            </w:r>
          </w:p>
        </w:tc>
        <w:tc>
          <w:tcPr>
            <w:vAlign w:val="center"/>
          </w:tcPr>
          <w:p>
            <w:pPr>
              <w:jc w:val="center"/>
            </w:pPr>
            <w:r>
              <w:rPr>
                <w:rFonts w:asciiTheme="minorEastAsia" w:eastAsiaTheme="minorEastAsia" w:hAnsiTheme="minorEastAsia"/>
                <w:color w:val="000000" w:themeColor="text1"/>
                <w:sz w:val="21"/>
                <w:szCs w:val="21"/>
              </w:rPr>
              <w:t>0.3254%</w:t>
            </w:r>
          </w:p>
        </w:tc>
        <w:tc>
          <w:tcPr>
            <w:vAlign w:val="center"/>
          </w:tcPr>
          <w:p>
            <w:pPr>
              <w:jc w:val="center"/>
            </w:pPr>
            <w:r>
              <w:rPr>
                <w:rFonts w:asciiTheme="minorEastAsia" w:eastAsiaTheme="minorEastAsia" w:hAnsiTheme="minorEastAsia"/>
                <w:color w:val="000000" w:themeColor="text1"/>
                <w:sz w:val="21"/>
                <w:szCs w:val="21"/>
              </w:rPr>
              <w:t>0.0021%</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b/>
          <w:color w:val="000000" w:themeColor="text1"/>
        </w:rPr>
        <w:t/>
      </w:r>
      <w:r w:rsidR="000B2044" w:rsidRPr="00221340">
        <w:rPr>
          <w:rFonts w:asciiTheme="minorEastAsia" w:eastAsiaTheme="minorEastAsia" w:hAnsiTheme="minorEastAsia" w:cs="宋体"/>
          <w:b/>
          <w:color w:val="000000" w:themeColor="text1"/>
        </w:rPr>
        <w:t/>
      </w:r>
      <w:r w:rsidR="00063BA4" w:rsidRPr="00221340">
        <w:rPr>
          <w:rFonts w:asciiTheme="minorEastAsia" w:eastAsiaTheme="minorEastAsia" w:hAnsiTheme="minorEastAsia" w:cs="宋体"/>
          <w:b/>
          <w:color w:val="000000" w:themeColor="text1"/>
          <w:kern w:val="0"/>
        </w:rPr>
        <w:t/>
      </w:r>
      <w:r w:rsidR="000B2044" w:rsidRPr="00221340">
        <w:rPr>
          <w:rFonts w:asciiTheme="minorEastAsia" w:eastAsiaTheme="minorEastAsia" w:hAnsiTheme="minorEastAsia" w:cs="宋体"/>
          <w:b/>
          <w:color w:val="000000" w:themeColor="text1"/>
        </w:rPr>
        <w:t/>
      </w:r>
      <w:r w:rsidR="000B2044" w:rsidRPr="00221340">
        <w:rPr>
          <w:rFonts w:asciiTheme="minorEastAsia" w:eastAsiaTheme="minorEastAsia" w:hAnsiTheme="minorEastAsia"/>
          <w:b/>
          <w:color w:val="000000" w:themeColor="text1"/>
        </w:rPr>
        <w:t/>
      </w:r>
      <w:r w:rsidR="000B2044" w:rsidRPr="00221340">
        <w:rPr>
          <w:rFonts w:asciiTheme="minorEastAsia" w:eastAsiaTheme="minorEastAsia" w:hAnsiTheme="minorEastAsia" w:hint="eastAsia"/>
          <w:b/>
          <w:color w:val="000000" w:themeColor="text1"/>
        </w:rPr>
        <w:t/>
      </w:r>
      <w:r w:rsidR="00E63B3D" w:rsidRPr="00221340">
        <w:rPr>
          <w:rFonts w:asciiTheme="minorEastAsia" w:eastAsiaTheme="minorEastAsia" w:hAnsiTheme="minorEastAsia" w:hint="eastAsia"/>
          <w:b/>
          <w:color w:val="000000" w:themeColor="text1"/>
        </w:rPr>
        <w:t/>
      </w:r>
      <w:r w:rsidR="000B2044" w:rsidRPr="00221340">
        <w:rPr>
          <w:rFonts w:asciiTheme="minorEastAsia" w:eastAsiaTheme="minorEastAsia" w:hAnsiTheme="minorEastAsia" w:hint="eastAsia"/>
          <w:b/>
          <w:color w:val="000000" w:themeColor="text1"/>
        </w:rPr>
        <w:t>光大保德信添天盈理财债券B类：</w:t>
      </w:r>
    </w:p>
    <w:tbl>
      <w:tblPr>
        <w:tblStyle w:val="aa"/>
        <w:tblW w:w="0" w:type="auto"/>
        <w:tblLayout w:type="fixed"/>
        <w:tblLook w:val="04A0"/>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r w:rsidRPr="00221340">
              <w:rPr>
                <w:rFonts w:asciiTheme="minorEastAsia" w:eastAsiaTheme="minorEastAsia" w:hAnsiTheme="minorEastAsia" w:cs="Arial" w:hint="eastAsia"/>
                <w:color w:val="000000" w:themeColor="text1"/>
                <w:sz w:val="21"/>
                <w:szCs w:val="21"/>
              </w:rPr>
              <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tc>
          <w:tcPr>
            <w:vAlign w:val="center"/>
          </w:tcPr>
          <w:p>
            <w:pPr>
              <w:jc w:val="left"/>
            </w:pPr>
            <w:r>
              <w:rPr>
                <w:rFonts w:asciiTheme="minorEastAsia" w:eastAsiaTheme="minorEastAsia" w:hAnsiTheme="minorEastAsia"/>
                <w:color w:val="000000" w:themeColor="text1"/>
                <w:sz w:val="21"/>
                <w:szCs w:val="21"/>
              </w:rPr>
              <w:t>过去三个月</w:t>
            </w:r>
          </w:p>
        </w:tc>
        <w:tc>
          <w:tcPr>
            <w:vAlign w:val="center"/>
          </w:tcPr>
          <w:p>
            <w:pPr>
              <w:jc w:val="center"/>
            </w:pPr>
            <w:r>
              <w:rPr>
                <w:rFonts w:asciiTheme="minorEastAsia" w:eastAsiaTheme="minorEastAsia" w:hAnsiTheme="minorEastAsia"/>
                <w:color w:val="000000" w:themeColor="text1"/>
                <w:sz w:val="21"/>
                <w:szCs w:val="21"/>
              </w:rPr>
              <w:t>0.7233%</w:t>
            </w:r>
          </w:p>
        </w:tc>
        <w:tc>
          <w:tcPr>
            <w:vAlign w:val="center"/>
          </w:tcPr>
          <w:p>
            <w:pPr>
              <w:jc w:val="center"/>
            </w:pPr>
            <w:r>
              <w:rPr>
                <w:rFonts w:asciiTheme="minorEastAsia" w:eastAsiaTheme="minorEastAsia" w:hAnsiTheme="minorEastAsia"/>
                <w:color w:val="000000" w:themeColor="text1"/>
                <w:sz w:val="21"/>
                <w:szCs w:val="21"/>
              </w:rPr>
              <w:t>0.0021%</w:t>
            </w:r>
          </w:p>
        </w:tc>
        <w:tc>
          <w:tcPr>
            <w:vAlign w:val="center"/>
          </w:tcPr>
          <w:p>
            <w:pPr>
              <w:jc w:val="center"/>
            </w:pPr>
            <w:r>
              <w:rPr>
                <w:rFonts w:asciiTheme="minorEastAsia" w:eastAsiaTheme="minorEastAsia" w:hAnsiTheme="minorEastAsia"/>
                <w:color w:val="000000" w:themeColor="text1"/>
                <w:sz w:val="21"/>
                <w:szCs w:val="21"/>
              </w:rPr>
              <w:t>0.3413%</w:t>
            </w:r>
          </w:p>
        </w:tc>
        <w:tc>
          <w:tcPr>
            <w:vAlign w:val="center"/>
          </w:tcPr>
          <w:p>
            <w:pPr>
              <w:jc w:val="center"/>
            </w:pPr>
            <w:r>
              <w:rPr>
                <w:rFonts w:asciiTheme="minorEastAsia" w:eastAsiaTheme="minorEastAsia" w:hAnsiTheme="minorEastAsia"/>
                <w:color w:val="000000" w:themeColor="text1"/>
                <w:sz w:val="21"/>
                <w:szCs w:val="21"/>
              </w:rPr>
              <w:t>0.0000%</w:t>
            </w:r>
          </w:p>
        </w:tc>
        <w:tc>
          <w:tcPr>
            <w:vAlign w:val="center"/>
          </w:tcPr>
          <w:p>
            <w:pPr>
              <w:jc w:val="center"/>
            </w:pPr>
            <w:r>
              <w:rPr>
                <w:rFonts w:asciiTheme="minorEastAsia" w:eastAsiaTheme="minorEastAsia" w:hAnsiTheme="minorEastAsia"/>
                <w:color w:val="000000" w:themeColor="text1"/>
                <w:sz w:val="21"/>
                <w:szCs w:val="21"/>
              </w:rPr>
              <w:t>0.3820%</w:t>
            </w:r>
          </w:p>
        </w:tc>
        <w:tc>
          <w:tcPr>
            <w:vAlign w:val="center"/>
          </w:tcPr>
          <w:p>
            <w:pPr>
              <w:jc w:val="center"/>
            </w:pPr>
            <w:r>
              <w:rPr>
                <w:rFonts w:asciiTheme="minorEastAsia" w:eastAsiaTheme="minorEastAsia" w:hAnsiTheme="minorEastAsia"/>
                <w:color w:val="000000" w:themeColor="text1"/>
                <w:sz w:val="21"/>
                <w:szCs w:val="21"/>
              </w:rPr>
              <w:t>0.0021%</w:t>
            </w:r>
          </w:p>
        </w:tc>
      </w:tr>
    </w:tbl>
    <w:p>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注：B类基金份额于2013年4月25日全部赎回。</w:t>
      </w:r>
    </w:p>
    <w:p w:rsidR="000B2044" w:rsidRPr="00221340" w:rsidRDefault="000B2044"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
      </w:r>
      <w:r w:rsidR="00327FB0"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B类基金份额于2013年10月23日重新成立。</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lastRenderedPageBreak/>
        <w:t>3.2.2</w:t>
      </w:r>
      <w:r w:rsidR="00582A58" w:rsidRPr="00221340">
        <w:rPr>
          <w:rStyle w:val="af"/>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光大保德信添天盈月度理财债券型证券投资基金</w:t>
      </w:r>
    </w:p>
    <w:p w:rsidR="00E63B3D" w:rsidRPr="00221340" w:rsidRDefault="00E63B3D" w:rsidP="009A755D">
      <w:pPr>
        <w:pStyle w:val="a6"/>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2012年10月25日</w:t>
      </w:r>
      <w:r w:rsidRPr="00221340">
        <w:rPr>
          <w:rFonts w:asciiTheme="minorEastAsia" w:eastAsiaTheme="minorEastAsia" w:hAnsiTheme="minorEastAsia" w:hint="eastAsia"/>
          <w:color w:val="000000" w:themeColor="text1"/>
          <w:kern w:val="0"/>
          <w:szCs w:val="21"/>
        </w:rPr>
        <w:t>至2019年6月30日)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s="宋体" w:hint="eastAsia"/>
          <w:color w:val="000000" w:themeColor="text1"/>
          <w:kern w:val="0"/>
          <w:szCs w:val="21"/>
        </w:rPr>
        <w:t/>
      </w:r>
      <w:r w:rsidRPr="00221340">
        <w:rPr>
          <w:rFonts w:asciiTheme="minorEastAsia" w:eastAsiaTheme="minorEastAsia" w:hAnsiTheme="minorEastAsia"/>
          <w:color w:val="000000" w:themeColor="text1"/>
          <w:kern w:val="0"/>
          <w:szCs w:val="21"/>
        </w:rPr>
        <w:t>光大保德信添天盈理财债券A类</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cs="宋体" w:hint="eastAsia"/>
          <w:color w:val="000000" w:themeColor="text1"/>
          <w:kern w:val="0"/>
          <w:szCs w:val="21"/>
        </w:rPr>
        <w:t/>
      </w:r>
      <w:r w:rsidRPr="00221340">
        <w:rPr>
          <w:rFonts w:asciiTheme="minorEastAsia" w:eastAsiaTheme="minorEastAsia" w:hAnsiTheme="minorEastAsia"/>
          <w:color w:val="000000" w:themeColor="text1"/>
          <w:kern w:val="0"/>
          <w:szCs w:val="21"/>
        </w:rPr>
        <w:t>光大保德信添天盈理财债券B类</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lastRenderedPageBreak/>
        <w:drawing>
          <wp:inline distT="0" distB="0" distL="0" distR="0">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5772150" cy="3381375"/>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注：B类基金份额于2013年4月25日全部赎回。</w:t>
      </w:r>
    </w:p>
    <w:p w:rsidR="00902E3F" w:rsidRPr="00221340" w:rsidRDefault="005F668B"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00C4213A"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B类基金份额于2013年10月23日重新成立。</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注：根据基金合同的规定，本基金建仓期为2012年10月25日至2013年4月24日。建仓期结束时本基金各项资产配置比例符合本基金合同规定的比例限制及投资组合的比例范围。</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863749">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tc>
          <w:tcPr>
            <w:vAlign w:val="center"/>
          </w:tcPr>
          <w:p>
            <w:pPr>
              <w:jc w:val="center"/>
            </w:pPr>
            <w:r>
              <w:rPr>
                <w:rFonts w:asciiTheme="minorEastAsia" w:eastAsiaTheme="minorEastAsia" w:hAnsiTheme="minorEastAsia"/>
                <w:color w:val="000000" w:themeColor="text1"/>
                <w:szCs w:val="21"/>
              </w:rPr>
              <w:t>沈荣</w:t>
            </w:r>
          </w:p>
        </w:tc>
        <w:tc>
          <w:tcPr>
            <w:vAlign w:val="center"/>
          </w:tcPr>
          <w:p>
            <w:pPr>
              <w:jc w:val="center"/>
            </w:pPr>
            <w:r>
              <w:rPr>
                <w:rFonts w:asciiTheme="minorEastAsia" w:eastAsiaTheme="minorEastAsia" w:hAnsiTheme="minorEastAsia"/>
                <w:color w:val="000000" w:themeColor="text1"/>
                <w:szCs w:val="21"/>
              </w:rPr>
              <w:t>基金经理</w:t>
            </w:r>
          </w:p>
        </w:tc>
        <w:tc>
          <w:tcPr>
            <w:vAlign w:val="center"/>
          </w:tcPr>
          <w:p>
            <w:pPr>
              <w:jc w:val="center"/>
            </w:pPr>
            <w:r>
              <w:rPr>
                <w:rFonts w:asciiTheme="minorEastAsia" w:eastAsiaTheme="minorEastAsia" w:hAnsiTheme="minorEastAsia"/>
                <w:color w:val="000000" w:themeColor="text1"/>
                <w:szCs w:val="21"/>
              </w:rPr>
              <w:t>2018-01-16</w:t>
            </w:r>
          </w:p>
        </w:tc>
        <w:tc>
          <w:tcPr>
            <w:vAlign w:val="center"/>
          </w:tcPr>
          <w:p>
            <w:pPr>
              <w:jc w:val="center"/>
            </w:pPr>
            <w:r>
              <w:rPr>
                <w:rFonts w:asciiTheme="minorEastAsia" w:eastAsiaTheme="minorEastAsia" w:hAnsiTheme="minorEastAsia"/>
                <w:color w:val="000000" w:themeColor="text1"/>
                <w:szCs w:val="21"/>
              </w:rPr>
              <w:t>-</w:t>
            </w:r>
          </w:p>
        </w:tc>
        <w:tc>
          <w:tcPr>
            <w:vAlign w:val="center"/>
          </w:tcPr>
          <w:p>
            <w:pPr>
              <w:jc w:val="center"/>
            </w:pPr>
            <w:r>
              <w:rPr>
                <w:rFonts w:asciiTheme="minorEastAsia" w:eastAsiaTheme="minorEastAsia" w:hAnsiTheme="minorEastAsia"/>
                <w:color w:val="000000" w:themeColor="text1"/>
                <w:szCs w:val="21"/>
              </w:rPr>
              <w:t>7年</w:t>
            </w:r>
          </w:p>
        </w:tc>
        <w:tc>
          <w:tcPr>
            <w:vAlign w:val="center"/>
          </w:tcPr>
          <w:p>
            <w:pPr>
              <w:jc w:val="both"/>
            </w:pPr>
            <w:r>
              <w:rPr>
                <w:rFonts w:asciiTheme="minorEastAsia" w:eastAsiaTheme="minorEastAsia" w:hAnsiTheme="minorEastAsia"/>
                <w:color w:val="000000" w:themeColor="text1"/>
                <w:szCs w:val="21"/>
              </w:rPr>
              <w:t>沈荣先生，2007年获得上海交通大学工学学士学位，2011年获得上海财经大学金融学硕士学位。2007年7月至2008年9月在上海电器科学研究所（集团）有限公司任职CAD开发工程师；2011年6月至2012年3月在国金证券股份有限公司任职行业研究员；2012年3月至2014年4月在宏源证券股份有限公司任职行业分析师、固定收益分析师；2014年4月至2017年6月在平安养老保险股份有限公司任职债券助理研究经理、投资经理；2017年7月加入光大保德信基金管理有限公司，担任固定收益部基金经理。现任光大保德信货币市场基金、光大保德信鼎鑫灵活配置混合型证券投资基金基金经理、光大保德信添天盈月度理财债券型证券投资基金基金经理、光大保德信尊盈半年定期开放债券型发起式证券投资基金基金经理、光大保德信多策略智选18个月定期开放混合型证券投资基金基金经理、光大保德信睿鑫灵活配置混合型证券投资基金基金经理、光大保德信中高等级债券型证券投资基金基金经理、光大保德信尊富18个月定期开放债券型证券投资基金基金经理、光大保德信超短债债券型证券投资基金基金经理、光大保德信晟利债券型证券投资基金基金经理、光大保德信安泽债券型证券投资基金基金经理。</w:t>
            </w:r>
          </w:p>
        </w:tc>
      </w:tr>
    </w:tbl>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注：对基金的首任基金经理，其任职日期指基金合同生效日，离任日期指公司做出决定之日；非首任基金经理，其任职日期和离任日期均指公司做出决定之日。</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 xml:space="preserve">本报告期内，本基金管理人严格遵守《证券投资基金法》及其他相关法律法规、证监会规定和基金合同的约定，本着诚实信用、勤勉尽责的原则管理和运用基金资产，在严格控制风险的前提下，为基金份额持有人谋求最大利益。报告期内未有损害基金份额持有人利益的行为。   </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为充分保护持有人利益，确保本基金管理人旗下各基金在获得投研团队、交易团队支持等各方面得到公平对待，本基金管理人从投研制度设计、组织结构设计、工作流程制定、技术系统建设和完善、公平交易执行效果评估等各方面出发，建设形成了有效的公平交易执行体系。本报告期内，各项公平交易制度流程均得到良好地贯彻执行，未发现存在违反公平交易原则的现象。</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本报告期内未发现本基金存在异常交易行为。本基金与其他投资组合未发生交易所公开竞价同日反向交易且成交较少的单边交易量超过该证券当日成交量5%的交易。</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宏观方面，二季度经济增长有所回落，通货膨胀达到高位，略有类滞涨的特征。一季度政治局会议态度有所收敛，重提房住不炒。二季度的金融数据走弱，社融和信贷都略微低于预期，反映出信用派生的过程逐渐减弱。二季度的经济数据也有所下行，主要是工业增加值同比增速下行比较明显。房地产相关数据也有一定下行，首先是房地产销售趋于回落，同时融资政策有所收紧，房企资金来源边际弱化，但在施工的支撑下房地产投资还是保持了上行。另外，基建投资比较稳定，制造业投资继续下滑，总体投资水平略有走弱。消费也呈现出偏下行的特征。受到基数驱动，CPI二季度达到高位，但后期会有所回落。从中微观数据来看，经济也呈现出略偏走弱的状态，发电耗煤增速不断下行，重卡、挖掘机等工程机械销售增速也有所回落，总体经济下行态势较为明显。</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债券市场方面，由于一季度信用扩张较为明显，政策预期有所收缩，利率债收益率有所反弹，信用债收益率则有所震荡。具体而言，短端1年国债和1年国开分别上行21BP和17BP。受到宏观经济暂稳的影响，长端小幅上行，10Y国债和10Y国开分别上行15BP和3BP。信用债表现的略好于利率债，1Y的AAA信用债下行1BP。稍长久期的信用债表现稍弱，3Y的AAA信用债上行6BP。信用利差在较低水平上继续压缩，中等评级的表现更好一些，3Y的AA信用债下行3BP。我们认为，二季度的债券行情主要反映三点特征：一是经济一季度改善政策开始预调微调。二是宏观环境尚未完全企稳，后续长债利率仍有机会。三是信用条件放松，信用利差继续压缩。</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按照契约要求，添天盈基金主要投资于银行协议存款、存单和银行间质押式回购，我们通过扩大交易对手范围、多方询价来提高组合的收益。</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bookmarkStart w:id="0" w:name="_Toc255486598"/>
      <w:bookmarkStart w:id="1" w:name="_Toc245193825"/>
      <w:r w:rsidRPr="00221340">
        <w:rPr>
          <w:rFonts w:asciiTheme="minorEastAsia" w:eastAsiaTheme="minorEastAsia" w:hAnsiTheme="minorEastAsia"/>
          <w:color w:val="000000" w:themeColor="text1"/>
          <w:szCs w:val="21"/>
        </w:rPr>
        <w:t>本报告期内光大保德信添天盈理财债券A份额净值收益率为0.6667%，业绩比较基准收益率0.3413%；光大保德信添天盈理财债券B份额净值收益率为0.7233%，业绩比较基准收益率为0.3413%。</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
      </w:r>
      <w:r w:rsidRPr="00221340">
        <w:rPr>
          <w:rFonts w:asciiTheme="minorEastAsia" w:eastAsiaTheme="minorEastAsia" w:hAnsiTheme="minorEastAsia"/>
          <w:color w:val="000000" w:themeColor="text1"/>
          <w:sz w:val="24"/>
        </w:rPr>
        <w:t/>
      </w:r>
      <w:r w:rsidRPr="00221340">
        <w:rPr>
          <w:rFonts w:asciiTheme="minorEastAsia" w:eastAsiaTheme="minorEastAsia" w:hAnsiTheme="minorEastAsia"/>
          <w:color w:val="000000" w:themeColor="text1"/>
          <w:kern w:val="0"/>
          <w:sz w:val="24"/>
        </w:rPr>
        <w:t>本报告期内未发生连续二十个工作日出现基金份额持有人数量不满二百人或者基金资产净值低于五千万元的情形。</w:t>
      </w:r>
    </w:p>
    <w:p w:rsidR="00902E3F" w:rsidRPr="00221340" w:rsidRDefault="00902E3F" w:rsidP="00863749">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28,754,546,054.94</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79.98</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color w:val="000000" w:themeColor="text1"/>
                <w:szCs w:val="21"/>
              </w:rPr>
              <w:lastRenderedPageBreak/>
              <w:t/>
            </w:r>
            <w:r w:rsidRPr="00221340">
              <w:rPr>
                <w:rFonts w:asciiTheme="minorEastAsia" w:eastAsiaTheme="minorEastAsia" w:hAnsiTheme="minorEastAsia" w:cs="宋体" w:hint="eastAsia"/>
                <w:color w:val="000000" w:themeColor="text1"/>
                <w:szCs w:val="21"/>
              </w:rPr>
              <w:t>28,754,546,054.94</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lastRenderedPageBreak/>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color w:val="000000" w:themeColor="text1"/>
                <w:szCs w:val="21"/>
              </w:rPr>
              <w:lastRenderedPageBreak/>
              <w:t/>
            </w:r>
            <w:r w:rsidRPr="00221340">
              <w:rPr>
                <w:rFonts w:asciiTheme="minorEastAsia" w:eastAsiaTheme="minorEastAsia" w:hAnsiTheme="minorEastAsia" w:cs="宋体" w:hint="eastAsia"/>
                <w:color w:val="000000" w:themeColor="text1"/>
                <w:szCs w:val="21"/>
              </w:rPr>
              <w:t>79.98</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648,201,492.30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1.80</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6,500,755,543.73</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18.08</w:t>
            </w:r>
          </w:p>
        </w:tc>
      </w:tr>
      <w:tr w:rsidR="00221340" w:rsidRPr="00221340" w:rsidTr="00DF0A2B">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olor w:val="000000" w:themeColor="text1"/>
                <w:szCs w:val="21"/>
              </w:rPr>
              <w:lastRenderedPageBreak/>
              <w:t/>
            </w:r>
            <w:r w:rsidRPr="00221340">
              <w:rPr>
                <w:rFonts w:asciiTheme="minorEastAsia" w:eastAsiaTheme="minorEastAsia" w:hAnsiTheme="minorEastAsia" w:hint="eastAsia"/>
                <w:color w:val="000000" w:themeColor="text1"/>
                <w:szCs w:val="21"/>
              </w:rPr>
              <w:t/>
            </w:r>
            <w:r w:rsidR="00B4354A"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lastRenderedPageBreak/>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color w:val="000000" w:themeColor="text1"/>
                <w:szCs w:val="21"/>
              </w:rPr>
              <w:lastRenderedPageBreak/>
              <w:t/>
            </w:r>
            <w:r w:rsidRPr="00221340">
              <w:rPr>
                <w:rFonts w:asciiTheme="minorEastAsia" w:eastAsiaTheme="minorEastAsia" w:hAnsiTheme="minorEastAsia" w:cs="宋体" w:hint="eastAsia"/>
                <w:color w:val="000000" w:themeColor="text1"/>
                <w:szCs w:val="21"/>
              </w:rPr>
              <w:t>47,650,350.84</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lastRenderedPageBreak/>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color w:val="000000" w:themeColor="text1"/>
                <w:szCs w:val="21"/>
              </w:rPr>
              <w:lastRenderedPageBreak/>
              <w:t/>
            </w:r>
            <w:r w:rsidRPr="00221340">
              <w:rPr>
                <w:rFonts w:asciiTheme="minorEastAsia" w:eastAsiaTheme="minorEastAsia" w:hAnsiTheme="minorEastAsia" w:cs="宋体" w:hint="eastAsia"/>
                <w:color w:val="000000" w:themeColor="text1"/>
                <w:szCs w:val="21"/>
              </w:rPr>
              <w:t>0.13</w:t>
            </w:r>
          </w:p>
        </w:tc>
      </w:tr>
      <w:tr w:rsidR="00221340" w:rsidRPr="00221340" w:rsidTr="00DF0A2B">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lastRenderedPageBreak/>
              <w:t/>
            </w:r>
            <w:r w:rsidRPr="00221340">
              <w:rPr>
                <w:rFonts w:asciiTheme="minorEastAsia" w:eastAsiaTheme="minorEastAsia" w:hAnsiTheme="minorEastAsia" w:hint="eastAsia"/>
                <w:color w:val="000000" w:themeColor="text1"/>
                <w:szCs w:val="21"/>
              </w:rPr>
              <w:t/>
            </w:r>
            <w:r w:rsidR="00B4354A"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35,951,153,441.81</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12.24</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5,020,791,755.81</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16.24</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
      </w:r>
      <w:r w:rsidRPr="00221340">
        <w:rPr>
          <w:rFonts w:asciiTheme="minorEastAsia" w:eastAsiaTheme="minorEastAsia" w:hAnsiTheme="minorEastAsia"/>
          <w:color w:val="000000" w:themeColor="text1"/>
          <w:sz w:val="24"/>
        </w:rPr>
        <w:t/>
      </w:r>
      <w:r w:rsidRPr="00221340">
        <w:rPr>
          <w:rFonts w:asciiTheme="minorEastAsia" w:eastAsiaTheme="minorEastAsia" w:hAnsiTheme="minorEastAsia" w:hint="eastAsia"/>
          <w:color w:val="000000" w:themeColor="text1"/>
          <w:sz w:val="24"/>
        </w:rPr>
        <w:t>注：上表中，报告期内债券回购融资余额占基金资产净值的比例为报告期内每个交易日融资余额占资产净值比例的简单平均值。</w:t>
      </w:r>
    </w:p>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0D6294"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w:r>
      <w:r w:rsidR="004771B9" w:rsidRPr="00221340">
        <w:rPr>
          <w:rFonts w:asciiTheme="minorEastAsia" w:eastAsiaTheme="minorEastAsia" w:hAnsiTheme="minorEastAsia" w:cs="Arial" w:hint="eastAsia"/>
          <w:b/>
          <w:color w:val="000000" w:themeColor="text1"/>
          <w:kern w:val="0"/>
          <w:sz w:val="24"/>
        </w:rPr>
        <w:t>债券正回购的资金余额超过基金资产净值的</w:t>
      </w:r>
      <w:r w:rsidR="004771B9" w:rsidRPr="00221340">
        <w:rPr>
          <w:rFonts w:asciiTheme="minorEastAsia" w:eastAsiaTheme="minorEastAsia" w:hAnsiTheme="minorEastAsia" w:cs="Arial"/>
          <w:b/>
          <w:color w:val="000000" w:themeColor="text1"/>
          <w:kern w:val="0"/>
          <w:sz w:val="24"/>
        </w:rPr>
        <w:t>20</w:t>
      </w:r>
      <w:r w:rsidR="004771B9"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 w:val="24"/>
        </w:rPr>
        <w:t>本报告期内本货币市场基金债券正回购的资金余额未超过基金资产净值的20%。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Arial" w:hint="eastAsia"/>
                <w:color w:val="000000" w:themeColor="text1"/>
                <w:sz w:val="24"/>
              </w:rPr>
              <w:t/>
            </w:r>
            <w:r w:rsidRPr="003025FA">
              <w:rPr>
                <w:rFonts w:asciiTheme="minorEastAsia" w:eastAsiaTheme="minorEastAsia" w:hAnsiTheme="minorEastAsia" w:cs="Arial"/>
                <w:color w:val="000000" w:themeColor="text1"/>
                <w:sz w:val="24"/>
              </w:rPr>
              <w:t/>
            </w:r>
            <w:r w:rsidRPr="003025FA">
              <w:rPr>
                <w:rFonts w:asciiTheme="minorEastAsia" w:eastAsiaTheme="minorEastAsia" w:hAnsiTheme="minorEastAsia" w:cs="宋体" w:hint="eastAsia"/>
                <w:color w:val="000000" w:themeColor="text1"/>
                <w:sz w:val="24"/>
              </w:rPr>
              <w:t>117</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Arial" w:hint="eastAsia"/>
                <w:color w:val="000000" w:themeColor="text1"/>
                <w:sz w:val="24"/>
              </w:rPr>
              <w:t/>
            </w:r>
            <w:r w:rsidRPr="003025FA">
              <w:rPr>
                <w:rFonts w:asciiTheme="minorEastAsia" w:eastAsiaTheme="minorEastAsia" w:hAnsiTheme="minorEastAsia" w:cs="Arial"/>
                <w:color w:val="000000" w:themeColor="text1"/>
                <w:sz w:val="24"/>
              </w:rPr>
              <w:t/>
            </w:r>
            <w:r w:rsidRPr="003025FA">
              <w:rPr>
                <w:rFonts w:asciiTheme="minorEastAsia" w:eastAsiaTheme="minorEastAsia" w:hAnsiTheme="minorEastAsia" w:hint="eastAsia"/>
                <w:color w:val="000000" w:themeColor="text1"/>
                <w:sz w:val="24"/>
              </w:rPr>
              <w:t>119</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Arial" w:hint="eastAsia"/>
                <w:color w:val="000000" w:themeColor="text1"/>
                <w:sz w:val="24"/>
              </w:rPr>
              <w:t/>
            </w:r>
            <w:r w:rsidRPr="003025FA">
              <w:rPr>
                <w:rFonts w:asciiTheme="minorEastAsia" w:eastAsiaTheme="minorEastAsia" w:hAnsiTheme="minorEastAsia" w:cs="Arial"/>
                <w:color w:val="000000" w:themeColor="text1"/>
                <w:sz w:val="24"/>
              </w:rPr>
              <w:t/>
            </w:r>
            <w:r w:rsidRPr="003025FA">
              <w:rPr>
                <w:rFonts w:asciiTheme="minorEastAsia" w:eastAsiaTheme="minorEastAsia" w:hAnsiTheme="minorEastAsia" w:hint="eastAsia"/>
                <w:color w:val="000000" w:themeColor="text1"/>
                <w:sz w:val="24"/>
              </w:rPr>
              <w:t>78</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lastRenderedPageBreak/>
        <w:t/>
      </w:r>
      <w:r w:rsidRPr="003025FA">
        <w:rPr>
          <w:rFonts w:asciiTheme="minorEastAsia" w:eastAsiaTheme="minorEastAsia" w:hAnsiTheme="minorEastAsia"/>
          <w:color w:val="000000" w:themeColor="text1"/>
          <w:sz w:val="24"/>
        </w:rPr>
        <w:t/>
      </w:r>
      <w:r w:rsidRPr="00B467A4">
        <w:rPr>
          <w:rFonts w:asciiTheme="minorEastAsia" w:eastAsiaTheme="minorEastAsia" w:hAnsiTheme="minorEastAsia"/>
          <w:color w:val="000000" w:themeColor="text1"/>
          <w:sz w:val="24"/>
        </w:rPr>
        <w:t/>
      </w:r>
      <w:r w:rsidRPr="003025FA">
        <w:rPr>
          <w:rFonts w:asciiTheme="minorEastAsia" w:eastAsiaTheme="minorEastAsia" w:hAnsiTheme="minorEastAsia" w:hint="eastAsia"/>
          <w:color w:val="000000" w:themeColor="text1"/>
          <w:sz w:val="24"/>
        </w:rPr>
        <w:t>报告期内投资组合平均剩余期限未有违规超过120天的情况。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4.20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16.24</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14.56</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49.69</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hint="eastAsia"/>
                <w:color w:val="000000" w:themeColor="text1"/>
                <w:sz w:val="24"/>
              </w:rPr>
              <w:t/>
            </w: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lastRenderedPageBreak/>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lastRenderedPageBreak/>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color w:val="000000" w:themeColor="text1"/>
                <w:sz w:val="24"/>
              </w:rPr>
              <w:lastRenderedPageBreak/>
              <w:t/>
            </w: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lastRenderedPageBreak/>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color w:val="000000" w:themeColor="text1"/>
                <w:sz w:val="24"/>
              </w:rPr>
              <w:lastRenderedPageBreak/>
              <w:t/>
            </w: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lastRenderedPageBreak/>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B467A4">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6.11</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B467A4">
              <w:rPr>
                <w:rFonts w:asciiTheme="minorEastAsia" w:eastAsiaTheme="minorEastAsia" w:hAnsiTheme="minorEastAsia"/>
                <w:color w:val="000000" w:themeColor="text1"/>
                <w:sz w:val="24"/>
              </w:rPr>
              <w:t/>
            </w: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B467A4">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B467A4">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B467A4">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41.56</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B467A4">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B467A4">
              <w:rPr>
                <w:rFonts w:asciiTheme="minorEastAsia" w:eastAsiaTheme="minorEastAsia" w:hAnsiTheme="minorEastAsia"/>
                <w:color w:val="000000" w:themeColor="text1"/>
                <w:sz w:val="24"/>
              </w:rPr>
              <w:t/>
            </w: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B467A4">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116.12</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16.24</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
      </w:r>
      <w:r w:rsidRPr="003025FA">
        <w:rPr>
          <w:rFonts w:asciiTheme="minorEastAsia" w:eastAsiaTheme="minorEastAsia" w:hAnsiTheme="minorEastAsia"/>
          <w:color w:val="000000" w:themeColor="text1"/>
          <w:sz w:val="24"/>
        </w:rPr>
        <w:t/>
      </w:r>
      <w:r w:rsidRPr="00B467A4">
        <w:rPr>
          <w:rFonts w:asciiTheme="minorEastAsia" w:eastAsiaTheme="minorEastAsia" w:hAnsiTheme="minorEastAsia"/>
          <w:color w:val="000000" w:themeColor="text1"/>
          <w:sz w:val="24"/>
        </w:rPr>
        <w:t/>
      </w:r>
      <w:r w:rsidRPr="003025FA">
        <w:rPr>
          <w:rFonts w:asciiTheme="minorEastAsia" w:eastAsiaTheme="minorEastAsia" w:hAnsiTheme="minorEastAsia" w:hint="eastAsia"/>
          <w:color w:val="000000" w:themeColor="text1"/>
          <w:sz w:val="24"/>
        </w:rPr>
        <w:t>本基金本报告期内未出现投资组合平均剩余存续期超过240天的情况。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a"/>
        <w:tblW w:w="9307" w:type="dxa"/>
        <w:tblInd w:w="15" w:type="dxa"/>
        <w:tblLayout w:type="fixed"/>
        <w:tblLook w:val="04A0"/>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
            </w:r>
            <w:r w:rsidRPr="00B1623D">
              <w:rPr>
                <w:rFonts w:asciiTheme="minorEastAsia" w:eastAsiaTheme="minorEastAsia" w:hAnsiTheme="minorEastAsia" w:cs="宋体"/>
                <w:color w:val="000000" w:themeColor="text1"/>
                <w:sz w:val="24"/>
              </w:rPr>
              <w:t/>
            </w:r>
            <w:r w:rsidRPr="00B1623D">
              <w:rPr>
                <w:rFonts w:asciiTheme="minorEastAsia" w:eastAsiaTheme="minorEastAsia" w:hAnsiTheme="minorEastAsia" w:cs="宋体" w:hint="eastAsia"/>
                <w:color w:val="000000" w:themeColor="text1"/>
                <w:sz w:val="24"/>
              </w:rPr>
              <w:t>28,754,546,054.94</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
            </w:r>
            <w:r w:rsidRPr="00B1623D">
              <w:rPr>
                <w:rFonts w:asciiTheme="minorEastAsia" w:eastAsiaTheme="minorEastAsia" w:hAnsiTheme="minorEastAsia" w:cs="宋体"/>
                <w:color w:val="000000" w:themeColor="text1"/>
                <w:sz w:val="24"/>
              </w:rPr>
              <w:t/>
            </w:r>
            <w:r w:rsidRPr="00B1623D">
              <w:rPr>
                <w:rFonts w:asciiTheme="minorEastAsia" w:eastAsiaTheme="minorEastAsia" w:hAnsiTheme="minorEastAsia" w:cs="宋体" w:hint="eastAsia"/>
                <w:color w:val="000000" w:themeColor="text1"/>
                <w:sz w:val="24"/>
              </w:rPr>
              <w:t>93.00</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
            </w:r>
            <w:r>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
            </w:r>
            <w:r>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28,754,546,054.94</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93.00</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
            </w:r>
            <w:r>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a"/>
        <w:tblW w:w="0" w:type="auto"/>
        <w:tblInd w:w="15" w:type="dxa"/>
        <w:tblLook w:val="04A0"/>
      </w:tblPr>
      <w:tblGrid>
        <w:gridCol w:w="1422"/>
        <w:gridCol w:w="1423"/>
        <w:gridCol w:w="1423"/>
        <w:gridCol w:w="1573"/>
        <w:gridCol w:w="1723"/>
        <w:gridCol w:w="1723"/>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tc>
          <w:tcPr>
            <w:vAlign w:val="center"/>
          </w:tcPr>
          <w:p>
            <w:pPr>
              <w:jc w:val="center"/>
            </w:pPr>
            <w:r>
              <w:rPr>
                <w:rFonts w:asciiTheme="minorEastAsia" w:eastAsiaTheme="minorEastAsia" w:hAnsiTheme="minorEastAsia"/>
                <w:color w:val="000000" w:themeColor="text1"/>
                <w:sz w:val="24"/>
              </w:rPr>
              <w:t>1</w:t>
            </w:r>
          </w:p>
        </w:tc>
        <w:tc>
          <w:tcPr>
            <w:vAlign w:val="center"/>
          </w:tcPr>
          <w:p>
            <w:pPr>
              <w:jc w:val="center"/>
            </w:pPr>
            <w:r>
              <w:rPr>
                <w:rFonts w:asciiTheme="minorEastAsia" w:eastAsiaTheme="minorEastAsia" w:hAnsiTheme="minorEastAsia"/>
                <w:color w:val="000000" w:themeColor="text1"/>
                <w:sz w:val="24"/>
              </w:rPr>
              <w:t>111814275</w:t>
            </w:r>
          </w:p>
        </w:tc>
        <w:tc>
          <w:tcPr>
            <w:vAlign w:val="center"/>
          </w:tcPr>
          <w:p>
            <w:pPr>
              <w:jc w:val="center"/>
            </w:pPr>
            <w:r>
              <w:rPr>
                <w:rFonts w:asciiTheme="minorEastAsia" w:eastAsiaTheme="minorEastAsia" w:hAnsiTheme="minorEastAsia"/>
                <w:color w:val="000000" w:themeColor="text1"/>
                <w:sz w:val="24"/>
              </w:rPr>
              <w:t>18江苏银行CD275</w:t>
            </w:r>
          </w:p>
        </w:tc>
        <w:tc>
          <w:tcPr>
            <w:vAlign w:val="center"/>
          </w:tcPr>
          <w:p>
            <w:pPr>
              <w:jc w:val="right"/>
            </w:pPr>
            <w:r>
              <w:rPr>
                <w:rFonts w:asciiTheme="minorEastAsia" w:eastAsiaTheme="minorEastAsia" w:hAnsiTheme="minorEastAsia"/>
                <w:color w:val="000000" w:themeColor="text1"/>
                <w:sz w:val="24"/>
              </w:rPr>
              <w:t>6,000,000</w:t>
            </w:r>
          </w:p>
        </w:tc>
        <w:tc>
          <w:tcPr>
            <w:vAlign w:val="center"/>
          </w:tcPr>
          <w:p>
            <w:pPr>
              <w:jc w:val="right"/>
            </w:pPr>
            <w:r>
              <w:rPr>
                <w:rFonts w:asciiTheme="minorEastAsia" w:eastAsiaTheme="minorEastAsia" w:hAnsiTheme="minorEastAsia"/>
                <w:color w:val="000000" w:themeColor="text1"/>
                <w:sz w:val="24"/>
              </w:rPr>
              <w:t>596,260,320.93</w:t>
            </w:r>
          </w:p>
        </w:tc>
        <w:tc>
          <w:tcPr>
            <w:vAlign w:val="center"/>
          </w:tcPr>
          <w:p>
            <w:pPr>
              <w:jc w:val="right"/>
            </w:pPr>
            <w:r>
              <w:rPr>
                <w:rFonts w:asciiTheme="minorEastAsia" w:eastAsiaTheme="minorEastAsia" w:hAnsiTheme="minorEastAsia"/>
                <w:color w:val="000000" w:themeColor="text1"/>
                <w:sz w:val="24"/>
              </w:rPr>
              <w:t>1.93</w:t>
            </w:r>
          </w:p>
        </w:tc>
      </w:tr>
      <w:tr>
        <w:tc>
          <w:tcPr>
            <w:vAlign w:val="center"/>
          </w:tcPr>
          <w:p>
            <w:pPr>
              <w:jc w:val="center"/>
            </w:pPr>
            <w:r>
              <w:rPr>
                <w:rFonts w:asciiTheme="minorEastAsia" w:eastAsiaTheme="minorEastAsia" w:hAnsiTheme="minorEastAsia"/>
                <w:color w:val="000000" w:themeColor="text1"/>
                <w:sz w:val="24"/>
              </w:rPr>
              <w:t>2</w:t>
            </w:r>
          </w:p>
        </w:tc>
        <w:tc>
          <w:tcPr>
            <w:vAlign w:val="center"/>
          </w:tcPr>
          <w:p>
            <w:pPr>
              <w:jc w:val="center"/>
            </w:pPr>
            <w:r>
              <w:rPr>
                <w:rFonts w:asciiTheme="minorEastAsia" w:eastAsiaTheme="minorEastAsia" w:hAnsiTheme="minorEastAsia"/>
                <w:color w:val="000000" w:themeColor="text1"/>
                <w:sz w:val="24"/>
              </w:rPr>
              <w:t>111907103</w:t>
            </w:r>
          </w:p>
        </w:tc>
        <w:tc>
          <w:tcPr>
            <w:vAlign w:val="center"/>
          </w:tcPr>
          <w:p>
            <w:pPr>
              <w:jc w:val="center"/>
            </w:pPr>
            <w:r>
              <w:rPr>
                <w:rFonts w:asciiTheme="minorEastAsia" w:eastAsiaTheme="minorEastAsia" w:hAnsiTheme="minorEastAsia"/>
                <w:color w:val="000000" w:themeColor="text1"/>
                <w:sz w:val="24"/>
              </w:rPr>
              <w:t>19招商银行CD103</w:t>
            </w:r>
          </w:p>
        </w:tc>
        <w:tc>
          <w:tcPr>
            <w:vAlign w:val="center"/>
          </w:tcPr>
          <w:p>
            <w:pPr>
              <w:jc w:val="right"/>
            </w:pPr>
            <w:r>
              <w:rPr>
                <w:rFonts w:asciiTheme="minorEastAsia" w:eastAsiaTheme="minorEastAsia" w:hAnsiTheme="minorEastAsia"/>
                <w:color w:val="000000" w:themeColor="text1"/>
                <w:sz w:val="24"/>
              </w:rPr>
              <w:t>6,000,000</w:t>
            </w:r>
          </w:p>
        </w:tc>
        <w:tc>
          <w:tcPr>
            <w:vAlign w:val="center"/>
          </w:tcPr>
          <w:p>
            <w:pPr>
              <w:jc w:val="right"/>
            </w:pPr>
            <w:r>
              <w:rPr>
                <w:rFonts w:asciiTheme="minorEastAsia" w:eastAsiaTheme="minorEastAsia" w:hAnsiTheme="minorEastAsia"/>
                <w:color w:val="000000" w:themeColor="text1"/>
                <w:sz w:val="24"/>
              </w:rPr>
              <w:t>588,305,499.44</w:t>
            </w:r>
          </w:p>
        </w:tc>
        <w:tc>
          <w:tcPr>
            <w:vAlign w:val="center"/>
          </w:tcPr>
          <w:p>
            <w:pPr>
              <w:jc w:val="right"/>
            </w:pPr>
            <w:r>
              <w:rPr>
                <w:rFonts w:asciiTheme="minorEastAsia" w:eastAsiaTheme="minorEastAsia" w:hAnsiTheme="minorEastAsia"/>
                <w:color w:val="000000" w:themeColor="text1"/>
                <w:sz w:val="24"/>
              </w:rPr>
              <w:t>1.90</w:t>
            </w:r>
          </w:p>
        </w:tc>
      </w:tr>
      <w:tr>
        <w:tc>
          <w:tcPr>
            <w:vAlign w:val="center"/>
          </w:tcPr>
          <w:p>
            <w:pPr>
              <w:jc w:val="center"/>
            </w:pPr>
            <w:r>
              <w:rPr>
                <w:rFonts w:asciiTheme="minorEastAsia" w:eastAsiaTheme="minorEastAsia" w:hAnsiTheme="minorEastAsia"/>
                <w:color w:val="000000" w:themeColor="text1"/>
                <w:sz w:val="24"/>
              </w:rPr>
              <w:t>3</w:t>
            </w:r>
          </w:p>
        </w:tc>
        <w:tc>
          <w:tcPr>
            <w:vAlign w:val="center"/>
          </w:tcPr>
          <w:p>
            <w:pPr>
              <w:jc w:val="center"/>
            </w:pPr>
            <w:r>
              <w:rPr>
                <w:rFonts w:asciiTheme="minorEastAsia" w:eastAsiaTheme="minorEastAsia" w:hAnsiTheme="minorEastAsia"/>
                <w:color w:val="000000" w:themeColor="text1"/>
                <w:sz w:val="24"/>
              </w:rPr>
              <w:t>111981077</w:t>
            </w:r>
          </w:p>
        </w:tc>
        <w:tc>
          <w:tcPr>
            <w:vAlign w:val="center"/>
          </w:tcPr>
          <w:p>
            <w:pPr>
              <w:jc w:val="center"/>
            </w:pPr>
            <w:r>
              <w:rPr>
                <w:rFonts w:asciiTheme="minorEastAsia" w:eastAsiaTheme="minorEastAsia" w:hAnsiTheme="minorEastAsia"/>
                <w:color w:val="000000" w:themeColor="text1"/>
                <w:sz w:val="24"/>
              </w:rPr>
              <w:t>19广州农村商业银行CD078</w:t>
            </w:r>
          </w:p>
        </w:tc>
        <w:tc>
          <w:tcPr>
            <w:vAlign w:val="center"/>
          </w:tcPr>
          <w:p>
            <w:pPr>
              <w:jc w:val="right"/>
            </w:pPr>
            <w:r>
              <w:rPr>
                <w:rFonts w:asciiTheme="minorEastAsia" w:eastAsiaTheme="minorEastAsia" w:hAnsiTheme="minorEastAsia"/>
                <w:color w:val="000000" w:themeColor="text1"/>
                <w:sz w:val="24"/>
              </w:rPr>
              <w:t>6,000,000</w:t>
            </w:r>
          </w:p>
        </w:tc>
        <w:tc>
          <w:tcPr>
            <w:vAlign w:val="center"/>
          </w:tcPr>
          <w:p>
            <w:pPr>
              <w:jc w:val="right"/>
            </w:pPr>
            <w:r>
              <w:rPr>
                <w:rFonts w:asciiTheme="minorEastAsia" w:eastAsiaTheme="minorEastAsia" w:hAnsiTheme="minorEastAsia"/>
                <w:color w:val="000000" w:themeColor="text1"/>
                <w:sz w:val="24"/>
              </w:rPr>
              <w:t>586,979,643.72</w:t>
            </w:r>
          </w:p>
        </w:tc>
        <w:tc>
          <w:tcPr>
            <w:vAlign w:val="center"/>
          </w:tcPr>
          <w:p>
            <w:pPr>
              <w:jc w:val="right"/>
            </w:pPr>
            <w:r>
              <w:rPr>
                <w:rFonts w:asciiTheme="minorEastAsia" w:eastAsiaTheme="minorEastAsia" w:hAnsiTheme="minorEastAsia"/>
                <w:color w:val="000000" w:themeColor="text1"/>
                <w:sz w:val="24"/>
              </w:rPr>
              <w:t>1.90</w:t>
            </w:r>
          </w:p>
        </w:tc>
      </w:tr>
      <w:tr>
        <w:tc>
          <w:tcPr>
            <w:vAlign w:val="center"/>
          </w:tcPr>
          <w:p>
            <w:pPr>
              <w:jc w:val="center"/>
            </w:pPr>
            <w:r>
              <w:rPr>
                <w:rFonts w:asciiTheme="minorEastAsia" w:eastAsiaTheme="minorEastAsia" w:hAnsiTheme="minorEastAsia"/>
                <w:color w:val="000000" w:themeColor="text1"/>
                <w:sz w:val="24"/>
              </w:rPr>
              <w:t>4</w:t>
            </w:r>
          </w:p>
        </w:tc>
        <w:tc>
          <w:tcPr>
            <w:vAlign w:val="center"/>
          </w:tcPr>
          <w:p>
            <w:pPr>
              <w:jc w:val="center"/>
            </w:pPr>
            <w:r>
              <w:rPr>
                <w:rFonts w:asciiTheme="minorEastAsia" w:eastAsiaTheme="minorEastAsia" w:hAnsiTheme="minorEastAsia"/>
                <w:color w:val="000000" w:themeColor="text1"/>
                <w:sz w:val="24"/>
              </w:rPr>
              <w:t>111913047</w:t>
            </w:r>
          </w:p>
        </w:tc>
        <w:tc>
          <w:tcPr>
            <w:vAlign w:val="center"/>
          </w:tcPr>
          <w:p>
            <w:pPr>
              <w:jc w:val="center"/>
            </w:pPr>
            <w:r>
              <w:rPr>
                <w:rFonts w:asciiTheme="minorEastAsia" w:eastAsiaTheme="minorEastAsia" w:hAnsiTheme="minorEastAsia"/>
                <w:color w:val="000000" w:themeColor="text1"/>
                <w:sz w:val="24"/>
              </w:rPr>
              <w:t>19浙商银行CD047</w:t>
            </w:r>
          </w:p>
        </w:tc>
        <w:tc>
          <w:tcPr>
            <w:vAlign w:val="center"/>
          </w:tcPr>
          <w:p>
            <w:pPr>
              <w:jc w:val="right"/>
            </w:pPr>
            <w:r>
              <w:rPr>
                <w:rFonts w:asciiTheme="minorEastAsia" w:eastAsiaTheme="minorEastAsia" w:hAnsiTheme="minorEastAsia"/>
                <w:color w:val="000000" w:themeColor="text1"/>
                <w:sz w:val="24"/>
              </w:rPr>
              <w:t>6,000,000</w:t>
            </w:r>
          </w:p>
        </w:tc>
        <w:tc>
          <w:tcPr>
            <w:vAlign w:val="center"/>
          </w:tcPr>
          <w:p>
            <w:pPr>
              <w:jc w:val="right"/>
            </w:pPr>
            <w:r>
              <w:rPr>
                <w:rFonts w:asciiTheme="minorEastAsia" w:eastAsiaTheme="minorEastAsia" w:hAnsiTheme="minorEastAsia"/>
                <w:color w:val="000000" w:themeColor="text1"/>
                <w:sz w:val="24"/>
              </w:rPr>
              <w:t>586,527,453.08</w:t>
            </w:r>
          </w:p>
        </w:tc>
        <w:tc>
          <w:tcPr>
            <w:vAlign w:val="center"/>
          </w:tcPr>
          <w:p>
            <w:pPr>
              <w:jc w:val="right"/>
            </w:pPr>
            <w:r>
              <w:rPr>
                <w:rFonts w:asciiTheme="minorEastAsia" w:eastAsiaTheme="minorEastAsia" w:hAnsiTheme="minorEastAsia"/>
                <w:color w:val="000000" w:themeColor="text1"/>
                <w:sz w:val="24"/>
              </w:rPr>
              <w:t>1.90</w:t>
            </w:r>
          </w:p>
        </w:tc>
      </w:tr>
      <w:tr>
        <w:tc>
          <w:tcPr>
            <w:vAlign w:val="center"/>
          </w:tcPr>
          <w:p>
            <w:pPr>
              <w:jc w:val="center"/>
            </w:pPr>
            <w:r>
              <w:rPr>
                <w:rFonts w:asciiTheme="minorEastAsia" w:eastAsiaTheme="minorEastAsia" w:hAnsiTheme="minorEastAsia"/>
                <w:color w:val="000000" w:themeColor="text1"/>
                <w:sz w:val="24"/>
              </w:rPr>
              <w:t>5</w:t>
            </w:r>
          </w:p>
        </w:tc>
        <w:tc>
          <w:tcPr>
            <w:vAlign w:val="center"/>
          </w:tcPr>
          <w:p>
            <w:pPr>
              <w:jc w:val="center"/>
            </w:pPr>
            <w:r>
              <w:rPr>
                <w:rFonts w:asciiTheme="minorEastAsia" w:eastAsiaTheme="minorEastAsia" w:hAnsiTheme="minorEastAsia"/>
                <w:color w:val="000000" w:themeColor="text1"/>
                <w:sz w:val="24"/>
              </w:rPr>
              <w:t>111812174</w:t>
            </w:r>
          </w:p>
        </w:tc>
        <w:tc>
          <w:tcPr>
            <w:vAlign w:val="center"/>
          </w:tcPr>
          <w:p>
            <w:pPr>
              <w:jc w:val="center"/>
            </w:pPr>
            <w:r>
              <w:rPr>
                <w:rFonts w:asciiTheme="minorEastAsia" w:eastAsiaTheme="minorEastAsia" w:hAnsiTheme="minorEastAsia"/>
                <w:color w:val="000000" w:themeColor="text1"/>
                <w:sz w:val="24"/>
              </w:rPr>
              <w:t>18北京银行CD174</w:t>
            </w:r>
          </w:p>
        </w:tc>
        <w:tc>
          <w:tcPr>
            <w:vAlign w:val="center"/>
          </w:tcPr>
          <w:p>
            <w:pPr>
              <w:jc w:val="right"/>
            </w:pPr>
            <w:r>
              <w:rPr>
                <w:rFonts w:asciiTheme="minorEastAsia" w:eastAsiaTheme="minorEastAsia" w:hAnsiTheme="minorEastAsia"/>
                <w:color w:val="000000" w:themeColor="text1"/>
                <w:sz w:val="24"/>
              </w:rPr>
              <w:t>5,500,000</w:t>
            </w:r>
          </w:p>
        </w:tc>
        <w:tc>
          <w:tcPr>
            <w:vAlign w:val="center"/>
          </w:tcPr>
          <w:p>
            <w:pPr>
              <w:jc w:val="right"/>
            </w:pPr>
            <w:r>
              <w:rPr>
                <w:rFonts w:asciiTheme="minorEastAsia" w:eastAsiaTheme="minorEastAsia" w:hAnsiTheme="minorEastAsia"/>
                <w:color w:val="000000" w:themeColor="text1"/>
                <w:sz w:val="24"/>
              </w:rPr>
              <w:t>547,872,115.39</w:t>
            </w:r>
          </w:p>
        </w:tc>
        <w:tc>
          <w:tcPr>
            <w:vAlign w:val="center"/>
          </w:tcPr>
          <w:p>
            <w:pPr>
              <w:jc w:val="right"/>
            </w:pPr>
            <w:r>
              <w:rPr>
                <w:rFonts w:asciiTheme="minorEastAsia" w:eastAsiaTheme="minorEastAsia" w:hAnsiTheme="minorEastAsia"/>
                <w:color w:val="000000" w:themeColor="text1"/>
                <w:sz w:val="24"/>
              </w:rPr>
              <w:t>1.77</w:t>
            </w:r>
          </w:p>
        </w:tc>
      </w:tr>
      <w:tr>
        <w:tc>
          <w:tcPr>
            <w:vAlign w:val="center"/>
          </w:tcPr>
          <w:p>
            <w:pPr>
              <w:jc w:val="center"/>
            </w:pPr>
            <w:r>
              <w:rPr>
                <w:rFonts w:asciiTheme="minorEastAsia" w:eastAsiaTheme="minorEastAsia" w:hAnsiTheme="minorEastAsia"/>
                <w:color w:val="000000" w:themeColor="text1"/>
                <w:sz w:val="24"/>
              </w:rPr>
              <w:t>6</w:t>
            </w:r>
          </w:p>
        </w:tc>
        <w:tc>
          <w:tcPr>
            <w:vAlign w:val="center"/>
          </w:tcPr>
          <w:p>
            <w:pPr>
              <w:jc w:val="center"/>
            </w:pPr>
            <w:r>
              <w:rPr>
                <w:rFonts w:asciiTheme="minorEastAsia" w:eastAsiaTheme="minorEastAsia" w:hAnsiTheme="minorEastAsia"/>
                <w:color w:val="000000" w:themeColor="text1"/>
                <w:sz w:val="24"/>
              </w:rPr>
              <w:t>111810431</w:t>
            </w:r>
          </w:p>
        </w:tc>
        <w:tc>
          <w:tcPr>
            <w:vAlign w:val="center"/>
          </w:tcPr>
          <w:p>
            <w:pPr>
              <w:jc w:val="center"/>
            </w:pPr>
            <w:r>
              <w:rPr>
                <w:rFonts w:asciiTheme="minorEastAsia" w:eastAsiaTheme="minorEastAsia" w:hAnsiTheme="minorEastAsia"/>
                <w:color w:val="000000" w:themeColor="text1"/>
                <w:sz w:val="24"/>
              </w:rPr>
              <w:t>18兴业银行CD431</w:t>
            </w:r>
          </w:p>
        </w:tc>
        <w:tc>
          <w:tcPr>
            <w:vAlign w:val="center"/>
          </w:tcPr>
          <w:p>
            <w:pPr>
              <w:jc w:val="right"/>
            </w:pPr>
            <w:r>
              <w:rPr>
                <w:rFonts w:asciiTheme="minorEastAsia" w:eastAsiaTheme="minorEastAsia" w:hAnsiTheme="minorEastAsia"/>
                <w:color w:val="000000" w:themeColor="text1"/>
                <w:sz w:val="24"/>
              </w:rPr>
              <w:t>5,000,000</w:t>
            </w:r>
          </w:p>
        </w:tc>
        <w:tc>
          <w:tcPr>
            <w:vAlign w:val="center"/>
          </w:tcPr>
          <w:p>
            <w:pPr>
              <w:jc w:val="right"/>
            </w:pPr>
            <w:r>
              <w:rPr>
                <w:rFonts w:asciiTheme="minorEastAsia" w:eastAsiaTheme="minorEastAsia" w:hAnsiTheme="minorEastAsia"/>
                <w:color w:val="000000" w:themeColor="text1"/>
                <w:sz w:val="24"/>
              </w:rPr>
              <w:t>500,000,000.00</w:t>
            </w:r>
          </w:p>
        </w:tc>
        <w:tc>
          <w:tcPr>
            <w:vAlign w:val="center"/>
          </w:tcPr>
          <w:p>
            <w:pPr>
              <w:jc w:val="right"/>
            </w:pPr>
            <w:r>
              <w:rPr>
                <w:rFonts w:asciiTheme="minorEastAsia" w:eastAsiaTheme="minorEastAsia" w:hAnsiTheme="minorEastAsia"/>
                <w:color w:val="000000" w:themeColor="text1"/>
                <w:sz w:val="24"/>
              </w:rPr>
              <w:t>1.62</w:t>
            </w:r>
          </w:p>
        </w:tc>
      </w:tr>
      <w:tr>
        <w:tc>
          <w:tcPr>
            <w:vAlign w:val="center"/>
          </w:tcPr>
          <w:p>
            <w:pPr>
              <w:jc w:val="center"/>
            </w:pPr>
            <w:r>
              <w:rPr>
                <w:rFonts w:asciiTheme="minorEastAsia" w:eastAsiaTheme="minorEastAsia" w:hAnsiTheme="minorEastAsia"/>
                <w:color w:val="000000" w:themeColor="text1"/>
                <w:sz w:val="24"/>
              </w:rPr>
              <w:t>7</w:t>
            </w:r>
          </w:p>
        </w:tc>
        <w:tc>
          <w:tcPr>
            <w:vAlign w:val="center"/>
          </w:tcPr>
          <w:p>
            <w:pPr>
              <w:jc w:val="center"/>
            </w:pPr>
            <w:r>
              <w:rPr>
                <w:rFonts w:asciiTheme="minorEastAsia" w:eastAsiaTheme="minorEastAsia" w:hAnsiTheme="minorEastAsia"/>
                <w:color w:val="000000" w:themeColor="text1"/>
                <w:sz w:val="24"/>
              </w:rPr>
              <w:t>111811221</w:t>
            </w:r>
          </w:p>
        </w:tc>
        <w:tc>
          <w:tcPr>
            <w:vAlign w:val="center"/>
          </w:tcPr>
          <w:p>
            <w:pPr>
              <w:jc w:val="center"/>
            </w:pPr>
            <w:r>
              <w:rPr>
                <w:rFonts w:asciiTheme="minorEastAsia" w:eastAsiaTheme="minorEastAsia" w:hAnsiTheme="minorEastAsia"/>
                <w:color w:val="000000" w:themeColor="text1"/>
                <w:sz w:val="24"/>
              </w:rPr>
              <w:t>18平安银行CD221</w:t>
            </w:r>
          </w:p>
        </w:tc>
        <w:tc>
          <w:tcPr>
            <w:vAlign w:val="center"/>
          </w:tcPr>
          <w:p>
            <w:pPr>
              <w:jc w:val="right"/>
            </w:pPr>
            <w:r>
              <w:rPr>
                <w:rFonts w:asciiTheme="minorEastAsia" w:eastAsiaTheme="minorEastAsia" w:hAnsiTheme="minorEastAsia"/>
                <w:color w:val="000000" w:themeColor="text1"/>
                <w:sz w:val="24"/>
              </w:rPr>
              <w:t>5,000,000</w:t>
            </w:r>
          </w:p>
        </w:tc>
        <w:tc>
          <w:tcPr>
            <w:vAlign w:val="center"/>
          </w:tcPr>
          <w:p>
            <w:pPr>
              <w:jc w:val="right"/>
            </w:pPr>
            <w:r>
              <w:rPr>
                <w:rFonts w:asciiTheme="minorEastAsia" w:eastAsiaTheme="minorEastAsia" w:hAnsiTheme="minorEastAsia"/>
                <w:color w:val="000000" w:themeColor="text1"/>
                <w:sz w:val="24"/>
              </w:rPr>
              <w:t>498,575,322.69</w:t>
            </w:r>
          </w:p>
        </w:tc>
        <w:tc>
          <w:tcPr>
            <w:vAlign w:val="center"/>
          </w:tcPr>
          <w:p>
            <w:pPr>
              <w:jc w:val="right"/>
            </w:pPr>
            <w:r>
              <w:rPr>
                <w:rFonts w:asciiTheme="minorEastAsia" w:eastAsiaTheme="minorEastAsia" w:hAnsiTheme="minorEastAsia"/>
                <w:color w:val="000000" w:themeColor="text1"/>
                <w:sz w:val="24"/>
              </w:rPr>
              <w:t>1.61</w:t>
            </w:r>
          </w:p>
        </w:tc>
      </w:tr>
      <w:tr>
        <w:tc>
          <w:tcPr>
            <w:vAlign w:val="center"/>
          </w:tcPr>
          <w:p>
            <w:pPr>
              <w:jc w:val="center"/>
            </w:pPr>
            <w:r>
              <w:rPr>
                <w:rFonts w:asciiTheme="minorEastAsia" w:eastAsiaTheme="minorEastAsia" w:hAnsiTheme="minorEastAsia"/>
                <w:color w:val="000000" w:themeColor="text1"/>
                <w:sz w:val="24"/>
              </w:rPr>
              <w:t>8</w:t>
            </w:r>
          </w:p>
        </w:tc>
        <w:tc>
          <w:tcPr>
            <w:vAlign w:val="center"/>
          </w:tcPr>
          <w:p>
            <w:pPr>
              <w:jc w:val="center"/>
            </w:pPr>
            <w:r>
              <w:rPr>
                <w:rFonts w:asciiTheme="minorEastAsia" w:eastAsiaTheme="minorEastAsia" w:hAnsiTheme="minorEastAsia"/>
                <w:color w:val="000000" w:themeColor="text1"/>
                <w:sz w:val="24"/>
              </w:rPr>
              <w:t>111814233</w:t>
            </w:r>
          </w:p>
        </w:tc>
        <w:tc>
          <w:tcPr>
            <w:vAlign w:val="center"/>
          </w:tcPr>
          <w:p>
            <w:pPr>
              <w:jc w:val="center"/>
            </w:pPr>
            <w:r>
              <w:rPr>
                <w:rFonts w:asciiTheme="minorEastAsia" w:eastAsiaTheme="minorEastAsia" w:hAnsiTheme="minorEastAsia"/>
                <w:color w:val="000000" w:themeColor="text1"/>
                <w:sz w:val="24"/>
              </w:rPr>
              <w:t>18江苏银行CD233</w:t>
            </w:r>
          </w:p>
        </w:tc>
        <w:tc>
          <w:tcPr>
            <w:vAlign w:val="center"/>
          </w:tcPr>
          <w:p>
            <w:pPr>
              <w:jc w:val="right"/>
            </w:pPr>
            <w:r>
              <w:rPr>
                <w:rFonts w:asciiTheme="minorEastAsia" w:eastAsiaTheme="minorEastAsia" w:hAnsiTheme="minorEastAsia"/>
                <w:color w:val="000000" w:themeColor="text1"/>
                <w:sz w:val="24"/>
              </w:rPr>
              <w:t>5,000,000</w:t>
            </w:r>
          </w:p>
        </w:tc>
        <w:tc>
          <w:tcPr>
            <w:vAlign w:val="center"/>
          </w:tcPr>
          <w:p>
            <w:pPr>
              <w:jc w:val="right"/>
            </w:pPr>
            <w:r>
              <w:rPr>
                <w:rFonts w:asciiTheme="minorEastAsia" w:eastAsiaTheme="minorEastAsia" w:hAnsiTheme="minorEastAsia"/>
                <w:color w:val="000000" w:themeColor="text1"/>
                <w:sz w:val="24"/>
              </w:rPr>
              <w:t>498,154,229.81</w:t>
            </w:r>
          </w:p>
        </w:tc>
        <w:tc>
          <w:tcPr>
            <w:vAlign w:val="center"/>
          </w:tcPr>
          <w:p>
            <w:pPr>
              <w:jc w:val="right"/>
            </w:pPr>
            <w:r>
              <w:rPr>
                <w:rFonts w:asciiTheme="minorEastAsia" w:eastAsiaTheme="minorEastAsia" w:hAnsiTheme="minorEastAsia"/>
                <w:color w:val="000000" w:themeColor="text1"/>
                <w:sz w:val="24"/>
              </w:rPr>
              <w:t>1.61</w:t>
            </w:r>
          </w:p>
        </w:tc>
      </w:tr>
      <w:tr>
        <w:tc>
          <w:tcPr>
            <w:vAlign w:val="center"/>
          </w:tcPr>
          <w:p>
            <w:pPr>
              <w:jc w:val="center"/>
            </w:pPr>
            <w:r>
              <w:rPr>
                <w:rFonts w:asciiTheme="minorEastAsia" w:eastAsiaTheme="minorEastAsia" w:hAnsiTheme="minorEastAsia"/>
                <w:color w:val="000000" w:themeColor="text1"/>
                <w:sz w:val="24"/>
              </w:rPr>
              <w:t>9</w:t>
            </w:r>
          </w:p>
        </w:tc>
        <w:tc>
          <w:tcPr>
            <w:vAlign w:val="center"/>
          </w:tcPr>
          <w:p>
            <w:pPr>
              <w:jc w:val="center"/>
            </w:pPr>
            <w:r>
              <w:rPr>
                <w:rFonts w:asciiTheme="minorEastAsia" w:eastAsiaTheme="minorEastAsia" w:hAnsiTheme="minorEastAsia"/>
                <w:color w:val="000000" w:themeColor="text1"/>
                <w:sz w:val="24"/>
              </w:rPr>
              <w:t>111808302</w:t>
            </w:r>
          </w:p>
        </w:tc>
        <w:tc>
          <w:tcPr>
            <w:vAlign w:val="center"/>
          </w:tcPr>
          <w:p>
            <w:pPr>
              <w:jc w:val="center"/>
            </w:pPr>
            <w:r>
              <w:rPr>
                <w:rFonts w:asciiTheme="minorEastAsia" w:eastAsiaTheme="minorEastAsia" w:hAnsiTheme="minorEastAsia"/>
                <w:color w:val="000000" w:themeColor="text1"/>
                <w:sz w:val="24"/>
              </w:rPr>
              <w:t>18中信银行CD302</w:t>
            </w:r>
          </w:p>
        </w:tc>
        <w:tc>
          <w:tcPr>
            <w:vAlign w:val="center"/>
          </w:tcPr>
          <w:p>
            <w:pPr>
              <w:jc w:val="right"/>
            </w:pPr>
            <w:r>
              <w:rPr>
                <w:rFonts w:asciiTheme="minorEastAsia" w:eastAsiaTheme="minorEastAsia" w:hAnsiTheme="minorEastAsia"/>
                <w:color w:val="000000" w:themeColor="text1"/>
                <w:sz w:val="24"/>
              </w:rPr>
              <w:t>5,000,000</w:t>
            </w:r>
          </w:p>
        </w:tc>
        <w:tc>
          <w:tcPr>
            <w:vAlign w:val="center"/>
          </w:tcPr>
          <w:p>
            <w:pPr>
              <w:jc w:val="right"/>
            </w:pPr>
            <w:r>
              <w:rPr>
                <w:rFonts w:asciiTheme="minorEastAsia" w:eastAsiaTheme="minorEastAsia" w:hAnsiTheme="minorEastAsia"/>
                <w:color w:val="000000" w:themeColor="text1"/>
                <w:sz w:val="24"/>
              </w:rPr>
              <w:t>498,065,698.71</w:t>
            </w:r>
          </w:p>
        </w:tc>
        <w:tc>
          <w:tcPr>
            <w:vAlign w:val="center"/>
          </w:tcPr>
          <w:p>
            <w:pPr>
              <w:jc w:val="right"/>
            </w:pPr>
            <w:r>
              <w:rPr>
                <w:rFonts w:asciiTheme="minorEastAsia" w:eastAsiaTheme="minorEastAsia" w:hAnsiTheme="minorEastAsia"/>
                <w:color w:val="000000" w:themeColor="text1"/>
                <w:sz w:val="24"/>
              </w:rPr>
              <w:t>1.61</w:t>
            </w:r>
          </w:p>
        </w:tc>
      </w:tr>
      <w:tr>
        <w:tc>
          <w:tcPr>
            <w:vAlign w:val="center"/>
          </w:tcPr>
          <w:p>
            <w:pPr>
              <w:jc w:val="center"/>
            </w:pPr>
            <w:r>
              <w:rPr>
                <w:rFonts w:asciiTheme="minorEastAsia" w:eastAsiaTheme="minorEastAsia" w:hAnsiTheme="minorEastAsia"/>
                <w:color w:val="000000" w:themeColor="text1"/>
                <w:sz w:val="24"/>
              </w:rPr>
              <w:t>10</w:t>
            </w:r>
          </w:p>
        </w:tc>
        <w:tc>
          <w:tcPr>
            <w:vAlign w:val="center"/>
          </w:tcPr>
          <w:p>
            <w:pPr>
              <w:jc w:val="center"/>
            </w:pPr>
            <w:r>
              <w:rPr>
                <w:rFonts w:asciiTheme="minorEastAsia" w:eastAsiaTheme="minorEastAsia" w:hAnsiTheme="minorEastAsia"/>
                <w:color w:val="000000" w:themeColor="text1"/>
                <w:sz w:val="24"/>
              </w:rPr>
              <w:t>111808207</w:t>
            </w:r>
          </w:p>
        </w:tc>
        <w:tc>
          <w:tcPr>
            <w:vAlign w:val="center"/>
          </w:tcPr>
          <w:p>
            <w:pPr>
              <w:jc w:val="center"/>
            </w:pPr>
            <w:r>
              <w:rPr>
                <w:rFonts w:asciiTheme="minorEastAsia" w:eastAsiaTheme="minorEastAsia" w:hAnsiTheme="minorEastAsia"/>
                <w:color w:val="000000" w:themeColor="text1"/>
                <w:sz w:val="24"/>
              </w:rPr>
              <w:t>18中信银行CD207</w:t>
            </w:r>
          </w:p>
        </w:tc>
        <w:tc>
          <w:tcPr>
            <w:vAlign w:val="center"/>
          </w:tcPr>
          <w:p>
            <w:pPr>
              <w:jc w:val="right"/>
            </w:pPr>
            <w:r>
              <w:rPr>
                <w:rFonts w:asciiTheme="minorEastAsia" w:eastAsiaTheme="minorEastAsia" w:hAnsiTheme="minorEastAsia"/>
                <w:color w:val="000000" w:themeColor="text1"/>
                <w:sz w:val="24"/>
              </w:rPr>
              <w:t>5,000,000</w:t>
            </w:r>
          </w:p>
        </w:tc>
        <w:tc>
          <w:tcPr>
            <w:vAlign w:val="center"/>
          </w:tcPr>
          <w:p>
            <w:pPr>
              <w:jc w:val="right"/>
            </w:pPr>
            <w:r>
              <w:rPr>
                <w:rFonts w:asciiTheme="minorEastAsia" w:eastAsiaTheme="minorEastAsia" w:hAnsiTheme="minorEastAsia"/>
                <w:color w:val="000000" w:themeColor="text1"/>
                <w:sz w:val="24"/>
              </w:rPr>
              <w:t>497,606,398.97</w:t>
            </w:r>
          </w:p>
        </w:tc>
        <w:tc>
          <w:tcPr>
            <w:vAlign w:val="center"/>
          </w:tcPr>
          <w:p>
            <w:pPr>
              <w:jc w:val="right"/>
            </w:pPr>
            <w:r>
              <w:rPr>
                <w:rFonts w:asciiTheme="minorEastAsia" w:eastAsiaTheme="minorEastAsia" w:hAnsiTheme="minorEastAsia"/>
                <w:color w:val="000000" w:themeColor="text1"/>
                <w:sz w:val="24"/>
              </w:rPr>
              <w:t>1.61</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r w:rsidRPr="003025FA">
              <w:rPr>
                <w:rFonts w:asciiTheme="minorEastAsia" w:eastAsiaTheme="minorEastAsia" w:hAnsiTheme="minorEastAsia" w:cs="Arial"/>
                <w:color w:val="000000" w:themeColor="text1"/>
                <w:kern w:val="0"/>
                <w:sz w:val="24"/>
              </w:rPr>
              <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0.1019%</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-0.0212%</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s="宋体" w:hint="eastAsia"/>
                <w:color w:val="000000" w:themeColor="text1"/>
                <w:sz w:val="24"/>
              </w:rPr>
              <w:t/>
            </w:r>
            <w:r w:rsidRPr="003025FA">
              <w:rPr>
                <w:rFonts w:asciiTheme="minorEastAsia" w:eastAsiaTheme="minorEastAsia" w:hAnsiTheme="minorEastAsia" w:cs="宋体"/>
                <w:color w:val="000000" w:themeColor="text1"/>
                <w:sz w:val="24"/>
              </w:rPr>
              <w:t/>
            </w:r>
            <w:r w:rsidRPr="003025FA">
              <w:rPr>
                <w:rFonts w:asciiTheme="minorEastAsia" w:eastAsiaTheme="minorEastAsia" w:hAnsiTheme="minorEastAsia"/>
                <w:color w:val="000000" w:themeColor="text1"/>
                <w:sz w:val="24"/>
              </w:rPr>
              <w:t>0.0298%</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
      </w:r>
      <w:r w:rsidRPr="003025FA">
        <w:rPr>
          <w:rFonts w:asciiTheme="minorEastAsia" w:eastAsiaTheme="minorEastAsia" w:hAnsiTheme="minorEastAsia"/>
          <w:color w:val="000000" w:themeColor="text1"/>
          <w:sz w:val="24"/>
        </w:rPr>
        <w:t/>
      </w:r>
      <w:r w:rsidRPr="00B467A4">
        <w:rPr>
          <w:rFonts w:asciiTheme="minorEastAsia" w:eastAsiaTheme="minorEastAsia" w:hAnsiTheme="minorEastAsia"/>
          <w:color w:val="000000" w:themeColor="text1"/>
          <w:sz w:val="24"/>
        </w:rPr>
        <w:t/>
      </w:r>
      <w:r w:rsidRPr="003025FA">
        <w:rPr>
          <w:rFonts w:asciiTheme="minorEastAsia" w:eastAsiaTheme="minorEastAsia" w:hAnsiTheme="minorEastAsia" w:hint="eastAsia"/>
          <w:color w:val="000000" w:themeColor="text1"/>
          <w:sz w:val="24"/>
        </w:rPr>
        <w:t>报告期内无负偏离度的绝对值达到0.25%的情况。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
      </w:r>
      <w:r w:rsidR="00AE7390" w:rsidRPr="00AE7390">
        <w:rPr>
          <w:rFonts w:asciiTheme="minorEastAsia" w:eastAsiaTheme="minorEastAsia" w:hAnsiTheme="minorEastAsia"/>
          <w:color w:val="000000" w:themeColor="text1"/>
          <w:sz w:val="24"/>
        </w:rPr>
        <w:t/>
      </w:r>
      <w:r w:rsidR="00B3087F" w:rsidRPr="00B3087F">
        <w:rPr>
          <w:rFonts w:asciiTheme="minorEastAsia" w:eastAsiaTheme="minorEastAsia" w:hAnsiTheme="minorEastAsia"/>
          <w:color w:val="000000" w:themeColor="text1"/>
          <w:sz w:val="24"/>
        </w:rPr>
        <w:t/>
      </w:r>
      <w:r w:rsidRPr="003025FA">
        <w:rPr>
          <w:rFonts w:asciiTheme="minorEastAsia" w:eastAsiaTheme="minorEastAsia" w:hAnsiTheme="minorEastAsia" w:hint="eastAsia"/>
          <w:color w:val="000000" w:themeColor="text1"/>
          <w:sz w:val="24"/>
        </w:rPr>
        <w:t>报告期内无正偏离度的绝对值达到0.5%的情况。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
      </w:r>
      <w:r w:rsidRPr="003025FA">
        <w:rPr>
          <w:rFonts w:asciiTheme="minorEastAsia" w:eastAsiaTheme="minorEastAsia" w:hAnsiTheme="minorEastAsia"/>
          <w:color w:val="000000" w:themeColor="text1"/>
          <w:sz w:val="24"/>
        </w:rPr>
        <w:t>本基金本报告期末未投资资产支持证券。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
      </w:r>
      <w:r>
        <w:rPr>
          <w:rFonts w:asciiTheme="minorEastAsia" w:eastAsiaTheme="minorEastAsia" w:hAnsiTheme="minorEastAsia" w:cs="Arial" w:hint="eastAsia"/>
          <w:b/>
          <w:color w:val="000000" w:themeColor="text1"/>
          <w:kern w:val="0"/>
          <w:sz w:val="24"/>
        </w:rPr>
        <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（1）本基金估值采用摊余成本法，即估值对象以买入成本列示，按实际利率并考虑其买入时的溢价与折价，在其剩余存续期内摊销，每日计提损益。 （2）为了避免采用摊余成本法计算的基金资产净值与按市场利率和交易市价计算的基金资产净值发生重大偏离，从而对基金持有人的利益产生稀释和不公平的结果，基金管理人于每一估值日，采用市场利率或交易价格，对基金持有的估值对象进行重新评估，即“影子定价”。当基金资产净值与影子定价的偏离达到或超过基金资产净值的一定幅度时，或基金管理人认为发生了其他的重大偏离时，基金管理人可以与基金托管人商定后进行调整，使基金资产净值更能公允地反映基金资产价值，确保以摊余成本法计算的基金资产净值不会对基金持有人造成实质性的损害。 （3）如有确凿证据表明按上述方法进行估值不能客观反映其公允价值的，基金管理人可根据具体情况与基金托管人商定后，按最能反映公允价值的方法估值。 （4）如有新增事项或变更事项，按国家最新规定估值。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5.9.2报告期内本基金投资的前十名证券的发行主体没有被监管部门立案调查或在报告编制日前一年受到证监会、证券交易所公开谴责、处罚的情况。</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3其他各项资产构成</w:t>
      </w:r>
    </w:p>
    <w:tbl>
      <w:tblPr>
        <w:tblStyle w:val="aa"/>
        <w:tblW w:w="0" w:type="auto"/>
        <w:tblInd w:w="17" w:type="dxa"/>
        <w:tblLayout w:type="fixed"/>
        <w:tblLook w:val="04A0"/>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47,650,350.84</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
            </w: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lastRenderedPageBreak/>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47,650,350.84</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902E3F" w:rsidRPr="00221340" w:rsidRDefault="00902E3F" w:rsidP="00863749">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00327FB0"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光大保德信添天盈理财债券A类</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
            </w:r>
            <w:r w:rsidRPr="00221340">
              <w:rPr>
                <w:rFonts w:asciiTheme="minorEastAsia" w:eastAsiaTheme="minorEastAsia" w:hAnsiTheme="minorEastAsia" w:cs="宋体"/>
                <w:color w:val="000000" w:themeColor="text1"/>
                <w:kern w:val="0"/>
                <w:szCs w:val="21"/>
              </w:rPr>
              <w:t/>
            </w:r>
            <w:r w:rsidRPr="00221340">
              <w:rPr>
                <w:rFonts w:asciiTheme="minorEastAsia" w:eastAsiaTheme="minorEastAsia" w:hAnsiTheme="minorEastAsia" w:hint="eastAsia"/>
                <w:color w:val="000000" w:themeColor="text1"/>
                <w:szCs w:val="21"/>
              </w:rPr>
              <w:t/>
            </w:r>
            <w:r w:rsidR="00327FB0"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光大保德信添天盈理财债券B类</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167,630,402.28</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30,731,179,851.61</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
            </w:r>
            <w:r w:rsidR="00026DAD">
              <w:rPr>
                <w:rFonts w:eastAsiaTheme="minorEastAsia" w:hint="eastAsia"/>
                <w:color w:val="000000" w:themeColor="text1"/>
                <w:kern w:val="0"/>
                <w:szCs w:val="21"/>
              </w:rPr>
              <w:t/>
            </w:r>
            <w:r w:rsidR="00026DAD">
              <w:rPr>
                <w:rFonts w:eastAsiaTheme="minorEastAsia" w:hint="eastAsia"/>
                <w:color w:val="000000" w:themeColor="text1"/>
                <w:szCs w:val="21"/>
              </w:rPr>
              <w:t/>
            </w:r>
            <w:r w:rsidRPr="00221340">
              <w:rPr>
                <w:rFonts w:asciiTheme="minorEastAsia" w:eastAsiaTheme="minorEastAsia" w:hAnsiTheme="minorEastAsia" w:cs="宋体"/>
                <w:color w:val="000000" w:themeColor="text1"/>
                <w:kern w:val="0"/>
                <w:szCs w:val="21"/>
              </w:rPr>
              <w:t>报告期</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8,480,681.58</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4,022,324,078.95</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
            </w:r>
            <w:r w:rsidR="00026DAD">
              <w:rPr>
                <w:rFonts w:eastAsiaTheme="minorEastAsia" w:hint="eastAsia"/>
                <w:color w:val="000000" w:themeColor="text1"/>
                <w:kern w:val="0"/>
                <w:szCs w:val="21"/>
              </w:rPr>
              <w:t/>
            </w:r>
            <w:r w:rsidR="00026DAD">
              <w:rPr>
                <w:rFonts w:eastAsiaTheme="minorEastAsia" w:hint="eastAsia"/>
                <w:color w:val="000000" w:themeColor="text1"/>
                <w:szCs w:val="21"/>
              </w:rPr>
              <w:t/>
            </w:r>
            <w:r w:rsidRPr="00221340">
              <w:rPr>
                <w:rFonts w:asciiTheme="minorEastAsia" w:eastAsiaTheme="minorEastAsia" w:hAnsiTheme="minorEastAsia" w:cs="宋体"/>
                <w:color w:val="000000" w:themeColor="text1"/>
                <w:kern w:val="0"/>
                <w:szCs w:val="21"/>
              </w:rPr>
              <w:t>报告期</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44,485,272.15</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3,965,543,504.95</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
            </w:r>
            <w:r w:rsidR="00026DAD">
              <w:rPr>
                <w:rFonts w:eastAsiaTheme="minorEastAsia" w:hint="eastAsia"/>
                <w:color w:val="000000" w:themeColor="text1"/>
                <w:kern w:val="0"/>
                <w:szCs w:val="21"/>
              </w:rPr>
              <w:t/>
            </w:r>
            <w:r w:rsidR="00026DAD">
              <w:rPr>
                <w:rFonts w:eastAsiaTheme="minorEastAsia" w:hint="eastAsia"/>
                <w:color w:val="000000" w:themeColor="text1"/>
                <w:szCs w:val="21"/>
              </w:rPr>
              <w:t/>
            </w:r>
            <w:r w:rsidRPr="00FF4FEC">
              <w:rPr>
                <w:rFonts w:asciiTheme="minorEastAsia" w:eastAsiaTheme="minorEastAsia" w:hAnsiTheme="minorEastAsia"/>
                <w:color w:val="000000" w:themeColor="text1"/>
                <w:kern w:val="0"/>
                <w:szCs w:val="21"/>
              </w:rPr>
              <w:t>报告期</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
            </w:r>
            <w:r w:rsidR="00365983">
              <w:rPr>
                <w:rFonts w:asciiTheme="minorEastAsia" w:eastAsiaTheme="minorEastAsia" w:hAnsiTheme="minorEastAsia"/>
                <w:color w:val="000000" w:themeColor="text1"/>
                <w:szCs w:val="21"/>
              </w:rPr>
              <w:t/>
            </w:r>
            <w:r w:rsidR="00365983">
              <w:rPr>
                <w:rFonts w:asciiTheme="minorEastAsia" w:eastAsiaTheme="minorEastAsia" w:hAnsiTheme="minorEastAsia" w:hint="eastAsia"/>
                <w:color w:val="000000" w:themeColor="text1"/>
                <w:szCs w:val="21"/>
              </w:rPr>
              <w:t/>
            </w: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131,625,811.71</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
            </w:r>
            <w:r w:rsidRPr="00221340">
              <w:rPr>
                <w:rFonts w:asciiTheme="minorEastAsia" w:eastAsiaTheme="minorEastAsia" w:hAnsiTheme="minorEastAsia" w:cs="宋体"/>
                <w:color w:val="000000" w:themeColor="text1"/>
                <w:szCs w:val="21"/>
              </w:rPr>
              <w:t/>
            </w:r>
            <w:r w:rsidRPr="00221340">
              <w:rPr>
                <w:rFonts w:asciiTheme="minorEastAsia" w:eastAsiaTheme="minorEastAsia" w:hAnsiTheme="minorEastAsia" w:cs="宋体" w:hint="eastAsia"/>
                <w:color w:val="000000" w:themeColor="text1"/>
                <w:szCs w:val="21"/>
              </w:rPr>
              <w:t>30,787,960,425.61</w:t>
            </w:r>
          </w:p>
        </w:tc>
      </w:tr>
    </w:tbl>
    <w:p w:rsidR="000F2DA3" w:rsidRPr="00221340" w:rsidRDefault="000F2DA3" w:rsidP="00863749">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w:t>
      </w:r>
      <w:r w:rsidR="00FE3C23" w:rsidRPr="00221340">
        <w:rPr>
          <w:rFonts w:asciiTheme="minorEastAsia" w:eastAsiaTheme="minorEastAsia" w:hAnsiTheme="minorEastAsia" w:hint="eastAsia"/>
          <w:color w:val="000000" w:themeColor="text1"/>
          <w:kern w:val="0"/>
          <w:sz w:val="24"/>
          <w:szCs w:val="24"/>
        </w:rPr>
        <w:t/>
      </w: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本报告期内，基金管理人不存在持有、申购、赎回或买卖本基金的情况。</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DA5831" w:rsidP="00863749">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
      </w:r>
      <w:r w:rsidR="009D74FC" w:rsidRPr="00221340">
        <w:rPr>
          <w:rFonts w:asciiTheme="minorEastAsia" w:eastAsiaTheme="minorEastAsia" w:hAnsiTheme="minorEastAsia" w:cs="Arial" w:hint="eastAsia"/>
          <w:color w:val="000000" w:themeColor="text1"/>
          <w:kern w:val="0"/>
          <w:sz w:val="24"/>
          <w:szCs w:val="24"/>
        </w:rPr>
        <w:t>§</w:t>
      </w:r>
      <w:r w:rsidR="004C5B7C" w:rsidRPr="00221340">
        <w:rPr>
          <w:rFonts w:asciiTheme="minorEastAsia" w:eastAsiaTheme="minorEastAsia" w:hAnsiTheme="minorEastAsia" w:cs="Arial" w:hint="eastAsia"/>
          <w:color w:val="000000" w:themeColor="text1"/>
          <w:kern w:val="0"/>
          <w:sz w:val="24"/>
          <w:szCs w:val="24"/>
        </w:rPr>
        <w:t/>
      </w:r>
      <w:r w:rsidR="00AF3D19" w:rsidRPr="00221340">
        <w:rPr>
          <w:rFonts w:asciiTheme="minorEastAsia" w:eastAsiaTheme="minorEastAsia" w:hAnsiTheme="minorEastAsia" w:cs="Arial" w:hint="eastAsia"/>
          <w:color w:val="000000" w:themeColor="text1"/>
          <w:kern w:val="0"/>
          <w:sz w:val="24"/>
          <w:szCs w:val="24"/>
        </w:rPr>
        <w:t>8</w:t>
      </w:r>
      <w:r w:rsidR="009D74FC" w:rsidRPr="00221340">
        <w:rPr>
          <w:rFonts w:asciiTheme="minorEastAsia" w:eastAsiaTheme="minorEastAsia" w:hAnsiTheme="minorEastAsia" w:cs="Arial" w:hint="eastAsia"/>
          <w:color w:val="000000" w:themeColor="text1"/>
          <w:kern w:val="0"/>
          <w:sz w:val="24"/>
          <w:szCs w:val="24"/>
        </w:rPr>
        <w:t xml:space="preserve">  影响投资者决策的其他重要信息</w:t>
      </w:r>
    </w:p>
    <w:p w:rsidR="002F4E48" w:rsidRPr="002F4E48" w:rsidRDefault="002F4E48" w:rsidP="002F4E48">
      <w:pPr>
        <w:autoSpaceDE w:val="0"/>
        <w:autoSpaceDN w:val="0"/>
        <w:adjustRightInd w:val="0"/>
        <w:spacing w:line="360" w:lineRule="auto"/>
        <w:jc w:val="left"/>
        <w:rPr>
          <w:rFonts w:ascii="宋体" w:hAnsi="宋体"/>
          <w:b/>
          <w:bCs/>
          <w:color w:val="000000"/>
          <w:kern w:val="0"/>
          <w:sz w:val="24"/>
        </w:rPr>
      </w:pPr>
      <w:r w:rsidRPr="002F4E48">
        <w:rPr>
          <w:rFonts w:ascii="宋体" w:hAnsi="宋体"/>
          <w:b/>
          <w:color w:val="000000"/>
          <w:kern w:val="0"/>
          <w:sz w:val="24"/>
        </w:rPr>
        <w:t/>
      </w:r>
      <w:r w:rsidRPr="002F4E48">
        <w:rPr>
          <w:rFonts w:ascii="宋体" w:hAnsi="宋体"/>
          <w:b/>
          <w:bCs/>
          <w:color w:val="000000"/>
          <w:kern w:val="0"/>
          <w:sz w:val="24"/>
        </w:rPr>
        <w:t>8.</w:t>
      </w:r>
      <w:r w:rsidRPr="002F4E48">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2F4E48" w:rsidRPr="004F4D27" w:rsidTr="00767E22">
        <w:tc>
          <w:tcPr>
            <w:tcW w:w="993" w:type="dxa"/>
            <w:vMerge w:val="restart"/>
            <w:vAlign w:val="center"/>
          </w:tcPr>
          <w:p w:rsidR="002F4E48" w:rsidRPr="004F4D27" w:rsidRDefault="002F4E48"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投资者类别</w:t>
            </w:r>
            <w:r w:rsidRPr="004F4D27">
              <w:rPr>
                <w:rFonts w:ascii="宋体" w:hAnsi="宋体"/>
                <w:color w:val="000000"/>
                <w:kern w:val="0"/>
                <w:szCs w:val="21"/>
              </w:rPr>
              <w:t xml:space="preserve">  </w:t>
            </w:r>
          </w:p>
        </w:tc>
        <w:tc>
          <w:tcPr>
            <w:tcW w:w="5670" w:type="dxa"/>
            <w:gridSpan w:val="5"/>
            <w:vAlign w:val="center"/>
          </w:tcPr>
          <w:p w:rsidR="002F4E48" w:rsidRPr="004F4D27" w:rsidRDefault="002F4E48"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报告期内持有基金份额变化情况</w:t>
            </w:r>
          </w:p>
        </w:tc>
        <w:tc>
          <w:tcPr>
            <w:tcW w:w="2549" w:type="dxa"/>
            <w:gridSpan w:val="2"/>
            <w:vAlign w:val="center"/>
          </w:tcPr>
          <w:p w:rsidR="002F4E48" w:rsidRPr="004F4D27" w:rsidRDefault="002F4E48"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报告期末持有基金情况</w:t>
            </w:r>
          </w:p>
        </w:tc>
      </w:tr>
      <w:tr w:rsidR="002F4E48" w:rsidRPr="004F4D27" w:rsidTr="00767E22">
        <w:tc>
          <w:tcPr>
            <w:tcW w:w="993" w:type="dxa"/>
            <w:vMerge/>
            <w:vAlign w:val="center"/>
          </w:tcPr>
          <w:p w:rsidR="002F4E48" w:rsidRPr="004F4D27" w:rsidRDefault="002F4E48" w:rsidP="00767E22">
            <w:pPr>
              <w:autoSpaceDE w:val="0"/>
              <w:autoSpaceDN w:val="0"/>
              <w:adjustRightInd w:val="0"/>
              <w:jc w:val="center"/>
              <w:rPr>
                <w:rFonts w:ascii="宋体" w:hAnsi="宋体"/>
                <w:b/>
                <w:bCs/>
                <w:color w:val="000000"/>
                <w:kern w:val="0"/>
                <w:szCs w:val="21"/>
              </w:rPr>
            </w:pPr>
          </w:p>
        </w:tc>
        <w:tc>
          <w:tcPr>
            <w:tcW w:w="992" w:type="dxa"/>
            <w:vAlign w:val="center"/>
          </w:tcPr>
          <w:p w:rsidR="002F4E48" w:rsidRPr="004F4D27" w:rsidRDefault="002F4E48"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序号</w:t>
            </w:r>
          </w:p>
        </w:tc>
        <w:tc>
          <w:tcPr>
            <w:tcW w:w="1843" w:type="dxa"/>
            <w:vAlign w:val="center"/>
          </w:tcPr>
          <w:p w:rsidR="002F4E48" w:rsidRPr="004F4D27" w:rsidRDefault="002F4E48"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持有基金份额比例达到或者超过20%的时间区间</w:t>
            </w:r>
          </w:p>
        </w:tc>
        <w:tc>
          <w:tcPr>
            <w:tcW w:w="851" w:type="dxa"/>
            <w:vAlign w:val="center"/>
          </w:tcPr>
          <w:p w:rsidR="002F4E48" w:rsidRPr="004F4D27" w:rsidRDefault="002F4E48" w:rsidP="00767E22">
            <w:pPr>
              <w:widowControl/>
              <w:jc w:val="center"/>
              <w:rPr>
                <w:rFonts w:ascii="宋体" w:hAnsi="宋体"/>
                <w:b/>
                <w:bCs/>
                <w:color w:val="000000"/>
                <w:kern w:val="0"/>
                <w:szCs w:val="21"/>
              </w:rPr>
            </w:pPr>
            <w:r w:rsidRPr="004F4D27">
              <w:rPr>
                <w:rFonts w:ascii="宋体" w:hAnsi="宋体" w:hint="eastAsia"/>
                <w:color w:val="000000"/>
                <w:kern w:val="0"/>
                <w:szCs w:val="21"/>
              </w:rPr>
              <w:t>期初份额</w:t>
            </w:r>
          </w:p>
        </w:tc>
        <w:tc>
          <w:tcPr>
            <w:tcW w:w="850" w:type="dxa"/>
            <w:vAlign w:val="center"/>
          </w:tcPr>
          <w:p w:rsidR="002F4E48" w:rsidRPr="004F4D27" w:rsidRDefault="002F4E48" w:rsidP="00767E22">
            <w:pPr>
              <w:widowControl/>
              <w:jc w:val="center"/>
              <w:rPr>
                <w:rFonts w:ascii="宋体" w:hAnsi="宋体"/>
                <w:b/>
                <w:bCs/>
                <w:color w:val="000000"/>
                <w:kern w:val="0"/>
                <w:szCs w:val="21"/>
              </w:rPr>
            </w:pPr>
            <w:r w:rsidRPr="004F4D27">
              <w:rPr>
                <w:rFonts w:ascii="宋体" w:hAnsi="宋体" w:hint="eastAsia"/>
                <w:color w:val="000000"/>
                <w:kern w:val="0"/>
                <w:szCs w:val="21"/>
              </w:rPr>
              <w:t>申购份额</w:t>
            </w:r>
          </w:p>
        </w:tc>
        <w:tc>
          <w:tcPr>
            <w:tcW w:w="1134" w:type="dxa"/>
            <w:vAlign w:val="center"/>
          </w:tcPr>
          <w:p w:rsidR="002F4E48" w:rsidRPr="004F4D27" w:rsidRDefault="002F4E48" w:rsidP="00767E22">
            <w:pPr>
              <w:widowControl/>
              <w:jc w:val="center"/>
              <w:rPr>
                <w:rFonts w:ascii="宋体" w:hAnsi="宋体"/>
                <w:b/>
                <w:bCs/>
                <w:color w:val="000000"/>
                <w:kern w:val="0"/>
                <w:szCs w:val="21"/>
              </w:rPr>
            </w:pPr>
            <w:r w:rsidRPr="004F4D27">
              <w:rPr>
                <w:rFonts w:ascii="宋体" w:hAnsi="宋体" w:hint="eastAsia"/>
                <w:color w:val="000000"/>
                <w:kern w:val="0"/>
                <w:szCs w:val="21"/>
              </w:rPr>
              <w:t>赎回份额</w:t>
            </w:r>
          </w:p>
        </w:tc>
        <w:tc>
          <w:tcPr>
            <w:tcW w:w="1419" w:type="dxa"/>
            <w:vAlign w:val="center"/>
          </w:tcPr>
          <w:p w:rsidR="002F4E48" w:rsidRPr="004F4D27" w:rsidRDefault="002F4E48"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持有份额</w:t>
            </w:r>
          </w:p>
        </w:tc>
        <w:tc>
          <w:tcPr>
            <w:tcW w:w="1130" w:type="dxa"/>
            <w:vAlign w:val="center"/>
          </w:tcPr>
          <w:p w:rsidR="002F4E48" w:rsidRPr="004F4D27" w:rsidRDefault="002F4E48"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20190401-20190630</w:t>
            </w:r>
          </w:p>
        </w:tc>
        <w:tc>
          <w:tcPr>
            <w:vAlign w:val="center"/>
          </w:tcPr>
          <w:p>
            <w:pPr>
              <w:jc w:val="center"/>
            </w:pPr>
            <w:r>
              <w:rPr>
                <w:rFonts w:ascii="宋体" w:hAnsi="宋体"/>
                <w:color w:val="000000"/>
                <w:kern w:val="0"/>
                <w:szCs w:val="21"/>
              </w:rPr>
              <w:t>12,045,376,519.94</w:t>
            </w:r>
          </w:p>
        </w:tc>
        <w:tc>
          <w:tcPr>
            <w:vAlign w:val="center"/>
          </w:tcPr>
          <w:p>
            <w:pPr>
              <w:jc w:val="center"/>
            </w:pPr>
            <w:r>
              <w:rPr>
                <w:rFonts w:ascii="宋体" w:hAnsi="宋体"/>
                <w:color w:val="000000"/>
                <w:kern w:val="0"/>
                <w:szCs w:val="21"/>
              </w:rPr>
              <w:t>87,868,951.47</w:t>
            </w:r>
          </w:p>
        </w:tc>
        <w:tc>
          <w:tcPr>
            <w:vAlign w:val="center"/>
          </w:tcPr>
          <w:p>
            <w:pPr>
              <w:jc w:val="center"/>
            </w:pPr>
            <w:r>
              <w:rPr>
                <w:rFonts w:ascii="宋体" w:hAnsi="宋体"/>
                <w:color w:val="000000"/>
                <w:kern w:val="0"/>
                <w:szCs w:val="21"/>
              </w:rPr>
              <w:t>-</w:t>
            </w:r>
          </w:p>
        </w:tc>
        <w:tc>
          <w:tcPr>
            <w:vAlign w:val="center"/>
          </w:tcPr>
          <w:p>
            <w:pPr>
              <w:jc w:val="center"/>
            </w:pPr>
            <w:r>
              <w:rPr>
                <w:rFonts w:ascii="宋体" w:hAnsi="宋体"/>
                <w:color w:val="000000"/>
                <w:kern w:val="0"/>
                <w:szCs w:val="21"/>
              </w:rPr>
              <w:t>12,133,245,471.41</w:t>
            </w:r>
          </w:p>
        </w:tc>
        <w:tc>
          <w:tcPr>
            <w:vAlign w:val="center"/>
          </w:tcPr>
          <w:p>
            <w:pPr>
              <w:jc w:val="center"/>
            </w:pPr>
            <w:r>
              <w:rPr>
                <w:rFonts w:ascii="宋体" w:hAnsi="宋体"/>
                <w:color w:val="000000"/>
                <w:kern w:val="0"/>
                <w:szCs w:val="21"/>
              </w:rPr>
              <w:t>39.24%</w:t>
            </w:r>
          </w:p>
        </w:tc>
      </w:tr>
    </w:tbl>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2F4E48" w:rsidRPr="004F4D27" w:rsidTr="00767E22">
        <w:tc>
          <w:tcPr>
            <w:tcW w:w="9212" w:type="dxa"/>
            <w:vAlign w:val="center"/>
          </w:tcPr>
          <w:p w:rsidR="002F4E48" w:rsidRPr="004F4D27" w:rsidRDefault="002F4E48" w:rsidP="00767E22">
            <w:pPr>
              <w:autoSpaceDE w:val="0"/>
              <w:autoSpaceDN w:val="0"/>
              <w:adjustRightInd w:val="0"/>
              <w:jc w:val="center"/>
              <w:rPr>
                <w:rFonts w:ascii="宋体" w:hAnsi="宋体"/>
                <w:kern w:val="0"/>
                <w:szCs w:val="21"/>
              </w:rPr>
            </w:pPr>
            <w:r w:rsidRPr="004F4D27">
              <w:rPr>
                <w:rFonts w:ascii="宋体" w:hAnsi="宋体"/>
                <w:color w:val="000000"/>
                <w:kern w:val="0"/>
                <w:szCs w:val="21"/>
              </w:rPr>
              <w:t>产品特有风险</w:t>
            </w:r>
            <w:r w:rsidRPr="004F4D27">
              <w:rPr>
                <w:rFonts w:ascii="宋体" w:hAnsi="宋体"/>
                <w:kern w:val="0"/>
                <w:szCs w:val="21"/>
              </w:rPr>
              <w:t/>
            </w:r>
            <w:r w:rsidRPr="004F4D27">
              <w:rPr>
                <w:rFonts w:ascii="宋体" w:hAnsi="宋体" w:hint="eastAsia"/>
                <w:kern w:val="0"/>
                <w:szCs w:val="21"/>
              </w:rPr>
              <w:t/>
            </w:r>
            <w:r w:rsidRPr="004F4D27">
              <w:rPr>
                <w:rFonts w:ascii="宋体" w:hAnsi="宋体"/>
                <w:kern w:val="0"/>
                <w:szCs w:val="21"/>
              </w:rPr>
              <w:t/>
            </w:r>
          </w:p>
        </w:tc>
      </w:tr>
      <w:tr w:rsidR="002F4E48" w:rsidRPr="004F4D27" w:rsidTr="00767E22">
        <w:tc>
          <w:tcPr>
            <w:tcW w:w="9212" w:type="dxa"/>
            <w:vAlign w:val="center"/>
          </w:tcPr>
          <w:p>
            <w:pPr>
              <w:autoSpaceDE w:val="0"/>
              <w:autoSpaceDN w:val="0"/>
              <w:adjustRightInd w:val="0"/>
              <w:jc w:val="left"/>
              <w:rPr>
                <w:rFonts w:ascii="宋体" w:hAnsi="宋体"/>
                <w:kern w:val="0"/>
                <w:szCs w:val="21"/>
              </w:rPr>
            </w:pPr>
            <w:r>
              <w:rPr>
                <w:rFonts w:ascii="宋体" w:hAnsi="宋体" w:hint="eastAsia"/>
                <w:kern w:val="0"/>
                <w:szCs w:val="21"/>
              </w:rPr>
              <w:t>本基金本报告期存在单一投资者持有基金份额比例超过20%的情形，可能面临单一投资者集中赎回的情况，从而：</w:t>
            </w:r>
          </w:p>
          <w:p>
            <w:pPr>
              <w:autoSpaceDE w:val="0"/>
              <w:autoSpaceDN w:val="0"/>
              <w:adjustRightInd w:val="0"/>
              <w:jc w:val="left"/>
              <w:rPr>
                <w:rFonts w:ascii="宋体" w:hAnsi="宋体"/>
                <w:kern w:val="0"/>
                <w:szCs w:val="21"/>
              </w:rPr>
            </w:pPr>
            <w:r>
              <w:rPr>
                <w:rFonts w:ascii="宋体" w:hAnsi="宋体" w:hint="eastAsia"/>
                <w:kern w:val="0"/>
                <w:szCs w:val="21"/>
              </w:rPr>
              <w:t>（1）对基金的流动性造成冲击，存在对剩余投资者的赎回办理造成影响的风险。</w:t>
            </w:r>
          </w:p>
          <w:p>
            <w:pPr>
              <w:autoSpaceDE w:val="0"/>
              <w:autoSpaceDN w:val="0"/>
              <w:adjustRightInd w:val="0"/>
              <w:jc w:val="left"/>
              <w:rPr>
                <w:rFonts w:ascii="宋体" w:hAnsi="宋体"/>
                <w:kern w:val="0"/>
                <w:szCs w:val="21"/>
              </w:rPr>
            </w:pPr>
            <w:r>
              <w:rPr>
                <w:rFonts w:ascii="宋体" w:hAnsi="宋体" w:hint="eastAsia"/>
                <w:kern w:val="0"/>
                <w:szCs w:val="21"/>
              </w:rPr>
              <w:t>（2）基金管理人因基金赎回的流动性要求致使部分投资受到限制，或因赎回费归入基金资产等原因，而导致基金资产净值波动的风险，影响基金的投资运作和收益水平。</w:t>
            </w:r>
          </w:p>
          <w:p>
            <w:pPr>
              <w:autoSpaceDE w:val="0"/>
              <w:autoSpaceDN w:val="0"/>
              <w:adjustRightInd w:val="0"/>
              <w:jc w:val="left"/>
              <w:rPr>
                <w:rFonts w:ascii="宋体" w:hAnsi="宋体"/>
                <w:kern w:val="0"/>
                <w:szCs w:val="21"/>
              </w:rPr>
            </w:pPr>
            <w:r>
              <w:rPr>
                <w:rFonts w:ascii="宋体" w:hAnsi="宋体" w:hint="eastAsia"/>
                <w:kern w:val="0"/>
                <w:szCs w:val="21"/>
              </w:rPr>
              <w:t>（3）因基金资产规模过小，而导致部分投资不能实现基金合同约定的投资目的及投资策略，或导致基金不能满足存续条件的风险。</w:t>
            </w:r>
          </w:p>
          <w:p w:rsidR="002F4E48" w:rsidRPr="004F4D27" w:rsidRDefault="002F4E48" w:rsidP="00767E22">
            <w:pPr>
              <w:autoSpaceDE w:val="0"/>
              <w:autoSpaceDN w:val="0"/>
              <w:adjustRightInd w:val="0"/>
              <w:jc w:val="left"/>
              <w:rPr>
                <w:rFonts w:ascii="宋体" w:hAnsi="宋体"/>
                <w:kern w:val="0"/>
                <w:szCs w:val="21"/>
              </w:rPr>
            </w:pPr>
            <w:r w:rsidRPr="004F4D27">
              <w:rPr>
                <w:rFonts w:ascii="宋体" w:hAnsi="宋体" w:hint="eastAsia"/>
                <w:kern w:val="0"/>
                <w:szCs w:val="21"/>
              </w:rPr>
              <w:t/>
            </w:r>
            <w:r w:rsidRPr="004F4D27">
              <w:rPr>
                <w:rFonts w:ascii="宋体" w:hAnsi="宋体"/>
                <w:kern w:val="0"/>
                <w:szCs w:val="21"/>
              </w:rPr>
              <w:t/>
            </w:r>
            <w:r w:rsidRPr="004F4D27">
              <w:rPr>
                <w:rFonts w:ascii="宋体" w:hAnsi="宋体" w:hint="eastAsia"/>
                <w:kern w:val="0"/>
                <w:szCs w:val="21"/>
              </w:rPr>
              <w:t>本管理人将审慎评估大额申购对基金持有集中度的影响，在运作中保持合适的流动性水平，保护持有人利益。</w:t>
            </w:r>
            <w:r w:rsidRPr="004F4D27">
              <w:rPr>
                <w:rFonts w:ascii="宋体" w:hAnsi="宋体"/>
                <w:kern w:val="0"/>
                <w:szCs w:val="21"/>
              </w:rPr>
              <w:t/>
            </w:r>
          </w:p>
        </w:tc>
      </w:tr>
    </w:tbl>
    <w:p w:rsidR="002F4E48" w:rsidRPr="002F4E48" w:rsidRDefault="002F4E48" w:rsidP="002F4E48">
      <w:pPr>
        <w:autoSpaceDE w:val="0"/>
        <w:autoSpaceDN w:val="0"/>
        <w:adjustRightInd w:val="0"/>
        <w:spacing w:line="360" w:lineRule="auto"/>
        <w:jc w:val="left"/>
        <w:rPr>
          <w:rFonts w:ascii="宋体" w:hAnsi="宋体"/>
          <w:b/>
          <w:bCs/>
          <w:color w:val="000000"/>
          <w:kern w:val="0"/>
          <w:sz w:val="24"/>
        </w:rPr>
      </w:pPr>
      <w:r w:rsidRPr="002F4E48">
        <w:rPr>
          <w:rFonts w:ascii="宋体" w:hAnsi="宋体"/>
          <w:b/>
          <w:color w:val="000000"/>
          <w:kern w:val="0"/>
          <w:sz w:val="24"/>
        </w:rPr>
        <w:t/>
      </w:r>
      <w:r w:rsidRPr="002F4E48">
        <w:rPr>
          <w:rFonts w:ascii="宋体" w:hAnsi="宋体" w:hint="eastAsia"/>
          <w:b/>
          <w:bCs/>
          <w:color w:val="000000"/>
          <w:kern w:val="0"/>
          <w:sz w:val="24"/>
        </w:rPr>
        <w:t>8.2 影响投资者决策的其他重要信息</w:t>
      </w:r>
    </w:p>
    <w:p w:rsidR="002F4E48" w:rsidRPr="004F4D27" w:rsidRDefault="002F4E48" w:rsidP="002F4E48">
      <w:pPr>
        <w:spacing w:line="360" w:lineRule="auto"/>
        <w:ind w:firstLineChars="200" w:firstLine="420"/>
        <w:rPr>
          <w:rFonts w:ascii="宋体" w:hAnsi="宋体"/>
          <w:color w:val="000000"/>
          <w:szCs w:val="21"/>
        </w:rPr>
      </w:pPr>
      <w:r w:rsidRPr="004F4D27">
        <w:rPr>
          <w:rFonts w:ascii="宋体" w:hAnsi="宋体"/>
          <w:color w:val="000000"/>
          <w:szCs w:val="21"/>
        </w:rPr>
        <w:t>无。</w:t>
      </w:r>
    </w:p>
    <w:p w:rsidR="009D74FC" w:rsidRPr="00221340" w:rsidRDefault="009D74FC" w:rsidP="00863749">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
      </w:r>
      <w:r w:rsidR="00F1658B" w:rsidRPr="00221340">
        <w:rPr>
          <w:rFonts w:asciiTheme="minorEastAsia" w:eastAsiaTheme="minorEastAsia" w:hAnsiTheme="minorEastAsia" w:cs="Arial" w:hint="eastAsia"/>
          <w:color w:val="000000" w:themeColor="text1"/>
          <w:kern w:val="0"/>
          <w:sz w:val="24"/>
          <w:szCs w:val="24"/>
        </w:rPr>
        <w:t/>
      </w:r>
      <w:r w:rsidR="00AF3D19" w:rsidRPr="00221340">
        <w:rPr>
          <w:rFonts w:asciiTheme="minorEastAsia" w:eastAsiaTheme="minorEastAsia" w:hAnsiTheme="minorEastAsia" w:cs="Arial" w:hint="eastAsia"/>
          <w:color w:val="000000" w:themeColor="text1"/>
          <w:kern w:val="0"/>
          <w:sz w:val="24"/>
          <w:szCs w:val="24"/>
        </w:rPr>
        <w:t/>
      </w:r>
      <w:r w:rsidR="00DA5831" w:rsidRPr="00221340">
        <w:rPr>
          <w:rFonts w:asciiTheme="minorEastAsia" w:eastAsiaTheme="minorEastAsia" w:hAnsiTheme="minorEastAsia" w:cs="Arial" w:hint="eastAsia"/>
          <w:color w:val="000000" w:themeColor="text1"/>
          <w:kern w:val="0"/>
          <w:sz w:val="24"/>
          <w:szCs w:val="24"/>
        </w:rPr>
        <w:t>9</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
      </w:r>
      <w:r w:rsidR="00F1658B" w:rsidRPr="00221340">
        <w:rPr>
          <w:rFonts w:asciiTheme="minorEastAsia" w:eastAsiaTheme="minorEastAsia" w:hAnsiTheme="minorEastAsia" w:cs="Arial" w:hint="eastAsia"/>
          <w:b/>
          <w:color w:val="000000" w:themeColor="text1"/>
          <w:kern w:val="0"/>
          <w:sz w:val="24"/>
        </w:rPr>
        <w:t/>
      </w: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1、中国证监会批准设立光大保德信添天盈月度理财债券型证券投资基金的文件 </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2、光大保德信添天盈月度理财债券型证券投资基金基金合同 </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3、光大保德信添天盈月度理财债券型证券投资基金招募说明书 </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4、光大保德信添天盈月度理财债券型证券投资基金托管协议 </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5、光大保德信添天盈月度理财债券型证券投资基金法律意见书 </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6、光大保德信基金管理有限公司的业务资格批件、营业执照、公司章程 </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7、基金托管人业务资格批件和营业执照 </w:t>
      </w:r>
    </w:p>
    <w:p>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8、报告期内光大保德信添天盈月度理财债券型证券投资基金在指定报刊上披露的各项公告 </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lastRenderedPageBreak/>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9、中国证监会要求的其他文件</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
      </w:r>
      <w:r w:rsidR="00F1658B" w:rsidRPr="00221340">
        <w:rPr>
          <w:rFonts w:asciiTheme="minorEastAsia" w:eastAsiaTheme="minorEastAsia" w:hAnsiTheme="minorEastAsia" w:cs="Arial" w:hint="eastAsia"/>
          <w:b/>
          <w:color w:val="000000" w:themeColor="text1"/>
          <w:kern w:val="0"/>
          <w:sz w:val="24"/>
        </w:rPr>
        <w:t/>
      </w: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上海市黄浦区中山东二路558号外滩金融中心1幢（北区3号楼），6-7层、10层。</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
      </w:r>
      <w:r w:rsidR="00F1658B" w:rsidRPr="00221340">
        <w:rPr>
          <w:rFonts w:asciiTheme="minorEastAsia" w:eastAsiaTheme="minorEastAsia" w:hAnsiTheme="minorEastAsia" w:cs="Arial" w:hint="eastAsia"/>
          <w:b/>
          <w:color w:val="000000" w:themeColor="text1"/>
          <w:kern w:val="0"/>
          <w:sz w:val="24"/>
        </w:rPr>
        <w:t/>
      </w: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
      </w:r>
      <w:r w:rsidRPr="00221340">
        <w:rPr>
          <w:rFonts w:asciiTheme="minorEastAsia" w:eastAsiaTheme="minorEastAsia" w:hAnsiTheme="minorEastAsia"/>
          <w:color w:val="000000" w:themeColor="text1"/>
          <w:szCs w:val="21"/>
        </w:rPr>
        <w:t/>
      </w:r>
      <w:r w:rsidRPr="00221340">
        <w:rPr>
          <w:rFonts w:asciiTheme="minorEastAsia" w:eastAsiaTheme="minorEastAsia" w:hAnsiTheme="minorEastAsia" w:hint="eastAsia"/>
          <w:color w:val="000000" w:themeColor="text1"/>
          <w:szCs w:val="21"/>
        </w:rPr>
        <w:t>投资者可于本基金管理人办公时间预约查阅。 投资者对本报告书如有疑问，可咨询本基金管理人。 客户服务中心电话：4008-202-888，021-80262888。 公司网址：www.epf.com.cn。</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光大保德信基金管理有限公司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二〇一九年七月十八日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D90" w:rsidRDefault="00551D90">
      <w:r>
        <w:separator/>
      </w:r>
    </w:p>
  </w:endnote>
  <w:endnote w:type="continuationSeparator" w:id="1">
    <w:p w:rsidR="00551D90" w:rsidRDefault="00551D9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36" w:rsidRPr="001D0DB0" w:rsidRDefault="000C5A36" w:rsidP="001D0DB0">
    <w:pPr>
      <w:pStyle w:val="a5"/>
      <w:jc w:val="center"/>
    </w:pPr>
    <w:r>
      <w:rPr>
        <w:rFonts w:hint="eastAsia"/>
        <w:kern w:val="0"/>
        <w:szCs w:val="21"/>
      </w:rPr>
      <w:t>第</w:t>
    </w:r>
    <w:r w:rsidR="00590432">
      <w:rPr>
        <w:kern w:val="0"/>
        <w:szCs w:val="21"/>
      </w:rPr>
      <w:fldChar w:fldCharType="begin"/>
    </w:r>
    <w:r>
      <w:rPr>
        <w:kern w:val="0"/>
        <w:szCs w:val="21"/>
      </w:rPr>
      <w:instrText xml:space="preserve"> PAGE </w:instrText>
    </w:r>
    <w:r w:rsidR="00590432">
      <w:rPr>
        <w:kern w:val="0"/>
        <w:szCs w:val="21"/>
      </w:rPr>
      <w:fldChar w:fldCharType="separate"/>
    </w:r>
    <w:r w:rsidR="00863749">
      <w:rPr>
        <w:noProof/>
        <w:kern w:val="0"/>
        <w:szCs w:val="21"/>
      </w:rPr>
      <w:t>23</w:t>
    </w:r>
    <w:r w:rsidR="00590432">
      <w:rPr>
        <w:kern w:val="0"/>
        <w:szCs w:val="21"/>
      </w:rPr>
      <w:fldChar w:fldCharType="end"/>
    </w:r>
    <w:r>
      <w:rPr>
        <w:rFonts w:hint="eastAsia"/>
        <w:kern w:val="0"/>
        <w:szCs w:val="21"/>
      </w:rPr>
      <w:t>页共</w:t>
    </w:r>
    <w:r w:rsidR="00590432">
      <w:rPr>
        <w:kern w:val="0"/>
        <w:szCs w:val="21"/>
      </w:rPr>
      <w:fldChar w:fldCharType="begin"/>
    </w:r>
    <w:r>
      <w:rPr>
        <w:kern w:val="0"/>
        <w:szCs w:val="21"/>
      </w:rPr>
      <w:instrText xml:space="preserve"> NUMPAGES </w:instrText>
    </w:r>
    <w:r w:rsidR="00590432">
      <w:rPr>
        <w:kern w:val="0"/>
        <w:szCs w:val="21"/>
      </w:rPr>
      <w:fldChar w:fldCharType="separate"/>
    </w:r>
    <w:r w:rsidR="00863749">
      <w:rPr>
        <w:noProof/>
        <w:kern w:val="0"/>
        <w:szCs w:val="21"/>
      </w:rPr>
      <w:t>24</w:t>
    </w:r>
    <w:r w:rsidR="00590432">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D90" w:rsidRDefault="00551D90">
      <w:r>
        <w:separator/>
      </w:r>
    </w:p>
  </w:footnote>
  <w:footnote w:type="continuationSeparator" w:id="1">
    <w:p w:rsidR="00551D90" w:rsidRDefault="00551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36" w:rsidRPr="000C5A36" w:rsidRDefault="000C5A36" w:rsidP="008379E2">
    <w:pPr>
      <w:pStyle w:val="a4"/>
      <w:pBdr>
        <w:bottom w:val="single" w:sz="6" w:space="0" w:color="auto"/>
      </w:pBdr>
      <w:jc w:val="right"/>
    </w:pPr>
    <w:r w:rsidRPr="000C5A36">
      <w:t>光大保德信添天盈月度理财债券型证券投资基金2019年第2季度报告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283"/>
    <w:rsid w:val="000028CE"/>
    <w:rsid w:val="00004DE7"/>
    <w:rsid w:val="00005433"/>
    <w:rsid w:val="00013C10"/>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2044"/>
    <w:rsid w:val="000B2266"/>
    <w:rsid w:val="000C469F"/>
    <w:rsid w:val="000C5A36"/>
    <w:rsid w:val="000D0F44"/>
    <w:rsid w:val="000D6294"/>
    <w:rsid w:val="000D66F0"/>
    <w:rsid w:val="000E0F6E"/>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424F"/>
    <w:rsid w:val="002507FE"/>
    <w:rsid w:val="002525C7"/>
    <w:rsid w:val="002611C3"/>
    <w:rsid w:val="002622E8"/>
    <w:rsid w:val="00267283"/>
    <w:rsid w:val="00274FAC"/>
    <w:rsid w:val="002A4B7F"/>
    <w:rsid w:val="002B1BE6"/>
    <w:rsid w:val="002B45A4"/>
    <w:rsid w:val="002D3ADF"/>
    <w:rsid w:val="002E040C"/>
    <w:rsid w:val="002E0F4A"/>
    <w:rsid w:val="002F0E9D"/>
    <w:rsid w:val="002F4E48"/>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1D90"/>
    <w:rsid w:val="00555883"/>
    <w:rsid w:val="00560F94"/>
    <w:rsid w:val="005633AD"/>
    <w:rsid w:val="00570F8C"/>
    <w:rsid w:val="00575970"/>
    <w:rsid w:val="00582960"/>
    <w:rsid w:val="00582A58"/>
    <w:rsid w:val="00590432"/>
    <w:rsid w:val="00592D0A"/>
    <w:rsid w:val="00594DCA"/>
    <w:rsid w:val="00595285"/>
    <w:rsid w:val="005A4772"/>
    <w:rsid w:val="005A60B7"/>
    <w:rsid w:val="005A7B32"/>
    <w:rsid w:val="005B527B"/>
    <w:rsid w:val="005C4337"/>
    <w:rsid w:val="005D596C"/>
    <w:rsid w:val="005D6807"/>
    <w:rsid w:val="005E05CC"/>
    <w:rsid w:val="005E2087"/>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97EE3"/>
    <w:rsid w:val="006A1E40"/>
    <w:rsid w:val="006A2D00"/>
    <w:rsid w:val="006B4C67"/>
    <w:rsid w:val="006D27DD"/>
    <w:rsid w:val="006D4647"/>
    <w:rsid w:val="006D4C22"/>
    <w:rsid w:val="006E4EB5"/>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63749"/>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651F6"/>
    <w:rsid w:val="00B83944"/>
    <w:rsid w:val="00B94B49"/>
    <w:rsid w:val="00BA7AF1"/>
    <w:rsid w:val="00BB03CC"/>
    <w:rsid w:val="00BB080E"/>
    <w:rsid w:val="00BB252C"/>
    <w:rsid w:val="00BB5126"/>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3B1D"/>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A76F6"/>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02A9"/>
    <w:rsid w:val="00FB345F"/>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uiPriority w:val="99"/>
    <w:rsid w:val="005A6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paragraph" w:styleId="ad">
    <w:name w:val="footnote text"/>
    <w:basedOn w:val="a"/>
    <w:link w:val="Char4"/>
    <w:rsid w:val="00D03770"/>
    <w:pPr>
      <w:snapToGrid w:val="0"/>
      <w:jc w:val="left"/>
    </w:pPr>
    <w:rPr>
      <w:sz w:val="18"/>
      <w:szCs w:val="18"/>
    </w:rPr>
  </w:style>
  <w:style w:type="character" w:customStyle="1" w:styleId="Char4">
    <w:name w:val="脚注文本 Char"/>
    <w:basedOn w:val="a1"/>
    <w:link w:val="ad"/>
    <w:rsid w:val="00D03770"/>
    <w:rPr>
      <w:kern w:val="2"/>
      <w:sz w:val="18"/>
      <w:szCs w:val="18"/>
    </w:rPr>
  </w:style>
  <w:style w:type="character" w:styleId="ae">
    <w:name w:val="footnote reference"/>
    <w:rsid w:val="00D03770"/>
    <w:rPr>
      <w:vertAlign w:val="superscript"/>
    </w:rPr>
  </w:style>
  <w:style w:type="character" w:styleId="af">
    <w:name w:val="Strong"/>
    <w:basedOn w:val="a1"/>
    <w:uiPriority w:val="22"/>
    <w:qFormat/>
    <w:rsid w:val="00582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s>
</file>

<file path=word/webSettings.xml><?xml version="1.0" encoding="utf-8"?>
<w:webSettings xmlns:r="http://schemas.openxmlformats.org/officeDocument/2006/relationships" xmlns:w="http://schemas.openxmlformats.org/wordprocessingml/2006/main">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media/image2.jpeg" Type="http://schemas.openxmlformats.org/officeDocument/2006/relationships/image"/>
<Relationship Id="rId11" Target="fontTable.xml" Type="http://schemas.openxmlformats.org/officeDocument/2006/relationships/fontTable"/>
<Relationship Id="rId12" Target="theme/theme1.xml" Type="http://schemas.openxmlformats.org/officeDocument/2006/relationships/theme"/>
<Relationship Id="rId13" Target="stylesWithEffects.xml" Type="http://schemas.microsoft.com/office/2007/relationships/stylesWithEffects"/>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media/image1.jpe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24</Pages>
  <Words>3685</Words>
  <Characters>21005</Characters>
  <Application>Microsoft Office Word</Application>
  <DocSecurity>0</DocSecurity>
  <Lines>175</Lines>
  <Paragraphs>49</Paragraphs>
  <ScaleCrop>false</ScaleCrop>
  <Company>jysld</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china</cp:lastModifiedBy>
  <cp:lastPrinted>2009-01-22T10:11:00Z</cp:lastPrinted>
  <dcterms:modified xsi:type="dcterms:W3CDTF">2017-05-17T08:37:00Z</dcterms:modified>
  <cp:revision>213</cp:revision>
</cp:coreProperties>
</file>