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FC7F43" w:rsidRPr="004264FD" w:rsidRDefault="00FC7F4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9A2283" w:rsidP="009A2283">
      <w:pPr>
        <w:autoSpaceDE w:val="0"/>
        <w:autoSpaceDN w:val="0"/>
        <w:adjustRightInd w:val="0"/>
        <w:spacing w:line="360" w:lineRule="auto"/>
        <w:jc w:val="left"/>
        <w:rPr>
          <w:rFonts w:eastAsiaTheme="minorEastAsia"/>
          <w:color w:val="000000" w:themeColor="text1"/>
          <w:kern w:val="0"/>
          <w:szCs w:val="21"/>
        </w:rPr>
      </w:pPr>
    </w:p>
    <w:p w:rsidR="009A2283"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光大保德信岁末红利纯债债券型证券投资基金</w:t>
      </w:r>
    </w:p>
    <w:p w:rsidR="002D2A00" w:rsidRPr="004264FD" w:rsidRDefault="002D2A00" w:rsidP="00FC13C8">
      <w:pPr>
        <w:spacing w:line="360" w:lineRule="auto"/>
        <w:jc w:val="center"/>
        <w:rPr>
          <w:rFonts w:eastAsiaTheme="minorEastAsia"/>
          <w:b/>
          <w:color w:val="000000" w:themeColor="text1"/>
          <w:sz w:val="36"/>
          <w:szCs w:val="36"/>
        </w:rPr>
      </w:pPr>
      <w:r w:rsidRPr="004264FD">
        <w:rPr>
          <w:rFonts w:eastAsiaTheme="minorEastAsia"/>
          <w:b/>
          <w:color w:val="000000" w:themeColor="text1"/>
          <w:sz w:val="36"/>
          <w:szCs w:val="36"/>
        </w:rPr>
        <w:t>2019</w:t>
      </w:r>
      <w:r w:rsidRPr="004264FD">
        <w:rPr>
          <w:rFonts w:eastAsiaTheme="minorEastAsia"/>
          <w:b/>
          <w:color w:val="000000" w:themeColor="text1"/>
          <w:sz w:val="36"/>
          <w:szCs w:val="36"/>
        </w:rPr>
        <w:t>年第</w:t>
      </w:r>
      <w:r w:rsidRPr="004264FD">
        <w:rPr>
          <w:rFonts w:eastAsiaTheme="minorEastAsia"/>
          <w:b/>
          <w:color w:val="000000" w:themeColor="text1"/>
          <w:sz w:val="36"/>
          <w:szCs w:val="36"/>
        </w:rPr>
        <w:t>2</w:t>
      </w:r>
      <w:r w:rsidRPr="004264FD">
        <w:rPr>
          <w:rFonts w:eastAsiaTheme="minorEastAsia"/>
          <w:b/>
          <w:color w:val="000000" w:themeColor="text1"/>
          <w:sz w:val="36"/>
          <w:szCs w:val="36"/>
        </w:rPr>
        <w:t>季度报告</w:t>
      </w:r>
    </w:p>
    <w:p w:rsidR="009A2283" w:rsidRPr="004264FD" w:rsidRDefault="00121533" w:rsidP="00FC13C8">
      <w:pPr>
        <w:spacing w:line="360" w:lineRule="auto"/>
        <w:jc w:val="center"/>
        <w:rPr>
          <w:rFonts w:eastAsiaTheme="minorEastAsia"/>
          <w:b/>
          <w:color w:val="000000" w:themeColor="text1"/>
          <w:szCs w:val="21"/>
        </w:rPr>
      </w:pPr>
      <w:r w:rsidRPr="004264FD">
        <w:rPr>
          <w:rFonts w:eastAsiaTheme="minorEastAsia"/>
          <w:b/>
          <w:color w:val="000000" w:themeColor="text1"/>
          <w:sz w:val="36"/>
          <w:szCs w:val="36"/>
        </w:rPr>
        <w:t>2019</w:t>
      </w:r>
      <w:r w:rsidRPr="004264FD">
        <w:rPr>
          <w:rFonts w:eastAsiaTheme="minorEastAsia"/>
          <w:b/>
          <w:color w:val="000000" w:themeColor="text1"/>
          <w:sz w:val="36"/>
          <w:szCs w:val="36"/>
        </w:rPr>
        <w:t>年</w:t>
      </w:r>
      <w:r w:rsidRPr="004264FD">
        <w:rPr>
          <w:rFonts w:eastAsiaTheme="minorEastAsia"/>
          <w:b/>
          <w:color w:val="000000" w:themeColor="text1"/>
          <w:sz w:val="36"/>
          <w:szCs w:val="36"/>
        </w:rPr>
        <w:t>6</w:t>
      </w:r>
      <w:r w:rsidRPr="004264FD">
        <w:rPr>
          <w:rFonts w:eastAsiaTheme="minorEastAsia"/>
          <w:b/>
          <w:color w:val="000000" w:themeColor="text1"/>
          <w:sz w:val="36"/>
          <w:szCs w:val="36"/>
        </w:rPr>
        <w:t>月</w:t>
      </w:r>
      <w:r w:rsidRPr="004264FD">
        <w:rPr>
          <w:rFonts w:eastAsiaTheme="minorEastAsia"/>
          <w:b/>
          <w:color w:val="000000" w:themeColor="text1"/>
          <w:sz w:val="36"/>
          <w:szCs w:val="36"/>
        </w:rPr>
        <w:t>30</w:t>
      </w:r>
      <w:r w:rsidRPr="004264FD">
        <w:rPr>
          <w:rFonts w:eastAsiaTheme="minorEastAsia"/>
          <w:b/>
          <w:color w:val="000000" w:themeColor="text1"/>
          <w:sz w:val="36"/>
          <w:szCs w:val="36"/>
        </w:rPr>
        <w:t>日</w:t>
      </w: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E27360">
      <w:pPr>
        <w:spacing w:line="360" w:lineRule="auto"/>
        <w:jc w:val="center"/>
        <w:rPr>
          <w:rFonts w:eastAsiaTheme="minorEastAsia"/>
          <w:b/>
          <w:color w:val="000000" w:themeColor="text1"/>
          <w:szCs w:val="21"/>
        </w:rPr>
      </w:pPr>
    </w:p>
    <w:p w:rsidR="00E27360" w:rsidRPr="004264FD" w:rsidRDefault="00E27360" w:rsidP="00E27360">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jc w:val="center"/>
        <w:rPr>
          <w:rFonts w:eastAsiaTheme="minorEastAsia"/>
          <w:b/>
          <w:color w:val="000000" w:themeColor="text1"/>
          <w:szCs w:val="21"/>
        </w:rPr>
      </w:pPr>
    </w:p>
    <w:p w:rsidR="009A2283" w:rsidRPr="004264FD" w:rsidRDefault="009A2283" w:rsidP="009A2283">
      <w:pPr>
        <w:spacing w:line="360" w:lineRule="auto"/>
        <w:rPr>
          <w:rFonts w:eastAsiaTheme="minorEastAsia"/>
          <w:b/>
          <w:color w:val="000000" w:themeColor="text1"/>
          <w:szCs w:val="21"/>
        </w:rPr>
      </w:pP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基金管理人：</w:t>
      </w:r>
      <w:r w:rsidR="00BF377F" w:rsidRPr="004264FD">
        <w:rPr>
          <w:rFonts w:eastAsiaTheme="minorEastAsia"/>
          <w:b/>
          <w:color w:val="000000" w:themeColor="text1"/>
          <w:sz w:val="24"/>
        </w:rPr>
        <w:t>光大保德信基金管理有限公司</w:t>
      </w:r>
    </w:p>
    <w:p w:rsidR="009A2283" w:rsidRPr="004264FD" w:rsidRDefault="009A2283" w:rsidP="00634B21">
      <w:pPr>
        <w:spacing w:line="360" w:lineRule="auto"/>
        <w:ind w:firstLineChars="900" w:firstLine="2168"/>
        <w:rPr>
          <w:rFonts w:eastAsiaTheme="minorEastAsia"/>
          <w:b/>
          <w:color w:val="000000" w:themeColor="text1"/>
          <w:sz w:val="24"/>
        </w:rPr>
      </w:pPr>
      <w:r w:rsidRPr="004264FD">
        <w:rPr>
          <w:rFonts w:eastAsiaTheme="minorEastAsia"/>
          <w:b/>
          <w:color w:val="000000" w:themeColor="text1"/>
          <w:sz w:val="24"/>
        </w:rPr>
        <w:t>基金托管人：</w:t>
      </w:r>
      <w:r w:rsidR="00BF377F" w:rsidRPr="004264FD">
        <w:rPr>
          <w:rFonts w:eastAsiaTheme="minorEastAsia"/>
          <w:b/>
          <w:color w:val="000000" w:themeColor="text1"/>
          <w:sz w:val="24"/>
        </w:rPr>
        <w:t>中国建设银行股份有限公司</w:t>
      </w:r>
    </w:p>
    <w:p w:rsidR="009A2283" w:rsidRPr="004264FD" w:rsidRDefault="009A2283" w:rsidP="00634B21">
      <w:pPr>
        <w:spacing w:line="360" w:lineRule="auto"/>
        <w:ind w:firstLineChars="900" w:firstLine="2168"/>
        <w:rPr>
          <w:rFonts w:eastAsiaTheme="minorEastAsia"/>
          <w:color w:val="000000" w:themeColor="text1"/>
          <w:szCs w:val="21"/>
        </w:rPr>
        <w:sectPr w:rsidR="009A2283" w:rsidRPr="004264FD" w:rsidSect="00F7094A">
          <w:headerReference w:type="default" r:id="rId8"/>
          <w:footerReference w:type="default" r:id="rId9"/>
          <w:pgSz w:w="11926" w:h="15840"/>
          <w:pgMar w:top="1418" w:right="1418" w:bottom="851" w:left="1418" w:header="851" w:footer="992" w:gutter="0"/>
          <w:cols w:space="720"/>
          <w:noEndnote/>
        </w:sectPr>
      </w:pPr>
      <w:r w:rsidRPr="004264FD">
        <w:rPr>
          <w:rFonts w:eastAsiaTheme="minorEastAsia"/>
          <w:b/>
          <w:color w:val="000000" w:themeColor="text1"/>
          <w:sz w:val="24"/>
        </w:rPr>
        <w:t>报告送出日期：</w:t>
      </w:r>
      <w:r w:rsidR="00D04410" w:rsidRPr="004264FD">
        <w:rPr>
          <w:rFonts w:eastAsiaTheme="minorEastAsia"/>
          <w:b/>
          <w:color w:val="000000" w:themeColor="text1"/>
          <w:sz w:val="24"/>
        </w:rPr>
        <w:t>二〇一九年七月十八日</w:t>
      </w:r>
    </w:p>
    <w:p w:rsidR="009238DB" w:rsidRPr="004264FD" w:rsidRDefault="009238DB" w:rsidP="004241D1">
      <w:pPr>
        <w:pStyle w:val="1"/>
        <w:spacing w:beforeLines="100" w:afterLines="100" w:line="360" w:lineRule="auto"/>
        <w:jc w:val="center"/>
        <w:rPr>
          <w:rFonts w:eastAsiaTheme="minorEastAsia"/>
          <w:b w:val="0"/>
          <w:color w:val="000000" w:themeColor="text1"/>
          <w:kern w:val="0"/>
          <w:sz w:val="21"/>
          <w:szCs w:val="21"/>
        </w:rPr>
      </w:pPr>
      <w:r w:rsidRPr="004264FD">
        <w:rPr>
          <w:rFonts w:eastAsiaTheme="minorEastAsia"/>
          <w:color w:val="000000" w:themeColor="text1"/>
          <w:kern w:val="0"/>
          <w:sz w:val="21"/>
          <w:szCs w:val="21"/>
        </w:rPr>
        <w:lastRenderedPageBreak/>
        <w:t xml:space="preserve">§1  </w:t>
      </w:r>
      <w:r w:rsidRPr="004264FD">
        <w:rPr>
          <w:rFonts w:eastAsiaTheme="minorEastAsia"/>
          <w:color w:val="000000" w:themeColor="text1"/>
          <w:kern w:val="0"/>
          <w:sz w:val="21"/>
          <w:szCs w:val="21"/>
        </w:rPr>
        <w:t>重要提示</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17</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9238DB" w:rsidRPr="004264FD" w:rsidRDefault="00267DA9"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本报告期自</w:t>
      </w: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4</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日起至</w:t>
      </w:r>
      <w:r w:rsidRPr="004264FD">
        <w:rPr>
          <w:rFonts w:eastAsiaTheme="minorEastAsia"/>
          <w:color w:val="000000" w:themeColor="text1"/>
          <w:szCs w:val="21"/>
        </w:rPr>
        <w:t>6</w:t>
      </w:r>
      <w:r w:rsidRPr="004264FD">
        <w:rPr>
          <w:rFonts w:eastAsiaTheme="minorEastAsia"/>
          <w:color w:val="000000" w:themeColor="text1"/>
          <w:szCs w:val="21"/>
        </w:rPr>
        <w:t>月</w:t>
      </w:r>
      <w:r w:rsidRPr="004264FD">
        <w:rPr>
          <w:rFonts w:eastAsiaTheme="minorEastAsia"/>
          <w:color w:val="000000" w:themeColor="text1"/>
          <w:szCs w:val="21"/>
        </w:rPr>
        <w:t>30</w:t>
      </w:r>
      <w:r w:rsidRPr="004264FD">
        <w:rPr>
          <w:rFonts w:eastAsiaTheme="minorEastAsia"/>
          <w:color w:val="000000" w:themeColor="text1"/>
          <w:szCs w:val="21"/>
        </w:rPr>
        <w:t>日止。</w:t>
      </w:r>
    </w:p>
    <w:p w:rsidR="009238DB" w:rsidRPr="004264FD" w:rsidRDefault="009238DB" w:rsidP="004241D1">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§2  </w:t>
      </w:r>
      <w:r w:rsidRPr="004264FD">
        <w:rPr>
          <w:rFonts w:eastAsiaTheme="minorEastAsia"/>
          <w:color w:val="000000" w:themeColor="text1"/>
          <w:kern w:val="0"/>
          <w:sz w:val="21"/>
          <w:szCs w:val="21"/>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35"/>
        <w:gridCol w:w="2739"/>
        <w:gridCol w:w="2740"/>
      </w:tblGrid>
      <w:tr w:rsidR="0086758B" w:rsidRPr="004264FD" w:rsidTr="003F7026">
        <w:tc>
          <w:tcPr>
            <w:tcW w:w="2835" w:type="dxa"/>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基金简称</w:t>
            </w:r>
          </w:p>
        </w:tc>
        <w:tc>
          <w:tcPr>
            <w:tcW w:w="5479" w:type="dxa"/>
            <w:gridSpan w:val="2"/>
            <w:vAlign w:val="center"/>
          </w:tcPr>
          <w:p w:rsidR="00A6200E" w:rsidRPr="004264FD" w:rsidRDefault="00A6200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光大保德信岁末红利债券</w:t>
            </w:r>
          </w:p>
        </w:tc>
      </w:tr>
      <w:tr w:rsidR="0086758B" w:rsidRPr="004264FD" w:rsidTr="003F7026">
        <w:tc>
          <w:tcPr>
            <w:tcW w:w="2835" w:type="dxa"/>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B95753" w:rsidRPr="004264FD" w:rsidRDefault="00B9575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000489</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契约型开放式</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基金合同生效日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2014</w:t>
            </w:r>
            <w:r w:rsidRPr="004264FD">
              <w:rPr>
                <w:rFonts w:eastAsiaTheme="minorEastAsia"/>
                <w:color w:val="000000" w:themeColor="text1"/>
                <w:kern w:val="0"/>
                <w:szCs w:val="21"/>
              </w:rPr>
              <w:t>年</w:t>
            </w:r>
            <w:r w:rsidRPr="004264FD">
              <w:rPr>
                <w:rFonts w:eastAsiaTheme="minorEastAsia"/>
                <w:color w:val="000000" w:themeColor="text1"/>
                <w:kern w:val="0"/>
                <w:szCs w:val="21"/>
              </w:rPr>
              <w:t>8</w:t>
            </w:r>
            <w:r w:rsidRPr="004264FD">
              <w:rPr>
                <w:rFonts w:eastAsiaTheme="minorEastAsia"/>
                <w:color w:val="000000" w:themeColor="text1"/>
                <w:kern w:val="0"/>
                <w:szCs w:val="21"/>
              </w:rPr>
              <w:t>月</w:t>
            </w:r>
            <w:r w:rsidRPr="004264FD">
              <w:rPr>
                <w:rFonts w:eastAsiaTheme="minorEastAsia"/>
                <w:color w:val="000000" w:themeColor="text1"/>
                <w:kern w:val="0"/>
                <w:szCs w:val="21"/>
              </w:rPr>
              <w:t>12</w:t>
            </w:r>
            <w:r w:rsidRPr="004264FD">
              <w:rPr>
                <w:rFonts w:eastAsiaTheme="minorEastAsia"/>
                <w:color w:val="000000" w:themeColor="text1"/>
                <w:kern w:val="0"/>
                <w:szCs w:val="21"/>
              </w:rPr>
              <w:t>日</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报告期末基金份额总额</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1,915,996,462.89</w:t>
            </w:r>
            <w:r w:rsidRPr="004264FD">
              <w:rPr>
                <w:rFonts w:eastAsiaTheme="minorEastAsia"/>
                <w:color w:val="000000" w:themeColor="text1"/>
                <w:kern w:val="0"/>
                <w:szCs w:val="21"/>
              </w:rPr>
              <w:t>份</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投资目标</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本基金在控制信用风险、谨慎投资的前提下，力争在获取持有期收益的同时，实现基金资产的长期稳定增值。</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投资策略</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根据工业增加值、通货膨胀率等宏观经济指标，结合国家货币政策和财政政策实施情况、市场收益率曲线变动情况、市场流动性情况，综合分析债券市场的变动趋势。最终确定本基金在债券类资产中的投资比率，构建和调整债券投资组合。</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业绩比较基准</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中证全债指数。</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风险收益特征</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本基金为债券型基金，其预期收益和风险高于货币市场基</w:t>
            </w:r>
            <w:r w:rsidRPr="004264FD">
              <w:rPr>
                <w:rFonts w:eastAsiaTheme="minorEastAsia"/>
                <w:color w:val="000000" w:themeColor="text1"/>
                <w:kern w:val="0"/>
                <w:szCs w:val="21"/>
              </w:rPr>
              <w:lastRenderedPageBreak/>
              <w:t>金，低于混合型基金和股票型基金。</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lastRenderedPageBreak/>
              <w:t>基金管理人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光大保德信基金管理有限公司</w:t>
            </w:r>
          </w:p>
        </w:tc>
      </w:tr>
      <w:tr w:rsidR="0086758B" w:rsidRPr="004264FD" w:rsidTr="003F7026">
        <w:tc>
          <w:tcPr>
            <w:tcW w:w="2835" w:type="dxa"/>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基金托管人</w:t>
            </w:r>
          </w:p>
        </w:tc>
        <w:tc>
          <w:tcPr>
            <w:tcW w:w="5479" w:type="dxa"/>
            <w:gridSpan w:val="2"/>
            <w:vAlign w:val="center"/>
          </w:tcPr>
          <w:p w:rsidR="008532F3" w:rsidRPr="004264FD" w:rsidRDefault="008532F3"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kern w:val="0"/>
                <w:szCs w:val="21"/>
              </w:rPr>
              <w:t>中国建设银行股份有限公司</w:t>
            </w:r>
          </w:p>
        </w:tc>
      </w:tr>
      <w:tr w:rsidR="0086758B" w:rsidRPr="004264FD" w:rsidTr="003F7026">
        <w:tc>
          <w:tcPr>
            <w:tcW w:w="2835" w:type="dxa"/>
            <w:vAlign w:val="center"/>
          </w:tcPr>
          <w:p w:rsidR="008532F3" w:rsidRPr="004264FD" w:rsidRDefault="00D72993" w:rsidP="003F7026">
            <w:pPr>
              <w:adjustRightInd w:val="0"/>
              <w:spacing w:before="29" w:line="360" w:lineRule="auto"/>
              <w:ind w:left="17"/>
              <w:rPr>
                <w:rFonts w:eastAsiaTheme="minorEastAsia"/>
                <w:color w:val="000000" w:themeColor="text1"/>
                <w:kern w:val="0"/>
                <w:szCs w:val="21"/>
              </w:rPr>
            </w:pPr>
            <w:r w:rsidRPr="00D72993">
              <w:rPr>
                <w:rFonts w:eastAsiaTheme="minorEastAsia" w:hint="eastAsia"/>
                <w:color w:val="000000" w:themeColor="text1"/>
                <w:szCs w:val="21"/>
              </w:rPr>
              <w:t>下属分级</w:t>
            </w:r>
            <w:r w:rsidR="008532F3" w:rsidRPr="004264FD">
              <w:rPr>
                <w:rFonts w:eastAsiaTheme="minorEastAsia"/>
                <w:color w:val="000000" w:themeColor="text1"/>
                <w:szCs w:val="21"/>
              </w:rPr>
              <w:t>基金的基金简称</w:t>
            </w:r>
          </w:p>
        </w:tc>
        <w:tc>
          <w:tcPr>
            <w:tcW w:w="2739"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A</w:t>
            </w:r>
          </w:p>
        </w:tc>
        <w:tc>
          <w:tcPr>
            <w:tcW w:w="2740" w:type="dxa"/>
            <w:vAlign w:val="center"/>
          </w:tcPr>
          <w:p w:rsidR="008532F3" w:rsidRPr="004264FD" w:rsidRDefault="008532F3" w:rsidP="003F7026">
            <w:pP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p>
        </w:tc>
      </w:tr>
      <w:tr w:rsidR="0086758B" w:rsidRPr="004264FD" w:rsidTr="003F7026">
        <w:tc>
          <w:tcPr>
            <w:tcW w:w="2835" w:type="dxa"/>
            <w:vAlign w:val="center"/>
          </w:tcPr>
          <w:p w:rsidR="008532F3" w:rsidRPr="00251CC4" w:rsidRDefault="008532F3" w:rsidP="003F7026">
            <w:pPr>
              <w:adjustRightInd w:val="0"/>
              <w:spacing w:before="29" w:line="360" w:lineRule="auto"/>
              <w:ind w:left="17"/>
              <w:rPr>
                <w:rFonts w:eastAsiaTheme="minorEastAsia"/>
                <w:color w:val="000000" w:themeColor="text1"/>
                <w:szCs w:val="21"/>
              </w:rPr>
            </w:pPr>
            <w:r w:rsidRPr="00251CC4">
              <w:rPr>
                <w:rFonts w:eastAsiaTheme="minorEastAsia"/>
                <w:color w:val="000000" w:themeColor="text1"/>
                <w:szCs w:val="21"/>
              </w:rPr>
              <w:t>下属</w:t>
            </w:r>
            <w:r w:rsidR="00D72993" w:rsidRPr="00D72993">
              <w:rPr>
                <w:rFonts w:eastAsiaTheme="minorEastAsia" w:hint="eastAsia"/>
                <w:color w:val="000000" w:themeColor="text1"/>
                <w:szCs w:val="21"/>
              </w:rPr>
              <w:t>分</w:t>
            </w:r>
            <w:r w:rsidRPr="00251CC4">
              <w:rPr>
                <w:rFonts w:eastAsiaTheme="minorEastAsia"/>
                <w:color w:val="000000" w:themeColor="text1"/>
                <w:szCs w:val="21"/>
              </w:rPr>
              <w:t>级基金的交易代码</w:t>
            </w:r>
          </w:p>
        </w:tc>
        <w:tc>
          <w:tcPr>
            <w:tcW w:w="2739"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000489</w:t>
            </w:r>
          </w:p>
        </w:tc>
        <w:tc>
          <w:tcPr>
            <w:tcW w:w="2740" w:type="dxa"/>
            <w:vAlign w:val="center"/>
          </w:tcPr>
          <w:p w:rsidR="008532F3" w:rsidRPr="00251CC4" w:rsidRDefault="008532F3" w:rsidP="003F7026">
            <w:pPr>
              <w:rPr>
                <w:rFonts w:eastAsiaTheme="minorEastAsia"/>
                <w:color w:val="000000" w:themeColor="text1"/>
                <w:szCs w:val="21"/>
              </w:rPr>
            </w:pPr>
            <w:r w:rsidRPr="00251CC4">
              <w:rPr>
                <w:rFonts w:eastAsiaTheme="minorEastAsia"/>
                <w:color w:val="000000" w:themeColor="text1"/>
                <w:szCs w:val="21"/>
              </w:rPr>
              <w:t>000490</w:t>
            </w:r>
          </w:p>
        </w:tc>
      </w:tr>
      <w:tr w:rsidR="0086758B" w:rsidRPr="004264FD" w:rsidTr="003F7026">
        <w:tc>
          <w:tcPr>
            <w:tcW w:w="2835" w:type="dxa"/>
            <w:vAlign w:val="center"/>
          </w:tcPr>
          <w:p w:rsidR="00F22F9F" w:rsidRPr="004264FD" w:rsidRDefault="00F22F9F" w:rsidP="003F7026">
            <w:pPr>
              <w:adjustRightInd w:val="0"/>
              <w:spacing w:before="29" w:line="360" w:lineRule="auto"/>
              <w:ind w:left="17"/>
              <w:rPr>
                <w:rFonts w:eastAsiaTheme="minorEastAsia"/>
                <w:color w:val="000000" w:themeColor="text1"/>
                <w:szCs w:val="21"/>
              </w:rPr>
            </w:pPr>
            <w:r w:rsidRPr="004264FD">
              <w:rPr>
                <w:rFonts w:eastAsiaTheme="minorEastAsia"/>
                <w:color w:val="000000" w:themeColor="text1"/>
                <w:szCs w:val="21"/>
              </w:rPr>
              <w:t>报告期末下属</w:t>
            </w:r>
            <w:r w:rsidR="00D72993" w:rsidRPr="00D72993">
              <w:rPr>
                <w:rFonts w:eastAsiaTheme="minorEastAsia" w:hint="eastAsia"/>
                <w:color w:val="000000" w:themeColor="text1"/>
                <w:szCs w:val="21"/>
              </w:rPr>
              <w:t>分</w:t>
            </w:r>
            <w:r w:rsidRPr="004264FD">
              <w:rPr>
                <w:rFonts w:eastAsiaTheme="minorEastAsia"/>
                <w:color w:val="000000" w:themeColor="text1"/>
                <w:szCs w:val="21"/>
              </w:rPr>
              <w:t>级基金的份额总额</w:t>
            </w:r>
          </w:p>
        </w:tc>
        <w:tc>
          <w:tcPr>
            <w:tcW w:w="2739"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1,769,499,723.05</w:t>
            </w:r>
            <w:r w:rsidRPr="004264FD">
              <w:rPr>
                <w:rFonts w:eastAsiaTheme="minorEastAsia"/>
                <w:color w:val="000000" w:themeColor="text1"/>
                <w:kern w:val="0"/>
                <w:szCs w:val="21"/>
              </w:rPr>
              <w:t>份</w:t>
            </w:r>
          </w:p>
        </w:tc>
        <w:tc>
          <w:tcPr>
            <w:tcW w:w="2740" w:type="dxa"/>
            <w:vAlign w:val="center"/>
          </w:tcPr>
          <w:p w:rsidR="00F22F9F" w:rsidRPr="004264FD" w:rsidRDefault="00F22F9F" w:rsidP="003F7026">
            <w:pPr>
              <w:rPr>
                <w:rFonts w:eastAsiaTheme="minorEastAsia"/>
                <w:color w:val="000000" w:themeColor="text1"/>
                <w:szCs w:val="21"/>
              </w:rPr>
            </w:pPr>
            <w:r w:rsidRPr="004264FD">
              <w:rPr>
                <w:rFonts w:eastAsiaTheme="minorEastAsia"/>
                <w:color w:val="000000" w:themeColor="text1"/>
                <w:szCs w:val="21"/>
              </w:rPr>
              <w:t>146,496,739.84</w:t>
            </w:r>
            <w:r w:rsidRPr="004264FD">
              <w:rPr>
                <w:rFonts w:eastAsiaTheme="minorEastAsia"/>
                <w:color w:val="000000" w:themeColor="text1"/>
                <w:kern w:val="0"/>
                <w:szCs w:val="21"/>
              </w:rPr>
              <w:t>份</w:t>
            </w:r>
          </w:p>
        </w:tc>
      </w:tr>
    </w:tbl>
    <w:p w:rsidR="009238DB" w:rsidRPr="004264FD" w:rsidRDefault="009238DB" w:rsidP="004241D1">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§3  </w:t>
      </w:r>
      <w:r w:rsidRPr="004264FD">
        <w:rPr>
          <w:rFonts w:eastAsiaTheme="minorEastAsia"/>
          <w:color w:val="000000" w:themeColor="text1"/>
          <w:kern w:val="0"/>
          <w:sz w:val="21"/>
          <w:szCs w:val="21"/>
        </w:rPr>
        <w:t>主要财务指标和基金净值表现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3.1 </w:t>
      </w:r>
      <w:r w:rsidRPr="004264FD">
        <w:rPr>
          <w:rFonts w:eastAsiaTheme="minorEastAsia"/>
          <w:b/>
          <w:color w:val="000000" w:themeColor="text1"/>
          <w:kern w:val="0"/>
          <w:szCs w:val="21"/>
        </w:rPr>
        <w:t>主要财务指标</w:t>
      </w:r>
    </w:p>
    <w:p w:rsidR="009238DB" w:rsidRPr="004264FD" w:rsidRDefault="009238DB" w:rsidP="00E27360">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2481"/>
        <w:gridCol w:w="2481"/>
      </w:tblGrid>
      <w:tr w:rsidR="0086758B" w:rsidRPr="004264FD" w:rsidTr="003F7026">
        <w:tc>
          <w:tcPr>
            <w:tcW w:w="3402" w:type="dxa"/>
            <w:vMerge w:val="restart"/>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主要财务指标</w:t>
            </w:r>
          </w:p>
        </w:tc>
        <w:tc>
          <w:tcPr>
            <w:tcW w:w="4962" w:type="dxa"/>
            <w:gridSpan w:val="2"/>
            <w:vAlign w:val="center"/>
          </w:tcPr>
          <w:p w:rsidR="002976E5"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报告期</w:t>
            </w:r>
          </w:p>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4</w:t>
            </w:r>
            <w:r w:rsidRPr="004264FD">
              <w:rPr>
                <w:rFonts w:eastAsiaTheme="minorEastAsia"/>
                <w:color w:val="000000" w:themeColor="text1"/>
                <w:szCs w:val="21"/>
              </w:rPr>
              <w:t>月</w:t>
            </w:r>
            <w:r w:rsidRPr="004264FD">
              <w:rPr>
                <w:rFonts w:eastAsiaTheme="minorEastAsia"/>
                <w:color w:val="000000" w:themeColor="text1"/>
                <w:szCs w:val="21"/>
              </w:rPr>
              <w:t>1</w:t>
            </w:r>
            <w:r w:rsidRPr="004264FD">
              <w:rPr>
                <w:rFonts w:eastAsiaTheme="minorEastAsia"/>
                <w:color w:val="000000" w:themeColor="text1"/>
                <w:szCs w:val="21"/>
              </w:rPr>
              <w:t>日</w:t>
            </w:r>
            <w:r w:rsidRPr="004264FD">
              <w:rPr>
                <w:rFonts w:eastAsiaTheme="minorEastAsia"/>
                <w:color w:val="000000" w:themeColor="text1"/>
                <w:szCs w:val="21"/>
              </w:rPr>
              <w:t>-2019</w:t>
            </w:r>
            <w:r w:rsidRPr="004264FD">
              <w:rPr>
                <w:rFonts w:eastAsiaTheme="minorEastAsia"/>
                <w:color w:val="000000" w:themeColor="text1"/>
                <w:szCs w:val="21"/>
              </w:rPr>
              <w:t>年</w:t>
            </w:r>
            <w:r w:rsidRPr="004264FD">
              <w:rPr>
                <w:rFonts w:eastAsiaTheme="minorEastAsia"/>
                <w:color w:val="000000" w:themeColor="text1"/>
                <w:szCs w:val="21"/>
              </w:rPr>
              <w:t>6</w:t>
            </w:r>
            <w:r w:rsidRPr="004264FD">
              <w:rPr>
                <w:rFonts w:eastAsiaTheme="minorEastAsia"/>
                <w:color w:val="000000" w:themeColor="text1"/>
                <w:szCs w:val="21"/>
              </w:rPr>
              <w:t>月</w:t>
            </w:r>
            <w:r w:rsidRPr="004264FD">
              <w:rPr>
                <w:rFonts w:eastAsiaTheme="minorEastAsia"/>
                <w:color w:val="000000" w:themeColor="text1"/>
                <w:szCs w:val="21"/>
              </w:rPr>
              <w:t>30</w:t>
            </w:r>
            <w:r w:rsidRPr="004264FD">
              <w:rPr>
                <w:rFonts w:eastAsiaTheme="minorEastAsia"/>
                <w:color w:val="000000" w:themeColor="text1"/>
                <w:szCs w:val="21"/>
              </w:rPr>
              <w:t>日</w:t>
            </w:r>
            <w:r w:rsidRPr="004264FD">
              <w:rPr>
                <w:rFonts w:eastAsiaTheme="minorEastAsia"/>
                <w:color w:val="000000" w:themeColor="text1"/>
                <w:szCs w:val="21"/>
              </w:rPr>
              <w:t>)</w:t>
            </w:r>
          </w:p>
        </w:tc>
      </w:tr>
      <w:tr w:rsidR="0086758B" w:rsidRPr="004264FD" w:rsidTr="003F7026">
        <w:tc>
          <w:tcPr>
            <w:tcW w:w="3402" w:type="dxa"/>
            <w:vMerge/>
            <w:vAlign w:val="center"/>
          </w:tcPr>
          <w:p w:rsidR="009E549D" w:rsidRPr="004264FD" w:rsidRDefault="009E549D" w:rsidP="003F7026">
            <w:pPr>
              <w:adjustRightInd w:val="0"/>
              <w:spacing w:before="29" w:line="360" w:lineRule="auto"/>
              <w:ind w:left="17"/>
              <w:rPr>
                <w:rFonts w:eastAsiaTheme="minorEastAsia"/>
                <w:color w:val="000000" w:themeColor="text1"/>
                <w:kern w:val="0"/>
                <w:szCs w:val="21"/>
              </w:rPr>
            </w:pPr>
          </w:p>
        </w:tc>
        <w:tc>
          <w:tcPr>
            <w:tcW w:w="2481" w:type="dxa"/>
            <w:vAlign w:val="center"/>
          </w:tcPr>
          <w:p w:rsidR="009E549D" w:rsidRPr="004264FD" w:rsidRDefault="009E549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A</w:t>
            </w:r>
          </w:p>
        </w:tc>
        <w:tc>
          <w:tcPr>
            <w:tcW w:w="2481" w:type="dxa"/>
            <w:vAlign w:val="center"/>
          </w:tcPr>
          <w:p w:rsidR="009E549D" w:rsidRPr="004264FD" w:rsidRDefault="00FE7FBD" w:rsidP="00E205AA">
            <w:pPr>
              <w:adjustRightInd w:val="0"/>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1.</w:t>
            </w:r>
            <w:r w:rsidRPr="004264FD">
              <w:rPr>
                <w:rFonts w:eastAsiaTheme="minorEastAsia"/>
                <w:color w:val="000000" w:themeColor="text1"/>
                <w:kern w:val="0"/>
                <w:szCs w:val="21"/>
              </w:rPr>
              <w:t>本期已实现收益</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3,761,909.34</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433,516.43</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2.</w:t>
            </w:r>
            <w:r w:rsidRPr="004264FD">
              <w:rPr>
                <w:rFonts w:eastAsiaTheme="minorEastAsia"/>
                <w:color w:val="000000" w:themeColor="text1"/>
                <w:kern w:val="0"/>
                <w:szCs w:val="21"/>
              </w:rPr>
              <w:t>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4,751,605.90</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542,310.54</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3.</w:t>
            </w:r>
            <w:r w:rsidRPr="004264FD">
              <w:rPr>
                <w:rFonts w:eastAsiaTheme="minorEastAsia"/>
                <w:color w:val="000000" w:themeColor="text1"/>
                <w:kern w:val="0"/>
                <w:szCs w:val="21"/>
              </w:rPr>
              <w:t>加权平均基金份额本期利润</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0.0082</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0.0060</w:t>
            </w:r>
          </w:p>
        </w:tc>
      </w:tr>
      <w:tr w:rsidR="0086758B" w:rsidRPr="004264FD" w:rsidTr="003F7026">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4.</w:t>
            </w:r>
            <w:r w:rsidRPr="004264FD">
              <w:rPr>
                <w:rFonts w:eastAsiaTheme="minorEastAsia"/>
                <w:color w:val="000000" w:themeColor="text1"/>
                <w:kern w:val="0"/>
                <w:szCs w:val="21"/>
              </w:rPr>
              <w:t>期末基金资产净值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1,848,383,609.18</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152,660,140.18</w:t>
            </w:r>
          </w:p>
        </w:tc>
      </w:tr>
      <w:tr w:rsidR="0086758B" w:rsidRPr="004264FD" w:rsidTr="003F7026">
        <w:trPr>
          <w:trHeight w:val="158"/>
        </w:trPr>
        <w:tc>
          <w:tcPr>
            <w:tcW w:w="3402" w:type="dxa"/>
            <w:vAlign w:val="center"/>
          </w:tcPr>
          <w:p w:rsidR="005F293E" w:rsidRPr="004264FD" w:rsidRDefault="005F293E" w:rsidP="003F7026">
            <w:pPr>
              <w:adjustRightInd w:val="0"/>
              <w:spacing w:before="29" w:line="360" w:lineRule="auto"/>
              <w:ind w:left="17"/>
              <w:rPr>
                <w:rFonts w:eastAsiaTheme="minorEastAsia"/>
                <w:color w:val="000000" w:themeColor="text1"/>
                <w:kern w:val="0"/>
                <w:szCs w:val="21"/>
              </w:rPr>
            </w:pPr>
            <w:r w:rsidRPr="004264FD">
              <w:rPr>
                <w:rFonts w:eastAsiaTheme="minorEastAsia"/>
                <w:color w:val="000000" w:themeColor="text1"/>
                <w:kern w:val="0"/>
                <w:szCs w:val="21"/>
              </w:rPr>
              <w:t>5.</w:t>
            </w:r>
            <w:r w:rsidRPr="004264FD">
              <w:rPr>
                <w:rFonts w:eastAsiaTheme="minorEastAsia"/>
                <w:color w:val="000000" w:themeColor="text1"/>
                <w:kern w:val="0"/>
                <w:szCs w:val="21"/>
              </w:rPr>
              <w:t>期末基金份额净值</w:t>
            </w:r>
          </w:p>
        </w:tc>
        <w:tc>
          <w:tcPr>
            <w:tcW w:w="2481" w:type="dxa"/>
            <w:vAlign w:val="center"/>
          </w:tcPr>
          <w:p w:rsidR="005F293E" w:rsidRPr="004264FD" w:rsidRDefault="005F293E"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1.0446</w:t>
            </w:r>
          </w:p>
        </w:tc>
        <w:tc>
          <w:tcPr>
            <w:tcW w:w="2481" w:type="dxa"/>
            <w:vAlign w:val="center"/>
          </w:tcPr>
          <w:p w:rsidR="005F293E" w:rsidRPr="004264FD" w:rsidRDefault="00FE7FBD" w:rsidP="003F7026">
            <w:pPr>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1.0421</w:t>
            </w:r>
          </w:p>
        </w:tc>
      </w:tr>
    </w:tbl>
    <w:p w:rsidR="009238DB" w:rsidRPr="004264FD" w:rsidRDefault="005E01A3"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本期已实现收益指基金本期利息收入、投资收益、其他收入（不含公允价值变动收益）扣除相关费用后的余额，本期利润为本期已实现收益加上本期公允价值变动收益。上述基金业绩指标不包括持有人认购或交易基金的各项费用，计入费用后实际收益水平要低于所列数字。</w:t>
      </w:r>
    </w:p>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3.2 </w:t>
      </w:r>
      <w:r w:rsidRPr="004264FD">
        <w:rPr>
          <w:rFonts w:eastAsiaTheme="minorEastAsia"/>
          <w:b/>
          <w:color w:val="000000" w:themeColor="text1"/>
          <w:kern w:val="0"/>
          <w:szCs w:val="21"/>
        </w:rPr>
        <w:t>基金净值表现</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3.2.1</w:t>
      </w:r>
      <w:r w:rsidRPr="004264FD">
        <w:rPr>
          <w:rFonts w:eastAsiaTheme="minorEastAsia"/>
          <w:b/>
          <w:color w:val="000000" w:themeColor="text1"/>
          <w:kern w:val="0"/>
          <w:szCs w:val="21"/>
        </w:rPr>
        <w:t>本报告期基金份额净值增长率及其与同期业绩比较基准收益率的比较</w:t>
      </w:r>
    </w:p>
    <w:p w:rsidR="009238DB" w:rsidRPr="004264FD" w:rsidRDefault="009238DB" w:rsidP="00FC13C8">
      <w:pPr>
        <w:spacing w:line="360" w:lineRule="auto"/>
        <w:rPr>
          <w:rFonts w:eastAsiaTheme="minorEastAsia"/>
          <w:b/>
          <w:color w:val="000000" w:themeColor="text1"/>
          <w:szCs w:val="21"/>
        </w:rPr>
      </w:pPr>
      <w:r w:rsidRPr="004264FD">
        <w:rPr>
          <w:rFonts w:eastAsiaTheme="minorEastAsia"/>
          <w:b/>
          <w:color w:val="000000" w:themeColor="text1"/>
          <w:szCs w:val="21"/>
        </w:rPr>
        <w:t>1</w:t>
      </w:r>
      <w:r w:rsidRPr="004264FD">
        <w:rPr>
          <w:rFonts w:eastAsiaTheme="minorEastAsia"/>
          <w:b/>
          <w:color w:val="000000" w:themeColor="text1"/>
          <w:szCs w:val="21"/>
        </w:rPr>
        <w:t>、</w:t>
      </w:r>
      <w:r w:rsidR="00A5643A" w:rsidRPr="004264FD">
        <w:rPr>
          <w:rFonts w:eastAsiaTheme="minorEastAsia"/>
          <w:b/>
          <w:color w:val="000000" w:themeColor="text1"/>
          <w:kern w:val="0"/>
          <w:szCs w:val="21"/>
        </w:rPr>
        <w:t>光大保德信岁末红利纯债债券</w:t>
      </w:r>
      <w:r w:rsidR="00A5643A" w:rsidRPr="004264FD">
        <w:rPr>
          <w:rFonts w:eastAsiaTheme="minorEastAsia"/>
          <w:b/>
          <w:color w:val="000000" w:themeColor="text1"/>
          <w:kern w:val="0"/>
          <w:szCs w:val="21"/>
        </w:rPr>
        <w:t>A</w:t>
      </w:r>
      <w:r w:rsidRPr="004264FD">
        <w:rPr>
          <w:rFonts w:eastAsiaTheme="minorEastAsia"/>
          <w:b/>
          <w:color w:val="000000" w:themeColor="text1"/>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EF60BB">
        <w:tc>
          <w:tcPr>
            <w:tcW w:w="1290" w:type="dxa"/>
            <w:vAlign w:val="center"/>
          </w:tcPr>
          <w:p w:rsidR="00EF60BB" w:rsidRDefault="00E87A1D">
            <w:pPr>
              <w:jc w:val="left"/>
            </w:pPr>
            <w:r>
              <w:rPr>
                <w:rFonts w:eastAsiaTheme="minorEastAsia"/>
                <w:color w:val="000000" w:themeColor="text1"/>
                <w:szCs w:val="21"/>
              </w:rPr>
              <w:t>过去三个月</w:t>
            </w:r>
          </w:p>
        </w:tc>
        <w:tc>
          <w:tcPr>
            <w:tcW w:w="1291" w:type="dxa"/>
            <w:vAlign w:val="center"/>
          </w:tcPr>
          <w:p w:rsidR="00EF60BB" w:rsidRDefault="00E87A1D">
            <w:pPr>
              <w:jc w:val="right"/>
            </w:pPr>
            <w:r>
              <w:rPr>
                <w:rFonts w:eastAsiaTheme="minorEastAsia"/>
                <w:color w:val="000000" w:themeColor="text1"/>
                <w:szCs w:val="21"/>
              </w:rPr>
              <w:t>0.98%</w:t>
            </w:r>
          </w:p>
        </w:tc>
        <w:tc>
          <w:tcPr>
            <w:tcW w:w="1291" w:type="dxa"/>
            <w:vAlign w:val="center"/>
          </w:tcPr>
          <w:p w:rsidR="00EF60BB" w:rsidRDefault="00E87A1D">
            <w:pPr>
              <w:jc w:val="right"/>
            </w:pPr>
            <w:r>
              <w:rPr>
                <w:rFonts w:eastAsiaTheme="minorEastAsia"/>
                <w:color w:val="000000" w:themeColor="text1"/>
                <w:szCs w:val="21"/>
              </w:rPr>
              <w:t>0.06%</w:t>
            </w:r>
          </w:p>
        </w:tc>
        <w:tc>
          <w:tcPr>
            <w:tcW w:w="1291" w:type="dxa"/>
            <w:vAlign w:val="center"/>
          </w:tcPr>
          <w:p w:rsidR="00EF60BB" w:rsidRDefault="00E87A1D">
            <w:pPr>
              <w:jc w:val="right"/>
            </w:pPr>
            <w:r>
              <w:rPr>
                <w:rFonts w:eastAsiaTheme="minorEastAsia"/>
                <w:color w:val="000000" w:themeColor="text1"/>
                <w:szCs w:val="21"/>
              </w:rPr>
              <w:t>0.63%</w:t>
            </w:r>
          </w:p>
        </w:tc>
        <w:tc>
          <w:tcPr>
            <w:tcW w:w="1291" w:type="dxa"/>
            <w:vAlign w:val="center"/>
          </w:tcPr>
          <w:p w:rsidR="00EF60BB" w:rsidRDefault="00E87A1D">
            <w:pPr>
              <w:jc w:val="right"/>
            </w:pPr>
            <w:r>
              <w:rPr>
                <w:rFonts w:eastAsiaTheme="minorEastAsia"/>
                <w:color w:val="000000" w:themeColor="text1"/>
                <w:szCs w:val="21"/>
              </w:rPr>
              <w:t>0.06%</w:t>
            </w:r>
          </w:p>
        </w:tc>
        <w:tc>
          <w:tcPr>
            <w:tcW w:w="1291" w:type="dxa"/>
            <w:vAlign w:val="center"/>
          </w:tcPr>
          <w:p w:rsidR="00EF60BB" w:rsidRDefault="00E87A1D">
            <w:pPr>
              <w:jc w:val="right"/>
            </w:pPr>
            <w:r>
              <w:rPr>
                <w:rFonts w:eastAsiaTheme="minorEastAsia"/>
                <w:color w:val="000000" w:themeColor="text1"/>
                <w:szCs w:val="21"/>
              </w:rPr>
              <w:t>0.35%</w:t>
            </w:r>
          </w:p>
        </w:tc>
        <w:tc>
          <w:tcPr>
            <w:tcW w:w="1291" w:type="dxa"/>
            <w:vAlign w:val="center"/>
          </w:tcPr>
          <w:p w:rsidR="00EF60BB" w:rsidRDefault="00E87A1D">
            <w:pPr>
              <w:jc w:val="right"/>
            </w:pPr>
            <w:r>
              <w:rPr>
                <w:rFonts w:eastAsiaTheme="minorEastAsia"/>
                <w:color w:val="000000" w:themeColor="text1"/>
                <w:szCs w:val="21"/>
              </w:rPr>
              <w:t>0.00%</w:t>
            </w:r>
          </w:p>
        </w:tc>
      </w:tr>
    </w:tbl>
    <w:p w:rsidR="009238DB" w:rsidRPr="004264FD" w:rsidRDefault="009238DB" w:rsidP="004241D1">
      <w:pPr>
        <w:adjustRightInd w:val="0"/>
        <w:spacing w:beforeLines="100" w:line="360" w:lineRule="auto"/>
        <w:rPr>
          <w:rFonts w:eastAsiaTheme="minorEastAsia"/>
          <w:b/>
          <w:color w:val="000000" w:themeColor="text1"/>
          <w:kern w:val="0"/>
          <w:szCs w:val="21"/>
        </w:rPr>
      </w:pPr>
      <w:r w:rsidRPr="004264FD">
        <w:rPr>
          <w:rFonts w:eastAsiaTheme="minorEastAsia"/>
          <w:b/>
          <w:color w:val="000000" w:themeColor="text1"/>
          <w:szCs w:val="21"/>
        </w:rPr>
        <w:t>2</w:t>
      </w:r>
      <w:r w:rsidRPr="004264FD">
        <w:rPr>
          <w:rFonts w:eastAsiaTheme="minorEastAsia"/>
          <w:b/>
          <w:color w:val="000000" w:themeColor="text1"/>
          <w:szCs w:val="21"/>
        </w:rPr>
        <w:t>、</w:t>
      </w:r>
      <w:r w:rsidR="00FE7FBD" w:rsidRPr="004264FD">
        <w:rPr>
          <w:rFonts w:eastAsiaTheme="minorEastAsia"/>
          <w:b/>
          <w:color w:val="000000" w:themeColor="text1"/>
          <w:kern w:val="0"/>
          <w:szCs w:val="21"/>
        </w:rPr>
        <w:t>光大保德信岁末红利纯债债券</w:t>
      </w:r>
      <w:r w:rsidR="00FE7FBD" w:rsidRPr="004264FD">
        <w:rPr>
          <w:rFonts w:eastAsiaTheme="minorEastAsia"/>
          <w:b/>
          <w:color w:val="000000" w:themeColor="text1"/>
          <w:kern w:val="0"/>
          <w:szCs w:val="21"/>
        </w:rPr>
        <w:t>C</w:t>
      </w:r>
      <w:r w:rsidRPr="004264FD">
        <w:rPr>
          <w:rFonts w:eastAsiaTheme="minorEastAsia"/>
          <w:b/>
          <w:color w:val="000000" w:themeColor="text1"/>
          <w:kern w:val="0"/>
          <w:szCs w:val="21"/>
        </w:rPr>
        <w:t>：</w:t>
      </w:r>
    </w:p>
    <w:tbl>
      <w:tblPr>
        <w:tblStyle w:val="af2"/>
        <w:tblW w:w="0" w:type="auto"/>
        <w:tblInd w:w="108" w:type="dxa"/>
        <w:tblLayout w:type="fixed"/>
        <w:tblLook w:val="04A0"/>
      </w:tblPr>
      <w:tblGrid>
        <w:gridCol w:w="1290"/>
        <w:gridCol w:w="1291"/>
        <w:gridCol w:w="1291"/>
        <w:gridCol w:w="1291"/>
        <w:gridCol w:w="1291"/>
        <w:gridCol w:w="1291"/>
        <w:gridCol w:w="1291"/>
      </w:tblGrid>
      <w:tr w:rsidR="0086758B" w:rsidRPr="004264FD" w:rsidTr="00B54782">
        <w:tc>
          <w:tcPr>
            <w:tcW w:w="1290"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阶段</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w:t>
            </w:r>
            <w:r w:rsidRPr="004264FD">
              <w:rPr>
                <w:rFonts w:ascii="宋体" w:hAnsi="宋体" w:cs="宋体" w:hint="eastAsia"/>
                <w:color w:val="000000" w:themeColor="text1"/>
                <w:szCs w:val="21"/>
              </w:rPr>
              <w:t>①</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highlight w:val="green"/>
              </w:rPr>
            </w:pPr>
            <w:r w:rsidRPr="004264FD">
              <w:rPr>
                <w:rFonts w:eastAsiaTheme="minorEastAsia"/>
                <w:color w:val="000000" w:themeColor="text1"/>
                <w:szCs w:val="21"/>
              </w:rPr>
              <w:t>净值增长率标准差</w:t>
            </w:r>
            <w:r w:rsidRPr="004264FD">
              <w:rPr>
                <w:rFonts w:ascii="宋体" w:hAnsi="宋体" w:cs="宋体" w:hint="eastAsia"/>
                <w:color w:val="000000" w:themeColor="text1"/>
                <w:szCs w:val="21"/>
              </w:rPr>
              <w:t>②</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eastAsiaTheme="minorEastAsia"/>
                <w:color w:val="000000" w:themeColor="text1"/>
                <w:szCs w:val="21"/>
              </w:rPr>
              <w:t>业绩比较基准收益率标准差</w:t>
            </w:r>
            <w:r w:rsidRPr="004264FD">
              <w:rPr>
                <w:rFonts w:ascii="宋体" w:hAnsi="宋体" w:cs="宋体" w:hint="eastAsia"/>
                <w:color w:val="000000" w:themeColor="text1"/>
                <w:szCs w:val="21"/>
              </w:rPr>
              <w:t>④</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①</w:t>
            </w:r>
            <w:r w:rsidRPr="004264FD">
              <w:rPr>
                <w:rFonts w:eastAsiaTheme="minorEastAsia"/>
                <w:color w:val="000000" w:themeColor="text1"/>
                <w:szCs w:val="21"/>
              </w:rPr>
              <w:t>－</w:t>
            </w:r>
            <w:r w:rsidRPr="004264FD">
              <w:rPr>
                <w:rFonts w:ascii="宋体" w:hAnsi="宋体" w:cs="宋体" w:hint="eastAsia"/>
                <w:color w:val="000000" w:themeColor="text1"/>
                <w:szCs w:val="21"/>
              </w:rPr>
              <w:t>③</w:t>
            </w:r>
          </w:p>
        </w:tc>
        <w:tc>
          <w:tcPr>
            <w:tcW w:w="1291" w:type="dxa"/>
            <w:vAlign w:val="center"/>
          </w:tcPr>
          <w:p w:rsidR="00685FFC" w:rsidRPr="004264FD" w:rsidRDefault="00685FFC" w:rsidP="003F7026">
            <w:pPr>
              <w:snapToGrid w:val="0"/>
              <w:spacing w:line="288" w:lineRule="auto"/>
              <w:jc w:val="center"/>
              <w:rPr>
                <w:rFonts w:eastAsiaTheme="minorEastAsia"/>
                <w:color w:val="000000" w:themeColor="text1"/>
                <w:szCs w:val="21"/>
              </w:rPr>
            </w:pPr>
            <w:r w:rsidRPr="004264FD">
              <w:rPr>
                <w:rFonts w:ascii="宋体" w:hAnsi="宋体" w:cs="宋体" w:hint="eastAsia"/>
                <w:color w:val="000000" w:themeColor="text1"/>
                <w:szCs w:val="21"/>
              </w:rPr>
              <w:t>②</w:t>
            </w:r>
            <w:r w:rsidRPr="004264FD">
              <w:rPr>
                <w:rFonts w:eastAsiaTheme="minorEastAsia"/>
                <w:color w:val="000000" w:themeColor="text1"/>
                <w:szCs w:val="21"/>
              </w:rPr>
              <w:t>－</w:t>
            </w:r>
            <w:r w:rsidRPr="004264FD">
              <w:rPr>
                <w:rFonts w:ascii="宋体" w:hAnsi="宋体" w:cs="宋体" w:hint="eastAsia"/>
                <w:color w:val="000000" w:themeColor="text1"/>
                <w:szCs w:val="21"/>
              </w:rPr>
              <w:t>④</w:t>
            </w:r>
          </w:p>
        </w:tc>
      </w:tr>
      <w:tr w:rsidR="00EF60BB">
        <w:tc>
          <w:tcPr>
            <w:tcW w:w="1290" w:type="dxa"/>
            <w:vAlign w:val="center"/>
          </w:tcPr>
          <w:p w:rsidR="00EF60BB" w:rsidRDefault="00E87A1D">
            <w:pPr>
              <w:jc w:val="left"/>
            </w:pPr>
            <w:r>
              <w:rPr>
                <w:rFonts w:eastAsiaTheme="minorEastAsia"/>
                <w:color w:val="000000" w:themeColor="text1"/>
                <w:szCs w:val="21"/>
              </w:rPr>
              <w:t>过去三个月</w:t>
            </w:r>
          </w:p>
        </w:tc>
        <w:tc>
          <w:tcPr>
            <w:tcW w:w="1291" w:type="dxa"/>
            <w:vAlign w:val="center"/>
          </w:tcPr>
          <w:p w:rsidR="00EF60BB" w:rsidRDefault="00E87A1D">
            <w:pPr>
              <w:jc w:val="right"/>
            </w:pPr>
            <w:r>
              <w:rPr>
                <w:rFonts w:eastAsiaTheme="minorEastAsia"/>
                <w:color w:val="000000" w:themeColor="text1"/>
                <w:szCs w:val="21"/>
              </w:rPr>
              <w:t>0.89%</w:t>
            </w:r>
          </w:p>
        </w:tc>
        <w:tc>
          <w:tcPr>
            <w:tcW w:w="1291" w:type="dxa"/>
            <w:vAlign w:val="center"/>
          </w:tcPr>
          <w:p w:rsidR="00EF60BB" w:rsidRDefault="00E87A1D">
            <w:pPr>
              <w:jc w:val="right"/>
            </w:pPr>
            <w:r>
              <w:rPr>
                <w:rFonts w:eastAsiaTheme="minorEastAsia"/>
                <w:color w:val="000000" w:themeColor="text1"/>
                <w:szCs w:val="21"/>
              </w:rPr>
              <w:t>0.06%</w:t>
            </w:r>
          </w:p>
        </w:tc>
        <w:tc>
          <w:tcPr>
            <w:tcW w:w="1291" w:type="dxa"/>
            <w:vAlign w:val="center"/>
          </w:tcPr>
          <w:p w:rsidR="00EF60BB" w:rsidRDefault="00E87A1D">
            <w:pPr>
              <w:jc w:val="right"/>
            </w:pPr>
            <w:r>
              <w:rPr>
                <w:rFonts w:eastAsiaTheme="minorEastAsia"/>
                <w:color w:val="000000" w:themeColor="text1"/>
                <w:szCs w:val="21"/>
              </w:rPr>
              <w:t>0.63%</w:t>
            </w:r>
          </w:p>
        </w:tc>
        <w:tc>
          <w:tcPr>
            <w:tcW w:w="1291" w:type="dxa"/>
            <w:vAlign w:val="center"/>
          </w:tcPr>
          <w:p w:rsidR="00EF60BB" w:rsidRDefault="00E87A1D">
            <w:pPr>
              <w:jc w:val="right"/>
            </w:pPr>
            <w:r>
              <w:rPr>
                <w:rFonts w:eastAsiaTheme="minorEastAsia"/>
                <w:color w:val="000000" w:themeColor="text1"/>
                <w:szCs w:val="21"/>
              </w:rPr>
              <w:t>0.06%</w:t>
            </w:r>
          </w:p>
        </w:tc>
        <w:tc>
          <w:tcPr>
            <w:tcW w:w="1291" w:type="dxa"/>
            <w:vAlign w:val="center"/>
          </w:tcPr>
          <w:p w:rsidR="00EF60BB" w:rsidRDefault="00E87A1D">
            <w:pPr>
              <w:jc w:val="right"/>
            </w:pPr>
            <w:r>
              <w:rPr>
                <w:rFonts w:eastAsiaTheme="minorEastAsia"/>
                <w:color w:val="000000" w:themeColor="text1"/>
                <w:szCs w:val="21"/>
              </w:rPr>
              <w:t>0.26%</w:t>
            </w:r>
          </w:p>
        </w:tc>
        <w:tc>
          <w:tcPr>
            <w:tcW w:w="1291" w:type="dxa"/>
            <w:vAlign w:val="center"/>
          </w:tcPr>
          <w:p w:rsidR="00EF60BB" w:rsidRDefault="00E87A1D">
            <w:pPr>
              <w:jc w:val="right"/>
            </w:pPr>
            <w:r>
              <w:rPr>
                <w:rFonts w:eastAsiaTheme="minorEastAsia"/>
                <w:color w:val="000000" w:themeColor="text1"/>
                <w:szCs w:val="21"/>
              </w:rPr>
              <w:t>0.00%</w:t>
            </w:r>
          </w:p>
        </w:tc>
      </w:tr>
    </w:tbl>
    <w:p w:rsidR="009238DB" w:rsidRPr="004264FD" w:rsidRDefault="009238DB" w:rsidP="004241D1">
      <w:pPr>
        <w:spacing w:beforeLines="100" w:line="360" w:lineRule="auto"/>
        <w:rPr>
          <w:rFonts w:eastAsiaTheme="minorEastAsia"/>
          <w:b/>
          <w:color w:val="000000" w:themeColor="text1"/>
          <w:kern w:val="0"/>
          <w:szCs w:val="21"/>
        </w:rPr>
      </w:pPr>
      <w:r w:rsidRPr="004264FD">
        <w:rPr>
          <w:rFonts w:eastAsiaTheme="minorEastAsia"/>
          <w:b/>
          <w:color w:val="000000" w:themeColor="text1"/>
          <w:kern w:val="0"/>
          <w:szCs w:val="21"/>
        </w:rPr>
        <w:t>3.2.2</w:t>
      </w:r>
      <w:r w:rsidRPr="004264FD">
        <w:rPr>
          <w:rFonts w:eastAsiaTheme="minorEastAsia"/>
          <w:b/>
          <w:color w:val="000000" w:themeColor="text1"/>
          <w:kern w:val="0"/>
          <w:szCs w:val="21"/>
        </w:rPr>
        <w:t xml:space="preserve">　</w:t>
      </w:r>
      <w:r w:rsidR="006016F2" w:rsidRPr="004264FD">
        <w:rPr>
          <w:rStyle w:val="af6"/>
          <w:color w:val="000000" w:themeColor="text1"/>
          <w:szCs w:val="21"/>
          <w:shd w:val="clear" w:color="auto" w:fill="FFFFFF"/>
        </w:rPr>
        <w:t>自基金合同生效以来</w:t>
      </w:r>
      <w:r w:rsidR="00BF57BE" w:rsidRPr="004264FD">
        <w:rPr>
          <w:rFonts w:eastAsiaTheme="minorEastAsia"/>
          <w:b/>
          <w:color w:val="000000" w:themeColor="text1"/>
          <w:szCs w:val="21"/>
        </w:rPr>
        <w:t>基金累计净值增长率变动及其与同期业绩比较基准收益率变动的比较</w:t>
      </w:r>
    </w:p>
    <w:p w:rsidR="009A045B" w:rsidRPr="004264FD" w:rsidRDefault="009A045B" w:rsidP="00FC13C8">
      <w:pPr>
        <w:spacing w:line="360" w:lineRule="auto"/>
        <w:jc w:val="center"/>
        <w:rPr>
          <w:rFonts w:eastAsiaTheme="minorEastAsia"/>
          <w:color w:val="000000" w:themeColor="text1"/>
          <w:szCs w:val="21"/>
        </w:rPr>
      </w:pPr>
      <w:r w:rsidRPr="004264FD">
        <w:rPr>
          <w:rFonts w:eastAsiaTheme="minorEastAsia"/>
          <w:color w:val="000000" w:themeColor="text1"/>
          <w:szCs w:val="21"/>
        </w:rPr>
        <w:t>光大保德信岁末红利纯债债券型证券投资基金</w:t>
      </w:r>
    </w:p>
    <w:p w:rsidR="00022396" w:rsidRPr="004264FD" w:rsidRDefault="00022396" w:rsidP="00FC13C8">
      <w:pPr>
        <w:pStyle w:val="a5"/>
        <w:snapToGrid w:val="0"/>
        <w:spacing w:line="360" w:lineRule="auto"/>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累计净值增长率与业绩比较基准收益率的历史走势对比图</w:t>
      </w:r>
    </w:p>
    <w:p w:rsidR="009A045B" w:rsidRPr="004264FD" w:rsidRDefault="009A045B" w:rsidP="00FC13C8">
      <w:pPr>
        <w:pStyle w:val="a5"/>
        <w:snapToGrid w:val="0"/>
        <w:spacing w:line="360" w:lineRule="auto"/>
        <w:ind w:firstLine="480"/>
        <w:jc w:val="center"/>
        <w:rPr>
          <w:rFonts w:ascii="Times New Roman" w:eastAsiaTheme="minorEastAsia" w:hAnsi="Times New Roman"/>
          <w:color w:val="000000" w:themeColor="text1"/>
        </w:rPr>
      </w:pPr>
      <w:r w:rsidRPr="004264FD">
        <w:rPr>
          <w:rFonts w:ascii="Times New Roman" w:eastAsiaTheme="minorEastAsia" w:hAnsi="Times New Roman"/>
          <w:color w:val="000000" w:themeColor="text1"/>
        </w:rPr>
        <w:t>(</w:t>
      </w:r>
      <w:r w:rsidR="00D04410" w:rsidRPr="004264FD">
        <w:rPr>
          <w:rFonts w:ascii="Times New Roman" w:eastAsiaTheme="minorEastAsia" w:hAnsi="Times New Roman"/>
          <w:color w:val="000000" w:themeColor="text1"/>
        </w:rPr>
        <w:t>2014</w:t>
      </w:r>
      <w:r w:rsidR="00D04410" w:rsidRPr="004264FD">
        <w:rPr>
          <w:rFonts w:ascii="Times New Roman" w:eastAsiaTheme="minorEastAsia" w:hAnsi="Times New Roman"/>
          <w:color w:val="000000" w:themeColor="text1"/>
        </w:rPr>
        <w:t>年</w:t>
      </w:r>
      <w:r w:rsidR="00D04410" w:rsidRPr="004264FD">
        <w:rPr>
          <w:rFonts w:ascii="Times New Roman" w:eastAsiaTheme="minorEastAsia" w:hAnsi="Times New Roman"/>
          <w:color w:val="000000" w:themeColor="text1"/>
        </w:rPr>
        <w:t>8</w:t>
      </w:r>
      <w:r w:rsidR="00D04410" w:rsidRPr="004264FD">
        <w:rPr>
          <w:rFonts w:ascii="Times New Roman" w:eastAsiaTheme="minorEastAsia" w:hAnsi="Times New Roman"/>
          <w:color w:val="000000" w:themeColor="text1"/>
        </w:rPr>
        <w:t>月</w:t>
      </w:r>
      <w:r w:rsidR="00D04410" w:rsidRPr="004264FD">
        <w:rPr>
          <w:rFonts w:ascii="Times New Roman" w:eastAsiaTheme="minorEastAsia" w:hAnsi="Times New Roman"/>
          <w:color w:val="000000" w:themeColor="text1"/>
        </w:rPr>
        <w:t>12</w:t>
      </w:r>
      <w:r w:rsidR="00D04410"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至</w:t>
      </w:r>
      <w:r w:rsidRPr="004264FD">
        <w:rPr>
          <w:rFonts w:ascii="Times New Roman" w:eastAsiaTheme="minorEastAsia" w:hAnsi="Times New Roman"/>
          <w:color w:val="000000" w:themeColor="text1"/>
        </w:rPr>
        <w:t>2019</w:t>
      </w:r>
      <w:r w:rsidRPr="004264FD">
        <w:rPr>
          <w:rFonts w:ascii="Times New Roman" w:eastAsiaTheme="minorEastAsia" w:hAnsi="Times New Roman"/>
          <w:color w:val="000000" w:themeColor="text1"/>
        </w:rPr>
        <w:t>年</w:t>
      </w:r>
      <w:r w:rsidRPr="004264FD">
        <w:rPr>
          <w:rFonts w:ascii="Times New Roman" w:eastAsiaTheme="minorEastAsia" w:hAnsi="Times New Roman"/>
          <w:color w:val="000000" w:themeColor="text1"/>
        </w:rPr>
        <w:t>6</w:t>
      </w:r>
      <w:r w:rsidRPr="004264FD">
        <w:rPr>
          <w:rFonts w:ascii="Times New Roman" w:eastAsiaTheme="minorEastAsia" w:hAnsi="Times New Roman"/>
          <w:color w:val="000000" w:themeColor="text1"/>
        </w:rPr>
        <w:t>月</w:t>
      </w:r>
      <w:r w:rsidRPr="004264FD">
        <w:rPr>
          <w:rFonts w:ascii="Times New Roman" w:eastAsiaTheme="minorEastAsia" w:hAnsi="Times New Roman"/>
          <w:color w:val="000000" w:themeColor="text1"/>
        </w:rPr>
        <w:t>30</w:t>
      </w:r>
      <w:r w:rsidRPr="004264FD">
        <w:rPr>
          <w:rFonts w:ascii="Times New Roman" w:eastAsiaTheme="minorEastAsia" w:hAnsi="Times New Roman"/>
          <w:color w:val="000000" w:themeColor="text1"/>
        </w:rPr>
        <w:t>日</w:t>
      </w:r>
      <w:r w:rsidRPr="004264FD">
        <w:rPr>
          <w:rFonts w:ascii="Times New Roman" w:eastAsiaTheme="minorEastAsia" w:hAnsi="Times New Roman"/>
          <w:color w:val="000000" w:themeColor="text1"/>
        </w:rPr>
        <w:t>)</w:t>
      </w:r>
    </w:p>
    <w:p w:rsidR="009238DB" w:rsidRPr="004264FD" w:rsidRDefault="009238DB" w:rsidP="00FC13C8">
      <w:pPr>
        <w:snapToGrid w:val="0"/>
        <w:spacing w:line="360" w:lineRule="auto"/>
        <w:rPr>
          <w:rFonts w:eastAsiaTheme="minorEastAsia"/>
          <w:color w:val="000000" w:themeColor="text1"/>
          <w:szCs w:val="21"/>
        </w:rPr>
      </w:pPr>
      <w:r w:rsidRPr="004264FD">
        <w:rPr>
          <w:rFonts w:eastAsiaTheme="minorEastAsia"/>
          <w:color w:val="000000" w:themeColor="text1"/>
          <w:szCs w:val="21"/>
        </w:rPr>
        <w:t>1</w:t>
      </w:r>
      <w:r w:rsidRPr="004264FD">
        <w:rPr>
          <w:rFonts w:eastAsiaTheme="minorEastAsia"/>
          <w:color w:val="000000" w:themeColor="text1"/>
          <w:szCs w:val="21"/>
        </w:rPr>
        <w:t>．</w:t>
      </w:r>
      <w:r w:rsidR="0042785F" w:rsidRPr="004264FD">
        <w:rPr>
          <w:rFonts w:eastAsiaTheme="minorEastAsia"/>
          <w:color w:val="000000" w:themeColor="text1"/>
          <w:szCs w:val="21"/>
        </w:rPr>
        <w:t>光大保德信岁末红利纯债债券</w:t>
      </w:r>
      <w:r w:rsidR="0042785F" w:rsidRPr="004264FD">
        <w:rPr>
          <w:rFonts w:eastAsiaTheme="minorEastAsia"/>
          <w:color w:val="000000" w:themeColor="text1"/>
          <w:szCs w:val="21"/>
        </w:rPr>
        <w:t>A</w:t>
      </w:r>
      <w:r w:rsidRPr="004264FD">
        <w:rPr>
          <w:rFonts w:eastAsiaTheme="minorEastAsia"/>
          <w:color w:val="000000" w:themeColor="text1"/>
          <w:szCs w:val="21"/>
        </w:rPr>
        <w:t>：</w:t>
      </w:r>
    </w:p>
    <w:p w:rsidR="00FC7F43" w:rsidRPr="004264FD" w:rsidRDefault="009D5A40"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 xmlns:o="urn:schemas-microsoft-com:office:office" xmlns:v="urn:schemas-microsoft-com:vml" xmlns:w10="urn:schemas-microsoft-com:office:word" xmlns:w="http://schemas.openxmlformats.org/wordprocessingml/2006/main"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238DB" w:rsidRPr="004264FD" w:rsidRDefault="009238DB" w:rsidP="004241D1">
      <w:pPr>
        <w:snapToGrid w:val="0"/>
        <w:spacing w:beforeLines="100" w:line="360" w:lineRule="auto"/>
        <w:rPr>
          <w:rFonts w:eastAsiaTheme="minorEastAsia"/>
          <w:color w:val="000000" w:themeColor="text1"/>
          <w:szCs w:val="21"/>
        </w:rPr>
      </w:pPr>
      <w:r w:rsidRPr="004264FD">
        <w:rPr>
          <w:rFonts w:eastAsiaTheme="minorEastAsia"/>
          <w:color w:val="000000" w:themeColor="text1"/>
          <w:szCs w:val="21"/>
        </w:rPr>
        <w:t>2</w:t>
      </w:r>
      <w:r w:rsidRPr="004264FD">
        <w:rPr>
          <w:rFonts w:eastAsiaTheme="minorEastAsia"/>
          <w:color w:val="000000" w:themeColor="text1"/>
          <w:szCs w:val="21"/>
        </w:rPr>
        <w:t>．</w:t>
      </w:r>
      <w:r w:rsidR="00FE7FBD" w:rsidRPr="004264FD">
        <w:rPr>
          <w:rFonts w:eastAsiaTheme="minorEastAsia"/>
          <w:color w:val="000000" w:themeColor="text1"/>
          <w:szCs w:val="21"/>
        </w:rPr>
        <w:t>光大保德信岁末红利纯债债券</w:t>
      </w:r>
      <w:r w:rsidR="00FE7FBD" w:rsidRPr="004264FD">
        <w:rPr>
          <w:rFonts w:eastAsiaTheme="minorEastAsia"/>
          <w:color w:val="000000" w:themeColor="text1"/>
          <w:szCs w:val="21"/>
        </w:rPr>
        <w:t>C</w:t>
      </w:r>
      <w:r w:rsidR="0042785F" w:rsidRPr="004264FD">
        <w:rPr>
          <w:rFonts w:eastAsiaTheme="minorEastAsia"/>
          <w:color w:val="000000" w:themeColor="text1"/>
          <w:szCs w:val="21"/>
        </w:rPr>
        <w:t>：</w:t>
      </w:r>
    </w:p>
    <w:p w:rsidR="00FC7F43" w:rsidRPr="004264FD" w:rsidRDefault="00BD72C1" w:rsidP="00FC7F43">
      <w:pPr>
        <w:pStyle w:val="20"/>
        <w:spacing w:line="288" w:lineRule="auto"/>
        <w:ind w:firstLineChars="0" w:firstLine="0"/>
        <w:jc w:val="center"/>
        <w:rPr>
          <w:rFonts w:ascii="Times New Roman" w:eastAsiaTheme="minorEastAsia" w:hAnsi="Times New Roman"/>
          <w:color w:val="000000" w:themeColor="text1"/>
          <w:sz w:val="21"/>
          <w:szCs w:val="21"/>
        </w:rPr>
      </w:pPr>
      <w:r w:rsidRPr="004264FD">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 xmlns:o="urn:schemas-microsoft-com:office:office" xmlns:v="urn:schemas-microsoft-com:vml" xmlns:w10="urn:schemas-microsoft-com:office:word" xmlns:w="http://schemas.openxmlformats.org/wordprocessingml/2006/main"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91175" cy="3276600"/>
                    </a:xfrm>
                    <a:prstGeom prst="rect">
                      <a:avLst/>
                    </a:prstGeom>
                    <a:noFill/>
                    <a:ln>
                      <a:noFill/>
                    </a:ln>
                  </pic:spPr>
                </pic:pic>
              </a:graphicData>
            </a:graphic>
          </wp:inline>
        </w:drawing>
      </w:r>
    </w:p>
    <w:p w:rsidR="00973B57" w:rsidRPr="004264FD" w:rsidRDefault="00757FD7"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注：按基金合同规定，本基金建仓期为</w:t>
      </w:r>
      <w:r w:rsidRPr="004264FD">
        <w:rPr>
          <w:rFonts w:eastAsiaTheme="minorEastAsia"/>
          <w:color w:val="000000" w:themeColor="text1"/>
          <w:szCs w:val="21"/>
        </w:rPr>
        <w:t>2014</w:t>
      </w:r>
      <w:r w:rsidRPr="004264FD">
        <w:rPr>
          <w:rFonts w:eastAsiaTheme="minorEastAsia"/>
          <w:color w:val="000000" w:themeColor="text1"/>
          <w:szCs w:val="21"/>
        </w:rPr>
        <w:t>年</w:t>
      </w:r>
      <w:r w:rsidRPr="004264FD">
        <w:rPr>
          <w:rFonts w:eastAsiaTheme="minorEastAsia"/>
          <w:color w:val="000000" w:themeColor="text1"/>
          <w:szCs w:val="21"/>
        </w:rPr>
        <w:t>8</w:t>
      </w:r>
      <w:r w:rsidRPr="004264FD">
        <w:rPr>
          <w:rFonts w:eastAsiaTheme="minorEastAsia"/>
          <w:color w:val="000000" w:themeColor="text1"/>
          <w:szCs w:val="21"/>
        </w:rPr>
        <w:t>月</w:t>
      </w:r>
      <w:r w:rsidRPr="004264FD">
        <w:rPr>
          <w:rFonts w:eastAsiaTheme="minorEastAsia"/>
          <w:color w:val="000000" w:themeColor="text1"/>
          <w:szCs w:val="21"/>
        </w:rPr>
        <w:t>12</w:t>
      </w:r>
      <w:r w:rsidRPr="004264FD">
        <w:rPr>
          <w:rFonts w:eastAsiaTheme="minorEastAsia"/>
          <w:color w:val="000000" w:themeColor="text1"/>
          <w:szCs w:val="21"/>
        </w:rPr>
        <w:t>日至</w:t>
      </w:r>
      <w:r w:rsidRPr="004264FD">
        <w:rPr>
          <w:rFonts w:eastAsiaTheme="minorEastAsia"/>
          <w:color w:val="000000" w:themeColor="text1"/>
          <w:szCs w:val="21"/>
        </w:rPr>
        <w:t>2015</w:t>
      </w:r>
      <w:r w:rsidRPr="004264FD">
        <w:rPr>
          <w:rFonts w:eastAsiaTheme="minorEastAsia"/>
          <w:color w:val="000000" w:themeColor="text1"/>
          <w:szCs w:val="21"/>
        </w:rPr>
        <w:t>年</w:t>
      </w:r>
      <w:r w:rsidRPr="004264FD">
        <w:rPr>
          <w:rFonts w:eastAsiaTheme="minorEastAsia"/>
          <w:color w:val="000000" w:themeColor="text1"/>
          <w:szCs w:val="21"/>
        </w:rPr>
        <w:t>2</w:t>
      </w:r>
      <w:r w:rsidRPr="004264FD">
        <w:rPr>
          <w:rFonts w:eastAsiaTheme="minorEastAsia"/>
          <w:color w:val="000000" w:themeColor="text1"/>
          <w:szCs w:val="21"/>
        </w:rPr>
        <w:t>月</w:t>
      </w:r>
      <w:r w:rsidRPr="004264FD">
        <w:rPr>
          <w:rFonts w:eastAsiaTheme="minorEastAsia"/>
          <w:color w:val="000000" w:themeColor="text1"/>
          <w:szCs w:val="21"/>
        </w:rPr>
        <w:t>11</w:t>
      </w:r>
      <w:r w:rsidRPr="004264FD">
        <w:rPr>
          <w:rFonts w:eastAsiaTheme="minorEastAsia"/>
          <w:color w:val="000000" w:themeColor="text1"/>
          <w:szCs w:val="21"/>
        </w:rPr>
        <w:t>日。建仓期结束时本基金各项资产配置比例符合本基金合同规定的比例限制及投资组合的比例范围。</w:t>
      </w:r>
    </w:p>
    <w:p w:rsidR="006C5BC9" w:rsidRPr="004264FD" w:rsidRDefault="006C5BC9" w:rsidP="006C5BC9">
      <w:pPr>
        <w:tabs>
          <w:tab w:val="left" w:pos="1800"/>
        </w:tabs>
        <w:spacing w:line="288" w:lineRule="auto"/>
        <w:rPr>
          <w:rFonts w:eastAsiaTheme="minorEastAsia"/>
          <w:color w:val="000000" w:themeColor="text1"/>
          <w:szCs w:val="21"/>
        </w:rPr>
      </w:pPr>
    </w:p>
    <w:p w:rsidR="009238DB" w:rsidRPr="004264FD" w:rsidRDefault="009238DB" w:rsidP="004241D1">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§4  </w:t>
      </w:r>
      <w:r w:rsidRPr="004264FD">
        <w:rPr>
          <w:rFonts w:eastAsiaTheme="minorEastAsia"/>
          <w:color w:val="000000" w:themeColor="text1"/>
          <w:kern w:val="0"/>
          <w:sz w:val="21"/>
          <w:szCs w:val="21"/>
        </w:rPr>
        <w:t>管理人报告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4.1 </w:t>
      </w:r>
      <w:r w:rsidRPr="004264FD">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4264FD" w:rsidRPr="004264FD" w:rsidTr="00B54782">
        <w:tc>
          <w:tcPr>
            <w:tcW w:w="952"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姓名</w:t>
            </w:r>
          </w:p>
        </w:tc>
        <w:tc>
          <w:tcPr>
            <w:tcW w:w="930"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职务</w:t>
            </w:r>
          </w:p>
        </w:tc>
        <w:tc>
          <w:tcPr>
            <w:tcW w:w="2519" w:type="dxa"/>
            <w:gridSpan w:val="2"/>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任本基金的基金经理期限</w:t>
            </w:r>
          </w:p>
        </w:tc>
        <w:tc>
          <w:tcPr>
            <w:tcW w:w="1254"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证券从业年限</w:t>
            </w:r>
          </w:p>
        </w:tc>
        <w:tc>
          <w:tcPr>
            <w:tcW w:w="3276" w:type="dxa"/>
            <w:vMerge w:val="restart"/>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说明</w:t>
            </w:r>
          </w:p>
        </w:tc>
      </w:tr>
      <w:tr w:rsidR="004264FD" w:rsidRPr="004264FD" w:rsidTr="00B54782">
        <w:tc>
          <w:tcPr>
            <w:tcW w:w="952"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任职日期</w:t>
            </w:r>
          </w:p>
        </w:tc>
        <w:tc>
          <w:tcPr>
            <w:tcW w:w="1309" w:type="dxa"/>
            <w:vAlign w:val="center"/>
          </w:tcPr>
          <w:p w:rsidR="00C41617" w:rsidRPr="004264FD" w:rsidRDefault="00C41617"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离任日期</w:t>
            </w:r>
          </w:p>
        </w:tc>
        <w:tc>
          <w:tcPr>
            <w:tcW w:w="1254"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C41617" w:rsidRPr="004264FD" w:rsidRDefault="00C41617" w:rsidP="0058694E">
            <w:pPr>
              <w:autoSpaceDE w:val="0"/>
              <w:autoSpaceDN w:val="0"/>
              <w:adjustRightInd w:val="0"/>
              <w:spacing w:before="29" w:line="288" w:lineRule="auto"/>
              <w:ind w:left="15"/>
              <w:jc w:val="center"/>
              <w:rPr>
                <w:rFonts w:eastAsiaTheme="minorEastAsia"/>
                <w:color w:val="000000" w:themeColor="text1"/>
                <w:kern w:val="0"/>
                <w:szCs w:val="21"/>
              </w:rPr>
            </w:pPr>
          </w:p>
        </w:tc>
      </w:tr>
      <w:tr w:rsidR="00EF60BB">
        <w:tc>
          <w:tcPr>
            <w:tcW w:w="952" w:type="dxa"/>
            <w:vAlign w:val="center"/>
          </w:tcPr>
          <w:p w:rsidR="00EF60BB" w:rsidRDefault="00E87A1D">
            <w:pPr>
              <w:jc w:val="center"/>
            </w:pPr>
            <w:r>
              <w:rPr>
                <w:rFonts w:eastAsiaTheme="minorEastAsia"/>
                <w:color w:val="000000" w:themeColor="text1"/>
                <w:szCs w:val="21"/>
              </w:rPr>
              <w:t>周华</w:t>
            </w:r>
          </w:p>
        </w:tc>
        <w:tc>
          <w:tcPr>
            <w:tcW w:w="930" w:type="dxa"/>
            <w:vAlign w:val="center"/>
          </w:tcPr>
          <w:p w:rsidR="00EF60BB" w:rsidRDefault="00E87A1D">
            <w:pPr>
              <w:jc w:val="center"/>
            </w:pPr>
            <w:r>
              <w:rPr>
                <w:rFonts w:eastAsiaTheme="minorEastAsia"/>
                <w:color w:val="000000" w:themeColor="text1"/>
                <w:szCs w:val="21"/>
              </w:rPr>
              <w:t>固定收益部投资副总监、基金经理</w:t>
            </w:r>
          </w:p>
        </w:tc>
        <w:tc>
          <w:tcPr>
            <w:tcW w:w="1210" w:type="dxa"/>
            <w:vAlign w:val="center"/>
          </w:tcPr>
          <w:p w:rsidR="00EF60BB" w:rsidRDefault="00E87A1D">
            <w:pPr>
              <w:jc w:val="center"/>
            </w:pPr>
            <w:r>
              <w:rPr>
                <w:rFonts w:eastAsiaTheme="minorEastAsia"/>
                <w:color w:val="000000" w:themeColor="text1"/>
                <w:szCs w:val="21"/>
              </w:rPr>
              <w:t>2018-10-27</w:t>
            </w:r>
          </w:p>
        </w:tc>
        <w:tc>
          <w:tcPr>
            <w:tcW w:w="1309" w:type="dxa"/>
            <w:vAlign w:val="center"/>
          </w:tcPr>
          <w:p w:rsidR="00EF60BB" w:rsidRDefault="00E87A1D">
            <w:pPr>
              <w:jc w:val="center"/>
            </w:pPr>
            <w:r>
              <w:rPr>
                <w:rFonts w:eastAsiaTheme="minorEastAsia"/>
                <w:color w:val="000000" w:themeColor="text1"/>
                <w:szCs w:val="21"/>
              </w:rPr>
              <w:t>-</w:t>
            </w:r>
          </w:p>
        </w:tc>
        <w:tc>
          <w:tcPr>
            <w:tcW w:w="1254" w:type="dxa"/>
            <w:vAlign w:val="center"/>
          </w:tcPr>
          <w:p w:rsidR="00EF60BB" w:rsidRDefault="00E87A1D">
            <w:pPr>
              <w:jc w:val="center"/>
            </w:pPr>
            <w:r>
              <w:rPr>
                <w:rFonts w:eastAsiaTheme="minorEastAsia"/>
                <w:color w:val="000000" w:themeColor="text1"/>
                <w:szCs w:val="21"/>
              </w:rPr>
              <w:t>9</w:t>
            </w:r>
            <w:r>
              <w:rPr>
                <w:rFonts w:eastAsiaTheme="minorEastAsia"/>
                <w:color w:val="000000" w:themeColor="text1"/>
                <w:szCs w:val="21"/>
              </w:rPr>
              <w:t>年</w:t>
            </w:r>
          </w:p>
        </w:tc>
        <w:tc>
          <w:tcPr>
            <w:tcW w:w="3276" w:type="dxa"/>
            <w:vAlign w:val="center"/>
          </w:tcPr>
          <w:p w:rsidR="00EF60BB" w:rsidRDefault="00E87A1D">
            <w:r>
              <w:rPr>
                <w:rFonts w:eastAsiaTheme="minorEastAsia"/>
                <w:color w:val="000000" w:themeColor="text1"/>
                <w:szCs w:val="21"/>
              </w:rPr>
              <w:t>周华先生，香港大学金融学硕士，曾任泰康资产管理有限责任公司第三方投资部固定收益投资总监，景顺长城基金管理有限公司投资经理、信用研究员、债券交易员，第一创业证券股份有限公司债券交易员；</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加入光大保德信基金管理有限公司，任职固定收益部投资副总监一职。现任光大保德信晟利债券型证券投资基金基金经理、光大保德信永利纯债债券型证券投资基金基金经理、光大保德信安诚债券型证券投资基金基金经理、光大保德信安泽债券型证券投资基金基金经理、光大保德信信用添益债券型证券投资基金基金经理、光大保德信安和债券型证券投资基金基金经理、光大保德信岁末红利纯债债券型证券投资基金基金经理、光大保德信多策略精选</w:t>
            </w:r>
            <w:r>
              <w:rPr>
                <w:rFonts w:eastAsiaTheme="minorEastAsia"/>
                <w:color w:val="000000" w:themeColor="text1"/>
                <w:szCs w:val="21"/>
              </w:rPr>
              <w:t>18</w:t>
            </w:r>
            <w:r>
              <w:rPr>
                <w:rFonts w:eastAsiaTheme="minorEastAsia"/>
                <w:color w:val="000000" w:themeColor="text1"/>
                <w:szCs w:val="21"/>
              </w:rPr>
              <w:t>个月定期开放灵活配置混合型证券投资基金基金经理。</w:t>
            </w:r>
            <w:r>
              <w:rPr>
                <w:rFonts w:eastAsiaTheme="minorEastAsia"/>
                <w:color w:val="000000" w:themeColor="text1"/>
                <w:szCs w:val="21"/>
              </w:rPr>
              <w:t xml:space="preserve"> </w:t>
            </w:r>
          </w:p>
        </w:tc>
      </w:tr>
    </w:tbl>
    <w:p w:rsidR="005C7D00" w:rsidRPr="004264FD" w:rsidRDefault="00062E1F"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注：对基金的首任基金经理，其任职日期指基金合同生效日，离任日期指公司做出决定之日；非首任基金经理，其任职日期和离任日期均指公司做出决定之日。</w:t>
      </w:r>
    </w:p>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4.2</w:t>
      </w:r>
      <w:r w:rsidR="00B22511" w:rsidRPr="00B22511">
        <w:rPr>
          <w:rFonts w:eastAsiaTheme="minorEastAsia" w:hint="eastAsia"/>
          <w:b/>
          <w:color w:val="000000" w:themeColor="text1"/>
          <w:kern w:val="0"/>
          <w:szCs w:val="21"/>
        </w:rPr>
        <w:t>管理人对报告期内本基金运作遵规守信情况的说明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本基金管理人严格遵守《证券投资基金法》及其他相关法律法规、证监会规定和基金合同的约定，本着诚实信用、勤勉尽责的原则管理和运用基金资产，在严格控制风险的前提下，为基金份额持有人谋求最大利益。报告期内未有损害基金份额持有人利益的行为。</w:t>
      </w:r>
    </w:p>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4.3 </w:t>
      </w:r>
      <w:r w:rsidRPr="004264FD">
        <w:rPr>
          <w:rFonts w:eastAsiaTheme="minorEastAsia"/>
          <w:b/>
          <w:color w:val="000000" w:themeColor="text1"/>
          <w:kern w:val="0"/>
          <w:szCs w:val="21"/>
        </w:rPr>
        <w:t>公平交易专项说明</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 xml:space="preserve">4.3.1 </w:t>
      </w:r>
      <w:r w:rsidRPr="004264FD">
        <w:rPr>
          <w:rFonts w:eastAsiaTheme="minorEastAsia"/>
          <w:color w:val="000000" w:themeColor="text1"/>
          <w:szCs w:val="21"/>
        </w:rPr>
        <w:t>公平交易制度的执行情况</w:t>
      </w:r>
    </w:p>
    <w:p w:rsidR="00D15733"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为充分保护持有人利益，确保本基金管理人旗下各基金在获得投研团队、交易团队支持等各方面得到公平对待，本基金管理人从投研制度设计、组织结构设计、工作流程制定、技术系统建设和完善、公平交易执行效果评估等各方面出发，建设形成了有效的公平交易执行体系。本报告期，本基金管理人各项公平交易制度流程均得到良好地贯彻执行，未发现存在违反公平交易原则的现象。</w:t>
      </w:r>
    </w:p>
    <w:p w:rsidR="00D15733" w:rsidRPr="004264FD" w:rsidRDefault="00D15733" w:rsidP="00FC13C8">
      <w:pPr>
        <w:spacing w:line="360" w:lineRule="auto"/>
        <w:rPr>
          <w:rFonts w:eastAsiaTheme="minorEastAsia"/>
          <w:color w:val="000000" w:themeColor="text1"/>
          <w:szCs w:val="21"/>
        </w:rPr>
      </w:pPr>
      <w:r w:rsidRPr="004264FD">
        <w:rPr>
          <w:rFonts w:eastAsiaTheme="minorEastAsia"/>
          <w:color w:val="000000" w:themeColor="text1"/>
          <w:szCs w:val="21"/>
        </w:rPr>
        <w:t>4.3.</w:t>
      </w:r>
      <w:r w:rsidR="005B6047" w:rsidRPr="004264FD">
        <w:rPr>
          <w:rFonts w:eastAsiaTheme="minorEastAsia"/>
          <w:color w:val="000000" w:themeColor="text1"/>
          <w:szCs w:val="21"/>
        </w:rPr>
        <w:t>2</w:t>
      </w:r>
      <w:r w:rsidRPr="004264FD">
        <w:rPr>
          <w:rFonts w:eastAsiaTheme="minorEastAsia"/>
          <w:color w:val="000000" w:themeColor="text1"/>
          <w:szCs w:val="21"/>
        </w:rPr>
        <w:t xml:space="preserve"> </w:t>
      </w:r>
      <w:r w:rsidRPr="004264FD">
        <w:rPr>
          <w:rFonts w:eastAsiaTheme="minorEastAsia"/>
          <w:color w:val="000000" w:themeColor="text1"/>
          <w:szCs w:val="21"/>
        </w:rPr>
        <w:t>异常交易行为的专项说明</w:t>
      </w:r>
    </w:p>
    <w:p w:rsidR="009238DB" w:rsidRPr="004264FD" w:rsidRDefault="00323F25"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本报告期内未发现本基金存在异常交易行为。本基金与其他投资组合未发生交易所公开竞价同日反向交易且成交较少的单边交易量超过该证券当日成交量</w:t>
      </w:r>
      <w:r w:rsidRPr="004264FD">
        <w:rPr>
          <w:rFonts w:eastAsiaTheme="minorEastAsia"/>
          <w:color w:val="000000" w:themeColor="text1"/>
          <w:szCs w:val="21"/>
        </w:rPr>
        <w:t>5%</w:t>
      </w:r>
      <w:r w:rsidRPr="004264FD">
        <w:rPr>
          <w:rFonts w:eastAsiaTheme="minorEastAsia"/>
          <w:color w:val="000000" w:themeColor="text1"/>
          <w:szCs w:val="21"/>
        </w:rPr>
        <w:t>的交易。</w:t>
      </w:r>
    </w:p>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4.4 </w:t>
      </w:r>
      <w:r w:rsidRPr="004264FD">
        <w:rPr>
          <w:rFonts w:eastAsiaTheme="minorEastAsia"/>
          <w:b/>
          <w:color w:val="000000" w:themeColor="text1"/>
          <w:kern w:val="0"/>
          <w:szCs w:val="21"/>
        </w:rPr>
        <w:t>报告期内基金的投资策略和业绩表现说明</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4.4.1</w:t>
      </w:r>
      <w:r w:rsidRPr="004264FD">
        <w:rPr>
          <w:rFonts w:eastAsiaTheme="minorEastAsia"/>
          <w:color w:val="000000" w:themeColor="text1"/>
          <w:szCs w:val="21"/>
        </w:rPr>
        <w:t>报告期内基金投资策略和运作分析</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宏观方面，二季度经济增长有所回落，通货膨胀达到高位，略有类滞涨的特征。一季度政治局会议态度有所收敛，重提房住不炒。二季度的金融数据走弱，社融和信贷都略微低于预期，反映出信用派生的过程逐渐减弱。二季度的经济数据也有所下行，主要是工业增加值同比增速下行比较明显。房地产相关数据也有一定下行，首先是房地产销售趋于回落，同时融资政策有所收紧，房企资金来源边际弱化，但在施工的支撑下房地产投资还是保持了上行。另外，基建投资比较稳定，制造业投资继续下滑，总体投资水平略有走弱。消费也呈现出偏下行的特征。受到基数驱动，</w:t>
      </w:r>
      <w:r>
        <w:rPr>
          <w:rFonts w:eastAsiaTheme="minorEastAsia"/>
          <w:color w:val="000000" w:themeColor="text1"/>
          <w:szCs w:val="21"/>
        </w:rPr>
        <w:t>CPI</w:t>
      </w:r>
      <w:r>
        <w:rPr>
          <w:rFonts w:eastAsiaTheme="minorEastAsia"/>
          <w:color w:val="000000" w:themeColor="text1"/>
          <w:szCs w:val="21"/>
        </w:rPr>
        <w:t>二季度达到高位，但后期会有所回落。从中微观数据来看，经济也呈现出略偏走弱的状态，发电耗煤增速不断下行，重卡、挖掘机等工程机械销售增速也有所回落，总体经济下行态势较为明显。</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债券市场方面，由于一季度信用扩张较为明显，政策预期有所收缩，利率债收益率有所反弹，信用债收益率则有所震荡。具体而言，短端</w:t>
      </w:r>
      <w:r>
        <w:rPr>
          <w:rFonts w:eastAsiaTheme="minorEastAsia"/>
          <w:color w:val="000000" w:themeColor="text1"/>
          <w:szCs w:val="21"/>
        </w:rPr>
        <w:t>1</w:t>
      </w:r>
      <w:r>
        <w:rPr>
          <w:rFonts w:eastAsiaTheme="minorEastAsia"/>
          <w:color w:val="000000" w:themeColor="text1"/>
          <w:szCs w:val="21"/>
        </w:rPr>
        <w:t>年国债和</w:t>
      </w:r>
      <w:r>
        <w:rPr>
          <w:rFonts w:eastAsiaTheme="minorEastAsia"/>
          <w:color w:val="000000" w:themeColor="text1"/>
          <w:szCs w:val="21"/>
        </w:rPr>
        <w:t>1</w:t>
      </w:r>
      <w:r>
        <w:rPr>
          <w:rFonts w:eastAsiaTheme="minorEastAsia"/>
          <w:color w:val="000000" w:themeColor="text1"/>
          <w:szCs w:val="21"/>
        </w:rPr>
        <w:t>年国开分别上行</w:t>
      </w:r>
      <w:r>
        <w:rPr>
          <w:rFonts w:eastAsiaTheme="minorEastAsia"/>
          <w:color w:val="000000" w:themeColor="text1"/>
          <w:szCs w:val="21"/>
        </w:rPr>
        <w:t>21BP</w:t>
      </w:r>
      <w:r>
        <w:rPr>
          <w:rFonts w:eastAsiaTheme="minorEastAsia"/>
          <w:color w:val="000000" w:themeColor="text1"/>
          <w:szCs w:val="21"/>
        </w:rPr>
        <w:t>和</w:t>
      </w:r>
      <w:r>
        <w:rPr>
          <w:rFonts w:eastAsiaTheme="minorEastAsia"/>
          <w:color w:val="000000" w:themeColor="text1"/>
          <w:szCs w:val="21"/>
        </w:rPr>
        <w:t>17BP</w:t>
      </w:r>
      <w:r>
        <w:rPr>
          <w:rFonts w:eastAsiaTheme="minorEastAsia"/>
          <w:color w:val="000000" w:themeColor="text1"/>
          <w:szCs w:val="21"/>
        </w:rPr>
        <w:t>。受到宏观经济暂稳的影响，长端小幅上行，</w:t>
      </w:r>
      <w:r>
        <w:rPr>
          <w:rFonts w:eastAsiaTheme="minorEastAsia"/>
          <w:color w:val="000000" w:themeColor="text1"/>
          <w:szCs w:val="21"/>
        </w:rPr>
        <w:t>10Y</w:t>
      </w:r>
      <w:r>
        <w:rPr>
          <w:rFonts w:eastAsiaTheme="minorEastAsia"/>
          <w:color w:val="000000" w:themeColor="text1"/>
          <w:szCs w:val="21"/>
        </w:rPr>
        <w:t>国债和</w:t>
      </w:r>
      <w:r>
        <w:rPr>
          <w:rFonts w:eastAsiaTheme="minorEastAsia"/>
          <w:color w:val="000000" w:themeColor="text1"/>
          <w:szCs w:val="21"/>
        </w:rPr>
        <w:t>10Y</w:t>
      </w:r>
      <w:r>
        <w:rPr>
          <w:rFonts w:eastAsiaTheme="minorEastAsia"/>
          <w:color w:val="000000" w:themeColor="text1"/>
          <w:szCs w:val="21"/>
        </w:rPr>
        <w:t>国开分别上行</w:t>
      </w:r>
      <w:r>
        <w:rPr>
          <w:rFonts w:eastAsiaTheme="minorEastAsia"/>
          <w:color w:val="000000" w:themeColor="text1"/>
          <w:szCs w:val="21"/>
        </w:rPr>
        <w:t>15BP</w:t>
      </w:r>
      <w:r>
        <w:rPr>
          <w:rFonts w:eastAsiaTheme="minorEastAsia"/>
          <w:color w:val="000000" w:themeColor="text1"/>
          <w:szCs w:val="21"/>
        </w:rPr>
        <w:t>和</w:t>
      </w:r>
      <w:r>
        <w:rPr>
          <w:rFonts w:eastAsiaTheme="minorEastAsia"/>
          <w:color w:val="000000" w:themeColor="text1"/>
          <w:szCs w:val="21"/>
        </w:rPr>
        <w:t>3BP</w:t>
      </w:r>
      <w:r>
        <w:rPr>
          <w:rFonts w:eastAsiaTheme="minorEastAsia"/>
          <w:color w:val="000000" w:themeColor="text1"/>
          <w:szCs w:val="21"/>
        </w:rPr>
        <w:t>。信用债表现的略好于利率债，</w:t>
      </w:r>
      <w:r>
        <w:rPr>
          <w:rFonts w:eastAsiaTheme="minorEastAsia"/>
          <w:color w:val="000000" w:themeColor="text1"/>
          <w:szCs w:val="21"/>
        </w:rPr>
        <w:t>1Y</w:t>
      </w:r>
      <w:r>
        <w:rPr>
          <w:rFonts w:eastAsiaTheme="minorEastAsia"/>
          <w:color w:val="000000" w:themeColor="text1"/>
          <w:szCs w:val="21"/>
        </w:rPr>
        <w:t>的</w:t>
      </w:r>
      <w:r>
        <w:rPr>
          <w:rFonts w:eastAsiaTheme="minorEastAsia"/>
          <w:color w:val="000000" w:themeColor="text1"/>
          <w:szCs w:val="21"/>
        </w:rPr>
        <w:t>AAA</w:t>
      </w:r>
      <w:r>
        <w:rPr>
          <w:rFonts w:eastAsiaTheme="minorEastAsia"/>
          <w:color w:val="000000" w:themeColor="text1"/>
          <w:szCs w:val="21"/>
        </w:rPr>
        <w:t>信用债下行</w:t>
      </w:r>
      <w:r>
        <w:rPr>
          <w:rFonts w:eastAsiaTheme="minorEastAsia"/>
          <w:color w:val="000000" w:themeColor="text1"/>
          <w:szCs w:val="21"/>
        </w:rPr>
        <w:t>1BP</w:t>
      </w:r>
      <w:r>
        <w:rPr>
          <w:rFonts w:eastAsiaTheme="minorEastAsia"/>
          <w:color w:val="000000" w:themeColor="text1"/>
          <w:szCs w:val="21"/>
        </w:rPr>
        <w:t>。稍长久期的信用债表现稍弱，</w:t>
      </w:r>
      <w:r>
        <w:rPr>
          <w:rFonts w:eastAsiaTheme="minorEastAsia"/>
          <w:color w:val="000000" w:themeColor="text1"/>
          <w:szCs w:val="21"/>
        </w:rPr>
        <w:t>3Y</w:t>
      </w:r>
      <w:r>
        <w:rPr>
          <w:rFonts w:eastAsiaTheme="minorEastAsia"/>
          <w:color w:val="000000" w:themeColor="text1"/>
          <w:szCs w:val="21"/>
        </w:rPr>
        <w:t>的</w:t>
      </w:r>
      <w:r>
        <w:rPr>
          <w:rFonts w:eastAsiaTheme="minorEastAsia"/>
          <w:color w:val="000000" w:themeColor="text1"/>
          <w:szCs w:val="21"/>
        </w:rPr>
        <w:t>AAA</w:t>
      </w:r>
      <w:r>
        <w:rPr>
          <w:rFonts w:eastAsiaTheme="minorEastAsia"/>
          <w:color w:val="000000" w:themeColor="text1"/>
          <w:szCs w:val="21"/>
        </w:rPr>
        <w:t>信用债上行</w:t>
      </w:r>
      <w:r>
        <w:rPr>
          <w:rFonts w:eastAsiaTheme="minorEastAsia"/>
          <w:color w:val="000000" w:themeColor="text1"/>
          <w:szCs w:val="21"/>
        </w:rPr>
        <w:t>6BP</w:t>
      </w:r>
      <w:r>
        <w:rPr>
          <w:rFonts w:eastAsiaTheme="minorEastAsia"/>
          <w:color w:val="000000" w:themeColor="text1"/>
          <w:szCs w:val="21"/>
        </w:rPr>
        <w:t>。信用利差在较低水平上继续压缩，中等评级的表现更好一些，</w:t>
      </w:r>
      <w:r>
        <w:rPr>
          <w:rFonts w:eastAsiaTheme="minorEastAsia"/>
          <w:color w:val="000000" w:themeColor="text1"/>
          <w:szCs w:val="21"/>
        </w:rPr>
        <w:t>3Y</w:t>
      </w:r>
      <w:r>
        <w:rPr>
          <w:rFonts w:eastAsiaTheme="minorEastAsia"/>
          <w:color w:val="000000" w:themeColor="text1"/>
          <w:szCs w:val="21"/>
        </w:rPr>
        <w:t>的</w:t>
      </w:r>
      <w:r>
        <w:rPr>
          <w:rFonts w:eastAsiaTheme="minorEastAsia"/>
          <w:color w:val="000000" w:themeColor="text1"/>
          <w:szCs w:val="21"/>
        </w:rPr>
        <w:t>AA</w:t>
      </w:r>
      <w:r>
        <w:rPr>
          <w:rFonts w:eastAsiaTheme="minorEastAsia"/>
          <w:color w:val="000000" w:themeColor="text1"/>
          <w:szCs w:val="21"/>
        </w:rPr>
        <w:t>信用债下行</w:t>
      </w:r>
      <w:r>
        <w:rPr>
          <w:rFonts w:eastAsiaTheme="minorEastAsia"/>
          <w:color w:val="000000" w:themeColor="text1"/>
          <w:szCs w:val="21"/>
        </w:rPr>
        <w:t>3BP</w:t>
      </w:r>
      <w:r>
        <w:rPr>
          <w:rFonts w:eastAsiaTheme="minorEastAsia"/>
          <w:color w:val="000000" w:themeColor="text1"/>
          <w:szCs w:val="21"/>
        </w:rPr>
        <w:t>。我们认为，二季度的债券行情主要反映三点特征：一是经济一季度改善政策开始预调微调。二是宏观环境尚未完全企稳，后续长债利率仍有机会。三是信用条件放松，信用利差继续压缩。</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二季度初期本基金适当降低了仓位，以应对市场对经济回升和政策收紧的预期变化。</w:t>
      </w:r>
      <w:r w:rsidRPr="004264FD">
        <w:rPr>
          <w:rFonts w:eastAsiaTheme="minorEastAsia"/>
          <w:color w:val="000000" w:themeColor="text1"/>
          <w:szCs w:val="21"/>
        </w:rPr>
        <w:t>5</w:t>
      </w:r>
      <w:r w:rsidRPr="004264FD">
        <w:rPr>
          <w:rFonts w:eastAsiaTheme="minorEastAsia"/>
          <w:color w:val="000000" w:themeColor="text1"/>
          <w:szCs w:val="21"/>
        </w:rPr>
        <w:t>月之后本基金再次提高固收资产仓位，并在信用债底仓中精选中等久期和票息的品种。整体来看较好的把握了二季度固收资产收益率向下的获利机会。</w:t>
      </w:r>
    </w:p>
    <w:p w:rsidR="00952A72" w:rsidRPr="004264FD" w:rsidRDefault="00952A72" w:rsidP="00FC13C8">
      <w:pPr>
        <w:spacing w:line="360" w:lineRule="auto"/>
        <w:rPr>
          <w:rFonts w:eastAsiaTheme="minorEastAsia"/>
          <w:color w:val="000000" w:themeColor="text1"/>
          <w:szCs w:val="21"/>
        </w:rPr>
      </w:pPr>
      <w:r w:rsidRPr="004264FD">
        <w:rPr>
          <w:rFonts w:eastAsiaTheme="minorEastAsia"/>
          <w:color w:val="000000" w:themeColor="text1"/>
          <w:szCs w:val="21"/>
        </w:rPr>
        <w:t>4.4.2</w:t>
      </w:r>
      <w:r w:rsidRPr="004264FD">
        <w:rPr>
          <w:rFonts w:eastAsiaTheme="minorEastAsia"/>
          <w:color w:val="000000" w:themeColor="text1"/>
          <w:szCs w:val="21"/>
        </w:rPr>
        <w:t>报告期内基金的业绩表现</w:t>
      </w:r>
    </w:p>
    <w:p w:rsidR="00952A72" w:rsidRPr="004264FD" w:rsidRDefault="00323F25"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本报告期内光大保德信岁末红利纯债债券</w:t>
      </w:r>
      <w:r w:rsidRPr="004264FD">
        <w:rPr>
          <w:rFonts w:eastAsiaTheme="minorEastAsia"/>
          <w:color w:val="000000" w:themeColor="text1"/>
          <w:szCs w:val="21"/>
        </w:rPr>
        <w:t>A</w:t>
      </w:r>
      <w:r w:rsidRPr="004264FD">
        <w:rPr>
          <w:rFonts w:eastAsiaTheme="minorEastAsia"/>
          <w:color w:val="000000" w:themeColor="text1"/>
          <w:szCs w:val="21"/>
        </w:rPr>
        <w:t>份额净值增长率为</w:t>
      </w:r>
      <w:r w:rsidRPr="004264FD">
        <w:rPr>
          <w:rFonts w:eastAsiaTheme="minorEastAsia"/>
          <w:color w:val="000000" w:themeColor="text1"/>
          <w:szCs w:val="21"/>
        </w:rPr>
        <w:t>0.98%</w:t>
      </w:r>
      <w:r w:rsidRPr="004264FD">
        <w:rPr>
          <w:rFonts w:eastAsiaTheme="minorEastAsia"/>
          <w:color w:val="000000" w:themeColor="text1"/>
          <w:szCs w:val="21"/>
        </w:rPr>
        <w:t>，业绩比较基准收益率为</w:t>
      </w:r>
      <w:r w:rsidRPr="004264FD">
        <w:rPr>
          <w:rFonts w:eastAsiaTheme="minorEastAsia"/>
          <w:color w:val="000000" w:themeColor="text1"/>
          <w:szCs w:val="21"/>
        </w:rPr>
        <w:t>0.63%</w:t>
      </w: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r w:rsidRPr="004264FD">
        <w:rPr>
          <w:rFonts w:eastAsiaTheme="minorEastAsia"/>
          <w:color w:val="000000" w:themeColor="text1"/>
          <w:szCs w:val="21"/>
        </w:rPr>
        <w:t>份额净值增长率为</w:t>
      </w:r>
      <w:r w:rsidRPr="004264FD">
        <w:rPr>
          <w:rFonts w:eastAsiaTheme="minorEastAsia"/>
          <w:color w:val="000000" w:themeColor="text1"/>
          <w:szCs w:val="21"/>
        </w:rPr>
        <w:t>0.89%</w:t>
      </w:r>
      <w:r w:rsidRPr="004264FD">
        <w:rPr>
          <w:rFonts w:eastAsiaTheme="minorEastAsia"/>
          <w:color w:val="000000" w:themeColor="text1"/>
          <w:szCs w:val="21"/>
        </w:rPr>
        <w:t>，业绩比较基准收益率为</w:t>
      </w:r>
      <w:r w:rsidRPr="004264FD">
        <w:rPr>
          <w:rFonts w:eastAsiaTheme="minorEastAsia"/>
          <w:color w:val="000000" w:themeColor="text1"/>
          <w:szCs w:val="21"/>
        </w:rPr>
        <w:t>0.63%</w:t>
      </w:r>
      <w:r w:rsidRPr="004264FD">
        <w:rPr>
          <w:rFonts w:eastAsiaTheme="minorEastAsia"/>
          <w:color w:val="000000" w:themeColor="text1"/>
          <w:szCs w:val="21"/>
        </w:rPr>
        <w:t>。</w:t>
      </w:r>
    </w:p>
    <w:p w:rsidR="000739C3" w:rsidRPr="004264FD" w:rsidRDefault="000739C3" w:rsidP="003F7026">
      <w:pPr>
        <w:spacing w:line="360" w:lineRule="auto"/>
        <w:ind w:firstLineChars="200" w:firstLine="420"/>
        <w:rPr>
          <w:rFonts w:eastAsiaTheme="minorEastAsia"/>
          <w:color w:val="000000" w:themeColor="text1"/>
          <w:szCs w:val="21"/>
        </w:rPr>
      </w:pPr>
    </w:p>
    <w:p w:rsidR="00022662" w:rsidRPr="004264FD" w:rsidRDefault="00D971CB" w:rsidP="00D971CB">
      <w:pPr>
        <w:spacing w:line="360" w:lineRule="auto"/>
        <w:rPr>
          <w:rFonts w:eastAsiaTheme="minorEastAsia"/>
          <w:color w:val="000000" w:themeColor="text1"/>
          <w:szCs w:val="21"/>
        </w:rPr>
      </w:pPr>
      <w:r w:rsidRPr="004264FD">
        <w:rPr>
          <w:rFonts w:eastAsiaTheme="minorEastAsia"/>
          <w:b/>
          <w:color w:val="000000" w:themeColor="text1"/>
          <w:kern w:val="0"/>
          <w:szCs w:val="21"/>
        </w:rPr>
        <w:t>4</w:t>
      </w:r>
      <w:r w:rsidR="004734F0" w:rsidRPr="004264FD">
        <w:rPr>
          <w:rFonts w:eastAsiaTheme="minorEastAsia" w:hint="eastAsia"/>
          <w:b/>
          <w:color w:val="000000" w:themeColor="text1"/>
          <w:kern w:val="0"/>
          <w:szCs w:val="21"/>
        </w:rPr>
        <w:t>.</w:t>
      </w:r>
      <w:r w:rsidR="00B63B6A" w:rsidRPr="004264FD">
        <w:rPr>
          <w:rFonts w:eastAsiaTheme="minorEastAsia" w:hint="eastAsia"/>
          <w:b/>
          <w:color w:val="000000" w:themeColor="text1"/>
          <w:kern w:val="0"/>
          <w:szCs w:val="21"/>
        </w:rPr>
        <w:t>5</w:t>
      </w:r>
      <w:r w:rsidRPr="004264FD">
        <w:rPr>
          <w:rFonts w:asciiTheme="minorEastAsia" w:eastAsiaTheme="minorEastAsia" w:hAnsiTheme="minorEastAsia" w:hint="eastAsia"/>
          <w:b/>
          <w:color w:val="000000" w:themeColor="text1"/>
          <w:kern w:val="0"/>
          <w:szCs w:val="21"/>
        </w:rPr>
        <w:t>报告期内基金持有人数或基金资产净值预警说明</w:t>
      </w:r>
    </w:p>
    <w:p w:rsidR="00D971CB" w:rsidRPr="004264FD" w:rsidRDefault="00D971CB" w:rsidP="00D971CB">
      <w:pPr>
        <w:spacing w:line="360" w:lineRule="auto"/>
        <w:ind w:firstLineChars="200" w:firstLine="420"/>
        <w:rPr>
          <w:rFonts w:eastAsiaTheme="minorEastAsia"/>
          <w:color w:val="000000" w:themeColor="text1"/>
          <w:kern w:val="0"/>
          <w:szCs w:val="21"/>
        </w:rPr>
      </w:pPr>
      <w:r w:rsidRPr="004264FD">
        <w:rPr>
          <w:rFonts w:eastAsiaTheme="minorEastAsia"/>
          <w:color w:val="000000" w:themeColor="text1"/>
          <w:kern w:val="0"/>
          <w:szCs w:val="21"/>
        </w:rPr>
        <w:t>本报告期内未发生连续二十个工作日出现基金份额持有人数量不满二百人或者基金资产净值低于五千万元的情形。</w:t>
      </w:r>
    </w:p>
    <w:p w:rsidR="00D971CB" w:rsidRPr="004264FD" w:rsidRDefault="00D971CB" w:rsidP="00D971CB">
      <w:pPr>
        <w:spacing w:line="360" w:lineRule="auto"/>
        <w:ind w:firstLineChars="200" w:firstLine="420"/>
        <w:rPr>
          <w:rFonts w:asciiTheme="minorEastAsia" w:eastAsiaTheme="minorEastAsia" w:hAnsiTheme="minorEastAsia"/>
          <w:color w:val="000000" w:themeColor="text1"/>
          <w:szCs w:val="21"/>
        </w:rPr>
      </w:pPr>
    </w:p>
    <w:p w:rsidR="009238DB" w:rsidRPr="004264FD" w:rsidRDefault="009238DB" w:rsidP="004241D1">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§5  </w:t>
      </w:r>
      <w:r w:rsidRPr="004264FD">
        <w:rPr>
          <w:rFonts w:eastAsiaTheme="minorEastAsia"/>
          <w:color w:val="000000" w:themeColor="text1"/>
          <w:kern w:val="0"/>
          <w:sz w:val="21"/>
          <w:szCs w:val="21"/>
        </w:rPr>
        <w:t>投资组合报告</w:t>
      </w:r>
    </w:p>
    <w:p w:rsidR="009238DB" w:rsidRPr="004264FD" w:rsidRDefault="009238DB" w:rsidP="00FC13C8">
      <w:pPr>
        <w:autoSpaceDE w:val="0"/>
        <w:autoSpaceDN w:val="0"/>
        <w:adjustRightInd w:val="0"/>
        <w:spacing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5.1 </w:t>
      </w:r>
      <w:r w:rsidRPr="004264FD">
        <w:rPr>
          <w:rFonts w:eastAsiaTheme="minorEastAsia"/>
          <w:b/>
          <w:color w:val="000000" w:themeColor="text1"/>
          <w:kern w:val="0"/>
          <w:szCs w:val="21"/>
        </w:rPr>
        <w:t>报告期末基金资产组合情况</w:t>
      </w:r>
    </w:p>
    <w:tbl>
      <w:tblPr>
        <w:tblStyle w:val="af2"/>
        <w:tblW w:w="8897" w:type="dxa"/>
        <w:tblInd w:w="108" w:type="dxa"/>
        <w:tblLayout w:type="fixed"/>
        <w:tblLook w:val="04A0"/>
      </w:tblPr>
      <w:tblGrid>
        <w:gridCol w:w="720"/>
        <w:gridCol w:w="3357"/>
        <w:gridCol w:w="2977"/>
        <w:gridCol w:w="1843"/>
      </w:tblGrid>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35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项目</w:t>
            </w:r>
          </w:p>
        </w:tc>
        <w:tc>
          <w:tcPr>
            <w:tcW w:w="2977"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金额</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843"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占基金总资产的比例</w:t>
            </w: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权益投资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其中：股票</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固定收益投资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1,725,379,123.00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85.42</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其中：债券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1,725,379,123.00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85.42</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B54782">
            <w:pPr>
              <w:autoSpaceDE w:val="0"/>
              <w:autoSpaceDN w:val="0"/>
              <w:adjustRightInd w:val="0"/>
              <w:spacing w:before="29" w:line="360" w:lineRule="auto"/>
              <w:ind w:left="17" w:firstLineChars="300" w:firstLine="630"/>
              <w:jc w:val="left"/>
              <w:rPr>
                <w:rFonts w:eastAsiaTheme="minorEastAsia"/>
                <w:color w:val="000000" w:themeColor="text1"/>
                <w:szCs w:val="21"/>
              </w:rPr>
            </w:pPr>
            <w:r w:rsidRPr="004264FD">
              <w:rPr>
                <w:rFonts w:eastAsiaTheme="minorEastAsia"/>
                <w:color w:val="000000" w:themeColor="text1"/>
                <w:szCs w:val="21"/>
              </w:rPr>
              <w:t>资产支持证券</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357" w:type="dxa"/>
          </w:tcPr>
          <w:p w:rsidR="009A6018" w:rsidRPr="004264FD" w:rsidRDefault="009A6018" w:rsidP="00022662">
            <w:pPr>
              <w:spacing w:before="29" w:line="360" w:lineRule="auto"/>
              <w:ind w:leftChars="50" w:left="105"/>
              <w:rPr>
                <w:rFonts w:eastAsiaTheme="minorEastAsia"/>
                <w:color w:val="000000" w:themeColor="text1"/>
                <w:szCs w:val="21"/>
              </w:rPr>
            </w:pPr>
            <w:r w:rsidRPr="004264FD">
              <w:rPr>
                <w:rFonts w:eastAsiaTheme="minorEastAsia"/>
                <w:color w:val="000000" w:themeColor="text1"/>
                <w:szCs w:val="21"/>
              </w:rPr>
              <w:t>贵金属投资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金融衍生品投资</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182,000,593.00</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9.01</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其中：买断式回购的买入返售金融资产</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357" w:type="dxa"/>
            <w:vAlign w:val="center"/>
          </w:tcPr>
          <w:p w:rsidR="009A6018" w:rsidRPr="004264FD" w:rsidRDefault="009A6018" w:rsidP="00022662">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银行存款和结算备付金合计</w:t>
            </w:r>
          </w:p>
        </w:tc>
        <w:tc>
          <w:tcPr>
            <w:tcW w:w="2977"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53,757,995.08</w:t>
            </w:r>
          </w:p>
        </w:tc>
        <w:tc>
          <w:tcPr>
            <w:tcW w:w="1843" w:type="dxa"/>
            <w:vAlign w:val="center"/>
          </w:tcPr>
          <w:p w:rsidR="009A6018" w:rsidRPr="004264FD" w:rsidRDefault="009A6018" w:rsidP="003F7026">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2.66</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其他各项资产</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58,745,439.76</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2.91</w:t>
            </w:r>
          </w:p>
        </w:tc>
      </w:tr>
      <w:tr w:rsidR="004264FD" w:rsidRPr="004264FD" w:rsidTr="00B54782">
        <w:tc>
          <w:tcPr>
            <w:tcW w:w="720" w:type="dxa"/>
            <w:vAlign w:val="center"/>
          </w:tcPr>
          <w:p w:rsidR="009A6018" w:rsidRPr="004264FD" w:rsidRDefault="009A6018" w:rsidP="00022662">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8</w:t>
            </w:r>
          </w:p>
        </w:tc>
        <w:tc>
          <w:tcPr>
            <w:tcW w:w="3357" w:type="dxa"/>
            <w:vAlign w:val="center"/>
          </w:tcPr>
          <w:p w:rsidR="009A6018" w:rsidRPr="004264FD" w:rsidRDefault="009A6018" w:rsidP="003F7026">
            <w:pPr>
              <w:rPr>
                <w:rFonts w:eastAsiaTheme="minorEastAsia"/>
                <w:color w:val="000000" w:themeColor="text1"/>
                <w:szCs w:val="21"/>
              </w:rPr>
            </w:pPr>
            <w:r w:rsidRPr="004264FD">
              <w:rPr>
                <w:rFonts w:eastAsiaTheme="minorEastAsia"/>
                <w:color w:val="000000" w:themeColor="text1"/>
                <w:szCs w:val="21"/>
              </w:rPr>
              <w:t>合计</w:t>
            </w:r>
          </w:p>
        </w:tc>
        <w:tc>
          <w:tcPr>
            <w:tcW w:w="2977"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2,019,883,150.84</w:t>
            </w:r>
          </w:p>
        </w:tc>
        <w:tc>
          <w:tcPr>
            <w:tcW w:w="1843" w:type="dxa"/>
            <w:vAlign w:val="center"/>
          </w:tcPr>
          <w:p w:rsidR="009A6018" w:rsidRPr="004264FD" w:rsidRDefault="009A6018" w:rsidP="003F7026">
            <w:pPr>
              <w:jc w:val="right"/>
              <w:rPr>
                <w:rFonts w:eastAsiaTheme="minorEastAsia"/>
                <w:color w:val="000000" w:themeColor="text1"/>
                <w:szCs w:val="21"/>
              </w:rPr>
            </w:pPr>
            <w:r w:rsidRPr="004264FD">
              <w:rPr>
                <w:rFonts w:eastAsiaTheme="minorEastAsia"/>
                <w:color w:val="000000" w:themeColor="text1"/>
                <w:szCs w:val="21"/>
              </w:rPr>
              <w:t>100.00</w:t>
            </w:r>
          </w:p>
        </w:tc>
      </w:tr>
    </w:tbl>
    <w:p w:rsidR="009238DB"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5.2 </w:t>
      </w:r>
      <w:r w:rsidRPr="004264FD">
        <w:rPr>
          <w:rFonts w:eastAsiaTheme="minorEastAsia"/>
          <w:b/>
          <w:color w:val="000000" w:themeColor="text1"/>
          <w:kern w:val="0"/>
          <w:szCs w:val="21"/>
        </w:rPr>
        <w:t>报告期末按行业分类的股票投资组合</w:t>
      </w:r>
    </w:p>
    <w:p w:rsidR="00B459CD" w:rsidRPr="00B459CD" w:rsidRDefault="00B459CD" w:rsidP="00B459CD">
      <w:pPr>
        <w:rPr>
          <w:b/>
        </w:rPr>
      </w:pPr>
      <w:r w:rsidRPr="00B459CD">
        <w:rPr>
          <w:rFonts w:hint="eastAsia"/>
          <w:b/>
        </w:rPr>
        <w:t xml:space="preserve"> </w:t>
      </w:r>
      <w:r w:rsidRPr="00B459CD">
        <w:rPr>
          <w:rFonts w:eastAsiaTheme="minorEastAsia" w:hint="eastAsia"/>
          <w:b/>
          <w:color w:val="000000" w:themeColor="text1"/>
          <w:kern w:val="0"/>
          <w:szCs w:val="21"/>
        </w:rPr>
        <w:t>5.2.1</w:t>
      </w:r>
      <w:r w:rsidRPr="00B459CD">
        <w:rPr>
          <w:rFonts w:eastAsiaTheme="minorEastAsia" w:hint="eastAsia"/>
          <w:b/>
          <w:color w:val="000000" w:themeColor="text1"/>
          <w:kern w:val="0"/>
          <w:szCs w:val="21"/>
        </w:rPr>
        <w:t>报告期末按行业分类的境内股票投资组合</w:t>
      </w:r>
    </w:p>
    <w:p w:rsidR="009238DB"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5.3 </w:t>
      </w:r>
      <w:r w:rsidRPr="004264FD">
        <w:rPr>
          <w:rFonts w:eastAsiaTheme="minorEastAsia"/>
          <w:b/>
          <w:color w:val="000000" w:themeColor="text1"/>
          <w:kern w:val="0"/>
          <w:szCs w:val="21"/>
        </w:rPr>
        <w:t>报告期末按公允价值占基金资产净值比例大小排序的前十名股票投资明细</w:t>
      </w:r>
    </w:p>
    <w:p w:rsidR="009238DB" w:rsidRPr="004264FD" w:rsidRDefault="000871DB"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5.4 </w:t>
      </w:r>
      <w:r w:rsidRPr="004264FD">
        <w:rPr>
          <w:rFonts w:eastAsiaTheme="minorEastAsia"/>
          <w:b/>
          <w:color w:val="000000" w:themeColor="text1"/>
          <w:kern w:val="0"/>
          <w:szCs w:val="21"/>
        </w:rPr>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3260"/>
        <w:gridCol w:w="2835"/>
        <w:gridCol w:w="1616"/>
      </w:tblGrid>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序号</w:t>
            </w:r>
          </w:p>
        </w:tc>
        <w:tc>
          <w:tcPr>
            <w:tcW w:w="3260"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债券品种</w:t>
            </w:r>
          </w:p>
        </w:tc>
        <w:tc>
          <w:tcPr>
            <w:tcW w:w="2835"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公允价值</w:t>
            </w:r>
            <w:r w:rsidRPr="004264FD">
              <w:rPr>
                <w:rFonts w:eastAsiaTheme="minorEastAsia"/>
                <w:color w:val="000000" w:themeColor="text1"/>
                <w:szCs w:val="21"/>
              </w:rPr>
              <w:t>(</w:t>
            </w:r>
            <w:r w:rsidRPr="004264FD">
              <w:rPr>
                <w:rFonts w:eastAsiaTheme="minorEastAsia"/>
                <w:color w:val="000000" w:themeColor="text1"/>
                <w:szCs w:val="21"/>
              </w:rPr>
              <w:t>元</w:t>
            </w: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占基金资产净值比例</w:t>
            </w:r>
            <w:r w:rsidRPr="004264FD">
              <w:rPr>
                <w:rFonts w:eastAsiaTheme="minorEastAsia"/>
                <w:color w:val="000000" w:themeColor="text1"/>
                <w:szCs w:val="21"/>
              </w:rPr>
              <w:t>(</w:t>
            </w:r>
            <w:r w:rsidRPr="004264FD">
              <w:rPr>
                <w:rFonts w:eastAsiaTheme="minorEastAsia"/>
                <w:color w:val="000000" w:themeColor="text1"/>
                <w:szCs w:val="21"/>
              </w:rPr>
              <w:t>％</w:t>
            </w: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国家债券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52,150,246.40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2.61</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2</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央行票据</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3</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金融债券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89,905,097.00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4.49</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其中：政策性金融债</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89,905,097.00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4.49</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4</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企业债券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118,182,379.60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5.91</w:t>
            </w:r>
          </w:p>
        </w:tc>
      </w:tr>
      <w:tr w:rsidR="004264FD" w:rsidRPr="004264FD" w:rsidTr="00B54782">
        <w:tc>
          <w:tcPr>
            <w:tcW w:w="817" w:type="dxa"/>
            <w:vAlign w:val="center"/>
          </w:tcPr>
          <w:p w:rsidR="00296E4A" w:rsidRPr="004264FD" w:rsidRDefault="00296E4A"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5</w:t>
            </w:r>
          </w:p>
        </w:tc>
        <w:tc>
          <w:tcPr>
            <w:tcW w:w="3260" w:type="dxa"/>
            <w:vAlign w:val="center"/>
          </w:tcPr>
          <w:p w:rsidR="00296E4A" w:rsidRPr="004264FD" w:rsidRDefault="00296E4A"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企业短期融资</w:t>
            </w:r>
            <w:r w:rsidR="00FA786F" w:rsidRPr="004264FD">
              <w:rPr>
                <w:rFonts w:eastAsiaTheme="minorEastAsia"/>
                <w:color w:val="000000" w:themeColor="text1"/>
                <w:szCs w:val="21"/>
              </w:rPr>
              <w:t>券</w:t>
            </w:r>
          </w:p>
        </w:tc>
        <w:tc>
          <w:tcPr>
            <w:tcW w:w="2835"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396,859,500.00</w:t>
            </w:r>
          </w:p>
        </w:tc>
        <w:tc>
          <w:tcPr>
            <w:tcW w:w="1616" w:type="dxa"/>
            <w:vAlign w:val="center"/>
          </w:tcPr>
          <w:p w:rsidR="00296E4A" w:rsidRPr="004264FD" w:rsidRDefault="00296E4A"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19.83</w:t>
            </w:r>
          </w:p>
        </w:tc>
      </w:tr>
      <w:tr w:rsidR="004264FD" w:rsidRPr="004264FD" w:rsidTr="00B54782">
        <w:tc>
          <w:tcPr>
            <w:tcW w:w="817" w:type="dxa"/>
            <w:vAlign w:val="center"/>
          </w:tcPr>
          <w:p w:rsidR="00686943" w:rsidRPr="004264FD" w:rsidRDefault="00686943" w:rsidP="00BE4FD1">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6</w:t>
            </w:r>
          </w:p>
        </w:tc>
        <w:tc>
          <w:tcPr>
            <w:tcW w:w="3260" w:type="dxa"/>
            <w:vAlign w:val="center"/>
          </w:tcPr>
          <w:p w:rsidR="00686943" w:rsidRPr="004264FD" w:rsidRDefault="00686943" w:rsidP="00BE4FD1">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中期票据</w:t>
            </w:r>
          </w:p>
        </w:tc>
        <w:tc>
          <w:tcPr>
            <w:tcW w:w="2835"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1,068,281,900.00</w:t>
            </w:r>
          </w:p>
        </w:tc>
        <w:tc>
          <w:tcPr>
            <w:tcW w:w="1616" w:type="dxa"/>
            <w:vAlign w:val="center"/>
          </w:tcPr>
          <w:p w:rsidR="00686943" w:rsidRPr="004264FD" w:rsidRDefault="00686943" w:rsidP="00BE4FD1">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53.39</w:t>
            </w:r>
          </w:p>
        </w:tc>
      </w:tr>
      <w:tr w:rsidR="004264FD" w:rsidRPr="004264FD" w:rsidTr="00B54782">
        <w:tc>
          <w:tcPr>
            <w:tcW w:w="817" w:type="dxa"/>
            <w:vAlign w:val="center"/>
          </w:tcPr>
          <w:p w:rsidR="00686943" w:rsidRPr="004264FD" w:rsidRDefault="00686943" w:rsidP="00296E4A">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7</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可转债</w:t>
            </w:r>
            <w:r w:rsidR="00D50E1A">
              <w:rPr>
                <w:rFonts w:eastAsiaTheme="minorEastAsia" w:hint="eastAsia"/>
                <w:color w:val="000000" w:themeColor="text1"/>
                <w:szCs w:val="21"/>
              </w:rPr>
              <w:t>（可交换债）</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8926E3" w:rsidRPr="004264FD" w:rsidTr="00B54782">
        <w:tc>
          <w:tcPr>
            <w:tcW w:w="817" w:type="dxa"/>
            <w:vAlign w:val="center"/>
          </w:tcPr>
          <w:p w:rsidR="008926E3" w:rsidRPr="004264FD" w:rsidRDefault="008926E3" w:rsidP="00296E4A">
            <w:pPr>
              <w:spacing w:before="29" w:line="360" w:lineRule="auto"/>
              <w:ind w:left="17"/>
              <w:jc w:val="center"/>
              <w:rPr>
                <w:rFonts w:eastAsiaTheme="minorEastAsia"/>
                <w:color w:val="000000" w:themeColor="text1"/>
                <w:szCs w:val="21"/>
              </w:rPr>
            </w:pPr>
            <w:r>
              <w:rPr>
                <w:rFonts w:eastAsiaTheme="minorEastAsia" w:hint="eastAsia"/>
                <w:color w:val="000000" w:themeColor="text1"/>
                <w:szCs w:val="21"/>
              </w:rPr>
              <w:t>8</w:t>
            </w:r>
          </w:p>
        </w:tc>
        <w:tc>
          <w:tcPr>
            <w:tcW w:w="3260" w:type="dxa"/>
            <w:vAlign w:val="center"/>
          </w:tcPr>
          <w:p w:rsidR="008926E3" w:rsidRPr="004264FD" w:rsidRDefault="008926E3" w:rsidP="00296E4A">
            <w:pPr>
              <w:spacing w:before="29" w:line="360" w:lineRule="auto"/>
              <w:ind w:left="17"/>
              <w:jc w:val="left"/>
              <w:rPr>
                <w:rFonts w:eastAsiaTheme="minorEastAsia"/>
                <w:color w:val="000000" w:themeColor="text1"/>
                <w:szCs w:val="21"/>
              </w:rPr>
            </w:pPr>
            <w:r>
              <w:rPr>
                <w:rFonts w:eastAsiaTheme="minorEastAsia" w:hint="eastAsia"/>
                <w:color w:val="000000" w:themeColor="text1"/>
                <w:szCs w:val="21"/>
              </w:rPr>
              <w:t>同业存单</w:t>
            </w:r>
          </w:p>
        </w:tc>
        <w:tc>
          <w:tcPr>
            <w:tcW w:w="2835"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c>
          <w:tcPr>
            <w:tcW w:w="1616" w:type="dxa"/>
            <w:vAlign w:val="center"/>
          </w:tcPr>
          <w:p w:rsidR="008926E3" w:rsidRPr="004264FD" w:rsidRDefault="008926E3" w:rsidP="00296E4A">
            <w:pPr>
              <w:spacing w:before="29" w:line="360" w:lineRule="auto"/>
              <w:ind w:left="17"/>
              <w:jc w:val="right"/>
              <w:rPr>
                <w:rFonts w:eastAsiaTheme="minorEastAsia"/>
                <w:color w:val="000000" w:themeColor="text1"/>
                <w:szCs w:val="21"/>
              </w:rPr>
            </w:pPr>
            <w:r>
              <w:rPr>
                <w:rFonts w:eastAsiaTheme="minorEastAsia" w:hint="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9</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其他</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817" w:type="dxa"/>
            <w:vAlign w:val="center"/>
          </w:tcPr>
          <w:p w:rsidR="00686943" w:rsidRPr="004264FD" w:rsidRDefault="00686943" w:rsidP="00686943">
            <w:pPr>
              <w:spacing w:before="29" w:line="360" w:lineRule="auto"/>
              <w:ind w:left="17"/>
              <w:jc w:val="center"/>
              <w:rPr>
                <w:rFonts w:eastAsiaTheme="minorEastAsia"/>
                <w:color w:val="000000" w:themeColor="text1"/>
                <w:szCs w:val="21"/>
              </w:rPr>
            </w:pPr>
            <w:r w:rsidRPr="004264FD">
              <w:rPr>
                <w:rFonts w:eastAsiaTheme="minorEastAsia"/>
                <w:color w:val="000000" w:themeColor="text1"/>
                <w:szCs w:val="21"/>
              </w:rPr>
              <w:t>10</w:t>
            </w:r>
          </w:p>
        </w:tc>
        <w:tc>
          <w:tcPr>
            <w:tcW w:w="3260" w:type="dxa"/>
            <w:vAlign w:val="center"/>
          </w:tcPr>
          <w:p w:rsidR="00686943" w:rsidRPr="004264FD" w:rsidRDefault="00686943" w:rsidP="00296E4A">
            <w:pPr>
              <w:spacing w:before="29" w:line="360" w:lineRule="auto"/>
              <w:ind w:left="17"/>
              <w:jc w:val="left"/>
              <w:rPr>
                <w:rFonts w:eastAsiaTheme="minorEastAsia"/>
                <w:color w:val="000000" w:themeColor="text1"/>
                <w:szCs w:val="21"/>
              </w:rPr>
            </w:pPr>
            <w:r w:rsidRPr="004264FD">
              <w:rPr>
                <w:rFonts w:eastAsiaTheme="minorEastAsia"/>
                <w:color w:val="000000" w:themeColor="text1"/>
                <w:szCs w:val="21"/>
              </w:rPr>
              <w:t>合计</w:t>
            </w:r>
          </w:p>
        </w:tc>
        <w:tc>
          <w:tcPr>
            <w:tcW w:w="2835"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1,725,379,123.00</w:t>
            </w:r>
          </w:p>
        </w:tc>
        <w:tc>
          <w:tcPr>
            <w:tcW w:w="1616" w:type="dxa"/>
            <w:vAlign w:val="center"/>
          </w:tcPr>
          <w:p w:rsidR="00686943" w:rsidRPr="004264FD" w:rsidRDefault="00686943" w:rsidP="00296E4A">
            <w:pPr>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86.22</w:t>
            </w:r>
          </w:p>
        </w:tc>
      </w:tr>
    </w:tbl>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 xml:space="preserve">5.5 </w:t>
      </w:r>
      <w:r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的前五名债券投资明细</w:t>
      </w:r>
    </w:p>
    <w:tbl>
      <w:tblPr>
        <w:tblStyle w:val="af2"/>
        <w:tblW w:w="0" w:type="auto"/>
        <w:tblInd w:w="108" w:type="dxa"/>
        <w:tblLayout w:type="fixed"/>
        <w:tblLook w:val="04A0"/>
      </w:tblPr>
      <w:tblGrid>
        <w:gridCol w:w="1504"/>
        <w:gridCol w:w="1504"/>
        <w:gridCol w:w="1504"/>
        <w:gridCol w:w="1503"/>
        <w:gridCol w:w="1503"/>
        <w:gridCol w:w="1503"/>
      </w:tblGrid>
      <w:tr w:rsidR="004264FD" w:rsidRPr="004264FD" w:rsidTr="00B54782">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债券代码</w:t>
            </w:r>
          </w:p>
        </w:tc>
        <w:tc>
          <w:tcPr>
            <w:tcW w:w="1504"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债券名称</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数量（张）</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公允价值</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c>
          <w:tcPr>
            <w:tcW w:w="1503" w:type="dxa"/>
            <w:vAlign w:val="center"/>
          </w:tcPr>
          <w:p w:rsidR="00685FFC" w:rsidRPr="004264FD" w:rsidRDefault="00685FFC" w:rsidP="003F7026">
            <w:pPr>
              <w:autoSpaceDE w:val="0"/>
              <w:autoSpaceDN w:val="0"/>
              <w:adjustRightInd w:val="0"/>
              <w:spacing w:before="29" w:line="288" w:lineRule="auto"/>
              <w:ind w:left="15"/>
              <w:jc w:val="center"/>
              <w:rPr>
                <w:rFonts w:eastAsiaTheme="minorEastAsia"/>
                <w:color w:val="000000" w:themeColor="text1"/>
                <w:kern w:val="0"/>
                <w:szCs w:val="21"/>
              </w:rPr>
            </w:pPr>
            <w:r w:rsidRPr="004264FD">
              <w:rPr>
                <w:rFonts w:eastAsiaTheme="minorEastAsia"/>
                <w:color w:val="000000" w:themeColor="text1"/>
                <w:kern w:val="0"/>
                <w:szCs w:val="21"/>
              </w:rPr>
              <w:t>占基金资产净值比</w:t>
            </w:r>
            <w:r w:rsidR="00334656" w:rsidRPr="004264FD">
              <w:rPr>
                <w:rFonts w:eastAsiaTheme="minorEastAsia"/>
                <w:color w:val="000000" w:themeColor="text1"/>
                <w:kern w:val="0"/>
                <w:szCs w:val="21"/>
              </w:rPr>
              <w:t>例</w:t>
            </w:r>
            <w:r w:rsidRPr="004264FD">
              <w:rPr>
                <w:rFonts w:eastAsiaTheme="minorEastAsia"/>
                <w:color w:val="000000" w:themeColor="text1"/>
                <w:kern w:val="0"/>
                <w:szCs w:val="21"/>
              </w:rPr>
              <w:t>（％）</w:t>
            </w:r>
          </w:p>
        </w:tc>
      </w:tr>
      <w:tr w:rsidR="00EF60BB">
        <w:tc>
          <w:tcPr>
            <w:tcW w:w="1504" w:type="dxa"/>
            <w:vAlign w:val="center"/>
          </w:tcPr>
          <w:p w:rsidR="00EF60BB" w:rsidRDefault="00E87A1D">
            <w:pPr>
              <w:jc w:val="center"/>
            </w:pPr>
            <w:r>
              <w:rPr>
                <w:rFonts w:eastAsiaTheme="minorEastAsia"/>
                <w:color w:val="000000" w:themeColor="text1"/>
                <w:szCs w:val="21"/>
              </w:rPr>
              <w:t>1</w:t>
            </w:r>
          </w:p>
        </w:tc>
        <w:tc>
          <w:tcPr>
            <w:tcW w:w="1504" w:type="dxa"/>
            <w:vAlign w:val="center"/>
          </w:tcPr>
          <w:p w:rsidR="00EF60BB" w:rsidRDefault="00E87A1D">
            <w:pPr>
              <w:jc w:val="center"/>
            </w:pPr>
            <w:r>
              <w:rPr>
                <w:rFonts w:eastAsiaTheme="minorEastAsia"/>
                <w:color w:val="000000" w:themeColor="text1"/>
                <w:szCs w:val="21"/>
              </w:rPr>
              <w:t>041800246</w:t>
            </w:r>
          </w:p>
        </w:tc>
        <w:tc>
          <w:tcPr>
            <w:tcW w:w="1504" w:type="dxa"/>
            <w:vAlign w:val="center"/>
          </w:tcPr>
          <w:p w:rsidR="00EF60BB" w:rsidRDefault="00E87A1D">
            <w:pPr>
              <w:jc w:val="center"/>
            </w:pPr>
            <w:r>
              <w:rPr>
                <w:rFonts w:eastAsiaTheme="minorEastAsia"/>
                <w:color w:val="000000" w:themeColor="text1"/>
                <w:szCs w:val="21"/>
              </w:rPr>
              <w:t>18</w:t>
            </w:r>
            <w:r>
              <w:rPr>
                <w:rFonts w:eastAsiaTheme="minorEastAsia"/>
                <w:color w:val="000000" w:themeColor="text1"/>
                <w:szCs w:val="21"/>
              </w:rPr>
              <w:t>河钢集</w:t>
            </w:r>
            <w:r>
              <w:rPr>
                <w:rFonts w:eastAsiaTheme="minorEastAsia"/>
                <w:color w:val="000000" w:themeColor="text1"/>
                <w:szCs w:val="21"/>
              </w:rPr>
              <w:t>CP006</w:t>
            </w:r>
          </w:p>
        </w:tc>
        <w:tc>
          <w:tcPr>
            <w:tcW w:w="1503" w:type="dxa"/>
            <w:vAlign w:val="center"/>
          </w:tcPr>
          <w:p w:rsidR="00EF60BB" w:rsidRDefault="00E87A1D">
            <w:pPr>
              <w:jc w:val="right"/>
            </w:pPr>
            <w:r>
              <w:rPr>
                <w:rFonts w:eastAsiaTheme="minorEastAsia"/>
                <w:color w:val="000000" w:themeColor="text1"/>
                <w:szCs w:val="21"/>
              </w:rPr>
              <w:t>700,000</w:t>
            </w:r>
          </w:p>
        </w:tc>
        <w:tc>
          <w:tcPr>
            <w:tcW w:w="1503" w:type="dxa"/>
            <w:vAlign w:val="center"/>
          </w:tcPr>
          <w:p w:rsidR="00EF60BB" w:rsidRDefault="00E87A1D">
            <w:pPr>
              <w:jc w:val="right"/>
            </w:pPr>
            <w:r>
              <w:rPr>
                <w:rFonts w:eastAsiaTheme="minorEastAsia"/>
                <w:color w:val="000000" w:themeColor="text1"/>
                <w:szCs w:val="21"/>
              </w:rPr>
              <w:t>70,616,000.00</w:t>
            </w:r>
          </w:p>
        </w:tc>
        <w:tc>
          <w:tcPr>
            <w:tcW w:w="1503" w:type="dxa"/>
            <w:vAlign w:val="center"/>
          </w:tcPr>
          <w:p w:rsidR="00EF60BB" w:rsidRDefault="00E87A1D">
            <w:pPr>
              <w:jc w:val="right"/>
            </w:pPr>
            <w:r>
              <w:rPr>
                <w:rFonts w:eastAsiaTheme="minorEastAsia"/>
                <w:color w:val="000000" w:themeColor="text1"/>
                <w:szCs w:val="21"/>
              </w:rPr>
              <w:t>3.53</w:t>
            </w:r>
          </w:p>
        </w:tc>
      </w:tr>
      <w:tr w:rsidR="00EF60BB">
        <w:tc>
          <w:tcPr>
            <w:tcW w:w="1504" w:type="dxa"/>
            <w:vAlign w:val="center"/>
          </w:tcPr>
          <w:p w:rsidR="00EF60BB" w:rsidRDefault="00E87A1D">
            <w:pPr>
              <w:jc w:val="center"/>
            </w:pPr>
            <w:r>
              <w:rPr>
                <w:rFonts w:eastAsiaTheme="minorEastAsia"/>
                <w:color w:val="000000" w:themeColor="text1"/>
                <w:szCs w:val="21"/>
              </w:rPr>
              <w:t>2</w:t>
            </w:r>
          </w:p>
        </w:tc>
        <w:tc>
          <w:tcPr>
            <w:tcW w:w="1504" w:type="dxa"/>
            <w:vAlign w:val="center"/>
          </w:tcPr>
          <w:p w:rsidR="00EF60BB" w:rsidRDefault="00E87A1D">
            <w:pPr>
              <w:jc w:val="center"/>
            </w:pPr>
            <w:r>
              <w:rPr>
                <w:rFonts w:eastAsiaTheme="minorEastAsia"/>
                <w:color w:val="000000" w:themeColor="text1"/>
                <w:szCs w:val="21"/>
              </w:rPr>
              <w:t>011900023</w:t>
            </w:r>
          </w:p>
        </w:tc>
        <w:tc>
          <w:tcPr>
            <w:tcW w:w="1504" w:type="dxa"/>
            <w:vAlign w:val="center"/>
          </w:tcPr>
          <w:p w:rsidR="00EF60BB" w:rsidRDefault="00E87A1D">
            <w:pPr>
              <w:jc w:val="center"/>
            </w:pPr>
            <w:r>
              <w:rPr>
                <w:rFonts w:eastAsiaTheme="minorEastAsia"/>
                <w:color w:val="000000" w:themeColor="text1"/>
                <w:szCs w:val="21"/>
              </w:rPr>
              <w:t>19</w:t>
            </w:r>
            <w:r>
              <w:rPr>
                <w:rFonts w:eastAsiaTheme="minorEastAsia"/>
                <w:color w:val="000000" w:themeColor="text1"/>
                <w:szCs w:val="21"/>
              </w:rPr>
              <w:t>赣水投</w:t>
            </w:r>
            <w:r>
              <w:rPr>
                <w:rFonts w:eastAsiaTheme="minorEastAsia"/>
                <w:color w:val="000000" w:themeColor="text1"/>
                <w:szCs w:val="21"/>
              </w:rPr>
              <w:t>SCP001</w:t>
            </w:r>
          </w:p>
        </w:tc>
        <w:tc>
          <w:tcPr>
            <w:tcW w:w="1503" w:type="dxa"/>
            <w:vAlign w:val="center"/>
          </w:tcPr>
          <w:p w:rsidR="00EF60BB" w:rsidRDefault="00E87A1D">
            <w:pPr>
              <w:jc w:val="right"/>
            </w:pPr>
            <w:r>
              <w:rPr>
                <w:rFonts w:eastAsiaTheme="minorEastAsia"/>
                <w:color w:val="000000" w:themeColor="text1"/>
                <w:szCs w:val="21"/>
              </w:rPr>
              <w:t>700,000</w:t>
            </w:r>
          </w:p>
        </w:tc>
        <w:tc>
          <w:tcPr>
            <w:tcW w:w="1503" w:type="dxa"/>
            <w:vAlign w:val="center"/>
          </w:tcPr>
          <w:p w:rsidR="00EF60BB" w:rsidRDefault="00E87A1D">
            <w:pPr>
              <w:jc w:val="right"/>
            </w:pPr>
            <w:r>
              <w:rPr>
                <w:rFonts w:eastAsiaTheme="minorEastAsia"/>
                <w:color w:val="000000" w:themeColor="text1"/>
                <w:szCs w:val="21"/>
              </w:rPr>
              <w:t>70,238,000.00</w:t>
            </w:r>
          </w:p>
        </w:tc>
        <w:tc>
          <w:tcPr>
            <w:tcW w:w="1503" w:type="dxa"/>
            <w:vAlign w:val="center"/>
          </w:tcPr>
          <w:p w:rsidR="00EF60BB" w:rsidRDefault="00E87A1D">
            <w:pPr>
              <w:jc w:val="right"/>
            </w:pPr>
            <w:r>
              <w:rPr>
                <w:rFonts w:eastAsiaTheme="minorEastAsia"/>
                <w:color w:val="000000" w:themeColor="text1"/>
                <w:szCs w:val="21"/>
              </w:rPr>
              <w:t>3.51</w:t>
            </w:r>
          </w:p>
        </w:tc>
      </w:tr>
      <w:tr w:rsidR="00EF60BB">
        <w:tc>
          <w:tcPr>
            <w:tcW w:w="1504" w:type="dxa"/>
            <w:vAlign w:val="center"/>
          </w:tcPr>
          <w:p w:rsidR="00EF60BB" w:rsidRDefault="00E87A1D">
            <w:pPr>
              <w:jc w:val="center"/>
            </w:pPr>
            <w:r>
              <w:rPr>
                <w:rFonts w:eastAsiaTheme="minorEastAsia"/>
                <w:color w:val="000000" w:themeColor="text1"/>
                <w:szCs w:val="21"/>
              </w:rPr>
              <w:t>3</w:t>
            </w:r>
          </w:p>
        </w:tc>
        <w:tc>
          <w:tcPr>
            <w:tcW w:w="1504" w:type="dxa"/>
            <w:vAlign w:val="center"/>
          </w:tcPr>
          <w:p w:rsidR="00EF60BB" w:rsidRDefault="00E87A1D">
            <w:pPr>
              <w:jc w:val="center"/>
            </w:pPr>
            <w:r>
              <w:rPr>
                <w:rFonts w:eastAsiaTheme="minorEastAsia"/>
                <w:color w:val="000000" w:themeColor="text1"/>
                <w:szCs w:val="21"/>
              </w:rPr>
              <w:t>101764021</w:t>
            </w:r>
          </w:p>
        </w:tc>
        <w:tc>
          <w:tcPr>
            <w:tcW w:w="1504" w:type="dxa"/>
            <w:vAlign w:val="center"/>
          </w:tcPr>
          <w:p w:rsidR="00EF60BB" w:rsidRDefault="00E87A1D">
            <w:pPr>
              <w:jc w:val="center"/>
            </w:pPr>
            <w:r>
              <w:rPr>
                <w:rFonts w:eastAsiaTheme="minorEastAsia"/>
                <w:color w:val="000000" w:themeColor="text1"/>
                <w:szCs w:val="21"/>
              </w:rPr>
              <w:t>17</w:t>
            </w:r>
            <w:r>
              <w:rPr>
                <w:rFonts w:eastAsiaTheme="minorEastAsia"/>
                <w:color w:val="000000" w:themeColor="text1"/>
                <w:szCs w:val="21"/>
              </w:rPr>
              <w:t>京文投</w:t>
            </w:r>
            <w:r>
              <w:rPr>
                <w:rFonts w:eastAsiaTheme="minorEastAsia"/>
                <w:color w:val="000000" w:themeColor="text1"/>
                <w:szCs w:val="21"/>
              </w:rPr>
              <w:t>MTN001</w:t>
            </w:r>
          </w:p>
        </w:tc>
        <w:tc>
          <w:tcPr>
            <w:tcW w:w="1503" w:type="dxa"/>
            <w:vAlign w:val="center"/>
          </w:tcPr>
          <w:p w:rsidR="00EF60BB" w:rsidRDefault="00E87A1D">
            <w:pPr>
              <w:jc w:val="right"/>
            </w:pPr>
            <w:r>
              <w:rPr>
                <w:rFonts w:eastAsiaTheme="minorEastAsia"/>
                <w:color w:val="000000" w:themeColor="text1"/>
                <w:szCs w:val="21"/>
              </w:rPr>
              <w:t>600,000</w:t>
            </w:r>
          </w:p>
        </w:tc>
        <w:tc>
          <w:tcPr>
            <w:tcW w:w="1503" w:type="dxa"/>
            <w:vAlign w:val="center"/>
          </w:tcPr>
          <w:p w:rsidR="00EF60BB" w:rsidRDefault="00E87A1D">
            <w:pPr>
              <w:jc w:val="right"/>
            </w:pPr>
            <w:r>
              <w:rPr>
                <w:rFonts w:eastAsiaTheme="minorEastAsia"/>
                <w:color w:val="000000" w:themeColor="text1"/>
                <w:szCs w:val="21"/>
              </w:rPr>
              <w:t>61,788,000.00</w:t>
            </w:r>
          </w:p>
        </w:tc>
        <w:tc>
          <w:tcPr>
            <w:tcW w:w="1503" w:type="dxa"/>
            <w:vAlign w:val="center"/>
          </w:tcPr>
          <w:p w:rsidR="00EF60BB" w:rsidRDefault="00E87A1D">
            <w:pPr>
              <w:jc w:val="right"/>
            </w:pPr>
            <w:r>
              <w:rPr>
                <w:rFonts w:eastAsiaTheme="minorEastAsia"/>
                <w:color w:val="000000" w:themeColor="text1"/>
                <w:szCs w:val="21"/>
              </w:rPr>
              <w:t>3.09</w:t>
            </w:r>
          </w:p>
        </w:tc>
      </w:tr>
      <w:tr w:rsidR="00EF60BB">
        <w:tc>
          <w:tcPr>
            <w:tcW w:w="1504" w:type="dxa"/>
            <w:vAlign w:val="center"/>
          </w:tcPr>
          <w:p w:rsidR="00EF60BB" w:rsidRDefault="00E87A1D">
            <w:pPr>
              <w:jc w:val="center"/>
            </w:pPr>
            <w:r>
              <w:rPr>
                <w:rFonts w:eastAsiaTheme="minorEastAsia"/>
                <w:color w:val="000000" w:themeColor="text1"/>
                <w:szCs w:val="21"/>
              </w:rPr>
              <w:t>4</w:t>
            </w:r>
          </w:p>
        </w:tc>
        <w:tc>
          <w:tcPr>
            <w:tcW w:w="1504" w:type="dxa"/>
            <w:vAlign w:val="center"/>
          </w:tcPr>
          <w:p w:rsidR="00EF60BB" w:rsidRDefault="00E87A1D">
            <w:pPr>
              <w:jc w:val="center"/>
            </w:pPr>
            <w:r>
              <w:rPr>
                <w:rFonts w:eastAsiaTheme="minorEastAsia"/>
                <w:color w:val="000000" w:themeColor="text1"/>
                <w:szCs w:val="21"/>
              </w:rPr>
              <w:t>101900389</w:t>
            </w:r>
          </w:p>
        </w:tc>
        <w:tc>
          <w:tcPr>
            <w:tcW w:w="1504" w:type="dxa"/>
            <w:vAlign w:val="center"/>
          </w:tcPr>
          <w:p w:rsidR="00EF60BB" w:rsidRDefault="00E87A1D">
            <w:pPr>
              <w:jc w:val="center"/>
            </w:pPr>
            <w:r>
              <w:rPr>
                <w:rFonts w:eastAsiaTheme="minorEastAsia"/>
                <w:color w:val="000000" w:themeColor="text1"/>
                <w:szCs w:val="21"/>
              </w:rPr>
              <w:t>19</w:t>
            </w:r>
            <w:r>
              <w:rPr>
                <w:rFonts w:eastAsiaTheme="minorEastAsia"/>
                <w:color w:val="000000" w:themeColor="text1"/>
                <w:szCs w:val="21"/>
              </w:rPr>
              <w:t>扬城建</w:t>
            </w:r>
            <w:r>
              <w:rPr>
                <w:rFonts w:eastAsiaTheme="minorEastAsia"/>
                <w:color w:val="000000" w:themeColor="text1"/>
                <w:szCs w:val="21"/>
              </w:rPr>
              <w:t>MTN002</w:t>
            </w:r>
          </w:p>
        </w:tc>
        <w:tc>
          <w:tcPr>
            <w:tcW w:w="1503" w:type="dxa"/>
            <w:vAlign w:val="center"/>
          </w:tcPr>
          <w:p w:rsidR="00EF60BB" w:rsidRDefault="00E87A1D">
            <w:pPr>
              <w:jc w:val="right"/>
            </w:pPr>
            <w:r>
              <w:rPr>
                <w:rFonts w:eastAsiaTheme="minorEastAsia"/>
                <w:color w:val="000000" w:themeColor="text1"/>
                <w:szCs w:val="21"/>
              </w:rPr>
              <w:t>600,000</w:t>
            </w:r>
          </w:p>
        </w:tc>
        <w:tc>
          <w:tcPr>
            <w:tcW w:w="1503" w:type="dxa"/>
            <w:vAlign w:val="center"/>
          </w:tcPr>
          <w:p w:rsidR="00EF60BB" w:rsidRDefault="00E87A1D">
            <w:pPr>
              <w:jc w:val="right"/>
            </w:pPr>
            <w:r>
              <w:rPr>
                <w:rFonts w:eastAsiaTheme="minorEastAsia"/>
                <w:color w:val="000000" w:themeColor="text1"/>
                <w:szCs w:val="21"/>
              </w:rPr>
              <w:t>60,444,000.00</w:t>
            </w:r>
          </w:p>
        </w:tc>
        <w:tc>
          <w:tcPr>
            <w:tcW w:w="1503" w:type="dxa"/>
            <w:vAlign w:val="center"/>
          </w:tcPr>
          <w:p w:rsidR="00EF60BB" w:rsidRDefault="00E87A1D">
            <w:pPr>
              <w:jc w:val="right"/>
            </w:pPr>
            <w:r>
              <w:rPr>
                <w:rFonts w:eastAsiaTheme="minorEastAsia"/>
                <w:color w:val="000000" w:themeColor="text1"/>
                <w:szCs w:val="21"/>
              </w:rPr>
              <w:t>3.02</w:t>
            </w:r>
          </w:p>
        </w:tc>
      </w:tr>
      <w:tr w:rsidR="00EF60BB">
        <w:tc>
          <w:tcPr>
            <w:tcW w:w="1504" w:type="dxa"/>
            <w:vAlign w:val="center"/>
          </w:tcPr>
          <w:p w:rsidR="00EF60BB" w:rsidRDefault="00E87A1D">
            <w:pPr>
              <w:jc w:val="center"/>
            </w:pPr>
            <w:r>
              <w:rPr>
                <w:rFonts w:eastAsiaTheme="minorEastAsia"/>
                <w:color w:val="000000" w:themeColor="text1"/>
                <w:szCs w:val="21"/>
              </w:rPr>
              <w:t>5</w:t>
            </w:r>
          </w:p>
        </w:tc>
        <w:tc>
          <w:tcPr>
            <w:tcW w:w="1504" w:type="dxa"/>
            <w:vAlign w:val="center"/>
          </w:tcPr>
          <w:p w:rsidR="00EF60BB" w:rsidRDefault="00E87A1D">
            <w:pPr>
              <w:jc w:val="center"/>
            </w:pPr>
            <w:r>
              <w:rPr>
                <w:rFonts w:eastAsiaTheme="minorEastAsia"/>
                <w:color w:val="000000" w:themeColor="text1"/>
                <w:szCs w:val="21"/>
              </w:rPr>
              <w:t>011801906</w:t>
            </w:r>
          </w:p>
        </w:tc>
        <w:tc>
          <w:tcPr>
            <w:tcW w:w="1504" w:type="dxa"/>
            <w:vAlign w:val="center"/>
          </w:tcPr>
          <w:p w:rsidR="00EF60BB" w:rsidRDefault="00E87A1D">
            <w:pPr>
              <w:jc w:val="center"/>
            </w:pPr>
            <w:r>
              <w:rPr>
                <w:rFonts w:eastAsiaTheme="minorEastAsia"/>
                <w:color w:val="000000" w:themeColor="text1"/>
                <w:szCs w:val="21"/>
              </w:rPr>
              <w:t>18</w:t>
            </w:r>
            <w:r>
              <w:rPr>
                <w:rFonts w:eastAsiaTheme="minorEastAsia"/>
                <w:color w:val="000000" w:themeColor="text1"/>
                <w:szCs w:val="21"/>
              </w:rPr>
              <w:t>锡产业</w:t>
            </w:r>
            <w:r>
              <w:rPr>
                <w:rFonts w:eastAsiaTheme="minorEastAsia"/>
                <w:color w:val="000000" w:themeColor="text1"/>
                <w:szCs w:val="21"/>
              </w:rPr>
              <w:t>SCP009</w:t>
            </w:r>
          </w:p>
        </w:tc>
        <w:tc>
          <w:tcPr>
            <w:tcW w:w="1503" w:type="dxa"/>
            <w:vAlign w:val="center"/>
          </w:tcPr>
          <w:p w:rsidR="00EF60BB" w:rsidRDefault="00E87A1D">
            <w:pPr>
              <w:jc w:val="right"/>
            </w:pPr>
            <w:r>
              <w:rPr>
                <w:rFonts w:eastAsiaTheme="minorEastAsia"/>
                <w:color w:val="000000" w:themeColor="text1"/>
                <w:szCs w:val="21"/>
              </w:rPr>
              <w:t>600,000</w:t>
            </w:r>
          </w:p>
        </w:tc>
        <w:tc>
          <w:tcPr>
            <w:tcW w:w="1503" w:type="dxa"/>
            <w:vAlign w:val="center"/>
          </w:tcPr>
          <w:p w:rsidR="00EF60BB" w:rsidRDefault="00E87A1D">
            <w:pPr>
              <w:jc w:val="right"/>
            </w:pPr>
            <w:r>
              <w:rPr>
                <w:rFonts w:eastAsiaTheme="minorEastAsia"/>
                <w:color w:val="000000" w:themeColor="text1"/>
                <w:szCs w:val="21"/>
              </w:rPr>
              <w:t>60,336,000.00</w:t>
            </w:r>
          </w:p>
        </w:tc>
        <w:tc>
          <w:tcPr>
            <w:tcW w:w="1503" w:type="dxa"/>
            <w:vAlign w:val="center"/>
          </w:tcPr>
          <w:p w:rsidR="00EF60BB" w:rsidRDefault="00E87A1D">
            <w:pPr>
              <w:jc w:val="right"/>
            </w:pPr>
            <w:r>
              <w:rPr>
                <w:rFonts w:eastAsiaTheme="minorEastAsia"/>
                <w:color w:val="000000" w:themeColor="text1"/>
                <w:szCs w:val="21"/>
              </w:rPr>
              <w:t>3.02</w:t>
            </w:r>
          </w:p>
        </w:tc>
      </w:tr>
    </w:tbl>
    <w:p w:rsidR="009238DB" w:rsidRPr="004264FD" w:rsidRDefault="009238DB"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5.6</w:t>
      </w:r>
      <w:r w:rsidRPr="004264FD">
        <w:rPr>
          <w:rFonts w:eastAsiaTheme="minorEastAsia"/>
          <w:b/>
          <w:color w:val="000000" w:themeColor="text1"/>
          <w:kern w:val="0"/>
          <w:szCs w:val="21"/>
        </w:rPr>
        <w:t xml:space="preserve">　报告期末按公允价值占基金资产净值比例大小排</w:t>
      </w:r>
      <w:r w:rsidR="006D462B" w:rsidRPr="004264FD">
        <w:rPr>
          <w:rFonts w:eastAsiaTheme="minorEastAsia"/>
          <w:b/>
          <w:color w:val="000000" w:themeColor="text1"/>
          <w:kern w:val="0"/>
          <w:szCs w:val="21"/>
        </w:rPr>
        <w:t>序</w:t>
      </w:r>
      <w:r w:rsidRPr="004264FD">
        <w:rPr>
          <w:rFonts w:eastAsiaTheme="minorEastAsia"/>
          <w:b/>
          <w:color w:val="000000" w:themeColor="text1"/>
          <w:kern w:val="0"/>
          <w:szCs w:val="21"/>
        </w:rPr>
        <w:t>的前十名资产支持证券投资明细</w:t>
      </w:r>
    </w:p>
    <w:p w:rsidR="009238DB"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本基金本报告期末未持有资产支持证券。</w:t>
      </w:r>
    </w:p>
    <w:p w:rsidR="006D462B" w:rsidRPr="004264FD" w:rsidRDefault="006D462B" w:rsidP="004241D1">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 xml:space="preserve">5.7 </w:t>
      </w:r>
      <w:r w:rsidRPr="004264FD">
        <w:rPr>
          <w:rFonts w:eastAsiaTheme="minorEastAsia"/>
          <w:b/>
          <w:bCs/>
          <w:color w:val="000000" w:themeColor="text1"/>
          <w:kern w:val="0"/>
          <w:szCs w:val="21"/>
        </w:rPr>
        <w:t>报告期末按公允价值占基金资产净值比例大小排序的前五名贵金属投资明细</w:t>
      </w:r>
    </w:p>
    <w:p w:rsidR="006D462B" w:rsidRPr="004264FD" w:rsidRDefault="006D462B" w:rsidP="00B54782">
      <w:pPr>
        <w:widowControl/>
        <w:spacing w:line="360" w:lineRule="auto"/>
        <w:ind w:firstLineChars="200" w:firstLine="420"/>
        <w:jc w:val="left"/>
        <w:rPr>
          <w:color w:val="000000" w:themeColor="text1"/>
          <w:szCs w:val="21"/>
        </w:rPr>
      </w:pPr>
      <w:r w:rsidRPr="004264FD">
        <w:rPr>
          <w:color w:val="000000" w:themeColor="text1"/>
          <w:szCs w:val="21"/>
        </w:rPr>
        <w:t>本基金本报告期末未持有贵金属。</w:t>
      </w:r>
    </w:p>
    <w:p w:rsidR="009238DB" w:rsidRPr="004264FD" w:rsidRDefault="001D5CD0"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w:t>
      </w:r>
      <w:r w:rsidR="009238DB" w:rsidRPr="004264FD">
        <w:rPr>
          <w:rFonts w:eastAsiaTheme="minorEastAsia"/>
          <w:b/>
          <w:color w:val="000000" w:themeColor="text1"/>
          <w:kern w:val="0"/>
          <w:szCs w:val="21"/>
        </w:rPr>
        <w:t>.</w:t>
      </w:r>
      <w:r w:rsidRPr="004264FD">
        <w:rPr>
          <w:rFonts w:eastAsiaTheme="minorEastAsia"/>
          <w:b/>
          <w:color w:val="000000" w:themeColor="text1"/>
          <w:kern w:val="0"/>
          <w:szCs w:val="21"/>
        </w:rPr>
        <w:t>8</w:t>
      </w:r>
      <w:r w:rsidR="009238DB" w:rsidRPr="004264FD">
        <w:rPr>
          <w:rFonts w:eastAsiaTheme="minorEastAsia"/>
          <w:b/>
          <w:color w:val="000000" w:themeColor="text1"/>
          <w:kern w:val="0"/>
          <w:szCs w:val="21"/>
        </w:rPr>
        <w:t>报告期末按公允价值占基金资产净值比例大小排</w:t>
      </w:r>
      <w:r w:rsidR="006D462B" w:rsidRPr="004264FD">
        <w:rPr>
          <w:rFonts w:eastAsiaTheme="minorEastAsia"/>
          <w:b/>
          <w:color w:val="000000" w:themeColor="text1"/>
          <w:kern w:val="0"/>
          <w:szCs w:val="21"/>
        </w:rPr>
        <w:t>序</w:t>
      </w:r>
      <w:r w:rsidR="009238DB" w:rsidRPr="004264FD">
        <w:rPr>
          <w:rFonts w:eastAsiaTheme="minorEastAsia"/>
          <w:b/>
          <w:color w:val="000000" w:themeColor="text1"/>
          <w:kern w:val="0"/>
          <w:szCs w:val="21"/>
        </w:rPr>
        <w:t>的前五名权证投资明细</w:t>
      </w:r>
    </w:p>
    <w:p w:rsidR="001D5CD0" w:rsidRPr="004264FD" w:rsidRDefault="00C260A2"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本基金本报告期末未持有权证。</w:t>
      </w:r>
    </w:p>
    <w:p w:rsidR="001D5CD0" w:rsidRPr="004264FD" w:rsidRDefault="001D5CD0" w:rsidP="004241D1">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 </w:t>
      </w:r>
      <w:r w:rsidRPr="004264FD">
        <w:rPr>
          <w:rFonts w:eastAsiaTheme="minorEastAsia"/>
          <w:b/>
          <w:color w:val="000000" w:themeColor="text1"/>
          <w:szCs w:val="21"/>
        </w:rPr>
        <w:t>报告期末本基金投资的股指期货交易情况说明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5.9.1 </w:t>
      </w:r>
      <w:r w:rsidRPr="004264FD">
        <w:rPr>
          <w:rFonts w:eastAsiaTheme="minorEastAsia"/>
          <w:b/>
          <w:color w:val="000000" w:themeColor="text1"/>
          <w:szCs w:val="21"/>
        </w:rPr>
        <w:t>报告期末本基金投资的股指期货持仓和损益明细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本基金本报告期末未投资股指期货。</w:t>
      </w:r>
    </w:p>
    <w:p w:rsidR="001D5CD0" w:rsidRPr="004264FD" w:rsidRDefault="001D5CD0" w:rsidP="004241D1">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 xml:space="preserve">5.9.2 </w:t>
      </w:r>
      <w:r w:rsidRPr="004264FD">
        <w:rPr>
          <w:rFonts w:eastAsiaTheme="minorEastAsia"/>
          <w:b/>
          <w:color w:val="000000" w:themeColor="text1"/>
          <w:szCs w:val="21"/>
        </w:rPr>
        <w:t>本基金投资股指期货的投资政策</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根据本基金基金合同，本基金不能投资于股指期货。</w:t>
      </w:r>
    </w:p>
    <w:p w:rsidR="001D5CD0" w:rsidRPr="004264FD" w:rsidRDefault="001D5CD0" w:rsidP="004241D1">
      <w:pPr>
        <w:adjustRightInd w:val="0"/>
        <w:snapToGrid w:val="0"/>
        <w:spacing w:beforeLines="100" w:line="360" w:lineRule="auto"/>
        <w:rPr>
          <w:rFonts w:eastAsiaTheme="minorEastAsia"/>
          <w:b/>
          <w:color w:val="000000" w:themeColor="text1"/>
          <w:szCs w:val="21"/>
        </w:rPr>
      </w:pPr>
      <w:r w:rsidRPr="004264FD">
        <w:rPr>
          <w:rFonts w:eastAsiaTheme="minorEastAsia"/>
          <w:b/>
          <w:color w:val="000000" w:themeColor="text1"/>
          <w:szCs w:val="21"/>
        </w:rPr>
        <w:t>5.10</w:t>
      </w:r>
      <w:r w:rsidRPr="004264FD">
        <w:rPr>
          <w:rFonts w:eastAsiaTheme="minorEastAsia"/>
          <w:b/>
          <w:color w:val="000000" w:themeColor="text1"/>
          <w:szCs w:val="21"/>
        </w:rPr>
        <w:t>报告期末本基金投资的国债期货交易情况说明</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5.10.1 </w:t>
      </w:r>
      <w:r w:rsidRPr="004264FD">
        <w:rPr>
          <w:rFonts w:eastAsiaTheme="minorEastAsia"/>
          <w:b/>
          <w:color w:val="000000" w:themeColor="text1"/>
          <w:szCs w:val="21"/>
        </w:rPr>
        <w:t>本期国债期货投资政策</w:t>
      </w:r>
    </w:p>
    <w:p w:rsidR="001D5CD0" w:rsidRPr="004264FD" w:rsidRDefault="001D5CD0"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基金管理人可运用国债期货，以提高投资效率更好地达到本基金的投资目标。本基金在国债期货投资中将根据风险管理的原则，以套期保值为目的，在风险可控的前提下，本着谨慎原则，参与国债期货的投资，以管理投资组合的利率风险，改善组合的风险收益特性。</w:t>
      </w:r>
    </w:p>
    <w:p w:rsidR="001D5CD0" w:rsidRPr="004264FD" w:rsidRDefault="001D5CD0" w:rsidP="001D5CD0">
      <w:pPr>
        <w:autoSpaceDE w:val="0"/>
        <w:autoSpaceDN w:val="0"/>
        <w:adjustRightInd w:val="0"/>
        <w:spacing w:line="360" w:lineRule="auto"/>
        <w:jc w:val="left"/>
        <w:rPr>
          <w:rFonts w:eastAsiaTheme="minorEastAsia"/>
          <w:b/>
          <w:color w:val="000000" w:themeColor="text1"/>
          <w:szCs w:val="21"/>
        </w:rPr>
      </w:pPr>
      <w:r w:rsidRPr="004264FD">
        <w:rPr>
          <w:rFonts w:eastAsiaTheme="minorEastAsia"/>
          <w:b/>
          <w:color w:val="000000" w:themeColor="text1"/>
          <w:szCs w:val="21"/>
        </w:rPr>
        <w:t xml:space="preserve">5.10.2 </w:t>
      </w:r>
      <w:r w:rsidRPr="004264FD">
        <w:rPr>
          <w:rFonts w:eastAsiaTheme="minorEastAsia"/>
          <w:b/>
          <w:color w:val="000000" w:themeColor="text1"/>
          <w:szCs w:val="21"/>
        </w:rPr>
        <w:t>报告期末本基金投资的国债期货持仓和损益明细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本基金本报告期末未持有国债期货。</w:t>
      </w:r>
    </w:p>
    <w:p w:rsidR="001D5CD0" w:rsidRPr="004264FD" w:rsidRDefault="001D5CD0" w:rsidP="001D5CD0">
      <w:pPr>
        <w:adjustRightInd w:val="0"/>
        <w:snapToGrid w:val="0"/>
        <w:spacing w:line="360" w:lineRule="auto"/>
        <w:rPr>
          <w:rFonts w:eastAsiaTheme="minorEastAsia"/>
          <w:b/>
          <w:color w:val="000000" w:themeColor="text1"/>
          <w:szCs w:val="21"/>
        </w:rPr>
      </w:pPr>
      <w:r w:rsidRPr="004264FD">
        <w:rPr>
          <w:rFonts w:eastAsiaTheme="minorEastAsia"/>
          <w:b/>
          <w:color w:val="000000" w:themeColor="text1"/>
          <w:szCs w:val="21"/>
        </w:rPr>
        <w:t xml:space="preserve">5.10.3 </w:t>
      </w:r>
      <w:r w:rsidRPr="004264FD">
        <w:rPr>
          <w:rFonts w:eastAsiaTheme="minorEastAsia"/>
          <w:b/>
          <w:color w:val="000000" w:themeColor="text1"/>
          <w:szCs w:val="21"/>
        </w:rPr>
        <w:t>本期国债期货投资评价</w:t>
      </w:r>
    </w:p>
    <w:p w:rsidR="001D5CD0" w:rsidRPr="004264FD" w:rsidRDefault="001D5CD0" w:rsidP="00B54782">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本基金本报告期内未投资国债期货。</w:t>
      </w:r>
    </w:p>
    <w:p w:rsidR="001D5CD0" w:rsidRPr="004264FD" w:rsidRDefault="001D5CD0"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w:t>
      </w:r>
      <w:r w:rsidRPr="004264FD">
        <w:rPr>
          <w:rFonts w:eastAsiaTheme="minorEastAsia"/>
          <w:b/>
          <w:color w:val="000000" w:themeColor="text1"/>
          <w:kern w:val="0"/>
          <w:szCs w:val="21"/>
        </w:rPr>
        <w:t>投资组合报告附注</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5.11.1</w:t>
      </w:r>
      <w:r w:rsidRPr="004264FD">
        <w:rPr>
          <w:rFonts w:eastAsiaTheme="minorEastAsia"/>
          <w:color w:val="000000" w:themeColor="text1"/>
          <w:szCs w:val="21"/>
        </w:rPr>
        <w:t>报告期内本基金投资的前十名证券的发行主体没有被监管部门立案调查或在报告编制日前一年内受到证监会、证券交易所公开谴责、处罚的情形。</w:t>
      </w:r>
    </w:p>
    <w:p w:rsidR="006456D3" w:rsidRPr="004264FD" w:rsidRDefault="006456D3" w:rsidP="006456D3">
      <w:pPr>
        <w:widowControl/>
        <w:spacing w:line="360" w:lineRule="auto"/>
        <w:rPr>
          <w:rFonts w:eastAsiaTheme="minorEastAsia"/>
          <w:color w:val="000000" w:themeColor="text1"/>
          <w:szCs w:val="21"/>
        </w:rPr>
      </w:pPr>
      <w:r w:rsidRPr="004264FD">
        <w:rPr>
          <w:rFonts w:eastAsiaTheme="minorEastAsia"/>
          <w:color w:val="000000" w:themeColor="text1"/>
          <w:szCs w:val="21"/>
        </w:rPr>
        <w:t>5.11.2</w:t>
      </w:r>
      <w:r w:rsidRPr="004264FD">
        <w:rPr>
          <w:rFonts w:eastAsiaTheme="minorEastAsia"/>
          <w:color w:val="000000" w:themeColor="text1"/>
          <w:szCs w:val="21"/>
        </w:rPr>
        <w:t>本基金未投资超出基金合同规定的备选股票库。</w:t>
      </w:r>
    </w:p>
    <w:p w:rsidR="001D5CD0" w:rsidRPr="004264FD" w:rsidRDefault="001D5CD0" w:rsidP="001D5CD0">
      <w:pPr>
        <w:autoSpaceDE w:val="0"/>
        <w:autoSpaceDN w:val="0"/>
        <w:adjustRightInd w:val="0"/>
        <w:spacing w:line="360" w:lineRule="auto"/>
        <w:rPr>
          <w:rFonts w:eastAsiaTheme="minorEastAsia"/>
          <w:b/>
          <w:color w:val="000000" w:themeColor="text1"/>
          <w:kern w:val="0"/>
          <w:szCs w:val="21"/>
        </w:rPr>
      </w:pPr>
      <w:r w:rsidRPr="004264FD">
        <w:rPr>
          <w:rFonts w:eastAsiaTheme="minorEastAsia"/>
          <w:b/>
          <w:color w:val="000000" w:themeColor="text1"/>
          <w:kern w:val="0"/>
          <w:szCs w:val="21"/>
        </w:rPr>
        <w:t>5.11.3</w:t>
      </w:r>
      <w:r w:rsidR="00B22511" w:rsidRPr="00B22511">
        <w:rPr>
          <w:rFonts w:eastAsiaTheme="minorEastAsia" w:hint="eastAsia"/>
          <w:b/>
          <w:color w:val="000000" w:themeColor="text1"/>
          <w:kern w:val="0"/>
          <w:szCs w:val="21"/>
        </w:rPr>
        <w:t>其他资产构成</w:t>
      </w:r>
    </w:p>
    <w:tbl>
      <w:tblPr>
        <w:tblStyle w:val="af2"/>
        <w:tblW w:w="0" w:type="auto"/>
        <w:tblInd w:w="108" w:type="dxa"/>
        <w:tblLook w:val="04A0"/>
      </w:tblPr>
      <w:tblGrid>
        <w:gridCol w:w="944"/>
        <w:gridCol w:w="2761"/>
        <w:gridCol w:w="4808"/>
      </w:tblGrid>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序号</w:t>
            </w:r>
          </w:p>
        </w:tc>
        <w:tc>
          <w:tcPr>
            <w:tcW w:w="2761"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名称</w:t>
            </w:r>
          </w:p>
        </w:tc>
        <w:tc>
          <w:tcPr>
            <w:tcW w:w="4808" w:type="dxa"/>
            <w:vAlign w:val="center"/>
          </w:tcPr>
          <w:p w:rsidR="001D5CD0" w:rsidRPr="004264FD" w:rsidRDefault="001D5CD0" w:rsidP="00F22F9F">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金额</w:t>
            </w:r>
            <w:r w:rsidRPr="004264FD">
              <w:rPr>
                <w:rFonts w:eastAsiaTheme="minorEastAsia"/>
                <w:color w:val="000000" w:themeColor="text1"/>
                <w:kern w:val="0"/>
                <w:szCs w:val="21"/>
              </w:rPr>
              <w:t>(</w:t>
            </w:r>
            <w:r w:rsidRPr="004264FD">
              <w:rPr>
                <w:rFonts w:eastAsiaTheme="minorEastAsia"/>
                <w:color w:val="000000" w:themeColor="text1"/>
                <w:kern w:val="0"/>
                <w:szCs w:val="21"/>
              </w:rPr>
              <w:t>元</w:t>
            </w: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kern w:val="0"/>
                <w:szCs w:val="21"/>
              </w:rPr>
            </w:pPr>
            <w:r w:rsidRPr="004264FD">
              <w:rPr>
                <w:rFonts w:eastAsiaTheme="minorEastAsia"/>
                <w:color w:val="000000" w:themeColor="text1"/>
                <w:szCs w:val="21"/>
              </w:rPr>
              <w:t>1</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存出保证金</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7,795.50</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2</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应收证券清算款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31,222,340.55</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3</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应收股利</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4</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应收利息</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27,515,293.71</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5</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应收申购款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10.00</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6</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其他应收款</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7</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szCs w:val="21"/>
              </w:rPr>
            </w:pPr>
            <w:r w:rsidRPr="004264FD">
              <w:rPr>
                <w:rFonts w:eastAsiaTheme="minorEastAsia"/>
                <w:color w:val="000000" w:themeColor="text1"/>
                <w:szCs w:val="21"/>
              </w:rPr>
              <w:t>待摊费用</w:t>
            </w:r>
          </w:p>
        </w:tc>
        <w:tc>
          <w:tcPr>
            <w:tcW w:w="4808" w:type="dxa"/>
            <w:vAlign w:val="center"/>
          </w:tcPr>
          <w:p w:rsidR="001D5CD0" w:rsidRPr="004264FD" w:rsidRDefault="001D5CD0" w:rsidP="003F7026">
            <w:pPr>
              <w:autoSpaceDE w:val="0"/>
              <w:autoSpaceDN w:val="0"/>
              <w:adjustRightInd w:val="0"/>
              <w:spacing w:before="29" w:line="360" w:lineRule="auto"/>
              <w:ind w:left="15"/>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8</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其他</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w:t>
            </w:r>
          </w:p>
        </w:tc>
      </w:tr>
      <w:tr w:rsidR="004264FD" w:rsidRPr="004264FD" w:rsidTr="00B54782">
        <w:tc>
          <w:tcPr>
            <w:tcW w:w="944" w:type="dxa"/>
            <w:vAlign w:val="center"/>
          </w:tcPr>
          <w:p w:rsidR="001D5CD0" w:rsidRPr="004264FD" w:rsidRDefault="001D5CD0" w:rsidP="00F22F9F">
            <w:pPr>
              <w:autoSpaceDE w:val="0"/>
              <w:autoSpaceDN w:val="0"/>
              <w:adjustRightInd w:val="0"/>
              <w:spacing w:before="29" w:line="360" w:lineRule="auto"/>
              <w:ind w:left="15"/>
              <w:jc w:val="center"/>
              <w:rPr>
                <w:rFonts w:eastAsiaTheme="minorEastAsia"/>
                <w:color w:val="000000" w:themeColor="text1"/>
                <w:szCs w:val="21"/>
              </w:rPr>
            </w:pPr>
            <w:r w:rsidRPr="004264FD">
              <w:rPr>
                <w:rFonts w:eastAsiaTheme="minorEastAsia"/>
                <w:color w:val="000000" w:themeColor="text1"/>
                <w:szCs w:val="21"/>
              </w:rPr>
              <w:t>9</w:t>
            </w:r>
          </w:p>
        </w:tc>
        <w:tc>
          <w:tcPr>
            <w:tcW w:w="2761" w:type="dxa"/>
            <w:vAlign w:val="center"/>
          </w:tcPr>
          <w:p w:rsidR="001D5CD0" w:rsidRPr="004264FD" w:rsidRDefault="001D5CD0" w:rsidP="00F22F9F">
            <w:pPr>
              <w:autoSpaceDE w:val="0"/>
              <w:autoSpaceDN w:val="0"/>
              <w:adjustRightInd w:val="0"/>
              <w:spacing w:before="29" w:line="360" w:lineRule="auto"/>
              <w:ind w:left="15"/>
              <w:jc w:val="left"/>
              <w:rPr>
                <w:rFonts w:eastAsiaTheme="minorEastAsia"/>
                <w:color w:val="000000" w:themeColor="text1"/>
                <w:kern w:val="0"/>
                <w:szCs w:val="21"/>
              </w:rPr>
            </w:pPr>
            <w:r w:rsidRPr="004264FD">
              <w:rPr>
                <w:rFonts w:eastAsiaTheme="minorEastAsia"/>
                <w:color w:val="000000" w:themeColor="text1"/>
                <w:kern w:val="0"/>
                <w:szCs w:val="21"/>
              </w:rPr>
              <w:t>合计</w:t>
            </w:r>
          </w:p>
        </w:tc>
        <w:tc>
          <w:tcPr>
            <w:tcW w:w="4808" w:type="dxa"/>
            <w:vAlign w:val="center"/>
          </w:tcPr>
          <w:p w:rsidR="001D5CD0" w:rsidRPr="004264FD" w:rsidRDefault="001D5CD0" w:rsidP="00F22F9F">
            <w:pPr>
              <w:autoSpaceDE w:val="0"/>
              <w:autoSpaceDN w:val="0"/>
              <w:adjustRightInd w:val="0"/>
              <w:spacing w:before="29" w:line="360" w:lineRule="auto"/>
              <w:ind w:left="15"/>
              <w:jc w:val="right"/>
              <w:rPr>
                <w:rFonts w:eastAsiaTheme="minorEastAsia"/>
                <w:color w:val="000000" w:themeColor="text1"/>
                <w:kern w:val="0"/>
                <w:szCs w:val="21"/>
              </w:rPr>
            </w:pPr>
            <w:r w:rsidRPr="004264FD">
              <w:rPr>
                <w:rFonts w:eastAsiaTheme="minorEastAsia"/>
                <w:color w:val="000000" w:themeColor="text1"/>
                <w:kern w:val="0"/>
                <w:szCs w:val="21"/>
              </w:rPr>
              <w:t>58,745,439.76</w:t>
            </w:r>
          </w:p>
        </w:tc>
      </w:tr>
    </w:tbl>
    <w:p w:rsidR="001D5CD0" w:rsidRPr="004264FD" w:rsidRDefault="001D5CD0" w:rsidP="004241D1">
      <w:pPr>
        <w:autoSpaceDE w:val="0"/>
        <w:autoSpaceDN w:val="0"/>
        <w:adjustRightInd w:val="0"/>
        <w:spacing w:beforeLines="100" w:line="360" w:lineRule="auto"/>
        <w:jc w:val="left"/>
        <w:rPr>
          <w:rFonts w:eastAsiaTheme="minorEastAsia"/>
          <w:b/>
          <w:color w:val="000000" w:themeColor="text1"/>
          <w:kern w:val="0"/>
          <w:szCs w:val="21"/>
        </w:rPr>
      </w:pPr>
      <w:r w:rsidRPr="004264FD">
        <w:rPr>
          <w:rFonts w:eastAsiaTheme="minorEastAsia"/>
          <w:b/>
          <w:color w:val="000000" w:themeColor="text1"/>
          <w:kern w:val="0"/>
          <w:szCs w:val="21"/>
        </w:rPr>
        <w:t>5.11.4</w:t>
      </w:r>
      <w:r w:rsidRPr="004264FD">
        <w:rPr>
          <w:rFonts w:eastAsiaTheme="minorEastAsia"/>
          <w:b/>
          <w:color w:val="000000" w:themeColor="text1"/>
          <w:kern w:val="0"/>
          <w:szCs w:val="21"/>
        </w:rPr>
        <w:t>报告期末持有的处于转股期的可转换债券明细</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本基金本报告期末未持有处于转股期的可转换债券。</w:t>
      </w:r>
    </w:p>
    <w:p w:rsidR="001D5CD0" w:rsidRPr="004264FD" w:rsidRDefault="001D5CD0" w:rsidP="004241D1">
      <w:pPr>
        <w:autoSpaceDE w:val="0"/>
        <w:autoSpaceDN w:val="0"/>
        <w:adjustRightInd w:val="0"/>
        <w:spacing w:beforeLines="100" w:line="360" w:lineRule="auto"/>
        <w:jc w:val="left"/>
        <w:rPr>
          <w:rFonts w:eastAsiaTheme="minorEastAsia"/>
          <w:b/>
          <w:bCs/>
          <w:color w:val="000000" w:themeColor="text1"/>
          <w:szCs w:val="21"/>
        </w:rPr>
      </w:pPr>
      <w:r w:rsidRPr="004264FD">
        <w:rPr>
          <w:rFonts w:eastAsiaTheme="minorEastAsia"/>
          <w:b/>
          <w:color w:val="000000" w:themeColor="text1"/>
          <w:kern w:val="0"/>
          <w:szCs w:val="21"/>
        </w:rPr>
        <w:t>5.11.5</w:t>
      </w:r>
      <w:r w:rsidRPr="004264FD">
        <w:rPr>
          <w:rFonts w:eastAsiaTheme="minorEastAsia"/>
          <w:b/>
          <w:bCs/>
          <w:color w:val="000000" w:themeColor="text1"/>
          <w:szCs w:val="21"/>
        </w:rPr>
        <w:t>报告期末前十名股票中存在流通受限情况的说明</w:t>
      </w:r>
    </w:p>
    <w:p w:rsidR="001D5CD0" w:rsidRPr="004264FD" w:rsidRDefault="001D5CD0" w:rsidP="00B54782">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本基金本报告期末未持有股票。</w:t>
      </w:r>
    </w:p>
    <w:p w:rsidR="009238DB" w:rsidRPr="004264FD" w:rsidRDefault="009238DB" w:rsidP="004241D1">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 xml:space="preserve">§6  </w:t>
      </w:r>
      <w:r w:rsidRPr="004264FD">
        <w:rPr>
          <w:rFonts w:eastAsiaTheme="minorEastAsia"/>
          <w:color w:val="000000" w:themeColor="text1"/>
          <w:kern w:val="0"/>
          <w:sz w:val="21"/>
          <w:szCs w:val="21"/>
        </w:rPr>
        <w:t>开放式基金份额变动</w:t>
      </w:r>
    </w:p>
    <w:p w:rsidR="009238DB" w:rsidRPr="004264FD" w:rsidRDefault="009238DB" w:rsidP="00302187">
      <w:pPr>
        <w:autoSpaceDE w:val="0"/>
        <w:autoSpaceDN w:val="0"/>
        <w:adjustRightInd w:val="0"/>
        <w:spacing w:before="29" w:line="288" w:lineRule="auto"/>
        <w:ind w:left="15" w:right="480"/>
        <w:jc w:val="right"/>
        <w:rPr>
          <w:rFonts w:eastAsiaTheme="minorEastAsia"/>
          <w:color w:val="000000" w:themeColor="text1"/>
          <w:kern w:val="0"/>
          <w:szCs w:val="21"/>
        </w:rPr>
      </w:pPr>
      <w:r w:rsidRPr="004264FD">
        <w:rPr>
          <w:rFonts w:eastAsiaTheme="minorEastAsia"/>
          <w:color w:val="000000" w:themeColor="text1"/>
          <w:kern w:val="0"/>
          <w:szCs w:val="21"/>
        </w:rPr>
        <w:t>单位：份</w:t>
      </w:r>
    </w:p>
    <w:tbl>
      <w:tblPr>
        <w:tblW w:w="0" w:type="auto"/>
        <w:tblInd w:w="108" w:type="dxa"/>
        <w:tblLayout w:type="fixed"/>
        <w:tblLook w:val="0000"/>
      </w:tblPr>
      <w:tblGrid>
        <w:gridCol w:w="3900"/>
        <w:gridCol w:w="2367"/>
        <w:gridCol w:w="2367"/>
      </w:tblGrid>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B84643">
            <w:pPr>
              <w:autoSpaceDE w:val="0"/>
              <w:autoSpaceDN w:val="0"/>
              <w:adjustRightInd w:val="0"/>
              <w:spacing w:before="29" w:line="360" w:lineRule="auto"/>
              <w:ind w:left="17"/>
              <w:jc w:val="center"/>
              <w:rPr>
                <w:rFonts w:eastAsiaTheme="minorEastAsia"/>
                <w:color w:val="000000" w:themeColor="text1"/>
                <w:kern w:val="0"/>
                <w:szCs w:val="21"/>
              </w:rPr>
            </w:pPr>
            <w:r w:rsidRPr="004264FD">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A1276C">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936D40">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光大保德信岁末红利纯债债券</w:t>
            </w:r>
            <w:r w:rsidRPr="004264FD">
              <w:rPr>
                <w:rFonts w:eastAsiaTheme="minorEastAsia"/>
                <w:color w:val="000000" w:themeColor="text1"/>
                <w:szCs w:val="21"/>
              </w:rPr>
              <w:t>C</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65,250,739.88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1,083,461.10</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1,783,568,387.18</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236,765,571.80</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减：</w:t>
            </w:r>
            <w:r w:rsidR="00F72579" w:rsidRPr="004264FD">
              <w:rPr>
                <w:rFonts w:eastAsiaTheme="minorEastAsia"/>
                <w:color w:val="000000" w:themeColor="text1"/>
                <w:kern w:val="0"/>
                <w:szCs w:val="21"/>
              </w:rPr>
              <w:t>报告期</w:t>
            </w:r>
            <w:r w:rsidRPr="004264FD">
              <w:rPr>
                <w:rFonts w:eastAsiaTheme="minorEastAsia"/>
                <w:color w:val="000000" w:themeColor="text1"/>
                <w:kern w:val="0"/>
                <w:szCs w:val="21"/>
              </w:rPr>
              <w:t>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79,319,404.01</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91,352,293.06</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F72579"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报告期</w:t>
            </w:r>
            <w:r w:rsidR="00936D40" w:rsidRPr="004264FD">
              <w:rPr>
                <w:rFonts w:eastAsiaTheme="minorEastAsia"/>
                <w:color w:val="000000" w:themeColor="text1"/>
                <w:kern w:val="0"/>
                <w:szCs w:val="21"/>
              </w:rPr>
              <w:t>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w:t>
            </w:r>
          </w:p>
        </w:tc>
      </w:tr>
      <w:tr w:rsidR="004264FD" w:rsidRPr="004264FD" w:rsidTr="00B54782">
        <w:tc>
          <w:tcPr>
            <w:tcW w:w="3900"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936D40" w:rsidP="00A1276C">
            <w:pPr>
              <w:autoSpaceDE w:val="0"/>
              <w:autoSpaceDN w:val="0"/>
              <w:adjustRightInd w:val="0"/>
              <w:spacing w:before="29" w:line="360" w:lineRule="auto"/>
              <w:ind w:left="17"/>
              <w:jc w:val="left"/>
              <w:rPr>
                <w:rFonts w:eastAsiaTheme="minorEastAsia"/>
                <w:color w:val="000000" w:themeColor="text1"/>
                <w:kern w:val="0"/>
                <w:szCs w:val="21"/>
              </w:rPr>
            </w:pPr>
            <w:r w:rsidRPr="004264FD">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1,769,499,723.05</w:t>
            </w:r>
          </w:p>
        </w:tc>
        <w:tc>
          <w:tcPr>
            <w:tcW w:w="2367" w:type="dxa"/>
            <w:tcBorders>
              <w:top w:val="single" w:sz="8" w:space="0" w:color="000000"/>
              <w:left w:val="single" w:sz="8" w:space="0" w:color="000000"/>
              <w:bottom w:val="single" w:sz="8" w:space="0" w:color="000000"/>
              <w:right w:val="single" w:sz="8" w:space="0" w:color="000000"/>
            </w:tcBorders>
            <w:vAlign w:val="center"/>
          </w:tcPr>
          <w:p w:rsidR="00936D40" w:rsidRPr="004264FD" w:rsidRDefault="0042785F" w:rsidP="003F7026">
            <w:pPr>
              <w:autoSpaceDE w:val="0"/>
              <w:autoSpaceDN w:val="0"/>
              <w:adjustRightInd w:val="0"/>
              <w:spacing w:before="29" w:line="360" w:lineRule="auto"/>
              <w:ind w:left="17"/>
              <w:jc w:val="right"/>
              <w:rPr>
                <w:rFonts w:eastAsiaTheme="minorEastAsia"/>
                <w:color w:val="000000" w:themeColor="text1"/>
                <w:szCs w:val="21"/>
              </w:rPr>
            </w:pPr>
            <w:r w:rsidRPr="004264FD">
              <w:rPr>
                <w:rFonts w:eastAsiaTheme="minorEastAsia"/>
                <w:color w:val="000000" w:themeColor="text1"/>
                <w:szCs w:val="21"/>
              </w:rPr>
              <w:t>146,496,739.84</w:t>
            </w:r>
          </w:p>
        </w:tc>
      </w:tr>
    </w:tbl>
    <w:p w:rsidR="00935FB1" w:rsidRPr="004264FD" w:rsidRDefault="00935FB1" w:rsidP="004241D1">
      <w:pPr>
        <w:pStyle w:val="1"/>
        <w:tabs>
          <w:tab w:val="center" w:pos="4156"/>
          <w:tab w:val="right" w:pos="8312"/>
        </w:tabs>
        <w:spacing w:beforeLines="100" w:afterLines="100" w:line="360" w:lineRule="auto"/>
        <w:jc w:val="center"/>
        <w:rPr>
          <w:color w:val="000000" w:themeColor="text1"/>
          <w:sz w:val="21"/>
          <w:szCs w:val="21"/>
        </w:rPr>
      </w:pPr>
      <w:r w:rsidRPr="004264FD">
        <w:rPr>
          <w:rFonts w:eastAsiaTheme="minorEastAsia"/>
          <w:color w:val="000000" w:themeColor="text1"/>
          <w:kern w:val="0"/>
          <w:sz w:val="21"/>
          <w:szCs w:val="21"/>
        </w:rPr>
        <w:t>§7</w:t>
      </w:r>
      <w:r w:rsidR="00B22511">
        <w:rPr>
          <w:rFonts w:hint="eastAsia"/>
          <w:color w:val="000000"/>
          <w:sz w:val="21"/>
          <w:szCs w:val="21"/>
          <w:shd w:val="clear" w:color="auto" w:fill="FFFFFF"/>
        </w:rPr>
        <w:t>基金管理人运用固有资金投资本基金情况</w:t>
      </w:r>
    </w:p>
    <w:p w:rsidR="00935FB1" w:rsidRPr="004264FD" w:rsidRDefault="00935FB1" w:rsidP="00935FB1">
      <w:pPr>
        <w:spacing w:line="360" w:lineRule="auto"/>
        <w:jc w:val="left"/>
        <w:rPr>
          <w:color w:val="000000" w:themeColor="text1"/>
          <w:szCs w:val="21"/>
        </w:rPr>
      </w:pPr>
      <w:r w:rsidRPr="004264FD">
        <w:rPr>
          <w:b/>
          <w:color w:val="000000" w:themeColor="text1"/>
          <w:szCs w:val="21"/>
        </w:rPr>
        <w:t>7.1</w:t>
      </w:r>
      <w:r w:rsidR="00090834" w:rsidRPr="00C15AEF">
        <w:rPr>
          <w:rFonts w:eastAsiaTheme="minorEastAsia" w:hint="eastAsia"/>
          <w:b/>
          <w:bCs/>
          <w:color w:val="000000" w:themeColor="text1"/>
          <w:kern w:val="44"/>
          <w:szCs w:val="21"/>
        </w:rPr>
        <w:t>基金管理人持有本基金份额变动情况</w:t>
      </w:r>
    </w:p>
    <w:p w:rsidR="00935FB1" w:rsidRPr="004264FD" w:rsidRDefault="00916E71" w:rsidP="00634B21">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本基金本报告期内基金管理人未持有本基金。</w:t>
      </w:r>
    </w:p>
    <w:p w:rsidR="00935FB1" w:rsidRPr="004264FD" w:rsidRDefault="00935FB1" w:rsidP="004241D1">
      <w:pPr>
        <w:spacing w:beforeLines="100" w:line="360" w:lineRule="auto"/>
        <w:jc w:val="left"/>
        <w:rPr>
          <w:color w:val="000000" w:themeColor="text1"/>
          <w:szCs w:val="21"/>
        </w:rPr>
      </w:pPr>
      <w:r w:rsidRPr="004264FD">
        <w:rPr>
          <w:b/>
          <w:color w:val="000000" w:themeColor="text1"/>
          <w:szCs w:val="21"/>
        </w:rPr>
        <w:t>7.2</w:t>
      </w:r>
      <w:r w:rsidR="00090834" w:rsidRPr="00C15AEF">
        <w:rPr>
          <w:rFonts w:hint="eastAsia"/>
          <w:b/>
          <w:color w:val="000000"/>
          <w:szCs w:val="21"/>
          <w:shd w:val="clear" w:color="auto" w:fill="FFFFFF"/>
        </w:rPr>
        <w:t>基金管理人运用固有资金投资本基金交易明细</w:t>
      </w:r>
      <w:bookmarkStart w:id="0" w:name="_GoBack"/>
      <w:bookmarkEnd w:id="0"/>
    </w:p>
    <w:p w:rsidR="00935FB1" w:rsidRPr="004264FD" w:rsidRDefault="00935FB1" w:rsidP="003C3C8C">
      <w:pPr>
        <w:autoSpaceDE w:val="0"/>
        <w:autoSpaceDN w:val="0"/>
        <w:adjustRightInd w:val="0"/>
        <w:spacing w:line="360" w:lineRule="auto"/>
        <w:ind w:firstLineChars="200" w:firstLine="420"/>
        <w:jc w:val="left"/>
        <w:rPr>
          <w:rFonts w:eastAsiaTheme="minorEastAsia"/>
          <w:color w:val="000000" w:themeColor="text1"/>
          <w:szCs w:val="21"/>
        </w:rPr>
      </w:pPr>
      <w:r w:rsidRPr="004264FD">
        <w:rPr>
          <w:rFonts w:eastAsiaTheme="minorEastAsia"/>
          <w:color w:val="000000" w:themeColor="text1"/>
          <w:szCs w:val="21"/>
        </w:rPr>
        <w:t>本报告期内，基金管理人不存在持有、申购、赎回或买卖本基金的情况。</w:t>
      </w:r>
    </w:p>
    <w:p w:rsidR="00FB3C94" w:rsidRPr="004264FD" w:rsidRDefault="00FB3C94" w:rsidP="004241D1">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D13A01" w:rsidRPr="004264FD">
        <w:rPr>
          <w:rFonts w:eastAsiaTheme="minorEastAsia"/>
          <w:color w:val="000000" w:themeColor="text1"/>
          <w:kern w:val="0"/>
          <w:sz w:val="21"/>
          <w:szCs w:val="21"/>
        </w:rPr>
        <w:t>8</w:t>
      </w:r>
      <w:r w:rsidR="003F7026" w:rsidRPr="004264FD">
        <w:rPr>
          <w:rFonts w:eastAsiaTheme="minorEastAsia"/>
          <w:color w:val="000000" w:themeColor="text1"/>
          <w:kern w:val="0"/>
          <w:sz w:val="21"/>
          <w:szCs w:val="21"/>
        </w:rPr>
        <w:t xml:space="preserve"> </w:t>
      </w:r>
      <w:r w:rsidRPr="004264FD">
        <w:rPr>
          <w:rFonts w:eastAsiaTheme="minorEastAsia"/>
          <w:color w:val="000000" w:themeColor="text1"/>
          <w:kern w:val="0"/>
          <w:sz w:val="21"/>
          <w:szCs w:val="21"/>
        </w:rPr>
        <w:t>影响投资者决策的其他重要信息</w:t>
      </w:r>
    </w:p>
    <w:p w:rsidR="00BB681A" w:rsidRPr="004F4D27" w:rsidRDefault="00BB681A" w:rsidP="00BB681A">
      <w:pPr>
        <w:autoSpaceDE w:val="0"/>
        <w:autoSpaceDN w:val="0"/>
        <w:adjustRightInd w:val="0"/>
        <w:spacing w:line="360" w:lineRule="auto"/>
        <w:jc w:val="left"/>
        <w:rPr>
          <w:rFonts w:ascii="宋体" w:hAnsi="宋体"/>
          <w:b/>
          <w:bCs/>
          <w:color w:val="000000"/>
          <w:kern w:val="0"/>
          <w:szCs w:val="21"/>
        </w:rPr>
      </w:pPr>
      <w:r w:rsidRPr="004F4D27">
        <w:rPr>
          <w:rFonts w:ascii="宋体" w:hAnsi="宋体"/>
          <w:b/>
          <w:bCs/>
          <w:color w:val="000000"/>
          <w:kern w:val="0"/>
          <w:szCs w:val="21"/>
        </w:rPr>
        <w:t>8.</w:t>
      </w:r>
      <w:r w:rsidRPr="004F4D27">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BB681A" w:rsidRPr="004F4D27" w:rsidTr="00767E22">
        <w:tc>
          <w:tcPr>
            <w:tcW w:w="993" w:type="dxa"/>
            <w:vMerge w:val="restart"/>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投资者类别</w:t>
            </w:r>
            <w:r w:rsidRPr="004F4D27">
              <w:rPr>
                <w:rFonts w:ascii="宋体" w:hAnsi="宋体"/>
                <w:color w:val="000000"/>
                <w:kern w:val="0"/>
                <w:szCs w:val="21"/>
              </w:rPr>
              <w:t xml:space="preserve">  </w:t>
            </w:r>
          </w:p>
        </w:tc>
        <w:tc>
          <w:tcPr>
            <w:tcW w:w="5670" w:type="dxa"/>
            <w:gridSpan w:val="5"/>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报告期内持有基金份额变化情况</w:t>
            </w:r>
          </w:p>
        </w:tc>
        <w:tc>
          <w:tcPr>
            <w:tcW w:w="2549" w:type="dxa"/>
            <w:gridSpan w:val="2"/>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报告期末持有基金情况</w:t>
            </w:r>
          </w:p>
        </w:tc>
      </w:tr>
      <w:tr w:rsidR="00BB681A" w:rsidRPr="004F4D27" w:rsidTr="00767E22">
        <w:tc>
          <w:tcPr>
            <w:tcW w:w="993" w:type="dxa"/>
            <w:vMerge/>
            <w:vAlign w:val="center"/>
          </w:tcPr>
          <w:p w:rsidR="00BB681A" w:rsidRPr="004F4D27" w:rsidRDefault="00BB681A" w:rsidP="00767E22">
            <w:pPr>
              <w:autoSpaceDE w:val="0"/>
              <w:autoSpaceDN w:val="0"/>
              <w:adjustRightInd w:val="0"/>
              <w:jc w:val="center"/>
              <w:rPr>
                <w:rFonts w:ascii="宋体" w:hAnsi="宋体"/>
                <w:b/>
                <w:bCs/>
                <w:color w:val="000000"/>
                <w:kern w:val="0"/>
                <w:szCs w:val="21"/>
              </w:rPr>
            </w:pPr>
          </w:p>
        </w:tc>
        <w:tc>
          <w:tcPr>
            <w:tcW w:w="992"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序号</w:t>
            </w:r>
          </w:p>
        </w:tc>
        <w:tc>
          <w:tcPr>
            <w:tcW w:w="1843"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持有基金份额比例达到或者超过20%的时间区间</w:t>
            </w:r>
          </w:p>
        </w:tc>
        <w:tc>
          <w:tcPr>
            <w:tcW w:w="851"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期初份额</w:t>
            </w:r>
          </w:p>
        </w:tc>
        <w:tc>
          <w:tcPr>
            <w:tcW w:w="850"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申购份额</w:t>
            </w:r>
          </w:p>
        </w:tc>
        <w:tc>
          <w:tcPr>
            <w:tcW w:w="1134" w:type="dxa"/>
            <w:vAlign w:val="center"/>
          </w:tcPr>
          <w:p w:rsidR="00BB681A" w:rsidRPr="004F4D27" w:rsidRDefault="00BB681A" w:rsidP="00767E22">
            <w:pPr>
              <w:widowControl/>
              <w:jc w:val="center"/>
              <w:rPr>
                <w:rFonts w:ascii="宋体" w:hAnsi="宋体"/>
                <w:b/>
                <w:bCs/>
                <w:color w:val="000000"/>
                <w:kern w:val="0"/>
                <w:szCs w:val="21"/>
              </w:rPr>
            </w:pPr>
            <w:r w:rsidRPr="004F4D27">
              <w:rPr>
                <w:rFonts w:ascii="宋体" w:hAnsi="宋体" w:hint="eastAsia"/>
                <w:color w:val="000000"/>
                <w:kern w:val="0"/>
                <w:szCs w:val="21"/>
              </w:rPr>
              <w:t>赎回份额</w:t>
            </w:r>
          </w:p>
        </w:tc>
        <w:tc>
          <w:tcPr>
            <w:tcW w:w="1419"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持有份额</w:t>
            </w:r>
          </w:p>
        </w:tc>
        <w:tc>
          <w:tcPr>
            <w:tcW w:w="1130" w:type="dxa"/>
            <w:vAlign w:val="center"/>
          </w:tcPr>
          <w:p w:rsidR="00BB681A" w:rsidRPr="004F4D27" w:rsidRDefault="00BB681A" w:rsidP="00767E22">
            <w:pPr>
              <w:autoSpaceDE w:val="0"/>
              <w:autoSpaceDN w:val="0"/>
              <w:adjustRightInd w:val="0"/>
              <w:jc w:val="center"/>
              <w:rPr>
                <w:rFonts w:ascii="宋体" w:hAnsi="宋体"/>
                <w:b/>
                <w:bCs/>
                <w:color w:val="000000"/>
                <w:kern w:val="0"/>
                <w:szCs w:val="21"/>
              </w:rPr>
            </w:pPr>
            <w:r w:rsidRPr="004F4D27">
              <w:rPr>
                <w:rFonts w:ascii="宋体" w:hAnsi="宋体" w:hint="eastAsia"/>
                <w:color w:val="000000"/>
                <w:kern w:val="0"/>
                <w:szCs w:val="21"/>
              </w:rPr>
              <w:t>份额占比</w:t>
            </w:r>
          </w:p>
        </w:tc>
      </w:tr>
      <w:tr w:rsidR="00EF60BB">
        <w:tc>
          <w:tcPr>
            <w:tcW w:w="993" w:type="dxa"/>
            <w:vMerge w:val="restart"/>
          </w:tcPr>
          <w:p w:rsidR="00EF60BB" w:rsidRDefault="00EF60BB"/>
          <w:p w:rsidR="00EF60BB" w:rsidRDefault="00E87A1D">
            <w:r>
              <w:rPr>
                <w:rFonts w:ascii="宋体" w:hAnsi="宋体" w:hint="eastAsia"/>
                <w:bCs/>
                <w:color w:val="000000"/>
                <w:kern w:val="0"/>
                <w:szCs w:val="21"/>
              </w:rPr>
              <w:t>机构</w:t>
            </w:r>
          </w:p>
        </w:tc>
        <w:tc>
          <w:tcPr>
            <w:tcW w:w="992" w:type="dxa"/>
            <w:vAlign w:val="center"/>
          </w:tcPr>
          <w:p w:rsidR="00EF60BB" w:rsidRDefault="00E87A1D">
            <w:pPr>
              <w:jc w:val="center"/>
            </w:pPr>
            <w:r>
              <w:rPr>
                <w:rFonts w:ascii="宋体" w:hAnsi="宋体"/>
                <w:color w:val="000000"/>
                <w:kern w:val="0"/>
                <w:szCs w:val="21"/>
              </w:rPr>
              <w:t>1</w:t>
            </w:r>
          </w:p>
        </w:tc>
        <w:tc>
          <w:tcPr>
            <w:tcW w:w="1843" w:type="dxa"/>
            <w:vAlign w:val="center"/>
          </w:tcPr>
          <w:p w:rsidR="00EF60BB" w:rsidRDefault="00E87A1D">
            <w:pPr>
              <w:jc w:val="center"/>
            </w:pPr>
            <w:r>
              <w:rPr>
                <w:rFonts w:ascii="宋体" w:hAnsi="宋体"/>
                <w:color w:val="000000"/>
                <w:kern w:val="0"/>
                <w:szCs w:val="21"/>
              </w:rPr>
              <w:t>20190530-20190604</w:t>
            </w:r>
          </w:p>
        </w:tc>
        <w:tc>
          <w:tcPr>
            <w:tcW w:w="851" w:type="dxa"/>
            <w:vAlign w:val="center"/>
          </w:tcPr>
          <w:p w:rsidR="00EF60BB" w:rsidRDefault="00E87A1D">
            <w:pPr>
              <w:jc w:val="center"/>
            </w:pPr>
            <w:r>
              <w:rPr>
                <w:rFonts w:ascii="宋体" w:hAnsi="宋体"/>
                <w:color w:val="000000"/>
                <w:kern w:val="0"/>
                <w:szCs w:val="21"/>
              </w:rPr>
              <w:t>-</w:t>
            </w:r>
          </w:p>
        </w:tc>
        <w:tc>
          <w:tcPr>
            <w:tcW w:w="850" w:type="dxa"/>
            <w:vAlign w:val="center"/>
          </w:tcPr>
          <w:p w:rsidR="00EF60BB" w:rsidRDefault="00E87A1D">
            <w:pPr>
              <w:jc w:val="center"/>
            </w:pPr>
            <w:r>
              <w:rPr>
                <w:rFonts w:ascii="宋体" w:hAnsi="宋体"/>
                <w:color w:val="000000"/>
                <w:kern w:val="0"/>
                <w:szCs w:val="21"/>
              </w:rPr>
              <w:t>191,956,041.85</w:t>
            </w:r>
          </w:p>
        </w:tc>
        <w:tc>
          <w:tcPr>
            <w:tcW w:w="1134" w:type="dxa"/>
            <w:vAlign w:val="center"/>
          </w:tcPr>
          <w:p w:rsidR="00EF60BB" w:rsidRDefault="00E87A1D">
            <w:pPr>
              <w:jc w:val="center"/>
            </w:pPr>
            <w:r>
              <w:rPr>
                <w:rFonts w:ascii="宋体" w:hAnsi="宋体"/>
                <w:color w:val="000000"/>
                <w:kern w:val="0"/>
                <w:szCs w:val="21"/>
              </w:rPr>
              <w:t>-</w:t>
            </w:r>
          </w:p>
        </w:tc>
        <w:tc>
          <w:tcPr>
            <w:tcW w:w="1419" w:type="dxa"/>
            <w:vAlign w:val="center"/>
          </w:tcPr>
          <w:p w:rsidR="00EF60BB" w:rsidRDefault="00E87A1D">
            <w:pPr>
              <w:jc w:val="center"/>
            </w:pPr>
            <w:r>
              <w:rPr>
                <w:rFonts w:ascii="宋体" w:hAnsi="宋体"/>
                <w:color w:val="000000"/>
                <w:kern w:val="0"/>
                <w:szCs w:val="21"/>
              </w:rPr>
              <w:t>191,956,041.85</w:t>
            </w:r>
          </w:p>
        </w:tc>
        <w:tc>
          <w:tcPr>
            <w:tcW w:w="1130" w:type="dxa"/>
            <w:vAlign w:val="center"/>
          </w:tcPr>
          <w:p w:rsidR="00EF60BB" w:rsidRDefault="00E87A1D">
            <w:pPr>
              <w:jc w:val="center"/>
            </w:pPr>
            <w:r>
              <w:rPr>
                <w:rFonts w:ascii="宋体" w:hAnsi="宋体"/>
                <w:color w:val="000000"/>
                <w:kern w:val="0"/>
                <w:szCs w:val="21"/>
              </w:rPr>
              <w:t>10.02%</w:t>
            </w:r>
          </w:p>
        </w:tc>
      </w:tr>
      <w:tr w:rsidR="00EF60BB">
        <w:tc>
          <w:tcPr>
            <w:tcW w:w="993" w:type="dxa"/>
            <w:vMerge/>
          </w:tcPr>
          <w:p w:rsidR="00EF60BB" w:rsidRDefault="00EF60BB"/>
        </w:tc>
        <w:tc>
          <w:tcPr>
            <w:tcW w:w="992" w:type="dxa"/>
            <w:vAlign w:val="center"/>
          </w:tcPr>
          <w:p w:rsidR="00EF60BB" w:rsidRDefault="00E87A1D">
            <w:pPr>
              <w:jc w:val="center"/>
            </w:pPr>
            <w:r>
              <w:rPr>
                <w:rFonts w:ascii="宋体" w:hAnsi="宋体"/>
                <w:color w:val="000000"/>
                <w:kern w:val="0"/>
                <w:szCs w:val="21"/>
              </w:rPr>
              <w:t>2</w:t>
            </w:r>
          </w:p>
        </w:tc>
        <w:tc>
          <w:tcPr>
            <w:tcW w:w="1843" w:type="dxa"/>
            <w:vAlign w:val="center"/>
          </w:tcPr>
          <w:p w:rsidR="00EF60BB" w:rsidRDefault="00E87A1D">
            <w:pPr>
              <w:jc w:val="center"/>
            </w:pPr>
            <w:r>
              <w:rPr>
                <w:rFonts w:ascii="宋体" w:hAnsi="宋体"/>
                <w:color w:val="000000"/>
                <w:kern w:val="0"/>
                <w:szCs w:val="21"/>
              </w:rPr>
              <w:t>20190401-20190526</w:t>
            </w:r>
          </w:p>
        </w:tc>
        <w:tc>
          <w:tcPr>
            <w:tcW w:w="851" w:type="dxa"/>
            <w:vAlign w:val="center"/>
          </w:tcPr>
          <w:p w:rsidR="00EF60BB" w:rsidRDefault="00E87A1D">
            <w:pPr>
              <w:jc w:val="center"/>
            </w:pPr>
            <w:r>
              <w:rPr>
                <w:rFonts w:ascii="宋体" w:hAnsi="宋体"/>
                <w:color w:val="000000"/>
                <w:kern w:val="0"/>
                <w:szCs w:val="21"/>
              </w:rPr>
              <w:t>47,630,838.86</w:t>
            </w:r>
          </w:p>
        </w:tc>
        <w:tc>
          <w:tcPr>
            <w:tcW w:w="850" w:type="dxa"/>
            <w:vAlign w:val="center"/>
          </w:tcPr>
          <w:p w:rsidR="00EF60BB" w:rsidRDefault="00E87A1D">
            <w:pPr>
              <w:jc w:val="center"/>
            </w:pPr>
            <w:r>
              <w:rPr>
                <w:rFonts w:ascii="宋体" w:hAnsi="宋体"/>
                <w:color w:val="000000"/>
                <w:kern w:val="0"/>
                <w:szCs w:val="21"/>
              </w:rPr>
              <w:t>-</w:t>
            </w:r>
          </w:p>
        </w:tc>
        <w:tc>
          <w:tcPr>
            <w:tcW w:w="1134" w:type="dxa"/>
            <w:vAlign w:val="center"/>
          </w:tcPr>
          <w:p w:rsidR="00EF60BB" w:rsidRDefault="00E87A1D">
            <w:pPr>
              <w:jc w:val="center"/>
            </w:pPr>
            <w:r>
              <w:rPr>
                <w:rFonts w:ascii="宋体" w:hAnsi="宋体"/>
                <w:color w:val="000000"/>
                <w:kern w:val="0"/>
                <w:szCs w:val="21"/>
              </w:rPr>
              <w:t>47,630,838.86</w:t>
            </w:r>
          </w:p>
        </w:tc>
        <w:tc>
          <w:tcPr>
            <w:tcW w:w="1419" w:type="dxa"/>
            <w:vAlign w:val="center"/>
          </w:tcPr>
          <w:p w:rsidR="00EF60BB" w:rsidRDefault="00E87A1D">
            <w:pPr>
              <w:jc w:val="center"/>
            </w:pPr>
            <w:r>
              <w:rPr>
                <w:rFonts w:ascii="宋体" w:hAnsi="宋体"/>
                <w:color w:val="000000"/>
                <w:kern w:val="0"/>
                <w:szCs w:val="21"/>
              </w:rPr>
              <w:t>0.00</w:t>
            </w:r>
          </w:p>
        </w:tc>
        <w:tc>
          <w:tcPr>
            <w:tcW w:w="1130" w:type="dxa"/>
            <w:vAlign w:val="center"/>
          </w:tcPr>
          <w:p w:rsidR="00EF60BB" w:rsidRDefault="00E87A1D">
            <w:pPr>
              <w:jc w:val="center"/>
            </w:pPr>
            <w:r>
              <w:rPr>
                <w:rFonts w:ascii="宋体" w:hAnsi="宋体"/>
                <w:color w:val="000000"/>
                <w:kern w:val="0"/>
                <w:szCs w:val="21"/>
              </w:rPr>
              <w:t>0.00%</w:t>
            </w:r>
          </w:p>
        </w:tc>
      </w:tr>
      <w:tr w:rsidR="00EF60BB">
        <w:tc>
          <w:tcPr>
            <w:tcW w:w="993" w:type="dxa"/>
            <w:vMerge/>
          </w:tcPr>
          <w:p w:rsidR="00EF60BB" w:rsidRDefault="00EF60BB"/>
        </w:tc>
        <w:tc>
          <w:tcPr>
            <w:tcW w:w="992" w:type="dxa"/>
            <w:vAlign w:val="center"/>
          </w:tcPr>
          <w:p w:rsidR="00EF60BB" w:rsidRDefault="00E87A1D">
            <w:pPr>
              <w:jc w:val="center"/>
            </w:pPr>
            <w:r>
              <w:rPr>
                <w:rFonts w:ascii="宋体" w:hAnsi="宋体"/>
                <w:color w:val="000000"/>
                <w:kern w:val="0"/>
                <w:szCs w:val="21"/>
              </w:rPr>
              <w:t>3</w:t>
            </w:r>
          </w:p>
        </w:tc>
        <w:tc>
          <w:tcPr>
            <w:tcW w:w="1843" w:type="dxa"/>
            <w:vAlign w:val="center"/>
          </w:tcPr>
          <w:p w:rsidR="00EF60BB" w:rsidRDefault="00E87A1D">
            <w:pPr>
              <w:jc w:val="center"/>
            </w:pPr>
            <w:r>
              <w:rPr>
                <w:rFonts w:ascii="宋体" w:hAnsi="宋体"/>
                <w:color w:val="000000"/>
                <w:kern w:val="0"/>
                <w:szCs w:val="21"/>
              </w:rPr>
              <w:t>20190605-20190630</w:t>
            </w:r>
          </w:p>
        </w:tc>
        <w:tc>
          <w:tcPr>
            <w:tcW w:w="851" w:type="dxa"/>
            <w:vAlign w:val="center"/>
          </w:tcPr>
          <w:p w:rsidR="00EF60BB" w:rsidRDefault="00E87A1D">
            <w:pPr>
              <w:jc w:val="center"/>
            </w:pPr>
            <w:r>
              <w:rPr>
                <w:rFonts w:ascii="宋体" w:hAnsi="宋体"/>
                <w:color w:val="000000"/>
                <w:kern w:val="0"/>
                <w:szCs w:val="21"/>
              </w:rPr>
              <w:t>-</w:t>
            </w:r>
          </w:p>
        </w:tc>
        <w:tc>
          <w:tcPr>
            <w:tcW w:w="850" w:type="dxa"/>
            <w:vAlign w:val="center"/>
          </w:tcPr>
          <w:p w:rsidR="00EF60BB" w:rsidRDefault="00E87A1D">
            <w:pPr>
              <w:jc w:val="center"/>
            </w:pPr>
            <w:r>
              <w:rPr>
                <w:rFonts w:ascii="宋体" w:hAnsi="宋体"/>
                <w:color w:val="000000"/>
                <w:kern w:val="0"/>
                <w:szCs w:val="21"/>
              </w:rPr>
              <w:t>959,415,715.25</w:t>
            </w:r>
          </w:p>
        </w:tc>
        <w:tc>
          <w:tcPr>
            <w:tcW w:w="1134" w:type="dxa"/>
            <w:vAlign w:val="center"/>
          </w:tcPr>
          <w:p w:rsidR="00EF60BB" w:rsidRDefault="00E87A1D">
            <w:pPr>
              <w:jc w:val="center"/>
            </w:pPr>
            <w:r>
              <w:rPr>
                <w:rFonts w:ascii="宋体" w:hAnsi="宋体"/>
                <w:color w:val="000000"/>
                <w:kern w:val="0"/>
                <w:szCs w:val="21"/>
              </w:rPr>
              <w:t>-</w:t>
            </w:r>
          </w:p>
        </w:tc>
        <w:tc>
          <w:tcPr>
            <w:tcW w:w="1419" w:type="dxa"/>
            <w:vAlign w:val="center"/>
          </w:tcPr>
          <w:p w:rsidR="00EF60BB" w:rsidRDefault="00E87A1D">
            <w:pPr>
              <w:jc w:val="center"/>
            </w:pPr>
            <w:r>
              <w:rPr>
                <w:rFonts w:ascii="宋体" w:hAnsi="宋体"/>
                <w:color w:val="000000"/>
                <w:kern w:val="0"/>
                <w:szCs w:val="21"/>
              </w:rPr>
              <w:t>959,415,715.25</w:t>
            </w:r>
          </w:p>
        </w:tc>
        <w:tc>
          <w:tcPr>
            <w:tcW w:w="1130" w:type="dxa"/>
            <w:vAlign w:val="center"/>
          </w:tcPr>
          <w:p w:rsidR="00EF60BB" w:rsidRDefault="00E87A1D">
            <w:pPr>
              <w:jc w:val="center"/>
            </w:pPr>
            <w:r>
              <w:rPr>
                <w:rFonts w:ascii="宋体" w:hAnsi="宋体"/>
                <w:color w:val="000000"/>
                <w:kern w:val="0"/>
                <w:szCs w:val="21"/>
              </w:rPr>
              <w:t>50.07%</w:t>
            </w:r>
          </w:p>
        </w:tc>
      </w:tr>
      <w:tr w:rsidR="00BB681A" w:rsidRPr="004F4D27" w:rsidTr="00767E22">
        <w:tc>
          <w:tcPr>
            <w:tcW w:w="9212" w:type="dxa"/>
            <w:gridSpan w:val="8"/>
            <w:vAlign w:val="center"/>
          </w:tcPr>
          <w:p w:rsidR="00BB681A" w:rsidRPr="004F4D27" w:rsidRDefault="00BB681A" w:rsidP="00767E22">
            <w:pPr>
              <w:autoSpaceDE w:val="0"/>
              <w:autoSpaceDN w:val="0"/>
              <w:adjustRightInd w:val="0"/>
              <w:jc w:val="center"/>
              <w:rPr>
                <w:rFonts w:ascii="宋体" w:hAnsi="宋体"/>
                <w:kern w:val="0"/>
                <w:szCs w:val="21"/>
              </w:rPr>
            </w:pPr>
            <w:r w:rsidRPr="004F4D27">
              <w:rPr>
                <w:rFonts w:ascii="宋体" w:hAnsi="宋体"/>
                <w:color w:val="000000"/>
                <w:kern w:val="0"/>
                <w:szCs w:val="21"/>
              </w:rPr>
              <w:t>产品特有风险</w:t>
            </w:r>
          </w:p>
        </w:tc>
      </w:tr>
      <w:tr w:rsidR="00BB681A" w:rsidRPr="004F4D27" w:rsidTr="00767E22">
        <w:tc>
          <w:tcPr>
            <w:tcW w:w="9212" w:type="dxa"/>
            <w:gridSpan w:val="8"/>
            <w:vAlign w:val="center"/>
          </w:tcPr>
          <w:p w:rsidR="00EF60BB" w:rsidRDefault="00E87A1D">
            <w:pPr>
              <w:autoSpaceDE w:val="0"/>
              <w:autoSpaceDN w:val="0"/>
              <w:adjustRightInd w:val="0"/>
              <w:jc w:val="left"/>
              <w:rPr>
                <w:rFonts w:ascii="宋体" w:hAnsi="宋体"/>
                <w:kern w:val="0"/>
                <w:szCs w:val="21"/>
              </w:rPr>
            </w:pPr>
            <w:r>
              <w:rPr>
                <w:rFonts w:ascii="宋体" w:hAnsi="宋体" w:hint="eastAsia"/>
                <w:kern w:val="0"/>
                <w:szCs w:val="21"/>
              </w:rPr>
              <w:t>本基金本报告期存在单一投资者持有基金份额比例超过20%的情形，可能面临单一投资者集中赎回的情况，从而：</w:t>
            </w:r>
          </w:p>
          <w:p w:rsidR="00EF60BB" w:rsidRDefault="00E87A1D">
            <w:pPr>
              <w:autoSpaceDE w:val="0"/>
              <w:autoSpaceDN w:val="0"/>
              <w:adjustRightInd w:val="0"/>
              <w:jc w:val="left"/>
              <w:rPr>
                <w:rFonts w:ascii="宋体" w:hAnsi="宋体"/>
                <w:kern w:val="0"/>
                <w:szCs w:val="21"/>
              </w:rPr>
            </w:pPr>
            <w:r>
              <w:rPr>
                <w:rFonts w:ascii="宋体" w:hAnsi="宋体" w:hint="eastAsia"/>
                <w:kern w:val="0"/>
                <w:szCs w:val="21"/>
              </w:rPr>
              <w:t>（1）对基金的流动性造成冲击，存在对剩余投资者的赎回办理造成影响的风险。</w:t>
            </w:r>
          </w:p>
          <w:p w:rsidR="00EF60BB" w:rsidRDefault="00E87A1D">
            <w:pPr>
              <w:autoSpaceDE w:val="0"/>
              <w:autoSpaceDN w:val="0"/>
              <w:adjustRightInd w:val="0"/>
              <w:jc w:val="left"/>
              <w:rPr>
                <w:rFonts w:ascii="宋体" w:hAnsi="宋体"/>
                <w:kern w:val="0"/>
                <w:szCs w:val="21"/>
              </w:rPr>
            </w:pPr>
            <w:r>
              <w:rPr>
                <w:rFonts w:ascii="宋体" w:hAnsi="宋体" w:hint="eastAsia"/>
                <w:kern w:val="0"/>
                <w:szCs w:val="21"/>
              </w:rPr>
              <w:t>（2）基金管理人因基金赎回的流动性要求致使部分投资受到限制，或因赎回费归入基金资产等原因，而导致基金资产净值波动的风险，影响基金的投资运作和收益水平。</w:t>
            </w:r>
          </w:p>
          <w:p w:rsidR="00EF60BB" w:rsidRDefault="00E87A1D">
            <w:pPr>
              <w:autoSpaceDE w:val="0"/>
              <w:autoSpaceDN w:val="0"/>
              <w:adjustRightInd w:val="0"/>
              <w:jc w:val="left"/>
              <w:rPr>
                <w:rFonts w:ascii="宋体" w:hAnsi="宋体"/>
                <w:kern w:val="0"/>
                <w:szCs w:val="21"/>
              </w:rPr>
            </w:pPr>
            <w:r>
              <w:rPr>
                <w:rFonts w:ascii="宋体" w:hAnsi="宋体" w:hint="eastAsia"/>
                <w:kern w:val="0"/>
                <w:szCs w:val="21"/>
              </w:rPr>
              <w:t>（3）因基金资产规模过小，而导致部分投资不能实现基金合同约定的投资目的及投资策略，或导致基金不能满足存续条件的风险。</w:t>
            </w:r>
          </w:p>
          <w:p w:rsidR="00BB681A" w:rsidRPr="004F4D27" w:rsidRDefault="00BB681A" w:rsidP="00767E22">
            <w:pPr>
              <w:autoSpaceDE w:val="0"/>
              <w:autoSpaceDN w:val="0"/>
              <w:adjustRightInd w:val="0"/>
              <w:jc w:val="left"/>
              <w:rPr>
                <w:rFonts w:ascii="宋体" w:hAnsi="宋体"/>
                <w:kern w:val="0"/>
                <w:szCs w:val="21"/>
              </w:rPr>
            </w:pPr>
            <w:r w:rsidRPr="004F4D27">
              <w:rPr>
                <w:rFonts w:ascii="宋体" w:hAnsi="宋体" w:hint="eastAsia"/>
                <w:kern w:val="0"/>
                <w:szCs w:val="21"/>
              </w:rPr>
              <w:t>本管理人将审慎评估大额申购对基金持有集中度的影响，在运作中保持合适的流动性水平，保护持有人利益。</w:t>
            </w:r>
          </w:p>
        </w:tc>
      </w:tr>
    </w:tbl>
    <w:p w:rsidR="00BB681A" w:rsidRPr="004F4D27" w:rsidRDefault="00BB681A" w:rsidP="00BB681A">
      <w:pPr>
        <w:autoSpaceDE w:val="0"/>
        <w:autoSpaceDN w:val="0"/>
        <w:adjustRightInd w:val="0"/>
        <w:spacing w:line="360" w:lineRule="auto"/>
        <w:jc w:val="left"/>
        <w:rPr>
          <w:rFonts w:ascii="宋体" w:hAnsi="宋体"/>
          <w:b/>
          <w:bCs/>
          <w:color w:val="000000"/>
          <w:kern w:val="0"/>
          <w:szCs w:val="21"/>
        </w:rPr>
      </w:pPr>
      <w:r w:rsidRPr="004F4D27">
        <w:rPr>
          <w:rFonts w:ascii="宋体" w:hAnsi="宋体" w:hint="eastAsia"/>
          <w:b/>
          <w:bCs/>
          <w:color w:val="000000"/>
          <w:kern w:val="0"/>
          <w:szCs w:val="21"/>
        </w:rPr>
        <w:t>8.2 影响投资者决策的其他重要信息</w:t>
      </w:r>
    </w:p>
    <w:p w:rsidR="00BB681A" w:rsidRPr="004F4D27" w:rsidRDefault="00BB681A" w:rsidP="00BB681A">
      <w:pPr>
        <w:spacing w:line="360" w:lineRule="auto"/>
        <w:ind w:firstLineChars="200" w:firstLine="420"/>
        <w:rPr>
          <w:rFonts w:ascii="宋体" w:hAnsi="宋体"/>
          <w:color w:val="000000"/>
          <w:szCs w:val="21"/>
        </w:rPr>
      </w:pPr>
      <w:r w:rsidRPr="004F4D27">
        <w:rPr>
          <w:rFonts w:ascii="宋体" w:hAnsi="宋体"/>
          <w:color w:val="000000"/>
          <w:szCs w:val="21"/>
        </w:rPr>
        <w:t>无。</w:t>
      </w:r>
    </w:p>
    <w:p w:rsidR="009238DB" w:rsidRPr="004264FD" w:rsidRDefault="009238DB" w:rsidP="004241D1">
      <w:pPr>
        <w:pStyle w:val="1"/>
        <w:spacing w:beforeLines="100" w:afterLines="100" w:line="360" w:lineRule="auto"/>
        <w:jc w:val="center"/>
        <w:rPr>
          <w:rFonts w:eastAsiaTheme="minorEastAsia"/>
          <w:color w:val="000000" w:themeColor="text1"/>
          <w:kern w:val="0"/>
          <w:sz w:val="21"/>
          <w:szCs w:val="21"/>
        </w:rPr>
      </w:pPr>
      <w:r w:rsidRPr="004264FD">
        <w:rPr>
          <w:rFonts w:eastAsiaTheme="minorEastAsia"/>
          <w:color w:val="000000" w:themeColor="text1"/>
          <w:kern w:val="0"/>
          <w:sz w:val="21"/>
          <w:szCs w:val="21"/>
        </w:rPr>
        <w:t>§</w:t>
      </w:r>
      <w:r w:rsidR="00A14399" w:rsidRPr="004264FD">
        <w:rPr>
          <w:rFonts w:eastAsiaTheme="minorEastAsia"/>
          <w:color w:val="000000" w:themeColor="text1"/>
          <w:kern w:val="0"/>
          <w:sz w:val="21"/>
          <w:szCs w:val="21"/>
        </w:rPr>
        <w:t>9</w:t>
      </w:r>
      <w:r w:rsidR="003F7026" w:rsidRPr="004264FD">
        <w:rPr>
          <w:rFonts w:eastAsiaTheme="minorEastAsia"/>
          <w:color w:val="000000" w:themeColor="text1"/>
          <w:kern w:val="0"/>
          <w:sz w:val="21"/>
          <w:szCs w:val="21"/>
        </w:rPr>
        <w:t xml:space="preserve"> </w:t>
      </w:r>
      <w:r w:rsidRPr="004264FD">
        <w:rPr>
          <w:rFonts w:eastAsiaTheme="minorEastAsia"/>
          <w:color w:val="000000" w:themeColor="text1"/>
          <w:kern w:val="0"/>
          <w:sz w:val="21"/>
          <w:szCs w:val="21"/>
        </w:rPr>
        <w:t>备查文件目录</w:t>
      </w:r>
    </w:p>
    <w:p w:rsidR="00FB3C94" w:rsidRPr="004264FD" w:rsidRDefault="00A14399" w:rsidP="00FC13C8">
      <w:pPr>
        <w:autoSpaceDE w:val="0"/>
        <w:autoSpaceDN w:val="0"/>
        <w:adjustRightInd w:val="0"/>
        <w:spacing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w:t>
      </w:r>
      <w:r w:rsidR="00D13A01" w:rsidRPr="004264FD">
        <w:rPr>
          <w:rFonts w:eastAsiaTheme="minorEastAsia"/>
          <w:b/>
          <w:bCs/>
          <w:color w:val="000000" w:themeColor="text1"/>
          <w:kern w:val="0"/>
          <w:szCs w:val="21"/>
        </w:rPr>
        <w:t>1</w:t>
      </w:r>
      <w:r w:rsidR="00FB3C94" w:rsidRPr="004264FD">
        <w:rPr>
          <w:rFonts w:eastAsiaTheme="minorEastAsia"/>
          <w:b/>
          <w:bCs/>
          <w:color w:val="000000" w:themeColor="text1"/>
          <w:kern w:val="0"/>
          <w:szCs w:val="21"/>
        </w:rPr>
        <w:t>备查文件目录</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、中国证监会批准设立光大保德信岁末红利纯债债券型证券投资基金的文件</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、光大保德信岁末红利纯债债券型证券投资基金基金合同</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3</w:t>
      </w:r>
      <w:r>
        <w:rPr>
          <w:rFonts w:eastAsiaTheme="minorEastAsia"/>
          <w:color w:val="000000" w:themeColor="text1"/>
          <w:szCs w:val="21"/>
        </w:rPr>
        <w:t>、光大保德信岁末红利纯债债券型证券投资基金招募说明书</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4</w:t>
      </w:r>
      <w:r>
        <w:rPr>
          <w:rFonts w:eastAsiaTheme="minorEastAsia"/>
          <w:color w:val="000000" w:themeColor="text1"/>
          <w:szCs w:val="21"/>
        </w:rPr>
        <w:t>、光大保德信岁末红利纯债债券型证券投资基金托管协议</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5</w:t>
      </w:r>
      <w:r>
        <w:rPr>
          <w:rFonts w:eastAsiaTheme="minorEastAsia"/>
          <w:color w:val="000000" w:themeColor="text1"/>
          <w:szCs w:val="21"/>
        </w:rPr>
        <w:t>、光大保德信岁末红利纯债债券型证券投资基金法律意见书</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6</w:t>
      </w:r>
      <w:r>
        <w:rPr>
          <w:rFonts w:eastAsiaTheme="minorEastAsia"/>
          <w:color w:val="000000" w:themeColor="text1"/>
          <w:szCs w:val="21"/>
        </w:rPr>
        <w:t>、光大保德信基金管理有限公司的业务资格批件、营业执照、公司章程</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7</w:t>
      </w:r>
      <w:r>
        <w:rPr>
          <w:rFonts w:eastAsiaTheme="minorEastAsia"/>
          <w:color w:val="000000" w:themeColor="text1"/>
          <w:szCs w:val="21"/>
        </w:rPr>
        <w:t>、基金托管人业务资格批件和营业执照</w:t>
      </w:r>
      <w:r>
        <w:rPr>
          <w:rFonts w:eastAsiaTheme="minorEastAsia"/>
          <w:color w:val="000000" w:themeColor="text1"/>
          <w:szCs w:val="21"/>
        </w:rPr>
        <w:t xml:space="preserve"> </w:t>
      </w:r>
    </w:p>
    <w:p w:rsidR="00EF60BB" w:rsidRDefault="00E87A1D">
      <w:pPr>
        <w:spacing w:line="360" w:lineRule="auto"/>
        <w:ind w:firstLineChars="200" w:firstLine="420"/>
        <w:rPr>
          <w:rFonts w:eastAsiaTheme="minorEastAsia"/>
          <w:color w:val="000000" w:themeColor="text1"/>
          <w:szCs w:val="21"/>
        </w:rPr>
      </w:pPr>
      <w:r>
        <w:rPr>
          <w:rFonts w:eastAsiaTheme="minorEastAsia"/>
          <w:color w:val="000000" w:themeColor="text1"/>
          <w:szCs w:val="21"/>
        </w:rPr>
        <w:t>8</w:t>
      </w:r>
      <w:r>
        <w:rPr>
          <w:rFonts w:eastAsiaTheme="minorEastAsia"/>
          <w:color w:val="000000" w:themeColor="text1"/>
          <w:szCs w:val="21"/>
        </w:rPr>
        <w:t>、报告期内光大保德信岁末红利纯债债券型证券投资基金在指定报刊上披露的各项公告</w:t>
      </w:r>
      <w:r>
        <w:rPr>
          <w:rFonts w:eastAsiaTheme="minorEastAsia"/>
          <w:color w:val="000000" w:themeColor="text1"/>
          <w:szCs w:val="21"/>
        </w:rPr>
        <w:t xml:space="preserve"> </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9</w:t>
      </w:r>
      <w:r w:rsidRPr="004264FD">
        <w:rPr>
          <w:rFonts w:eastAsiaTheme="minorEastAsia"/>
          <w:color w:val="000000" w:themeColor="text1"/>
          <w:szCs w:val="21"/>
        </w:rPr>
        <w:t>、中国证监会要求的其他文件</w:t>
      </w:r>
    </w:p>
    <w:p w:rsidR="00FB3C94" w:rsidRPr="004264FD" w:rsidRDefault="00D13A01" w:rsidP="004241D1">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9.2</w:t>
      </w:r>
      <w:r w:rsidR="00FB3C94" w:rsidRPr="004264FD">
        <w:rPr>
          <w:rFonts w:eastAsiaTheme="minorEastAsia"/>
          <w:b/>
          <w:bCs/>
          <w:color w:val="000000" w:themeColor="text1"/>
          <w:kern w:val="0"/>
          <w:szCs w:val="21"/>
        </w:rPr>
        <w:t>存放地点</w:t>
      </w:r>
    </w:p>
    <w:p w:rsidR="00F11783" w:rsidRPr="004264FD" w:rsidRDefault="00FB3C94" w:rsidP="003C3C8C">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上海市黄浦区中山东二路</w:t>
      </w:r>
      <w:r w:rsidRPr="004264FD">
        <w:rPr>
          <w:rFonts w:eastAsiaTheme="minorEastAsia"/>
          <w:color w:val="000000" w:themeColor="text1"/>
          <w:szCs w:val="21"/>
        </w:rPr>
        <w:t>558</w:t>
      </w:r>
      <w:r w:rsidRPr="004264FD">
        <w:rPr>
          <w:rFonts w:eastAsiaTheme="minorEastAsia"/>
          <w:color w:val="000000" w:themeColor="text1"/>
          <w:szCs w:val="21"/>
        </w:rPr>
        <w:t>号外滩金融中心</w:t>
      </w:r>
      <w:r w:rsidRPr="004264FD">
        <w:rPr>
          <w:rFonts w:eastAsiaTheme="minorEastAsia"/>
          <w:color w:val="000000" w:themeColor="text1"/>
          <w:szCs w:val="21"/>
        </w:rPr>
        <w:t>1</w:t>
      </w:r>
      <w:r w:rsidRPr="004264FD">
        <w:rPr>
          <w:rFonts w:eastAsiaTheme="minorEastAsia"/>
          <w:color w:val="000000" w:themeColor="text1"/>
          <w:szCs w:val="21"/>
        </w:rPr>
        <w:t>幢（北区</w:t>
      </w:r>
      <w:r w:rsidRPr="004264FD">
        <w:rPr>
          <w:rFonts w:eastAsiaTheme="minorEastAsia"/>
          <w:color w:val="000000" w:themeColor="text1"/>
          <w:szCs w:val="21"/>
        </w:rPr>
        <w:t>3</w:t>
      </w:r>
      <w:r w:rsidRPr="004264FD">
        <w:rPr>
          <w:rFonts w:eastAsiaTheme="minorEastAsia"/>
          <w:color w:val="000000" w:themeColor="text1"/>
          <w:szCs w:val="21"/>
        </w:rPr>
        <w:t>号楼），</w:t>
      </w:r>
      <w:r w:rsidRPr="004264FD">
        <w:rPr>
          <w:rFonts w:eastAsiaTheme="minorEastAsia"/>
          <w:color w:val="000000" w:themeColor="text1"/>
          <w:szCs w:val="21"/>
        </w:rPr>
        <w:t>6-7</w:t>
      </w:r>
      <w:r w:rsidRPr="004264FD">
        <w:rPr>
          <w:rFonts w:eastAsiaTheme="minorEastAsia"/>
          <w:color w:val="000000" w:themeColor="text1"/>
          <w:szCs w:val="21"/>
        </w:rPr>
        <w:t>层、</w:t>
      </w:r>
      <w:r w:rsidRPr="004264FD">
        <w:rPr>
          <w:rFonts w:eastAsiaTheme="minorEastAsia"/>
          <w:color w:val="000000" w:themeColor="text1"/>
          <w:szCs w:val="21"/>
        </w:rPr>
        <w:t>10</w:t>
      </w:r>
      <w:r w:rsidRPr="004264FD">
        <w:rPr>
          <w:rFonts w:eastAsiaTheme="minorEastAsia"/>
          <w:color w:val="000000" w:themeColor="text1"/>
          <w:szCs w:val="21"/>
        </w:rPr>
        <w:t>层。</w:t>
      </w:r>
    </w:p>
    <w:p w:rsidR="00FB3C94" w:rsidRPr="004264FD" w:rsidRDefault="00D13A01" w:rsidP="004241D1">
      <w:pPr>
        <w:autoSpaceDE w:val="0"/>
        <w:autoSpaceDN w:val="0"/>
        <w:adjustRightInd w:val="0"/>
        <w:spacing w:beforeLines="100" w:line="360" w:lineRule="auto"/>
        <w:jc w:val="left"/>
        <w:rPr>
          <w:rFonts w:eastAsiaTheme="minorEastAsia"/>
          <w:b/>
          <w:bCs/>
          <w:color w:val="000000" w:themeColor="text1"/>
          <w:kern w:val="0"/>
          <w:szCs w:val="21"/>
        </w:rPr>
      </w:pPr>
      <w:r w:rsidRPr="004264FD">
        <w:rPr>
          <w:rFonts w:eastAsiaTheme="minorEastAsia"/>
          <w:b/>
          <w:bCs/>
          <w:color w:val="000000" w:themeColor="text1"/>
          <w:kern w:val="0"/>
          <w:szCs w:val="21"/>
        </w:rPr>
        <w:t>9.3</w:t>
      </w:r>
      <w:r w:rsidR="00FB3C94" w:rsidRPr="004264FD">
        <w:rPr>
          <w:rFonts w:eastAsiaTheme="minorEastAsia"/>
          <w:b/>
          <w:bCs/>
          <w:color w:val="000000" w:themeColor="text1"/>
          <w:kern w:val="0"/>
          <w:szCs w:val="21"/>
        </w:rPr>
        <w:t>查阅方式</w:t>
      </w:r>
    </w:p>
    <w:p w:rsidR="00FB3C94" w:rsidRPr="004264FD" w:rsidRDefault="00FB3C94" w:rsidP="003F7026">
      <w:pPr>
        <w:spacing w:line="360" w:lineRule="auto"/>
        <w:ind w:firstLineChars="200" w:firstLine="420"/>
        <w:rPr>
          <w:rFonts w:eastAsiaTheme="minorEastAsia"/>
          <w:color w:val="000000" w:themeColor="text1"/>
          <w:szCs w:val="21"/>
        </w:rPr>
      </w:pPr>
      <w:r w:rsidRPr="004264FD">
        <w:rPr>
          <w:rFonts w:eastAsiaTheme="minorEastAsia"/>
          <w:color w:val="000000" w:themeColor="text1"/>
          <w:szCs w:val="21"/>
        </w:rPr>
        <w:t>投资者可于本基金管理人办公时间预约查阅。</w:t>
      </w:r>
      <w:r w:rsidRPr="004264FD">
        <w:rPr>
          <w:rFonts w:eastAsiaTheme="minorEastAsia"/>
          <w:color w:val="000000" w:themeColor="text1"/>
          <w:szCs w:val="21"/>
        </w:rPr>
        <w:t xml:space="preserve"> </w:t>
      </w:r>
      <w:r w:rsidRPr="004264FD">
        <w:rPr>
          <w:rFonts w:eastAsiaTheme="minorEastAsia"/>
          <w:color w:val="000000" w:themeColor="text1"/>
          <w:szCs w:val="21"/>
        </w:rPr>
        <w:t>投资者对本报告书如有疑问，可咨询本基金管理人。</w:t>
      </w:r>
      <w:r w:rsidRPr="004264FD">
        <w:rPr>
          <w:rFonts w:eastAsiaTheme="minorEastAsia"/>
          <w:color w:val="000000" w:themeColor="text1"/>
          <w:szCs w:val="21"/>
        </w:rPr>
        <w:t xml:space="preserve"> </w:t>
      </w:r>
      <w:r w:rsidRPr="004264FD">
        <w:rPr>
          <w:rFonts w:eastAsiaTheme="minorEastAsia"/>
          <w:color w:val="000000" w:themeColor="text1"/>
          <w:szCs w:val="21"/>
        </w:rPr>
        <w:t>客户服务中心电话：</w:t>
      </w:r>
      <w:r w:rsidRPr="004264FD">
        <w:rPr>
          <w:rFonts w:eastAsiaTheme="minorEastAsia"/>
          <w:color w:val="000000" w:themeColor="text1"/>
          <w:szCs w:val="21"/>
        </w:rPr>
        <w:t>4008-202-888</w:t>
      </w:r>
      <w:r w:rsidRPr="004264FD">
        <w:rPr>
          <w:rFonts w:eastAsiaTheme="minorEastAsia"/>
          <w:color w:val="000000" w:themeColor="text1"/>
          <w:szCs w:val="21"/>
        </w:rPr>
        <w:t>，</w:t>
      </w:r>
      <w:r w:rsidRPr="004264FD">
        <w:rPr>
          <w:rFonts w:eastAsiaTheme="minorEastAsia"/>
          <w:color w:val="000000" w:themeColor="text1"/>
          <w:szCs w:val="21"/>
        </w:rPr>
        <w:t>021-80262888</w:t>
      </w:r>
      <w:r w:rsidRPr="004264FD">
        <w:rPr>
          <w:rFonts w:eastAsiaTheme="minorEastAsia"/>
          <w:color w:val="000000" w:themeColor="text1"/>
          <w:szCs w:val="21"/>
        </w:rPr>
        <w:t>。</w:t>
      </w:r>
      <w:r w:rsidRPr="004264FD">
        <w:rPr>
          <w:rFonts w:eastAsiaTheme="minorEastAsia"/>
          <w:color w:val="000000" w:themeColor="text1"/>
          <w:szCs w:val="21"/>
        </w:rPr>
        <w:t xml:space="preserve"> </w:t>
      </w:r>
      <w:r w:rsidRPr="004264FD">
        <w:rPr>
          <w:rFonts w:eastAsiaTheme="minorEastAsia"/>
          <w:color w:val="000000" w:themeColor="text1"/>
          <w:szCs w:val="21"/>
        </w:rPr>
        <w:t>公司网址：</w:t>
      </w:r>
      <w:r w:rsidRPr="004264FD">
        <w:rPr>
          <w:rFonts w:eastAsiaTheme="minorEastAsia"/>
          <w:color w:val="000000" w:themeColor="text1"/>
          <w:szCs w:val="21"/>
        </w:rPr>
        <w:t>www.epf.com.cn</w:t>
      </w:r>
      <w:r w:rsidRPr="004264FD">
        <w:rPr>
          <w:rFonts w:eastAsiaTheme="minorEastAsia"/>
          <w:color w:val="000000" w:themeColor="text1"/>
          <w:szCs w:val="21"/>
        </w:rPr>
        <w:t>。</w:t>
      </w:r>
    </w:p>
    <w:p w:rsidR="00FB3C94" w:rsidRPr="004264FD" w:rsidRDefault="00FB3C94" w:rsidP="00FB3C94">
      <w:pPr>
        <w:spacing w:line="360" w:lineRule="auto"/>
        <w:ind w:left="840"/>
        <w:jc w:val="right"/>
        <w:rPr>
          <w:rFonts w:eastAsiaTheme="minorEastAsia"/>
          <w:color w:val="000000" w:themeColor="text1"/>
          <w:szCs w:val="21"/>
        </w:rPr>
      </w:pPr>
    </w:p>
    <w:p w:rsidR="00AF3AF9" w:rsidRPr="004264FD" w:rsidRDefault="00AF3AF9" w:rsidP="00053FFD">
      <w:pPr>
        <w:spacing w:line="360" w:lineRule="auto"/>
        <w:ind w:left="840"/>
        <w:jc w:val="center"/>
        <w:rPr>
          <w:rFonts w:eastAsiaTheme="minorEastAsia"/>
          <w:b/>
          <w:color w:val="000000" w:themeColor="text1"/>
          <w:szCs w:val="21"/>
        </w:rPr>
      </w:pPr>
    </w:p>
    <w:p w:rsidR="00FB3C94" w:rsidRPr="004264FD" w:rsidRDefault="00FB3C94"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光大保德信基金管理有限公司</w:t>
      </w:r>
    </w:p>
    <w:p w:rsidR="009238DB" w:rsidRPr="004264FD" w:rsidRDefault="00D04410" w:rsidP="00B1493B">
      <w:pPr>
        <w:spacing w:line="360" w:lineRule="auto"/>
        <w:jc w:val="right"/>
        <w:rPr>
          <w:rFonts w:eastAsiaTheme="minorEastAsia"/>
          <w:b/>
          <w:bCs/>
          <w:color w:val="000000" w:themeColor="text1"/>
          <w:szCs w:val="21"/>
        </w:rPr>
      </w:pPr>
      <w:r w:rsidRPr="004264FD">
        <w:rPr>
          <w:rFonts w:eastAsiaTheme="minorEastAsia"/>
          <w:b/>
          <w:bCs/>
          <w:color w:val="000000" w:themeColor="text1"/>
          <w:szCs w:val="21"/>
        </w:rPr>
        <w:t>二〇一九年七月十八日</w:t>
      </w:r>
    </w:p>
    <w:sectPr w:rsidR="009238DB" w:rsidRPr="004264FD" w:rsidSect="00A8324F">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A1D" w:rsidRDefault="00E87A1D">
      <w:r>
        <w:separator/>
      </w:r>
    </w:p>
  </w:endnote>
  <w:endnote w:type="continuationSeparator" w:id="1">
    <w:p w:rsidR="00E87A1D" w:rsidRDefault="00E87A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1D0DB0" w:rsidRDefault="004867AF" w:rsidP="00F7094A">
    <w:pPr>
      <w:pStyle w:val="a6"/>
      <w:jc w:val="center"/>
    </w:pPr>
    <w:r>
      <w:rPr>
        <w:kern w:val="0"/>
        <w:szCs w:val="21"/>
      </w:rPr>
      <w:fldChar w:fldCharType="begin"/>
    </w:r>
    <w:r w:rsidR="00B22511">
      <w:rPr>
        <w:kern w:val="0"/>
        <w:szCs w:val="21"/>
      </w:rPr>
      <w:instrText xml:space="preserve"> PAGE </w:instrText>
    </w:r>
    <w:r>
      <w:rPr>
        <w:kern w:val="0"/>
        <w:szCs w:val="21"/>
      </w:rPr>
      <w:fldChar w:fldCharType="separate"/>
    </w:r>
    <w:r w:rsidR="004241D1">
      <w:rPr>
        <w:noProof/>
        <w:kern w:val="0"/>
        <w:szCs w:val="21"/>
      </w:rPr>
      <w:t>1</w:t>
    </w:r>
    <w:r>
      <w:rPr>
        <w:kern w:val="0"/>
        <w:szCs w:val="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4867AF">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end"/>
    </w:r>
  </w:p>
  <w:p w:rsidR="00B22511" w:rsidRDefault="00B2251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Default="004867AF">
    <w:pPr>
      <w:pStyle w:val="a6"/>
      <w:framePr w:wrap="around" w:vAnchor="text" w:hAnchor="margin" w:xAlign="center" w:y="1"/>
      <w:rPr>
        <w:rStyle w:val="a7"/>
      </w:rPr>
    </w:pPr>
    <w:r>
      <w:rPr>
        <w:rStyle w:val="a7"/>
      </w:rPr>
      <w:fldChar w:fldCharType="begin"/>
    </w:r>
    <w:r w:rsidR="00B22511">
      <w:rPr>
        <w:rStyle w:val="a7"/>
      </w:rPr>
      <w:instrText xml:space="preserve">PAGE  </w:instrText>
    </w:r>
    <w:r>
      <w:rPr>
        <w:rStyle w:val="a7"/>
      </w:rPr>
      <w:fldChar w:fldCharType="separate"/>
    </w:r>
    <w:r w:rsidR="004241D1">
      <w:rPr>
        <w:rStyle w:val="a7"/>
        <w:noProof/>
      </w:rPr>
      <w:t>2</w:t>
    </w:r>
    <w:r>
      <w:rPr>
        <w:rStyle w:val="a7"/>
      </w:rPr>
      <w:fldChar w:fldCharType="end"/>
    </w:r>
  </w:p>
  <w:p w:rsidR="00B22511" w:rsidRDefault="00B2251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A1D" w:rsidRDefault="00E87A1D">
      <w:r>
        <w:separator/>
      </w:r>
    </w:p>
  </w:footnote>
  <w:footnote w:type="continuationSeparator" w:id="1">
    <w:p w:rsidR="00E87A1D" w:rsidRDefault="00E87A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511" w:rsidRPr="0063693D" w:rsidRDefault="00B22511" w:rsidP="001207F2">
    <w:pPr>
      <w:pStyle w:val="a9"/>
      <w:pBdr>
        <w:bottom w:val="single" w:sz="6" w:space="0" w:color="auto"/>
      </w:pBdr>
      <w:jc w:val="right"/>
    </w:pPr>
    <w:r w:rsidRPr="0063693D">
      <w:t>光大保德信岁末红利纯债债券型证券投资基金</w:t>
    </w:r>
    <w:r w:rsidRPr="0063693D">
      <w:t>2019</w:t>
    </w:r>
    <w:r w:rsidRPr="0063693D">
      <w:t>年第</w:t>
    </w:r>
    <w:r w:rsidRPr="0063693D">
      <w:t>2</w:t>
    </w:r>
    <w:r w:rsidRPr="0063693D">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331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41D1"/>
    <w:rsid w:val="00425A5A"/>
    <w:rsid w:val="00425FB6"/>
    <w:rsid w:val="004264FD"/>
    <w:rsid w:val="004268BB"/>
    <w:rsid w:val="0042785F"/>
    <w:rsid w:val="004314FF"/>
    <w:rsid w:val="004408EC"/>
    <w:rsid w:val="00440F74"/>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867AF"/>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8A"/>
    <w:rsid w:val="005F56BA"/>
    <w:rsid w:val="0060008E"/>
    <w:rsid w:val="006016F2"/>
    <w:rsid w:val="00602321"/>
    <w:rsid w:val="006033E3"/>
    <w:rsid w:val="00606B29"/>
    <w:rsid w:val="0060758A"/>
    <w:rsid w:val="00607D0E"/>
    <w:rsid w:val="006101F5"/>
    <w:rsid w:val="00610CEF"/>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37FA"/>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69E3"/>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681A"/>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87A1D"/>
    <w:rsid w:val="00E96A72"/>
    <w:rsid w:val="00E96B52"/>
    <w:rsid w:val="00EA01F7"/>
    <w:rsid w:val="00EA1D33"/>
    <w:rsid w:val="00EA1F5A"/>
    <w:rsid w:val="00EA375F"/>
    <w:rsid w:val="00EA3A99"/>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E7F91"/>
    <w:rsid w:val="00EF2674"/>
    <w:rsid w:val="00EF3163"/>
    <w:rsid w:val="00EF4D29"/>
    <w:rsid w:val="00EF556F"/>
    <w:rsid w:val="00EF60BB"/>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828"/>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rsid w:val="006A4828"/>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927348"/>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rsid w:val="006A4828"/>
    <w:pPr>
      <w:ind w:firstLineChars="200" w:firstLine="420"/>
    </w:pPr>
  </w:style>
  <w:style w:type="paragraph" w:styleId="a4">
    <w:name w:val="Body Text Indent"/>
    <w:basedOn w:val="a"/>
    <w:rsid w:val="006A4828"/>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sid w:val="006A4828"/>
    <w:rPr>
      <w:rFonts w:ascii="宋体" w:hAnsi="Courier New"/>
      <w:szCs w:val="21"/>
    </w:rPr>
  </w:style>
  <w:style w:type="paragraph" w:styleId="20">
    <w:name w:val="Body Text Indent 2"/>
    <w:basedOn w:val="a"/>
    <w:rsid w:val="006A4828"/>
    <w:pPr>
      <w:spacing w:line="560" w:lineRule="exact"/>
      <w:ind w:firstLineChars="200" w:firstLine="480"/>
    </w:pPr>
    <w:rPr>
      <w:rFonts w:ascii="宋体" w:hAnsi="宋体"/>
      <w:color w:val="FF0000"/>
      <w:sz w:val="24"/>
    </w:rPr>
  </w:style>
  <w:style w:type="paragraph" w:styleId="a6">
    <w:name w:val="footer"/>
    <w:basedOn w:val="a"/>
    <w:rsid w:val="006A4828"/>
    <w:pPr>
      <w:tabs>
        <w:tab w:val="center" w:pos="4153"/>
        <w:tab w:val="right" w:pos="8306"/>
      </w:tabs>
      <w:snapToGrid w:val="0"/>
      <w:jc w:val="left"/>
    </w:pPr>
    <w:rPr>
      <w:sz w:val="18"/>
      <w:szCs w:val="18"/>
    </w:rPr>
  </w:style>
  <w:style w:type="character" w:styleId="a7">
    <w:name w:val="page number"/>
    <w:basedOn w:val="a1"/>
    <w:rsid w:val="006A4828"/>
  </w:style>
  <w:style w:type="character" w:styleId="a8">
    <w:name w:val="Hyperlink"/>
    <w:basedOn w:val="a1"/>
    <w:rsid w:val="006A4828"/>
    <w:rPr>
      <w:color w:val="0000FF"/>
      <w:u w:val="single"/>
    </w:rPr>
  </w:style>
  <w:style w:type="paragraph" w:styleId="30">
    <w:name w:val="Body Text Indent 3"/>
    <w:basedOn w:val="a"/>
    <w:rsid w:val="006A4828"/>
    <w:pPr>
      <w:spacing w:line="560" w:lineRule="exact"/>
      <w:ind w:firstLineChars="200" w:firstLine="420"/>
    </w:pPr>
    <w:rPr>
      <w:rFonts w:ascii="Arial" w:hAnsi="Arial" w:cs="Arial"/>
      <w:color w:val="FF0000"/>
    </w:rPr>
  </w:style>
  <w:style w:type="paragraph" w:styleId="a9">
    <w:name w:val="header"/>
    <w:basedOn w:val="a"/>
    <w:link w:val="Char0"/>
    <w:uiPriority w:val="99"/>
    <w:rsid w:val="006A4828"/>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1"/>
    <w:rsid w:val="006A4828"/>
    <w:rPr>
      <w:color w:val="800080"/>
      <w:u w:val="single"/>
    </w:rPr>
  </w:style>
  <w:style w:type="paragraph" w:styleId="aa">
    <w:name w:val="List"/>
    <w:basedOn w:val="ab"/>
    <w:rsid w:val="006A4828"/>
    <w:pPr>
      <w:spacing w:after="220" w:line="220" w:lineRule="atLeast"/>
      <w:ind w:left="1440" w:hanging="360"/>
    </w:pPr>
    <w:rPr>
      <w:szCs w:val="20"/>
    </w:rPr>
  </w:style>
  <w:style w:type="paragraph" w:styleId="ab">
    <w:name w:val="Body Text"/>
    <w:basedOn w:val="a"/>
    <w:rsid w:val="006A4828"/>
    <w:pPr>
      <w:spacing w:after="120"/>
    </w:pPr>
  </w:style>
  <w:style w:type="paragraph" w:styleId="ac">
    <w:name w:val="Date"/>
    <w:basedOn w:val="a"/>
    <w:next w:val="a"/>
    <w:link w:val="Char1"/>
    <w:rsid w:val="006A4828"/>
    <w:rPr>
      <w:sz w:val="24"/>
      <w:szCs w:val="20"/>
    </w:rPr>
  </w:style>
  <w:style w:type="character" w:customStyle="1" w:styleId="c1">
    <w:name w:val="c1"/>
    <w:basedOn w:val="a1"/>
    <w:rsid w:val="006A4828"/>
    <w:rPr>
      <w:color w:val="000000"/>
      <w:sz w:val="18"/>
      <w:szCs w:val="18"/>
    </w:rPr>
  </w:style>
  <w:style w:type="paragraph" w:styleId="11">
    <w:name w:val="index 1"/>
    <w:basedOn w:val="a"/>
    <w:next w:val="a"/>
    <w:autoRedefine/>
    <w:semiHidden/>
    <w:rsid w:val="006A4828"/>
    <w:pPr>
      <w:jc w:val="right"/>
    </w:pPr>
    <w:rPr>
      <w:color w:val="008000"/>
    </w:rPr>
  </w:style>
  <w:style w:type="paragraph" w:customStyle="1" w:styleId="font5">
    <w:name w:val="font5"/>
    <w:basedOn w:val="a"/>
    <w:rsid w:val="006A4828"/>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6A4828"/>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6A4828"/>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6A4828"/>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6A4828"/>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sid w:val="006A4828"/>
    <w:rPr>
      <w:sz w:val="18"/>
      <w:szCs w:val="18"/>
    </w:rPr>
  </w:style>
  <w:style w:type="character" w:styleId="ae">
    <w:name w:val="annotation reference"/>
    <w:basedOn w:val="a1"/>
    <w:semiHidden/>
    <w:rsid w:val="006A4828"/>
    <w:rPr>
      <w:sz w:val="21"/>
      <w:szCs w:val="21"/>
    </w:rPr>
  </w:style>
  <w:style w:type="paragraph" w:styleId="af">
    <w:name w:val="annotation text"/>
    <w:basedOn w:val="a"/>
    <w:semiHidden/>
    <w:rsid w:val="006A4828"/>
    <w:pPr>
      <w:jc w:val="left"/>
    </w:pPr>
  </w:style>
  <w:style w:type="paragraph" w:styleId="af0">
    <w:name w:val="annotation subject"/>
    <w:basedOn w:val="af"/>
    <w:next w:val="af"/>
    <w:semiHidden/>
    <w:rsid w:val="006A4828"/>
    <w:rPr>
      <w:b/>
      <w:bCs/>
    </w:rPr>
  </w:style>
  <w:style w:type="paragraph" w:customStyle="1" w:styleId="Char2">
    <w:name w:val="Char"/>
    <w:basedOn w:val="a"/>
    <w:rsid w:val="006A4828"/>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 w:type="character" w:styleId="af6">
    <w:name w:val="Strong"/>
    <w:basedOn w:val="a1"/>
    <w:uiPriority w:val="22"/>
    <w:qFormat/>
    <w:rsid w:val="006016F2"/>
    <w:rPr>
      <w:b/>
      <w:bCs/>
    </w:rPr>
  </w:style>
  <w:style w:type="character" w:customStyle="1" w:styleId="3Char">
    <w:name w:val="标题 3 Char"/>
    <w:basedOn w:val="a1"/>
    <w:link w:val="3"/>
    <w:uiPriority w:val="9"/>
    <w:rsid w:val="00927348"/>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1"/>
  </w:style>
  <w:style w:type="character" w:styleId="a8">
    <w:name w:val="Hyperlink"/>
    <w:basedOn w:val="a1"/>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1"/>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1"/>
    <w:rPr>
      <w:sz w:val="24"/>
      <w:szCs w:val="20"/>
    </w:rPr>
  </w:style>
  <w:style w:type="character" w:customStyle="1" w:styleId="c1">
    <w:name w:val="c1"/>
    <w:basedOn w:val="a1"/>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1"/>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2">
    <w:name w:val="Char"/>
    <w:basedOn w:val="a"/>
  </w:style>
  <w:style w:type="paragraph" w:styleId="af1">
    <w:name w:val="Document Map"/>
    <w:basedOn w:val="a"/>
    <w:semiHidden/>
    <w:rsid w:val="000A549A"/>
    <w:pPr>
      <w:shd w:val="clear" w:color="auto" w:fill="000080"/>
    </w:pPr>
  </w:style>
  <w:style w:type="table" w:styleId="af2">
    <w:name w:val="Table Grid"/>
    <w:basedOn w:val="a2"/>
    <w:uiPriority w:val="99"/>
    <w:rsid w:val="009A31A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3"/>
    <w:rsid w:val="000B251E"/>
    <w:pPr>
      <w:snapToGrid w:val="0"/>
      <w:jc w:val="left"/>
    </w:pPr>
    <w:rPr>
      <w:sz w:val="18"/>
      <w:szCs w:val="18"/>
    </w:rPr>
  </w:style>
  <w:style w:type="character" w:styleId="af4">
    <w:name w:val="footnote reference"/>
    <w:basedOn w:val="a1"/>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4">
    <w:name w:val="Char"/>
    <w:basedOn w:val="a"/>
    <w:rsid w:val="00D97213"/>
  </w:style>
  <w:style w:type="numbering" w:customStyle="1" w:styleId="5">
    <w:name w:val="样式5"/>
    <w:rsid w:val="00952A72"/>
    <w:pPr>
      <w:numPr>
        <w:numId w:val="8"/>
      </w:numPr>
    </w:pPr>
  </w:style>
  <w:style w:type="character" w:customStyle="1" w:styleId="t1">
    <w:name w:val="t1"/>
    <w:basedOn w:val="a1"/>
    <w:rsid w:val="002D2A00"/>
    <w:rPr>
      <w:color w:val="990000"/>
    </w:rPr>
  </w:style>
  <w:style w:type="character" w:customStyle="1" w:styleId="Char">
    <w:name w:val="纯文本 Char"/>
    <w:basedOn w:val="a1"/>
    <w:link w:val="a5"/>
    <w:uiPriority w:val="99"/>
    <w:rsid w:val="009A045B"/>
    <w:rPr>
      <w:rFonts w:ascii="宋体" w:hAnsi="Courier New"/>
      <w:kern w:val="2"/>
      <w:sz w:val="21"/>
      <w:szCs w:val="21"/>
    </w:rPr>
  </w:style>
  <w:style w:type="character" w:customStyle="1" w:styleId="Char3">
    <w:name w:val="脚注文本 Char"/>
    <w:basedOn w:val="a1"/>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0">
    <w:name w:val="页眉 Char"/>
    <w:basedOn w:val="a1"/>
    <w:link w:val="a9"/>
    <w:uiPriority w:val="99"/>
    <w:rsid w:val="001207F2"/>
    <w:rPr>
      <w:kern w:val="2"/>
      <w:sz w:val="18"/>
      <w:szCs w:val="18"/>
    </w:rPr>
  </w:style>
  <w:style w:type="character" w:customStyle="1" w:styleId="1Char">
    <w:name w:val="标题 1 Char"/>
    <w:basedOn w:val="a1"/>
    <w:link w:val="1"/>
    <w:rsid w:val="00180952"/>
    <w:rPr>
      <w:b/>
      <w:bCs/>
      <w:kern w:val="44"/>
      <w:sz w:val="44"/>
      <w:szCs w:val="44"/>
    </w:rPr>
  </w:style>
  <w:style w:type="character" w:customStyle="1" w:styleId="Char1">
    <w:name w:val="日期 Char"/>
    <w:basedOn w:val="a1"/>
    <w:link w:val="ac"/>
    <w:rsid w:val="00D66685"/>
    <w:rPr>
      <w:kern w:val="2"/>
      <w:sz w:val="24"/>
    </w:r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67A46-E76F-43C9-AB15-79747C3F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1077</Words>
  <Characters>6144</Characters>
  <Application>Microsoft Office Word</Application>
  <DocSecurity>4</DocSecurity>
  <Lines>51</Lines>
  <Paragraphs>14</Paragraphs>
  <ScaleCrop>false</ScaleCrop>
  <Company>TRT. Ltd. Co.</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2019-07-17T16:03:00Z</dcterms:created>
  <dcterms:modified xsi:type="dcterms:W3CDTF">2019-07-17T16:03:00Z</dcterms:modified>
</cp:coreProperties>
</file>