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交银施罗德股息优化混合型证券投资基金</w:t>
      </w:r>
    </w:p>
    <w:p w:rsidR="002279D3" w:rsidRPr="0081286B" w:rsidRDefault="002279D3" w:rsidP="00C15CAC">
      <w:pPr>
        <w:spacing w:before="29" w:line="288" w:lineRule="auto"/>
        <w:jc w:val="center"/>
        <w:rPr>
          <w:b/>
          <w:sz w:val="36"/>
          <w:szCs w:val="36"/>
        </w:rPr>
      </w:pPr>
      <w:r w:rsidRPr="0081286B">
        <w:rPr>
          <w:b/>
          <w:sz w:val="36"/>
          <w:szCs w:val="36"/>
        </w:rPr>
        <w:t>2019</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2019</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二〇一九年七月十七日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833193" w:rsidRDefault="00EB4AF2">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2019</w:t>
      </w:r>
      <w:r>
        <w:rPr>
          <w:color w:val="000000"/>
          <w:sz w:val="24"/>
          <w:szCs w:val="24"/>
        </w:rPr>
        <w:t>年</w:t>
      </w:r>
      <w:r>
        <w:rPr>
          <w:color w:val="000000"/>
          <w:sz w:val="24"/>
          <w:szCs w:val="24"/>
        </w:rPr>
        <w:t>7</w:t>
      </w:r>
      <w:r>
        <w:rPr>
          <w:color w:val="000000"/>
          <w:sz w:val="24"/>
          <w:szCs w:val="24"/>
        </w:rPr>
        <w:t>月</w:t>
      </w:r>
      <w:r>
        <w:rPr>
          <w:color w:val="000000"/>
          <w:sz w:val="24"/>
          <w:szCs w:val="24"/>
        </w:rPr>
        <w:t>16</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2019</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交银股息优化混合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004868</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004868</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25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93,268,185.67</w:t>
            </w:r>
            <w:r w:rsidRPr="00414345">
              <w:rPr>
                <w:color w:val="000000"/>
                <w:kern w:val="0"/>
                <w:sz w:val="24"/>
                <w:szCs w:val="24"/>
              </w:rPr>
              <w:t>份</w:t>
            </w:r>
          </w:p>
        </w:tc>
      </w:tr>
      <w:tr w:rsidR="001B2F35" w:rsidRPr="00414345" w:rsidTr="008A3E7E">
        <w:trPr>
          <w:jc w:val="center"/>
        </w:trPr>
        <w:tc>
          <w:tcPr>
            <w:tcW w:w="3023" w:type="dxa"/>
            <w:tcBorders>
              <w:bottom w:val="single" w:sz="4" w:space="0" w:color="auto"/>
            </w:tcBorders>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tcBorders>
              <w:bottom w:val="single" w:sz="4" w:space="0" w:color="auto"/>
            </w:tcBorders>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本基金主要投资于具有稳定股息收益的优质成长性上市公司，以稳健收益为目标，追求长期的资产增值。</w:t>
            </w:r>
          </w:p>
        </w:tc>
      </w:tr>
      <w:tr w:rsidR="001B2F35" w:rsidRPr="00414345" w:rsidTr="008A3E7E">
        <w:trPr>
          <w:jc w:val="center"/>
        </w:trPr>
        <w:tc>
          <w:tcPr>
            <w:tcW w:w="3023" w:type="dxa"/>
            <w:tcBorders>
              <w:bottom w:val="single" w:sz="4" w:space="0" w:color="auto"/>
            </w:tcBorders>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tcBorders>
              <w:bottom w:val="single" w:sz="4" w:space="0" w:color="auto"/>
            </w:tcBorders>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本基金在股票投资上突出对有稳定股息收益的股票的侧重，同时选取能够体现公司竞争比较优势、盈利能力、内生成长性因子和体现公司财务状况、抗周期波动和分红稳定性因子，力争投资于具有稳定股息收益的优质成长性上市公司。</w:t>
            </w:r>
          </w:p>
        </w:tc>
      </w:tr>
      <w:tr w:rsidR="001B2F35" w:rsidRPr="00414345" w:rsidTr="008A3E7E">
        <w:trPr>
          <w:jc w:val="center"/>
        </w:trPr>
        <w:tc>
          <w:tcPr>
            <w:tcW w:w="3023" w:type="dxa"/>
            <w:tcBorders>
              <w:top w:val="single" w:sz="4" w:space="0" w:color="auto"/>
            </w:tcBorders>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tcBorders>
              <w:top w:val="single" w:sz="4" w:space="0" w:color="auto"/>
            </w:tcBorders>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中证综合债券指数收益率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EB4AF2" w:rsidRPr="00414345" w:rsidTr="00EB4AF2">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(2019</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-2019</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EB4AF2" w:rsidRPr="00414345" w:rsidTr="00EB4AF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10,011,297.05</w:t>
            </w:r>
          </w:p>
        </w:tc>
      </w:tr>
      <w:tr w:rsidR="00EB4AF2" w:rsidRPr="00414345" w:rsidTr="00EB4AF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5,543,039.81</w:t>
            </w:r>
          </w:p>
        </w:tc>
      </w:tr>
      <w:tr w:rsidR="00EB4AF2" w:rsidRPr="00414345" w:rsidTr="00EB4AF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0.0558</w:t>
            </w:r>
          </w:p>
        </w:tc>
      </w:tr>
      <w:tr w:rsidR="00EB4AF2" w:rsidRPr="00414345" w:rsidTr="00EB4AF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114,709,715.95</w:t>
            </w:r>
          </w:p>
        </w:tc>
      </w:tr>
      <w:tr w:rsidR="00EB4AF2" w:rsidRPr="00414345" w:rsidTr="00EB4AF2">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1.2299</w:t>
            </w:r>
          </w:p>
        </w:tc>
      </w:tr>
    </w:tbl>
    <w:p w:rsidR="00833193" w:rsidRDefault="00EB4AF2">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833193">
        <w:trPr>
          <w:jc w:val="center"/>
        </w:trPr>
        <w:tc>
          <w:tcPr>
            <w:tcW w:w="1701" w:type="dxa"/>
            <w:vAlign w:val="center"/>
          </w:tcPr>
          <w:p w:rsidR="00833193" w:rsidRDefault="00EB4AF2">
            <w:pPr>
              <w:jc w:val="left"/>
            </w:pPr>
            <w:r>
              <w:rPr>
                <w:color w:val="000000"/>
                <w:sz w:val="24"/>
                <w:szCs w:val="24"/>
              </w:rPr>
              <w:t>过去三个月</w:t>
            </w:r>
          </w:p>
        </w:tc>
        <w:tc>
          <w:tcPr>
            <w:tcW w:w="1045" w:type="dxa"/>
            <w:vAlign w:val="center"/>
          </w:tcPr>
          <w:p w:rsidR="00833193" w:rsidRDefault="00EB4AF2">
            <w:pPr>
              <w:jc w:val="center"/>
            </w:pPr>
            <w:r>
              <w:rPr>
                <w:color w:val="000000"/>
                <w:sz w:val="24"/>
                <w:szCs w:val="24"/>
              </w:rPr>
              <w:t>4.62%</w:t>
            </w:r>
          </w:p>
        </w:tc>
        <w:tc>
          <w:tcPr>
            <w:tcW w:w="1344" w:type="dxa"/>
            <w:vAlign w:val="center"/>
          </w:tcPr>
          <w:p w:rsidR="00833193" w:rsidRDefault="00EB4AF2">
            <w:pPr>
              <w:jc w:val="center"/>
            </w:pPr>
            <w:r>
              <w:rPr>
                <w:color w:val="000000"/>
                <w:sz w:val="24"/>
                <w:szCs w:val="24"/>
              </w:rPr>
              <w:t>1.83%</w:t>
            </w:r>
          </w:p>
        </w:tc>
        <w:tc>
          <w:tcPr>
            <w:tcW w:w="1194" w:type="dxa"/>
            <w:vAlign w:val="center"/>
          </w:tcPr>
          <w:p w:rsidR="00833193" w:rsidRDefault="00EB4AF2">
            <w:pPr>
              <w:jc w:val="center"/>
            </w:pPr>
            <w:r>
              <w:rPr>
                <w:color w:val="000000"/>
                <w:sz w:val="24"/>
                <w:szCs w:val="24"/>
              </w:rPr>
              <w:t>-0.30%</w:t>
            </w:r>
          </w:p>
        </w:tc>
        <w:tc>
          <w:tcPr>
            <w:tcW w:w="1492" w:type="dxa"/>
            <w:vAlign w:val="center"/>
          </w:tcPr>
          <w:p w:rsidR="00833193" w:rsidRDefault="00EB4AF2">
            <w:pPr>
              <w:jc w:val="center"/>
            </w:pPr>
            <w:r>
              <w:rPr>
                <w:color w:val="000000"/>
                <w:sz w:val="24"/>
                <w:szCs w:val="24"/>
              </w:rPr>
              <w:t>0.91%</w:t>
            </w:r>
          </w:p>
        </w:tc>
        <w:tc>
          <w:tcPr>
            <w:tcW w:w="1194" w:type="dxa"/>
            <w:vAlign w:val="center"/>
          </w:tcPr>
          <w:p w:rsidR="00833193" w:rsidRDefault="00EB4AF2">
            <w:pPr>
              <w:jc w:val="center"/>
            </w:pPr>
            <w:r>
              <w:rPr>
                <w:color w:val="000000"/>
                <w:sz w:val="24"/>
                <w:szCs w:val="24"/>
              </w:rPr>
              <w:t>4.92%</w:t>
            </w:r>
          </w:p>
        </w:tc>
        <w:tc>
          <w:tcPr>
            <w:tcW w:w="898" w:type="dxa"/>
            <w:vAlign w:val="center"/>
          </w:tcPr>
          <w:p w:rsidR="00833193" w:rsidRDefault="00EB4AF2">
            <w:pPr>
              <w:jc w:val="center"/>
            </w:pPr>
            <w:r>
              <w:rPr>
                <w:rFonts w:hint="eastAsia"/>
                <w:color w:val="000000"/>
                <w:sz w:val="24"/>
                <w:szCs w:val="24"/>
              </w:rPr>
              <w:t>0.92%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lastRenderedPageBreak/>
        <w:t>交银施罗德股息优化混合型证券投资基金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2019</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E808C4">
        <w:trPr>
          <w:jc w:val="center"/>
        </w:trPr>
        <w:tc>
          <w:tcPr>
            <w:tcW w:w="851"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tcBorders>
              <w:bottom w:val="single" w:sz="4" w:space="0" w:color="auto"/>
            </w:tcBorders>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tcBorders>
              <w:bottom w:val="single" w:sz="4" w:space="0" w:color="auto"/>
            </w:tcBorders>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tcBorders>
              <w:bottom w:val="single" w:sz="4" w:space="0" w:color="auto"/>
            </w:tcBorders>
            <w:vAlign w:val="center"/>
          </w:tcPr>
          <w:p w:rsidR="004061AC" w:rsidRPr="00414345" w:rsidRDefault="004061AC" w:rsidP="00C15CAC">
            <w:pPr>
              <w:widowControl/>
              <w:spacing w:before="29" w:line="288" w:lineRule="auto"/>
              <w:jc w:val="left"/>
              <w:rPr>
                <w:color w:val="000000"/>
                <w:kern w:val="0"/>
                <w:sz w:val="24"/>
                <w:szCs w:val="24"/>
              </w:rPr>
            </w:pPr>
          </w:p>
        </w:tc>
      </w:tr>
      <w:tr w:rsidR="00833193" w:rsidTr="00E808C4">
        <w:trPr>
          <w:jc w:val="center"/>
        </w:trPr>
        <w:tc>
          <w:tcPr>
            <w:tcW w:w="846" w:type="dxa"/>
            <w:tcBorders>
              <w:bottom w:val="single" w:sz="4" w:space="0" w:color="auto"/>
            </w:tcBorders>
            <w:vAlign w:val="center"/>
          </w:tcPr>
          <w:p w:rsidR="00833193" w:rsidRDefault="00EB4AF2">
            <w:pPr>
              <w:jc w:val="center"/>
            </w:pPr>
            <w:r>
              <w:rPr>
                <w:color w:val="000000"/>
                <w:sz w:val="24"/>
                <w:szCs w:val="24"/>
              </w:rPr>
              <w:t>韩威俊</w:t>
            </w:r>
          </w:p>
        </w:tc>
        <w:tc>
          <w:tcPr>
            <w:tcW w:w="845" w:type="dxa"/>
            <w:tcBorders>
              <w:bottom w:val="single" w:sz="4" w:space="0" w:color="auto"/>
            </w:tcBorders>
            <w:vAlign w:val="center"/>
          </w:tcPr>
          <w:p w:rsidR="00833193" w:rsidRDefault="00EB4AF2">
            <w:pPr>
              <w:jc w:val="center"/>
            </w:pPr>
            <w:r>
              <w:rPr>
                <w:color w:val="000000"/>
                <w:sz w:val="24"/>
                <w:szCs w:val="24"/>
              </w:rPr>
              <w:t>交银趋势混合、交银策略回报灵活配置混合、交银消费新驱</w:t>
            </w:r>
            <w:r>
              <w:rPr>
                <w:color w:val="000000"/>
                <w:sz w:val="24"/>
                <w:szCs w:val="24"/>
              </w:rPr>
              <w:lastRenderedPageBreak/>
              <w:t>动股票、交银股息优化混合、交银品质升级混合的基金经理</w:t>
            </w:r>
          </w:p>
        </w:tc>
        <w:tc>
          <w:tcPr>
            <w:tcW w:w="1549" w:type="dxa"/>
            <w:tcBorders>
              <w:bottom w:val="single" w:sz="4" w:space="0" w:color="auto"/>
            </w:tcBorders>
            <w:vAlign w:val="center"/>
          </w:tcPr>
          <w:p w:rsidR="00833193" w:rsidRDefault="00EB4AF2">
            <w:pPr>
              <w:jc w:val="center"/>
            </w:pPr>
            <w:r>
              <w:rPr>
                <w:color w:val="000000"/>
                <w:sz w:val="24"/>
                <w:szCs w:val="24"/>
              </w:rPr>
              <w:lastRenderedPageBreak/>
              <w:t>2017-08-25</w:t>
            </w:r>
          </w:p>
        </w:tc>
        <w:tc>
          <w:tcPr>
            <w:tcW w:w="1548" w:type="dxa"/>
            <w:tcBorders>
              <w:bottom w:val="single" w:sz="4" w:space="0" w:color="auto"/>
            </w:tcBorders>
            <w:vAlign w:val="center"/>
          </w:tcPr>
          <w:p w:rsidR="00833193" w:rsidRDefault="00EB4AF2">
            <w:pPr>
              <w:jc w:val="center"/>
            </w:pPr>
            <w:r>
              <w:rPr>
                <w:color w:val="000000"/>
                <w:sz w:val="24"/>
                <w:szCs w:val="24"/>
              </w:rPr>
              <w:t>-</w:t>
            </w:r>
          </w:p>
        </w:tc>
        <w:tc>
          <w:tcPr>
            <w:tcW w:w="1407" w:type="dxa"/>
            <w:tcBorders>
              <w:bottom w:val="single" w:sz="4" w:space="0" w:color="auto"/>
            </w:tcBorders>
            <w:vAlign w:val="center"/>
          </w:tcPr>
          <w:p w:rsidR="00833193" w:rsidRDefault="00EB4AF2">
            <w:pPr>
              <w:jc w:val="center"/>
            </w:pPr>
            <w:r>
              <w:rPr>
                <w:color w:val="000000"/>
                <w:sz w:val="24"/>
                <w:szCs w:val="24"/>
              </w:rPr>
              <w:t>13</w:t>
            </w:r>
            <w:r>
              <w:rPr>
                <w:color w:val="000000"/>
                <w:sz w:val="24"/>
                <w:szCs w:val="24"/>
              </w:rPr>
              <w:t>年</w:t>
            </w:r>
          </w:p>
        </w:tc>
        <w:tc>
          <w:tcPr>
            <w:tcW w:w="2673" w:type="dxa"/>
            <w:tcBorders>
              <w:bottom w:val="single" w:sz="4" w:space="0" w:color="auto"/>
            </w:tcBorders>
            <w:vAlign w:val="center"/>
          </w:tcPr>
          <w:p w:rsidR="00833193" w:rsidRDefault="00EB4AF2">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szCs w:val="24"/>
              </w:rPr>
              <w:t>2013</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833193" w:rsidRDefault="00EB4AF2">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833193" w:rsidRDefault="00EB4AF2">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833193" w:rsidRDefault="00EB4AF2">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lastRenderedPageBreak/>
        <w:t>本基金于本报告期内未发现异常交易行为。本报告期内，本公司管理的所有投资组合参与的交易所公开竞价同日反向交易成交较少的单边交易量超过该证券当日总成交量</w:t>
      </w:r>
      <w:r w:rsidRPr="00414345">
        <w:rPr>
          <w:color w:val="000000"/>
          <w:sz w:val="24"/>
          <w:szCs w:val="24"/>
        </w:rPr>
        <w:t>5%</w:t>
      </w:r>
      <w:r w:rsidRPr="00414345">
        <w:rPr>
          <w:color w:val="000000"/>
          <w:sz w:val="24"/>
          <w:szCs w:val="24"/>
        </w:rPr>
        <w:t>的情况有</w:t>
      </w:r>
      <w:r w:rsidRPr="00414345">
        <w:rPr>
          <w:color w:val="000000"/>
          <w:sz w:val="24"/>
          <w:szCs w:val="24"/>
        </w:rPr>
        <w:t>1</w:t>
      </w:r>
      <w:r w:rsidRPr="00414345">
        <w:rPr>
          <w:color w:val="000000"/>
          <w:sz w:val="24"/>
          <w:szCs w:val="24"/>
        </w:rPr>
        <w:t>次，是投资组合因投资策略需要而发生同日反向交易，未发现不公平交易和利益输送的情况。本基金与本公司管理的其他投资组合在不同时间窗下（如日内、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日内）同向交易的交易价差未发现异常。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833193" w:rsidRDefault="00EB4AF2">
      <w:pPr>
        <w:spacing w:before="29" w:line="288" w:lineRule="auto"/>
        <w:ind w:firstLineChars="200" w:firstLine="480"/>
        <w:rPr>
          <w:color w:val="000000"/>
          <w:sz w:val="24"/>
          <w:szCs w:val="24"/>
        </w:rPr>
      </w:pPr>
      <w:r>
        <w:rPr>
          <w:color w:val="000000"/>
          <w:sz w:val="24"/>
          <w:szCs w:val="24"/>
        </w:rPr>
        <w:t>回顾</w:t>
      </w:r>
      <w:r>
        <w:rPr>
          <w:color w:val="000000"/>
          <w:sz w:val="24"/>
          <w:szCs w:val="24"/>
        </w:rPr>
        <w:t>2019</w:t>
      </w:r>
      <w:r>
        <w:rPr>
          <w:color w:val="000000"/>
          <w:sz w:val="24"/>
          <w:szCs w:val="24"/>
        </w:rPr>
        <w:t>年二季度，中美贸易战持续发酵，整个市场成交量大幅下滑，市场观望情绪明显提升。由于人民币贬值影响，外资在四至五月出现比较明显的流出，整个市场向集中度较高的龙头白马大幅集中。</w:t>
      </w:r>
    </w:p>
    <w:p w:rsidR="00833193" w:rsidRDefault="00EB4AF2">
      <w:pPr>
        <w:spacing w:before="29" w:line="288" w:lineRule="auto"/>
        <w:ind w:firstLineChars="200" w:firstLine="480"/>
        <w:rPr>
          <w:color w:val="000000"/>
          <w:sz w:val="24"/>
          <w:szCs w:val="24"/>
        </w:rPr>
      </w:pPr>
      <w:r>
        <w:rPr>
          <w:color w:val="000000"/>
          <w:sz w:val="24"/>
          <w:szCs w:val="24"/>
        </w:rPr>
        <w:t>本基金在</w:t>
      </w:r>
      <w:r>
        <w:rPr>
          <w:color w:val="000000"/>
          <w:sz w:val="24"/>
          <w:szCs w:val="24"/>
        </w:rPr>
        <w:t>2019</w:t>
      </w:r>
      <w:r>
        <w:rPr>
          <w:color w:val="000000"/>
          <w:sz w:val="24"/>
          <w:szCs w:val="24"/>
        </w:rPr>
        <w:t>年二季度基本上围绕着消费白马龙头作为底仓的配置思路，个股持仓比例有所提升，主要增持二季度业绩较好并且存在上调盈利预测可能性的个股，获得了比较明显的相对收益和绝对收益。</w:t>
      </w:r>
    </w:p>
    <w:p w:rsidR="00833193" w:rsidRDefault="00EB4AF2">
      <w:pPr>
        <w:spacing w:before="29" w:line="288" w:lineRule="auto"/>
        <w:ind w:firstLineChars="200" w:firstLine="480"/>
        <w:rPr>
          <w:color w:val="000000"/>
          <w:sz w:val="24"/>
          <w:szCs w:val="24"/>
        </w:rPr>
      </w:pPr>
      <w:r>
        <w:rPr>
          <w:color w:val="000000"/>
          <w:sz w:val="24"/>
          <w:szCs w:val="24"/>
        </w:rPr>
        <w:t>展望</w:t>
      </w:r>
      <w:r>
        <w:rPr>
          <w:color w:val="000000"/>
          <w:sz w:val="24"/>
          <w:szCs w:val="24"/>
        </w:rPr>
        <w:t>2019</w:t>
      </w:r>
      <w:r>
        <w:rPr>
          <w:color w:val="000000"/>
          <w:sz w:val="24"/>
          <w:szCs w:val="24"/>
        </w:rPr>
        <w:t>年三季度，预计市场流动性会出现比较明显的改善，特别是长端利率水平可能会有比较明显的下降。随着海外进入降息周期以后，人民币贬值压力也会有所降低，国内货币政策调整的空间也将变大，整个市场的流动性呈现较为宽松的状态。但是，由于宏观经济增速放缓以及各行业增速的放缓，全市场基本面开始出现一定的向下压力，在一定程度上对冲了流动性宽松。</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本基金在三季度拟将保持消费白马和地产作为底仓的配置思路，同时考虑适当减持纯靠估值提升的个股。</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CE39AB">
              <w:rPr>
                <w:rFonts w:eastAsiaTheme="minorEastAsia" w:hint="eastAsia"/>
                <w:color w:val="000000" w:themeColor="text1"/>
                <w:sz w:val="24"/>
                <w:szCs w:val="24"/>
              </w:rPr>
              <w:t>（</w:t>
            </w:r>
            <w:r w:rsidR="00CE39AB">
              <w:rPr>
                <w:rFonts w:eastAsiaTheme="minorEastAsia" w:hint="eastAsia"/>
                <w:color w:val="000000" w:themeColor="text1"/>
                <w:sz w:val="24"/>
                <w:szCs w:val="24"/>
              </w:rPr>
              <w:t>%</w:t>
            </w:r>
            <w:r w:rsidR="00CE39A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108,575,405.23</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90.91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108,575,405.23</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90.91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10,757,160.36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9.01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93,143.34</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119,425,708.93</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65,976.75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0.06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92,825,015.51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80.92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2,841,447.00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33,869.94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10,251,353.67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8.94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1,999,530.00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535,105.76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23,106.60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108,575,405.23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94.65</w:t>
            </w:r>
          </w:p>
        </w:tc>
      </w:tr>
    </w:tbl>
    <w:p w:rsidR="00E808C4" w:rsidRDefault="00E808C4"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833193">
        <w:trPr>
          <w:jc w:val="center"/>
        </w:trPr>
        <w:tc>
          <w:tcPr>
            <w:tcW w:w="855" w:type="dxa"/>
            <w:vAlign w:val="center"/>
          </w:tcPr>
          <w:p w:rsidR="00833193" w:rsidRDefault="00EB4AF2">
            <w:pPr>
              <w:jc w:val="center"/>
            </w:pPr>
            <w:r>
              <w:rPr>
                <w:color w:val="000000"/>
                <w:sz w:val="24"/>
                <w:szCs w:val="24"/>
              </w:rPr>
              <w:t>1</w:t>
            </w:r>
          </w:p>
        </w:tc>
        <w:tc>
          <w:tcPr>
            <w:tcW w:w="1334" w:type="dxa"/>
            <w:vAlign w:val="center"/>
          </w:tcPr>
          <w:p w:rsidR="00833193" w:rsidRDefault="00EB4AF2">
            <w:pPr>
              <w:jc w:val="center"/>
            </w:pPr>
            <w:r>
              <w:rPr>
                <w:color w:val="000000"/>
                <w:sz w:val="24"/>
                <w:szCs w:val="24"/>
              </w:rPr>
              <w:t>603369</w:t>
            </w:r>
          </w:p>
        </w:tc>
        <w:tc>
          <w:tcPr>
            <w:tcW w:w="1777" w:type="dxa"/>
            <w:vAlign w:val="center"/>
          </w:tcPr>
          <w:p w:rsidR="00833193" w:rsidRDefault="00EB4AF2">
            <w:pPr>
              <w:jc w:val="center"/>
            </w:pPr>
            <w:r>
              <w:rPr>
                <w:color w:val="000000"/>
                <w:sz w:val="24"/>
                <w:szCs w:val="24"/>
              </w:rPr>
              <w:t>今世缘</w:t>
            </w:r>
          </w:p>
        </w:tc>
        <w:tc>
          <w:tcPr>
            <w:tcW w:w="1334" w:type="dxa"/>
            <w:vAlign w:val="center"/>
          </w:tcPr>
          <w:p w:rsidR="00833193" w:rsidRDefault="00EB4AF2">
            <w:pPr>
              <w:jc w:val="right"/>
            </w:pPr>
            <w:r>
              <w:rPr>
                <w:color w:val="000000"/>
                <w:sz w:val="24"/>
                <w:szCs w:val="24"/>
              </w:rPr>
              <w:t>400,500</w:t>
            </w:r>
          </w:p>
        </w:tc>
        <w:tc>
          <w:tcPr>
            <w:tcW w:w="1924" w:type="dxa"/>
            <w:vAlign w:val="center"/>
          </w:tcPr>
          <w:p w:rsidR="00833193" w:rsidRDefault="00EB4AF2">
            <w:pPr>
              <w:jc w:val="right"/>
            </w:pPr>
            <w:r>
              <w:rPr>
                <w:color w:val="000000"/>
                <w:sz w:val="24"/>
                <w:szCs w:val="24"/>
              </w:rPr>
              <w:t>11,169,945.00</w:t>
            </w:r>
          </w:p>
        </w:tc>
        <w:tc>
          <w:tcPr>
            <w:tcW w:w="1644" w:type="dxa"/>
            <w:vAlign w:val="center"/>
          </w:tcPr>
          <w:p w:rsidR="00833193" w:rsidRDefault="00EB4AF2">
            <w:pPr>
              <w:jc w:val="right"/>
            </w:pPr>
            <w:r>
              <w:rPr>
                <w:color w:val="000000"/>
                <w:sz w:val="24"/>
                <w:szCs w:val="24"/>
              </w:rPr>
              <w:t>9.74</w:t>
            </w:r>
          </w:p>
        </w:tc>
      </w:tr>
      <w:tr w:rsidR="00833193">
        <w:trPr>
          <w:jc w:val="center"/>
        </w:trPr>
        <w:tc>
          <w:tcPr>
            <w:tcW w:w="855" w:type="dxa"/>
            <w:vAlign w:val="center"/>
          </w:tcPr>
          <w:p w:rsidR="00833193" w:rsidRDefault="00EB4AF2">
            <w:pPr>
              <w:jc w:val="center"/>
            </w:pPr>
            <w:r>
              <w:rPr>
                <w:color w:val="000000"/>
                <w:sz w:val="24"/>
                <w:szCs w:val="24"/>
              </w:rPr>
              <w:t>2</w:t>
            </w:r>
          </w:p>
        </w:tc>
        <w:tc>
          <w:tcPr>
            <w:tcW w:w="1334" w:type="dxa"/>
            <w:vAlign w:val="center"/>
          </w:tcPr>
          <w:p w:rsidR="00833193" w:rsidRDefault="00EB4AF2">
            <w:pPr>
              <w:jc w:val="center"/>
            </w:pPr>
            <w:r>
              <w:rPr>
                <w:color w:val="000000"/>
                <w:sz w:val="24"/>
                <w:szCs w:val="24"/>
              </w:rPr>
              <w:t>000858</w:t>
            </w:r>
          </w:p>
        </w:tc>
        <w:tc>
          <w:tcPr>
            <w:tcW w:w="1777" w:type="dxa"/>
            <w:vAlign w:val="center"/>
          </w:tcPr>
          <w:p w:rsidR="00833193" w:rsidRDefault="00EB4AF2">
            <w:pPr>
              <w:jc w:val="center"/>
            </w:pPr>
            <w:r>
              <w:rPr>
                <w:color w:val="000000"/>
                <w:sz w:val="24"/>
                <w:szCs w:val="24"/>
              </w:rPr>
              <w:t>五粮液</w:t>
            </w:r>
          </w:p>
        </w:tc>
        <w:tc>
          <w:tcPr>
            <w:tcW w:w="1334" w:type="dxa"/>
            <w:vAlign w:val="center"/>
          </w:tcPr>
          <w:p w:rsidR="00833193" w:rsidRDefault="00EB4AF2">
            <w:pPr>
              <w:jc w:val="right"/>
            </w:pPr>
            <w:r>
              <w:rPr>
                <w:color w:val="000000"/>
                <w:sz w:val="24"/>
                <w:szCs w:val="24"/>
              </w:rPr>
              <w:t>89,725</w:t>
            </w:r>
          </w:p>
        </w:tc>
        <w:tc>
          <w:tcPr>
            <w:tcW w:w="1924" w:type="dxa"/>
            <w:vAlign w:val="center"/>
          </w:tcPr>
          <w:p w:rsidR="00833193" w:rsidRDefault="00EB4AF2">
            <w:pPr>
              <w:jc w:val="right"/>
            </w:pPr>
            <w:r>
              <w:rPr>
                <w:color w:val="000000"/>
                <w:sz w:val="24"/>
                <w:szCs w:val="24"/>
              </w:rPr>
              <w:t>10,583,063.75</w:t>
            </w:r>
          </w:p>
        </w:tc>
        <w:tc>
          <w:tcPr>
            <w:tcW w:w="1644" w:type="dxa"/>
            <w:vAlign w:val="center"/>
          </w:tcPr>
          <w:p w:rsidR="00833193" w:rsidRDefault="00EB4AF2">
            <w:pPr>
              <w:jc w:val="right"/>
            </w:pPr>
            <w:r>
              <w:rPr>
                <w:color w:val="000000"/>
                <w:sz w:val="24"/>
                <w:szCs w:val="24"/>
              </w:rPr>
              <w:t>9.23</w:t>
            </w:r>
          </w:p>
        </w:tc>
      </w:tr>
      <w:tr w:rsidR="00833193">
        <w:trPr>
          <w:jc w:val="center"/>
        </w:trPr>
        <w:tc>
          <w:tcPr>
            <w:tcW w:w="855" w:type="dxa"/>
            <w:vAlign w:val="center"/>
          </w:tcPr>
          <w:p w:rsidR="00833193" w:rsidRDefault="00EB4AF2">
            <w:pPr>
              <w:jc w:val="center"/>
            </w:pPr>
            <w:r>
              <w:rPr>
                <w:color w:val="000000"/>
                <w:sz w:val="24"/>
                <w:szCs w:val="24"/>
              </w:rPr>
              <w:t>3</w:t>
            </w:r>
          </w:p>
        </w:tc>
        <w:tc>
          <w:tcPr>
            <w:tcW w:w="1334" w:type="dxa"/>
            <w:vAlign w:val="center"/>
          </w:tcPr>
          <w:p w:rsidR="00833193" w:rsidRDefault="00EB4AF2">
            <w:pPr>
              <w:jc w:val="center"/>
            </w:pPr>
            <w:r>
              <w:rPr>
                <w:color w:val="000000"/>
                <w:sz w:val="24"/>
                <w:szCs w:val="24"/>
              </w:rPr>
              <w:t>600559</w:t>
            </w:r>
          </w:p>
        </w:tc>
        <w:tc>
          <w:tcPr>
            <w:tcW w:w="1777" w:type="dxa"/>
            <w:vAlign w:val="center"/>
          </w:tcPr>
          <w:p w:rsidR="00833193" w:rsidRDefault="00EB4AF2">
            <w:pPr>
              <w:jc w:val="center"/>
            </w:pPr>
            <w:r>
              <w:rPr>
                <w:color w:val="000000"/>
                <w:sz w:val="24"/>
                <w:szCs w:val="24"/>
              </w:rPr>
              <w:t>老白干酒</w:t>
            </w:r>
          </w:p>
        </w:tc>
        <w:tc>
          <w:tcPr>
            <w:tcW w:w="1334" w:type="dxa"/>
            <w:vAlign w:val="center"/>
          </w:tcPr>
          <w:p w:rsidR="00833193" w:rsidRDefault="00EB4AF2">
            <w:pPr>
              <w:jc w:val="right"/>
            </w:pPr>
            <w:r>
              <w:rPr>
                <w:color w:val="000000"/>
                <w:sz w:val="24"/>
                <w:szCs w:val="24"/>
              </w:rPr>
              <w:t>798,362</w:t>
            </w:r>
          </w:p>
        </w:tc>
        <w:tc>
          <w:tcPr>
            <w:tcW w:w="1924" w:type="dxa"/>
            <w:vAlign w:val="center"/>
          </w:tcPr>
          <w:p w:rsidR="00833193" w:rsidRDefault="00EB4AF2">
            <w:pPr>
              <w:jc w:val="right"/>
            </w:pPr>
            <w:r>
              <w:rPr>
                <w:color w:val="000000"/>
                <w:sz w:val="24"/>
                <w:szCs w:val="24"/>
              </w:rPr>
              <w:t>10,450,558.58</w:t>
            </w:r>
          </w:p>
        </w:tc>
        <w:tc>
          <w:tcPr>
            <w:tcW w:w="1644" w:type="dxa"/>
            <w:vAlign w:val="center"/>
          </w:tcPr>
          <w:p w:rsidR="00833193" w:rsidRDefault="00EB4AF2">
            <w:pPr>
              <w:jc w:val="right"/>
            </w:pPr>
            <w:r>
              <w:rPr>
                <w:color w:val="000000"/>
                <w:sz w:val="24"/>
                <w:szCs w:val="24"/>
              </w:rPr>
              <w:t>9.11</w:t>
            </w:r>
          </w:p>
        </w:tc>
      </w:tr>
      <w:tr w:rsidR="00833193">
        <w:trPr>
          <w:jc w:val="center"/>
        </w:trPr>
        <w:tc>
          <w:tcPr>
            <w:tcW w:w="855" w:type="dxa"/>
            <w:vAlign w:val="center"/>
          </w:tcPr>
          <w:p w:rsidR="00833193" w:rsidRDefault="00EB4AF2">
            <w:pPr>
              <w:jc w:val="center"/>
            </w:pPr>
            <w:r>
              <w:rPr>
                <w:color w:val="000000"/>
                <w:sz w:val="24"/>
                <w:szCs w:val="24"/>
              </w:rPr>
              <w:t>4</w:t>
            </w:r>
          </w:p>
        </w:tc>
        <w:tc>
          <w:tcPr>
            <w:tcW w:w="1334" w:type="dxa"/>
            <w:vAlign w:val="center"/>
          </w:tcPr>
          <w:p w:rsidR="00833193" w:rsidRDefault="00EB4AF2">
            <w:pPr>
              <w:jc w:val="center"/>
            </w:pPr>
            <w:r>
              <w:rPr>
                <w:color w:val="000000"/>
                <w:sz w:val="24"/>
                <w:szCs w:val="24"/>
              </w:rPr>
              <w:t>600519</w:t>
            </w:r>
          </w:p>
        </w:tc>
        <w:tc>
          <w:tcPr>
            <w:tcW w:w="1777" w:type="dxa"/>
            <w:vAlign w:val="center"/>
          </w:tcPr>
          <w:p w:rsidR="00833193" w:rsidRDefault="00EB4AF2">
            <w:pPr>
              <w:jc w:val="center"/>
            </w:pPr>
            <w:r>
              <w:rPr>
                <w:color w:val="000000"/>
                <w:sz w:val="24"/>
                <w:szCs w:val="24"/>
              </w:rPr>
              <w:t>贵州茅台</w:t>
            </w:r>
          </w:p>
        </w:tc>
        <w:tc>
          <w:tcPr>
            <w:tcW w:w="1334" w:type="dxa"/>
            <w:vAlign w:val="center"/>
          </w:tcPr>
          <w:p w:rsidR="00833193" w:rsidRDefault="00EB4AF2">
            <w:pPr>
              <w:jc w:val="right"/>
            </w:pPr>
            <w:r>
              <w:rPr>
                <w:color w:val="000000"/>
                <w:sz w:val="24"/>
                <w:szCs w:val="24"/>
              </w:rPr>
              <w:t>10,577</w:t>
            </w:r>
          </w:p>
        </w:tc>
        <w:tc>
          <w:tcPr>
            <w:tcW w:w="1924" w:type="dxa"/>
            <w:vAlign w:val="center"/>
          </w:tcPr>
          <w:p w:rsidR="00833193" w:rsidRDefault="00EB4AF2">
            <w:pPr>
              <w:jc w:val="right"/>
            </w:pPr>
            <w:r>
              <w:rPr>
                <w:color w:val="000000"/>
                <w:sz w:val="24"/>
                <w:szCs w:val="24"/>
              </w:rPr>
              <w:t>10,407,768.00</w:t>
            </w:r>
          </w:p>
        </w:tc>
        <w:tc>
          <w:tcPr>
            <w:tcW w:w="1644" w:type="dxa"/>
            <w:vAlign w:val="center"/>
          </w:tcPr>
          <w:p w:rsidR="00833193" w:rsidRDefault="00EB4AF2">
            <w:pPr>
              <w:jc w:val="right"/>
            </w:pPr>
            <w:r>
              <w:rPr>
                <w:color w:val="000000"/>
                <w:sz w:val="24"/>
                <w:szCs w:val="24"/>
              </w:rPr>
              <w:t>9.07</w:t>
            </w:r>
          </w:p>
        </w:tc>
      </w:tr>
      <w:tr w:rsidR="00833193">
        <w:trPr>
          <w:jc w:val="center"/>
        </w:trPr>
        <w:tc>
          <w:tcPr>
            <w:tcW w:w="855" w:type="dxa"/>
            <w:vAlign w:val="center"/>
          </w:tcPr>
          <w:p w:rsidR="00833193" w:rsidRDefault="00EB4AF2">
            <w:pPr>
              <w:jc w:val="center"/>
            </w:pPr>
            <w:r>
              <w:rPr>
                <w:color w:val="000000"/>
                <w:sz w:val="24"/>
                <w:szCs w:val="24"/>
              </w:rPr>
              <w:t>5</w:t>
            </w:r>
          </w:p>
        </w:tc>
        <w:tc>
          <w:tcPr>
            <w:tcW w:w="1334" w:type="dxa"/>
            <w:vAlign w:val="center"/>
          </w:tcPr>
          <w:p w:rsidR="00833193" w:rsidRDefault="00EB4AF2">
            <w:pPr>
              <w:jc w:val="center"/>
            </w:pPr>
            <w:r>
              <w:rPr>
                <w:color w:val="000000"/>
                <w:sz w:val="24"/>
                <w:szCs w:val="24"/>
              </w:rPr>
              <w:t>300146</w:t>
            </w:r>
          </w:p>
        </w:tc>
        <w:tc>
          <w:tcPr>
            <w:tcW w:w="1777" w:type="dxa"/>
            <w:vAlign w:val="center"/>
          </w:tcPr>
          <w:p w:rsidR="00833193" w:rsidRDefault="00EB4AF2">
            <w:pPr>
              <w:jc w:val="center"/>
            </w:pPr>
            <w:r>
              <w:rPr>
                <w:color w:val="000000"/>
                <w:sz w:val="24"/>
                <w:szCs w:val="24"/>
              </w:rPr>
              <w:t>汤臣倍健</w:t>
            </w:r>
          </w:p>
        </w:tc>
        <w:tc>
          <w:tcPr>
            <w:tcW w:w="1334" w:type="dxa"/>
            <w:vAlign w:val="center"/>
          </w:tcPr>
          <w:p w:rsidR="00833193" w:rsidRDefault="00EB4AF2">
            <w:pPr>
              <w:jc w:val="right"/>
            </w:pPr>
            <w:r>
              <w:rPr>
                <w:color w:val="000000"/>
                <w:sz w:val="24"/>
                <w:szCs w:val="24"/>
              </w:rPr>
              <w:t>530,631</w:t>
            </w:r>
          </w:p>
        </w:tc>
        <w:tc>
          <w:tcPr>
            <w:tcW w:w="1924" w:type="dxa"/>
            <w:vAlign w:val="center"/>
          </w:tcPr>
          <w:p w:rsidR="00833193" w:rsidRDefault="00EB4AF2">
            <w:pPr>
              <w:jc w:val="right"/>
            </w:pPr>
            <w:r>
              <w:rPr>
                <w:color w:val="000000"/>
                <w:sz w:val="24"/>
                <w:szCs w:val="24"/>
              </w:rPr>
              <w:t>10,294,241.40</w:t>
            </w:r>
          </w:p>
        </w:tc>
        <w:tc>
          <w:tcPr>
            <w:tcW w:w="1644" w:type="dxa"/>
            <w:vAlign w:val="center"/>
          </w:tcPr>
          <w:p w:rsidR="00833193" w:rsidRDefault="00EB4AF2">
            <w:pPr>
              <w:jc w:val="right"/>
            </w:pPr>
            <w:r>
              <w:rPr>
                <w:color w:val="000000"/>
                <w:sz w:val="24"/>
                <w:szCs w:val="24"/>
              </w:rPr>
              <w:t>8.97</w:t>
            </w:r>
          </w:p>
        </w:tc>
      </w:tr>
      <w:tr w:rsidR="00833193">
        <w:trPr>
          <w:jc w:val="center"/>
        </w:trPr>
        <w:tc>
          <w:tcPr>
            <w:tcW w:w="855" w:type="dxa"/>
            <w:vAlign w:val="center"/>
          </w:tcPr>
          <w:p w:rsidR="00833193" w:rsidRDefault="00EB4AF2">
            <w:pPr>
              <w:jc w:val="center"/>
            </w:pPr>
            <w:r>
              <w:rPr>
                <w:color w:val="000000"/>
                <w:sz w:val="24"/>
                <w:szCs w:val="24"/>
              </w:rPr>
              <w:t>6</w:t>
            </w:r>
          </w:p>
        </w:tc>
        <w:tc>
          <w:tcPr>
            <w:tcW w:w="1334" w:type="dxa"/>
            <w:vAlign w:val="center"/>
          </w:tcPr>
          <w:p w:rsidR="00833193" w:rsidRDefault="00EB4AF2">
            <w:pPr>
              <w:jc w:val="center"/>
            </w:pPr>
            <w:r>
              <w:rPr>
                <w:color w:val="000000"/>
                <w:sz w:val="24"/>
                <w:szCs w:val="24"/>
              </w:rPr>
              <w:t>000651</w:t>
            </w:r>
          </w:p>
        </w:tc>
        <w:tc>
          <w:tcPr>
            <w:tcW w:w="1777" w:type="dxa"/>
            <w:vAlign w:val="center"/>
          </w:tcPr>
          <w:p w:rsidR="00833193" w:rsidRDefault="00EB4AF2">
            <w:pPr>
              <w:jc w:val="center"/>
            </w:pPr>
            <w:r>
              <w:rPr>
                <w:color w:val="000000"/>
                <w:sz w:val="24"/>
                <w:szCs w:val="24"/>
              </w:rPr>
              <w:t>格力电器</w:t>
            </w:r>
          </w:p>
        </w:tc>
        <w:tc>
          <w:tcPr>
            <w:tcW w:w="1334" w:type="dxa"/>
            <w:vAlign w:val="center"/>
          </w:tcPr>
          <w:p w:rsidR="00833193" w:rsidRDefault="00EB4AF2">
            <w:pPr>
              <w:jc w:val="right"/>
            </w:pPr>
            <w:r>
              <w:rPr>
                <w:color w:val="000000"/>
                <w:sz w:val="24"/>
                <w:szCs w:val="24"/>
              </w:rPr>
              <w:t>187,100</w:t>
            </w:r>
          </w:p>
        </w:tc>
        <w:tc>
          <w:tcPr>
            <w:tcW w:w="1924" w:type="dxa"/>
            <w:vAlign w:val="center"/>
          </w:tcPr>
          <w:p w:rsidR="00833193" w:rsidRDefault="00EB4AF2">
            <w:pPr>
              <w:jc w:val="right"/>
            </w:pPr>
            <w:r>
              <w:rPr>
                <w:color w:val="000000"/>
                <w:sz w:val="24"/>
                <w:szCs w:val="24"/>
              </w:rPr>
              <w:t>10,290,500.00</w:t>
            </w:r>
          </w:p>
        </w:tc>
        <w:tc>
          <w:tcPr>
            <w:tcW w:w="1644" w:type="dxa"/>
            <w:vAlign w:val="center"/>
          </w:tcPr>
          <w:p w:rsidR="00833193" w:rsidRDefault="00EB4AF2">
            <w:pPr>
              <w:jc w:val="right"/>
            </w:pPr>
            <w:r>
              <w:rPr>
                <w:color w:val="000000"/>
                <w:sz w:val="24"/>
                <w:szCs w:val="24"/>
              </w:rPr>
              <w:t>8.97</w:t>
            </w:r>
          </w:p>
        </w:tc>
      </w:tr>
      <w:tr w:rsidR="00833193">
        <w:trPr>
          <w:jc w:val="center"/>
        </w:trPr>
        <w:tc>
          <w:tcPr>
            <w:tcW w:w="855" w:type="dxa"/>
            <w:vAlign w:val="center"/>
          </w:tcPr>
          <w:p w:rsidR="00833193" w:rsidRDefault="00EB4AF2">
            <w:pPr>
              <w:jc w:val="center"/>
            </w:pPr>
            <w:r>
              <w:rPr>
                <w:color w:val="000000"/>
                <w:sz w:val="24"/>
                <w:szCs w:val="24"/>
              </w:rPr>
              <w:t>7</w:t>
            </w:r>
          </w:p>
        </w:tc>
        <w:tc>
          <w:tcPr>
            <w:tcW w:w="1334" w:type="dxa"/>
            <w:vAlign w:val="center"/>
          </w:tcPr>
          <w:p w:rsidR="00833193" w:rsidRDefault="00EB4AF2">
            <w:pPr>
              <w:jc w:val="center"/>
            </w:pPr>
            <w:r>
              <w:rPr>
                <w:color w:val="000000"/>
                <w:sz w:val="24"/>
                <w:szCs w:val="24"/>
              </w:rPr>
              <w:t>601155</w:t>
            </w:r>
          </w:p>
        </w:tc>
        <w:tc>
          <w:tcPr>
            <w:tcW w:w="1777" w:type="dxa"/>
            <w:vAlign w:val="center"/>
          </w:tcPr>
          <w:p w:rsidR="00833193" w:rsidRDefault="00EB4AF2">
            <w:pPr>
              <w:jc w:val="center"/>
            </w:pPr>
            <w:r>
              <w:rPr>
                <w:color w:val="000000"/>
                <w:sz w:val="24"/>
                <w:szCs w:val="24"/>
              </w:rPr>
              <w:t>新城控股</w:t>
            </w:r>
          </w:p>
        </w:tc>
        <w:tc>
          <w:tcPr>
            <w:tcW w:w="1334" w:type="dxa"/>
            <w:vAlign w:val="center"/>
          </w:tcPr>
          <w:p w:rsidR="00833193" w:rsidRDefault="00EB4AF2">
            <w:pPr>
              <w:jc w:val="right"/>
            </w:pPr>
            <w:r>
              <w:rPr>
                <w:color w:val="000000"/>
                <w:sz w:val="24"/>
                <w:szCs w:val="24"/>
              </w:rPr>
              <w:t>257,507</w:t>
            </w:r>
          </w:p>
        </w:tc>
        <w:tc>
          <w:tcPr>
            <w:tcW w:w="1924" w:type="dxa"/>
            <w:vAlign w:val="center"/>
          </w:tcPr>
          <w:p w:rsidR="00833193" w:rsidRDefault="00EB4AF2">
            <w:pPr>
              <w:jc w:val="right"/>
            </w:pPr>
            <w:r>
              <w:rPr>
                <w:color w:val="000000"/>
                <w:sz w:val="24"/>
                <w:szCs w:val="24"/>
              </w:rPr>
              <w:t>10,251,353.67</w:t>
            </w:r>
          </w:p>
        </w:tc>
        <w:tc>
          <w:tcPr>
            <w:tcW w:w="1644" w:type="dxa"/>
            <w:vAlign w:val="center"/>
          </w:tcPr>
          <w:p w:rsidR="00833193" w:rsidRDefault="00EB4AF2">
            <w:pPr>
              <w:jc w:val="right"/>
            </w:pPr>
            <w:r>
              <w:rPr>
                <w:color w:val="000000"/>
                <w:sz w:val="24"/>
                <w:szCs w:val="24"/>
              </w:rPr>
              <w:t>8.94</w:t>
            </w:r>
          </w:p>
        </w:tc>
      </w:tr>
      <w:tr w:rsidR="00833193">
        <w:trPr>
          <w:jc w:val="center"/>
        </w:trPr>
        <w:tc>
          <w:tcPr>
            <w:tcW w:w="855" w:type="dxa"/>
            <w:vAlign w:val="center"/>
          </w:tcPr>
          <w:p w:rsidR="00833193" w:rsidRDefault="00EB4AF2">
            <w:pPr>
              <w:jc w:val="center"/>
            </w:pPr>
            <w:r>
              <w:rPr>
                <w:color w:val="000000"/>
                <w:sz w:val="24"/>
                <w:szCs w:val="24"/>
              </w:rPr>
              <w:t>8</w:t>
            </w:r>
          </w:p>
        </w:tc>
        <w:tc>
          <w:tcPr>
            <w:tcW w:w="1334" w:type="dxa"/>
            <w:vAlign w:val="center"/>
          </w:tcPr>
          <w:p w:rsidR="00833193" w:rsidRDefault="00EB4AF2">
            <w:pPr>
              <w:jc w:val="center"/>
            </w:pPr>
            <w:r>
              <w:rPr>
                <w:color w:val="000000"/>
                <w:sz w:val="24"/>
                <w:szCs w:val="24"/>
              </w:rPr>
              <w:t>600887</w:t>
            </w:r>
          </w:p>
        </w:tc>
        <w:tc>
          <w:tcPr>
            <w:tcW w:w="1777" w:type="dxa"/>
            <w:vAlign w:val="center"/>
          </w:tcPr>
          <w:p w:rsidR="00833193" w:rsidRDefault="00EB4AF2">
            <w:pPr>
              <w:jc w:val="center"/>
            </w:pPr>
            <w:r>
              <w:rPr>
                <w:color w:val="000000"/>
                <w:sz w:val="24"/>
                <w:szCs w:val="24"/>
              </w:rPr>
              <w:t>伊利股份</w:t>
            </w:r>
          </w:p>
        </w:tc>
        <w:tc>
          <w:tcPr>
            <w:tcW w:w="1334" w:type="dxa"/>
            <w:vAlign w:val="center"/>
          </w:tcPr>
          <w:p w:rsidR="00833193" w:rsidRDefault="00EB4AF2">
            <w:pPr>
              <w:jc w:val="right"/>
            </w:pPr>
            <w:r>
              <w:rPr>
                <w:color w:val="000000"/>
                <w:sz w:val="24"/>
                <w:szCs w:val="24"/>
              </w:rPr>
              <w:t>305,241</w:t>
            </w:r>
          </w:p>
        </w:tc>
        <w:tc>
          <w:tcPr>
            <w:tcW w:w="1924" w:type="dxa"/>
            <w:vAlign w:val="center"/>
          </w:tcPr>
          <w:p w:rsidR="00833193" w:rsidRDefault="00EB4AF2">
            <w:pPr>
              <w:jc w:val="right"/>
            </w:pPr>
            <w:r>
              <w:rPr>
                <w:color w:val="000000"/>
                <w:sz w:val="24"/>
                <w:szCs w:val="24"/>
              </w:rPr>
              <w:t>10,198,101.81</w:t>
            </w:r>
          </w:p>
        </w:tc>
        <w:tc>
          <w:tcPr>
            <w:tcW w:w="1644" w:type="dxa"/>
            <w:vAlign w:val="center"/>
          </w:tcPr>
          <w:p w:rsidR="00833193" w:rsidRDefault="00EB4AF2">
            <w:pPr>
              <w:jc w:val="right"/>
            </w:pPr>
            <w:r>
              <w:rPr>
                <w:color w:val="000000"/>
                <w:sz w:val="24"/>
                <w:szCs w:val="24"/>
              </w:rPr>
              <w:t>8.89</w:t>
            </w:r>
          </w:p>
        </w:tc>
      </w:tr>
      <w:tr w:rsidR="00833193">
        <w:trPr>
          <w:jc w:val="center"/>
        </w:trPr>
        <w:tc>
          <w:tcPr>
            <w:tcW w:w="855" w:type="dxa"/>
            <w:vAlign w:val="center"/>
          </w:tcPr>
          <w:p w:rsidR="00833193" w:rsidRDefault="00EB4AF2">
            <w:pPr>
              <w:jc w:val="center"/>
            </w:pPr>
            <w:r>
              <w:rPr>
                <w:color w:val="000000"/>
                <w:sz w:val="24"/>
                <w:szCs w:val="24"/>
              </w:rPr>
              <w:t>9</w:t>
            </w:r>
          </w:p>
        </w:tc>
        <w:tc>
          <w:tcPr>
            <w:tcW w:w="1334" w:type="dxa"/>
            <w:vAlign w:val="center"/>
          </w:tcPr>
          <w:p w:rsidR="00833193" w:rsidRDefault="00EB4AF2">
            <w:pPr>
              <w:jc w:val="center"/>
            </w:pPr>
            <w:r>
              <w:rPr>
                <w:color w:val="000000"/>
                <w:sz w:val="24"/>
                <w:szCs w:val="24"/>
              </w:rPr>
              <w:t>603886</w:t>
            </w:r>
          </w:p>
        </w:tc>
        <w:tc>
          <w:tcPr>
            <w:tcW w:w="1777" w:type="dxa"/>
            <w:vAlign w:val="center"/>
          </w:tcPr>
          <w:p w:rsidR="00833193" w:rsidRDefault="00EB4AF2">
            <w:pPr>
              <w:jc w:val="center"/>
            </w:pPr>
            <w:r>
              <w:rPr>
                <w:color w:val="000000"/>
                <w:sz w:val="24"/>
                <w:szCs w:val="24"/>
              </w:rPr>
              <w:t>元祖股份</w:t>
            </w:r>
          </w:p>
        </w:tc>
        <w:tc>
          <w:tcPr>
            <w:tcW w:w="1334" w:type="dxa"/>
            <w:vAlign w:val="center"/>
          </w:tcPr>
          <w:p w:rsidR="00833193" w:rsidRDefault="00EB4AF2">
            <w:pPr>
              <w:jc w:val="right"/>
            </w:pPr>
            <w:r>
              <w:rPr>
                <w:color w:val="000000"/>
                <w:sz w:val="24"/>
                <w:szCs w:val="24"/>
              </w:rPr>
              <w:t>372,485</w:t>
            </w:r>
          </w:p>
        </w:tc>
        <w:tc>
          <w:tcPr>
            <w:tcW w:w="1924" w:type="dxa"/>
            <w:vAlign w:val="center"/>
          </w:tcPr>
          <w:p w:rsidR="00833193" w:rsidRDefault="00EB4AF2">
            <w:pPr>
              <w:jc w:val="right"/>
            </w:pPr>
            <w:r>
              <w:rPr>
                <w:color w:val="000000"/>
                <w:sz w:val="24"/>
                <w:szCs w:val="24"/>
              </w:rPr>
              <w:t>9,867,127.65</w:t>
            </w:r>
          </w:p>
        </w:tc>
        <w:tc>
          <w:tcPr>
            <w:tcW w:w="1644" w:type="dxa"/>
            <w:vAlign w:val="center"/>
          </w:tcPr>
          <w:p w:rsidR="00833193" w:rsidRDefault="00EB4AF2">
            <w:pPr>
              <w:jc w:val="right"/>
            </w:pPr>
            <w:r>
              <w:rPr>
                <w:color w:val="000000"/>
                <w:sz w:val="24"/>
                <w:szCs w:val="24"/>
              </w:rPr>
              <w:t>8.60</w:t>
            </w:r>
          </w:p>
        </w:tc>
      </w:tr>
      <w:tr w:rsidR="00833193">
        <w:trPr>
          <w:jc w:val="center"/>
        </w:trPr>
        <w:tc>
          <w:tcPr>
            <w:tcW w:w="855" w:type="dxa"/>
            <w:vAlign w:val="center"/>
          </w:tcPr>
          <w:p w:rsidR="00833193" w:rsidRDefault="00EB4AF2">
            <w:pPr>
              <w:jc w:val="center"/>
            </w:pPr>
            <w:r>
              <w:rPr>
                <w:color w:val="000000"/>
                <w:sz w:val="24"/>
                <w:szCs w:val="24"/>
              </w:rPr>
              <w:t>10</w:t>
            </w:r>
          </w:p>
        </w:tc>
        <w:tc>
          <w:tcPr>
            <w:tcW w:w="1334" w:type="dxa"/>
            <w:vAlign w:val="center"/>
          </w:tcPr>
          <w:p w:rsidR="00833193" w:rsidRDefault="00EB4AF2">
            <w:pPr>
              <w:jc w:val="center"/>
            </w:pPr>
            <w:r>
              <w:rPr>
                <w:color w:val="000000"/>
                <w:sz w:val="24"/>
                <w:szCs w:val="24"/>
              </w:rPr>
              <w:t>000661</w:t>
            </w:r>
          </w:p>
        </w:tc>
        <w:tc>
          <w:tcPr>
            <w:tcW w:w="1777" w:type="dxa"/>
            <w:vAlign w:val="center"/>
          </w:tcPr>
          <w:p w:rsidR="00833193" w:rsidRDefault="00EB4AF2">
            <w:pPr>
              <w:jc w:val="center"/>
            </w:pPr>
            <w:r>
              <w:rPr>
                <w:color w:val="000000"/>
                <w:sz w:val="24"/>
                <w:szCs w:val="24"/>
              </w:rPr>
              <w:t>长春高新</w:t>
            </w:r>
          </w:p>
        </w:tc>
        <w:tc>
          <w:tcPr>
            <w:tcW w:w="1334" w:type="dxa"/>
            <w:vAlign w:val="center"/>
          </w:tcPr>
          <w:p w:rsidR="00833193" w:rsidRDefault="00EB4AF2">
            <w:pPr>
              <w:jc w:val="right"/>
            </w:pPr>
            <w:r>
              <w:rPr>
                <w:color w:val="000000"/>
                <w:sz w:val="24"/>
                <w:szCs w:val="24"/>
              </w:rPr>
              <w:t>17,100</w:t>
            </w:r>
          </w:p>
        </w:tc>
        <w:tc>
          <w:tcPr>
            <w:tcW w:w="1924" w:type="dxa"/>
            <w:vAlign w:val="center"/>
          </w:tcPr>
          <w:p w:rsidR="00833193" w:rsidRDefault="00EB4AF2">
            <w:pPr>
              <w:jc w:val="right"/>
            </w:pPr>
            <w:r>
              <w:rPr>
                <w:color w:val="000000"/>
                <w:sz w:val="24"/>
                <w:szCs w:val="24"/>
              </w:rPr>
              <w:t>5,779,800.00</w:t>
            </w:r>
          </w:p>
        </w:tc>
        <w:tc>
          <w:tcPr>
            <w:tcW w:w="1644" w:type="dxa"/>
            <w:vAlign w:val="center"/>
          </w:tcPr>
          <w:p w:rsidR="00833193" w:rsidRDefault="00EB4AF2">
            <w:pPr>
              <w:jc w:val="right"/>
            </w:pPr>
            <w:r>
              <w:rPr>
                <w:color w:val="000000"/>
                <w:sz w:val="24"/>
                <w:szCs w:val="24"/>
              </w:rPr>
              <w:t>5.04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E808C4" w:rsidRDefault="00E808C4"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E808C4" w:rsidRDefault="00E808C4" w:rsidP="00C15CAC">
      <w:pPr>
        <w:autoSpaceDE w:val="0"/>
        <w:autoSpaceDN w:val="0"/>
        <w:adjustRightInd w:val="0"/>
        <w:spacing w:before="29" w:line="288" w:lineRule="auto"/>
        <w:jc w:val="left"/>
        <w:rPr>
          <w:b/>
          <w:bCs/>
          <w:color w:val="000000"/>
          <w:kern w:val="0"/>
          <w:sz w:val="24"/>
          <w:szCs w:val="24"/>
        </w:rPr>
      </w:pPr>
    </w:p>
    <w:p w:rsidR="004061AC" w:rsidRDefault="008A3E7E"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5.6</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E808C4" w:rsidRDefault="00E808C4" w:rsidP="00C15CAC">
      <w:pPr>
        <w:autoSpaceDE w:val="0"/>
        <w:autoSpaceDN w:val="0"/>
        <w:adjustRightInd w:val="0"/>
        <w:spacing w:before="29" w:line="288" w:lineRule="auto"/>
        <w:jc w:val="left"/>
        <w:rPr>
          <w:b/>
          <w:bCs/>
          <w:color w:val="000000"/>
          <w:kern w:val="0"/>
          <w:sz w:val="24"/>
          <w:szCs w:val="24"/>
        </w:rPr>
      </w:pPr>
      <w:bookmarkStart w:id="0" w:name="_GoBack"/>
      <w:bookmarkEnd w:id="0"/>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70,895.43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1,729.13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20,518.78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93,143.34</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E808C4" w:rsidRDefault="00E808C4" w:rsidP="00C15CAC">
      <w:pPr>
        <w:autoSpaceDE w:val="0"/>
        <w:autoSpaceDN w:val="0"/>
        <w:adjustRightInd w:val="0"/>
        <w:spacing w:before="29" w:line="288" w:lineRule="auto"/>
        <w:jc w:val="left"/>
        <w:rPr>
          <w:bCs/>
          <w:color w:val="000000"/>
          <w:kern w:val="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117,810,214.32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8,095,853.64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32,637,882.29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93,268,185.67</w:t>
            </w:r>
          </w:p>
        </w:tc>
      </w:tr>
    </w:tbl>
    <w:p w:rsidR="00833193" w:rsidRDefault="00EB4AF2">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E808C4">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E808C4" w:rsidRDefault="003C50AD" w:rsidP="003C50AD">
      <w:pPr>
        <w:spacing w:line="360" w:lineRule="auto"/>
        <w:ind w:firstLineChars="200" w:firstLine="480"/>
        <w:rPr>
          <w:rFonts w:ascii="宋体" w:hAnsi="宋体"/>
          <w:color w:val="000000"/>
          <w:sz w:val="24"/>
          <w:szCs w:val="24"/>
        </w:rPr>
      </w:pPr>
      <w:r w:rsidRPr="00E808C4">
        <w:rPr>
          <w:rFonts w:ascii="宋体" w:hAnsi="宋体"/>
          <w:color w:val="000000"/>
          <w:sz w:val="24"/>
          <w:szCs w:val="24"/>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833193" w:rsidRDefault="00EB4AF2">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、中国证监会准予交银施罗德股息优化混合型证券投资基金募集注册的文件；</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2</w:t>
      </w:r>
      <w:r>
        <w:rPr>
          <w:color w:val="000000"/>
          <w:sz w:val="24"/>
          <w:szCs w:val="24"/>
        </w:rPr>
        <w:t>、《交银施罗德股息优化混合型证券投资基金基金合同》；</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3</w:t>
      </w:r>
      <w:r>
        <w:rPr>
          <w:color w:val="000000"/>
          <w:sz w:val="24"/>
          <w:szCs w:val="24"/>
        </w:rPr>
        <w:t>、《交银施罗德股息优化混合型证券投资基金招募说明书》；</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4</w:t>
      </w:r>
      <w:r>
        <w:rPr>
          <w:color w:val="000000"/>
          <w:sz w:val="24"/>
          <w:szCs w:val="24"/>
        </w:rPr>
        <w:t>、《交银施罗德股息优化混合型证券投资基金托管协议》；</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、关于申请募集注册交银施罗德股息优化混合型证券投资基金的法律意见书；</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833193" w:rsidRDefault="00EB4AF2">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、报告期内交银施罗德股息优化混合型证券投资基金在指定报刊上各项公告的原稿。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833193" w:rsidRDefault="00EB4AF2">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F2" w:rsidRDefault="002757F2" w:rsidP="00876D65">
      <w:r>
        <w:separator/>
      </w:r>
    </w:p>
  </w:endnote>
  <w:endnote w:type="continuationSeparator" w:id="0">
    <w:p w:rsidR="002757F2" w:rsidRDefault="002757F2"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8A3E7E">
      <w:rPr>
        <w:noProof/>
        <w:kern w:val="0"/>
        <w:szCs w:val="21"/>
      </w:rPr>
      <w:t>11</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8A3E7E">
      <w:rPr>
        <w:noProof/>
        <w:kern w:val="0"/>
        <w:szCs w:val="21"/>
      </w:rPr>
      <w:t>11</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F2" w:rsidRDefault="002757F2" w:rsidP="00876D65">
      <w:r>
        <w:separator/>
      </w:r>
    </w:p>
  </w:footnote>
  <w:footnote w:type="continuationSeparator" w:id="0">
    <w:p w:rsidR="002757F2" w:rsidRDefault="002757F2"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交银施罗德股息优化混合型证券投资基金</w:t>
    </w:r>
    <w:r w:rsidRPr="003E676C">
      <w:rPr>
        <w:sz w:val="24"/>
        <w:szCs w:val="24"/>
      </w:rPr>
      <w:t>2019</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57F2"/>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C8F"/>
    <w:rsid w:val="005B4F93"/>
    <w:rsid w:val="005B73D2"/>
    <w:rsid w:val="005D2B36"/>
    <w:rsid w:val="005E475E"/>
    <w:rsid w:val="005F118D"/>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3193"/>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3E7E"/>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E19A9"/>
    <w:rsid w:val="009E31DA"/>
    <w:rsid w:val="009E402C"/>
    <w:rsid w:val="009E7C6A"/>
    <w:rsid w:val="009F27F9"/>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228A"/>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08C4"/>
    <w:rsid w:val="00E84C7E"/>
    <w:rsid w:val="00E85E4B"/>
    <w:rsid w:val="00E8670B"/>
    <w:rsid w:val="00EA1826"/>
    <w:rsid w:val="00EA70F1"/>
    <w:rsid w:val="00EB2516"/>
    <w:rsid w:val="00EB2C07"/>
    <w:rsid w:val="00EB4AF2"/>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3DD1-3889-4E57-945E-5003B22C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11</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593</cp:revision>
  <dcterms:created xsi:type="dcterms:W3CDTF">2012-10-16T06:07:00Z</dcterms:created>
  <dcterms:modified xsi:type="dcterms:W3CDTF">2019-07-12T10:22:00Z</dcterms:modified>
</cp:coreProperties>
</file>