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7C128A"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7C128A"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7C128A"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7C128A"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7C128A"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279D3" w:rsidRPr="00220C32" w:rsidRDefault="007C128A"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金鹰添润定期开放债券型发起式证券投资基金</w:t>
      </w:r>
    </w:p>
    <w:p w:rsidR="002279D3" w:rsidRPr="00220C32" w:rsidRDefault="007C128A"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2019</w:t>
      </w:r>
      <w:r w:rsidRPr="00220C32">
        <w:rPr>
          <w:rFonts w:asciiTheme="minorEastAsia" w:eastAsiaTheme="minorEastAsia" w:hAnsiTheme="minorEastAsia" w:hint="eastAsia"/>
          <w:b/>
          <w:color w:val="000000" w:themeColor="text1"/>
          <w:sz w:val="36"/>
          <w:szCs w:val="36"/>
        </w:rPr>
        <w:t>年第</w:t>
      </w:r>
      <w:r w:rsidRPr="00220C32">
        <w:rPr>
          <w:rFonts w:asciiTheme="minorEastAsia" w:eastAsiaTheme="minorEastAsia" w:hAnsiTheme="minorEastAsia" w:hint="eastAsia"/>
          <w:b/>
          <w:color w:val="000000" w:themeColor="text1"/>
          <w:sz w:val="36"/>
          <w:szCs w:val="36"/>
        </w:rPr>
        <w:t>2</w:t>
      </w:r>
      <w:r w:rsidRPr="00220C32">
        <w:rPr>
          <w:rFonts w:asciiTheme="minorEastAsia" w:eastAsiaTheme="minorEastAsia" w:hAnsiTheme="minorEastAsia" w:hint="eastAsia"/>
          <w:b/>
          <w:color w:val="000000" w:themeColor="text1"/>
          <w:sz w:val="36"/>
          <w:szCs w:val="36"/>
        </w:rPr>
        <w:t>季度报告</w:t>
      </w:r>
    </w:p>
    <w:p w:rsidR="004061AC" w:rsidRPr="00220C32" w:rsidRDefault="007C128A" w:rsidP="00542546">
      <w:pPr>
        <w:spacing w:line="360" w:lineRule="auto"/>
        <w:jc w:val="center"/>
        <w:rPr>
          <w:rFonts w:asciiTheme="minorEastAsia" w:eastAsiaTheme="minorEastAsia" w:hAnsiTheme="minorEastAsia"/>
          <w:b/>
          <w:color w:val="000000" w:themeColor="text1"/>
          <w:sz w:val="24"/>
          <w:szCs w:val="24"/>
        </w:rPr>
      </w:pPr>
      <w:r w:rsidRPr="00220C32">
        <w:rPr>
          <w:rFonts w:asciiTheme="minorEastAsia" w:eastAsiaTheme="minorEastAsia" w:hAnsiTheme="minorEastAsia"/>
          <w:b/>
          <w:color w:val="000000" w:themeColor="text1"/>
          <w:sz w:val="24"/>
          <w:szCs w:val="24"/>
        </w:rPr>
        <w:t>2019</w:t>
      </w:r>
      <w:r w:rsidRPr="00220C32">
        <w:rPr>
          <w:rFonts w:asciiTheme="minorEastAsia" w:eastAsiaTheme="minorEastAsia" w:hAnsiTheme="minorEastAsia"/>
          <w:b/>
          <w:color w:val="000000" w:themeColor="text1"/>
          <w:sz w:val="24"/>
          <w:szCs w:val="24"/>
        </w:rPr>
        <w:t>年</w:t>
      </w:r>
      <w:r w:rsidRPr="00220C32">
        <w:rPr>
          <w:rFonts w:asciiTheme="minorEastAsia" w:eastAsiaTheme="minorEastAsia" w:hAnsiTheme="minorEastAsia"/>
          <w:b/>
          <w:color w:val="000000" w:themeColor="text1"/>
          <w:sz w:val="24"/>
          <w:szCs w:val="24"/>
        </w:rPr>
        <w:t>6</w:t>
      </w:r>
      <w:r w:rsidRPr="00220C32">
        <w:rPr>
          <w:rFonts w:asciiTheme="minorEastAsia" w:eastAsiaTheme="minorEastAsia" w:hAnsiTheme="minorEastAsia"/>
          <w:b/>
          <w:color w:val="000000" w:themeColor="text1"/>
          <w:sz w:val="24"/>
          <w:szCs w:val="24"/>
        </w:rPr>
        <w:t>月</w:t>
      </w:r>
      <w:r w:rsidRPr="00220C32">
        <w:rPr>
          <w:rFonts w:asciiTheme="minorEastAsia" w:eastAsiaTheme="minorEastAsia" w:hAnsiTheme="minorEastAsia"/>
          <w:b/>
          <w:color w:val="000000" w:themeColor="text1"/>
          <w:sz w:val="24"/>
          <w:szCs w:val="24"/>
        </w:rPr>
        <w:t>30</w:t>
      </w:r>
      <w:r w:rsidRPr="00220C32">
        <w:rPr>
          <w:rFonts w:asciiTheme="minorEastAsia" w:eastAsiaTheme="minorEastAsia" w:hAnsiTheme="minorEastAsia"/>
          <w:b/>
          <w:color w:val="000000" w:themeColor="text1"/>
          <w:sz w:val="24"/>
          <w:szCs w:val="24"/>
        </w:rPr>
        <w:t>日</w:t>
      </w:r>
    </w:p>
    <w:p w:rsidR="004061AC" w:rsidRPr="00220C32" w:rsidRDefault="007C128A"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7C128A"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7C128A"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7C128A"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7C128A"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7C128A"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7C128A"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7C128A"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7C128A"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7C128A"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7C128A"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7C128A"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7C128A"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7C128A" w:rsidP="004061AC">
      <w:pPr>
        <w:spacing w:line="360" w:lineRule="auto"/>
        <w:rPr>
          <w:rFonts w:asciiTheme="minorEastAsia" w:eastAsiaTheme="minorEastAsia" w:hAnsiTheme="minorEastAsia"/>
          <w:b/>
          <w:bCs/>
          <w:color w:val="000000" w:themeColor="text1"/>
          <w:sz w:val="24"/>
          <w:szCs w:val="24"/>
        </w:rPr>
      </w:pPr>
    </w:p>
    <w:p w:rsidR="004061AC" w:rsidRPr="00220C32" w:rsidRDefault="007C128A" w:rsidP="007C128A">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基金管理人：</w:t>
      </w:r>
      <w:r w:rsidRPr="00220C32">
        <w:rPr>
          <w:rFonts w:asciiTheme="minorEastAsia" w:eastAsiaTheme="minorEastAsia" w:hAnsiTheme="minorEastAsia"/>
          <w:b/>
          <w:color w:val="000000" w:themeColor="text1"/>
          <w:sz w:val="24"/>
          <w:szCs w:val="24"/>
        </w:rPr>
        <w:t>金鹰基金管理有限公司</w:t>
      </w:r>
    </w:p>
    <w:p w:rsidR="004061AC" w:rsidRPr="00220C32" w:rsidRDefault="007C128A" w:rsidP="007C128A">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基金托管人：</w:t>
      </w:r>
      <w:r w:rsidRPr="00220C32">
        <w:rPr>
          <w:rFonts w:asciiTheme="minorEastAsia" w:eastAsiaTheme="minorEastAsia" w:hAnsiTheme="minorEastAsia"/>
          <w:b/>
          <w:color w:val="000000" w:themeColor="text1"/>
          <w:sz w:val="24"/>
          <w:szCs w:val="24"/>
        </w:rPr>
        <w:t>兴业银行股份有限公司</w:t>
      </w:r>
    </w:p>
    <w:p w:rsidR="004061AC" w:rsidRPr="00220C32" w:rsidRDefault="007C128A" w:rsidP="007C128A">
      <w:pPr>
        <w:spacing w:line="360" w:lineRule="auto"/>
        <w:ind w:firstLineChars="900" w:firstLine="2168"/>
        <w:rPr>
          <w:rFonts w:asciiTheme="minorEastAsia" w:eastAsiaTheme="minorEastAsia" w:hAnsiTheme="minorEastAsia"/>
          <w:b/>
          <w:color w:val="000000" w:themeColor="text1"/>
          <w:sz w:val="24"/>
          <w:szCs w:val="24"/>
        </w:rPr>
        <w:sectPr w:rsidR="004061AC" w:rsidRPr="00220C32" w:rsidSect="00304A12">
          <w:headerReference w:type="default" r:id="rId8"/>
          <w:footerReference w:type="default" r:id="rId9"/>
          <w:pgSz w:w="11926" w:h="15840"/>
          <w:pgMar w:top="1418" w:right="1418" w:bottom="851" w:left="1418" w:header="851" w:footer="992" w:gutter="0"/>
          <w:cols w:space="720"/>
          <w:noEndnote/>
        </w:sectPr>
      </w:pPr>
      <w:r w:rsidRPr="00220C32">
        <w:rPr>
          <w:rFonts w:asciiTheme="minorEastAsia" w:eastAsiaTheme="minorEastAsia" w:hAnsiTheme="minorEastAsia" w:hint="eastAsia"/>
          <w:b/>
          <w:color w:val="000000" w:themeColor="text1"/>
          <w:sz w:val="24"/>
          <w:szCs w:val="24"/>
        </w:rPr>
        <w:t>报告送出日期：</w:t>
      </w:r>
      <w:r w:rsidRPr="00220C32">
        <w:rPr>
          <w:rFonts w:asciiTheme="minorEastAsia" w:eastAsiaTheme="minorEastAsia" w:hAnsiTheme="minorEastAsia"/>
          <w:b/>
          <w:color w:val="000000" w:themeColor="text1"/>
          <w:sz w:val="24"/>
          <w:szCs w:val="24"/>
        </w:rPr>
        <w:t>二〇一九年七月十七日</w:t>
      </w:r>
    </w:p>
    <w:p w:rsidR="004061AC" w:rsidRPr="00A76EB8" w:rsidRDefault="007C128A" w:rsidP="007C128A">
      <w:pPr>
        <w:pStyle w:val="1"/>
        <w:spacing w:beforeLines="100" w:afterLines="100" w:line="360" w:lineRule="auto"/>
        <w:jc w:val="center"/>
        <w:rPr>
          <w:b w:val="0"/>
          <w:bCs w:val="0"/>
          <w:color w:val="000000" w:themeColor="text1"/>
          <w:kern w:val="0"/>
          <w:sz w:val="24"/>
          <w:szCs w:val="24"/>
        </w:rPr>
      </w:pPr>
      <w:r w:rsidRPr="00A76EB8">
        <w:rPr>
          <w:color w:val="000000" w:themeColor="text1"/>
          <w:kern w:val="0"/>
          <w:sz w:val="24"/>
          <w:szCs w:val="24"/>
        </w:rPr>
        <w:lastRenderedPageBreak/>
        <w:t xml:space="preserve">§1  </w:t>
      </w:r>
      <w:r w:rsidRPr="00A76EB8">
        <w:rPr>
          <w:color w:val="000000" w:themeColor="text1"/>
          <w:kern w:val="0"/>
          <w:sz w:val="24"/>
          <w:szCs w:val="24"/>
        </w:rPr>
        <w:t>重要提示</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基金管理人的董事会及董事保证本报告所载资料不存在虚假记载、误导性陈述或重大遗漏，并对其内容的真实性、准确性和完整性承担个别及连带责任。</w:t>
      </w:r>
      <w:r>
        <w:rPr>
          <w:color w:val="000000" w:themeColor="text1"/>
          <w:sz w:val="24"/>
          <w:szCs w:val="24"/>
        </w:rPr>
        <w:t xml:space="preserve"> </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基金托管人兴业银行股份有限公司根据本基金合同规定，于</w:t>
      </w:r>
      <w:r>
        <w:rPr>
          <w:color w:val="000000" w:themeColor="text1"/>
          <w:sz w:val="24"/>
          <w:szCs w:val="24"/>
        </w:rPr>
        <w:t>2019</w:t>
      </w:r>
      <w:r>
        <w:rPr>
          <w:color w:val="000000" w:themeColor="text1"/>
          <w:sz w:val="24"/>
          <w:szCs w:val="24"/>
        </w:rPr>
        <w:t>年</w:t>
      </w:r>
      <w:r>
        <w:rPr>
          <w:color w:val="000000" w:themeColor="text1"/>
          <w:sz w:val="24"/>
          <w:szCs w:val="24"/>
        </w:rPr>
        <w:t>7</w:t>
      </w:r>
      <w:r>
        <w:rPr>
          <w:color w:val="000000" w:themeColor="text1"/>
          <w:sz w:val="24"/>
          <w:szCs w:val="24"/>
        </w:rPr>
        <w:t>月</w:t>
      </w:r>
      <w:r>
        <w:rPr>
          <w:color w:val="000000" w:themeColor="text1"/>
          <w:sz w:val="24"/>
          <w:szCs w:val="24"/>
        </w:rPr>
        <w:t>16</w:t>
      </w:r>
      <w:r>
        <w:rPr>
          <w:color w:val="000000" w:themeColor="text1"/>
          <w:sz w:val="24"/>
          <w:szCs w:val="24"/>
        </w:rPr>
        <w:t>日复核了本报告中的财务指标、净值表现和投资组合报告等内容，保证复核内容不存在虚假记载、误导性陈述或者重大遗漏。</w:t>
      </w:r>
      <w:r>
        <w:rPr>
          <w:color w:val="000000" w:themeColor="text1"/>
          <w:sz w:val="24"/>
          <w:szCs w:val="24"/>
        </w:rPr>
        <w:t xml:space="preserve"> </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基金管理人承诺以诚实信用、勤勉尽责的原则管理和运用基金资产，但不保证基金一定盈利。</w:t>
      </w:r>
      <w:r>
        <w:rPr>
          <w:color w:val="000000" w:themeColor="text1"/>
          <w:sz w:val="24"/>
          <w:szCs w:val="24"/>
        </w:rPr>
        <w:t xml:space="preserve"> </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基金的过往业绩并不代表其未来表现。投资有风险，投资者在作出投资决</w:t>
      </w:r>
      <w:r>
        <w:rPr>
          <w:color w:val="000000" w:themeColor="text1"/>
          <w:sz w:val="24"/>
          <w:szCs w:val="24"/>
        </w:rPr>
        <w:t>策前应仔细阅读本基金的招募说明书。</w:t>
      </w:r>
      <w:r>
        <w:rPr>
          <w:color w:val="000000" w:themeColor="text1"/>
          <w:sz w:val="24"/>
          <w:szCs w:val="24"/>
        </w:rPr>
        <w:t xml:space="preserve"> </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本报告中财务资料未经审计。</w:t>
      </w:r>
    </w:p>
    <w:p w:rsidR="004061AC" w:rsidRPr="00A76EB8" w:rsidRDefault="007C128A" w:rsidP="007C128A">
      <w:pPr>
        <w:spacing w:line="360" w:lineRule="auto"/>
        <w:ind w:firstLineChars="200" w:firstLine="480"/>
        <w:rPr>
          <w:color w:val="000000" w:themeColor="text1"/>
          <w:sz w:val="24"/>
          <w:szCs w:val="24"/>
        </w:rPr>
      </w:pPr>
      <w:r w:rsidRPr="00A76EB8">
        <w:rPr>
          <w:color w:val="000000" w:themeColor="text1"/>
          <w:sz w:val="24"/>
          <w:szCs w:val="24"/>
        </w:rPr>
        <w:t>本报告期自</w:t>
      </w:r>
      <w:r w:rsidRPr="00A76EB8">
        <w:rPr>
          <w:color w:val="000000" w:themeColor="text1"/>
          <w:sz w:val="24"/>
          <w:szCs w:val="24"/>
        </w:rPr>
        <w:t>2019</w:t>
      </w:r>
      <w:r w:rsidRPr="00A76EB8">
        <w:rPr>
          <w:color w:val="000000" w:themeColor="text1"/>
          <w:sz w:val="24"/>
          <w:szCs w:val="24"/>
        </w:rPr>
        <w:t>年</w:t>
      </w:r>
      <w:r w:rsidRPr="00A76EB8">
        <w:rPr>
          <w:color w:val="000000" w:themeColor="text1"/>
          <w:sz w:val="24"/>
          <w:szCs w:val="24"/>
        </w:rPr>
        <w:t>4</w:t>
      </w:r>
      <w:r w:rsidRPr="00A76EB8">
        <w:rPr>
          <w:color w:val="000000" w:themeColor="text1"/>
          <w:sz w:val="24"/>
          <w:szCs w:val="24"/>
        </w:rPr>
        <w:t>月</w:t>
      </w:r>
      <w:r w:rsidRPr="00A76EB8">
        <w:rPr>
          <w:color w:val="000000" w:themeColor="text1"/>
          <w:sz w:val="24"/>
          <w:szCs w:val="24"/>
        </w:rPr>
        <w:t>1</w:t>
      </w:r>
      <w:r w:rsidRPr="00A76EB8">
        <w:rPr>
          <w:color w:val="000000" w:themeColor="text1"/>
          <w:sz w:val="24"/>
          <w:szCs w:val="24"/>
        </w:rPr>
        <w:t>日起至</w:t>
      </w:r>
      <w:r w:rsidRPr="00A76EB8">
        <w:rPr>
          <w:color w:val="000000" w:themeColor="text1"/>
          <w:sz w:val="24"/>
          <w:szCs w:val="24"/>
        </w:rPr>
        <w:t>6</w:t>
      </w:r>
      <w:r w:rsidRPr="00A76EB8">
        <w:rPr>
          <w:color w:val="000000" w:themeColor="text1"/>
          <w:sz w:val="24"/>
          <w:szCs w:val="24"/>
        </w:rPr>
        <w:t>月</w:t>
      </w:r>
      <w:r w:rsidRPr="00A76EB8">
        <w:rPr>
          <w:color w:val="000000" w:themeColor="text1"/>
          <w:sz w:val="24"/>
          <w:szCs w:val="24"/>
        </w:rPr>
        <w:t>30</w:t>
      </w:r>
      <w:r w:rsidRPr="00A76EB8">
        <w:rPr>
          <w:color w:val="000000" w:themeColor="text1"/>
          <w:sz w:val="24"/>
          <w:szCs w:val="24"/>
        </w:rPr>
        <w:t>日止。</w:t>
      </w:r>
    </w:p>
    <w:p w:rsidR="004061AC" w:rsidRPr="00A76EB8" w:rsidRDefault="007C128A" w:rsidP="007C128A">
      <w:pPr>
        <w:pStyle w:val="1"/>
        <w:spacing w:beforeLines="100" w:afterLines="100" w:line="360" w:lineRule="auto"/>
        <w:jc w:val="center"/>
        <w:rPr>
          <w:color w:val="000000" w:themeColor="text1"/>
          <w:kern w:val="0"/>
          <w:sz w:val="24"/>
          <w:szCs w:val="24"/>
        </w:rPr>
      </w:pPr>
      <w:r w:rsidRPr="00A76EB8">
        <w:rPr>
          <w:color w:val="000000" w:themeColor="text1"/>
          <w:kern w:val="0"/>
          <w:sz w:val="24"/>
          <w:szCs w:val="24"/>
        </w:rPr>
        <w:t xml:space="preserve">§2  </w:t>
      </w:r>
      <w:r w:rsidRPr="00A76EB8">
        <w:rPr>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CE3872" w:rsidTr="00BF6314">
        <w:tc>
          <w:tcPr>
            <w:tcW w:w="2835" w:type="dxa"/>
            <w:vAlign w:val="center"/>
          </w:tcPr>
          <w:p w:rsidR="004061AC" w:rsidRPr="00A76EB8" w:rsidRDefault="007C128A" w:rsidP="00BF6314">
            <w:pPr>
              <w:adjustRightInd w:val="0"/>
              <w:spacing w:before="29" w:line="360" w:lineRule="auto"/>
              <w:ind w:left="17"/>
              <w:rPr>
                <w:color w:val="000000" w:themeColor="text1"/>
                <w:kern w:val="0"/>
                <w:sz w:val="24"/>
                <w:szCs w:val="24"/>
              </w:rPr>
            </w:pPr>
            <w:r w:rsidRPr="00A76EB8">
              <w:rPr>
                <w:color w:val="000000" w:themeColor="text1"/>
                <w:kern w:val="0"/>
                <w:sz w:val="24"/>
                <w:szCs w:val="24"/>
              </w:rPr>
              <w:t>基金简称</w:t>
            </w:r>
          </w:p>
        </w:tc>
        <w:tc>
          <w:tcPr>
            <w:tcW w:w="5479" w:type="dxa"/>
            <w:vAlign w:val="center"/>
          </w:tcPr>
          <w:p w:rsidR="004061AC" w:rsidRPr="00A76EB8" w:rsidRDefault="007C128A" w:rsidP="00BF6314">
            <w:pPr>
              <w:adjustRightInd w:val="0"/>
              <w:spacing w:before="29" w:line="360" w:lineRule="auto"/>
              <w:ind w:left="17"/>
              <w:rPr>
                <w:color w:val="000000" w:themeColor="text1"/>
                <w:kern w:val="0"/>
                <w:sz w:val="24"/>
                <w:szCs w:val="24"/>
              </w:rPr>
            </w:pPr>
            <w:r w:rsidRPr="00A76EB8">
              <w:rPr>
                <w:color w:val="000000" w:themeColor="text1"/>
                <w:kern w:val="0"/>
                <w:sz w:val="24"/>
                <w:szCs w:val="24"/>
              </w:rPr>
              <w:t>金鹰添润定期开放债券</w:t>
            </w:r>
          </w:p>
        </w:tc>
      </w:tr>
      <w:tr w:rsidR="00CE3872"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A76EB8" w:rsidRDefault="007C128A" w:rsidP="00BF6314">
            <w:pPr>
              <w:adjustRightInd w:val="0"/>
              <w:spacing w:before="29" w:line="360" w:lineRule="auto"/>
              <w:ind w:left="17"/>
              <w:rPr>
                <w:color w:val="000000" w:themeColor="text1"/>
                <w:kern w:val="0"/>
                <w:sz w:val="24"/>
                <w:szCs w:val="24"/>
              </w:rPr>
            </w:pPr>
            <w:r w:rsidRPr="00A76EB8">
              <w:rPr>
                <w:color w:val="000000" w:themeColor="text1"/>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A76EB8" w:rsidRDefault="007C128A" w:rsidP="00BF6314">
            <w:pPr>
              <w:adjustRightInd w:val="0"/>
              <w:spacing w:before="29" w:line="360" w:lineRule="auto"/>
              <w:ind w:left="17"/>
              <w:rPr>
                <w:color w:val="000000" w:themeColor="text1"/>
                <w:kern w:val="0"/>
                <w:sz w:val="24"/>
                <w:szCs w:val="24"/>
              </w:rPr>
            </w:pPr>
            <w:r w:rsidRPr="00A76EB8">
              <w:rPr>
                <w:color w:val="000000" w:themeColor="text1"/>
                <w:kern w:val="0"/>
                <w:sz w:val="24"/>
                <w:szCs w:val="24"/>
              </w:rPr>
              <w:t>004045</w:t>
            </w:r>
          </w:p>
        </w:tc>
      </w:tr>
      <w:tr w:rsidR="00CE3872"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A76EB8" w:rsidRDefault="007C128A" w:rsidP="00BF6314">
            <w:pPr>
              <w:adjustRightInd w:val="0"/>
              <w:spacing w:before="29" w:line="360" w:lineRule="auto"/>
              <w:ind w:left="17"/>
              <w:rPr>
                <w:color w:val="000000" w:themeColor="text1"/>
                <w:kern w:val="0"/>
                <w:sz w:val="24"/>
                <w:szCs w:val="24"/>
              </w:rPr>
            </w:pPr>
            <w:r w:rsidRPr="00A76EB8">
              <w:rPr>
                <w:color w:val="000000" w:themeColor="text1"/>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A76EB8" w:rsidRDefault="007C128A" w:rsidP="00BF6314">
            <w:pPr>
              <w:adjustRightInd w:val="0"/>
              <w:spacing w:before="29" w:line="360" w:lineRule="auto"/>
              <w:ind w:left="17"/>
              <w:rPr>
                <w:color w:val="000000" w:themeColor="text1"/>
                <w:kern w:val="0"/>
                <w:sz w:val="24"/>
                <w:szCs w:val="24"/>
              </w:rPr>
            </w:pPr>
            <w:r w:rsidRPr="00A76EB8">
              <w:rPr>
                <w:color w:val="000000" w:themeColor="text1"/>
                <w:kern w:val="0"/>
                <w:sz w:val="24"/>
                <w:szCs w:val="24"/>
              </w:rPr>
              <w:t>004045</w:t>
            </w:r>
          </w:p>
        </w:tc>
      </w:tr>
      <w:tr w:rsidR="00CE3872" w:rsidTr="00BF6314">
        <w:tc>
          <w:tcPr>
            <w:tcW w:w="2835"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基金运作方式</w:t>
            </w:r>
          </w:p>
        </w:tc>
        <w:tc>
          <w:tcPr>
            <w:tcW w:w="5479"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契约型开放式</w:t>
            </w:r>
          </w:p>
        </w:tc>
      </w:tr>
      <w:tr w:rsidR="00CE3872" w:rsidTr="00BF6314">
        <w:tc>
          <w:tcPr>
            <w:tcW w:w="2835"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基金合同生效日</w:t>
            </w:r>
          </w:p>
        </w:tc>
        <w:tc>
          <w:tcPr>
            <w:tcW w:w="5479"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2018</w:t>
            </w:r>
            <w:r w:rsidRPr="00A76EB8">
              <w:rPr>
                <w:color w:val="000000" w:themeColor="text1"/>
                <w:kern w:val="0"/>
                <w:sz w:val="24"/>
                <w:szCs w:val="24"/>
              </w:rPr>
              <w:t>年</w:t>
            </w:r>
            <w:r w:rsidRPr="00A76EB8">
              <w:rPr>
                <w:color w:val="000000" w:themeColor="text1"/>
                <w:kern w:val="0"/>
                <w:sz w:val="24"/>
                <w:szCs w:val="24"/>
              </w:rPr>
              <w:t>3</w:t>
            </w:r>
            <w:r w:rsidRPr="00A76EB8">
              <w:rPr>
                <w:color w:val="000000" w:themeColor="text1"/>
                <w:kern w:val="0"/>
                <w:sz w:val="24"/>
                <w:szCs w:val="24"/>
              </w:rPr>
              <w:t>月</w:t>
            </w:r>
            <w:r w:rsidRPr="00A76EB8">
              <w:rPr>
                <w:color w:val="000000" w:themeColor="text1"/>
                <w:kern w:val="0"/>
                <w:sz w:val="24"/>
                <w:szCs w:val="24"/>
              </w:rPr>
              <w:t>28</w:t>
            </w:r>
            <w:r w:rsidRPr="00A76EB8">
              <w:rPr>
                <w:color w:val="000000" w:themeColor="text1"/>
                <w:kern w:val="0"/>
                <w:sz w:val="24"/>
                <w:szCs w:val="24"/>
              </w:rPr>
              <w:t>日</w:t>
            </w:r>
          </w:p>
        </w:tc>
      </w:tr>
      <w:tr w:rsidR="00CE3872" w:rsidTr="00BF6314">
        <w:tc>
          <w:tcPr>
            <w:tcW w:w="2835"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报告期末基金份额总额</w:t>
            </w:r>
          </w:p>
        </w:tc>
        <w:tc>
          <w:tcPr>
            <w:tcW w:w="5479"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1,511,789,624.88</w:t>
            </w:r>
            <w:r w:rsidRPr="00A76EB8">
              <w:rPr>
                <w:color w:val="000000" w:themeColor="text1"/>
                <w:kern w:val="0"/>
                <w:sz w:val="24"/>
                <w:szCs w:val="24"/>
              </w:rPr>
              <w:t>份</w:t>
            </w:r>
          </w:p>
        </w:tc>
      </w:tr>
      <w:tr w:rsidR="00CE3872" w:rsidTr="00BF6314">
        <w:tc>
          <w:tcPr>
            <w:tcW w:w="2835"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投资目标</w:t>
            </w:r>
          </w:p>
        </w:tc>
        <w:tc>
          <w:tcPr>
            <w:tcW w:w="5479"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在严格控制风险的前提下，力争获得超越业绩比较基准的投资收益。</w:t>
            </w:r>
          </w:p>
        </w:tc>
      </w:tr>
      <w:tr w:rsidR="00CE3872" w:rsidTr="00BF6314">
        <w:tc>
          <w:tcPr>
            <w:tcW w:w="2835"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投资策略</w:t>
            </w:r>
          </w:p>
        </w:tc>
        <w:tc>
          <w:tcPr>
            <w:tcW w:w="5479"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本基金充分考虑基金资产的安全性、收益性及流动性，在严格控制风险的前提下力争实现资产的稳定增值。在资产配置中，本基金以债券为主，通过密切关注债券市场变化，持续研究债券市场运行状况、研判市场风险，在确保资产稳定增值的基础上，</w:t>
            </w:r>
            <w:r w:rsidRPr="00A76EB8">
              <w:rPr>
                <w:color w:val="000000" w:themeColor="text1"/>
                <w:kern w:val="0"/>
                <w:sz w:val="24"/>
                <w:szCs w:val="24"/>
              </w:rPr>
              <w:lastRenderedPageBreak/>
              <w:t>通过积极主动的资产配置，力争实现超越业绩基准的投资收益。</w:t>
            </w:r>
          </w:p>
        </w:tc>
      </w:tr>
      <w:tr w:rsidR="00CE3872" w:rsidTr="00BF6314">
        <w:tc>
          <w:tcPr>
            <w:tcW w:w="2835"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lastRenderedPageBreak/>
              <w:t>业绩比较基准</w:t>
            </w:r>
          </w:p>
        </w:tc>
        <w:tc>
          <w:tcPr>
            <w:tcW w:w="5479"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本基金的业绩比较基准为：中债综合（全价）指数收益率</w:t>
            </w:r>
            <w:r w:rsidRPr="00A76EB8">
              <w:rPr>
                <w:color w:val="000000" w:themeColor="text1"/>
                <w:kern w:val="0"/>
                <w:sz w:val="24"/>
                <w:szCs w:val="24"/>
              </w:rPr>
              <w:t>×80%+</w:t>
            </w:r>
            <w:r w:rsidRPr="00A76EB8">
              <w:rPr>
                <w:color w:val="000000" w:themeColor="text1"/>
                <w:kern w:val="0"/>
                <w:sz w:val="24"/>
                <w:szCs w:val="24"/>
              </w:rPr>
              <w:t>一年期定期存款利率（税后）</w:t>
            </w:r>
            <w:r w:rsidRPr="00A76EB8">
              <w:rPr>
                <w:color w:val="000000" w:themeColor="text1"/>
                <w:kern w:val="0"/>
                <w:sz w:val="24"/>
                <w:szCs w:val="24"/>
              </w:rPr>
              <w:t>×20%</w:t>
            </w:r>
          </w:p>
        </w:tc>
      </w:tr>
      <w:tr w:rsidR="00CE3872" w:rsidTr="00BF6314">
        <w:tc>
          <w:tcPr>
            <w:tcW w:w="2835"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风险收益特征</w:t>
            </w:r>
          </w:p>
        </w:tc>
        <w:tc>
          <w:tcPr>
            <w:tcW w:w="5479"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本基金为债券型证券投资基金，属于较低预期收益、较低预期风险的证券投资基金品种，其预期收益和预期风险高于货币</w:t>
            </w:r>
            <w:r w:rsidRPr="00A76EB8">
              <w:rPr>
                <w:color w:val="000000" w:themeColor="text1"/>
                <w:kern w:val="0"/>
                <w:sz w:val="24"/>
                <w:szCs w:val="24"/>
              </w:rPr>
              <w:t>市场基金，但低于混合型基金、股票型基金。</w:t>
            </w:r>
          </w:p>
        </w:tc>
      </w:tr>
      <w:tr w:rsidR="00CE3872" w:rsidTr="00BF6314">
        <w:tc>
          <w:tcPr>
            <w:tcW w:w="2835"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基金管理人</w:t>
            </w:r>
          </w:p>
        </w:tc>
        <w:tc>
          <w:tcPr>
            <w:tcW w:w="5479"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金鹰基金管理有限公司</w:t>
            </w:r>
          </w:p>
        </w:tc>
      </w:tr>
      <w:tr w:rsidR="00CE3872" w:rsidTr="00BF6314">
        <w:tc>
          <w:tcPr>
            <w:tcW w:w="2835"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基金托管人</w:t>
            </w:r>
          </w:p>
        </w:tc>
        <w:tc>
          <w:tcPr>
            <w:tcW w:w="5479" w:type="dxa"/>
            <w:vAlign w:val="center"/>
          </w:tcPr>
          <w:p w:rsidR="001B2F35" w:rsidRPr="00A76EB8" w:rsidRDefault="007C128A" w:rsidP="00BF6314">
            <w:pPr>
              <w:adjustRightInd w:val="0"/>
              <w:spacing w:before="29" w:line="360" w:lineRule="auto"/>
              <w:ind w:left="17"/>
              <w:rPr>
                <w:color w:val="000000" w:themeColor="text1"/>
                <w:sz w:val="24"/>
                <w:szCs w:val="24"/>
              </w:rPr>
            </w:pPr>
            <w:r w:rsidRPr="00A76EB8">
              <w:rPr>
                <w:color w:val="000000" w:themeColor="text1"/>
                <w:kern w:val="0"/>
                <w:sz w:val="24"/>
                <w:szCs w:val="24"/>
              </w:rPr>
              <w:t>兴业银行股份有限公司</w:t>
            </w:r>
          </w:p>
        </w:tc>
      </w:tr>
    </w:tbl>
    <w:p w:rsidR="004061AC" w:rsidRPr="00A76EB8" w:rsidRDefault="007C128A" w:rsidP="007C128A">
      <w:pPr>
        <w:pStyle w:val="1"/>
        <w:spacing w:beforeLines="100" w:afterLines="100" w:line="360" w:lineRule="auto"/>
        <w:jc w:val="center"/>
        <w:rPr>
          <w:color w:val="000000" w:themeColor="text1"/>
          <w:kern w:val="0"/>
          <w:sz w:val="24"/>
          <w:szCs w:val="24"/>
        </w:rPr>
      </w:pPr>
      <w:r w:rsidRPr="00A76EB8">
        <w:rPr>
          <w:color w:val="000000" w:themeColor="text1"/>
          <w:kern w:val="0"/>
          <w:sz w:val="24"/>
          <w:szCs w:val="24"/>
        </w:rPr>
        <w:t xml:space="preserve">§3  </w:t>
      </w:r>
      <w:r w:rsidRPr="00A76EB8">
        <w:rPr>
          <w:color w:val="000000" w:themeColor="text1"/>
          <w:kern w:val="0"/>
          <w:sz w:val="24"/>
          <w:szCs w:val="24"/>
        </w:rPr>
        <w:t>主要财务指标和基金净值表现</w:t>
      </w:r>
    </w:p>
    <w:p w:rsidR="004061AC" w:rsidRPr="00A76EB8" w:rsidRDefault="007C128A"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3.1 </w:t>
      </w:r>
      <w:r w:rsidRPr="00A76EB8">
        <w:rPr>
          <w:b/>
          <w:bCs/>
          <w:color w:val="000000" w:themeColor="text1"/>
          <w:kern w:val="0"/>
          <w:sz w:val="24"/>
          <w:szCs w:val="24"/>
        </w:rPr>
        <w:t>主要财务指标</w:t>
      </w:r>
    </w:p>
    <w:p w:rsidR="004061AC" w:rsidRPr="00A76EB8" w:rsidRDefault="007C128A" w:rsidP="004061AC">
      <w:pPr>
        <w:autoSpaceDE w:val="0"/>
        <w:autoSpaceDN w:val="0"/>
        <w:adjustRightInd w:val="0"/>
        <w:spacing w:before="29" w:line="360" w:lineRule="auto"/>
        <w:ind w:left="15"/>
        <w:jc w:val="right"/>
        <w:rPr>
          <w:color w:val="000000" w:themeColor="text1"/>
          <w:kern w:val="0"/>
          <w:sz w:val="24"/>
          <w:szCs w:val="24"/>
        </w:rPr>
      </w:pPr>
      <w:r w:rsidRPr="00A76EB8">
        <w:rPr>
          <w:color w:val="000000" w:themeColor="text1"/>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820"/>
      </w:tblGrid>
      <w:tr w:rsidR="00CE3872" w:rsidTr="005814E7">
        <w:tc>
          <w:tcPr>
            <w:tcW w:w="3544" w:type="dxa"/>
            <w:vAlign w:val="center"/>
          </w:tcPr>
          <w:p w:rsidR="005814E7" w:rsidRPr="00A76EB8" w:rsidRDefault="007C128A" w:rsidP="00237F09">
            <w:pPr>
              <w:adjustRightInd w:val="0"/>
              <w:spacing w:before="29" w:line="360" w:lineRule="auto"/>
              <w:ind w:left="17"/>
              <w:jc w:val="center"/>
              <w:rPr>
                <w:color w:val="000000" w:themeColor="text1"/>
                <w:kern w:val="0"/>
                <w:sz w:val="24"/>
                <w:szCs w:val="24"/>
              </w:rPr>
            </w:pPr>
            <w:r w:rsidRPr="00A76EB8">
              <w:rPr>
                <w:color w:val="000000" w:themeColor="text1"/>
                <w:kern w:val="0"/>
                <w:sz w:val="24"/>
                <w:szCs w:val="24"/>
              </w:rPr>
              <w:t>主要财务指标</w:t>
            </w:r>
          </w:p>
        </w:tc>
        <w:tc>
          <w:tcPr>
            <w:tcW w:w="4820" w:type="dxa"/>
            <w:vAlign w:val="center"/>
          </w:tcPr>
          <w:p w:rsidR="005814E7" w:rsidRPr="00A76EB8" w:rsidRDefault="007C128A" w:rsidP="00237F09">
            <w:pPr>
              <w:adjustRightInd w:val="0"/>
              <w:spacing w:before="29" w:line="360" w:lineRule="auto"/>
              <w:ind w:left="17"/>
              <w:jc w:val="center"/>
              <w:rPr>
                <w:color w:val="000000" w:themeColor="text1"/>
                <w:sz w:val="24"/>
                <w:szCs w:val="24"/>
              </w:rPr>
            </w:pPr>
            <w:r w:rsidRPr="00A76EB8">
              <w:rPr>
                <w:color w:val="000000" w:themeColor="text1"/>
                <w:sz w:val="24"/>
                <w:szCs w:val="24"/>
              </w:rPr>
              <w:t>报告期</w:t>
            </w:r>
          </w:p>
          <w:p w:rsidR="005814E7" w:rsidRPr="00A76EB8" w:rsidRDefault="007C128A" w:rsidP="00237F09">
            <w:pPr>
              <w:adjustRightInd w:val="0"/>
              <w:spacing w:before="29" w:line="360" w:lineRule="auto"/>
              <w:ind w:left="17"/>
              <w:jc w:val="center"/>
              <w:rPr>
                <w:color w:val="000000" w:themeColor="text1"/>
                <w:sz w:val="24"/>
                <w:szCs w:val="24"/>
              </w:rPr>
            </w:pPr>
            <w:r w:rsidRPr="00A76EB8">
              <w:rPr>
                <w:color w:val="000000" w:themeColor="text1"/>
                <w:sz w:val="24"/>
                <w:szCs w:val="24"/>
              </w:rPr>
              <w:t>(2019</w:t>
            </w:r>
            <w:r w:rsidRPr="00A76EB8">
              <w:rPr>
                <w:color w:val="000000" w:themeColor="text1"/>
                <w:sz w:val="24"/>
                <w:szCs w:val="24"/>
              </w:rPr>
              <w:t>年</w:t>
            </w:r>
            <w:r w:rsidRPr="00A76EB8">
              <w:rPr>
                <w:color w:val="000000" w:themeColor="text1"/>
                <w:sz w:val="24"/>
                <w:szCs w:val="24"/>
              </w:rPr>
              <w:t>4</w:t>
            </w:r>
            <w:r w:rsidRPr="00A76EB8">
              <w:rPr>
                <w:color w:val="000000" w:themeColor="text1"/>
                <w:sz w:val="24"/>
                <w:szCs w:val="24"/>
              </w:rPr>
              <w:t>月</w:t>
            </w:r>
            <w:r w:rsidRPr="00A76EB8">
              <w:rPr>
                <w:color w:val="000000" w:themeColor="text1"/>
                <w:sz w:val="24"/>
                <w:szCs w:val="24"/>
              </w:rPr>
              <w:t>1</w:t>
            </w:r>
            <w:r w:rsidRPr="00A76EB8">
              <w:rPr>
                <w:color w:val="000000" w:themeColor="text1"/>
                <w:sz w:val="24"/>
                <w:szCs w:val="24"/>
              </w:rPr>
              <w:t>日</w:t>
            </w:r>
            <w:r w:rsidRPr="00A76EB8">
              <w:rPr>
                <w:color w:val="000000" w:themeColor="text1"/>
                <w:sz w:val="24"/>
                <w:szCs w:val="24"/>
              </w:rPr>
              <w:t>-2019</w:t>
            </w:r>
            <w:r w:rsidRPr="00A76EB8">
              <w:rPr>
                <w:color w:val="000000" w:themeColor="text1"/>
                <w:sz w:val="24"/>
                <w:szCs w:val="24"/>
              </w:rPr>
              <w:t>年</w:t>
            </w:r>
            <w:r w:rsidRPr="00A76EB8">
              <w:rPr>
                <w:color w:val="000000" w:themeColor="text1"/>
                <w:sz w:val="24"/>
                <w:szCs w:val="24"/>
              </w:rPr>
              <w:t>6</w:t>
            </w:r>
            <w:r w:rsidRPr="00A76EB8">
              <w:rPr>
                <w:color w:val="000000" w:themeColor="text1"/>
                <w:sz w:val="24"/>
                <w:szCs w:val="24"/>
              </w:rPr>
              <w:t>月</w:t>
            </w:r>
            <w:r w:rsidRPr="00A76EB8">
              <w:rPr>
                <w:color w:val="000000" w:themeColor="text1"/>
                <w:sz w:val="24"/>
                <w:szCs w:val="24"/>
              </w:rPr>
              <w:t>30</w:t>
            </w:r>
            <w:r w:rsidRPr="00A76EB8">
              <w:rPr>
                <w:color w:val="000000" w:themeColor="text1"/>
                <w:sz w:val="24"/>
                <w:szCs w:val="24"/>
              </w:rPr>
              <w:t>日</w:t>
            </w:r>
            <w:r w:rsidRPr="00A76EB8">
              <w:rPr>
                <w:color w:val="000000" w:themeColor="text1"/>
                <w:sz w:val="24"/>
                <w:szCs w:val="24"/>
              </w:rPr>
              <w:t>)</w:t>
            </w:r>
          </w:p>
        </w:tc>
      </w:tr>
      <w:tr w:rsidR="00CE3872" w:rsidTr="005814E7">
        <w:tc>
          <w:tcPr>
            <w:tcW w:w="3544" w:type="dxa"/>
            <w:vAlign w:val="center"/>
          </w:tcPr>
          <w:p w:rsidR="005814E7" w:rsidRPr="00A76EB8" w:rsidRDefault="007C128A" w:rsidP="00237F09">
            <w:pPr>
              <w:adjustRightInd w:val="0"/>
              <w:spacing w:before="29" w:line="360" w:lineRule="auto"/>
              <w:ind w:left="17"/>
              <w:rPr>
                <w:color w:val="000000" w:themeColor="text1"/>
                <w:kern w:val="0"/>
                <w:sz w:val="24"/>
                <w:szCs w:val="24"/>
              </w:rPr>
            </w:pPr>
            <w:r w:rsidRPr="00A76EB8">
              <w:rPr>
                <w:color w:val="000000" w:themeColor="text1"/>
                <w:kern w:val="0"/>
                <w:sz w:val="24"/>
                <w:szCs w:val="24"/>
              </w:rPr>
              <w:t>1.</w:t>
            </w:r>
            <w:r w:rsidRPr="00A76EB8">
              <w:rPr>
                <w:color w:val="000000" w:themeColor="text1"/>
                <w:kern w:val="0"/>
                <w:sz w:val="24"/>
                <w:szCs w:val="24"/>
              </w:rPr>
              <w:t>本期已实现收益</w:t>
            </w:r>
          </w:p>
        </w:tc>
        <w:tc>
          <w:tcPr>
            <w:tcW w:w="4820" w:type="dxa"/>
            <w:vAlign w:val="center"/>
          </w:tcPr>
          <w:p w:rsidR="005814E7" w:rsidRPr="00A76EB8" w:rsidRDefault="007C128A" w:rsidP="00237F09">
            <w:pPr>
              <w:adjustRightInd w:val="0"/>
              <w:spacing w:before="29" w:line="360" w:lineRule="auto"/>
              <w:ind w:left="17"/>
              <w:jc w:val="right"/>
              <w:rPr>
                <w:color w:val="000000" w:themeColor="text1"/>
                <w:sz w:val="24"/>
                <w:szCs w:val="24"/>
              </w:rPr>
            </w:pPr>
            <w:r w:rsidRPr="00A76EB8">
              <w:rPr>
                <w:color w:val="000000" w:themeColor="text1"/>
                <w:sz w:val="24"/>
                <w:szCs w:val="24"/>
              </w:rPr>
              <w:t>16,301,166.44</w:t>
            </w:r>
          </w:p>
        </w:tc>
      </w:tr>
      <w:tr w:rsidR="00CE3872" w:rsidTr="005814E7">
        <w:tc>
          <w:tcPr>
            <w:tcW w:w="3544" w:type="dxa"/>
            <w:vAlign w:val="center"/>
          </w:tcPr>
          <w:p w:rsidR="005814E7" w:rsidRPr="00A76EB8" w:rsidRDefault="007C128A" w:rsidP="00237F09">
            <w:pPr>
              <w:adjustRightInd w:val="0"/>
              <w:spacing w:before="29" w:line="360" w:lineRule="auto"/>
              <w:ind w:left="17"/>
              <w:rPr>
                <w:color w:val="000000" w:themeColor="text1"/>
                <w:kern w:val="0"/>
                <w:sz w:val="24"/>
                <w:szCs w:val="24"/>
              </w:rPr>
            </w:pPr>
            <w:r w:rsidRPr="00A76EB8">
              <w:rPr>
                <w:color w:val="000000" w:themeColor="text1"/>
                <w:kern w:val="0"/>
                <w:sz w:val="24"/>
                <w:szCs w:val="24"/>
              </w:rPr>
              <w:t>2.</w:t>
            </w:r>
            <w:r w:rsidRPr="00A76EB8">
              <w:rPr>
                <w:color w:val="000000" w:themeColor="text1"/>
                <w:kern w:val="0"/>
                <w:sz w:val="24"/>
                <w:szCs w:val="24"/>
              </w:rPr>
              <w:t>本期利润</w:t>
            </w:r>
          </w:p>
        </w:tc>
        <w:tc>
          <w:tcPr>
            <w:tcW w:w="4820" w:type="dxa"/>
            <w:vAlign w:val="center"/>
          </w:tcPr>
          <w:p w:rsidR="005814E7" w:rsidRPr="00A76EB8" w:rsidRDefault="007C128A" w:rsidP="00237F09">
            <w:pPr>
              <w:adjustRightInd w:val="0"/>
              <w:spacing w:before="29" w:line="360" w:lineRule="auto"/>
              <w:ind w:left="17"/>
              <w:jc w:val="right"/>
              <w:rPr>
                <w:color w:val="000000" w:themeColor="text1"/>
                <w:sz w:val="24"/>
                <w:szCs w:val="24"/>
              </w:rPr>
            </w:pPr>
            <w:r w:rsidRPr="00A76EB8">
              <w:rPr>
                <w:color w:val="000000" w:themeColor="text1"/>
                <w:sz w:val="24"/>
                <w:szCs w:val="24"/>
              </w:rPr>
              <w:t>13,538,696.44</w:t>
            </w:r>
          </w:p>
        </w:tc>
      </w:tr>
      <w:tr w:rsidR="00CE3872" w:rsidTr="005814E7">
        <w:tc>
          <w:tcPr>
            <w:tcW w:w="3544" w:type="dxa"/>
            <w:vAlign w:val="center"/>
          </w:tcPr>
          <w:p w:rsidR="005814E7" w:rsidRPr="00A76EB8" w:rsidRDefault="007C128A" w:rsidP="00237F09">
            <w:pPr>
              <w:adjustRightInd w:val="0"/>
              <w:spacing w:before="29" w:line="360" w:lineRule="auto"/>
              <w:ind w:left="17"/>
              <w:rPr>
                <w:color w:val="000000" w:themeColor="text1"/>
                <w:kern w:val="0"/>
                <w:sz w:val="24"/>
                <w:szCs w:val="24"/>
              </w:rPr>
            </w:pPr>
            <w:r w:rsidRPr="00A76EB8">
              <w:rPr>
                <w:color w:val="000000" w:themeColor="text1"/>
                <w:kern w:val="0"/>
                <w:sz w:val="24"/>
                <w:szCs w:val="24"/>
              </w:rPr>
              <w:t>3.</w:t>
            </w:r>
            <w:r w:rsidRPr="00A76EB8">
              <w:rPr>
                <w:color w:val="000000" w:themeColor="text1"/>
                <w:kern w:val="0"/>
                <w:sz w:val="24"/>
                <w:szCs w:val="24"/>
              </w:rPr>
              <w:t>加权平均基金份额本期利润</w:t>
            </w:r>
          </w:p>
        </w:tc>
        <w:tc>
          <w:tcPr>
            <w:tcW w:w="4820" w:type="dxa"/>
            <w:vAlign w:val="center"/>
          </w:tcPr>
          <w:p w:rsidR="005814E7" w:rsidRPr="00A76EB8" w:rsidRDefault="007C128A" w:rsidP="00237F09">
            <w:pPr>
              <w:adjustRightInd w:val="0"/>
              <w:spacing w:before="29" w:line="360" w:lineRule="auto"/>
              <w:ind w:left="17"/>
              <w:jc w:val="right"/>
              <w:rPr>
                <w:color w:val="000000" w:themeColor="text1"/>
                <w:sz w:val="24"/>
                <w:szCs w:val="24"/>
              </w:rPr>
            </w:pPr>
            <w:r w:rsidRPr="00A76EB8">
              <w:rPr>
                <w:color w:val="000000" w:themeColor="text1"/>
                <w:sz w:val="24"/>
                <w:szCs w:val="24"/>
              </w:rPr>
              <w:t>0.0090</w:t>
            </w:r>
          </w:p>
        </w:tc>
      </w:tr>
      <w:tr w:rsidR="00CE3872" w:rsidTr="005814E7">
        <w:tc>
          <w:tcPr>
            <w:tcW w:w="3544" w:type="dxa"/>
            <w:vAlign w:val="center"/>
          </w:tcPr>
          <w:p w:rsidR="005814E7" w:rsidRPr="00A76EB8" w:rsidRDefault="007C128A" w:rsidP="00237F09">
            <w:pPr>
              <w:adjustRightInd w:val="0"/>
              <w:spacing w:before="29" w:line="360" w:lineRule="auto"/>
              <w:ind w:left="17"/>
              <w:rPr>
                <w:color w:val="000000" w:themeColor="text1"/>
                <w:kern w:val="0"/>
                <w:sz w:val="24"/>
                <w:szCs w:val="24"/>
              </w:rPr>
            </w:pPr>
            <w:r w:rsidRPr="00A76EB8">
              <w:rPr>
                <w:color w:val="000000" w:themeColor="text1"/>
                <w:kern w:val="0"/>
                <w:sz w:val="24"/>
                <w:szCs w:val="24"/>
              </w:rPr>
              <w:t>4.</w:t>
            </w:r>
            <w:r w:rsidRPr="00A76EB8">
              <w:rPr>
                <w:color w:val="000000" w:themeColor="text1"/>
                <w:kern w:val="0"/>
                <w:sz w:val="24"/>
                <w:szCs w:val="24"/>
              </w:rPr>
              <w:t>期末基金资产净值</w:t>
            </w:r>
          </w:p>
        </w:tc>
        <w:tc>
          <w:tcPr>
            <w:tcW w:w="4820" w:type="dxa"/>
            <w:vAlign w:val="center"/>
          </w:tcPr>
          <w:p w:rsidR="005814E7" w:rsidRPr="00A76EB8" w:rsidRDefault="007C128A" w:rsidP="00237F09">
            <w:pPr>
              <w:adjustRightInd w:val="0"/>
              <w:spacing w:before="29" w:line="360" w:lineRule="auto"/>
              <w:ind w:left="17"/>
              <w:jc w:val="right"/>
              <w:rPr>
                <w:color w:val="000000" w:themeColor="text1"/>
                <w:sz w:val="24"/>
                <w:szCs w:val="24"/>
              </w:rPr>
            </w:pPr>
            <w:r w:rsidRPr="00A76EB8">
              <w:rPr>
                <w:color w:val="000000" w:themeColor="text1"/>
                <w:sz w:val="24"/>
                <w:szCs w:val="24"/>
              </w:rPr>
              <w:t>1,552,041,883.71</w:t>
            </w:r>
          </w:p>
        </w:tc>
      </w:tr>
      <w:tr w:rsidR="00CE3872" w:rsidTr="005814E7">
        <w:trPr>
          <w:trHeight w:val="158"/>
        </w:trPr>
        <w:tc>
          <w:tcPr>
            <w:tcW w:w="3544" w:type="dxa"/>
            <w:vAlign w:val="center"/>
          </w:tcPr>
          <w:p w:rsidR="005814E7" w:rsidRPr="00A76EB8" w:rsidRDefault="007C128A" w:rsidP="00237F09">
            <w:pPr>
              <w:adjustRightInd w:val="0"/>
              <w:spacing w:before="29" w:line="360" w:lineRule="auto"/>
              <w:ind w:left="17"/>
              <w:rPr>
                <w:color w:val="000000" w:themeColor="text1"/>
                <w:kern w:val="0"/>
                <w:sz w:val="24"/>
                <w:szCs w:val="24"/>
              </w:rPr>
            </w:pPr>
            <w:r w:rsidRPr="00A76EB8">
              <w:rPr>
                <w:color w:val="000000" w:themeColor="text1"/>
                <w:kern w:val="0"/>
                <w:sz w:val="24"/>
                <w:szCs w:val="24"/>
              </w:rPr>
              <w:t>5.</w:t>
            </w:r>
            <w:r w:rsidRPr="00A76EB8">
              <w:rPr>
                <w:color w:val="000000" w:themeColor="text1"/>
                <w:kern w:val="0"/>
                <w:sz w:val="24"/>
                <w:szCs w:val="24"/>
              </w:rPr>
              <w:t>期末基金份额净值</w:t>
            </w:r>
          </w:p>
        </w:tc>
        <w:tc>
          <w:tcPr>
            <w:tcW w:w="4820" w:type="dxa"/>
            <w:vAlign w:val="center"/>
          </w:tcPr>
          <w:p w:rsidR="005814E7" w:rsidRPr="00A76EB8" w:rsidRDefault="007C128A" w:rsidP="00237F09">
            <w:pPr>
              <w:adjustRightInd w:val="0"/>
              <w:spacing w:before="29" w:line="360" w:lineRule="auto"/>
              <w:ind w:left="17"/>
              <w:jc w:val="right"/>
              <w:rPr>
                <w:color w:val="000000" w:themeColor="text1"/>
                <w:sz w:val="24"/>
                <w:szCs w:val="24"/>
              </w:rPr>
            </w:pPr>
            <w:r w:rsidRPr="00A76EB8">
              <w:rPr>
                <w:color w:val="000000" w:themeColor="text1"/>
                <w:sz w:val="24"/>
                <w:szCs w:val="24"/>
              </w:rPr>
              <w:t>1.0266</w:t>
            </w:r>
          </w:p>
        </w:tc>
      </w:tr>
    </w:tbl>
    <w:p w:rsidR="00CE3872" w:rsidRDefault="007C128A">
      <w:pPr>
        <w:autoSpaceDE w:val="0"/>
        <w:autoSpaceDN w:val="0"/>
        <w:adjustRightInd w:val="0"/>
        <w:spacing w:line="360" w:lineRule="auto"/>
        <w:jc w:val="left"/>
        <w:rPr>
          <w:color w:val="000000" w:themeColor="text1"/>
          <w:sz w:val="24"/>
          <w:szCs w:val="24"/>
        </w:rPr>
      </w:pPr>
      <w:r>
        <w:rPr>
          <w:color w:val="000000" w:themeColor="text1"/>
          <w:sz w:val="24"/>
          <w:szCs w:val="24"/>
        </w:rPr>
        <w:t>注：</w:t>
      </w:r>
      <w:r>
        <w:rPr>
          <w:color w:val="000000" w:themeColor="text1"/>
          <w:sz w:val="24"/>
          <w:szCs w:val="24"/>
        </w:rPr>
        <w:t>1</w:t>
      </w:r>
      <w:r>
        <w:rPr>
          <w:color w:val="000000" w:themeColor="text1"/>
          <w:sz w:val="24"/>
          <w:szCs w:val="24"/>
        </w:rPr>
        <w:t>、本期已实现收益指基金本期利息收入、投资收益、其他收入（不含公允价值变动收益）扣除相关费用后的余额；</w:t>
      </w:r>
    </w:p>
    <w:p w:rsidR="00CE3872" w:rsidRDefault="007C128A">
      <w:pPr>
        <w:autoSpaceDE w:val="0"/>
        <w:autoSpaceDN w:val="0"/>
        <w:adjustRightInd w:val="0"/>
        <w:spacing w:line="360" w:lineRule="auto"/>
        <w:jc w:val="left"/>
        <w:rPr>
          <w:color w:val="000000" w:themeColor="text1"/>
          <w:sz w:val="24"/>
          <w:szCs w:val="24"/>
        </w:rPr>
      </w:pPr>
      <w:r>
        <w:rPr>
          <w:color w:val="000000" w:themeColor="text1"/>
          <w:sz w:val="24"/>
          <w:szCs w:val="24"/>
        </w:rPr>
        <w:t>2</w:t>
      </w:r>
      <w:r>
        <w:rPr>
          <w:color w:val="000000" w:themeColor="text1"/>
          <w:sz w:val="24"/>
          <w:szCs w:val="24"/>
        </w:rPr>
        <w:t>、本期利润为本期已实现收益加上本期公允价值变动收益；</w:t>
      </w:r>
    </w:p>
    <w:p w:rsidR="00CE3872" w:rsidRDefault="007C128A">
      <w:pPr>
        <w:autoSpaceDE w:val="0"/>
        <w:autoSpaceDN w:val="0"/>
        <w:adjustRightInd w:val="0"/>
        <w:spacing w:line="360" w:lineRule="auto"/>
        <w:jc w:val="left"/>
        <w:rPr>
          <w:color w:val="000000" w:themeColor="text1"/>
          <w:sz w:val="24"/>
          <w:szCs w:val="24"/>
        </w:rPr>
      </w:pPr>
      <w:r>
        <w:rPr>
          <w:color w:val="000000" w:themeColor="text1"/>
          <w:sz w:val="24"/>
          <w:szCs w:val="24"/>
        </w:rPr>
        <w:t>3</w:t>
      </w:r>
      <w:r>
        <w:rPr>
          <w:color w:val="000000" w:themeColor="text1"/>
          <w:sz w:val="24"/>
          <w:szCs w:val="24"/>
        </w:rPr>
        <w:t>、期末可供分配利润，指期末资产负债表中未分配利润与未分配利润中已实现部分的孰低数（为期末余额，不是当期发生数）。</w:t>
      </w:r>
    </w:p>
    <w:p w:rsidR="004061AC" w:rsidRPr="00A76EB8" w:rsidRDefault="007C128A"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4</w:t>
      </w:r>
      <w:r w:rsidRPr="00A76EB8">
        <w:rPr>
          <w:color w:val="000000" w:themeColor="text1"/>
          <w:sz w:val="24"/>
          <w:szCs w:val="24"/>
        </w:rPr>
        <w:t>、上述基金业绩指标不包括持有人认购或交易基金的各项费用，计入费用后实际收益水平要低于所列数字。</w:t>
      </w:r>
    </w:p>
    <w:p w:rsidR="004061AC" w:rsidRPr="00A76EB8" w:rsidRDefault="007C128A" w:rsidP="004061AC">
      <w:pPr>
        <w:autoSpaceDE w:val="0"/>
        <w:autoSpaceDN w:val="0"/>
        <w:adjustRightInd w:val="0"/>
        <w:spacing w:line="360" w:lineRule="auto"/>
        <w:jc w:val="left"/>
        <w:rPr>
          <w:color w:val="000000" w:themeColor="text1"/>
          <w:kern w:val="0"/>
          <w:sz w:val="24"/>
          <w:szCs w:val="24"/>
        </w:rPr>
      </w:pPr>
    </w:p>
    <w:p w:rsidR="004061AC" w:rsidRPr="00A76EB8" w:rsidRDefault="007C128A"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3.2 </w:t>
      </w:r>
      <w:r w:rsidRPr="00A76EB8">
        <w:rPr>
          <w:b/>
          <w:bCs/>
          <w:color w:val="000000" w:themeColor="text1"/>
          <w:kern w:val="0"/>
          <w:sz w:val="24"/>
          <w:szCs w:val="24"/>
        </w:rPr>
        <w:t>基金净值表现</w:t>
      </w:r>
    </w:p>
    <w:p w:rsidR="00CF6572" w:rsidRPr="00A76EB8" w:rsidRDefault="007C128A"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3.2.1 </w:t>
      </w:r>
      <w:r w:rsidRPr="00A76EB8">
        <w:rPr>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CE3872" w:rsidTr="00BD7703">
        <w:tc>
          <w:tcPr>
            <w:tcW w:w="1395" w:type="dxa"/>
            <w:vAlign w:val="center"/>
          </w:tcPr>
          <w:p w:rsidR="00154BE1" w:rsidRPr="00A76EB8" w:rsidRDefault="007C128A" w:rsidP="00CF6572">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阶段</w:t>
            </w:r>
          </w:p>
        </w:tc>
        <w:tc>
          <w:tcPr>
            <w:tcW w:w="1092" w:type="dxa"/>
            <w:vAlign w:val="center"/>
          </w:tcPr>
          <w:p w:rsidR="00154BE1" w:rsidRPr="00A76EB8" w:rsidRDefault="007C128A" w:rsidP="00CF6572">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净值增长率</w:t>
            </w:r>
            <w:r w:rsidRPr="00A76EB8">
              <w:rPr>
                <w:rFonts w:ascii="宋体" w:hAnsi="宋体" w:cs="宋体" w:hint="eastAsia"/>
                <w:color w:val="000000" w:themeColor="text1"/>
                <w:sz w:val="24"/>
                <w:szCs w:val="24"/>
              </w:rPr>
              <w:t>①</w:t>
            </w:r>
          </w:p>
        </w:tc>
        <w:tc>
          <w:tcPr>
            <w:tcW w:w="1161" w:type="dxa"/>
            <w:vAlign w:val="center"/>
          </w:tcPr>
          <w:p w:rsidR="00154BE1" w:rsidRPr="00A76EB8" w:rsidRDefault="007C128A" w:rsidP="00CF6572">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净值增长率标准差</w:t>
            </w:r>
            <w:r w:rsidRPr="00A76EB8">
              <w:rPr>
                <w:rFonts w:ascii="宋体" w:hAnsi="宋体" w:cs="宋体" w:hint="eastAsia"/>
                <w:color w:val="000000" w:themeColor="text1"/>
                <w:sz w:val="24"/>
                <w:szCs w:val="24"/>
              </w:rPr>
              <w:t>②</w:t>
            </w:r>
          </w:p>
        </w:tc>
        <w:tc>
          <w:tcPr>
            <w:tcW w:w="1181" w:type="dxa"/>
            <w:vAlign w:val="center"/>
          </w:tcPr>
          <w:p w:rsidR="00154BE1" w:rsidRPr="00A76EB8" w:rsidRDefault="007C128A" w:rsidP="00CF6572">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业绩比较基准收益率</w:t>
            </w:r>
            <w:r w:rsidRPr="00A76EB8">
              <w:rPr>
                <w:rFonts w:ascii="宋体" w:hAnsi="宋体" w:cs="宋体" w:hint="eastAsia"/>
                <w:color w:val="000000" w:themeColor="text1"/>
                <w:sz w:val="24"/>
                <w:szCs w:val="24"/>
              </w:rPr>
              <w:t>③</w:t>
            </w:r>
          </w:p>
        </w:tc>
        <w:tc>
          <w:tcPr>
            <w:tcW w:w="1188" w:type="dxa"/>
            <w:vAlign w:val="center"/>
          </w:tcPr>
          <w:p w:rsidR="00154BE1" w:rsidRPr="00A76EB8" w:rsidRDefault="007C128A" w:rsidP="00CF6572">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业绩比较基准收益率标准差</w:t>
            </w:r>
            <w:r w:rsidRPr="00A76EB8">
              <w:rPr>
                <w:rFonts w:ascii="宋体" w:hAnsi="宋体" w:cs="宋体" w:hint="eastAsia"/>
                <w:color w:val="000000" w:themeColor="text1"/>
                <w:sz w:val="24"/>
                <w:szCs w:val="24"/>
              </w:rPr>
              <w:t>④</w:t>
            </w:r>
          </w:p>
        </w:tc>
        <w:tc>
          <w:tcPr>
            <w:tcW w:w="1199" w:type="dxa"/>
            <w:vAlign w:val="center"/>
          </w:tcPr>
          <w:p w:rsidR="00154BE1" w:rsidRPr="00A76EB8" w:rsidRDefault="007C128A" w:rsidP="00CF6572">
            <w:pPr>
              <w:autoSpaceDE w:val="0"/>
              <w:autoSpaceDN w:val="0"/>
              <w:adjustRightInd w:val="0"/>
              <w:spacing w:before="29" w:line="360" w:lineRule="auto"/>
              <w:ind w:left="17"/>
              <w:jc w:val="center"/>
              <w:rPr>
                <w:color w:val="000000" w:themeColor="text1"/>
                <w:sz w:val="24"/>
                <w:szCs w:val="24"/>
              </w:rPr>
            </w:pPr>
            <w:r w:rsidRPr="00A76EB8">
              <w:rPr>
                <w:rFonts w:ascii="宋体" w:hAnsi="宋体" w:cs="宋体" w:hint="eastAsia"/>
                <w:color w:val="000000" w:themeColor="text1"/>
                <w:sz w:val="24"/>
                <w:szCs w:val="24"/>
              </w:rPr>
              <w:t>①</w:t>
            </w:r>
            <w:r w:rsidRPr="00A76EB8">
              <w:rPr>
                <w:color w:val="000000" w:themeColor="text1"/>
                <w:sz w:val="24"/>
                <w:szCs w:val="24"/>
              </w:rPr>
              <w:t>-</w:t>
            </w:r>
            <w:r w:rsidRPr="00A76EB8">
              <w:rPr>
                <w:rFonts w:ascii="宋体" w:hAnsi="宋体" w:cs="宋体" w:hint="eastAsia"/>
                <w:color w:val="000000" w:themeColor="text1"/>
                <w:sz w:val="24"/>
                <w:szCs w:val="24"/>
              </w:rPr>
              <w:t>③</w:t>
            </w:r>
          </w:p>
        </w:tc>
        <w:tc>
          <w:tcPr>
            <w:tcW w:w="1204" w:type="dxa"/>
            <w:vAlign w:val="center"/>
          </w:tcPr>
          <w:p w:rsidR="00154BE1" w:rsidRPr="00A76EB8" w:rsidRDefault="007C128A" w:rsidP="00CF6572">
            <w:pPr>
              <w:autoSpaceDE w:val="0"/>
              <w:autoSpaceDN w:val="0"/>
              <w:adjustRightInd w:val="0"/>
              <w:spacing w:before="29" w:line="360" w:lineRule="auto"/>
              <w:ind w:left="17"/>
              <w:jc w:val="center"/>
              <w:rPr>
                <w:color w:val="000000" w:themeColor="text1"/>
                <w:sz w:val="24"/>
                <w:szCs w:val="24"/>
              </w:rPr>
            </w:pPr>
            <w:r w:rsidRPr="00A76EB8">
              <w:rPr>
                <w:rFonts w:ascii="宋体" w:hAnsi="宋体" w:cs="宋体" w:hint="eastAsia"/>
                <w:color w:val="000000" w:themeColor="text1"/>
                <w:sz w:val="24"/>
                <w:szCs w:val="24"/>
              </w:rPr>
              <w:t>②</w:t>
            </w:r>
            <w:r w:rsidRPr="00A76EB8">
              <w:rPr>
                <w:color w:val="000000" w:themeColor="text1"/>
                <w:sz w:val="24"/>
                <w:szCs w:val="24"/>
              </w:rPr>
              <w:t>-</w:t>
            </w:r>
            <w:r w:rsidRPr="00A76EB8">
              <w:rPr>
                <w:rFonts w:ascii="宋体" w:hAnsi="宋体" w:cs="宋体" w:hint="eastAsia"/>
                <w:color w:val="000000" w:themeColor="text1"/>
                <w:sz w:val="24"/>
                <w:szCs w:val="24"/>
              </w:rPr>
              <w:t>④</w:t>
            </w:r>
          </w:p>
        </w:tc>
      </w:tr>
      <w:tr w:rsidR="00CE3872">
        <w:tc>
          <w:tcPr>
            <w:tcW w:w="1395" w:type="dxa"/>
            <w:vAlign w:val="center"/>
          </w:tcPr>
          <w:p w:rsidR="00CE3872" w:rsidRDefault="007C128A">
            <w:pPr>
              <w:jc w:val="left"/>
            </w:pPr>
            <w:r>
              <w:rPr>
                <w:color w:val="000000" w:themeColor="text1"/>
                <w:sz w:val="24"/>
                <w:szCs w:val="24"/>
              </w:rPr>
              <w:t>过去三个月</w:t>
            </w:r>
          </w:p>
        </w:tc>
        <w:tc>
          <w:tcPr>
            <w:tcW w:w="1092" w:type="dxa"/>
            <w:vAlign w:val="center"/>
          </w:tcPr>
          <w:p w:rsidR="00CE3872" w:rsidRDefault="007C128A">
            <w:pPr>
              <w:jc w:val="center"/>
            </w:pPr>
            <w:r>
              <w:rPr>
                <w:color w:val="000000" w:themeColor="text1"/>
                <w:sz w:val="24"/>
                <w:szCs w:val="24"/>
              </w:rPr>
              <w:t>0.87%</w:t>
            </w:r>
          </w:p>
        </w:tc>
        <w:tc>
          <w:tcPr>
            <w:tcW w:w="1161" w:type="dxa"/>
            <w:vAlign w:val="center"/>
          </w:tcPr>
          <w:p w:rsidR="00CE3872" w:rsidRDefault="007C128A">
            <w:pPr>
              <w:jc w:val="center"/>
            </w:pPr>
            <w:r>
              <w:rPr>
                <w:color w:val="000000" w:themeColor="text1"/>
                <w:sz w:val="24"/>
                <w:szCs w:val="24"/>
              </w:rPr>
              <w:t>0.03%</w:t>
            </w:r>
          </w:p>
        </w:tc>
        <w:tc>
          <w:tcPr>
            <w:tcW w:w="1181" w:type="dxa"/>
            <w:vAlign w:val="center"/>
          </w:tcPr>
          <w:p w:rsidR="00CE3872" w:rsidRDefault="007C128A">
            <w:pPr>
              <w:jc w:val="center"/>
            </w:pPr>
            <w:r>
              <w:rPr>
                <w:color w:val="000000" w:themeColor="text1"/>
                <w:sz w:val="24"/>
                <w:szCs w:val="24"/>
              </w:rPr>
              <w:t>-0.11%</w:t>
            </w:r>
          </w:p>
        </w:tc>
        <w:tc>
          <w:tcPr>
            <w:tcW w:w="1188" w:type="dxa"/>
            <w:vAlign w:val="center"/>
          </w:tcPr>
          <w:p w:rsidR="00CE3872" w:rsidRDefault="007C128A">
            <w:pPr>
              <w:jc w:val="center"/>
            </w:pPr>
            <w:r>
              <w:rPr>
                <w:color w:val="000000" w:themeColor="text1"/>
                <w:sz w:val="24"/>
                <w:szCs w:val="24"/>
              </w:rPr>
              <w:t>0.05%</w:t>
            </w:r>
          </w:p>
        </w:tc>
        <w:tc>
          <w:tcPr>
            <w:tcW w:w="1199" w:type="dxa"/>
            <w:vAlign w:val="center"/>
          </w:tcPr>
          <w:p w:rsidR="00CE3872" w:rsidRDefault="007C128A">
            <w:pPr>
              <w:jc w:val="center"/>
            </w:pPr>
            <w:r>
              <w:rPr>
                <w:color w:val="000000" w:themeColor="text1"/>
                <w:sz w:val="24"/>
                <w:szCs w:val="24"/>
              </w:rPr>
              <w:t>0.98%</w:t>
            </w:r>
          </w:p>
        </w:tc>
        <w:tc>
          <w:tcPr>
            <w:tcW w:w="1204" w:type="dxa"/>
            <w:vAlign w:val="center"/>
          </w:tcPr>
          <w:p w:rsidR="00CE3872" w:rsidRDefault="007C128A">
            <w:pPr>
              <w:jc w:val="center"/>
            </w:pPr>
            <w:r>
              <w:rPr>
                <w:color w:val="000000" w:themeColor="text1"/>
                <w:sz w:val="24"/>
                <w:szCs w:val="24"/>
              </w:rPr>
              <w:t>-0.02%</w:t>
            </w:r>
          </w:p>
        </w:tc>
      </w:tr>
    </w:tbl>
    <w:p w:rsidR="004061AC" w:rsidRPr="00A76EB8" w:rsidRDefault="007C128A" w:rsidP="004061AC">
      <w:pPr>
        <w:autoSpaceDE w:val="0"/>
        <w:autoSpaceDN w:val="0"/>
        <w:adjustRightInd w:val="0"/>
        <w:spacing w:line="360" w:lineRule="auto"/>
        <w:jc w:val="left"/>
        <w:rPr>
          <w:color w:val="000000" w:themeColor="text1"/>
          <w:kern w:val="0"/>
          <w:sz w:val="24"/>
          <w:szCs w:val="24"/>
        </w:rPr>
      </w:pPr>
    </w:p>
    <w:p w:rsidR="004061AC" w:rsidRPr="00A76EB8" w:rsidRDefault="007C128A"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3.2.2</w:t>
      </w:r>
      <w:r w:rsidRPr="00A76EB8">
        <w:rPr>
          <w:rStyle w:val="afb"/>
          <w:color w:val="000000" w:themeColor="text1"/>
          <w:sz w:val="24"/>
          <w:szCs w:val="24"/>
          <w:shd w:val="clear" w:color="auto" w:fill="FFFFFF"/>
        </w:rPr>
        <w:t>自基金转型以来</w:t>
      </w:r>
      <w:r w:rsidRPr="00A76EB8">
        <w:rPr>
          <w:b/>
          <w:bCs/>
          <w:color w:val="000000" w:themeColor="text1"/>
          <w:kern w:val="0"/>
          <w:sz w:val="24"/>
          <w:szCs w:val="24"/>
        </w:rPr>
        <w:t>基金累计</w:t>
      </w:r>
      <w:r w:rsidRPr="00A76EB8">
        <w:rPr>
          <w:b/>
          <w:bCs/>
          <w:color w:val="000000" w:themeColor="text1"/>
          <w:kern w:val="0"/>
          <w:sz w:val="24"/>
          <w:szCs w:val="24"/>
        </w:rPr>
        <w:t>净值增长率变动及其与同期业绩比较基准收益率变动的比较</w:t>
      </w:r>
    </w:p>
    <w:p w:rsidR="008606B6" w:rsidRPr="00A76EB8" w:rsidRDefault="007C128A" w:rsidP="009E7C6A">
      <w:pPr>
        <w:spacing w:line="360" w:lineRule="auto"/>
        <w:jc w:val="center"/>
        <w:rPr>
          <w:color w:val="000000" w:themeColor="text1"/>
          <w:sz w:val="24"/>
          <w:szCs w:val="24"/>
        </w:rPr>
      </w:pPr>
      <w:r w:rsidRPr="00A76EB8">
        <w:rPr>
          <w:color w:val="000000" w:themeColor="text1"/>
          <w:sz w:val="24"/>
          <w:szCs w:val="24"/>
        </w:rPr>
        <w:t>金鹰添润定期开放债券型发起式证券投资基金</w:t>
      </w:r>
    </w:p>
    <w:p w:rsidR="004061AC" w:rsidRPr="00A76EB8" w:rsidRDefault="007C128A" w:rsidP="009E7C6A">
      <w:pPr>
        <w:pStyle w:val="a5"/>
        <w:snapToGrid w:val="0"/>
        <w:spacing w:line="360" w:lineRule="auto"/>
        <w:jc w:val="center"/>
        <w:rPr>
          <w:rFonts w:ascii="Times New Roman" w:hAnsi="Times New Roman" w:cs="Times New Roman"/>
          <w:color w:val="000000" w:themeColor="text1"/>
          <w:sz w:val="24"/>
          <w:szCs w:val="24"/>
        </w:rPr>
      </w:pPr>
      <w:r w:rsidRPr="00A76EB8">
        <w:rPr>
          <w:rFonts w:ascii="Times New Roman" w:hAnsi="Times New Roman" w:cs="Times New Roman"/>
          <w:color w:val="000000" w:themeColor="text1"/>
          <w:sz w:val="24"/>
          <w:szCs w:val="24"/>
        </w:rPr>
        <w:t>累计净值增长率与业绩比较基准收益率历史走势对比图</w:t>
      </w:r>
    </w:p>
    <w:p w:rsidR="00AE7962" w:rsidRPr="00A76EB8" w:rsidRDefault="007C128A" w:rsidP="009E7C6A">
      <w:pPr>
        <w:pStyle w:val="a5"/>
        <w:snapToGrid w:val="0"/>
        <w:spacing w:line="360" w:lineRule="auto"/>
        <w:ind w:firstLine="480"/>
        <w:jc w:val="center"/>
        <w:rPr>
          <w:rFonts w:ascii="Times New Roman" w:hAnsi="Times New Roman" w:cs="Times New Roman"/>
          <w:color w:val="000000" w:themeColor="text1"/>
          <w:sz w:val="24"/>
          <w:szCs w:val="24"/>
        </w:rPr>
      </w:pPr>
      <w:r w:rsidRPr="00A76EB8">
        <w:rPr>
          <w:rFonts w:ascii="Times New Roman" w:hAnsi="Times New Roman" w:cs="Times New Roman"/>
          <w:color w:val="000000" w:themeColor="text1"/>
          <w:sz w:val="24"/>
          <w:szCs w:val="24"/>
        </w:rPr>
        <w:t>(</w:t>
      </w:r>
      <w:r w:rsidRPr="00A76EB8">
        <w:rPr>
          <w:rFonts w:ascii="Times New Roman" w:hAnsi="Times New Roman" w:cs="Times New Roman"/>
          <w:color w:val="000000" w:themeColor="text1"/>
          <w:sz w:val="24"/>
          <w:szCs w:val="24"/>
        </w:rPr>
        <w:t>2018</w:t>
      </w:r>
      <w:r w:rsidRPr="00A76EB8">
        <w:rPr>
          <w:rFonts w:ascii="Times New Roman" w:hAnsi="Times New Roman" w:cs="Times New Roman"/>
          <w:color w:val="000000" w:themeColor="text1"/>
          <w:sz w:val="24"/>
          <w:szCs w:val="24"/>
        </w:rPr>
        <w:t>年</w:t>
      </w:r>
      <w:r w:rsidRPr="00A76EB8">
        <w:rPr>
          <w:rFonts w:ascii="Times New Roman" w:hAnsi="Times New Roman" w:cs="Times New Roman"/>
          <w:color w:val="000000" w:themeColor="text1"/>
          <w:sz w:val="24"/>
          <w:szCs w:val="24"/>
        </w:rPr>
        <w:t>3</w:t>
      </w:r>
      <w:r w:rsidRPr="00A76EB8">
        <w:rPr>
          <w:rFonts w:ascii="Times New Roman" w:hAnsi="Times New Roman" w:cs="Times New Roman"/>
          <w:color w:val="000000" w:themeColor="text1"/>
          <w:sz w:val="24"/>
          <w:szCs w:val="24"/>
        </w:rPr>
        <w:t>月</w:t>
      </w:r>
      <w:r w:rsidRPr="00A76EB8">
        <w:rPr>
          <w:rFonts w:ascii="Times New Roman" w:hAnsi="Times New Roman" w:cs="Times New Roman"/>
          <w:color w:val="000000" w:themeColor="text1"/>
          <w:sz w:val="24"/>
          <w:szCs w:val="24"/>
        </w:rPr>
        <w:t>28</w:t>
      </w:r>
      <w:r w:rsidRPr="00A76EB8">
        <w:rPr>
          <w:rFonts w:ascii="Times New Roman" w:hAnsi="Times New Roman" w:cs="Times New Roman"/>
          <w:color w:val="000000" w:themeColor="text1"/>
          <w:sz w:val="24"/>
          <w:szCs w:val="24"/>
        </w:rPr>
        <w:t>日</w:t>
      </w:r>
      <w:r w:rsidRPr="00A76EB8">
        <w:rPr>
          <w:rFonts w:ascii="Times New Roman" w:hAnsi="Times New Roman" w:cs="Times New Roman"/>
          <w:color w:val="000000" w:themeColor="text1"/>
          <w:sz w:val="24"/>
          <w:szCs w:val="24"/>
        </w:rPr>
        <w:t>至</w:t>
      </w:r>
      <w:r w:rsidRPr="00A76EB8">
        <w:rPr>
          <w:rFonts w:ascii="Times New Roman" w:hAnsi="Times New Roman" w:cs="Times New Roman"/>
          <w:color w:val="000000" w:themeColor="text1"/>
          <w:sz w:val="24"/>
          <w:szCs w:val="24"/>
        </w:rPr>
        <w:t>2019</w:t>
      </w:r>
      <w:r w:rsidRPr="00A76EB8">
        <w:rPr>
          <w:rFonts w:ascii="Times New Roman" w:hAnsi="Times New Roman" w:cs="Times New Roman"/>
          <w:color w:val="000000" w:themeColor="text1"/>
          <w:sz w:val="24"/>
          <w:szCs w:val="24"/>
        </w:rPr>
        <w:t>年</w:t>
      </w:r>
      <w:r w:rsidRPr="00A76EB8">
        <w:rPr>
          <w:rFonts w:ascii="Times New Roman" w:hAnsi="Times New Roman" w:cs="Times New Roman"/>
          <w:color w:val="000000" w:themeColor="text1"/>
          <w:sz w:val="24"/>
          <w:szCs w:val="24"/>
        </w:rPr>
        <w:t>6</w:t>
      </w:r>
      <w:r w:rsidRPr="00A76EB8">
        <w:rPr>
          <w:rFonts w:ascii="Times New Roman" w:hAnsi="Times New Roman" w:cs="Times New Roman"/>
          <w:color w:val="000000" w:themeColor="text1"/>
          <w:sz w:val="24"/>
          <w:szCs w:val="24"/>
        </w:rPr>
        <w:t>月</w:t>
      </w:r>
      <w:r w:rsidRPr="00A76EB8">
        <w:rPr>
          <w:rFonts w:ascii="Times New Roman" w:hAnsi="Times New Roman" w:cs="Times New Roman"/>
          <w:color w:val="000000" w:themeColor="text1"/>
          <w:sz w:val="24"/>
          <w:szCs w:val="24"/>
        </w:rPr>
        <w:t>30</w:t>
      </w:r>
      <w:r w:rsidRPr="00A76EB8">
        <w:rPr>
          <w:rFonts w:ascii="Times New Roman" w:hAnsi="Times New Roman" w:cs="Times New Roman"/>
          <w:color w:val="000000" w:themeColor="text1"/>
          <w:sz w:val="24"/>
          <w:szCs w:val="24"/>
        </w:rPr>
        <w:t>日</w:t>
      </w:r>
      <w:r w:rsidRPr="00A76EB8">
        <w:rPr>
          <w:rFonts w:ascii="Times New Roman" w:hAnsi="Times New Roman" w:cs="Times New Roman"/>
          <w:color w:val="000000" w:themeColor="text1"/>
          <w:sz w:val="24"/>
          <w:szCs w:val="24"/>
        </w:rPr>
        <w:t>)</w:t>
      </w:r>
    </w:p>
    <w:p w:rsidR="004061AC" w:rsidRPr="00A76EB8" w:rsidRDefault="007C128A" w:rsidP="004061AC">
      <w:pPr>
        <w:pStyle w:val="a5"/>
        <w:snapToGrid w:val="0"/>
        <w:spacing w:before="120" w:line="360" w:lineRule="auto"/>
        <w:jc w:val="center"/>
        <w:rPr>
          <w:rFonts w:ascii="Times New Roman" w:hAnsi="Times New Roman" w:cs="Times New Roman"/>
          <w:color w:val="000000" w:themeColor="text1"/>
          <w:sz w:val="24"/>
          <w:szCs w:val="24"/>
        </w:rPr>
      </w:pPr>
      <w:r w:rsidRPr="00A76EB8">
        <w:rPr>
          <w:rFonts w:ascii="Times New Roman" w:hAnsi="Times New Roman" w:cs="Times New Roman"/>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76850" cy="3086100"/>
                    </a:xfrm>
                    <a:prstGeom prst="rect">
                      <a:avLst/>
                    </a:prstGeom>
                    <a:noFill/>
                    <a:ln>
                      <a:noFill/>
                    </a:ln>
                  </pic:spPr>
                </pic:pic>
              </a:graphicData>
            </a:graphic>
          </wp:inline>
        </w:drawing>
      </w:r>
    </w:p>
    <w:p w:rsidR="00CE3872" w:rsidRDefault="007C128A">
      <w:pPr>
        <w:autoSpaceDE w:val="0"/>
        <w:autoSpaceDN w:val="0"/>
        <w:adjustRightInd w:val="0"/>
        <w:spacing w:line="360" w:lineRule="auto"/>
        <w:jc w:val="left"/>
        <w:rPr>
          <w:color w:val="000000" w:themeColor="text1"/>
          <w:sz w:val="24"/>
          <w:szCs w:val="24"/>
        </w:rPr>
      </w:pPr>
      <w:r>
        <w:rPr>
          <w:color w:val="000000" w:themeColor="text1"/>
          <w:sz w:val="24"/>
          <w:szCs w:val="24"/>
        </w:rPr>
        <w:t>注：</w:t>
      </w:r>
      <w:r>
        <w:rPr>
          <w:color w:val="000000" w:themeColor="text1"/>
          <w:sz w:val="24"/>
          <w:szCs w:val="24"/>
        </w:rPr>
        <w:t>1</w:t>
      </w:r>
      <w:r>
        <w:rPr>
          <w:color w:val="000000" w:themeColor="text1"/>
          <w:sz w:val="24"/>
          <w:szCs w:val="24"/>
        </w:rPr>
        <w:t>、本基金由原金鹰添润纯债债券型证券投资基金于</w:t>
      </w:r>
      <w:r>
        <w:rPr>
          <w:color w:val="000000" w:themeColor="text1"/>
          <w:sz w:val="24"/>
          <w:szCs w:val="24"/>
        </w:rPr>
        <w:t>2018</w:t>
      </w:r>
      <w:r>
        <w:rPr>
          <w:color w:val="000000" w:themeColor="text1"/>
          <w:sz w:val="24"/>
          <w:szCs w:val="24"/>
        </w:rPr>
        <w:t>年</w:t>
      </w:r>
      <w:r>
        <w:rPr>
          <w:color w:val="000000" w:themeColor="text1"/>
          <w:sz w:val="24"/>
          <w:szCs w:val="24"/>
        </w:rPr>
        <w:t>3</w:t>
      </w:r>
      <w:r>
        <w:rPr>
          <w:color w:val="000000" w:themeColor="text1"/>
          <w:sz w:val="24"/>
          <w:szCs w:val="24"/>
        </w:rPr>
        <w:t>月</w:t>
      </w:r>
      <w:r>
        <w:rPr>
          <w:color w:val="000000" w:themeColor="text1"/>
          <w:sz w:val="24"/>
          <w:szCs w:val="24"/>
        </w:rPr>
        <w:t>28</w:t>
      </w:r>
      <w:r>
        <w:rPr>
          <w:color w:val="000000" w:themeColor="text1"/>
          <w:sz w:val="24"/>
          <w:szCs w:val="24"/>
        </w:rPr>
        <w:t>日转型而来；</w:t>
      </w:r>
    </w:p>
    <w:p w:rsidR="00CE3872" w:rsidRDefault="007C128A">
      <w:pPr>
        <w:autoSpaceDE w:val="0"/>
        <w:autoSpaceDN w:val="0"/>
        <w:adjustRightInd w:val="0"/>
        <w:spacing w:line="360" w:lineRule="auto"/>
        <w:jc w:val="left"/>
        <w:rPr>
          <w:color w:val="000000" w:themeColor="text1"/>
          <w:sz w:val="24"/>
          <w:szCs w:val="24"/>
        </w:rPr>
      </w:pPr>
      <w:r>
        <w:rPr>
          <w:color w:val="000000" w:themeColor="text1"/>
          <w:sz w:val="24"/>
          <w:szCs w:val="24"/>
        </w:rPr>
        <w:t>2</w:t>
      </w:r>
      <w:r>
        <w:rPr>
          <w:color w:val="000000" w:themeColor="text1"/>
          <w:sz w:val="24"/>
          <w:szCs w:val="24"/>
        </w:rPr>
        <w:t>、按基金合同和招募说明书的约定，本基金的建仓期为六个月，建仓期结束时各项资产配置比例符合基金合同的有关约定；</w:t>
      </w:r>
    </w:p>
    <w:p w:rsidR="004061AC" w:rsidRPr="00A76EB8" w:rsidRDefault="007C128A"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3</w:t>
      </w:r>
      <w:r w:rsidRPr="00A76EB8">
        <w:rPr>
          <w:color w:val="000000" w:themeColor="text1"/>
          <w:sz w:val="24"/>
          <w:szCs w:val="24"/>
        </w:rPr>
        <w:t>、本基金的业绩比较基准是：中债综合（全价）指数收益率</w:t>
      </w:r>
      <w:r w:rsidRPr="00A76EB8">
        <w:rPr>
          <w:color w:val="000000" w:themeColor="text1"/>
          <w:sz w:val="24"/>
          <w:szCs w:val="24"/>
        </w:rPr>
        <w:t>×80%+1</w:t>
      </w:r>
      <w:r w:rsidRPr="00A76EB8">
        <w:rPr>
          <w:color w:val="000000" w:themeColor="text1"/>
          <w:sz w:val="24"/>
          <w:szCs w:val="24"/>
        </w:rPr>
        <w:t>年期银行定期存款利率（税后）</w:t>
      </w:r>
      <w:r w:rsidRPr="00A76EB8">
        <w:rPr>
          <w:color w:val="000000" w:themeColor="text1"/>
          <w:sz w:val="24"/>
          <w:szCs w:val="24"/>
        </w:rPr>
        <w:t>×20%</w:t>
      </w:r>
      <w:r w:rsidRPr="00A76EB8">
        <w:rPr>
          <w:color w:val="000000" w:themeColor="text1"/>
          <w:sz w:val="24"/>
          <w:szCs w:val="24"/>
        </w:rPr>
        <w:t>。</w:t>
      </w:r>
    </w:p>
    <w:p w:rsidR="00957594" w:rsidRPr="00A76EB8" w:rsidRDefault="007C128A" w:rsidP="004061AC">
      <w:pPr>
        <w:tabs>
          <w:tab w:val="left" w:pos="1800"/>
        </w:tabs>
        <w:spacing w:line="360" w:lineRule="auto"/>
        <w:rPr>
          <w:color w:val="000000" w:themeColor="text1"/>
          <w:sz w:val="24"/>
          <w:szCs w:val="24"/>
        </w:rPr>
      </w:pPr>
    </w:p>
    <w:p w:rsidR="00693843" w:rsidRPr="00A76EB8" w:rsidRDefault="007C128A" w:rsidP="00693843">
      <w:pPr>
        <w:tabs>
          <w:tab w:val="left" w:pos="1800"/>
        </w:tabs>
        <w:spacing w:line="288" w:lineRule="auto"/>
        <w:rPr>
          <w:color w:val="000000" w:themeColor="text1"/>
          <w:sz w:val="24"/>
          <w:szCs w:val="24"/>
        </w:rPr>
      </w:pPr>
    </w:p>
    <w:p w:rsidR="004061AC" w:rsidRPr="00A76EB8" w:rsidRDefault="007C128A" w:rsidP="007C128A">
      <w:pPr>
        <w:pStyle w:val="1"/>
        <w:spacing w:beforeLines="100" w:afterLines="100" w:line="360" w:lineRule="auto"/>
        <w:jc w:val="center"/>
        <w:rPr>
          <w:color w:val="000000" w:themeColor="text1"/>
          <w:kern w:val="0"/>
          <w:sz w:val="24"/>
          <w:szCs w:val="24"/>
        </w:rPr>
      </w:pPr>
      <w:r w:rsidRPr="00A76EB8">
        <w:rPr>
          <w:color w:val="000000" w:themeColor="text1"/>
          <w:kern w:val="0"/>
          <w:sz w:val="24"/>
          <w:szCs w:val="24"/>
        </w:rPr>
        <w:t xml:space="preserve">§4  </w:t>
      </w:r>
      <w:r w:rsidRPr="00A76EB8">
        <w:rPr>
          <w:color w:val="000000" w:themeColor="text1"/>
          <w:kern w:val="0"/>
          <w:sz w:val="24"/>
          <w:szCs w:val="24"/>
        </w:rPr>
        <w:t>管理人报告</w:t>
      </w:r>
    </w:p>
    <w:p w:rsidR="00B12B7D" w:rsidRPr="00A76EB8" w:rsidRDefault="007C128A"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4.1 </w:t>
      </w:r>
      <w:r w:rsidRPr="00A76EB8">
        <w:rPr>
          <w:b/>
          <w:bCs/>
          <w:color w:val="000000" w:themeColor="text1"/>
          <w:kern w:val="0"/>
          <w:sz w:val="24"/>
          <w:szCs w:val="24"/>
        </w:rPr>
        <w:t>基金经理</w:t>
      </w:r>
      <w:r w:rsidRPr="00A76EB8">
        <w:rPr>
          <w:b/>
          <w:bCs/>
          <w:color w:val="000000" w:themeColor="text1"/>
          <w:kern w:val="0"/>
          <w:sz w:val="24"/>
          <w:szCs w:val="24"/>
        </w:rPr>
        <w:t>(</w:t>
      </w:r>
      <w:r w:rsidRPr="00A76EB8">
        <w:rPr>
          <w:b/>
          <w:bCs/>
          <w:color w:val="000000" w:themeColor="text1"/>
          <w:kern w:val="0"/>
          <w:sz w:val="24"/>
          <w:szCs w:val="24"/>
        </w:rPr>
        <w:t>或基金经理小组</w:t>
      </w:r>
      <w:r w:rsidRPr="00A76EB8">
        <w:rPr>
          <w:b/>
          <w:bCs/>
          <w:color w:val="000000" w:themeColor="text1"/>
          <w:kern w:val="0"/>
          <w:sz w:val="24"/>
          <w:szCs w:val="24"/>
        </w:rPr>
        <w:t>)</w:t>
      </w:r>
      <w:r w:rsidRPr="00A76EB8">
        <w:rPr>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CE3872" w:rsidTr="00B32AA7">
        <w:trPr>
          <w:cantSplit/>
          <w:trHeight w:val="292"/>
        </w:trPr>
        <w:tc>
          <w:tcPr>
            <w:tcW w:w="851" w:type="dxa"/>
            <w:vMerge w:val="restart"/>
            <w:vAlign w:val="center"/>
          </w:tcPr>
          <w:p w:rsidR="004061AC" w:rsidRPr="00A76EB8" w:rsidRDefault="007C128A" w:rsidP="008014F9">
            <w:pPr>
              <w:widowControl/>
              <w:spacing w:before="29" w:line="360" w:lineRule="auto"/>
              <w:ind w:left="17"/>
              <w:jc w:val="center"/>
              <w:rPr>
                <w:color w:val="000000" w:themeColor="text1"/>
                <w:kern w:val="0"/>
                <w:sz w:val="24"/>
                <w:szCs w:val="24"/>
              </w:rPr>
            </w:pPr>
            <w:r w:rsidRPr="00A76EB8">
              <w:rPr>
                <w:color w:val="000000" w:themeColor="text1"/>
                <w:kern w:val="0"/>
                <w:sz w:val="24"/>
                <w:szCs w:val="24"/>
              </w:rPr>
              <w:t>姓名</w:t>
            </w:r>
          </w:p>
        </w:tc>
        <w:tc>
          <w:tcPr>
            <w:tcW w:w="850" w:type="dxa"/>
            <w:vMerge w:val="restart"/>
            <w:vAlign w:val="center"/>
          </w:tcPr>
          <w:p w:rsidR="004061AC" w:rsidRPr="00A76EB8" w:rsidRDefault="007C128A" w:rsidP="008014F9">
            <w:pPr>
              <w:widowControl/>
              <w:spacing w:before="29" w:line="360" w:lineRule="auto"/>
              <w:ind w:left="17"/>
              <w:jc w:val="center"/>
              <w:rPr>
                <w:color w:val="000000" w:themeColor="text1"/>
                <w:kern w:val="0"/>
                <w:sz w:val="24"/>
                <w:szCs w:val="24"/>
              </w:rPr>
            </w:pPr>
            <w:r w:rsidRPr="00A76EB8">
              <w:rPr>
                <w:color w:val="000000" w:themeColor="text1"/>
                <w:kern w:val="0"/>
                <w:sz w:val="24"/>
                <w:szCs w:val="24"/>
              </w:rPr>
              <w:t>职务</w:t>
            </w:r>
          </w:p>
        </w:tc>
        <w:tc>
          <w:tcPr>
            <w:tcW w:w="3119" w:type="dxa"/>
            <w:gridSpan w:val="2"/>
            <w:vAlign w:val="center"/>
          </w:tcPr>
          <w:p w:rsidR="004061AC" w:rsidRPr="00A76EB8" w:rsidRDefault="007C128A" w:rsidP="008014F9">
            <w:pPr>
              <w:autoSpaceDE w:val="0"/>
              <w:autoSpaceDN w:val="0"/>
              <w:adjustRightInd w:val="0"/>
              <w:spacing w:before="29" w:line="360" w:lineRule="auto"/>
              <w:ind w:left="17"/>
              <w:jc w:val="center"/>
              <w:rPr>
                <w:color w:val="000000" w:themeColor="text1"/>
                <w:kern w:val="0"/>
                <w:sz w:val="24"/>
                <w:szCs w:val="24"/>
              </w:rPr>
            </w:pPr>
            <w:r w:rsidRPr="00A76EB8">
              <w:rPr>
                <w:color w:val="000000" w:themeColor="text1"/>
                <w:kern w:val="0"/>
                <w:sz w:val="24"/>
                <w:szCs w:val="24"/>
              </w:rPr>
              <w:t>任本基金的基金经理期限</w:t>
            </w:r>
          </w:p>
        </w:tc>
        <w:tc>
          <w:tcPr>
            <w:tcW w:w="1417" w:type="dxa"/>
            <w:vMerge w:val="restart"/>
            <w:vAlign w:val="center"/>
          </w:tcPr>
          <w:p w:rsidR="004061AC" w:rsidRPr="00A76EB8" w:rsidRDefault="007C128A" w:rsidP="008014F9">
            <w:pPr>
              <w:autoSpaceDE w:val="0"/>
              <w:autoSpaceDN w:val="0"/>
              <w:adjustRightInd w:val="0"/>
              <w:spacing w:before="29" w:line="360" w:lineRule="auto"/>
              <w:ind w:left="17"/>
              <w:jc w:val="center"/>
              <w:rPr>
                <w:color w:val="000000" w:themeColor="text1"/>
                <w:kern w:val="0"/>
                <w:sz w:val="24"/>
                <w:szCs w:val="24"/>
              </w:rPr>
            </w:pPr>
            <w:r w:rsidRPr="00A76EB8">
              <w:rPr>
                <w:color w:val="000000" w:themeColor="text1"/>
                <w:kern w:val="0"/>
                <w:sz w:val="24"/>
                <w:szCs w:val="24"/>
              </w:rPr>
              <w:t>证券从业年限</w:t>
            </w:r>
          </w:p>
        </w:tc>
        <w:tc>
          <w:tcPr>
            <w:tcW w:w="2694" w:type="dxa"/>
            <w:vMerge w:val="restart"/>
            <w:vAlign w:val="center"/>
          </w:tcPr>
          <w:p w:rsidR="004061AC" w:rsidRPr="00A76EB8" w:rsidRDefault="007C128A" w:rsidP="008014F9">
            <w:pPr>
              <w:widowControl/>
              <w:spacing w:before="29" w:line="360" w:lineRule="auto"/>
              <w:ind w:left="17"/>
              <w:jc w:val="center"/>
              <w:rPr>
                <w:color w:val="000000" w:themeColor="text1"/>
                <w:kern w:val="0"/>
                <w:sz w:val="24"/>
                <w:szCs w:val="24"/>
              </w:rPr>
            </w:pPr>
            <w:r w:rsidRPr="00A76EB8">
              <w:rPr>
                <w:color w:val="000000" w:themeColor="text1"/>
                <w:kern w:val="0"/>
                <w:sz w:val="24"/>
                <w:szCs w:val="24"/>
              </w:rPr>
              <w:t>说明</w:t>
            </w:r>
          </w:p>
        </w:tc>
      </w:tr>
      <w:tr w:rsidR="00CE3872" w:rsidTr="00B32AA7">
        <w:trPr>
          <w:cantSplit/>
        </w:trPr>
        <w:tc>
          <w:tcPr>
            <w:tcW w:w="851" w:type="dxa"/>
            <w:vMerge/>
            <w:vAlign w:val="center"/>
          </w:tcPr>
          <w:p w:rsidR="004061AC" w:rsidRPr="00A76EB8" w:rsidRDefault="007C128A" w:rsidP="008014F9">
            <w:pPr>
              <w:widowControl/>
              <w:spacing w:line="360" w:lineRule="auto"/>
              <w:jc w:val="left"/>
              <w:rPr>
                <w:color w:val="000000" w:themeColor="text1"/>
                <w:kern w:val="0"/>
                <w:sz w:val="24"/>
                <w:szCs w:val="24"/>
              </w:rPr>
            </w:pPr>
          </w:p>
        </w:tc>
        <w:tc>
          <w:tcPr>
            <w:tcW w:w="850" w:type="dxa"/>
            <w:vMerge/>
            <w:vAlign w:val="center"/>
          </w:tcPr>
          <w:p w:rsidR="004061AC" w:rsidRPr="00A76EB8" w:rsidRDefault="007C128A" w:rsidP="008014F9">
            <w:pPr>
              <w:widowControl/>
              <w:spacing w:line="360" w:lineRule="auto"/>
              <w:jc w:val="left"/>
              <w:rPr>
                <w:color w:val="000000" w:themeColor="text1"/>
                <w:kern w:val="0"/>
                <w:sz w:val="24"/>
                <w:szCs w:val="24"/>
              </w:rPr>
            </w:pPr>
          </w:p>
        </w:tc>
        <w:tc>
          <w:tcPr>
            <w:tcW w:w="1560" w:type="dxa"/>
            <w:vAlign w:val="center"/>
          </w:tcPr>
          <w:p w:rsidR="004061AC" w:rsidRPr="00A76EB8" w:rsidRDefault="007C128A" w:rsidP="008014F9">
            <w:pPr>
              <w:autoSpaceDE w:val="0"/>
              <w:autoSpaceDN w:val="0"/>
              <w:adjustRightInd w:val="0"/>
              <w:spacing w:before="29" w:line="360" w:lineRule="auto"/>
              <w:ind w:left="17"/>
              <w:jc w:val="center"/>
              <w:rPr>
                <w:color w:val="000000" w:themeColor="text1"/>
                <w:kern w:val="0"/>
                <w:sz w:val="24"/>
                <w:szCs w:val="24"/>
              </w:rPr>
            </w:pPr>
            <w:r w:rsidRPr="00A76EB8">
              <w:rPr>
                <w:color w:val="000000" w:themeColor="text1"/>
                <w:kern w:val="0"/>
                <w:sz w:val="24"/>
                <w:szCs w:val="24"/>
              </w:rPr>
              <w:t>任职日期</w:t>
            </w:r>
          </w:p>
        </w:tc>
        <w:tc>
          <w:tcPr>
            <w:tcW w:w="1559" w:type="dxa"/>
            <w:vAlign w:val="center"/>
          </w:tcPr>
          <w:p w:rsidR="004061AC" w:rsidRPr="00A76EB8" w:rsidRDefault="007C128A" w:rsidP="008014F9">
            <w:pPr>
              <w:autoSpaceDE w:val="0"/>
              <w:autoSpaceDN w:val="0"/>
              <w:adjustRightInd w:val="0"/>
              <w:spacing w:before="29" w:line="360" w:lineRule="auto"/>
              <w:ind w:left="17"/>
              <w:jc w:val="center"/>
              <w:rPr>
                <w:color w:val="000000" w:themeColor="text1"/>
                <w:kern w:val="0"/>
                <w:sz w:val="24"/>
                <w:szCs w:val="24"/>
              </w:rPr>
            </w:pPr>
            <w:r w:rsidRPr="00A76EB8">
              <w:rPr>
                <w:color w:val="000000" w:themeColor="text1"/>
                <w:kern w:val="0"/>
                <w:sz w:val="24"/>
                <w:szCs w:val="24"/>
              </w:rPr>
              <w:t>离任日期</w:t>
            </w:r>
          </w:p>
        </w:tc>
        <w:tc>
          <w:tcPr>
            <w:tcW w:w="1417" w:type="dxa"/>
            <w:vMerge/>
            <w:vAlign w:val="center"/>
          </w:tcPr>
          <w:p w:rsidR="004061AC" w:rsidRPr="00A76EB8" w:rsidRDefault="007C128A" w:rsidP="008014F9">
            <w:pPr>
              <w:widowControl/>
              <w:spacing w:line="360" w:lineRule="auto"/>
              <w:jc w:val="left"/>
              <w:rPr>
                <w:color w:val="000000" w:themeColor="text1"/>
                <w:kern w:val="0"/>
                <w:sz w:val="24"/>
                <w:szCs w:val="24"/>
              </w:rPr>
            </w:pPr>
          </w:p>
        </w:tc>
        <w:tc>
          <w:tcPr>
            <w:tcW w:w="2694" w:type="dxa"/>
            <w:vMerge/>
            <w:vAlign w:val="center"/>
          </w:tcPr>
          <w:p w:rsidR="004061AC" w:rsidRPr="00A76EB8" w:rsidRDefault="007C128A" w:rsidP="008014F9">
            <w:pPr>
              <w:widowControl/>
              <w:spacing w:line="360" w:lineRule="auto"/>
              <w:jc w:val="left"/>
              <w:rPr>
                <w:color w:val="000000" w:themeColor="text1"/>
                <w:kern w:val="0"/>
                <w:sz w:val="24"/>
                <w:szCs w:val="24"/>
              </w:rPr>
            </w:pPr>
          </w:p>
        </w:tc>
      </w:tr>
      <w:tr w:rsidR="00CE3872">
        <w:tc>
          <w:tcPr>
            <w:tcW w:w="851" w:type="dxa"/>
            <w:vAlign w:val="center"/>
          </w:tcPr>
          <w:p w:rsidR="00CE3872" w:rsidRDefault="007C128A">
            <w:pPr>
              <w:jc w:val="center"/>
            </w:pPr>
            <w:r>
              <w:rPr>
                <w:color w:val="000000" w:themeColor="text1"/>
                <w:sz w:val="24"/>
                <w:szCs w:val="24"/>
              </w:rPr>
              <w:t>黄倩倩</w:t>
            </w:r>
          </w:p>
        </w:tc>
        <w:tc>
          <w:tcPr>
            <w:tcW w:w="850" w:type="dxa"/>
            <w:vAlign w:val="center"/>
          </w:tcPr>
          <w:p w:rsidR="00CE3872" w:rsidRDefault="007C128A">
            <w:pPr>
              <w:jc w:val="center"/>
            </w:pPr>
            <w:r>
              <w:rPr>
                <w:color w:val="000000" w:themeColor="text1"/>
                <w:sz w:val="24"/>
                <w:szCs w:val="24"/>
              </w:rPr>
              <w:t>本基金的基金经理</w:t>
            </w:r>
          </w:p>
        </w:tc>
        <w:tc>
          <w:tcPr>
            <w:tcW w:w="1560" w:type="dxa"/>
            <w:vAlign w:val="center"/>
          </w:tcPr>
          <w:p w:rsidR="00CE3872" w:rsidRDefault="007C128A">
            <w:pPr>
              <w:jc w:val="center"/>
            </w:pPr>
            <w:r>
              <w:rPr>
                <w:color w:val="000000" w:themeColor="text1"/>
                <w:sz w:val="24"/>
                <w:szCs w:val="24"/>
              </w:rPr>
              <w:t>2018-07-07</w:t>
            </w:r>
          </w:p>
        </w:tc>
        <w:tc>
          <w:tcPr>
            <w:tcW w:w="1559" w:type="dxa"/>
            <w:vAlign w:val="center"/>
          </w:tcPr>
          <w:p w:rsidR="00CE3872" w:rsidRDefault="007C128A">
            <w:pPr>
              <w:jc w:val="center"/>
            </w:pPr>
            <w:r>
              <w:rPr>
                <w:color w:val="000000" w:themeColor="text1"/>
                <w:sz w:val="24"/>
                <w:szCs w:val="24"/>
              </w:rPr>
              <w:t>-</w:t>
            </w:r>
          </w:p>
        </w:tc>
        <w:tc>
          <w:tcPr>
            <w:tcW w:w="1417" w:type="dxa"/>
            <w:vAlign w:val="center"/>
          </w:tcPr>
          <w:p w:rsidR="00CE3872" w:rsidRDefault="007C128A">
            <w:pPr>
              <w:jc w:val="center"/>
            </w:pPr>
            <w:r>
              <w:rPr>
                <w:color w:val="000000" w:themeColor="text1"/>
                <w:sz w:val="24"/>
                <w:szCs w:val="24"/>
              </w:rPr>
              <w:t>7</w:t>
            </w:r>
          </w:p>
        </w:tc>
        <w:tc>
          <w:tcPr>
            <w:tcW w:w="2694" w:type="dxa"/>
            <w:vAlign w:val="center"/>
          </w:tcPr>
          <w:p w:rsidR="00CE3872" w:rsidRDefault="007C128A">
            <w:r>
              <w:rPr>
                <w:color w:val="000000" w:themeColor="text1"/>
                <w:sz w:val="24"/>
                <w:szCs w:val="24"/>
              </w:rPr>
              <w:t>黄倩倩女士，西南财经大学金融学硕士研究生，历任广州证券股份有限公司资产管理总部债券交易员，</w:t>
            </w:r>
            <w:r>
              <w:rPr>
                <w:color w:val="000000" w:themeColor="text1"/>
                <w:sz w:val="24"/>
                <w:szCs w:val="24"/>
              </w:rPr>
              <w:t>2014</w:t>
            </w:r>
            <w:r>
              <w:rPr>
                <w:color w:val="000000" w:themeColor="text1"/>
                <w:sz w:val="24"/>
                <w:szCs w:val="24"/>
              </w:rPr>
              <w:t>年</w:t>
            </w:r>
            <w:r>
              <w:rPr>
                <w:color w:val="000000" w:themeColor="text1"/>
                <w:sz w:val="24"/>
                <w:szCs w:val="24"/>
              </w:rPr>
              <w:t>11</w:t>
            </w:r>
            <w:r>
              <w:rPr>
                <w:color w:val="000000" w:themeColor="text1"/>
                <w:sz w:val="24"/>
                <w:szCs w:val="24"/>
              </w:rPr>
              <w:t>月加入金鹰基金管理有限公司，担任固定收益部债券交易员、基金经理助理，现任固定收益部基金经理。</w:t>
            </w:r>
          </w:p>
        </w:tc>
      </w:tr>
    </w:tbl>
    <w:p w:rsidR="00CE3872" w:rsidRDefault="007C128A">
      <w:pPr>
        <w:autoSpaceDE w:val="0"/>
        <w:autoSpaceDN w:val="0"/>
        <w:adjustRightInd w:val="0"/>
        <w:spacing w:line="360" w:lineRule="auto"/>
        <w:jc w:val="left"/>
        <w:rPr>
          <w:color w:val="000000" w:themeColor="text1"/>
          <w:sz w:val="24"/>
          <w:szCs w:val="24"/>
        </w:rPr>
      </w:pPr>
      <w:r>
        <w:rPr>
          <w:color w:val="000000" w:themeColor="text1"/>
          <w:sz w:val="24"/>
          <w:szCs w:val="24"/>
        </w:rPr>
        <w:t>注：</w:t>
      </w:r>
      <w:r>
        <w:rPr>
          <w:color w:val="000000" w:themeColor="text1"/>
          <w:sz w:val="24"/>
          <w:szCs w:val="24"/>
        </w:rPr>
        <w:t>1</w:t>
      </w:r>
      <w:r>
        <w:rPr>
          <w:color w:val="000000" w:themeColor="text1"/>
          <w:sz w:val="24"/>
          <w:szCs w:val="24"/>
        </w:rPr>
        <w:t>、任职日期和离任日期指公司公告聘任或解聘日期；</w:t>
      </w:r>
    </w:p>
    <w:p w:rsidR="004061AC" w:rsidRPr="00A76EB8" w:rsidRDefault="007C128A"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2</w:t>
      </w:r>
      <w:r w:rsidRPr="00A76EB8">
        <w:rPr>
          <w:color w:val="000000" w:themeColor="text1"/>
          <w:sz w:val="24"/>
          <w:szCs w:val="24"/>
        </w:rPr>
        <w:t>、证券从业的含义遵从行业协会颁布的《证券业从业人员资格管理办法》的相关规定。</w:t>
      </w:r>
    </w:p>
    <w:p w:rsidR="004061AC" w:rsidRPr="00A76EB8" w:rsidRDefault="007C128A" w:rsidP="004061AC">
      <w:pPr>
        <w:autoSpaceDE w:val="0"/>
        <w:autoSpaceDN w:val="0"/>
        <w:adjustRightInd w:val="0"/>
        <w:spacing w:line="360" w:lineRule="auto"/>
        <w:jc w:val="left"/>
        <w:rPr>
          <w:color w:val="000000" w:themeColor="text1"/>
          <w:kern w:val="0"/>
          <w:sz w:val="24"/>
          <w:szCs w:val="24"/>
        </w:rPr>
      </w:pPr>
    </w:p>
    <w:p w:rsidR="004061AC" w:rsidRPr="00A76EB8" w:rsidRDefault="007C128A"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4.2 </w:t>
      </w:r>
      <w:r w:rsidRPr="00A76EB8">
        <w:rPr>
          <w:b/>
          <w:bCs/>
          <w:color w:val="000000" w:themeColor="text1"/>
          <w:kern w:val="0"/>
          <w:sz w:val="24"/>
          <w:szCs w:val="24"/>
        </w:rPr>
        <w:t>管理人对报告期内本基金运作遵规守信情况的说明</w:t>
      </w:r>
    </w:p>
    <w:p w:rsidR="004061AC" w:rsidRPr="00A76EB8" w:rsidRDefault="007C128A" w:rsidP="007C128A">
      <w:pPr>
        <w:spacing w:line="360" w:lineRule="auto"/>
        <w:ind w:firstLineChars="200" w:firstLine="480"/>
        <w:rPr>
          <w:color w:val="000000" w:themeColor="text1"/>
          <w:sz w:val="24"/>
          <w:szCs w:val="24"/>
        </w:rPr>
      </w:pPr>
      <w:r w:rsidRPr="00A76EB8">
        <w:rPr>
          <w:color w:val="000000" w:themeColor="text1"/>
          <w:sz w:val="24"/>
          <w:szCs w:val="24"/>
        </w:rPr>
        <w:t>本报告期内，本基金管理人严格遵守《证券投资基金法》和其他有关法律法规及其各项实施准则、本基金基金合同等法律文件的规定，本着诚实信用、勤勉尽责的原则管理和运用基金资产，在严格控制风险的基础上，为基金持有人谋求最大利益。本报告期内，基金运作合法合规，无出现重大违法违规或违反基金合同的行为，无损害基金持有人利益的行为。</w:t>
      </w:r>
    </w:p>
    <w:p w:rsidR="004061AC" w:rsidRPr="00A76EB8" w:rsidRDefault="007C128A" w:rsidP="009E7C6A">
      <w:pPr>
        <w:autoSpaceDE w:val="0"/>
        <w:autoSpaceDN w:val="0"/>
        <w:adjustRightInd w:val="0"/>
        <w:spacing w:line="360" w:lineRule="auto"/>
        <w:jc w:val="left"/>
        <w:rPr>
          <w:color w:val="000000" w:themeColor="text1"/>
          <w:kern w:val="0"/>
          <w:sz w:val="24"/>
          <w:szCs w:val="24"/>
        </w:rPr>
      </w:pPr>
    </w:p>
    <w:p w:rsidR="004061AC" w:rsidRPr="00A76EB8" w:rsidRDefault="007C128A"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4.3 </w:t>
      </w:r>
      <w:r w:rsidRPr="00A76EB8">
        <w:rPr>
          <w:b/>
          <w:bCs/>
          <w:color w:val="000000" w:themeColor="text1"/>
          <w:kern w:val="0"/>
          <w:sz w:val="24"/>
          <w:szCs w:val="24"/>
        </w:rPr>
        <w:t>公平交易专项说明</w:t>
      </w:r>
    </w:p>
    <w:p w:rsidR="004061AC" w:rsidRPr="00A76EB8" w:rsidRDefault="007C128A" w:rsidP="009E7C6A">
      <w:pPr>
        <w:spacing w:line="360" w:lineRule="auto"/>
        <w:rPr>
          <w:color w:val="000000" w:themeColor="text1"/>
          <w:sz w:val="24"/>
          <w:szCs w:val="24"/>
        </w:rPr>
      </w:pPr>
      <w:r w:rsidRPr="00A76EB8">
        <w:rPr>
          <w:color w:val="000000" w:themeColor="text1"/>
          <w:sz w:val="24"/>
          <w:szCs w:val="24"/>
        </w:rPr>
        <w:t xml:space="preserve">4.3.1 </w:t>
      </w:r>
      <w:r w:rsidRPr="00A76EB8">
        <w:rPr>
          <w:color w:val="000000" w:themeColor="text1"/>
          <w:sz w:val="24"/>
          <w:szCs w:val="24"/>
        </w:rPr>
        <w:t>公平交易制度的执行情况</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报告期内，公司严格执行证监会《证券投资基金管理公司公平交易制度指导意见》和公司内部公平交易制度，各投资组合按投资管理制度和流程独立决</w:t>
      </w:r>
      <w:r>
        <w:rPr>
          <w:color w:val="000000" w:themeColor="text1"/>
          <w:sz w:val="24"/>
          <w:szCs w:val="24"/>
        </w:rPr>
        <w:t>策，并在获得投资信息、投资建议和实施投资决策方面享有公平的机会。</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公司通过规范的投资交易流程、完善的权限管理机制、有效的交易控制制度，确保公平交易的实施。同时通过投资交易系统中的公平交易功能执行交易，不断强化事后监控分析，以尽可能确保公平对待各投资组合。</w:t>
      </w:r>
    </w:p>
    <w:p w:rsidR="004061AC" w:rsidRPr="00A76EB8" w:rsidRDefault="007C128A" w:rsidP="007C128A">
      <w:pPr>
        <w:spacing w:line="360" w:lineRule="auto"/>
        <w:ind w:firstLineChars="200" w:firstLine="480"/>
        <w:rPr>
          <w:color w:val="000000" w:themeColor="text1"/>
          <w:sz w:val="24"/>
          <w:szCs w:val="24"/>
        </w:rPr>
      </w:pPr>
      <w:r w:rsidRPr="00A76EB8">
        <w:rPr>
          <w:color w:val="000000" w:themeColor="text1"/>
          <w:sz w:val="24"/>
          <w:szCs w:val="24"/>
        </w:rPr>
        <w:t>报告期，公司对连续四个季度期间内、不同时间窗下（日内、</w:t>
      </w:r>
      <w:r w:rsidRPr="00A76EB8">
        <w:rPr>
          <w:color w:val="000000" w:themeColor="text1"/>
          <w:sz w:val="24"/>
          <w:szCs w:val="24"/>
        </w:rPr>
        <w:t>3</w:t>
      </w:r>
      <w:r w:rsidRPr="00A76EB8">
        <w:rPr>
          <w:color w:val="000000" w:themeColor="text1"/>
          <w:sz w:val="24"/>
          <w:szCs w:val="24"/>
        </w:rPr>
        <w:t>日内、</w:t>
      </w:r>
      <w:r w:rsidRPr="00A76EB8">
        <w:rPr>
          <w:color w:val="000000" w:themeColor="text1"/>
          <w:sz w:val="24"/>
          <w:szCs w:val="24"/>
        </w:rPr>
        <w:t>5</w:t>
      </w:r>
      <w:r w:rsidRPr="00A76EB8">
        <w:rPr>
          <w:color w:val="000000" w:themeColor="text1"/>
          <w:sz w:val="24"/>
          <w:szCs w:val="24"/>
        </w:rPr>
        <w:t>日内）公司管理的不同投资组合同向交易的交易价差进行分析，未发现违反公平交易制度的异常行为。</w:t>
      </w:r>
    </w:p>
    <w:p w:rsidR="004061AC" w:rsidRPr="00A76EB8" w:rsidRDefault="007C128A" w:rsidP="009E7C6A">
      <w:pPr>
        <w:spacing w:line="360" w:lineRule="auto"/>
        <w:rPr>
          <w:color w:val="000000" w:themeColor="text1"/>
          <w:sz w:val="24"/>
          <w:szCs w:val="24"/>
        </w:rPr>
      </w:pPr>
      <w:r w:rsidRPr="00A76EB8">
        <w:rPr>
          <w:color w:val="000000" w:themeColor="text1"/>
          <w:sz w:val="24"/>
          <w:szCs w:val="24"/>
        </w:rPr>
        <w:t xml:space="preserve">4.3.2 </w:t>
      </w:r>
      <w:r w:rsidRPr="00A76EB8">
        <w:rPr>
          <w:color w:val="000000" w:themeColor="text1"/>
          <w:sz w:val="24"/>
          <w:szCs w:val="24"/>
        </w:rPr>
        <w:t>异常交易行为的专项说明</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本报告期内，公司旗下所有投资组合参与的交易所公开竞价交易中，未出</w:t>
      </w:r>
      <w:r>
        <w:rPr>
          <w:color w:val="000000" w:themeColor="text1"/>
          <w:sz w:val="24"/>
          <w:szCs w:val="24"/>
        </w:rPr>
        <w:t>现同日反向交易成交较少的单边交易量超过该证券当日成交量的</w:t>
      </w:r>
      <w:r>
        <w:rPr>
          <w:color w:val="000000" w:themeColor="text1"/>
          <w:sz w:val="24"/>
          <w:szCs w:val="24"/>
        </w:rPr>
        <w:t>5%</w:t>
      </w:r>
      <w:r>
        <w:rPr>
          <w:color w:val="000000" w:themeColor="text1"/>
          <w:sz w:val="24"/>
          <w:szCs w:val="24"/>
        </w:rPr>
        <w:t>的情况。</w:t>
      </w:r>
    </w:p>
    <w:p w:rsidR="004061AC" w:rsidRPr="00A76EB8" w:rsidRDefault="007C128A" w:rsidP="007C128A">
      <w:pPr>
        <w:spacing w:line="360" w:lineRule="auto"/>
        <w:ind w:firstLineChars="200" w:firstLine="480"/>
        <w:rPr>
          <w:color w:val="000000" w:themeColor="text1"/>
          <w:sz w:val="24"/>
          <w:szCs w:val="24"/>
        </w:rPr>
      </w:pPr>
      <w:r w:rsidRPr="00A76EB8">
        <w:rPr>
          <w:color w:val="000000" w:themeColor="text1"/>
          <w:sz w:val="24"/>
          <w:szCs w:val="24"/>
        </w:rPr>
        <w:t>本报告期内，未发现本基金有可能导致不公平交易和利益输送的异常交易。</w:t>
      </w:r>
    </w:p>
    <w:p w:rsidR="004061AC" w:rsidRPr="00A76EB8" w:rsidRDefault="007C128A" w:rsidP="007C128A">
      <w:pPr>
        <w:spacing w:line="360" w:lineRule="auto"/>
        <w:ind w:firstLineChars="200" w:firstLine="480"/>
        <w:rPr>
          <w:color w:val="000000" w:themeColor="text1"/>
          <w:sz w:val="24"/>
          <w:szCs w:val="24"/>
        </w:rPr>
      </w:pPr>
    </w:p>
    <w:p w:rsidR="004061AC" w:rsidRPr="00A76EB8" w:rsidRDefault="007C128A" w:rsidP="009E7C6A">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4.4 </w:t>
      </w:r>
      <w:r w:rsidRPr="00A76EB8">
        <w:rPr>
          <w:b/>
          <w:bCs/>
          <w:color w:val="000000" w:themeColor="text1"/>
          <w:kern w:val="0"/>
          <w:sz w:val="24"/>
          <w:szCs w:val="24"/>
        </w:rPr>
        <w:t>报告期内基金的投资策略和业绩表现说明</w:t>
      </w:r>
    </w:p>
    <w:p w:rsidR="004061AC" w:rsidRPr="00A76EB8" w:rsidRDefault="007C128A" w:rsidP="009E7C6A">
      <w:pPr>
        <w:spacing w:line="360" w:lineRule="auto"/>
        <w:rPr>
          <w:color w:val="000000" w:themeColor="text1"/>
          <w:sz w:val="24"/>
          <w:szCs w:val="24"/>
        </w:rPr>
      </w:pPr>
      <w:r w:rsidRPr="00A76EB8">
        <w:rPr>
          <w:color w:val="000000" w:themeColor="text1"/>
          <w:sz w:val="24"/>
          <w:szCs w:val="24"/>
        </w:rPr>
        <w:t>4.4.1</w:t>
      </w:r>
      <w:r w:rsidRPr="00A76EB8">
        <w:rPr>
          <w:color w:val="000000" w:themeColor="text1"/>
          <w:sz w:val="24"/>
          <w:szCs w:val="24"/>
        </w:rPr>
        <w:t>报告期内基金投资策略和运作分析</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回顾</w:t>
      </w:r>
      <w:r>
        <w:rPr>
          <w:color w:val="000000" w:themeColor="text1"/>
          <w:sz w:val="24"/>
          <w:szCs w:val="24"/>
        </w:rPr>
        <w:t>2019</w:t>
      </w:r>
      <w:r>
        <w:rPr>
          <w:color w:val="000000" w:themeColor="text1"/>
          <w:sz w:val="24"/>
          <w:szCs w:val="24"/>
        </w:rPr>
        <w:t>年二季度，经济基本面逐步下行。一季度地产投资和基建共同支撑经济短暂企稳，</w:t>
      </w:r>
      <w:r>
        <w:rPr>
          <w:color w:val="000000" w:themeColor="text1"/>
          <w:sz w:val="24"/>
          <w:szCs w:val="24"/>
        </w:rPr>
        <w:t>3</w:t>
      </w:r>
      <w:r>
        <w:rPr>
          <w:color w:val="000000" w:themeColor="text1"/>
          <w:sz w:val="24"/>
          <w:szCs w:val="24"/>
        </w:rPr>
        <w:t>月经济数据表现超预期；但二季度以来地产开发投资增速逐渐回落，带动地产投资下行；制造业投资差强人意，</w:t>
      </w:r>
      <w:r>
        <w:rPr>
          <w:color w:val="000000" w:themeColor="text1"/>
          <w:sz w:val="24"/>
          <w:szCs w:val="24"/>
        </w:rPr>
        <w:t>5</w:t>
      </w:r>
      <w:r>
        <w:rPr>
          <w:color w:val="000000" w:themeColor="text1"/>
          <w:sz w:val="24"/>
          <w:szCs w:val="24"/>
        </w:rPr>
        <w:t>月份制造业</w:t>
      </w:r>
      <w:r>
        <w:rPr>
          <w:color w:val="000000" w:themeColor="text1"/>
          <w:sz w:val="24"/>
          <w:szCs w:val="24"/>
        </w:rPr>
        <w:t>PMI</w:t>
      </w:r>
      <w:r>
        <w:rPr>
          <w:color w:val="000000" w:themeColor="text1"/>
          <w:sz w:val="24"/>
          <w:szCs w:val="24"/>
        </w:rPr>
        <w:t>再次回落至荣枯线下方，生产扩张需求放缓；基建难以独自支撑经济持续走好。消费方面总体</w:t>
      </w:r>
      <w:r>
        <w:rPr>
          <w:color w:val="000000" w:themeColor="text1"/>
          <w:sz w:val="24"/>
          <w:szCs w:val="24"/>
        </w:rPr>
        <w:t>表现较弱，而</w:t>
      </w:r>
      <w:r>
        <w:rPr>
          <w:color w:val="000000" w:themeColor="text1"/>
          <w:sz w:val="24"/>
          <w:szCs w:val="24"/>
        </w:rPr>
        <w:t>5</w:t>
      </w:r>
      <w:r>
        <w:rPr>
          <w:color w:val="000000" w:themeColor="text1"/>
          <w:sz w:val="24"/>
          <w:szCs w:val="24"/>
        </w:rPr>
        <w:t>月的数据跳升主要归功于</w:t>
      </w:r>
      <w:r>
        <w:rPr>
          <w:color w:val="000000" w:themeColor="text1"/>
          <w:sz w:val="24"/>
          <w:szCs w:val="24"/>
        </w:rPr>
        <w:t>5</w:t>
      </w:r>
      <w:r>
        <w:rPr>
          <w:color w:val="000000" w:themeColor="text1"/>
          <w:sz w:val="24"/>
          <w:szCs w:val="24"/>
        </w:rPr>
        <w:t>天劳动节小长假且假期错位造成的低基数。出口方面仍面临着贸易摩擦所带来的负面效应。</w:t>
      </w:r>
      <w:r>
        <w:rPr>
          <w:color w:val="000000" w:themeColor="text1"/>
          <w:sz w:val="24"/>
          <w:szCs w:val="24"/>
        </w:rPr>
        <w:t>CPI</w:t>
      </w:r>
      <w:r>
        <w:rPr>
          <w:color w:val="000000" w:themeColor="text1"/>
          <w:sz w:val="24"/>
          <w:szCs w:val="24"/>
        </w:rPr>
        <w:t>方面，上半年通胀有所上行，</w:t>
      </w:r>
      <w:r>
        <w:rPr>
          <w:color w:val="000000" w:themeColor="text1"/>
          <w:sz w:val="24"/>
          <w:szCs w:val="24"/>
        </w:rPr>
        <w:t>2019</w:t>
      </w:r>
      <w:r>
        <w:rPr>
          <w:color w:val="000000" w:themeColor="text1"/>
          <w:sz w:val="24"/>
          <w:szCs w:val="24"/>
        </w:rPr>
        <w:t>年</w:t>
      </w:r>
      <w:r>
        <w:rPr>
          <w:color w:val="000000" w:themeColor="text1"/>
          <w:sz w:val="24"/>
          <w:szCs w:val="24"/>
        </w:rPr>
        <w:t>5</w:t>
      </w:r>
      <w:r>
        <w:rPr>
          <w:color w:val="000000" w:themeColor="text1"/>
          <w:sz w:val="24"/>
          <w:szCs w:val="24"/>
        </w:rPr>
        <w:t>月</w:t>
      </w:r>
      <w:r>
        <w:rPr>
          <w:color w:val="000000" w:themeColor="text1"/>
          <w:sz w:val="24"/>
          <w:szCs w:val="24"/>
        </w:rPr>
        <w:t>CPI</w:t>
      </w:r>
      <w:r>
        <w:rPr>
          <w:color w:val="000000" w:themeColor="text1"/>
          <w:sz w:val="24"/>
          <w:szCs w:val="24"/>
        </w:rPr>
        <w:t>同比达到历史高位</w:t>
      </w:r>
      <w:r>
        <w:rPr>
          <w:color w:val="000000" w:themeColor="text1"/>
          <w:sz w:val="24"/>
          <w:szCs w:val="24"/>
        </w:rPr>
        <w:t>2.7%</w:t>
      </w:r>
      <w:r>
        <w:rPr>
          <w:color w:val="000000" w:themeColor="text1"/>
          <w:sz w:val="24"/>
          <w:szCs w:val="24"/>
        </w:rPr>
        <w:t>，主要归因于农产品价格的持续上涨，黑色系价格和原油价格也有所上行。</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受经济基本面的影响，债券市场二季度以来呈现倒</w:t>
      </w:r>
      <w:r>
        <w:rPr>
          <w:color w:val="000000" w:themeColor="text1"/>
          <w:sz w:val="24"/>
          <w:szCs w:val="24"/>
        </w:rPr>
        <w:t>V</w:t>
      </w:r>
      <w:r>
        <w:rPr>
          <w:color w:val="000000" w:themeColor="text1"/>
          <w:sz w:val="24"/>
          <w:szCs w:val="24"/>
        </w:rPr>
        <w:t>的走势。</w:t>
      </w:r>
      <w:r>
        <w:rPr>
          <w:color w:val="000000" w:themeColor="text1"/>
          <w:sz w:val="24"/>
          <w:szCs w:val="24"/>
        </w:rPr>
        <w:t>4</w:t>
      </w:r>
      <w:r>
        <w:rPr>
          <w:color w:val="000000" w:themeColor="text1"/>
          <w:sz w:val="24"/>
          <w:szCs w:val="24"/>
        </w:rPr>
        <w:t>月以来，对于股市的强烈看多，叠加降准预期波动，带动债市极速上行，十年国开半个月已上行</w:t>
      </w:r>
      <w:r>
        <w:rPr>
          <w:color w:val="000000" w:themeColor="text1"/>
          <w:sz w:val="24"/>
          <w:szCs w:val="24"/>
        </w:rPr>
        <w:t>30bp</w:t>
      </w:r>
      <w:r>
        <w:rPr>
          <w:color w:val="000000" w:themeColor="text1"/>
          <w:sz w:val="24"/>
          <w:szCs w:val="24"/>
        </w:rPr>
        <w:t>；</w:t>
      </w:r>
      <w:r>
        <w:rPr>
          <w:color w:val="000000" w:themeColor="text1"/>
          <w:sz w:val="24"/>
          <w:szCs w:val="24"/>
        </w:rPr>
        <w:t>4</w:t>
      </w:r>
      <w:r>
        <w:rPr>
          <w:color w:val="000000" w:themeColor="text1"/>
          <w:sz w:val="24"/>
          <w:szCs w:val="24"/>
        </w:rPr>
        <w:t>月下旬，</w:t>
      </w:r>
      <w:r>
        <w:rPr>
          <w:color w:val="000000" w:themeColor="text1"/>
          <w:sz w:val="24"/>
          <w:szCs w:val="24"/>
        </w:rPr>
        <w:t>3</w:t>
      </w:r>
      <w:r>
        <w:rPr>
          <w:color w:val="000000" w:themeColor="text1"/>
          <w:sz w:val="24"/>
          <w:szCs w:val="24"/>
        </w:rPr>
        <w:t>月经济数据全部公布完毕，利好出尽，债市结束了恐慌期的上行，开始掉头向下；直到</w:t>
      </w:r>
      <w:r>
        <w:rPr>
          <w:color w:val="000000" w:themeColor="text1"/>
          <w:sz w:val="24"/>
          <w:szCs w:val="24"/>
        </w:rPr>
        <w:t>5</w:t>
      </w:r>
      <w:r>
        <w:rPr>
          <w:color w:val="000000" w:themeColor="text1"/>
          <w:sz w:val="24"/>
          <w:szCs w:val="24"/>
        </w:rPr>
        <w:t>月</w:t>
      </w:r>
      <w:r>
        <w:rPr>
          <w:color w:val="000000" w:themeColor="text1"/>
          <w:sz w:val="24"/>
          <w:szCs w:val="24"/>
        </w:rPr>
        <w:t>24</w:t>
      </w:r>
      <w:r>
        <w:rPr>
          <w:color w:val="000000" w:themeColor="text1"/>
          <w:sz w:val="24"/>
          <w:szCs w:val="24"/>
        </w:rPr>
        <w:t>日央</w:t>
      </w:r>
      <w:r>
        <w:rPr>
          <w:color w:val="000000" w:themeColor="text1"/>
          <w:sz w:val="24"/>
          <w:szCs w:val="24"/>
        </w:rPr>
        <w:t>行和银保监公布包商银行被接管并打破刚兑，市场有如惊弓之鸟，风险偏好骤然降低，中小银行为自保流动性率先卖出流动性好的资产，利率债抛盘严重，带动整体债券收益率急速上行；信用风险叠加流动性风险向整个金融市场蔓延，资金面和二级存单交投均出现断层情况，中小银行和中小非银均出现融资困难的情况，利于无风险资产，利率债和国股存单有所下行。央行见势紧急投放流动性，对金融机构进行结构化输血，</w:t>
      </w:r>
      <w:r>
        <w:rPr>
          <w:color w:val="000000" w:themeColor="text1"/>
          <w:sz w:val="24"/>
          <w:szCs w:val="24"/>
        </w:rPr>
        <w:t xml:space="preserve"> DR001</w:t>
      </w:r>
      <w:r>
        <w:rPr>
          <w:color w:val="000000" w:themeColor="text1"/>
          <w:sz w:val="24"/>
          <w:szCs w:val="24"/>
        </w:rPr>
        <w:t>和</w:t>
      </w:r>
      <w:r>
        <w:rPr>
          <w:color w:val="000000" w:themeColor="text1"/>
          <w:sz w:val="24"/>
          <w:szCs w:val="24"/>
        </w:rPr>
        <w:t>DR007</w:t>
      </w:r>
      <w:r>
        <w:rPr>
          <w:color w:val="000000" w:themeColor="text1"/>
          <w:sz w:val="24"/>
          <w:szCs w:val="24"/>
        </w:rPr>
        <w:t>都不断下行，</w:t>
      </w:r>
      <w:r>
        <w:rPr>
          <w:color w:val="000000" w:themeColor="text1"/>
          <w:sz w:val="24"/>
          <w:szCs w:val="24"/>
        </w:rPr>
        <w:t>DR001</w:t>
      </w:r>
      <w:r>
        <w:rPr>
          <w:color w:val="000000" w:themeColor="text1"/>
          <w:sz w:val="24"/>
          <w:szCs w:val="24"/>
        </w:rPr>
        <w:t>最低跌破</w:t>
      </w:r>
      <w:r>
        <w:rPr>
          <w:color w:val="000000" w:themeColor="text1"/>
          <w:sz w:val="24"/>
          <w:szCs w:val="24"/>
        </w:rPr>
        <w:t>1%</w:t>
      </w:r>
      <w:r>
        <w:rPr>
          <w:color w:val="000000" w:themeColor="text1"/>
          <w:sz w:val="24"/>
          <w:szCs w:val="24"/>
        </w:rPr>
        <w:t>；债市恐慌情绪逐步缓和，整体债市收益率也同步下行，同时无风险利率下行更多，信用利</w:t>
      </w:r>
      <w:r>
        <w:rPr>
          <w:color w:val="000000" w:themeColor="text1"/>
          <w:sz w:val="24"/>
          <w:szCs w:val="24"/>
        </w:rPr>
        <w:t>差扩张。</w:t>
      </w:r>
    </w:p>
    <w:p w:rsidR="004061AC" w:rsidRPr="00A76EB8" w:rsidRDefault="007C128A" w:rsidP="007C128A">
      <w:pPr>
        <w:spacing w:line="360" w:lineRule="auto"/>
        <w:ind w:firstLineChars="200" w:firstLine="480"/>
        <w:rPr>
          <w:color w:val="000000" w:themeColor="text1"/>
          <w:sz w:val="24"/>
          <w:szCs w:val="24"/>
        </w:rPr>
      </w:pPr>
      <w:r w:rsidRPr="00A76EB8">
        <w:rPr>
          <w:color w:val="000000" w:themeColor="text1"/>
          <w:sz w:val="24"/>
          <w:szCs w:val="24"/>
        </w:rPr>
        <w:t>二季度我们维持之前的配置，获得稳定的票息收入；在保证流动性安全的基础上，尽量把握确定性的机会，兼顾交易性机会带来的超额收益。</w:t>
      </w:r>
    </w:p>
    <w:p w:rsidR="004061AC" w:rsidRPr="00A76EB8" w:rsidRDefault="007C128A" w:rsidP="009E7C6A">
      <w:pPr>
        <w:spacing w:line="360" w:lineRule="auto"/>
        <w:rPr>
          <w:color w:val="000000" w:themeColor="text1"/>
          <w:sz w:val="24"/>
          <w:szCs w:val="24"/>
        </w:rPr>
      </w:pPr>
      <w:r w:rsidRPr="00A76EB8">
        <w:rPr>
          <w:color w:val="000000" w:themeColor="text1"/>
          <w:sz w:val="24"/>
          <w:szCs w:val="24"/>
        </w:rPr>
        <w:t>4.4.2</w:t>
      </w:r>
      <w:r w:rsidRPr="00A76EB8">
        <w:rPr>
          <w:color w:val="000000" w:themeColor="text1"/>
          <w:sz w:val="24"/>
          <w:szCs w:val="24"/>
        </w:rPr>
        <w:t>报告期内基金的业绩表现</w:t>
      </w:r>
    </w:p>
    <w:p w:rsidR="004061AC" w:rsidRPr="00A76EB8" w:rsidRDefault="007C128A" w:rsidP="007C128A">
      <w:pPr>
        <w:spacing w:line="360" w:lineRule="auto"/>
        <w:ind w:firstLineChars="200" w:firstLine="480"/>
        <w:rPr>
          <w:color w:val="000000" w:themeColor="text1"/>
          <w:sz w:val="24"/>
          <w:szCs w:val="24"/>
        </w:rPr>
      </w:pPr>
      <w:r w:rsidRPr="00A76EB8">
        <w:rPr>
          <w:color w:val="000000" w:themeColor="text1"/>
          <w:sz w:val="24"/>
          <w:szCs w:val="24"/>
        </w:rPr>
        <w:t>截至本报告期末，本基金份额净值为</w:t>
      </w:r>
      <w:r w:rsidRPr="00A76EB8">
        <w:rPr>
          <w:color w:val="000000" w:themeColor="text1"/>
          <w:sz w:val="24"/>
          <w:szCs w:val="24"/>
        </w:rPr>
        <w:t>1.0266</w:t>
      </w:r>
      <w:r w:rsidRPr="00A76EB8">
        <w:rPr>
          <w:color w:val="000000" w:themeColor="text1"/>
          <w:sz w:val="24"/>
          <w:szCs w:val="24"/>
        </w:rPr>
        <w:t>元，本报告期份额净值增长率为</w:t>
      </w:r>
      <w:r w:rsidRPr="00A76EB8">
        <w:rPr>
          <w:color w:val="000000" w:themeColor="text1"/>
          <w:sz w:val="24"/>
          <w:szCs w:val="24"/>
        </w:rPr>
        <w:t>0.87%</w:t>
      </w:r>
      <w:r w:rsidRPr="00A76EB8">
        <w:rPr>
          <w:color w:val="000000" w:themeColor="text1"/>
          <w:sz w:val="24"/>
          <w:szCs w:val="24"/>
        </w:rPr>
        <w:t>，同期业绩比较基准增长率为</w:t>
      </w:r>
      <w:r w:rsidRPr="00A76EB8">
        <w:rPr>
          <w:color w:val="000000" w:themeColor="text1"/>
          <w:sz w:val="24"/>
          <w:szCs w:val="24"/>
        </w:rPr>
        <w:t>-0.11%</w:t>
      </w:r>
      <w:r w:rsidRPr="00A76EB8">
        <w:rPr>
          <w:color w:val="000000" w:themeColor="text1"/>
          <w:sz w:val="24"/>
          <w:szCs w:val="24"/>
        </w:rPr>
        <w:t>。</w:t>
      </w:r>
    </w:p>
    <w:p w:rsidR="009C5186" w:rsidRPr="00A76EB8" w:rsidRDefault="007C128A" w:rsidP="007C128A">
      <w:pPr>
        <w:spacing w:line="360" w:lineRule="auto"/>
        <w:ind w:firstLineChars="200" w:firstLine="480"/>
        <w:rPr>
          <w:color w:val="000000" w:themeColor="text1"/>
          <w:sz w:val="24"/>
          <w:szCs w:val="24"/>
        </w:rPr>
      </w:pPr>
    </w:p>
    <w:p w:rsidR="004061AC" w:rsidRPr="00A76EB8" w:rsidRDefault="007C128A" w:rsidP="009E7C6A">
      <w:pPr>
        <w:autoSpaceDE w:val="0"/>
        <w:autoSpaceDN w:val="0"/>
        <w:adjustRightInd w:val="0"/>
        <w:spacing w:line="360" w:lineRule="auto"/>
        <w:jc w:val="left"/>
        <w:rPr>
          <w:b/>
          <w:bCs/>
          <w:color w:val="000000" w:themeColor="text1"/>
          <w:kern w:val="0"/>
          <w:sz w:val="24"/>
          <w:szCs w:val="24"/>
        </w:rPr>
      </w:pPr>
      <w:bookmarkStart w:id="0" w:name="_Toc245193825"/>
      <w:bookmarkStart w:id="1" w:name="_Toc255486598"/>
      <w:r w:rsidRPr="00A76EB8">
        <w:rPr>
          <w:b/>
          <w:color w:val="000000" w:themeColor="text1"/>
          <w:kern w:val="0"/>
          <w:sz w:val="24"/>
          <w:szCs w:val="24"/>
        </w:rPr>
        <w:t>4.5</w:t>
      </w:r>
      <w:r w:rsidRPr="00A76EB8">
        <w:rPr>
          <w:b/>
          <w:bCs/>
          <w:color w:val="000000" w:themeColor="text1"/>
          <w:kern w:val="0"/>
          <w:sz w:val="24"/>
          <w:szCs w:val="24"/>
        </w:rPr>
        <w:t>管理人对宏观经济、证券市场及行业走势的简要展望</w:t>
      </w:r>
      <w:bookmarkEnd w:id="0"/>
      <w:bookmarkEnd w:id="1"/>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展望</w:t>
      </w:r>
      <w:r>
        <w:rPr>
          <w:color w:val="000000" w:themeColor="text1"/>
          <w:sz w:val="24"/>
          <w:szCs w:val="24"/>
        </w:rPr>
        <w:t>2019</w:t>
      </w:r>
      <w:r>
        <w:rPr>
          <w:color w:val="000000" w:themeColor="text1"/>
          <w:sz w:val="24"/>
          <w:szCs w:val="24"/>
        </w:rPr>
        <w:t>年三季度，经济基本面方面，央行明确要抑制流动性过度流向房地产，表达了地产放松政策无望，地产投资将持续下行；制造业投资方面生产扩展需求放缓，减税降费政策</w:t>
      </w:r>
      <w:r>
        <w:rPr>
          <w:color w:val="000000" w:themeColor="text1"/>
          <w:sz w:val="24"/>
          <w:szCs w:val="24"/>
        </w:rPr>
        <w:t>影响有待观察；基建投资方面，近日大力发行专项债将对下半年基建投资构成进一步支撑，但财政政策空间有限，总体支持力度有限。消费方面难见改观。进出口方面，虽然中美将重启贸易谈判，但以特朗普变化无常的习性以及美国的诉求，无论最终是否谈妥，贸易方面都将受到一些负面影响。总体来讲，经济基本面大概率持续低位震荡，对债市构成利好，但不排除基建发力以及实体融资改善带来的经济短期企稳的情况。</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CPI</w:t>
      </w:r>
      <w:r>
        <w:rPr>
          <w:color w:val="000000" w:themeColor="text1"/>
          <w:sz w:val="24"/>
          <w:szCs w:val="24"/>
        </w:rPr>
        <w:t>方面，水果蔬菜价格有所回落带动食品分项回落；叠加原油价格下行，整体</w:t>
      </w:r>
      <w:r>
        <w:rPr>
          <w:color w:val="000000" w:themeColor="text1"/>
          <w:sz w:val="24"/>
          <w:szCs w:val="24"/>
        </w:rPr>
        <w:t>CPI</w:t>
      </w:r>
      <w:r>
        <w:rPr>
          <w:color w:val="000000" w:themeColor="text1"/>
          <w:sz w:val="24"/>
          <w:szCs w:val="24"/>
        </w:rPr>
        <w:t>较大可能掉头向下，总体通胀无忧。货币政策方面，受制于中美贸易战不确定性和包商事件内忧外患的格局，预计央行将维持宽松的货币政策不变。李克强总理也表示将采取有针对性的降息降准，以帮助小企业降低融资成本；而实体企业融资问题短期内改善有限，流动性将总体宽松充裕。这对债券市场构成利好；不过资金面断层现象短时间难以缓解，更利于无风险利率和好资质的高评级债券和存单。</w:t>
      </w:r>
    </w:p>
    <w:p w:rsidR="004061AC" w:rsidRPr="00A76EB8" w:rsidRDefault="007C128A" w:rsidP="007C128A">
      <w:pPr>
        <w:spacing w:line="360" w:lineRule="auto"/>
        <w:ind w:firstLineChars="200" w:firstLine="480"/>
        <w:rPr>
          <w:color w:val="000000" w:themeColor="text1"/>
          <w:sz w:val="24"/>
          <w:szCs w:val="24"/>
        </w:rPr>
      </w:pPr>
      <w:r w:rsidRPr="00A76EB8">
        <w:rPr>
          <w:color w:val="000000" w:themeColor="text1"/>
          <w:sz w:val="24"/>
          <w:szCs w:val="24"/>
        </w:rPr>
        <w:t>投资方面，我们将密切关注事件冲击带来的交易性和配置性机会，在确保组合良好流动性</w:t>
      </w:r>
      <w:r w:rsidRPr="00A76EB8">
        <w:rPr>
          <w:color w:val="000000" w:themeColor="text1"/>
          <w:sz w:val="24"/>
          <w:szCs w:val="24"/>
        </w:rPr>
        <w:t>和安全性的前提下，力争有效控制并防范风险，竭力为持有人带来更高的回报。</w:t>
      </w:r>
    </w:p>
    <w:p w:rsidR="00A04F76" w:rsidRPr="00A76EB8" w:rsidRDefault="007C128A" w:rsidP="00A04F76">
      <w:pPr>
        <w:spacing w:line="360" w:lineRule="auto"/>
        <w:rPr>
          <w:color w:val="000000" w:themeColor="text1"/>
          <w:sz w:val="24"/>
          <w:szCs w:val="24"/>
        </w:rPr>
      </w:pPr>
    </w:p>
    <w:p w:rsidR="00A04F76" w:rsidRPr="00A76EB8" w:rsidRDefault="007C128A" w:rsidP="00A04F76">
      <w:pPr>
        <w:spacing w:line="360" w:lineRule="auto"/>
        <w:rPr>
          <w:color w:val="000000" w:themeColor="text1"/>
          <w:sz w:val="24"/>
          <w:szCs w:val="24"/>
        </w:rPr>
      </w:pPr>
      <w:r w:rsidRPr="00A76EB8">
        <w:rPr>
          <w:b/>
          <w:color w:val="000000" w:themeColor="text1"/>
          <w:kern w:val="0"/>
          <w:sz w:val="24"/>
          <w:szCs w:val="24"/>
        </w:rPr>
        <w:t>4.6</w:t>
      </w:r>
      <w:r w:rsidRPr="00A76EB8">
        <w:rPr>
          <w:b/>
          <w:color w:val="000000" w:themeColor="text1"/>
          <w:kern w:val="0"/>
          <w:sz w:val="24"/>
          <w:szCs w:val="24"/>
        </w:rPr>
        <w:t>报告期内基金持有人数或基金资产净值预警说明</w:t>
      </w:r>
    </w:p>
    <w:p w:rsidR="00A04F76" w:rsidRPr="00A76EB8" w:rsidRDefault="007C128A" w:rsidP="007C128A">
      <w:pPr>
        <w:spacing w:line="360" w:lineRule="auto"/>
        <w:ind w:firstLineChars="200" w:firstLine="480"/>
        <w:rPr>
          <w:color w:val="000000" w:themeColor="text1"/>
          <w:sz w:val="24"/>
          <w:szCs w:val="24"/>
        </w:rPr>
      </w:pPr>
      <w:r w:rsidRPr="00A76EB8">
        <w:rPr>
          <w:color w:val="000000" w:themeColor="text1"/>
          <w:kern w:val="0"/>
          <w:sz w:val="24"/>
          <w:szCs w:val="24"/>
        </w:rPr>
        <w:t>本报告期内无应当说明的预警事项。</w:t>
      </w:r>
    </w:p>
    <w:p w:rsidR="004061AC" w:rsidRPr="00A76EB8" w:rsidRDefault="007C128A" w:rsidP="007C128A">
      <w:pPr>
        <w:pStyle w:val="1"/>
        <w:spacing w:beforeLines="100" w:afterLines="100" w:line="360" w:lineRule="auto"/>
        <w:jc w:val="center"/>
        <w:rPr>
          <w:color w:val="000000" w:themeColor="text1"/>
          <w:kern w:val="0"/>
          <w:sz w:val="24"/>
          <w:szCs w:val="24"/>
        </w:rPr>
      </w:pPr>
      <w:r w:rsidRPr="00A76EB8">
        <w:rPr>
          <w:color w:val="000000" w:themeColor="text1"/>
          <w:kern w:val="0"/>
          <w:sz w:val="24"/>
          <w:szCs w:val="24"/>
        </w:rPr>
        <w:t>§</w:t>
      </w:r>
      <w:r w:rsidRPr="00A76EB8">
        <w:rPr>
          <w:color w:val="000000" w:themeColor="text1"/>
          <w:kern w:val="0"/>
          <w:sz w:val="24"/>
          <w:szCs w:val="24"/>
        </w:rPr>
        <w:t>5</w:t>
      </w:r>
      <w:r w:rsidRPr="00A76EB8">
        <w:rPr>
          <w:color w:val="000000" w:themeColor="text1"/>
          <w:kern w:val="0"/>
          <w:sz w:val="24"/>
          <w:szCs w:val="24"/>
        </w:rPr>
        <w:t>投资组合报告</w:t>
      </w:r>
    </w:p>
    <w:p w:rsidR="004061AC"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5.1 </w:t>
      </w:r>
      <w:r w:rsidRPr="00A76EB8">
        <w:rPr>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CE3872" w:rsidTr="0069426C">
        <w:trPr>
          <w:jc w:val="center"/>
        </w:trPr>
        <w:tc>
          <w:tcPr>
            <w:tcW w:w="720" w:type="dxa"/>
            <w:vAlign w:val="center"/>
          </w:tcPr>
          <w:p w:rsidR="00853140" w:rsidRPr="00A76EB8" w:rsidRDefault="007C128A" w:rsidP="00F71057">
            <w:pPr>
              <w:spacing w:before="29" w:line="360" w:lineRule="auto"/>
              <w:ind w:left="17"/>
              <w:jc w:val="center"/>
              <w:rPr>
                <w:color w:val="000000" w:themeColor="text1"/>
                <w:sz w:val="24"/>
                <w:szCs w:val="24"/>
              </w:rPr>
            </w:pPr>
            <w:r w:rsidRPr="00A76EB8">
              <w:rPr>
                <w:color w:val="000000" w:themeColor="text1"/>
                <w:sz w:val="24"/>
                <w:szCs w:val="24"/>
              </w:rPr>
              <w:t>序号</w:t>
            </w:r>
          </w:p>
        </w:tc>
        <w:tc>
          <w:tcPr>
            <w:tcW w:w="3357" w:type="dxa"/>
            <w:vAlign w:val="center"/>
          </w:tcPr>
          <w:p w:rsidR="00853140" w:rsidRPr="00A76EB8" w:rsidRDefault="007C128A" w:rsidP="00F71057">
            <w:pPr>
              <w:spacing w:before="29" w:line="360" w:lineRule="auto"/>
              <w:ind w:left="17"/>
              <w:jc w:val="center"/>
              <w:rPr>
                <w:color w:val="000000" w:themeColor="text1"/>
                <w:sz w:val="24"/>
                <w:szCs w:val="24"/>
              </w:rPr>
            </w:pPr>
            <w:r w:rsidRPr="00A76EB8">
              <w:rPr>
                <w:color w:val="000000" w:themeColor="text1"/>
                <w:sz w:val="24"/>
                <w:szCs w:val="24"/>
              </w:rPr>
              <w:t>项目</w:t>
            </w:r>
          </w:p>
        </w:tc>
        <w:tc>
          <w:tcPr>
            <w:tcW w:w="2977" w:type="dxa"/>
            <w:vAlign w:val="center"/>
          </w:tcPr>
          <w:p w:rsidR="00853140" w:rsidRPr="00A76EB8" w:rsidRDefault="007C128A" w:rsidP="00316484">
            <w:pPr>
              <w:spacing w:before="29" w:line="360" w:lineRule="auto"/>
              <w:ind w:left="17"/>
              <w:jc w:val="center"/>
              <w:rPr>
                <w:color w:val="000000" w:themeColor="text1"/>
                <w:sz w:val="24"/>
                <w:szCs w:val="24"/>
              </w:rPr>
            </w:pPr>
            <w:r w:rsidRPr="00A76EB8">
              <w:rPr>
                <w:color w:val="000000" w:themeColor="text1"/>
                <w:sz w:val="24"/>
                <w:szCs w:val="24"/>
              </w:rPr>
              <w:t>金额</w:t>
            </w:r>
            <w:r w:rsidRPr="00A76EB8">
              <w:rPr>
                <w:color w:val="000000" w:themeColor="text1"/>
                <w:sz w:val="24"/>
                <w:szCs w:val="24"/>
              </w:rPr>
              <w:t>(</w:t>
            </w:r>
            <w:r w:rsidRPr="00A76EB8">
              <w:rPr>
                <w:color w:val="000000" w:themeColor="text1"/>
                <w:sz w:val="24"/>
                <w:szCs w:val="24"/>
              </w:rPr>
              <w:t>元</w:t>
            </w:r>
            <w:r w:rsidRPr="00A76EB8">
              <w:rPr>
                <w:color w:val="000000" w:themeColor="text1"/>
                <w:sz w:val="24"/>
                <w:szCs w:val="24"/>
              </w:rPr>
              <w:t>)</w:t>
            </w:r>
          </w:p>
        </w:tc>
        <w:tc>
          <w:tcPr>
            <w:tcW w:w="1843" w:type="dxa"/>
            <w:vAlign w:val="center"/>
          </w:tcPr>
          <w:p w:rsidR="00853140" w:rsidRPr="00A76EB8" w:rsidRDefault="007C128A" w:rsidP="00316484">
            <w:pPr>
              <w:spacing w:before="29" w:line="360" w:lineRule="auto"/>
              <w:ind w:left="17"/>
              <w:jc w:val="center"/>
              <w:rPr>
                <w:color w:val="000000" w:themeColor="text1"/>
                <w:sz w:val="24"/>
                <w:szCs w:val="24"/>
              </w:rPr>
            </w:pPr>
            <w:r w:rsidRPr="00A76EB8">
              <w:rPr>
                <w:color w:val="000000" w:themeColor="text1"/>
                <w:sz w:val="24"/>
                <w:szCs w:val="24"/>
              </w:rPr>
              <w:t>占基金总资产的比例</w:t>
            </w:r>
            <w:r w:rsidRPr="00A76EB8">
              <w:rPr>
                <w:color w:val="000000" w:themeColor="text1"/>
                <w:sz w:val="24"/>
                <w:szCs w:val="24"/>
              </w:rPr>
              <w:t>(</w:t>
            </w:r>
            <w:r w:rsidRPr="00A76EB8">
              <w:rPr>
                <w:color w:val="000000" w:themeColor="text1"/>
                <w:sz w:val="24"/>
                <w:szCs w:val="24"/>
              </w:rPr>
              <w:t>%</w:t>
            </w:r>
            <w:r w:rsidRPr="00A76EB8">
              <w:rPr>
                <w:color w:val="000000" w:themeColor="text1"/>
                <w:sz w:val="24"/>
                <w:szCs w:val="24"/>
              </w:rPr>
              <w:t>)</w:t>
            </w:r>
          </w:p>
        </w:tc>
      </w:tr>
      <w:tr w:rsidR="00CE3872" w:rsidTr="0069426C">
        <w:trPr>
          <w:jc w:val="center"/>
        </w:trPr>
        <w:tc>
          <w:tcPr>
            <w:tcW w:w="720" w:type="dxa"/>
            <w:vAlign w:val="center"/>
          </w:tcPr>
          <w:p w:rsidR="00853140" w:rsidRPr="00A76EB8" w:rsidRDefault="007C128A" w:rsidP="00A03AAC">
            <w:pPr>
              <w:spacing w:before="29" w:line="360" w:lineRule="auto"/>
              <w:ind w:left="17"/>
              <w:jc w:val="center"/>
              <w:rPr>
                <w:color w:val="000000" w:themeColor="text1"/>
                <w:sz w:val="24"/>
                <w:szCs w:val="24"/>
              </w:rPr>
            </w:pPr>
            <w:r w:rsidRPr="00A76EB8">
              <w:rPr>
                <w:color w:val="000000" w:themeColor="text1"/>
                <w:sz w:val="24"/>
                <w:szCs w:val="24"/>
              </w:rPr>
              <w:t>1</w:t>
            </w:r>
          </w:p>
        </w:tc>
        <w:tc>
          <w:tcPr>
            <w:tcW w:w="3357" w:type="dxa"/>
            <w:vAlign w:val="center"/>
          </w:tcPr>
          <w:p w:rsidR="00853140" w:rsidRPr="00A76EB8" w:rsidRDefault="007C128A" w:rsidP="00EA70F1">
            <w:pPr>
              <w:spacing w:before="29" w:line="360" w:lineRule="auto"/>
              <w:ind w:left="17"/>
              <w:jc w:val="left"/>
              <w:rPr>
                <w:color w:val="000000" w:themeColor="text1"/>
                <w:sz w:val="24"/>
                <w:szCs w:val="24"/>
              </w:rPr>
            </w:pPr>
            <w:r w:rsidRPr="00A76EB8">
              <w:rPr>
                <w:color w:val="000000" w:themeColor="text1"/>
                <w:sz w:val="24"/>
                <w:szCs w:val="24"/>
              </w:rPr>
              <w:t>权益投资</w:t>
            </w:r>
          </w:p>
        </w:tc>
        <w:tc>
          <w:tcPr>
            <w:tcW w:w="2977" w:type="dxa"/>
            <w:vAlign w:val="center"/>
          </w:tcPr>
          <w:p w:rsidR="00853140" w:rsidRPr="00A76EB8" w:rsidRDefault="007C128A" w:rsidP="00C77AEF">
            <w:pPr>
              <w:spacing w:before="29" w:line="360" w:lineRule="auto"/>
              <w:ind w:left="17"/>
              <w:jc w:val="right"/>
              <w:rPr>
                <w:color w:val="000000" w:themeColor="text1"/>
                <w:sz w:val="24"/>
                <w:szCs w:val="24"/>
              </w:rPr>
            </w:pPr>
            <w:r w:rsidRPr="00A76EB8">
              <w:rPr>
                <w:color w:val="000000" w:themeColor="text1"/>
                <w:sz w:val="24"/>
                <w:szCs w:val="24"/>
              </w:rPr>
              <w:t>-</w:t>
            </w:r>
          </w:p>
        </w:tc>
        <w:tc>
          <w:tcPr>
            <w:tcW w:w="1843" w:type="dxa"/>
            <w:vAlign w:val="center"/>
          </w:tcPr>
          <w:p w:rsidR="00853140"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w:t>
            </w:r>
          </w:p>
        </w:tc>
      </w:tr>
      <w:tr w:rsidR="00CE3872" w:rsidTr="0069426C">
        <w:trPr>
          <w:jc w:val="center"/>
        </w:trPr>
        <w:tc>
          <w:tcPr>
            <w:tcW w:w="720" w:type="dxa"/>
            <w:vAlign w:val="center"/>
          </w:tcPr>
          <w:p w:rsidR="00853140" w:rsidRPr="00A76EB8" w:rsidRDefault="007C128A" w:rsidP="00A03AAC">
            <w:pPr>
              <w:spacing w:before="29" w:line="360" w:lineRule="auto"/>
              <w:ind w:left="17"/>
              <w:jc w:val="center"/>
              <w:rPr>
                <w:color w:val="000000" w:themeColor="text1"/>
                <w:sz w:val="24"/>
                <w:szCs w:val="24"/>
              </w:rPr>
            </w:pPr>
          </w:p>
        </w:tc>
        <w:tc>
          <w:tcPr>
            <w:tcW w:w="3357" w:type="dxa"/>
            <w:vAlign w:val="center"/>
          </w:tcPr>
          <w:p w:rsidR="00853140" w:rsidRPr="00A76EB8" w:rsidRDefault="007C128A" w:rsidP="00EA70F1">
            <w:pPr>
              <w:spacing w:before="29" w:line="360" w:lineRule="auto"/>
              <w:ind w:left="17"/>
              <w:jc w:val="left"/>
              <w:rPr>
                <w:color w:val="000000" w:themeColor="text1"/>
                <w:sz w:val="24"/>
                <w:szCs w:val="24"/>
              </w:rPr>
            </w:pPr>
            <w:r w:rsidRPr="00A76EB8">
              <w:rPr>
                <w:color w:val="000000" w:themeColor="text1"/>
                <w:sz w:val="24"/>
                <w:szCs w:val="24"/>
              </w:rPr>
              <w:t>其中：股票</w:t>
            </w:r>
          </w:p>
        </w:tc>
        <w:tc>
          <w:tcPr>
            <w:tcW w:w="2977" w:type="dxa"/>
            <w:vAlign w:val="center"/>
          </w:tcPr>
          <w:p w:rsidR="00853140"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w:t>
            </w:r>
          </w:p>
        </w:tc>
        <w:tc>
          <w:tcPr>
            <w:tcW w:w="1843" w:type="dxa"/>
            <w:vAlign w:val="center"/>
          </w:tcPr>
          <w:p w:rsidR="00853140"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w:t>
            </w:r>
          </w:p>
        </w:tc>
      </w:tr>
      <w:tr w:rsidR="00CE3872" w:rsidTr="0069426C">
        <w:trPr>
          <w:jc w:val="center"/>
        </w:trPr>
        <w:tc>
          <w:tcPr>
            <w:tcW w:w="720" w:type="dxa"/>
            <w:vAlign w:val="center"/>
          </w:tcPr>
          <w:p w:rsidR="00853140" w:rsidRPr="00A76EB8" w:rsidRDefault="007C128A" w:rsidP="00A03AAC">
            <w:pPr>
              <w:spacing w:before="29" w:line="360" w:lineRule="auto"/>
              <w:ind w:left="17"/>
              <w:jc w:val="center"/>
              <w:rPr>
                <w:color w:val="000000" w:themeColor="text1"/>
                <w:sz w:val="24"/>
                <w:szCs w:val="24"/>
              </w:rPr>
            </w:pPr>
            <w:r w:rsidRPr="00A76EB8">
              <w:rPr>
                <w:color w:val="000000" w:themeColor="text1"/>
                <w:sz w:val="24"/>
                <w:szCs w:val="24"/>
              </w:rPr>
              <w:t>2</w:t>
            </w:r>
          </w:p>
        </w:tc>
        <w:tc>
          <w:tcPr>
            <w:tcW w:w="3357" w:type="dxa"/>
            <w:vAlign w:val="center"/>
          </w:tcPr>
          <w:p w:rsidR="00853140" w:rsidRPr="00A76EB8" w:rsidRDefault="007C128A" w:rsidP="00EA70F1">
            <w:pPr>
              <w:spacing w:before="29" w:line="360" w:lineRule="auto"/>
              <w:ind w:left="17"/>
              <w:jc w:val="left"/>
              <w:rPr>
                <w:color w:val="000000" w:themeColor="text1"/>
                <w:sz w:val="24"/>
                <w:szCs w:val="24"/>
              </w:rPr>
            </w:pPr>
            <w:r w:rsidRPr="00A76EB8">
              <w:rPr>
                <w:color w:val="000000" w:themeColor="text1"/>
                <w:sz w:val="24"/>
                <w:szCs w:val="24"/>
              </w:rPr>
              <w:t>固定收益投资</w:t>
            </w:r>
          </w:p>
        </w:tc>
        <w:tc>
          <w:tcPr>
            <w:tcW w:w="2977" w:type="dxa"/>
            <w:vAlign w:val="center"/>
          </w:tcPr>
          <w:p w:rsidR="00853140"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1,425,186,000.00</w:t>
            </w:r>
          </w:p>
        </w:tc>
        <w:tc>
          <w:tcPr>
            <w:tcW w:w="1843" w:type="dxa"/>
            <w:vAlign w:val="center"/>
          </w:tcPr>
          <w:p w:rsidR="00853140"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91.77</w:t>
            </w:r>
          </w:p>
        </w:tc>
      </w:tr>
      <w:tr w:rsidR="00CE3872" w:rsidTr="0069426C">
        <w:trPr>
          <w:jc w:val="center"/>
        </w:trPr>
        <w:tc>
          <w:tcPr>
            <w:tcW w:w="720" w:type="dxa"/>
            <w:vAlign w:val="center"/>
          </w:tcPr>
          <w:p w:rsidR="00853140" w:rsidRPr="00A76EB8" w:rsidRDefault="007C128A" w:rsidP="00A03AAC">
            <w:pPr>
              <w:spacing w:before="29" w:line="360" w:lineRule="auto"/>
              <w:ind w:left="17"/>
              <w:jc w:val="center"/>
              <w:rPr>
                <w:color w:val="000000" w:themeColor="text1"/>
                <w:sz w:val="24"/>
                <w:szCs w:val="24"/>
              </w:rPr>
            </w:pPr>
          </w:p>
        </w:tc>
        <w:tc>
          <w:tcPr>
            <w:tcW w:w="3357" w:type="dxa"/>
            <w:vAlign w:val="center"/>
          </w:tcPr>
          <w:p w:rsidR="00853140" w:rsidRPr="00A76EB8" w:rsidRDefault="007C128A" w:rsidP="00EA70F1">
            <w:pPr>
              <w:spacing w:before="29" w:line="360" w:lineRule="auto"/>
              <w:ind w:left="17"/>
              <w:jc w:val="left"/>
              <w:rPr>
                <w:color w:val="000000" w:themeColor="text1"/>
                <w:sz w:val="24"/>
                <w:szCs w:val="24"/>
              </w:rPr>
            </w:pPr>
            <w:r w:rsidRPr="00A76EB8">
              <w:rPr>
                <w:color w:val="000000" w:themeColor="text1"/>
                <w:sz w:val="24"/>
                <w:szCs w:val="24"/>
              </w:rPr>
              <w:t>其中：债券</w:t>
            </w:r>
          </w:p>
        </w:tc>
        <w:tc>
          <w:tcPr>
            <w:tcW w:w="2977" w:type="dxa"/>
            <w:vAlign w:val="center"/>
          </w:tcPr>
          <w:p w:rsidR="00853140"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1,425,186,000.00</w:t>
            </w:r>
          </w:p>
        </w:tc>
        <w:tc>
          <w:tcPr>
            <w:tcW w:w="1843" w:type="dxa"/>
            <w:vAlign w:val="center"/>
          </w:tcPr>
          <w:p w:rsidR="00853140"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91.77</w:t>
            </w:r>
          </w:p>
        </w:tc>
      </w:tr>
      <w:tr w:rsidR="00CE3872" w:rsidTr="0069426C">
        <w:trPr>
          <w:jc w:val="center"/>
        </w:trPr>
        <w:tc>
          <w:tcPr>
            <w:tcW w:w="720" w:type="dxa"/>
            <w:vAlign w:val="center"/>
          </w:tcPr>
          <w:p w:rsidR="00853140" w:rsidRPr="00A76EB8" w:rsidRDefault="007C128A" w:rsidP="00A03AAC">
            <w:pPr>
              <w:spacing w:before="29" w:line="360" w:lineRule="auto"/>
              <w:ind w:left="17"/>
              <w:jc w:val="center"/>
              <w:rPr>
                <w:color w:val="000000" w:themeColor="text1"/>
                <w:sz w:val="24"/>
                <w:szCs w:val="24"/>
              </w:rPr>
            </w:pPr>
          </w:p>
        </w:tc>
        <w:tc>
          <w:tcPr>
            <w:tcW w:w="3357" w:type="dxa"/>
            <w:vAlign w:val="center"/>
          </w:tcPr>
          <w:p w:rsidR="00853140" w:rsidRPr="00A76EB8" w:rsidRDefault="007C128A" w:rsidP="007C128A">
            <w:pPr>
              <w:autoSpaceDE w:val="0"/>
              <w:autoSpaceDN w:val="0"/>
              <w:adjustRightInd w:val="0"/>
              <w:spacing w:before="29" w:line="360" w:lineRule="auto"/>
              <w:ind w:left="17" w:firstLineChars="250" w:firstLine="600"/>
              <w:jc w:val="left"/>
              <w:rPr>
                <w:color w:val="000000" w:themeColor="text1"/>
                <w:sz w:val="24"/>
                <w:szCs w:val="24"/>
              </w:rPr>
            </w:pPr>
            <w:r w:rsidRPr="00A76EB8">
              <w:rPr>
                <w:color w:val="000000" w:themeColor="text1"/>
                <w:sz w:val="24"/>
                <w:szCs w:val="24"/>
              </w:rPr>
              <w:t>资产支持证券</w:t>
            </w:r>
          </w:p>
        </w:tc>
        <w:tc>
          <w:tcPr>
            <w:tcW w:w="2977" w:type="dxa"/>
            <w:vAlign w:val="center"/>
          </w:tcPr>
          <w:p w:rsidR="00853140"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w:t>
            </w:r>
          </w:p>
        </w:tc>
        <w:tc>
          <w:tcPr>
            <w:tcW w:w="1843" w:type="dxa"/>
            <w:vAlign w:val="center"/>
          </w:tcPr>
          <w:p w:rsidR="00853140"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w:t>
            </w:r>
          </w:p>
        </w:tc>
      </w:tr>
      <w:tr w:rsidR="00CE3872" w:rsidTr="00195020">
        <w:trPr>
          <w:jc w:val="center"/>
        </w:trPr>
        <w:tc>
          <w:tcPr>
            <w:tcW w:w="720" w:type="dxa"/>
          </w:tcPr>
          <w:p w:rsidR="001D63BB" w:rsidRPr="00A76EB8" w:rsidRDefault="007C128A" w:rsidP="001D63BB">
            <w:pPr>
              <w:spacing w:before="29" w:line="360" w:lineRule="auto"/>
              <w:ind w:left="17"/>
              <w:jc w:val="center"/>
              <w:rPr>
                <w:color w:val="000000" w:themeColor="text1"/>
                <w:sz w:val="24"/>
                <w:szCs w:val="24"/>
              </w:rPr>
            </w:pPr>
            <w:r w:rsidRPr="00A76EB8">
              <w:rPr>
                <w:color w:val="000000" w:themeColor="text1"/>
                <w:sz w:val="24"/>
                <w:szCs w:val="24"/>
              </w:rPr>
              <w:t>3</w:t>
            </w:r>
          </w:p>
        </w:tc>
        <w:tc>
          <w:tcPr>
            <w:tcW w:w="3357" w:type="dxa"/>
          </w:tcPr>
          <w:p w:rsidR="001D63BB" w:rsidRPr="00A76EB8" w:rsidRDefault="007C128A" w:rsidP="001D63BB">
            <w:pPr>
              <w:spacing w:before="29" w:line="360" w:lineRule="auto"/>
              <w:ind w:leftChars="50" w:left="105"/>
              <w:rPr>
                <w:color w:val="000000" w:themeColor="text1"/>
                <w:sz w:val="24"/>
                <w:szCs w:val="24"/>
              </w:rPr>
            </w:pPr>
            <w:r w:rsidRPr="00A76EB8">
              <w:rPr>
                <w:color w:val="000000" w:themeColor="text1"/>
                <w:sz w:val="24"/>
                <w:szCs w:val="24"/>
              </w:rPr>
              <w:t>贵金属投资</w:t>
            </w:r>
          </w:p>
        </w:tc>
        <w:tc>
          <w:tcPr>
            <w:tcW w:w="2977" w:type="dxa"/>
            <w:vAlign w:val="center"/>
          </w:tcPr>
          <w:p w:rsidR="001D63BB" w:rsidRPr="00A76EB8" w:rsidRDefault="007C128A" w:rsidP="00DD272F">
            <w:pPr>
              <w:spacing w:before="29" w:line="360" w:lineRule="auto"/>
              <w:ind w:left="17"/>
              <w:jc w:val="right"/>
              <w:rPr>
                <w:color w:val="000000" w:themeColor="text1"/>
                <w:sz w:val="24"/>
                <w:szCs w:val="24"/>
              </w:rPr>
            </w:pPr>
            <w:r w:rsidRPr="00A76EB8">
              <w:rPr>
                <w:color w:val="000000" w:themeColor="text1"/>
                <w:sz w:val="24"/>
                <w:szCs w:val="24"/>
              </w:rPr>
              <w:t>-</w:t>
            </w:r>
          </w:p>
        </w:tc>
        <w:tc>
          <w:tcPr>
            <w:tcW w:w="1843" w:type="dxa"/>
            <w:vAlign w:val="center"/>
          </w:tcPr>
          <w:p w:rsidR="001D63BB" w:rsidRPr="00A76EB8" w:rsidRDefault="007C128A" w:rsidP="00DD272F">
            <w:pPr>
              <w:spacing w:before="29" w:line="360" w:lineRule="auto"/>
              <w:ind w:left="17"/>
              <w:jc w:val="right"/>
              <w:rPr>
                <w:color w:val="000000" w:themeColor="text1"/>
                <w:sz w:val="24"/>
                <w:szCs w:val="24"/>
              </w:rPr>
            </w:pPr>
            <w:r w:rsidRPr="00A76EB8">
              <w:rPr>
                <w:color w:val="000000" w:themeColor="text1"/>
                <w:sz w:val="24"/>
                <w:szCs w:val="24"/>
              </w:rPr>
              <w:t>-</w:t>
            </w:r>
          </w:p>
        </w:tc>
      </w:tr>
      <w:tr w:rsidR="00CE3872" w:rsidTr="0069426C">
        <w:trPr>
          <w:jc w:val="center"/>
        </w:trPr>
        <w:tc>
          <w:tcPr>
            <w:tcW w:w="720" w:type="dxa"/>
            <w:vAlign w:val="center"/>
          </w:tcPr>
          <w:p w:rsidR="001D63BB" w:rsidRPr="00A76EB8" w:rsidRDefault="007C128A" w:rsidP="00A03AAC">
            <w:pPr>
              <w:spacing w:before="29" w:line="360" w:lineRule="auto"/>
              <w:ind w:left="17"/>
              <w:jc w:val="center"/>
              <w:rPr>
                <w:color w:val="000000" w:themeColor="text1"/>
                <w:sz w:val="24"/>
                <w:szCs w:val="24"/>
              </w:rPr>
            </w:pPr>
            <w:r w:rsidRPr="00A76EB8">
              <w:rPr>
                <w:color w:val="000000" w:themeColor="text1"/>
                <w:sz w:val="24"/>
                <w:szCs w:val="24"/>
              </w:rPr>
              <w:t>4</w:t>
            </w:r>
          </w:p>
        </w:tc>
        <w:tc>
          <w:tcPr>
            <w:tcW w:w="3357" w:type="dxa"/>
            <w:vAlign w:val="center"/>
          </w:tcPr>
          <w:p w:rsidR="001D63BB" w:rsidRPr="00A76EB8" w:rsidRDefault="007C128A" w:rsidP="00EA70F1">
            <w:pPr>
              <w:spacing w:before="29" w:line="360" w:lineRule="auto"/>
              <w:ind w:left="17"/>
              <w:jc w:val="left"/>
              <w:rPr>
                <w:color w:val="000000" w:themeColor="text1"/>
                <w:sz w:val="24"/>
                <w:szCs w:val="24"/>
              </w:rPr>
            </w:pPr>
            <w:r w:rsidRPr="00A76EB8">
              <w:rPr>
                <w:color w:val="000000" w:themeColor="text1"/>
                <w:sz w:val="24"/>
                <w:szCs w:val="24"/>
              </w:rPr>
              <w:t>金融衍生品投资</w:t>
            </w:r>
          </w:p>
        </w:tc>
        <w:tc>
          <w:tcPr>
            <w:tcW w:w="2977" w:type="dxa"/>
            <w:vAlign w:val="center"/>
          </w:tcPr>
          <w:p w:rsidR="001D63BB"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w:t>
            </w:r>
          </w:p>
        </w:tc>
        <w:tc>
          <w:tcPr>
            <w:tcW w:w="1843" w:type="dxa"/>
            <w:vAlign w:val="center"/>
          </w:tcPr>
          <w:p w:rsidR="001D63BB"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w:t>
            </w:r>
          </w:p>
        </w:tc>
      </w:tr>
      <w:tr w:rsidR="00CE3872" w:rsidTr="0069426C">
        <w:trPr>
          <w:jc w:val="center"/>
        </w:trPr>
        <w:tc>
          <w:tcPr>
            <w:tcW w:w="720" w:type="dxa"/>
            <w:vAlign w:val="center"/>
          </w:tcPr>
          <w:p w:rsidR="001D63BB" w:rsidRPr="00A76EB8" w:rsidRDefault="007C128A" w:rsidP="00A03AAC">
            <w:pPr>
              <w:spacing w:before="29" w:line="360" w:lineRule="auto"/>
              <w:ind w:left="17"/>
              <w:jc w:val="center"/>
              <w:rPr>
                <w:color w:val="000000" w:themeColor="text1"/>
                <w:sz w:val="24"/>
                <w:szCs w:val="24"/>
              </w:rPr>
            </w:pPr>
            <w:r w:rsidRPr="00A76EB8">
              <w:rPr>
                <w:color w:val="000000" w:themeColor="text1"/>
                <w:sz w:val="24"/>
                <w:szCs w:val="24"/>
              </w:rPr>
              <w:t>5</w:t>
            </w:r>
          </w:p>
        </w:tc>
        <w:tc>
          <w:tcPr>
            <w:tcW w:w="3357" w:type="dxa"/>
            <w:vAlign w:val="center"/>
          </w:tcPr>
          <w:p w:rsidR="001D63BB" w:rsidRPr="00A76EB8" w:rsidRDefault="007C128A" w:rsidP="00EA70F1">
            <w:pPr>
              <w:spacing w:before="29" w:line="360" w:lineRule="auto"/>
              <w:ind w:left="17"/>
              <w:jc w:val="left"/>
              <w:rPr>
                <w:color w:val="000000" w:themeColor="text1"/>
                <w:sz w:val="24"/>
                <w:szCs w:val="24"/>
              </w:rPr>
            </w:pPr>
            <w:r w:rsidRPr="00A76EB8">
              <w:rPr>
                <w:color w:val="000000" w:themeColor="text1"/>
                <w:sz w:val="24"/>
                <w:szCs w:val="24"/>
              </w:rPr>
              <w:t>买入返售金融资产</w:t>
            </w:r>
          </w:p>
        </w:tc>
        <w:tc>
          <w:tcPr>
            <w:tcW w:w="2977" w:type="dxa"/>
            <w:vAlign w:val="center"/>
          </w:tcPr>
          <w:p w:rsidR="001D63BB"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90,000,000.00</w:t>
            </w:r>
          </w:p>
        </w:tc>
        <w:tc>
          <w:tcPr>
            <w:tcW w:w="1843" w:type="dxa"/>
            <w:vAlign w:val="center"/>
          </w:tcPr>
          <w:p w:rsidR="001D63BB" w:rsidRPr="00A76EB8" w:rsidRDefault="007C128A" w:rsidP="001675CD">
            <w:pPr>
              <w:spacing w:before="29" w:line="360" w:lineRule="auto"/>
              <w:ind w:left="17"/>
              <w:jc w:val="right"/>
              <w:rPr>
                <w:color w:val="000000" w:themeColor="text1"/>
                <w:sz w:val="24"/>
                <w:szCs w:val="24"/>
              </w:rPr>
            </w:pPr>
            <w:r w:rsidRPr="00A76EB8">
              <w:rPr>
                <w:color w:val="000000" w:themeColor="text1"/>
                <w:sz w:val="24"/>
                <w:szCs w:val="24"/>
              </w:rPr>
              <w:t>5.79</w:t>
            </w:r>
          </w:p>
        </w:tc>
      </w:tr>
      <w:tr w:rsidR="00CE3872" w:rsidTr="0069426C">
        <w:trPr>
          <w:jc w:val="center"/>
        </w:trPr>
        <w:tc>
          <w:tcPr>
            <w:tcW w:w="720" w:type="dxa"/>
            <w:vAlign w:val="center"/>
          </w:tcPr>
          <w:p w:rsidR="001D63BB" w:rsidRPr="00A76EB8" w:rsidRDefault="007C128A" w:rsidP="00A03AAC">
            <w:pPr>
              <w:spacing w:before="29" w:line="360" w:lineRule="auto"/>
              <w:ind w:left="17"/>
              <w:jc w:val="center"/>
              <w:rPr>
                <w:color w:val="000000" w:themeColor="text1"/>
                <w:sz w:val="24"/>
                <w:szCs w:val="24"/>
              </w:rPr>
            </w:pPr>
          </w:p>
        </w:tc>
        <w:tc>
          <w:tcPr>
            <w:tcW w:w="3357" w:type="dxa"/>
            <w:vAlign w:val="center"/>
          </w:tcPr>
          <w:p w:rsidR="001D63BB" w:rsidRPr="00A76EB8" w:rsidRDefault="007C128A" w:rsidP="00EA70F1">
            <w:pPr>
              <w:spacing w:before="29" w:line="360" w:lineRule="auto"/>
              <w:ind w:left="17"/>
              <w:jc w:val="left"/>
              <w:rPr>
                <w:color w:val="000000" w:themeColor="text1"/>
                <w:sz w:val="24"/>
                <w:szCs w:val="24"/>
              </w:rPr>
            </w:pPr>
            <w:r w:rsidRPr="00A76EB8">
              <w:rPr>
                <w:color w:val="000000" w:themeColor="text1"/>
                <w:sz w:val="24"/>
                <w:szCs w:val="24"/>
              </w:rPr>
              <w:t>其中：买断式回购的买入返售金融资产</w:t>
            </w:r>
          </w:p>
        </w:tc>
        <w:tc>
          <w:tcPr>
            <w:tcW w:w="2977" w:type="dxa"/>
            <w:vAlign w:val="center"/>
          </w:tcPr>
          <w:p w:rsidR="001D63BB"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w:t>
            </w:r>
          </w:p>
        </w:tc>
        <w:tc>
          <w:tcPr>
            <w:tcW w:w="1843" w:type="dxa"/>
            <w:vAlign w:val="center"/>
          </w:tcPr>
          <w:p w:rsidR="001D63BB"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w:t>
            </w:r>
          </w:p>
        </w:tc>
      </w:tr>
      <w:tr w:rsidR="00CE3872" w:rsidTr="0069426C">
        <w:trPr>
          <w:jc w:val="center"/>
        </w:trPr>
        <w:tc>
          <w:tcPr>
            <w:tcW w:w="720" w:type="dxa"/>
            <w:vAlign w:val="center"/>
          </w:tcPr>
          <w:p w:rsidR="001D63BB" w:rsidRPr="00A76EB8" w:rsidRDefault="007C128A" w:rsidP="00A03AAC">
            <w:pPr>
              <w:spacing w:before="29" w:line="360" w:lineRule="auto"/>
              <w:ind w:left="17"/>
              <w:jc w:val="center"/>
              <w:rPr>
                <w:color w:val="000000" w:themeColor="text1"/>
                <w:sz w:val="24"/>
                <w:szCs w:val="24"/>
              </w:rPr>
            </w:pPr>
            <w:r w:rsidRPr="00A76EB8">
              <w:rPr>
                <w:color w:val="000000" w:themeColor="text1"/>
                <w:sz w:val="24"/>
                <w:szCs w:val="24"/>
              </w:rPr>
              <w:t>6</w:t>
            </w:r>
          </w:p>
        </w:tc>
        <w:tc>
          <w:tcPr>
            <w:tcW w:w="3357" w:type="dxa"/>
            <w:vAlign w:val="center"/>
          </w:tcPr>
          <w:p w:rsidR="001D63BB" w:rsidRPr="00A76EB8" w:rsidRDefault="007C128A" w:rsidP="00A03AAC">
            <w:pPr>
              <w:spacing w:before="29" w:line="360" w:lineRule="auto"/>
              <w:ind w:left="17"/>
              <w:jc w:val="left"/>
              <w:rPr>
                <w:color w:val="000000" w:themeColor="text1"/>
                <w:sz w:val="24"/>
                <w:szCs w:val="24"/>
              </w:rPr>
            </w:pPr>
            <w:r w:rsidRPr="00A76EB8">
              <w:rPr>
                <w:color w:val="000000" w:themeColor="text1"/>
                <w:sz w:val="24"/>
                <w:szCs w:val="24"/>
              </w:rPr>
              <w:t>银行存款和结算备付金合计</w:t>
            </w:r>
          </w:p>
        </w:tc>
        <w:tc>
          <w:tcPr>
            <w:tcW w:w="2977" w:type="dxa"/>
            <w:vAlign w:val="center"/>
          </w:tcPr>
          <w:p w:rsidR="001D63BB" w:rsidRPr="00A76EB8" w:rsidRDefault="007C128A" w:rsidP="00A03AAC">
            <w:pPr>
              <w:spacing w:before="29" w:line="360" w:lineRule="auto"/>
              <w:ind w:left="17"/>
              <w:jc w:val="right"/>
              <w:rPr>
                <w:color w:val="000000" w:themeColor="text1"/>
                <w:sz w:val="24"/>
                <w:szCs w:val="24"/>
              </w:rPr>
            </w:pPr>
            <w:r w:rsidRPr="00A76EB8">
              <w:rPr>
                <w:color w:val="000000" w:themeColor="text1"/>
                <w:sz w:val="24"/>
                <w:szCs w:val="24"/>
              </w:rPr>
              <w:t>3,749,994.59</w:t>
            </w:r>
          </w:p>
        </w:tc>
        <w:tc>
          <w:tcPr>
            <w:tcW w:w="1843" w:type="dxa"/>
            <w:vAlign w:val="center"/>
          </w:tcPr>
          <w:p w:rsidR="001D63BB" w:rsidRPr="00A76EB8" w:rsidRDefault="007C128A" w:rsidP="001675CD">
            <w:pPr>
              <w:spacing w:before="29" w:line="360" w:lineRule="auto"/>
              <w:ind w:left="17"/>
              <w:jc w:val="right"/>
              <w:rPr>
                <w:color w:val="000000" w:themeColor="text1"/>
                <w:sz w:val="24"/>
                <w:szCs w:val="24"/>
              </w:rPr>
            </w:pPr>
            <w:r w:rsidRPr="00A76EB8">
              <w:rPr>
                <w:color w:val="000000" w:themeColor="text1"/>
                <w:sz w:val="24"/>
                <w:szCs w:val="24"/>
              </w:rPr>
              <w:t>0.24</w:t>
            </w:r>
          </w:p>
        </w:tc>
      </w:tr>
      <w:tr w:rsidR="00CE3872" w:rsidTr="0069426C">
        <w:trPr>
          <w:jc w:val="center"/>
        </w:trPr>
        <w:tc>
          <w:tcPr>
            <w:tcW w:w="720" w:type="dxa"/>
            <w:vAlign w:val="center"/>
          </w:tcPr>
          <w:p w:rsidR="001D63BB" w:rsidRPr="00A76EB8" w:rsidRDefault="007C128A" w:rsidP="001D63BB">
            <w:pPr>
              <w:spacing w:before="29" w:line="360" w:lineRule="auto"/>
              <w:ind w:left="17"/>
              <w:jc w:val="center"/>
              <w:rPr>
                <w:color w:val="000000" w:themeColor="text1"/>
                <w:sz w:val="24"/>
                <w:szCs w:val="24"/>
              </w:rPr>
            </w:pPr>
            <w:r w:rsidRPr="00A76EB8">
              <w:rPr>
                <w:color w:val="000000" w:themeColor="text1"/>
                <w:sz w:val="24"/>
                <w:szCs w:val="24"/>
              </w:rPr>
              <w:t>7</w:t>
            </w:r>
          </w:p>
        </w:tc>
        <w:tc>
          <w:tcPr>
            <w:tcW w:w="3357" w:type="dxa"/>
            <w:vAlign w:val="center"/>
          </w:tcPr>
          <w:p w:rsidR="001D63BB" w:rsidRPr="00A76EB8" w:rsidRDefault="007C128A" w:rsidP="00A03AAC">
            <w:pPr>
              <w:jc w:val="left"/>
              <w:rPr>
                <w:color w:val="000000" w:themeColor="text1"/>
                <w:sz w:val="24"/>
                <w:szCs w:val="24"/>
              </w:rPr>
            </w:pPr>
            <w:r w:rsidRPr="00A76EB8">
              <w:rPr>
                <w:color w:val="000000" w:themeColor="text1"/>
                <w:sz w:val="24"/>
                <w:szCs w:val="24"/>
              </w:rPr>
              <w:t>其他各项资产</w:t>
            </w:r>
          </w:p>
        </w:tc>
        <w:tc>
          <w:tcPr>
            <w:tcW w:w="2977" w:type="dxa"/>
            <w:vAlign w:val="center"/>
          </w:tcPr>
          <w:p w:rsidR="001D63BB" w:rsidRPr="00A76EB8" w:rsidRDefault="007C128A" w:rsidP="00A03AAC">
            <w:pPr>
              <w:jc w:val="right"/>
              <w:rPr>
                <w:color w:val="000000" w:themeColor="text1"/>
                <w:sz w:val="24"/>
                <w:szCs w:val="24"/>
              </w:rPr>
            </w:pPr>
            <w:r w:rsidRPr="00A76EB8">
              <w:rPr>
                <w:color w:val="000000" w:themeColor="text1"/>
                <w:sz w:val="24"/>
                <w:szCs w:val="24"/>
              </w:rPr>
              <w:t>34,132,312.96</w:t>
            </w:r>
          </w:p>
        </w:tc>
        <w:tc>
          <w:tcPr>
            <w:tcW w:w="1843" w:type="dxa"/>
            <w:vAlign w:val="center"/>
          </w:tcPr>
          <w:p w:rsidR="001D63BB" w:rsidRPr="00A76EB8" w:rsidRDefault="007C128A" w:rsidP="00A03AAC">
            <w:pPr>
              <w:jc w:val="right"/>
              <w:rPr>
                <w:color w:val="000000" w:themeColor="text1"/>
                <w:sz w:val="24"/>
                <w:szCs w:val="24"/>
              </w:rPr>
            </w:pPr>
            <w:r w:rsidRPr="00A76EB8">
              <w:rPr>
                <w:color w:val="000000" w:themeColor="text1"/>
                <w:sz w:val="24"/>
                <w:szCs w:val="24"/>
              </w:rPr>
              <w:t>2.20</w:t>
            </w:r>
          </w:p>
        </w:tc>
      </w:tr>
      <w:tr w:rsidR="00CE3872" w:rsidTr="0069426C">
        <w:trPr>
          <w:jc w:val="center"/>
        </w:trPr>
        <w:tc>
          <w:tcPr>
            <w:tcW w:w="720" w:type="dxa"/>
            <w:vAlign w:val="center"/>
          </w:tcPr>
          <w:p w:rsidR="001D63BB" w:rsidRPr="00A76EB8" w:rsidRDefault="007C128A" w:rsidP="001D63BB">
            <w:pPr>
              <w:spacing w:before="29" w:line="360" w:lineRule="auto"/>
              <w:ind w:left="17"/>
              <w:jc w:val="center"/>
              <w:rPr>
                <w:color w:val="000000" w:themeColor="text1"/>
                <w:sz w:val="24"/>
                <w:szCs w:val="24"/>
              </w:rPr>
            </w:pPr>
            <w:r w:rsidRPr="00A76EB8">
              <w:rPr>
                <w:color w:val="000000" w:themeColor="text1"/>
                <w:sz w:val="24"/>
                <w:szCs w:val="24"/>
              </w:rPr>
              <w:t>8</w:t>
            </w:r>
          </w:p>
        </w:tc>
        <w:tc>
          <w:tcPr>
            <w:tcW w:w="3357" w:type="dxa"/>
            <w:vAlign w:val="center"/>
          </w:tcPr>
          <w:p w:rsidR="001D63BB" w:rsidRPr="00A76EB8" w:rsidRDefault="007C128A" w:rsidP="00A03AAC">
            <w:pPr>
              <w:jc w:val="left"/>
              <w:rPr>
                <w:color w:val="000000" w:themeColor="text1"/>
                <w:sz w:val="24"/>
                <w:szCs w:val="24"/>
              </w:rPr>
            </w:pPr>
            <w:r w:rsidRPr="00A76EB8">
              <w:rPr>
                <w:color w:val="000000" w:themeColor="text1"/>
                <w:sz w:val="24"/>
                <w:szCs w:val="24"/>
              </w:rPr>
              <w:t>合计</w:t>
            </w:r>
          </w:p>
        </w:tc>
        <w:tc>
          <w:tcPr>
            <w:tcW w:w="2977" w:type="dxa"/>
            <w:vAlign w:val="center"/>
          </w:tcPr>
          <w:p w:rsidR="001D63BB" w:rsidRPr="00A76EB8" w:rsidRDefault="007C128A" w:rsidP="00A03AAC">
            <w:pPr>
              <w:jc w:val="right"/>
              <w:rPr>
                <w:color w:val="000000" w:themeColor="text1"/>
                <w:sz w:val="24"/>
                <w:szCs w:val="24"/>
              </w:rPr>
            </w:pPr>
            <w:r w:rsidRPr="00A76EB8">
              <w:rPr>
                <w:color w:val="000000" w:themeColor="text1"/>
                <w:sz w:val="24"/>
                <w:szCs w:val="24"/>
              </w:rPr>
              <w:t>1,553,068,307.55</w:t>
            </w:r>
          </w:p>
        </w:tc>
        <w:tc>
          <w:tcPr>
            <w:tcW w:w="1843" w:type="dxa"/>
            <w:vAlign w:val="center"/>
          </w:tcPr>
          <w:p w:rsidR="001D63BB" w:rsidRPr="00A76EB8" w:rsidRDefault="007C128A" w:rsidP="001675CD">
            <w:pPr>
              <w:jc w:val="right"/>
              <w:rPr>
                <w:color w:val="000000" w:themeColor="text1"/>
                <w:sz w:val="24"/>
                <w:szCs w:val="24"/>
              </w:rPr>
            </w:pPr>
            <w:r w:rsidRPr="00A76EB8">
              <w:rPr>
                <w:color w:val="000000" w:themeColor="text1"/>
                <w:sz w:val="24"/>
                <w:szCs w:val="24"/>
              </w:rPr>
              <w:t>100.00</w:t>
            </w:r>
          </w:p>
        </w:tc>
      </w:tr>
    </w:tbl>
    <w:p w:rsidR="004061AC" w:rsidRPr="00A76EB8" w:rsidRDefault="007C128A" w:rsidP="004061AC">
      <w:pPr>
        <w:autoSpaceDE w:val="0"/>
        <w:autoSpaceDN w:val="0"/>
        <w:adjustRightInd w:val="0"/>
        <w:spacing w:line="360" w:lineRule="auto"/>
        <w:jc w:val="left"/>
        <w:rPr>
          <w:color w:val="000000" w:themeColor="text1"/>
          <w:sz w:val="24"/>
          <w:szCs w:val="24"/>
        </w:rPr>
      </w:pPr>
      <w:r w:rsidRPr="00A76EB8">
        <w:rPr>
          <w:color w:val="000000" w:themeColor="text1"/>
          <w:sz w:val="24"/>
          <w:szCs w:val="24"/>
        </w:rPr>
        <w:t>注：其他资产包括：交易保证金、应收利息、应收证券清算款、其他应收款、应收申购款、待摊费用。</w:t>
      </w:r>
    </w:p>
    <w:p w:rsidR="004061AC" w:rsidRPr="00A76EB8" w:rsidRDefault="007C128A" w:rsidP="004061AC">
      <w:pPr>
        <w:autoSpaceDE w:val="0"/>
        <w:autoSpaceDN w:val="0"/>
        <w:adjustRightInd w:val="0"/>
        <w:spacing w:line="360" w:lineRule="auto"/>
        <w:jc w:val="left"/>
        <w:rPr>
          <w:color w:val="000000" w:themeColor="text1"/>
          <w:sz w:val="24"/>
          <w:szCs w:val="24"/>
        </w:rPr>
      </w:pPr>
    </w:p>
    <w:p w:rsidR="004061AC"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5.2 </w:t>
      </w:r>
      <w:r w:rsidRPr="00A76EB8">
        <w:rPr>
          <w:b/>
          <w:bCs/>
          <w:color w:val="000000" w:themeColor="text1"/>
          <w:kern w:val="0"/>
          <w:sz w:val="24"/>
          <w:szCs w:val="24"/>
        </w:rPr>
        <w:t>报告期末按行业分类的股票投资组合</w:t>
      </w:r>
    </w:p>
    <w:p w:rsidR="008A409E" w:rsidRPr="00A76EB8" w:rsidRDefault="007C128A" w:rsidP="008A409E">
      <w:pPr>
        <w:rPr>
          <w:b/>
          <w:sz w:val="24"/>
          <w:szCs w:val="24"/>
        </w:rPr>
      </w:pPr>
      <w:r w:rsidRPr="00A76EB8">
        <w:rPr>
          <w:b/>
          <w:color w:val="000000" w:themeColor="text1"/>
          <w:kern w:val="0"/>
          <w:sz w:val="24"/>
          <w:szCs w:val="24"/>
        </w:rPr>
        <w:t>5.2.1</w:t>
      </w:r>
      <w:r w:rsidRPr="00A76EB8">
        <w:rPr>
          <w:b/>
          <w:color w:val="000000" w:themeColor="text1"/>
          <w:kern w:val="0"/>
          <w:sz w:val="24"/>
          <w:szCs w:val="24"/>
        </w:rPr>
        <w:t>报告期末按行业分类的境内股票投资组合</w:t>
      </w:r>
    </w:p>
    <w:p w:rsidR="008A409E" w:rsidRPr="00A76EB8" w:rsidRDefault="007C128A" w:rsidP="008A409E">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本基金本报告期内未进行股票投资。</w:t>
      </w:r>
    </w:p>
    <w:p w:rsidR="008A409E" w:rsidRPr="00A76EB8" w:rsidRDefault="007C128A" w:rsidP="008A409E">
      <w:pPr>
        <w:jc w:val="left"/>
        <w:rPr>
          <w:b/>
          <w:bCs/>
          <w:color w:val="000000" w:themeColor="text1"/>
          <w:kern w:val="0"/>
          <w:sz w:val="24"/>
          <w:szCs w:val="24"/>
        </w:rPr>
      </w:pPr>
      <w:r w:rsidRPr="00A76EB8">
        <w:rPr>
          <w:b/>
          <w:bCs/>
          <w:color w:val="000000" w:themeColor="text1"/>
          <w:kern w:val="0"/>
          <w:sz w:val="24"/>
          <w:szCs w:val="24"/>
        </w:rPr>
        <w:t xml:space="preserve"> 5.2.2</w:t>
      </w:r>
      <w:r>
        <w:rPr>
          <w:b/>
          <w:bCs/>
          <w:color w:val="000000" w:themeColor="text1"/>
          <w:kern w:val="0"/>
          <w:sz w:val="24"/>
          <w:szCs w:val="24"/>
        </w:rPr>
        <w:t>报告期末按行业分类的</w:t>
      </w:r>
      <w:r>
        <w:rPr>
          <w:rFonts w:hint="eastAsia"/>
          <w:b/>
          <w:bCs/>
          <w:color w:val="000000" w:themeColor="text1"/>
          <w:kern w:val="0"/>
          <w:sz w:val="24"/>
          <w:szCs w:val="24"/>
        </w:rPr>
        <w:t>港股通</w:t>
      </w:r>
      <w:r w:rsidRPr="00A76EB8">
        <w:rPr>
          <w:b/>
          <w:bCs/>
          <w:color w:val="000000" w:themeColor="text1"/>
          <w:kern w:val="0"/>
          <w:sz w:val="24"/>
          <w:szCs w:val="24"/>
        </w:rPr>
        <w:t>投资股票投资组合</w:t>
      </w:r>
    </w:p>
    <w:p w:rsidR="008A409E" w:rsidRPr="00A76EB8" w:rsidRDefault="007C128A" w:rsidP="008A409E">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本基金本报告期内未通过港股通投资股票。</w:t>
      </w:r>
    </w:p>
    <w:p w:rsidR="004061AC" w:rsidRPr="00A76EB8" w:rsidRDefault="007C128A" w:rsidP="004061AC">
      <w:pPr>
        <w:autoSpaceDE w:val="0"/>
        <w:autoSpaceDN w:val="0"/>
        <w:adjustRightInd w:val="0"/>
        <w:spacing w:line="360" w:lineRule="auto"/>
        <w:jc w:val="left"/>
        <w:rPr>
          <w:color w:val="000000" w:themeColor="text1"/>
          <w:kern w:val="0"/>
          <w:sz w:val="24"/>
          <w:szCs w:val="24"/>
        </w:rPr>
      </w:pPr>
    </w:p>
    <w:p w:rsidR="004061AC"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5.3 </w:t>
      </w:r>
      <w:r w:rsidRPr="00A76EB8">
        <w:rPr>
          <w:b/>
          <w:bCs/>
          <w:color w:val="000000" w:themeColor="text1"/>
          <w:kern w:val="0"/>
          <w:sz w:val="24"/>
          <w:szCs w:val="24"/>
        </w:rPr>
        <w:t>报告期末按公允价值占基金资产净值比例大小排序的前十名股票投资明细</w:t>
      </w:r>
    </w:p>
    <w:p w:rsidR="004061AC" w:rsidRPr="00A76EB8" w:rsidRDefault="007C128A"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本基金本报告期内未进行股票投资。</w:t>
      </w:r>
    </w:p>
    <w:p w:rsidR="004061AC" w:rsidRPr="00A76EB8" w:rsidRDefault="007C128A" w:rsidP="001B0A62">
      <w:pPr>
        <w:autoSpaceDE w:val="0"/>
        <w:autoSpaceDN w:val="0"/>
        <w:adjustRightInd w:val="0"/>
        <w:spacing w:line="360" w:lineRule="auto"/>
        <w:jc w:val="left"/>
        <w:rPr>
          <w:b/>
          <w:bCs/>
          <w:color w:val="000000" w:themeColor="text1"/>
          <w:kern w:val="0"/>
          <w:sz w:val="24"/>
          <w:szCs w:val="24"/>
        </w:rPr>
      </w:pPr>
    </w:p>
    <w:p w:rsidR="004061AC"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5.4 </w:t>
      </w:r>
      <w:r w:rsidRPr="00A76EB8">
        <w:rPr>
          <w:b/>
          <w:bCs/>
          <w:color w:val="000000" w:themeColor="text1"/>
          <w:kern w:val="0"/>
          <w:sz w:val="24"/>
          <w:szCs w:val="24"/>
        </w:rPr>
        <w:t>报告期末按债券品种分类的债券投资组合</w:t>
      </w:r>
    </w:p>
    <w:tbl>
      <w:tblPr>
        <w:tblStyle w:val="af7"/>
        <w:tblW w:w="8755" w:type="dxa"/>
        <w:jc w:val="center"/>
        <w:tblLayout w:type="fixed"/>
        <w:tblLook w:val="04A0"/>
      </w:tblPr>
      <w:tblGrid>
        <w:gridCol w:w="817"/>
        <w:gridCol w:w="3260"/>
        <w:gridCol w:w="2949"/>
        <w:gridCol w:w="1729"/>
      </w:tblGrid>
      <w:tr w:rsidR="00CE3872" w:rsidTr="0069426C">
        <w:trPr>
          <w:jc w:val="center"/>
        </w:trPr>
        <w:tc>
          <w:tcPr>
            <w:tcW w:w="817" w:type="dxa"/>
            <w:vAlign w:val="center"/>
          </w:tcPr>
          <w:p w:rsidR="00AC592E" w:rsidRPr="00A76EB8" w:rsidRDefault="007C128A" w:rsidP="006E042A">
            <w:pPr>
              <w:spacing w:before="29" w:line="360" w:lineRule="auto"/>
              <w:ind w:left="17"/>
              <w:jc w:val="center"/>
              <w:rPr>
                <w:color w:val="000000" w:themeColor="text1"/>
                <w:sz w:val="24"/>
                <w:szCs w:val="24"/>
              </w:rPr>
            </w:pPr>
            <w:r w:rsidRPr="00A76EB8">
              <w:rPr>
                <w:color w:val="000000" w:themeColor="text1"/>
                <w:sz w:val="24"/>
                <w:szCs w:val="24"/>
              </w:rPr>
              <w:t>序号</w:t>
            </w:r>
          </w:p>
        </w:tc>
        <w:tc>
          <w:tcPr>
            <w:tcW w:w="3260" w:type="dxa"/>
            <w:vAlign w:val="center"/>
          </w:tcPr>
          <w:p w:rsidR="00AC592E" w:rsidRPr="00A76EB8" w:rsidRDefault="007C128A" w:rsidP="006E042A">
            <w:pPr>
              <w:spacing w:before="29" w:line="360" w:lineRule="auto"/>
              <w:ind w:left="17"/>
              <w:jc w:val="center"/>
              <w:rPr>
                <w:color w:val="000000" w:themeColor="text1"/>
                <w:sz w:val="24"/>
                <w:szCs w:val="24"/>
              </w:rPr>
            </w:pPr>
            <w:r w:rsidRPr="00A76EB8">
              <w:rPr>
                <w:color w:val="000000" w:themeColor="text1"/>
                <w:sz w:val="24"/>
                <w:szCs w:val="24"/>
              </w:rPr>
              <w:t>债券品种</w:t>
            </w:r>
          </w:p>
        </w:tc>
        <w:tc>
          <w:tcPr>
            <w:tcW w:w="2949" w:type="dxa"/>
            <w:vAlign w:val="center"/>
          </w:tcPr>
          <w:p w:rsidR="00AC592E" w:rsidRPr="00A76EB8" w:rsidRDefault="007C128A" w:rsidP="006E042A">
            <w:pPr>
              <w:spacing w:before="29" w:line="360" w:lineRule="auto"/>
              <w:ind w:left="17"/>
              <w:jc w:val="center"/>
              <w:rPr>
                <w:color w:val="000000" w:themeColor="text1"/>
                <w:sz w:val="24"/>
                <w:szCs w:val="24"/>
              </w:rPr>
            </w:pPr>
            <w:r w:rsidRPr="00A76EB8">
              <w:rPr>
                <w:color w:val="000000" w:themeColor="text1"/>
                <w:sz w:val="24"/>
                <w:szCs w:val="24"/>
              </w:rPr>
              <w:t>公允价值</w:t>
            </w:r>
            <w:r w:rsidRPr="00A76EB8">
              <w:rPr>
                <w:color w:val="000000" w:themeColor="text1"/>
                <w:sz w:val="24"/>
                <w:szCs w:val="24"/>
              </w:rPr>
              <w:t>(</w:t>
            </w:r>
            <w:r w:rsidRPr="00A76EB8">
              <w:rPr>
                <w:color w:val="000000" w:themeColor="text1"/>
                <w:sz w:val="24"/>
                <w:szCs w:val="24"/>
              </w:rPr>
              <w:t>元</w:t>
            </w:r>
            <w:r w:rsidRPr="00A76EB8">
              <w:rPr>
                <w:color w:val="000000" w:themeColor="text1"/>
                <w:sz w:val="24"/>
                <w:szCs w:val="24"/>
              </w:rPr>
              <w:t>)</w:t>
            </w:r>
          </w:p>
        </w:tc>
        <w:tc>
          <w:tcPr>
            <w:tcW w:w="1729" w:type="dxa"/>
            <w:vAlign w:val="center"/>
          </w:tcPr>
          <w:p w:rsidR="00AC592E" w:rsidRPr="00A76EB8" w:rsidRDefault="007C128A" w:rsidP="006E042A">
            <w:pPr>
              <w:spacing w:before="29" w:line="360" w:lineRule="auto"/>
              <w:ind w:left="17"/>
              <w:jc w:val="center"/>
              <w:rPr>
                <w:color w:val="000000" w:themeColor="text1"/>
                <w:sz w:val="24"/>
                <w:szCs w:val="24"/>
              </w:rPr>
            </w:pPr>
            <w:r w:rsidRPr="00A76EB8">
              <w:rPr>
                <w:color w:val="000000" w:themeColor="text1"/>
                <w:sz w:val="24"/>
                <w:szCs w:val="24"/>
              </w:rPr>
              <w:t>占基金资产净值比例</w:t>
            </w:r>
            <w:r w:rsidRPr="00A76EB8">
              <w:rPr>
                <w:color w:val="000000" w:themeColor="text1"/>
                <w:sz w:val="24"/>
                <w:szCs w:val="24"/>
              </w:rPr>
              <w:t>(</w:t>
            </w:r>
            <w:r w:rsidRPr="00A76EB8">
              <w:rPr>
                <w:color w:val="000000" w:themeColor="text1"/>
                <w:sz w:val="24"/>
                <w:szCs w:val="24"/>
              </w:rPr>
              <w:t>％</w:t>
            </w:r>
            <w:r w:rsidRPr="00A76EB8">
              <w:rPr>
                <w:color w:val="000000" w:themeColor="text1"/>
                <w:sz w:val="24"/>
                <w:szCs w:val="24"/>
              </w:rPr>
              <w:t>)</w:t>
            </w:r>
          </w:p>
        </w:tc>
      </w:tr>
      <w:tr w:rsidR="00CE3872" w:rsidTr="0069426C">
        <w:trPr>
          <w:jc w:val="center"/>
        </w:trPr>
        <w:tc>
          <w:tcPr>
            <w:tcW w:w="817" w:type="dxa"/>
            <w:vAlign w:val="center"/>
          </w:tcPr>
          <w:p w:rsidR="00AC592E" w:rsidRPr="00A76EB8" w:rsidRDefault="007C128A" w:rsidP="00582D99">
            <w:pPr>
              <w:spacing w:before="29" w:line="360" w:lineRule="auto"/>
              <w:ind w:left="17"/>
              <w:jc w:val="center"/>
              <w:rPr>
                <w:color w:val="000000" w:themeColor="text1"/>
                <w:sz w:val="24"/>
                <w:szCs w:val="24"/>
              </w:rPr>
            </w:pPr>
            <w:r w:rsidRPr="00A76EB8">
              <w:rPr>
                <w:color w:val="000000" w:themeColor="text1"/>
                <w:sz w:val="24"/>
                <w:szCs w:val="24"/>
              </w:rPr>
              <w:t>1</w:t>
            </w:r>
          </w:p>
        </w:tc>
        <w:tc>
          <w:tcPr>
            <w:tcW w:w="3260" w:type="dxa"/>
            <w:vAlign w:val="center"/>
          </w:tcPr>
          <w:p w:rsidR="00AC592E" w:rsidRPr="00A76EB8" w:rsidRDefault="007C128A" w:rsidP="00582D99">
            <w:pPr>
              <w:spacing w:before="29" w:line="360" w:lineRule="auto"/>
              <w:ind w:left="17"/>
              <w:jc w:val="left"/>
              <w:rPr>
                <w:color w:val="000000" w:themeColor="text1"/>
                <w:sz w:val="24"/>
                <w:szCs w:val="24"/>
              </w:rPr>
            </w:pPr>
            <w:r w:rsidRPr="00A76EB8">
              <w:rPr>
                <w:color w:val="000000" w:themeColor="text1"/>
                <w:sz w:val="24"/>
                <w:szCs w:val="24"/>
              </w:rPr>
              <w:t>国家债券</w:t>
            </w:r>
          </w:p>
        </w:tc>
        <w:tc>
          <w:tcPr>
            <w:tcW w:w="294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w:t>
            </w:r>
          </w:p>
        </w:tc>
        <w:tc>
          <w:tcPr>
            <w:tcW w:w="172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w:t>
            </w:r>
          </w:p>
        </w:tc>
      </w:tr>
      <w:tr w:rsidR="00CE3872" w:rsidTr="0069426C">
        <w:trPr>
          <w:jc w:val="center"/>
        </w:trPr>
        <w:tc>
          <w:tcPr>
            <w:tcW w:w="817" w:type="dxa"/>
            <w:vAlign w:val="center"/>
          </w:tcPr>
          <w:p w:rsidR="00AC592E" w:rsidRPr="00A76EB8" w:rsidRDefault="007C128A" w:rsidP="00582D99">
            <w:pPr>
              <w:spacing w:before="29" w:line="360" w:lineRule="auto"/>
              <w:ind w:left="17"/>
              <w:jc w:val="center"/>
              <w:rPr>
                <w:color w:val="000000" w:themeColor="text1"/>
                <w:sz w:val="24"/>
                <w:szCs w:val="24"/>
              </w:rPr>
            </w:pPr>
            <w:r w:rsidRPr="00A76EB8">
              <w:rPr>
                <w:color w:val="000000" w:themeColor="text1"/>
                <w:sz w:val="24"/>
                <w:szCs w:val="24"/>
              </w:rPr>
              <w:t>2</w:t>
            </w:r>
          </w:p>
        </w:tc>
        <w:tc>
          <w:tcPr>
            <w:tcW w:w="3260" w:type="dxa"/>
            <w:vAlign w:val="center"/>
          </w:tcPr>
          <w:p w:rsidR="00AC592E" w:rsidRPr="00A76EB8" w:rsidRDefault="007C128A" w:rsidP="00582D99">
            <w:pPr>
              <w:spacing w:before="29" w:line="360" w:lineRule="auto"/>
              <w:ind w:left="17"/>
              <w:jc w:val="left"/>
              <w:rPr>
                <w:color w:val="000000" w:themeColor="text1"/>
                <w:sz w:val="24"/>
                <w:szCs w:val="24"/>
              </w:rPr>
            </w:pPr>
            <w:r w:rsidRPr="00A76EB8">
              <w:rPr>
                <w:color w:val="000000" w:themeColor="text1"/>
                <w:sz w:val="24"/>
                <w:szCs w:val="24"/>
              </w:rPr>
              <w:t>央行票据</w:t>
            </w:r>
          </w:p>
        </w:tc>
        <w:tc>
          <w:tcPr>
            <w:tcW w:w="294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w:t>
            </w:r>
          </w:p>
        </w:tc>
        <w:tc>
          <w:tcPr>
            <w:tcW w:w="172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w:t>
            </w:r>
          </w:p>
        </w:tc>
      </w:tr>
      <w:tr w:rsidR="00CE3872" w:rsidTr="0069426C">
        <w:trPr>
          <w:jc w:val="center"/>
        </w:trPr>
        <w:tc>
          <w:tcPr>
            <w:tcW w:w="817" w:type="dxa"/>
            <w:vAlign w:val="center"/>
          </w:tcPr>
          <w:p w:rsidR="00AC592E" w:rsidRPr="00A76EB8" w:rsidRDefault="007C128A" w:rsidP="00582D99">
            <w:pPr>
              <w:spacing w:before="29" w:line="360" w:lineRule="auto"/>
              <w:ind w:left="17"/>
              <w:jc w:val="center"/>
              <w:rPr>
                <w:color w:val="000000" w:themeColor="text1"/>
                <w:sz w:val="24"/>
                <w:szCs w:val="24"/>
              </w:rPr>
            </w:pPr>
            <w:r w:rsidRPr="00A76EB8">
              <w:rPr>
                <w:color w:val="000000" w:themeColor="text1"/>
                <w:sz w:val="24"/>
                <w:szCs w:val="24"/>
              </w:rPr>
              <w:t>3</w:t>
            </w:r>
          </w:p>
        </w:tc>
        <w:tc>
          <w:tcPr>
            <w:tcW w:w="3260" w:type="dxa"/>
            <w:vAlign w:val="center"/>
          </w:tcPr>
          <w:p w:rsidR="00AC592E" w:rsidRPr="00A76EB8" w:rsidRDefault="007C128A" w:rsidP="00582D99">
            <w:pPr>
              <w:spacing w:before="29" w:line="360" w:lineRule="auto"/>
              <w:ind w:left="17"/>
              <w:jc w:val="left"/>
              <w:rPr>
                <w:color w:val="000000" w:themeColor="text1"/>
                <w:sz w:val="24"/>
                <w:szCs w:val="24"/>
              </w:rPr>
            </w:pPr>
            <w:r w:rsidRPr="00A76EB8">
              <w:rPr>
                <w:color w:val="000000" w:themeColor="text1"/>
                <w:sz w:val="24"/>
                <w:szCs w:val="24"/>
              </w:rPr>
              <w:t>金融债券</w:t>
            </w:r>
          </w:p>
        </w:tc>
        <w:tc>
          <w:tcPr>
            <w:tcW w:w="294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150,808,000.00</w:t>
            </w:r>
          </w:p>
        </w:tc>
        <w:tc>
          <w:tcPr>
            <w:tcW w:w="172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9.72</w:t>
            </w:r>
          </w:p>
        </w:tc>
      </w:tr>
      <w:tr w:rsidR="00CE3872" w:rsidTr="0069426C">
        <w:trPr>
          <w:jc w:val="center"/>
        </w:trPr>
        <w:tc>
          <w:tcPr>
            <w:tcW w:w="817" w:type="dxa"/>
            <w:vAlign w:val="center"/>
          </w:tcPr>
          <w:p w:rsidR="00AC592E" w:rsidRPr="00A76EB8" w:rsidRDefault="007C128A" w:rsidP="00582D99">
            <w:pPr>
              <w:spacing w:before="29" w:line="360" w:lineRule="auto"/>
              <w:ind w:left="17"/>
              <w:jc w:val="center"/>
              <w:rPr>
                <w:color w:val="000000" w:themeColor="text1"/>
                <w:sz w:val="24"/>
                <w:szCs w:val="24"/>
              </w:rPr>
            </w:pPr>
          </w:p>
        </w:tc>
        <w:tc>
          <w:tcPr>
            <w:tcW w:w="3260" w:type="dxa"/>
            <w:vAlign w:val="center"/>
          </w:tcPr>
          <w:p w:rsidR="00AC592E" w:rsidRPr="00A76EB8" w:rsidRDefault="007C128A" w:rsidP="00582D99">
            <w:pPr>
              <w:spacing w:before="29" w:line="360" w:lineRule="auto"/>
              <w:ind w:left="17"/>
              <w:jc w:val="left"/>
              <w:rPr>
                <w:color w:val="000000" w:themeColor="text1"/>
                <w:sz w:val="24"/>
                <w:szCs w:val="24"/>
              </w:rPr>
            </w:pPr>
            <w:r w:rsidRPr="00A76EB8">
              <w:rPr>
                <w:color w:val="000000" w:themeColor="text1"/>
                <w:sz w:val="24"/>
                <w:szCs w:val="24"/>
              </w:rPr>
              <w:t>其中：政策性金融债</w:t>
            </w:r>
          </w:p>
        </w:tc>
        <w:tc>
          <w:tcPr>
            <w:tcW w:w="294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150,808,000.00</w:t>
            </w:r>
          </w:p>
        </w:tc>
        <w:tc>
          <w:tcPr>
            <w:tcW w:w="172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9.72</w:t>
            </w:r>
          </w:p>
        </w:tc>
      </w:tr>
      <w:tr w:rsidR="00CE3872" w:rsidTr="0069426C">
        <w:trPr>
          <w:jc w:val="center"/>
        </w:trPr>
        <w:tc>
          <w:tcPr>
            <w:tcW w:w="817" w:type="dxa"/>
            <w:vAlign w:val="center"/>
          </w:tcPr>
          <w:p w:rsidR="00AC592E" w:rsidRPr="00A76EB8" w:rsidRDefault="007C128A" w:rsidP="00582D99">
            <w:pPr>
              <w:spacing w:before="29" w:line="360" w:lineRule="auto"/>
              <w:ind w:left="17"/>
              <w:jc w:val="center"/>
              <w:rPr>
                <w:color w:val="000000" w:themeColor="text1"/>
                <w:sz w:val="24"/>
                <w:szCs w:val="24"/>
              </w:rPr>
            </w:pPr>
            <w:r w:rsidRPr="00A76EB8">
              <w:rPr>
                <w:color w:val="000000" w:themeColor="text1"/>
                <w:sz w:val="24"/>
                <w:szCs w:val="24"/>
              </w:rPr>
              <w:t>4</w:t>
            </w:r>
          </w:p>
        </w:tc>
        <w:tc>
          <w:tcPr>
            <w:tcW w:w="3260" w:type="dxa"/>
            <w:vAlign w:val="center"/>
          </w:tcPr>
          <w:p w:rsidR="00AC592E" w:rsidRPr="00A76EB8" w:rsidRDefault="007C128A" w:rsidP="00582D99">
            <w:pPr>
              <w:spacing w:before="29" w:line="360" w:lineRule="auto"/>
              <w:ind w:left="17"/>
              <w:jc w:val="left"/>
              <w:rPr>
                <w:color w:val="000000" w:themeColor="text1"/>
                <w:sz w:val="24"/>
                <w:szCs w:val="24"/>
              </w:rPr>
            </w:pPr>
            <w:r w:rsidRPr="00A76EB8">
              <w:rPr>
                <w:color w:val="000000" w:themeColor="text1"/>
                <w:sz w:val="24"/>
                <w:szCs w:val="24"/>
              </w:rPr>
              <w:t>企业债券</w:t>
            </w:r>
          </w:p>
        </w:tc>
        <w:tc>
          <w:tcPr>
            <w:tcW w:w="294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152,887,000.00</w:t>
            </w:r>
          </w:p>
        </w:tc>
        <w:tc>
          <w:tcPr>
            <w:tcW w:w="172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9.85</w:t>
            </w:r>
          </w:p>
        </w:tc>
      </w:tr>
      <w:tr w:rsidR="00CE3872" w:rsidTr="0069426C">
        <w:trPr>
          <w:jc w:val="center"/>
        </w:trPr>
        <w:tc>
          <w:tcPr>
            <w:tcW w:w="817" w:type="dxa"/>
            <w:vAlign w:val="center"/>
          </w:tcPr>
          <w:p w:rsidR="00AC592E" w:rsidRPr="00A76EB8" w:rsidRDefault="007C128A" w:rsidP="00582D99">
            <w:pPr>
              <w:spacing w:before="29" w:line="360" w:lineRule="auto"/>
              <w:ind w:left="17"/>
              <w:jc w:val="center"/>
              <w:rPr>
                <w:color w:val="000000" w:themeColor="text1"/>
                <w:sz w:val="24"/>
                <w:szCs w:val="24"/>
              </w:rPr>
            </w:pPr>
            <w:r w:rsidRPr="00A76EB8">
              <w:rPr>
                <w:color w:val="000000" w:themeColor="text1"/>
                <w:sz w:val="24"/>
                <w:szCs w:val="24"/>
              </w:rPr>
              <w:t>5</w:t>
            </w:r>
          </w:p>
        </w:tc>
        <w:tc>
          <w:tcPr>
            <w:tcW w:w="3260" w:type="dxa"/>
            <w:vAlign w:val="center"/>
          </w:tcPr>
          <w:p w:rsidR="00AC592E" w:rsidRPr="00A76EB8" w:rsidRDefault="007C128A" w:rsidP="00014099">
            <w:pPr>
              <w:spacing w:before="29" w:line="360" w:lineRule="auto"/>
              <w:ind w:left="17"/>
              <w:jc w:val="left"/>
              <w:rPr>
                <w:color w:val="000000" w:themeColor="text1"/>
                <w:sz w:val="24"/>
                <w:szCs w:val="24"/>
              </w:rPr>
            </w:pPr>
            <w:r w:rsidRPr="00A76EB8">
              <w:rPr>
                <w:color w:val="000000" w:themeColor="text1"/>
                <w:sz w:val="24"/>
                <w:szCs w:val="24"/>
              </w:rPr>
              <w:t>企业短期融资</w:t>
            </w:r>
            <w:r w:rsidRPr="00A76EB8">
              <w:rPr>
                <w:color w:val="000000" w:themeColor="text1"/>
                <w:sz w:val="24"/>
                <w:szCs w:val="24"/>
              </w:rPr>
              <w:t>券</w:t>
            </w:r>
          </w:p>
        </w:tc>
        <w:tc>
          <w:tcPr>
            <w:tcW w:w="294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100,815,000.00</w:t>
            </w:r>
          </w:p>
        </w:tc>
        <w:tc>
          <w:tcPr>
            <w:tcW w:w="172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6.50</w:t>
            </w:r>
          </w:p>
        </w:tc>
      </w:tr>
      <w:tr w:rsidR="00CE3872" w:rsidTr="0069426C">
        <w:trPr>
          <w:jc w:val="center"/>
        </w:trPr>
        <w:tc>
          <w:tcPr>
            <w:tcW w:w="817" w:type="dxa"/>
            <w:vAlign w:val="center"/>
          </w:tcPr>
          <w:p w:rsidR="00FB41D3" w:rsidRPr="00A76EB8" w:rsidRDefault="007C128A" w:rsidP="00582D99">
            <w:pPr>
              <w:spacing w:before="29" w:line="360" w:lineRule="auto"/>
              <w:ind w:left="17"/>
              <w:jc w:val="center"/>
              <w:rPr>
                <w:color w:val="000000" w:themeColor="text1"/>
                <w:sz w:val="24"/>
                <w:szCs w:val="24"/>
              </w:rPr>
            </w:pPr>
            <w:r w:rsidRPr="00A76EB8">
              <w:rPr>
                <w:color w:val="000000" w:themeColor="text1"/>
                <w:sz w:val="24"/>
                <w:szCs w:val="24"/>
              </w:rPr>
              <w:t>6</w:t>
            </w:r>
          </w:p>
        </w:tc>
        <w:tc>
          <w:tcPr>
            <w:tcW w:w="3260" w:type="dxa"/>
            <w:vAlign w:val="center"/>
          </w:tcPr>
          <w:p w:rsidR="00FB41D3" w:rsidRPr="00A76EB8" w:rsidRDefault="007C128A" w:rsidP="00014099">
            <w:pPr>
              <w:spacing w:before="29" w:line="360" w:lineRule="auto"/>
              <w:ind w:left="17"/>
              <w:jc w:val="left"/>
              <w:rPr>
                <w:color w:val="000000" w:themeColor="text1"/>
                <w:sz w:val="24"/>
                <w:szCs w:val="24"/>
              </w:rPr>
            </w:pPr>
            <w:r w:rsidRPr="00A76EB8">
              <w:rPr>
                <w:color w:val="000000" w:themeColor="text1"/>
                <w:sz w:val="24"/>
                <w:szCs w:val="24"/>
              </w:rPr>
              <w:t>中期票据</w:t>
            </w:r>
          </w:p>
        </w:tc>
        <w:tc>
          <w:tcPr>
            <w:tcW w:w="2949" w:type="dxa"/>
            <w:vAlign w:val="center"/>
          </w:tcPr>
          <w:p w:rsidR="00FB41D3"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1,020,676,000.00</w:t>
            </w:r>
          </w:p>
        </w:tc>
        <w:tc>
          <w:tcPr>
            <w:tcW w:w="1729" w:type="dxa"/>
            <w:vAlign w:val="center"/>
          </w:tcPr>
          <w:p w:rsidR="00FB41D3"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65.76</w:t>
            </w:r>
          </w:p>
        </w:tc>
      </w:tr>
      <w:tr w:rsidR="00CE3872" w:rsidTr="0069426C">
        <w:trPr>
          <w:jc w:val="center"/>
        </w:trPr>
        <w:tc>
          <w:tcPr>
            <w:tcW w:w="817" w:type="dxa"/>
            <w:vAlign w:val="center"/>
          </w:tcPr>
          <w:p w:rsidR="00AC592E" w:rsidRPr="00A76EB8" w:rsidRDefault="007C128A" w:rsidP="00582D99">
            <w:pPr>
              <w:spacing w:before="29" w:line="360" w:lineRule="auto"/>
              <w:ind w:left="17"/>
              <w:jc w:val="center"/>
              <w:rPr>
                <w:color w:val="000000" w:themeColor="text1"/>
                <w:sz w:val="24"/>
                <w:szCs w:val="24"/>
              </w:rPr>
            </w:pPr>
            <w:r w:rsidRPr="00A76EB8">
              <w:rPr>
                <w:color w:val="000000" w:themeColor="text1"/>
                <w:sz w:val="24"/>
                <w:szCs w:val="24"/>
              </w:rPr>
              <w:t>7</w:t>
            </w:r>
          </w:p>
        </w:tc>
        <w:tc>
          <w:tcPr>
            <w:tcW w:w="3260" w:type="dxa"/>
            <w:vAlign w:val="center"/>
          </w:tcPr>
          <w:p w:rsidR="00AC592E" w:rsidRPr="00A76EB8" w:rsidRDefault="007C128A" w:rsidP="00582D99">
            <w:pPr>
              <w:spacing w:before="29" w:line="360" w:lineRule="auto"/>
              <w:ind w:left="17"/>
              <w:jc w:val="left"/>
              <w:rPr>
                <w:color w:val="000000" w:themeColor="text1"/>
                <w:sz w:val="24"/>
                <w:szCs w:val="24"/>
              </w:rPr>
            </w:pPr>
            <w:r w:rsidRPr="00A76EB8">
              <w:rPr>
                <w:color w:val="000000" w:themeColor="text1"/>
                <w:sz w:val="24"/>
                <w:szCs w:val="24"/>
              </w:rPr>
              <w:t>可转债</w:t>
            </w:r>
            <w:r w:rsidRPr="00A76EB8">
              <w:rPr>
                <w:color w:val="000000" w:themeColor="text1"/>
                <w:sz w:val="24"/>
                <w:szCs w:val="24"/>
              </w:rPr>
              <w:t>（可交换债）</w:t>
            </w:r>
          </w:p>
        </w:tc>
        <w:tc>
          <w:tcPr>
            <w:tcW w:w="294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w:t>
            </w:r>
          </w:p>
        </w:tc>
        <w:tc>
          <w:tcPr>
            <w:tcW w:w="1729" w:type="dxa"/>
            <w:vAlign w:val="center"/>
          </w:tcPr>
          <w:p w:rsidR="00AC592E"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w:t>
            </w:r>
          </w:p>
        </w:tc>
      </w:tr>
      <w:tr w:rsidR="00CE3872" w:rsidTr="0069426C">
        <w:trPr>
          <w:jc w:val="center"/>
        </w:trPr>
        <w:tc>
          <w:tcPr>
            <w:tcW w:w="817" w:type="dxa"/>
            <w:vAlign w:val="center"/>
          </w:tcPr>
          <w:p w:rsidR="00305A29" w:rsidRPr="00A76EB8" w:rsidRDefault="007C128A" w:rsidP="00D234E7">
            <w:pPr>
              <w:spacing w:before="29" w:line="360" w:lineRule="auto"/>
              <w:ind w:left="17"/>
              <w:jc w:val="center"/>
              <w:rPr>
                <w:color w:val="000000" w:themeColor="text1"/>
                <w:sz w:val="24"/>
                <w:szCs w:val="24"/>
              </w:rPr>
            </w:pPr>
            <w:r w:rsidRPr="00A76EB8">
              <w:rPr>
                <w:color w:val="000000" w:themeColor="text1"/>
                <w:sz w:val="24"/>
                <w:szCs w:val="24"/>
              </w:rPr>
              <w:t>8</w:t>
            </w:r>
          </w:p>
        </w:tc>
        <w:tc>
          <w:tcPr>
            <w:tcW w:w="3260" w:type="dxa"/>
            <w:vAlign w:val="center"/>
          </w:tcPr>
          <w:p w:rsidR="00305A29" w:rsidRPr="00A76EB8" w:rsidRDefault="007C128A" w:rsidP="00D234E7">
            <w:pPr>
              <w:spacing w:before="29" w:line="360" w:lineRule="auto"/>
              <w:ind w:left="17"/>
              <w:jc w:val="left"/>
              <w:rPr>
                <w:color w:val="000000" w:themeColor="text1"/>
                <w:sz w:val="24"/>
                <w:szCs w:val="24"/>
              </w:rPr>
            </w:pPr>
            <w:r w:rsidRPr="00A76EB8">
              <w:rPr>
                <w:color w:val="000000" w:themeColor="text1"/>
                <w:sz w:val="24"/>
                <w:szCs w:val="24"/>
              </w:rPr>
              <w:t>同业存单</w:t>
            </w:r>
          </w:p>
        </w:tc>
        <w:tc>
          <w:tcPr>
            <w:tcW w:w="2949" w:type="dxa"/>
            <w:vAlign w:val="center"/>
          </w:tcPr>
          <w:p w:rsidR="00305A29" w:rsidRPr="00A76EB8" w:rsidRDefault="007C128A" w:rsidP="00D234E7">
            <w:pPr>
              <w:spacing w:before="29" w:line="360" w:lineRule="auto"/>
              <w:ind w:left="17"/>
              <w:jc w:val="right"/>
              <w:rPr>
                <w:color w:val="000000" w:themeColor="text1"/>
                <w:sz w:val="24"/>
                <w:szCs w:val="24"/>
              </w:rPr>
            </w:pPr>
            <w:r w:rsidRPr="00A76EB8">
              <w:rPr>
                <w:color w:val="000000" w:themeColor="text1"/>
                <w:sz w:val="24"/>
                <w:szCs w:val="24"/>
              </w:rPr>
              <w:t>-</w:t>
            </w:r>
          </w:p>
        </w:tc>
        <w:tc>
          <w:tcPr>
            <w:tcW w:w="1729" w:type="dxa"/>
            <w:vAlign w:val="center"/>
          </w:tcPr>
          <w:p w:rsidR="00305A29" w:rsidRPr="00A76EB8" w:rsidRDefault="007C128A" w:rsidP="00D234E7">
            <w:pPr>
              <w:spacing w:before="29" w:line="360" w:lineRule="auto"/>
              <w:ind w:left="17"/>
              <w:jc w:val="right"/>
              <w:rPr>
                <w:color w:val="000000" w:themeColor="text1"/>
                <w:sz w:val="24"/>
                <w:szCs w:val="24"/>
              </w:rPr>
            </w:pPr>
            <w:r w:rsidRPr="00A76EB8">
              <w:rPr>
                <w:color w:val="000000" w:themeColor="text1"/>
                <w:sz w:val="24"/>
                <w:szCs w:val="24"/>
              </w:rPr>
              <w:t>-</w:t>
            </w:r>
          </w:p>
        </w:tc>
      </w:tr>
      <w:tr w:rsidR="00CE3872" w:rsidTr="0069426C">
        <w:trPr>
          <w:jc w:val="center"/>
        </w:trPr>
        <w:tc>
          <w:tcPr>
            <w:tcW w:w="817" w:type="dxa"/>
            <w:vAlign w:val="center"/>
          </w:tcPr>
          <w:p w:rsidR="00305A29" w:rsidRPr="00A76EB8" w:rsidRDefault="007C128A" w:rsidP="00FB41D3">
            <w:pPr>
              <w:spacing w:before="29" w:line="360" w:lineRule="auto"/>
              <w:ind w:left="17"/>
              <w:jc w:val="center"/>
              <w:rPr>
                <w:color w:val="000000" w:themeColor="text1"/>
                <w:sz w:val="24"/>
                <w:szCs w:val="24"/>
              </w:rPr>
            </w:pPr>
            <w:r w:rsidRPr="00A76EB8">
              <w:rPr>
                <w:color w:val="000000" w:themeColor="text1"/>
                <w:sz w:val="24"/>
                <w:szCs w:val="24"/>
              </w:rPr>
              <w:t>9</w:t>
            </w:r>
          </w:p>
        </w:tc>
        <w:tc>
          <w:tcPr>
            <w:tcW w:w="3260" w:type="dxa"/>
            <w:vAlign w:val="center"/>
          </w:tcPr>
          <w:p w:rsidR="00305A29" w:rsidRPr="00A76EB8" w:rsidRDefault="007C128A" w:rsidP="00582D99">
            <w:pPr>
              <w:spacing w:before="29" w:line="360" w:lineRule="auto"/>
              <w:ind w:left="17"/>
              <w:jc w:val="left"/>
              <w:rPr>
                <w:color w:val="000000" w:themeColor="text1"/>
                <w:sz w:val="24"/>
                <w:szCs w:val="24"/>
              </w:rPr>
            </w:pPr>
            <w:r w:rsidRPr="00A76EB8">
              <w:rPr>
                <w:color w:val="000000" w:themeColor="text1"/>
                <w:sz w:val="24"/>
                <w:szCs w:val="24"/>
              </w:rPr>
              <w:t>其他</w:t>
            </w:r>
          </w:p>
        </w:tc>
        <w:tc>
          <w:tcPr>
            <w:tcW w:w="2949" w:type="dxa"/>
            <w:vAlign w:val="center"/>
          </w:tcPr>
          <w:p w:rsidR="00305A29"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w:t>
            </w:r>
          </w:p>
        </w:tc>
        <w:tc>
          <w:tcPr>
            <w:tcW w:w="1729" w:type="dxa"/>
            <w:vAlign w:val="center"/>
          </w:tcPr>
          <w:p w:rsidR="00305A29"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w:t>
            </w:r>
          </w:p>
        </w:tc>
      </w:tr>
      <w:tr w:rsidR="00CE3872" w:rsidTr="0069426C">
        <w:trPr>
          <w:jc w:val="center"/>
        </w:trPr>
        <w:tc>
          <w:tcPr>
            <w:tcW w:w="817" w:type="dxa"/>
            <w:vAlign w:val="center"/>
          </w:tcPr>
          <w:p w:rsidR="00305A29" w:rsidRPr="00A76EB8" w:rsidRDefault="007C128A" w:rsidP="00FB41D3">
            <w:pPr>
              <w:spacing w:before="29" w:line="360" w:lineRule="auto"/>
              <w:ind w:left="17"/>
              <w:jc w:val="center"/>
              <w:rPr>
                <w:color w:val="000000" w:themeColor="text1"/>
                <w:sz w:val="24"/>
                <w:szCs w:val="24"/>
              </w:rPr>
            </w:pPr>
            <w:r w:rsidRPr="00A76EB8">
              <w:rPr>
                <w:color w:val="000000" w:themeColor="text1"/>
                <w:sz w:val="24"/>
                <w:szCs w:val="24"/>
              </w:rPr>
              <w:t>10</w:t>
            </w:r>
          </w:p>
        </w:tc>
        <w:tc>
          <w:tcPr>
            <w:tcW w:w="3260" w:type="dxa"/>
            <w:vAlign w:val="center"/>
          </w:tcPr>
          <w:p w:rsidR="00305A29" w:rsidRPr="00A76EB8" w:rsidRDefault="007C128A" w:rsidP="00582D99">
            <w:pPr>
              <w:spacing w:before="29" w:line="360" w:lineRule="auto"/>
              <w:ind w:left="17"/>
              <w:jc w:val="left"/>
              <w:rPr>
                <w:color w:val="000000" w:themeColor="text1"/>
                <w:sz w:val="24"/>
                <w:szCs w:val="24"/>
              </w:rPr>
            </w:pPr>
            <w:r w:rsidRPr="00A76EB8">
              <w:rPr>
                <w:color w:val="000000" w:themeColor="text1"/>
                <w:sz w:val="24"/>
                <w:szCs w:val="24"/>
              </w:rPr>
              <w:t>合计</w:t>
            </w:r>
          </w:p>
        </w:tc>
        <w:tc>
          <w:tcPr>
            <w:tcW w:w="2949" w:type="dxa"/>
            <w:vAlign w:val="center"/>
          </w:tcPr>
          <w:p w:rsidR="00305A29"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1,425,186,000.00</w:t>
            </w:r>
          </w:p>
        </w:tc>
        <w:tc>
          <w:tcPr>
            <w:tcW w:w="1729" w:type="dxa"/>
            <w:vAlign w:val="center"/>
          </w:tcPr>
          <w:p w:rsidR="00305A29" w:rsidRPr="00A76EB8" w:rsidRDefault="007C128A" w:rsidP="00582D99">
            <w:pPr>
              <w:spacing w:before="29" w:line="360" w:lineRule="auto"/>
              <w:ind w:left="17"/>
              <w:jc w:val="right"/>
              <w:rPr>
                <w:color w:val="000000" w:themeColor="text1"/>
                <w:sz w:val="24"/>
                <w:szCs w:val="24"/>
              </w:rPr>
            </w:pPr>
            <w:r w:rsidRPr="00A76EB8">
              <w:rPr>
                <w:color w:val="000000" w:themeColor="text1"/>
                <w:sz w:val="24"/>
                <w:szCs w:val="24"/>
              </w:rPr>
              <w:t>91.83</w:t>
            </w:r>
          </w:p>
        </w:tc>
      </w:tr>
    </w:tbl>
    <w:p w:rsidR="004061AC" w:rsidRPr="00A76EB8" w:rsidRDefault="007C128A" w:rsidP="004061AC">
      <w:pPr>
        <w:autoSpaceDE w:val="0"/>
        <w:autoSpaceDN w:val="0"/>
        <w:adjustRightInd w:val="0"/>
        <w:spacing w:line="360" w:lineRule="auto"/>
        <w:jc w:val="left"/>
        <w:rPr>
          <w:color w:val="000000" w:themeColor="text1"/>
          <w:kern w:val="0"/>
          <w:sz w:val="24"/>
          <w:szCs w:val="24"/>
        </w:rPr>
      </w:pPr>
    </w:p>
    <w:p w:rsidR="004061AC"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5.5 </w:t>
      </w:r>
      <w:r w:rsidRPr="00A76EB8">
        <w:rPr>
          <w:b/>
          <w:bCs/>
          <w:color w:val="000000" w:themeColor="text1"/>
          <w:kern w:val="0"/>
          <w:sz w:val="24"/>
          <w:szCs w:val="24"/>
        </w:rPr>
        <w:t>报告期末按公允价值占基金资产净值比例大小排</w:t>
      </w:r>
      <w:r w:rsidRPr="00A76EB8">
        <w:rPr>
          <w:b/>
          <w:bCs/>
          <w:color w:val="000000" w:themeColor="text1"/>
          <w:kern w:val="0"/>
          <w:sz w:val="24"/>
          <w:szCs w:val="24"/>
        </w:rPr>
        <w:t>序</w:t>
      </w:r>
      <w:r w:rsidRPr="00A76EB8">
        <w:rPr>
          <w:b/>
          <w:bCs/>
          <w:color w:val="000000" w:themeColor="text1"/>
          <w:kern w:val="0"/>
          <w:sz w:val="24"/>
          <w:szCs w:val="24"/>
        </w:rPr>
        <w:t>的前五名债券投资明细</w:t>
      </w:r>
    </w:p>
    <w:tbl>
      <w:tblPr>
        <w:tblStyle w:val="af7"/>
        <w:tblW w:w="0" w:type="auto"/>
        <w:tblLayout w:type="fixed"/>
        <w:tblLook w:val="04A0"/>
      </w:tblPr>
      <w:tblGrid>
        <w:gridCol w:w="1252"/>
        <w:gridCol w:w="1310"/>
        <w:gridCol w:w="1282"/>
        <w:gridCol w:w="1426"/>
        <w:gridCol w:w="1646"/>
        <w:gridCol w:w="1612"/>
      </w:tblGrid>
      <w:tr w:rsidR="00CE3872" w:rsidTr="00BD7703">
        <w:tc>
          <w:tcPr>
            <w:tcW w:w="1252" w:type="dxa"/>
            <w:vAlign w:val="center"/>
          </w:tcPr>
          <w:p w:rsidR="003E62FB" w:rsidRPr="00A76EB8" w:rsidRDefault="007C128A" w:rsidP="005A6675">
            <w:pPr>
              <w:spacing w:before="29" w:line="360" w:lineRule="auto"/>
              <w:ind w:left="17"/>
              <w:jc w:val="center"/>
              <w:rPr>
                <w:color w:val="000000" w:themeColor="text1"/>
                <w:sz w:val="24"/>
                <w:szCs w:val="24"/>
              </w:rPr>
            </w:pPr>
            <w:r w:rsidRPr="00A76EB8">
              <w:rPr>
                <w:color w:val="000000" w:themeColor="text1"/>
                <w:sz w:val="24"/>
                <w:szCs w:val="24"/>
              </w:rPr>
              <w:t>序号</w:t>
            </w:r>
          </w:p>
        </w:tc>
        <w:tc>
          <w:tcPr>
            <w:tcW w:w="1310" w:type="dxa"/>
            <w:vAlign w:val="center"/>
          </w:tcPr>
          <w:p w:rsidR="003E62FB" w:rsidRPr="00A76EB8" w:rsidRDefault="007C128A" w:rsidP="005A6675">
            <w:pPr>
              <w:spacing w:before="29" w:line="360" w:lineRule="auto"/>
              <w:ind w:left="17"/>
              <w:jc w:val="center"/>
              <w:rPr>
                <w:color w:val="000000" w:themeColor="text1"/>
                <w:sz w:val="24"/>
                <w:szCs w:val="24"/>
              </w:rPr>
            </w:pPr>
            <w:r w:rsidRPr="00A76EB8">
              <w:rPr>
                <w:color w:val="000000" w:themeColor="text1"/>
                <w:sz w:val="24"/>
                <w:szCs w:val="24"/>
              </w:rPr>
              <w:t>债券代码</w:t>
            </w:r>
          </w:p>
        </w:tc>
        <w:tc>
          <w:tcPr>
            <w:tcW w:w="1282" w:type="dxa"/>
            <w:vAlign w:val="center"/>
          </w:tcPr>
          <w:p w:rsidR="003E62FB" w:rsidRPr="00A76EB8" w:rsidRDefault="007C128A" w:rsidP="005A6675">
            <w:pPr>
              <w:spacing w:before="29" w:line="360" w:lineRule="auto"/>
              <w:ind w:left="17"/>
              <w:jc w:val="center"/>
              <w:rPr>
                <w:color w:val="000000" w:themeColor="text1"/>
                <w:sz w:val="24"/>
                <w:szCs w:val="24"/>
              </w:rPr>
            </w:pPr>
            <w:r w:rsidRPr="00A76EB8">
              <w:rPr>
                <w:color w:val="000000" w:themeColor="text1"/>
                <w:sz w:val="24"/>
                <w:szCs w:val="24"/>
              </w:rPr>
              <w:t>债券名称</w:t>
            </w:r>
          </w:p>
        </w:tc>
        <w:tc>
          <w:tcPr>
            <w:tcW w:w="1426" w:type="dxa"/>
            <w:vAlign w:val="center"/>
          </w:tcPr>
          <w:p w:rsidR="003E62FB" w:rsidRPr="00A76EB8" w:rsidRDefault="007C128A" w:rsidP="005A6675">
            <w:pPr>
              <w:spacing w:before="29" w:line="360" w:lineRule="auto"/>
              <w:ind w:left="17"/>
              <w:jc w:val="center"/>
              <w:rPr>
                <w:color w:val="000000" w:themeColor="text1"/>
                <w:sz w:val="24"/>
                <w:szCs w:val="24"/>
              </w:rPr>
            </w:pPr>
            <w:r w:rsidRPr="00A76EB8">
              <w:rPr>
                <w:color w:val="000000" w:themeColor="text1"/>
                <w:sz w:val="24"/>
                <w:szCs w:val="24"/>
              </w:rPr>
              <w:t>数量</w:t>
            </w:r>
            <w:r w:rsidRPr="00A76EB8">
              <w:rPr>
                <w:color w:val="000000" w:themeColor="text1"/>
                <w:sz w:val="24"/>
                <w:szCs w:val="24"/>
              </w:rPr>
              <w:t>(</w:t>
            </w:r>
            <w:r w:rsidRPr="00A76EB8">
              <w:rPr>
                <w:color w:val="000000" w:themeColor="text1"/>
                <w:sz w:val="24"/>
                <w:szCs w:val="24"/>
              </w:rPr>
              <w:t>张</w:t>
            </w:r>
            <w:r w:rsidRPr="00A76EB8">
              <w:rPr>
                <w:color w:val="000000" w:themeColor="text1"/>
                <w:sz w:val="24"/>
                <w:szCs w:val="24"/>
              </w:rPr>
              <w:t>)</w:t>
            </w:r>
          </w:p>
        </w:tc>
        <w:tc>
          <w:tcPr>
            <w:tcW w:w="1646" w:type="dxa"/>
            <w:vAlign w:val="center"/>
          </w:tcPr>
          <w:p w:rsidR="003E62FB" w:rsidRPr="00A76EB8" w:rsidRDefault="007C128A" w:rsidP="005A6675">
            <w:pPr>
              <w:spacing w:before="29" w:line="360" w:lineRule="auto"/>
              <w:ind w:left="17"/>
              <w:jc w:val="center"/>
              <w:rPr>
                <w:color w:val="000000" w:themeColor="text1"/>
                <w:sz w:val="24"/>
                <w:szCs w:val="24"/>
              </w:rPr>
            </w:pPr>
            <w:r w:rsidRPr="00A76EB8">
              <w:rPr>
                <w:color w:val="000000" w:themeColor="text1"/>
                <w:sz w:val="24"/>
                <w:szCs w:val="24"/>
              </w:rPr>
              <w:t>公允价值</w:t>
            </w:r>
            <w:r w:rsidRPr="00A76EB8">
              <w:rPr>
                <w:color w:val="000000" w:themeColor="text1"/>
                <w:sz w:val="24"/>
                <w:szCs w:val="24"/>
              </w:rPr>
              <w:t>(</w:t>
            </w:r>
            <w:r w:rsidRPr="00A76EB8">
              <w:rPr>
                <w:color w:val="000000" w:themeColor="text1"/>
                <w:sz w:val="24"/>
                <w:szCs w:val="24"/>
              </w:rPr>
              <w:t>元</w:t>
            </w:r>
            <w:r w:rsidRPr="00A76EB8">
              <w:rPr>
                <w:color w:val="000000" w:themeColor="text1"/>
                <w:sz w:val="24"/>
                <w:szCs w:val="24"/>
              </w:rPr>
              <w:t>)</w:t>
            </w:r>
          </w:p>
        </w:tc>
        <w:tc>
          <w:tcPr>
            <w:tcW w:w="1612" w:type="dxa"/>
            <w:vAlign w:val="center"/>
          </w:tcPr>
          <w:p w:rsidR="003E62FB" w:rsidRPr="00A76EB8" w:rsidRDefault="007C128A" w:rsidP="005A6675">
            <w:pPr>
              <w:spacing w:before="29" w:line="360" w:lineRule="auto"/>
              <w:ind w:left="17"/>
              <w:jc w:val="center"/>
              <w:rPr>
                <w:color w:val="000000" w:themeColor="text1"/>
                <w:sz w:val="24"/>
                <w:szCs w:val="24"/>
              </w:rPr>
            </w:pPr>
            <w:r w:rsidRPr="00A76EB8">
              <w:rPr>
                <w:color w:val="000000" w:themeColor="text1"/>
                <w:sz w:val="24"/>
                <w:szCs w:val="24"/>
              </w:rPr>
              <w:t>占基金资产净值比例</w:t>
            </w:r>
            <w:r w:rsidRPr="00A76EB8">
              <w:rPr>
                <w:color w:val="000000" w:themeColor="text1"/>
                <w:sz w:val="24"/>
                <w:szCs w:val="24"/>
              </w:rPr>
              <w:t>(</w:t>
            </w:r>
            <w:r w:rsidRPr="00A76EB8">
              <w:rPr>
                <w:color w:val="000000" w:themeColor="text1"/>
                <w:sz w:val="24"/>
                <w:szCs w:val="24"/>
              </w:rPr>
              <w:t>％</w:t>
            </w:r>
            <w:r w:rsidRPr="00A76EB8">
              <w:rPr>
                <w:color w:val="000000" w:themeColor="text1"/>
                <w:sz w:val="24"/>
                <w:szCs w:val="24"/>
              </w:rPr>
              <w:t>)</w:t>
            </w:r>
          </w:p>
        </w:tc>
      </w:tr>
      <w:tr w:rsidR="00CE3872">
        <w:tc>
          <w:tcPr>
            <w:tcW w:w="1252" w:type="dxa"/>
            <w:vAlign w:val="center"/>
          </w:tcPr>
          <w:p w:rsidR="00CE3872" w:rsidRDefault="007C128A">
            <w:pPr>
              <w:jc w:val="center"/>
            </w:pPr>
            <w:r>
              <w:rPr>
                <w:color w:val="000000" w:themeColor="text1"/>
                <w:sz w:val="24"/>
                <w:szCs w:val="24"/>
              </w:rPr>
              <w:t>1</w:t>
            </w:r>
          </w:p>
        </w:tc>
        <w:tc>
          <w:tcPr>
            <w:tcW w:w="1310" w:type="dxa"/>
            <w:vAlign w:val="center"/>
          </w:tcPr>
          <w:p w:rsidR="00CE3872" w:rsidRDefault="007C128A">
            <w:pPr>
              <w:jc w:val="center"/>
            </w:pPr>
            <w:r>
              <w:rPr>
                <w:color w:val="000000" w:themeColor="text1"/>
                <w:sz w:val="24"/>
                <w:szCs w:val="24"/>
              </w:rPr>
              <w:t>101761029</w:t>
            </w:r>
          </w:p>
        </w:tc>
        <w:tc>
          <w:tcPr>
            <w:tcW w:w="1282" w:type="dxa"/>
            <w:vAlign w:val="center"/>
          </w:tcPr>
          <w:p w:rsidR="00CE3872" w:rsidRDefault="007C128A">
            <w:pPr>
              <w:jc w:val="center"/>
            </w:pPr>
            <w:r>
              <w:rPr>
                <w:color w:val="000000" w:themeColor="text1"/>
                <w:sz w:val="24"/>
                <w:szCs w:val="24"/>
              </w:rPr>
              <w:t>17</w:t>
            </w:r>
            <w:r>
              <w:rPr>
                <w:color w:val="000000" w:themeColor="text1"/>
                <w:sz w:val="24"/>
                <w:szCs w:val="24"/>
              </w:rPr>
              <w:t>徐州经开</w:t>
            </w:r>
            <w:r>
              <w:rPr>
                <w:color w:val="000000" w:themeColor="text1"/>
                <w:sz w:val="24"/>
                <w:szCs w:val="24"/>
              </w:rPr>
              <w:t>MTN005</w:t>
            </w:r>
          </w:p>
        </w:tc>
        <w:tc>
          <w:tcPr>
            <w:tcW w:w="1426" w:type="dxa"/>
            <w:vAlign w:val="center"/>
          </w:tcPr>
          <w:p w:rsidR="00CE3872" w:rsidRDefault="007C128A">
            <w:pPr>
              <w:jc w:val="right"/>
            </w:pPr>
            <w:r>
              <w:rPr>
                <w:color w:val="000000" w:themeColor="text1"/>
                <w:sz w:val="24"/>
                <w:szCs w:val="24"/>
              </w:rPr>
              <w:t>800,000.00</w:t>
            </w:r>
          </w:p>
        </w:tc>
        <w:tc>
          <w:tcPr>
            <w:tcW w:w="1646" w:type="dxa"/>
            <w:vAlign w:val="center"/>
          </w:tcPr>
          <w:p w:rsidR="00CE3872" w:rsidRDefault="007C128A">
            <w:pPr>
              <w:jc w:val="right"/>
            </w:pPr>
            <w:r>
              <w:rPr>
                <w:color w:val="000000" w:themeColor="text1"/>
                <w:sz w:val="24"/>
                <w:szCs w:val="24"/>
              </w:rPr>
              <w:t>83,152,000.00</w:t>
            </w:r>
          </w:p>
        </w:tc>
        <w:tc>
          <w:tcPr>
            <w:tcW w:w="1612" w:type="dxa"/>
            <w:vAlign w:val="center"/>
          </w:tcPr>
          <w:p w:rsidR="00CE3872" w:rsidRDefault="007C128A">
            <w:pPr>
              <w:jc w:val="right"/>
            </w:pPr>
            <w:r>
              <w:rPr>
                <w:color w:val="000000" w:themeColor="text1"/>
                <w:sz w:val="24"/>
                <w:szCs w:val="24"/>
              </w:rPr>
              <w:t>5.36</w:t>
            </w:r>
          </w:p>
        </w:tc>
      </w:tr>
      <w:tr w:rsidR="00CE3872">
        <w:tc>
          <w:tcPr>
            <w:tcW w:w="1252" w:type="dxa"/>
            <w:vAlign w:val="center"/>
          </w:tcPr>
          <w:p w:rsidR="00CE3872" w:rsidRDefault="007C128A">
            <w:pPr>
              <w:jc w:val="center"/>
            </w:pPr>
            <w:r>
              <w:rPr>
                <w:color w:val="000000" w:themeColor="text1"/>
                <w:sz w:val="24"/>
                <w:szCs w:val="24"/>
              </w:rPr>
              <w:t>2</w:t>
            </w:r>
          </w:p>
        </w:tc>
        <w:tc>
          <w:tcPr>
            <w:tcW w:w="1310" w:type="dxa"/>
            <w:vAlign w:val="center"/>
          </w:tcPr>
          <w:p w:rsidR="00CE3872" w:rsidRDefault="007C128A">
            <w:pPr>
              <w:jc w:val="center"/>
            </w:pPr>
            <w:r>
              <w:rPr>
                <w:color w:val="000000" w:themeColor="text1"/>
                <w:sz w:val="24"/>
                <w:szCs w:val="24"/>
              </w:rPr>
              <w:t>190201</w:t>
            </w:r>
          </w:p>
        </w:tc>
        <w:tc>
          <w:tcPr>
            <w:tcW w:w="1282" w:type="dxa"/>
            <w:vAlign w:val="center"/>
          </w:tcPr>
          <w:p w:rsidR="00CE3872" w:rsidRDefault="007C128A">
            <w:pPr>
              <w:jc w:val="center"/>
            </w:pPr>
            <w:r>
              <w:rPr>
                <w:color w:val="000000" w:themeColor="text1"/>
                <w:sz w:val="24"/>
                <w:szCs w:val="24"/>
              </w:rPr>
              <w:t>19</w:t>
            </w:r>
            <w:r>
              <w:rPr>
                <w:color w:val="000000" w:themeColor="text1"/>
                <w:sz w:val="24"/>
                <w:szCs w:val="24"/>
              </w:rPr>
              <w:t>国开</w:t>
            </w:r>
            <w:r>
              <w:rPr>
                <w:color w:val="000000" w:themeColor="text1"/>
                <w:sz w:val="24"/>
                <w:szCs w:val="24"/>
              </w:rPr>
              <w:t>01</w:t>
            </w:r>
          </w:p>
        </w:tc>
        <w:tc>
          <w:tcPr>
            <w:tcW w:w="1426" w:type="dxa"/>
            <w:vAlign w:val="center"/>
          </w:tcPr>
          <w:p w:rsidR="00CE3872" w:rsidRDefault="007C128A">
            <w:pPr>
              <w:jc w:val="right"/>
            </w:pPr>
            <w:r>
              <w:rPr>
                <w:color w:val="000000" w:themeColor="text1"/>
                <w:sz w:val="24"/>
                <w:szCs w:val="24"/>
              </w:rPr>
              <w:t>800,000.00</w:t>
            </w:r>
          </w:p>
        </w:tc>
        <w:tc>
          <w:tcPr>
            <w:tcW w:w="1646" w:type="dxa"/>
            <w:vAlign w:val="center"/>
          </w:tcPr>
          <w:p w:rsidR="00CE3872" w:rsidRDefault="007C128A">
            <w:pPr>
              <w:jc w:val="right"/>
            </w:pPr>
            <w:r>
              <w:rPr>
                <w:color w:val="000000" w:themeColor="text1"/>
                <w:sz w:val="24"/>
                <w:szCs w:val="24"/>
              </w:rPr>
              <w:t>79,968,000.00</w:t>
            </w:r>
          </w:p>
        </w:tc>
        <w:tc>
          <w:tcPr>
            <w:tcW w:w="1612" w:type="dxa"/>
            <w:vAlign w:val="center"/>
          </w:tcPr>
          <w:p w:rsidR="00CE3872" w:rsidRDefault="007C128A">
            <w:pPr>
              <w:jc w:val="right"/>
            </w:pPr>
            <w:r>
              <w:rPr>
                <w:color w:val="000000" w:themeColor="text1"/>
                <w:sz w:val="24"/>
                <w:szCs w:val="24"/>
              </w:rPr>
              <w:t>5.15</w:t>
            </w:r>
          </w:p>
        </w:tc>
      </w:tr>
      <w:tr w:rsidR="00CE3872">
        <w:tc>
          <w:tcPr>
            <w:tcW w:w="1252" w:type="dxa"/>
            <w:vAlign w:val="center"/>
          </w:tcPr>
          <w:p w:rsidR="00CE3872" w:rsidRDefault="007C128A">
            <w:pPr>
              <w:jc w:val="center"/>
            </w:pPr>
            <w:r>
              <w:rPr>
                <w:color w:val="000000" w:themeColor="text1"/>
                <w:sz w:val="24"/>
                <w:szCs w:val="24"/>
              </w:rPr>
              <w:t>3</w:t>
            </w:r>
          </w:p>
        </w:tc>
        <w:tc>
          <w:tcPr>
            <w:tcW w:w="1310" w:type="dxa"/>
            <w:vAlign w:val="center"/>
          </w:tcPr>
          <w:p w:rsidR="00CE3872" w:rsidRDefault="007C128A">
            <w:pPr>
              <w:jc w:val="center"/>
            </w:pPr>
            <w:r>
              <w:rPr>
                <w:color w:val="000000" w:themeColor="text1"/>
                <w:sz w:val="24"/>
                <w:szCs w:val="24"/>
              </w:rPr>
              <w:t>180211</w:t>
            </w:r>
          </w:p>
        </w:tc>
        <w:tc>
          <w:tcPr>
            <w:tcW w:w="1282" w:type="dxa"/>
            <w:vAlign w:val="center"/>
          </w:tcPr>
          <w:p w:rsidR="00CE3872" w:rsidRDefault="007C128A">
            <w:pPr>
              <w:jc w:val="center"/>
            </w:pPr>
            <w:r>
              <w:rPr>
                <w:color w:val="000000" w:themeColor="text1"/>
                <w:sz w:val="24"/>
                <w:szCs w:val="24"/>
              </w:rPr>
              <w:t>18</w:t>
            </w:r>
            <w:r>
              <w:rPr>
                <w:color w:val="000000" w:themeColor="text1"/>
                <w:sz w:val="24"/>
                <w:szCs w:val="24"/>
              </w:rPr>
              <w:t>国开</w:t>
            </w:r>
            <w:r>
              <w:rPr>
                <w:color w:val="000000" w:themeColor="text1"/>
                <w:sz w:val="24"/>
                <w:szCs w:val="24"/>
              </w:rPr>
              <w:t>11</w:t>
            </w:r>
          </w:p>
        </w:tc>
        <w:tc>
          <w:tcPr>
            <w:tcW w:w="1426" w:type="dxa"/>
            <w:vAlign w:val="center"/>
          </w:tcPr>
          <w:p w:rsidR="00CE3872" w:rsidRDefault="007C128A">
            <w:pPr>
              <w:jc w:val="right"/>
            </w:pPr>
            <w:r>
              <w:rPr>
                <w:color w:val="000000" w:themeColor="text1"/>
                <w:sz w:val="24"/>
                <w:szCs w:val="24"/>
              </w:rPr>
              <w:t>700,000.00</w:t>
            </w:r>
          </w:p>
        </w:tc>
        <w:tc>
          <w:tcPr>
            <w:tcW w:w="1646" w:type="dxa"/>
            <w:vAlign w:val="center"/>
          </w:tcPr>
          <w:p w:rsidR="00CE3872" w:rsidRDefault="007C128A">
            <w:pPr>
              <w:jc w:val="right"/>
            </w:pPr>
            <w:r>
              <w:rPr>
                <w:color w:val="000000" w:themeColor="text1"/>
                <w:sz w:val="24"/>
                <w:szCs w:val="24"/>
              </w:rPr>
              <w:t>70,840,000.00</w:t>
            </w:r>
          </w:p>
        </w:tc>
        <w:tc>
          <w:tcPr>
            <w:tcW w:w="1612" w:type="dxa"/>
            <w:vAlign w:val="center"/>
          </w:tcPr>
          <w:p w:rsidR="00CE3872" w:rsidRDefault="007C128A">
            <w:pPr>
              <w:jc w:val="right"/>
            </w:pPr>
            <w:r>
              <w:rPr>
                <w:color w:val="000000" w:themeColor="text1"/>
                <w:sz w:val="24"/>
                <w:szCs w:val="24"/>
              </w:rPr>
              <w:t>4.56</w:t>
            </w:r>
          </w:p>
        </w:tc>
      </w:tr>
      <w:tr w:rsidR="00CE3872">
        <w:tc>
          <w:tcPr>
            <w:tcW w:w="1252" w:type="dxa"/>
            <w:vAlign w:val="center"/>
          </w:tcPr>
          <w:p w:rsidR="00CE3872" w:rsidRDefault="007C128A">
            <w:pPr>
              <w:jc w:val="center"/>
            </w:pPr>
            <w:r>
              <w:rPr>
                <w:color w:val="000000" w:themeColor="text1"/>
                <w:sz w:val="24"/>
                <w:szCs w:val="24"/>
              </w:rPr>
              <w:t>4</w:t>
            </w:r>
          </w:p>
        </w:tc>
        <w:tc>
          <w:tcPr>
            <w:tcW w:w="1310" w:type="dxa"/>
            <w:vAlign w:val="center"/>
          </w:tcPr>
          <w:p w:rsidR="00CE3872" w:rsidRDefault="007C128A">
            <w:pPr>
              <w:jc w:val="center"/>
            </w:pPr>
            <w:r>
              <w:rPr>
                <w:color w:val="000000" w:themeColor="text1"/>
                <w:sz w:val="24"/>
                <w:szCs w:val="24"/>
              </w:rPr>
              <w:t>101661033</w:t>
            </w:r>
          </w:p>
        </w:tc>
        <w:tc>
          <w:tcPr>
            <w:tcW w:w="1282" w:type="dxa"/>
            <w:vAlign w:val="center"/>
          </w:tcPr>
          <w:p w:rsidR="00CE3872" w:rsidRDefault="007C128A">
            <w:pPr>
              <w:jc w:val="center"/>
            </w:pPr>
            <w:r>
              <w:rPr>
                <w:color w:val="000000" w:themeColor="text1"/>
                <w:sz w:val="24"/>
                <w:szCs w:val="24"/>
              </w:rPr>
              <w:t>16</w:t>
            </w:r>
            <w:r>
              <w:rPr>
                <w:color w:val="000000" w:themeColor="text1"/>
                <w:sz w:val="24"/>
                <w:szCs w:val="24"/>
              </w:rPr>
              <w:t>衡阳水投</w:t>
            </w:r>
            <w:r>
              <w:rPr>
                <w:color w:val="000000" w:themeColor="text1"/>
                <w:sz w:val="24"/>
                <w:szCs w:val="24"/>
              </w:rPr>
              <w:t>MTN001</w:t>
            </w:r>
          </w:p>
        </w:tc>
        <w:tc>
          <w:tcPr>
            <w:tcW w:w="1426" w:type="dxa"/>
            <w:vAlign w:val="center"/>
          </w:tcPr>
          <w:p w:rsidR="00CE3872" w:rsidRDefault="007C128A">
            <w:pPr>
              <w:jc w:val="right"/>
            </w:pPr>
            <w:r>
              <w:rPr>
                <w:color w:val="000000" w:themeColor="text1"/>
                <w:sz w:val="24"/>
                <w:szCs w:val="24"/>
              </w:rPr>
              <w:t>700,000.00</w:t>
            </w:r>
          </w:p>
        </w:tc>
        <w:tc>
          <w:tcPr>
            <w:tcW w:w="1646" w:type="dxa"/>
            <w:vAlign w:val="center"/>
          </w:tcPr>
          <w:p w:rsidR="00CE3872" w:rsidRDefault="007C128A">
            <w:pPr>
              <w:jc w:val="right"/>
            </w:pPr>
            <w:r>
              <w:rPr>
                <w:color w:val="000000" w:themeColor="text1"/>
                <w:sz w:val="24"/>
                <w:szCs w:val="24"/>
              </w:rPr>
              <w:t>70,644,000.00</w:t>
            </w:r>
          </w:p>
        </w:tc>
        <w:tc>
          <w:tcPr>
            <w:tcW w:w="1612" w:type="dxa"/>
            <w:vAlign w:val="center"/>
          </w:tcPr>
          <w:p w:rsidR="00CE3872" w:rsidRDefault="007C128A">
            <w:pPr>
              <w:jc w:val="right"/>
            </w:pPr>
            <w:r>
              <w:rPr>
                <w:color w:val="000000" w:themeColor="text1"/>
                <w:sz w:val="24"/>
                <w:szCs w:val="24"/>
              </w:rPr>
              <w:t>4.55</w:t>
            </w:r>
          </w:p>
        </w:tc>
      </w:tr>
      <w:tr w:rsidR="00CE3872">
        <w:tc>
          <w:tcPr>
            <w:tcW w:w="1252" w:type="dxa"/>
            <w:vAlign w:val="center"/>
          </w:tcPr>
          <w:p w:rsidR="00CE3872" w:rsidRDefault="007C128A">
            <w:pPr>
              <w:jc w:val="center"/>
            </w:pPr>
            <w:r>
              <w:rPr>
                <w:color w:val="000000" w:themeColor="text1"/>
                <w:sz w:val="24"/>
                <w:szCs w:val="24"/>
              </w:rPr>
              <w:t>5</w:t>
            </w:r>
          </w:p>
        </w:tc>
        <w:tc>
          <w:tcPr>
            <w:tcW w:w="1310" w:type="dxa"/>
            <w:vAlign w:val="center"/>
          </w:tcPr>
          <w:p w:rsidR="00CE3872" w:rsidRDefault="007C128A">
            <w:pPr>
              <w:jc w:val="center"/>
            </w:pPr>
            <w:r>
              <w:rPr>
                <w:color w:val="000000" w:themeColor="text1"/>
                <w:sz w:val="24"/>
                <w:szCs w:val="24"/>
              </w:rPr>
              <w:t>101800151</w:t>
            </w:r>
          </w:p>
        </w:tc>
        <w:tc>
          <w:tcPr>
            <w:tcW w:w="1282" w:type="dxa"/>
            <w:vAlign w:val="center"/>
          </w:tcPr>
          <w:p w:rsidR="00CE3872" w:rsidRDefault="007C128A">
            <w:pPr>
              <w:jc w:val="center"/>
            </w:pPr>
            <w:r>
              <w:rPr>
                <w:color w:val="000000" w:themeColor="text1"/>
                <w:sz w:val="24"/>
                <w:szCs w:val="24"/>
              </w:rPr>
              <w:t>18</w:t>
            </w:r>
            <w:r>
              <w:rPr>
                <w:color w:val="000000" w:themeColor="text1"/>
                <w:sz w:val="24"/>
                <w:szCs w:val="24"/>
              </w:rPr>
              <w:t>名城建设</w:t>
            </w:r>
            <w:r>
              <w:rPr>
                <w:color w:val="000000" w:themeColor="text1"/>
                <w:sz w:val="24"/>
                <w:szCs w:val="24"/>
              </w:rPr>
              <w:t>MTN001</w:t>
            </w:r>
          </w:p>
        </w:tc>
        <w:tc>
          <w:tcPr>
            <w:tcW w:w="1426" w:type="dxa"/>
            <w:vAlign w:val="center"/>
          </w:tcPr>
          <w:p w:rsidR="00CE3872" w:rsidRDefault="007C128A">
            <w:pPr>
              <w:jc w:val="right"/>
            </w:pPr>
            <w:r>
              <w:rPr>
                <w:color w:val="000000" w:themeColor="text1"/>
                <w:sz w:val="24"/>
                <w:szCs w:val="24"/>
              </w:rPr>
              <w:t>500,000.00</w:t>
            </w:r>
          </w:p>
        </w:tc>
        <w:tc>
          <w:tcPr>
            <w:tcW w:w="1646" w:type="dxa"/>
            <w:vAlign w:val="center"/>
          </w:tcPr>
          <w:p w:rsidR="00CE3872" w:rsidRDefault="007C128A">
            <w:pPr>
              <w:jc w:val="right"/>
            </w:pPr>
            <w:r>
              <w:rPr>
                <w:color w:val="000000" w:themeColor="text1"/>
                <w:sz w:val="24"/>
                <w:szCs w:val="24"/>
              </w:rPr>
              <w:t>53,465,000.00</w:t>
            </w:r>
          </w:p>
        </w:tc>
        <w:tc>
          <w:tcPr>
            <w:tcW w:w="1612" w:type="dxa"/>
            <w:vAlign w:val="center"/>
          </w:tcPr>
          <w:p w:rsidR="00CE3872" w:rsidRDefault="007C128A">
            <w:pPr>
              <w:jc w:val="right"/>
            </w:pPr>
            <w:r>
              <w:rPr>
                <w:color w:val="000000" w:themeColor="text1"/>
                <w:sz w:val="24"/>
                <w:szCs w:val="24"/>
              </w:rPr>
              <w:t>3.44</w:t>
            </w:r>
          </w:p>
        </w:tc>
      </w:tr>
    </w:tbl>
    <w:p w:rsidR="004061AC" w:rsidRPr="00A76EB8" w:rsidRDefault="007C128A" w:rsidP="004061AC">
      <w:pPr>
        <w:autoSpaceDE w:val="0"/>
        <w:autoSpaceDN w:val="0"/>
        <w:adjustRightInd w:val="0"/>
        <w:spacing w:line="360" w:lineRule="auto"/>
        <w:jc w:val="left"/>
        <w:rPr>
          <w:b/>
          <w:bCs/>
          <w:color w:val="000000" w:themeColor="text1"/>
          <w:kern w:val="0"/>
          <w:sz w:val="24"/>
          <w:szCs w:val="24"/>
        </w:rPr>
      </w:pPr>
    </w:p>
    <w:p w:rsidR="004061AC"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5.6 </w:t>
      </w:r>
      <w:r w:rsidRPr="00A76EB8">
        <w:rPr>
          <w:b/>
          <w:bCs/>
          <w:color w:val="000000" w:themeColor="text1"/>
          <w:kern w:val="0"/>
          <w:sz w:val="24"/>
          <w:szCs w:val="24"/>
        </w:rPr>
        <w:t>报告期末按公允价值占基金资产净值比例大小排</w:t>
      </w:r>
      <w:r w:rsidRPr="00A76EB8">
        <w:rPr>
          <w:b/>
          <w:bCs/>
          <w:color w:val="000000" w:themeColor="text1"/>
          <w:kern w:val="0"/>
          <w:sz w:val="24"/>
          <w:szCs w:val="24"/>
        </w:rPr>
        <w:t>序</w:t>
      </w:r>
      <w:r w:rsidRPr="00A76EB8">
        <w:rPr>
          <w:b/>
          <w:bCs/>
          <w:color w:val="000000" w:themeColor="text1"/>
          <w:kern w:val="0"/>
          <w:sz w:val="24"/>
          <w:szCs w:val="24"/>
        </w:rPr>
        <w:t>的前十名资产支持证券投资明细</w:t>
      </w:r>
    </w:p>
    <w:p w:rsidR="004061AC" w:rsidRPr="00A76EB8" w:rsidRDefault="007C128A"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本基金本报告期内未投资资产支持证券。</w:t>
      </w:r>
    </w:p>
    <w:p w:rsidR="001D63BB" w:rsidRPr="00A76EB8" w:rsidRDefault="007C128A" w:rsidP="001D63BB">
      <w:pPr>
        <w:autoSpaceDE w:val="0"/>
        <w:autoSpaceDN w:val="0"/>
        <w:adjustRightInd w:val="0"/>
        <w:spacing w:line="360" w:lineRule="auto"/>
        <w:jc w:val="left"/>
        <w:rPr>
          <w:color w:val="000000" w:themeColor="text1"/>
          <w:sz w:val="24"/>
          <w:szCs w:val="24"/>
        </w:rPr>
      </w:pPr>
    </w:p>
    <w:p w:rsidR="001D63BB" w:rsidRPr="00A76EB8" w:rsidRDefault="007C128A" w:rsidP="001D63BB">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5.7 </w:t>
      </w:r>
      <w:r w:rsidRPr="00A76EB8">
        <w:rPr>
          <w:b/>
          <w:bCs/>
          <w:color w:val="000000" w:themeColor="text1"/>
          <w:kern w:val="0"/>
          <w:sz w:val="24"/>
          <w:szCs w:val="24"/>
        </w:rPr>
        <w:t>报告期末按公允价值占基金资产净值比例大小排序的前五名贵金属投资明细</w:t>
      </w:r>
    </w:p>
    <w:p w:rsidR="001D63BB" w:rsidRPr="00A76EB8" w:rsidRDefault="007C128A" w:rsidP="001D63BB">
      <w:pPr>
        <w:widowControl/>
        <w:spacing w:line="360" w:lineRule="auto"/>
        <w:jc w:val="left"/>
        <w:rPr>
          <w:color w:val="000000" w:themeColor="text1"/>
          <w:sz w:val="24"/>
          <w:szCs w:val="24"/>
        </w:rPr>
      </w:pPr>
      <w:r w:rsidRPr="00A76EB8">
        <w:rPr>
          <w:color w:val="000000" w:themeColor="text1"/>
          <w:sz w:val="24"/>
          <w:szCs w:val="24"/>
        </w:rPr>
        <w:t>本基金本报告期内未投资贵金属。</w:t>
      </w:r>
    </w:p>
    <w:p w:rsidR="004061AC" w:rsidRPr="00A76EB8" w:rsidRDefault="007C128A" w:rsidP="004061AC">
      <w:pPr>
        <w:autoSpaceDE w:val="0"/>
        <w:autoSpaceDN w:val="0"/>
        <w:adjustRightInd w:val="0"/>
        <w:spacing w:line="360" w:lineRule="auto"/>
        <w:jc w:val="left"/>
        <w:rPr>
          <w:color w:val="000000" w:themeColor="text1"/>
          <w:kern w:val="0"/>
          <w:sz w:val="24"/>
          <w:szCs w:val="24"/>
        </w:rPr>
      </w:pPr>
    </w:p>
    <w:p w:rsidR="004061AC"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5.8</w:t>
      </w:r>
      <w:r w:rsidRPr="00A76EB8">
        <w:rPr>
          <w:b/>
          <w:bCs/>
          <w:color w:val="000000" w:themeColor="text1"/>
          <w:kern w:val="0"/>
          <w:sz w:val="24"/>
          <w:szCs w:val="24"/>
        </w:rPr>
        <w:t>报告期末按公允价值占基金资产净值比例大小排序的前五名权证投资明细</w:t>
      </w:r>
    </w:p>
    <w:p w:rsidR="004061AC" w:rsidRPr="00A76EB8" w:rsidRDefault="007C128A"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本基金本报告期内未投资权证。</w:t>
      </w:r>
    </w:p>
    <w:p w:rsidR="004061AC" w:rsidRPr="00A76EB8" w:rsidRDefault="007C128A" w:rsidP="004061AC">
      <w:pPr>
        <w:autoSpaceDE w:val="0"/>
        <w:autoSpaceDN w:val="0"/>
        <w:adjustRightInd w:val="0"/>
        <w:spacing w:line="360" w:lineRule="auto"/>
        <w:jc w:val="left"/>
        <w:rPr>
          <w:color w:val="000000" w:themeColor="text1"/>
          <w:kern w:val="0"/>
          <w:sz w:val="24"/>
          <w:szCs w:val="24"/>
        </w:rPr>
      </w:pPr>
    </w:p>
    <w:p w:rsidR="00275745"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w:t>
      </w:r>
      <w:r w:rsidRPr="00A76EB8">
        <w:rPr>
          <w:b/>
          <w:bCs/>
          <w:color w:val="000000" w:themeColor="text1"/>
          <w:kern w:val="0"/>
          <w:sz w:val="24"/>
          <w:szCs w:val="24"/>
        </w:rPr>
        <w:t>.</w:t>
      </w:r>
      <w:r w:rsidRPr="00A76EB8">
        <w:rPr>
          <w:b/>
          <w:bCs/>
          <w:color w:val="000000" w:themeColor="text1"/>
          <w:kern w:val="0"/>
          <w:sz w:val="24"/>
          <w:szCs w:val="24"/>
        </w:rPr>
        <w:t>9</w:t>
      </w:r>
      <w:r w:rsidRPr="00A76EB8">
        <w:rPr>
          <w:b/>
          <w:bCs/>
          <w:color w:val="000000" w:themeColor="text1"/>
          <w:kern w:val="0"/>
          <w:sz w:val="24"/>
          <w:szCs w:val="24"/>
        </w:rPr>
        <w:t>报告期末本基金投资的股指期货交易情况说明</w:t>
      </w:r>
    </w:p>
    <w:p w:rsidR="00A96A94"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w:t>
      </w:r>
      <w:r w:rsidRPr="00A76EB8">
        <w:rPr>
          <w:b/>
          <w:bCs/>
          <w:color w:val="000000" w:themeColor="text1"/>
          <w:kern w:val="0"/>
          <w:sz w:val="24"/>
          <w:szCs w:val="24"/>
        </w:rPr>
        <w:t>.9.1</w:t>
      </w:r>
      <w:r w:rsidRPr="00A76EB8">
        <w:rPr>
          <w:b/>
          <w:bCs/>
          <w:color w:val="000000" w:themeColor="text1"/>
          <w:kern w:val="0"/>
          <w:sz w:val="24"/>
          <w:szCs w:val="24"/>
        </w:rPr>
        <w:t>报告期末本基金投资的股指期货持仓和损益明细</w:t>
      </w:r>
    </w:p>
    <w:p w:rsidR="00275745" w:rsidRPr="00A76EB8" w:rsidRDefault="007C128A"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本基金本报告期内未投资股指期货。</w:t>
      </w:r>
    </w:p>
    <w:p w:rsidR="00AA3A38" w:rsidRPr="00A76EB8" w:rsidRDefault="007C128A" w:rsidP="00275745">
      <w:pPr>
        <w:adjustRightInd w:val="0"/>
        <w:snapToGrid w:val="0"/>
        <w:spacing w:line="360" w:lineRule="exact"/>
        <w:rPr>
          <w:color w:val="000000" w:themeColor="text1"/>
          <w:sz w:val="24"/>
          <w:szCs w:val="24"/>
        </w:rPr>
      </w:pPr>
    </w:p>
    <w:p w:rsidR="00275745"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w:t>
      </w:r>
      <w:r w:rsidRPr="00A76EB8">
        <w:rPr>
          <w:b/>
          <w:bCs/>
          <w:color w:val="000000" w:themeColor="text1"/>
          <w:kern w:val="0"/>
          <w:sz w:val="24"/>
          <w:szCs w:val="24"/>
        </w:rPr>
        <w:t>.9.2</w:t>
      </w:r>
      <w:r w:rsidRPr="00A76EB8">
        <w:rPr>
          <w:b/>
          <w:bCs/>
          <w:color w:val="000000" w:themeColor="text1"/>
          <w:kern w:val="0"/>
          <w:sz w:val="24"/>
          <w:szCs w:val="24"/>
        </w:rPr>
        <w:t>本基金投资股指期货的投资政策</w:t>
      </w:r>
    </w:p>
    <w:p w:rsidR="00275745" w:rsidRPr="00A76EB8" w:rsidRDefault="007C128A" w:rsidP="007C128A">
      <w:pPr>
        <w:spacing w:line="360" w:lineRule="auto"/>
        <w:ind w:firstLineChars="200" w:firstLine="480"/>
        <w:rPr>
          <w:color w:val="000000" w:themeColor="text1"/>
          <w:sz w:val="24"/>
          <w:szCs w:val="24"/>
        </w:rPr>
      </w:pPr>
      <w:r w:rsidRPr="00A76EB8">
        <w:rPr>
          <w:color w:val="000000" w:themeColor="text1"/>
          <w:sz w:val="24"/>
          <w:szCs w:val="24"/>
        </w:rPr>
        <w:t>无。</w:t>
      </w:r>
    </w:p>
    <w:p w:rsidR="00275745" w:rsidRPr="00A76EB8" w:rsidRDefault="007C128A" w:rsidP="004061AC">
      <w:pPr>
        <w:autoSpaceDE w:val="0"/>
        <w:autoSpaceDN w:val="0"/>
        <w:adjustRightInd w:val="0"/>
        <w:spacing w:line="360" w:lineRule="auto"/>
        <w:jc w:val="left"/>
        <w:rPr>
          <w:color w:val="000000" w:themeColor="text1"/>
          <w:kern w:val="0"/>
          <w:sz w:val="24"/>
          <w:szCs w:val="24"/>
        </w:rPr>
      </w:pPr>
    </w:p>
    <w:p w:rsidR="00312A9F"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5.10</w:t>
      </w:r>
      <w:r w:rsidRPr="00A76EB8">
        <w:rPr>
          <w:b/>
          <w:bCs/>
          <w:color w:val="000000" w:themeColor="text1"/>
          <w:kern w:val="0"/>
          <w:sz w:val="24"/>
          <w:szCs w:val="24"/>
        </w:rPr>
        <w:t>报告期末本基金投资的国债期货交易情况说明</w:t>
      </w:r>
    </w:p>
    <w:p w:rsidR="00312A9F"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5.10.1 </w:t>
      </w:r>
      <w:r w:rsidRPr="00A76EB8">
        <w:rPr>
          <w:b/>
          <w:bCs/>
          <w:color w:val="000000" w:themeColor="text1"/>
          <w:kern w:val="0"/>
          <w:sz w:val="24"/>
          <w:szCs w:val="24"/>
        </w:rPr>
        <w:t>本期国债期货投资政策</w:t>
      </w:r>
    </w:p>
    <w:p w:rsidR="00312A9F" w:rsidRPr="00A76EB8" w:rsidRDefault="007C128A" w:rsidP="007C128A">
      <w:pPr>
        <w:spacing w:line="360" w:lineRule="auto"/>
        <w:ind w:firstLineChars="200" w:firstLine="480"/>
        <w:rPr>
          <w:color w:val="000000" w:themeColor="text1"/>
          <w:sz w:val="24"/>
          <w:szCs w:val="24"/>
        </w:rPr>
      </w:pPr>
      <w:r w:rsidRPr="00A76EB8">
        <w:rPr>
          <w:color w:val="000000" w:themeColor="text1"/>
          <w:sz w:val="24"/>
          <w:szCs w:val="24"/>
        </w:rPr>
        <w:t>无。</w:t>
      </w:r>
    </w:p>
    <w:p w:rsidR="00312A9F"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 xml:space="preserve">5.10.2 </w:t>
      </w:r>
      <w:r w:rsidRPr="00A76EB8">
        <w:rPr>
          <w:b/>
          <w:bCs/>
          <w:color w:val="000000" w:themeColor="text1"/>
          <w:kern w:val="0"/>
          <w:sz w:val="24"/>
          <w:szCs w:val="24"/>
        </w:rPr>
        <w:t>报告期末本基金投资的国债期货持仓和损益明细</w:t>
      </w:r>
    </w:p>
    <w:p w:rsidR="00312A9F" w:rsidRPr="00A76EB8" w:rsidRDefault="007C128A"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本基金本报告期内未投资国债期货。</w:t>
      </w:r>
    </w:p>
    <w:p w:rsidR="004061AC"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w:t>
      </w:r>
      <w:r w:rsidRPr="00A76EB8">
        <w:rPr>
          <w:b/>
          <w:bCs/>
          <w:color w:val="000000" w:themeColor="text1"/>
          <w:kern w:val="0"/>
          <w:sz w:val="24"/>
          <w:szCs w:val="24"/>
        </w:rPr>
        <w:t>.</w:t>
      </w:r>
      <w:r w:rsidRPr="00A76EB8">
        <w:rPr>
          <w:b/>
          <w:bCs/>
          <w:color w:val="000000" w:themeColor="text1"/>
          <w:kern w:val="0"/>
          <w:sz w:val="24"/>
          <w:szCs w:val="24"/>
        </w:rPr>
        <w:t>11</w:t>
      </w:r>
      <w:r w:rsidRPr="00A76EB8">
        <w:rPr>
          <w:b/>
          <w:bCs/>
          <w:color w:val="000000" w:themeColor="text1"/>
          <w:kern w:val="0"/>
          <w:sz w:val="24"/>
          <w:szCs w:val="24"/>
        </w:rPr>
        <w:t>投资组合报告附注</w:t>
      </w:r>
    </w:p>
    <w:p w:rsidR="004061AC" w:rsidRPr="00A76EB8" w:rsidRDefault="007C128A" w:rsidP="001B0A62">
      <w:pPr>
        <w:spacing w:line="360" w:lineRule="auto"/>
        <w:rPr>
          <w:color w:val="000000" w:themeColor="text1"/>
          <w:sz w:val="24"/>
          <w:szCs w:val="24"/>
        </w:rPr>
      </w:pPr>
      <w:r w:rsidRPr="00A76EB8">
        <w:rPr>
          <w:color w:val="000000" w:themeColor="text1"/>
          <w:sz w:val="24"/>
          <w:szCs w:val="24"/>
        </w:rPr>
        <w:t>5.</w:t>
      </w:r>
      <w:r w:rsidRPr="00A76EB8">
        <w:rPr>
          <w:color w:val="000000" w:themeColor="text1"/>
          <w:sz w:val="24"/>
          <w:szCs w:val="24"/>
        </w:rPr>
        <w:t>11</w:t>
      </w:r>
      <w:r w:rsidRPr="00A76EB8">
        <w:rPr>
          <w:color w:val="000000" w:themeColor="text1"/>
          <w:sz w:val="24"/>
          <w:szCs w:val="24"/>
        </w:rPr>
        <w:t>.</w:t>
      </w:r>
      <w:r w:rsidRPr="00A76EB8">
        <w:rPr>
          <w:color w:val="000000" w:themeColor="text1"/>
          <w:sz w:val="24"/>
          <w:szCs w:val="24"/>
        </w:rPr>
        <w:t>1</w:t>
      </w:r>
      <w:r w:rsidRPr="00A76EB8">
        <w:rPr>
          <w:color w:val="000000" w:themeColor="text1"/>
          <w:sz w:val="24"/>
          <w:szCs w:val="24"/>
        </w:rPr>
        <w:t>本基金投资的前十名证券的发行主体本期没有出现被监管部门立案调查，或在报告编制日前一年内受到公开谴责、处罚的情形。</w:t>
      </w:r>
    </w:p>
    <w:p w:rsidR="004061AC" w:rsidRPr="00A76EB8" w:rsidRDefault="007C128A" w:rsidP="001B0A62">
      <w:pPr>
        <w:spacing w:line="360" w:lineRule="auto"/>
        <w:rPr>
          <w:color w:val="000000" w:themeColor="text1"/>
          <w:sz w:val="24"/>
          <w:szCs w:val="24"/>
        </w:rPr>
      </w:pPr>
      <w:r w:rsidRPr="00A76EB8">
        <w:rPr>
          <w:color w:val="000000" w:themeColor="text1"/>
          <w:sz w:val="24"/>
          <w:szCs w:val="24"/>
        </w:rPr>
        <w:t>5</w:t>
      </w:r>
      <w:r w:rsidRPr="00A76EB8">
        <w:rPr>
          <w:color w:val="000000" w:themeColor="text1"/>
          <w:sz w:val="24"/>
          <w:szCs w:val="24"/>
        </w:rPr>
        <w:t>.</w:t>
      </w:r>
      <w:r w:rsidRPr="00A76EB8">
        <w:rPr>
          <w:color w:val="000000" w:themeColor="text1"/>
          <w:sz w:val="24"/>
          <w:szCs w:val="24"/>
        </w:rPr>
        <w:t>11</w:t>
      </w:r>
      <w:r w:rsidRPr="00A76EB8">
        <w:rPr>
          <w:color w:val="000000" w:themeColor="text1"/>
          <w:sz w:val="24"/>
          <w:szCs w:val="24"/>
        </w:rPr>
        <w:t>.</w:t>
      </w:r>
      <w:r w:rsidRPr="00A76EB8">
        <w:rPr>
          <w:color w:val="000000" w:themeColor="text1"/>
          <w:sz w:val="24"/>
          <w:szCs w:val="24"/>
        </w:rPr>
        <w:t>2</w:t>
      </w:r>
      <w:r w:rsidRPr="00A76EB8">
        <w:rPr>
          <w:color w:val="000000" w:themeColor="text1"/>
          <w:sz w:val="24"/>
          <w:szCs w:val="24"/>
        </w:rPr>
        <w:t>报告期内基金投资的前十名股票未超出基金合同规定的备选股票库。</w:t>
      </w:r>
    </w:p>
    <w:p w:rsidR="004061AC"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w:t>
      </w:r>
      <w:r w:rsidRPr="00A76EB8">
        <w:rPr>
          <w:b/>
          <w:bCs/>
          <w:color w:val="000000" w:themeColor="text1"/>
          <w:kern w:val="0"/>
          <w:sz w:val="24"/>
          <w:szCs w:val="24"/>
        </w:rPr>
        <w:t>.</w:t>
      </w:r>
      <w:r w:rsidRPr="00A76EB8">
        <w:rPr>
          <w:b/>
          <w:bCs/>
          <w:color w:val="000000" w:themeColor="text1"/>
          <w:kern w:val="0"/>
          <w:sz w:val="24"/>
          <w:szCs w:val="24"/>
        </w:rPr>
        <w:t>11.3</w:t>
      </w:r>
      <w:r w:rsidRPr="00A76EB8">
        <w:rPr>
          <w:b/>
          <w:bCs/>
          <w:color w:val="000000" w:themeColor="text1"/>
          <w:kern w:val="0"/>
          <w:sz w:val="24"/>
          <w:szCs w:val="24"/>
        </w:rPr>
        <w:t>其他各项资产构成</w:t>
      </w:r>
    </w:p>
    <w:tbl>
      <w:tblPr>
        <w:tblStyle w:val="af7"/>
        <w:tblW w:w="0" w:type="auto"/>
        <w:tblInd w:w="15" w:type="dxa"/>
        <w:tblLook w:val="04A0"/>
      </w:tblPr>
      <w:tblGrid>
        <w:gridCol w:w="1235"/>
        <w:gridCol w:w="2470"/>
        <w:gridCol w:w="4808"/>
      </w:tblGrid>
      <w:tr w:rsidR="00CE3872" w:rsidTr="00F31F6E">
        <w:tc>
          <w:tcPr>
            <w:tcW w:w="1235" w:type="dxa"/>
            <w:vAlign w:val="center"/>
          </w:tcPr>
          <w:p w:rsidR="00F31F6E" w:rsidRPr="00A76EB8" w:rsidRDefault="007C128A" w:rsidP="00FB41D3">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序号</w:t>
            </w:r>
          </w:p>
        </w:tc>
        <w:tc>
          <w:tcPr>
            <w:tcW w:w="2470" w:type="dxa"/>
            <w:vAlign w:val="center"/>
          </w:tcPr>
          <w:p w:rsidR="00F31F6E" w:rsidRPr="00A76EB8" w:rsidRDefault="007C128A" w:rsidP="00FB41D3">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名称</w:t>
            </w:r>
          </w:p>
        </w:tc>
        <w:tc>
          <w:tcPr>
            <w:tcW w:w="4808" w:type="dxa"/>
            <w:vAlign w:val="center"/>
          </w:tcPr>
          <w:p w:rsidR="00F31F6E" w:rsidRPr="00A76EB8" w:rsidRDefault="007C128A" w:rsidP="00FB41D3">
            <w:pPr>
              <w:autoSpaceDE w:val="0"/>
              <w:autoSpaceDN w:val="0"/>
              <w:adjustRightInd w:val="0"/>
              <w:spacing w:before="29" w:line="360" w:lineRule="auto"/>
              <w:ind w:left="17"/>
              <w:jc w:val="center"/>
              <w:rPr>
                <w:color w:val="000000" w:themeColor="text1"/>
                <w:sz w:val="24"/>
                <w:szCs w:val="24"/>
              </w:rPr>
            </w:pPr>
            <w:r w:rsidRPr="00A76EB8">
              <w:rPr>
                <w:color w:val="000000" w:themeColor="text1"/>
                <w:sz w:val="24"/>
                <w:szCs w:val="24"/>
              </w:rPr>
              <w:t>金额</w:t>
            </w:r>
            <w:r w:rsidRPr="00A76EB8">
              <w:rPr>
                <w:color w:val="000000" w:themeColor="text1"/>
                <w:sz w:val="24"/>
                <w:szCs w:val="24"/>
              </w:rPr>
              <w:t>(</w:t>
            </w:r>
            <w:r w:rsidRPr="00A76EB8">
              <w:rPr>
                <w:color w:val="000000" w:themeColor="text1"/>
                <w:sz w:val="24"/>
                <w:szCs w:val="24"/>
              </w:rPr>
              <w:t>元</w:t>
            </w:r>
            <w:r w:rsidRPr="00A76EB8">
              <w:rPr>
                <w:color w:val="000000" w:themeColor="text1"/>
                <w:sz w:val="24"/>
                <w:szCs w:val="24"/>
              </w:rPr>
              <w:t>)</w:t>
            </w:r>
          </w:p>
        </w:tc>
      </w:tr>
      <w:tr w:rsidR="00CE3872" w:rsidTr="00175D4F">
        <w:tc>
          <w:tcPr>
            <w:tcW w:w="1235" w:type="dxa"/>
            <w:vAlign w:val="center"/>
          </w:tcPr>
          <w:p w:rsidR="00F31F6E" w:rsidRPr="00A76EB8" w:rsidRDefault="007C128A"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1</w:t>
            </w:r>
          </w:p>
        </w:tc>
        <w:tc>
          <w:tcPr>
            <w:tcW w:w="2470" w:type="dxa"/>
            <w:vAlign w:val="center"/>
          </w:tcPr>
          <w:p w:rsidR="00F31F6E" w:rsidRPr="00A76EB8" w:rsidRDefault="007C128A"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存出保证金</w:t>
            </w:r>
          </w:p>
        </w:tc>
        <w:tc>
          <w:tcPr>
            <w:tcW w:w="4808" w:type="dxa"/>
            <w:vAlign w:val="center"/>
          </w:tcPr>
          <w:p w:rsidR="00F31F6E" w:rsidRPr="00A76EB8" w:rsidRDefault="007C128A"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w:t>
            </w:r>
          </w:p>
        </w:tc>
      </w:tr>
      <w:tr w:rsidR="00CE3872" w:rsidTr="00175D4F">
        <w:tc>
          <w:tcPr>
            <w:tcW w:w="1235" w:type="dxa"/>
            <w:vAlign w:val="center"/>
          </w:tcPr>
          <w:p w:rsidR="00F31F6E" w:rsidRPr="00A76EB8" w:rsidRDefault="007C128A"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2</w:t>
            </w:r>
          </w:p>
        </w:tc>
        <w:tc>
          <w:tcPr>
            <w:tcW w:w="2470" w:type="dxa"/>
            <w:vAlign w:val="center"/>
          </w:tcPr>
          <w:p w:rsidR="00F31F6E" w:rsidRPr="00A76EB8" w:rsidRDefault="007C128A"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应收证券清算款</w:t>
            </w:r>
          </w:p>
        </w:tc>
        <w:tc>
          <w:tcPr>
            <w:tcW w:w="4808" w:type="dxa"/>
            <w:vAlign w:val="center"/>
          </w:tcPr>
          <w:p w:rsidR="00F31F6E" w:rsidRPr="00A76EB8" w:rsidRDefault="007C128A"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w:t>
            </w:r>
          </w:p>
        </w:tc>
      </w:tr>
      <w:tr w:rsidR="00CE3872" w:rsidTr="00175D4F">
        <w:tc>
          <w:tcPr>
            <w:tcW w:w="1235" w:type="dxa"/>
            <w:vAlign w:val="center"/>
          </w:tcPr>
          <w:p w:rsidR="00F31F6E" w:rsidRPr="00A76EB8" w:rsidRDefault="007C128A"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3</w:t>
            </w:r>
          </w:p>
        </w:tc>
        <w:tc>
          <w:tcPr>
            <w:tcW w:w="2470" w:type="dxa"/>
            <w:vAlign w:val="center"/>
          </w:tcPr>
          <w:p w:rsidR="00F31F6E" w:rsidRPr="00A76EB8" w:rsidRDefault="007C128A"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应收股利</w:t>
            </w:r>
          </w:p>
        </w:tc>
        <w:tc>
          <w:tcPr>
            <w:tcW w:w="4808" w:type="dxa"/>
            <w:vAlign w:val="center"/>
          </w:tcPr>
          <w:p w:rsidR="00F31F6E" w:rsidRPr="00A76EB8" w:rsidRDefault="007C128A"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w:t>
            </w:r>
          </w:p>
        </w:tc>
      </w:tr>
      <w:tr w:rsidR="00CE3872" w:rsidTr="00175D4F">
        <w:tc>
          <w:tcPr>
            <w:tcW w:w="1235" w:type="dxa"/>
            <w:vAlign w:val="center"/>
          </w:tcPr>
          <w:p w:rsidR="00F31F6E" w:rsidRPr="00A76EB8" w:rsidRDefault="007C128A"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4</w:t>
            </w:r>
          </w:p>
        </w:tc>
        <w:tc>
          <w:tcPr>
            <w:tcW w:w="2470" w:type="dxa"/>
            <w:vAlign w:val="center"/>
          </w:tcPr>
          <w:p w:rsidR="00F31F6E" w:rsidRPr="00A76EB8" w:rsidRDefault="007C128A"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应收利息</w:t>
            </w:r>
          </w:p>
        </w:tc>
        <w:tc>
          <w:tcPr>
            <w:tcW w:w="4808" w:type="dxa"/>
            <w:vAlign w:val="center"/>
          </w:tcPr>
          <w:p w:rsidR="00F31F6E" w:rsidRPr="00A76EB8" w:rsidRDefault="007C128A"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34,132,312.96</w:t>
            </w:r>
          </w:p>
        </w:tc>
      </w:tr>
      <w:tr w:rsidR="00CE3872" w:rsidTr="00175D4F">
        <w:tc>
          <w:tcPr>
            <w:tcW w:w="1235" w:type="dxa"/>
            <w:vAlign w:val="center"/>
          </w:tcPr>
          <w:p w:rsidR="00F31F6E" w:rsidRPr="00A76EB8" w:rsidRDefault="007C128A"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5</w:t>
            </w:r>
          </w:p>
        </w:tc>
        <w:tc>
          <w:tcPr>
            <w:tcW w:w="2470" w:type="dxa"/>
            <w:vAlign w:val="center"/>
          </w:tcPr>
          <w:p w:rsidR="00F31F6E" w:rsidRPr="00A76EB8" w:rsidRDefault="007C128A"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应收申购款</w:t>
            </w:r>
          </w:p>
        </w:tc>
        <w:tc>
          <w:tcPr>
            <w:tcW w:w="4808" w:type="dxa"/>
            <w:vAlign w:val="center"/>
          </w:tcPr>
          <w:p w:rsidR="00F31F6E" w:rsidRPr="00A76EB8" w:rsidRDefault="007C128A"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w:t>
            </w:r>
          </w:p>
        </w:tc>
      </w:tr>
      <w:tr w:rsidR="00CE3872" w:rsidTr="00175D4F">
        <w:tc>
          <w:tcPr>
            <w:tcW w:w="1235" w:type="dxa"/>
            <w:vAlign w:val="center"/>
          </w:tcPr>
          <w:p w:rsidR="00F31F6E" w:rsidRPr="00A76EB8" w:rsidRDefault="007C128A"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6</w:t>
            </w:r>
          </w:p>
        </w:tc>
        <w:tc>
          <w:tcPr>
            <w:tcW w:w="2470" w:type="dxa"/>
            <w:vAlign w:val="center"/>
          </w:tcPr>
          <w:p w:rsidR="00F31F6E" w:rsidRPr="00A76EB8" w:rsidRDefault="007C128A"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其他应收款</w:t>
            </w:r>
          </w:p>
        </w:tc>
        <w:tc>
          <w:tcPr>
            <w:tcW w:w="4808" w:type="dxa"/>
            <w:vAlign w:val="center"/>
          </w:tcPr>
          <w:p w:rsidR="00F31F6E" w:rsidRPr="00A76EB8" w:rsidRDefault="007C128A"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w:t>
            </w:r>
          </w:p>
        </w:tc>
      </w:tr>
      <w:tr w:rsidR="00CE3872" w:rsidTr="00175D4F">
        <w:tc>
          <w:tcPr>
            <w:tcW w:w="1235" w:type="dxa"/>
            <w:vAlign w:val="center"/>
          </w:tcPr>
          <w:p w:rsidR="00EB2C07" w:rsidRPr="00A76EB8" w:rsidRDefault="007C128A"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7</w:t>
            </w:r>
          </w:p>
        </w:tc>
        <w:tc>
          <w:tcPr>
            <w:tcW w:w="2470" w:type="dxa"/>
            <w:vAlign w:val="center"/>
          </w:tcPr>
          <w:p w:rsidR="00EB2C07" w:rsidRPr="00A76EB8" w:rsidRDefault="007C128A"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待摊费用</w:t>
            </w:r>
          </w:p>
        </w:tc>
        <w:tc>
          <w:tcPr>
            <w:tcW w:w="4808" w:type="dxa"/>
            <w:vAlign w:val="center"/>
          </w:tcPr>
          <w:p w:rsidR="00EB2C07" w:rsidRPr="00A76EB8" w:rsidRDefault="007C128A"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w:t>
            </w:r>
          </w:p>
        </w:tc>
      </w:tr>
      <w:tr w:rsidR="00CE3872" w:rsidTr="00175D4F">
        <w:tc>
          <w:tcPr>
            <w:tcW w:w="1235" w:type="dxa"/>
            <w:vAlign w:val="center"/>
          </w:tcPr>
          <w:p w:rsidR="00F31F6E" w:rsidRPr="00A76EB8" w:rsidRDefault="007C128A"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8</w:t>
            </w:r>
          </w:p>
        </w:tc>
        <w:tc>
          <w:tcPr>
            <w:tcW w:w="2470" w:type="dxa"/>
            <w:vAlign w:val="center"/>
          </w:tcPr>
          <w:p w:rsidR="00F31F6E" w:rsidRPr="00A76EB8" w:rsidRDefault="007C128A"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其他</w:t>
            </w:r>
          </w:p>
        </w:tc>
        <w:tc>
          <w:tcPr>
            <w:tcW w:w="4808" w:type="dxa"/>
            <w:vAlign w:val="center"/>
          </w:tcPr>
          <w:p w:rsidR="00F31F6E" w:rsidRPr="00A76EB8" w:rsidRDefault="007C128A"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w:t>
            </w:r>
          </w:p>
        </w:tc>
      </w:tr>
      <w:tr w:rsidR="00CE3872" w:rsidTr="00175D4F">
        <w:tc>
          <w:tcPr>
            <w:tcW w:w="1235" w:type="dxa"/>
            <w:vAlign w:val="center"/>
          </w:tcPr>
          <w:p w:rsidR="00F31F6E" w:rsidRPr="00A76EB8" w:rsidRDefault="007C128A" w:rsidP="00FB41D3">
            <w:pPr>
              <w:autoSpaceDE w:val="0"/>
              <w:autoSpaceDN w:val="0"/>
              <w:adjustRightInd w:val="0"/>
              <w:spacing w:before="29" w:line="360" w:lineRule="auto"/>
              <w:ind w:left="15"/>
              <w:jc w:val="center"/>
              <w:rPr>
                <w:color w:val="000000" w:themeColor="text1"/>
                <w:sz w:val="24"/>
                <w:szCs w:val="24"/>
              </w:rPr>
            </w:pPr>
            <w:r w:rsidRPr="00A76EB8">
              <w:rPr>
                <w:color w:val="000000" w:themeColor="text1"/>
                <w:sz w:val="24"/>
                <w:szCs w:val="24"/>
              </w:rPr>
              <w:t>9</w:t>
            </w:r>
          </w:p>
        </w:tc>
        <w:tc>
          <w:tcPr>
            <w:tcW w:w="2470" w:type="dxa"/>
            <w:vAlign w:val="center"/>
          </w:tcPr>
          <w:p w:rsidR="00F31F6E" w:rsidRPr="00A76EB8" w:rsidRDefault="007C128A" w:rsidP="00175D4F">
            <w:pPr>
              <w:autoSpaceDE w:val="0"/>
              <w:autoSpaceDN w:val="0"/>
              <w:adjustRightInd w:val="0"/>
              <w:spacing w:before="29" w:line="360" w:lineRule="auto"/>
              <w:ind w:left="15"/>
              <w:rPr>
                <w:color w:val="000000" w:themeColor="text1"/>
                <w:sz w:val="24"/>
                <w:szCs w:val="24"/>
              </w:rPr>
            </w:pPr>
            <w:r w:rsidRPr="00A76EB8">
              <w:rPr>
                <w:color w:val="000000" w:themeColor="text1"/>
                <w:sz w:val="24"/>
                <w:szCs w:val="24"/>
              </w:rPr>
              <w:t>合计</w:t>
            </w:r>
          </w:p>
        </w:tc>
        <w:tc>
          <w:tcPr>
            <w:tcW w:w="4808" w:type="dxa"/>
            <w:vAlign w:val="center"/>
          </w:tcPr>
          <w:p w:rsidR="00F31F6E" w:rsidRPr="00A76EB8" w:rsidRDefault="007C128A" w:rsidP="00FB41D3">
            <w:pPr>
              <w:autoSpaceDE w:val="0"/>
              <w:autoSpaceDN w:val="0"/>
              <w:adjustRightInd w:val="0"/>
              <w:spacing w:before="29" w:line="360" w:lineRule="auto"/>
              <w:ind w:left="15"/>
              <w:jc w:val="right"/>
              <w:rPr>
                <w:color w:val="000000" w:themeColor="text1"/>
                <w:sz w:val="24"/>
                <w:szCs w:val="24"/>
              </w:rPr>
            </w:pPr>
            <w:r w:rsidRPr="00A76EB8">
              <w:rPr>
                <w:color w:val="000000" w:themeColor="text1"/>
                <w:sz w:val="24"/>
                <w:szCs w:val="24"/>
              </w:rPr>
              <w:t>34,132,312.96</w:t>
            </w:r>
          </w:p>
        </w:tc>
      </w:tr>
    </w:tbl>
    <w:p w:rsidR="002918E3" w:rsidRPr="00A76EB8" w:rsidRDefault="007C128A" w:rsidP="00D57B7C">
      <w:pPr>
        <w:autoSpaceDE w:val="0"/>
        <w:autoSpaceDN w:val="0"/>
        <w:adjustRightInd w:val="0"/>
        <w:spacing w:line="360" w:lineRule="auto"/>
        <w:rPr>
          <w:color w:val="000000" w:themeColor="text1"/>
          <w:sz w:val="24"/>
          <w:szCs w:val="24"/>
        </w:rPr>
      </w:pPr>
    </w:p>
    <w:p w:rsidR="004061AC"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w:t>
      </w:r>
      <w:r w:rsidRPr="00A76EB8">
        <w:rPr>
          <w:b/>
          <w:bCs/>
          <w:color w:val="000000" w:themeColor="text1"/>
          <w:kern w:val="0"/>
          <w:sz w:val="24"/>
          <w:szCs w:val="24"/>
        </w:rPr>
        <w:t>.</w:t>
      </w:r>
      <w:r w:rsidRPr="00A76EB8">
        <w:rPr>
          <w:b/>
          <w:bCs/>
          <w:color w:val="000000" w:themeColor="text1"/>
          <w:kern w:val="0"/>
          <w:sz w:val="24"/>
          <w:szCs w:val="24"/>
        </w:rPr>
        <w:t>11.4</w:t>
      </w:r>
      <w:r w:rsidRPr="00A76EB8">
        <w:rPr>
          <w:b/>
          <w:bCs/>
          <w:color w:val="000000" w:themeColor="text1"/>
          <w:kern w:val="0"/>
          <w:sz w:val="24"/>
          <w:szCs w:val="24"/>
        </w:rPr>
        <w:t>报告期末持有的处于转股期的可转换债券明细</w:t>
      </w:r>
    </w:p>
    <w:p w:rsidR="004061AC" w:rsidRPr="00A76EB8" w:rsidRDefault="007C128A"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本基金本报告期末未持有处于转股期的可转换债券。</w:t>
      </w:r>
    </w:p>
    <w:p w:rsidR="002918E3" w:rsidRPr="00A76EB8" w:rsidRDefault="007C128A" w:rsidP="00924582">
      <w:pPr>
        <w:autoSpaceDE w:val="0"/>
        <w:autoSpaceDN w:val="0"/>
        <w:adjustRightInd w:val="0"/>
        <w:spacing w:line="360" w:lineRule="auto"/>
        <w:rPr>
          <w:color w:val="000000" w:themeColor="text1"/>
          <w:sz w:val="24"/>
          <w:szCs w:val="24"/>
        </w:rPr>
      </w:pPr>
    </w:p>
    <w:p w:rsidR="004061AC"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w:t>
      </w:r>
      <w:r w:rsidRPr="00A76EB8">
        <w:rPr>
          <w:b/>
          <w:bCs/>
          <w:color w:val="000000" w:themeColor="text1"/>
          <w:kern w:val="0"/>
          <w:sz w:val="24"/>
          <w:szCs w:val="24"/>
        </w:rPr>
        <w:t>11.5</w:t>
      </w:r>
      <w:r w:rsidRPr="00A76EB8">
        <w:rPr>
          <w:b/>
          <w:bCs/>
          <w:color w:val="000000" w:themeColor="text1"/>
          <w:kern w:val="0"/>
          <w:sz w:val="24"/>
          <w:szCs w:val="24"/>
        </w:rPr>
        <w:t>报告期末前十名股票中存在流通受限情况的说明</w:t>
      </w:r>
    </w:p>
    <w:p w:rsidR="004061AC" w:rsidRPr="00A76EB8" w:rsidRDefault="007C128A"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本基金本报告期末未持有股票。</w:t>
      </w:r>
    </w:p>
    <w:p w:rsidR="002918E3" w:rsidRPr="00A76EB8" w:rsidRDefault="007C128A" w:rsidP="00924582">
      <w:pPr>
        <w:autoSpaceDE w:val="0"/>
        <w:autoSpaceDN w:val="0"/>
        <w:adjustRightInd w:val="0"/>
        <w:spacing w:line="360" w:lineRule="auto"/>
        <w:rPr>
          <w:color w:val="000000" w:themeColor="text1"/>
          <w:sz w:val="24"/>
          <w:szCs w:val="24"/>
        </w:rPr>
      </w:pPr>
    </w:p>
    <w:p w:rsidR="004061AC" w:rsidRPr="00A76EB8" w:rsidRDefault="007C128A" w:rsidP="001B0A62">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5</w:t>
      </w:r>
      <w:r w:rsidRPr="00A76EB8">
        <w:rPr>
          <w:b/>
          <w:bCs/>
          <w:color w:val="000000" w:themeColor="text1"/>
          <w:kern w:val="0"/>
          <w:sz w:val="24"/>
          <w:szCs w:val="24"/>
        </w:rPr>
        <w:t>.</w:t>
      </w:r>
      <w:r w:rsidRPr="00A76EB8">
        <w:rPr>
          <w:b/>
          <w:bCs/>
          <w:color w:val="000000" w:themeColor="text1"/>
          <w:kern w:val="0"/>
          <w:sz w:val="24"/>
          <w:szCs w:val="24"/>
        </w:rPr>
        <w:t>11.6</w:t>
      </w:r>
      <w:r w:rsidRPr="00A76EB8">
        <w:rPr>
          <w:b/>
          <w:bCs/>
          <w:color w:val="000000" w:themeColor="text1"/>
          <w:kern w:val="0"/>
          <w:sz w:val="24"/>
          <w:szCs w:val="24"/>
        </w:rPr>
        <w:t>投资组合报告附注的其他文字描述部分</w:t>
      </w:r>
    </w:p>
    <w:p w:rsidR="004061AC" w:rsidRPr="00A76EB8" w:rsidRDefault="007C128A" w:rsidP="007C128A">
      <w:pPr>
        <w:spacing w:line="360" w:lineRule="auto"/>
        <w:ind w:firstLineChars="200" w:firstLine="480"/>
        <w:rPr>
          <w:color w:val="000000" w:themeColor="text1"/>
          <w:sz w:val="24"/>
          <w:szCs w:val="24"/>
        </w:rPr>
      </w:pPr>
      <w:r w:rsidRPr="00A76EB8">
        <w:rPr>
          <w:color w:val="000000" w:themeColor="text1"/>
          <w:sz w:val="24"/>
          <w:szCs w:val="24"/>
        </w:rPr>
        <w:t>由于四舍五入的原因，分项之和与合计项之间可能存在尾差。</w:t>
      </w:r>
    </w:p>
    <w:p w:rsidR="004061AC" w:rsidRPr="00A76EB8" w:rsidRDefault="007C128A" w:rsidP="007C128A">
      <w:pPr>
        <w:pStyle w:val="1"/>
        <w:spacing w:beforeLines="100" w:afterLines="100" w:line="360" w:lineRule="auto"/>
        <w:jc w:val="center"/>
        <w:rPr>
          <w:color w:val="000000" w:themeColor="text1"/>
          <w:kern w:val="0"/>
          <w:sz w:val="24"/>
          <w:szCs w:val="24"/>
        </w:rPr>
      </w:pPr>
      <w:r w:rsidRPr="00A76EB8">
        <w:rPr>
          <w:color w:val="000000" w:themeColor="text1"/>
          <w:kern w:val="0"/>
          <w:sz w:val="24"/>
          <w:szCs w:val="24"/>
        </w:rPr>
        <w:t xml:space="preserve">§6  </w:t>
      </w:r>
      <w:r w:rsidRPr="00A76EB8">
        <w:rPr>
          <w:color w:val="000000" w:themeColor="text1"/>
          <w:kern w:val="0"/>
          <w:sz w:val="24"/>
          <w:szCs w:val="24"/>
        </w:rPr>
        <w:t>开放式基金份额变动</w:t>
      </w:r>
    </w:p>
    <w:p w:rsidR="004061AC" w:rsidRPr="00A76EB8" w:rsidRDefault="007C128A" w:rsidP="004061AC">
      <w:pPr>
        <w:autoSpaceDE w:val="0"/>
        <w:autoSpaceDN w:val="0"/>
        <w:adjustRightInd w:val="0"/>
        <w:spacing w:before="29" w:line="360" w:lineRule="auto"/>
        <w:ind w:left="15"/>
        <w:jc w:val="right"/>
        <w:rPr>
          <w:color w:val="000000" w:themeColor="text1"/>
          <w:kern w:val="0"/>
          <w:sz w:val="24"/>
          <w:szCs w:val="24"/>
        </w:rPr>
      </w:pPr>
      <w:r w:rsidRPr="00A76EB8">
        <w:rPr>
          <w:color w:val="000000" w:themeColor="text1"/>
          <w:kern w:val="0"/>
          <w:sz w:val="24"/>
          <w:szCs w:val="24"/>
        </w:rPr>
        <w:t>单位：份</w:t>
      </w:r>
    </w:p>
    <w:tbl>
      <w:tblPr>
        <w:tblW w:w="0" w:type="auto"/>
        <w:tblInd w:w="-106" w:type="dxa"/>
        <w:tblLayout w:type="fixed"/>
        <w:tblLook w:val="0000"/>
      </w:tblPr>
      <w:tblGrid>
        <w:gridCol w:w="4609"/>
        <w:gridCol w:w="4025"/>
      </w:tblGrid>
      <w:tr w:rsidR="00CE387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A76EB8" w:rsidRDefault="007C128A" w:rsidP="00175D4F">
            <w:pPr>
              <w:autoSpaceDE w:val="0"/>
              <w:autoSpaceDN w:val="0"/>
              <w:adjustRightInd w:val="0"/>
              <w:spacing w:before="29" w:line="360" w:lineRule="auto"/>
              <w:ind w:left="17"/>
              <w:rPr>
                <w:color w:val="000000" w:themeColor="text1"/>
                <w:kern w:val="0"/>
                <w:sz w:val="24"/>
                <w:szCs w:val="24"/>
              </w:rPr>
            </w:pPr>
            <w:r w:rsidRPr="00A76EB8">
              <w:rPr>
                <w:color w:val="000000" w:themeColor="text1"/>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A76EB8" w:rsidRDefault="007C128A" w:rsidP="00924582">
            <w:pPr>
              <w:autoSpaceDE w:val="0"/>
              <w:autoSpaceDN w:val="0"/>
              <w:adjustRightInd w:val="0"/>
              <w:spacing w:before="29" w:line="360" w:lineRule="auto"/>
              <w:ind w:left="17"/>
              <w:jc w:val="right"/>
              <w:rPr>
                <w:color w:val="000000" w:themeColor="text1"/>
                <w:sz w:val="24"/>
                <w:szCs w:val="24"/>
              </w:rPr>
            </w:pPr>
            <w:r w:rsidRPr="00A76EB8">
              <w:rPr>
                <w:color w:val="000000" w:themeColor="text1"/>
                <w:sz w:val="24"/>
                <w:szCs w:val="24"/>
              </w:rPr>
              <w:t>1,511,789,622.81</w:t>
            </w:r>
          </w:p>
        </w:tc>
      </w:tr>
      <w:tr w:rsidR="00CE387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A76EB8" w:rsidRDefault="007C128A" w:rsidP="00175D4F">
            <w:pPr>
              <w:autoSpaceDE w:val="0"/>
              <w:autoSpaceDN w:val="0"/>
              <w:adjustRightInd w:val="0"/>
              <w:spacing w:before="29" w:line="360" w:lineRule="auto"/>
              <w:ind w:left="17"/>
              <w:rPr>
                <w:color w:val="000000" w:themeColor="text1"/>
                <w:kern w:val="0"/>
                <w:sz w:val="24"/>
                <w:szCs w:val="24"/>
              </w:rPr>
            </w:pPr>
            <w:r w:rsidRPr="00A76EB8">
              <w:rPr>
                <w:color w:val="000000" w:themeColor="text1"/>
                <w:kern w:val="0"/>
                <w:sz w:val="24"/>
                <w:szCs w:val="24"/>
              </w:rPr>
              <w:t>报告期基金总申购份额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A76EB8" w:rsidRDefault="007C128A" w:rsidP="00924582">
            <w:pPr>
              <w:autoSpaceDE w:val="0"/>
              <w:autoSpaceDN w:val="0"/>
              <w:adjustRightInd w:val="0"/>
              <w:spacing w:before="29" w:line="360" w:lineRule="auto"/>
              <w:ind w:left="17"/>
              <w:jc w:val="right"/>
              <w:rPr>
                <w:color w:val="000000" w:themeColor="text1"/>
                <w:sz w:val="24"/>
                <w:szCs w:val="24"/>
              </w:rPr>
            </w:pPr>
            <w:r w:rsidRPr="00A76EB8">
              <w:rPr>
                <w:color w:val="000000" w:themeColor="text1"/>
                <w:sz w:val="24"/>
                <w:szCs w:val="24"/>
              </w:rPr>
              <w:t>2.07</w:t>
            </w:r>
          </w:p>
        </w:tc>
      </w:tr>
      <w:tr w:rsidR="00CE387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A76EB8" w:rsidRDefault="007C128A" w:rsidP="00175D4F">
            <w:pPr>
              <w:autoSpaceDE w:val="0"/>
              <w:autoSpaceDN w:val="0"/>
              <w:adjustRightInd w:val="0"/>
              <w:spacing w:before="29" w:line="360" w:lineRule="auto"/>
              <w:ind w:left="17"/>
              <w:rPr>
                <w:color w:val="000000" w:themeColor="text1"/>
                <w:kern w:val="0"/>
                <w:sz w:val="24"/>
                <w:szCs w:val="24"/>
              </w:rPr>
            </w:pPr>
            <w:r w:rsidRPr="00A76EB8">
              <w:rPr>
                <w:color w:val="000000" w:themeColor="text1"/>
                <w:kern w:val="0"/>
                <w:sz w:val="24"/>
                <w:szCs w:val="24"/>
              </w:rPr>
              <w:t>减：</w:t>
            </w:r>
            <w:r w:rsidRPr="00A76EB8">
              <w:rPr>
                <w:color w:val="000000" w:themeColor="text1"/>
                <w:kern w:val="0"/>
                <w:sz w:val="24"/>
                <w:szCs w:val="24"/>
              </w:rPr>
              <w:t>报告期</w:t>
            </w:r>
            <w:r w:rsidRPr="00A76EB8">
              <w:rPr>
                <w:color w:val="000000" w:themeColor="text1"/>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A76EB8" w:rsidRDefault="007C128A" w:rsidP="00924582">
            <w:pPr>
              <w:autoSpaceDE w:val="0"/>
              <w:autoSpaceDN w:val="0"/>
              <w:adjustRightInd w:val="0"/>
              <w:spacing w:before="29" w:line="360" w:lineRule="auto"/>
              <w:ind w:left="17"/>
              <w:jc w:val="right"/>
              <w:rPr>
                <w:color w:val="000000" w:themeColor="text1"/>
                <w:sz w:val="24"/>
                <w:szCs w:val="24"/>
              </w:rPr>
            </w:pPr>
            <w:r w:rsidRPr="00A76EB8">
              <w:rPr>
                <w:color w:val="000000" w:themeColor="text1"/>
                <w:sz w:val="24"/>
                <w:szCs w:val="24"/>
              </w:rPr>
              <w:t>0.00</w:t>
            </w:r>
          </w:p>
        </w:tc>
      </w:tr>
      <w:tr w:rsidR="00CE387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A76EB8" w:rsidRDefault="007C128A" w:rsidP="00175D4F">
            <w:pPr>
              <w:autoSpaceDE w:val="0"/>
              <w:autoSpaceDN w:val="0"/>
              <w:adjustRightInd w:val="0"/>
              <w:spacing w:before="29" w:line="360" w:lineRule="auto"/>
              <w:ind w:left="17"/>
              <w:rPr>
                <w:color w:val="000000" w:themeColor="text1"/>
                <w:kern w:val="0"/>
                <w:sz w:val="24"/>
                <w:szCs w:val="24"/>
              </w:rPr>
            </w:pPr>
            <w:r w:rsidRPr="00A76EB8">
              <w:rPr>
                <w:color w:val="000000" w:themeColor="text1"/>
                <w:kern w:val="0"/>
                <w:sz w:val="24"/>
                <w:szCs w:val="24"/>
              </w:rPr>
              <w:t>报告期基金拆分变动份额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A76EB8" w:rsidRDefault="007C128A" w:rsidP="00924582">
            <w:pPr>
              <w:autoSpaceDE w:val="0"/>
              <w:autoSpaceDN w:val="0"/>
              <w:adjustRightInd w:val="0"/>
              <w:spacing w:before="29" w:line="360" w:lineRule="auto"/>
              <w:ind w:left="17"/>
              <w:jc w:val="right"/>
              <w:rPr>
                <w:color w:val="000000" w:themeColor="text1"/>
                <w:sz w:val="24"/>
                <w:szCs w:val="24"/>
              </w:rPr>
            </w:pPr>
            <w:r w:rsidRPr="00A76EB8">
              <w:rPr>
                <w:color w:val="000000" w:themeColor="text1"/>
                <w:sz w:val="24"/>
                <w:szCs w:val="24"/>
              </w:rPr>
              <w:t>-</w:t>
            </w:r>
          </w:p>
        </w:tc>
      </w:tr>
      <w:tr w:rsidR="00CE387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A76EB8" w:rsidRDefault="007C128A" w:rsidP="00175D4F">
            <w:pPr>
              <w:autoSpaceDE w:val="0"/>
              <w:autoSpaceDN w:val="0"/>
              <w:adjustRightInd w:val="0"/>
              <w:spacing w:before="29" w:line="360" w:lineRule="auto"/>
              <w:ind w:left="17"/>
              <w:rPr>
                <w:color w:val="000000" w:themeColor="text1"/>
                <w:kern w:val="0"/>
                <w:sz w:val="24"/>
                <w:szCs w:val="24"/>
              </w:rPr>
            </w:pPr>
            <w:r w:rsidRPr="00A76EB8">
              <w:rPr>
                <w:color w:val="000000" w:themeColor="text1"/>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A76EB8" w:rsidRDefault="007C128A" w:rsidP="000A2B53">
            <w:pPr>
              <w:autoSpaceDE w:val="0"/>
              <w:autoSpaceDN w:val="0"/>
              <w:adjustRightInd w:val="0"/>
              <w:spacing w:before="29" w:line="360" w:lineRule="auto"/>
              <w:ind w:left="17"/>
              <w:jc w:val="right"/>
              <w:rPr>
                <w:color w:val="000000" w:themeColor="text1"/>
                <w:sz w:val="24"/>
                <w:szCs w:val="24"/>
              </w:rPr>
            </w:pPr>
            <w:r w:rsidRPr="00A76EB8">
              <w:rPr>
                <w:color w:val="000000" w:themeColor="text1"/>
                <w:sz w:val="24"/>
                <w:szCs w:val="24"/>
              </w:rPr>
              <w:t>1,511,789,624.88</w:t>
            </w:r>
          </w:p>
        </w:tc>
      </w:tr>
    </w:tbl>
    <w:p w:rsidR="00EB374A" w:rsidRPr="00A76EB8" w:rsidRDefault="007C128A" w:rsidP="007C128A">
      <w:pPr>
        <w:pStyle w:val="1"/>
        <w:tabs>
          <w:tab w:val="center" w:pos="4156"/>
          <w:tab w:val="right" w:pos="8312"/>
        </w:tabs>
        <w:spacing w:beforeLines="100" w:afterLines="100" w:line="360" w:lineRule="auto"/>
        <w:jc w:val="center"/>
        <w:rPr>
          <w:color w:val="000000" w:themeColor="text1"/>
          <w:sz w:val="24"/>
          <w:szCs w:val="24"/>
        </w:rPr>
      </w:pPr>
      <w:r w:rsidRPr="00A76EB8">
        <w:rPr>
          <w:color w:val="000000" w:themeColor="text1"/>
          <w:kern w:val="0"/>
          <w:sz w:val="24"/>
          <w:szCs w:val="24"/>
        </w:rPr>
        <w:t xml:space="preserve">§7  </w:t>
      </w:r>
      <w:r w:rsidRPr="00A76EB8">
        <w:rPr>
          <w:color w:val="000000" w:themeColor="text1"/>
          <w:sz w:val="24"/>
          <w:szCs w:val="24"/>
        </w:rPr>
        <w:t>基金管理人运用固有资金投资本基金情况</w:t>
      </w:r>
    </w:p>
    <w:p w:rsidR="00EB374A" w:rsidRPr="00A76EB8" w:rsidRDefault="007C128A" w:rsidP="00EB374A">
      <w:pPr>
        <w:spacing w:line="360" w:lineRule="auto"/>
        <w:jc w:val="left"/>
        <w:rPr>
          <w:color w:val="000000" w:themeColor="text1"/>
          <w:sz w:val="24"/>
          <w:szCs w:val="24"/>
        </w:rPr>
      </w:pPr>
      <w:r w:rsidRPr="00A76EB8">
        <w:rPr>
          <w:b/>
          <w:color w:val="000000" w:themeColor="text1"/>
          <w:sz w:val="24"/>
          <w:szCs w:val="24"/>
        </w:rPr>
        <w:t xml:space="preserve">7.1 </w:t>
      </w:r>
      <w:r w:rsidRPr="00A76EB8">
        <w:rPr>
          <w:b/>
          <w:color w:val="000000" w:themeColor="text1"/>
          <w:sz w:val="24"/>
          <w:szCs w:val="24"/>
        </w:rPr>
        <w:t>基金管理人持有本基金份额变动情况</w:t>
      </w:r>
    </w:p>
    <w:p w:rsidR="00D967D3" w:rsidRPr="00A76EB8" w:rsidRDefault="007C128A" w:rsidP="00D967D3">
      <w:pPr>
        <w:autoSpaceDE w:val="0"/>
        <w:autoSpaceDN w:val="0"/>
        <w:adjustRightInd w:val="0"/>
        <w:spacing w:before="29" w:line="360" w:lineRule="auto"/>
        <w:ind w:left="15"/>
        <w:jc w:val="right"/>
        <w:rPr>
          <w:color w:val="000000" w:themeColor="text1"/>
          <w:kern w:val="0"/>
          <w:sz w:val="24"/>
          <w:szCs w:val="24"/>
        </w:rPr>
      </w:pPr>
      <w:r w:rsidRPr="00A76EB8">
        <w:rPr>
          <w:color w:val="000000" w:themeColor="text1"/>
          <w:kern w:val="0"/>
          <w:sz w:val="24"/>
          <w:szCs w:val="24"/>
        </w:rPr>
        <w:t>单位：份</w:t>
      </w:r>
    </w:p>
    <w:tbl>
      <w:tblPr>
        <w:tblW w:w="8415" w:type="dxa"/>
        <w:tblInd w:w="108" w:type="dxa"/>
        <w:tblLayout w:type="fixed"/>
        <w:tblLook w:val="04A0"/>
      </w:tblPr>
      <w:tblGrid>
        <w:gridCol w:w="5037"/>
        <w:gridCol w:w="3378"/>
      </w:tblGrid>
      <w:tr w:rsidR="00CE3872" w:rsidTr="00485D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A76EB8" w:rsidRDefault="007C128A" w:rsidP="00485D20">
            <w:pPr>
              <w:pStyle w:val="ad"/>
              <w:adjustRightInd w:val="0"/>
              <w:snapToGrid w:val="0"/>
              <w:spacing w:line="360" w:lineRule="exact"/>
              <w:rPr>
                <w:color w:val="000000" w:themeColor="text1"/>
                <w:kern w:val="0"/>
              </w:rPr>
            </w:pPr>
            <w:r w:rsidRPr="00A76EB8">
              <w:rPr>
                <w:color w:val="000000" w:themeColor="text1"/>
                <w:kern w:val="0"/>
              </w:rPr>
              <w:t>报告期期初管理人持有的本基金份额</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D967D3" w:rsidRPr="00A76EB8" w:rsidRDefault="007C128A" w:rsidP="00485D20">
            <w:pPr>
              <w:jc w:val="right"/>
              <w:rPr>
                <w:color w:val="000000" w:themeColor="text1"/>
                <w:kern w:val="0"/>
                <w:sz w:val="24"/>
                <w:szCs w:val="24"/>
              </w:rPr>
            </w:pPr>
            <w:r w:rsidRPr="00A76EB8">
              <w:rPr>
                <w:color w:val="000000" w:themeColor="text1"/>
                <w:kern w:val="0"/>
                <w:sz w:val="24"/>
                <w:szCs w:val="24"/>
              </w:rPr>
              <w:t>9,937,388.19</w:t>
            </w:r>
          </w:p>
        </w:tc>
      </w:tr>
      <w:tr w:rsidR="00CE3872" w:rsidTr="00485D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A76EB8" w:rsidRDefault="007C128A" w:rsidP="00485D20">
            <w:pPr>
              <w:adjustRightInd w:val="0"/>
              <w:snapToGrid w:val="0"/>
              <w:spacing w:line="360" w:lineRule="exact"/>
              <w:rPr>
                <w:color w:val="000000" w:themeColor="text1"/>
                <w:kern w:val="0"/>
                <w:sz w:val="24"/>
                <w:szCs w:val="24"/>
              </w:rPr>
            </w:pPr>
            <w:r w:rsidRPr="00A76EB8">
              <w:rPr>
                <w:color w:val="000000" w:themeColor="text1"/>
                <w:kern w:val="0"/>
                <w:sz w:val="24"/>
                <w:szCs w:val="24"/>
              </w:rPr>
              <w:t>报告期期间买入</w:t>
            </w:r>
            <w:r w:rsidRPr="00A76EB8">
              <w:rPr>
                <w:color w:val="000000" w:themeColor="text1"/>
                <w:kern w:val="0"/>
                <w:sz w:val="24"/>
                <w:szCs w:val="24"/>
              </w:rPr>
              <w:t>/</w:t>
            </w:r>
            <w:r w:rsidRPr="00A76EB8">
              <w:rPr>
                <w:color w:val="000000" w:themeColor="text1"/>
                <w:kern w:val="0"/>
                <w:sz w:val="24"/>
                <w:szCs w:val="24"/>
              </w:rPr>
              <w:t>申购总份额</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D967D3" w:rsidRPr="00A76EB8" w:rsidRDefault="007C128A" w:rsidP="00485D20">
            <w:pPr>
              <w:jc w:val="right"/>
              <w:rPr>
                <w:color w:val="000000" w:themeColor="text1"/>
                <w:kern w:val="0"/>
                <w:sz w:val="24"/>
                <w:szCs w:val="24"/>
              </w:rPr>
            </w:pPr>
            <w:r w:rsidRPr="00A76EB8">
              <w:rPr>
                <w:color w:val="000000" w:themeColor="text1"/>
                <w:kern w:val="0"/>
                <w:sz w:val="24"/>
                <w:szCs w:val="24"/>
              </w:rPr>
              <w:t>0.00</w:t>
            </w:r>
          </w:p>
        </w:tc>
      </w:tr>
      <w:tr w:rsidR="00CE3872" w:rsidTr="00485D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A76EB8" w:rsidRDefault="007C128A" w:rsidP="00485D20">
            <w:pPr>
              <w:adjustRightInd w:val="0"/>
              <w:snapToGrid w:val="0"/>
              <w:spacing w:line="360" w:lineRule="exact"/>
              <w:rPr>
                <w:color w:val="000000" w:themeColor="text1"/>
                <w:kern w:val="0"/>
                <w:sz w:val="24"/>
                <w:szCs w:val="24"/>
              </w:rPr>
            </w:pPr>
            <w:r w:rsidRPr="00A76EB8">
              <w:rPr>
                <w:color w:val="000000" w:themeColor="text1"/>
                <w:kern w:val="0"/>
                <w:sz w:val="24"/>
                <w:szCs w:val="24"/>
              </w:rPr>
              <w:t>报告期期间卖出</w:t>
            </w:r>
            <w:r w:rsidRPr="00A76EB8">
              <w:rPr>
                <w:color w:val="000000" w:themeColor="text1"/>
                <w:kern w:val="0"/>
                <w:sz w:val="24"/>
                <w:szCs w:val="24"/>
              </w:rPr>
              <w:t>/</w:t>
            </w:r>
            <w:r w:rsidRPr="00A76EB8">
              <w:rPr>
                <w:color w:val="000000" w:themeColor="text1"/>
                <w:kern w:val="0"/>
                <w:sz w:val="24"/>
                <w:szCs w:val="24"/>
              </w:rPr>
              <w:t>赎回总份额</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D967D3" w:rsidRPr="00A76EB8" w:rsidRDefault="007C128A" w:rsidP="00485D20">
            <w:pPr>
              <w:jc w:val="right"/>
              <w:rPr>
                <w:color w:val="000000" w:themeColor="text1"/>
                <w:kern w:val="0"/>
                <w:sz w:val="24"/>
                <w:szCs w:val="24"/>
              </w:rPr>
            </w:pPr>
            <w:r w:rsidRPr="00A76EB8">
              <w:rPr>
                <w:color w:val="000000" w:themeColor="text1"/>
                <w:kern w:val="0"/>
                <w:sz w:val="24"/>
                <w:szCs w:val="24"/>
              </w:rPr>
              <w:t>0.00</w:t>
            </w:r>
          </w:p>
        </w:tc>
      </w:tr>
      <w:tr w:rsidR="00CE3872" w:rsidTr="00485D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A76EB8" w:rsidRDefault="007C128A" w:rsidP="00485D20">
            <w:pPr>
              <w:adjustRightInd w:val="0"/>
              <w:snapToGrid w:val="0"/>
              <w:spacing w:line="360" w:lineRule="exact"/>
              <w:rPr>
                <w:color w:val="000000" w:themeColor="text1"/>
                <w:kern w:val="0"/>
                <w:sz w:val="24"/>
                <w:szCs w:val="24"/>
              </w:rPr>
            </w:pPr>
            <w:r w:rsidRPr="00A76EB8">
              <w:rPr>
                <w:color w:val="000000" w:themeColor="text1"/>
                <w:kern w:val="0"/>
                <w:sz w:val="24"/>
                <w:szCs w:val="24"/>
              </w:rPr>
              <w:t>报告期期末管理人持有的本基金份额</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D967D3" w:rsidRPr="00A76EB8" w:rsidRDefault="007C128A" w:rsidP="00485D20">
            <w:pPr>
              <w:jc w:val="right"/>
              <w:rPr>
                <w:color w:val="000000" w:themeColor="text1"/>
                <w:kern w:val="0"/>
                <w:sz w:val="24"/>
                <w:szCs w:val="24"/>
              </w:rPr>
            </w:pPr>
            <w:r w:rsidRPr="00A76EB8">
              <w:rPr>
                <w:color w:val="000000" w:themeColor="text1"/>
                <w:kern w:val="0"/>
                <w:sz w:val="24"/>
                <w:szCs w:val="24"/>
              </w:rPr>
              <w:t>9,937,388.19</w:t>
            </w:r>
          </w:p>
        </w:tc>
      </w:tr>
      <w:tr w:rsidR="00CE3872" w:rsidTr="00485D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A76EB8" w:rsidRDefault="007C128A" w:rsidP="00485D20">
            <w:pPr>
              <w:adjustRightInd w:val="0"/>
              <w:snapToGrid w:val="0"/>
              <w:spacing w:line="360" w:lineRule="exact"/>
              <w:rPr>
                <w:color w:val="000000" w:themeColor="text1"/>
                <w:kern w:val="0"/>
                <w:sz w:val="24"/>
                <w:szCs w:val="24"/>
              </w:rPr>
            </w:pPr>
            <w:r w:rsidRPr="00A76EB8">
              <w:rPr>
                <w:color w:val="000000" w:themeColor="text1"/>
                <w:kern w:val="0"/>
                <w:sz w:val="24"/>
                <w:szCs w:val="24"/>
              </w:rPr>
              <w:t>报告期期末持有的本基金份额占基金总份额比例（</w:t>
            </w:r>
            <w:r w:rsidRPr="00A76EB8">
              <w:rPr>
                <w:color w:val="000000" w:themeColor="text1"/>
                <w:kern w:val="0"/>
                <w:sz w:val="24"/>
                <w:szCs w:val="24"/>
              </w:rPr>
              <w:t>%</w:t>
            </w:r>
            <w:r w:rsidRPr="00A76EB8">
              <w:rPr>
                <w:color w:val="000000" w:themeColor="text1"/>
                <w:kern w:val="0"/>
                <w:sz w:val="24"/>
                <w:szCs w:val="24"/>
              </w:rPr>
              <w:t>）</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D967D3" w:rsidRPr="00A76EB8" w:rsidRDefault="007C128A" w:rsidP="00485D20">
            <w:pPr>
              <w:jc w:val="right"/>
              <w:rPr>
                <w:color w:val="000000" w:themeColor="text1"/>
                <w:kern w:val="0"/>
                <w:sz w:val="24"/>
                <w:szCs w:val="24"/>
              </w:rPr>
            </w:pPr>
            <w:r w:rsidRPr="00A76EB8">
              <w:rPr>
                <w:color w:val="000000" w:themeColor="text1"/>
                <w:kern w:val="0"/>
                <w:sz w:val="24"/>
                <w:szCs w:val="24"/>
              </w:rPr>
              <w:t>0.66</w:t>
            </w:r>
          </w:p>
        </w:tc>
      </w:tr>
    </w:tbl>
    <w:p w:rsidR="00EB374A" w:rsidRPr="00A76EB8" w:rsidRDefault="007C128A" w:rsidP="00EB374A">
      <w:pPr>
        <w:autoSpaceDE w:val="0"/>
        <w:autoSpaceDN w:val="0"/>
        <w:adjustRightInd w:val="0"/>
        <w:spacing w:line="360" w:lineRule="auto"/>
        <w:jc w:val="left"/>
        <w:rPr>
          <w:color w:val="000000" w:themeColor="text1"/>
          <w:kern w:val="0"/>
          <w:sz w:val="24"/>
          <w:szCs w:val="24"/>
        </w:rPr>
      </w:pPr>
    </w:p>
    <w:p w:rsidR="00EB374A" w:rsidRPr="00A76EB8" w:rsidRDefault="007C128A" w:rsidP="00EB374A">
      <w:pPr>
        <w:spacing w:line="360" w:lineRule="auto"/>
        <w:jc w:val="left"/>
        <w:rPr>
          <w:color w:val="000000" w:themeColor="text1"/>
          <w:sz w:val="24"/>
          <w:szCs w:val="24"/>
        </w:rPr>
      </w:pPr>
      <w:r w:rsidRPr="00A76EB8">
        <w:rPr>
          <w:b/>
          <w:color w:val="000000" w:themeColor="text1"/>
          <w:sz w:val="24"/>
          <w:szCs w:val="24"/>
        </w:rPr>
        <w:t xml:space="preserve">7.2 </w:t>
      </w:r>
      <w:r w:rsidRPr="00A76EB8">
        <w:rPr>
          <w:b/>
          <w:color w:val="000000" w:themeColor="text1"/>
          <w:sz w:val="24"/>
          <w:szCs w:val="24"/>
        </w:rPr>
        <w:t>基金管理人运用固有资金投资本基金交易明细</w:t>
      </w:r>
    </w:p>
    <w:p w:rsidR="00EB374A" w:rsidRPr="00A76EB8" w:rsidRDefault="007C128A" w:rsidP="00EB374A">
      <w:pPr>
        <w:autoSpaceDE w:val="0"/>
        <w:autoSpaceDN w:val="0"/>
        <w:adjustRightInd w:val="0"/>
        <w:spacing w:line="360" w:lineRule="auto"/>
        <w:jc w:val="left"/>
        <w:rPr>
          <w:color w:val="000000" w:themeColor="text1"/>
          <w:sz w:val="24"/>
          <w:szCs w:val="24"/>
        </w:rPr>
      </w:pPr>
      <w:r w:rsidRPr="00A76EB8">
        <w:rPr>
          <w:color w:val="000000" w:themeColor="text1"/>
          <w:sz w:val="24"/>
          <w:szCs w:val="24"/>
        </w:rPr>
        <w:t>无。</w:t>
      </w:r>
    </w:p>
    <w:p w:rsidR="00D21FFF" w:rsidRPr="00A76EB8" w:rsidRDefault="007C128A" w:rsidP="007C128A">
      <w:pPr>
        <w:pStyle w:val="1"/>
        <w:spacing w:beforeLines="100" w:afterLines="100" w:line="360" w:lineRule="auto"/>
        <w:jc w:val="center"/>
        <w:rPr>
          <w:color w:val="000000" w:themeColor="text1"/>
          <w:kern w:val="0"/>
          <w:sz w:val="24"/>
          <w:szCs w:val="24"/>
        </w:rPr>
      </w:pPr>
      <w:r w:rsidRPr="00A76EB8">
        <w:rPr>
          <w:color w:val="000000" w:themeColor="text1"/>
          <w:kern w:val="0"/>
          <w:sz w:val="24"/>
          <w:szCs w:val="24"/>
        </w:rPr>
        <w:t>§</w:t>
      </w:r>
      <w:r w:rsidRPr="00A76EB8">
        <w:rPr>
          <w:color w:val="000000" w:themeColor="text1"/>
          <w:kern w:val="0"/>
          <w:sz w:val="24"/>
          <w:szCs w:val="24"/>
        </w:rPr>
        <w:t>8</w:t>
      </w:r>
      <w:r w:rsidRPr="00A76EB8">
        <w:rPr>
          <w:color w:val="000000" w:themeColor="text1"/>
          <w:kern w:val="0"/>
          <w:sz w:val="24"/>
          <w:szCs w:val="24"/>
        </w:rPr>
        <w:t>报告期末</w:t>
      </w:r>
      <w:r w:rsidRPr="00A76EB8">
        <w:rPr>
          <w:color w:val="000000" w:themeColor="text1"/>
          <w:kern w:val="0"/>
          <w:sz w:val="24"/>
          <w:szCs w:val="24"/>
        </w:rPr>
        <w:t>发起式基金发起资金持有份额情况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1"/>
        <w:gridCol w:w="1157"/>
        <w:gridCol w:w="1314"/>
        <w:gridCol w:w="1065"/>
        <w:gridCol w:w="1458"/>
        <w:gridCol w:w="1495"/>
      </w:tblGrid>
      <w:tr w:rsidR="00CE3872" w:rsidTr="00296604">
        <w:trPr>
          <w:trHeight w:val="543"/>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widowControl/>
              <w:jc w:val="center"/>
              <w:rPr>
                <w:color w:val="000000" w:themeColor="text1"/>
                <w:sz w:val="24"/>
                <w:szCs w:val="24"/>
              </w:rPr>
            </w:pPr>
            <w:r w:rsidRPr="00A76EB8">
              <w:rPr>
                <w:color w:val="000000" w:themeColor="text1"/>
                <w:sz w:val="24"/>
                <w:szCs w:val="24"/>
              </w:rPr>
              <w:t>项目</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center"/>
              <w:rPr>
                <w:color w:val="000000" w:themeColor="text1"/>
                <w:sz w:val="24"/>
                <w:szCs w:val="24"/>
              </w:rPr>
            </w:pPr>
            <w:r w:rsidRPr="00A76EB8">
              <w:rPr>
                <w:color w:val="000000" w:themeColor="text1"/>
                <w:sz w:val="24"/>
                <w:szCs w:val="24"/>
              </w:rPr>
              <w:t>持有份额总数</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center"/>
              <w:rPr>
                <w:color w:val="000000" w:themeColor="text1"/>
                <w:sz w:val="24"/>
                <w:szCs w:val="24"/>
              </w:rPr>
            </w:pPr>
            <w:r w:rsidRPr="00A76EB8">
              <w:rPr>
                <w:color w:val="000000" w:themeColor="text1"/>
                <w:sz w:val="24"/>
                <w:szCs w:val="24"/>
              </w:rPr>
              <w:t>持有份额占基金总份额比例</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center"/>
              <w:rPr>
                <w:color w:val="000000" w:themeColor="text1"/>
                <w:sz w:val="24"/>
                <w:szCs w:val="24"/>
              </w:rPr>
            </w:pPr>
            <w:r w:rsidRPr="00A76EB8">
              <w:rPr>
                <w:color w:val="000000" w:themeColor="text1"/>
                <w:sz w:val="24"/>
                <w:szCs w:val="24"/>
              </w:rPr>
              <w:t>发起份额总数</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center"/>
              <w:rPr>
                <w:color w:val="000000" w:themeColor="text1"/>
                <w:sz w:val="24"/>
                <w:szCs w:val="24"/>
              </w:rPr>
            </w:pPr>
            <w:r w:rsidRPr="00A76EB8">
              <w:rPr>
                <w:color w:val="000000" w:themeColor="text1"/>
                <w:sz w:val="24"/>
                <w:szCs w:val="24"/>
              </w:rPr>
              <w:t>发起份额占基金总份额比例</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widowControl/>
              <w:jc w:val="center"/>
              <w:rPr>
                <w:color w:val="000000" w:themeColor="text1"/>
                <w:sz w:val="24"/>
                <w:szCs w:val="24"/>
              </w:rPr>
            </w:pPr>
            <w:r w:rsidRPr="00A76EB8">
              <w:rPr>
                <w:color w:val="000000" w:themeColor="text1"/>
                <w:sz w:val="24"/>
                <w:szCs w:val="24"/>
              </w:rPr>
              <w:t>发起份额承诺持有期限</w:t>
            </w:r>
          </w:p>
        </w:tc>
      </w:tr>
      <w:tr w:rsidR="00CE3872" w:rsidTr="00296604">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rPr>
                <w:color w:val="000000" w:themeColor="text1"/>
                <w:sz w:val="24"/>
                <w:szCs w:val="24"/>
              </w:rPr>
            </w:pPr>
            <w:r w:rsidRPr="00A76EB8">
              <w:rPr>
                <w:color w:val="000000" w:themeColor="text1"/>
                <w:sz w:val="24"/>
                <w:szCs w:val="24"/>
              </w:rPr>
              <w:t>基金管理人固有资金</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9,937,388.19</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0.66%</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9,937,388.19</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0.66%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不少于</w:t>
            </w:r>
            <w:r w:rsidRPr="00A76EB8">
              <w:rPr>
                <w:color w:val="000000" w:themeColor="text1"/>
                <w:kern w:val="0"/>
                <w:sz w:val="24"/>
                <w:szCs w:val="24"/>
              </w:rPr>
              <w:t>3</w:t>
            </w:r>
            <w:r w:rsidRPr="00A76EB8">
              <w:rPr>
                <w:color w:val="000000" w:themeColor="text1"/>
                <w:kern w:val="0"/>
                <w:sz w:val="24"/>
                <w:szCs w:val="24"/>
              </w:rPr>
              <w:t>年</w:t>
            </w:r>
          </w:p>
        </w:tc>
      </w:tr>
      <w:tr w:rsidR="00CE3872" w:rsidTr="00296604">
        <w:trPr>
          <w:trHeight w:val="790"/>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rPr>
                <w:color w:val="000000" w:themeColor="text1"/>
                <w:sz w:val="24"/>
                <w:szCs w:val="24"/>
              </w:rPr>
            </w:pPr>
            <w:r w:rsidRPr="00A76EB8">
              <w:rPr>
                <w:color w:val="000000" w:themeColor="text1"/>
                <w:sz w:val="24"/>
                <w:szCs w:val="24"/>
              </w:rPr>
              <w:t>基金管理人高级管理人员</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r>
      <w:tr w:rsidR="00CE3872" w:rsidTr="00296604">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rPr>
                <w:color w:val="000000" w:themeColor="text1"/>
                <w:sz w:val="24"/>
                <w:szCs w:val="24"/>
              </w:rPr>
            </w:pPr>
            <w:r w:rsidRPr="00A76EB8">
              <w:rPr>
                <w:color w:val="000000" w:themeColor="text1"/>
                <w:sz w:val="24"/>
                <w:szCs w:val="24"/>
              </w:rPr>
              <w:t>基金经理等人员</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r>
      <w:tr w:rsidR="00CE3872" w:rsidTr="00296604">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rPr>
                <w:color w:val="000000" w:themeColor="text1"/>
                <w:sz w:val="24"/>
                <w:szCs w:val="24"/>
              </w:rPr>
            </w:pPr>
            <w:r w:rsidRPr="00A76EB8">
              <w:rPr>
                <w:color w:val="000000" w:themeColor="text1"/>
                <w:sz w:val="24"/>
                <w:szCs w:val="24"/>
              </w:rPr>
              <w:t>基金管理人股东</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r>
      <w:tr w:rsidR="00CE3872" w:rsidTr="00296604">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rPr>
                <w:color w:val="000000" w:themeColor="text1"/>
                <w:sz w:val="24"/>
                <w:szCs w:val="24"/>
              </w:rPr>
            </w:pPr>
            <w:r w:rsidRPr="00A76EB8">
              <w:rPr>
                <w:color w:val="000000" w:themeColor="text1"/>
                <w:sz w:val="24"/>
                <w:szCs w:val="24"/>
              </w:rPr>
              <w:t>其他</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w:t>
            </w:r>
          </w:p>
        </w:tc>
      </w:tr>
      <w:tr w:rsidR="00CE3872" w:rsidTr="00296604">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rPr>
                <w:color w:val="000000" w:themeColor="text1"/>
                <w:sz w:val="24"/>
                <w:szCs w:val="24"/>
              </w:rPr>
            </w:pPr>
            <w:r w:rsidRPr="00A76EB8">
              <w:rPr>
                <w:color w:val="000000" w:themeColor="text1"/>
                <w:sz w:val="24"/>
                <w:szCs w:val="24"/>
              </w:rPr>
              <w:t>合计</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9,937,388.19</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0.66%</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9,937,388.19</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0.66%</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A76EB8" w:rsidRDefault="007C128A" w:rsidP="00296604">
            <w:pPr>
              <w:adjustRightInd w:val="0"/>
              <w:snapToGrid w:val="0"/>
              <w:spacing w:line="360" w:lineRule="exact"/>
              <w:jc w:val="right"/>
              <w:rPr>
                <w:color w:val="000000" w:themeColor="text1"/>
                <w:kern w:val="0"/>
                <w:sz w:val="24"/>
                <w:szCs w:val="24"/>
              </w:rPr>
            </w:pPr>
            <w:r w:rsidRPr="00A76EB8">
              <w:rPr>
                <w:color w:val="000000" w:themeColor="text1"/>
                <w:kern w:val="0"/>
                <w:sz w:val="24"/>
                <w:szCs w:val="24"/>
              </w:rPr>
              <w:t>不少于</w:t>
            </w:r>
            <w:r w:rsidRPr="00A76EB8">
              <w:rPr>
                <w:color w:val="000000" w:themeColor="text1"/>
                <w:kern w:val="0"/>
                <w:sz w:val="24"/>
                <w:szCs w:val="24"/>
              </w:rPr>
              <w:t>3</w:t>
            </w:r>
            <w:r w:rsidRPr="00A76EB8">
              <w:rPr>
                <w:color w:val="000000" w:themeColor="text1"/>
                <w:kern w:val="0"/>
                <w:sz w:val="24"/>
                <w:szCs w:val="24"/>
              </w:rPr>
              <w:t>年</w:t>
            </w:r>
          </w:p>
        </w:tc>
      </w:tr>
    </w:tbl>
    <w:p w:rsidR="00D21FFF" w:rsidRPr="00A76EB8" w:rsidRDefault="007C128A" w:rsidP="00C5642F">
      <w:pPr>
        <w:autoSpaceDE w:val="0"/>
        <w:autoSpaceDN w:val="0"/>
        <w:adjustRightInd w:val="0"/>
        <w:spacing w:line="360" w:lineRule="auto"/>
        <w:jc w:val="left"/>
        <w:rPr>
          <w:color w:val="000000" w:themeColor="text1"/>
          <w:sz w:val="24"/>
          <w:szCs w:val="24"/>
        </w:rPr>
      </w:pPr>
      <w:r w:rsidRPr="00A76EB8">
        <w:rPr>
          <w:color w:val="000000" w:themeColor="text1"/>
          <w:sz w:val="24"/>
          <w:szCs w:val="24"/>
        </w:rPr>
        <w:t>注：发起份额占基金总份额比例中的</w:t>
      </w:r>
      <w:r w:rsidRPr="00A76EB8">
        <w:rPr>
          <w:color w:val="000000" w:themeColor="text1"/>
          <w:sz w:val="24"/>
          <w:szCs w:val="24"/>
        </w:rPr>
        <w:t>“</w:t>
      </w:r>
      <w:r w:rsidRPr="00A76EB8">
        <w:rPr>
          <w:color w:val="000000" w:themeColor="text1"/>
          <w:sz w:val="24"/>
          <w:szCs w:val="24"/>
        </w:rPr>
        <w:t>基金总份额</w:t>
      </w:r>
      <w:r w:rsidRPr="00A76EB8">
        <w:rPr>
          <w:color w:val="000000" w:themeColor="text1"/>
          <w:sz w:val="24"/>
          <w:szCs w:val="24"/>
        </w:rPr>
        <w:t>”</w:t>
      </w:r>
      <w:r w:rsidRPr="00A76EB8">
        <w:rPr>
          <w:color w:val="000000" w:themeColor="text1"/>
          <w:sz w:val="24"/>
          <w:szCs w:val="24"/>
        </w:rPr>
        <w:t>为本基金申购确认日的总份额。</w:t>
      </w:r>
    </w:p>
    <w:p w:rsidR="00281482" w:rsidRPr="00A76EB8" w:rsidRDefault="007C128A" w:rsidP="007C128A">
      <w:pPr>
        <w:pStyle w:val="1"/>
        <w:spacing w:beforeLines="100" w:afterLines="100" w:line="360" w:lineRule="auto"/>
        <w:jc w:val="center"/>
        <w:rPr>
          <w:color w:val="000000" w:themeColor="text1"/>
          <w:kern w:val="0"/>
          <w:sz w:val="24"/>
          <w:szCs w:val="24"/>
        </w:rPr>
      </w:pPr>
      <w:r w:rsidRPr="00A76EB8">
        <w:rPr>
          <w:color w:val="000000" w:themeColor="text1"/>
          <w:kern w:val="0"/>
          <w:sz w:val="24"/>
          <w:szCs w:val="24"/>
        </w:rPr>
        <w:t xml:space="preserve">§9 </w:t>
      </w:r>
      <w:r w:rsidRPr="00A76EB8">
        <w:rPr>
          <w:color w:val="000000" w:themeColor="text1"/>
          <w:kern w:val="0"/>
          <w:sz w:val="24"/>
          <w:szCs w:val="24"/>
        </w:rPr>
        <w:t>影响投资者决策的其他重要信息</w:t>
      </w:r>
    </w:p>
    <w:p w:rsidR="009C3362" w:rsidRPr="007725A4" w:rsidRDefault="007C128A" w:rsidP="009C3362">
      <w:pPr>
        <w:autoSpaceDE w:val="0"/>
        <w:autoSpaceDN w:val="0"/>
        <w:adjustRightInd w:val="0"/>
        <w:spacing w:line="360" w:lineRule="auto"/>
        <w:jc w:val="left"/>
        <w:rPr>
          <w:b/>
          <w:color w:val="000000" w:themeColor="text1"/>
          <w:kern w:val="0"/>
          <w:sz w:val="24"/>
        </w:rPr>
      </w:pPr>
      <w:r w:rsidRPr="007725A4">
        <w:rPr>
          <w:b/>
          <w:color w:val="000000" w:themeColor="text1"/>
          <w:kern w:val="0"/>
          <w:sz w:val="24"/>
        </w:rPr>
        <w:t xml:space="preserve">9.1 </w:t>
      </w:r>
      <w:r w:rsidRPr="007725A4">
        <w:rPr>
          <w:b/>
          <w:color w:val="000000" w:themeColor="text1"/>
          <w:kern w:val="0"/>
          <w:sz w:val="24"/>
        </w:rPr>
        <w:t>报告期内单一投资者持有基金份额比例达到或超过</w:t>
      </w:r>
      <w:r w:rsidRPr="007725A4">
        <w:rPr>
          <w:b/>
          <w:color w:val="000000" w:themeColor="text1"/>
          <w:kern w:val="0"/>
          <w:sz w:val="24"/>
        </w:rPr>
        <w:t>20%</w:t>
      </w:r>
      <w:r w:rsidRPr="007725A4">
        <w:rPr>
          <w:b/>
          <w:color w:val="000000" w:themeColor="text1"/>
          <w:kern w:val="0"/>
          <w:sz w:val="24"/>
        </w:rPr>
        <w:t>的情况</w:t>
      </w:r>
    </w:p>
    <w:tbl>
      <w:tblPr>
        <w:tblStyle w:val="af7"/>
        <w:tblW w:w="9640" w:type="dxa"/>
        <w:jc w:val="center"/>
        <w:tblLayout w:type="fixed"/>
        <w:tblLook w:val="04A0"/>
      </w:tblPr>
      <w:tblGrid>
        <w:gridCol w:w="709"/>
        <w:gridCol w:w="709"/>
        <w:gridCol w:w="2126"/>
        <w:gridCol w:w="1276"/>
        <w:gridCol w:w="1276"/>
        <w:gridCol w:w="1276"/>
        <w:gridCol w:w="1417"/>
        <w:gridCol w:w="851"/>
      </w:tblGrid>
      <w:tr w:rsidR="00CE3872" w:rsidTr="00704F83">
        <w:trPr>
          <w:jc w:val="center"/>
        </w:trPr>
        <w:tc>
          <w:tcPr>
            <w:tcW w:w="709" w:type="dxa"/>
            <w:vMerge w:val="restart"/>
            <w:vAlign w:val="center"/>
          </w:tcPr>
          <w:p w:rsidR="009C3362" w:rsidRPr="00FC0759" w:rsidRDefault="007C128A" w:rsidP="00704F83">
            <w:pPr>
              <w:autoSpaceDE w:val="0"/>
              <w:autoSpaceDN w:val="0"/>
              <w:adjustRightInd w:val="0"/>
              <w:jc w:val="center"/>
              <w:rPr>
                <w:rFonts w:eastAsiaTheme="minorEastAsia"/>
                <w:b/>
                <w:bCs/>
                <w:color w:val="000000" w:themeColor="text1"/>
                <w:sz w:val="24"/>
              </w:rPr>
            </w:pPr>
            <w:r w:rsidRPr="00FC0759">
              <w:rPr>
                <w:color w:val="000000"/>
                <w:sz w:val="24"/>
              </w:rPr>
              <w:t>投资者类别</w:t>
            </w:r>
          </w:p>
        </w:tc>
        <w:tc>
          <w:tcPr>
            <w:tcW w:w="6663" w:type="dxa"/>
            <w:gridSpan w:val="5"/>
            <w:vAlign w:val="center"/>
          </w:tcPr>
          <w:p w:rsidR="009C3362" w:rsidRPr="00FC0759" w:rsidRDefault="007C128A" w:rsidP="00704F83">
            <w:pPr>
              <w:autoSpaceDE w:val="0"/>
              <w:autoSpaceDN w:val="0"/>
              <w:adjustRightInd w:val="0"/>
              <w:ind w:firstLine="1126"/>
              <w:jc w:val="center"/>
              <w:rPr>
                <w:rFonts w:eastAsiaTheme="minorEastAsia"/>
                <w:b/>
                <w:bCs/>
                <w:color w:val="000000" w:themeColor="text1"/>
                <w:sz w:val="24"/>
              </w:rPr>
            </w:pPr>
            <w:r w:rsidRPr="00FC0759">
              <w:rPr>
                <w:color w:val="000000"/>
                <w:sz w:val="24"/>
              </w:rPr>
              <w:t>报告期内持有基金份额变化情况</w:t>
            </w:r>
          </w:p>
        </w:tc>
        <w:tc>
          <w:tcPr>
            <w:tcW w:w="2268" w:type="dxa"/>
            <w:gridSpan w:val="2"/>
            <w:vAlign w:val="center"/>
          </w:tcPr>
          <w:p w:rsidR="009C3362" w:rsidRPr="00FC0759" w:rsidRDefault="007C128A" w:rsidP="00704F83">
            <w:pPr>
              <w:autoSpaceDE w:val="0"/>
              <w:autoSpaceDN w:val="0"/>
              <w:adjustRightInd w:val="0"/>
              <w:jc w:val="center"/>
              <w:rPr>
                <w:rFonts w:eastAsiaTheme="minorEastAsia"/>
                <w:b/>
                <w:bCs/>
                <w:color w:val="000000" w:themeColor="text1"/>
                <w:sz w:val="24"/>
              </w:rPr>
            </w:pPr>
            <w:r w:rsidRPr="00FC0759">
              <w:rPr>
                <w:color w:val="000000"/>
                <w:sz w:val="24"/>
              </w:rPr>
              <w:t>报告期末持有基金情况</w:t>
            </w:r>
          </w:p>
        </w:tc>
      </w:tr>
      <w:tr w:rsidR="00CE3872" w:rsidTr="00704F83">
        <w:trPr>
          <w:jc w:val="center"/>
        </w:trPr>
        <w:tc>
          <w:tcPr>
            <w:tcW w:w="709" w:type="dxa"/>
            <w:vMerge/>
            <w:vAlign w:val="center"/>
          </w:tcPr>
          <w:p w:rsidR="009C3362" w:rsidRPr="00FC0759" w:rsidRDefault="007C128A" w:rsidP="00704F83">
            <w:pPr>
              <w:autoSpaceDE w:val="0"/>
              <w:autoSpaceDN w:val="0"/>
              <w:adjustRightInd w:val="0"/>
              <w:ind w:firstLine="1234"/>
              <w:jc w:val="center"/>
              <w:rPr>
                <w:rFonts w:eastAsiaTheme="minorEastAsia"/>
                <w:b/>
                <w:bCs/>
                <w:color w:val="000000" w:themeColor="text1"/>
                <w:sz w:val="24"/>
              </w:rPr>
            </w:pPr>
          </w:p>
        </w:tc>
        <w:tc>
          <w:tcPr>
            <w:tcW w:w="709" w:type="dxa"/>
            <w:vAlign w:val="center"/>
          </w:tcPr>
          <w:p w:rsidR="009C3362" w:rsidRPr="00FC0759" w:rsidRDefault="007C128A" w:rsidP="00704F83">
            <w:pPr>
              <w:autoSpaceDE w:val="0"/>
              <w:autoSpaceDN w:val="0"/>
              <w:adjustRightInd w:val="0"/>
              <w:jc w:val="center"/>
              <w:rPr>
                <w:rFonts w:eastAsiaTheme="minorEastAsia"/>
                <w:b/>
                <w:bCs/>
                <w:color w:val="000000" w:themeColor="text1"/>
                <w:sz w:val="24"/>
              </w:rPr>
            </w:pPr>
            <w:r w:rsidRPr="00FC0759">
              <w:rPr>
                <w:color w:val="000000"/>
                <w:sz w:val="24"/>
              </w:rPr>
              <w:t>序号</w:t>
            </w:r>
          </w:p>
        </w:tc>
        <w:tc>
          <w:tcPr>
            <w:tcW w:w="2126" w:type="dxa"/>
            <w:vAlign w:val="center"/>
          </w:tcPr>
          <w:p w:rsidR="009C3362" w:rsidRPr="00FC0759" w:rsidRDefault="007C128A" w:rsidP="00704F83">
            <w:pPr>
              <w:autoSpaceDE w:val="0"/>
              <w:autoSpaceDN w:val="0"/>
              <w:adjustRightInd w:val="0"/>
              <w:jc w:val="center"/>
              <w:rPr>
                <w:rFonts w:eastAsiaTheme="minorEastAsia"/>
                <w:b/>
                <w:bCs/>
                <w:color w:val="000000" w:themeColor="text1"/>
                <w:sz w:val="24"/>
              </w:rPr>
            </w:pPr>
            <w:r w:rsidRPr="00FC0759">
              <w:rPr>
                <w:color w:val="000000"/>
                <w:sz w:val="24"/>
              </w:rPr>
              <w:t>持有基金份额比例达到或者超过</w:t>
            </w:r>
            <w:r w:rsidRPr="00FC0759">
              <w:rPr>
                <w:color w:val="000000"/>
                <w:sz w:val="24"/>
              </w:rPr>
              <w:t>20%</w:t>
            </w:r>
            <w:r w:rsidRPr="00FC0759">
              <w:rPr>
                <w:color w:val="000000"/>
                <w:sz w:val="24"/>
              </w:rPr>
              <w:t>的时间区间</w:t>
            </w:r>
          </w:p>
        </w:tc>
        <w:tc>
          <w:tcPr>
            <w:tcW w:w="1276" w:type="dxa"/>
            <w:vAlign w:val="center"/>
          </w:tcPr>
          <w:p w:rsidR="009C3362" w:rsidRPr="00FC0759" w:rsidRDefault="007C128A" w:rsidP="00704F83">
            <w:pPr>
              <w:widowControl/>
              <w:rPr>
                <w:rFonts w:eastAsiaTheme="minorEastAsia"/>
                <w:b/>
                <w:bCs/>
                <w:color w:val="000000" w:themeColor="text1"/>
                <w:sz w:val="24"/>
              </w:rPr>
            </w:pPr>
            <w:r w:rsidRPr="00FC0759">
              <w:rPr>
                <w:color w:val="000000"/>
                <w:sz w:val="24"/>
              </w:rPr>
              <w:t>期初份额</w:t>
            </w:r>
          </w:p>
        </w:tc>
        <w:tc>
          <w:tcPr>
            <w:tcW w:w="1276" w:type="dxa"/>
            <w:vAlign w:val="center"/>
          </w:tcPr>
          <w:p w:rsidR="009C3362" w:rsidRPr="00FC0759" w:rsidRDefault="007C128A" w:rsidP="00704F83">
            <w:pPr>
              <w:widowControl/>
              <w:rPr>
                <w:rFonts w:eastAsiaTheme="minorEastAsia"/>
                <w:b/>
                <w:bCs/>
                <w:color w:val="000000" w:themeColor="text1"/>
                <w:sz w:val="24"/>
              </w:rPr>
            </w:pPr>
            <w:r w:rsidRPr="00FC0759">
              <w:rPr>
                <w:color w:val="000000"/>
                <w:sz w:val="24"/>
              </w:rPr>
              <w:t>申购份额</w:t>
            </w:r>
          </w:p>
        </w:tc>
        <w:tc>
          <w:tcPr>
            <w:tcW w:w="1276" w:type="dxa"/>
            <w:vAlign w:val="center"/>
          </w:tcPr>
          <w:p w:rsidR="009C3362" w:rsidRPr="00FC0759" w:rsidRDefault="007C128A" w:rsidP="00704F83">
            <w:pPr>
              <w:widowControl/>
              <w:rPr>
                <w:rFonts w:eastAsiaTheme="minorEastAsia"/>
                <w:b/>
                <w:bCs/>
                <w:color w:val="000000" w:themeColor="text1"/>
                <w:sz w:val="24"/>
              </w:rPr>
            </w:pPr>
            <w:r w:rsidRPr="00FC0759">
              <w:rPr>
                <w:color w:val="000000"/>
                <w:sz w:val="24"/>
              </w:rPr>
              <w:t>赎回份额</w:t>
            </w:r>
          </w:p>
        </w:tc>
        <w:tc>
          <w:tcPr>
            <w:tcW w:w="1417" w:type="dxa"/>
            <w:vAlign w:val="center"/>
          </w:tcPr>
          <w:p w:rsidR="009C3362" w:rsidRPr="00FC0759" w:rsidRDefault="007C128A" w:rsidP="00704F83">
            <w:pPr>
              <w:autoSpaceDE w:val="0"/>
              <w:autoSpaceDN w:val="0"/>
              <w:adjustRightInd w:val="0"/>
              <w:jc w:val="center"/>
              <w:rPr>
                <w:rFonts w:eastAsiaTheme="minorEastAsia"/>
                <w:b/>
                <w:bCs/>
                <w:color w:val="000000" w:themeColor="text1"/>
                <w:sz w:val="24"/>
              </w:rPr>
            </w:pPr>
            <w:r w:rsidRPr="00FC0759">
              <w:rPr>
                <w:color w:val="000000"/>
                <w:sz w:val="24"/>
              </w:rPr>
              <w:t>持有份额</w:t>
            </w:r>
          </w:p>
        </w:tc>
        <w:tc>
          <w:tcPr>
            <w:tcW w:w="851" w:type="dxa"/>
            <w:vAlign w:val="center"/>
          </w:tcPr>
          <w:p w:rsidR="009C3362" w:rsidRPr="00FC0759" w:rsidRDefault="007C128A" w:rsidP="00704F83">
            <w:pPr>
              <w:autoSpaceDE w:val="0"/>
              <w:autoSpaceDN w:val="0"/>
              <w:adjustRightInd w:val="0"/>
              <w:jc w:val="center"/>
              <w:rPr>
                <w:rFonts w:eastAsiaTheme="minorEastAsia"/>
                <w:b/>
                <w:bCs/>
                <w:color w:val="000000" w:themeColor="text1"/>
                <w:sz w:val="24"/>
              </w:rPr>
            </w:pPr>
            <w:r w:rsidRPr="00FC0759">
              <w:rPr>
                <w:color w:val="000000"/>
                <w:sz w:val="24"/>
              </w:rPr>
              <w:t>份额占比</w:t>
            </w:r>
          </w:p>
        </w:tc>
      </w:tr>
      <w:tr w:rsidR="00CE3872">
        <w:trPr>
          <w:jc w:val="center"/>
        </w:trPr>
        <w:tc>
          <w:tcPr>
            <w:tcW w:w="709" w:type="dxa"/>
            <w:vAlign w:val="center"/>
          </w:tcPr>
          <w:p w:rsidR="00CE3872" w:rsidRDefault="007C128A">
            <w:r>
              <w:rPr>
                <w:rFonts w:eastAsiaTheme="minorEastAsia"/>
                <w:bCs/>
                <w:color w:val="000000" w:themeColor="text1"/>
                <w:sz w:val="24"/>
              </w:rPr>
              <w:t>机构</w:t>
            </w:r>
          </w:p>
        </w:tc>
        <w:tc>
          <w:tcPr>
            <w:tcW w:w="709" w:type="dxa"/>
            <w:vAlign w:val="center"/>
          </w:tcPr>
          <w:p w:rsidR="00CE3872" w:rsidRDefault="007C128A">
            <w:pPr>
              <w:jc w:val="center"/>
            </w:pPr>
            <w:r>
              <w:rPr>
                <w:sz w:val="24"/>
              </w:rPr>
              <w:t>1</w:t>
            </w:r>
          </w:p>
        </w:tc>
        <w:tc>
          <w:tcPr>
            <w:tcW w:w="2126" w:type="dxa"/>
            <w:vAlign w:val="center"/>
          </w:tcPr>
          <w:p w:rsidR="00CE3872" w:rsidRDefault="007C128A">
            <w:pPr>
              <w:jc w:val="center"/>
            </w:pPr>
            <w:r>
              <w:rPr>
                <w:sz w:val="24"/>
              </w:rPr>
              <w:t>2019</w:t>
            </w:r>
            <w:r>
              <w:rPr>
                <w:sz w:val="24"/>
              </w:rPr>
              <w:t>年</w:t>
            </w:r>
            <w:r>
              <w:rPr>
                <w:sz w:val="24"/>
              </w:rPr>
              <w:t>4</w:t>
            </w:r>
            <w:r>
              <w:rPr>
                <w:sz w:val="24"/>
              </w:rPr>
              <w:t>月</w:t>
            </w:r>
            <w:r>
              <w:rPr>
                <w:sz w:val="24"/>
              </w:rPr>
              <w:t>1</w:t>
            </w:r>
            <w:r>
              <w:rPr>
                <w:sz w:val="24"/>
              </w:rPr>
              <w:t>日至</w:t>
            </w:r>
            <w:r>
              <w:rPr>
                <w:sz w:val="24"/>
              </w:rPr>
              <w:t>2019</w:t>
            </w:r>
            <w:r>
              <w:rPr>
                <w:sz w:val="24"/>
              </w:rPr>
              <w:t>年</w:t>
            </w:r>
            <w:r>
              <w:rPr>
                <w:sz w:val="24"/>
              </w:rPr>
              <w:t>6</w:t>
            </w:r>
            <w:r>
              <w:rPr>
                <w:sz w:val="24"/>
              </w:rPr>
              <w:t>月</w:t>
            </w:r>
            <w:r>
              <w:rPr>
                <w:sz w:val="24"/>
              </w:rPr>
              <w:t>30</w:t>
            </w:r>
            <w:r>
              <w:rPr>
                <w:sz w:val="24"/>
              </w:rPr>
              <w:t>日</w:t>
            </w:r>
          </w:p>
        </w:tc>
        <w:tc>
          <w:tcPr>
            <w:tcW w:w="1276" w:type="dxa"/>
            <w:vAlign w:val="center"/>
          </w:tcPr>
          <w:p w:rsidR="00CE3872" w:rsidRDefault="007C128A">
            <w:pPr>
              <w:jc w:val="center"/>
            </w:pPr>
            <w:r>
              <w:rPr>
                <w:sz w:val="24"/>
              </w:rPr>
              <w:t>1,501,848,424.08</w:t>
            </w:r>
          </w:p>
        </w:tc>
        <w:tc>
          <w:tcPr>
            <w:tcW w:w="1276" w:type="dxa"/>
            <w:vAlign w:val="center"/>
          </w:tcPr>
          <w:p w:rsidR="00CE3872" w:rsidRDefault="007C128A">
            <w:pPr>
              <w:jc w:val="center"/>
            </w:pPr>
            <w:r>
              <w:rPr>
                <w:sz w:val="24"/>
              </w:rPr>
              <w:t>-</w:t>
            </w:r>
          </w:p>
        </w:tc>
        <w:tc>
          <w:tcPr>
            <w:tcW w:w="1276" w:type="dxa"/>
            <w:vAlign w:val="center"/>
          </w:tcPr>
          <w:p w:rsidR="00CE3872" w:rsidRDefault="007C128A">
            <w:pPr>
              <w:jc w:val="center"/>
            </w:pPr>
            <w:r>
              <w:rPr>
                <w:sz w:val="24"/>
              </w:rPr>
              <w:t>-</w:t>
            </w:r>
          </w:p>
        </w:tc>
        <w:tc>
          <w:tcPr>
            <w:tcW w:w="1417" w:type="dxa"/>
            <w:vAlign w:val="center"/>
          </w:tcPr>
          <w:p w:rsidR="00CE3872" w:rsidRDefault="007C128A">
            <w:pPr>
              <w:jc w:val="center"/>
            </w:pPr>
            <w:r>
              <w:rPr>
                <w:sz w:val="24"/>
              </w:rPr>
              <w:t>1,501,848,424.08</w:t>
            </w:r>
          </w:p>
        </w:tc>
        <w:tc>
          <w:tcPr>
            <w:tcW w:w="851" w:type="dxa"/>
            <w:vAlign w:val="center"/>
          </w:tcPr>
          <w:p w:rsidR="00CE3872" w:rsidRDefault="007C128A">
            <w:pPr>
              <w:jc w:val="center"/>
            </w:pPr>
            <w:r>
              <w:rPr>
                <w:sz w:val="24"/>
              </w:rPr>
              <w:t>99.34%</w:t>
            </w:r>
          </w:p>
        </w:tc>
      </w:tr>
      <w:tr w:rsidR="00CE3872" w:rsidTr="00704F83">
        <w:trPr>
          <w:jc w:val="center"/>
        </w:trPr>
        <w:tc>
          <w:tcPr>
            <w:tcW w:w="9637" w:type="dxa"/>
            <w:gridSpan w:val="8"/>
            <w:vAlign w:val="center"/>
          </w:tcPr>
          <w:p w:rsidR="009C3362" w:rsidRPr="00FC0759" w:rsidRDefault="007C128A" w:rsidP="00704F83">
            <w:pPr>
              <w:autoSpaceDE w:val="0"/>
              <w:autoSpaceDN w:val="0"/>
              <w:adjustRightInd w:val="0"/>
              <w:jc w:val="center"/>
              <w:rPr>
                <w:sz w:val="24"/>
              </w:rPr>
            </w:pPr>
            <w:r w:rsidRPr="00FC0759">
              <w:rPr>
                <w:color w:val="000000"/>
                <w:sz w:val="24"/>
              </w:rPr>
              <w:t>产品特有风险</w:t>
            </w:r>
          </w:p>
        </w:tc>
      </w:tr>
      <w:tr w:rsidR="00CE3872" w:rsidTr="00704F83">
        <w:trPr>
          <w:jc w:val="center"/>
        </w:trPr>
        <w:tc>
          <w:tcPr>
            <w:tcW w:w="9637" w:type="dxa"/>
            <w:gridSpan w:val="8"/>
            <w:vAlign w:val="center"/>
          </w:tcPr>
          <w:p w:rsidR="00CE3872" w:rsidRDefault="007C128A">
            <w:pPr>
              <w:autoSpaceDE w:val="0"/>
              <w:autoSpaceDN w:val="0"/>
              <w:adjustRightInd w:val="0"/>
              <w:jc w:val="left"/>
              <w:rPr>
                <w:sz w:val="24"/>
              </w:rPr>
            </w:pPr>
            <w:r>
              <w:rPr>
                <w:sz w:val="24"/>
              </w:rPr>
              <w:t>本基金在报告期内，存在报告期间单一投资者持有基金份额达到或超过</w:t>
            </w:r>
            <w:r>
              <w:rPr>
                <w:sz w:val="24"/>
              </w:rPr>
              <w:t>20%</w:t>
            </w:r>
            <w:r>
              <w:rPr>
                <w:sz w:val="24"/>
              </w:rPr>
              <w:t>的情形，可能会存在以下风险：</w:t>
            </w:r>
          </w:p>
          <w:p w:rsidR="00CE3872" w:rsidRDefault="007C128A">
            <w:pPr>
              <w:autoSpaceDE w:val="0"/>
              <w:autoSpaceDN w:val="0"/>
              <w:adjustRightInd w:val="0"/>
              <w:jc w:val="left"/>
              <w:rPr>
                <w:sz w:val="24"/>
              </w:rPr>
            </w:pPr>
            <w:r>
              <w:rPr>
                <w:sz w:val="24"/>
              </w:rPr>
              <w:t>1</w:t>
            </w:r>
            <w:r>
              <w:rPr>
                <w:sz w:val="24"/>
              </w:rPr>
              <w:t>）基金净值大幅波动的风险：当持有基金份额占比较高的基金份额持有人大量赎回本基金时，基金为支付赎回款项而卖出所持有的证券，可能造成证券价格波动，导致本基金的收益水平发生波动。同时，因巨额赎回、份额净值小数保留位数与方式、管理费及托管费等费用计提等原因，可能会导致基金份额净值出现大幅波动；</w:t>
            </w:r>
          </w:p>
          <w:p w:rsidR="00CE3872" w:rsidRDefault="007C128A">
            <w:pPr>
              <w:autoSpaceDE w:val="0"/>
              <w:autoSpaceDN w:val="0"/>
              <w:adjustRightInd w:val="0"/>
              <w:jc w:val="left"/>
              <w:rPr>
                <w:sz w:val="24"/>
              </w:rPr>
            </w:pPr>
            <w:r>
              <w:rPr>
                <w:sz w:val="24"/>
              </w:rPr>
              <w:t>2</w:t>
            </w:r>
            <w:r>
              <w:rPr>
                <w:sz w:val="24"/>
              </w:rPr>
              <w:t>）巨额赎回的风险：当持有基金份额占比较高的基金份额持有人大量赎回本基金时，可能触发本基金巨额赎回条款，基金份额持有人将可能无法及时赎回所持有的全部基金份额；</w:t>
            </w:r>
          </w:p>
          <w:p w:rsidR="00CE3872" w:rsidRDefault="007C128A">
            <w:pPr>
              <w:autoSpaceDE w:val="0"/>
              <w:autoSpaceDN w:val="0"/>
              <w:adjustRightInd w:val="0"/>
              <w:jc w:val="left"/>
              <w:rPr>
                <w:sz w:val="24"/>
              </w:rPr>
            </w:pPr>
            <w:r>
              <w:rPr>
                <w:sz w:val="24"/>
              </w:rPr>
              <w:t>3</w:t>
            </w:r>
            <w:r>
              <w:rPr>
                <w:sz w:val="24"/>
              </w:rPr>
              <w:t>）流动性风险：当持有基金份额占比较高的基金份额持有人大量赎回本基金时，可能导致本基金的流动性风险；</w:t>
            </w:r>
          </w:p>
          <w:p w:rsidR="00CE3872" w:rsidRDefault="007C128A">
            <w:pPr>
              <w:autoSpaceDE w:val="0"/>
              <w:autoSpaceDN w:val="0"/>
              <w:adjustRightInd w:val="0"/>
              <w:jc w:val="left"/>
              <w:rPr>
                <w:sz w:val="24"/>
              </w:rPr>
            </w:pPr>
            <w:r>
              <w:rPr>
                <w:sz w:val="24"/>
              </w:rPr>
              <w:t>4</w:t>
            </w:r>
            <w:r>
              <w:rPr>
                <w:sz w:val="24"/>
              </w:rPr>
              <w:t>）基金提前终止、转型或与其他基金合并的风险：当持有基金份额占比较高的基金份额持有人大量赎回本基金时，可能导致在其赎回后本基金出现连续六十个工作日基金资产净值低于</w:t>
            </w:r>
            <w:r>
              <w:rPr>
                <w:sz w:val="24"/>
              </w:rPr>
              <w:t>5000</w:t>
            </w:r>
            <w:r>
              <w:rPr>
                <w:sz w:val="24"/>
              </w:rPr>
              <w:t>万元，可能导致本基金面临转换运作方式、与其他基金合并或者终止基金合同等情形。</w:t>
            </w:r>
          </w:p>
          <w:p w:rsidR="00CE3872" w:rsidRDefault="007C128A">
            <w:pPr>
              <w:autoSpaceDE w:val="0"/>
              <w:autoSpaceDN w:val="0"/>
              <w:adjustRightInd w:val="0"/>
              <w:jc w:val="left"/>
              <w:rPr>
                <w:sz w:val="24"/>
              </w:rPr>
            </w:pPr>
            <w:r>
              <w:rPr>
                <w:sz w:val="24"/>
              </w:rPr>
              <w:t>5</w:t>
            </w:r>
            <w:r>
              <w:rPr>
                <w:sz w:val="24"/>
              </w:rPr>
              <w:t>）基金规模过小导致的风险：当持有基金份额占比较高的基金份额持有人大量赎回本基金时，可能导致基金规模过小。基金可能会面临投资银行间债券、交易所债券时交易困难的情形</w:t>
            </w:r>
            <w:r>
              <w:rPr>
                <w:sz w:val="24"/>
              </w:rPr>
              <w:t>。</w:t>
            </w:r>
          </w:p>
          <w:p w:rsidR="009C3362" w:rsidRPr="00FC0759" w:rsidRDefault="007C128A" w:rsidP="00876049">
            <w:pPr>
              <w:autoSpaceDE w:val="0"/>
              <w:autoSpaceDN w:val="0"/>
              <w:adjustRightInd w:val="0"/>
              <w:jc w:val="left"/>
              <w:rPr>
                <w:sz w:val="24"/>
              </w:rPr>
            </w:pPr>
            <w:bookmarkStart w:id="2" w:name="_GoBack"/>
            <w:bookmarkEnd w:id="2"/>
            <w:r w:rsidRPr="00FC0759">
              <w:rPr>
                <w:sz w:val="24"/>
              </w:rPr>
              <w:t>6</w:t>
            </w:r>
            <w:r w:rsidRPr="00FC0759">
              <w:rPr>
                <w:sz w:val="24"/>
              </w:rPr>
              <w:t>）份额占比较高的投资者申购申请被拒绝的风险：当某一基金份额持有人所持有的基金份额达到或超过本基金总份额的</w:t>
            </w:r>
            <w:r w:rsidRPr="00FC0759">
              <w:rPr>
                <w:sz w:val="24"/>
              </w:rPr>
              <w:t>50%</w:t>
            </w:r>
            <w:r w:rsidRPr="00FC0759">
              <w:rPr>
                <w:sz w:val="24"/>
              </w:rPr>
              <w:t>时，本基金管理人将不再接受该持有人对本基金基金份额提出的申购及转换转入申请。在其他基金份额持有人赎回基金份额导致某一基金份额持有人所持有的基金份额达到或超过本基金总份额</w:t>
            </w:r>
            <w:r w:rsidRPr="00FC0759">
              <w:rPr>
                <w:sz w:val="24"/>
              </w:rPr>
              <w:t>50%</w:t>
            </w:r>
            <w:r w:rsidRPr="00FC0759">
              <w:rPr>
                <w:sz w:val="24"/>
              </w:rPr>
              <w:t>的情况下，该基金份额持有人将面临所提出的对本基金基金份额的申购及转换转入申请被拒绝的风险。如果投资人某笔申购或转换转入申请导致其持有本基金基金份额达到或超过本基金规模的</w:t>
            </w:r>
            <w:r w:rsidRPr="00FC0759">
              <w:rPr>
                <w:sz w:val="24"/>
              </w:rPr>
              <w:t>50%</w:t>
            </w:r>
            <w:r w:rsidRPr="00FC0759">
              <w:rPr>
                <w:sz w:val="24"/>
              </w:rPr>
              <w:t>，该笔申购或转换转入申请可能被确认失败。</w:t>
            </w:r>
          </w:p>
        </w:tc>
      </w:tr>
    </w:tbl>
    <w:p w:rsidR="009C3362" w:rsidRPr="007725A4" w:rsidRDefault="007C128A" w:rsidP="009C3362">
      <w:pPr>
        <w:autoSpaceDE w:val="0"/>
        <w:autoSpaceDN w:val="0"/>
        <w:adjustRightInd w:val="0"/>
        <w:spacing w:line="360" w:lineRule="auto"/>
        <w:jc w:val="left"/>
        <w:rPr>
          <w:b/>
          <w:color w:val="000000" w:themeColor="text1"/>
          <w:kern w:val="0"/>
          <w:sz w:val="24"/>
        </w:rPr>
      </w:pPr>
      <w:r w:rsidRPr="007725A4">
        <w:rPr>
          <w:b/>
          <w:color w:val="000000" w:themeColor="text1"/>
          <w:kern w:val="0"/>
          <w:sz w:val="24"/>
        </w:rPr>
        <w:t>9.</w:t>
      </w:r>
      <w:r w:rsidRPr="007725A4">
        <w:rPr>
          <w:b/>
          <w:color w:val="000000" w:themeColor="text1"/>
          <w:kern w:val="0"/>
          <w:sz w:val="24"/>
        </w:rPr>
        <w:t xml:space="preserve">2 </w:t>
      </w:r>
      <w:r w:rsidRPr="007725A4">
        <w:rPr>
          <w:b/>
          <w:color w:val="000000" w:themeColor="text1"/>
          <w:kern w:val="0"/>
          <w:sz w:val="24"/>
        </w:rPr>
        <w:t>影响投资者决策的其他重要信息</w:t>
      </w:r>
    </w:p>
    <w:p w:rsidR="004061AC" w:rsidRPr="00A76EB8" w:rsidRDefault="007C128A" w:rsidP="007C128A">
      <w:pPr>
        <w:spacing w:line="360" w:lineRule="auto"/>
        <w:ind w:firstLineChars="200" w:firstLine="480"/>
        <w:rPr>
          <w:color w:val="000000" w:themeColor="text1"/>
          <w:sz w:val="24"/>
          <w:szCs w:val="24"/>
        </w:rPr>
      </w:pPr>
      <w:r w:rsidRPr="00FC0759">
        <w:rPr>
          <w:rFonts w:eastAsiaTheme="minorEastAsia"/>
          <w:color w:val="000000" w:themeColor="text1"/>
          <w:sz w:val="24"/>
        </w:rPr>
        <w:t>无。</w:t>
      </w:r>
    </w:p>
    <w:p w:rsidR="004061AC" w:rsidRPr="00A76EB8" w:rsidRDefault="007C128A" w:rsidP="007C128A">
      <w:pPr>
        <w:pStyle w:val="1"/>
        <w:spacing w:beforeLines="100" w:afterLines="100" w:line="360" w:lineRule="auto"/>
        <w:jc w:val="center"/>
        <w:rPr>
          <w:color w:val="000000" w:themeColor="text1"/>
          <w:kern w:val="0"/>
          <w:sz w:val="24"/>
          <w:szCs w:val="24"/>
        </w:rPr>
      </w:pPr>
      <w:r w:rsidRPr="00A76EB8">
        <w:rPr>
          <w:color w:val="000000" w:themeColor="text1"/>
          <w:kern w:val="0"/>
          <w:sz w:val="24"/>
          <w:szCs w:val="24"/>
        </w:rPr>
        <w:t>§</w:t>
      </w:r>
      <w:r w:rsidRPr="00A76EB8">
        <w:rPr>
          <w:color w:val="000000" w:themeColor="text1"/>
          <w:kern w:val="0"/>
          <w:sz w:val="24"/>
          <w:szCs w:val="24"/>
        </w:rPr>
        <w:t>10</w:t>
      </w:r>
      <w:r w:rsidRPr="00A76EB8">
        <w:rPr>
          <w:color w:val="000000" w:themeColor="text1"/>
          <w:kern w:val="0"/>
          <w:sz w:val="24"/>
          <w:szCs w:val="24"/>
        </w:rPr>
        <w:t>备查文件目录</w:t>
      </w:r>
    </w:p>
    <w:p w:rsidR="004061AC" w:rsidRPr="00A76EB8" w:rsidRDefault="007C128A" w:rsidP="00C71497">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10.</w:t>
      </w:r>
      <w:r w:rsidRPr="00A76EB8">
        <w:rPr>
          <w:b/>
          <w:bCs/>
          <w:color w:val="000000" w:themeColor="text1"/>
          <w:kern w:val="0"/>
          <w:sz w:val="24"/>
          <w:szCs w:val="24"/>
        </w:rPr>
        <w:t>1</w:t>
      </w:r>
      <w:r w:rsidRPr="00A76EB8">
        <w:rPr>
          <w:b/>
          <w:bCs/>
          <w:color w:val="000000" w:themeColor="text1"/>
          <w:kern w:val="0"/>
          <w:sz w:val="24"/>
          <w:szCs w:val="24"/>
        </w:rPr>
        <w:t>备查文件目录</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1</w:t>
      </w:r>
      <w:r>
        <w:rPr>
          <w:color w:val="000000" w:themeColor="text1"/>
          <w:sz w:val="24"/>
          <w:szCs w:val="24"/>
        </w:rPr>
        <w:t>、中国证监会批准基金发行及募集的文件。</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2</w:t>
      </w:r>
      <w:r>
        <w:rPr>
          <w:color w:val="000000" w:themeColor="text1"/>
          <w:sz w:val="24"/>
          <w:szCs w:val="24"/>
        </w:rPr>
        <w:t>、《金鹰添润定期开放债券型发起式证券投资基金基金合同》。</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3</w:t>
      </w:r>
      <w:r>
        <w:rPr>
          <w:color w:val="000000" w:themeColor="text1"/>
          <w:sz w:val="24"/>
          <w:szCs w:val="24"/>
        </w:rPr>
        <w:t>、《金鹰添润定期开放债券型发起式证券投资基金托管协议》。</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4</w:t>
      </w:r>
      <w:r>
        <w:rPr>
          <w:color w:val="000000" w:themeColor="text1"/>
          <w:sz w:val="24"/>
          <w:szCs w:val="24"/>
        </w:rPr>
        <w:t>、金鹰基金管理有限公司批准成立批件、营业执照、公司章程。</w:t>
      </w:r>
    </w:p>
    <w:p w:rsidR="004061AC" w:rsidRPr="00A76EB8" w:rsidRDefault="007C128A" w:rsidP="007C128A">
      <w:pPr>
        <w:spacing w:line="360" w:lineRule="auto"/>
        <w:ind w:firstLineChars="200" w:firstLine="480"/>
        <w:rPr>
          <w:color w:val="000000" w:themeColor="text1"/>
          <w:sz w:val="24"/>
          <w:szCs w:val="24"/>
        </w:rPr>
      </w:pPr>
      <w:r w:rsidRPr="00A76EB8">
        <w:rPr>
          <w:color w:val="000000" w:themeColor="text1"/>
          <w:sz w:val="24"/>
          <w:szCs w:val="24"/>
        </w:rPr>
        <w:t>5</w:t>
      </w:r>
      <w:r w:rsidRPr="00A76EB8">
        <w:rPr>
          <w:color w:val="000000" w:themeColor="text1"/>
          <w:sz w:val="24"/>
          <w:szCs w:val="24"/>
        </w:rPr>
        <w:t>、基金托管人业务资格批件和营业执照。</w:t>
      </w:r>
    </w:p>
    <w:p w:rsidR="006A48FD" w:rsidRPr="00A76EB8" w:rsidRDefault="007C128A" w:rsidP="007C128A">
      <w:pPr>
        <w:spacing w:line="360" w:lineRule="auto"/>
        <w:ind w:firstLineChars="200" w:firstLine="480"/>
        <w:rPr>
          <w:color w:val="000000" w:themeColor="text1"/>
          <w:sz w:val="24"/>
          <w:szCs w:val="24"/>
        </w:rPr>
      </w:pPr>
    </w:p>
    <w:p w:rsidR="004061AC" w:rsidRPr="00A76EB8" w:rsidRDefault="007C128A" w:rsidP="00C71497">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10.</w:t>
      </w:r>
      <w:r w:rsidRPr="00A76EB8">
        <w:rPr>
          <w:b/>
          <w:bCs/>
          <w:color w:val="000000" w:themeColor="text1"/>
          <w:kern w:val="0"/>
          <w:sz w:val="24"/>
          <w:szCs w:val="24"/>
        </w:rPr>
        <w:t>2</w:t>
      </w:r>
      <w:r w:rsidRPr="00A76EB8">
        <w:rPr>
          <w:b/>
          <w:bCs/>
          <w:color w:val="000000" w:themeColor="text1"/>
          <w:kern w:val="0"/>
          <w:sz w:val="24"/>
          <w:szCs w:val="24"/>
        </w:rPr>
        <w:t>存放地点</w:t>
      </w:r>
    </w:p>
    <w:p w:rsidR="004061AC" w:rsidRPr="00A76EB8" w:rsidRDefault="007C128A" w:rsidP="007C128A">
      <w:pPr>
        <w:spacing w:line="360" w:lineRule="auto"/>
        <w:ind w:firstLineChars="200" w:firstLine="480"/>
        <w:rPr>
          <w:color w:val="000000" w:themeColor="text1"/>
          <w:sz w:val="24"/>
          <w:szCs w:val="24"/>
        </w:rPr>
      </w:pPr>
      <w:r w:rsidRPr="00A76EB8">
        <w:rPr>
          <w:color w:val="000000" w:themeColor="text1"/>
          <w:sz w:val="24"/>
          <w:szCs w:val="24"/>
        </w:rPr>
        <w:t>广东省广州市天河区珠江东路</w:t>
      </w:r>
      <w:r w:rsidRPr="00A76EB8">
        <w:rPr>
          <w:color w:val="000000" w:themeColor="text1"/>
          <w:sz w:val="24"/>
          <w:szCs w:val="24"/>
        </w:rPr>
        <w:t>28</w:t>
      </w:r>
      <w:r w:rsidRPr="00A76EB8">
        <w:rPr>
          <w:color w:val="000000" w:themeColor="text1"/>
          <w:sz w:val="24"/>
          <w:szCs w:val="24"/>
        </w:rPr>
        <w:t>号越秀金融大厦</w:t>
      </w:r>
      <w:r w:rsidRPr="00A76EB8">
        <w:rPr>
          <w:color w:val="000000" w:themeColor="text1"/>
          <w:sz w:val="24"/>
          <w:szCs w:val="24"/>
        </w:rPr>
        <w:t>30</w:t>
      </w:r>
      <w:r w:rsidRPr="00A76EB8">
        <w:rPr>
          <w:color w:val="000000" w:themeColor="text1"/>
          <w:sz w:val="24"/>
          <w:szCs w:val="24"/>
        </w:rPr>
        <w:t>层</w:t>
      </w:r>
    </w:p>
    <w:p w:rsidR="006A48FD" w:rsidRPr="00A76EB8" w:rsidRDefault="007C128A" w:rsidP="007C128A">
      <w:pPr>
        <w:spacing w:line="360" w:lineRule="auto"/>
        <w:ind w:firstLineChars="200" w:firstLine="480"/>
        <w:rPr>
          <w:color w:val="000000" w:themeColor="text1"/>
          <w:sz w:val="24"/>
          <w:szCs w:val="24"/>
        </w:rPr>
      </w:pPr>
    </w:p>
    <w:p w:rsidR="004061AC" w:rsidRPr="00A76EB8" w:rsidRDefault="007C128A" w:rsidP="00C71497">
      <w:pPr>
        <w:autoSpaceDE w:val="0"/>
        <w:autoSpaceDN w:val="0"/>
        <w:adjustRightInd w:val="0"/>
        <w:spacing w:line="360" w:lineRule="auto"/>
        <w:jc w:val="left"/>
        <w:rPr>
          <w:b/>
          <w:bCs/>
          <w:color w:val="000000" w:themeColor="text1"/>
          <w:kern w:val="0"/>
          <w:sz w:val="24"/>
          <w:szCs w:val="24"/>
        </w:rPr>
      </w:pPr>
      <w:r w:rsidRPr="00A76EB8">
        <w:rPr>
          <w:b/>
          <w:bCs/>
          <w:color w:val="000000" w:themeColor="text1"/>
          <w:kern w:val="0"/>
          <w:sz w:val="24"/>
          <w:szCs w:val="24"/>
        </w:rPr>
        <w:t>10.</w:t>
      </w:r>
      <w:r w:rsidRPr="00A76EB8">
        <w:rPr>
          <w:b/>
          <w:bCs/>
          <w:color w:val="000000" w:themeColor="text1"/>
          <w:kern w:val="0"/>
          <w:sz w:val="24"/>
          <w:szCs w:val="24"/>
        </w:rPr>
        <w:t>3</w:t>
      </w:r>
      <w:r w:rsidRPr="00A76EB8">
        <w:rPr>
          <w:b/>
          <w:bCs/>
          <w:color w:val="000000" w:themeColor="text1"/>
          <w:kern w:val="0"/>
          <w:sz w:val="24"/>
          <w:szCs w:val="24"/>
        </w:rPr>
        <w:t>查阅方式</w:t>
      </w:r>
    </w:p>
    <w:p w:rsidR="00CE3872" w:rsidRDefault="007C128A" w:rsidP="007C128A">
      <w:pPr>
        <w:spacing w:line="360" w:lineRule="auto"/>
        <w:ind w:firstLineChars="200" w:firstLine="480"/>
        <w:rPr>
          <w:color w:val="000000" w:themeColor="text1"/>
          <w:sz w:val="24"/>
          <w:szCs w:val="24"/>
        </w:rPr>
      </w:pPr>
      <w:r>
        <w:rPr>
          <w:color w:val="000000" w:themeColor="text1"/>
          <w:sz w:val="24"/>
          <w:szCs w:val="24"/>
        </w:rPr>
        <w:t>可在营业时间免费查阅或按工本费购买复印件，也可登录本基金管理人网站查阅，本基金管理人网址：</w:t>
      </w:r>
      <w:r>
        <w:rPr>
          <w:color w:val="000000" w:themeColor="text1"/>
          <w:sz w:val="24"/>
          <w:szCs w:val="24"/>
        </w:rPr>
        <w:t>http://www.gefund.com.cn</w:t>
      </w:r>
      <w:r>
        <w:rPr>
          <w:color w:val="000000" w:themeColor="text1"/>
          <w:sz w:val="24"/>
          <w:szCs w:val="24"/>
        </w:rPr>
        <w:t>。</w:t>
      </w:r>
    </w:p>
    <w:p w:rsidR="00636DB7" w:rsidRPr="00A76EB8" w:rsidRDefault="007C128A" w:rsidP="007C128A">
      <w:pPr>
        <w:spacing w:line="360" w:lineRule="auto"/>
        <w:ind w:firstLineChars="200" w:firstLine="480"/>
        <w:rPr>
          <w:color w:val="000000" w:themeColor="text1"/>
          <w:sz w:val="24"/>
          <w:szCs w:val="24"/>
        </w:rPr>
      </w:pPr>
      <w:r w:rsidRPr="00A76EB8">
        <w:rPr>
          <w:color w:val="000000" w:themeColor="text1"/>
          <w:sz w:val="24"/>
          <w:szCs w:val="24"/>
        </w:rPr>
        <w:t>投资者对本报告书如有疑问，可咨询本基金管理人客户服务中心，客户服务中心电话：</w:t>
      </w:r>
      <w:r w:rsidRPr="00A76EB8">
        <w:rPr>
          <w:color w:val="000000" w:themeColor="text1"/>
          <w:sz w:val="24"/>
          <w:szCs w:val="24"/>
        </w:rPr>
        <w:t>4006-135-888</w:t>
      </w:r>
      <w:r w:rsidRPr="00A76EB8">
        <w:rPr>
          <w:color w:val="000000" w:themeColor="text1"/>
          <w:sz w:val="24"/>
          <w:szCs w:val="24"/>
        </w:rPr>
        <w:t>或</w:t>
      </w:r>
      <w:r w:rsidRPr="00A76EB8">
        <w:rPr>
          <w:color w:val="000000" w:themeColor="text1"/>
          <w:sz w:val="24"/>
          <w:szCs w:val="24"/>
        </w:rPr>
        <w:t>020-83936180</w:t>
      </w:r>
      <w:r w:rsidRPr="00A76EB8">
        <w:rPr>
          <w:color w:val="000000" w:themeColor="text1"/>
          <w:sz w:val="24"/>
          <w:szCs w:val="24"/>
        </w:rPr>
        <w:t>。</w:t>
      </w:r>
    </w:p>
    <w:p w:rsidR="004061AC" w:rsidRPr="00A76EB8" w:rsidRDefault="007C128A" w:rsidP="004061AC">
      <w:pPr>
        <w:spacing w:line="360" w:lineRule="auto"/>
        <w:ind w:left="840"/>
        <w:jc w:val="right"/>
        <w:rPr>
          <w:color w:val="000000" w:themeColor="text1"/>
          <w:sz w:val="24"/>
          <w:szCs w:val="24"/>
        </w:rPr>
      </w:pPr>
    </w:p>
    <w:p w:rsidR="00C71497" w:rsidRPr="00A76EB8" w:rsidRDefault="007C128A" w:rsidP="004061AC">
      <w:pPr>
        <w:spacing w:line="360" w:lineRule="auto"/>
        <w:ind w:left="840"/>
        <w:jc w:val="right"/>
        <w:rPr>
          <w:color w:val="000000" w:themeColor="text1"/>
          <w:sz w:val="24"/>
          <w:szCs w:val="24"/>
        </w:rPr>
      </w:pPr>
    </w:p>
    <w:p w:rsidR="00C71497" w:rsidRPr="00A76EB8" w:rsidRDefault="007C128A" w:rsidP="004061AC">
      <w:pPr>
        <w:spacing w:line="360" w:lineRule="auto"/>
        <w:ind w:left="840"/>
        <w:jc w:val="right"/>
        <w:rPr>
          <w:color w:val="000000" w:themeColor="text1"/>
          <w:sz w:val="24"/>
          <w:szCs w:val="24"/>
        </w:rPr>
      </w:pPr>
    </w:p>
    <w:p w:rsidR="00C71497" w:rsidRPr="00A76EB8" w:rsidRDefault="007C128A" w:rsidP="004061AC">
      <w:pPr>
        <w:spacing w:line="360" w:lineRule="auto"/>
        <w:ind w:left="840"/>
        <w:jc w:val="right"/>
        <w:rPr>
          <w:color w:val="000000" w:themeColor="text1"/>
          <w:sz w:val="24"/>
          <w:szCs w:val="24"/>
        </w:rPr>
      </w:pPr>
    </w:p>
    <w:p w:rsidR="00C71497" w:rsidRPr="00A76EB8" w:rsidRDefault="007C128A" w:rsidP="004061AC">
      <w:pPr>
        <w:spacing w:line="360" w:lineRule="auto"/>
        <w:ind w:left="840"/>
        <w:jc w:val="right"/>
        <w:rPr>
          <w:color w:val="000000" w:themeColor="text1"/>
          <w:sz w:val="24"/>
          <w:szCs w:val="24"/>
        </w:rPr>
      </w:pPr>
    </w:p>
    <w:p w:rsidR="00C71497" w:rsidRPr="00A76EB8" w:rsidRDefault="007C128A" w:rsidP="004061AC">
      <w:pPr>
        <w:spacing w:line="360" w:lineRule="auto"/>
        <w:ind w:left="840"/>
        <w:jc w:val="right"/>
        <w:rPr>
          <w:color w:val="000000" w:themeColor="text1"/>
          <w:sz w:val="24"/>
          <w:szCs w:val="24"/>
        </w:rPr>
      </w:pPr>
    </w:p>
    <w:p w:rsidR="004061AC" w:rsidRPr="00A76EB8" w:rsidRDefault="007C128A" w:rsidP="004061AC">
      <w:pPr>
        <w:spacing w:line="360" w:lineRule="auto"/>
        <w:ind w:left="840"/>
        <w:jc w:val="right"/>
        <w:rPr>
          <w:color w:val="000000" w:themeColor="text1"/>
          <w:sz w:val="24"/>
          <w:szCs w:val="24"/>
        </w:rPr>
      </w:pPr>
    </w:p>
    <w:p w:rsidR="004061AC" w:rsidRPr="00A76EB8" w:rsidRDefault="007C128A" w:rsidP="004061AC">
      <w:pPr>
        <w:spacing w:line="360" w:lineRule="auto"/>
        <w:ind w:left="840"/>
        <w:jc w:val="right"/>
        <w:rPr>
          <w:color w:val="000000" w:themeColor="text1"/>
          <w:sz w:val="24"/>
          <w:szCs w:val="24"/>
        </w:rPr>
      </w:pPr>
    </w:p>
    <w:p w:rsidR="004061AC" w:rsidRPr="00A76EB8" w:rsidRDefault="007C128A" w:rsidP="00C71497">
      <w:pPr>
        <w:spacing w:line="360" w:lineRule="auto"/>
        <w:jc w:val="right"/>
        <w:rPr>
          <w:b/>
          <w:bCs/>
          <w:color w:val="000000" w:themeColor="text1"/>
          <w:sz w:val="24"/>
          <w:szCs w:val="24"/>
        </w:rPr>
      </w:pPr>
      <w:r w:rsidRPr="00A76EB8">
        <w:rPr>
          <w:b/>
          <w:bCs/>
          <w:color w:val="000000" w:themeColor="text1"/>
          <w:sz w:val="24"/>
          <w:szCs w:val="24"/>
        </w:rPr>
        <w:t>金鹰基金管理有限公司</w:t>
      </w:r>
    </w:p>
    <w:p w:rsidR="004061AC" w:rsidRPr="00A76EB8" w:rsidRDefault="007C128A" w:rsidP="00C71497">
      <w:pPr>
        <w:spacing w:line="360" w:lineRule="auto"/>
        <w:jc w:val="right"/>
        <w:rPr>
          <w:b/>
          <w:bCs/>
          <w:color w:val="000000" w:themeColor="text1"/>
          <w:sz w:val="24"/>
          <w:szCs w:val="24"/>
        </w:rPr>
      </w:pPr>
      <w:r w:rsidRPr="00A76EB8">
        <w:rPr>
          <w:b/>
          <w:bCs/>
          <w:color w:val="000000" w:themeColor="text1"/>
          <w:sz w:val="24"/>
          <w:szCs w:val="24"/>
        </w:rPr>
        <w:t>二〇一九年七月十七日</w:t>
      </w:r>
    </w:p>
    <w:p w:rsidR="00304A12" w:rsidRPr="00A76EB8" w:rsidRDefault="007C128A" w:rsidP="00955BE8">
      <w:pPr>
        <w:spacing w:line="360" w:lineRule="auto"/>
        <w:ind w:left="840"/>
        <w:jc w:val="right"/>
        <w:rPr>
          <w:b/>
          <w:bCs/>
          <w:color w:val="000000" w:themeColor="text1"/>
          <w:sz w:val="24"/>
          <w:szCs w:val="24"/>
        </w:rPr>
      </w:pPr>
    </w:p>
    <w:p w:rsidR="00A90049" w:rsidRPr="00A76EB8" w:rsidRDefault="007C128A">
      <w:pPr>
        <w:rPr>
          <w:color w:val="000000" w:themeColor="text1"/>
          <w:sz w:val="24"/>
          <w:szCs w:val="24"/>
        </w:rPr>
      </w:pPr>
    </w:p>
    <w:sectPr w:rsidR="00A90049" w:rsidRPr="00A76EB8"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872" w:rsidRDefault="00CE3872" w:rsidP="00CE3872">
      <w:r>
        <w:separator/>
      </w:r>
    </w:p>
  </w:endnote>
  <w:endnote w:type="continuationSeparator" w:id="1">
    <w:p w:rsidR="00CE3872" w:rsidRDefault="00CE3872" w:rsidP="00CE3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7C128A" w:rsidP="00F11104">
    <w:pPr>
      <w:pStyle w:val="a6"/>
      <w:tabs>
        <w:tab w:val="left" w:pos="4215"/>
        <w:tab w:val="center" w:pos="4545"/>
      </w:tabs>
    </w:pPr>
    <w:r>
      <w:ptab w:relativeTo="margin" w:alignment="center" w:leader="none"/>
    </w:r>
    <w:r>
      <w:ptab w:relativeTo="margin" w:alignment="center" w:leader="none"/>
    </w:r>
    <w:r w:rsidR="00CE3872" w:rsidRPr="00CE3872">
      <w:fldChar w:fldCharType="begin"/>
    </w:r>
    <w:r>
      <w:instrText xml:space="preserve"> PAGE   \* MERGEFORMAT </w:instrText>
    </w:r>
    <w:r w:rsidR="00CE3872" w:rsidRPr="00CE3872">
      <w:fldChar w:fldCharType="separate"/>
    </w:r>
    <w:r w:rsidRPr="007C128A">
      <w:rPr>
        <w:noProof/>
        <w:lang w:val="zh-CN"/>
      </w:rPr>
      <w:t>1</w:t>
    </w:r>
    <w:r w:rsidR="00CE3872">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CE3872">
    <w:pPr>
      <w:pStyle w:val="a6"/>
      <w:framePr w:wrap="auto" w:vAnchor="text" w:hAnchor="margin" w:xAlign="center" w:y="1"/>
      <w:rPr>
        <w:rStyle w:val="a7"/>
      </w:rPr>
    </w:pPr>
    <w:r>
      <w:rPr>
        <w:rStyle w:val="a7"/>
      </w:rPr>
      <w:fldChar w:fldCharType="begin"/>
    </w:r>
    <w:r w:rsidR="007C128A">
      <w:rPr>
        <w:rStyle w:val="a7"/>
      </w:rPr>
      <w:instrText xml:space="preserve">PAGE  </w:instrText>
    </w:r>
    <w:r>
      <w:rPr>
        <w:rStyle w:val="a7"/>
      </w:rPr>
      <w:fldChar w:fldCharType="separate"/>
    </w:r>
    <w:r w:rsidR="007C128A">
      <w:rPr>
        <w:rStyle w:val="a7"/>
        <w:noProof/>
      </w:rPr>
      <w:t>2</w:t>
    </w:r>
    <w:r>
      <w:rPr>
        <w:rStyle w:val="a7"/>
      </w:rPr>
      <w:fldChar w:fldCharType="end"/>
    </w:r>
  </w:p>
  <w:p w:rsidR="00171EF0" w:rsidRDefault="007C12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872" w:rsidRDefault="00CE3872" w:rsidP="00CE3872">
      <w:r>
        <w:separator/>
      </w:r>
    </w:p>
  </w:footnote>
  <w:footnote w:type="continuationSeparator" w:id="1">
    <w:p w:rsidR="00CE3872" w:rsidRDefault="00CE3872" w:rsidP="00CE3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7C128A" w:rsidP="00090A26">
    <w:pPr>
      <w:pStyle w:val="a9"/>
      <w:pBdr>
        <w:bottom w:val="single" w:sz="6" w:space="0" w:color="auto"/>
      </w:pBdr>
      <w:jc w:val="right"/>
    </w:pPr>
    <w:r w:rsidRPr="007120CC">
      <w:rPr>
        <w:rFonts w:hint="eastAsia"/>
      </w:rPr>
      <w:t>金鹰添润定期开放债券型发起式证券投资基金</w:t>
    </w:r>
    <w:r w:rsidRPr="007120CC">
      <w:rPr>
        <w:rFonts w:hint="eastAsia"/>
      </w:rPr>
      <w:t>2019</w:t>
    </w:r>
    <w:r w:rsidRPr="007120CC">
      <w:rPr>
        <w:rFonts w:hint="eastAsia"/>
      </w:rPr>
      <w:t>年第</w:t>
    </w:r>
    <w:r w:rsidRPr="007120CC">
      <w:rPr>
        <w:rFonts w:hint="eastAsia"/>
      </w:rPr>
      <w:t>2</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1D50071C">
      <w:start w:val="2006"/>
      <w:numFmt w:val="bullet"/>
      <w:lvlText w:val="●"/>
      <w:lvlJc w:val="left"/>
      <w:pPr>
        <w:tabs>
          <w:tab w:val="num" w:pos="780"/>
        </w:tabs>
        <w:ind w:left="780" w:hanging="360"/>
      </w:pPr>
      <w:rPr>
        <w:rFonts w:ascii="Times New Roman" w:eastAsia="宋体" w:hAnsi="Times New Roman" w:hint="default"/>
      </w:rPr>
    </w:lvl>
    <w:lvl w:ilvl="1" w:tplc="3730AE40">
      <w:start w:val="1"/>
      <w:numFmt w:val="bullet"/>
      <w:lvlText w:val=""/>
      <w:lvlJc w:val="left"/>
      <w:pPr>
        <w:tabs>
          <w:tab w:val="num" w:pos="1260"/>
        </w:tabs>
        <w:ind w:left="1260" w:hanging="420"/>
      </w:pPr>
      <w:rPr>
        <w:rFonts w:ascii="Wingdings" w:hAnsi="Wingdings" w:cs="Wingdings" w:hint="default"/>
      </w:rPr>
    </w:lvl>
    <w:lvl w:ilvl="2" w:tplc="69902E2A">
      <w:start w:val="1"/>
      <w:numFmt w:val="bullet"/>
      <w:lvlText w:val=""/>
      <w:lvlJc w:val="left"/>
      <w:pPr>
        <w:tabs>
          <w:tab w:val="num" w:pos="1680"/>
        </w:tabs>
        <w:ind w:left="1680" w:hanging="420"/>
      </w:pPr>
      <w:rPr>
        <w:rFonts w:ascii="Wingdings" w:hAnsi="Wingdings" w:cs="Wingdings" w:hint="default"/>
      </w:rPr>
    </w:lvl>
    <w:lvl w:ilvl="3" w:tplc="4AE237BC">
      <w:start w:val="1"/>
      <w:numFmt w:val="bullet"/>
      <w:lvlText w:val=""/>
      <w:lvlJc w:val="left"/>
      <w:pPr>
        <w:tabs>
          <w:tab w:val="num" w:pos="2100"/>
        </w:tabs>
        <w:ind w:left="2100" w:hanging="420"/>
      </w:pPr>
      <w:rPr>
        <w:rFonts w:ascii="Wingdings" w:hAnsi="Wingdings" w:cs="Wingdings" w:hint="default"/>
      </w:rPr>
    </w:lvl>
    <w:lvl w:ilvl="4" w:tplc="A0A0A2D4">
      <w:start w:val="1"/>
      <w:numFmt w:val="bullet"/>
      <w:lvlText w:val=""/>
      <w:lvlJc w:val="left"/>
      <w:pPr>
        <w:tabs>
          <w:tab w:val="num" w:pos="2520"/>
        </w:tabs>
        <w:ind w:left="2520" w:hanging="420"/>
      </w:pPr>
      <w:rPr>
        <w:rFonts w:ascii="Wingdings" w:hAnsi="Wingdings" w:cs="Wingdings" w:hint="default"/>
      </w:rPr>
    </w:lvl>
    <w:lvl w:ilvl="5" w:tplc="39FE3674">
      <w:start w:val="1"/>
      <w:numFmt w:val="bullet"/>
      <w:lvlText w:val=""/>
      <w:lvlJc w:val="left"/>
      <w:pPr>
        <w:tabs>
          <w:tab w:val="num" w:pos="2940"/>
        </w:tabs>
        <w:ind w:left="2940" w:hanging="420"/>
      </w:pPr>
      <w:rPr>
        <w:rFonts w:ascii="Wingdings" w:hAnsi="Wingdings" w:cs="Wingdings" w:hint="default"/>
      </w:rPr>
    </w:lvl>
    <w:lvl w:ilvl="6" w:tplc="6E6C817E">
      <w:start w:val="1"/>
      <w:numFmt w:val="bullet"/>
      <w:lvlText w:val=""/>
      <w:lvlJc w:val="left"/>
      <w:pPr>
        <w:tabs>
          <w:tab w:val="num" w:pos="3360"/>
        </w:tabs>
        <w:ind w:left="3360" w:hanging="420"/>
      </w:pPr>
      <w:rPr>
        <w:rFonts w:ascii="Wingdings" w:hAnsi="Wingdings" w:cs="Wingdings" w:hint="default"/>
      </w:rPr>
    </w:lvl>
    <w:lvl w:ilvl="7" w:tplc="5E22DCB2">
      <w:start w:val="1"/>
      <w:numFmt w:val="bullet"/>
      <w:lvlText w:val=""/>
      <w:lvlJc w:val="left"/>
      <w:pPr>
        <w:tabs>
          <w:tab w:val="num" w:pos="3780"/>
        </w:tabs>
        <w:ind w:left="3780" w:hanging="420"/>
      </w:pPr>
      <w:rPr>
        <w:rFonts w:ascii="Wingdings" w:hAnsi="Wingdings" w:cs="Wingdings" w:hint="default"/>
      </w:rPr>
    </w:lvl>
    <w:lvl w:ilvl="8" w:tplc="16564AEC">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BB10090A">
      <w:start w:val="1"/>
      <w:numFmt w:val="decimal"/>
      <w:lvlText w:val="（%1）"/>
      <w:lvlJc w:val="left"/>
      <w:pPr>
        <w:tabs>
          <w:tab w:val="num" w:pos="1200"/>
        </w:tabs>
        <w:ind w:left="1200" w:hanging="720"/>
      </w:pPr>
      <w:rPr>
        <w:rFonts w:hint="eastAsia"/>
        <w:sz w:val="24"/>
        <w:szCs w:val="24"/>
      </w:rPr>
    </w:lvl>
    <w:lvl w:ilvl="1" w:tplc="25DCE5EE">
      <w:start w:val="1"/>
      <w:numFmt w:val="lowerLetter"/>
      <w:lvlText w:val="%2)"/>
      <w:lvlJc w:val="left"/>
      <w:pPr>
        <w:tabs>
          <w:tab w:val="num" w:pos="1320"/>
        </w:tabs>
        <w:ind w:left="1320" w:hanging="420"/>
      </w:pPr>
    </w:lvl>
    <w:lvl w:ilvl="2" w:tplc="5680C37A">
      <w:start w:val="1"/>
      <w:numFmt w:val="lowerRoman"/>
      <w:lvlText w:val="%3."/>
      <w:lvlJc w:val="right"/>
      <w:pPr>
        <w:tabs>
          <w:tab w:val="num" w:pos="1740"/>
        </w:tabs>
        <w:ind w:left="1740" w:hanging="420"/>
      </w:pPr>
    </w:lvl>
    <w:lvl w:ilvl="3" w:tplc="94088A4C">
      <w:start w:val="1"/>
      <w:numFmt w:val="decimal"/>
      <w:lvlText w:val="%4."/>
      <w:lvlJc w:val="left"/>
      <w:pPr>
        <w:tabs>
          <w:tab w:val="num" w:pos="2160"/>
        </w:tabs>
        <w:ind w:left="2160" w:hanging="420"/>
      </w:pPr>
    </w:lvl>
    <w:lvl w:ilvl="4" w:tplc="0968379E">
      <w:start w:val="1"/>
      <w:numFmt w:val="lowerLetter"/>
      <w:lvlText w:val="%5)"/>
      <w:lvlJc w:val="left"/>
      <w:pPr>
        <w:tabs>
          <w:tab w:val="num" w:pos="2580"/>
        </w:tabs>
        <w:ind w:left="2580" w:hanging="420"/>
      </w:pPr>
    </w:lvl>
    <w:lvl w:ilvl="5" w:tplc="325A15B4">
      <w:start w:val="1"/>
      <w:numFmt w:val="lowerRoman"/>
      <w:lvlText w:val="%6."/>
      <w:lvlJc w:val="right"/>
      <w:pPr>
        <w:tabs>
          <w:tab w:val="num" w:pos="3000"/>
        </w:tabs>
        <w:ind w:left="3000" w:hanging="420"/>
      </w:pPr>
    </w:lvl>
    <w:lvl w:ilvl="6" w:tplc="EB56CD6C">
      <w:start w:val="1"/>
      <w:numFmt w:val="decimal"/>
      <w:lvlText w:val="%7."/>
      <w:lvlJc w:val="left"/>
      <w:pPr>
        <w:tabs>
          <w:tab w:val="num" w:pos="3420"/>
        </w:tabs>
        <w:ind w:left="3420" w:hanging="420"/>
      </w:pPr>
    </w:lvl>
    <w:lvl w:ilvl="7" w:tplc="2F32FD5A">
      <w:start w:val="1"/>
      <w:numFmt w:val="lowerLetter"/>
      <w:lvlText w:val="%8)"/>
      <w:lvlJc w:val="left"/>
      <w:pPr>
        <w:tabs>
          <w:tab w:val="num" w:pos="3840"/>
        </w:tabs>
        <w:ind w:left="3840" w:hanging="420"/>
      </w:pPr>
    </w:lvl>
    <w:lvl w:ilvl="8" w:tplc="294EF0F2">
      <w:start w:val="1"/>
      <w:numFmt w:val="lowerRoman"/>
      <w:lvlText w:val="%9."/>
      <w:lvlJc w:val="right"/>
      <w:pPr>
        <w:tabs>
          <w:tab w:val="num" w:pos="4260"/>
        </w:tabs>
        <w:ind w:left="4260" w:hanging="420"/>
      </w:pPr>
    </w:lvl>
  </w:abstractNum>
  <w:abstractNum w:abstractNumId="2">
    <w:nsid w:val="7EC34207"/>
    <w:multiLevelType w:val="hybridMultilevel"/>
    <w:tmpl w:val="58FC50DE"/>
    <w:lvl w:ilvl="0" w:tplc="E14A80B8">
      <w:start w:val="1"/>
      <w:numFmt w:val="japaneseCounting"/>
      <w:lvlText w:val="%1、"/>
      <w:lvlJc w:val="left"/>
      <w:pPr>
        <w:tabs>
          <w:tab w:val="num" w:pos="480"/>
        </w:tabs>
        <w:ind w:left="480" w:hanging="480"/>
      </w:pPr>
      <w:rPr>
        <w:rFonts w:eastAsia="宋体" w:hint="eastAsia"/>
        <w:color w:val="auto"/>
      </w:rPr>
    </w:lvl>
    <w:lvl w:ilvl="1" w:tplc="9FECD1F6">
      <w:start w:val="1"/>
      <w:numFmt w:val="japaneseCounting"/>
      <w:lvlText w:val="(%2)"/>
      <w:lvlJc w:val="left"/>
      <w:pPr>
        <w:tabs>
          <w:tab w:val="num" w:pos="810"/>
        </w:tabs>
        <w:ind w:left="810" w:hanging="390"/>
      </w:pPr>
      <w:rPr>
        <w:rFonts w:hint="eastAsia"/>
      </w:rPr>
    </w:lvl>
    <w:lvl w:ilvl="2" w:tplc="40B25152">
      <w:start w:val="1"/>
      <w:numFmt w:val="decimal"/>
      <w:lvlText w:val="%3、"/>
      <w:lvlJc w:val="left"/>
      <w:pPr>
        <w:tabs>
          <w:tab w:val="num" w:pos="1200"/>
        </w:tabs>
        <w:ind w:left="1200" w:hanging="360"/>
      </w:pPr>
      <w:rPr>
        <w:rFonts w:hint="eastAsia"/>
      </w:rPr>
    </w:lvl>
    <w:lvl w:ilvl="3" w:tplc="0C323C92">
      <w:start w:val="1"/>
      <w:numFmt w:val="decimal"/>
      <w:lvlText w:val="%4."/>
      <w:lvlJc w:val="left"/>
      <w:pPr>
        <w:tabs>
          <w:tab w:val="num" w:pos="1680"/>
        </w:tabs>
        <w:ind w:left="1680" w:hanging="420"/>
      </w:pPr>
    </w:lvl>
    <w:lvl w:ilvl="4" w:tplc="0D909000">
      <w:start w:val="1"/>
      <w:numFmt w:val="lowerLetter"/>
      <w:lvlText w:val="%5)"/>
      <w:lvlJc w:val="left"/>
      <w:pPr>
        <w:tabs>
          <w:tab w:val="num" w:pos="2100"/>
        </w:tabs>
        <w:ind w:left="2100" w:hanging="420"/>
      </w:pPr>
    </w:lvl>
    <w:lvl w:ilvl="5" w:tplc="CD12A000">
      <w:start w:val="1"/>
      <w:numFmt w:val="lowerRoman"/>
      <w:lvlText w:val="%6."/>
      <w:lvlJc w:val="right"/>
      <w:pPr>
        <w:tabs>
          <w:tab w:val="num" w:pos="2520"/>
        </w:tabs>
        <w:ind w:left="2520" w:hanging="420"/>
      </w:pPr>
    </w:lvl>
    <w:lvl w:ilvl="6" w:tplc="910E7090">
      <w:start w:val="1"/>
      <w:numFmt w:val="decimal"/>
      <w:lvlText w:val="%7."/>
      <w:lvlJc w:val="left"/>
      <w:pPr>
        <w:tabs>
          <w:tab w:val="num" w:pos="2940"/>
        </w:tabs>
        <w:ind w:left="2940" w:hanging="420"/>
      </w:pPr>
    </w:lvl>
    <w:lvl w:ilvl="7" w:tplc="BE3EFC6E">
      <w:start w:val="1"/>
      <w:numFmt w:val="lowerLetter"/>
      <w:lvlText w:val="%8)"/>
      <w:lvlJc w:val="left"/>
      <w:pPr>
        <w:tabs>
          <w:tab w:val="num" w:pos="3360"/>
        </w:tabs>
        <w:ind w:left="3360" w:hanging="420"/>
      </w:pPr>
    </w:lvl>
    <w:lvl w:ilvl="8" w:tplc="CD9EE0D6">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3872"/>
    <w:rsid w:val="007C128A"/>
    <w:rsid w:val="00CE38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C0E3-CCFD-45E9-91C1-BAD5CF37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6813</Characters>
  <Application>Microsoft Office Word</Application>
  <DocSecurity>4</DocSecurity>
  <Lines>56</Lines>
  <Paragraphs>15</Paragraphs>
  <ScaleCrop>false</ScaleCrop>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2019-07-16T16:15:00Z</dcterms:created>
  <dcterms:modified xsi:type="dcterms:W3CDTF">2019-07-16T16:15:00Z</dcterms:modified>
</cp:coreProperties>
</file>