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8" w:rsidRDefault="00C34238">
      <w:pPr>
        <w:autoSpaceDE w:val="0"/>
        <w:autoSpaceDN w:val="0"/>
        <w:adjustRightInd w:val="0"/>
        <w:spacing w:line="360" w:lineRule="auto"/>
        <w:jc w:val="left"/>
        <w:rPr>
          <w:rFonts w:eastAsiaTheme="minorEastAsia"/>
          <w:color w:val="000000" w:themeColor="text1"/>
          <w:kern w:val="0"/>
          <w:szCs w:val="21"/>
        </w:rPr>
      </w:pPr>
    </w:p>
    <w:p w:rsidR="00C34238" w:rsidRDefault="00C34238">
      <w:pPr>
        <w:autoSpaceDE w:val="0"/>
        <w:autoSpaceDN w:val="0"/>
        <w:adjustRightInd w:val="0"/>
        <w:spacing w:line="360" w:lineRule="auto"/>
        <w:jc w:val="left"/>
        <w:rPr>
          <w:rFonts w:eastAsiaTheme="minorEastAsia"/>
          <w:color w:val="000000" w:themeColor="text1"/>
          <w:kern w:val="0"/>
          <w:szCs w:val="21"/>
        </w:rPr>
      </w:pPr>
    </w:p>
    <w:p w:rsidR="00C34238" w:rsidRDefault="00C34238">
      <w:pPr>
        <w:autoSpaceDE w:val="0"/>
        <w:autoSpaceDN w:val="0"/>
        <w:adjustRightInd w:val="0"/>
        <w:spacing w:line="360" w:lineRule="auto"/>
        <w:jc w:val="left"/>
        <w:rPr>
          <w:rFonts w:eastAsiaTheme="minorEastAsia"/>
          <w:color w:val="000000" w:themeColor="text1"/>
          <w:kern w:val="0"/>
          <w:szCs w:val="21"/>
        </w:rPr>
      </w:pPr>
    </w:p>
    <w:p w:rsidR="00C34238" w:rsidRDefault="00C34238">
      <w:pPr>
        <w:autoSpaceDE w:val="0"/>
        <w:autoSpaceDN w:val="0"/>
        <w:adjustRightInd w:val="0"/>
        <w:spacing w:line="360" w:lineRule="auto"/>
        <w:jc w:val="left"/>
        <w:rPr>
          <w:rFonts w:eastAsiaTheme="minorEastAsia"/>
          <w:color w:val="000000" w:themeColor="text1"/>
          <w:kern w:val="0"/>
          <w:szCs w:val="21"/>
        </w:rPr>
      </w:pPr>
    </w:p>
    <w:p w:rsidR="00C34238" w:rsidRDefault="00C34238">
      <w:pPr>
        <w:autoSpaceDE w:val="0"/>
        <w:autoSpaceDN w:val="0"/>
        <w:adjustRightInd w:val="0"/>
        <w:spacing w:line="360" w:lineRule="auto"/>
        <w:jc w:val="left"/>
        <w:rPr>
          <w:rFonts w:eastAsiaTheme="minorEastAsia"/>
          <w:color w:val="000000" w:themeColor="text1"/>
          <w:kern w:val="0"/>
          <w:szCs w:val="21"/>
        </w:rPr>
      </w:pPr>
    </w:p>
    <w:p w:rsidR="00C34238" w:rsidRDefault="00CF4482">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华安安悦债券型证券投资基金</w:t>
      </w:r>
    </w:p>
    <w:p w:rsidR="00C34238" w:rsidRDefault="00CF4482">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C34238" w:rsidRDefault="00CF4482">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jc w:val="center"/>
        <w:rPr>
          <w:rFonts w:eastAsiaTheme="minorEastAsia"/>
          <w:b/>
          <w:color w:val="000000" w:themeColor="text1"/>
          <w:szCs w:val="21"/>
        </w:rPr>
      </w:pPr>
    </w:p>
    <w:p w:rsidR="00C34238" w:rsidRDefault="00C34238">
      <w:pPr>
        <w:spacing w:line="360" w:lineRule="auto"/>
        <w:rPr>
          <w:rFonts w:eastAsiaTheme="minorEastAsia"/>
          <w:b/>
          <w:color w:val="000000" w:themeColor="text1"/>
          <w:szCs w:val="21"/>
        </w:rPr>
      </w:pPr>
    </w:p>
    <w:p w:rsidR="00C34238" w:rsidRDefault="00CF4482">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C34238" w:rsidRDefault="00CF4482">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基金托管人：浙商银行股份有限公司</w:t>
      </w:r>
    </w:p>
    <w:p w:rsidR="00C34238" w:rsidRDefault="00CF4482">
      <w:pPr>
        <w:spacing w:line="360" w:lineRule="auto"/>
        <w:ind w:firstLineChars="900" w:firstLine="2168"/>
        <w:rPr>
          <w:rFonts w:eastAsiaTheme="minorEastAsia"/>
          <w:color w:val="000000" w:themeColor="text1"/>
          <w:szCs w:val="21"/>
        </w:rPr>
        <w:sectPr w:rsidR="00C34238">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报告送出日期：二〇一九年七月十七日</w:t>
      </w:r>
    </w:p>
    <w:p w:rsidR="00C34238" w:rsidRDefault="00CF4482" w:rsidP="004723F3">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基金托管人浙商银行股份有限公司根据本基金合同规定，于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日复核了本报告中的财务指标、净值表现和投资组合报告等内容，保证复核内容不存在虚假记载、误导性陈述或者重大遗漏。</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C34238">
        <w:tc>
          <w:tcPr>
            <w:tcW w:w="2835"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华安安悦债券</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005531</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1,794,419,303.13</w:t>
            </w:r>
            <w:r>
              <w:rPr>
                <w:rFonts w:eastAsiaTheme="minorEastAsia"/>
                <w:color w:val="000000" w:themeColor="text1"/>
                <w:kern w:val="0"/>
                <w:szCs w:val="21"/>
              </w:rPr>
              <w:t>份</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本基金在一定程度上控制组合净值波动率的前提下，力争长期内实现超越业绩比较基准的投资回报。</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充分发挥基金管理人的研究优势，将规范的宏观研究、严谨的个券分析与积极主动的投资风格相结合，在分析和判断宏观经济运行状况和金融市场运行趋势的基础上，动态调整大类资产配置比例，自上而下决定债券组合久期及债券类属配置；在严谨深入的基本面分析和信用分析基础上，综合考量各类券种的流动性、供求关系、风险及收益率水平等，自下而上地精选个券。</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中债综合全价指数收益率</w:t>
            </w:r>
            <w:r>
              <w:rPr>
                <w:rFonts w:eastAsiaTheme="minorEastAsia"/>
                <w:color w:val="000000" w:themeColor="text1"/>
                <w:kern w:val="0"/>
                <w:szCs w:val="21"/>
              </w:rPr>
              <w:t>×90%+1</w:t>
            </w:r>
            <w:r>
              <w:rPr>
                <w:rFonts w:eastAsiaTheme="minorEastAsia"/>
                <w:color w:val="000000" w:themeColor="text1"/>
                <w:kern w:val="0"/>
                <w:szCs w:val="21"/>
              </w:rPr>
              <w:t>年期定期存款利率（税后）</w:t>
            </w:r>
            <w:r>
              <w:rPr>
                <w:rFonts w:eastAsiaTheme="minorEastAsia"/>
                <w:color w:val="000000" w:themeColor="text1"/>
                <w:kern w:val="0"/>
                <w:szCs w:val="21"/>
              </w:rPr>
              <w:t>×10%</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本基金为债券型基金，其预期的风险及预期的收益水平低于股票型基金和混合型基金，高于货币市场基金。</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浙商银行股份有限公司</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C34238" w:rsidRDefault="00CF4482">
            <w:pPr>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A</w:t>
            </w:r>
          </w:p>
        </w:tc>
        <w:tc>
          <w:tcPr>
            <w:tcW w:w="2740" w:type="dxa"/>
            <w:vAlign w:val="center"/>
          </w:tcPr>
          <w:p w:rsidR="00C34238" w:rsidRDefault="00CF4482">
            <w:pPr>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C</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C34238" w:rsidRDefault="00CF4482">
            <w:pPr>
              <w:rPr>
                <w:rFonts w:eastAsiaTheme="minorEastAsia"/>
                <w:color w:val="000000" w:themeColor="text1"/>
                <w:szCs w:val="21"/>
              </w:rPr>
            </w:pPr>
            <w:r>
              <w:rPr>
                <w:rFonts w:eastAsiaTheme="minorEastAsia"/>
                <w:color w:val="000000" w:themeColor="text1"/>
                <w:szCs w:val="21"/>
              </w:rPr>
              <w:t>005531</w:t>
            </w:r>
          </w:p>
        </w:tc>
        <w:tc>
          <w:tcPr>
            <w:tcW w:w="2740" w:type="dxa"/>
            <w:vAlign w:val="center"/>
          </w:tcPr>
          <w:p w:rsidR="00C34238" w:rsidRDefault="00CF4482">
            <w:pPr>
              <w:rPr>
                <w:rFonts w:eastAsiaTheme="minorEastAsia"/>
                <w:color w:val="000000" w:themeColor="text1"/>
                <w:szCs w:val="21"/>
              </w:rPr>
            </w:pPr>
            <w:r>
              <w:rPr>
                <w:rFonts w:eastAsiaTheme="minorEastAsia"/>
                <w:color w:val="000000" w:themeColor="text1"/>
                <w:szCs w:val="21"/>
              </w:rPr>
              <w:t>005532</w:t>
            </w:r>
          </w:p>
        </w:tc>
      </w:tr>
      <w:tr w:rsidR="00C34238">
        <w:tc>
          <w:tcPr>
            <w:tcW w:w="2835" w:type="dxa"/>
            <w:vAlign w:val="center"/>
          </w:tcPr>
          <w:p w:rsidR="00C34238" w:rsidRDefault="00CF4482">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C34238" w:rsidRDefault="00CF4482">
            <w:pPr>
              <w:rPr>
                <w:rFonts w:eastAsiaTheme="minorEastAsia"/>
                <w:color w:val="000000" w:themeColor="text1"/>
                <w:szCs w:val="21"/>
              </w:rPr>
            </w:pPr>
            <w:r>
              <w:rPr>
                <w:rFonts w:eastAsiaTheme="minorEastAsia"/>
                <w:color w:val="000000" w:themeColor="text1"/>
                <w:szCs w:val="21"/>
              </w:rPr>
              <w:t>1,794,381,079.52</w:t>
            </w:r>
            <w:r>
              <w:rPr>
                <w:rFonts w:eastAsiaTheme="minorEastAsia"/>
                <w:color w:val="000000" w:themeColor="text1"/>
                <w:kern w:val="0"/>
                <w:szCs w:val="21"/>
              </w:rPr>
              <w:t>份</w:t>
            </w:r>
          </w:p>
        </w:tc>
        <w:tc>
          <w:tcPr>
            <w:tcW w:w="2740" w:type="dxa"/>
            <w:vAlign w:val="center"/>
          </w:tcPr>
          <w:p w:rsidR="00C34238" w:rsidRDefault="00CF4482">
            <w:pPr>
              <w:rPr>
                <w:rFonts w:eastAsiaTheme="minorEastAsia"/>
                <w:color w:val="000000" w:themeColor="text1"/>
                <w:szCs w:val="21"/>
              </w:rPr>
            </w:pPr>
            <w:r>
              <w:rPr>
                <w:rFonts w:eastAsiaTheme="minorEastAsia"/>
                <w:color w:val="000000" w:themeColor="text1"/>
                <w:szCs w:val="21"/>
              </w:rPr>
              <w:t>38,223.61</w:t>
            </w:r>
            <w:r>
              <w:rPr>
                <w:rFonts w:eastAsiaTheme="minorEastAsia"/>
                <w:color w:val="000000" w:themeColor="text1"/>
                <w:kern w:val="0"/>
                <w:szCs w:val="21"/>
              </w:rPr>
              <w:t>份</w:t>
            </w:r>
          </w:p>
        </w:tc>
      </w:tr>
    </w:tbl>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C34238" w:rsidRDefault="00CF448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C34238" w:rsidRDefault="00CF4482">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C34238">
        <w:tc>
          <w:tcPr>
            <w:tcW w:w="3402" w:type="dxa"/>
            <w:vMerge w:val="restart"/>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C34238" w:rsidRDefault="00CF448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C34238" w:rsidRDefault="00CF448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C34238">
        <w:tc>
          <w:tcPr>
            <w:tcW w:w="3402" w:type="dxa"/>
            <w:vMerge/>
            <w:vAlign w:val="center"/>
          </w:tcPr>
          <w:p w:rsidR="00C34238" w:rsidRDefault="00C34238">
            <w:pPr>
              <w:adjustRightInd w:val="0"/>
              <w:spacing w:before="29" w:line="360" w:lineRule="auto"/>
              <w:ind w:left="17"/>
              <w:rPr>
                <w:rFonts w:eastAsiaTheme="minorEastAsia"/>
                <w:color w:val="000000" w:themeColor="text1"/>
                <w:kern w:val="0"/>
                <w:szCs w:val="21"/>
              </w:rPr>
            </w:pPr>
          </w:p>
        </w:tc>
        <w:tc>
          <w:tcPr>
            <w:tcW w:w="2481" w:type="dxa"/>
            <w:vAlign w:val="center"/>
          </w:tcPr>
          <w:p w:rsidR="00C34238" w:rsidRDefault="00CF448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A</w:t>
            </w:r>
          </w:p>
        </w:tc>
        <w:tc>
          <w:tcPr>
            <w:tcW w:w="2481" w:type="dxa"/>
            <w:vAlign w:val="center"/>
          </w:tcPr>
          <w:p w:rsidR="00C34238" w:rsidRDefault="00CF4482">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C</w:t>
            </w:r>
          </w:p>
        </w:tc>
      </w:tr>
      <w:tr w:rsidR="00C34238">
        <w:tc>
          <w:tcPr>
            <w:tcW w:w="3402"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12,605,270.87</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247.69</w:t>
            </w:r>
          </w:p>
        </w:tc>
      </w:tr>
      <w:tr w:rsidR="00C34238">
        <w:tc>
          <w:tcPr>
            <w:tcW w:w="3402"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12,239,956.47</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102.80</w:t>
            </w:r>
          </w:p>
        </w:tc>
      </w:tr>
      <w:tr w:rsidR="00C34238">
        <w:tc>
          <w:tcPr>
            <w:tcW w:w="3402"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0.0068</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0.0024</w:t>
            </w:r>
          </w:p>
        </w:tc>
      </w:tr>
      <w:tr w:rsidR="00C34238">
        <w:tc>
          <w:tcPr>
            <w:tcW w:w="3402"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1,829,975,529.99</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38,970.36</w:t>
            </w:r>
          </w:p>
        </w:tc>
      </w:tr>
      <w:tr w:rsidR="00C34238">
        <w:trPr>
          <w:trHeight w:val="158"/>
        </w:trPr>
        <w:tc>
          <w:tcPr>
            <w:tcW w:w="3402" w:type="dxa"/>
            <w:vAlign w:val="center"/>
          </w:tcPr>
          <w:p w:rsidR="00C34238" w:rsidRDefault="00CF4482">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1.0198</w:t>
            </w:r>
          </w:p>
        </w:tc>
        <w:tc>
          <w:tcPr>
            <w:tcW w:w="2481" w:type="dxa"/>
            <w:vAlign w:val="center"/>
          </w:tcPr>
          <w:p w:rsidR="00C34238" w:rsidRDefault="00CF4482">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1.0195</w:t>
            </w:r>
          </w:p>
        </w:tc>
      </w:tr>
    </w:tbl>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所述基金业绩指标不包括持有人认购或交易基金的各项费用（例如：封闭式基金交易佣金，开放式基金的申购赎回费、红利再投资费、基金转换费等），计入费用后实际收益水平要低于所列数字。</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C34238" w:rsidRDefault="00CF448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C34238" w:rsidRDefault="00CF4482">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华安安悦债券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C34238">
        <w:tc>
          <w:tcPr>
            <w:tcW w:w="1290"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34238">
        <w:tc>
          <w:tcPr>
            <w:tcW w:w="1290" w:type="dxa"/>
            <w:vAlign w:val="center"/>
          </w:tcPr>
          <w:p w:rsidR="00C34238" w:rsidRDefault="00CF4482">
            <w:pPr>
              <w:jc w:val="left"/>
            </w:pPr>
            <w:r>
              <w:rPr>
                <w:rFonts w:eastAsiaTheme="minorEastAsia"/>
                <w:color w:val="000000" w:themeColor="text1"/>
                <w:szCs w:val="21"/>
              </w:rPr>
              <w:t>过去三个月</w:t>
            </w:r>
          </w:p>
        </w:tc>
        <w:tc>
          <w:tcPr>
            <w:tcW w:w="1291" w:type="dxa"/>
            <w:vAlign w:val="center"/>
          </w:tcPr>
          <w:p w:rsidR="00C34238" w:rsidRDefault="00CF4482">
            <w:pPr>
              <w:jc w:val="right"/>
            </w:pPr>
            <w:r>
              <w:rPr>
                <w:rFonts w:eastAsiaTheme="minorEastAsia"/>
                <w:color w:val="000000" w:themeColor="text1"/>
                <w:szCs w:val="21"/>
              </w:rPr>
              <w:t>0.67%</w:t>
            </w:r>
          </w:p>
        </w:tc>
        <w:tc>
          <w:tcPr>
            <w:tcW w:w="1291" w:type="dxa"/>
            <w:vAlign w:val="center"/>
          </w:tcPr>
          <w:p w:rsidR="00C34238" w:rsidRDefault="00CF4482">
            <w:pPr>
              <w:jc w:val="right"/>
            </w:pPr>
            <w:r>
              <w:rPr>
                <w:rFonts w:eastAsiaTheme="minorEastAsia"/>
                <w:color w:val="000000" w:themeColor="text1"/>
                <w:szCs w:val="21"/>
              </w:rPr>
              <w:t>0.04%</w:t>
            </w:r>
          </w:p>
        </w:tc>
        <w:tc>
          <w:tcPr>
            <w:tcW w:w="1291" w:type="dxa"/>
            <w:vAlign w:val="center"/>
          </w:tcPr>
          <w:p w:rsidR="00C34238" w:rsidRDefault="00CF4482">
            <w:pPr>
              <w:jc w:val="right"/>
            </w:pPr>
            <w:r>
              <w:rPr>
                <w:rFonts w:eastAsiaTheme="minorEastAsia"/>
                <w:color w:val="000000" w:themeColor="text1"/>
                <w:szCs w:val="21"/>
              </w:rPr>
              <w:t>-0.17%</w:t>
            </w:r>
          </w:p>
        </w:tc>
        <w:tc>
          <w:tcPr>
            <w:tcW w:w="1291" w:type="dxa"/>
            <w:vAlign w:val="center"/>
          </w:tcPr>
          <w:p w:rsidR="00C34238" w:rsidRDefault="00CF4482">
            <w:pPr>
              <w:jc w:val="right"/>
            </w:pPr>
            <w:r>
              <w:rPr>
                <w:rFonts w:eastAsiaTheme="minorEastAsia"/>
                <w:color w:val="000000" w:themeColor="text1"/>
                <w:szCs w:val="21"/>
              </w:rPr>
              <w:t>0.06%</w:t>
            </w:r>
          </w:p>
        </w:tc>
        <w:tc>
          <w:tcPr>
            <w:tcW w:w="1291" w:type="dxa"/>
            <w:vAlign w:val="center"/>
          </w:tcPr>
          <w:p w:rsidR="00C34238" w:rsidRDefault="00CF4482">
            <w:pPr>
              <w:jc w:val="right"/>
            </w:pPr>
            <w:r>
              <w:rPr>
                <w:rFonts w:eastAsiaTheme="minorEastAsia"/>
                <w:color w:val="000000" w:themeColor="text1"/>
                <w:szCs w:val="21"/>
              </w:rPr>
              <w:t>0.84%</w:t>
            </w:r>
          </w:p>
        </w:tc>
        <w:tc>
          <w:tcPr>
            <w:tcW w:w="1291" w:type="dxa"/>
            <w:vAlign w:val="center"/>
          </w:tcPr>
          <w:p w:rsidR="00C34238" w:rsidRDefault="00CF4482">
            <w:pPr>
              <w:jc w:val="right"/>
            </w:pPr>
            <w:r>
              <w:rPr>
                <w:rFonts w:eastAsiaTheme="minorEastAsia"/>
                <w:color w:val="000000" w:themeColor="text1"/>
                <w:szCs w:val="21"/>
              </w:rPr>
              <w:t>-0.02%</w:t>
            </w:r>
          </w:p>
        </w:tc>
      </w:tr>
    </w:tbl>
    <w:p w:rsidR="00C34238" w:rsidRDefault="00CF4482" w:rsidP="004723F3">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华安安悦债券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C34238">
        <w:tc>
          <w:tcPr>
            <w:tcW w:w="1290"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C34238" w:rsidRDefault="00CF448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C34238" w:rsidRDefault="00CF4482">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C34238" w:rsidRDefault="00CF4482">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34238">
        <w:tc>
          <w:tcPr>
            <w:tcW w:w="1290" w:type="dxa"/>
            <w:vAlign w:val="center"/>
          </w:tcPr>
          <w:p w:rsidR="00C34238" w:rsidRDefault="00CF4482">
            <w:pPr>
              <w:jc w:val="left"/>
            </w:pPr>
            <w:r>
              <w:rPr>
                <w:rFonts w:eastAsiaTheme="minorEastAsia"/>
                <w:color w:val="000000" w:themeColor="text1"/>
                <w:szCs w:val="21"/>
              </w:rPr>
              <w:t>过去三个月</w:t>
            </w:r>
          </w:p>
        </w:tc>
        <w:tc>
          <w:tcPr>
            <w:tcW w:w="1291" w:type="dxa"/>
            <w:vAlign w:val="center"/>
          </w:tcPr>
          <w:p w:rsidR="00C34238" w:rsidRDefault="00CF4482">
            <w:pPr>
              <w:jc w:val="right"/>
            </w:pPr>
            <w:r>
              <w:rPr>
                <w:rFonts w:eastAsiaTheme="minorEastAsia"/>
                <w:color w:val="000000" w:themeColor="text1"/>
                <w:szCs w:val="21"/>
              </w:rPr>
              <w:t>0.64%</w:t>
            </w:r>
          </w:p>
        </w:tc>
        <w:tc>
          <w:tcPr>
            <w:tcW w:w="1291" w:type="dxa"/>
            <w:vAlign w:val="center"/>
          </w:tcPr>
          <w:p w:rsidR="00C34238" w:rsidRDefault="00CF4482">
            <w:pPr>
              <w:jc w:val="right"/>
            </w:pPr>
            <w:r>
              <w:rPr>
                <w:rFonts w:eastAsiaTheme="minorEastAsia"/>
                <w:color w:val="000000" w:themeColor="text1"/>
                <w:szCs w:val="21"/>
              </w:rPr>
              <w:t>0.04%</w:t>
            </w:r>
          </w:p>
        </w:tc>
        <w:tc>
          <w:tcPr>
            <w:tcW w:w="1291" w:type="dxa"/>
            <w:vAlign w:val="center"/>
          </w:tcPr>
          <w:p w:rsidR="00C34238" w:rsidRDefault="00CF4482">
            <w:pPr>
              <w:jc w:val="right"/>
            </w:pPr>
            <w:r>
              <w:rPr>
                <w:rFonts w:eastAsiaTheme="minorEastAsia"/>
                <w:color w:val="000000" w:themeColor="text1"/>
                <w:szCs w:val="21"/>
              </w:rPr>
              <w:t>-0.17%</w:t>
            </w:r>
          </w:p>
        </w:tc>
        <w:tc>
          <w:tcPr>
            <w:tcW w:w="1291" w:type="dxa"/>
            <w:vAlign w:val="center"/>
          </w:tcPr>
          <w:p w:rsidR="00C34238" w:rsidRDefault="00CF4482">
            <w:pPr>
              <w:jc w:val="right"/>
            </w:pPr>
            <w:r>
              <w:rPr>
                <w:rFonts w:eastAsiaTheme="minorEastAsia"/>
                <w:color w:val="000000" w:themeColor="text1"/>
                <w:szCs w:val="21"/>
              </w:rPr>
              <w:t>0.06%</w:t>
            </w:r>
          </w:p>
        </w:tc>
        <w:tc>
          <w:tcPr>
            <w:tcW w:w="1291" w:type="dxa"/>
            <w:vAlign w:val="center"/>
          </w:tcPr>
          <w:p w:rsidR="00C34238" w:rsidRDefault="00CF4482">
            <w:pPr>
              <w:jc w:val="right"/>
            </w:pPr>
            <w:r>
              <w:rPr>
                <w:rFonts w:eastAsiaTheme="minorEastAsia"/>
                <w:color w:val="000000" w:themeColor="text1"/>
                <w:szCs w:val="21"/>
              </w:rPr>
              <w:t>0.81%</w:t>
            </w:r>
          </w:p>
        </w:tc>
        <w:tc>
          <w:tcPr>
            <w:tcW w:w="1291" w:type="dxa"/>
            <w:vAlign w:val="center"/>
          </w:tcPr>
          <w:p w:rsidR="00C34238" w:rsidRDefault="00CF4482">
            <w:pPr>
              <w:jc w:val="right"/>
            </w:pPr>
            <w:r>
              <w:rPr>
                <w:rFonts w:eastAsiaTheme="minorEastAsia"/>
                <w:color w:val="000000" w:themeColor="text1"/>
                <w:szCs w:val="21"/>
              </w:rPr>
              <w:t>-0.02%</w:t>
            </w:r>
          </w:p>
        </w:tc>
      </w:tr>
    </w:tbl>
    <w:p w:rsidR="00C34238" w:rsidRDefault="00CF4482" w:rsidP="004723F3">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C34238" w:rsidRDefault="00CF4482">
      <w:pPr>
        <w:spacing w:line="360" w:lineRule="auto"/>
        <w:jc w:val="center"/>
        <w:rPr>
          <w:rFonts w:eastAsiaTheme="minorEastAsia"/>
          <w:color w:val="000000" w:themeColor="text1"/>
          <w:szCs w:val="21"/>
        </w:rPr>
      </w:pPr>
      <w:r>
        <w:rPr>
          <w:rFonts w:eastAsiaTheme="minorEastAsia"/>
          <w:color w:val="000000" w:themeColor="text1"/>
          <w:szCs w:val="21"/>
        </w:rPr>
        <w:t>华安安悦债券型证券投资基金</w:t>
      </w:r>
    </w:p>
    <w:p w:rsidR="00C34238" w:rsidRDefault="00CF4482">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C34238" w:rsidRDefault="00CF4482">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6</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C34238" w:rsidRDefault="00CF4482">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．华安安悦债券</w:t>
      </w:r>
      <w:r>
        <w:rPr>
          <w:rFonts w:eastAsiaTheme="minorEastAsia"/>
          <w:color w:val="000000" w:themeColor="text1"/>
          <w:szCs w:val="21"/>
        </w:rPr>
        <w:t>A</w:t>
      </w:r>
      <w:r>
        <w:rPr>
          <w:rFonts w:eastAsiaTheme="minorEastAsia"/>
          <w:color w:val="000000" w:themeColor="text1"/>
          <w:szCs w:val="21"/>
        </w:rPr>
        <w:t>：</w:t>
      </w:r>
    </w:p>
    <w:p w:rsidR="00C34238" w:rsidRDefault="00CF4482">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C34238" w:rsidRDefault="00CF4482" w:rsidP="004723F3">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．华安安悦债券</w:t>
      </w:r>
      <w:r>
        <w:rPr>
          <w:rFonts w:eastAsiaTheme="minorEastAsia"/>
          <w:color w:val="000000" w:themeColor="text1"/>
          <w:szCs w:val="21"/>
        </w:rPr>
        <w:t>C</w:t>
      </w:r>
      <w:r>
        <w:rPr>
          <w:rFonts w:eastAsiaTheme="minorEastAsia"/>
          <w:color w:val="000000" w:themeColor="text1"/>
          <w:szCs w:val="21"/>
        </w:rPr>
        <w:t>：</w:t>
      </w:r>
    </w:p>
    <w:p w:rsidR="00C34238" w:rsidRDefault="00CF4482">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C34238" w:rsidRDefault="00CF448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C34238">
        <w:tc>
          <w:tcPr>
            <w:tcW w:w="952" w:type="dxa"/>
            <w:vMerge w:val="restart"/>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C34238">
        <w:tc>
          <w:tcPr>
            <w:tcW w:w="952" w:type="dxa"/>
            <w:vMerge/>
            <w:vAlign w:val="center"/>
          </w:tcPr>
          <w:p w:rsidR="00C34238" w:rsidRDefault="00C34238">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34238" w:rsidRDefault="00C34238">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C34238" w:rsidRDefault="00C34238">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34238" w:rsidRDefault="00C34238">
            <w:pPr>
              <w:autoSpaceDE w:val="0"/>
              <w:autoSpaceDN w:val="0"/>
              <w:adjustRightInd w:val="0"/>
              <w:spacing w:before="29" w:line="288" w:lineRule="auto"/>
              <w:ind w:left="15"/>
              <w:jc w:val="center"/>
              <w:rPr>
                <w:rFonts w:eastAsiaTheme="minorEastAsia"/>
                <w:color w:val="000000" w:themeColor="text1"/>
                <w:kern w:val="0"/>
                <w:szCs w:val="21"/>
              </w:rPr>
            </w:pPr>
          </w:p>
        </w:tc>
      </w:tr>
      <w:tr w:rsidR="00C34238">
        <w:tc>
          <w:tcPr>
            <w:tcW w:w="952" w:type="dxa"/>
            <w:vAlign w:val="center"/>
          </w:tcPr>
          <w:p w:rsidR="00C34238" w:rsidRDefault="00CF4482">
            <w:pPr>
              <w:jc w:val="center"/>
            </w:pPr>
            <w:r>
              <w:rPr>
                <w:rFonts w:eastAsiaTheme="minorEastAsia"/>
                <w:color w:val="000000" w:themeColor="text1"/>
                <w:szCs w:val="21"/>
              </w:rPr>
              <w:t>郑如熙</w:t>
            </w:r>
          </w:p>
        </w:tc>
        <w:tc>
          <w:tcPr>
            <w:tcW w:w="930" w:type="dxa"/>
            <w:vAlign w:val="center"/>
          </w:tcPr>
          <w:p w:rsidR="00C34238" w:rsidRDefault="00CF4482">
            <w:pPr>
              <w:jc w:val="center"/>
            </w:pPr>
            <w:r>
              <w:rPr>
                <w:rFonts w:eastAsiaTheme="minorEastAsia"/>
                <w:color w:val="000000" w:themeColor="text1"/>
                <w:szCs w:val="21"/>
              </w:rPr>
              <w:t>本基金的基金经理</w:t>
            </w:r>
          </w:p>
        </w:tc>
        <w:tc>
          <w:tcPr>
            <w:tcW w:w="1210" w:type="dxa"/>
            <w:vAlign w:val="center"/>
          </w:tcPr>
          <w:p w:rsidR="00C34238" w:rsidRDefault="00CF4482">
            <w:pPr>
              <w:jc w:val="center"/>
            </w:pPr>
            <w:r>
              <w:rPr>
                <w:rFonts w:eastAsiaTheme="minorEastAsia"/>
                <w:color w:val="000000" w:themeColor="text1"/>
                <w:szCs w:val="21"/>
              </w:rPr>
              <w:t>2018-03-06</w:t>
            </w:r>
          </w:p>
        </w:tc>
        <w:tc>
          <w:tcPr>
            <w:tcW w:w="1309" w:type="dxa"/>
            <w:vAlign w:val="center"/>
          </w:tcPr>
          <w:p w:rsidR="00C34238" w:rsidRDefault="00CF4482">
            <w:pPr>
              <w:jc w:val="center"/>
            </w:pPr>
            <w:r>
              <w:rPr>
                <w:rFonts w:eastAsiaTheme="minorEastAsia"/>
                <w:color w:val="000000" w:themeColor="text1"/>
                <w:szCs w:val="21"/>
              </w:rPr>
              <w:t>-</w:t>
            </w:r>
          </w:p>
        </w:tc>
        <w:tc>
          <w:tcPr>
            <w:tcW w:w="1254" w:type="dxa"/>
            <w:vAlign w:val="center"/>
          </w:tcPr>
          <w:p w:rsidR="00C34238" w:rsidRDefault="00CF4482">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C34238" w:rsidRDefault="00CF4482">
            <w:r>
              <w:rPr>
                <w:rFonts w:eastAsiaTheme="minorEastAsia"/>
                <w:color w:val="000000" w:themeColor="text1"/>
                <w:szCs w:val="21"/>
              </w:rPr>
              <w:t>复旦大学硕士，</w:t>
            </w:r>
            <w:r>
              <w:rPr>
                <w:rFonts w:eastAsiaTheme="minorEastAsia"/>
                <w:color w:val="000000" w:themeColor="text1"/>
                <w:szCs w:val="21"/>
              </w:rPr>
              <w:t>15</w:t>
            </w:r>
            <w:r>
              <w:rPr>
                <w:rFonts w:eastAsiaTheme="minorEastAsia"/>
                <w:color w:val="000000" w:themeColor="text1"/>
                <w:szCs w:val="21"/>
              </w:rPr>
              <w:t>年相关从业经验。历任上海远东资信评估有限公司评级分析师、太平资产管理有限公司信用研究员、华泰证券股份有限公司投资经理、交易团队负责人，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月加入华安基金，任固定收益部研究员。</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月起，担任华安纯债债券型发起式证券投资基金的基金经理。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月，同时担任华安慧增优选定期开放灵活配置混合型证券投资基金的基金经理。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月起，同时担任本基金、华安安逸半年定期开放债券型发起式证券投资基金的基金经理。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月起，同时担任华安鼎益债券型证券投资基金的基金经理。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月起，同时担任华安安泰定期开放债券型发起式证券投资基金的基金经理。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月起，同时担任华安添鑫中短债债券型证券投资基金的基金经理。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月起，同时担任华安安平</w:t>
            </w:r>
            <w:r>
              <w:rPr>
                <w:rFonts w:eastAsiaTheme="minorEastAsia"/>
                <w:color w:val="000000" w:themeColor="text1"/>
                <w:szCs w:val="21"/>
              </w:rPr>
              <w:t>6</w:t>
            </w:r>
            <w:r>
              <w:rPr>
                <w:rFonts w:eastAsiaTheme="minorEastAsia"/>
                <w:color w:val="000000" w:themeColor="text1"/>
                <w:szCs w:val="21"/>
              </w:rPr>
              <w:t>个月定期开放债券型发起式证券投资基金、华安科创主题</w:t>
            </w:r>
            <w:r>
              <w:rPr>
                <w:rFonts w:eastAsiaTheme="minorEastAsia"/>
                <w:color w:val="000000" w:themeColor="text1"/>
                <w:szCs w:val="21"/>
              </w:rPr>
              <w:t>3</w:t>
            </w:r>
            <w:r>
              <w:rPr>
                <w:rFonts w:eastAsiaTheme="minorEastAsia"/>
                <w:color w:val="000000" w:themeColor="text1"/>
                <w:szCs w:val="21"/>
              </w:rPr>
              <w:t>年封闭运作灵活配置混合型证券投资基金的基金经理。</w:t>
            </w:r>
          </w:p>
        </w:tc>
      </w:tr>
    </w:tbl>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C34238" w:rsidRDefault="00CF4482">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）银行间市场业务遵循指令时间优先原则，先到先询价的控制原则。通过内部共同的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本报告期内，公司公平交易制度总体执行情况良好。</w:t>
      </w:r>
    </w:p>
    <w:p w:rsidR="00C34238" w:rsidRDefault="00CF4482">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风险管理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C34238" w:rsidRDefault="00CF4482">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年一季度债券利率整体呈现震荡走势，利率重心整体略有升高。二季度末</w:t>
      </w:r>
      <w:r>
        <w:rPr>
          <w:rFonts w:eastAsiaTheme="minorEastAsia"/>
          <w:color w:val="000000" w:themeColor="text1"/>
          <w:szCs w:val="21"/>
        </w:rPr>
        <w:t>10</w:t>
      </w:r>
      <w:r>
        <w:rPr>
          <w:rFonts w:eastAsiaTheme="minorEastAsia"/>
          <w:color w:val="000000" w:themeColor="text1"/>
          <w:szCs w:val="21"/>
        </w:rPr>
        <w:t>年国债、</w:t>
      </w:r>
      <w:r>
        <w:rPr>
          <w:rFonts w:eastAsiaTheme="minorEastAsia"/>
          <w:color w:val="000000" w:themeColor="text1"/>
          <w:szCs w:val="21"/>
        </w:rPr>
        <w:t>5</w:t>
      </w:r>
      <w:r>
        <w:rPr>
          <w:rFonts w:eastAsiaTheme="minorEastAsia"/>
          <w:color w:val="000000" w:themeColor="text1"/>
          <w:szCs w:val="21"/>
        </w:rPr>
        <w:t>年</w:t>
      </w:r>
      <w:r>
        <w:rPr>
          <w:rFonts w:eastAsiaTheme="minorEastAsia"/>
          <w:color w:val="000000" w:themeColor="text1"/>
          <w:szCs w:val="21"/>
        </w:rPr>
        <w:t>AAA</w:t>
      </w:r>
      <w:r>
        <w:rPr>
          <w:rFonts w:eastAsiaTheme="minorEastAsia"/>
          <w:color w:val="000000" w:themeColor="text1"/>
          <w:szCs w:val="21"/>
        </w:rPr>
        <w:t>中票利率分别比一季度末上行了</w:t>
      </w:r>
      <w:r>
        <w:rPr>
          <w:rFonts w:eastAsiaTheme="minorEastAsia"/>
          <w:color w:val="000000" w:themeColor="text1"/>
          <w:szCs w:val="21"/>
        </w:rPr>
        <w:t>19bp</w:t>
      </w:r>
      <w:r>
        <w:rPr>
          <w:rFonts w:eastAsiaTheme="minorEastAsia"/>
          <w:color w:val="000000" w:themeColor="text1"/>
          <w:szCs w:val="21"/>
        </w:rPr>
        <w:t>、</w:t>
      </w:r>
      <w:r>
        <w:rPr>
          <w:rFonts w:eastAsiaTheme="minorEastAsia"/>
          <w:color w:val="000000" w:themeColor="text1"/>
          <w:szCs w:val="21"/>
        </w:rPr>
        <w:t>4bp</w:t>
      </w: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5</w:t>
      </w:r>
      <w:r>
        <w:rPr>
          <w:rFonts w:eastAsiaTheme="minorEastAsia"/>
          <w:color w:val="000000" w:themeColor="text1"/>
          <w:szCs w:val="21"/>
        </w:rPr>
        <w:t>月由于经济数据强于预期，央行货币政策委员会一季度例会增加</w:t>
      </w:r>
      <w:r>
        <w:rPr>
          <w:rFonts w:eastAsiaTheme="minorEastAsia"/>
          <w:color w:val="000000" w:themeColor="text1"/>
          <w:szCs w:val="21"/>
        </w:rPr>
        <w:t>“</w:t>
      </w:r>
      <w:r>
        <w:rPr>
          <w:rFonts w:eastAsiaTheme="minorEastAsia"/>
          <w:color w:val="000000" w:themeColor="text1"/>
          <w:szCs w:val="21"/>
        </w:rPr>
        <w:t>战略定力</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总闸门</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防风险</w:t>
      </w:r>
      <w:r>
        <w:rPr>
          <w:rFonts w:eastAsiaTheme="minorEastAsia"/>
          <w:color w:val="000000" w:themeColor="text1"/>
          <w:szCs w:val="21"/>
        </w:rPr>
        <w:t>”</w:t>
      </w:r>
      <w:r>
        <w:rPr>
          <w:rFonts w:eastAsiaTheme="minorEastAsia"/>
          <w:color w:val="000000" w:themeColor="text1"/>
          <w:szCs w:val="21"/>
        </w:rPr>
        <w:t>表述，中央政治局会议提到</w:t>
      </w:r>
      <w:r>
        <w:rPr>
          <w:rFonts w:eastAsiaTheme="minorEastAsia"/>
          <w:color w:val="000000" w:themeColor="text1"/>
          <w:szCs w:val="21"/>
        </w:rPr>
        <w:t>“</w:t>
      </w:r>
      <w:r>
        <w:rPr>
          <w:rFonts w:eastAsiaTheme="minorEastAsia"/>
          <w:color w:val="000000" w:themeColor="text1"/>
          <w:szCs w:val="21"/>
        </w:rPr>
        <w:t>加快金融供给侧结构性改革</w:t>
      </w:r>
      <w:r>
        <w:rPr>
          <w:rFonts w:eastAsiaTheme="minorEastAsia"/>
          <w:color w:val="000000" w:themeColor="text1"/>
          <w:szCs w:val="21"/>
        </w:rPr>
        <w:t>”</w:t>
      </w:r>
      <w:r>
        <w:rPr>
          <w:rFonts w:eastAsiaTheme="minorEastAsia"/>
          <w:color w:val="000000" w:themeColor="text1"/>
          <w:szCs w:val="21"/>
        </w:rPr>
        <w:t>，使市场产生央行货币政策导向边际有所收紧的担忧，利率出现了一波明显的上行。但从</w:t>
      </w:r>
      <w:r>
        <w:rPr>
          <w:rFonts w:eastAsiaTheme="minorEastAsia"/>
          <w:color w:val="000000" w:themeColor="text1"/>
          <w:szCs w:val="21"/>
        </w:rPr>
        <w:t>5</w:t>
      </w:r>
      <w:r>
        <w:rPr>
          <w:rFonts w:eastAsiaTheme="minorEastAsia"/>
          <w:color w:val="000000" w:themeColor="text1"/>
          <w:szCs w:val="21"/>
        </w:rPr>
        <w:t>月下半月起，随着中美贸易争端的升级，</w:t>
      </w:r>
      <w:r>
        <w:rPr>
          <w:rFonts w:eastAsiaTheme="minorEastAsia"/>
          <w:color w:val="000000" w:themeColor="text1"/>
          <w:szCs w:val="21"/>
        </w:rPr>
        <w:t>5</w:t>
      </w:r>
      <w:r>
        <w:rPr>
          <w:rFonts w:eastAsiaTheme="minorEastAsia"/>
          <w:color w:val="000000" w:themeColor="text1"/>
          <w:szCs w:val="21"/>
        </w:rPr>
        <w:t>月经济数据也弱于预期，利率重新步入回落。期间包商银行被接管事件有所超出市场预期，曾引发流动性的担忧，但央行持续的维稳措施最终使得二季度末平稳度过。</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本基金二季度仍以震荡市的判断，保持稳健操作，积极调仓。对部分信用利差不够的信用债进行了减持，对利率债也进行了波段性的回补操作。组合久期大致保持在</w:t>
      </w:r>
      <w:r>
        <w:rPr>
          <w:rFonts w:eastAsiaTheme="minorEastAsia"/>
          <w:color w:val="000000" w:themeColor="text1"/>
          <w:szCs w:val="21"/>
        </w:rPr>
        <w:t>1-2</w:t>
      </w:r>
      <w:r>
        <w:rPr>
          <w:rFonts w:eastAsiaTheme="minorEastAsia"/>
          <w:color w:val="000000" w:themeColor="text1"/>
          <w:szCs w:val="21"/>
        </w:rPr>
        <w:t>年的中性偏稳健水平。</w:t>
      </w:r>
    </w:p>
    <w:p w:rsidR="00C34238" w:rsidRDefault="00CF4482">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日，华安安悦债券型证券投资基金</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1.0198</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1.0195</w:t>
      </w:r>
      <w:r>
        <w:rPr>
          <w:rFonts w:eastAsiaTheme="minorEastAsia"/>
          <w:color w:val="000000" w:themeColor="text1"/>
          <w:szCs w:val="21"/>
        </w:rPr>
        <w:t>元；华安安悦债券型证券投资基金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0.67%</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0.64%</w:t>
      </w:r>
      <w:r>
        <w:rPr>
          <w:rFonts w:eastAsiaTheme="minorEastAsia"/>
          <w:color w:val="000000" w:themeColor="text1"/>
          <w:szCs w:val="21"/>
        </w:rPr>
        <w:t>，同期业绩比较基准增长率</w:t>
      </w:r>
      <w:r>
        <w:rPr>
          <w:rFonts w:eastAsiaTheme="minorEastAsia"/>
          <w:color w:val="000000" w:themeColor="text1"/>
          <w:szCs w:val="21"/>
        </w:rPr>
        <w:t>-0.17%</w:t>
      </w:r>
      <w:r>
        <w:rPr>
          <w:rFonts w:eastAsiaTheme="minorEastAsia"/>
          <w:color w:val="000000" w:themeColor="text1"/>
          <w:szCs w:val="21"/>
        </w:rPr>
        <w:t>。</w:t>
      </w:r>
    </w:p>
    <w:p w:rsidR="00C34238" w:rsidRDefault="00C34238">
      <w:pPr>
        <w:spacing w:line="360" w:lineRule="auto"/>
        <w:ind w:firstLineChars="200" w:firstLine="420"/>
        <w:rPr>
          <w:rFonts w:eastAsiaTheme="minorEastAsia"/>
          <w:color w:val="000000" w:themeColor="text1"/>
          <w:szCs w:val="21"/>
        </w:rPr>
      </w:pPr>
    </w:p>
    <w:p w:rsidR="00C34238" w:rsidRDefault="00CF4482">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展望三季度，首先经济基本面维持底部震荡或者小幅下行的可能性偏大，基本面对债市影响偏正面。（</w:t>
      </w:r>
      <w:r>
        <w:rPr>
          <w:rFonts w:eastAsiaTheme="minorEastAsia"/>
          <w:color w:val="000000" w:themeColor="text1"/>
          <w:szCs w:val="21"/>
        </w:rPr>
        <w:t>1</w:t>
      </w:r>
      <w:r>
        <w:rPr>
          <w:rFonts w:eastAsiaTheme="minorEastAsia"/>
          <w:color w:val="000000" w:themeColor="text1"/>
          <w:szCs w:val="21"/>
        </w:rPr>
        <w:t>）从社融来看，前五个月社融总额比去年有一定回升，但观察社融增长结构中源于企业的部分，前五个月企业只有债券融资表现较好，但中长期贷款仍然疲弱，而委托贷款、信托贷款只是去年的大幅下滑态势有所收敛。包商银行接管事件虽为个案，但将对中小银行的负债端构成持续压力，继而影响其信用投放。因此中期看社融存量增速要继续显著上升，难度较大。（</w:t>
      </w:r>
      <w:r>
        <w:rPr>
          <w:rFonts w:eastAsiaTheme="minorEastAsia"/>
          <w:color w:val="000000" w:themeColor="text1"/>
          <w:szCs w:val="21"/>
        </w:rPr>
        <w:t>2</w:t>
      </w:r>
      <w:r>
        <w:rPr>
          <w:rFonts w:eastAsiaTheme="minorEastAsia"/>
          <w:color w:val="000000" w:themeColor="text1"/>
          <w:szCs w:val="21"/>
        </w:rPr>
        <w:t>）上半年财政支出力度加大，财政政策发力基建托底经济意图明显，下半年财政持续发力可期。但地产周期预期见顶回落，基建主要受到地方隐性债务管控的约束，故对冲地产回落难度较大。</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其次，货币政策转向的可能性较小，流动性预计仍保持合理充裕，随着美联储可能降息，央行动货币政策也存在了空间，因此对债市影响也为偏正面。</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当然也需要看到，新增短期影响因素，比如可能提高地方债额度及财政预算，股市反弹，贸易战紧张程度暂时缓解，这些对债市边际影响均为偏负面。</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因此对后市判断仍将维持震荡市，利率下行空间略大于上行空间，信用利差可能有所向上修复。</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投资策略方面，仍以震荡市思维进行稳健操作，对信用利差空间较小的信用债，以减持并择机置换为利率债为主，同时积极配置中短久期、静态收益和利差空间均较好、信用资质也比较安全的信用债。</w:t>
      </w:r>
    </w:p>
    <w:p w:rsidR="00C34238" w:rsidRDefault="00C34238">
      <w:pPr>
        <w:spacing w:line="360" w:lineRule="auto"/>
        <w:ind w:firstLineChars="200" w:firstLine="420"/>
        <w:rPr>
          <w:rFonts w:eastAsiaTheme="minorEastAsia"/>
          <w:color w:val="000000" w:themeColor="text1"/>
          <w:szCs w:val="21"/>
        </w:rPr>
      </w:pPr>
    </w:p>
    <w:p w:rsidR="00C34238" w:rsidRDefault="00CF4482">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C34238" w:rsidRDefault="00CF448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本基金报告期内不存在基金持有人数低于</w:t>
      </w:r>
      <w:r>
        <w:rPr>
          <w:rFonts w:eastAsiaTheme="minorEastAsia"/>
          <w:color w:val="000000" w:themeColor="text1"/>
          <w:kern w:val="0"/>
          <w:szCs w:val="21"/>
        </w:rPr>
        <w:t>200</w:t>
      </w:r>
      <w:r>
        <w:rPr>
          <w:rFonts w:eastAsiaTheme="minorEastAsia"/>
          <w:color w:val="000000" w:themeColor="text1"/>
          <w:kern w:val="0"/>
          <w:szCs w:val="21"/>
        </w:rPr>
        <w:t>人或基金资产净值低于</w:t>
      </w:r>
      <w:r>
        <w:rPr>
          <w:rFonts w:eastAsiaTheme="minorEastAsia"/>
          <w:color w:val="000000" w:themeColor="text1"/>
          <w:kern w:val="0"/>
          <w:szCs w:val="21"/>
        </w:rPr>
        <w:t>5000</w:t>
      </w:r>
      <w:r>
        <w:rPr>
          <w:rFonts w:eastAsiaTheme="minorEastAsia"/>
          <w:color w:val="000000" w:themeColor="text1"/>
          <w:kern w:val="0"/>
          <w:szCs w:val="21"/>
        </w:rPr>
        <w:t>万元的情形。</w:t>
      </w:r>
    </w:p>
    <w:p w:rsidR="00C34238" w:rsidRDefault="00C34238">
      <w:pPr>
        <w:spacing w:line="360" w:lineRule="auto"/>
        <w:ind w:firstLineChars="200" w:firstLine="420"/>
        <w:rPr>
          <w:rFonts w:asciiTheme="minorEastAsia" w:eastAsiaTheme="minorEastAsia" w:hAnsiTheme="minorEastAsia"/>
          <w:color w:val="000000" w:themeColor="text1"/>
          <w:szCs w:val="21"/>
        </w:rPr>
      </w:pP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C34238" w:rsidRDefault="00CF4482">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vAlign w:val="center"/>
          </w:tcPr>
          <w:p w:rsidR="00C34238" w:rsidRDefault="00C34238">
            <w:pPr>
              <w:spacing w:before="29" w:line="360" w:lineRule="auto"/>
              <w:ind w:left="17"/>
              <w:jc w:val="center"/>
              <w:rPr>
                <w:rFonts w:eastAsiaTheme="minorEastAsia"/>
                <w:color w:val="000000" w:themeColor="text1"/>
                <w:szCs w:val="21"/>
              </w:rPr>
            </w:pP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1,777,188,702.00</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97.07</w:t>
            </w:r>
          </w:p>
        </w:tc>
      </w:tr>
      <w:tr w:rsidR="00C34238">
        <w:tc>
          <w:tcPr>
            <w:tcW w:w="720" w:type="dxa"/>
            <w:vAlign w:val="center"/>
          </w:tcPr>
          <w:p w:rsidR="00C34238" w:rsidRDefault="00C34238">
            <w:pPr>
              <w:spacing w:before="29" w:line="360" w:lineRule="auto"/>
              <w:ind w:left="17"/>
              <w:jc w:val="center"/>
              <w:rPr>
                <w:rFonts w:eastAsiaTheme="minorEastAsia"/>
                <w:color w:val="000000" w:themeColor="text1"/>
                <w:szCs w:val="21"/>
              </w:rPr>
            </w:pP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1,777,188,702.00</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97.07</w:t>
            </w:r>
          </w:p>
        </w:tc>
      </w:tr>
      <w:tr w:rsidR="00C34238">
        <w:tc>
          <w:tcPr>
            <w:tcW w:w="720" w:type="dxa"/>
            <w:vAlign w:val="center"/>
          </w:tcPr>
          <w:p w:rsidR="00C34238" w:rsidRDefault="00C34238">
            <w:pPr>
              <w:spacing w:before="29" w:line="360" w:lineRule="auto"/>
              <w:ind w:left="17"/>
              <w:jc w:val="center"/>
              <w:rPr>
                <w:rFonts w:eastAsiaTheme="minorEastAsia"/>
                <w:color w:val="000000" w:themeColor="text1"/>
                <w:szCs w:val="21"/>
              </w:rPr>
            </w:pPr>
          </w:p>
        </w:tc>
        <w:tc>
          <w:tcPr>
            <w:tcW w:w="3357" w:type="dxa"/>
            <w:vAlign w:val="center"/>
          </w:tcPr>
          <w:p w:rsidR="00C34238" w:rsidRDefault="00CF4482">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C34238" w:rsidRDefault="00CF4482">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16,915,645.37</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0.92</w:t>
            </w:r>
          </w:p>
        </w:tc>
      </w:tr>
      <w:tr w:rsidR="00C34238">
        <w:tc>
          <w:tcPr>
            <w:tcW w:w="720" w:type="dxa"/>
            <w:vAlign w:val="center"/>
          </w:tcPr>
          <w:p w:rsidR="00C34238" w:rsidRDefault="00C34238">
            <w:pPr>
              <w:spacing w:before="29" w:line="360" w:lineRule="auto"/>
              <w:ind w:left="17"/>
              <w:jc w:val="center"/>
              <w:rPr>
                <w:rFonts w:eastAsiaTheme="minorEastAsia"/>
                <w:color w:val="000000" w:themeColor="text1"/>
                <w:szCs w:val="21"/>
              </w:rPr>
            </w:pP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2,705,403.77</w:t>
            </w:r>
          </w:p>
        </w:tc>
        <w:tc>
          <w:tcPr>
            <w:tcW w:w="1843"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0.15</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C34238" w:rsidRDefault="00CF4482">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C34238" w:rsidRDefault="00CF4482">
            <w:pPr>
              <w:jc w:val="right"/>
              <w:rPr>
                <w:rFonts w:eastAsiaTheme="minorEastAsia"/>
                <w:color w:val="000000" w:themeColor="text1"/>
                <w:szCs w:val="21"/>
              </w:rPr>
            </w:pPr>
            <w:r>
              <w:rPr>
                <w:rFonts w:eastAsiaTheme="minorEastAsia"/>
                <w:color w:val="000000" w:themeColor="text1"/>
                <w:szCs w:val="21"/>
              </w:rPr>
              <w:t>34,092,160.36</w:t>
            </w:r>
          </w:p>
        </w:tc>
        <w:tc>
          <w:tcPr>
            <w:tcW w:w="1843" w:type="dxa"/>
            <w:vAlign w:val="center"/>
          </w:tcPr>
          <w:p w:rsidR="00C34238" w:rsidRDefault="00CF4482">
            <w:pPr>
              <w:jc w:val="right"/>
              <w:rPr>
                <w:rFonts w:eastAsiaTheme="minorEastAsia"/>
                <w:color w:val="000000" w:themeColor="text1"/>
                <w:szCs w:val="21"/>
              </w:rPr>
            </w:pPr>
            <w:r>
              <w:rPr>
                <w:rFonts w:eastAsiaTheme="minorEastAsia"/>
                <w:color w:val="000000" w:themeColor="text1"/>
                <w:szCs w:val="21"/>
              </w:rPr>
              <w:t>1.86</w:t>
            </w:r>
          </w:p>
        </w:tc>
      </w:tr>
      <w:tr w:rsidR="00C34238">
        <w:tc>
          <w:tcPr>
            <w:tcW w:w="72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C34238" w:rsidRDefault="00CF4482">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C34238" w:rsidRDefault="00CF4482">
            <w:pPr>
              <w:jc w:val="right"/>
              <w:rPr>
                <w:rFonts w:eastAsiaTheme="minorEastAsia"/>
                <w:color w:val="000000" w:themeColor="text1"/>
                <w:szCs w:val="21"/>
              </w:rPr>
            </w:pPr>
            <w:r>
              <w:rPr>
                <w:rFonts w:eastAsiaTheme="minorEastAsia"/>
                <w:color w:val="000000" w:themeColor="text1"/>
                <w:szCs w:val="21"/>
              </w:rPr>
              <w:t>1,830,901,911.50</w:t>
            </w:r>
          </w:p>
        </w:tc>
        <w:tc>
          <w:tcPr>
            <w:tcW w:w="1843" w:type="dxa"/>
            <w:vAlign w:val="center"/>
          </w:tcPr>
          <w:p w:rsidR="00C34238" w:rsidRDefault="00CF4482">
            <w:pPr>
              <w:jc w:val="right"/>
              <w:rPr>
                <w:rFonts w:eastAsiaTheme="minorEastAsia"/>
                <w:color w:val="000000" w:themeColor="text1"/>
                <w:szCs w:val="21"/>
              </w:rPr>
            </w:pPr>
            <w:r>
              <w:rPr>
                <w:rFonts w:eastAsiaTheme="minorEastAsia"/>
                <w:color w:val="000000" w:themeColor="text1"/>
                <w:szCs w:val="21"/>
              </w:rPr>
              <w:t>100.00</w:t>
            </w:r>
          </w:p>
        </w:tc>
      </w:tr>
    </w:tbl>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C34238" w:rsidRDefault="00CF4482">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本基金本报告期末未持有股票投资。</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50,015,000.00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2.73</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397,356,000.00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21.71</w:t>
            </w:r>
          </w:p>
        </w:tc>
      </w:tr>
      <w:tr w:rsidR="00C34238">
        <w:tc>
          <w:tcPr>
            <w:tcW w:w="817" w:type="dxa"/>
            <w:vAlign w:val="center"/>
          </w:tcPr>
          <w:p w:rsidR="00C34238" w:rsidRDefault="00C34238">
            <w:pPr>
              <w:spacing w:before="29" w:line="360" w:lineRule="auto"/>
              <w:ind w:left="17"/>
              <w:jc w:val="center"/>
              <w:rPr>
                <w:rFonts w:eastAsiaTheme="minorEastAsia"/>
                <w:color w:val="000000" w:themeColor="text1"/>
                <w:szCs w:val="21"/>
              </w:rPr>
            </w:pP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305,835,000.00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16.71</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624,203,702.00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34.11</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150,415,000.00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8.22</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555,199,000.00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30.34</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817" w:type="dxa"/>
            <w:vAlign w:val="center"/>
          </w:tcPr>
          <w:p w:rsidR="00C34238" w:rsidRDefault="00CF4482">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C34238" w:rsidRDefault="00CF4482">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1,777,188,702.00</w:t>
            </w:r>
          </w:p>
        </w:tc>
        <w:tc>
          <w:tcPr>
            <w:tcW w:w="1616" w:type="dxa"/>
            <w:vAlign w:val="center"/>
          </w:tcPr>
          <w:p w:rsidR="00C34238" w:rsidRDefault="00CF4482">
            <w:pPr>
              <w:spacing w:before="29" w:line="360" w:lineRule="auto"/>
              <w:ind w:left="17"/>
              <w:jc w:val="right"/>
              <w:rPr>
                <w:rFonts w:eastAsiaTheme="minorEastAsia"/>
                <w:color w:val="000000" w:themeColor="text1"/>
                <w:szCs w:val="21"/>
              </w:rPr>
            </w:pPr>
            <w:r>
              <w:rPr>
                <w:rFonts w:eastAsiaTheme="minorEastAsia"/>
                <w:color w:val="000000" w:themeColor="text1"/>
                <w:szCs w:val="21"/>
              </w:rPr>
              <w:t>97.11</w:t>
            </w:r>
          </w:p>
        </w:tc>
      </w:tr>
    </w:tbl>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tblPr>
      <w:tblGrid>
        <w:gridCol w:w="709"/>
        <w:gridCol w:w="1276"/>
        <w:gridCol w:w="2835"/>
        <w:gridCol w:w="1134"/>
        <w:gridCol w:w="1564"/>
        <w:gridCol w:w="1503"/>
      </w:tblGrid>
      <w:tr w:rsidR="00C34238" w:rsidTr="00A81328">
        <w:tc>
          <w:tcPr>
            <w:tcW w:w="709"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276"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2835"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134"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64"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C34238" w:rsidRDefault="00CF4482">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C34238" w:rsidTr="00A81328">
        <w:tc>
          <w:tcPr>
            <w:tcW w:w="709" w:type="dxa"/>
            <w:vAlign w:val="center"/>
          </w:tcPr>
          <w:p w:rsidR="00C34238" w:rsidRDefault="00CF4482">
            <w:pPr>
              <w:jc w:val="center"/>
            </w:pPr>
            <w:r>
              <w:rPr>
                <w:rFonts w:eastAsiaTheme="minorEastAsia"/>
                <w:color w:val="000000" w:themeColor="text1"/>
                <w:szCs w:val="21"/>
              </w:rPr>
              <w:t>1</w:t>
            </w:r>
          </w:p>
        </w:tc>
        <w:tc>
          <w:tcPr>
            <w:tcW w:w="1276" w:type="dxa"/>
            <w:vAlign w:val="center"/>
          </w:tcPr>
          <w:p w:rsidR="00C34238" w:rsidRDefault="00CF4482">
            <w:pPr>
              <w:jc w:val="center"/>
            </w:pPr>
            <w:r>
              <w:rPr>
                <w:rFonts w:eastAsiaTheme="minorEastAsia"/>
                <w:color w:val="000000" w:themeColor="text1"/>
                <w:szCs w:val="21"/>
              </w:rPr>
              <w:t>122484</w:t>
            </w:r>
          </w:p>
        </w:tc>
        <w:tc>
          <w:tcPr>
            <w:tcW w:w="2835" w:type="dxa"/>
            <w:vAlign w:val="center"/>
          </w:tcPr>
          <w:p w:rsidR="00C34238" w:rsidRDefault="00CF4482">
            <w:pPr>
              <w:jc w:val="center"/>
            </w:pPr>
            <w:r>
              <w:rPr>
                <w:rFonts w:eastAsiaTheme="minorEastAsia"/>
                <w:color w:val="000000" w:themeColor="text1"/>
                <w:szCs w:val="21"/>
              </w:rPr>
              <w:t>15</w:t>
            </w:r>
            <w:r>
              <w:rPr>
                <w:rFonts w:eastAsiaTheme="minorEastAsia"/>
                <w:color w:val="000000" w:themeColor="text1"/>
                <w:szCs w:val="21"/>
              </w:rPr>
              <w:t>龙源</w:t>
            </w:r>
            <w:r>
              <w:rPr>
                <w:rFonts w:eastAsiaTheme="minorEastAsia"/>
                <w:color w:val="000000" w:themeColor="text1"/>
                <w:szCs w:val="21"/>
              </w:rPr>
              <w:t>01</w:t>
            </w:r>
          </w:p>
        </w:tc>
        <w:tc>
          <w:tcPr>
            <w:tcW w:w="1134" w:type="dxa"/>
            <w:vAlign w:val="center"/>
          </w:tcPr>
          <w:p w:rsidR="00C34238" w:rsidRDefault="00CF4482">
            <w:pPr>
              <w:jc w:val="right"/>
            </w:pPr>
            <w:r>
              <w:rPr>
                <w:rFonts w:eastAsiaTheme="minorEastAsia"/>
                <w:color w:val="000000" w:themeColor="text1"/>
                <w:szCs w:val="21"/>
              </w:rPr>
              <w:t>1,000,000</w:t>
            </w:r>
          </w:p>
        </w:tc>
        <w:tc>
          <w:tcPr>
            <w:tcW w:w="1564" w:type="dxa"/>
            <w:vAlign w:val="center"/>
          </w:tcPr>
          <w:p w:rsidR="00C34238" w:rsidRDefault="00CF4482">
            <w:pPr>
              <w:jc w:val="right"/>
            </w:pPr>
            <w:r>
              <w:rPr>
                <w:rFonts w:eastAsiaTheme="minorEastAsia"/>
                <w:color w:val="000000" w:themeColor="text1"/>
                <w:szCs w:val="21"/>
              </w:rPr>
              <w:t>101,040,000.00</w:t>
            </w:r>
          </w:p>
        </w:tc>
        <w:tc>
          <w:tcPr>
            <w:tcW w:w="1503" w:type="dxa"/>
            <w:vAlign w:val="center"/>
          </w:tcPr>
          <w:p w:rsidR="00C34238" w:rsidRDefault="00CF4482">
            <w:pPr>
              <w:jc w:val="right"/>
            </w:pPr>
            <w:r>
              <w:rPr>
                <w:rFonts w:eastAsiaTheme="minorEastAsia"/>
                <w:color w:val="000000" w:themeColor="text1"/>
                <w:szCs w:val="21"/>
              </w:rPr>
              <w:t>5.52</w:t>
            </w:r>
          </w:p>
        </w:tc>
      </w:tr>
      <w:tr w:rsidR="00C34238" w:rsidTr="00A81328">
        <w:tc>
          <w:tcPr>
            <w:tcW w:w="709" w:type="dxa"/>
            <w:vAlign w:val="center"/>
          </w:tcPr>
          <w:p w:rsidR="00C34238" w:rsidRDefault="00CF4482">
            <w:pPr>
              <w:jc w:val="center"/>
            </w:pPr>
            <w:r>
              <w:rPr>
                <w:rFonts w:eastAsiaTheme="minorEastAsia"/>
                <w:color w:val="000000" w:themeColor="text1"/>
                <w:szCs w:val="21"/>
              </w:rPr>
              <w:t>2</w:t>
            </w:r>
          </w:p>
        </w:tc>
        <w:tc>
          <w:tcPr>
            <w:tcW w:w="1276" w:type="dxa"/>
            <w:vAlign w:val="center"/>
          </w:tcPr>
          <w:p w:rsidR="00C34238" w:rsidRDefault="00CF4482">
            <w:pPr>
              <w:jc w:val="center"/>
            </w:pPr>
            <w:r>
              <w:rPr>
                <w:rFonts w:eastAsiaTheme="minorEastAsia"/>
                <w:color w:val="000000" w:themeColor="text1"/>
                <w:szCs w:val="21"/>
              </w:rPr>
              <w:t>1282414</w:t>
            </w:r>
          </w:p>
        </w:tc>
        <w:tc>
          <w:tcPr>
            <w:tcW w:w="2835" w:type="dxa"/>
            <w:vAlign w:val="center"/>
          </w:tcPr>
          <w:p w:rsidR="00C34238" w:rsidRDefault="00CF4482">
            <w:pPr>
              <w:jc w:val="center"/>
            </w:pPr>
            <w:r>
              <w:rPr>
                <w:rFonts w:eastAsiaTheme="minorEastAsia"/>
                <w:color w:val="000000" w:themeColor="text1"/>
                <w:szCs w:val="21"/>
              </w:rPr>
              <w:t>12</w:t>
            </w:r>
            <w:r>
              <w:rPr>
                <w:rFonts w:eastAsiaTheme="minorEastAsia"/>
                <w:color w:val="000000" w:themeColor="text1"/>
                <w:szCs w:val="21"/>
              </w:rPr>
              <w:t>国开投</w:t>
            </w:r>
            <w:r>
              <w:rPr>
                <w:rFonts w:eastAsiaTheme="minorEastAsia"/>
                <w:color w:val="000000" w:themeColor="text1"/>
                <w:szCs w:val="21"/>
              </w:rPr>
              <w:t>MTN2</w:t>
            </w:r>
          </w:p>
        </w:tc>
        <w:tc>
          <w:tcPr>
            <w:tcW w:w="1134" w:type="dxa"/>
            <w:vAlign w:val="center"/>
          </w:tcPr>
          <w:p w:rsidR="00C34238" w:rsidRDefault="00CF4482">
            <w:pPr>
              <w:jc w:val="right"/>
            </w:pPr>
            <w:r>
              <w:rPr>
                <w:rFonts w:eastAsiaTheme="minorEastAsia"/>
                <w:color w:val="000000" w:themeColor="text1"/>
                <w:szCs w:val="21"/>
              </w:rPr>
              <w:t>900,000</w:t>
            </w:r>
          </w:p>
        </w:tc>
        <w:tc>
          <w:tcPr>
            <w:tcW w:w="1564" w:type="dxa"/>
            <w:vAlign w:val="center"/>
          </w:tcPr>
          <w:p w:rsidR="00C34238" w:rsidRDefault="00CF4482">
            <w:pPr>
              <w:jc w:val="right"/>
            </w:pPr>
            <w:r>
              <w:rPr>
                <w:rFonts w:eastAsiaTheme="minorEastAsia"/>
                <w:color w:val="000000" w:themeColor="text1"/>
                <w:szCs w:val="21"/>
              </w:rPr>
              <w:t>94,563,000.00</w:t>
            </w:r>
          </w:p>
        </w:tc>
        <w:tc>
          <w:tcPr>
            <w:tcW w:w="1503" w:type="dxa"/>
            <w:vAlign w:val="center"/>
          </w:tcPr>
          <w:p w:rsidR="00C34238" w:rsidRDefault="00CF4482">
            <w:pPr>
              <w:jc w:val="right"/>
            </w:pPr>
            <w:r>
              <w:rPr>
                <w:rFonts w:eastAsiaTheme="minorEastAsia"/>
                <w:color w:val="000000" w:themeColor="text1"/>
                <w:szCs w:val="21"/>
              </w:rPr>
              <w:t>5.17</w:t>
            </w:r>
          </w:p>
        </w:tc>
      </w:tr>
      <w:tr w:rsidR="00C34238" w:rsidTr="00A81328">
        <w:tc>
          <w:tcPr>
            <w:tcW w:w="709" w:type="dxa"/>
            <w:vAlign w:val="center"/>
          </w:tcPr>
          <w:p w:rsidR="00C34238" w:rsidRDefault="00CF4482">
            <w:pPr>
              <w:jc w:val="center"/>
            </w:pPr>
            <w:r>
              <w:rPr>
                <w:rFonts w:eastAsiaTheme="minorEastAsia"/>
                <w:color w:val="000000" w:themeColor="text1"/>
                <w:szCs w:val="21"/>
              </w:rPr>
              <w:t>3</w:t>
            </w:r>
          </w:p>
        </w:tc>
        <w:tc>
          <w:tcPr>
            <w:tcW w:w="1276" w:type="dxa"/>
            <w:vAlign w:val="center"/>
          </w:tcPr>
          <w:p w:rsidR="00C34238" w:rsidRDefault="00CF4482">
            <w:pPr>
              <w:jc w:val="center"/>
            </w:pPr>
            <w:r>
              <w:rPr>
                <w:rFonts w:eastAsiaTheme="minorEastAsia"/>
                <w:color w:val="000000" w:themeColor="text1"/>
                <w:szCs w:val="21"/>
              </w:rPr>
              <w:t>101456020</w:t>
            </w:r>
          </w:p>
        </w:tc>
        <w:tc>
          <w:tcPr>
            <w:tcW w:w="2835" w:type="dxa"/>
            <w:vAlign w:val="center"/>
          </w:tcPr>
          <w:p w:rsidR="00C34238" w:rsidRDefault="00CF4482">
            <w:pPr>
              <w:jc w:val="center"/>
            </w:pPr>
            <w:r>
              <w:rPr>
                <w:rFonts w:eastAsiaTheme="minorEastAsia"/>
                <w:color w:val="000000" w:themeColor="text1"/>
                <w:szCs w:val="21"/>
              </w:rPr>
              <w:t>14</w:t>
            </w:r>
            <w:r>
              <w:rPr>
                <w:rFonts w:eastAsiaTheme="minorEastAsia"/>
                <w:color w:val="000000" w:themeColor="text1"/>
                <w:szCs w:val="21"/>
              </w:rPr>
              <w:t>赣高速</w:t>
            </w:r>
            <w:r>
              <w:rPr>
                <w:rFonts w:eastAsiaTheme="minorEastAsia"/>
                <w:color w:val="000000" w:themeColor="text1"/>
                <w:szCs w:val="21"/>
              </w:rPr>
              <w:t>MTN002(7</w:t>
            </w:r>
            <w:r>
              <w:rPr>
                <w:rFonts w:eastAsiaTheme="minorEastAsia"/>
                <w:color w:val="000000" w:themeColor="text1"/>
                <w:szCs w:val="21"/>
              </w:rPr>
              <w:t>年期</w:t>
            </w:r>
            <w:r>
              <w:rPr>
                <w:rFonts w:eastAsiaTheme="minorEastAsia"/>
                <w:color w:val="000000" w:themeColor="text1"/>
                <w:szCs w:val="21"/>
              </w:rPr>
              <w:t>)</w:t>
            </w:r>
          </w:p>
        </w:tc>
        <w:tc>
          <w:tcPr>
            <w:tcW w:w="1134" w:type="dxa"/>
            <w:vAlign w:val="center"/>
          </w:tcPr>
          <w:p w:rsidR="00C34238" w:rsidRDefault="00CF4482">
            <w:pPr>
              <w:jc w:val="right"/>
            </w:pPr>
            <w:r>
              <w:rPr>
                <w:rFonts w:eastAsiaTheme="minorEastAsia"/>
                <w:color w:val="000000" w:themeColor="text1"/>
                <w:szCs w:val="21"/>
              </w:rPr>
              <w:t>900,000</w:t>
            </w:r>
          </w:p>
        </w:tc>
        <w:tc>
          <w:tcPr>
            <w:tcW w:w="1564" w:type="dxa"/>
            <w:vAlign w:val="center"/>
          </w:tcPr>
          <w:p w:rsidR="00C34238" w:rsidRDefault="00CF4482">
            <w:pPr>
              <w:jc w:val="right"/>
            </w:pPr>
            <w:r>
              <w:rPr>
                <w:rFonts w:eastAsiaTheme="minorEastAsia"/>
                <w:color w:val="000000" w:themeColor="text1"/>
                <w:szCs w:val="21"/>
              </w:rPr>
              <w:t>92,601,000.00</w:t>
            </w:r>
          </w:p>
        </w:tc>
        <w:tc>
          <w:tcPr>
            <w:tcW w:w="1503" w:type="dxa"/>
            <w:vAlign w:val="center"/>
          </w:tcPr>
          <w:p w:rsidR="00C34238" w:rsidRDefault="00CF4482">
            <w:pPr>
              <w:jc w:val="right"/>
            </w:pPr>
            <w:r>
              <w:rPr>
                <w:rFonts w:eastAsiaTheme="minorEastAsia"/>
                <w:color w:val="000000" w:themeColor="text1"/>
                <w:szCs w:val="21"/>
              </w:rPr>
              <w:t>5.06</w:t>
            </w:r>
          </w:p>
        </w:tc>
      </w:tr>
      <w:tr w:rsidR="00C34238" w:rsidTr="00A81328">
        <w:tc>
          <w:tcPr>
            <w:tcW w:w="709" w:type="dxa"/>
            <w:vAlign w:val="center"/>
          </w:tcPr>
          <w:p w:rsidR="00C34238" w:rsidRDefault="00CF4482">
            <w:pPr>
              <w:jc w:val="center"/>
            </w:pPr>
            <w:r>
              <w:rPr>
                <w:rFonts w:eastAsiaTheme="minorEastAsia"/>
                <w:color w:val="000000" w:themeColor="text1"/>
                <w:szCs w:val="21"/>
              </w:rPr>
              <w:t>4</w:t>
            </w:r>
          </w:p>
        </w:tc>
        <w:tc>
          <w:tcPr>
            <w:tcW w:w="1276" w:type="dxa"/>
            <w:vAlign w:val="center"/>
          </w:tcPr>
          <w:p w:rsidR="00C34238" w:rsidRDefault="00CF4482">
            <w:pPr>
              <w:jc w:val="center"/>
            </w:pPr>
            <w:r>
              <w:rPr>
                <w:rFonts w:eastAsiaTheme="minorEastAsia"/>
                <w:color w:val="000000" w:themeColor="text1"/>
                <w:szCs w:val="21"/>
              </w:rPr>
              <w:t>101800842</w:t>
            </w:r>
          </w:p>
        </w:tc>
        <w:tc>
          <w:tcPr>
            <w:tcW w:w="2835" w:type="dxa"/>
            <w:vAlign w:val="center"/>
          </w:tcPr>
          <w:p w:rsidR="00C34238" w:rsidRDefault="00CF4482">
            <w:pPr>
              <w:jc w:val="center"/>
            </w:pPr>
            <w:r>
              <w:rPr>
                <w:rFonts w:eastAsiaTheme="minorEastAsia"/>
                <w:color w:val="000000" w:themeColor="text1"/>
                <w:szCs w:val="21"/>
              </w:rPr>
              <w:t>18</w:t>
            </w:r>
            <w:r>
              <w:rPr>
                <w:rFonts w:eastAsiaTheme="minorEastAsia"/>
                <w:color w:val="000000" w:themeColor="text1"/>
                <w:szCs w:val="21"/>
              </w:rPr>
              <w:t>华侨城</w:t>
            </w:r>
            <w:r>
              <w:rPr>
                <w:rFonts w:eastAsiaTheme="minorEastAsia"/>
                <w:color w:val="000000" w:themeColor="text1"/>
                <w:szCs w:val="21"/>
              </w:rPr>
              <w:t>MTN002</w:t>
            </w:r>
          </w:p>
        </w:tc>
        <w:tc>
          <w:tcPr>
            <w:tcW w:w="1134" w:type="dxa"/>
            <w:vAlign w:val="center"/>
          </w:tcPr>
          <w:p w:rsidR="00C34238" w:rsidRDefault="00CF4482">
            <w:pPr>
              <w:jc w:val="right"/>
            </w:pPr>
            <w:r>
              <w:rPr>
                <w:rFonts w:eastAsiaTheme="minorEastAsia"/>
                <w:color w:val="000000" w:themeColor="text1"/>
                <w:szCs w:val="21"/>
              </w:rPr>
              <w:t>900,000</w:t>
            </w:r>
          </w:p>
        </w:tc>
        <w:tc>
          <w:tcPr>
            <w:tcW w:w="1564" w:type="dxa"/>
            <w:vAlign w:val="center"/>
          </w:tcPr>
          <w:p w:rsidR="00C34238" w:rsidRDefault="00CF4482">
            <w:pPr>
              <w:jc w:val="right"/>
            </w:pPr>
            <w:r>
              <w:rPr>
                <w:rFonts w:eastAsiaTheme="minorEastAsia"/>
                <w:color w:val="000000" w:themeColor="text1"/>
                <w:szCs w:val="21"/>
              </w:rPr>
              <w:t>91,476,000.00</w:t>
            </w:r>
          </w:p>
        </w:tc>
        <w:tc>
          <w:tcPr>
            <w:tcW w:w="1503" w:type="dxa"/>
            <w:vAlign w:val="center"/>
          </w:tcPr>
          <w:p w:rsidR="00C34238" w:rsidRDefault="00CF4482">
            <w:pPr>
              <w:jc w:val="right"/>
            </w:pPr>
            <w:r>
              <w:rPr>
                <w:rFonts w:eastAsiaTheme="minorEastAsia"/>
                <w:color w:val="000000" w:themeColor="text1"/>
                <w:szCs w:val="21"/>
              </w:rPr>
              <w:t>5.00</w:t>
            </w:r>
          </w:p>
        </w:tc>
      </w:tr>
      <w:tr w:rsidR="00C34238" w:rsidTr="00A81328">
        <w:tc>
          <w:tcPr>
            <w:tcW w:w="709" w:type="dxa"/>
            <w:vAlign w:val="center"/>
          </w:tcPr>
          <w:p w:rsidR="00C34238" w:rsidRDefault="00CF4482">
            <w:pPr>
              <w:jc w:val="center"/>
            </w:pPr>
            <w:r>
              <w:rPr>
                <w:rFonts w:eastAsiaTheme="minorEastAsia"/>
                <w:color w:val="000000" w:themeColor="text1"/>
                <w:szCs w:val="21"/>
              </w:rPr>
              <w:t>5</w:t>
            </w:r>
          </w:p>
        </w:tc>
        <w:tc>
          <w:tcPr>
            <w:tcW w:w="1276" w:type="dxa"/>
            <w:vAlign w:val="center"/>
          </w:tcPr>
          <w:p w:rsidR="00C34238" w:rsidRDefault="00CF4482">
            <w:pPr>
              <w:jc w:val="center"/>
            </w:pPr>
            <w:r>
              <w:rPr>
                <w:rFonts w:eastAsiaTheme="minorEastAsia"/>
                <w:color w:val="000000" w:themeColor="text1"/>
                <w:szCs w:val="21"/>
              </w:rPr>
              <w:t>180204</w:t>
            </w:r>
          </w:p>
        </w:tc>
        <w:tc>
          <w:tcPr>
            <w:tcW w:w="2835" w:type="dxa"/>
            <w:vAlign w:val="center"/>
          </w:tcPr>
          <w:p w:rsidR="00C34238" w:rsidRDefault="00CF4482">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04</w:t>
            </w:r>
          </w:p>
        </w:tc>
        <w:tc>
          <w:tcPr>
            <w:tcW w:w="1134" w:type="dxa"/>
            <w:vAlign w:val="center"/>
          </w:tcPr>
          <w:p w:rsidR="00C34238" w:rsidRDefault="00CF4482">
            <w:pPr>
              <w:jc w:val="right"/>
            </w:pPr>
            <w:r>
              <w:rPr>
                <w:rFonts w:eastAsiaTheme="minorEastAsia"/>
                <w:color w:val="000000" w:themeColor="text1"/>
                <w:szCs w:val="21"/>
              </w:rPr>
              <w:t>800,000</w:t>
            </w:r>
          </w:p>
        </w:tc>
        <w:tc>
          <w:tcPr>
            <w:tcW w:w="1564" w:type="dxa"/>
            <w:vAlign w:val="center"/>
          </w:tcPr>
          <w:p w:rsidR="00C34238" w:rsidRDefault="00CF4482">
            <w:pPr>
              <w:jc w:val="right"/>
            </w:pPr>
            <w:r>
              <w:rPr>
                <w:rFonts w:eastAsiaTheme="minorEastAsia"/>
                <w:color w:val="000000" w:themeColor="text1"/>
                <w:szCs w:val="21"/>
              </w:rPr>
              <w:t>83,592,000.00</w:t>
            </w:r>
          </w:p>
        </w:tc>
        <w:tc>
          <w:tcPr>
            <w:tcW w:w="1503" w:type="dxa"/>
            <w:vAlign w:val="center"/>
          </w:tcPr>
          <w:p w:rsidR="00C34238" w:rsidRDefault="00CF4482">
            <w:pPr>
              <w:jc w:val="right"/>
            </w:pPr>
            <w:r>
              <w:rPr>
                <w:rFonts w:eastAsiaTheme="minorEastAsia"/>
                <w:color w:val="000000" w:themeColor="text1"/>
                <w:szCs w:val="21"/>
              </w:rPr>
              <w:t>4.57</w:t>
            </w:r>
          </w:p>
        </w:tc>
      </w:tr>
    </w:tbl>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C34238" w:rsidRDefault="00CF4482" w:rsidP="004723F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C34238" w:rsidRDefault="00CF4482">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C34238" w:rsidRDefault="00CF4482" w:rsidP="004723F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C34238" w:rsidRDefault="00CF4482">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C34238" w:rsidRDefault="00CF4482" w:rsidP="004723F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本基金本报告期未投资股指期货。</w:t>
      </w:r>
    </w:p>
    <w:p w:rsidR="00C34238" w:rsidRDefault="00CF4482" w:rsidP="004723F3">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C34238" w:rsidRDefault="00CF4482">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根据本基金基金合同，本基金不能投资于国债期货。</w:t>
      </w:r>
    </w:p>
    <w:p w:rsidR="00C34238" w:rsidRDefault="00CF4482">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报告期末本基金投资的国债期货持仓和损益明细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C34238" w:rsidRDefault="00CF4482">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5.10.3 </w:t>
      </w:r>
      <w:r>
        <w:rPr>
          <w:rFonts w:eastAsiaTheme="minorEastAsia"/>
          <w:b/>
          <w:color w:val="000000" w:themeColor="text1"/>
          <w:szCs w:val="21"/>
        </w:rPr>
        <w:t>本期国债期货投资评价</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C34238" w:rsidRDefault="00CF4482">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C34238" w:rsidRDefault="00CF4482">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C34238" w:rsidRDefault="00CF4482">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C34238">
        <w:tc>
          <w:tcPr>
            <w:tcW w:w="1110" w:type="dxa"/>
            <w:vAlign w:val="center"/>
          </w:tcPr>
          <w:p w:rsidR="00C34238" w:rsidRDefault="00CF4482">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C34238" w:rsidRDefault="00CF4482">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C34238" w:rsidRDefault="00CF4482">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51,006.83</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34,037,530.89</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3,622.64</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C34238">
        <w:tc>
          <w:tcPr>
            <w:tcW w:w="1110" w:type="dxa"/>
            <w:vAlign w:val="center"/>
          </w:tcPr>
          <w:p w:rsidR="00C34238" w:rsidRDefault="00CF4482">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C34238" w:rsidRDefault="00CF4482">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C34238" w:rsidRDefault="00CF448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34,092,160.36</w:t>
            </w:r>
          </w:p>
        </w:tc>
      </w:tr>
    </w:tbl>
    <w:p w:rsidR="00C34238" w:rsidRDefault="00CF4482" w:rsidP="004723F3">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C34238" w:rsidRDefault="00CF4482" w:rsidP="004723F3">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本基金本报告期末未持有存在流通受限情况的股票。</w:t>
      </w: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C34238" w:rsidRDefault="00CF4482">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华安安悦债券</w:t>
            </w:r>
            <w:r>
              <w:rPr>
                <w:rFonts w:eastAsiaTheme="minorEastAsia"/>
                <w:color w:val="000000" w:themeColor="text1"/>
                <w:szCs w:val="21"/>
              </w:rPr>
              <w:t>C</w:t>
            </w:r>
          </w:p>
        </w:tc>
      </w:tr>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1,794,381,180.88</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79,642.06</w:t>
            </w:r>
          </w:p>
        </w:tc>
      </w:tr>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14,282.72</w:t>
            </w:r>
          </w:p>
        </w:tc>
      </w:tr>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101.36</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55,701.17</w:t>
            </w:r>
          </w:p>
        </w:tc>
      </w:tr>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C34238">
        <w:tc>
          <w:tcPr>
            <w:tcW w:w="3900"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1,794,381,079.52</w:t>
            </w:r>
          </w:p>
        </w:tc>
        <w:tc>
          <w:tcPr>
            <w:tcW w:w="2367" w:type="dxa"/>
            <w:tcBorders>
              <w:top w:val="single" w:sz="8" w:space="0" w:color="000000"/>
              <w:left w:val="single" w:sz="8" w:space="0" w:color="000000"/>
              <w:bottom w:val="single" w:sz="8" w:space="0" w:color="000000"/>
              <w:right w:val="single" w:sz="8" w:space="0" w:color="000000"/>
            </w:tcBorders>
            <w:vAlign w:val="center"/>
          </w:tcPr>
          <w:p w:rsidR="00C34238" w:rsidRDefault="00CF4482">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38,223.61</w:t>
            </w:r>
          </w:p>
        </w:tc>
      </w:tr>
    </w:tbl>
    <w:p w:rsidR="00C34238" w:rsidRDefault="00CF4482" w:rsidP="004723F3">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C34238" w:rsidRDefault="00CF4482" w:rsidP="004723F3">
      <w:pPr>
        <w:spacing w:beforeLines="100" w:line="360" w:lineRule="auto"/>
        <w:jc w:val="left"/>
        <w:rPr>
          <w:color w:val="000000" w:themeColor="text1"/>
          <w:szCs w:val="21"/>
        </w:rPr>
      </w:pPr>
      <w:r>
        <w:rPr>
          <w:b/>
          <w:color w:val="000000" w:themeColor="text1"/>
          <w:szCs w:val="21"/>
        </w:rPr>
        <w:t>7.1</w:t>
      </w:r>
      <w:r>
        <w:rPr>
          <w:rFonts w:hint="eastAsia"/>
          <w:b/>
          <w:color w:val="000000"/>
          <w:szCs w:val="21"/>
          <w:shd w:val="clear" w:color="auto" w:fill="FFFFFF"/>
        </w:rPr>
        <w:t>基金管理人运用固有资金投资本基金交易明细</w:t>
      </w:r>
    </w:p>
    <w:p w:rsidR="00C34238" w:rsidRDefault="00CF448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C34238" w:rsidRDefault="00CF4482">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C34238">
        <w:tc>
          <w:tcPr>
            <w:tcW w:w="993" w:type="dxa"/>
            <w:vMerge w:val="restart"/>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C34238">
        <w:tc>
          <w:tcPr>
            <w:tcW w:w="993" w:type="dxa"/>
            <w:vMerge/>
            <w:vAlign w:val="center"/>
          </w:tcPr>
          <w:p w:rsidR="00C34238" w:rsidRDefault="00C34238">
            <w:pPr>
              <w:autoSpaceDE w:val="0"/>
              <w:autoSpaceDN w:val="0"/>
              <w:adjustRightInd w:val="0"/>
              <w:jc w:val="center"/>
              <w:rPr>
                <w:rFonts w:ascii="宋体" w:hAnsi="宋体"/>
                <w:b/>
                <w:bCs/>
                <w:color w:val="000000"/>
                <w:kern w:val="0"/>
                <w:szCs w:val="21"/>
              </w:rPr>
            </w:pPr>
          </w:p>
        </w:tc>
        <w:tc>
          <w:tcPr>
            <w:tcW w:w="992" w:type="dxa"/>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C34238" w:rsidRDefault="00CF4482">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C34238" w:rsidRDefault="00CF4482">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C34238" w:rsidRDefault="00CF4482">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C34238" w:rsidRDefault="00CF4482">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C34238">
        <w:tc>
          <w:tcPr>
            <w:tcW w:w="993" w:type="dxa"/>
            <w:vMerge w:val="restart"/>
          </w:tcPr>
          <w:p w:rsidR="00C34238" w:rsidRDefault="00C34238"/>
          <w:p w:rsidR="00C34238" w:rsidRDefault="00CF4482">
            <w:r>
              <w:rPr>
                <w:rFonts w:ascii="宋体" w:hAnsi="宋体" w:hint="eastAsia"/>
                <w:bCs/>
                <w:color w:val="000000"/>
                <w:kern w:val="0"/>
                <w:szCs w:val="21"/>
              </w:rPr>
              <w:t>机构</w:t>
            </w:r>
          </w:p>
        </w:tc>
        <w:tc>
          <w:tcPr>
            <w:tcW w:w="992" w:type="dxa"/>
            <w:vAlign w:val="center"/>
          </w:tcPr>
          <w:p w:rsidR="00C34238" w:rsidRDefault="00CF4482">
            <w:pPr>
              <w:jc w:val="center"/>
            </w:pPr>
            <w:r>
              <w:rPr>
                <w:rFonts w:ascii="宋体" w:hAnsi="宋体"/>
                <w:color w:val="000000"/>
                <w:kern w:val="0"/>
                <w:szCs w:val="21"/>
              </w:rPr>
              <w:t>1</w:t>
            </w:r>
          </w:p>
        </w:tc>
        <w:tc>
          <w:tcPr>
            <w:tcW w:w="1843" w:type="dxa"/>
            <w:vAlign w:val="center"/>
          </w:tcPr>
          <w:p w:rsidR="00C34238" w:rsidRDefault="00CF4482">
            <w:pPr>
              <w:jc w:val="center"/>
            </w:pPr>
            <w:r>
              <w:rPr>
                <w:rFonts w:ascii="宋体" w:hAnsi="宋体"/>
                <w:color w:val="000000"/>
                <w:kern w:val="0"/>
                <w:szCs w:val="21"/>
              </w:rPr>
              <w:t>20190401-20190630</w:t>
            </w:r>
          </w:p>
        </w:tc>
        <w:tc>
          <w:tcPr>
            <w:tcW w:w="851" w:type="dxa"/>
            <w:vAlign w:val="center"/>
          </w:tcPr>
          <w:p w:rsidR="00C34238" w:rsidRDefault="00CF4482">
            <w:pPr>
              <w:jc w:val="center"/>
            </w:pPr>
            <w:r>
              <w:rPr>
                <w:rFonts w:ascii="宋体" w:hAnsi="宋体"/>
                <w:color w:val="000000"/>
                <w:kern w:val="0"/>
                <w:szCs w:val="21"/>
              </w:rPr>
              <w:t>1,793,859,488.29</w:t>
            </w:r>
          </w:p>
        </w:tc>
        <w:tc>
          <w:tcPr>
            <w:tcW w:w="850" w:type="dxa"/>
            <w:vAlign w:val="center"/>
          </w:tcPr>
          <w:p w:rsidR="00C34238" w:rsidRDefault="00CF4482">
            <w:pPr>
              <w:jc w:val="center"/>
            </w:pPr>
            <w:r>
              <w:rPr>
                <w:rFonts w:ascii="宋体" w:hAnsi="宋体"/>
                <w:color w:val="000000"/>
                <w:kern w:val="0"/>
                <w:szCs w:val="21"/>
              </w:rPr>
              <w:t>0.00</w:t>
            </w:r>
          </w:p>
        </w:tc>
        <w:tc>
          <w:tcPr>
            <w:tcW w:w="1134" w:type="dxa"/>
            <w:vAlign w:val="center"/>
          </w:tcPr>
          <w:p w:rsidR="00C34238" w:rsidRDefault="00CF4482">
            <w:pPr>
              <w:jc w:val="center"/>
            </w:pPr>
            <w:r>
              <w:rPr>
                <w:rFonts w:ascii="宋体" w:hAnsi="宋体"/>
                <w:color w:val="000000"/>
                <w:kern w:val="0"/>
                <w:szCs w:val="21"/>
              </w:rPr>
              <w:t>0.00</w:t>
            </w:r>
          </w:p>
        </w:tc>
        <w:tc>
          <w:tcPr>
            <w:tcW w:w="1419" w:type="dxa"/>
            <w:vAlign w:val="center"/>
          </w:tcPr>
          <w:p w:rsidR="00C34238" w:rsidRDefault="00CF4482">
            <w:pPr>
              <w:jc w:val="center"/>
            </w:pPr>
            <w:r>
              <w:rPr>
                <w:rFonts w:ascii="宋体" w:hAnsi="宋体"/>
                <w:color w:val="000000"/>
                <w:kern w:val="0"/>
                <w:szCs w:val="21"/>
              </w:rPr>
              <w:t>1,793,859,488.29</w:t>
            </w:r>
          </w:p>
        </w:tc>
        <w:tc>
          <w:tcPr>
            <w:tcW w:w="1130" w:type="dxa"/>
            <w:vAlign w:val="center"/>
          </w:tcPr>
          <w:p w:rsidR="00C34238" w:rsidRDefault="00CF4482">
            <w:pPr>
              <w:jc w:val="center"/>
            </w:pPr>
            <w:r>
              <w:rPr>
                <w:rFonts w:ascii="宋体" w:hAnsi="宋体"/>
                <w:color w:val="000000"/>
                <w:kern w:val="0"/>
                <w:szCs w:val="21"/>
              </w:rPr>
              <w:t>99.97%</w:t>
            </w:r>
          </w:p>
        </w:tc>
      </w:tr>
      <w:tr w:rsidR="00C34238">
        <w:tc>
          <w:tcPr>
            <w:tcW w:w="9212" w:type="dxa"/>
            <w:gridSpan w:val="8"/>
            <w:vAlign w:val="center"/>
          </w:tcPr>
          <w:p w:rsidR="00C34238" w:rsidRDefault="00CF4482">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C34238">
        <w:tc>
          <w:tcPr>
            <w:tcW w:w="9212" w:type="dxa"/>
            <w:gridSpan w:val="8"/>
            <w:vAlign w:val="center"/>
          </w:tcPr>
          <w:p w:rsidR="00C34238" w:rsidRDefault="00CF4482">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C34238" w:rsidRDefault="00CF4482">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C34238" w:rsidRDefault="00CF4482">
      <w:pPr>
        <w:spacing w:line="360" w:lineRule="auto"/>
        <w:ind w:firstLineChars="200" w:firstLine="420"/>
        <w:rPr>
          <w:rFonts w:ascii="宋体" w:hAnsi="宋体"/>
          <w:color w:val="000000"/>
          <w:szCs w:val="21"/>
        </w:rPr>
      </w:pPr>
      <w:r>
        <w:rPr>
          <w:rFonts w:ascii="宋体" w:hAnsi="宋体"/>
          <w:color w:val="000000"/>
          <w:szCs w:val="21"/>
        </w:rPr>
        <w:t>无。</w:t>
      </w:r>
    </w:p>
    <w:p w:rsidR="00C34238" w:rsidRDefault="00CF4482" w:rsidP="004723F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C34238" w:rsidRDefault="00CF4482">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、《华安安悦债券型证券投资基金基金合同》</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、《华安安悦债券型证券投资基金招募说明书》</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、《华安安悦债券型证券投资基金托管协议》</w:t>
      </w:r>
    </w:p>
    <w:p w:rsidR="00C34238" w:rsidRDefault="00CF4482" w:rsidP="004723F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C34238" w:rsidRDefault="00CF4482" w:rsidP="004723F3">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C34238" w:rsidRDefault="00CF4482">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C34238" w:rsidRDefault="00C34238">
      <w:pPr>
        <w:spacing w:line="360" w:lineRule="auto"/>
        <w:ind w:left="840"/>
        <w:jc w:val="right"/>
        <w:rPr>
          <w:rFonts w:eastAsiaTheme="minorEastAsia"/>
          <w:color w:val="000000" w:themeColor="text1"/>
          <w:szCs w:val="21"/>
        </w:rPr>
      </w:pPr>
    </w:p>
    <w:p w:rsidR="00C34238" w:rsidRDefault="00C34238">
      <w:pPr>
        <w:spacing w:line="360" w:lineRule="auto"/>
        <w:ind w:left="840"/>
        <w:jc w:val="center"/>
        <w:rPr>
          <w:rFonts w:eastAsiaTheme="minorEastAsia"/>
          <w:b/>
          <w:color w:val="000000" w:themeColor="text1"/>
          <w:szCs w:val="21"/>
        </w:rPr>
      </w:pPr>
    </w:p>
    <w:p w:rsidR="00C34238" w:rsidRDefault="00CF4482">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C34238" w:rsidRDefault="00CF4482">
      <w:pPr>
        <w:spacing w:line="360" w:lineRule="auto"/>
        <w:jc w:val="right"/>
        <w:rPr>
          <w:rFonts w:eastAsiaTheme="minorEastAsia"/>
          <w:b/>
          <w:bCs/>
          <w:color w:val="000000" w:themeColor="text1"/>
          <w:szCs w:val="21"/>
        </w:rPr>
      </w:pPr>
      <w:bookmarkStart w:id="2" w:name="_GoBack"/>
      <w:bookmarkEnd w:id="2"/>
      <w:r>
        <w:rPr>
          <w:rFonts w:eastAsiaTheme="minorEastAsia"/>
          <w:b/>
          <w:bCs/>
          <w:color w:val="000000" w:themeColor="text1"/>
          <w:szCs w:val="21"/>
        </w:rPr>
        <w:t>二〇一九年七月十七日</w:t>
      </w:r>
    </w:p>
    <w:sectPr w:rsidR="00C34238" w:rsidSect="00064B5A">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82" w:rsidRDefault="00CF4482">
      <w:r>
        <w:separator/>
      </w:r>
    </w:p>
  </w:endnote>
  <w:endnote w:type="continuationSeparator" w:id="1">
    <w:p w:rsidR="00CF4482" w:rsidRDefault="00CF4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38" w:rsidRDefault="00CF4482">
    <w:pPr>
      <w:pStyle w:val="ac"/>
      <w:jc w:val="center"/>
    </w:pPr>
    <w:r>
      <w:rPr>
        <w:rFonts w:hint="eastAsia"/>
        <w:kern w:val="0"/>
        <w:szCs w:val="21"/>
      </w:rPr>
      <w:t>第</w:t>
    </w:r>
    <w:r w:rsidR="00064B5A">
      <w:rPr>
        <w:kern w:val="0"/>
        <w:szCs w:val="21"/>
      </w:rPr>
      <w:fldChar w:fldCharType="begin"/>
    </w:r>
    <w:r>
      <w:rPr>
        <w:kern w:val="0"/>
        <w:szCs w:val="21"/>
      </w:rPr>
      <w:instrText xml:space="preserve"> PAGE </w:instrText>
    </w:r>
    <w:r w:rsidR="00064B5A">
      <w:rPr>
        <w:kern w:val="0"/>
        <w:szCs w:val="21"/>
      </w:rPr>
      <w:fldChar w:fldCharType="separate"/>
    </w:r>
    <w:r w:rsidR="004723F3">
      <w:rPr>
        <w:noProof/>
        <w:kern w:val="0"/>
        <w:szCs w:val="21"/>
      </w:rPr>
      <w:t>1</w:t>
    </w:r>
    <w:r w:rsidR="00064B5A">
      <w:rPr>
        <w:kern w:val="0"/>
        <w:szCs w:val="21"/>
      </w:rPr>
      <w:fldChar w:fldCharType="end"/>
    </w:r>
    <w:r>
      <w:rPr>
        <w:rFonts w:hint="eastAsia"/>
        <w:kern w:val="0"/>
        <w:szCs w:val="21"/>
      </w:rPr>
      <w:t>页共</w:t>
    </w:r>
    <w:r w:rsidR="00064B5A">
      <w:rPr>
        <w:kern w:val="0"/>
        <w:szCs w:val="21"/>
      </w:rPr>
      <w:fldChar w:fldCharType="begin"/>
    </w:r>
    <w:r>
      <w:rPr>
        <w:kern w:val="0"/>
        <w:szCs w:val="21"/>
      </w:rPr>
      <w:instrText xml:space="preserve"> NUMPAGES </w:instrText>
    </w:r>
    <w:r w:rsidR="00064B5A">
      <w:rPr>
        <w:kern w:val="0"/>
        <w:szCs w:val="21"/>
      </w:rPr>
      <w:fldChar w:fldCharType="separate"/>
    </w:r>
    <w:r w:rsidR="004723F3">
      <w:rPr>
        <w:noProof/>
        <w:kern w:val="0"/>
        <w:szCs w:val="21"/>
      </w:rPr>
      <w:t>3</w:t>
    </w:r>
    <w:r w:rsidR="00064B5A">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38" w:rsidRDefault="00064B5A">
    <w:pPr>
      <w:pStyle w:val="ac"/>
      <w:framePr w:wrap="around" w:vAnchor="text" w:hAnchor="margin" w:xAlign="center" w:y="1"/>
      <w:rPr>
        <w:rStyle w:val="af2"/>
      </w:rPr>
    </w:pPr>
    <w:r>
      <w:rPr>
        <w:rStyle w:val="af2"/>
      </w:rPr>
      <w:fldChar w:fldCharType="begin"/>
    </w:r>
    <w:r w:rsidR="00CF4482">
      <w:rPr>
        <w:rStyle w:val="af2"/>
      </w:rPr>
      <w:instrText xml:space="preserve">PAGE  </w:instrText>
    </w:r>
    <w:r>
      <w:rPr>
        <w:rStyle w:val="af2"/>
      </w:rPr>
      <w:fldChar w:fldCharType="end"/>
    </w:r>
  </w:p>
  <w:p w:rsidR="00C34238" w:rsidRDefault="00C3423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38" w:rsidRDefault="00064B5A">
    <w:pPr>
      <w:pStyle w:val="ac"/>
      <w:framePr w:wrap="around" w:vAnchor="text" w:hAnchor="margin" w:xAlign="center" w:y="1"/>
      <w:rPr>
        <w:rStyle w:val="af2"/>
      </w:rPr>
    </w:pPr>
    <w:r>
      <w:rPr>
        <w:rStyle w:val="af2"/>
      </w:rPr>
      <w:fldChar w:fldCharType="begin"/>
    </w:r>
    <w:r w:rsidR="00CF4482">
      <w:rPr>
        <w:rStyle w:val="af2"/>
      </w:rPr>
      <w:instrText xml:space="preserve">PAGE  </w:instrText>
    </w:r>
    <w:r>
      <w:rPr>
        <w:rStyle w:val="af2"/>
      </w:rPr>
      <w:fldChar w:fldCharType="separate"/>
    </w:r>
    <w:r w:rsidR="004723F3">
      <w:rPr>
        <w:rStyle w:val="af2"/>
        <w:noProof/>
      </w:rPr>
      <w:t>2</w:t>
    </w:r>
    <w:r>
      <w:rPr>
        <w:rStyle w:val="af2"/>
      </w:rPr>
      <w:fldChar w:fldCharType="end"/>
    </w:r>
  </w:p>
  <w:p w:rsidR="00C34238" w:rsidRDefault="00C342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82" w:rsidRDefault="00CF4482">
      <w:r>
        <w:separator/>
      </w:r>
    </w:p>
  </w:footnote>
  <w:footnote w:type="continuationSeparator" w:id="1">
    <w:p w:rsidR="00CF4482" w:rsidRDefault="00CF4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38" w:rsidRDefault="00CF4482">
    <w:pPr>
      <w:pStyle w:val="ad"/>
      <w:pBdr>
        <w:bottom w:val="single" w:sz="6" w:space="0" w:color="auto"/>
      </w:pBdr>
      <w:jc w:val="right"/>
    </w:pPr>
    <w:r>
      <w:t>华安安悦债券型证券投资基金</w:t>
    </w:r>
    <w:r>
      <w:t>2019</w:t>
    </w:r>
    <w:r>
      <w:t>年第</w:t>
    </w:r>
    <w:r>
      <w:t>2</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4B5A"/>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23F3"/>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328"/>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238"/>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482"/>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B5A"/>
    <w:pPr>
      <w:widowControl w:val="0"/>
      <w:jc w:val="both"/>
    </w:pPr>
    <w:rPr>
      <w:kern w:val="2"/>
      <w:sz w:val="21"/>
      <w:szCs w:val="24"/>
    </w:rPr>
  </w:style>
  <w:style w:type="paragraph" w:styleId="1">
    <w:name w:val="heading 1"/>
    <w:basedOn w:val="a"/>
    <w:next w:val="a"/>
    <w:link w:val="1Char"/>
    <w:qFormat/>
    <w:rsid w:val="00064B5A"/>
    <w:pPr>
      <w:keepNext/>
      <w:keepLines/>
      <w:spacing w:before="340" w:after="330" w:line="578" w:lineRule="auto"/>
      <w:outlineLvl w:val="0"/>
    </w:pPr>
    <w:rPr>
      <w:b/>
      <w:bCs/>
      <w:kern w:val="44"/>
      <w:sz w:val="44"/>
      <w:szCs w:val="44"/>
    </w:rPr>
  </w:style>
  <w:style w:type="paragraph" w:styleId="2">
    <w:name w:val="heading 2"/>
    <w:basedOn w:val="a"/>
    <w:next w:val="a0"/>
    <w:qFormat/>
    <w:rsid w:val="00064B5A"/>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064B5A"/>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064B5A"/>
    <w:pPr>
      <w:ind w:firstLineChars="200" w:firstLine="420"/>
    </w:pPr>
  </w:style>
  <w:style w:type="paragraph" w:styleId="a4">
    <w:name w:val="annotation subject"/>
    <w:basedOn w:val="a5"/>
    <w:next w:val="a5"/>
    <w:semiHidden/>
    <w:qFormat/>
    <w:rsid w:val="00064B5A"/>
    <w:rPr>
      <w:b/>
      <w:bCs/>
    </w:rPr>
  </w:style>
  <w:style w:type="paragraph" w:styleId="a5">
    <w:name w:val="annotation text"/>
    <w:basedOn w:val="a"/>
    <w:semiHidden/>
    <w:qFormat/>
    <w:rsid w:val="00064B5A"/>
    <w:pPr>
      <w:jc w:val="left"/>
    </w:pPr>
  </w:style>
  <w:style w:type="paragraph" w:styleId="a6">
    <w:name w:val="Document Map"/>
    <w:basedOn w:val="a"/>
    <w:semiHidden/>
    <w:qFormat/>
    <w:rsid w:val="00064B5A"/>
    <w:pPr>
      <w:shd w:val="clear" w:color="auto" w:fill="000080"/>
    </w:pPr>
  </w:style>
  <w:style w:type="paragraph" w:styleId="a7">
    <w:name w:val="Body Text"/>
    <w:basedOn w:val="a"/>
    <w:qFormat/>
    <w:rsid w:val="00064B5A"/>
    <w:pPr>
      <w:spacing w:after="120"/>
    </w:pPr>
  </w:style>
  <w:style w:type="paragraph" w:styleId="a8">
    <w:name w:val="Body Text Indent"/>
    <w:basedOn w:val="a"/>
    <w:qFormat/>
    <w:rsid w:val="00064B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064B5A"/>
    <w:rPr>
      <w:rFonts w:ascii="宋体" w:hAnsi="Courier New"/>
      <w:szCs w:val="21"/>
    </w:rPr>
  </w:style>
  <w:style w:type="paragraph" w:styleId="aa">
    <w:name w:val="Date"/>
    <w:basedOn w:val="a"/>
    <w:next w:val="a"/>
    <w:link w:val="Char0"/>
    <w:qFormat/>
    <w:rsid w:val="00064B5A"/>
    <w:rPr>
      <w:sz w:val="24"/>
      <w:szCs w:val="20"/>
    </w:rPr>
  </w:style>
  <w:style w:type="paragraph" w:styleId="20">
    <w:name w:val="Body Text Indent 2"/>
    <w:basedOn w:val="a"/>
    <w:qFormat/>
    <w:rsid w:val="00064B5A"/>
    <w:pPr>
      <w:spacing w:line="560" w:lineRule="exact"/>
      <w:ind w:firstLineChars="200" w:firstLine="480"/>
    </w:pPr>
    <w:rPr>
      <w:rFonts w:ascii="宋体" w:hAnsi="宋体"/>
      <w:color w:val="FF0000"/>
      <w:sz w:val="24"/>
    </w:rPr>
  </w:style>
  <w:style w:type="paragraph" w:styleId="ab">
    <w:name w:val="Balloon Text"/>
    <w:basedOn w:val="a"/>
    <w:semiHidden/>
    <w:qFormat/>
    <w:rsid w:val="00064B5A"/>
    <w:rPr>
      <w:sz w:val="18"/>
      <w:szCs w:val="18"/>
    </w:rPr>
  </w:style>
  <w:style w:type="paragraph" w:styleId="ac">
    <w:name w:val="footer"/>
    <w:basedOn w:val="a"/>
    <w:qFormat/>
    <w:rsid w:val="00064B5A"/>
    <w:pPr>
      <w:tabs>
        <w:tab w:val="center" w:pos="4153"/>
        <w:tab w:val="right" w:pos="8306"/>
      </w:tabs>
      <w:snapToGrid w:val="0"/>
      <w:jc w:val="left"/>
    </w:pPr>
    <w:rPr>
      <w:sz w:val="18"/>
      <w:szCs w:val="18"/>
    </w:rPr>
  </w:style>
  <w:style w:type="paragraph" w:styleId="ad">
    <w:name w:val="header"/>
    <w:basedOn w:val="a"/>
    <w:link w:val="Char1"/>
    <w:uiPriority w:val="99"/>
    <w:qFormat/>
    <w:rsid w:val="00064B5A"/>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064B5A"/>
    <w:pPr>
      <w:spacing w:after="220" w:line="220" w:lineRule="atLeast"/>
      <w:ind w:left="1440" w:hanging="360"/>
    </w:pPr>
    <w:rPr>
      <w:szCs w:val="20"/>
    </w:rPr>
  </w:style>
  <w:style w:type="paragraph" w:styleId="af">
    <w:name w:val="footnote text"/>
    <w:basedOn w:val="a"/>
    <w:link w:val="Char2"/>
    <w:qFormat/>
    <w:rsid w:val="00064B5A"/>
    <w:pPr>
      <w:snapToGrid w:val="0"/>
      <w:jc w:val="left"/>
    </w:pPr>
    <w:rPr>
      <w:sz w:val="18"/>
      <w:szCs w:val="18"/>
    </w:rPr>
  </w:style>
  <w:style w:type="paragraph" w:styleId="30">
    <w:name w:val="Body Text Indent 3"/>
    <w:basedOn w:val="a"/>
    <w:qFormat/>
    <w:rsid w:val="00064B5A"/>
    <w:pPr>
      <w:spacing w:line="560" w:lineRule="exact"/>
      <w:ind w:firstLineChars="200" w:firstLine="420"/>
    </w:pPr>
    <w:rPr>
      <w:rFonts w:ascii="Arial" w:hAnsi="Arial" w:cs="Arial"/>
      <w:color w:val="FF0000"/>
    </w:rPr>
  </w:style>
  <w:style w:type="paragraph" w:styleId="af0">
    <w:name w:val="Normal (Web)"/>
    <w:basedOn w:val="a"/>
    <w:qFormat/>
    <w:rsid w:val="00064B5A"/>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064B5A"/>
    <w:pPr>
      <w:jc w:val="right"/>
    </w:pPr>
    <w:rPr>
      <w:color w:val="008000"/>
    </w:rPr>
  </w:style>
  <w:style w:type="character" w:styleId="af1">
    <w:name w:val="Strong"/>
    <w:basedOn w:val="a1"/>
    <w:uiPriority w:val="22"/>
    <w:qFormat/>
    <w:rsid w:val="00064B5A"/>
    <w:rPr>
      <w:b/>
      <w:bCs/>
    </w:rPr>
  </w:style>
  <w:style w:type="character" w:styleId="af2">
    <w:name w:val="page number"/>
    <w:basedOn w:val="a1"/>
    <w:qFormat/>
    <w:rsid w:val="00064B5A"/>
  </w:style>
  <w:style w:type="character" w:styleId="af3">
    <w:name w:val="Hyperlink"/>
    <w:basedOn w:val="a1"/>
    <w:qFormat/>
    <w:rsid w:val="00064B5A"/>
    <w:rPr>
      <w:color w:val="0000FF"/>
      <w:u w:val="single"/>
    </w:rPr>
  </w:style>
  <w:style w:type="character" w:styleId="af4">
    <w:name w:val="annotation reference"/>
    <w:basedOn w:val="a1"/>
    <w:semiHidden/>
    <w:qFormat/>
    <w:rsid w:val="00064B5A"/>
    <w:rPr>
      <w:sz w:val="21"/>
      <w:szCs w:val="21"/>
    </w:rPr>
  </w:style>
  <w:style w:type="character" w:styleId="af5">
    <w:name w:val="footnote reference"/>
    <w:basedOn w:val="a1"/>
    <w:qFormat/>
    <w:rsid w:val="00064B5A"/>
    <w:rPr>
      <w:vertAlign w:val="superscript"/>
    </w:rPr>
  </w:style>
  <w:style w:type="table" w:styleId="af6">
    <w:name w:val="Table Grid"/>
    <w:basedOn w:val="a2"/>
    <w:qFormat/>
    <w:rsid w:val="00064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064B5A"/>
    <w:rPr>
      <w:color w:val="800080"/>
      <w:u w:val="single"/>
    </w:rPr>
  </w:style>
  <w:style w:type="character" w:customStyle="1" w:styleId="c1">
    <w:name w:val="c1"/>
    <w:basedOn w:val="a1"/>
    <w:qFormat/>
    <w:rsid w:val="00064B5A"/>
    <w:rPr>
      <w:color w:val="000000"/>
      <w:sz w:val="18"/>
      <w:szCs w:val="18"/>
    </w:rPr>
  </w:style>
  <w:style w:type="paragraph" w:customStyle="1" w:styleId="font5">
    <w:name w:val="font5"/>
    <w:basedOn w:val="a"/>
    <w:qFormat/>
    <w:rsid w:val="00064B5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064B5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064B5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064B5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064B5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064B5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064B5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064B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064B5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064B5A"/>
  </w:style>
  <w:style w:type="paragraph" w:customStyle="1" w:styleId="Char10">
    <w:name w:val="Char1"/>
    <w:basedOn w:val="a"/>
    <w:qFormat/>
    <w:rsid w:val="00064B5A"/>
  </w:style>
  <w:style w:type="character" w:customStyle="1" w:styleId="t1">
    <w:name w:val="t1"/>
    <w:basedOn w:val="a1"/>
    <w:qFormat/>
    <w:rsid w:val="00064B5A"/>
    <w:rPr>
      <w:color w:val="990000"/>
    </w:rPr>
  </w:style>
  <w:style w:type="character" w:customStyle="1" w:styleId="Char">
    <w:name w:val="纯文本 Char"/>
    <w:basedOn w:val="a1"/>
    <w:link w:val="a9"/>
    <w:uiPriority w:val="99"/>
    <w:rsid w:val="00064B5A"/>
    <w:rPr>
      <w:rFonts w:ascii="宋体" w:hAnsi="Courier New"/>
      <w:kern w:val="2"/>
      <w:sz w:val="21"/>
      <w:szCs w:val="21"/>
    </w:rPr>
  </w:style>
  <w:style w:type="character" w:customStyle="1" w:styleId="Char2">
    <w:name w:val="脚注文本 Char"/>
    <w:basedOn w:val="a1"/>
    <w:link w:val="af"/>
    <w:qFormat/>
    <w:rsid w:val="00064B5A"/>
    <w:rPr>
      <w:kern w:val="2"/>
      <w:sz w:val="18"/>
      <w:szCs w:val="18"/>
    </w:rPr>
  </w:style>
  <w:style w:type="paragraph" w:customStyle="1" w:styleId="Default">
    <w:name w:val="Default"/>
    <w:qFormat/>
    <w:rsid w:val="00064B5A"/>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064B5A"/>
    <w:rPr>
      <w:kern w:val="2"/>
      <w:sz w:val="18"/>
      <w:szCs w:val="18"/>
    </w:rPr>
  </w:style>
  <w:style w:type="character" w:customStyle="1" w:styleId="1Char">
    <w:name w:val="标题 1 Char"/>
    <w:basedOn w:val="a1"/>
    <w:link w:val="1"/>
    <w:qFormat/>
    <w:rsid w:val="00064B5A"/>
    <w:rPr>
      <w:b/>
      <w:bCs/>
      <w:kern w:val="44"/>
      <w:sz w:val="44"/>
      <w:szCs w:val="44"/>
    </w:rPr>
  </w:style>
  <w:style w:type="character" w:customStyle="1" w:styleId="Char0">
    <w:name w:val="日期 Char"/>
    <w:basedOn w:val="a1"/>
    <w:link w:val="aa"/>
    <w:qFormat/>
    <w:rsid w:val="00064B5A"/>
    <w:rPr>
      <w:kern w:val="2"/>
      <w:sz w:val="24"/>
    </w:rPr>
  </w:style>
  <w:style w:type="character" w:customStyle="1" w:styleId="3Char">
    <w:name w:val="标题 3 Char"/>
    <w:basedOn w:val="a1"/>
    <w:link w:val="3"/>
    <w:uiPriority w:val="9"/>
    <w:qFormat/>
    <w:rsid w:val="00064B5A"/>
    <w:rPr>
      <w:rFonts w:asciiTheme="minorHAnsi" w:eastAsiaTheme="minorEastAsia" w:hAnsiTheme="minorHAnsi" w:cstheme="minorBidi"/>
      <w:b/>
      <w:bCs/>
      <w:kern w:val="2"/>
      <w:sz w:val="32"/>
      <w:szCs w:val="32"/>
    </w:rPr>
  </w:style>
  <w:style w:type="table" w:customStyle="1" w:styleId="12">
    <w:name w:val="网格型1"/>
    <w:basedOn w:val="a2"/>
    <w:qFormat/>
    <w:rsid w:val="00064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064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CC33A93-896B-4210-A3FF-1EB1BBEE55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1158</Words>
  <Characters>6604</Characters>
  <Application>Microsoft Office Word</Application>
  <DocSecurity>4</DocSecurity>
  <Lines>55</Lines>
  <Paragraphs>15</Paragraphs>
  <ScaleCrop>false</ScaleCrop>
  <Company>TRT. Ltd. Co.</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2019-07-16T16:05:00Z</dcterms:created>
  <dcterms:modified xsi:type="dcterms:W3CDTF">2019-07-16T16:05:00Z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