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6A" w:rsidRDefault="00367A6A">
      <w:pPr>
        <w:autoSpaceDE w:val="0"/>
        <w:autoSpaceDN w:val="0"/>
        <w:adjustRightInd w:val="0"/>
        <w:spacing w:line="360" w:lineRule="auto"/>
        <w:jc w:val="left"/>
        <w:rPr>
          <w:rFonts w:eastAsiaTheme="minorEastAsia"/>
          <w:color w:val="000000" w:themeColor="text1"/>
          <w:kern w:val="0"/>
          <w:szCs w:val="21"/>
        </w:rPr>
      </w:pPr>
    </w:p>
    <w:p w:rsidR="00367A6A" w:rsidRDefault="00367A6A">
      <w:pPr>
        <w:autoSpaceDE w:val="0"/>
        <w:autoSpaceDN w:val="0"/>
        <w:adjustRightInd w:val="0"/>
        <w:spacing w:line="360" w:lineRule="auto"/>
        <w:jc w:val="left"/>
        <w:rPr>
          <w:rFonts w:eastAsiaTheme="minorEastAsia"/>
          <w:color w:val="000000" w:themeColor="text1"/>
          <w:kern w:val="0"/>
          <w:szCs w:val="21"/>
        </w:rPr>
      </w:pPr>
    </w:p>
    <w:p w:rsidR="00367A6A" w:rsidRDefault="00367A6A">
      <w:pPr>
        <w:autoSpaceDE w:val="0"/>
        <w:autoSpaceDN w:val="0"/>
        <w:adjustRightInd w:val="0"/>
        <w:spacing w:line="360" w:lineRule="auto"/>
        <w:jc w:val="left"/>
        <w:rPr>
          <w:rFonts w:eastAsiaTheme="minorEastAsia"/>
          <w:color w:val="000000" w:themeColor="text1"/>
          <w:kern w:val="0"/>
          <w:szCs w:val="21"/>
        </w:rPr>
      </w:pPr>
    </w:p>
    <w:p w:rsidR="00367A6A" w:rsidRDefault="00367A6A">
      <w:pPr>
        <w:autoSpaceDE w:val="0"/>
        <w:autoSpaceDN w:val="0"/>
        <w:adjustRightInd w:val="0"/>
        <w:spacing w:line="360" w:lineRule="auto"/>
        <w:jc w:val="left"/>
        <w:rPr>
          <w:rFonts w:eastAsiaTheme="minorEastAsia"/>
          <w:color w:val="000000" w:themeColor="text1"/>
          <w:kern w:val="0"/>
          <w:szCs w:val="21"/>
        </w:rPr>
      </w:pPr>
    </w:p>
    <w:p w:rsidR="00367A6A" w:rsidRDefault="00367A6A">
      <w:pPr>
        <w:autoSpaceDE w:val="0"/>
        <w:autoSpaceDN w:val="0"/>
        <w:adjustRightInd w:val="0"/>
        <w:spacing w:line="360" w:lineRule="auto"/>
        <w:jc w:val="left"/>
        <w:rPr>
          <w:rFonts w:eastAsiaTheme="minorEastAsia"/>
          <w:color w:val="000000" w:themeColor="text1"/>
          <w:kern w:val="0"/>
          <w:szCs w:val="21"/>
        </w:rPr>
      </w:pPr>
    </w:p>
    <w:p w:rsidR="00367A6A" w:rsidRDefault="00250141">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上投摩根岁岁金定期开放债券型证券投资基金</w:t>
      </w:r>
    </w:p>
    <w:p w:rsidR="00367A6A" w:rsidRDefault="00250141">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2</w:t>
      </w:r>
      <w:r>
        <w:rPr>
          <w:rFonts w:eastAsiaTheme="minorEastAsia"/>
          <w:b/>
          <w:color w:val="000000" w:themeColor="text1"/>
          <w:sz w:val="36"/>
          <w:szCs w:val="36"/>
        </w:rPr>
        <w:t>季度报告</w:t>
      </w:r>
    </w:p>
    <w:p w:rsidR="00367A6A" w:rsidRDefault="00250141">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6</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jc w:val="center"/>
        <w:rPr>
          <w:rFonts w:eastAsiaTheme="minorEastAsia"/>
          <w:b/>
          <w:color w:val="000000" w:themeColor="text1"/>
          <w:szCs w:val="21"/>
        </w:rPr>
      </w:pPr>
    </w:p>
    <w:p w:rsidR="00367A6A" w:rsidRDefault="00367A6A">
      <w:pPr>
        <w:spacing w:line="360" w:lineRule="auto"/>
        <w:rPr>
          <w:rFonts w:eastAsiaTheme="minorEastAsia"/>
          <w:b/>
          <w:color w:val="000000" w:themeColor="text1"/>
          <w:szCs w:val="21"/>
        </w:rPr>
      </w:pPr>
    </w:p>
    <w:p w:rsidR="00367A6A" w:rsidRDefault="00250141">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367A6A" w:rsidRDefault="00250141">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基金托管人：平安银行股份有限公司</w:t>
      </w:r>
    </w:p>
    <w:p w:rsidR="00367A6A" w:rsidRDefault="00250141">
      <w:pPr>
        <w:spacing w:line="360" w:lineRule="auto"/>
        <w:ind w:firstLineChars="900" w:firstLine="2168"/>
        <w:rPr>
          <w:rFonts w:eastAsiaTheme="minorEastAsia"/>
          <w:color w:val="000000" w:themeColor="text1"/>
          <w:szCs w:val="21"/>
        </w:rPr>
        <w:sectPr w:rsidR="00367A6A">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报告送出日期：二〇一九年七月十六日</w:t>
      </w:r>
    </w:p>
    <w:p w:rsidR="00367A6A" w:rsidRDefault="00250141">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sidR="00B80B17">
        <w:rPr>
          <w:rFonts w:eastAsiaTheme="minorEastAsia" w:hint="eastAsia"/>
          <w:color w:val="000000" w:themeColor="text1"/>
          <w:szCs w:val="21"/>
        </w:rPr>
        <w:t>5</w:t>
      </w:r>
      <w:r>
        <w:rPr>
          <w:rFonts w:eastAsiaTheme="minorEastAsia"/>
          <w:color w:val="000000" w:themeColor="text1"/>
          <w:szCs w:val="21"/>
        </w:rPr>
        <w:t>月</w:t>
      </w:r>
      <w:r w:rsidR="00B80B17">
        <w:rPr>
          <w:rFonts w:eastAsiaTheme="minorEastAsia" w:hint="eastAsia"/>
          <w:color w:val="000000" w:themeColor="text1"/>
          <w:szCs w:val="21"/>
        </w:rPr>
        <w:t>9</w:t>
      </w:r>
      <w:r>
        <w:rPr>
          <w:rFonts w:eastAsiaTheme="minorEastAsia"/>
          <w:color w:val="000000" w:themeColor="text1"/>
          <w:szCs w:val="21"/>
        </w:rPr>
        <w:t>日止。</w:t>
      </w:r>
    </w:p>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367A6A">
        <w:tc>
          <w:tcPr>
            <w:tcW w:w="2835"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上投摩根岁岁金定期开放债券</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004203</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契约型定期开放式</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2,397,711.24</w:t>
            </w:r>
            <w:r>
              <w:rPr>
                <w:rFonts w:eastAsiaTheme="minorEastAsia"/>
                <w:color w:val="000000" w:themeColor="text1"/>
                <w:kern w:val="0"/>
                <w:szCs w:val="21"/>
              </w:rPr>
              <w:t>份</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在合理充分的定量分析及定性研究基础上，在风险可控的原则下，通过参与固定收益类资产的投资封闭运作，力争获取超越基准的稳健回报。</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、回购策略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回购利率和现券收益率以及其他投资品种收益率的比较，通过回购融入短期资金滚动操作，投资于收益率高于回购成本的债券以及其他获利机会，从而获得杠杆放大收益，并根据市场利率水平以及对利率期限结构的预期等，对回购放大的杠杆比例适时进行调整。</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、中小企业私募债券投资策略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本基金投资中小企业私募债券，基金管理人将根据审慎原</w:t>
            </w:r>
            <w:r>
              <w:rPr>
                <w:rFonts w:eastAsiaTheme="minorEastAsia"/>
                <w:color w:val="000000" w:themeColor="text1"/>
                <w:kern w:val="0"/>
                <w:szCs w:val="21"/>
              </w:rPr>
              <w:lastRenderedPageBreak/>
              <w:t>则，制定严格的投资决策流程、风险控制制度和信用风险、流动性风险处置预案，以防范信用风险、流动性风险等各种风险。</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、资产支持证券投资策略</w:t>
            </w:r>
            <w:r>
              <w:rPr>
                <w:rFonts w:eastAsiaTheme="minorEastAsia"/>
                <w:color w:val="000000" w:themeColor="text1"/>
                <w:kern w:val="0"/>
                <w:szCs w:val="21"/>
              </w:rPr>
              <w:t xml:space="preserve"> </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严格控制组合投资风险的前提下投资于资产支持证券。本基金综合考虑市场利率、发行条款、支持资产的构成及质量等因素，在严格控制风险的情况下，确定资产合理配置比例，在保证资产安全性的前提条件下，以期获得长期稳定收益。</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8</w:t>
            </w:r>
            <w:r>
              <w:rPr>
                <w:rFonts w:eastAsiaTheme="minorEastAsia"/>
                <w:color w:val="000000" w:themeColor="text1"/>
                <w:kern w:val="0"/>
                <w:szCs w:val="21"/>
              </w:rPr>
              <w:t>、证券公司短期公司债券投资策略</w:t>
            </w:r>
          </w:p>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本基金投资证券公司短期公司债券，将主要从自上而下判断景气周期和自下而上精选标的两个角度出发，结合信用分析和信用评估进行，同时通过有纪律的风险监控实现对投资组合风险的有效管理。</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中债总指数</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平安银行股份有限公司</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367A6A" w:rsidRDefault="00250141">
            <w:pPr>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A</w:t>
            </w:r>
          </w:p>
        </w:tc>
        <w:tc>
          <w:tcPr>
            <w:tcW w:w="2740" w:type="dxa"/>
            <w:vAlign w:val="center"/>
          </w:tcPr>
          <w:p w:rsidR="00367A6A" w:rsidRDefault="00250141">
            <w:pPr>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C</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367A6A" w:rsidRDefault="00250141">
            <w:pPr>
              <w:rPr>
                <w:rFonts w:eastAsiaTheme="minorEastAsia"/>
                <w:color w:val="000000" w:themeColor="text1"/>
                <w:szCs w:val="21"/>
              </w:rPr>
            </w:pPr>
            <w:r>
              <w:rPr>
                <w:rFonts w:eastAsiaTheme="minorEastAsia"/>
                <w:color w:val="000000" w:themeColor="text1"/>
                <w:szCs w:val="21"/>
              </w:rPr>
              <w:t>004203</w:t>
            </w:r>
          </w:p>
        </w:tc>
        <w:tc>
          <w:tcPr>
            <w:tcW w:w="2740" w:type="dxa"/>
            <w:vAlign w:val="center"/>
          </w:tcPr>
          <w:p w:rsidR="00367A6A" w:rsidRDefault="00250141">
            <w:pPr>
              <w:rPr>
                <w:rFonts w:eastAsiaTheme="minorEastAsia"/>
                <w:color w:val="000000" w:themeColor="text1"/>
                <w:szCs w:val="21"/>
              </w:rPr>
            </w:pPr>
            <w:r>
              <w:rPr>
                <w:rFonts w:eastAsiaTheme="minorEastAsia"/>
                <w:color w:val="000000" w:themeColor="text1"/>
                <w:szCs w:val="21"/>
              </w:rPr>
              <w:t>004204</w:t>
            </w:r>
          </w:p>
        </w:tc>
      </w:tr>
      <w:tr w:rsidR="00367A6A">
        <w:tc>
          <w:tcPr>
            <w:tcW w:w="2835" w:type="dxa"/>
            <w:vAlign w:val="center"/>
          </w:tcPr>
          <w:p w:rsidR="00367A6A" w:rsidRDefault="00250141">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367A6A" w:rsidRDefault="00250141">
            <w:pPr>
              <w:rPr>
                <w:rFonts w:eastAsiaTheme="minorEastAsia"/>
                <w:color w:val="000000" w:themeColor="text1"/>
                <w:szCs w:val="21"/>
              </w:rPr>
            </w:pPr>
            <w:r>
              <w:rPr>
                <w:rFonts w:eastAsiaTheme="minorEastAsia"/>
                <w:color w:val="000000" w:themeColor="text1"/>
                <w:szCs w:val="21"/>
              </w:rPr>
              <w:t>2,247,923.83</w:t>
            </w:r>
            <w:r>
              <w:rPr>
                <w:rFonts w:eastAsiaTheme="minorEastAsia"/>
                <w:color w:val="000000" w:themeColor="text1"/>
                <w:kern w:val="0"/>
                <w:szCs w:val="21"/>
              </w:rPr>
              <w:t>份</w:t>
            </w:r>
          </w:p>
        </w:tc>
        <w:tc>
          <w:tcPr>
            <w:tcW w:w="2740" w:type="dxa"/>
            <w:vAlign w:val="center"/>
          </w:tcPr>
          <w:p w:rsidR="00367A6A" w:rsidRDefault="00250141">
            <w:pPr>
              <w:rPr>
                <w:rFonts w:eastAsiaTheme="minorEastAsia"/>
                <w:color w:val="000000" w:themeColor="text1"/>
                <w:szCs w:val="21"/>
              </w:rPr>
            </w:pPr>
            <w:r>
              <w:rPr>
                <w:rFonts w:eastAsiaTheme="minorEastAsia"/>
                <w:color w:val="000000" w:themeColor="text1"/>
                <w:szCs w:val="21"/>
              </w:rPr>
              <w:t>149,787.41</w:t>
            </w:r>
            <w:r>
              <w:rPr>
                <w:rFonts w:eastAsiaTheme="minorEastAsia"/>
                <w:color w:val="000000" w:themeColor="text1"/>
                <w:kern w:val="0"/>
                <w:szCs w:val="21"/>
              </w:rPr>
              <w:t>份</w:t>
            </w:r>
          </w:p>
        </w:tc>
      </w:tr>
    </w:tbl>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367A6A" w:rsidRDefault="0025014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367A6A" w:rsidRDefault="00250141">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367A6A">
        <w:tc>
          <w:tcPr>
            <w:tcW w:w="3402" w:type="dxa"/>
            <w:vMerge w:val="restart"/>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367A6A" w:rsidRDefault="0025014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367A6A" w:rsidRDefault="0025014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w:t>
            </w:r>
            <w:r>
              <w:rPr>
                <w:rFonts w:eastAsiaTheme="minorEastAsia"/>
                <w:color w:val="000000" w:themeColor="text1"/>
                <w:szCs w:val="21"/>
              </w:rPr>
              <w:t>)</w:t>
            </w:r>
          </w:p>
        </w:tc>
      </w:tr>
      <w:tr w:rsidR="00367A6A">
        <w:tc>
          <w:tcPr>
            <w:tcW w:w="3402" w:type="dxa"/>
            <w:vMerge/>
            <w:vAlign w:val="center"/>
          </w:tcPr>
          <w:p w:rsidR="00367A6A" w:rsidRDefault="00367A6A">
            <w:pPr>
              <w:adjustRightInd w:val="0"/>
              <w:spacing w:before="29" w:line="360" w:lineRule="auto"/>
              <w:ind w:left="17"/>
              <w:rPr>
                <w:rFonts w:eastAsiaTheme="minorEastAsia"/>
                <w:color w:val="000000" w:themeColor="text1"/>
                <w:kern w:val="0"/>
                <w:szCs w:val="21"/>
              </w:rPr>
            </w:pPr>
          </w:p>
        </w:tc>
        <w:tc>
          <w:tcPr>
            <w:tcW w:w="2481" w:type="dxa"/>
            <w:vAlign w:val="center"/>
          </w:tcPr>
          <w:p w:rsidR="00367A6A" w:rsidRDefault="0025014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A</w:t>
            </w:r>
          </w:p>
        </w:tc>
        <w:tc>
          <w:tcPr>
            <w:tcW w:w="2481" w:type="dxa"/>
            <w:vAlign w:val="center"/>
          </w:tcPr>
          <w:p w:rsidR="00367A6A" w:rsidRDefault="0025014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C</w:t>
            </w:r>
          </w:p>
        </w:tc>
      </w:tr>
      <w:tr w:rsidR="00367A6A">
        <w:tc>
          <w:tcPr>
            <w:tcW w:w="3402"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-265,811.85</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-17,883.40</w:t>
            </w:r>
          </w:p>
        </w:tc>
      </w:tr>
      <w:tr w:rsidR="00367A6A">
        <w:tc>
          <w:tcPr>
            <w:tcW w:w="3402"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-491,480.87</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-22,658.78</w:t>
            </w:r>
          </w:p>
        </w:tc>
      </w:tr>
      <w:tr w:rsidR="00367A6A">
        <w:tc>
          <w:tcPr>
            <w:tcW w:w="3402"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-0.0242</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-0.0233</w:t>
            </w:r>
          </w:p>
        </w:tc>
      </w:tr>
      <w:tr w:rsidR="00367A6A">
        <w:tc>
          <w:tcPr>
            <w:tcW w:w="3402"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2,376,266.37</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157,229.15</w:t>
            </w:r>
          </w:p>
        </w:tc>
      </w:tr>
      <w:tr w:rsidR="00367A6A">
        <w:trPr>
          <w:trHeight w:val="158"/>
        </w:trPr>
        <w:tc>
          <w:tcPr>
            <w:tcW w:w="3402" w:type="dxa"/>
            <w:vAlign w:val="center"/>
          </w:tcPr>
          <w:p w:rsidR="00367A6A" w:rsidRDefault="0025014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1.0571</w:t>
            </w:r>
          </w:p>
        </w:tc>
        <w:tc>
          <w:tcPr>
            <w:tcW w:w="2481" w:type="dxa"/>
            <w:vAlign w:val="center"/>
          </w:tcPr>
          <w:p w:rsidR="00367A6A" w:rsidRDefault="0025014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1.0497</w:t>
            </w:r>
          </w:p>
        </w:tc>
      </w:tr>
    </w:tbl>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367A6A" w:rsidRDefault="0025014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367A6A" w:rsidRDefault="00250141">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上投摩根岁岁金定期开放债券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367A6A">
        <w:tc>
          <w:tcPr>
            <w:tcW w:w="1290"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367A6A">
        <w:tc>
          <w:tcPr>
            <w:tcW w:w="1290" w:type="dxa"/>
            <w:vAlign w:val="center"/>
          </w:tcPr>
          <w:p w:rsidR="00367A6A" w:rsidRDefault="00250141">
            <w:pPr>
              <w:jc w:val="left"/>
            </w:pPr>
            <w:r>
              <w:rPr>
                <w:rFonts w:eastAsiaTheme="minorEastAsia"/>
                <w:color w:val="000000" w:themeColor="text1"/>
                <w:szCs w:val="21"/>
              </w:rPr>
              <w:t>过去三个月</w:t>
            </w:r>
          </w:p>
        </w:tc>
        <w:tc>
          <w:tcPr>
            <w:tcW w:w="1291" w:type="dxa"/>
            <w:vAlign w:val="center"/>
          </w:tcPr>
          <w:p w:rsidR="00367A6A" w:rsidRDefault="00250141">
            <w:pPr>
              <w:jc w:val="right"/>
            </w:pPr>
            <w:r>
              <w:rPr>
                <w:rFonts w:eastAsiaTheme="minorEastAsia"/>
                <w:color w:val="000000" w:themeColor="text1"/>
                <w:szCs w:val="21"/>
              </w:rPr>
              <w:t>-1.21%</w:t>
            </w:r>
          </w:p>
        </w:tc>
        <w:tc>
          <w:tcPr>
            <w:tcW w:w="1291" w:type="dxa"/>
            <w:vAlign w:val="center"/>
          </w:tcPr>
          <w:p w:rsidR="00367A6A" w:rsidRDefault="00250141">
            <w:pPr>
              <w:jc w:val="right"/>
            </w:pPr>
            <w:r>
              <w:rPr>
                <w:rFonts w:eastAsiaTheme="minorEastAsia"/>
                <w:color w:val="000000" w:themeColor="text1"/>
                <w:szCs w:val="21"/>
              </w:rPr>
              <w:t>0.11%</w:t>
            </w:r>
          </w:p>
        </w:tc>
        <w:tc>
          <w:tcPr>
            <w:tcW w:w="1291" w:type="dxa"/>
            <w:vAlign w:val="center"/>
          </w:tcPr>
          <w:p w:rsidR="00367A6A" w:rsidRDefault="00250141">
            <w:pPr>
              <w:jc w:val="right"/>
            </w:pPr>
            <w:r>
              <w:rPr>
                <w:rFonts w:eastAsiaTheme="minorEastAsia"/>
                <w:color w:val="000000" w:themeColor="text1"/>
                <w:szCs w:val="21"/>
              </w:rPr>
              <w:t>-1.12%</w:t>
            </w:r>
          </w:p>
        </w:tc>
        <w:tc>
          <w:tcPr>
            <w:tcW w:w="1291" w:type="dxa"/>
            <w:vAlign w:val="center"/>
          </w:tcPr>
          <w:p w:rsidR="00367A6A" w:rsidRDefault="00250141">
            <w:pPr>
              <w:jc w:val="right"/>
            </w:pPr>
            <w:r>
              <w:rPr>
                <w:rFonts w:eastAsiaTheme="minorEastAsia"/>
                <w:color w:val="000000" w:themeColor="text1"/>
                <w:szCs w:val="21"/>
              </w:rPr>
              <w:t>0.13%</w:t>
            </w:r>
          </w:p>
        </w:tc>
        <w:tc>
          <w:tcPr>
            <w:tcW w:w="1291" w:type="dxa"/>
            <w:vAlign w:val="center"/>
          </w:tcPr>
          <w:p w:rsidR="00367A6A" w:rsidRDefault="00250141">
            <w:pPr>
              <w:jc w:val="right"/>
            </w:pPr>
            <w:r>
              <w:rPr>
                <w:rFonts w:eastAsiaTheme="minorEastAsia"/>
                <w:color w:val="000000" w:themeColor="text1"/>
                <w:szCs w:val="21"/>
              </w:rPr>
              <w:t>-0.09%</w:t>
            </w:r>
          </w:p>
        </w:tc>
        <w:tc>
          <w:tcPr>
            <w:tcW w:w="1291" w:type="dxa"/>
            <w:vAlign w:val="center"/>
          </w:tcPr>
          <w:p w:rsidR="00367A6A" w:rsidRDefault="00250141">
            <w:pPr>
              <w:jc w:val="right"/>
            </w:pPr>
            <w:r>
              <w:rPr>
                <w:rFonts w:eastAsiaTheme="minorEastAsia"/>
                <w:color w:val="000000" w:themeColor="text1"/>
                <w:szCs w:val="21"/>
              </w:rPr>
              <w:t>-0.02%</w:t>
            </w:r>
          </w:p>
        </w:tc>
      </w:tr>
    </w:tbl>
    <w:p w:rsidR="00367A6A" w:rsidRDefault="00250141">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上投摩根岁岁金定期开放债券</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367A6A">
        <w:tc>
          <w:tcPr>
            <w:tcW w:w="1290"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367A6A" w:rsidRDefault="00250141">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367A6A" w:rsidRDefault="00250141">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367A6A" w:rsidRDefault="0025014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367A6A">
        <w:tc>
          <w:tcPr>
            <w:tcW w:w="1290" w:type="dxa"/>
            <w:vAlign w:val="center"/>
          </w:tcPr>
          <w:p w:rsidR="00367A6A" w:rsidRDefault="00250141">
            <w:pPr>
              <w:jc w:val="left"/>
            </w:pPr>
            <w:r>
              <w:rPr>
                <w:rFonts w:eastAsiaTheme="minorEastAsia"/>
                <w:color w:val="000000" w:themeColor="text1"/>
                <w:szCs w:val="21"/>
              </w:rPr>
              <w:t>过去三个月</w:t>
            </w:r>
          </w:p>
        </w:tc>
        <w:tc>
          <w:tcPr>
            <w:tcW w:w="1291" w:type="dxa"/>
            <w:vAlign w:val="center"/>
          </w:tcPr>
          <w:p w:rsidR="00367A6A" w:rsidRDefault="00250141">
            <w:pPr>
              <w:jc w:val="right"/>
            </w:pPr>
            <w:r>
              <w:rPr>
                <w:rFonts w:eastAsiaTheme="minorEastAsia"/>
                <w:color w:val="000000" w:themeColor="text1"/>
                <w:szCs w:val="21"/>
              </w:rPr>
              <w:t>-1.27%</w:t>
            </w:r>
          </w:p>
        </w:tc>
        <w:tc>
          <w:tcPr>
            <w:tcW w:w="1291" w:type="dxa"/>
            <w:vAlign w:val="center"/>
          </w:tcPr>
          <w:p w:rsidR="00367A6A" w:rsidRDefault="00250141">
            <w:pPr>
              <w:jc w:val="right"/>
            </w:pPr>
            <w:r>
              <w:rPr>
                <w:rFonts w:eastAsiaTheme="minorEastAsia"/>
                <w:color w:val="000000" w:themeColor="text1"/>
                <w:szCs w:val="21"/>
              </w:rPr>
              <w:t>0.11%</w:t>
            </w:r>
          </w:p>
        </w:tc>
        <w:tc>
          <w:tcPr>
            <w:tcW w:w="1291" w:type="dxa"/>
            <w:vAlign w:val="center"/>
          </w:tcPr>
          <w:p w:rsidR="00367A6A" w:rsidRDefault="00250141">
            <w:pPr>
              <w:jc w:val="right"/>
            </w:pPr>
            <w:r>
              <w:rPr>
                <w:rFonts w:eastAsiaTheme="minorEastAsia"/>
                <w:color w:val="000000" w:themeColor="text1"/>
                <w:szCs w:val="21"/>
              </w:rPr>
              <w:t>-1.12%</w:t>
            </w:r>
          </w:p>
        </w:tc>
        <w:tc>
          <w:tcPr>
            <w:tcW w:w="1291" w:type="dxa"/>
            <w:vAlign w:val="center"/>
          </w:tcPr>
          <w:p w:rsidR="00367A6A" w:rsidRDefault="00250141">
            <w:pPr>
              <w:jc w:val="right"/>
            </w:pPr>
            <w:r>
              <w:rPr>
                <w:rFonts w:eastAsiaTheme="minorEastAsia"/>
                <w:color w:val="000000" w:themeColor="text1"/>
                <w:szCs w:val="21"/>
              </w:rPr>
              <w:t>0.13%</w:t>
            </w:r>
          </w:p>
        </w:tc>
        <w:tc>
          <w:tcPr>
            <w:tcW w:w="1291" w:type="dxa"/>
            <w:vAlign w:val="center"/>
          </w:tcPr>
          <w:p w:rsidR="00367A6A" w:rsidRDefault="00250141">
            <w:pPr>
              <w:jc w:val="right"/>
            </w:pPr>
            <w:r>
              <w:rPr>
                <w:rFonts w:eastAsiaTheme="minorEastAsia"/>
                <w:color w:val="000000" w:themeColor="text1"/>
                <w:szCs w:val="21"/>
              </w:rPr>
              <w:t>-0.15%</w:t>
            </w:r>
          </w:p>
        </w:tc>
        <w:tc>
          <w:tcPr>
            <w:tcW w:w="1291" w:type="dxa"/>
            <w:vAlign w:val="center"/>
          </w:tcPr>
          <w:p w:rsidR="00367A6A" w:rsidRDefault="00250141">
            <w:pPr>
              <w:jc w:val="right"/>
            </w:pPr>
            <w:r>
              <w:rPr>
                <w:rFonts w:eastAsiaTheme="minorEastAsia"/>
                <w:color w:val="000000" w:themeColor="text1"/>
                <w:szCs w:val="21"/>
              </w:rPr>
              <w:t>-0.02%</w:t>
            </w:r>
          </w:p>
        </w:tc>
      </w:tr>
    </w:tbl>
    <w:p w:rsidR="00367A6A" w:rsidRDefault="00250141">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367A6A" w:rsidRDefault="00250141">
      <w:pPr>
        <w:spacing w:line="360" w:lineRule="auto"/>
        <w:jc w:val="center"/>
        <w:rPr>
          <w:rFonts w:eastAsiaTheme="minorEastAsia"/>
          <w:color w:val="000000" w:themeColor="text1"/>
          <w:szCs w:val="21"/>
        </w:rPr>
      </w:pPr>
      <w:r>
        <w:rPr>
          <w:rFonts w:eastAsiaTheme="minorEastAsia"/>
          <w:color w:val="000000" w:themeColor="text1"/>
          <w:szCs w:val="21"/>
        </w:rPr>
        <w:t>上投摩根岁岁金定期开放债券型证券投资基金</w:t>
      </w:r>
    </w:p>
    <w:p w:rsidR="00367A6A" w:rsidRDefault="00250141">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367A6A" w:rsidRDefault="00250141">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lastRenderedPageBreak/>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4</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sidR="00DE0A63">
        <w:rPr>
          <w:rFonts w:ascii="Times New Roman" w:eastAsiaTheme="minorEastAsia" w:hAnsi="Times New Roman" w:hint="eastAsia"/>
          <w:color w:val="000000" w:themeColor="text1"/>
        </w:rPr>
        <w:t>5</w:t>
      </w:r>
      <w:r>
        <w:rPr>
          <w:rFonts w:ascii="Times New Roman" w:eastAsiaTheme="minorEastAsia" w:hAnsi="Times New Roman"/>
          <w:color w:val="000000" w:themeColor="text1"/>
        </w:rPr>
        <w:t>月</w:t>
      </w:r>
      <w:r w:rsidR="00DE0A63">
        <w:rPr>
          <w:rFonts w:ascii="Times New Roman" w:eastAsiaTheme="minorEastAsia" w:hAnsi="Times New Roman" w:hint="eastAsia"/>
          <w:color w:val="000000" w:themeColor="text1"/>
        </w:rPr>
        <w:t>9</w:t>
      </w:r>
      <w:bookmarkStart w:id="0" w:name="_GoBack"/>
      <w:bookmarkEnd w:id="0"/>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367A6A" w:rsidRDefault="00250141">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．上投摩根岁岁金定期开放债券</w:t>
      </w:r>
      <w:r>
        <w:rPr>
          <w:rFonts w:eastAsiaTheme="minorEastAsia"/>
          <w:color w:val="000000" w:themeColor="text1"/>
          <w:szCs w:val="21"/>
        </w:rPr>
        <w:t>A</w:t>
      </w:r>
      <w:r>
        <w:rPr>
          <w:rFonts w:eastAsiaTheme="minorEastAsia"/>
          <w:color w:val="000000" w:themeColor="text1"/>
          <w:szCs w:val="21"/>
        </w:rPr>
        <w:t>：</w:t>
      </w:r>
    </w:p>
    <w:p w:rsidR="00367A6A" w:rsidRDefault="00250141">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日，本基金运作终止日为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p>
    <w:p w:rsidR="00367A6A" w:rsidRDefault="00250141">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．上投摩根岁岁金定期开放债券</w:t>
      </w:r>
      <w:r>
        <w:rPr>
          <w:rFonts w:eastAsiaTheme="minorEastAsia"/>
          <w:color w:val="000000" w:themeColor="text1"/>
          <w:szCs w:val="21"/>
        </w:rPr>
        <w:t>C</w:t>
      </w:r>
      <w:r>
        <w:rPr>
          <w:rFonts w:eastAsiaTheme="minorEastAsia"/>
          <w:color w:val="000000" w:themeColor="text1"/>
          <w:szCs w:val="21"/>
        </w:rPr>
        <w:t>：</w:t>
      </w:r>
    </w:p>
    <w:p w:rsidR="00367A6A" w:rsidRDefault="00250141">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日，本基金运作终止日为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p>
    <w:p w:rsidR="00367A6A" w:rsidRDefault="00367A6A">
      <w:pPr>
        <w:spacing w:line="360" w:lineRule="auto"/>
        <w:ind w:firstLineChars="200" w:firstLine="420"/>
        <w:rPr>
          <w:rFonts w:eastAsiaTheme="minorEastAsia"/>
          <w:color w:val="000000" w:themeColor="text1"/>
          <w:szCs w:val="21"/>
        </w:rPr>
      </w:pPr>
    </w:p>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367A6A" w:rsidRDefault="0025014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367A6A">
        <w:tc>
          <w:tcPr>
            <w:tcW w:w="952" w:type="dxa"/>
            <w:vMerge w:val="restart"/>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367A6A">
        <w:tc>
          <w:tcPr>
            <w:tcW w:w="952" w:type="dxa"/>
            <w:vMerge/>
            <w:vAlign w:val="center"/>
          </w:tcPr>
          <w:p w:rsidR="00367A6A" w:rsidRDefault="00367A6A">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367A6A" w:rsidRDefault="00367A6A">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367A6A" w:rsidRDefault="00367A6A">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367A6A" w:rsidRDefault="00367A6A">
            <w:pPr>
              <w:autoSpaceDE w:val="0"/>
              <w:autoSpaceDN w:val="0"/>
              <w:adjustRightInd w:val="0"/>
              <w:spacing w:before="29" w:line="288" w:lineRule="auto"/>
              <w:ind w:left="15"/>
              <w:jc w:val="center"/>
              <w:rPr>
                <w:rFonts w:eastAsiaTheme="minorEastAsia"/>
                <w:color w:val="000000" w:themeColor="text1"/>
                <w:kern w:val="0"/>
                <w:szCs w:val="21"/>
              </w:rPr>
            </w:pPr>
          </w:p>
        </w:tc>
      </w:tr>
      <w:tr w:rsidR="00367A6A">
        <w:tc>
          <w:tcPr>
            <w:tcW w:w="952" w:type="dxa"/>
            <w:vAlign w:val="center"/>
          </w:tcPr>
          <w:p w:rsidR="00367A6A" w:rsidRDefault="00250141">
            <w:pPr>
              <w:jc w:val="center"/>
            </w:pPr>
            <w:r>
              <w:rPr>
                <w:rFonts w:eastAsiaTheme="minorEastAsia"/>
                <w:color w:val="000000" w:themeColor="text1"/>
                <w:szCs w:val="21"/>
              </w:rPr>
              <w:t>刘阳</w:t>
            </w:r>
          </w:p>
        </w:tc>
        <w:tc>
          <w:tcPr>
            <w:tcW w:w="930" w:type="dxa"/>
            <w:vAlign w:val="center"/>
          </w:tcPr>
          <w:p w:rsidR="00367A6A" w:rsidRDefault="00250141">
            <w:pPr>
              <w:jc w:val="center"/>
            </w:pPr>
            <w:r>
              <w:rPr>
                <w:rFonts w:eastAsiaTheme="minorEastAsia"/>
                <w:color w:val="000000" w:themeColor="text1"/>
                <w:szCs w:val="21"/>
              </w:rPr>
              <w:t>本基金基金经理</w:t>
            </w:r>
          </w:p>
        </w:tc>
        <w:tc>
          <w:tcPr>
            <w:tcW w:w="1210" w:type="dxa"/>
            <w:vAlign w:val="center"/>
          </w:tcPr>
          <w:p w:rsidR="00367A6A" w:rsidRDefault="00250141">
            <w:pPr>
              <w:jc w:val="center"/>
            </w:pPr>
            <w:r>
              <w:rPr>
                <w:rFonts w:eastAsiaTheme="minorEastAsia"/>
                <w:color w:val="000000" w:themeColor="text1"/>
                <w:szCs w:val="21"/>
              </w:rPr>
              <w:t>2017-04-10</w:t>
            </w:r>
          </w:p>
        </w:tc>
        <w:tc>
          <w:tcPr>
            <w:tcW w:w="1309" w:type="dxa"/>
            <w:vAlign w:val="center"/>
          </w:tcPr>
          <w:p w:rsidR="00367A6A" w:rsidRDefault="00250141">
            <w:pPr>
              <w:jc w:val="center"/>
            </w:pPr>
            <w:r>
              <w:rPr>
                <w:rFonts w:eastAsiaTheme="minorEastAsia"/>
                <w:color w:val="000000" w:themeColor="text1"/>
                <w:szCs w:val="21"/>
              </w:rPr>
              <w:t>-</w:t>
            </w:r>
          </w:p>
        </w:tc>
        <w:tc>
          <w:tcPr>
            <w:tcW w:w="1254" w:type="dxa"/>
            <w:vAlign w:val="center"/>
          </w:tcPr>
          <w:p w:rsidR="00367A6A" w:rsidRDefault="00250141">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367A6A" w:rsidRDefault="00250141">
            <w:r>
              <w:rPr>
                <w:rFonts w:eastAsiaTheme="minorEastAsia"/>
                <w:color w:val="000000" w:themeColor="text1"/>
                <w:szCs w:val="21"/>
              </w:rPr>
              <w:t>刘阳女士自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月在申银万国证券研究所担任分析师，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月在广发证券研发中心担任高级分析师，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月起加入上投摩根基金管理有限公司，历任投资经理助理兼研究员、投资经理、债券研究部总监兼基金经理，现任基金经理；自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月期间、</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月至今担任上投摩根纯债丰利债券型证券投资基金基金经理，自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月起同时担任上投摩根纯债添利债券型证券投资基金基金经理，自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月起同时担任上投摩根强化回报债券型证券投资基金基金经理，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月同时担任上投摩根岁岁盈定期开放债券型证券投资基金基金经理，自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月起同时担任上投摩根岁岁金定期开放债券型证券投资基金基金经理，自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月起同时担任上投摩根岁岁益定期开放债券型</w:t>
            </w:r>
            <w:r>
              <w:rPr>
                <w:rFonts w:eastAsiaTheme="minorEastAsia"/>
                <w:color w:val="000000" w:themeColor="text1"/>
                <w:szCs w:val="21"/>
              </w:rPr>
              <w:lastRenderedPageBreak/>
              <w:t>证券投资基金基金经理。</w:t>
            </w:r>
          </w:p>
        </w:tc>
      </w:tr>
    </w:tbl>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刘阳女士为本基金首任基金经理，其任职日期为本基金基金合同生效之日；</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岁岁金定期开放债券型证券投资基金基金合同》的规定。基金经理对个股和投资组合的比例遵循了投资决策委员会的授权限制，基金投资比例符合基金合同和法律法规的要求。</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367A6A" w:rsidRDefault="00250141">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67A6A" w:rsidRDefault="00250141">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4.4 </w:t>
      </w:r>
      <w:r>
        <w:rPr>
          <w:rFonts w:eastAsiaTheme="minorEastAsia"/>
          <w:b/>
          <w:color w:val="000000" w:themeColor="text1"/>
          <w:kern w:val="0"/>
          <w:szCs w:val="21"/>
        </w:rPr>
        <w:t>报告期内基金的投资策略和业绩表现说明</w:t>
      </w:r>
    </w:p>
    <w:p w:rsidR="00367A6A" w:rsidRDefault="00250141">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进入二季度，债券市场结束上季度的震荡走势，出现明显调整。</w:t>
      </w:r>
      <w:r>
        <w:rPr>
          <w:rFonts w:eastAsiaTheme="minorEastAsia"/>
          <w:color w:val="000000" w:themeColor="text1"/>
          <w:szCs w:val="21"/>
        </w:rPr>
        <w:t>4</w:t>
      </w:r>
      <w:r>
        <w:rPr>
          <w:rFonts w:eastAsiaTheme="minorEastAsia"/>
          <w:color w:val="000000" w:themeColor="text1"/>
          <w:szCs w:val="21"/>
        </w:rPr>
        <w:t>月，长期债券收益率突破一季度的震荡区间，出现持续大幅上行，</w:t>
      </w:r>
      <w:r>
        <w:rPr>
          <w:rFonts w:eastAsiaTheme="minorEastAsia"/>
          <w:color w:val="000000" w:themeColor="text1"/>
          <w:szCs w:val="21"/>
        </w:rPr>
        <w:t>10</w:t>
      </w:r>
      <w:r>
        <w:rPr>
          <w:rFonts w:eastAsiaTheme="minorEastAsia"/>
          <w:color w:val="000000" w:themeColor="text1"/>
          <w:szCs w:val="21"/>
        </w:rPr>
        <w:t>年期国开债活跃券收益率最高上冲至</w:t>
      </w:r>
      <w:r>
        <w:rPr>
          <w:rFonts w:eastAsiaTheme="minorEastAsia"/>
          <w:color w:val="000000" w:themeColor="text1"/>
          <w:szCs w:val="21"/>
        </w:rPr>
        <w:t>3.9%</w:t>
      </w:r>
      <w:r>
        <w:rPr>
          <w:rFonts w:eastAsiaTheme="minorEastAsia"/>
          <w:color w:val="000000" w:themeColor="text1"/>
          <w:szCs w:val="21"/>
        </w:rPr>
        <w:t>附近。这一阶段市场经历了三波利空因素的冲击：</w:t>
      </w:r>
      <w:r>
        <w:rPr>
          <w:rFonts w:eastAsiaTheme="minorEastAsia"/>
          <w:color w:val="000000" w:themeColor="text1"/>
          <w:szCs w:val="21"/>
        </w:rPr>
        <w:t xml:space="preserve">1. </w:t>
      </w:r>
      <w:r>
        <w:rPr>
          <w:rFonts w:eastAsiaTheme="minorEastAsia"/>
          <w:color w:val="000000" w:themeColor="text1"/>
          <w:szCs w:val="21"/>
        </w:rPr>
        <w:t>月初</w:t>
      </w:r>
      <w:r>
        <w:rPr>
          <w:rFonts w:eastAsiaTheme="minorEastAsia"/>
          <w:color w:val="000000" w:themeColor="text1"/>
          <w:szCs w:val="21"/>
        </w:rPr>
        <w:t>PMI</w:t>
      </w:r>
      <w:r>
        <w:rPr>
          <w:rFonts w:eastAsiaTheme="minorEastAsia"/>
          <w:color w:val="000000" w:themeColor="text1"/>
          <w:szCs w:val="21"/>
        </w:rPr>
        <w:t>数据超预期，债券收益率迅速反弹；</w:t>
      </w:r>
      <w:r>
        <w:rPr>
          <w:rFonts w:eastAsiaTheme="minorEastAsia"/>
          <w:color w:val="000000" w:themeColor="text1"/>
          <w:szCs w:val="21"/>
        </w:rPr>
        <w:t xml:space="preserve">2. </w:t>
      </w:r>
      <w:r>
        <w:rPr>
          <w:rFonts w:eastAsiaTheme="minorEastAsia"/>
          <w:color w:val="000000" w:themeColor="text1"/>
          <w:szCs w:val="21"/>
        </w:rPr>
        <w:t>月中货币信贷数据出炉，比此前机构的预期更为乐观，无论总量和结构均明显回升；</w:t>
      </w:r>
      <w:r>
        <w:rPr>
          <w:rFonts w:eastAsiaTheme="minorEastAsia"/>
          <w:color w:val="000000" w:themeColor="text1"/>
          <w:szCs w:val="21"/>
        </w:rPr>
        <w:t xml:space="preserve">3. </w:t>
      </w:r>
      <w:r>
        <w:rPr>
          <w:rFonts w:eastAsiaTheme="minorEastAsia"/>
          <w:color w:val="000000" w:themeColor="text1"/>
          <w:szCs w:val="21"/>
        </w:rPr>
        <w:t>下旬央行货币政策例会重提把好</w:t>
      </w:r>
      <w:r>
        <w:rPr>
          <w:rFonts w:eastAsiaTheme="minorEastAsia"/>
          <w:color w:val="000000" w:themeColor="text1"/>
          <w:szCs w:val="21"/>
        </w:rPr>
        <w:t>“</w:t>
      </w:r>
      <w:r>
        <w:rPr>
          <w:rFonts w:eastAsiaTheme="minorEastAsia"/>
          <w:color w:val="000000" w:themeColor="text1"/>
          <w:szCs w:val="21"/>
        </w:rPr>
        <w:t>总闸门</w:t>
      </w:r>
      <w:r>
        <w:rPr>
          <w:rFonts w:eastAsiaTheme="minorEastAsia"/>
          <w:color w:val="000000" w:themeColor="text1"/>
          <w:szCs w:val="21"/>
        </w:rPr>
        <w:t>”</w:t>
      </w:r>
      <w:r>
        <w:rPr>
          <w:rFonts w:eastAsiaTheme="minorEastAsia"/>
          <w:color w:val="000000" w:themeColor="text1"/>
          <w:szCs w:val="21"/>
        </w:rPr>
        <w:t>，投资者对流动性进一步宽松的预期下降，一季度的经济数据也如期反弹，收益率快速上冲后回落。</w:t>
      </w:r>
      <w:r>
        <w:rPr>
          <w:rFonts w:eastAsiaTheme="minorEastAsia"/>
          <w:color w:val="000000" w:themeColor="text1"/>
          <w:szCs w:val="21"/>
        </w:rPr>
        <w:t>5</w:t>
      </w:r>
      <w:r>
        <w:rPr>
          <w:rFonts w:eastAsiaTheme="minorEastAsia"/>
          <w:color w:val="000000" w:themeColor="text1"/>
          <w:szCs w:val="21"/>
        </w:rPr>
        <w:t>月，贸易谈判出现反复，市场风险偏好回落，收益率向下修复，经济金融数据对比一季度出现回落，流动性环境回暖，月末包商银行事件导致非银机构信用债质押融资出现困难，但利率债市场未受影响，收益率维持缓慢下行。</w:t>
      </w:r>
      <w:r>
        <w:rPr>
          <w:rFonts w:eastAsiaTheme="minorEastAsia"/>
          <w:color w:val="000000" w:themeColor="text1"/>
          <w:szCs w:val="21"/>
        </w:rPr>
        <w:t>6</w:t>
      </w:r>
      <w:r>
        <w:rPr>
          <w:rFonts w:eastAsiaTheme="minorEastAsia"/>
          <w:color w:val="000000" w:themeColor="text1"/>
          <w:szCs w:val="21"/>
        </w:rPr>
        <w:t>月，市场聚焦月底</w:t>
      </w:r>
      <w:r>
        <w:rPr>
          <w:rFonts w:eastAsiaTheme="minorEastAsia"/>
          <w:color w:val="000000" w:themeColor="text1"/>
          <w:szCs w:val="21"/>
        </w:rPr>
        <w:t>G20</w:t>
      </w:r>
      <w:r>
        <w:rPr>
          <w:rFonts w:eastAsiaTheme="minorEastAsia"/>
          <w:color w:val="000000" w:themeColor="text1"/>
          <w:szCs w:val="21"/>
        </w:rPr>
        <w:t>峰会，长端收益率维持盘整，短端利率持续下行。岁岁金报告期间维持以现金资产为主的保守操作，维持组合高流动性。</w:t>
      </w:r>
    </w:p>
    <w:p w:rsidR="00367A6A" w:rsidRDefault="00367A6A">
      <w:pPr>
        <w:spacing w:line="360" w:lineRule="auto"/>
        <w:ind w:firstLineChars="200" w:firstLine="420"/>
        <w:rPr>
          <w:rFonts w:eastAsiaTheme="minorEastAsia"/>
          <w:color w:val="000000" w:themeColor="text1"/>
          <w:szCs w:val="21"/>
        </w:rPr>
      </w:pP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展望三季度，基本面对债市依然偏正面，但债券趋势行情的出现仍需等待，阶段性博弈预期增厚组合收益的机会仍存，关注可能的财政发力以及贸易谈判波折等带来的波段交易机会。</w:t>
      </w:r>
    </w:p>
    <w:p w:rsidR="00367A6A" w:rsidRDefault="00250141">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本报告期上投摩根岁岁金定期开放债券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:-1.21%</w:t>
      </w:r>
      <w:r>
        <w:rPr>
          <w:rFonts w:eastAsiaTheme="minorEastAsia"/>
          <w:color w:val="000000" w:themeColor="text1"/>
          <w:szCs w:val="21"/>
        </w:rPr>
        <w:t>，同期业绩比较基准收益率为</w:t>
      </w:r>
      <w:r>
        <w:rPr>
          <w:rFonts w:eastAsiaTheme="minorEastAsia"/>
          <w:color w:val="000000" w:themeColor="text1"/>
          <w:szCs w:val="21"/>
        </w:rPr>
        <w:t>:-1.12%,</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:-1.27%</w:t>
      </w:r>
      <w:r>
        <w:rPr>
          <w:rFonts w:eastAsiaTheme="minorEastAsia"/>
          <w:color w:val="000000" w:themeColor="text1"/>
          <w:szCs w:val="21"/>
        </w:rPr>
        <w:t>，同期业绩比较基准收益率为</w:t>
      </w:r>
      <w:r>
        <w:rPr>
          <w:rFonts w:eastAsiaTheme="minorEastAsia"/>
          <w:color w:val="000000" w:themeColor="text1"/>
          <w:szCs w:val="21"/>
        </w:rPr>
        <w:t>:-1.12%</w:t>
      </w:r>
      <w:r>
        <w:rPr>
          <w:rFonts w:eastAsiaTheme="minorEastAsia"/>
          <w:color w:val="000000" w:themeColor="text1"/>
          <w:szCs w:val="21"/>
        </w:rPr>
        <w:t>。</w:t>
      </w:r>
    </w:p>
    <w:p w:rsidR="00367A6A" w:rsidRDefault="00367A6A">
      <w:pPr>
        <w:spacing w:line="360" w:lineRule="auto"/>
        <w:ind w:firstLineChars="200" w:firstLine="420"/>
        <w:rPr>
          <w:rFonts w:eastAsiaTheme="minorEastAsia"/>
          <w:color w:val="000000" w:themeColor="text1"/>
          <w:szCs w:val="21"/>
        </w:rPr>
      </w:pPr>
    </w:p>
    <w:p w:rsidR="00367A6A" w:rsidRDefault="00250141">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367A6A" w:rsidRDefault="002501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16</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05</w:t>
      </w:r>
      <w:r>
        <w:rPr>
          <w:rFonts w:eastAsiaTheme="minorEastAsia"/>
          <w:color w:val="000000" w:themeColor="text1"/>
          <w:kern w:val="0"/>
          <w:szCs w:val="21"/>
        </w:rPr>
        <w:t>月</w:t>
      </w:r>
      <w:r>
        <w:rPr>
          <w:rFonts w:eastAsiaTheme="minorEastAsia"/>
          <w:color w:val="000000" w:themeColor="text1"/>
          <w:kern w:val="0"/>
          <w:szCs w:val="21"/>
        </w:rPr>
        <w:t>09</w:t>
      </w:r>
      <w:r>
        <w:rPr>
          <w:rFonts w:eastAsiaTheme="minorEastAsia"/>
          <w:color w:val="000000" w:themeColor="text1"/>
          <w:kern w:val="0"/>
          <w:szCs w:val="21"/>
        </w:rPr>
        <w:t>日。</w:t>
      </w:r>
    </w:p>
    <w:p w:rsidR="00367A6A" w:rsidRDefault="002501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基金管理人拟调整本基金运作方式，方案已报监管机关。</w:t>
      </w:r>
    </w:p>
    <w:p w:rsidR="00367A6A" w:rsidRDefault="00367A6A">
      <w:pPr>
        <w:spacing w:line="360" w:lineRule="auto"/>
        <w:ind w:firstLineChars="200" w:firstLine="420"/>
        <w:rPr>
          <w:rFonts w:asciiTheme="minorEastAsia" w:eastAsiaTheme="minorEastAsia" w:hAnsiTheme="minorEastAsia"/>
          <w:color w:val="000000" w:themeColor="text1"/>
          <w:szCs w:val="21"/>
        </w:rPr>
      </w:pPr>
    </w:p>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367A6A" w:rsidRDefault="0025014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序号</w:t>
            </w:r>
          </w:p>
        </w:tc>
        <w:tc>
          <w:tcPr>
            <w:tcW w:w="335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vAlign w:val="center"/>
          </w:tcPr>
          <w:p w:rsidR="00367A6A" w:rsidRDefault="00367A6A">
            <w:pPr>
              <w:spacing w:before="29" w:line="360" w:lineRule="auto"/>
              <w:ind w:left="17"/>
              <w:jc w:val="center"/>
              <w:rPr>
                <w:rFonts w:eastAsiaTheme="minorEastAsia"/>
                <w:color w:val="000000" w:themeColor="text1"/>
                <w:szCs w:val="21"/>
              </w:rPr>
            </w:pP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1,102,968.70</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36.84</w:t>
            </w:r>
          </w:p>
        </w:tc>
      </w:tr>
      <w:tr w:rsidR="00367A6A">
        <w:tc>
          <w:tcPr>
            <w:tcW w:w="720" w:type="dxa"/>
            <w:vAlign w:val="center"/>
          </w:tcPr>
          <w:p w:rsidR="00367A6A" w:rsidRDefault="00367A6A">
            <w:pPr>
              <w:spacing w:before="29" w:line="360" w:lineRule="auto"/>
              <w:ind w:left="17"/>
              <w:jc w:val="center"/>
              <w:rPr>
                <w:rFonts w:eastAsiaTheme="minorEastAsia"/>
                <w:color w:val="000000" w:themeColor="text1"/>
                <w:szCs w:val="21"/>
              </w:rPr>
            </w:pP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1,102,968.70</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36.84</w:t>
            </w:r>
          </w:p>
        </w:tc>
      </w:tr>
      <w:tr w:rsidR="00367A6A">
        <w:tc>
          <w:tcPr>
            <w:tcW w:w="720" w:type="dxa"/>
            <w:vAlign w:val="center"/>
          </w:tcPr>
          <w:p w:rsidR="00367A6A" w:rsidRDefault="00367A6A">
            <w:pPr>
              <w:spacing w:before="29" w:line="360" w:lineRule="auto"/>
              <w:ind w:left="17"/>
              <w:jc w:val="center"/>
              <w:rPr>
                <w:rFonts w:eastAsiaTheme="minorEastAsia"/>
                <w:color w:val="000000" w:themeColor="text1"/>
                <w:szCs w:val="21"/>
              </w:rPr>
            </w:pPr>
          </w:p>
        </w:tc>
        <w:tc>
          <w:tcPr>
            <w:tcW w:w="3357" w:type="dxa"/>
            <w:vAlign w:val="center"/>
          </w:tcPr>
          <w:p w:rsidR="00367A6A" w:rsidRDefault="00250141">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367A6A" w:rsidRDefault="00250141">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vAlign w:val="center"/>
          </w:tcPr>
          <w:p w:rsidR="00367A6A" w:rsidRDefault="00367A6A">
            <w:pPr>
              <w:spacing w:before="29" w:line="360" w:lineRule="auto"/>
              <w:ind w:left="17"/>
              <w:jc w:val="center"/>
              <w:rPr>
                <w:rFonts w:eastAsiaTheme="minorEastAsia"/>
                <w:color w:val="000000" w:themeColor="text1"/>
                <w:szCs w:val="21"/>
              </w:rPr>
            </w:pP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1,834,482.28</w:t>
            </w:r>
          </w:p>
        </w:tc>
        <w:tc>
          <w:tcPr>
            <w:tcW w:w="1843"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61.27</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367A6A" w:rsidRDefault="00250141">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367A6A" w:rsidRDefault="00250141">
            <w:pPr>
              <w:jc w:val="right"/>
              <w:rPr>
                <w:rFonts w:eastAsiaTheme="minorEastAsia"/>
                <w:color w:val="000000" w:themeColor="text1"/>
                <w:szCs w:val="21"/>
              </w:rPr>
            </w:pPr>
            <w:r>
              <w:rPr>
                <w:rFonts w:eastAsiaTheme="minorEastAsia"/>
                <w:color w:val="000000" w:themeColor="text1"/>
                <w:szCs w:val="21"/>
              </w:rPr>
              <w:t>56,574.75</w:t>
            </w:r>
          </w:p>
        </w:tc>
        <w:tc>
          <w:tcPr>
            <w:tcW w:w="1843" w:type="dxa"/>
            <w:vAlign w:val="center"/>
          </w:tcPr>
          <w:p w:rsidR="00367A6A" w:rsidRDefault="00250141">
            <w:pPr>
              <w:jc w:val="right"/>
              <w:rPr>
                <w:rFonts w:eastAsiaTheme="minorEastAsia"/>
                <w:color w:val="000000" w:themeColor="text1"/>
                <w:szCs w:val="21"/>
              </w:rPr>
            </w:pPr>
            <w:r>
              <w:rPr>
                <w:rFonts w:eastAsiaTheme="minorEastAsia"/>
                <w:color w:val="000000" w:themeColor="text1"/>
                <w:szCs w:val="21"/>
              </w:rPr>
              <w:t>1.89</w:t>
            </w:r>
          </w:p>
        </w:tc>
      </w:tr>
      <w:tr w:rsidR="00367A6A">
        <w:tc>
          <w:tcPr>
            <w:tcW w:w="72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367A6A" w:rsidRDefault="00250141">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367A6A" w:rsidRDefault="00250141">
            <w:pPr>
              <w:jc w:val="right"/>
              <w:rPr>
                <w:rFonts w:eastAsiaTheme="minorEastAsia"/>
                <w:color w:val="000000" w:themeColor="text1"/>
                <w:szCs w:val="21"/>
              </w:rPr>
            </w:pPr>
            <w:r>
              <w:rPr>
                <w:rFonts w:eastAsiaTheme="minorEastAsia"/>
                <w:color w:val="000000" w:themeColor="text1"/>
                <w:szCs w:val="21"/>
              </w:rPr>
              <w:t>2,994,025.73</w:t>
            </w:r>
          </w:p>
        </w:tc>
        <w:tc>
          <w:tcPr>
            <w:tcW w:w="1843" w:type="dxa"/>
            <w:vAlign w:val="center"/>
          </w:tcPr>
          <w:p w:rsidR="00367A6A" w:rsidRDefault="00250141">
            <w:pPr>
              <w:jc w:val="right"/>
              <w:rPr>
                <w:rFonts w:eastAsiaTheme="minorEastAsia"/>
                <w:color w:val="000000" w:themeColor="text1"/>
                <w:szCs w:val="21"/>
              </w:rPr>
            </w:pPr>
            <w:r>
              <w:rPr>
                <w:rFonts w:eastAsiaTheme="minorEastAsia"/>
                <w:color w:val="000000" w:themeColor="text1"/>
                <w:szCs w:val="21"/>
              </w:rPr>
              <w:t>100.00</w:t>
            </w:r>
          </w:p>
        </w:tc>
      </w:tr>
    </w:tbl>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367A6A" w:rsidRDefault="00250141">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1,000,200.00</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39.48</w:t>
            </w:r>
          </w:p>
        </w:tc>
      </w:tr>
      <w:tr w:rsidR="00367A6A">
        <w:tc>
          <w:tcPr>
            <w:tcW w:w="817" w:type="dxa"/>
            <w:vAlign w:val="center"/>
          </w:tcPr>
          <w:p w:rsidR="00367A6A" w:rsidRDefault="00367A6A">
            <w:pPr>
              <w:spacing w:before="29" w:line="360" w:lineRule="auto"/>
              <w:ind w:left="17"/>
              <w:jc w:val="center"/>
              <w:rPr>
                <w:rFonts w:eastAsiaTheme="minorEastAsia"/>
                <w:color w:val="000000" w:themeColor="text1"/>
                <w:szCs w:val="21"/>
              </w:rPr>
            </w:pP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1,000,200.00</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39.48</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86,744.70</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3.42</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16,024.00</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0.63</w:t>
            </w:r>
          </w:p>
        </w:tc>
      </w:tr>
      <w:tr w:rsidR="00367A6A">
        <w:tc>
          <w:tcPr>
            <w:tcW w:w="817" w:type="dxa"/>
            <w:vAlign w:val="center"/>
          </w:tcPr>
          <w:p w:rsidR="00367A6A" w:rsidRDefault="00250141">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367A6A" w:rsidRDefault="00250141">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1,102,968.70</w:t>
            </w:r>
          </w:p>
        </w:tc>
        <w:tc>
          <w:tcPr>
            <w:tcW w:w="1616" w:type="dxa"/>
            <w:vAlign w:val="center"/>
          </w:tcPr>
          <w:p w:rsidR="00367A6A" w:rsidRDefault="00250141">
            <w:pPr>
              <w:spacing w:before="29" w:line="360" w:lineRule="auto"/>
              <w:ind w:left="17"/>
              <w:jc w:val="right"/>
              <w:rPr>
                <w:rFonts w:eastAsiaTheme="minorEastAsia"/>
                <w:color w:val="000000" w:themeColor="text1"/>
                <w:szCs w:val="21"/>
              </w:rPr>
            </w:pPr>
            <w:r>
              <w:rPr>
                <w:rFonts w:eastAsiaTheme="minorEastAsia"/>
                <w:color w:val="000000" w:themeColor="text1"/>
                <w:szCs w:val="21"/>
              </w:rPr>
              <w:t>43.54</w:t>
            </w:r>
          </w:p>
        </w:tc>
      </w:tr>
    </w:tbl>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367A6A">
        <w:tc>
          <w:tcPr>
            <w:tcW w:w="1504"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367A6A" w:rsidRDefault="0025014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367A6A">
        <w:tc>
          <w:tcPr>
            <w:tcW w:w="1504" w:type="dxa"/>
            <w:vAlign w:val="center"/>
          </w:tcPr>
          <w:p w:rsidR="00367A6A" w:rsidRDefault="00250141">
            <w:pPr>
              <w:jc w:val="center"/>
            </w:pPr>
            <w:r>
              <w:rPr>
                <w:rFonts w:eastAsiaTheme="minorEastAsia"/>
                <w:color w:val="000000" w:themeColor="text1"/>
                <w:szCs w:val="21"/>
              </w:rPr>
              <w:t>1</w:t>
            </w:r>
          </w:p>
        </w:tc>
        <w:tc>
          <w:tcPr>
            <w:tcW w:w="1504" w:type="dxa"/>
            <w:vAlign w:val="center"/>
          </w:tcPr>
          <w:p w:rsidR="00367A6A" w:rsidRDefault="00250141">
            <w:pPr>
              <w:jc w:val="center"/>
            </w:pPr>
            <w:r>
              <w:rPr>
                <w:rFonts w:eastAsiaTheme="minorEastAsia"/>
                <w:color w:val="000000" w:themeColor="text1"/>
                <w:szCs w:val="21"/>
              </w:rPr>
              <w:t>108901</w:t>
            </w:r>
          </w:p>
        </w:tc>
        <w:tc>
          <w:tcPr>
            <w:tcW w:w="1504" w:type="dxa"/>
            <w:vAlign w:val="center"/>
          </w:tcPr>
          <w:p w:rsidR="00367A6A" w:rsidRDefault="00250141">
            <w:pPr>
              <w:jc w:val="center"/>
            </w:pPr>
            <w:r>
              <w:rPr>
                <w:rFonts w:eastAsiaTheme="minorEastAsia"/>
                <w:color w:val="000000" w:themeColor="text1"/>
                <w:szCs w:val="21"/>
              </w:rPr>
              <w:t>农发</w:t>
            </w:r>
            <w:r>
              <w:rPr>
                <w:rFonts w:eastAsiaTheme="minorEastAsia"/>
                <w:color w:val="000000" w:themeColor="text1"/>
                <w:szCs w:val="21"/>
              </w:rPr>
              <w:t>1801</w:t>
            </w:r>
          </w:p>
        </w:tc>
        <w:tc>
          <w:tcPr>
            <w:tcW w:w="1503" w:type="dxa"/>
            <w:vAlign w:val="center"/>
          </w:tcPr>
          <w:p w:rsidR="00367A6A" w:rsidRDefault="00250141">
            <w:pPr>
              <w:jc w:val="right"/>
            </w:pPr>
            <w:r>
              <w:rPr>
                <w:rFonts w:eastAsiaTheme="minorEastAsia"/>
                <w:color w:val="000000" w:themeColor="text1"/>
                <w:szCs w:val="21"/>
              </w:rPr>
              <w:t>10,000</w:t>
            </w:r>
          </w:p>
        </w:tc>
        <w:tc>
          <w:tcPr>
            <w:tcW w:w="1503" w:type="dxa"/>
            <w:vAlign w:val="center"/>
          </w:tcPr>
          <w:p w:rsidR="00367A6A" w:rsidRDefault="00250141">
            <w:pPr>
              <w:jc w:val="right"/>
            </w:pPr>
            <w:r>
              <w:rPr>
                <w:rFonts w:eastAsiaTheme="minorEastAsia"/>
                <w:color w:val="000000" w:themeColor="text1"/>
                <w:szCs w:val="21"/>
              </w:rPr>
              <w:t>1,000,200.00</w:t>
            </w:r>
          </w:p>
        </w:tc>
        <w:tc>
          <w:tcPr>
            <w:tcW w:w="1503" w:type="dxa"/>
            <w:vAlign w:val="center"/>
          </w:tcPr>
          <w:p w:rsidR="00367A6A" w:rsidRDefault="00250141">
            <w:pPr>
              <w:jc w:val="right"/>
            </w:pPr>
            <w:r>
              <w:rPr>
                <w:rFonts w:eastAsiaTheme="minorEastAsia"/>
                <w:color w:val="000000" w:themeColor="text1"/>
                <w:szCs w:val="21"/>
              </w:rPr>
              <w:t>39.48</w:t>
            </w:r>
          </w:p>
        </w:tc>
      </w:tr>
      <w:tr w:rsidR="00367A6A">
        <w:tc>
          <w:tcPr>
            <w:tcW w:w="1504" w:type="dxa"/>
            <w:vAlign w:val="center"/>
          </w:tcPr>
          <w:p w:rsidR="00367A6A" w:rsidRDefault="00250141">
            <w:pPr>
              <w:jc w:val="center"/>
            </w:pPr>
            <w:r>
              <w:rPr>
                <w:rFonts w:eastAsiaTheme="minorEastAsia"/>
                <w:color w:val="000000" w:themeColor="text1"/>
                <w:szCs w:val="21"/>
              </w:rPr>
              <w:t>2</w:t>
            </w:r>
          </w:p>
        </w:tc>
        <w:tc>
          <w:tcPr>
            <w:tcW w:w="1504" w:type="dxa"/>
            <w:vAlign w:val="center"/>
          </w:tcPr>
          <w:p w:rsidR="00367A6A" w:rsidRDefault="00250141">
            <w:pPr>
              <w:jc w:val="center"/>
            </w:pPr>
            <w:r>
              <w:rPr>
                <w:rFonts w:eastAsiaTheme="minorEastAsia"/>
                <w:color w:val="000000" w:themeColor="text1"/>
                <w:szCs w:val="21"/>
              </w:rPr>
              <w:t>136087</w:t>
            </w:r>
          </w:p>
        </w:tc>
        <w:tc>
          <w:tcPr>
            <w:tcW w:w="1504" w:type="dxa"/>
            <w:vAlign w:val="center"/>
          </w:tcPr>
          <w:p w:rsidR="00367A6A" w:rsidRDefault="00250141">
            <w:pPr>
              <w:jc w:val="center"/>
            </w:pPr>
            <w:r>
              <w:rPr>
                <w:rFonts w:eastAsiaTheme="minorEastAsia"/>
                <w:color w:val="000000" w:themeColor="text1"/>
                <w:szCs w:val="21"/>
              </w:rPr>
              <w:t>15</w:t>
            </w:r>
            <w:r>
              <w:rPr>
                <w:rFonts w:eastAsiaTheme="minorEastAsia"/>
                <w:color w:val="000000" w:themeColor="text1"/>
                <w:szCs w:val="21"/>
              </w:rPr>
              <w:t>保利</w:t>
            </w:r>
            <w:r>
              <w:rPr>
                <w:rFonts w:eastAsiaTheme="minorEastAsia"/>
                <w:color w:val="000000" w:themeColor="text1"/>
                <w:szCs w:val="21"/>
              </w:rPr>
              <w:t>01</w:t>
            </w:r>
          </w:p>
        </w:tc>
        <w:tc>
          <w:tcPr>
            <w:tcW w:w="1503" w:type="dxa"/>
            <w:vAlign w:val="center"/>
          </w:tcPr>
          <w:p w:rsidR="00367A6A" w:rsidRDefault="00250141">
            <w:pPr>
              <w:jc w:val="right"/>
            </w:pPr>
            <w:r>
              <w:rPr>
                <w:rFonts w:eastAsiaTheme="minorEastAsia"/>
                <w:color w:val="000000" w:themeColor="text1"/>
                <w:szCs w:val="21"/>
              </w:rPr>
              <w:t>760</w:t>
            </w:r>
          </w:p>
        </w:tc>
        <w:tc>
          <w:tcPr>
            <w:tcW w:w="1503" w:type="dxa"/>
            <w:vAlign w:val="center"/>
          </w:tcPr>
          <w:p w:rsidR="00367A6A" w:rsidRDefault="00250141">
            <w:pPr>
              <w:jc w:val="right"/>
            </w:pPr>
            <w:r>
              <w:rPr>
                <w:rFonts w:eastAsiaTheme="minorEastAsia"/>
                <w:color w:val="000000" w:themeColor="text1"/>
                <w:szCs w:val="21"/>
              </w:rPr>
              <w:t>75,756.80</w:t>
            </w:r>
          </w:p>
        </w:tc>
        <w:tc>
          <w:tcPr>
            <w:tcW w:w="1503" w:type="dxa"/>
            <w:vAlign w:val="center"/>
          </w:tcPr>
          <w:p w:rsidR="00367A6A" w:rsidRDefault="00250141">
            <w:pPr>
              <w:jc w:val="right"/>
            </w:pPr>
            <w:r>
              <w:rPr>
                <w:rFonts w:eastAsiaTheme="minorEastAsia"/>
                <w:color w:val="000000" w:themeColor="text1"/>
                <w:szCs w:val="21"/>
              </w:rPr>
              <w:t>2.99</w:t>
            </w:r>
          </w:p>
        </w:tc>
      </w:tr>
      <w:tr w:rsidR="00367A6A">
        <w:tc>
          <w:tcPr>
            <w:tcW w:w="1504" w:type="dxa"/>
            <w:vAlign w:val="center"/>
          </w:tcPr>
          <w:p w:rsidR="00367A6A" w:rsidRDefault="00250141">
            <w:pPr>
              <w:jc w:val="center"/>
            </w:pPr>
            <w:r>
              <w:rPr>
                <w:rFonts w:eastAsiaTheme="minorEastAsia"/>
                <w:color w:val="000000" w:themeColor="text1"/>
                <w:szCs w:val="21"/>
              </w:rPr>
              <w:t>3</w:t>
            </w:r>
          </w:p>
        </w:tc>
        <w:tc>
          <w:tcPr>
            <w:tcW w:w="1504" w:type="dxa"/>
            <w:vAlign w:val="center"/>
          </w:tcPr>
          <w:p w:rsidR="00367A6A" w:rsidRDefault="00250141">
            <w:pPr>
              <w:jc w:val="center"/>
            </w:pPr>
            <w:r>
              <w:rPr>
                <w:rFonts w:eastAsiaTheme="minorEastAsia"/>
                <w:color w:val="000000" w:themeColor="text1"/>
                <w:szCs w:val="21"/>
              </w:rPr>
              <w:t>130650</w:t>
            </w:r>
          </w:p>
        </w:tc>
        <w:tc>
          <w:tcPr>
            <w:tcW w:w="1504" w:type="dxa"/>
            <w:vAlign w:val="center"/>
          </w:tcPr>
          <w:p w:rsidR="00367A6A" w:rsidRDefault="00250141">
            <w:pPr>
              <w:jc w:val="center"/>
            </w:pPr>
            <w:r>
              <w:rPr>
                <w:rFonts w:eastAsiaTheme="minorEastAsia"/>
                <w:color w:val="000000" w:themeColor="text1"/>
                <w:szCs w:val="21"/>
              </w:rPr>
              <w:t>15</w:t>
            </w:r>
            <w:r>
              <w:rPr>
                <w:rFonts w:eastAsiaTheme="minorEastAsia"/>
                <w:color w:val="000000" w:themeColor="text1"/>
                <w:szCs w:val="21"/>
              </w:rPr>
              <w:t>江苏</w:t>
            </w:r>
            <w:r>
              <w:rPr>
                <w:rFonts w:eastAsiaTheme="minorEastAsia"/>
                <w:color w:val="000000" w:themeColor="text1"/>
                <w:szCs w:val="21"/>
              </w:rPr>
              <w:t>10</w:t>
            </w:r>
          </w:p>
        </w:tc>
        <w:tc>
          <w:tcPr>
            <w:tcW w:w="1503" w:type="dxa"/>
            <w:vAlign w:val="center"/>
          </w:tcPr>
          <w:p w:rsidR="00367A6A" w:rsidRDefault="00250141">
            <w:pPr>
              <w:jc w:val="right"/>
            </w:pPr>
            <w:r>
              <w:rPr>
                <w:rFonts w:eastAsiaTheme="minorEastAsia"/>
                <w:color w:val="000000" w:themeColor="text1"/>
                <w:szCs w:val="21"/>
              </w:rPr>
              <w:t>160</w:t>
            </w:r>
          </w:p>
        </w:tc>
        <w:tc>
          <w:tcPr>
            <w:tcW w:w="1503" w:type="dxa"/>
            <w:vAlign w:val="center"/>
          </w:tcPr>
          <w:p w:rsidR="00367A6A" w:rsidRDefault="00250141">
            <w:pPr>
              <w:jc w:val="right"/>
            </w:pPr>
            <w:r>
              <w:rPr>
                <w:rFonts w:eastAsiaTheme="minorEastAsia"/>
                <w:color w:val="000000" w:themeColor="text1"/>
                <w:szCs w:val="21"/>
              </w:rPr>
              <w:t>16,024.00</w:t>
            </w:r>
          </w:p>
        </w:tc>
        <w:tc>
          <w:tcPr>
            <w:tcW w:w="1503" w:type="dxa"/>
            <w:vAlign w:val="center"/>
          </w:tcPr>
          <w:p w:rsidR="00367A6A" w:rsidRDefault="00250141">
            <w:pPr>
              <w:jc w:val="right"/>
            </w:pPr>
            <w:r>
              <w:rPr>
                <w:rFonts w:eastAsiaTheme="minorEastAsia"/>
                <w:color w:val="000000" w:themeColor="text1"/>
                <w:szCs w:val="21"/>
              </w:rPr>
              <w:t>0.63</w:t>
            </w:r>
          </w:p>
        </w:tc>
      </w:tr>
      <w:tr w:rsidR="00367A6A">
        <w:tc>
          <w:tcPr>
            <w:tcW w:w="1504" w:type="dxa"/>
            <w:vAlign w:val="center"/>
          </w:tcPr>
          <w:p w:rsidR="00367A6A" w:rsidRDefault="00250141">
            <w:pPr>
              <w:jc w:val="center"/>
            </w:pPr>
            <w:r>
              <w:rPr>
                <w:rFonts w:eastAsiaTheme="minorEastAsia"/>
                <w:color w:val="000000" w:themeColor="text1"/>
                <w:szCs w:val="21"/>
              </w:rPr>
              <w:t>4</w:t>
            </w:r>
          </w:p>
        </w:tc>
        <w:tc>
          <w:tcPr>
            <w:tcW w:w="1504" w:type="dxa"/>
            <w:vAlign w:val="center"/>
          </w:tcPr>
          <w:p w:rsidR="00367A6A" w:rsidRDefault="00250141">
            <w:pPr>
              <w:jc w:val="center"/>
            </w:pPr>
            <w:r>
              <w:rPr>
                <w:rFonts w:eastAsiaTheme="minorEastAsia"/>
                <w:color w:val="000000" w:themeColor="text1"/>
                <w:szCs w:val="21"/>
              </w:rPr>
              <w:t>112285</w:t>
            </w:r>
          </w:p>
        </w:tc>
        <w:tc>
          <w:tcPr>
            <w:tcW w:w="1504" w:type="dxa"/>
            <w:vAlign w:val="center"/>
          </w:tcPr>
          <w:p w:rsidR="00367A6A" w:rsidRDefault="00250141">
            <w:pPr>
              <w:jc w:val="center"/>
            </w:pPr>
            <w:r>
              <w:rPr>
                <w:rFonts w:eastAsiaTheme="minorEastAsia"/>
                <w:color w:val="000000" w:themeColor="text1"/>
                <w:szCs w:val="21"/>
              </w:rPr>
              <w:t>15</w:t>
            </w:r>
            <w:r>
              <w:rPr>
                <w:rFonts w:eastAsiaTheme="minorEastAsia"/>
                <w:color w:val="000000" w:themeColor="text1"/>
                <w:szCs w:val="21"/>
              </w:rPr>
              <w:t>万科</w:t>
            </w:r>
            <w:r>
              <w:rPr>
                <w:rFonts w:eastAsiaTheme="minorEastAsia"/>
                <w:color w:val="000000" w:themeColor="text1"/>
                <w:szCs w:val="21"/>
              </w:rPr>
              <w:t>01</w:t>
            </w:r>
          </w:p>
        </w:tc>
        <w:tc>
          <w:tcPr>
            <w:tcW w:w="1503" w:type="dxa"/>
            <w:vAlign w:val="center"/>
          </w:tcPr>
          <w:p w:rsidR="00367A6A" w:rsidRDefault="00250141">
            <w:pPr>
              <w:jc w:val="right"/>
            </w:pPr>
            <w:r>
              <w:rPr>
                <w:rFonts w:eastAsiaTheme="minorEastAsia"/>
                <w:color w:val="000000" w:themeColor="text1"/>
                <w:szCs w:val="21"/>
              </w:rPr>
              <w:t>110</w:t>
            </w:r>
          </w:p>
        </w:tc>
        <w:tc>
          <w:tcPr>
            <w:tcW w:w="1503" w:type="dxa"/>
            <w:vAlign w:val="center"/>
          </w:tcPr>
          <w:p w:rsidR="00367A6A" w:rsidRDefault="00250141">
            <w:pPr>
              <w:jc w:val="right"/>
            </w:pPr>
            <w:r>
              <w:rPr>
                <w:rFonts w:eastAsiaTheme="minorEastAsia"/>
                <w:color w:val="000000" w:themeColor="text1"/>
                <w:szCs w:val="21"/>
              </w:rPr>
              <w:t>10,987.90</w:t>
            </w:r>
          </w:p>
        </w:tc>
        <w:tc>
          <w:tcPr>
            <w:tcW w:w="1503" w:type="dxa"/>
            <w:vAlign w:val="center"/>
          </w:tcPr>
          <w:p w:rsidR="00367A6A" w:rsidRDefault="00250141">
            <w:pPr>
              <w:jc w:val="right"/>
            </w:pPr>
            <w:r>
              <w:rPr>
                <w:rFonts w:eastAsiaTheme="minorEastAsia"/>
                <w:color w:val="000000" w:themeColor="text1"/>
                <w:szCs w:val="21"/>
              </w:rPr>
              <w:t>0.43</w:t>
            </w:r>
          </w:p>
        </w:tc>
      </w:tr>
    </w:tbl>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367A6A" w:rsidRDefault="00250141">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367A6A" w:rsidRDefault="00250141">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367A6A" w:rsidRDefault="00250141">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367A6A" w:rsidRDefault="00250141">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367A6A" w:rsidRDefault="00250141">
      <w:pPr>
        <w:widowControl/>
        <w:spacing w:line="360" w:lineRule="auto"/>
        <w:rPr>
          <w:rFonts w:eastAsiaTheme="minorEastAsia"/>
          <w:color w:val="000000" w:themeColor="text1"/>
          <w:szCs w:val="21"/>
        </w:rPr>
      </w:pPr>
      <w:r>
        <w:rPr>
          <w:rFonts w:eastAsiaTheme="minorEastAsia"/>
          <w:color w:val="000000" w:themeColor="text1"/>
          <w:szCs w:val="21"/>
        </w:rPr>
        <w:lastRenderedPageBreak/>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367A6A" w:rsidRDefault="00250141">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367A6A" w:rsidRDefault="00250141">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367A6A">
        <w:tc>
          <w:tcPr>
            <w:tcW w:w="1110" w:type="dxa"/>
            <w:vAlign w:val="center"/>
          </w:tcPr>
          <w:p w:rsidR="00367A6A" w:rsidRDefault="0025014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367A6A" w:rsidRDefault="0025014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367A6A" w:rsidRDefault="0025014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32,337.27</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24,237.48</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67A6A">
        <w:tc>
          <w:tcPr>
            <w:tcW w:w="1110" w:type="dxa"/>
            <w:vAlign w:val="center"/>
          </w:tcPr>
          <w:p w:rsidR="00367A6A" w:rsidRDefault="0025014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367A6A" w:rsidRDefault="0025014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367A6A" w:rsidRDefault="0025014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56,574.75</w:t>
            </w:r>
          </w:p>
        </w:tc>
      </w:tr>
    </w:tbl>
    <w:p w:rsidR="00367A6A" w:rsidRDefault="00250141">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367A6A" w:rsidRDefault="00250141">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367A6A" w:rsidRDefault="00250141">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367A6A" w:rsidRDefault="00250141">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367A6A">
        <w:tc>
          <w:tcPr>
            <w:tcW w:w="3900"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上投摩根岁岁金定期开放债券</w:t>
            </w:r>
            <w:r>
              <w:rPr>
                <w:rFonts w:eastAsiaTheme="minorEastAsia"/>
                <w:color w:val="000000" w:themeColor="text1"/>
                <w:szCs w:val="21"/>
              </w:rPr>
              <w:t>C</w:t>
            </w:r>
          </w:p>
        </w:tc>
      </w:tr>
      <w:tr w:rsidR="00367A6A">
        <w:tc>
          <w:tcPr>
            <w:tcW w:w="3900"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35,800,354.70</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1,652,258.69</w:t>
            </w:r>
          </w:p>
        </w:tc>
      </w:tr>
      <w:tr w:rsidR="00367A6A">
        <w:tc>
          <w:tcPr>
            <w:tcW w:w="3900"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lastRenderedPageBreak/>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170.22</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771.67</w:t>
            </w:r>
          </w:p>
        </w:tc>
      </w:tr>
      <w:tr w:rsidR="00367A6A">
        <w:tc>
          <w:tcPr>
            <w:tcW w:w="3900"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33,552,601.09</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1,503,242.95</w:t>
            </w:r>
          </w:p>
        </w:tc>
      </w:tr>
      <w:tr w:rsidR="00367A6A">
        <w:tc>
          <w:tcPr>
            <w:tcW w:w="3900"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7A6A">
        <w:tc>
          <w:tcPr>
            <w:tcW w:w="3900"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2,247,923.83</w:t>
            </w:r>
          </w:p>
        </w:tc>
        <w:tc>
          <w:tcPr>
            <w:tcW w:w="2367" w:type="dxa"/>
            <w:tcBorders>
              <w:top w:val="single" w:sz="8" w:space="0" w:color="000000"/>
              <w:left w:val="single" w:sz="8" w:space="0" w:color="000000"/>
              <w:bottom w:val="single" w:sz="8" w:space="0" w:color="000000"/>
              <w:right w:val="single" w:sz="8" w:space="0" w:color="000000"/>
            </w:tcBorders>
            <w:vAlign w:val="center"/>
          </w:tcPr>
          <w:p w:rsidR="00367A6A" w:rsidRDefault="0025014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149,787.41</w:t>
            </w:r>
          </w:p>
        </w:tc>
      </w:tr>
    </w:tbl>
    <w:p w:rsidR="00367A6A" w:rsidRDefault="00250141">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367A6A" w:rsidRDefault="00250141">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367A6A" w:rsidRDefault="002501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367A6A" w:rsidRDefault="00250141">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7A6A">
        <w:tc>
          <w:tcPr>
            <w:tcW w:w="993" w:type="dxa"/>
            <w:vMerge w:val="restart"/>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67A6A">
        <w:tc>
          <w:tcPr>
            <w:tcW w:w="993" w:type="dxa"/>
            <w:vMerge/>
            <w:vAlign w:val="center"/>
          </w:tcPr>
          <w:p w:rsidR="00367A6A" w:rsidRDefault="00367A6A">
            <w:pPr>
              <w:autoSpaceDE w:val="0"/>
              <w:autoSpaceDN w:val="0"/>
              <w:adjustRightInd w:val="0"/>
              <w:jc w:val="center"/>
              <w:rPr>
                <w:rFonts w:ascii="宋体" w:hAnsi="宋体"/>
                <w:b/>
                <w:bCs/>
                <w:color w:val="000000"/>
                <w:kern w:val="0"/>
                <w:szCs w:val="21"/>
              </w:rPr>
            </w:pPr>
          </w:p>
        </w:tc>
        <w:tc>
          <w:tcPr>
            <w:tcW w:w="992" w:type="dxa"/>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67A6A" w:rsidRDefault="00250141">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67A6A" w:rsidRDefault="00250141">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67A6A" w:rsidRDefault="00250141">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67A6A" w:rsidRDefault="0025014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67A6A">
        <w:tc>
          <w:tcPr>
            <w:tcW w:w="993" w:type="dxa"/>
            <w:vMerge w:val="restart"/>
          </w:tcPr>
          <w:p w:rsidR="00367A6A" w:rsidRDefault="00367A6A"/>
          <w:p w:rsidR="00367A6A" w:rsidRDefault="00250141">
            <w:r>
              <w:rPr>
                <w:rFonts w:ascii="宋体" w:hAnsi="宋体" w:hint="eastAsia"/>
                <w:bCs/>
                <w:color w:val="000000"/>
                <w:kern w:val="0"/>
                <w:szCs w:val="21"/>
              </w:rPr>
              <w:t>机构</w:t>
            </w:r>
          </w:p>
        </w:tc>
        <w:tc>
          <w:tcPr>
            <w:tcW w:w="992" w:type="dxa"/>
            <w:vAlign w:val="center"/>
          </w:tcPr>
          <w:p w:rsidR="00367A6A" w:rsidRDefault="00250141">
            <w:pPr>
              <w:jc w:val="center"/>
            </w:pPr>
            <w:r>
              <w:rPr>
                <w:rFonts w:ascii="宋体" w:hAnsi="宋体"/>
                <w:color w:val="000000"/>
                <w:kern w:val="0"/>
                <w:szCs w:val="21"/>
              </w:rPr>
              <w:t>1</w:t>
            </w:r>
          </w:p>
        </w:tc>
        <w:tc>
          <w:tcPr>
            <w:tcW w:w="1843" w:type="dxa"/>
            <w:vAlign w:val="center"/>
          </w:tcPr>
          <w:p w:rsidR="00367A6A" w:rsidRDefault="00250141">
            <w:pPr>
              <w:jc w:val="center"/>
            </w:pPr>
            <w:r>
              <w:rPr>
                <w:rFonts w:ascii="宋体" w:hAnsi="宋体"/>
                <w:color w:val="000000"/>
                <w:kern w:val="0"/>
                <w:szCs w:val="21"/>
              </w:rPr>
              <w:t>20190401-20190417</w:t>
            </w:r>
          </w:p>
        </w:tc>
        <w:tc>
          <w:tcPr>
            <w:tcW w:w="851" w:type="dxa"/>
            <w:vAlign w:val="center"/>
          </w:tcPr>
          <w:p w:rsidR="00367A6A" w:rsidRDefault="00250141">
            <w:pPr>
              <w:jc w:val="center"/>
            </w:pPr>
            <w:r>
              <w:rPr>
                <w:rFonts w:ascii="宋体" w:hAnsi="宋体"/>
                <w:color w:val="000000"/>
                <w:kern w:val="0"/>
                <w:szCs w:val="21"/>
              </w:rPr>
              <w:t>25,006,875.00</w:t>
            </w:r>
          </w:p>
        </w:tc>
        <w:tc>
          <w:tcPr>
            <w:tcW w:w="850" w:type="dxa"/>
            <w:vAlign w:val="center"/>
          </w:tcPr>
          <w:p w:rsidR="00367A6A" w:rsidRDefault="00250141">
            <w:pPr>
              <w:jc w:val="center"/>
            </w:pPr>
            <w:r>
              <w:rPr>
                <w:rFonts w:ascii="宋体" w:hAnsi="宋体"/>
                <w:color w:val="000000"/>
                <w:kern w:val="0"/>
                <w:szCs w:val="21"/>
              </w:rPr>
              <w:t>0.00</w:t>
            </w:r>
          </w:p>
        </w:tc>
        <w:tc>
          <w:tcPr>
            <w:tcW w:w="1134" w:type="dxa"/>
            <w:vAlign w:val="center"/>
          </w:tcPr>
          <w:p w:rsidR="00367A6A" w:rsidRDefault="00250141">
            <w:pPr>
              <w:jc w:val="center"/>
            </w:pPr>
            <w:r>
              <w:rPr>
                <w:rFonts w:ascii="宋体" w:hAnsi="宋体"/>
                <w:color w:val="000000"/>
                <w:kern w:val="0"/>
                <w:szCs w:val="21"/>
              </w:rPr>
              <w:t>25,006,875.00</w:t>
            </w:r>
          </w:p>
        </w:tc>
        <w:tc>
          <w:tcPr>
            <w:tcW w:w="1419" w:type="dxa"/>
            <w:vAlign w:val="center"/>
          </w:tcPr>
          <w:p w:rsidR="00367A6A" w:rsidRDefault="00250141">
            <w:pPr>
              <w:jc w:val="center"/>
            </w:pPr>
            <w:r>
              <w:rPr>
                <w:rFonts w:ascii="宋体" w:hAnsi="宋体"/>
                <w:color w:val="000000"/>
                <w:kern w:val="0"/>
                <w:szCs w:val="21"/>
              </w:rPr>
              <w:t>0.00</w:t>
            </w:r>
          </w:p>
        </w:tc>
        <w:tc>
          <w:tcPr>
            <w:tcW w:w="1130" w:type="dxa"/>
            <w:vAlign w:val="center"/>
          </w:tcPr>
          <w:p w:rsidR="00367A6A" w:rsidRDefault="00250141">
            <w:pPr>
              <w:jc w:val="center"/>
            </w:pPr>
            <w:r>
              <w:rPr>
                <w:rFonts w:ascii="宋体" w:hAnsi="宋体"/>
                <w:color w:val="000000"/>
                <w:kern w:val="0"/>
                <w:szCs w:val="21"/>
              </w:rPr>
              <w:t>0.00%</w:t>
            </w:r>
          </w:p>
        </w:tc>
      </w:tr>
      <w:tr w:rsidR="00367A6A">
        <w:tc>
          <w:tcPr>
            <w:tcW w:w="993" w:type="dxa"/>
            <w:vMerge w:val="restart"/>
          </w:tcPr>
          <w:p w:rsidR="00367A6A" w:rsidRDefault="00367A6A"/>
          <w:p w:rsidR="00367A6A" w:rsidRDefault="00250141">
            <w:r>
              <w:rPr>
                <w:rFonts w:ascii="宋体" w:hAnsi="宋体" w:hint="eastAsia"/>
                <w:bCs/>
                <w:color w:val="000000"/>
                <w:kern w:val="0"/>
                <w:szCs w:val="21"/>
              </w:rPr>
              <w:t>个人</w:t>
            </w:r>
          </w:p>
        </w:tc>
        <w:tc>
          <w:tcPr>
            <w:tcW w:w="992" w:type="dxa"/>
            <w:vAlign w:val="center"/>
          </w:tcPr>
          <w:p w:rsidR="00367A6A" w:rsidRDefault="00250141">
            <w:pPr>
              <w:jc w:val="center"/>
            </w:pPr>
            <w:r>
              <w:rPr>
                <w:rFonts w:ascii="宋体" w:hAnsi="宋体"/>
                <w:kern w:val="0"/>
                <w:szCs w:val="21"/>
              </w:rPr>
              <w:t>1</w:t>
            </w:r>
          </w:p>
        </w:tc>
        <w:tc>
          <w:tcPr>
            <w:tcW w:w="1843" w:type="dxa"/>
            <w:vAlign w:val="center"/>
          </w:tcPr>
          <w:p w:rsidR="00367A6A" w:rsidRDefault="00250141">
            <w:pPr>
              <w:jc w:val="center"/>
            </w:pPr>
            <w:r>
              <w:rPr>
                <w:rFonts w:ascii="宋体" w:hAnsi="宋体"/>
                <w:kern w:val="0"/>
                <w:szCs w:val="21"/>
              </w:rPr>
              <w:t>20190508-20190509</w:t>
            </w:r>
          </w:p>
        </w:tc>
        <w:tc>
          <w:tcPr>
            <w:tcW w:w="851" w:type="dxa"/>
            <w:vAlign w:val="center"/>
          </w:tcPr>
          <w:p w:rsidR="00367A6A" w:rsidRDefault="00250141">
            <w:pPr>
              <w:jc w:val="center"/>
            </w:pPr>
            <w:r>
              <w:rPr>
                <w:rFonts w:ascii="宋体" w:hAnsi="宋体"/>
                <w:kern w:val="0"/>
                <w:szCs w:val="21"/>
              </w:rPr>
              <w:t>498,120.39</w:t>
            </w:r>
          </w:p>
        </w:tc>
        <w:tc>
          <w:tcPr>
            <w:tcW w:w="850" w:type="dxa"/>
            <w:vAlign w:val="center"/>
          </w:tcPr>
          <w:p w:rsidR="00367A6A" w:rsidRDefault="00250141">
            <w:pPr>
              <w:jc w:val="center"/>
            </w:pPr>
            <w:r>
              <w:rPr>
                <w:rFonts w:ascii="宋体" w:hAnsi="宋体"/>
                <w:kern w:val="0"/>
                <w:szCs w:val="21"/>
              </w:rPr>
              <w:t>0.00</w:t>
            </w:r>
          </w:p>
        </w:tc>
        <w:tc>
          <w:tcPr>
            <w:tcW w:w="1134" w:type="dxa"/>
            <w:vAlign w:val="center"/>
          </w:tcPr>
          <w:p w:rsidR="00367A6A" w:rsidRDefault="00250141">
            <w:pPr>
              <w:jc w:val="center"/>
            </w:pPr>
            <w:r>
              <w:rPr>
                <w:rFonts w:ascii="宋体" w:hAnsi="宋体"/>
                <w:kern w:val="0"/>
                <w:szCs w:val="21"/>
              </w:rPr>
              <w:t>0.00</w:t>
            </w:r>
          </w:p>
        </w:tc>
        <w:tc>
          <w:tcPr>
            <w:tcW w:w="1419" w:type="dxa"/>
            <w:vAlign w:val="center"/>
          </w:tcPr>
          <w:p w:rsidR="00367A6A" w:rsidRDefault="00250141">
            <w:pPr>
              <w:jc w:val="center"/>
            </w:pPr>
            <w:r>
              <w:rPr>
                <w:rFonts w:ascii="宋体" w:hAnsi="宋体"/>
                <w:kern w:val="0"/>
                <w:szCs w:val="21"/>
              </w:rPr>
              <w:t>498,120.39</w:t>
            </w:r>
          </w:p>
        </w:tc>
        <w:tc>
          <w:tcPr>
            <w:tcW w:w="1130" w:type="dxa"/>
            <w:vAlign w:val="center"/>
          </w:tcPr>
          <w:p w:rsidR="00367A6A" w:rsidRDefault="00250141">
            <w:pPr>
              <w:jc w:val="center"/>
            </w:pPr>
            <w:r>
              <w:rPr>
                <w:rFonts w:ascii="宋体" w:hAnsi="宋体"/>
                <w:kern w:val="0"/>
                <w:szCs w:val="21"/>
              </w:rPr>
              <w:t>20.77%</w:t>
            </w:r>
          </w:p>
        </w:tc>
      </w:tr>
      <w:tr w:rsidR="00367A6A">
        <w:tc>
          <w:tcPr>
            <w:tcW w:w="9212" w:type="dxa"/>
            <w:gridSpan w:val="8"/>
            <w:vAlign w:val="center"/>
          </w:tcPr>
          <w:p w:rsidR="00367A6A" w:rsidRDefault="00250141">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67A6A">
        <w:tc>
          <w:tcPr>
            <w:tcW w:w="9212" w:type="dxa"/>
            <w:gridSpan w:val="8"/>
            <w:vAlign w:val="center"/>
          </w:tcPr>
          <w:p w:rsidR="00367A6A" w:rsidRDefault="00250141">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7A6A" w:rsidRDefault="00250141">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367A6A" w:rsidRDefault="00713E68">
      <w:pPr>
        <w:spacing w:line="360" w:lineRule="auto"/>
        <w:ind w:firstLineChars="200" w:firstLine="420"/>
        <w:rPr>
          <w:rFonts w:ascii="宋体" w:hAnsi="宋体"/>
          <w:color w:val="000000"/>
          <w:szCs w:val="21"/>
        </w:rPr>
      </w:pPr>
      <w:r>
        <w:rPr>
          <w:rFonts w:ascii="宋体" w:hAnsi="宋体" w:hint="eastAsia"/>
          <w:color w:val="000000"/>
          <w:szCs w:val="21"/>
        </w:rPr>
        <w:t>基金管理人于2</w:t>
      </w:r>
      <w:r>
        <w:rPr>
          <w:rFonts w:ascii="宋体" w:hAnsi="宋体"/>
          <w:color w:val="000000"/>
          <w:szCs w:val="21"/>
        </w:rPr>
        <w:t>019</w:t>
      </w:r>
      <w:r>
        <w:rPr>
          <w:rFonts w:ascii="宋体" w:hAnsi="宋体" w:hint="eastAsia"/>
          <w:color w:val="000000"/>
          <w:szCs w:val="21"/>
        </w:rPr>
        <w:t>年5月1</w:t>
      </w:r>
      <w:r>
        <w:rPr>
          <w:rFonts w:ascii="宋体" w:hAnsi="宋体"/>
          <w:color w:val="000000"/>
          <w:szCs w:val="21"/>
        </w:rPr>
        <w:t>0</w:t>
      </w:r>
      <w:r>
        <w:rPr>
          <w:rFonts w:ascii="宋体" w:hAnsi="宋体" w:hint="eastAsia"/>
          <w:color w:val="000000"/>
          <w:szCs w:val="21"/>
        </w:rPr>
        <w:t>日发布《</w:t>
      </w:r>
      <w:r w:rsidRPr="00713E68">
        <w:rPr>
          <w:rFonts w:ascii="宋体" w:hAnsi="宋体" w:hint="eastAsia"/>
          <w:color w:val="000000"/>
          <w:szCs w:val="21"/>
        </w:rPr>
        <w:t>关于上投摩根岁岁金定期开放债券型证券投资基金触发基金合同终止情形及清算的公告</w:t>
      </w:r>
      <w:r>
        <w:rPr>
          <w:rFonts w:ascii="宋体" w:hAnsi="宋体" w:hint="eastAsia"/>
          <w:color w:val="000000"/>
          <w:szCs w:val="21"/>
        </w:rPr>
        <w:t>》，自公告之日起，本基金进入清算流程。</w:t>
      </w:r>
    </w:p>
    <w:p w:rsidR="00367A6A" w:rsidRDefault="00250141">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367A6A" w:rsidRDefault="00250141">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（一）中国证监会准予上投摩根岁岁金定期开放债券型证券投资基金募集注册的文件</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（二）上投摩根岁岁金定期开放债券型证券投资基金基金合同</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（三）上投摩根岁岁金定期开放债券型证券投资基金托管协议</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（七）上投摩根基金管理有限公司开放式基金业务规则</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（八）中国证监会要求的其他文件</w:t>
      </w:r>
    </w:p>
    <w:p w:rsidR="00367A6A" w:rsidRDefault="00250141">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367A6A" w:rsidRDefault="00250141">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367A6A" w:rsidRDefault="00250141">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367A6A" w:rsidRDefault="00367A6A">
      <w:pPr>
        <w:spacing w:line="360" w:lineRule="auto"/>
        <w:ind w:left="840"/>
        <w:jc w:val="right"/>
        <w:rPr>
          <w:rFonts w:eastAsiaTheme="minorEastAsia"/>
          <w:color w:val="000000" w:themeColor="text1"/>
          <w:szCs w:val="21"/>
        </w:rPr>
      </w:pPr>
    </w:p>
    <w:p w:rsidR="00367A6A" w:rsidRDefault="00367A6A">
      <w:pPr>
        <w:spacing w:line="360" w:lineRule="auto"/>
        <w:ind w:left="840"/>
        <w:jc w:val="center"/>
        <w:rPr>
          <w:rFonts w:eastAsiaTheme="minorEastAsia"/>
          <w:b/>
          <w:color w:val="000000" w:themeColor="text1"/>
          <w:szCs w:val="21"/>
        </w:rPr>
      </w:pPr>
    </w:p>
    <w:p w:rsidR="00367A6A" w:rsidRDefault="00250141">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367A6A" w:rsidRDefault="00250141">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二〇一九年七月十六日</w:t>
      </w:r>
    </w:p>
    <w:sectPr w:rsidR="00367A6A">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33" w:rsidRDefault="00250141">
      <w:r>
        <w:separator/>
      </w:r>
    </w:p>
  </w:endnote>
  <w:endnote w:type="continuationSeparator" w:id="0">
    <w:p w:rsidR="00FB2633" w:rsidRDefault="0025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A" w:rsidRDefault="00250141">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E0A6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E0A6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A" w:rsidRDefault="00250141">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67A6A" w:rsidRDefault="00367A6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A" w:rsidRDefault="00250141">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E0A63">
      <w:rPr>
        <w:rStyle w:val="af2"/>
        <w:noProof/>
      </w:rPr>
      <w:t>5</w:t>
    </w:r>
    <w:r>
      <w:rPr>
        <w:rStyle w:val="af2"/>
      </w:rPr>
      <w:fldChar w:fldCharType="end"/>
    </w:r>
  </w:p>
  <w:p w:rsidR="00367A6A" w:rsidRDefault="00367A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33" w:rsidRDefault="00250141">
      <w:r>
        <w:separator/>
      </w:r>
    </w:p>
  </w:footnote>
  <w:footnote w:type="continuationSeparator" w:id="0">
    <w:p w:rsidR="00FB2633" w:rsidRDefault="00250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A" w:rsidRDefault="00250141">
    <w:pPr>
      <w:pStyle w:val="ad"/>
      <w:pBdr>
        <w:bottom w:val="single" w:sz="6" w:space="0" w:color="auto"/>
      </w:pBdr>
      <w:jc w:val="right"/>
    </w:pPr>
    <w:r>
      <w:t>上投摩根岁岁金定期开放债券型证券投资基金</w:t>
    </w:r>
    <w:r>
      <w:t>2019</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14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67A6A"/>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3E68"/>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B17"/>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A63"/>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2633"/>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6219AA-C222-4CD6-8FA5-AD71B639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1506">
      <w:bodyDiv w:val="1"/>
      <w:marLeft w:val="0"/>
      <w:marRight w:val="0"/>
      <w:marTop w:val="0"/>
      <w:marBottom w:val="0"/>
      <w:divBdr>
        <w:top w:val="none" w:sz="0" w:space="0" w:color="auto"/>
        <w:left w:val="none" w:sz="0" w:space="0" w:color="auto"/>
        <w:bottom w:val="none" w:sz="0" w:space="0" w:color="auto"/>
        <w:right w:val="none" w:sz="0" w:space="0" w:color="auto"/>
      </w:divBdr>
    </w:div>
    <w:div w:id="24715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47DA0-2CCB-423A-B508-89E3F16E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7</TotalTime>
  <Pages>14</Pages>
  <Words>1158</Words>
  <Characters>6601</Characters>
  <Application>Microsoft Office Word</Application>
  <DocSecurity>0</DocSecurity>
  <Lines>55</Lines>
  <Paragraphs>15</Paragraphs>
  <ScaleCrop>false</ScaleCrop>
  <Company>TRT. Ltd. Co.</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218</cp:revision>
  <cp:lastPrinted>2007-07-19T00:46:00Z</cp:lastPrinted>
  <dcterms:created xsi:type="dcterms:W3CDTF">2013-06-21T06:56:00Z</dcterms:created>
  <dcterms:modified xsi:type="dcterms:W3CDTF">2019-07-11T11:33:00Z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