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A6A" w:rsidRDefault="00367A6A">
      <w:pPr>
        <w:autoSpaceDE w:val="0"/>
        <w:autoSpaceDN w:val="0"/>
        <w:adjustRightInd w:val="0"/>
        <w:spacing w:line="360" w:lineRule="auto"/>
        <w:jc w:val="left"/>
        <w:rPr>
          <w:rFonts w:eastAsiaTheme="minorEastAsia"/>
          <w:color w:val="000000" w:themeColor="text1"/>
          <w:kern w:val="0"/>
          <w:szCs w:val="21"/>
        </w:rPr>
      </w:pPr>
    </w:p>
    <w:p w:rsidR="00367A6A" w:rsidRDefault="00367A6A">
      <w:pPr>
        <w:autoSpaceDE w:val="0"/>
        <w:autoSpaceDN w:val="0"/>
        <w:adjustRightInd w:val="0"/>
        <w:spacing w:line="360" w:lineRule="auto"/>
        <w:jc w:val="left"/>
        <w:rPr>
          <w:rFonts w:eastAsiaTheme="minorEastAsia"/>
          <w:color w:val="000000" w:themeColor="text1"/>
          <w:kern w:val="0"/>
          <w:szCs w:val="21"/>
        </w:rPr>
      </w:pPr>
    </w:p>
    <w:p w:rsidR="00367A6A" w:rsidRDefault="00367A6A">
      <w:pPr>
        <w:autoSpaceDE w:val="0"/>
        <w:autoSpaceDN w:val="0"/>
        <w:adjustRightInd w:val="0"/>
        <w:spacing w:line="360" w:lineRule="auto"/>
        <w:jc w:val="left"/>
        <w:rPr>
          <w:rFonts w:eastAsiaTheme="minorEastAsia"/>
          <w:color w:val="000000" w:themeColor="text1"/>
          <w:kern w:val="0"/>
          <w:szCs w:val="21"/>
        </w:rPr>
      </w:pPr>
    </w:p>
    <w:p w:rsidR="00367A6A" w:rsidRDefault="00367A6A">
      <w:pPr>
        <w:autoSpaceDE w:val="0"/>
        <w:autoSpaceDN w:val="0"/>
        <w:adjustRightInd w:val="0"/>
        <w:spacing w:line="360" w:lineRule="auto"/>
        <w:jc w:val="left"/>
        <w:rPr>
          <w:rFonts w:eastAsiaTheme="minorEastAsia"/>
          <w:color w:val="000000" w:themeColor="text1"/>
          <w:kern w:val="0"/>
          <w:szCs w:val="21"/>
        </w:rPr>
      </w:pPr>
    </w:p>
    <w:p w:rsidR="00367A6A" w:rsidRDefault="00367A6A">
      <w:pPr>
        <w:autoSpaceDE w:val="0"/>
        <w:autoSpaceDN w:val="0"/>
        <w:adjustRightInd w:val="0"/>
        <w:spacing w:line="360" w:lineRule="auto"/>
        <w:jc w:val="left"/>
        <w:rPr>
          <w:rFonts w:eastAsiaTheme="minorEastAsia"/>
          <w:color w:val="000000" w:themeColor="text1"/>
          <w:kern w:val="0"/>
          <w:szCs w:val="21"/>
        </w:rPr>
      </w:pPr>
    </w:p>
    <w:p w:rsidR="00367A6A" w:rsidRDefault="00250141">
      <w:pPr>
        <w:spacing w:line="360" w:lineRule="auto"/>
        <w:jc w:val="center"/>
        <w:rPr>
          <w:rFonts w:eastAsiaTheme="minorEastAsia"/>
          <w:b/>
          <w:color w:val="000000" w:themeColor="text1"/>
          <w:sz w:val="36"/>
          <w:szCs w:val="36"/>
        </w:rPr>
      </w:pPr>
      <w:r>
        <w:rPr>
          <w:rFonts w:eastAsiaTheme="minorEastAsia"/>
          <w:b/>
          <w:color w:val="000000" w:themeColor="text1"/>
          <w:sz w:val="36"/>
          <w:szCs w:val="36"/>
        </w:rPr>
        <w:t>上投摩根岁岁金定期开放债券型证券投资基金</w:t>
      </w:r>
    </w:p>
    <w:p w:rsidR="00367A6A" w:rsidRDefault="00250141">
      <w:pPr>
        <w:spacing w:line="360" w:lineRule="auto"/>
        <w:jc w:val="center"/>
        <w:rPr>
          <w:rFonts w:eastAsiaTheme="minorEastAsia"/>
          <w:b/>
          <w:color w:val="000000" w:themeColor="text1"/>
          <w:sz w:val="36"/>
          <w:szCs w:val="36"/>
        </w:rPr>
      </w:pPr>
      <w:r>
        <w:rPr>
          <w:rFonts w:eastAsiaTheme="minorEastAsia"/>
          <w:b/>
          <w:color w:val="000000" w:themeColor="text1"/>
          <w:sz w:val="36"/>
          <w:szCs w:val="36"/>
        </w:rPr>
        <w:t>2019</w:t>
      </w:r>
      <w:r>
        <w:rPr>
          <w:rFonts w:eastAsiaTheme="minorEastAsia"/>
          <w:b/>
          <w:color w:val="000000" w:themeColor="text1"/>
          <w:sz w:val="36"/>
          <w:szCs w:val="36"/>
        </w:rPr>
        <w:t>年第</w:t>
      </w:r>
      <w:r>
        <w:rPr>
          <w:rFonts w:eastAsiaTheme="minorEastAsia"/>
          <w:b/>
          <w:color w:val="000000" w:themeColor="text1"/>
          <w:sz w:val="36"/>
          <w:szCs w:val="36"/>
        </w:rPr>
        <w:t>2</w:t>
      </w:r>
      <w:r>
        <w:rPr>
          <w:rFonts w:eastAsiaTheme="minorEastAsia"/>
          <w:b/>
          <w:color w:val="000000" w:themeColor="text1"/>
          <w:sz w:val="36"/>
          <w:szCs w:val="36"/>
        </w:rPr>
        <w:t>季度报告</w:t>
      </w:r>
    </w:p>
    <w:p w:rsidR="00367A6A" w:rsidRDefault="00250141">
      <w:pPr>
        <w:spacing w:line="360" w:lineRule="auto"/>
        <w:jc w:val="center"/>
        <w:rPr>
          <w:rFonts w:eastAsiaTheme="minorEastAsia"/>
          <w:b/>
          <w:color w:val="000000" w:themeColor="text1"/>
          <w:szCs w:val="21"/>
        </w:rPr>
      </w:pPr>
      <w:r>
        <w:rPr>
          <w:rFonts w:eastAsiaTheme="minorEastAsia"/>
          <w:b/>
          <w:color w:val="000000" w:themeColor="text1"/>
          <w:sz w:val="36"/>
          <w:szCs w:val="36"/>
        </w:rPr>
        <w:t>2019</w:t>
      </w:r>
      <w:r>
        <w:rPr>
          <w:rFonts w:eastAsiaTheme="minorEastAsia"/>
          <w:b/>
          <w:color w:val="000000" w:themeColor="text1"/>
          <w:sz w:val="36"/>
          <w:szCs w:val="36"/>
        </w:rPr>
        <w:t>年</w:t>
      </w:r>
      <w:r>
        <w:rPr>
          <w:rFonts w:eastAsiaTheme="minorEastAsia"/>
          <w:b/>
          <w:color w:val="000000" w:themeColor="text1"/>
          <w:sz w:val="36"/>
          <w:szCs w:val="36"/>
        </w:rPr>
        <w:t>6</w:t>
      </w:r>
      <w:r>
        <w:rPr>
          <w:rFonts w:eastAsiaTheme="minorEastAsia"/>
          <w:b/>
          <w:color w:val="000000" w:themeColor="text1"/>
          <w:sz w:val="36"/>
          <w:szCs w:val="36"/>
        </w:rPr>
        <w:t>月</w:t>
      </w:r>
      <w:r>
        <w:rPr>
          <w:rFonts w:eastAsiaTheme="minorEastAsia"/>
          <w:b/>
          <w:color w:val="000000" w:themeColor="text1"/>
          <w:sz w:val="36"/>
          <w:szCs w:val="36"/>
        </w:rPr>
        <w:t>30</w:t>
      </w:r>
      <w:r>
        <w:rPr>
          <w:rFonts w:eastAsiaTheme="minorEastAsia"/>
          <w:b/>
          <w:color w:val="000000" w:themeColor="text1"/>
          <w:sz w:val="36"/>
          <w:szCs w:val="36"/>
        </w:rPr>
        <w:t>日</w:t>
      </w:r>
    </w:p>
    <w:p w:rsidR="00367A6A" w:rsidRDefault="00367A6A">
      <w:pPr>
        <w:spacing w:line="360" w:lineRule="auto"/>
        <w:jc w:val="center"/>
        <w:rPr>
          <w:rFonts w:eastAsiaTheme="minorEastAsia"/>
          <w:b/>
          <w:color w:val="000000" w:themeColor="text1"/>
          <w:szCs w:val="21"/>
        </w:rPr>
      </w:pPr>
    </w:p>
    <w:p w:rsidR="00367A6A" w:rsidRDefault="00367A6A">
      <w:pPr>
        <w:spacing w:line="360" w:lineRule="auto"/>
        <w:jc w:val="center"/>
        <w:rPr>
          <w:rFonts w:eastAsiaTheme="minorEastAsia"/>
          <w:b/>
          <w:color w:val="000000" w:themeColor="text1"/>
          <w:szCs w:val="21"/>
        </w:rPr>
      </w:pPr>
    </w:p>
    <w:p w:rsidR="00367A6A" w:rsidRDefault="00367A6A">
      <w:pPr>
        <w:spacing w:line="360" w:lineRule="auto"/>
        <w:jc w:val="center"/>
        <w:rPr>
          <w:rFonts w:eastAsiaTheme="minorEastAsia"/>
          <w:b/>
          <w:color w:val="000000" w:themeColor="text1"/>
          <w:szCs w:val="21"/>
        </w:rPr>
      </w:pPr>
    </w:p>
    <w:p w:rsidR="00367A6A" w:rsidRDefault="00367A6A">
      <w:pPr>
        <w:spacing w:line="360" w:lineRule="auto"/>
        <w:jc w:val="center"/>
        <w:rPr>
          <w:rFonts w:eastAsiaTheme="minorEastAsia"/>
          <w:b/>
          <w:color w:val="000000" w:themeColor="text1"/>
          <w:szCs w:val="21"/>
        </w:rPr>
      </w:pPr>
    </w:p>
    <w:p w:rsidR="00367A6A" w:rsidRDefault="00367A6A">
      <w:pPr>
        <w:spacing w:line="360" w:lineRule="auto"/>
        <w:jc w:val="center"/>
        <w:rPr>
          <w:rFonts w:eastAsiaTheme="minorEastAsia"/>
          <w:b/>
          <w:color w:val="000000" w:themeColor="text1"/>
          <w:szCs w:val="21"/>
        </w:rPr>
      </w:pPr>
    </w:p>
    <w:p w:rsidR="00367A6A" w:rsidRDefault="00367A6A">
      <w:pPr>
        <w:spacing w:line="360" w:lineRule="auto"/>
        <w:jc w:val="center"/>
        <w:rPr>
          <w:rFonts w:eastAsiaTheme="minorEastAsia"/>
          <w:b/>
          <w:color w:val="000000" w:themeColor="text1"/>
          <w:szCs w:val="21"/>
        </w:rPr>
      </w:pPr>
    </w:p>
    <w:p w:rsidR="00367A6A" w:rsidRDefault="00367A6A">
      <w:pPr>
        <w:spacing w:line="360" w:lineRule="auto"/>
        <w:jc w:val="center"/>
        <w:rPr>
          <w:rFonts w:eastAsiaTheme="minorEastAsia"/>
          <w:b/>
          <w:color w:val="000000" w:themeColor="text1"/>
          <w:szCs w:val="21"/>
        </w:rPr>
      </w:pPr>
    </w:p>
    <w:p w:rsidR="00367A6A" w:rsidRDefault="00367A6A">
      <w:pPr>
        <w:spacing w:line="360" w:lineRule="auto"/>
        <w:jc w:val="center"/>
        <w:rPr>
          <w:rFonts w:eastAsiaTheme="minorEastAsia"/>
          <w:b/>
          <w:color w:val="000000" w:themeColor="text1"/>
          <w:szCs w:val="21"/>
        </w:rPr>
      </w:pPr>
    </w:p>
    <w:p w:rsidR="00367A6A" w:rsidRDefault="00367A6A">
      <w:pPr>
        <w:spacing w:line="360" w:lineRule="auto"/>
        <w:jc w:val="center"/>
        <w:rPr>
          <w:rFonts w:eastAsiaTheme="minorEastAsia"/>
          <w:b/>
          <w:color w:val="000000" w:themeColor="text1"/>
          <w:szCs w:val="21"/>
        </w:rPr>
      </w:pPr>
    </w:p>
    <w:p w:rsidR="00367A6A" w:rsidRDefault="00367A6A">
      <w:pPr>
        <w:spacing w:line="360" w:lineRule="auto"/>
        <w:jc w:val="center"/>
        <w:rPr>
          <w:rFonts w:eastAsiaTheme="minorEastAsia"/>
          <w:b/>
          <w:color w:val="000000" w:themeColor="text1"/>
          <w:szCs w:val="21"/>
        </w:rPr>
      </w:pPr>
    </w:p>
    <w:p w:rsidR="00367A6A" w:rsidRDefault="00367A6A">
      <w:pPr>
        <w:spacing w:line="360" w:lineRule="auto"/>
        <w:jc w:val="center"/>
        <w:rPr>
          <w:rFonts w:eastAsiaTheme="minorEastAsia"/>
          <w:b/>
          <w:color w:val="000000" w:themeColor="text1"/>
          <w:szCs w:val="21"/>
        </w:rPr>
      </w:pPr>
    </w:p>
    <w:p w:rsidR="00367A6A" w:rsidRDefault="00367A6A">
      <w:pPr>
        <w:spacing w:line="360" w:lineRule="auto"/>
        <w:jc w:val="center"/>
        <w:rPr>
          <w:rFonts w:eastAsiaTheme="minorEastAsia"/>
          <w:b/>
          <w:color w:val="000000" w:themeColor="text1"/>
          <w:szCs w:val="21"/>
        </w:rPr>
      </w:pPr>
    </w:p>
    <w:p w:rsidR="00367A6A" w:rsidRDefault="00367A6A">
      <w:pPr>
        <w:spacing w:line="360" w:lineRule="auto"/>
        <w:jc w:val="center"/>
        <w:rPr>
          <w:rFonts w:eastAsiaTheme="minorEastAsia"/>
          <w:b/>
          <w:color w:val="000000" w:themeColor="text1"/>
          <w:szCs w:val="21"/>
        </w:rPr>
      </w:pPr>
    </w:p>
    <w:p w:rsidR="00367A6A" w:rsidRDefault="00367A6A">
      <w:pPr>
        <w:spacing w:line="360" w:lineRule="auto"/>
        <w:rPr>
          <w:rFonts w:eastAsiaTheme="minorEastAsia"/>
          <w:b/>
          <w:color w:val="000000" w:themeColor="text1"/>
          <w:szCs w:val="21"/>
        </w:rPr>
      </w:pPr>
    </w:p>
    <w:p w:rsidR="00367A6A" w:rsidRDefault="00250141">
      <w:pPr>
        <w:spacing w:line="360" w:lineRule="auto"/>
        <w:ind w:firstLineChars="900" w:firstLine="2168"/>
        <w:rPr>
          <w:rFonts w:eastAsiaTheme="minorEastAsia"/>
          <w:b/>
          <w:color w:val="000000" w:themeColor="text1"/>
          <w:sz w:val="24"/>
        </w:rPr>
      </w:pPr>
      <w:r>
        <w:rPr>
          <w:rFonts w:eastAsiaTheme="minorEastAsia"/>
          <w:b/>
          <w:color w:val="000000" w:themeColor="text1"/>
          <w:sz w:val="24"/>
        </w:rPr>
        <w:t>基金管理人：上投摩根基金管理有限公司</w:t>
      </w:r>
    </w:p>
    <w:p w:rsidR="00367A6A" w:rsidRDefault="00250141">
      <w:pPr>
        <w:spacing w:line="360" w:lineRule="auto"/>
        <w:ind w:firstLineChars="900" w:firstLine="2168"/>
        <w:rPr>
          <w:rFonts w:eastAsiaTheme="minorEastAsia"/>
          <w:b/>
          <w:color w:val="000000" w:themeColor="text1"/>
          <w:sz w:val="24"/>
        </w:rPr>
      </w:pPr>
      <w:r>
        <w:rPr>
          <w:rFonts w:eastAsiaTheme="minorEastAsia"/>
          <w:b/>
          <w:color w:val="000000" w:themeColor="text1"/>
          <w:sz w:val="24"/>
        </w:rPr>
        <w:t>基金托管人：平安银行股份有限公司</w:t>
      </w:r>
    </w:p>
    <w:p w:rsidR="00367A6A" w:rsidRDefault="00250141">
      <w:pPr>
        <w:spacing w:line="360" w:lineRule="auto"/>
        <w:ind w:firstLineChars="900" w:firstLine="2168"/>
        <w:rPr>
          <w:rFonts w:eastAsiaTheme="minorEastAsia"/>
          <w:color w:val="000000" w:themeColor="text1"/>
          <w:szCs w:val="21"/>
        </w:rPr>
        <w:sectPr w:rsidR="00367A6A">
          <w:headerReference w:type="default" r:id="rId8"/>
          <w:footerReference w:type="default" r:id="rId9"/>
          <w:pgSz w:w="11926" w:h="15840"/>
          <w:pgMar w:top="1418" w:right="1418" w:bottom="851" w:left="1418" w:header="851" w:footer="992" w:gutter="0"/>
          <w:cols w:space="720"/>
        </w:sectPr>
      </w:pPr>
      <w:r>
        <w:rPr>
          <w:rFonts w:eastAsiaTheme="minorEastAsia"/>
          <w:b/>
          <w:color w:val="000000" w:themeColor="text1"/>
          <w:sz w:val="24"/>
        </w:rPr>
        <w:t>报告送出日期：二〇一九年七月十六日</w:t>
      </w:r>
    </w:p>
    <w:p w:rsidR="00367A6A" w:rsidRDefault="00250141">
      <w:pPr>
        <w:pStyle w:val="1"/>
        <w:spacing w:beforeLines="100" w:before="312" w:afterLines="100" w:after="312" w:line="360" w:lineRule="auto"/>
        <w:jc w:val="center"/>
        <w:rPr>
          <w:rFonts w:eastAsiaTheme="minorEastAsia"/>
          <w:b w:val="0"/>
          <w:color w:val="000000" w:themeColor="text1"/>
          <w:kern w:val="0"/>
          <w:sz w:val="21"/>
          <w:szCs w:val="21"/>
        </w:rPr>
      </w:pPr>
      <w:r>
        <w:rPr>
          <w:rFonts w:eastAsiaTheme="minorEastAsia"/>
          <w:color w:val="000000" w:themeColor="text1"/>
          <w:kern w:val="0"/>
          <w:sz w:val="21"/>
          <w:szCs w:val="21"/>
        </w:rPr>
        <w:lastRenderedPageBreak/>
        <w:t xml:space="preserve">§1  </w:t>
      </w:r>
      <w:r>
        <w:rPr>
          <w:rFonts w:eastAsiaTheme="minorEastAsia"/>
          <w:color w:val="000000" w:themeColor="text1"/>
          <w:kern w:val="0"/>
          <w:sz w:val="21"/>
          <w:szCs w:val="21"/>
        </w:rPr>
        <w:t>重要提示</w:t>
      </w:r>
    </w:p>
    <w:p w:rsidR="00367A6A" w:rsidRDefault="00250141">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367A6A" w:rsidRDefault="00250141">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基金托管人平安银行股份有限公司根据本基金合同规定，于</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15</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367A6A" w:rsidRDefault="00250141">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367A6A" w:rsidRDefault="00250141">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367A6A" w:rsidRDefault="00250141">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367A6A" w:rsidRDefault="00250141">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日起至</w:t>
      </w:r>
      <w:r w:rsidR="00B80B17">
        <w:rPr>
          <w:rFonts w:eastAsiaTheme="minorEastAsia" w:hint="eastAsia"/>
          <w:color w:val="000000" w:themeColor="text1"/>
          <w:szCs w:val="21"/>
        </w:rPr>
        <w:t>5</w:t>
      </w:r>
      <w:r>
        <w:rPr>
          <w:rFonts w:eastAsiaTheme="minorEastAsia"/>
          <w:color w:val="000000" w:themeColor="text1"/>
          <w:szCs w:val="21"/>
        </w:rPr>
        <w:t>月</w:t>
      </w:r>
      <w:r w:rsidR="00B80B17">
        <w:rPr>
          <w:rFonts w:eastAsiaTheme="minorEastAsia" w:hint="eastAsia"/>
          <w:color w:val="000000" w:themeColor="text1"/>
          <w:szCs w:val="21"/>
        </w:rPr>
        <w:t>9</w:t>
      </w:r>
      <w:r>
        <w:rPr>
          <w:rFonts w:eastAsiaTheme="minorEastAsia"/>
          <w:color w:val="000000" w:themeColor="text1"/>
          <w:szCs w:val="21"/>
        </w:rPr>
        <w:t>日止。</w:t>
      </w:r>
    </w:p>
    <w:p w:rsidR="00367A6A" w:rsidRDefault="00250141">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§2  </w:t>
      </w:r>
      <w:r>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367A6A">
        <w:tc>
          <w:tcPr>
            <w:tcW w:w="2835" w:type="dxa"/>
            <w:vAlign w:val="center"/>
          </w:tcPr>
          <w:p w:rsidR="00367A6A" w:rsidRDefault="00250141">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基金简称</w:t>
            </w:r>
          </w:p>
        </w:tc>
        <w:tc>
          <w:tcPr>
            <w:tcW w:w="5479" w:type="dxa"/>
            <w:gridSpan w:val="2"/>
            <w:vAlign w:val="center"/>
          </w:tcPr>
          <w:p w:rsidR="00367A6A" w:rsidRDefault="00250141">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上投摩根岁岁金定期开放债券</w:t>
            </w:r>
          </w:p>
        </w:tc>
      </w:tr>
      <w:tr w:rsidR="00367A6A">
        <w:tc>
          <w:tcPr>
            <w:tcW w:w="2835" w:type="dxa"/>
            <w:vAlign w:val="center"/>
          </w:tcPr>
          <w:p w:rsidR="00367A6A" w:rsidRDefault="00250141">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367A6A" w:rsidRDefault="00250141">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004203</w:t>
            </w:r>
          </w:p>
        </w:tc>
      </w:tr>
      <w:tr w:rsidR="00367A6A">
        <w:tc>
          <w:tcPr>
            <w:tcW w:w="2835" w:type="dxa"/>
            <w:vAlign w:val="center"/>
          </w:tcPr>
          <w:p w:rsidR="00367A6A" w:rsidRDefault="0025014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367A6A" w:rsidRDefault="0025014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契约型定期开放式</w:t>
            </w:r>
          </w:p>
        </w:tc>
      </w:tr>
      <w:tr w:rsidR="00367A6A">
        <w:tc>
          <w:tcPr>
            <w:tcW w:w="2835" w:type="dxa"/>
            <w:vAlign w:val="center"/>
          </w:tcPr>
          <w:p w:rsidR="00367A6A" w:rsidRDefault="0025014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基金合同生效日</w:t>
            </w:r>
          </w:p>
        </w:tc>
        <w:tc>
          <w:tcPr>
            <w:tcW w:w="5479" w:type="dxa"/>
            <w:gridSpan w:val="2"/>
            <w:vAlign w:val="center"/>
          </w:tcPr>
          <w:p w:rsidR="00367A6A" w:rsidRDefault="00250141">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10</w:t>
            </w:r>
            <w:r>
              <w:rPr>
                <w:rFonts w:eastAsiaTheme="minorEastAsia"/>
                <w:color w:val="000000" w:themeColor="text1"/>
                <w:kern w:val="0"/>
                <w:szCs w:val="21"/>
              </w:rPr>
              <w:t>日</w:t>
            </w:r>
          </w:p>
        </w:tc>
      </w:tr>
      <w:tr w:rsidR="00367A6A">
        <w:tc>
          <w:tcPr>
            <w:tcW w:w="2835" w:type="dxa"/>
            <w:vAlign w:val="center"/>
          </w:tcPr>
          <w:p w:rsidR="00367A6A" w:rsidRDefault="0025014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报告期末基金份额总额</w:t>
            </w:r>
          </w:p>
        </w:tc>
        <w:tc>
          <w:tcPr>
            <w:tcW w:w="5479" w:type="dxa"/>
            <w:gridSpan w:val="2"/>
            <w:vAlign w:val="center"/>
          </w:tcPr>
          <w:p w:rsidR="00367A6A" w:rsidRDefault="0025014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2,397,711.24</w:t>
            </w:r>
            <w:r>
              <w:rPr>
                <w:rFonts w:eastAsiaTheme="minorEastAsia"/>
                <w:color w:val="000000" w:themeColor="text1"/>
                <w:kern w:val="0"/>
                <w:szCs w:val="21"/>
              </w:rPr>
              <w:t>份</w:t>
            </w:r>
          </w:p>
        </w:tc>
      </w:tr>
      <w:tr w:rsidR="00367A6A">
        <w:tc>
          <w:tcPr>
            <w:tcW w:w="2835" w:type="dxa"/>
            <w:vAlign w:val="center"/>
          </w:tcPr>
          <w:p w:rsidR="00367A6A" w:rsidRDefault="0025014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投资目标</w:t>
            </w:r>
          </w:p>
        </w:tc>
        <w:tc>
          <w:tcPr>
            <w:tcW w:w="5479" w:type="dxa"/>
            <w:gridSpan w:val="2"/>
            <w:vAlign w:val="center"/>
          </w:tcPr>
          <w:p w:rsidR="00367A6A" w:rsidRDefault="0025014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在合理充分的定量分析及定性研究基础上，在风险可控的原则下，通过参与固定收益类资产的投资封闭运作，力争获取超越基准的稳健回报。</w:t>
            </w:r>
          </w:p>
        </w:tc>
      </w:tr>
      <w:tr w:rsidR="00367A6A">
        <w:tc>
          <w:tcPr>
            <w:tcW w:w="2835" w:type="dxa"/>
            <w:vAlign w:val="center"/>
          </w:tcPr>
          <w:p w:rsidR="00367A6A" w:rsidRDefault="0025014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投资策略</w:t>
            </w:r>
          </w:p>
        </w:tc>
        <w:tc>
          <w:tcPr>
            <w:tcW w:w="5479" w:type="dxa"/>
            <w:gridSpan w:val="2"/>
            <w:vAlign w:val="center"/>
          </w:tcPr>
          <w:p w:rsidR="00367A6A" w:rsidRDefault="0025014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、债券类属配置策略</w:t>
            </w:r>
          </w:p>
          <w:p w:rsidR="00367A6A" w:rsidRDefault="0025014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对不同类型固定收益品种的信用风险、税赋水平、市场流动性、市场风险等因素进行分析，研究同期限的国债、金融债、企业债、交易所和银行间市场投资品种的利差和变化趋势，评估不同债券板块之间的相对投资价值，确定债券类属配置策略，并根据市场变化及时进行调</w:t>
            </w:r>
            <w:r>
              <w:rPr>
                <w:rFonts w:eastAsiaTheme="minorEastAsia"/>
                <w:color w:val="000000" w:themeColor="text1"/>
                <w:kern w:val="0"/>
                <w:szCs w:val="21"/>
              </w:rPr>
              <w:lastRenderedPageBreak/>
              <w:t>整。</w:t>
            </w:r>
          </w:p>
          <w:p w:rsidR="00367A6A" w:rsidRDefault="0025014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、久期管理策略</w:t>
            </w:r>
          </w:p>
          <w:p w:rsidR="00367A6A" w:rsidRDefault="0025014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基于对市场利率的变化趋势的预判，相应的调整债券组合的久期。本基金通过对影响债券投资的宏观经济变量和宏观经济政策等因素的综合分析，预测未来的市场利率的变动趋势，判断债券市场对上述因素及其变化的反应，并据此积极调整债券组合的久期。</w:t>
            </w:r>
          </w:p>
          <w:p w:rsidR="00367A6A" w:rsidRDefault="0025014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、收益率曲线策略</w:t>
            </w:r>
          </w:p>
          <w:p w:rsidR="00367A6A" w:rsidRDefault="0025014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资产组合中的长、中、短期债券主要根据收益率曲线形状的变化进行合理配置。本基金在确定固定收益资产组合平均久期的基础上，将结合收益率曲线变化的预测，适时采用跟踪收益率曲线的骑乘策略或者基于收益率曲线变化的子弹、杠铃及梯形策略构造组合，并进行动态调整。</w:t>
            </w:r>
          </w:p>
          <w:p w:rsidR="00367A6A" w:rsidRDefault="0025014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4</w:t>
            </w:r>
            <w:r>
              <w:rPr>
                <w:rFonts w:eastAsiaTheme="minorEastAsia"/>
                <w:color w:val="000000" w:themeColor="text1"/>
                <w:kern w:val="0"/>
                <w:szCs w:val="21"/>
              </w:rPr>
              <w:t>、信用策略</w:t>
            </w:r>
          </w:p>
          <w:p w:rsidR="00367A6A" w:rsidRDefault="0025014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深入挖掘信用债的投资价值，在承担适度风险的前提下追求较高收益。本基金将利用内部信用评级体系对债券发行人及其发行的债券进行信用评估，并结合外部评级机构的信用评级，分析违约风险以及合理信用利差水平，判断债券的投资价值，谨慎选择债券发行人基本面良好、债券条款优惠的信用债进行投资。</w:t>
            </w:r>
          </w:p>
          <w:p w:rsidR="00367A6A" w:rsidRDefault="0025014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5</w:t>
            </w:r>
            <w:r>
              <w:rPr>
                <w:rFonts w:eastAsiaTheme="minorEastAsia"/>
                <w:color w:val="000000" w:themeColor="text1"/>
                <w:kern w:val="0"/>
                <w:szCs w:val="21"/>
              </w:rPr>
              <w:t>、回购策略</w:t>
            </w:r>
          </w:p>
          <w:p w:rsidR="00367A6A" w:rsidRDefault="0025014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通过对回购利率和现券收益率以及其他投资品种收益率的比较，通过回购融入短期资金滚动操作，投资于收益率高于回购成本的债券以及其他获利机会，从而获得杠杆放大收益，并根据市场利率水平以及对利率期限结构的预期等，对回购放大的杠杆比例适时进行调整。</w:t>
            </w:r>
          </w:p>
          <w:p w:rsidR="00367A6A" w:rsidRDefault="0025014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6</w:t>
            </w:r>
            <w:r>
              <w:rPr>
                <w:rFonts w:eastAsiaTheme="minorEastAsia"/>
                <w:color w:val="000000" w:themeColor="text1"/>
                <w:kern w:val="0"/>
                <w:szCs w:val="21"/>
              </w:rPr>
              <w:t>、中小企业私募债券投资策略</w:t>
            </w:r>
          </w:p>
          <w:p w:rsidR="00367A6A" w:rsidRDefault="0025014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本基金投资中小企业私募债券，基金管理人将根据审慎原</w:t>
            </w:r>
            <w:r>
              <w:rPr>
                <w:rFonts w:eastAsiaTheme="minorEastAsia"/>
                <w:color w:val="000000" w:themeColor="text1"/>
                <w:kern w:val="0"/>
                <w:szCs w:val="21"/>
              </w:rPr>
              <w:lastRenderedPageBreak/>
              <w:t>则，制定严格的投资决策流程、风险控制制度和信用风险、流动性风险处置预案，以防范信用风险、流动性风险等各种风险。</w:t>
            </w:r>
          </w:p>
          <w:p w:rsidR="00367A6A" w:rsidRDefault="0025014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7</w:t>
            </w:r>
            <w:r>
              <w:rPr>
                <w:rFonts w:eastAsiaTheme="minorEastAsia"/>
                <w:color w:val="000000" w:themeColor="text1"/>
                <w:kern w:val="0"/>
                <w:szCs w:val="21"/>
              </w:rPr>
              <w:t>、资产支持证券投资策略</w:t>
            </w:r>
            <w:r>
              <w:rPr>
                <w:rFonts w:eastAsiaTheme="minorEastAsia"/>
                <w:color w:val="000000" w:themeColor="text1"/>
                <w:kern w:val="0"/>
                <w:szCs w:val="21"/>
              </w:rPr>
              <w:t xml:space="preserve"> </w:t>
            </w:r>
          </w:p>
          <w:p w:rsidR="00367A6A" w:rsidRDefault="0025014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在严格控制组合投资风险的前提下投资于资产支持证券。本基金综合考虑市场利率、发行条款、支持资产的构成及质量等因素，在严格控制风险的情况下，确定资产合理配置比例，在保证资产安全性的前提条件下，以期获得长期稳定收益。</w:t>
            </w:r>
          </w:p>
          <w:p w:rsidR="00367A6A" w:rsidRDefault="0025014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8</w:t>
            </w:r>
            <w:r>
              <w:rPr>
                <w:rFonts w:eastAsiaTheme="minorEastAsia"/>
                <w:color w:val="000000" w:themeColor="text1"/>
                <w:kern w:val="0"/>
                <w:szCs w:val="21"/>
              </w:rPr>
              <w:t>、证券公司短期公司债券投资策略</w:t>
            </w:r>
          </w:p>
          <w:p w:rsidR="00367A6A" w:rsidRDefault="0025014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本基金投资证券公司短期公司债券，将主要从自上而下判断景气周期和自下而上精选标的两个角度出发，结合信用分析和信用评估进行，同时通过有纪律的风险监控实现对投资组合风险的有效管理。</w:t>
            </w:r>
          </w:p>
        </w:tc>
      </w:tr>
      <w:tr w:rsidR="00367A6A">
        <w:tc>
          <w:tcPr>
            <w:tcW w:w="2835" w:type="dxa"/>
            <w:vAlign w:val="center"/>
          </w:tcPr>
          <w:p w:rsidR="00367A6A" w:rsidRDefault="0025014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lastRenderedPageBreak/>
              <w:t>业绩比较基准</w:t>
            </w:r>
          </w:p>
        </w:tc>
        <w:tc>
          <w:tcPr>
            <w:tcW w:w="5479" w:type="dxa"/>
            <w:gridSpan w:val="2"/>
            <w:vAlign w:val="center"/>
          </w:tcPr>
          <w:p w:rsidR="00367A6A" w:rsidRDefault="0025014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中债总指数</w:t>
            </w:r>
          </w:p>
        </w:tc>
      </w:tr>
      <w:tr w:rsidR="00367A6A">
        <w:tc>
          <w:tcPr>
            <w:tcW w:w="2835" w:type="dxa"/>
            <w:vAlign w:val="center"/>
          </w:tcPr>
          <w:p w:rsidR="00367A6A" w:rsidRDefault="0025014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风险收益特征</w:t>
            </w:r>
          </w:p>
        </w:tc>
        <w:tc>
          <w:tcPr>
            <w:tcW w:w="5479" w:type="dxa"/>
            <w:gridSpan w:val="2"/>
            <w:vAlign w:val="center"/>
          </w:tcPr>
          <w:p w:rsidR="00367A6A" w:rsidRDefault="0025014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本基金为债券型基金，属于证券投资基金中的较低风险品种，预期风险和预期收益高于货币市场基金，低于混合型基金和股票型基金。本基金风险收益特征会定期评估并在公司网站发布，请投资者关注。</w:t>
            </w:r>
          </w:p>
        </w:tc>
      </w:tr>
      <w:tr w:rsidR="00367A6A">
        <w:tc>
          <w:tcPr>
            <w:tcW w:w="2835" w:type="dxa"/>
            <w:vAlign w:val="center"/>
          </w:tcPr>
          <w:p w:rsidR="00367A6A" w:rsidRDefault="0025014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基金管理人</w:t>
            </w:r>
          </w:p>
        </w:tc>
        <w:tc>
          <w:tcPr>
            <w:tcW w:w="5479" w:type="dxa"/>
            <w:gridSpan w:val="2"/>
            <w:vAlign w:val="center"/>
          </w:tcPr>
          <w:p w:rsidR="00367A6A" w:rsidRDefault="0025014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上投摩根基金管理有限公司</w:t>
            </w:r>
          </w:p>
        </w:tc>
      </w:tr>
      <w:tr w:rsidR="00367A6A">
        <w:tc>
          <w:tcPr>
            <w:tcW w:w="2835" w:type="dxa"/>
            <w:vAlign w:val="center"/>
          </w:tcPr>
          <w:p w:rsidR="00367A6A" w:rsidRDefault="0025014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基金托管人</w:t>
            </w:r>
          </w:p>
        </w:tc>
        <w:tc>
          <w:tcPr>
            <w:tcW w:w="5479" w:type="dxa"/>
            <w:gridSpan w:val="2"/>
            <w:vAlign w:val="center"/>
          </w:tcPr>
          <w:p w:rsidR="00367A6A" w:rsidRDefault="0025014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平安银行股份有限公司</w:t>
            </w:r>
          </w:p>
        </w:tc>
      </w:tr>
      <w:tr w:rsidR="00367A6A">
        <w:tc>
          <w:tcPr>
            <w:tcW w:w="2835" w:type="dxa"/>
            <w:vAlign w:val="center"/>
          </w:tcPr>
          <w:p w:rsidR="00367A6A" w:rsidRDefault="00250141">
            <w:pPr>
              <w:adjustRightInd w:val="0"/>
              <w:spacing w:before="29" w:line="360" w:lineRule="auto"/>
              <w:ind w:left="17"/>
              <w:rPr>
                <w:rFonts w:eastAsiaTheme="minorEastAsia"/>
                <w:color w:val="000000" w:themeColor="text1"/>
                <w:kern w:val="0"/>
                <w:szCs w:val="21"/>
              </w:rPr>
            </w:pPr>
            <w:r>
              <w:rPr>
                <w:rFonts w:eastAsiaTheme="minorEastAsia" w:hint="eastAsia"/>
                <w:color w:val="000000" w:themeColor="text1"/>
                <w:szCs w:val="21"/>
              </w:rPr>
              <w:t>下属分级</w:t>
            </w:r>
            <w:r>
              <w:rPr>
                <w:rFonts w:eastAsiaTheme="minorEastAsia"/>
                <w:color w:val="000000" w:themeColor="text1"/>
                <w:szCs w:val="21"/>
              </w:rPr>
              <w:t>基金的基金简称</w:t>
            </w:r>
          </w:p>
        </w:tc>
        <w:tc>
          <w:tcPr>
            <w:tcW w:w="2739" w:type="dxa"/>
            <w:vAlign w:val="center"/>
          </w:tcPr>
          <w:p w:rsidR="00367A6A" w:rsidRDefault="00250141">
            <w:pPr>
              <w:rPr>
                <w:rFonts w:eastAsiaTheme="minorEastAsia"/>
                <w:color w:val="000000" w:themeColor="text1"/>
                <w:szCs w:val="21"/>
              </w:rPr>
            </w:pPr>
            <w:r>
              <w:rPr>
                <w:rFonts w:eastAsiaTheme="minorEastAsia"/>
                <w:color w:val="000000" w:themeColor="text1"/>
                <w:szCs w:val="21"/>
              </w:rPr>
              <w:t>上投摩根岁岁金定期开放债券</w:t>
            </w:r>
            <w:r>
              <w:rPr>
                <w:rFonts w:eastAsiaTheme="minorEastAsia"/>
                <w:color w:val="000000" w:themeColor="text1"/>
                <w:szCs w:val="21"/>
              </w:rPr>
              <w:t>A</w:t>
            </w:r>
          </w:p>
        </w:tc>
        <w:tc>
          <w:tcPr>
            <w:tcW w:w="2740" w:type="dxa"/>
            <w:vAlign w:val="center"/>
          </w:tcPr>
          <w:p w:rsidR="00367A6A" w:rsidRDefault="00250141">
            <w:pPr>
              <w:rPr>
                <w:rFonts w:eastAsiaTheme="minorEastAsia"/>
                <w:color w:val="000000" w:themeColor="text1"/>
                <w:szCs w:val="21"/>
              </w:rPr>
            </w:pPr>
            <w:r>
              <w:rPr>
                <w:rFonts w:eastAsiaTheme="minorEastAsia"/>
                <w:color w:val="000000" w:themeColor="text1"/>
                <w:szCs w:val="21"/>
              </w:rPr>
              <w:t>上投摩根岁岁金定期开放债券</w:t>
            </w:r>
            <w:r>
              <w:rPr>
                <w:rFonts w:eastAsiaTheme="minorEastAsia"/>
                <w:color w:val="000000" w:themeColor="text1"/>
                <w:szCs w:val="21"/>
              </w:rPr>
              <w:t>C</w:t>
            </w:r>
          </w:p>
        </w:tc>
      </w:tr>
      <w:tr w:rsidR="00367A6A">
        <w:tc>
          <w:tcPr>
            <w:tcW w:w="2835" w:type="dxa"/>
            <w:vAlign w:val="center"/>
          </w:tcPr>
          <w:p w:rsidR="00367A6A" w:rsidRDefault="00250141">
            <w:pPr>
              <w:adjustRightInd w:val="0"/>
              <w:spacing w:before="29" w:line="360" w:lineRule="auto"/>
              <w:ind w:left="17"/>
              <w:rPr>
                <w:rFonts w:eastAsiaTheme="minorEastAsia"/>
                <w:color w:val="000000" w:themeColor="text1"/>
                <w:szCs w:val="21"/>
              </w:rPr>
            </w:pPr>
            <w:r>
              <w:rPr>
                <w:rFonts w:eastAsiaTheme="minorEastAsia"/>
                <w:color w:val="000000" w:themeColor="text1"/>
                <w:szCs w:val="21"/>
              </w:rPr>
              <w:t>下属</w:t>
            </w:r>
            <w:r>
              <w:rPr>
                <w:rFonts w:eastAsiaTheme="minorEastAsia" w:hint="eastAsia"/>
                <w:color w:val="000000" w:themeColor="text1"/>
                <w:szCs w:val="21"/>
              </w:rPr>
              <w:t>分</w:t>
            </w:r>
            <w:r>
              <w:rPr>
                <w:rFonts w:eastAsiaTheme="minorEastAsia"/>
                <w:color w:val="000000" w:themeColor="text1"/>
                <w:szCs w:val="21"/>
              </w:rPr>
              <w:t>级基金的交易代码</w:t>
            </w:r>
          </w:p>
        </w:tc>
        <w:tc>
          <w:tcPr>
            <w:tcW w:w="2739" w:type="dxa"/>
            <w:vAlign w:val="center"/>
          </w:tcPr>
          <w:p w:rsidR="00367A6A" w:rsidRDefault="00250141">
            <w:pPr>
              <w:rPr>
                <w:rFonts w:eastAsiaTheme="minorEastAsia"/>
                <w:color w:val="000000" w:themeColor="text1"/>
                <w:szCs w:val="21"/>
              </w:rPr>
            </w:pPr>
            <w:r>
              <w:rPr>
                <w:rFonts w:eastAsiaTheme="minorEastAsia"/>
                <w:color w:val="000000" w:themeColor="text1"/>
                <w:szCs w:val="21"/>
              </w:rPr>
              <w:t>004203</w:t>
            </w:r>
          </w:p>
        </w:tc>
        <w:tc>
          <w:tcPr>
            <w:tcW w:w="2740" w:type="dxa"/>
            <w:vAlign w:val="center"/>
          </w:tcPr>
          <w:p w:rsidR="00367A6A" w:rsidRDefault="00250141">
            <w:pPr>
              <w:rPr>
                <w:rFonts w:eastAsiaTheme="minorEastAsia"/>
                <w:color w:val="000000" w:themeColor="text1"/>
                <w:szCs w:val="21"/>
              </w:rPr>
            </w:pPr>
            <w:r>
              <w:rPr>
                <w:rFonts w:eastAsiaTheme="minorEastAsia"/>
                <w:color w:val="000000" w:themeColor="text1"/>
                <w:szCs w:val="21"/>
              </w:rPr>
              <w:t>004204</w:t>
            </w:r>
          </w:p>
        </w:tc>
      </w:tr>
      <w:tr w:rsidR="00367A6A">
        <w:tc>
          <w:tcPr>
            <w:tcW w:w="2835" w:type="dxa"/>
            <w:vAlign w:val="center"/>
          </w:tcPr>
          <w:p w:rsidR="00367A6A" w:rsidRDefault="00250141">
            <w:pPr>
              <w:adjustRightInd w:val="0"/>
              <w:spacing w:before="29" w:line="360" w:lineRule="auto"/>
              <w:ind w:left="17"/>
              <w:rPr>
                <w:rFonts w:eastAsiaTheme="minorEastAsia"/>
                <w:color w:val="000000" w:themeColor="text1"/>
                <w:szCs w:val="21"/>
              </w:rPr>
            </w:pPr>
            <w:r>
              <w:rPr>
                <w:rFonts w:eastAsiaTheme="minorEastAsia"/>
                <w:color w:val="000000" w:themeColor="text1"/>
                <w:szCs w:val="21"/>
              </w:rPr>
              <w:t>报告期末下属</w:t>
            </w:r>
            <w:r>
              <w:rPr>
                <w:rFonts w:eastAsiaTheme="minorEastAsia" w:hint="eastAsia"/>
                <w:color w:val="000000" w:themeColor="text1"/>
                <w:szCs w:val="21"/>
              </w:rPr>
              <w:t>分</w:t>
            </w:r>
            <w:r>
              <w:rPr>
                <w:rFonts w:eastAsiaTheme="minorEastAsia"/>
                <w:color w:val="000000" w:themeColor="text1"/>
                <w:szCs w:val="21"/>
              </w:rPr>
              <w:t>级基金的份额总额</w:t>
            </w:r>
          </w:p>
        </w:tc>
        <w:tc>
          <w:tcPr>
            <w:tcW w:w="2739" w:type="dxa"/>
            <w:vAlign w:val="center"/>
          </w:tcPr>
          <w:p w:rsidR="00367A6A" w:rsidRDefault="00250141">
            <w:pPr>
              <w:rPr>
                <w:rFonts w:eastAsiaTheme="minorEastAsia"/>
                <w:color w:val="000000" w:themeColor="text1"/>
                <w:szCs w:val="21"/>
              </w:rPr>
            </w:pPr>
            <w:r>
              <w:rPr>
                <w:rFonts w:eastAsiaTheme="minorEastAsia"/>
                <w:color w:val="000000" w:themeColor="text1"/>
                <w:szCs w:val="21"/>
              </w:rPr>
              <w:t>2,247,923.83</w:t>
            </w:r>
            <w:r>
              <w:rPr>
                <w:rFonts w:eastAsiaTheme="minorEastAsia"/>
                <w:color w:val="000000" w:themeColor="text1"/>
                <w:kern w:val="0"/>
                <w:szCs w:val="21"/>
              </w:rPr>
              <w:t>份</w:t>
            </w:r>
          </w:p>
        </w:tc>
        <w:tc>
          <w:tcPr>
            <w:tcW w:w="2740" w:type="dxa"/>
            <w:vAlign w:val="center"/>
          </w:tcPr>
          <w:p w:rsidR="00367A6A" w:rsidRDefault="00250141">
            <w:pPr>
              <w:rPr>
                <w:rFonts w:eastAsiaTheme="minorEastAsia"/>
                <w:color w:val="000000" w:themeColor="text1"/>
                <w:szCs w:val="21"/>
              </w:rPr>
            </w:pPr>
            <w:r>
              <w:rPr>
                <w:rFonts w:eastAsiaTheme="minorEastAsia"/>
                <w:color w:val="000000" w:themeColor="text1"/>
                <w:szCs w:val="21"/>
              </w:rPr>
              <w:t>149,787.41</w:t>
            </w:r>
            <w:r>
              <w:rPr>
                <w:rFonts w:eastAsiaTheme="minorEastAsia"/>
                <w:color w:val="000000" w:themeColor="text1"/>
                <w:kern w:val="0"/>
                <w:szCs w:val="21"/>
              </w:rPr>
              <w:t>份</w:t>
            </w:r>
          </w:p>
        </w:tc>
      </w:tr>
    </w:tbl>
    <w:p w:rsidR="00367A6A" w:rsidRDefault="00250141">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§3  </w:t>
      </w:r>
      <w:r>
        <w:rPr>
          <w:rFonts w:eastAsiaTheme="minorEastAsia"/>
          <w:color w:val="000000" w:themeColor="text1"/>
          <w:kern w:val="0"/>
          <w:sz w:val="21"/>
          <w:szCs w:val="21"/>
        </w:rPr>
        <w:t>主要财务指标和基金净值表现</w:t>
      </w:r>
    </w:p>
    <w:p w:rsidR="00367A6A" w:rsidRDefault="00250141">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3.1 </w:t>
      </w:r>
      <w:r>
        <w:rPr>
          <w:rFonts w:eastAsiaTheme="minorEastAsia"/>
          <w:b/>
          <w:color w:val="000000" w:themeColor="text1"/>
          <w:kern w:val="0"/>
          <w:szCs w:val="21"/>
        </w:rPr>
        <w:t>主要财务指标</w:t>
      </w:r>
    </w:p>
    <w:p w:rsidR="00367A6A" w:rsidRDefault="00250141">
      <w:pPr>
        <w:autoSpaceDE w:val="0"/>
        <w:autoSpaceDN w:val="0"/>
        <w:adjustRightInd w:val="0"/>
        <w:spacing w:before="29" w:line="288" w:lineRule="auto"/>
        <w:ind w:left="15" w:right="480"/>
        <w:jc w:val="right"/>
        <w:rPr>
          <w:rFonts w:eastAsiaTheme="minorEastAsia"/>
          <w:color w:val="000000" w:themeColor="text1"/>
          <w:kern w:val="0"/>
          <w:szCs w:val="21"/>
        </w:rPr>
      </w:pPr>
      <w:r>
        <w:rPr>
          <w:rFonts w:eastAsiaTheme="minorEastAsia"/>
          <w:color w:val="000000" w:themeColor="text1"/>
          <w:kern w:val="0"/>
          <w:szCs w:val="21"/>
        </w:rPr>
        <w:lastRenderedPageBreak/>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367A6A">
        <w:tc>
          <w:tcPr>
            <w:tcW w:w="3402" w:type="dxa"/>
            <w:vMerge w:val="restart"/>
            <w:vAlign w:val="center"/>
          </w:tcPr>
          <w:p w:rsidR="00367A6A" w:rsidRDefault="00250141">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主要财务指标</w:t>
            </w:r>
          </w:p>
        </w:tc>
        <w:tc>
          <w:tcPr>
            <w:tcW w:w="4962" w:type="dxa"/>
            <w:gridSpan w:val="2"/>
            <w:vAlign w:val="center"/>
          </w:tcPr>
          <w:p w:rsidR="00367A6A" w:rsidRDefault="00250141">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报告期</w:t>
            </w:r>
          </w:p>
          <w:p w:rsidR="00367A6A" w:rsidRDefault="00250141">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w:t>
            </w:r>
            <w:r>
              <w:rPr>
                <w:rFonts w:eastAsiaTheme="minorEastAsia"/>
                <w:color w:val="000000" w:themeColor="text1"/>
                <w:szCs w:val="21"/>
              </w:rPr>
              <w:t>9</w:t>
            </w:r>
            <w:r>
              <w:rPr>
                <w:rFonts w:eastAsiaTheme="minorEastAsia"/>
                <w:color w:val="000000" w:themeColor="text1"/>
                <w:szCs w:val="21"/>
              </w:rPr>
              <w:t>日</w:t>
            </w:r>
            <w:r>
              <w:rPr>
                <w:rFonts w:eastAsiaTheme="minorEastAsia"/>
                <w:color w:val="000000" w:themeColor="text1"/>
                <w:szCs w:val="21"/>
              </w:rPr>
              <w:t>)</w:t>
            </w:r>
          </w:p>
        </w:tc>
      </w:tr>
      <w:tr w:rsidR="00367A6A">
        <w:tc>
          <w:tcPr>
            <w:tcW w:w="3402" w:type="dxa"/>
            <w:vMerge/>
            <w:vAlign w:val="center"/>
          </w:tcPr>
          <w:p w:rsidR="00367A6A" w:rsidRDefault="00367A6A">
            <w:pPr>
              <w:adjustRightInd w:val="0"/>
              <w:spacing w:before="29" w:line="360" w:lineRule="auto"/>
              <w:ind w:left="17"/>
              <w:rPr>
                <w:rFonts w:eastAsiaTheme="minorEastAsia"/>
                <w:color w:val="000000" w:themeColor="text1"/>
                <w:kern w:val="0"/>
                <w:szCs w:val="21"/>
              </w:rPr>
            </w:pPr>
          </w:p>
        </w:tc>
        <w:tc>
          <w:tcPr>
            <w:tcW w:w="2481" w:type="dxa"/>
            <w:vAlign w:val="center"/>
          </w:tcPr>
          <w:p w:rsidR="00367A6A" w:rsidRDefault="00250141">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上投摩根岁岁金定期开放债券</w:t>
            </w:r>
            <w:r>
              <w:rPr>
                <w:rFonts w:eastAsiaTheme="minorEastAsia"/>
                <w:color w:val="000000" w:themeColor="text1"/>
                <w:szCs w:val="21"/>
              </w:rPr>
              <w:t>A</w:t>
            </w:r>
          </w:p>
        </w:tc>
        <w:tc>
          <w:tcPr>
            <w:tcW w:w="2481" w:type="dxa"/>
            <w:vAlign w:val="center"/>
          </w:tcPr>
          <w:p w:rsidR="00367A6A" w:rsidRDefault="00250141">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上投摩根岁岁金定期开放债券</w:t>
            </w:r>
            <w:r>
              <w:rPr>
                <w:rFonts w:eastAsiaTheme="minorEastAsia"/>
                <w:color w:val="000000" w:themeColor="text1"/>
                <w:szCs w:val="21"/>
              </w:rPr>
              <w:t>C</w:t>
            </w:r>
          </w:p>
        </w:tc>
      </w:tr>
      <w:tr w:rsidR="00367A6A">
        <w:tc>
          <w:tcPr>
            <w:tcW w:w="3402" w:type="dxa"/>
            <w:vAlign w:val="center"/>
          </w:tcPr>
          <w:p w:rsidR="00367A6A" w:rsidRDefault="00250141">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1.</w:t>
            </w:r>
            <w:r>
              <w:rPr>
                <w:rFonts w:eastAsiaTheme="minorEastAsia"/>
                <w:color w:val="000000" w:themeColor="text1"/>
                <w:kern w:val="0"/>
                <w:szCs w:val="21"/>
              </w:rPr>
              <w:t>本期已实现收益</w:t>
            </w:r>
          </w:p>
        </w:tc>
        <w:tc>
          <w:tcPr>
            <w:tcW w:w="2481" w:type="dxa"/>
            <w:vAlign w:val="center"/>
          </w:tcPr>
          <w:p w:rsidR="00367A6A" w:rsidRDefault="00250141">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-265,811.85</w:t>
            </w:r>
          </w:p>
        </w:tc>
        <w:tc>
          <w:tcPr>
            <w:tcW w:w="2481" w:type="dxa"/>
            <w:vAlign w:val="center"/>
          </w:tcPr>
          <w:p w:rsidR="00367A6A" w:rsidRDefault="00250141">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-17,883.40</w:t>
            </w:r>
          </w:p>
        </w:tc>
      </w:tr>
      <w:tr w:rsidR="00367A6A">
        <w:tc>
          <w:tcPr>
            <w:tcW w:w="3402" w:type="dxa"/>
            <w:vAlign w:val="center"/>
          </w:tcPr>
          <w:p w:rsidR="00367A6A" w:rsidRDefault="00250141">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本期利润</w:t>
            </w:r>
          </w:p>
        </w:tc>
        <w:tc>
          <w:tcPr>
            <w:tcW w:w="2481" w:type="dxa"/>
            <w:vAlign w:val="center"/>
          </w:tcPr>
          <w:p w:rsidR="00367A6A" w:rsidRDefault="00250141">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-491,480.87</w:t>
            </w:r>
          </w:p>
        </w:tc>
        <w:tc>
          <w:tcPr>
            <w:tcW w:w="2481" w:type="dxa"/>
            <w:vAlign w:val="center"/>
          </w:tcPr>
          <w:p w:rsidR="00367A6A" w:rsidRDefault="00250141">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-22,658.78</w:t>
            </w:r>
          </w:p>
        </w:tc>
      </w:tr>
      <w:tr w:rsidR="00367A6A">
        <w:tc>
          <w:tcPr>
            <w:tcW w:w="3402" w:type="dxa"/>
            <w:vAlign w:val="center"/>
          </w:tcPr>
          <w:p w:rsidR="00367A6A" w:rsidRDefault="00250141">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3.</w:t>
            </w:r>
            <w:r>
              <w:rPr>
                <w:rFonts w:eastAsiaTheme="minorEastAsia"/>
                <w:color w:val="000000" w:themeColor="text1"/>
                <w:kern w:val="0"/>
                <w:szCs w:val="21"/>
              </w:rPr>
              <w:t>加权平均基金份额本期利润</w:t>
            </w:r>
          </w:p>
        </w:tc>
        <w:tc>
          <w:tcPr>
            <w:tcW w:w="2481" w:type="dxa"/>
            <w:vAlign w:val="center"/>
          </w:tcPr>
          <w:p w:rsidR="00367A6A" w:rsidRDefault="00250141">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-0.0242</w:t>
            </w:r>
          </w:p>
        </w:tc>
        <w:tc>
          <w:tcPr>
            <w:tcW w:w="2481" w:type="dxa"/>
            <w:vAlign w:val="center"/>
          </w:tcPr>
          <w:p w:rsidR="00367A6A" w:rsidRDefault="00250141">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-0.0233</w:t>
            </w:r>
          </w:p>
        </w:tc>
      </w:tr>
      <w:tr w:rsidR="00367A6A">
        <w:tc>
          <w:tcPr>
            <w:tcW w:w="3402" w:type="dxa"/>
            <w:vAlign w:val="center"/>
          </w:tcPr>
          <w:p w:rsidR="00367A6A" w:rsidRDefault="00250141">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4.</w:t>
            </w:r>
            <w:r>
              <w:rPr>
                <w:rFonts w:eastAsiaTheme="minorEastAsia"/>
                <w:color w:val="000000" w:themeColor="text1"/>
                <w:kern w:val="0"/>
                <w:szCs w:val="21"/>
              </w:rPr>
              <w:t>期末基金资产净值</w:t>
            </w:r>
          </w:p>
        </w:tc>
        <w:tc>
          <w:tcPr>
            <w:tcW w:w="2481" w:type="dxa"/>
            <w:vAlign w:val="center"/>
          </w:tcPr>
          <w:p w:rsidR="00367A6A" w:rsidRDefault="00250141">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2,376,266.37</w:t>
            </w:r>
          </w:p>
        </w:tc>
        <w:tc>
          <w:tcPr>
            <w:tcW w:w="2481" w:type="dxa"/>
            <w:vAlign w:val="center"/>
          </w:tcPr>
          <w:p w:rsidR="00367A6A" w:rsidRDefault="00250141">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157,229.15</w:t>
            </w:r>
          </w:p>
        </w:tc>
      </w:tr>
      <w:tr w:rsidR="00367A6A">
        <w:trPr>
          <w:trHeight w:val="158"/>
        </w:trPr>
        <w:tc>
          <w:tcPr>
            <w:tcW w:w="3402" w:type="dxa"/>
            <w:vAlign w:val="center"/>
          </w:tcPr>
          <w:p w:rsidR="00367A6A" w:rsidRDefault="00250141">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5.</w:t>
            </w:r>
            <w:r>
              <w:rPr>
                <w:rFonts w:eastAsiaTheme="minorEastAsia"/>
                <w:color w:val="000000" w:themeColor="text1"/>
                <w:kern w:val="0"/>
                <w:szCs w:val="21"/>
              </w:rPr>
              <w:t>期末基金份额净值</w:t>
            </w:r>
          </w:p>
        </w:tc>
        <w:tc>
          <w:tcPr>
            <w:tcW w:w="2481" w:type="dxa"/>
            <w:vAlign w:val="center"/>
          </w:tcPr>
          <w:p w:rsidR="00367A6A" w:rsidRDefault="00250141">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1.0571</w:t>
            </w:r>
          </w:p>
        </w:tc>
        <w:tc>
          <w:tcPr>
            <w:tcW w:w="2481" w:type="dxa"/>
            <w:vAlign w:val="center"/>
          </w:tcPr>
          <w:p w:rsidR="00367A6A" w:rsidRDefault="00250141">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1.0497</w:t>
            </w:r>
          </w:p>
        </w:tc>
      </w:tr>
    </w:tbl>
    <w:p w:rsidR="00367A6A" w:rsidRDefault="0025014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367A6A" w:rsidRDefault="0025014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367A6A" w:rsidRDefault="00250141">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3.2 </w:t>
      </w:r>
      <w:r>
        <w:rPr>
          <w:rFonts w:eastAsiaTheme="minorEastAsia"/>
          <w:b/>
          <w:color w:val="000000" w:themeColor="text1"/>
          <w:kern w:val="0"/>
          <w:szCs w:val="21"/>
        </w:rPr>
        <w:t>基金净值表现</w:t>
      </w:r>
    </w:p>
    <w:p w:rsidR="00367A6A" w:rsidRDefault="00250141">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3.2.1</w:t>
      </w:r>
      <w:r>
        <w:rPr>
          <w:rFonts w:eastAsiaTheme="minorEastAsia"/>
          <w:b/>
          <w:color w:val="000000" w:themeColor="text1"/>
          <w:kern w:val="0"/>
          <w:szCs w:val="21"/>
        </w:rPr>
        <w:t>本报告期基金份额净值增长率及其与同期业绩比较基准收益率的比较</w:t>
      </w:r>
    </w:p>
    <w:p w:rsidR="00367A6A" w:rsidRDefault="00250141">
      <w:pPr>
        <w:spacing w:line="360" w:lineRule="auto"/>
        <w:rPr>
          <w:rFonts w:eastAsiaTheme="minorEastAsia"/>
          <w:b/>
          <w:color w:val="000000" w:themeColor="text1"/>
          <w:szCs w:val="21"/>
        </w:rPr>
      </w:pPr>
      <w:r>
        <w:rPr>
          <w:rFonts w:eastAsiaTheme="minorEastAsia"/>
          <w:b/>
          <w:color w:val="000000" w:themeColor="text1"/>
          <w:szCs w:val="21"/>
        </w:rPr>
        <w:t>1</w:t>
      </w:r>
      <w:r>
        <w:rPr>
          <w:rFonts w:eastAsiaTheme="minorEastAsia"/>
          <w:b/>
          <w:color w:val="000000" w:themeColor="text1"/>
          <w:szCs w:val="21"/>
        </w:rPr>
        <w:t>、</w:t>
      </w:r>
      <w:r>
        <w:rPr>
          <w:rFonts w:eastAsiaTheme="minorEastAsia"/>
          <w:b/>
          <w:color w:val="000000" w:themeColor="text1"/>
          <w:kern w:val="0"/>
          <w:szCs w:val="21"/>
        </w:rPr>
        <w:t>上投摩根岁岁金定期开放债券</w:t>
      </w:r>
      <w:r>
        <w:rPr>
          <w:rFonts w:eastAsiaTheme="minorEastAsia"/>
          <w:b/>
          <w:color w:val="000000" w:themeColor="text1"/>
          <w:kern w:val="0"/>
          <w:szCs w:val="21"/>
        </w:rPr>
        <w:t>A</w:t>
      </w:r>
      <w:r>
        <w:rPr>
          <w:rFonts w:eastAsiaTheme="minorEastAsia"/>
          <w:b/>
          <w:color w:val="000000" w:themeColor="text1"/>
          <w:szCs w:val="21"/>
        </w:rPr>
        <w:t>：</w:t>
      </w:r>
    </w:p>
    <w:tbl>
      <w:tblPr>
        <w:tblStyle w:val="af6"/>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367A6A">
        <w:tc>
          <w:tcPr>
            <w:tcW w:w="1290" w:type="dxa"/>
            <w:vAlign w:val="center"/>
          </w:tcPr>
          <w:p w:rsidR="00367A6A" w:rsidRDefault="00250141">
            <w:pPr>
              <w:snapToGrid w:val="0"/>
              <w:spacing w:line="288" w:lineRule="auto"/>
              <w:jc w:val="center"/>
              <w:rPr>
                <w:rFonts w:eastAsiaTheme="minorEastAsia"/>
                <w:color w:val="000000" w:themeColor="text1"/>
                <w:szCs w:val="21"/>
              </w:rPr>
            </w:pPr>
            <w:r>
              <w:rPr>
                <w:rFonts w:eastAsiaTheme="minorEastAsia"/>
                <w:color w:val="000000" w:themeColor="text1"/>
                <w:szCs w:val="21"/>
              </w:rPr>
              <w:t>阶段</w:t>
            </w:r>
          </w:p>
        </w:tc>
        <w:tc>
          <w:tcPr>
            <w:tcW w:w="1291" w:type="dxa"/>
            <w:vAlign w:val="center"/>
          </w:tcPr>
          <w:p w:rsidR="00367A6A" w:rsidRDefault="00250141">
            <w:pPr>
              <w:snapToGrid w:val="0"/>
              <w:spacing w:line="288" w:lineRule="auto"/>
              <w:jc w:val="center"/>
              <w:rPr>
                <w:rFonts w:eastAsiaTheme="minorEastAsia"/>
                <w:color w:val="000000" w:themeColor="text1"/>
                <w:szCs w:val="21"/>
              </w:rPr>
            </w:pPr>
            <w:r>
              <w:rPr>
                <w:rFonts w:eastAsiaTheme="minorEastAsia"/>
                <w:color w:val="000000" w:themeColor="text1"/>
                <w:szCs w:val="21"/>
              </w:rPr>
              <w:t>净值增长率</w:t>
            </w:r>
            <w:r>
              <w:rPr>
                <w:rFonts w:ascii="宋体" w:hAnsi="宋体" w:cs="宋体" w:hint="eastAsia"/>
                <w:color w:val="000000" w:themeColor="text1"/>
                <w:szCs w:val="21"/>
              </w:rPr>
              <w:t>①</w:t>
            </w:r>
          </w:p>
        </w:tc>
        <w:tc>
          <w:tcPr>
            <w:tcW w:w="1291" w:type="dxa"/>
            <w:vAlign w:val="center"/>
          </w:tcPr>
          <w:p w:rsidR="00367A6A" w:rsidRDefault="00250141">
            <w:pPr>
              <w:snapToGrid w:val="0"/>
              <w:spacing w:line="288" w:lineRule="auto"/>
              <w:jc w:val="center"/>
              <w:rPr>
                <w:rFonts w:eastAsiaTheme="minorEastAsia"/>
                <w:color w:val="000000" w:themeColor="text1"/>
                <w:szCs w:val="21"/>
              </w:rPr>
            </w:pPr>
            <w:r>
              <w:rPr>
                <w:rFonts w:eastAsiaTheme="minorEastAsia"/>
                <w:color w:val="000000" w:themeColor="text1"/>
                <w:szCs w:val="21"/>
              </w:rPr>
              <w:t>净值增长率标准差</w:t>
            </w:r>
            <w:r>
              <w:rPr>
                <w:rFonts w:ascii="宋体" w:hAnsi="宋体" w:cs="宋体" w:hint="eastAsia"/>
                <w:color w:val="000000" w:themeColor="text1"/>
                <w:szCs w:val="21"/>
              </w:rPr>
              <w:t>②</w:t>
            </w:r>
          </w:p>
        </w:tc>
        <w:tc>
          <w:tcPr>
            <w:tcW w:w="1291" w:type="dxa"/>
            <w:vAlign w:val="center"/>
          </w:tcPr>
          <w:p w:rsidR="00367A6A" w:rsidRDefault="00250141">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w:t>
            </w:r>
            <w:r>
              <w:rPr>
                <w:rFonts w:ascii="宋体" w:hAnsi="宋体" w:cs="宋体" w:hint="eastAsia"/>
                <w:color w:val="000000" w:themeColor="text1"/>
                <w:szCs w:val="21"/>
              </w:rPr>
              <w:t>③</w:t>
            </w:r>
          </w:p>
        </w:tc>
        <w:tc>
          <w:tcPr>
            <w:tcW w:w="1291" w:type="dxa"/>
            <w:vAlign w:val="center"/>
          </w:tcPr>
          <w:p w:rsidR="00367A6A" w:rsidRDefault="00250141">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业绩比较基准收益率标准差</w:t>
            </w:r>
            <w:r>
              <w:rPr>
                <w:rFonts w:ascii="宋体" w:hAnsi="宋体" w:cs="宋体" w:hint="eastAsia"/>
                <w:color w:val="000000" w:themeColor="text1"/>
                <w:szCs w:val="21"/>
              </w:rPr>
              <w:t>④</w:t>
            </w:r>
          </w:p>
        </w:tc>
        <w:tc>
          <w:tcPr>
            <w:tcW w:w="1291" w:type="dxa"/>
            <w:vAlign w:val="center"/>
          </w:tcPr>
          <w:p w:rsidR="00367A6A" w:rsidRDefault="00250141">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①</w:t>
            </w:r>
            <w:r>
              <w:rPr>
                <w:rFonts w:eastAsiaTheme="minorEastAsia"/>
                <w:color w:val="000000" w:themeColor="text1"/>
                <w:szCs w:val="21"/>
              </w:rPr>
              <w:t>－</w:t>
            </w:r>
            <w:r>
              <w:rPr>
                <w:rFonts w:ascii="宋体" w:hAnsi="宋体" w:cs="宋体" w:hint="eastAsia"/>
                <w:color w:val="000000" w:themeColor="text1"/>
                <w:szCs w:val="21"/>
              </w:rPr>
              <w:t>③</w:t>
            </w:r>
          </w:p>
        </w:tc>
        <w:tc>
          <w:tcPr>
            <w:tcW w:w="1291" w:type="dxa"/>
            <w:vAlign w:val="center"/>
          </w:tcPr>
          <w:p w:rsidR="00367A6A" w:rsidRDefault="00250141">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②</w:t>
            </w:r>
            <w:r>
              <w:rPr>
                <w:rFonts w:eastAsiaTheme="minorEastAsia"/>
                <w:color w:val="000000" w:themeColor="text1"/>
                <w:szCs w:val="21"/>
              </w:rPr>
              <w:t>－</w:t>
            </w:r>
            <w:r>
              <w:rPr>
                <w:rFonts w:ascii="宋体" w:hAnsi="宋体" w:cs="宋体" w:hint="eastAsia"/>
                <w:color w:val="000000" w:themeColor="text1"/>
                <w:szCs w:val="21"/>
              </w:rPr>
              <w:t>④</w:t>
            </w:r>
          </w:p>
        </w:tc>
      </w:tr>
      <w:tr w:rsidR="00367A6A">
        <w:tc>
          <w:tcPr>
            <w:tcW w:w="1290" w:type="dxa"/>
            <w:vAlign w:val="center"/>
          </w:tcPr>
          <w:p w:rsidR="00367A6A" w:rsidRDefault="00250141">
            <w:pPr>
              <w:jc w:val="left"/>
            </w:pPr>
            <w:r>
              <w:rPr>
                <w:rFonts w:eastAsiaTheme="minorEastAsia"/>
                <w:color w:val="000000" w:themeColor="text1"/>
                <w:szCs w:val="21"/>
              </w:rPr>
              <w:t>过去三个月</w:t>
            </w:r>
          </w:p>
        </w:tc>
        <w:tc>
          <w:tcPr>
            <w:tcW w:w="1291" w:type="dxa"/>
            <w:vAlign w:val="center"/>
          </w:tcPr>
          <w:p w:rsidR="00367A6A" w:rsidRDefault="00250141">
            <w:pPr>
              <w:jc w:val="right"/>
            </w:pPr>
            <w:r>
              <w:rPr>
                <w:rFonts w:eastAsiaTheme="minorEastAsia"/>
                <w:color w:val="000000" w:themeColor="text1"/>
                <w:szCs w:val="21"/>
              </w:rPr>
              <w:t>-1.21%</w:t>
            </w:r>
          </w:p>
        </w:tc>
        <w:tc>
          <w:tcPr>
            <w:tcW w:w="1291" w:type="dxa"/>
            <w:vAlign w:val="center"/>
          </w:tcPr>
          <w:p w:rsidR="00367A6A" w:rsidRDefault="00250141">
            <w:pPr>
              <w:jc w:val="right"/>
            </w:pPr>
            <w:r>
              <w:rPr>
                <w:rFonts w:eastAsiaTheme="minorEastAsia"/>
                <w:color w:val="000000" w:themeColor="text1"/>
                <w:szCs w:val="21"/>
              </w:rPr>
              <w:t>0.11%</w:t>
            </w:r>
          </w:p>
        </w:tc>
        <w:tc>
          <w:tcPr>
            <w:tcW w:w="1291" w:type="dxa"/>
            <w:vAlign w:val="center"/>
          </w:tcPr>
          <w:p w:rsidR="00367A6A" w:rsidRDefault="00250141">
            <w:pPr>
              <w:jc w:val="right"/>
            </w:pPr>
            <w:r>
              <w:rPr>
                <w:rFonts w:eastAsiaTheme="minorEastAsia"/>
                <w:color w:val="000000" w:themeColor="text1"/>
                <w:szCs w:val="21"/>
              </w:rPr>
              <w:t>-1.12%</w:t>
            </w:r>
          </w:p>
        </w:tc>
        <w:tc>
          <w:tcPr>
            <w:tcW w:w="1291" w:type="dxa"/>
            <w:vAlign w:val="center"/>
          </w:tcPr>
          <w:p w:rsidR="00367A6A" w:rsidRDefault="00250141">
            <w:pPr>
              <w:jc w:val="right"/>
            </w:pPr>
            <w:r>
              <w:rPr>
                <w:rFonts w:eastAsiaTheme="minorEastAsia"/>
                <w:color w:val="000000" w:themeColor="text1"/>
                <w:szCs w:val="21"/>
              </w:rPr>
              <w:t>0.13%</w:t>
            </w:r>
          </w:p>
        </w:tc>
        <w:tc>
          <w:tcPr>
            <w:tcW w:w="1291" w:type="dxa"/>
            <w:vAlign w:val="center"/>
          </w:tcPr>
          <w:p w:rsidR="00367A6A" w:rsidRDefault="00250141">
            <w:pPr>
              <w:jc w:val="right"/>
            </w:pPr>
            <w:r>
              <w:rPr>
                <w:rFonts w:eastAsiaTheme="minorEastAsia"/>
                <w:color w:val="000000" w:themeColor="text1"/>
                <w:szCs w:val="21"/>
              </w:rPr>
              <w:t>-0.09%</w:t>
            </w:r>
          </w:p>
        </w:tc>
        <w:tc>
          <w:tcPr>
            <w:tcW w:w="1291" w:type="dxa"/>
            <w:vAlign w:val="center"/>
          </w:tcPr>
          <w:p w:rsidR="00367A6A" w:rsidRDefault="00250141">
            <w:pPr>
              <w:jc w:val="right"/>
            </w:pPr>
            <w:r>
              <w:rPr>
                <w:rFonts w:eastAsiaTheme="minorEastAsia"/>
                <w:color w:val="000000" w:themeColor="text1"/>
                <w:szCs w:val="21"/>
              </w:rPr>
              <w:t>-0.02%</w:t>
            </w:r>
          </w:p>
        </w:tc>
      </w:tr>
    </w:tbl>
    <w:p w:rsidR="00367A6A" w:rsidRDefault="00250141">
      <w:pPr>
        <w:adjustRightInd w:val="0"/>
        <w:spacing w:beforeLines="100" w:before="312" w:line="360" w:lineRule="auto"/>
        <w:rPr>
          <w:rFonts w:eastAsiaTheme="minorEastAsia"/>
          <w:b/>
          <w:color w:val="000000" w:themeColor="text1"/>
          <w:kern w:val="0"/>
          <w:szCs w:val="21"/>
        </w:rPr>
      </w:pPr>
      <w:r>
        <w:rPr>
          <w:rFonts w:eastAsiaTheme="minorEastAsia"/>
          <w:b/>
          <w:color w:val="000000" w:themeColor="text1"/>
          <w:szCs w:val="21"/>
        </w:rPr>
        <w:t>2</w:t>
      </w:r>
      <w:r>
        <w:rPr>
          <w:rFonts w:eastAsiaTheme="minorEastAsia"/>
          <w:b/>
          <w:color w:val="000000" w:themeColor="text1"/>
          <w:szCs w:val="21"/>
        </w:rPr>
        <w:t>、</w:t>
      </w:r>
      <w:r>
        <w:rPr>
          <w:rFonts w:eastAsiaTheme="minorEastAsia"/>
          <w:b/>
          <w:color w:val="000000" w:themeColor="text1"/>
          <w:kern w:val="0"/>
          <w:szCs w:val="21"/>
        </w:rPr>
        <w:t>上投摩根岁岁金定期开放债券</w:t>
      </w:r>
      <w:r>
        <w:rPr>
          <w:rFonts w:eastAsiaTheme="minorEastAsia"/>
          <w:b/>
          <w:color w:val="000000" w:themeColor="text1"/>
          <w:kern w:val="0"/>
          <w:szCs w:val="21"/>
        </w:rPr>
        <w:t>C</w:t>
      </w:r>
      <w:r>
        <w:rPr>
          <w:rFonts w:eastAsiaTheme="minorEastAsia"/>
          <w:b/>
          <w:color w:val="000000" w:themeColor="text1"/>
          <w:kern w:val="0"/>
          <w:szCs w:val="21"/>
        </w:rPr>
        <w:t>：</w:t>
      </w:r>
    </w:p>
    <w:tbl>
      <w:tblPr>
        <w:tblStyle w:val="af6"/>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367A6A">
        <w:tc>
          <w:tcPr>
            <w:tcW w:w="1290" w:type="dxa"/>
            <w:vAlign w:val="center"/>
          </w:tcPr>
          <w:p w:rsidR="00367A6A" w:rsidRDefault="00250141">
            <w:pPr>
              <w:snapToGrid w:val="0"/>
              <w:spacing w:line="288" w:lineRule="auto"/>
              <w:jc w:val="center"/>
              <w:rPr>
                <w:rFonts w:eastAsiaTheme="minorEastAsia"/>
                <w:color w:val="000000" w:themeColor="text1"/>
                <w:szCs w:val="21"/>
              </w:rPr>
            </w:pPr>
            <w:r>
              <w:rPr>
                <w:rFonts w:eastAsiaTheme="minorEastAsia"/>
                <w:color w:val="000000" w:themeColor="text1"/>
                <w:szCs w:val="21"/>
              </w:rPr>
              <w:t>阶段</w:t>
            </w:r>
          </w:p>
        </w:tc>
        <w:tc>
          <w:tcPr>
            <w:tcW w:w="1291" w:type="dxa"/>
            <w:vAlign w:val="center"/>
          </w:tcPr>
          <w:p w:rsidR="00367A6A" w:rsidRDefault="00250141">
            <w:pPr>
              <w:snapToGrid w:val="0"/>
              <w:spacing w:line="288" w:lineRule="auto"/>
              <w:jc w:val="center"/>
              <w:rPr>
                <w:rFonts w:eastAsiaTheme="minorEastAsia"/>
                <w:color w:val="000000" w:themeColor="text1"/>
                <w:szCs w:val="21"/>
                <w:highlight w:val="green"/>
              </w:rPr>
            </w:pPr>
            <w:r>
              <w:rPr>
                <w:rFonts w:eastAsiaTheme="minorEastAsia"/>
                <w:color w:val="000000" w:themeColor="text1"/>
                <w:szCs w:val="21"/>
              </w:rPr>
              <w:t>净值增长率</w:t>
            </w:r>
            <w:r>
              <w:rPr>
                <w:rFonts w:ascii="宋体" w:hAnsi="宋体" w:cs="宋体" w:hint="eastAsia"/>
                <w:color w:val="000000" w:themeColor="text1"/>
                <w:szCs w:val="21"/>
              </w:rPr>
              <w:t>①</w:t>
            </w:r>
          </w:p>
        </w:tc>
        <w:tc>
          <w:tcPr>
            <w:tcW w:w="1291" w:type="dxa"/>
            <w:vAlign w:val="center"/>
          </w:tcPr>
          <w:p w:rsidR="00367A6A" w:rsidRDefault="00250141">
            <w:pPr>
              <w:snapToGrid w:val="0"/>
              <w:spacing w:line="288" w:lineRule="auto"/>
              <w:jc w:val="center"/>
              <w:rPr>
                <w:rFonts w:eastAsiaTheme="minorEastAsia"/>
                <w:color w:val="000000" w:themeColor="text1"/>
                <w:szCs w:val="21"/>
                <w:highlight w:val="green"/>
              </w:rPr>
            </w:pPr>
            <w:r>
              <w:rPr>
                <w:rFonts w:eastAsiaTheme="minorEastAsia"/>
                <w:color w:val="000000" w:themeColor="text1"/>
                <w:szCs w:val="21"/>
              </w:rPr>
              <w:t>净值增长率标准差</w:t>
            </w:r>
            <w:r>
              <w:rPr>
                <w:rFonts w:ascii="宋体" w:hAnsi="宋体" w:cs="宋体" w:hint="eastAsia"/>
                <w:color w:val="000000" w:themeColor="text1"/>
                <w:szCs w:val="21"/>
              </w:rPr>
              <w:t>②</w:t>
            </w:r>
          </w:p>
        </w:tc>
        <w:tc>
          <w:tcPr>
            <w:tcW w:w="1291" w:type="dxa"/>
            <w:vAlign w:val="center"/>
          </w:tcPr>
          <w:p w:rsidR="00367A6A" w:rsidRDefault="00250141">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w:t>
            </w:r>
            <w:r>
              <w:rPr>
                <w:rFonts w:ascii="宋体" w:hAnsi="宋体" w:cs="宋体" w:hint="eastAsia"/>
                <w:color w:val="000000" w:themeColor="text1"/>
                <w:szCs w:val="21"/>
              </w:rPr>
              <w:t>③</w:t>
            </w:r>
          </w:p>
        </w:tc>
        <w:tc>
          <w:tcPr>
            <w:tcW w:w="1291" w:type="dxa"/>
            <w:vAlign w:val="center"/>
          </w:tcPr>
          <w:p w:rsidR="00367A6A" w:rsidRDefault="00250141">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业绩比较基准收益率标准差</w:t>
            </w:r>
            <w:r>
              <w:rPr>
                <w:rFonts w:ascii="宋体" w:hAnsi="宋体" w:cs="宋体" w:hint="eastAsia"/>
                <w:color w:val="000000" w:themeColor="text1"/>
                <w:szCs w:val="21"/>
              </w:rPr>
              <w:t>④</w:t>
            </w:r>
          </w:p>
        </w:tc>
        <w:tc>
          <w:tcPr>
            <w:tcW w:w="1291" w:type="dxa"/>
            <w:vAlign w:val="center"/>
          </w:tcPr>
          <w:p w:rsidR="00367A6A" w:rsidRDefault="00250141">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①</w:t>
            </w:r>
            <w:r>
              <w:rPr>
                <w:rFonts w:eastAsiaTheme="minorEastAsia"/>
                <w:color w:val="000000" w:themeColor="text1"/>
                <w:szCs w:val="21"/>
              </w:rPr>
              <w:t>－</w:t>
            </w:r>
            <w:r>
              <w:rPr>
                <w:rFonts w:ascii="宋体" w:hAnsi="宋体" w:cs="宋体" w:hint="eastAsia"/>
                <w:color w:val="000000" w:themeColor="text1"/>
                <w:szCs w:val="21"/>
              </w:rPr>
              <w:t>③</w:t>
            </w:r>
          </w:p>
        </w:tc>
        <w:tc>
          <w:tcPr>
            <w:tcW w:w="1291" w:type="dxa"/>
            <w:vAlign w:val="center"/>
          </w:tcPr>
          <w:p w:rsidR="00367A6A" w:rsidRDefault="00250141">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②</w:t>
            </w:r>
            <w:r>
              <w:rPr>
                <w:rFonts w:eastAsiaTheme="minorEastAsia"/>
                <w:color w:val="000000" w:themeColor="text1"/>
                <w:szCs w:val="21"/>
              </w:rPr>
              <w:t>－</w:t>
            </w:r>
            <w:r>
              <w:rPr>
                <w:rFonts w:ascii="宋体" w:hAnsi="宋体" w:cs="宋体" w:hint="eastAsia"/>
                <w:color w:val="000000" w:themeColor="text1"/>
                <w:szCs w:val="21"/>
              </w:rPr>
              <w:t>④</w:t>
            </w:r>
          </w:p>
        </w:tc>
      </w:tr>
      <w:tr w:rsidR="00367A6A">
        <w:tc>
          <w:tcPr>
            <w:tcW w:w="1290" w:type="dxa"/>
            <w:vAlign w:val="center"/>
          </w:tcPr>
          <w:p w:rsidR="00367A6A" w:rsidRDefault="00250141">
            <w:pPr>
              <w:jc w:val="left"/>
            </w:pPr>
            <w:r>
              <w:rPr>
                <w:rFonts w:eastAsiaTheme="minorEastAsia"/>
                <w:color w:val="000000" w:themeColor="text1"/>
                <w:szCs w:val="21"/>
              </w:rPr>
              <w:t>过去三个月</w:t>
            </w:r>
          </w:p>
        </w:tc>
        <w:tc>
          <w:tcPr>
            <w:tcW w:w="1291" w:type="dxa"/>
            <w:vAlign w:val="center"/>
          </w:tcPr>
          <w:p w:rsidR="00367A6A" w:rsidRDefault="00250141">
            <w:pPr>
              <w:jc w:val="right"/>
            </w:pPr>
            <w:r>
              <w:rPr>
                <w:rFonts w:eastAsiaTheme="minorEastAsia"/>
                <w:color w:val="000000" w:themeColor="text1"/>
                <w:szCs w:val="21"/>
              </w:rPr>
              <w:t>-1.27%</w:t>
            </w:r>
          </w:p>
        </w:tc>
        <w:tc>
          <w:tcPr>
            <w:tcW w:w="1291" w:type="dxa"/>
            <w:vAlign w:val="center"/>
          </w:tcPr>
          <w:p w:rsidR="00367A6A" w:rsidRDefault="00250141">
            <w:pPr>
              <w:jc w:val="right"/>
            </w:pPr>
            <w:r>
              <w:rPr>
                <w:rFonts w:eastAsiaTheme="minorEastAsia"/>
                <w:color w:val="000000" w:themeColor="text1"/>
                <w:szCs w:val="21"/>
              </w:rPr>
              <w:t>0.11%</w:t>
            </w:r>
          </w:p>
        </w:tc>
        <w:tc>
          <w:tcPr>
            <w:tcW w:w="1291" w:type="dxa"/>
            <w:vAlign w:val="center"/>
          </w:tcPr>
          <w:p w:rsidR="00367A6A" w:rsidRDefault="00250141">
            <w:pPr>
              <w:jc w:val="right"/>
            </w:pPr>
            <w:r>
              <w:rPr>
                <w:rFonts w:eastAsiaTheme="minorEastAsia"/>
                <w:color w:val="000000" w:themeColor="text1"/>
                <w:szCs w:val="21"/>
              </w:rPr>
              <w:t>-1.12%</w:t>
            </w:r>
          </w:p>
        </w:tc>
        <w:tc>
          <w:tcPr>
            <w:tcW w:w="1291" w:type="dxa"/>
            <w:vAlign w:val="center"/>
          </w:tcPr>
          <w:p w:rsidR="00367A6A" w:rsidRDefault="00250141">
            <w:pPr>
              <w:jc w:val="right"/>
            </w:pPr>
            <w:r>
              <w:rPr>
                <w:rFonts w:eastAsiaTheme="minorEastAsia"/>
                <w:color w:val="000000" w:themeColor="text1"/>
                <w:szCs w:val="21"/>
              </w:rPr>
              <w:t>0.13%</w:t>
            </w:r>
          </w:p>
        </w:tc>
        <w:tc>
          <w:tcPr>
            <w:tcW w:w="1291" w:type="dxa"/>
            <w:vAlign w:val="center"/>
          </w:tcPr>
          <w:p w:rsidR="00367A6A" w:rsidRDefault="00250141">
            <w:pPr>
              <w:jc w:val="right"/>
            </w:pPr>
            <w:r>
              <w:rPr>
                <w:rFonts w:eastAsiaTheme="minorEastAsia"/>
                <w:color w:val="000000" w:themeColor="text1"/>
                <w:szCs w:val="21"/>
              </w:rPr>
              <w:t>-0.15%</w:t>
            </w:r>
          </w:p>
        </w:tc>
        <w:tc>
          <w:tcPr>
            <w:tcW w:w="1291" w:type="dxa"/>
            <w:vAlign w:val="center"/>
          </w:tcPr>
          <w:p w:rsidR="00367A6A" w:rsidRDefault="00250141">
            <w:pPr>
              <w:jc w:val="right"/>
            </w:pPr>
            <w:r>
              <w:rPr>
                <w:rFonts w:eastAsiaTheme="minorEastAsia"/>
                <w:color w:val="000000" w:themeColor="text1"/>
                <w:szCs w:val="21"/>
              </w:rPr>
              <w:t>-0.02%</w:t>
            </w:r>
          </w:p>
        </w:tc>
      </w:tr>
    </w:tbl>
    <w:p w:rsidR="00367A6A" w:rsidRDefault="00250141">
      <w:pPr>
        <w:spacing w:beforeLines="100" w:before="312" w:line="360" w:lineRule="auto"/>
        <w:rPr>
          <w:rFonts w:eastAsiaTheme="minorEastAsia"/>
          <w:b/>
          <w:color w:val="000000" w:themeColor="text1"/>
          <w:kern w:val="0"/>
          <w:szCs w:val="21"/>
        </w:rPr>
      </w:pPr>
      <w:r>
        <w:rPr>
          <w:rFonts w:eastAsiaTheme="minorEastAsia"/>
          <w:b/>
          <w:color w:val="000000" w:themeColor="text1"/>
          <w:kern w:val="0"/>
          <w:szCs w:val="21"/>
        </w:rPr>
        <w:t>3.2.2</w:t>
      </w:r>
      <w:r>
        <w:rPr>
          <w:rFonts w:eastAsiaTheme="minorEastAsia"/>
          <w:b/>
          <w:color w:val="000000" w:themeColor="text1"/>
          <w:kern w:val="0"/>
          <w:szCs w:val="21"/>
        </w:rPr>
        <w:t xml:space="preserve">　</w:t>
      </w:r>
      <w:r>
        <w:rPr>
          <w:rStyle w:val="af1"/>
          <w:color w:val="000000" w:themeColor="text1"/>
          <w:szCs w:val="21"/>
          <w:shd w:val="clear" w:color="auto" w:fill="FFFFFF"/>
        </w:rPr>
        <w:t>自基金合同生效以来</w:t>
      </w:r>
      <w:r>
        <w:rPr>
          <w:rFonts w:eastAsiaTheme="minorEastAsia"/>
          <w:b/>
          <w:color w:val="000000" w:themeColor="text1"/>
          <w:szCs w:val="21"/>
        </w:rPr>
        <w:t>基金累计净值增长率变动及其与同期业绩比较基准收益率变动的比较</w:t>
      </w:r>
    </w:p>
    <w:p w:rsidR="00367A6A" w:rsidRDefault="00250141">
      <w:pPr>
        <w:spacing w:line="360" w:lineRule="auto"/>
        <w:jc w:val="center"/>
        <w:rPr>
          <w:rFonts w:eastAsiaTheme="minorEastAsia"/>
          <w:color w:val="000000" w:themeColor="text1"/>
          <w:szCs w:val="21"/>
        </w:rPr>
      </w:pPr>
      <w:r>
        <w:rPr>
          <w:rFonts w:eastAsiaTheme="minorEastAsia"/>
          <w:color w:val="000000" w:themeColor="text1"/>
          <w:szCs w:val="21"/>
        </w:rPr>
        <w:t>上投摩根岁岁金定期开放债券型证券投资基金</w:t>
      </w:r>
    </w:p>
    <w:p w:rsidR="00367A6A" w:rsidRDefault="00250141">
      <w:pPr>
        <w:pStyle w:val="a9"/>
        <w:snapToGrid w:val="0"/>
        <w:spacing w:line="360" w:lineRule="auto"/>
        <w:jc w:val="center"/>
        <w:rPr>
          <w:rFonts w:ascii="Times New Roman" w:eastAsiaTheme="minorEastAsia" w:hAnsi="Times New Roman"/>
          <w:color w:val="000000" w:themeColor="text1"/>
        </w:rPr>
      </w:pPr>
      <w:r>
        <w:rPr>
          <w:rFonts w:ascii="Times New Roman" w:eastAsiaTheme="minorEastAsia" w:hAnsi="Times New Roman"/>
          <w:color w:val="000000" w:themeColor="text1"/>
        </w:rPr>
        <w:t>累计净值增长率与业绩比较基准收益率的历史走势对比图</w:t>
      </w:r>
    </w:p>
    <w:p w:rsidR="00367A6A" w:rsidRDefault="00250141">
      <w:pPr>
        <w:pStyle w:val="a9"/>
        <w:snapToGrid w:val="0"/>
        <w:spacing w:line="360" w:lineRule="auto"/>
        <w:ind w:firstLine="480"/>
        <w:jc w:val="center"/>
        <w:rPr>
          <w:rFonts w:ascii="Times New Roman" w:eastAsiaTheme="minorEastAsia" w:hAnsi="Times New Roman"/>
          <w:color w:val="000000" w:themeColor="text1"/>
        </w:rPr>
      </w:pPr>
      <w:r>
        <w:rPr>
          <w:rFonts w:ascii="Times New Roman" w:eastAsiaTheme="minorEastAsia" w:hAnsi="Times New Roman"/>
          <w:color w:val="000000" w:themeColor="text1"/>
        </w:rPr>
        <w:lastRenderedPageBreak/>
        <w:t>(2017</w:t>
      </w:r>
      <w:r>
        <w:rPr>
          <w:rFonts w:ascii="Times New Roman" w:eastAsiaTheme="minorEastAsia" w:hAnsi="Times New Roman"/>
          <w:color w:val="000000" w:themeColor="text1"/>
        </w:rPr>
        <w:t>年</w:t>
      </w:r>
      <w:r>
        <w:rPr>
          <w:rFonts w:ascii="Times New Roman" w:eastAsiaTheme="minorEastAsia" w:hAnsi="Times New Roman"/>
          <w:color w:val="000000" w:themeColor="text1"/>
        </w:rPr>
        <w:t>4</w:t>
      </w:r>
      <w:r>
        <w:rPr>
          <w:rFonts w:ascii="Times New Roman" w:eastAsiaTheme="minorEastAsia" w:hAnsi="Times New Roman"/>
          <w:color w:val="000000" w:themeColor="text1"/>
        </w:rPr>
        <w:t>月</w:t>
      </w:r>
      <w:r>
        <w:rPr>
          <w:rFonts w:ascii="Times New Roman" w:eastAsiaTheme="minorEastAsia" w:hAnsi="Times New Roman"/>
          <w:color w:val="000000" w:themeColor="text1"/>
        </w:rPr>
        <w:t>10</w:t>
      </w:r>
      <w:r>
        <w:rPr>
          <w:rFonts w:ascii="Times New Roman" w:eastAsiaTheme="minorEastAsia" w:hAnsi="Times New Roman"/>
          <w:color w:val="000000" w:themeColor="text1"/>
        </w:rPr>
        <w:t>日至</w:t>
      </w:r>
      <w:r>
        <w:rPr>
          <w:rFonts w:ascii="Times New Roman" w:eastAsiaTheme="minorEastAsia" w:hAnsi="Times New Roman"/>
          <w:color w:val="000000" w:themeColor="text1"/>
        </w:rPr>
        <w:t>2019</w:t>
      </w:r>
      <w:r>
        <w:rPr>
          <w:rFonts w:ascii="Times New Roman" w:eastAsiaTheme="minorEastAsia" w:hAnsi="Times New Roman"/>
          <w:color w:val="000000" w:themeColor="text1"/>
        </w:rPr>
        <w:t>年</w:t>
      </w:r>
      <w:r w:rsidR="00DE0A63">
        <w:rPr>
          <w:rFonts w:ascii="Times New Roman" w:eastAsiaTheme="minorEastAsia" w:hAnsi="Times New Roman" w:hint="eastAsia"/>
          <w:color w:val="000000" w:themeColor="text1"/>
        </w:rPr>
        <w:t>5</w:t>
      </w:r>
      <w:r>
        <w:rPr>
          <w:rFonts w:ascii="Times New Roman" w:eastAsiaTheme="minorEastAsia" w:hAnsi="Times New Roman"/>
          <w:color w:val="000000" w:themeColor="text1"/>
        </w:rPr>
        <w:t>月</w:t>
      </w:r>
      <w:r w:rsidR="00DE0A63">
        <w:rPr>
          <w:rFonts w:ascii="Times New Roman" w:eastAsiaTheme="minorEastAsia" w:hAnsi="Times New Roman" w:hint="eastAsia"/>
          <w:color w:val="000000" w:themeColor="text1"/>
        </w:rPr>
        <w:t>9</w:t>
      </w:r>
      <w:bookmarkStart w:id="0" w:name="_GoBack"/>
      <w:bookmarkEnd w:id="0"/>
      <w:r>
        <w:rPr>
          <w:rFonts w:ascii="Times New Roman" w:eastAsiaTheme="minorEastAsia" w:hAnsi="Times New Roman"/>
          <w:color w:val="000000" w:themeColor="text1"/>
        </w:rPr>
        <w:t>日</w:t>
      </w:r>
      <w:r>
        <w:rPr>
          <w:rFonts w:ascii="Times New Roman" w:eastAsiaTheme="minorEastAsia" w:hAnsi="Times New Roman"/>
          <w:color w:val="000000" w:themeColor="text1"/>
        </w:rPr>
        <w:t>)</w:t>
      </w:r>
    </w:p>
    <w:p w:rsidR="00367A6A" w:rsidRDefault="00250141">
      <w:pPr>
        <w:snapToGrid w:val="0"/>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．上投摩根岁岁金定期开放债券</w:t>
      </w:r>
      <w:r>
        <w:rPr>
          <w:rFonts w:eastAsiaTheme="minorEastAsia"/>
          <w:color w:val="000000" w:themeColor="text1"/>
          <w:szCs w:val="21"/>
        </w:rPr>
        <w:t>A</w:t>
      </w:r>
      <w:r>
        <w:rPr>
          <w:rFonts w:eastAsiaTheme="minorEastAsia"/>
          <w:color w:val="000000" w:themeColor="text1"/>
          <w:szCs w:val="21"/>
        </w:rPr>
        <w:t>：</w:t>
      </w:r>
    </w:p>
    <w:p w:rsidR="00367A6A" w:rsidRDefault="00250141">
      <w:pPr>
        <w:pStyle w:val="20"/>
        <w:spacing w:line="288" w:lineRule="auto"/>
        <w:ind w:firstLineChars="0" w:firstLine="0"/>
        <w:jc w:val="center"/>
        <w:rPr>
          <w:rFonts w:ascii="Times New Roman" w:eastAsiaTheme="minorEastAsia" w:hAnsi="Times New Roman"/>
          <w:color w:val="000000" w:themeColor="text1"/>
          <w:sz w:val="21"/>
          <w:szCs w:val="21"/>
        </w:rPr>
      </w:pPr>
      <w:r>
        <w:rPr>
          <w:rFonts w:ascii="Times New Roman" w:eastAsiaTheme="minorEastAsia" w:hAnsi="Times New Roman"/>
          <w:noProof/>
          <w:color w:val="000000" w:themeColor="text1"/>
          <w:sz w:val="21"/>
          <w:szCs w:val="21"/>
        </w:rPr>
        <w:drawing>
          <wp:inline distT="0" distB="0" distL="0" distR="0">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367A6A" w:rsidRDefault="00250141">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10</w:t>
      </w:r>
      <w:r>
        <w:rPr>
          <w:rFonts w:eastAsiaTheme="minorEastAsia"/>
          <w:color w:val="000000" w:themeColor="text1"/>
          <w:szCs w:val="21"/>
        </w:rPr>
        <w:t>日，本基金运作终止日为</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w:t>
      </w:r>
      <w:r>
        <w:rPr>
          <w:rFonts w:eastAsiaTheme="minorEastAsia"/>
          <w:color w:val="000000" w:themeColor="text1"/>
          <w:szCs w:val="21"/>
        </w:rPr>
        <w:t>9</w:t>
      </w:r>
      <w:r>
        <w:rPr>
          <w:rFonts w:eastAsiaTheme="minorEastAsia"/>
          <w:color w:val="000000" w:themeColor="text1"/>
          <w:szCs w:val="21"/>
        </w:rPr>
        <w:t>日，图示时间段为</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10</w:t>
      </w:r>
      <w:r>
        <w:rPr>
          <w:rFonts w:eastAsiaTheme="minorEastAsia"/>
          <w:color w:val="000000" w:themeColor="text1"/>
          <w:szCs w:val="21"/>
        </w:rPr>
        <w:t>日至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w:t>
      </w:r>
      <w:r>
        <w:rPr>
          <w:rFonts w:eastAsiaTheme="minorEastAsia"/>
          <w:color w:val="000000" w:themeColor="text1"/>
          <w:szCs w:val="21"/>
        </w:rPr>
        <w:t>9</w:t>
      </w:r>
      <w:r>
        <w:rPr>
          <w:rFonts w:eastAsiaTheme="minorEastAsia"/>
          <w:color w:val="000000" w:themeColor="text1"/>
          <w:szCs w:val="21"/>
        </w:rPr>
        <w:t>日。</w:t>
      </w:r>
    </w:p>
    <w:p w:rsidR="00367A6A" w:rsidRDefault="00250141">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本基金建仓期自</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10</w:t>
      </w:r>
      <w:r>
        <w:rPr>
          <w:rFonts w:eastAsiaTheme="minorEastAsia"/>
          <w:color w:val="000000" w:themeColor="text1"/>
          <w:szCs w:val="21"/>
        </w:rPr>
        <w:t>日至</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9</w:t>
      </w:r>
      <w:r>
        <w:rPr>
          <w:rFonts w:eastAsiaTheme="minorEastAsia"/>
          <w:color w:val="000000" w:themeColor="text1"/>
          <w:szCs w:val="21"/>
        </w:rPr>
        <w:t>日，建仓期结束时资产配置比例符合本基金基金合同规定。</w:t>
      </w:r>
    </w:p>
    <w:p w:rsidR="00367A6A" w:rsidRDefault="00250141">
      <w:pPr>
        <w:snapToGrid w:val="0"/>
        <w:spacing w:beforeLines="100" w:before="312" w:line="360" w:lineRule="auto"/>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．上投摩根岁岁金定期开放债券</w:t>
      </w:r>
      <w:r>
        <w:rPr>
          <w:rFonts w:eastAsiaTheme="minorEastAsia"/>
          <w:color w:val="000000" w:themeColor="text1"/>
          <w:szCs w:val="21"/>
        </w:rPr>
        <w:t>C</w:t>
      </w:r>
      <w:r>
        <w:rPr>
          <w:rFonts w:eastAsiaTheme="minorEastAsia"/>
          <w:color w:val="000000" w:themeColor="text1"/>
          <w:szCs w:val="21"/>
        </w:rPr>
        <w:t>：</w:t>
      </w:r>
    </w:p>
    <w:p w:rsidR="00367A6A" w:rsidRDefault="00250141">
      <w:pPr>
        <w:pStyle w:val="20"/>
        <w:spacing w:line="288" w:lineRule="auto"/>
        <w:ind w:firstLineChars="0" w:firstLine="0"/>
        <w:jc w:val="center"/>
        <w:rPr>
          <w:rFonts w:ascii="Times New Roman" w:eastAsiaTheme="minorEastAsia" w:hAnsi="Times New Roman"/>
          <w:color w:val="000000" w:themeColor="text1"/>
          <w:sz w:val="21"/>
          <w:szCs w:val="21"/>
        </w:rPr>
      </w:pPr>
      <w:r>
        <w:rPr>
          <w:rFonts w:ascii="Times New Roman" w:eastAsiaTheme="minorEastAsia" w:hAnsi="Times New Roman"/>
          <w:noProof/>
          <w:color w:val="000000" w:themeColor="text1"/>
          <w:sz w:val="21"/>
          <w:szCs w:val="21"/>
        </w:rPr>
        <w:drawing>
          <wp:inline distT="0" distB="0" distL="0" distR="0">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367A6A" w:rsidRDefault="00250141">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注：本基金合同生效日为</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10</w:t>
      </w:r>
      <w:r>
        <w:rPr>
          <w:rFonts w:eastAsiaTheme="minorEastAsia"/>
          <w:color w:val="000000" w:themeColor="text1"/>
          <w:szCs w:val="21"/>
        </w:rPr>
        <w:t>日，本基金运作终止日为</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w:t>
      </w:r>
      <w:r>
        <w:rPr>
          <w:rFonts w:eastAsiaTheme="minorEastAsia"/>
          <w:color w:val="000000" w:themeColor="text1"/>
          <w:szCs w:val="21"/>
        </w:rPr>
        <w:t>9</w:t>
      </w:r>
      <w:r>
        <w:rPr>
          <w:rFonts w:eastAsiaTheme="minorEastAsia"/>
          <w:color w:val="000000" w:themeColor="text1"/>
          <w:szCs w:val="21"/>
        </w:rPr>
        <w:t>日，图示时间段为</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10</w:t>
      </w:r>
      <w:r>
        <w:rPr>
          <w:rFonts w:eastAsiaTheme="minorEastAsia"/>
          <w:color w:val="000000" w:themeColor="text1"/>
          <w:szCs w:val="21"/>
        </w:rPr>
        <w:t>日至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w:t>
      </w:r>
      <w:r>
        <w:rPr>
          <w:rFonts w:eastAsiaTheme="minorEastAsia"/>
          <w:color w:val="000000" w:themeColor="text1"/>
          <w:szCs w:val="21"/>
        </w:rPr>
        <w:t>9</w:t>
      </w:r>
      <w:r>
        <w:rPr>
          <w:rFonts w:eastAsiaTheme="minorEastAsia"/>
          <w:color w:val="000000" w:themeColor="text1"/>
          <w:szCs w:val="21"/>
        </w:rPr>
        <w:t>日。</w:t>
      </w:r>
    </w:p>
    <w:p w:rsidR="00367A6A" w:rsidRDefault="00250141">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本基金建仓期自</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10</w:t>
      </w:r>
      <w:r>
        <w:rPr>
          <w:rFonts w:eastAsiaTheme="minorEastAsia"/>
          <w:color w:val="000000" w:themeColor="text1"/>
          <w:szCs w:val="21"/>
        </w:rPr>
        <w:t>日至</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9</w:t>
      </w:r>
      <w:r>
        <w:rPr>
          <w:rFonts w:eastAsiaTheme="minorEastAsia"/>
          <w:color w:val="000000" w:themeColor="text1"/>
          <w:szCs w:val="21"/>
        </w:rPr>
        <w:t>日，建仓期结束时资产配置比例符合本基金基金合同规定。</w:t>
      </w:r>
    </w:p>
    <w:p w:rsidR="00367A6A" w:rsidRDefault="00367A6A">
      <w:pPr>
        <w:spacing w:line="360" w:lineRule="auto"/>
        <w:ind w:firstLineChars="200" w:firstLine="420"/>
        <w:rPr>
          <w:rFonts w:eastAsiaTheme="minorEastAsia"/>
          <w:color w:val="000000" w:themeColor="text1"/>
          <w:szCs w:val="21"/>
        </w:rPr>
      </w:pPr>
    </w:p>
    <w:p w:rsidR="00367A6A" w:rsidRDefault="00250141">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§4  </w:t>
      </w:r>
      <w:r>
        <w:rPr>
          <w:rFonts w:eastAsiaTheme="minorEastAsia"/>
          <w:color w:val="000000" w:themeColor="text1"/>
          <w:kern w:val="0"/>
          <w:sz w:val="21"/>
          <w:szCs w:val="21"/>
        </w:rPr>
        <w:t>管理人报告</w:t>
      </w:r>
    </w:p>
    <w:p w:rsidR="00367A6A" w:rsidRDefault="00250141">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4.1 </w:t>
      </w:r>
      <w:r>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367A6A">
        <w:tc>
          <w:tcPr>
            <w:tcW w:w="952" w:type="dxa"/>
            <w:vMerge w:val="restart"/>
            <w:vAlign w:val="center"/>
          </w:tcPr>
          <w:p w:rsidR="00367A6A" w:rsidRDefault="00250141">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姓名</w:t>
            </w:r>
          </w:p>
        </w:tc>
        <w:tc>
          <w:tcPr>
            <w:tcW w:w="930" w:type="dxa"/>
            <w:vMerge w:val="restart"/>
            <w:vAlign w:val="center"/>
          </w:tcPr>
          <w:p w:rsidR="00367A6A" w:rsidRDefault="00250141">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职务</w:t>
            </w:r>
          </w:p>
        </w:tc>
        <w:tc>
          <w:tcPr>
            <w:tcW w:w="2519" w:type="dxa"/>
            <w:gridSpan w:val="2"/>
            <w:vAlign w:val="center"/>
          </w:tcPr>
          <w:p w:rsidR="00367A6A" w:rsidRDefault="00250141">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任本基金的基金经理期限</w:t>
            </w:r>
          </w:p>
        </w:tc>
        <w:tc>
          <w:tcPr>
            <w:tcW w:w="1254" w:type="dxa"/>
            <w:vMerge w:val="restart"/>
            <w:vAlign w:val="center"/>
          </w:tcPr>
          <w:p w:rsidR="00367A6A" w:rsidRDefault="00250141">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证券从业年限</w:t>
            </w:r>
          </w:p>
        </w:tc>
        <w:tc>
          <w:tcPr>
            <w:tcW w:w="3276" w:type="dxa"/>
            <w:vMerge w:val="restart"/>
            <w:vAlign w:val="center"/>
          </w:tcPr>
          <w:p w:rsidR="00367A6A" w:rsidRDefault="00250141">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说明</w:t>
            </w:r>
          </w:p>
        </w:tc>
      </w:tr>
      <w:tr w:rsidR="00367A6A">
        <w:tc>
          <w:tcPr>
            <w:tcW w:w="952" w:type="dxa"/>
            <w:vMerge/>
            <w:vAlign w:val="center"/>
          </w:tcPr>
          <w:p w:rsidR="00367A6A" w:rsidRDefault="00367A6A">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367A6A" w:rsidRDefault="00367A6A">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367A6A" w:rsidRDefault="00250141">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任职日期</w:t>
            </w:r>
          </w:p>
        </w:tc>
        <w:tc>
          <w:tcPr>
            <w:tcW w:w="1309" w:type="dxa"/>
            <w:vAlign w:val="center"/>
          </w:tcPr>
          <w:p w:rsidR="00367A6A" w:rsidRDefault="00250141">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离任日期</w:t>
            </w:r>
          </w:p>
        </w:tc>
        <w:tc>
          <w:tcPr>
            <w:tcW w:w="1254" w:type="dxa"/>
            <w:vMerge/>
            <w:vAlign w:val="center"/>
          </w:tcPr>
          <w:p w:rsidR="00367A6A" w:rsidRDefault="00367A6A">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367A6A" w:rsidRDefault="00367A6A">
            <w:pPr>
              <w:autoSpaceDE w:val="0"/>
              <w:autoSpaceDN w:val="0"/>
              <w:adjustRightInd w:val="0"/>
              <w:spacing w:before="29" w:line="288" w:lineRule="auto"/>
              <w:ind w:left="15"/>
              <w:jc w:val="center"/>
              <w:rPr>
                <w:rFonts w:eastAsiaTheme="minorEastAsia"/>
                <w:color w:val="000000" w:themeColor="text1"/>
                <w:kern w:val="0"/>
                <w:szCs w:val="21"/>
              </w:rPr>
            </w:pPr>
          </w:p>
        </w:tc>
      </w:tr>
      <w:tr w:rsidR="00367A6A">
        <w:tc>
          <w:tcPr>
            <w:tcW w:w="952" w:type="dxa"/>
            <w:vAlign w:val="center"/>
          </w:tcPr>
          <w:p w:rsidR="00367A6A" w:rsidRDefault="00250141">
            <w:pPr>
              <w:jc w:val="center"/>
            </w:pPr>
            <w:r>
              <w:rPr>
                <w:rFonts w:eastAsiaTheme="minorEastAsia"/>
                <w:color w:val="000000" w:themeColor="text1"/>
                <w:szCs w:val="21"/>
              </w:rPr>
              <w:t>刘阳</w:t>
            </w:r>
          </w:p>
        </w:tc>
        <w:tc>
          <w:tcPr>
            <w:tcW w:w="930" w:type="dxa"/>
            <w:vAlign w:val="center"/>
          </w:tcPr>
          <w:p w:rsidR="00367A6A" w:rsidRDefault="00250141">
            <w:pPr>
              <w:jc w:val="center"/>
            </w:pPr>
            <w:r>
              <w:rPr>
                <w:rFonts w:eastAsiaTheme="minorEastAsia"/>
                <w:color w:val="000000" w:themeColor="text1"/>
                <w:szCs w:val="21"/>
              </w:rPr>
              <w:t>本基金基金经理</w:t>
            </w:r>
          </w:p>
        </w:tc>
        <w:tc>
          <w:tcPr>
            <w:tcW w:w="1210" w:type="dxa"/>
            <w:vAlign w:val="center"/>
          </w:tcPr>
          <w:p w:rsidR="00367A6A" w:rsidRDefault="00250141">
            <w:pPr>
              <w:jc w:val="center"/>
            </w:pPr>
            <w:r>
              <w:rPr>
                <w:rFonts w:eastAsiaTheme="minorEastAsia"/>
                <w:color w:val="000000" w:themeColor="text1"/>
                <w:szCs w:val="21"/>
              </w:rPr>
              <w:t>2017-04-10</w:t>
            </w:r>
          </w:p>
        </w:tc>
        <w:tc>
          <w:tcPr>
            <w:tcW w:w="1309" w:type="dxa"/>
            <w:vAlign w:val="center"/>
          </w:tcPr>
          <w:p w:rsidR="00367A6A" w:rsidRDefault="00250141">
            <w:pPr>
              <w:jc w:val="center"/>
            </w:pPr>
            <w:r>
              <w:rPr>
                <w:rFonts w:eastAsiaTheme="minorEastAsia"/>
                <w:color w:val="000000" w:themeColor="text1"/>
                <w:szCs w:val="21"/>
              </w:rPr>
              <w:t>-</w:t>
            </w:r>
          </w:p>
        </w:tc>
        <w:tc>
          <w:tcPr>
            <w:tcW w:w="1254" w:type="dxa"/>
            <w:vAlign w:val="center"/>
          </w:tcPr>
          <w:p w:rsidR="00367A6A" w:rsidRDefault="00250141">
            <w:pPr>
              <w:jc w:val="center"/>
            </w:pPr>
            <w:r>
              <w:rPr>
                <w:rFonts w:eastAsiaTheme="minorEastAsia"/>
                <w:color w:val="000000" w:themeColor="text1"/>
                <w:szCs w:val="21"/>
              </w:rPr>
              <w:t>8</w:t>
            </w:r>
            <w:r>
              <w:rPr>
                <w:rFonts w:eastAsiaTheme="minorEastAsia"/>
                <w:color w:val="000000" w:themeColor="text1"/>
                <w:szCs w:val="21"/>
              </w:rPr>
              <w:t>年</w:t>
            </w:r>
          </w:p>
        </w:tc>
        <w:tc>
          <w:tcPr>
            <w:tcW w:w="3276" w:type="dxa"/>
            <w:vAlign w:val="center"/>
          </w:tcPr>
          <w:p w:rsidR="00367A6A" w:rsidRDefault="00250141">
            <w:r>
              <w:rPr>
                <w:rFonts w:eastAsiaTheme="minorEastAsia"/>
                <w:color w:val="000000" w:themeColor="text1"/>
                <w:szCs w:val="21"/>
              </w:rPr>
              <w:t>刘阳女士自</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月至</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月在申银万国证券研究所担任分析师，</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月至</w:t>
            </w:r>
            <w:r>
              <w:rPr>
                <w:rFonts w:eastAsiaTheme="minorEastAsia"/>
                <w:color w:val="000000" w:themeColor="text1"/>
                <w:szCs w:val="21"/>
              </w:rPr>
              <w:t>2013</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月在广发证券研发中心担任高级分析师，</w:t>
            </w:r>
            <w:r>
              <w:rPr>
                <w:rFonts w:eastAsiaTheme="minorEastAsia"/>
                <w:color w:val="000000" w:themeColor="text1"/>
                <w:szCs w:val="21"/>
              </w:rPr>
              <w:t>2013</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月起加入上投摩根基金管理有限公司，历任投资经理助理兼研究员、投资经理、债券研究部总监兼基金经理，现任基金经理；自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月至</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月期间、</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月至今担任上投摩根纯债丰利债券型证券投资基金基金经理，自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月起担任上投摩根双债增利债券型证券投资基金基金经理，自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月起同时担任上投摩根纯债添利债券型证券投资基金基金经理，自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月起同时担任上投摩根强化回报债券型证券投资基金基金经理，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月同时担任上投摩根岁岁盈定期开放债券型证券投资基金基金经理，自</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月起同时担任上投摩根岁岁金定期开放债券型证券投资基金基金经理，自</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月起同时担任上投摩根丰瑞债券型证券投资基金基金经理，自</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月起同时担任上投摩根岁岁益定期开放债券型</w:t>
            </w:r>
            <w:r>
              <w:rPr>
                <w:rFonts w:eastAsiaTheme="minorEastAsia"/>
                <w:color w:val="000000" w:themeColor="text1"/>
                <w:szCs w:val="21"/>
              </w:rPr>
              <w:lastRenderedPageBreak/>
              <w:t>证券投资基金基金经理。</w:t>
            </w:r>
          </w:p>
        </w:tc>
      </w:tr>
    </w:tbl>
    <w:p w:rsidR="00367A6A" w:rsidRDefault="0025014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lastRenderedPageBreak/>
        <w:t>注：</w:t>
      </w:r>
      <w:r>
        <w:rPr>
          <w:rFonts w:eastAsiaTheme="minorEastAsia"/>
          <w:color w:val="000000" w:themeColor="text1"/>
          <w:szCs w:val="21"/>
        </w:rPr>
        <w:t xml:space="preserve">1. </w:t>
      </w:r>
      <w:r>
        <w:rPr>
          <w:rFonts w:eastAsiaTheme="minorEastAsia"/>
          <w:color w:val="000000" w:themeColor="text1"/>
          <w:szCs w:val="21"/>
        </w:rPr>
        <w:t>任职日期和离任日期均指根据公司决定确定的聘任日期和解聘日期。</w:t>
      </w:r>
    </w:p>
    <w:p w:rsidR="00367A6A" w:rsidRDefault="0025014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刘阳女士为本基金首任基金经理，其任职日期为本基金基金合同生效之日；</w:t>
      </w:r>
    </w:p>
    <w:p w:rsidR="00367A6A" w:rsidRDefault="0025014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证券从业的含义遵从行业协会《证券业从业人员资格管理办法》的相关规定。</w:t>
      </w:r>
    </w:p>
    <w:p w:rsidR="00367A6A" w:rsidRDefault="00250141">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4.2</w:t>
      </w:r>
      <w:r>
        <w:rPr>
          <w:rFonts w:eastAsiaTheme="minorEastAsia" w:hint="eastAsia"/>
          <w:b/>
          <w:color w:val="000000" w:themeColor="text1"/>
          <w:kern w:val="0"/>
          <w:szCs w:val="21"/>
        </w:rPr>
        <w:t>管理人对报告期内本基金运作遵规守信情况的说明</w:t>
      </w:r>
    </w:p>
    <w:p w:rsidR="00367A6A" w:rsidRDefault="00250141">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上投摩根岁岁金定期开放债券型证券投资基金基金合同》的规定。基金经理对个股和投资组合的比例遵循了投资决策委员会的授权限制，基金投资比例符合基金合同和法律法规的要求。</w:t>
      </w:r>
    </w:p>
    <w:p w:rsidR="00367A6A" w:rsidRDefault="00250141">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4.3 </w:t>
      </w:r>
      <w:r>
        <w:rPr>
          <w:rFonts w:eastAsiaTheme="minorEastAsia"/>
          <w:b/>
          <w:color w:val="000000" w:themeColor="text1"/>
          <w:kern w:val="0"/>
          <w:szCs w:val="21"/>
        </w:rPr>
        <w:t>公平交易专项说明</w:t>
      </w:r>
    </w:p>
    <w:p w:rsidR="00367A6A" w:rsidRDefault="00250141">
      <w:pPr>
        <w:spacing w:line="360" w:lineRule="auto"/>
        <w:rPr>
          <w:rFonts w:eastAsiaTheme="minorEastAsia"/>
          <w:color w:val="000000" w:themeColor="text1"/>
          <w:szCs w:val="21"/>
        </w:rPr>
      </w:pPr>
      <w:r>
        <w:rPr>
          <w:rFonts w:eastAsiaTheme="minorEastAsia"/>
          <w:color w:val="000000" w:themeColor="text1"/>
          <w:szCs w:val="21"/>
        </w:rPr>
        <w:t xml:space="preserve">4.3.1 </w:t>
      </w:r>
      <w:r>
        <w:rPr>
          <w:rFonts w:eastAsiaTheme="minorEastAsia"/>
          <w:color w:val="000000" w:themeColor="text1"/>
          <w:szCs w:val="21"/>
        </w:rPr>
        <w:t>公平交易制度的执行情况</w:t>
      </w:r>
    </w:p>
    <w:p w:rsidR="00367A6A" w:rsidRDefault="00250141">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367A6A" w:rsidRDefault="00250141">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367A6A" w:rsidRDefault="00250141">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367A6A" w:rsidRDefault="00250141">
      <w:pPr>
        <w:spacing w:line="360" w:lineRule="auto"/>
        <w:rPr>
          <w:rFonts w:eastAsiaTheme="minorEastAsia"/>
          <w:color w:val="000000" w:themeColor="text1"/>
          <w:szCs w:val="21"/>
        </w:rPr>
      </w:pPr>
      <w:r>
        <w:rPr>
          <w:rFonts w:eastAsiaTheme="minorEastAsia"/>
          <w:color w:val="000000" w:themeColor="text1"/>
          <w:szCs w:val="21"/>
        </w:rPr>
        <w:t xml:space="preserve">4.3.2 </w:t>
      </w:r>
      <w:r>
        <w:rPr>
          <w:rFonts w:eastAsiaTheme="minorEastAsia"/>
          <w:color w:val="000000" w:themeColor="text1"/>
          <w:szCs w:val="21"/>
        </w:rPr>
        <w:t>异常交易行为的专项说明</w:t>
      </w:r>
    </w:p>
    <w:p w:rsidR="00367A6A" w:rsidRDefault="00250141">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367A6A" w:rsidRDefault="00250141">
      <w:pPr>
        <w:spacing w:line="360" w:lineRule="auto"/>
        <w:ind w:firstLineChars="200" w:firstLine="420"/>
        <w:rPr>
          <w:rFonts w:eastAsiaTheme="minorEastAsia"/>
          <w:color w:val="000000" w:themeColor="text1"/>
          <w:szCs w:val="21"/>
        </w:rPr>
      </w:pPr>
      <w:r>
        <w:rPr>
          <w:rFonts w:eastAsiaTheme="minorEastAsia"/>
          <w:color w:val="000000" w:themeColor="text1"/>
          <w:szCs w:val="21"/>
        </w:rPr>
        <w:t>所有投资组合参与的交易所公开竞价同日反向交易成交较少的单边交易量超过该证券当日成交量的</w:t>
      </w:r>
      <w:r>
        <w:rPr>
          <w:rFonts w:eastAsiaTheme="minorEastAsia"/>
          <w:color w:val="000000" w:themeColor="text1"/>
          <w:szCs w:val="21"/>
        </w:rPr>
        <w:t>5%</w:t>
      </w:r>
      <w:r>
        <w:rPr>
          <w:rFonts w:eastAsiaTheme="minorEastAsia"/>
          <w:color w:val="000000" w:themeColor="text1"/>
          <w:szCs w:val="21"/>
        </w:rPr>
        <w:t>的情形：无。</w:t>
      </w:r>
    </w:p>
    <w:p w:rsidR="00367A6A" w:rsidRDefault="00250141">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lastRenderedPageBreak/>
        <w:t xml:space="preserve">4.4 </w:t>
      </w:r>
      <w:r>
        <w:rPr>
          <w:rFonts w:eastAsiaTheme="minorEastAsia"/>
          <w:b/>
          <w:color w:val="000000" w:themeColor="text1"/>
          <w:kern w:val="0"/>
          <w:szCs w:val="21"/>
        </w:rPr>
        <w:t>报告期内基金的投资策略和业绩表现说明</w:t>
      </w:r>
    </w:p>
    <w:p w:rsidR="00367A6A" w:rsidRDefault="00250141">
      <w:pPr>
        <w:spacing w:line="360" w:lineRule="auto"/>
        <w:rPr>
          <w:rFonts w:eastAsiaTheme="minorEastAsia"/>
          <w:color w:val="000000" w:themeColor="text1"/>
          <w:szCs w:val="21"/>
        </w:rPr>
      </w:pPr>
      <w:r>
        <w:rPr>
          <w:rFonts w:eastAsiaTheme="minorEastAsia"/>
          <w:color w:val="000000" w:themeColor="text1"/>
          <w:szCs w:val="21"/>
        </w:rPr>
        <w:t>4.4.1</w:t>
      </w:r>
      <w:r>
        <w:rPr>
          <w:rFonts w:eastAsiaTheme="minorEastAsia"/>
          <w:color w:val="000000" w:themeColor="text1"/>
          <w:szCs w:val="21"/>
        </w:rPr>
        <w:t>报告期内基金投资策略和运作分析</w:t>
      </w:r>
    </w:p>
    <w:p w:rsidR="00367A6A" w:rsidRDefault="00250141">
      <w:pPr>
        <w:spacing w:line="360" w:lineRule="auto"/>
        <w:ind w:firstLineChars="200" w:firstLine="420"/>
        <w:rPr>
          <w:rFonts w:eastAsiaTheme="minorEastAsia"/>
          <w:color w:val="000000" w:themeColor="text1"/>
          <w:szCs w:val="21"/>
        </w:rPr>
      </w:pPr>
      <w:r>
        <w:rPr>
          <w:rFonts w:eastAsiaTheme="minorEastAsia"/>
          <w:color w:val="000000" w:themeColor="text1"/>
          <w:szCs w:val="21"/>
        </w:rPr>
        <w:t>进入二季度，债券市场结束上季度的震荡走势，出现明显调整。</w:t>
      </w:r>
      <w:r>
        <w:rPr>
          <w:rFonts w:eastAsiaTheme="minorEastAsia"/>
          <w:color w:val="000000" w:themeColor="text1"/>
          <w:szCs w:val="21"/>
        </w:rPr>
        <w:t>4</w:t>
      </w:r>
      <w:r>
        <w:rPr>
          <w:rFonts w:eastAsiaTheme="minorEastAsia"/>
          <w:color w:val="000000" w:themeColor="text1"/>
          <w:szCs w:val="21"/>
        </w:rPr>
        <w:t>月，长期债券收益率突破一季度的震荡区间，出现持续大幅上行，</w:t>
      </w:r>
      <w:r>
        <w:rPr>
          <w:rFonts w:eastAsiaTheme="minorEastAsia"/>
          <w:color w:val="000000" w:themeColor="text1"/>
          <w:szCs w:val="21"/>
        </w:rPr>
        <w:t>10</w:t>
      </w:r>
      <w:r>
        <w:rPr>
          <w:rFonts w:eastAsiaTheme="minorEastAsia"/>
          <w:color w:val="000000" w:themeColor="text1"/>
          <w:szCs w:val="21"/>
        </w:rPr>
        <w:t>年期国开债活跃券收益率最高上冲至</w:t>
      </w:r>
      <w:r>
        <w:rPr>
          <w:rFonts w:eastAsiaTheme="minorEastAsia"/>
          <w:color w:val="000000" w:themeColor="text1"/>
          <w:szCs w:val="21"/>
        </w:rPr>
        <w:t>3.9%</w:t>
      </w:r>
      <w:r>
        <w:rPr>
          <w:rFonts w:eastAsiaTheme="minorEastAsia"/>
          <w:color w:val="000000" w:themeColor="text1"/>
          <w:szCs w:val="21"/>
        </w:rPr>
        <w:t>附近。这一阶段市场经历了三波利空因素的冲击：</w:t>
      </w:r>
      <w:r>
        <w:rPr>
          <w:rFonts w:eastAsiaTheme="minorEastAsia"/>
          <w:color w:val="000000" w:themeColor="text1"/>
          <w:szCs w:val="21"/>
        </w:rPr>
        <w:t xml:space="preserve">1. </w:t>
      </w:r>
      <w:r>
        <w:rPr>
          <w:rFonts w:eastAsiaTheme="minorEastAsia"/>
          <w:color w:val="000000" w:themeColor="text1"/>
          <w:szCs w:val="21"/>
        </w:rPr>
        <w:t>月初</w:t>
      </w:r>
      <w:r>
        <w:rPr>
          <w:rFonts w:eastAsiaTheme="minorEastAsia"/>
          <w:color w:val="000000" w:themeColor="text1"/>
          <w:szCs w:val="21"/>
        </w:rPr>
        <w:t>PMI</w:t>
      </w:r>
      <w:r>
        <w:rPr>
          <w:rFonts w:eastAsiaTheme="minorEastAsia"/>
          <w:color w:val="000000" w:themeColor="text1"/>
          <w:szCs w:val="21"/>
        </w:rPr>
        <w:t>数据超预期，债券收益率迅速反弹；</w:t>
      </w:r>
      <w:r>
        <w:rPr>
          <w:rFonts w:eastAsiaTheme="minorEastAsia"/>
          <w:color w:val="000000" w:themeColor="text1"/>
          <w:szCs w:val="21"/>
        </w:rPr>
        <w:t xml:space="preserve">2. </w:t>
      </w:r>
      <w:r>
        <w:rPr>
          <w:rFonts w:eastAsiaTheme="minorEastAsia"/>
          <w:color w:val="000000" w:themeColor="text1"/>
          <w:szCs w:val="21"/>
        </w:rPr>
        <w:t>月中货币信贷数据出炉，比此前机构的预期更为乐观，无论总量和结构均明显回升；</w:t>
      </w:r>
      <w:r>
        <w:rPr>
          <w:rFonts w:eastAsiaTheme="minorEastAsia"/>
          <w:color w:val="000000" w:themeColor="text1"/>
          <w:szCs w:val="21"/>
        </w:rPr>
        <w:t xml:space="preserve">3. </w:t>
      </w:r>
      <w:r>
        <w:rPr>
          <w:rFonts w:eastAsiaTheme="minorEastAsia"/>
          <w:color w:val="000000" w:themeColor="text1"/>
          <w:szCs w:val="21"/>
        </w:rPr>
        <w:t>下旬央行货币政策例会重提把好</w:t>
      </w:r>
      <w:r>
        <w:rPr>
          <w:rFonts w:eastAsiaTheme="minorEastAsia"/>
          <w:color w:val="000000" w:themeColor="text1"/>
          <w:szCs w:val="21"/>
        </w:rPr>
        <w:t>“</w:t>
      </w:r>
      <w:r>
        <w:rPr>
          <w:rFonts w:eastAsiaTheme="minorEastAsia"/>
          <w:color w:val="000000" w:themeColor="text1"/>
          <w:szCs w:val="21"/>
        </w:rPr>
        <w:t>总闸门</w:t>
      </w:r>
      <w:r>
        <w:rPr>
          <w:rFonts w:eastAsiaTheme="minorEastAsia"/>
          <w:color w:val="000000" w:themeColor="text1"/>
          <w:szCs w:val="21"/>
        </w:rPr>
        <w:t>”</w:t>
      </w:r>
      <w:r>
        <w:rPr>
          <w:rFonts w:eastAsiaTheme="minorEastAsia"/>
          <w:color w:val="000000" w:themeColor="text1"/>
          <w:szCs w:val="21"/>
        </w:rPr>
        <w:t>，投资者对流动性进一步宽松的预期下降，一季度的经济数据也如期反弹，收益率快速上冲后回落。</w:t>
      </w:r>
      <w:r>
        <w:rPr>
          <w:rFonts w:eastAsiaTheme="minorEastAsia"/>
          <w:color w:val="000000" w:themeColor="text1"/>
          <w:szCs w:val="21"/>
        </w:rPr>
        <w:t>5</w:t>
      </w:r>
      <w:r>
        <w:rPr>
          <w:rFonts w:eastAsiaTheme="minorEastAsia"/>
          <w:color w:val="000000" w:themeColor="text1"/>
          <w:szCs w:val="21"/>
        </w:rPr>
        <w:t>月，贸易谈判出现反复，市场风险偏好回落，收益率向下修复，经济金融数据对比一季度出现回落，流动性环境回暖，月末包商银行事件导致非银机构信用债质押融资出现困难，但利率债市场未受影响，收益率维持缓慢下行。</w:t>
      </w:r>
      <w:r>
        <w:rPr>
          <w:rFonts w:eastAsiaTheme="minorEastAsia"/>
          <w:color w:val="000000" w:themeColor="text1"/>
          <w:szCs w:val="21"/>
        </w:rPr>
        <w:t>6</w:t>
      </w:r>
      <w:r>
        <w:rPr>
          <w:rFonts w:eastAsiaTheme="minorEastAsia"/>
          <w:color w:val="000000" w:themeColor="text1"/>
          <w:szCs w:val="21"/>
        </w:rPr>
        <w:t>月，市场聚焦月底</w:t>
      </w:r>
      <w:r>
        <w:rPr>
          <w:rFonts w:eastAsiaTheme="minorEastAsia"/>
          <w:color w:val="000000" w:themeColor="text1"/>
          <w:szCs w:val="21"/>
        </w:rPr>
        <w:t>G20</w:t>
      </w:r>
      <w:r>
        <w:rPr>
          <w:rFonts w:eastAsiaTheme="minorEastAsia"/>
          <w:color w:val="000000" w:themeColor="text1"/>
          <w:szCs w:val="21"/>
        </w:rPr>
        <w:t>峰会，长端收益率维持盘整，短端利率持续下行。岁岁金报告期间维持以现金资产为主的保守操作，维持组合高流动性。</w:t>
      </w:r>
    </w:p>
    <w:p w:rsidR="00367A6A" w:rsidRDefault="00367A6A">
      <w:pPr>
        <w:spacing w:line="360" w:lineRule="auto"/>
        <w:ind w:firstLineChars="200" w:firstLine="420"/>
        <w:rPr>
          <w:rFonts w:eastAsiaTheme="minorEastAsia"/>
          <w:color w:val="000000" w:themeColor="text1"/>
          <w:szCs w:val="21"/>
        </w:rPr>
      </w:pPr>
    </w:p>
    <w:p w:rsidR="00367A6A" w:rsidRDefault="00250141">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展望三季度，基本面对债市依然偏正面，但债券趋势行情的出现仍需等待，阶段性博弈预期增厚组合收益的机会仍存，关注可能的财政发力以及贸易谈判波折等带来的波段交易机会。</w:t>
      </w:r>
    </w:p>
    <w:p w:rsidR="00367A6A" w:rsidRDefault="00250141">
      <w:pPr>
        <w:spacing w:line="360" w:lineRule="auto"/>
        <w:rPr>
          <w:rFonts w:eastAsiaTheme="minorEastAsia"/>
          <w:color w:val="000000" w:themeColor="text1"/>
          <w:szCs w:val="21"/>
        </w:rPr>
      </w:pPr>
      <w:r>
        <w:rPr>
          <w:rFonts w:eastAsiaTheme="minorEastAsia"/>
          <w:color w:val="000000" w:themeColor="text1"/>
          <w:szCs w:val="21"/>
        </w:rPr>
        <w:t>4.4.2</w:t>
      </w:r>
      <w:r>
        <w:rPr>
          <w:rFonts w:eastAsiaTheme="minorEastAsia"/>
          <w:color w:val="000000" w:themeColor="text1"/>
          <w:szCs w:val="21"/>
        </w:rPr>
        <w:t>报告期内基金的业绩表现</w:t>
      </w:r>
    </w:p>
    <w:p w:rsidR="00367A6A" w:rsidRDefault="00250141">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本报告期上投摩根岁岁金定期开放债券</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:-1.21%</w:t>
      </w:r>
      <w:r>
        <w:rPr>
          <w:rFonts w:eastAsiaTheme="minorEastAsia"/>
          <w:color w:val="000000" w:themeColor="text1"/>
          <w:szCs w:val="21"/>
        </w:rPr>
        <w:t>，同期业绩比较基准收益率为</w:t>
      </w:r>
      <w:r>
        <w:rPr>
          <w:rFonts w:eastAsiaTheme="minorEastAsia"/>
          <w:color w:val="000000" w:themeColor="text1"/>
          <w:szCs w:val="21"/>
        </w:rPr>
        <w:t>:-1.12%,</w:t>
      </w:r>
    </w:p>
    <w:p w:rsidR="00367A6A" w:rsidRDefault="00250141">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上投摩根岁岁金定期开放债券</w:t>
      </w:r>
      <w:r>
        <w:rPr>
          <w:rFonts w:eastAsiaTheme="minorEastAsia"/>
          <w:color w:val="000000" w:themeColor="text1"/>
          <w:szCs w:val="21"/>
        </w:rPr>
        <w:t>C</w:t>
      </w:r>
      <w:r>
        <w:rPr>
          <w:rFonts w:eastAsiaTheme="minorEastAsia"/>
          <w:color w:val="000000" w:themeColor="text1"/>
          <w:szCs w:val="21"/>
        </w:rPr>
        <w:t>份额净值增长率为</w:t>
      </w:r>
      <w:r>
        <w:rPr>
          <w:rFonts w:eastAsiaTheme="minorEastAsia"/>
          <w:color w:val="000000" w:themeColor="text1"/>
          <w:szCs w:val="21"/>
        </w:rPr>
        <w:t>:-1.27%</w:t>
      </w:r>
      <w:r>
        <w:rPr>
          <w:rFonts w:eastAsiaTheme="minorEastAsia"/>
          <w:color w:val="000000" w:themeColor="text1"/>
          <w:szCs w:val="21"/>
        </w:rPr>
        <w:t>，同期业绩比较基准收益率为</w:t>
      </w:r>
      <w:r>
        <w:rPr>
          <w:rFonts w:eastAsiaTheme="minorEastAsia"/>
          <w:color w:val="000000" w:themeColor="text1"/>
          <w:szCs w:val="21"/>
        </w:rPr>
        <w:t>:-1.12%</w:t>
      </w:r>
      <w:r>
        <w:rPr>
          <w:rFonts w:eastAsiaTheme="minorEastAsia"/>
          <w:color w:val="000000" w:themeColor="text1"/>
          <w:szCs w:val="21"/>
        </w:rPr>
        <w:t>。</w:t>
      </w:r>
    </w:p>
    <w:p w:rsidR="00367A6A" w:rsidRDefault="00367A6A">
      <w:pPr>
        <w:spacing w:line="360" w:lineRule="auto"/>
        <w:ind w:firstLineChars="200" w:firstLine="420"/>
        <w:rPr>
          <w:rFonts w:eastAsiaTheme="minorEastAsia"/>
          <w:color w:val="000000" w:themeColor="text1"/>
          <w:szCs w:val="21"/>
        </w:rPr>
      </w:pPr>
    </w:p>
    <w:p w:rsidR="00367A6A" w:rsidRDefault="00250141">
      <w:pPr>
        <w:spacing w:line="360" w:lineRule="auto"/>
        <w:rPr>
          <w:rFonts w:eastAsiaTheme="minorEastAsia"/>
          <w:color w:val="000000" w:themeColor="text1"/>
          <w:szCs w:val="21"/>
        </w:rPr>
      </w:pPr>
      <w:r>
        <w:rPr>
          <w:rFonts w:eastAsiaTheme="minorEastAsia"/>
          <w:b/>
          <w:color w:val="000000" w:themeColor="text1"/>
          <w:kern w:val="0"/>
          <w:szCs w:val="21"/>
        </w:rPr>
        <w:t>4</w:t>
      </w:r>
      <w:r>
        <w:rPr>
          <w:rFonts w:eastAsiaTheme="minorEastAsia" w:hint="eastAsia"/>
          <w:b/>
          <w:color w:val="000000" w:themeColor="text1"/>
          <w:kern w:val="0"/>
          <w:szCs w:val="21"/>
        </w:rPr>
        <w:t>.5</w:t>
      </w:r>
      <w:r>
        <w:rPr>
          <w:rFonts w:asciiTheme="minorEastAsia" w:eastAsiaTheme="minorEastAsia" w:hAnsiTheme="minorEastAsia" w:hint="eastAsia"/>
          <w:b/>
          <w:color w:val="000000" w:themeColor="text1"/>
          <w:kern w:val="0"/>
          <w:szCs w:val="21"/>
        </w:rPr>
        <w:t>报告期内基金持有人数或基金资产净值预警说明</w:t>
      </w:r>
    </w:p>
    <w:p w:rsidR="00367A6A" w:rsidRDefault="0025014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报告期内，本基金存在连续六十个工作日基金资产净值低于五千万元的情况，出现该情况的时间范围为</w:t>
      </w:r>
      <w:r>
        <w:rPr>
          <w:rFonts w:eastAsiaTheme="minorEastAsia"/>
          <w:color w:val="000000" w:themeColor="text1"/>
          <w:kern w:val="0"/>
          <w:szCs w:val="21"/>
        </w:rPr>
        <w:t>2018</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16</w:t>
      </w:r>
      <w:r>
        <w:rPr>
          <w:rFonts w:eastAsiaTheme="minorEastAsia"/>
          <w:color w:val="000000" w:themeColor="text1"/>
          <w:kern w:val="0"/>
          <w:szCs w:val="21"/>
        </w:rPr>
        <w:t>日至</w:t>
      </w:r>
      <w:r>
        <w:rPr>
          <w:rFonts w:eastAsiaTheme="minorEastAsia"/>
          <w:color w:val="000000" w:themeColor="text1"/>
          <w:kern w:val="0"/>
          <w:szCs w:val="21"/>
        </w:rPr>
        <w:t>2019</w:t>
      </w:r>
      <w:r>
        <w:rPr>
          <w:rFonts w:eastAsiaTheme="minorEastAsia"/>
          <w:color w:val="000000" w:themeColor="text1"/>
          <w:kern w:val="0"/>
          <w:szCs w:val="21"/>
        </w:rPr>
        <w:t>年</w:t>
      </w:r>
      <w:r>
        <w:rPr>
          <w:rFonts w:eastAsiaTheme="minorEastAsia"/>
          <w:color w:val="000000" w:themeColor="text1"/>
          <w:kern w:val="0"/>
          <w:szCs w:val="21"/>
        </w:rPr>
        <w:t>05</w:t>
      </w:r>
      <w:r>
        <w:rPr>
          <w:rFonts w:eastAsiaTheme="minorEastAsia"/>
          <w:color w:val="000000" w:themeColor="text1"/>
          <w:kern w:val="0"/>
          <w:szCs w:val="21"/>
        </w:rPr>
        <w:t>月</w:t>
      </w:r>
      <w:r>
        <w:rPr>
          <w:rFonts w:eastAsiaTheme="minorEastAsia"/>
          <w:color w:val="000000" w:themeColor="text1"/>
          <w:kern w:val="0"/>
          <w:szCs w:val="21"/>
        </w:rPr>
        <w:t>09</w:t>
      </w:r>
      <w:r>
        <w:rPr>
          <w:rFonts w:eastAsiaTheme="minorEastAsia"/>
          <w:color w:val="000000" w:themeColor="text1"/>
          <w:kern w:val="0"/>
          <w:szCs w:val="21"/>
        </w:rPr>
        <w:t>日。</w:t>
      </w:r>
    </w:p>
    <w:p w:rsidR="00367A6A" w:rsidRDefault="0025014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基金管理人拟调整本基金运作方式，方案已报监管机关。</w:t>
      </w:r>
    </w:p>
    <w:p w:rsidR="00367A6A" w:rsidRDefault="00367A6A">
      <w:pPr>
        <w:spacing w:line="360" w:lineRule="auto"/>
        <w:ind w:firstLineChars="200" w:firstLine="420"/>
        <w:rPr>
          <w:rFonts w:asciiTheme="minorEastAsia" w:eastAsiaTheme="minorEastAsia" w:hAnsiTheme="minorEastAsia"/>
          <w:color w:val="000000" w:themeColor="text1"/>
          <w:szCs w:val="21"/>
        </w:rPr>
      </w:pPr>
    </w:p>
    <w:p w:rsidR="00367A6A" w:rsidRDefault="00250141">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§5  </w:t>
      </w:r>
      <w:r>
        <w:rPr>
          <w:rFonts w:eastAsiaTheme="minorEastAsia"/>
          <w:color w:val="000000" w:themeColor="text1"/>
          <w:kern w:val="0"/>
          <w:sz w:val="21"/>
          <w:szCs w:val="21"/>
        </w:rPr>
        <w:t>投资组合报告</w:t>
      </w:r>
    </w:p>
    <w:p w:rsidR="00367A6A" w:rsidRDefault="00250141">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5.1 </w:t>
      </w:r>
      <w:r>
        <w:rPr>
          <w:rFonts w:eastAsiaTheme="minorEastAsia"/>
          <w:b/>
          <w:color w:val="000000" w:themeColor="text1"/>
          <w:kern w:val="0"/>
          <w:szCs w:val="21"/>
        </w:rPr>
        <w:t>报告期末基金资产组合情况</w:t>
      </w:r>
    </w:p>
    <w:tbl>
      <w:tblPr>
        <w:tblStyle w:val="af6"/>
        <w:tblW w:w="8897" w:type="dxa"/>
        <w:tblInd w:w="108" w:type="dxa"/>
        <w:tblLayout w:type="fixed"/>
        <w:tblLook w:val="04A0" w:firstRow="1" w:lastRow="0" w:firstColumn="1" w:lastColumn="0" w:noHBand="0" w:noVBand="1"/>
      </w:tblPr>
      <w:tblGrid>
        <w:gridCol w:w="720"/>
        <w:gridCol w:w="3357"/>
        <w:gridCol w:w="2977"/>
        <w:gridCol w:w="1843"/>
      </w:tblGrid>
      <w:tr w:rsidR="00367A6A">
        <w:tc>
          <w:tcPr>
            <w:tcW w:w="720" w:type="dxa"/>
            <w:vAlign w:val="center"/>
          </w:tcPr>
          <w:p w:rsidR="00367A6A" w:rsidRDefault="00250141">
            <w:pPr>
              <w:spacing w:before="29" w:line="360" w:lineRule="auto"/>
              <w:ind w:left="17"/>
              <w:jc w:val="center"/>
              <w:rPr>
                <w:rFonts w:eastAsiaTheme="minorEastAsia"/>
                <w:color w:val="000000" w:themeColor="text1"/>
                <w:szCs w:val="21"/>
              </w:rPr>
            </w:pPr>
            <w:r>
              <w:rPr>
                <w:rFonts w:eastAsiaTheme="minorEastAsia"/>
                <w:color w:val="000000" w:themeColor="text1"/>
                <w:szCs w:val="21"/>
              </w:rPr>
              <w:lastRenderedPageBreak/>
              <w:t>序号</w:t>
            </w:r>
          </w:p>
        </w:tc>
        <w:tc>
          <w:tcPr>
            <w:tcW w:w="3357" w:type="dxa"/>
            <w:vAlign w:val="center"/>
          </w:tcPr>
          <w:p w:rsidR="00367A6A" w:rsidRDefault="00250141">
            <w:pPr>
              <w:spacing w:before="29" w:line="360" w:lineRule="auto"/>
              <w:ind w:left="17"/>
              <w:jc w:val="center"/>
              <w:rPr>
                <w:rFonts w:eastAsiaTheme="minorEastAsia"/>
                <w:color w:val="000000" w:themeColor="text1"/>
                <w:szCs w:val="21"/>
              </w:rPr>
            </w:pPr>
            <w:r>
              <w:rPr>
                <w:rFonts w:eastAsiaTheme="minorEastAsia"/>
                <w:color w:val="000000" w:themeColor="text1"/>
                <w:szCs w:val="21"/>
              </w:rPr>
              <w:t>项目</w:t>
            </w:r>
          </w:p>
        </w:tc>
        <w:tc>
          <w:tcPr>
            <w:tcW w:w="2977" w:type="dxa"/>
            <w:vAlign w:val="center"/>
          </w:tcPr>
          <w:p w:rsidR="00367A6A" w:rsidRDefault="00250141">
            <w:pPr>
              <w:spacing w:before="29" w:line="360" w:lineRule="auto"/>
              <w:ind w:left="17"/>
              <w:jc w:val="center"/>
              <w:rPr>
                <w:rFonts w:eastAsiaTheme="minorEastAsia"/>
                <w:color w:val="000000" w:themeColor="text1"/>
                <w:szCs w:val="21"/>
              </w:rPr>
            </w:pPr>
            <w:r>
              <w:rPr>
                <w:rFonts w:eastAsiaTheme="minorEastAsia"/>
                <w:color w:val="000000" w:themeColor="text1"/>
                <w:szCs w:val="21"/>
              </w:rPr>
              <w:t>金额</w:t>
            </w:r>
            <w:r>
              <w:rPr>
                <w:rFonts w:eastAsiaTheme="minorEastAsia"/>
                <w:color w:val="000000" w:themeColor="text1"/>
                <w:szCs w:val="21"/>
              </w:rPr>
              <w:t>(</w:t>
            </w:r>
            <w:r>
              <w:rPr>
                <w:rFonts w:eastAsiaTheme="minorEastAsia"/>
                <w:color w:val="000000" w:themeColor="text1"/>
                <w:szCs w:val="21"/>
              </w:rPr>
              <w:t>元</w:t>
            </w:r>
            <w:r>
              <w:rPr>
                <w:rFonts w:eastAsiaTheme="minorEastAsia"/>
                <w:color w:val="000000" w:themeColor="text1"/>
                <w:szCs w:val="21"/>
              </w:rPr>
              <w:t>)</w:t>
            </w:r>
          </w:p>
        </w:tc>
        <w:tc>
          <w:tcPr>
            <w:tcW w:w="1843" w:type="dxa"/>
            <w:vAlign w:val="center"/>
          </w:tcPr>
          <w:p w:rsidR="00367A6A" w:rsidRDefault="00250141">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占基金总资产的比例</w:t>
            </w:r>
            <w:r>
              <w:rPr>
                <w:rFonts w:eastAsiaTheme="minorEastAsia"/>
                <w:color w:val="000000" w:themeColor="text1"/>
                <w:szCs w:val="21"/>
              </w:rPr>
              <w:t>(%)</w:t>
            </w:r>
          </w:p>
        </w:tc>
      </w:tr>
      <w:tr w:rsidR="00367A6A">
        <w:tc>
          <w:tcPr>
            <w:tcW w:w="720" w:type="dxa"/>
            <w:vAlign w:val="center"/>
          </w:tcPr>
          <w:p w:rsidR="00367A6A" w:rsidRDefault="00250141">
            <w:pPr>
              <w:spacing w:before="29" w:line="360" w:lineRule="auto"/>
              <w:ind w:left="17"/>
              <w:jc w:val="center"/>
              <w:rPr>
                <w:rFonts w:eastAsiaTheme="minorEastAsia"/>
                <w:color w:val="000000" w:themeColor="text1"/>
                <w:szCs w:val="21"/>
              </w:rPr>
            </w:pPr>
            <w:r>
              <w:rPr>
                <w:rFonts w:eastAsiaTheme="minorEastAsia"/>
                <w:color w:val="000000" w:themeColor="text1"/>
                <w:szCs w:val="21"/>
              </w:rPr>
              <w:t>1</w:t>
            </w:r>
          </w:p>
        </w:tc>
        <w:tc>
          <w:tcPr>
            <w:tcW w:w="3357" w:type="dxa"/>
            <w:vAlign w:val="center"/>
          </w:tcPr>
          <w:p w:rsidR="00367A6A" w:rsidRDefault="00250141">
            <w:pPr>
              <w:spacing w:before="29" w:line="360" w:lineRule="auto"/>
              <w:ind w:left="17"/>
              <w:jc w:val="left"/>
              <w:rPr>
                <w:rFonts w:eastAsiaTheme="minorEastAsia"/>
                <w:color w:val="000000" w:themeColor="text1"/>
                <w:szCs w:val="21"/>
              </w:rPr>
            </w:pPr>
            <w:r>
              <w:rPr>
                <w:rFonts w:eastAsiaTheme="minorEastAsia"/>
                <w:color w:val="000000" w:themeColor="text1"/>
                <w:szCs w:val="21"/>
              </w:rPr>
              <w:t>权益投资</w:t>
            </w:r>
          </w:p>
        </w:tc>
        <w:tc>
          <w:tcPr>
            <w:tcW w:w="2977" w:type="dxa"/>
            <w:vAlign w:val="center"/>
          </w:tcPr>
          <w:p w:rsidR="00367A6A" w:rsidRDefault="00250141">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367A6A" w:rsidRDefault="00250141">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367A6A">
        <w:tc>
          <w:tcPr>
            <w:tcW w:w="720" w:type="dxa"/>
            <w:vAlign w:val="center"/>
          </w:tcPr>
          <w:p w:rsidR="00367A6A" w:rsidRDefault="00367A6A">
            <w:pPr>
              <w:spacing w:before="29" w:line="360" w:lineRule="auto"/>
              <w:ind w:left="17"/>
              <w:jc w:val="center"/>
              <w:rPr>
                <w:rFonts w:eastAsiaTheme="minorEastAsia"/>
                <w:color w:val="000000" w:themeColor="text1"/>
                <w:szCs w:val="21"/>
              </w:rPr>
            </w:pPr>
          </w:p>
        </w:tc>
        <w:tc>
          <w:tcPr>
            <w:tcW w:w="3357" w:type="dxa"/>
            <w:vAlign w:val="center"/>
          </w:tcPr>
          <w:p w:rsidR="00367A6A" w:rsidRDefault="00250141">
            <w:pPr>
              <w:spacing w:before="29" w:line="360" w:lineRule="auto"/>
              <w:ind w:left="17"/>
              <w:jc w:val="left"/>
              <w:rPr>
                <w:rFonts w:eastAsiaTheme="minorEastAsia"/>
                <w:color w:val="000000" w:themeColor="text1"/>
                <w:szCs w:val="21"/>
              </w:rPr>
            </w:pPr>
            <w:r>
              <w:rPr>
                <w:rFonts w:eastAsiaTheme="minorEastAsia"/>
                <w:color w:val="000000" w:themeColor="text1"/>
                <w:szCs w:val="21"/>
              </w:rPr>
              <w:t>其中：股票</w:t>
            </w:r>
          </w:p>
        </w:tc>
        <w:tc>
          <w:tcPr>
            <w:tcW w:w="2977" w:type="dxa"/>
            <w:vAlign w:val="center"/>
          </w:tcPr>
          <w:p w:rsidR="00367A6A" w:rsidRDefault="00250141">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367A6A" w:rsidRDefault="00250141">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367A6A">
        <w:tc>
          <w:tcPr>
            <w:tcW w:w="720" w:type="dxa"/>
            <w:vAlign w:val="center"/>
          </w:tcPr>
          <w:p w:rsidR="00367A6A" w:rsidRDefault="00250141">
            <w:pPr>
              <w:spacing w:before="29" w:line="360" w:lineRule="auto"/>
              <w:ind w:left="17"/>
              <w:jc w:val="center"/>
              <w:rPr>
                <w:rFonts w:eastAsiaTheme="minorEastAsia"/>
                <w:color w:val="000000" w:themeColor="text1"/>
                <w:szCs w:val="21"/>
              </w:rPr>
            </w:pPr>
            <w:r>
              <w:rPr>
                <w:rFonts w:eastAsiaTheme="minorEastAsia"/>
                <w:color w:val="000000" w:themeColor="text1"/>
                <w:szCs w:val="21"/>
              </w:rPr>
              <w:t>2</w:t>
            </w:r>
          </w:p>
        </w:tc>
        <w:tc>
          <w:tcPr>
            <w:tcW w:w="3357" w:type="dxa"/>
            <w:vAlign w:val="center"/>
          </w:tcPr>
          <w:p w:rsidR="00367A6A" w:rsidRDefault="00250141">
            <w:pPr>
              <w:spacing w:before="29" w:line="360" w:lineRule="auto"/>
              <w:ind w:left="17"/>
              <w:jc w:val="left"/>
              <w:rPr>
                <w:rFonts w:eastAsiaTheme="minorEastAsia"/>
                <w:color w:val="000000" w:themeColor="text1"/>
                <w:szCs w:val="21"/>
              </w:rPr>
            </w:pPr>
            <w:r>
              <w:rPr>
                <w:rFonts w:eastAsiaTheme="minorEastAsia"/>
                <w:color w:val="000000" w:themeColor="text1"/>
                <w:szCs w:val="21"/>
              </w:rPr>
              <w:t>固定收益投资</w:t>
            </w:r>
          </w:p>
        </w:tc>
        <w:tc>
          <w:tcPr>
            <w:tcW w:w="2977" w:type="dxa"/>
            <w:vAlign w:val="center"/>
          </w:tcPr>
          <w:p w:rsidR="00367A6A" w:rsidRDefault="00250141">
            <w:pPr>
              <w:spacing w:before="29" w:line="360" w:lineRule="auto"/>
              <w:ind w:left="17"/>
              <w:jc w:val="right"/>
              <w:rPr>
                <w:rFonts w:eastAsiaTheme="minorEastAsia"/>
                <w:color w:val="000000" w:themeColor="text1"/>
                <w:szCs w:val="21"/>
              </w:rPr>
            </w:pPr>
            <w:r>
              <w:rPr>
                <w:rFonts w:eastAsiaTheme="minorEastAsia"/>
                <w:color w:val="000000" w:themeColor="text1"/>
                <w:szCs w:val="21"/>
              </w:rPr>
              <w:t>1,102,968.70</w:t>
            </w:r>
          </w:p>
        </w:tc>
        <w:tc>
          <w:tcPr>
            <w:tcW w:w="1843" w:type="dxa"/>
            <w:vAlign w:val="center"/>
          </w:tcPr>
          <w:p w:rsidR="00367A6A" w:rsidRDefault="00250141">
            <w:pPr>
              <w:spacing w:before="29" w:line="360" w:lineRule="auto"/>
              <w:ind w:left="17"/>
              <w:jc w:val="right"/>
              <w:rPr>
                <w:rFonts w:eastAsiaTheme="minorEastAsia"/>
                <w:color w:val="000000" w:themeColor="text1"/>
                <w:szCs w:val="21"/>
              </w:rPr>
            </w:pPr>
            <w:r>
              <w:rPr>
                <w:rFonts w:eastAsiaTheme="minorEastAsia"/>
                <w:color w:val="000000" w:themeColor="text1"/>
                <w:szCs w:val="21"/>
              </w:rPr>
              <w:t>36.84</w:t>
            </w:r>
          </w:p>
        </w:tc>
      </w:tr>
      <w:tr w:rsidR="00367A6A">
        <w:tc>
          <w:tcPr>
            <w:tcW w:w="720" w:type="dxa"/>
            <w:vAlign w:val="center"/>
          </w:tcPr>
          <w:p w:rsidR="00367A6A" w:rsidRDefault="00367A6A">
            <w:pPr>
              <w:spacing w:before="29" w:line="360" w:lineRule="auto"/>
              <w:ind w:left="17"/>
              <w:jc w:val="center"/>
              <w:rPr>
                <w:rFonts w:eastAsiaTheme="minorEastAsia"/>
                <w:color w:val="000000" w:themeColor="text1"/>
                <w:szCs w:val="21"/>
              </w:rPr>
            </w:pPr>
          </w:p>
        </w:tc>
        <w:tc>
          <w:tcPr>
            <w:tcW w:w="3357" w:type="dxa"/>
            <w:vAlign w:val="center"/>
          </w:tcPr>
          <w:p w:rsidR="00367A6A" w:rsidRDefault="00250141">
            <w:pPr>
              <w:spacing w:before="29" w:line="360" w:lineRule="auto"/>
              <w:ind w:left="17"/>
              <w:jc w:val="left"/>
              <w:rPr>
                <w:rFonts w:eastAsiaTheme="minorEastAsia"/>
                <w:color w:val="000000" w:themeColor="text1"/>
                <w:szCs w:val="21"/>
              </w:rPr>
            </w:pPr>
            <w:r>
              <w:rPr>
                <w:rFonts w:eastAsiaTheme="minorEastAsia"/>
                <w:color w:val="000000" w:themeColor="text1"/>
                <w:szCs w:val="21"/>
              </w:rPr>
              <w:t>其中：债券</w:t>
            </w:r>
          </w:p>
        </w:tc>
        <w:tc>
          <w:tcPr>
            <w:tcW w:w="2977" w:type="dxa"/>
            <w:vAlign w:val="center"/>
          </w:tcPr>
          <w:p w:rsidR="00367A6A" w:rsidRDefault="00250141">
            <w:pPr>
              <w:spacing w:before="29" w:line="360" w:lineRule="auto"/>
              <w:ind w:left="17"/>
              <w:jc w:val="right"/>
              <w:rPr>
                <w:rFonts w:eastAsiaTheme="minorEastAsia"/>
                <w:color w:val="000000" w:themeColor="text1"/>
                <w:szCs w:val="21"/>
              </w:rPr>
            </w:pPr>
            <w:r>
              <w:rPr>
                <w:rFonts w:eastAsiaTheme="minorEastAsia"/>
                <w:color w:val="000000" w:themeColor="text1"/>
                <w:szCs w:val="21"/>
              </w:rPr>
              <w:t>1,102,968.70</w:t>
            </w:r>
          </w:p>
        </w:tc>
        <w:tc>
          <w:tcPr>
            <w:tcW w:w="1843" w:type="dxa"/>
            <w:vAlign w:val="center"/>
          </w:tcPr>
          <w:p w:rsidR="00367A6A" w:rsidRDefault="00250141">
            <w:pPr>
              <w:spacing w:before="29" w:line="360" w:lineRule="auto"/>
              <w:ind w:left="17"/>
              <w:jc w:val="right"/>
              <w:rPr>
                <w:rFonts w:eastAsiaTheme="minorEastAsia"/>
                <w:color w:val="000000" w:themeColor="text1"/>
                <w:szCs w:val="21"/>
              </w:rPr>
            </w:pPr>
            <w:r>
              <w:rPr>
                <w:rFonts w:eastAsiaTheme="minorEastAsia"/>
                <w:color w:val="000000" w:themeColor="text1"/>
                <w:szCs w:val="21"/>
              </w:rPr>
              <w:t>36.84</w:t>
            </w:r>
          </w:p>
        </w:tc>
      </w:tr>
      <w:tr w:rsidR="00367A6A">
        <w:tc>
          <w:tcPr>
            <w:tcW w:w="720" w:type="dxa"/>
            <w:vAlign w:val="center"/>
          </w:tcPr>
          <w:p w:rsidR="00367A6A" w:rsidRDefault="00367A6A">
            <w:pPr>
              <w:spacing w:before="29" w:line="360" w:lineRule="auto"/>
              <w:ind w:left="17"/>
              <w:jc w:val="center"/>
              <w:rPr>
                <w:rFonts w:eastAsiaTheme="minorEastAsia"/>
                <w:color w:val="000000" w:themeColor="text1"/>
                <w:szCs w:val="21"/>
              </w:rPr>
            </w:pPr>
          </w:p>
        </w:tc>
        <w:tc>
          <w:tcPr>
            <w:tcW w:w="3357" w:type="dxa"/>
            <w:vAlign w:val="center"/>
          </w:tcPr>
          <w:p w:rsidR="00367A6A" w:rsidRDefault="00250141">
            <w:pPr>
              <w:autoSpaceDE w:val="0"/>
              <w:autoSpaceDN w:val="0"/>
              <w:adjustRightInd w:val="0"/>
              <w:spacing w:before="29" w:line="360" w:lineRule="auto"/>
              <w:ind w:left="17" w:firstLineChars="300" w:firstLine="630"/>
              <w:jc w:val="left"/>
              <w:rPr>
                <w:rFonts w:eastAsiaTheme="minorEastAsia"/>
                <w:color w:val="000000" w:themeColor="text1"/>
                <w:szCs w:val="21"/>
              </w:rPr>
            </w:pPr>
            <w:r>
              <w:rPr>
                <w:rFonts w:eastAsiaTheme="minorEastAsia"/>
                <w:color w:val="000000" w:themeColor="text1"/>
                <w:szCs w:val="21"/>
              </w:rPr>
              <w:t>资产支持证券</w:t>
            </w:r>
          </w:p>
        </w:tc>
        <w:tc>
          <w:tcPr>
            <w:tcW w:w="2977" w:type="dxa"/>
            <w:vAlign w:val="center"/>
          </w:tcPr>
          <w:p w:rsidR="00367A6A" w:rsidRDefault="00250141">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367A6A" w:rsidRDefault="00250141">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367A6A">
        <w:tc>
          <w:tcPr>
            <w:tcW w:w="720" w:type="dxa"/>
          </w:tcPr>
          <w:p w:rsidR="00367A6A" w:rsidRDefault="00250141">
            <w:pPr>
              <w:spacing w:before="29" w:line="360" w:lineRule="auto"/>
              <w:ind w:left="17"/>
              <w:jc w:val="center"/>
              <w:rPr>
                <w:rFonts w:eastAsiaTheme="minorEastAsia"/>
                <w:color w:val="000000" w:themeColor="text1"/>
                <w:szCs w:val="21"/>
              </w:rPr>
            </w:pPr>
            <w:r>
              <w:rPr>
                <w:rFonts w:eastAsiaTheme="minorEastAsia"/>
                <w:color w:val="000000" w:themeColor="text1"/>
                <w:szCs w:val="21"/>
              </w:rPr>
              <w:t>3</w:t>
            </w:r>
          </w:p>
        </w:tc>
        <w:tc>
          <w:tcPr>
            <w:tcW w:w="3357" w:type="dxa"/>
          </w:tcPr>
          <w:p w:rsidR="00367A6A" w:rsidRDefault="00250141">
            <w:pPr>
              <w:spacing w:before="29" w:line="360" w:lineRule="auto"/>
              <w:ind w:leftChars="50" w:left="105"/>
              <w:rPr>
                <w:rFonts w:eastAsiaTheme="minorEastAsia"/>
                <w:color w:val="000000" w:themeColor="text1"/>
                <w:szCs w:val="21"/>
              </w:rPr>
            </w:pPr>
            <w:r>
              <w:rPr>
                <w:rFonts w:eastAsiaTheme="minorEastAsia"/>
                <w:color w:val="000000" w:themeColor="text1"/>
                <w:szCs w:val="21"/>
              </w:rPr>
              <w:t>贵金属投资</w:t>
            </w:r>
          </w:p>
        </w:tc>
        <w:tc>
          <w:tcPr>
            <w:tcW w:w="2977" w:type="dxa"/>
            <w:vAlign w:val="center"/>
          </w:tcPr>
          <w:p w:rsidR="00367A6A" w:rsidRDefault="00250141">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367A6A" w:rsidRDefault="00250141">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367A6A">
        <w:tc>
          <w:tcPr>
            <w:tcW w:w="720" w:type="dxa"/>
            <w:vAlign w:val="center"/>
          </w:tcPr>
          <w:p w:rsidR="00367A6A" w:rsidRDefault="00250141">
            <w:pPr>
              <w:spacing w:before="29" w:line="360" w:lineRule="auto"/>
              <w:ind w:left="17"/>
              <w:jc w:val="center"/>
              <w:rPr>
                <w:rFonts w:eastAsiaTheme="minorEastAsia"/>
                <w:color w:val="000000" w:themeColor="text1"/>
                <w:szCs w:val="21"/>
              </w:rPr>
            </w:pPr>
            <w:r>
              <w:rPr>
                <w:rFonts w:eastAsiaTheme="minorEastAsia"/>
                <w:color w:val="000000" w:themeColor="text1"/>
                <w:szCs w:val="21"/>
              </w:rPr>
              <w:t>4</w:t>
            </w:r>
          </w:p>
        </w:tc>
        <w:tc>
          <w:tcPr>
            <w:tcW w:w="3357" w:type="dxa"/>
            <w:vAlign w:val="center"/>
          </w:tcPr>
          <w:p w:rsidR="00367A6A" w:rsidRDefault="00250141">
            <w:pPr>
              <w:spacing w:before="29" w:line="360" w:lineRule="auto"/>
              <w:ind w:left="17"/>
              <w:jc w:val="left"/>
              <w:rPr>
                <w:rFonts w:eastAsiaTheme="minorEastAsia"/>
                <w:color w:val="000000" w:themeColor="text1"/>
                <w:szCs w:val="21"/>
              </w:rPr>
            </w:pPr>
            <w:r>
              <w:rPr>
                <w:rFonts w:eastAsiaTheme="minorEastAsia"/>
                <w:color w:val="000000" w:themeColor="text1"/>
                <w:szCs w:val="21"/>
              </w:rPr>
              <w:t>金融衍生品投资</w:t>
            </w:r>
          </w:p>
        </w:tc>
        <w:tc>
          <w:tcPr>
            <w:tcW w:w="2977" w:type="dxa"/>
            <w:vAlign w:val="center"/>
          </w:tcPr>
          <w:p w:rsidR="00367A6A" w:rsidRDefault="00250141">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367A6A" w:rsidRDefault="00250141">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367A6A">
        <w:tc>
          <w:tcPr>
            <w:tcW w:w="720" w:type="dxa"/>
            <w:vAlign w:val="center"/>
          </w:tcPr>
          <w:p w:rsidR="00367A6A" w:rsidRDefault="00250141">
            <w:pPr>
              <w:spacing w:before="29" w:line="360" w:lineRule="auto"/>
              <w:ind w:left="17"/>
              <w:jc w:val="center"/>
              <w:rPr>
                <w:rFonts w:eastAsiaTheme="minorEastAsia"/>
                <w:color w:val="000000" w:themeColor="text1"/>
                <w:szCs w:val="21"/>
              </w:rPr>
            </w:pPr>
            <w:r>
              <w:rPr>
                <w:rFonts w:eastAsiaTheme="minorEastAsia"/>
                <w:color w:val="000000" w:themeColor="text1"/>
                <w:szCs w:val="21"/>
              </w:rPr>
              <w:t>5</w:t>
            </w:r>
          </w:p>
        </w:tc>
        <w:tc>
          <w:tcPr>
            <w:tcW w:w="3357" w:type="dxa"/>
            <w:vAlign w:val="center"/>
          </w:tcPr>
          <w:p w:rsidR="00367A6A" w:rsidRDefault="00250141">
            <w:pPr>
              <w:spacing w:before="29" w:line="360" w:lineRule="auto"/>
              <w:ind w:left="17"/>
              <w:jc w:val="left"/>
              <w:rPr>
                <w:rFonts w:eastAsiaTheme="minorEastAsia"/>
                <w:color w:val="000000" w:themeColor="text1"/>
                <w:szCs w:val="21"/>
              </w:rPr>
            </w:pPr>
            <w:r>
              <w:rPr>
                <w:rFonts w:eastAsiaTheme="minorEastAsia"/>
                <w:color w:val="000000" w:themeColor="text1"/>
                <w:szCs w:val="21"/>
              </w:rPr>
              <w:t>买入返售金融资产</w:t>
            </w:r>
          </w:p>
        </w:tc>
        <w:tc>
          <w:tcPr>
            <w:tcW w:w="2977" w:type="dxa"/>
            <w:vAlign w:val="center"/>
          </w:tcPr>
          <w:p w:rsidR="00367A6A" w:rsidRDefault="00250141">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367A6A" w:rsidRDefault="00250141">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367A6A">
        <w:tc>
          <w:tcPr>
            <w:tcW w:w="720" w:type="dxa"/>
            <w:vAlign w:val="center"/>
          </w:tcPr>
          <w:p w:rsidR="00367A6A" w:rsidRDefault="00367A6A">
            <w:pPr>
              <w:spacing w:before="29" w:line="360" w:lineRule="auto"/>
              <w:ind w:left="17"/>
              <w:jc w:val="center"/>
              <w:rPr>
                <w:rFonts w:eastAsiaTheme="minorEastAsia"/>
                <w:color w:val="000000" w:themeColor="text1"/>
                <w:szCs w:val="21"/>
              </w:rPr>
            </w:pPr>
          </w:p>
        </w:tc>
        <w:tc>
          <w:tcPr>
            <w:tcW w:w="3357" w:type="dxa"/>
            <w:vAlign w:val="center"/>
          </w:tcPr>
          <w:p w:rsidR="00367A6A" w:rsidRDefault="00250141">
            <w:pPr>
              <w:spacing w:before="29" w:line="360" w:lineRule="auto"/>
              <w:ind w:left="17"/>
              <w:jc w:val="left"/>
              <w:rPr>
                <w:rFonts w:eastAsiaTheme="minorEastAsia"/>
                <w:color w:val="000000" w:themeColor="text1"/>
                <w:szCs w:val="21"/>
              </w:rPr>
            </w:pPr>
            <w:r>
              <w:rPr>
                <w:rFonts w:eastAsiaTheme="minorEastAsia"/>
                <w:color w:val="000000" w:themeColor="text1"/>
                <w:szCs w:val="21"/>
              </w:rPr>
              <w:t>其中：买断式回购的买入返售金融资产</w:t>
            </w:r>
          </w:p>
        </w:tc>
        <w:tc>
          <w:tcPr>
            <w:tcW w:w="2977" w:type="dxa"/>
            <w:vAlign w:val="center"/>
          </w:tcPr>
          <w:p w:rsidR="00367A6A" w:rsidRDefault="00250141">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367A6A" w:rsidRDefault="00250141">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367A6A">
        <w:tc>
          <w:tcPr>
            <w:tcW w:w="720" w:type="dxa"/>
            <w:vAlign w:val="center"/>
          </w:tcPr>
          <w:p w:rsidR="00367A6A" w:rsidRDefault="00250141">
            <w:pPr>
              <w:spacing w:before="29" w:line="360" w:lineRule="auto"/>
              <w:ind w:left="17"/>
              <w:jc w:val="center"/>
              <w:rPr>
                <w:rFonts w:eastAsiaTheme="minorEastAsia"/>
                <w:color w:val="000000" w:themeColor="text1"/>
                <w:szCs w:val="21"/>
              </w:rPr>
            </w:pPr>
            <w:r>
              <w:rPr>
                <w:rFonts w:eastAsiaTheme="minorEastAsia"/>
                <w:color w:val="000000" w:themeColor="text1"/>
                <w:szCs w:val="21"/>
              </w:rPr>
              <w:t>6</w:t>
            </w:r>
          </w:p>
        </w:tc>
        <w:tc>
          <w:tcPr>
            <w:tcW w:w="3357" w:type="dxa"/>
            <w:vAlign w:val="center"/>
          </w:tcPr>
          <w:p w:rsidR="00367A6A" w:rsidRDefault="00250141">
            <w:pPr>
              <w:spacing w:before="29" w:line="360" w:lineRule="auto"/>
              <w:ind w:left="17"/>
              <w:jc w:val="left"/>
              <w:rPr>
                <w:rFonts w:eastAsiaTheme="minorEastAsia"/>
                <w:color w:val="000000" w:themeColor="text1"/>
                <w:szCs w:val="21"/>
              </w:rPr>
            </w:pPr>
            <w:r>
              <w:rPr>
                <w:rFonts w:eastAsiaTheme="minorEastAsia"/>
                <w:color w:val="000000" w:themeColor="text1"/>
                <w:szCs w:val="21"/>
              </w:rPr>
              <w:t>银行存款和结算备付金合计</w:t>
            </w:r>
          </w:p>
        </w:tc>
        <w:tc>
          <w:tcPr>
            <w:tcW w:w="2977" w:type="dxa"/>
            <w:vAlign w:val="center"/>
          </w:tcPr>
          <w:p w:rsidR="00367A6A" w:rsidRDefault="00250141">
            <w:pPr>
              <w:spacing w:before="29" w:line="360" w:lineRule="auto"/>
              <w:ind w:left="17"/>
              <w:jc w:val="right"/>
              <w:rPr>
                <w:rFonts w:eastAsiaTheme="minorEastAsia"/>
                <w:color w:val="000000" w:themeColor="text1"/>
                <w:szCs w:val="21"/>
              </w:rPr>
            </w:pPr>
            <w:r>
              <w:rPr>
                <w:rFonts w:eastAsiaTheme="minorEastAsia"/>
                <w:color w:val="000000" w:themeColor="text1"/>
                <w:szCs w:val="21"/>
              </w:rPr>
              <w:t>1,834,482.28</w:t>
            </w:r>
          </w:p>
        </w:tc>
        <w:tc>
          <w:tcPr>
            <w:tcW w:w="1843" w:type="dxa"/>
            <w:vAlign w:val="center"/>
          </w:tcPr>
          <w:p w:rsidR="00367A6A" w:rsidRDefault="00250141">
            <w:pPr>
              <w:spacing w:before="29" w:line="360" w:lineRule="auto"/>
              <w:ind w:left="17"/>
              <w:jc w:val="right"/>
              <w:rPr>
                <w:rFonts w:eastAsiaTheme="minorEastAsia"/>
                <w:color w:val="000000" w:themeColor="text1"/>
                <w:szCs w:val="21"/>
              </w:rPr>
            </w:pPr>
            <w:r>
              <w:rPr>
                <w:rFonts w:eastAsiaTheme="minorEastAsia"/>
                <w:color w:val="000000" w:themeColor="text1"/>
                <w:szCs w:val="21"/>
              </w:rPr>
              <w:t>61.27</w:t>
            </w:r>
          </w:p>
        </w:tc>
      </w:tr>
      <w:tr w:rsidR="00367A6A">
        <w:tc>
          <w:tcPr>
            <w:tcW w:w="720" w:type="dxa"/>
            <w:vAlign w:val="center"/>
          </w:tcPr>
          <w:p w:rsidR="00367A6A" w:rsidRDefault="00250141">
            <w:pPr>
              <w:spacing w:before="29" w:line="360" w:lineRule="auto"/>
              <w:ind w:left="17"/>
              <w:jc w:val="center"/>
              <w:rPr>
                <w:rFonts w:eastAsiaTheme="minorEastAsia"/>
                <w:color w:val="000000" w:themeColor="text1"/>
                <w:szCs w:val="21"/>
              </w:rPr>
            </w:pPr>
            <w:r>
              <w:rPr>
                <w:rFonts w:eastAsiaTheme="minorEastAsia"/>
                <w:color w:val="000000" w:themeColor="text1"/>
                <w:szCs w:val="21"/>
              </w:rPr>
              <w:t>7</w:t>
            </w:r>
          </w:p>
        </w:tc>
        <w:tc>
          <w:tcPr>
            <w:tcW w:w="3357" w:type="dxa"/>
            <w:vAlign w:val="center"/>
          </w:tcPr>
          <w:p w:rsidR="00367A6A" w:rsidRDefault="00250141">
            <w:pPr>
              <w:rPr>
                <w:rFonts w:eastAsiaTheme="minorEastAsia"/>
                <w:color w:val="000000" w:themeColor="text1"/>
                <w:szCs w:val="21"/>
              </w:rPr>
            </w:pPr>
            <w:r>
              <w:rPr>
                <w:rFonts w:eastAsiaTheme="minorEastAsia"/>
                <w:color w:val="000000" w:themeColor="text1"/>
                <w:szCs w:val="21"/>
              </w:rPr>
              <w:t>其他各项资产</w:t>
            </w:r>
          </w:p>
        </w:tc>
        <w:tc>
          <w:tcPr>
            <w:tcW w:w="2977" w:type="dxa"/>
            <w:vAlign w:val="center"/>
          </w:tcPr>
          <w:p w:rsidR="00367A6A" w:rsidRDefault="00250141">
            <w:pPr>
              <w:jc w:val="right"/>
              <w:rPr>
                <w:rFonts w:eastAsiaTheme="minorEastAsia"/>
                <w:color w:val="000000" w:themeColor="text1"/>
                <w:szCs w:val="21"/>
              </w:rPr>
            </w:pPr>
            <w:r>
              <w:rPr>
                <w:rFonts w:eastAsiaTheme="minorEastAsia"/>
                <w:color w:val="000000" w:themeColor="text1"/>
                <w:szCs w:val="21"/>
              </w:rPr>
              <w:t>56,574.75</w:t>
            </w:r>
          </w:p>
        </w:tc>
        <w:tc>
          <w:tcPr>
            <w:tcW w:w="1843" w:type="dxa"/>
            <w:vAlign w:val="center"/>
          </w:tcPr>
          <w:p w:rsidR="00367A6A" w:rsidRDefault="00250141">
            <w:pPr>
              <w:jc w:val="right"/>
              <w:rPr>
                <w:rFonts w:eastAsiaTheme="minorEastAsia"/>
                <w:color w:val="000000" w:themeColor="text1"/>
                <w:szCs w:val="21"/>
              </w:rPr>
            </w:pPr>
            <w:r>
              <w:rPr>
                <w:rFonts w:eastAsiaTheme="minorEastAsia"/>
                <w:color w:val="000000" w:themeColor="text1"/>
                <w:szCs w:val="21"/>
              </w:rPr>
              <w:t>1.89</w:t>
            </w:r>
          </w:p>
        </w:tc>
      </w:tr>
      <w:tr w:rsidR="00367A6A">
        <w:tc>
          <w:tcPr>
            <w:tcW w:w="720" w:type="dxa"/>
            <w:vAlign w:val="center"/>
          </w:tcPr>
          <w:p w:rsidR="00367A6A" w:rsidRDefault="00250141">
            <w:pPr>
              <w:spacing w:before="29" w:line="360" w:lineRule="auto"/>
              <w:ind w:left="17"/>
              <w:jc w:val="center"/>
              <w:rPr>
                <w:rFonts w:eastAsiaTheme="minorEastAsia"/>
                <w:color w:val="000000" w:themeColor="text1"/>
                <w:szCs w:val="21"/>
              </w:rPr>
            </w:pPr>
            <w:r>
              <w:rPr>
                <w:rFonts w:eastAsiaTheme="minorEastAsia"/>
                <w:color w:val="000000" w:themeColor="text1"/>
                <w:szCs w:val="21"/>
              </w:rPr>
              <w:t>8</w:t>
            </w:r>
          </w:p>
        </w:tc>
        <w:tc>
          <w:tcPr>
            <w:tcW w:w="3357" w:type="dxa"/>
            <w:vAlign w:val="center"/>
          </w:tcPr>
          <w:p w:rsidR="00367A6A" w:rsidRDefault="00250141">
            <w:pPr>
              <w:rPr>
                <w:rFonts w:eastAsiaTheme="minorEastAsia"/>
                <w:color w:val="000000" w:themeColor="text1"/>
                <w:szCs w:val="21"/>
              </w:rPr>
            </w:pPr>
            <w:r>
              <w:rPr>
                <w:rFonts w:eastAsiaTheme="minorEastAsia"/>
                <w:color w:val="000000" w:themeColor="text1"/>
                <w:szCs w:val="21"/>
              </w:rPr>
              <w:t>合计</w:t>
            </w:r>
          </w:p>
        </w:tc>
        <w:tc>
          <w:tcPr>
            <w:tcW w:w="2977" w:type="dxa"/>
            <w:vAlign w:val="center"/>
          </w:tcPr>
          <w:p w:rsidR="00367A6A" w:rsidRDefault="00250141">
            <w:pPr>
              <w:jc w:val="right"/>
              <w:rPr>
                <w:rFonts w:eastAsiaTheme="minorEastAsia"/>
                <w:color w:val="000000" w:themeColor="text1"/>
                <w:szCs w:val="21"/>
              </w:rPr>
            </w:pPr>
            <w:r>
              <w:rPr>
                <w:rFonts w:eastAsiaTheme="minorEastAsia"/>
                <w:color w:val="000000" w:themeColor="text1"/>
                <w:szCs w:val="21"/>
              </w:rPr>
              <w:t>2,994,025.73</w:t>
            </w:r>
          </w:p>
        </w:tc>
        <w:tc>
          <w:tcPr>
            <w:tcW w:w="1843" w:type="dxa"/>
            <w:vAlign w:val="center"/>
          </w:tcPr>
          <w:p w:rsidR="00367A6A" w:rsidRDefault="00250141">
            <w:pPr>
              <w:jc w:val="right"/>
              <w:rPr>
                <w:rFonts w:eastAsiaTheme="minorEastAsia"/>
                <w:color w:val="000000" w:themeColor="text1"/>
                <w:szCs w:val="21"/>
              </w:rPr>
            </w:pPr>
            <w:r>
              <w:rPr>
                <w:rFonts w:eastAsiaTheme="minorEastAsia"/>
                <w:color w:val="000000" w:themeColor="text1"/>
                <w:szCs w:val="21"/>
              </w:rPr>
              <w:t>100.00</w:t>
            </w:r>
          </w:p>
        </w:tc>
      </w:tr>
    </w:tbl>
    <w:p w:rsidR="00367A6A" w:rsidRDefault="00250141">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5.2 </w:t>
      </w:r>
      <w:r>
        <w:rPr>
          <w:rFonts w:eastAsiaTheme="minorEastAsia"/>
          <w:b/>
          <w:color w:val="000000" w:themeColor="text1"/>
          <w:kern w:val="0"/>
          <w:szCs w:val="21"/>
        </w:rPr>
        <w:t>报告期末按行业分类的股票投资组合</w:t>
      </w:r>
    </w:p>
    <w:p w:rsidR="00367A6A" w:rsidRDefault="00250141">
      <w:pPr>
        <w:rPr>
          <w:b/>
        </w:rPr>
      </w:pPr>
      <w:r>
        <w:rPr>
          <w:rFonts w:hint="eastAsia"/>
          <w:b/>
        </w:rPr>
        <w:t xml:space="preserve"> </w:t>
      </w:r>
      <w:r>
        <w:rPr>
          <w:rFonts w:eastAsiaTheme="minorEastAsia" w:hint="eastAsia"/>
          <w:b/>
          <w:color w:val="000000" w:themeColor="text1"/>
          <w:kern w:val="0"/>
          <w:szCs w:val="21"/>
        </w:rPr>
        <w:t>5.2.1</w:t>
      </w:r>
      <w:r>
        <w:rPr>
          <w:rFonts w:eastAsiaTheme="minorEastAsia" w:hint="eastAsia"/>
          <w:b/>
          <w:color w:val="000000" w:themeColor="text1"/>
          <w:kern w:val="0"/>
          <w:szCs w:val="21"/>
        </w:rPr>
        <w:t>报告期末按行业分类的境内股票投资组合</w:t>
      </w:r>
    </w:p>
    <w:p w:rsidR="00367A6A" w:rsidRDefault="0025014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本基金本报告期末未持有股票。</w:t>
      </w:r>
    </w:p>
    <w:p w:rsidR="00367A6A" w:rsidRDefault="00250141">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5.3 </w:t>
      </w:r>
      <w:r>
        <w:rPr>
          <w:rFonts w:eastAsiaTheme="minorEastAsia"/>
          <w:b/>
          <w:color w:val="000000" w:themeColor="text1"/>
          <w:kern w:val="0"/>
          <w:szCs w:val="21"/>
        </w:rPr>
        <w:t>报告期末按公允价值占基金资产净值比例大小排序的前十名股票投资明细</w:t>
      </w:r>
    </w:p>
    <w:p w:rsidR="00367A6A" w:rsidRDefault="0025014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本基金本报告期末未持有股票。</w:t>
      </w:r>
    </w:p>
    <w:p w:rsidR="00367A6A" w:rsidRDefault="00250141">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5.4 </w:t>
      </w:r>
      <w:r>
        <w:rPr>
          <w:rFonts w:eastAsiaTheme="minorEastAsia"/>
          <w:b/>
          <w:color w:val="000000" w:themeColor="text1"/>
          <w:kern w:val="0"/>
          <w:szCs w:val="21"/>
        </w:rPr>
        <w:t>报告期末按债券品种分类的债券投资组合</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835"/>
        <w:gridCol w:w="1616"/>
      </w:tblGrid>
      <w:tr w:rsidR="00367A6A">
        <w:tc>
          <w:tcPr>
            <w:tcW w:w="817" w:type="dxa"/>
            <w:vAlign w:val="center"/>
          </w:tcPr>
          <w:p w:rsidR="00367A6A" w:rsidRDefault="00250141">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3260" w:type="dxa"/>
            <w:vAlign w:val="center"/>
          </w:tcPr>
          <w:p w:rsidR="00367A6A" w:rsidRDefault="00250141">
            <w:pPr>
              <w:spacing w:before="29" w:line="360" w:lineRule="auto"/>
              <w:ind w:left="17"/>
              <w:jc w:val="center"/>
              <w:rPr>
                <w:rFonts w:eastAsiaTheme="minorEastAsia"/>
                <w:color w:val="000000" w:themeColor="text1"/>
                <w:szCs w:val="21"/>
              </w:rPr>
            </w:pPr>
            <w:r>
              <w:rPr>
                <w:rFonts w:eastAsiaTheme="minorEastAsia"/>
                <w:color w:val="000000" w:themeColor="text1"/>
                <w:szCs w:val="21"/>
              </w:rPr>
              <w:t>债券品种</w:t>
            </w:r>
          </w:p>
        </w:tc>
        <w:tc>
          <w:tcPr>
            <w:tcW w:w="2835" w:type="dxa"/>
            <w:vAlign w:val="center"/>
          </w:tcPr>
          <w:p w:rsidR="00367A6A" w:rsidRDefault="00250141">
            <w:pPr>
              <w:spacing w:before="29" w:line="360" w:lineRule="auto"/>
              <w:ind w:left="17"/>
              <w:jc w:val="center"/>
              <w:rPr>
                <w:rFonts w:eastAsiaTheme="minorEastAsia"/>
                <w:color w:val="000000" w:themeColor="text1"/>
                <w:szCs w:val="21"/>
              </w:rPr>
            </w:pPr>
            <w:r>
              <w:rPr>
                <w:rFonts w:eastAsiaTheme="minorEastAsia"/>
                <w:color w:val="000000" w:themeColor="text1"/>
                <w:szCs w:val="21"/>
              </w:rPr>
              <w:t>公允价值</w:t>
            </w:r>
            <w:r>
              <w:rPr>
                <w:rFonts w:eastAsiaTheme="minorEastAsia"/>
                <w:color w:val="000000" w:themeColor="text1"/>
                <w:szCs w:val="21"/>
              </w:rPr>
              <w:t>(</w:t>
            </w:r>
            <w:r>
              <w:rPr>
                <w:rFonts w:eastAsiaTheme="minorEastAsia"/>
                <w:color w:val="000000" w:themeColor="text1"/>
                <w:szCs w:val="21"/>
              </w:rPr>
              <w:t>元</w:t>
            </w:r>
            <w:r>
              <w:rPr>
                <w:rFonts w:eastAsiaTheme="minorEastAsia"/>
                <w:color w:val="000000" w:themeColor="text1"/>
                <w:szCs w:val="21"/>
              </w:rPr>
              <w:t>)</w:t>
            </w:r>
          </w:p>
        </w:tc>
        <w:tc>
          <w:tcPr>
            <w:tcW w:w="1616" w:type="dxa"/>
            <w:vAlign w:val="center"/>
          </w:tcPr>
          <w:p w:rsidR="00367A6A" w:rsidRDefault="00250141">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w:t>
            </w:r>
          </w:p>
        </w:tc>
      </w:tr>
      <w:tr w:rsidR="00367A6A">
        <w:tc>
          <w:tcPr>
            <w:tcW w:w="817" w:type="dxa"/>
            <w:vAlign w:val="center"/>
          </w:tcPr>
          <w:p w:rsidR="00367A6A" w:rsidRDefault="00250141">
            <w:pPr>
              <w:spacing w:before="29" w:line="360" w:lineRule="auto"/>
              <w:ind w:left="17"/>
              <w:jc w:val="center"/>
              <w:rPr>
                <w:rFonts w:eastAsiaTheme="minorEastAsia"/>
                <w:color w:val="000000" w:themeColor="text1"/>
                <w:szCs w:val="21"/>
              </w:rPr>
            </w:pPr>
            <w:r>
              <w:rPr>
                <w:rFonts w:eastAsiaTheme="minorEastAsia"/>
                <w:color w:val="000000" w:themeColor="text1"/>
                <w:szCs w:val="21"/>
              </w:rPr>
              <w:t>1</w:t>
            </w:r>
          </w:p>
        </w:tc>
        <w:tc>
          <w:tcPr>
            <w:tcW w:w="3260" w:type="dxa"/>
            <w:vAlign w:val="center"/>
          </w:tcPr>
          <w:p w:rsidR="00367A6A" w:rsidRDefault="00250141">
            <w:pPr>
              <w:spacing w:before="29" w:line="360" w:lineRule="auto"/>
              <w:ind w:left="17"/>
              <w:jc w:val="left"/>
              <w:rPr>
                <w:rFonts w:eastAsiaTheme="minorEastAsia"/>
                <w:color w:val="000000" w:themeColor="text1"/>
                <w:szCs w:val="21"/>
              </w:rPr>
            </w:pPr>
            <w:r>
              <w:rPr>
                <w:rFonts w:eastAsiaTheme="minorEastAsia"/>
                <w:color w:val="000000" w:themeColor="text1"/>
                <w:szCs w:val="21"/>
              </w:rPr>
              <w:t>国家债券</w:t>
            </w:r>
          </w:p>
        </w:tc>
        <w:tc>
          <w:tcPr>
            <w:tcW w:w="2835" w:type="dxa"/>
            <w:vAlign w:val="center"/>
          </w:tcPr>
          <w:p w:rsidR="00367A6A" w:rsidRDefault="00250141">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16" w:type="dxa"/>
            <w:vAlign w:val="center"/>
          </w:tcPr>
          <w:p w:rsidR="00367A6A" w:rsidRDefault="00250141">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367A6A">
        <w:tc>
          <w:tcPr>
            <w:tcW w:w="817" w:type="dxa"/>
            <w:vAlign w:val="center"/>
          </w:tcPr>
          <w:p w:rsidR="00367A6A" w:rsidRDefault="00250141">
            <w:pPr>
              <w:spacing w:before="29" w:line="360" w:lineRule="auto"/>
              <w:ind w:left="17"/>
              <w:jc w:val="center"/>
              <w:rPr>
                <w:rFonts w:eastAsiaTheme="minorEastAsia"/>
                <w:color w:val="000000" w:themeColor="text1"/>
                <w:szCs w:val="21"/>
              </w:rPr>
            </w:pPr>
            <w:r>
              <w:rPr>
                <w:rFonts w:eastAsiaTheme="minorEastAsia"/>
                <w:color w:val="000000" w:themeColor="text1"/>
                <w:szCs w:val="21"/>
              </w:rPr>
              <w:t>2</w:t>
            </w:r>
          </w:p>
        </w:tc>
        <w:tc>
          <w:tcPr>
            <w:tcW w:w="3260" w:type="dxa"/>
            <w:vAlign w:val="center"/>
          </w:tcPr>
          <w:p w:rsidR="00367A6A" w:rsidRDefault="00250141">
            <w:pPr>
              <w:spacing w:before="29" w:line="360" w:lineRule="auto"/>
              <w:ind w:left="17"/>
              <w:jc w:val="left"/>
              <w:rPr>
                <w:rFonts w:eastAsiaTheme="minorEastAsia"/>
                <w:color w:val="000000" w:themeColor="text1"/>
                <w:szCs w:val="21"/>
              </w:rPr>
            </w:pPr>
            <w:r>
              <w:rPr>
                <w:rFonts w:eastAsiaTheme="minorEastAsia"/>
                <w:color w:val="000000" w:themeColor="text1"/>
                <w:szCs w:val="21"/>
              </w:rPr>
              <w:t>央行票据</w:t>
            </w:r>
          </w:p>
        </w:tc>
        <w:tc>
          <w:tcPr>
            <w:tcW w:w="2835" w:type="dxa"/>
            <w:vAlign w:val="center"/>
          </w:tcPr>
          <w:p w:rsidR="00367A6A" w:rsidRDefault="00250141">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16" w:type="dxa"/>
            <w:vAlign w:val="center"/>
          </w:tcPr>
          <w:p w:rsidR="00367A6A" w:rsidRDefault="00250141">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367A6A">
        <w:tc>
          <w:tcPr>
            <w:tcW w:w="817" w:type="dxa"/>
            <w:vAlign w:val="center"/>
          </w:tcPr>
          <w:p w:rsidR="00367A6A" w:rsidRDefault="00250141">
            <w:pPr>
              <w:spacing w:before="29" w:line="360" w:lineRule="auto"/>
              <w:ind w:left="17"/>
              <w:jc w:val="center"/>
              <w:rPr>
                <w:rFonts w:eastAsiaTheme="minorEastAsia"/>
                <w:color w:val="000000" w:themeColor="text1"/>
                <w:szCs w:val="21"/>
              </w:rPr>
            </w:pPr>
            <w:r>
              <w:rPr>
                <w:rFonts w:eastAsiaTheme="minorEastAsia"/>
                <w:color w:val="000000" w:themeColor="text1"/>
                <w:szCs w:val="21"/>
              </w:rPr>
              <w:t>3</w:t>
            </w:r>
          </w:p>
        </w:tc>
        <w:tc>
          <w:tcPr>
            <w:tcW w:w="3260" w:type="dxa"/>
            <w:vAlign w:val="center"/>
          </w:tcPr>
          <w:p w:rsidR="00367A6A" w:rsidRDefault="00250141">
            <w:pPr>
              <w:spacing w:before="29" w:line="360" w:lineRule="auto"/>
              <w:ind w:left="17"/>
              <w:jc w:val="left"/>
              <w:rPr>
                <w:rFonts w:eastAsiaTheme="minorEastAsia"/>
                <w:color w:val="000000" w:themeColor="text1"/>
                <w:szCs w:val="21"/>
              </w:rPr>
            </w:pPr>
            <w:r>
              <w:rPr>
                <w:rFonts w:eastAsiaTheme="minorEastAsia"/>
                <w:color w:val="000000" w:themeColor="text1"/>
                <w:szCs w:val="21"/>
              </w:rPr>
              <w:t>金融债券</w:t>
            </w:r>
          </w:p>
        </w:tc>
        <w:tc>
          <w:tcPr>
            <w:tcW w:w="2835" w:type="dxa"/>
            <w:vAlign w:val="center"/>
          </w:tcPr>
          <w:p w:rsidR="00367A6A" w:rsidRDefault="00250141">
            <w:pPr>
              <w:spacing w:before="29" w:line="360" w:lineRule="auto"/>
              <w:ind w:left="17"/>
              <w:jc w:val="right"/>
              <w:rPr>
                <w:rFonts w:eastAsiaTheme="minorEastAsia"/>
                <w:color w:val="000000" w:themeColor="text1"/>
                <w:szCs w:val="21"/>
              </w:rPr>
            </w:pPr>
            <w:r>
              <w:rPr>
                <w:rFonts w:eastAsiaTheme="minorEastAsia"/>
                <w:color w:val="000000" w:themeColor="text1"/>
                <w:szCs w:val="21"/>
              </w:rPr>
              <w:t>1,000,200.00</w:t>
            </w:r>
          </w:p>
        </w:tc>
        <w:tc>
          <w:tcPr>
            <w:tcW w:w="1616" w:type="dxa"/>
            <w:vAlign w:val="center"/>
          </w:tcPr>
          <w:p w:rsidR="00367A6A" w:rsidRDefault="00250141">
            <w:pPr>
              <w:spacing w:before="29" w:line="360" w:lineRule="auto"/>
              <w:ind w:left="17"/>
              <w:jc w:val="right"/>
              <w:rPr>
                <w:rFonts w:eastAsiaTheme="minorEastAsia"/>
                <w:color w:val="000000" w:themeColor="text1"/>
                <w:szCs w:val="21"/>
              </w:rPr>
            </w:pPr>
            <w:r>
              <w:rPr>
                <w:rFonts w:eastAsiaTheme="minorEastAsia"/>
                <w:color w:val="000000" w:themeColor="text1"/>
                <w:szCs w:val="21"/>
              </w:rPr>
              <w:t>39.48</w:t>
            </w:r>
          </w:p>
        </w:tc>
      </w:tr>
      <w:tr w:rsidR="00367A6A">
        <w:tc>
          <w:tcPr>
            <w:tcW w:w="817" w:type="dxa"/>
            <w:vAlign w:val="center"/>
          </w:tcPr>
          <w:p w:rsidR="00367A6A" w:rsidRDefault="00367A6A">
            <w:pPr>
              <w:spacing w:before="29" w:line="360" w:lineRule="auto"/>
              <w:ind w:left="17"/>
              <w:jc w:val="center"/>
              <w:rPr>
                <w:rFonts w:eastAsiaTheme="minorEastAsia"/>
                <w:color w:val="000000" w:themeColor="text1"/>
                <w:szCs w:val="21"/>
              </w:rPr>
            </w:pPr>
          </w:p>
        </w:tc>
        <w:tc>
          <w:tcPr>
            <w:tcW w:w="3260" w:type="dxa"/>
            <w:vAlign w:val="center"/>
          </w:tcPr>
          <w:p w:rsidR="00367A6A" w:rsidRDefault="00250141">
            <w:pPr>
              <w:spacing w:before="29" w:line="360" w:lineRule="auto"/>
              <w:ind w:left="17"/>
              <w:jc w:val="left"/>
              <w:rPr>
                <w:rFonts w:eastAsiaTheme="minorEastAsia"/>
                <w:color w:val="000000" w:themeColor="text1"/>
                <w:szCs w:val="21"/>
              </w:rPr>
            </w:pPr>
            <w:r>
              <w:rPr>
                <w:rFonts w:eastAsiaTheme="minorEastAsia"/>
                <w:color w:val="000000" w:themeColor="text1"/>
                <w:szCs w:val="21"/>
              </w:rPr>
              <w:t>其中：政策性金融债</w:t>
            </w:r>
          </w:p>
        </w:tc>
        <w:tc>
          <w:tcPr>
            <w:tcW w:w="2835" w:type="dxa"/>
            <w:vAlign w:val="center"/>
          </w:tcPr>
          <w:p w:rsidR="00367A6A" w:rsidRDefault="00250141">
            <w:pPr>
              <w:spacing w:before="29" w:line="360" w:lineRule="auto"/>
              <w:ind w:left="17"/>
              <w:jc w:val="right"/>
              <w:rPr>
                <w:rFonts w:eastAsiaTheme="minorEastAsia"/>
                <w:color w:val="000000" w:themeColor="text1"/>
                <w:szCs w:val="21"/>
              </w:rPr>
            </w:pPr>
            <w:r>
              <w:rPr>
                <w:rFonts w:eastAsiaTheme="minorEastAsia"/>
                <w:color w:val="000000" w:themeColor="text1"/>
                <w:szCs w:val="21"/>
              </w:rPr>
              <w:t>1,000,200.00</w:t>
            </w:r>
          </w:p>
        </w:tc>
        <w:tc>
          <w:tcPr>
            <w:tcW w:w="1616" w:type="dxa"/>
            <w:vAlign w:val="center"/>
          </w:tcPr>
          <w:p w:rsidR="00367A6A" w:rsidRDefault="00250141">
            <w:pPr>
              <w:spacing w:before="29" w:line="360" w:lineRule="auto"/>
              <w:ind w:left="17"/>
              <w:jc w:val="right"/>
              <w:rPr>
                <w:rFonts w:eastAsiaTheme="minorEastAsia"/>
                <w:color w:val="000000" w:themeColor="text1"/>
                <w:szCs w:val="21"/>
              </w:rPr>
            </w:pPr>
            <w:r>
              <w:rPr>
                <w:rFonts w:eastAsiaTheme="minorEastAsia"/>
                <w:color w:val="000000" w:themeColor="text1"/>
                <w:szCs w:val="21"/>
              </w:rPr>
              <w:t>39.48</w:t>
            </w:r>
          </w:p>
        </w:tc>
      </w:tr>
      <w:tr w:rsidR="00367A6A">
        <w:tc>
          <w:tcPr>
            <w:tcW w:w="817" w:type="dxa"/>
            <w:vAlign w:val="center"/>
          </w:tcPr>
          <w:p w:rsidR="00367A6A" w:rsidRDefault="00250141">
            <w:pPr>
              <w:spacing w:before="29" w:line="360" w:lineRule="auto"/>
              <w:ind w:left="17"/>
              <w:jc w:val="center"/>
              <w:rPr>
                <w:rFonts w:eastAsiaTheme="minorEastAsia"/>
                <w:color w:val="000000" w:themeColor="text1"/>
                <w:szCs w:val="21"/>
              </w:rPr>
            </w:pPr>
            <w:r>
              <w:rPr>
                <w:rFonts w:eastAsiaTheme="minorEastAsia"/>
                <w:color w:val="000000" w:themeColor="text1"/>
                <w:szCs w:val="21"/>
              </w:rPr>
              <w:t>4</w:t>
            </w:r>
          </w:p>
        </w:tc>
        <w:tc>
          <w:tcPr>
            <w:tcW w:w="3260" w:type="dxa"/>
            <w:vAlign w:val="center"/>
          </w:tcPr>
          <w:p w:rsidR="00367A6A" w:rsidRDefault="00250141">
            <w:pPr>
              <w:spacing w:before="29" w:line="360" w:lineRule="auto"/>
              <w:ind w:left="17"/>
              <w:jc w:val="left"/>
              <w:rPr>
                <w:rFonts w:eastAsiaTheme="minorEastAsia"/>
                <w:color w:val="000000" w:themeColor="text1"/>
                <w:szCs w:val="21"/>
              </w:rPr>
            </w:pPr>
            <w:r>
              <w:rPr>
                <w:rFonts w:eastAsiaTheme="minorEastAsia"/>
                <w:color w:val="000000" w:themeColor="text1"/>
                <w:szCs w:val="21"/>
              </w:rPr>
              <w:t>企业债券</w:t>
            </w:r>
          </w:p>
        </w:tc>
        <w:tc>
          <w:tcPr>
            <w:tcW w:w="2835" w:type="dxa"/>
            <w:vAlign w:val="center"/>
          </w:tcPr>
          <w:p w:rsidR="00367A6A" w:rsidRDefault="00250141">
            <w:pPr>
              <w:spacing w:before="29" w:line="360" w:lineRule="auto"/>
              <w:ind w:left="17"/>
              <w:jc w:val="right"/>
              <w:rPr>
                <w:rFonts w:eastAsiaTheme="minorEastAsia"/>
                <w:color w:val="000000" w:themeColor="text1"/>
                <w:szCs w:val="21"/>
              </w:rPr>
            </w:pPr>
            <w:r>
              <w:rPr>
                <w:rFonts w:eastAsiaTheme="minorEastAsia"/>
                <w:color w:val="000000" w:themeColor="text1"/>
                <w:szCs w:val="21"/>
              </w:rPr>
              <w:t>86,744.70</w:t>
            </w:r>
          </w:p>
        </w:tc>
        <w:tc>
          <w:tcPr>
            <w:tcW w:w="1616" w:type="dxa"/>
            <w:vAlign w:val="center"/>
          </w:tcPr>
          <w:p w:rsidR="00367A6A" w:rsidRDefault="00250141">
            <w:pPr>
              <w:spacing w:before="29" w:line="360" w:lineRule="auto"/>
              <w:ind w:left="17"/>
              <w:jc w:val="right"/>
              <w:rPr>
                <w:rFonts w:eastAsiaTheme="minorEastAsia"/>
                <w:color w:val="000000" w:themeColor="text1"/>
                <w:szCs w:val="21"/>
              </w:rPr>
            </w:pPr>
            <w:r>
              <w:rPr>
                <w:rFonts w:eastAsiaTheme="minorEastAsia"/>
                <w:color w:val="000000" w:themeColor="text1"/>
                <w:szCs w:val="21"/>
              </w:rPr>
              <w:t>3.42</w:t>
            </w:r>
          </w:p>
        </w:tc>
      </w:tr>
      <w:tr w:rsidR="00367A6A">
        <w:tc>
          <w:tcPr>
            <w:tcW w:w="817" w:type="dxa"/>
            <w:vAlign w:val="center"/>
          </w:tcPr>
          <w:p w:rsidR="00367A6A" w:rsidRDefault="00250141">
            <w:pPr>
              <w:spacing w:before="29" w:line="360" w:lineRule="auto"/>
              <w:ind w:left="17"/>
              <w:jc w:val="center"/>
              <w:rPr>
                <w:rFonts w:eastAsiaTheme="minorEastAsia"/>
                <w:color w:val="000000" w:themeColor="text1"/>
                <w:szCs w:val="21"/>
              </w:rPr>
            </w:pPr>
            <w:r>
              <w:rPr>
                <w:rFonts w:eastAsiaTheme="minorEastAsia"/>
                <w:color w:val="000000" w:themeColor="text1"/>
                <w:szCs w:val="21"/>
              </w:rPr>
              <w:t>5</w:t>
            </w:r>
          </w:p>
        </w:tc>
        <w:tc>
          <w:tcPr>
            <w:tcW w:w="3260" w:type="dxa"/>
            <w:vAlign w:val="center"/>
          </w:tcPr>
          <w:p w:rsidR="00367A6A" w:rsidRDefault="00250141">
            <w:pPr>
              <w:spacing w:before="29" w:line="360" w:lineRule="auto"/>
              <w:ind w:left="17"/>
              <w:jc w:val="left"/>
              <w:rPr>
                <w:rFonts w:eastAsiaTheme="minorEastAsia"/>
                <w:color w:val="000000" w:themeColor="text1"/>
                <w:szCs w:val="21"/>
              </w:rPr>
            </w:pPr>
            <w:r>
              <w:rPr>
                <w:rFonts w:eastAsiaTheme="minorEastAsia"/>
                <w:color w:val="000000" w:themeColor="text1"/>
                <w:szCs w:val="21"/>
              </w:rPr>
              <w:t>企业短期融资券</w:t>
            </w:r>
          </w:p>
        </w:tc>
        <w:tc>
          <w:tcPr>
            <w:tcW w:w="2835" w:type="dxa"/>
            <w:vAlign w:val="center"/>
          </w:tcPr>
          <w:p w:rsidR="00367A6A" w:rsidRDefault="00250141">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16" w:type="dxa"/>
            <w:vAlign w:val="center"/>
          </w:tcPr>
          <w:p w:rsidR="00367A6A" w:rsidRDefault="00250141">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367A6A">
        <w:tc>
          <w:tcPr>
            <w:tcW w:w="817" w:type="dxa"/>
            <w:vAlign w:val="center"/>
          </w:tcPr>
          <w:p w:rsidR="00367A6A" w:rsidRDefault="00250141">
            <w:pPr>
              <w:spacing w:before="29" w:line="360" w:lineRule="auto"/>
              <w:ind w:left="17"/>
              <w:jc w:val="center"/>
              <w:rPr>
                <w:rFonts w:eastAsiaTheme="minorEastAsia"/>
                <w:color w:val="000000" w:themeColor="text1"/>
                <w:szCs w:val="21"/>
              </w:rPr>
            </w:pPr>
            <w:r>
              <w:rPr>
                <w:rFonts w:eastAsiaTheme="minorEastAsia"/>
                <w:color w:val="000000" w:themeColor="text1"/>
                <w:szCs w:val="21"/>
              </w:rPr>
              <w:t>6</w:t>
            </w:r>
          </w:p>
        </w:tc>
        <w:tc>
          <w:tcPr>
            <w:tcW w:w="3260" w:type="dxa"/>
            <w:vAlign w:val="center"/>
          </w:tcPr>
          <w:p w:rsidR="00367A6A" w:rsidRDefault="00250141">
            <w:pPr>
              <w:spacing w:before="29" w:line="360" w:lineRule="auto"/>
              <w:ind w:left="17"/>
              <w:jc w:val="left"/>
              <w:rPr>
                <w:rFonts w:eastAsiaTheme="minorEastAsia"/>
                <w:color w:val="000000" w:themeColor="text1"/>
                <w:szCs w:val="21"/>
              </w:rPr>
            </w:pPr>
            <w:r>
              <w:rPr>
                <w:rFonts w:eastAsiaTheme="minorEastAsia"/>
                <w:color w:val="000000" w:themeColor="text1"/>
                <w:szCs w:val="21"/>
              </w:rPr>
              <w:t>中期票据</w:t>
            </w:r>
          </w:p>
        </w:tc>
        <w:tc>
          <w:tcPr>
            <w:tcW w:w="2835" w:type="dxa"/>
            <w:vAlign w:val="center"/>
          </w:tcPr>
          <w:p w:rsidR="00367A6A" w:rsidRDefault="00250141">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16" w:type="dxa"/>
            <w:vAlign w:val="center"/>
          </w:tcPr>
          <w:p w:rsidR="00367A6A" w:rsidRDefault="00250141">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367A6A">
        <w:tc>
          <w:tcPr>
            <w:tcW w:w="817" w:type="dxa"/>
            <w:vAlign w:val="center"/>
          </w:tcPr>
          <w:p w:rsidR="00367A6A" w:rsidRDefault="00250141">
            <w:pPr>
              <w:spacing w:before="29" w:line="360" w:lineRule="auto"/>
              <w:ind w:left="17"/>
              <w:jc w:val="center"/>
              <w:rPr>
                <w:rFonts w:eastAsiaTheme="minorEastAsia"/>
                <w:color w:val="000000" w:themeColor="text1"/>
                <w:szCs w:val="21"/>
              </w:rPr>
            </w:pPr>
            <w:r>
              <w:rPr>
                <w:rFonts w:eastAsiaTheme="minorEastAsia"/>
                <w:color w:val="000000" w:themeColor="text1"/>
                <w:szCs w:val="21"/>
              </w:rPr>
              <w:t>7</w:t>
            </w:r>
          </w:p>
        </w:tc>
        <w:tc>
          <w:tcPr>
            <w:tcW w:w="3260" w:type="dxa"/>
            <w:vAlign w:val="center"/>
          </w:tcPr>
          <w:p w:rsidR="00367A6A" w:rsidRDefault="00250141">
            <w:pPr>
              <w:spacing w:before="29" w:line="360" w:lineRule="auto"/>
              <w:ind w:left="17"/>
              <w:jc w:val="left"/>
              <w:rPr>
                <w:rFonts w:eastAsiaTheme="minorEastAsia"/>
                <w:color w:val="000000" w:themeColor="text1"/>
                <w:szCs w:val="21"/>
              </w:rPr>
            </w:pPr>
            <w:r>
              <w:rPr>
                <w:rFonts w:eastAsiaTheme="minorEastAsia"/>
                <w:color w:val="000000" w:themeColor="text1"/>
                <w:szCs w:val="21"/>
              </w:rPr>
              <w:t>可转债</w:t>
            </w:r>
            <w:r>
              <w:rPr>
                <w:rFonts w:eastAsiaTheme="minorEastAsia" w:hint="eastAsia"/>
                <w:color w:val="000000" w:themeColor="text1"/>
                <w:szCs w:val="21"/>
              </w:rPr>
              <w:t>（可交换债）</w:t>
            </w:r>
          </w:p>
        </w:tc>
        <w:tc>
          <w:tcPr>
            <w:tcW w:w="2835" w:type="dxa"/>
            <w:vAlign w:val="center"/>
          </w:tcPr>
          <w:p w:rsidR="00367A6A" w:rsidRDefault="00250141">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16" w:type="dxa"/>
            <w:vAlign w:val="center"/>
          </w:tcPr>
          <w:p w:rsidR="00367A6A" w:rsidRDefault="00250141">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367A6A">
        <w:tc>
          <w:tcPr>
            <w:tcW w:w="817" w:type="dxa"/>
            <w:vAlign w:val="center"/>
          </w:tcPr>
          <w:p w:rsidR="00367A6A" w:rsidRDefault="00250141">
            <w:pPr>
              <w:spacing w:before="29" w:line="360" w:lineRule="auto"/>
              <w:ind w:left="17"/>
              <w:jc w:val="center"/>
              <w:rPr>
                <w:rFonts w:eastAsiaTheme="minorEastAsia"/>
                <w:color w:val="000000" w:themeColor="text1"/>
                <w:szCs w:val="21"/>
              </w:rPr>
            </w:pPr>
            <w:r>
              <w:rPr>
                <w:rFonts w:eastAsiaTheme="minorEastAsia" w:hint="eastAsia"/>
                <w:color w:val="000000" w:themeColor="text1"/>
                <w:szCs w:val="21"/>
              </w:rPr>
              <w:t>8</w:t>
            </w:r>
          </w:p>
        </w:tc>
        <w:tc>
          <w:tcPr>
            <w:tcW w:w="3260" w:type="dxa"/>
            <w:vAlign w:val="center"/>
          </w:tcPr>
          <w:p w:rsidR="00367A6A" w:rsidRDefault="00250141">
            <w:pPr>
              <w:spacing w:before="29" w:line="360" w:lineRule="auto"/>
              <w:ind w:left="17"/>
              <w:jc w:val="left"/>
              <w:rPr>
                <w:rFonts w:eastAsiaTheme="minorEastAsia"/>
                <w:color w:val="000000" w:themeColor="text1"/>
                <w:szCs w:val="21"/>
              </w:rPr>
            </w:pPr>
            <w:r>
              <w:rPr>
                <w:rFonts w:eastAsiaTheme="minorEastAsia" w:hint="eastAsia"/>
                <w:color w:val="000000" w:themeColor="text1"/>
                <w:szCs w:val="21"/>
              </w:rPr>
              <w:t>同业存单</w:t>
            </w:r>
          </w:p>
        </w:tc>
        <w:tc>
          <w:tcPr>
            <w:tcW w:w="2835" w:type="dxa"/>
            <w:vAlign w:val="center"/>
          </w:tcPr>
          <w:p w:rsidR="00367A6A" w:rsidRDefault="00250141">
            <w:pPr>
              <w:spacing w:before="29" w:line="360" w:lineRule="auto"/>
              <w:ind w:left="17"/>
              <w:jc w:val="right"/>
              <w:rPr>
                <w:rFonts w:eastAsiaTheme="minorEastAsia"/>
                <w:color w:val="000000" w:themeColor="text1"/>
                <w:szCs w:val="21"/>
              </w:rPr>
            </w:pPr>
            <w:r>
              <w:rPr>
                <w:rFonts w:eastAsiaTheme="minorEastAsia" w:hint="eastAsia"/>
                <w:color w:val="000000" w:themeColor="text1"/>
                <w:szCs w:val="21"/>
              </w:rPr>
              <w:t>-</w:t>
            </w:r>
          </w:p>
        </w:tc>
        <w:tc>
          <w:tcPr>
            <w:tcW w:w="1616" w:type="dxa"/>
            <w:vAlign w:val="center"/>
          </w:tcPr>
          <w:p w:rsidR="00367A6A" w:rsidRDefault="00250141">
            <w:pPr>
              <w:spacing w:before="29" w:line="360" w:lineRule="auto"/>
              <w:ind w:left="17"/>
              <w:jc w:val="right"/>
              <w:rPr>
                <w:rFonts w:eastAsiaTheme="minorEastAsia"/>
                <w:color w:val="000000" w:themeColor="text1"/>
                <w:szCs w:val="21"/>
              </w:rPr>
            </w:pPr>
            <w:r>
              <w:rPr>
                <w:rFonts w:eastAsiaTheme="minorEastAsia" w:hint="eastAsia"/>
                <w:color w:val="000000" w:themeColor="text1"/>
                <w:szCs w:val="21"/>
              </w:rPr>
              <w:t>-</w:t>
            </w:r>
          </w:p>
        </w:tc>
      </w:tr>
      <w:tr w:rsidR="00367A6A">
        <w:tc>
          <w:tcPr>
            <w:tcW w:w="817" w:type="dxa"/>
            <w:vAlign w:val="center"/>
          </w:tcPr>
          <w:p w:rsidR="00367A6A" w:rsidRDefault="00250141">
            <w:pPr>
              <w:spacing w:before="29" w:line="360" w:lineRule="auto"/>
              <w:ind w:left="17"/>
              <w:jc w:val="center"/>
              <w:rPr>
                <w:rFonts w:eastAsiaTheme="minorEastAsia"/>
                <w:color w:val="000000" w:themeColor="text1"/>
                <w:szCs w:val="21"/>
              </w:rPr>
            </w:pPr>
            <w:r>
              <w:rPr>
                <w:rFonts w:eastAsiaTheme="minorEastAsia"/>
                <w:color w:val="000000" w:themeColor="text1"/>
                <w:szCs w:val="21"/>
              </w:rPr>
              <w:t>9</w:t>
            </w:r>
          </w:p>
        </w:tc>
        <w:tc>
          <w:tcPr>
            <w:tcW w:w="3260" w:type="dxa"/>
            <w:vAlign w:val="center"/>
          </w:tcPr>
          <w:p w:rsidR="00367A6A" w:rsidRDefault="00250141">
            <w:pPr>
              <w:spacing w:before="29" w:line="360" w:lineRule="auto"/>
              <w:ind w:left="17"/>
              <w:jc w:val="left"/>
              <w:rPr>
                <w:rFonts w:eastAsiaTheme="minorEastAsia"/>
                <w:color w:val="000000" w:themeColor="text1"/>
                <w:szCs w:val="21"/>
              </w:rPr>
            </w:pPr>
            <w:r>
              <w:rPr>
                <w:rFonts w:eastAsiaTheme="minorEastAsia"/>
                <w:color w:val="000000" w:themeColor="text1"/>
                <w:szCs w:val="21"/>
              </w:rPr>
              <w:t>其他</w:t>
            </w:r>
          </w:p>
        </w:tc>
        <w:tc>
          <w:tcPr>
            <w:tcW w:w="2835" w:type="dxa"/>
            <w:vAlign w:val="center"/>
          </w:tcPr>
          <w:p w:rsidR="00367A6A" w:rsidRDefault="00250141">
            <w:pPr>
              <w:spacing w:before="29" w:line="360" w:lineRule="auto"/>
              <w:ind w:left="17"/>
              <w:jc w:val="right"/>
              <w:rPr>
                <w:rFonts w:eastAsiaTheme="minorEastAsia"/>
                <w:color w:val="000000" w:themeColor="text1"/>
                <w:szCs w:val="21"/>
              </w:rPr>
            </w:pPr>
            <w:r>
              <w:rPr>
                <w:rFonts w:eastAsiaTheme="minorEastAsia"/>
                <w:color w:val="000000" w:themeColor="text1"/>
                <w:szCs w:val="21"/>
              </w:rPr>
              <w:t>16,024.00</w:t>
            </w:r>
          </w:p>
        </w:tc>
        <w:tc>
          <w:tcPr>
            <w:tcW w:w="1616" w:type="dxa"/>
            <w:vAlign w:val="center"/>
          </w:tcPr>
          <w:p w:rsidR="00367A6A" w:rsidRDefault="00250141">
            <w:pPr>
              <w:spacing w:before="29" w:line="360" w:lineRule="auto"/>
              <w:ind w:left="17"/>
              <w:jc w:val="right"/>
              <w:rPr>
                <w:rFonts w:eastAsiaTheme="minorEastAsia"/>
                <w:color w:val="000000" w:themeColor="text1"/>
                <w:szCs w:val="21"/>
              </w:rPr>
            </w:pPr>
            <w:r>
              <w:rPr>
                <w:rFonts w:eastAsiaTheme="minorEastAsia"/>
                <w:color w:val="000000" w:themeColor="text1"/>
                <w:szCs w:val="21"/>
              </w:rPr>
              <w:t>0.63</w:t>
            </w:r>
          </w:p>
        </w:tc>
      </w:tr>
      <w:tr w:rsidR="00367A6A">
        <w:tc>
          <w:tcPr>
            <w:tcW w:w="817" w:type="dxa"/>
            <w:vAlign w:val="center"/>
          </w:tcPr>
          <w:p w:rsidR="00367A6A" w:rsidRDefault="00250141">
            <w:pPr>
              <w:spacing w:before="29" w:line="360" w:lineRule="auto"/>
              <w:ind w:left="17"/>
              <w:jc w:val="center"/>
              <w:rPr>
                <w:rFonts w:eastAsiaTheme="minorEastAsia"/>
                <w:color w:val="000000" w:themeColor="text1"/>
                <w:szCs w:val="21"/>
              </w:rPr>
            </w:pPr>
            <w:r>
              <w:rPr>
                <w:rFonts w:eastAsiaTheme="minorEastAsia"/>
                <w:color w:val="000000" w:themeColor="text1"/>
                <w:szCs w:val="21"/>
              </w:rPr>
              <w:t>10</w:t>
            </w:r>
          </w:p>
        </w:tc>
        <w:tc>
          <w:tcPr>
            <w:tcW w:w="3260" w:type="dxa"/>
            <w:vAlign w:val="center"/>
          </w:tcPr>
          <w:p w:rsidR="00367A6A" w:rsidRDefault="00250141">
            <w:pPr>
              <w:spacing w:before="29" w:line="360" w:lineRule="auto"/>
              <w:ind w:left="17"/>
              <w:jc w:val="left"/>
              <w:rPr>
                <w:rFonts w:eastAsiaTheme="minorEastAsia"/>
                <w:color w:val="000000" w:themeColor="text1"/>
                <w:szCs w:val="21"/>
              </w:rPr>
            </w:pPr>
            <w:r>
              <w:rPr>
                <w:rFonts w:eastAsiaTheme="minorEastAsia"/>
                <w:color w:val="000000" w:themeColor="text1"/>
                <w:szCs w:val="21"/>
              </w:rPr>
              <w:t>合计</w:t>
            </w:r>
          </w:p>
        </w:tc>
        <w:tc>
          <w:tcPr>
            <w:tcW w:w="2835" w:type="dxa"/>
            <w:vAlign w:val="center"/>
          </w:tcPr>
          <w:p w:rsidR="00367A6A" w:rsidRDefault="00250141">
            <w:pPr>
              <w:spacing w:before="29" w:line="360" w:lineRule="auto"/>
              <w:ind w:left="17"/>
              <w:jc w:val="right"/>
              <w:rPr>
                <w:rFonts w:eastAsiaTheme="minorEastAsia"/>
                <w:color w:val="000000" w:themeColor="text1"/>
                <w:szCs w:val="21"/>
              </w:rPr>
            </w:pPr>
            <w:r>
              <w:rPr>
                <w:rFonts w:eastAsiaTheme="minorEastAsia"/>
                <w:color w:val="000000" w:themeColor="text1"/>
                <w:szCs w:val="21"/>
              </w:rPr>
              <w:t>1,102,968.70</w:t>
            </w:r>
          </w:p>
        </w:tc>
        <w:tc>
          <w:tcPr>
            <w:tcW w:w="1616" w:type="dxa"/>
            <w:vAlign w:val="center"/>
          </w:tcPr>
          <w:p w:rsidR="00367A6A" w:rsidRDefault="00250141">
            <w:pPr>
              <w:spacing w:before="29" w:line="360" w:lineRule="auto"/>
              <w:ind w:left="17"/>
              <w:jc w:val="right"/>
              <w:rPr>
                <w:rFonts w:eastAsiaTheme="minorEastAsia"/>
                <w:color w:val="000000" w:themeColor="text1"/>
                <w:szCs w:val="21"/>
              </w:rPr>
            </w:pPr>
            <w:r>
              <w:rPr>
                <w:rFonts w:eastAsiaTheme="minorEastAsia"/>
                <w:color w:val="000000" w:themeColor="text1"/>
                <w:szCs w:val="21"/>
              </w:rPr>
              <w:t>43.54</w:t>
            </w:r>
          </w:p>
        </w:tc>
      </w:tr>
    </w:tbl>
    <w:p w:rsidR="00367A6A" w:rsidRDefault="00250141">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5.5 </w:t>
      </w:r>
      <w:r>
        <w:rPr>
          <w:rFonts w:eastAsiaTheme="minorEastAsia"/>
          <w:b/>
          <w:color w:val="000000" w:themeColor="text1"/>
          <w:kern w:val="0"/>
          <w:szCs w:val="21"/>
        </w:rPr>
        <w:t>报告期末按公允价值占基金资产净值比例大小排序的前五名债券投资明细</w:t>
      </w:r>
    </w:p>
    <w:tbl>
      <w:tblPr>
        <w:tblStyle w:val="af6"/>
        <w:tblW w:w="9021" w:type="dxa"/>
        <w:tblInd w:w="108" w:type="dxa"/>
        <w:tblLayout w:type="fixed"/>
        <w:tblLook w:val="04A0" w:firstRow="1" w:lastRow="0" w:firstColumn="1" w:lastColumn="0" w:noHBand="0" w:noVBand="1"/>
      </w:tblPr>
      <w:tblGrid>
        <w:gridCol w:w="1504"/>
        <w:gridCol w:w="1504"/>
        <w:gridCol w:w="1504"/>
        <w:gridCol w:w="1503"/>
        <w:gridCol w:w="1503"/>
        <w:gridCol w:w="1503"/>
      </w:tblGrid>
      <w:tr w:rsidR="00367A6A">
        <w:tc>
          <w:tcPr>
            <w:tcW w:w="1504" w:type="dxa"/>
            <w:vAlign w:val="center"/>
          </w:tcPr>
          <w:p w:rsidR="00367A6A" w:rsidRDefault="00250141">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序号</w:t>
            </w:r>
          </w:p>
        </w:tc>
        <w:tc>
          <w:tcPr>
            <w:tcW w:w="1504" w:type="dxa"/>
            <w:vAlign w:val="center"/>
          </w:tcPr>
          <w:p w:rsidR="00367A6A" w:rsidRDefault="00250141">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债券代码</w:t>
            </w:r>
          </w:p>
        </w:tc>
        <w:tc>
          <w:tcPr>
            <w:tcW w:w="1504" w:type="dxa"/>
            <w:vAlign w:val="center"/>
          </w:tcPr>
          <w:p w:rsidR="00367A6A" w:rsidRDefault="00250141">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债券名称</w:t>
            </w:r>
          </w:p>
        </w:tc>
        <w:tc>
          <w:tcPr>
            <w:tcW w:w="1503" w:type="dxa"/>
            <w:vAlign w:val="center"/>
          </w:tcPr>
          <w:p w:rsidR="00367A6A" w:rsidRDefault="00250141">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数量（张）</w:t>
            </w:r>
          </w:p>
        </w:tc>
        <w:tc>
          <w:tcPr>
            <w:tcW w:w="1503" w:type="dxa"/>
            <w:vAlign w:val="center"/>
          </w:tcPr>
          <w:p w:rsidR="00367A6A" w:rsidRDefault="00250141">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公允价值</w:t>
            </w:r>
            <w:r>
              <w:rPr>
                <w:rFonts w:eastAsiaTheme="minorEastAsia"/>
                <w:color w:val="000000" w:themeColor="text1"/>
                <w:kern w:val="0"/>
                <w:szCs w:val="21"/>
              </w:rPr>
              <w:t>(</w:t>
            </w:r>
            <w:r>
              <w:rPr>
                <w:rFonts w:eastAsiaTheme="minorEastAsia"/>
                <w:color w:val="000000" w:themeColor="text1"/>
                <w:kern w:val="0"/>
                <w:szCs w:val="21"/>
              </w:rPr>
              <w:t>元</w:t>
            </w:r>
            <w:r>
              <w:rPr>
                <w:rFonts w:eastAsiaTheme="minorEastAsia"/>
                <w:color w:val="000000" w:themeColor="text1"/>
                <w:kern w:val="0"/>
                <w:szCs w:val="21"/>
              </w:rPr>
              <w:t>)</w:t>
            </w:r>
          </w:p>
        </w:tc>
        <w:tc>
          <w:tcPr>
            <w:tcW w:w="1503" w:type="dxa"/>
            <w:vAlign w:val="center"/>
          </w:tcPr>
          <w:p w:rsidR="00367A6A" w:rsidRDefault="00250141">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占基金资产净值比例（％）</w:t>
            </w:r>
          </w:p>
        </w:tc>
      </w:tr>
      <w:tr w:rsidR="00367A6A">
        <w:tc>
          <w:tcPr>
            <w:tcW w:w="1504" w:type="dxa"/>
            <w:vAlign w:val="center"/>
          </w:tcPr>
          <w:p w:rsidR="00367A6A" w:rsidRDefault="00250141">
            <w:pPr>
              <w:jc w:val="center"/>
            </w:pPr>
            <w:r>
              <w:rPr>
                <w:rFonts w:eastAsiaTheme="minorEastAsia"/>
                <w:color w:val="000000" w:themeColor="text1"/>
                <w:szCs w:val="21"/>
              </w:rPr>
              <w:t>1</w:t>
            </w:r>
          </w:p>
        </w:tc>
        <w:tc>
          <w:tcPr>
            <w:tcW w:w="1504" w:type="dxa"/>
            <w:vAlign w:val="center"/>
          </w:tcPr>
          <w:p w:rsidR="00367A6A" w:rsidRDefault="00250141">
            <w:pPr>
              <w:jc w:val="center"/>
            </w:pPr>
            <w:r>
              <w:rPr>
                <w:rFonts w:eastAsiaTheme="minorEastAsia"/>
                <w:color w:val="000000" w:themeColor="text1"/>
                <w:szCs w:val="21"/>
              </w:rPr>
              <w:t>108901</w:t>
            </w:r>
          </w:p>
        </w:tc>
        <w:tc>
          <w:tcPr>
            <w:tcW w:w="1504" w:type="dxa"/>
            <w:vAlign w:val="center"/>
          </w:tcPr>
          <w:p w:rsidR="00367A6A" w:rsidRDefault="00250141">
            <w:pPr>
              <w:jc w:val="center"/>
            </w:pPr>
            <w:r>
              <w:rPr>
                <w:rFonts w:eastAsiaTheme="minorEastAsia"/>
                <w:color w:val="000000" w:themeColor="text1"/>
                <w:szCs w:val="21"/>
              </w:rPr>
              <w:t>农发</w:t>
            </w:r>
            <w:r>
              <w:rPr>
                <w:rFonts w:eastAsiaTheme="minorEastAsia"/>
                <w:color w:val="000000" w:themeColor="text1"/>
                <w:szCs w:val="21"/>
              </w:rPr>
              <w:t>1801</w:t>
            </w:r>
          </w:p>
        </w:tc>
        <w:tc>
          <w:tcPr>
            <w:tcW w:w="1503" w:type="dxa"/>
            <w:vAlign w:val="center"/>
          </w:tcPr>
          <w:p w:rsidR="00367A6A" w:rsidRDefault="00250141">
            <w:pPr>
              <w:jc w:val="right"/>
            </w:pPr>
            <w:r>
              <w:rPr>
                <w:rFonts w:eastAsiaTheme="minorEastAsia"/>
                <w:color w:val="000000" w:themeColor="text1"/>
                <w:szCs w:val="21"/>
              </w:rPr>
              <w:t>10,000</w:t>
            </w:r>
          </w:p>
        </w:tc>
        <w:tc>
          <w:tcPr>
            <w:tcW w:w="1503" w:type="dxa"/>
            <w:vAlign w:val="center"/>
          </w:tcPr>
          <w:p w:rsidR="00367A6A" w:rsidRDefault="00250141">
            <w:pPr>
              <w:jc w:val="right"/>
            </w:pPr>
            <w:r>
              <w:rPr>
                <w:rFonts w:eastAsiaTheme="minorEastAsia"/>
                <w:color w:val="000000" w:themeColor="text1"/>
                <w:szCs w:val="21"/>
              </w:rPr>
              <w:t>1,000,200.00</w:t>
            </w:r>
          </w:p>
        </w:tc>
        <w:tc>
          <w:tcPr>
            <w:tcW w:w="1503" w:type="dxa"/>
            <w:vAlign w:val="center"/>
          </w:tcPr>
          <w:p w:rsidR="00367A6A" w:rsidRDefault="00250141">
            <w:pPr>
              <w:jc w:val="right"/>
            </w:pPr>
            <w:r>
              <w:rPr>
                <w:rFonts w:eastAsiaTheme="minorEastAsia"/>
                <w:color w:val="000000" w:themeColor="text1"/>
                <w:szCs w:val="21"/>
              </w:rPr>
              <w:t>39.48</w:t>
            </w:r>
          </w:p>
        </w:tc>
      </w:tr>
      <w:tr w:rsidR="00367A6A">
        <w:tc>
          <w:tcPr>
            <w:tcW w:w="1504" w:type="dxa"/>
            <w:vAlign w:val="center"/>
          </w:tcPr>
          <w:p w:rsidR="00367A6A" w:rsidRDefault="00250141">
            <w:pPr>
              <w:jc w:val="center"/>
            </w:pPr>
            <w:r>
              <w:rPr>
                <w:rFonts w:eastAsiaTheme="minorEastAsia"/>
                <w:color w:val="000000" w:themeColor="text1"/>
                <w:szCs w:val="21"/>
              </w:rPr>
              <w:t>2</w:t>
            </w:r>
          </w:p>
        </w:tc>
        <w:tc>
          <w:tcPr>
            <w:tcW w:w="1504" w:type="dxa"/>
            <w:vAlign w:val="center"/>
          </w:tcPr>
          <w:p w:rsidR="00367A6A" w:rsidRDefault="00250141">
            <w:pPr>
              <w:jc w:val="center"/>
            </w:pPr>
            <w:r>
              <w:rPr>
                <w:rFonts w:eastAsiaTheme="minorEastAsia"/>
                <w:color w:val="000000" w:themeColor="text1"/>
                <w:szCs w:val="21"/>
              </w:rPr>
              <w:t>136087</w:t>
            </w:r>
          </w:p>
        </w:tc>
        <w:tc>
          <w:tcPr>
            <w:tcW w:w="1504" w:type="dxa"/>
            <w:vAlign w:val="center"/>
          </w:tcPr>
          <w:p w:rsidR="00367A6A" w:rsidRDefault="00250141">
            <w:pPr>
              <w:jc w:val="center"/>
            </w:pPr>
            <w:r>
              <w:rPr>
                <w:rFonts w:eastAsiaTheme="minorEastAsia"/>
                <w:color w:val="000000" w:themeColor="text1"/>
                <w:szCs w:val="21"/>
              </w:rPr>
              <w:t>15</w:t>
            </w:r>
            <w:r>
              <w:rPr>
                <w:rFonts w:eastAsiaTheme="minorEastAsia"/>
                <w:color w:val="000000" w:themeColor="text1"/>
                <w:szCs w:val="21"/>
              </w:rPr>
              <w:t>保利</w:t>
            </w:r>
            <w:r>
              <w:rPr>
                <w:rFonts w:eastAsiaTheme="minorEastAsia"/>
                <w:color w:val="000000" w:themeColor="text1"/>
                <w:szCs w:val="21"/>
              </w:rPr>
              <w:t>01</w:t>
            </w:r>
          </w:p>
        </w:tc>
        <w:tc>
          <w:tcPr>
            <w:tcW w:w="1503" w:type="dxa"/>
            <w:vAlign w:val="center"/>
          </w:tcPr>
          <w:p w:rsidR="00367A6A" w:rsidRDefault="00250141">
            <w:pPr>
              <w:jc w:val="right"/>
            </w:pPr>
            <w:r>
              <w:rPr>
                <w:rFonts w:eastAsiaTheme="minorEastAsia"/>
                <w:color w:val="000000" w:themeColor="text1"/>
                <w:szCs w:val="21"/>
              </w:rPr>
              <w:t>760</w:t>
            </w:r>
          </w:p>
        </w:tc>
        <w:tc>
          <w:tcPr>
            <w:tcW w:w="1503" w:type="dxa"/>
            <w:vAlign w:val="center"/>
          </w:tcPr>
          <w:p w:rsidR="00367A6A" w:rsidRDefault="00250141">
            <w:pPr>
              <w:jc w:val="right"/>
            </w:pPr>
            <w:r>
              <w:rPr>
                <w:rFonts w:eastAsiaTheme="minorEastAsia"/>
                <w:color w:val="000000" w:themeColor="text1"/>
                <w:szCs w:val="21"/>
              </w:rPr>
              <w:t>75,756.80</w:t>
            </w:r>
          </w:p>
        </w:tc>
        <w:tc>
          <w:tcPr>
            <w:tcW w:w="1503" w:type="dxa"/>
            <w:vAlign w:val="center"/>
          </w:tcPr>
          <w:p w:rsidR="00367A6A" w:rsidRDefault="00250141">
            <w:pPr>
              <w:jc w:val="right"/>
            </w:pPr>
            <w:r>
              <w:rPr>
                <w:rFonts w:eastAsiaTheme="minorEastAsia"/>
                <w:color w:val="000000" w:themeColor="text1"/>
                <w:szCs w:val="21"/>
              </w:rPr>
              <w:t>2.99</w:t>
            </w:r>
          </w:p>
        </w:tc>
      </w:tr>
      <w:tr w:rsidR="00367A6A">
        <w:tc>
          <w:tcPr>
            <w:tcW w:w="1504" w:type="dxa"/>
            <w:vAlign w:val="center"/>
          </w:tcPr>
          <w:p w:rsidR="00367A6A" w:rsidRDefault="00250141">
            <w:pPr>
              <w:jc w:val="center"/>
            </w:pPr>
            <w:r>
              <w:rPr>
                <w:rFonts w:eastAsiaTheme="minorEastAsia"/>
                <w:color w:val="000000" w:themeColor="text1"/>
                <w:szCs w:val="21"/>
              </w:rPr>
              <w:t>3</w:t>
            </w:r>
          </w:p>
        </w:tc>
        <w:tc>
          <w:tcPr>
            <w:tcW w:w="1504" w:type="dxa"/>
            <w:vAlign w:val="center"/>
          </w:tcPr>
          <w:p w:rsidR="00367A6A" w:rsidRDefault="00250141">
            <w:pPr>
              <w:jc w:val="center"/>
            </w:pPr>
            <w:r>
              <w:rPr>
                <w:rFonts w:eastAsiaTheme="minorEastAsia"/>
                <w:color w:val="000000" w:themeColor="text1"/>
                <w:szCs w:val="21"/>
              </w:rPr>
              <w:t>130650</w:t>
            </w:r>
          </w:p>
        </w:tc>
        <w:tc>
          <w:tcPr>
            <w:tcW w:w="1504" w:type="dxa"/>
            <w:vAlign w:val="center"/>
          </w:tcPr>
          <w:p w:rsidR="00367A6A" w:rsidRDefault="00250141">
            <w:pPr>
              <w:jc w:val="center"/>
            </w:pPr>
            <w:r>
              <w:rPr>
                <w:rFonts w:eastAsiaTheme="minorEastAsia"/>
                <w:color w:val="000000" w:themeColor="text1"/>
                <w:szCs w:val="21"/>
              </w:rPr>
              <w:t>15</w:t>
            </w:r>
            <w:r>
              <w:rPr>
                <w:rFonts w:eastAsiaTheme="minorEastAsia"/>
                <w:color w:val="000000" w:themeColor="text1"/>
                <w:szCs w:val="21"/>
              </w:rPr>
              <w:t>江苏</w:t>
            </w:r>
            <w:r>
              <w:rPr>
                <w:rFonts w:eastAsiaTheme="minorEastAsia"/>
                <w:color w:val="000000" w:themeColor="text1"/>
                <w:szCs w:val="21"/>
              </w:rPr>
              <w:t>10</w:t>
            </w:r>
          </w:p>
        </w:tc>
        <w:tc>
          <w:tcPr>
            <w:tcW w:w="1503" w:type="dxa"/>
            <w:vAlign w:val="center"/>
          </w:tcPr>
          <w:p w:rsidR="00367A6A" w:rsidRDefault="00250141">
            <w:pPr>
              <w:jc w:val="right"/>
            </w:pPr>
            <w:r>
              <w:rPr>
                <w:rFonts w:eastAsiaTheme="minorEastAsia"/>
                <w:color w:val="000000" w:themeColor="text1"/>
                <w:szCs w:val="21"/>
              </w:rPr>
              <w:t>160</w:t>
            </w:r>
          </w:p>
        </w:tc>
        <w:tc>
          <w:tcPr>
            <w:tcW w:w="1503" w:type="dxa"/>
            <w:vAlign w:val="center"/>
          </w:tcPr>
          <w:p w:rsidR="00367A6A" w:rsidRDefault="00250141">
            <w:pPr>
              <w:jc w:val="right"/>
            </w:pPr>
            <w:r>
              <w:rPr>
                <w:rFonts w:eastAsiaTheme="minorEastAsia"/>
                <w:color w:val="000000" w:themeColor="text1"/>
                <w:szCs w:val="21"/>
              </w:rPr>
              <w:t>16,024.00</w:t>
            </w:r>
          </w:p>
        </w:tc>
        <w:tc>
          <w:tcPr>
            <w:tcW w:w="1503" w:type="dxa"/>
            <w:vAlign w:val="center"/>
          </w:tcPr>
          <w:p w:rsidR="00367A6A" w:rsidRDefault="00250141">
            <w:pPr>
              <w:jc w:val="right"/>
            </w:pPr>
            <w:r>
              <w:rPr>
                <w:rFonts w:eastAsiaTheme="minorEastAsia"/>
                <w:color w:val="000000" w:themeColor="text1"/>
                <w:szCs w:val="21"/>
              </w:rPr>
              <w:t>0.63</w:t>
            </w:r>
          </w:p>
        </w:tc>
      </w:tr>
      <w:tr w:rsidR="00367A6A">
        <w:tc>
          <w:tcPr>
            <w:tcW w:w="1504" w:type="dxa"/>
            <w:vAlign w:val="center"/>
          </w:tcPr>
          <w:p w:rsidR="00367A6A" w:rsidRDefault="00250141">
            <w:pPr>
              <w:jc w:val="center"/>
            </w:pPr>
            <w:r>
              <w:rPr>
                <w:rFonts w:eastAsiaTheme="minorEastAsia"/>
                <w:color w:val="000000" w:themeColor="text1"/>
                <w:szCs w:val="21"/>
              </w:rPr>
              <w:t>4</w:t>
            </w:r>
          </w:p>
        </w:tc>
        <w:tc>
          <w:tcPr>
            <w:tcW w:w="1504" w:type="dxa"/>
            <w:vAlign w:val="center"/>
          </w:tcPr>
          <w:p w:rsidR="00367A6A" w:rsidRDefault="00250141">
            <w:pPr>
              <w:jc w:val="center"/>
            </w:pPr>
            <w:r>
              <w:rPr>
                <w:rFonts w:eastAsiaTheme="minorEastAsia"/>
                <w:color w:val="000000" w:themeColor="text1"/>
                <w:szCs w:val="21"/>
              </w:rPr>
              <w:t>112285</w:t>
            </w:r>
          </w:p>
        </w:tc>
        <w:tc>
          <w:tcPr>
            <w:tcW w:w="1504" w:type="dxa"/>
            <w:vAlign w:val="center"/>
          </w:tcPr>
          <w:p w:rsidR="00367A6A" w:rsidRDefault="00250141">
            <w:pPr>
              <w:jc w:val="center"/>
            </w:pPr>
            <w:r>
              <w:rPr>
                <w:rFonts w:eastAsiaTheme="minorEastAsia"/>
                <w:color w:val="000000" w:themeColor="text1"/>
                <w:szCs w:val="21"/>
              </w:rPr>
              <w:t>15</w:t>
            </w:r>
            <w:r>
              <w:rPr>
                <w:rFonts w:eastAsiaTheme="minorEastAsia"/>
                <w:color w:val="000000" w:themeColor="text1"/>
                <w:szCs w:val="21"/>
              </w:rPr>
              <w:t>万科</w:t>
            </w:r>
            <w:r>
              <w:rPr>
                <w:rFonts w:eastAsiaTheme="minorEastAsia"/>
                <w:color w:val="000000" w:themeColor="text1"/>
                <w:szCs w:val="21"/>
              </w:rPr>
              <w:t>01</w:t>
            </w:r>
          </w:p>
        </w:tc>
        <w:tc>
          <w:tcPr>
            <w:tcW w:w="1503" w:type="dxa"/>
            <w:vAlign w:val="center"/>
          </w:tcPr>
          <w:p w:rsidR="00367A6A" w:rsidRDefault="00250141">
            <w:pPr>
              <w:jc w:val="right"/>
            </w:pPr>
            <w:r>
              <w:rPr>
                <w:rFonts w:eastAsiaTheme="minorEastAsia"/>
                <w:color w:val="000000" w:themeColor="text1"/>
                <w:szCs w:val="21"/>
              </w:rPr>
              <w:t>110</w:t>
            </w:r>
          </w:p>
        </w:tc>
        <w:tc>
          <w:tcPr>
            <w:tcW w:w="1503" w:type="dxa"/>
            <w:vAlign w:val="center"/>
          </w:tcPr>
          <w:p w:rsidR="00367A6A" w:rsidRDefault="00250141">
            <w:pPr>
              <w:jc w:val="right"/>
            </w:pPr>
            <w:r>
              <w:rPr>
                <w:rFonts w:eastAsiaTheme="minorEastAsia"/>
                <w:color w:val="000000" w:themeColor="text1"/>
                <w:szCs w:val="21"/>
              </w:rPr>
              <w:t>10,987.90</w:t>
            </w:r>
          </w:p>
        </w:tc>
        <w:tc>
          <w:tcPr>
            <w:tcW w:w="1503" w:type="dxa"/>
            <w:vAlign w:val="center"/>
          </w:tcPr>
          <w:p w:rsidR="00367A6A" w:rsidRDefault="00250141">
            <w:pPr>
              <w:jc w:val="right"/>
            </w:pPr>
            <w:r>
              <w:rPr>
                <w:rFonts w:eastAsiaTheme="minorEastAsia"/>
                <w:color w:val="000000" w:themeColor="text1"/>
                <w:szCs w:val="21"/>
              </w:rPr>
              <w:t>0.43</w:t>
            </w:r>
          </w:p>
        </w:tc>
      </w:tr>
    </w:tbl>
    <w:p w:rsidR="00367A6A" w:rsidRDefault="00250141">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5.6</w:t>
      </w:r>
      <w:r>
        <w:rPr>
          <w:rFonts w:eastAsiaTheme="minorEastAsia"/>
          <w:b/>
          <w:color w:val="000000" w:themeColor="text1"/>
          <w:kern w:val="0"/>
          <w:szCs w:val="21"/>
        </w:rPr>
        <w:t xml:space="preserve">　报告期末按公允价值占基金资产净值比例大小排序的前十名资产支持证券投资明细</w:t>
      </w:r>
    </w:p>
    <w:p w:rsidR="00367A6A" w:rsidRDefault="0025014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本基金本报告期末未持有资产支持证券。</w:t>
      </w:r>
    </w:p>
    <w:p w:rsidR="00367A6A" w:rsidRDefault="00250141">
      <w:pPr>
        <w:autoSpaceDE w:val="0"/>
        <w:autoSpaceDN w:val="0"/>
        <w:adjustRightInd w:val="0"/>
        <w:spacing w:beforeLines="100" w:before="312" w:line="360" w:lineRule="auto"/>
        <w:jc w:val="left"/>
        <w:rPr>
          <w:rFonts w:eastAsiaTheme="minorEastAsia"/>
          <w:b/>
          <w:bCs/>
          <w:color w:val="000000" w:themeColor="text1"/>
          <w:kern w:val="0"/>
          <w:szCs w:val="21"/>
        </w:rPr>
      </w:pPr>
      <w:r>
        <w:rPr>
          <w:rFonts w:eastAsiaTheme="minorEastAsia"/>
          <w:b/>
          <w:bCs/>
          <w:color w:val="000000" w:themeColor="text1"/>
          <w:kern w:val="0"/>
          <w:szCs w:val="21"/>
        </w:rPr>
        <w:t xml:space="preserve">5.7 </w:t>
      </w:r>
      <w:r>
        <w:rPr>
          <w:rFonts w:eastAsiaTheme="minorEastAsia"/>
          <w:b/>
          <w:bCs/>
          <w:color w:val="000000" w:themeColor="text1"/>
          <w:kern w:val="0"/>
          <w:szCs w:val="21"/>
        </w:rPr>
        <w:t>报告期末按公允价值占基金资产净值比例大小排序的前五名贵金属投资明细</w:t>
      </w:r>
    </w:p>
    <w:p w:rsidR="00367A6A" w:rsidRDefault="00250141">
      <w:pPr>
        <w:widowControl/>
        <w:spacing w:line="360" w:lineRule="auto"/>
        <w:ind w:firstLineChars="200" w:firstLine="420"/>
        <w:jc w:val="left"/>
        <w:rPr>
          <w:color w:val="000000" w:themeColor="text1"/>
          <w:szCs w:val="21"/>
        </w:rPr>
      </w:pPr>
      <w:r>
        <w:rPr>
          <w:color w:val="000000" w:themeColor="text1"/>
          <w:szCs w:val="21"/>
        </w:rPr>
        <w:t>本基金本报告期末未持有贵金属。</w:t>
      </w:r>
    </w:p>
    <w:p w:rsidR="00367A6A" w:rsidRDefault="00250141">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5.8</w:t>
      </w:r>
      <w:r>
        <w:rPr>
          <w:rFonts w:eastAsiaTheme="minorEastAsia"/>
          <w:b/>
          <w:color w:val="000000" w:themeColor="text1"/>
          <w:kern w:val="0"/>
          <w:szCs w:val="21"/>
        </w:rPr>
        <w:t>报告期末按公允价值占基金资产净值比例大小排序的前五名权证投资明细</w:t>
      </w:r>
    </w:p>
    <w:p w:rsidR="00367A6A" w:rsidRDefault="0025014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本基金本报告期末未持有权证。</w:t>
      </w:r>
    </w:p>
    <w:p w:rsidR="00367A6A" w:rsidRDefault="00250141">
      <w:pPr>
        <w:adjustRightInd w:val="0"/>
        <w:snapToGrid w:val="0"/>
        <w:spacing w:beforeLines="100" w:before="312" w:line="360" w:lineRule="auto"/>
        <w:rPr>
          <w:rFonts w:eastAsiaTheme="minorEastAsia"/>
          <w:b/>
          <w:color w:val="000000" w:themeColor="text1"/>
          <w:szCs w:val="21"/>
        </w:rPr>
      </w:pPr>
      <w:r>
        <w:rPr>
          <w:rFonts w:eastAsiaTheme="minorEastAsia"/>
          <w:b/>
          <w:color w:val="000000" w:themeColor="text1"/>
          <w:szCs w:val="21"/>
        </w:rPr>
        <w:t xml:space="preserve">5.9 </w:t>
      </w:r>
      <w:r>
        <w:rPr>
          <w:rFonts w:eastAsiaTheme="minorEastAsia"/>
          <w:b/>
          <w:color w:val="000000" w:themeColor="text1"/>
          <w:szCs w:val="21"/>
        </w:rPr>
        <w:t>报告期末本基金投资的股指期货交易情况说明</w:t>
      </w:r>
    </w:p>
    <w:p w:rsidR="00367A6A" w:rsidRDefault="0025014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本基金本报告期末未持有股指期货。</w:t>
      </w:r>
    </w:p>
    <w:p w:rsidR="00367A6A" w:rsidRDefault="00250141">
      <w:pPr>
        <w:adjustRightInd w:val="0"/>
        <w:snapToGrid w:val="0"/>
        <w:spacing w:beforeLines="100" w:before="312" w:line="360" w:lineRule="auto"/>
        <w:rPr>
          <w:rFonts w:eastAsiaTheme="minorEastAsia"/>
          <w:b/>
          <w:color w:val="000000" w:themeColor="text1"/>
          <w:szCs w:val="21"/>
        </w:rPr>
      </w:pPr>
      <w:r>
        <w:rPr>
          <w:rFonts w:eastAsiaTheme="minorEastAsia"/>
          <w:b/>
          <w:color w:val="000000" w:themeColor="text1"/>
          <w:szCs w:val="21"/>
        </w:rPr>
        <w:t>5.10</w:t>
      </w:r>
      <w:r>
        <w:rPr>
          <w:rFonts w:eastAsiaTheme="minorEastAsia"/>
          <w:b/>
          <w:color w:val="000000" w:themeColor="text1"/>
          <w:szCs w:val="21"/>
        </w:rPr>
        <w:t>报告期末本基金投资的国债期货交易情况说明</w:t>
      </w:r>
    </w:p>
    <w:p w:rsidR="00367A6A" w:rsidRDefault="0025014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本基金本报告期末未持有国债期货。</w:t>
      </w:r>
    </w:p>
    <w:p w:rsidR="00367A6A" w:rsidRDefault="00250141">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5.11</w:t>
      </w:r>
      <w:r>
        <w:rPr>
          <w:rFonts w:eastAsiaTheme="minorEastAsia"/>
          <w:b/>
          <w:color w:val="000000" w:themeColor="text1"/>
          <w:kern w:val="0"/>
          <w:szCs w:val="21"/>
        </w:rPr>
        <w:t>投资组合报告附注</w:t>
      </w:r>
    </w:p>
    <w:p w:rsidR="00367A6A" w:rsidRDefault="00250141">
      <w:pPr>
        <w:widowControl/>
        <w:spacing w:line="360" w:lineRule="auto"/>
        <w:rPr>
          <w:rFonts w:eastAsiaTheme="minorEastAsia"/>
          <w:color w:val="000000" w:themeColor="text1"/>
          <w:szCs w:val="21"/>
        </w:rPr>
      </w:pPr>
      <w:r>
        <w:rPr>
          <w:rFonts w:eastAsiaTheme="minorEastAsia"/>
          <w:color w:val="000000" w:themeColor="text1"/>
          <w:szCs w:val="21"/>
        </w:rPr>
        <w:lastRenderedPageBreak/>
        <w:t>5.11.1</w:t>
      </w:r>
      <w:r>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367A6A" w:rsidRDefault="00250141">
      <w:pPr>
        <w:widowControl/>
        <w:spacing w:line="360" w:lineRule="auto"/>
        <w:rPr>
          <w:rFonts w:eastAsiaTheme="minorEastAsia"/>
          <w:color w:val="000000" w:themeColor="text1"/>
          <w:szCs w:val="21"/>
        </w:rPr>
      </w:pPr>
      <w:r>
        <w:rPr>
          <w:rFonts w:eastAsiaTheme="minorEastAsia"/>
          <w:color w:val="000000" w:themeColor="text1"/>
          <w:szCs w:val="21"/>
        </w:rPr>
        <w:t>5.11.2</w:t>
      </w:r>
      <w:r>
        <w:rPr>
          <w:rFonts w:eastAsiaTheme="minorEastAsia"/>
          <w:color w:val="000000" w:themeColor="text1"/>
          <w:szCs w:val="21"/>
        </w:rPr>
        <w:t>报告期内本基金投资的前十名股票中没有在基金合同规定备选股票库之外的股票。</w:t>
      </w:r>
    </w:p>
    <w:p w:rsidR="00367A6A" w:rsidRDefault="00250141">
      <w:pPr>
        <w:autoSpaceDE w:val="0"/>
        <w:autoSpaceDN w:val="0"/>
        <w:adjustRightInd w:val="0"/>
        <w:spacing w:line="360" w:lineRule="auto"/>
        <w:rPr>
          <w:rFonts w:eastAsiaTheme="minorEastAsia"/>
          <w:b/>
          <w:color w:val="000000" w:themeColor="text1"/>
          <w:kern w:val="0"/>
          <w:szCs w:val="21"/>
        </w:rPr>
      </w:pPr>
      <w:r>
        <w:rPr>
          <w:rFonts w:eastAsiaTheme="minorEastAsia"/>
          <w:b/>
          <w:color w:val="000000" w:themeColor="text1"/>
          <w:kern w:val="0"/>
          <w:szCs w:val="21"/>
        </w:rPr>
        <w:t>5.11.3</w:t>
      </w:r>
      <w:r>
        <w:rPr>
          <w:rFonts w:eastAsiaTheme="minorEastAsia" w:hint="eastAsia"/>
          <w:b/>
          <w:color w:val="000000" w:themeColor="text1"/>
          <w:kern w:val="0"/>
          <w:szCs w:val="21"/>
        </w:rPr>
        <w:t>其他资产构成</w:t>
      </w:r>
    </w:p>
    <w:tbl>
      <w:tblPr>
        <w:tblStyle w:val="af6"/>
        <w:tblW w:w="8679" w:type="dxa"/>
        <w:tblInd w:w="108" w:type="dxa"/>
        <w:tblLayout w:type="fixed"/>
        <w:tblLook w:val="04A0" w:firstRow="1" w:lastRow="0" w:firstColumn="1" w:lastColumn="0" w:noHBand="0" w:noVBand="1"/>
      </w:tblPr>
      <w:tblGrid>
        <w:gridCol w:w="1110"/>
        <w:gridCol w:w="2761"/>
        <w:gridCol w:w="4808"/>
      </w:tblGrid>
      <w:tr w:rsidR="00367A6A">
        <w:tc>
          <w:tcPr>
            <w:tcW w:w="1110" w:type="dxa"/>
            <w:vAlign w:val="center"/>
          </w:tcPr>
          <w:p w:rsidR="00367A6A" w:rsidRDefault="00250141">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序号</w:t>
            </w:r>
          </w:p>
        </w:tc>
        <w:tc>
          <w:tcPr>
            <w:tcW w:w="2761" w:type="dxa"/>
            <w:vAlign w:val="center"/>
          </w:tcPr>
          <w:p w:rsidR="00367A6A" w:rsidRDefault="00250141">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名称</w:t>
            </w:r>
          </w:p>
        </w:tc>
        <w:tc>
          <w:tcPr>
            <w:tcW w:w="4808" w:type="dxa"/>
            <w:vAlign w:val="center"/>
          </w:tcPr>
          <w:p w:rsidR="00367A6A" w:rsidRDefault="00250141">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金额</w:t>
            </w:r>
            <w:r>
              <w:rPr>
                <w:rFonts w:eastAsiaTheme="minorEastAsia"/>
                <w:color w:val="000000" w:themeColor="text1"/>
                <w:kern w:val="0"/>
                <w:szCs w:val="21"/>
              </w:rPr>
              <w:t>(</w:t>
            </w:r>
            <w:r>
              <w:rPr>
                <w:rFonts w:eastAsiaTheme="minorEastAsia"/>
                <w:color w:val="000000" w:themeColor="text1"/>
                <w:kern w:val="0"/>
                <w:szCs w:val="21"/>
              </w:rPr>
              <w:t>元</w:t>
            </w:r>
            <w:r>
              <w:rPr>
                <w:rFonts w:eastAsiaTheme="minorEastAsia"/>
                <w:color w:val="000000" w:themeColor="text1"/>
                <w:kern w:val="0"/>
                <w:szCs w:val="21"/>
              </w:rPr>
              <w:t>)</w:t>
            </w:r>
          </w:p>
        </w:tc>
      </w:tr>
      <w:tr w:rsidR="00367A6A">
        <w:tc>
          <w:tcPr>
            <w:tcW w:w="1110" w:type="dxa"/>
            <w:vAlign w:val="center"/>
          </w:tcPr>
          <w:p w:rsidR="00367A6A" w:rsidRDefault="00250141">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szCs w:val="21"/>
              </w:rPr>
              <w:t>1</w:t>
            </w:r>
          </w:p>
        </w:tc>
        <w:tc>
          <w:tcPr>
            <w:tcW w:w="2761" w:type="dxa"/>
            <w:vAlign w:val="center"/>
          </w:tcPr>
          <w:p w:rsidR="00367A6A" w:rsidRDefault="00250141">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存出保证金</w:t>
            </w:r>
          </w:p>
        </w:tc>
        <w:tc>
          <w:tcPr>
            <w:tcW w:w="4808" w:type="dxa"/>
            <w:vAlign w:val="center"/>
          </w:tcPr>
          <w:p w:rsidR="00367A6A" w:rsidRDefault="00250141">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32,337.27</w:t>
            </w:r>
          </w:p>
        </w:tc>
      </w:tr>
      <w:tr w:rsidR="00367A6A">
        <w:tc>
          <w:tcPr>
            <w:tcW w:w="1110" w:type="dxa"/>
            <w:vAlign w:val="center"/>
          </w:tcPr>
          <w:p w:rsidR="00367A6A" w:rsidRDefault="00250141">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2</w:t>
            </w:r>
          </w:p>
        </w:tc>
        <w:tc>
          <w:tcPr>
            <w:tcW w:w="2761" w:type="dxa"/>
            <w:vAlign w:val="center"/>
          </w:tcPr>
          <w:p w:rsidR="00367A6A" w:rsidRDefault="00250141">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应收证券清算款</w:t>
            </w:r>
          </w:p>
        </w:tc>
        <w:tc>
          <w:tcPr>
            <w:tcW w:w="4808" w:type="dxa"/>
            <w:vAlign w:val="center"/>
          </w:tcPr>
          <w:p w:rsidR="00367A6A" w:rsidRDefault="00250141">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367A6A">
        <w:tc>
          <w:tcPr>
            <w:tcW w:w="1110" w:type="dxa"/>
            <w:vAlign w:val="center"/>
          </w:tcPr>
          <w:p w:rsidR="00367A6A" w:rsidRDefault="00250141">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3</w:t>
            </w:r>
          </w:p>
        </w:tc>
        <w:tc>
          <w:tcPr>
            <w:tcW w:w="2761" w:type="dxa"/>
            <w:vAlign w:val="center"/>
          </w:tcPr>
          <w:p w:rsidR="00367A6A" w:rsidRDefault="00250141">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应收股利</w:t>
            </w:r>
          </w:p>
        </w:tc>
        <w:tc>
          <w:tcPr>
            <w:tcW w:w="4808" w:type="dxa"/>
            <w:vAlign w:val="center"/>
          </w:tcPr>
          <w:p w:rsidR="00367A6A" w:rsidRDefault="00250141">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367A6A">
        <w:tc>
          <w:tcPr>
            <w:tcW w:w="1110" w:type="dxa"/>
            <w:vAlign w:val="center"/>
          </w:tcPr>
          <w:p w:rsidR="00367A6A" w:rsidRDefault="00250141">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4</w:t>
            </w:r>
          </w:p>
        </w:tc>
        <w:tc>
          <w:tcPr>
            <w:tcW w:w="2761" w:type="dxa"/>
            <w:vAlign w:val="center"/>
          </w:tcPr>
          <w:p w:rsidR="00367A6A" w:rsidRDefault="00250141">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应收利息</w:t>
            </w:r>
          </w:p>
        </w:tc>
        <w:tc>
          <w:tcPr>
            <w:tcW w:w="4808" w:type="dxa"/>
            <w:vAlign w:val="center"/>
          </w:tcPr>
          <w:p w:rsidR="00367A6A" w:rsidRDefault="00250141">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24,237.48</w:t>
            </w:r>
          </w:p>
        </w:tc>
      </w:tr>
      <w:tr w:rsidR="00367A6A">
        <w:tc>
          <w:tcPr>
            <w:tcW w:w="1110" w:type="dxa"/>
            <w:vAlign w:val="center"/>
          </w:tcPr>
          <w:p w:rsidR="00367A6A" w:rsidRDefault="00250141">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5</w:t>
            </w:r>
          </w:p>
        </w:tc>
        <w:tc>
          <w:tcPr>
            <w:tcW w:w="2761" w:type="dxa"/>
            <w:vAlign w:val="center"/>
          </w:tcPr>
          <w:p w:rsidR="00367A6A" w:rsidRDefault="00250141">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应收申购款</w:t>
            </w:r>
          </w:p>
        </w:tc>
        <w:tc>
          <w:tcPr>
            <w:tcW w:w="4808" w:type="dxa"/>
            <w:vAlign w:val="center"/>
          </w:tcPr>
          <w:p w:rsidR="00367A6A" w:rsidRDefault="00250141">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367A6A">
        <w:tc>
          <w:tcPr>
            <w:tcW w:w="1110" w:type="dxa"/>
            <w:vAlign w:val="center"/>
          </w:tcPr>
          <w:p w:rsidR="00367A6A" w:rsidRDefault="00250141">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6</w:t>
            </w:r>
          </w:p>
        </w:tc>
        <w:tc>
          <w:tcPr>
            <w:tcW w:w="2761" w:type="dxa"/>
            <w:vAlign w:val="center"/>
          </w:tcPr>
          <w:p w:rsidR="00367A6A" w:rsidRDefault="00250141">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其他应收款</w:t>
            </w:r>
          </w:p>
        </w:tc>
        <w:tc>
          <w:tcPr>
            <w:tcW w:w="4808" w:type="dxa"/>
            <w:vAlign w:val="center"/>
          </w:tcPr>
          <w:p w:rsidR="00367A6A" w:rsidRDefault="00250141">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367A6A">
        <w:tc>
          <w:tcPr>
            <w:tcW w:w="1110" w:type="dxa"/>
            <w:vAlign w:val="center"/>
          </w:tcPr>
          <w:p w:rsidR="00367A6A" w:rsidRDefault="00250141">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7</w:t>
            </w:r>
          </w:p>
        </w:tc>
        <w:tc>
          <w:tcPr>
            <w:tcW w:w="2761" w:type="dxa"/>
            <w:vAlign w:val="center"/>
          </w:tcPr>
          <w:p w:rsidR="00367A6A" w:rsidRDefault="00250141">
            <w:pPr>
              <w:autoSpaceDE w:val="0"/>
              <w:autoSpaceDN w:val="0"/>
              <w:adjustRightInd w:val="0"/>
              <w:spacing w:before="29" w:line="360" w:lineRule="auto"/>
              <w:ind w:left="15"/>
              <w:jc w:val="left"/>
              <w:rPr>
                <w:rFonts w:eastAsiaTheme="minorEastAsia"/>
                <w:color w:val="000000" w:themeColor="text1"/>
                <w:szCs w:val="21"/>
              </w:rPr>
            </w:pPr>
            <w:r>
              <w:rPr>
                <w:rFonts w:eastAsiaTheme="minorEastAsia"/>
                <w:color w:val="000000" w:themeColor="text1"/>
                <w:szCs w:val="21"/>
              </w:rPr>
              <w:t>待摊费用</w:t>
            </w:r>
          </w:p>
        </w:tc>
        <w:tc>
          <w:tcPr>
            <w:tcW w:w="4808" w:type="dxa"/>
            <w:vAlign w:val="center"/>
          </w:tcPr>
          <w:p w:rsidR="00367A6A" w:rsidRDefault="00250141">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367A6A">
        <w:tc>
          <w:tcPr>
            <w:tcW w:w="1110" w:type="dxa"/>
            <w:vAlign w:val="center"/>
          </w:tcPr>
          <w:p w:rsidR="00367A6A" w:rsidRDefault="00250141">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8</w:t>
            </w:r>
          </w:p>
        </w:tc>
        <w:tc>
          <w:tcPr>
            <w:tcW w:w="2761" w:type="dxa"/>
            <w:vAlign w:val="center"/>
          </w:tcPr>
          <w:p w:rsidR="00367A6A" w:rsidRDefault="00250141">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其他</w:t>
            </w:r>
          </w:p>
        </w:tc>
        <w:tc>
          <w:tcPr>
            <w:tcW w:w="4808" w:type="dxa"/>
            <w:vAlign w:val="center"/>
          </w:tcPr>
          <w:p w:rsidR="00367A6A" w:rsidRDefault="00250141">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367A6A">
        <w:tc>
          <w:tcPr>
            <w:tcW w:w="1110" w:type="dxa"/>
            <w:vAlign w:val="center"/>
          </w:tcPr>
          <w:p w:rsidR="00367A6A" w:rsidRDefault="00250141">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9</w:t>
            </w:r>
          </w:p>
        </w:tc>
        <w:tc>
          <w:tcPr>
            <w:tcW w:w="2761" w:type="dxa"/>
            <w:vAlign w:val="center"/>
          </w:tcPr>
          <w:p w:rsidR="00367A6A" w:rsidRDefault="00250141">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合计</w:t>
            </w:r>
          </w:p>
        </w:tc>
        <w:tc>
          <w:tcPr>
            <w:tcW w:w="4808" w:type="dxa"/>
            <w:vAlign w:val="center"/>
          </w:tcPr>
          <w:p w:rsidR="00367A6A" w:rsidRDefault="00250141">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56,574.75</w:t>
            </w:r>
          </w:p>
        </w:tc>
      </w:tr>
    </w:tbl>
    <w:p w:rsidR="00367A6A" w:rsidRDefault="00250141">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5.11.4</w:t>
      </w:r>
      <w:r>
        <w:rPr>
          <w:rFonts w:eastAsiaTheme="minorEastAsia"/>
          <w:b/>
          <w:color w:val="000000" w:themeColor="text1"/>
          <w:kern w:val="0"/>
          <w:szCs w:val="21"/>
        </w:rPr>
        <w:t>报告期末持有的处于转股期的可转换债券明细</w:t>
      </w:r>
    </w:p>
    <w:p w:rsidR="00367A6A" w:rsidRDefault="0025014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本基金本报告期末未持有处于转股期的可转换债券。</w:t>
      </w:r>
    </w:p>
    <w:p w:rsidR="00367A6A" w:rsidRDefault="00250141">
      <w:pPr>
        <w:autoSpaceDE w:val="0"/>
        <w:autoSpaceDN w:val="0"/>
        <w:adjustRightInd w:val="0"/>
        <w:spacing w:beforeLines="100" w:before="312" w:line="360" w:lineRule="auto"/>
        <w:jc w:val="left"/>
        <w:rPr>
          <w:rFonts w:eastAsiaTheme="minorEastAsia"/>
          <w:b/>
          <w:bCs/>
          <w:color w:val="000000" w:themeColor="text1"/>
          <w:szCs w:val="21"/>
        </w:rPr>
      </w:pPr>
      <w:r>
        <w:rPr>
          <w:rFonts w:eastAsiaTheme="minorEastAsia"/>
          <w:b/>
          <w:color w:val="000000" w:themeColor="text1"/>
          <w:kern w:val="0"/>
          <w:szCs w:val="21"/>
        </w:rPr>
        <w:t>5.11.5</w:t>
      </w:r>
      <w:r>
        <w:rPr>
          <w:rFonts w:eastAsiaTheme="minorEastAsia"/>
          <w:b/>
          <w:bCs/>
          <w:color w:val="000000" w:themeColor="text1"/>
          <w:szCs w:val="21"/>
        </w:rPr>
        <w:t>报告期末前十名股票中存在流通受限情况的说明</w:t>
      </w:r>
    </w:p>
    <w:p w:rsidR="00367A6A" w:rsidRDefault="0025014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本基金本报告期末前十名股票中不存在流通受限情况。</w:t>
      </w:r>
    </w:p>
    <w:p w:rsidR="00367A6A" w:rsidRDefault="00250141">
      <w:pPr>
        <w:spacing w:beforeLines="100" w:before="312" w:line="360" w:lineRule="auto"/>
        <w:rPr>
          <w:rFonts w:eastAsiaTheme="minorEastAsia"/>
          <w:b/>
          <w:color w:val="000000" w:themeColor="text1"/>
          <w:kern w:val="0"/>
          <w:szCs w:val="21"/>
        </w:rPr>
      </w:pPr>
      <w:r>
        <w:rPr>
          <w:rFonts w:eastAsiaTheme="minorEastAsia"/>
          <w:b/>
          <w:color w:val="000000" w:themeColor="text1"/>
          <w:kern w:val="0"/>
          <w:szCs w:val="21"/>
        </w:rPr>
        <w:t>5.11.6</w:t>
      </w:r>
      <w:r>
        <w:rPr>
          <w:rFonts w:eastAsiaTheme="minorEastAsia"/>
          <w:b/>
          <w:color w:val="000000" w:themeColor="text1"/>
          <w:kern w:val="0"/>
          <w:szCs w:val="21"/>
        </w:rPr>
        <w:t>投资组合报告附注的其他文字描述部分</w:t>
      </w:r>
    </w:p>
    <w:p w:rsidR="00367A6A" w:rsidRDefault="00250141">
      <w:pPr>
        <w:spacing w:line="360" w:lineRule="auto"/>
        <w:ind w:firstLineChars="200" w:firstLine="420"/>
        <w:rPr>
          <w:rFonts w:eastAsiaTheme="minorEastAsia"/>
          <w:color w:val="000000" w:themeColor="text1"/>
          <w:szCs w:val="21"/>
        </w:rPr>
      </w:pPr>
      <w:r>
        <w:rPr>
          <w:rFonts w:eastAsiaTheme="minorEastAsia"/>
          <w:color w:val="000000" w:themeColor="text1"/>
          <w:szCs w:val="21"/>
        </w:rPr>
        <w:t>因四舍五入的原因，投资组合报告中分项之和与合计数可能存在尾差。</w:t>
      </w:r>
    </w:p>
    <w:p w:rsidR="00367A6A" w:rsidRDefault="00250141">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§6  </w:t>
      </w:r>
      <w:r>
        <w:rPr>
          <w:rFonts w:eastAsiaTheme="minorEastAsia"/>
          <w:color w:val="000000" w:themeColor="text1"/>
          <w:kern w:val="0"/>
          <w:sz w:val="21"/>
          <w:szCs w:val="21"/>
        </w:rPr>
        <w:t>开放式基金份额变动</w:t>
      </w:r>
    </w:p>
    <w:p w:rsidR="00367A6A" w:rsidRDefault="00250141">
      <w:pPr>
        <w:autoSpaceDE w:val="0"/>
        <w:autoSpaceDN w:val="0"/>
        <w:adjustRightInd w:val="0"/>
        <w:spacing w:before="29" w:line="288" w:lineRule="auto"/>
        <w:ind w:left="15" w:right="480"/>
        <w:jc w:val="right"/>
        <w:rPr>
          <w:rFonts w:eastAsiaTheme="minorEastAsia"/>
          <w:color w:val="000000" w:themeColor="text1"/>
          <w:kern w:val="0"/>
          <w:szCs w:val="21"/>
        </w:rPr>
      </w:pPr>
      <w:r>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367A6A">
        <w:tc>
          <w:tcPr>
            <w:tcW w:w="3900" w:type="dxa"/>
            <w:tcBorders>
              <w:top w:val="single" w:sz="8" w:space="0" w:color="000000"/>
              <w:left w:val="single" w:sz="8" w:space="0" w:color="000000"/>
              <w:bottom w:val="single" w:sz="8" w:space="0" w:color="000000"/>
              <w:right w:val="single" w:sz="8" w:space="0" w:color="000000"/>
            </w:tcBorders>
            <w:vAlign w:val="center"/>
          </w:tcPr>
          <w:p w:rsidR="00367A6A" w:rsidRDefault="00250141">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367A6A" w:rsidRDefault="00250141">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上投摩根岁岁金定期开放债券</w:t>
            </w:r>
            <w:r>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367A6A" w:rsidRDefault="00250141">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上投摩根岁岁金定期开放债券</w:t>
            </w:r>
            <w:r>
              <w:rPr>
                <w:rFonts w:eastAsiaTheme="minorEastAsia"/>
                <w:color w:val="000000" w:themeColor="text1"/>
                <w:szCs w:val="21"/>
              </w:rPr>
              <w:t>C</w:t>
            </w:r>
          </w:p>
        </w:tc>
      </w:tr>
      <w:tr w:rsidR="00367A6A">
        <w:tc>
          <w:tcPr>
            <w:tcW w:w="3900" w:type="dxa"/>
            <w:tcBorders>
              <w:top w:val="single" w:sz="8" w:space="0" w:color="000000"/>
              <w:left w:val="single" w:sz="8" w:space="0" w:color="000000"/>
              <w:bottom w:val="single" w:sz="8" w:space="0" w:color="000000"/>
              <w:right w:val="single" w:sz="8" w:space="0" w:color="000000"/>
            </w:tcBorders>
            <w:vAlign w:val="center"/>
          </w:tcPr>
          <w:p w:rsidR="00367A6A" w:rsidRDefault="00250141">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367A6A" w:rsidRDefault="00250141">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35,800,354.70</w:t>
            </w:r>
          </w:p>
        </w:tc>
        <w:tc>
          <w:tcPr>
            <w:tcW w:w="2367" w:type="dxa"/>
            <w:tcBorders>
              <w:top w:val="single" w:sz="8" w:space="0" w:color="000000"/>
              <w:left w:val="single" w:sz="8" w:space="0" w:color="000000"/>
              <w:bottom w:val="single" w:sz="8" w:space="0" w:color="000000"/>
              <w:right w:val="single" w:sz="8" w:space="0" w:color="000000"/>
            </w:tcBorders>
            <w:vAlign w:val="center"/>
          </w:tcPr>
          <w:p w:rsidR="00367A6A" w:rsidRDefault="00250141">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1,652,258.69</w:t>
            </w:r>
          </w:p>
        </w:tc>
      </w:tr>
      <w:tr w:rsidR="00367A6A">
        <w:tc>
          <w:tcPr>
            <w:tcW w:w="3900" w:type="dxa"/>
            <w:tcBorders>
              <w:top w:val="single" w:sz="8" w:space="0" w:color="000000"/>
              <w:left w:val="single" w:sz="8" w:space="0" w:color="000000"/>
              <w:bottom w:val="single" w:sz="8" w:space="0" w:color="000000"/>
              <w:right w:val="single" w:sz="8" w:space="0" w:color="000000"/>
            </w:tcBorders>
            <w:vAlign w:val="center"/>
          </w:tcPr>
          <w:p w:rsidR="00367A6A" w:rsidRDefault="00250141">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lastRenderedPageBreak/>
              <w:t>报告期基金总申购份额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367A6A" w:rsidRDefault="00250141">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170.22</w:t>
            </w:r>
          </w:p>
        </w:tc>
        <w:tc>
          <w:tcPr>
            <w:tcW w:w="2367" w:type="dxa"/>
            <w:tcBorders>
              <w:top w:val="single" w:sz="8" w:space="0" w:color="000000"/>
              <w:left w:val="single" w:sz="8" w:space="0" w:color="000000"/>
              <w:bottom w:val="single" w:sz="8" w:space="0" w:color="000000"/>
              <w:right w:val="single" w:sz="8" w:space="0" w:color="000000"/>
            </w:tcBorders>
            <w:vAlign w:val="center"/>
          </w:tcPr>
          <w:p w:rsidR="00367A6A" w:rsidRDefault="00250141">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771.67</w:t>
            </w:r>
          </w:p>
        </w:tc>
      </w:tr>
      <w:tr w:rsidR="00367A6A">
        <w:tc>
          <w:tcPr>
            <w:tcW w:w="3900" w:type="dxa"/>
            <w:tcBorders>
              <w:top w:val="single" w:sz="8" w:space="0" w:color="000000"/>
              <w:left w:val="single" w:sz="8" w:space="0" w:color="000000"/>
              <w:bottom w:val="single" w:sz="8" w:space="0" w:color="000000"/>
              <w:right w:val="single" w:sz="8" w:space="0" w:color="000000"/>
            </w:tcBorders>
            <w:vAlign w:val="center"/>
          </w:tcPr>
          <w:p w:rsidR="00367A6A" w:rsidRDefault="00250141">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减：报告期基金总赎回份额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367A6A" w:rsidRDefault="00250141">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33,552,601.09</w:t>
            </w:r>
          </w:p>
        </w:tc>
        <w:tc>
          <w:tcPr>
            <w:tcW w:w="2367" w:type="dxa"/>
            <w:tcBorders>
              <w:top w:val="single" w:sz="8" w:space="0" w:color="000000"/>
              <w:left w:val="single" w:sz="8" w:space="0" w:color="000000"/>
              <w:bottom w:val="single" w:sz="8" w:space="0" w:color="000000"/>
              <w:right w:val="single" w:sz="8" w:space="0" w:color="000000"/>
            </w:tcBorders>
            <w:vAlign w:val="center"/>
          </w:tcPr>
          <w:p w:rsidR="00367A6A" w:rsidRDefault="00250141">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1,503,242.95</w:t>
            </w:r>
          </w:p>
        </w:tc>
      </w:tr>
      <w:tr w:rsidR="00367A6A">
        <w:tc>
          <w:tcPr>
            <w:tcW w:w="3900" w:type="dxa"/>
            <w:tcBorders>
              <w:top w:val="single" w:sz="8" w:space="0" w:color="000000"/>
              <w:left w:val="single" w:sz="8" w:space="0" w:color="000000"/>
              <w:bottom w:val="single" w:sz="8" w:space="0" w:color="000000"/>
              <w:right w:val="single" w:sz="8" w:space="0" w:color="000000"/>
            </w:tcBorders>
            <w:vAlign w:val="center"/>
          </w:tcPr>
          <w:p w:rsidR="00367A6A" w:rsidRDefault="00250141">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报告期基金拆分变动份额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367A6A" w:rsidRDefault="00250141">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367A6A" w:rsidRDefault="00250141">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367A6A">
        <w:tc>
          <w:tcPr>
            <w:tcW w:w="3900" w:type="dxa"/>
            <w:tcBorders>
              <w:top w:val="single" w:sz="8" w:space="0" w:color="000000"/>
              <w:left w:val="single" w:sz="8" w:space="0" w:color="000000"/>
              <w:bottom w:val="single" w:sz="8" w:space="0" w:color="000000"/>
              <w:right w:val="single" w:sz="8" w:space="0" w:color="000000"/>
            </w:tcBorders>
            <w:vAlign w:val="center"/>
          </w:tcPr>
          <w:p w:rsidR="00367A6A" w:rsidRDefault="00250141">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367A6A" w:rsidRDefault="00250141">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2,247,923.83</w:t>
            </w:r>
          </w:p>
        </w:tc>
        <w:tc>
          <w:tcPr>
            <w:tcW w:w="2367" w:type="dxa"/>
            <w:tcBorders>
              <w:top w:val="single" w:sz="8" w:space="0" w:color="000000"/>
              <w:left w:val="single" w:sz="8" w:space="0" w:color="000000"/>
              <w:bottom w:val="single" w:sz="8" w:space="0" w:color="000000"/>
              <w:right w:val="single" w:sz="8" w:space="0" w:color="000000"/>
            </w:tcBorders>
            <w:vAlign w:val="center"/>
          </w:tcPr>
          <w:p w:rsidR="00367A6A" w:rsidRDefault="00250141">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149,787.41</w:t>
            </w:r>
          </w:p>
        </w:tc>
      </w:tr>
    </w:tbl>
    <w:p w:rsidR="00367A6A" w:rsidRDefault="00250141">
      <w:pPr>
        <w:pStyle w:val="1"/>
        <w:tabs>
          <w:tab w:val="center" w:pos="4156"/>
          <w:tab w:val="right" w:pos="8312"/>
        </w:tabs>
        <w:spacing w:beforeLines="100" w:before="312" w:afterLines="100" w:after="312" w:line="360" w:lineRule="auto"/>
        <w:jc w:val="center"/>
        <w:rPr>
          <w:color w:val="000000" w:themeColor="text1"/>
          <w:sz w:val="21"/>
          <w:szCs w:val="21"/>
        </w:rPr>
      </w:pPr>
      <w:r>
        <w:rPr>
          <w:rFonts w:eastAsiaTheme="minorEastAsia"/>
          <w:color w:val="000000" w:themeColor="text1"/>
          <w:kern w:val="0"/>
          <w:sz w:val="21"/>
          <w:szCs w:val="21"/>
        </w:rPr>
        <w:t>§7</w:t>
      </w:r>
      <w:r>
        <w:rPr>
          <w:rFonts w:hint="eastAsia"/>
          <w:color w:val="000000"/>
          <w:sz w:val="21"/>
          <w:szCs w:val="21"/>
          <w:shd w:val="clear" w:color="auto" w:fill="FFFFFF"/>
        </w:rPr>
        <w:t>基金管理人运用固有资金投资本基金情况</w:t>
      </w:r>
    </w:p>
    <w:p w:rsidR="00367A6A" w:rsidRDefault="00250141">
      <w:pPr>
        <w:spacing w:line="360" w:lineRule="auto"/>
        <w:jc w:val="left"/>
        <w:rPr>
          <w:color w:val="000000" w:themeColor="text1"/>
          <w:szCs w:val="21"/>
        </w:rPr>
      </w:pPr>
      <w:r>
        <w:rPr>
          <w:b/>
          <w:color w:val="000000" w:themeColor="text1"/>
          <w:szCs w:val="21"/>
        </w:rPr>
        <w:t>7.1</w:t>
      </w:r>
      <w:r>
        <w:rPr>
          <w:rFonts w:eastAsiaTheme="minorEastAsia" w:hint="eastAsia"/>
          <w:b/>
          <w:bCs/>
          <w:color w:val="000000" w:themeColor="text1"/>
          <w:kern w:val="44"/>
          <w:szCs w:val="21"/>
        </w:rPr>
        <w:t>基金管理人持有本基金份额变动情况</w:t>
      </w:r>
    </w:p>
    <w:p w:rsidR="00367A6A" w:rsidRDefault="0025014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无。</w:t>
      </w:r>
    </w:p>
    <w:p w:rsidR="00367A6A" w:rsidRDefault="00250141">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§8 </w:t>
      </w:r>
      <w:r>
        <w:rPr>
          <w:rFonts w:eastAsiaTheme="minorEastAsia"/>
          <w:color w:val="000000" w:themeColor="text1"/>
          <w:kern w:val="0"/>
          <w:sz w:val="21"/>
          <w:szCs w:val="21"/>
        </w:rPr>
        <w:t>影响投资者决策的其他重要信息</w:t>
      </w:r>
    </w:p>
    <w:p w:rsidR="00367A6A" w:rsidRDefault="00250141">
      <w:pPr>
        <w:autoSpaceDE w:val="0"/>
        <w:autoSpaceDN w:val="0"/>
        <w:adjustRightInd w:val="0"/>
        <w:spacing w:line="360" w:lineRule="auto"/>
        <w:jc w:val="left"/>
        <w:rPr>
          <w:rFonts w:ascii="宋体" w:hAnsi="宋体"/>
          <w:b/>
          <w:bCs/>
          <w:color w:val="000000"/>
          <w:kern w:val="0"/>
          <w:szCs w:val="21"/>
        </w:rPr>
      </w:pPr>
      <w:r>
        <w:rPr>
          <w:rFonts w:ascii="宋体" w:hAnsi="宋体"/>
          <w:b/>
          <w:bCs/>
          <w:color w:val="000000"/>
          <w:kern w:val="0"/>
          <w:szCs w:val="21"/>
        </w:rPr>
        <w:t>8.</w:t>
      </w:r>
      <w:r>
        <w:rPr>
          <w:rFonts w:ascii="宋体" w:hAnsi="宋体" w:hint="eastAsia"/>
          <w:b/>
          <w:bCs/>
          <w:color w:val="000000"/>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367A6A">
        <w:tc>
          <w:tcPr>
            <w:tcW w:w="993" w:type="dxa"/>
            <w:vMerge w:val="restart"/>
            <w:vAlign w:val="center"/>
          </w:tcPr>
          <w:p w:rsidR="00367A6A" w:rsidRDefault="00250141">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投资者类别</w:t>
            </w:r>
            <w:r>
              <w:rPr>
                <w:rFonts w:ascii="宋体" w:hAnsi="宋体"/>
                <w:color w:val="000000"/>
                <w:kern w:val="0"/>
                <w:szCs w:val="21"/>
              </w:rPr>
              <w:t xml:space="preserve">  </w:t>
            </w:r>
          </w:p>
        </w:tc>
        <w:tc>
          <w:tcPr>
            <w:tcW w:w="5670" w:type="dxa"/>
            <w:gridSpan w:val="5"/>
            <w:vAlign w:val="center"/>
          </w:tcPr>
          <w:p w:rsidR="00367A6A" w:rsidRDefault="00250141">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报告期内持有基金份额变化情况</w:t>
            </w:r>
          </w:p>
        </w:tc>
        <w:tc>
          <w:tcPr>
            <w:tcW w:w="2549" w:type="dxa"/>
            <w:gridSpan w:val="2"/>
            <w:vAlign w:val="center"/>
          </w:tcPr>
          <w:p w:rsidR="00367A6A" w:rsidRDefault="00250141">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rsidR="00367A6A">
        <w:tc>
          <w:tcPr>
            <w:tcW w:w="993" w:type="dxa"/>
            <w:vMerge/>
            <w:vAlign w:val="center"/>
          </w:tcPr>
          <w:p w:rsidR="00367A6A" w:rsidRDefault="00367A6A">
            <w:pPr>
              <w:autoSpaceDE w:val="0"/>
              <w:autoSpaceDN w:val="0"/>
              <w:adjustRightInd w:val="0"/>
              <w:jc w:val="center"/>
              <w:rPr>
                <w:rFonts w:ascii="宋体" w:hAnsi="宋体"/>
                <w:b/>
                <w:bCs/>
                <w:color w:val="000000"/>
                <w:kern w:val="0"/>
                <w:szCs w:val="21"/>
              </w:rPr>
            </w:pPr>
          </w:p>
        </w:tc>
        <w:tc>
          <w:tcPr>
            <w:tcW w:w="992" w:type="dxa"/>
            <w:vAlign w:val="center"/>
          </w:tcPr>
          <w:p w:rsidR="00367A6A" w:rsidRDefault="00250141">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w="1843" w:type="dxa"/>
            <w:vAlign w:val="center"/>
          </w:tcPr>
          <w:p w:rsidR="00367A6A" w:rsidRDefault="00250141">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持有基金份额比例达到或者超过20%的时间区间</w:t>
            </w:r>
          </w:p>
        </w:tc>
        <w:tc>
          <w:tcPr>
            <w:tcW w:w="851" w:type="dxa"/>
            <w:vAlign w:val="center"/>
          </w:tcPr>
          <w:p w:rsidR="00367A6A" w:rsidRDefault="00250141">
            <w:pPr>
              <w:widowControl/>
              <w:jc w:val="center"/>
              <w:rPr>
                <w:rFonts w:ascii="宋体" w:hAnsi="宋体"/>
                <w:b/>
                <w:bCs/>
                <w:color w:val="000000"/>
                <w:kern w:val="0"/>
                <w:szCs w:val="21"/>
              </w:rPr>
            </w:pPr>
            <w:r>
              <w:rPr>
                <w:rFonts w:ascii="宋体" w:hAnsi="宋体" w:hint="eastAsia"/>
                <w:color w:val="000000"/>
                <w:kern w:val="0"/>
                <w:szCs w:val="21"/>
              </w:rPr>
              <w:t>期初份额</w:t>
            </w:r>
          </w:p>
        </w:tc>
        <w:tc>
          <w:tcPr>
            <w:tcW w:w="850" w:type="dxa"/>
            <w:vAlign w:val="center"/>
          </w:tcPr>
          <w:p w:rsidR="00367A6A" w:rsidRDefault="00250141">
            <w:pPr>
              <w:widowControl/>
              <w:jc w:val="center"/>
              <w:rPr>
                <w:rFonts w:ascii="宋体" w:hAnsi="宋体"/>
                <w:b/>
                <w:bCs/>
                <w:color w:val="000000"/>
                <w:kern w:val="0"/>
                <w:szCs w:val="21"/>
              </w:rPr>
            </w:pPr>
            <w:r>
              <w:rPr>
                <w:rFonts w:ascii="宋体" w:hAnsi="宋体" w:hint="eastAsia"/>
                <w:color w:val="000000"/>
                <w:kern w:val="0"/>
                <w:szCs w:val="21"/>
              </w:rPr>
              <w:t>申购份额</w:t>
            </w:r>
          </w:p>
        </w:tc>
        <w:tc>
          <w:tcPr>
            <w:tcW w:w="1134" w:type="dxa"/>
            <w:vAlign w:val="center"/>
          </w:tcPr>
          <w:p w:rsidR="00367A6A" w:rsidRDefault="00250141">
            <w:pPr>
              <w:widowControl/>
              <w:jc w:val="center"/>
              <w:rPr>
                <w:rFonts w:ascii="宋体" w:hAnsi="宋体"/>
                <w:b/>
                <w:bCs/>
                <w:color w:val="000000"/>
                <w:kern w:val="0"/>
                <w:szCs w:val="21"/>
              </w:rPr>
            </w:pPr>
            <w:r>
              <w:rPr>
                <w:rFonts w:ascii="宋体" w:hAnsi="宋体" w:hint="eastAsia"/>
                <w:color w:val="000000"/>
                <w:kern w:val="0"/>
                <w:szCs w:val="21"/>
              </w:rPr>
              <w:t>赎回份额</w:t>
            </w:r>
          </w:p>
        </w:tc>
        <w:tc>
          <w:tcPr>
            <w:tcW w:w="1419" w:type="dxa"/>
            <w:vAlign w:val="center"/>
          </w:tcPr>
          <w:p w:rsidR="00367A6A" w:rsidRDefault="00250141">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w="1130" w:type="dxa"/>
            <w:vAlign w:val="center"/>
          </w:tcPr>
          <w:p w:rsidR="00367A6A" w:rsidRDefault="00250141">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rsidR="00367A6A">
        <w:tc>
          <w:tcPr>
            <w:tcW w:w="993" w:type="dxa"/>
            <w:vMerge w:val="restart"/>
          </w:tcPr>
          <w:p w:rsidR="00367A6A" w:rsidRDefault="00367A6A"/>
          <w:p w:rsidR="00367A6A" w:rsidRDefault="00250141">
            <w:r>
              <w:rPr>
                <w:rFonts w:ascii="宋体" w:hAnsi="宋体" w:hint="eastAsia"/>
                <w:bCs/>
                <w:color w:val="000000"/>
                <w:kern w:val="0"/>
                <w:szCs w:val="21"/>
              </w:rPr>
              <w:t>机构</w:t>
            </w:r>
          </w:p>
        </w:tc>
        <w:tc>
          <w:tcPr>
            <w:tcW w:w="992" w:type="dxa"/>
            <w:vAlign w:val="center"/>
          </w:tcPr>
          <w:p w:rsidR="00367A6A" w:rsidRDefault="00250141">
            <w:pPr>
              <w:jc w:val="center"/>
            </w:pPr>
            <w:r>
              <w:rPr>
                <w:rFonts w:ascii="宋体" w:hAnsi="宋体"/>
                <w:color w:val="000000"/>
                <w:kern w:val="0"/>
                <w:szCs w:val="21"/>
              </w:rPr>
              <w:t>1</w:t>
            </w:r>
          </w:p>
        </w:tc>
        <w:tc>
          <w:tcPr>
            <w:tcW w:w="1843" w:type="dxa"/>
            <w:vAlign w:val="center"/>
          </w:tcPr>
          <w:p w:rsidR="00367A6A" w:rsidRDefault="00250141">
            <w:pPr>
              <w:jc w:val="center"/>
            </w:pPr>
            <w:r>
              <w:rPr>
                <w:rFonts w:ascii="宋体" w:hAnsi="宋体"/>
                <w:color w:val="000000"/>
                <w:kern w:val="0"/>
                <w:szCs w:val="21"/>
              </w:rPr>
              <w:t>20190401-20190417</w:t>
            </w:r>
          </w:p>
        </w:tc>
        <w:tc>
          <w:tcPr>
            <w:tcW w:w="851" w:type="dxa"/>
            <w:vAlign w:val="center"/>
          </w:tcPr>
          <w:p w:rsidR="00367A6A" w:rsidRDefault="00250141">
            <w:pPr>
              <w:jc w:val="center"/>
            </w:pPr>
            <w:r>
              <w:rPr>
                <w:rFonts w:ascii="宋体" w:hAnsi="宋体"/>
                <w:color w:val="000000"/>
                <w:kern w:val="0"/>
                <w:szCs w:val="21"/>
              </w:rPr>
              <w:t>25,006,875.00</w:t>
            </w:r>
          </w:p>
        </w:tc>
        <w:tc>
          <w:tcPr>
            <w:tcW w:w="850" w:type="dxa"/>
            <w:vAlign w:val="center"/>
          </w:tcPr>
          <w:p w:rsidR="00367A6A" w:rsidRDefault="00250141">
            <w:pPr>
              <w:jc w:val="center"/>
            </w:pPr>
            <w:r>
              <w:rPr>
                <w:rFonts w:ascii="宋体" w:hAnsi="宋体"/>
                <w:color w:val="000000"/>
                <w:kern w:val="0"/>
                <w:szCs w:val="21"/>
              </w:rPr>
              <w:t>0.00</w:t>
            </w:r>
          </w:p>
        </w:tc>
        <w:tc>
          <w:tcPr>
            <w:tcW w:w="1134" w:type="dxa"/>
            <w:vAlign w:val="center"/>
          </w:tcPr>
          <w:p w:rsidR="00367A6A" w:rsidRDefault="00250141">
            <w:pPr>
              <w:jc w:val="center"/>
            </w:pPr>
            <w:r>
              <w:rPr>
                <w:rFonts w:ascii="宋体" w:hAnsi="宋体"/>
                <w:color w:val="000000"/>
                <w:kern w:val="0"/>
                <w:szCs w:val="21"/>
              </w:rPr>
              <w:t>25,006,875.00</w:t>
            </w:r>
          </w:p>
        </w:tc>
        <w:tc>
          <w:tcPr>
            <w:tcW w:w="1419" w:type="dxa"/>
            <w:vAlign w:val="center"/>
          </w:tcPr>
          <w:p w:rsidR="00367A6A" w:rsidRDefault="00250141">
            <w:pPr>
              <w:jc w:val="center"/>
            </w:pPr>
            <w:r>
              <w:rPr>
                <w:rFonts w:ascii="宋体" w:hAnsi="宋体"/>
                <w:color w:val="000000"/>
                <w:kern w:val="0"/>
                <w:szCs w:val="21"/>
              </w:rPr>
              <w:t>0.00</w:t>
            </w:r>
          </w:p>
        </w:tc>
        <w:tc>
          <w:tcPr>
            <w:tcW w:w="1130" w:type="dxa"/>
            <w:vAlign w:val="center"/>
          </w:tcPr>
          <w:p w:rsidR="00367A6A" w:rsidRDefault="00250141">
            <w:pPr>
              <w:jc w:val="center"/>
            </w:pPr>
            <w:r>
              <w:rPr>
                <w:rFonts w:ascii="宋体" w:hAnsi="宋体"/>
                <w:color w:val="000000"/>
                <w:kern w:val="0"/>
                <w:szCs w:val="21"/>
              </w:rPr>
              <w:t>0.00%</w:t>
            </w:r>
          </w:p>
        </w:tc>
      </w:tr>
      <w:tr w:rsidR="00367A6A">
        <w:tc>
          <w:tcPr>
            <w:tcW w:w="993" w:type="dxa"/>
            <w:vMerge w:val="restart"/>
          </w:tcPr>
          <w:p w:rsidR="00367A6A" w:rsidRDefault="00367A6A"/>
          <w:p w:rsidR="00367A6A" w:rsidRDefault="00250141">
            <w:r>
              <w:rPr>
                <w:rFonts w:ascii="宋体" w:hAnsi="宋体" w:hint="eastAsia"/>
                <w:bCs/>
                <w:color w:val="000000"/>
                <w:kern w:val="0"/>
                <w:szCs w:val="21"/>
              </w:rPr>
              <w:t>个人</w:t>
            </w:r>
          </w:p>
        </w:tc>
        <w:tc>
          <w:tcPr>
            <w:tcW w:w="992" w:type="dxa"/>
            <w:vAlign w:val="center"/>
          </w:tcPr>
          <w:p w:rsidR="00367A6A" w:rsidRDefault="00250141">
            <w:pPr>
              <w:jc w:val="center"/>
            </w:pPr>
            <w:r>
              <w:rPr>
                <w:rFonts w:ascii="宋体" w:hAnsi="宋体"/>
                <w:kern w:val="0"/>
                <w:szCs w:val="21"/>
              </w:rPr>
              <w:t>1</w:t>
            </w:r>
          </w:p>
        </w:tc>
        <w:tc>
          <w:tcPr>
            <w:tcW w:w="1843" w:type="dxa"/>
            <w:vAlign w:val="center"/>
          </w:tcPr>
          <w:p w:rsidR="00367A6A" w:rsidRDefault="00250141">
            <w:pPr>
              <w:jc w:val="center"/>
            </w:pPr>
            <w:r>
              <w:rPr>
                <w:rFonts w:ascii="宋体" w:hAnsi="宋体"/>
                <w:kern w:val="0"/>
                <w:szCs w:val="21"/>
              </w:rPr>
              <w:t>20190508-20190509</w:t>
            </w:r>
          </w:p>
        </w:tc>
        <w:tc>
          <w:tcPr>
            <w:tcW w:w="851" w:type="dxa"/>
            <w:vAlign w:val="center"/>
          </w:tcPr>
          <w:p w:rsidR="00367A6A" w:rsidRDefault="00250141">
            <w:pPr>
              <w:jc w:val="center"/>
            </w:pPr>
            <w:r>
              <w:rPr>
                <w:rFonts w:ascii="宋体" w:hAnsi="宋体"/>
                <w:kern w:val="0"/>
                <w:szCs w:val="21"/>
              </w:rPr>
              <w:t>498,120.39</w:t>
            </w:r>
          </w:p>
        </w:tc>
        <w:tc>
          <w:tcPr>
            <w:tcW w:w="850" w:type="dxa"/>
            <w:vAlign w:val="center"/>
          </w:tcPr>
          <w:p w:rsidR="00367A6A" w:rsidRDefault="00250141">
            <w:pPr>
              <w:jc w:val="center"/>
            </w:pPr>
            <w:r>
              <w:rPr>
                <w:rFonts w:ascii="宋体" w:hAnsi="宋体"/>
                <w:kern w:val="0"/>
                <w:szCs w:val="21"/>
              </w:rPr>
              <w:t>0.00</w:t>
            </w:r>
          </w:p>
        </w:tc>
        <w:tc>
          <w:tcPr>
            <w:tcW w:w="1134" w:type="dxa"/>
            <w:vAlign w:val="center"/>
          </w:tcPr>
          <w:p w:rsidR="00367A6A" w:rsidRDefault="00250141">
            <w:pPr>
              <w:jc w:val="center"/>
            </w:pPr>
            <w:r>
              <w:rPr>
                <w:rFonts w:ascii="宋体" w:hAnsi="宋体"/>
                <w:kern w:val="0"/>
                <w:szCs w:val="21"/>
              </w:rPr>
              <w:t>0.00</w:t>
            </w:r>
          </w:p>
        </w:tc>
        <w:tc>
          <w:tcPr>
            <w:tcW w:w="1419" w:type="dxa"/>
            <w:vAlign w:val="center"/>
          </w:tcPr>
          <w:p w:rsidR="00367A6A" w:rsidRDefault="00250141">
            <w:pPr>
              <w:jc w:val="center"/>
            </w:pPr>
            <w:r>
              <w:rPr>
                <w:rFonts w:ascii="宋体" w:hAnsi="宋体"/>
                <w:kern w:val="0"/>
                <w:szCs w:val="21"/>
              </w:rPr>
              <w:t>498,120.39</w:t>
            </w:r>
          </w:p>
        </w:tc>
        <w:tc>
          <w:tcPr>
            <w:tcW w:w="1130" w:type="dxa"/>
            <w:vAlign w:val="center"/>
          </w:tcPr>
          <w:p w:rsidR="00367A6A" w:rsidRDefault="00250141">
            <w:pPr>
              <w:jc w:val="center"/>
            </w:pPr>
            <w:r>
              <w:rPr>
                <w:rFonts w:ascii="宋体" w:hAnsi="宋体"/>
                <w:kern w:val="0"/>
                <w:szCs w:val="21"/>
              </w:rPr>
              <w:t>20.77%</w:t>
            </w:r>
          </w:p>
        </w:tc>
      </w:tr>
      <w:tr w:rsidR="00367A6A">
        <w:tc>
          <w:tcPr>
            <w:tcW w:w="9212" w:type="dxa"/>
            <w:gridSpan w:val="8"/>
            <w:vAlign w:val="center"/>
          </w:tcPr>
          <w:p w:rsidR="00367A6A" w:rsidRDefault="00250141">
            <w:pPr>
              <w:autoSpaceDE w:val="0"/>
              <w:autoSpaceDN w:val="0"/>
              <w:adjustRightInd w:val="0"/>
              <w:jc w:val="center"/>
              <w:rPr>
                <w:rFonts w:ascii="宋体" w:hAnsi="宋体"/>
                <w:kern w:val="0"/>
                <w:szCs w:val="21"/>
              </w:rPr>
            </w:pPr>
            <w:r>
              <w:rPr>
                <w:rFonts w:ascii="宋体" w:hAnsi="宋体"/>
                <w:color w:val="000000"/>
                <w:kern w:val="0"/>
                <w:szCs w:val="21"/>
              </w:rPr>
              <w:t>产品特有风险</w:t>
            </w:r>
          </w:p>
        </w:tc>
      </w:tr>
      <w:tr w:rsidR="00367A6A">
        <w:tc>
          <w:tcPr>
            <w:tcW w:w="9212" w:type="dxa"/>
            <w:gridSpan w:val="8"/>
            <w:vAlign w:val="center"/>
          </w:tcPr>
          <w:p w:rsidR="00367A6A" w:rsidRDefault="00250141">
            <w:pPr>
              <w:autoSpaceDE w:val="0"/>
              <w:autoSpaceDN w:val="0"/>
              <w:adjustRightInd w:val="0"/>
              <w:jc w:val="left"/>
              <w:rPr>
                <w:rFonts w:ascii="宋体" w:hAnsi="宋体"/>
                <w:kern w:val="0"/>
                <w:szCs w:val="21"/>
              </w:rPr>
            </w:pPr>
            <w:r>
              <w:rPr>
                <w:rFonts w:ascii="宋体" w:hAnsi="宋体" w:hint="eastAsia"/>
                <w:kern w:val="0"/>
                <w:szCs w:val="21"/>
              </w:rPr>
              <w:t>本基金的集中度风险主要体现在有单一投资者持有基金份额比例达到或者超过20%，如果投资者发生大额赎回，可能出现基金可变现资产无法满足投资者赎回需要以及因为资产变现成本过高导致投资者的利益受到损害的风险。</w:t>
            </w:r>
          </w:p>
        </w:tc>
      </w:tr>
    </w:tbl>
    <w:p w:rsidR="00367A6A" w:rsidRDefault="00250141">
      <w:pPr>
        <w:autoSpaceDE w:val="0"/>
        <w:autoSpaceDN w:val="0"/>
        <w:adjustRightInd w:val="0"/>
        <w:spacing w:line="360" w:lineRule="auto"/>
        <w:jc w:val="left"/>
        <w:rPr>
          <w:rFonts w:ascii="宋体" w:hAnsi="宋体"/>
          <w:b/>
          <w:bCs/>
          <w:color w:val="000000"/>
          <w:kern w:val="0"/>
          <w:szCs w:val="21"/>
        </w:rPr>
      </w:pPr>
      <w:r>
        <w:rPr>
          <w:rFonts w:ascii="宋体" w:hAnsi="宋体" w:hint="eastAsia"/>
          <w:b/>
          <w:bCs/>
          <w:color w:val="000000"/>
          <w:kern w:val="0"/>
          <w:szCs w:val="21"/>
        </w:rPr>
        <w:t>8.2 影响投资者决策的其他重要信息</w:t>
      </w:r>
    </w:p>
    <w:p w:rsidR="00367A6A" w:rsidRDefault="00713E68">
      <w:pPr>
        <w:spacing w:line="360" w:lineRule="auto"/>
        <w:ind w:firstLineChars="200" w:firstLine="420"/>
        <w:rPr>
          <w:rFonts w:ascii="宋体" w:hAnsi="宋体"/>
          <w:color w:val="000000"/>
          <w:szCs w:val="21"/>
        </w:rPr>
      </w:pPr>
      <w:r>
        <w:rPr>
          <w:rFonts w:ascii="宋体" w:hAnsi="宋体" w:hint="eastAsia"/>
          <w:color w:val="000000"/>
          <w:szCs w:val="21"/>
        </w:rPr>
        <w:t>基金管理人于2</w:t>
      </w:r>
      <w:r>
        <w:rPr>
          <w:rFonts w:ascii="宋体" w:hAnsi="宋体"/>
          <w:color w:val="000000"/>
          <w:szCs w:val="21"/>
        </w:rPr>
        <w:t>019</w:t>
      </w:r>
      <w:r>
        <w:rPr>
          <w:rFonts w:ascii="宋体" w:hAnsi="宋体" w:hint="eastAsia"/>
          <w:color w:val="000000"/>
          <w:szCs w:val="21"/>
        </w:rPr>
        <w:t>年5月1</w:t>
      </w:r>
      <w:r>
        <w:rPr>
          <w:rFonts w:ascii="宋体" w:hAnsi="宋体"/>
          <w:color w:val="000000"/>
          <w:szCs w:val="21"/>
        </w:rPr>
        <w:t>0</w:t>
      </w:r>
      <w:r>
        <w:rPr>
          <w:rFonts w:ascii="宋体" w:hAnsi="宋体" w:hint="eastAsia"/>
          <w:color w:val="000000"/>
          <w:szCs w:val="21"/>
        </w:rPr>
        <w:t>日发布《</w:t>
      </w:r>
      <w:r w:rsidRPr="00713E68">
        <w:rPr>
          <w:rFonts w:ascii="宋体" w:hAnsi="宋体" w:hint="eastAsia"/>
          <w:color w:val="000000"/>
          <w:szCs w:val="21"/>
        </w:rPr>
        <w:t>关于上投摩根岁岁金定期开放债券型证券投资基金触发基金合同终止情形及清算的公告</w:t>
      </w:r>
      <w:r>
        <w:rPr>
          <w:rFonts w:ascii="宋体" w:hAnsi="宋体" w:hint="eastAsia"/>
          <w:color w:val="000000"/>
          <w:szCs w:val="21"/>
        </w:rPr>
        <w:t>》，自公告之日起，本基金进入清算流程。</w:t>
      </w:r>
    </w:p>
    <w:p w:rsidR="00367A6A" w:rsidRDefault="00250141">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§9 </w:t>
      </w:r>
      <w:r>
        <w:rPr>
          <w:rFonts w:eastAsiaTheme="minorEastAsia"/>
          <w:color w:val="000000" w:themeColor="text1"/>
          <w:kern w:val="0"/>
          <w:sz w:val="21"/>
          <w:szCs w:val="21"/>
        </w:rPr>
        <w:t>备查文件目录</w:t>
      </w:r>
    </w:p>
    <w:p w:rsidR="00367A6A" w:rsidRDefault="00250141">
      <w:pPr>
        <w:autoSpaceDE w:val="0"/>
        <w:autoSpaceDN w:val="0"/>
        <w:adjustRightInd w:val="0"/>
        <w:spacing w:line="360" w:lineRule="auto"/>
        <w:jc w:val="left"/>
        <w:rPr>
          <w:rFonts w:eastAsiaTheme="minorEastAsia"/>
          <w:b/>
          <w:bCs/>
          <w:color w:val="000000" w:themeColor="text1"/>
          <w:kern w:val="0"/>
          <w:szCs w:val="21"/>
        </w:rPr>
      </w:pPr>
      <w:r>
        <w:rPr>
          <w:rFonts w:eastAsiaTheme="minorEastAsia"/>
          <w:b/>
          <w:bCs/>
          <w:color w:val="000000" w:themeColor="text1"/>
          <w:kern w:val="0"/>
          <w:szCs w:val="21"/>
        </w:rPr>
        <w:t>9.1</w:t>
      </w:r>
      <w:r>
        <w:rPr>
          <w:rFonts w:eastAsiaTheme="minorEastAsia"/>
          <w:b/>
          <w:bCs/>
          <w:color w:val="000000" w:themeColor="text1"/>
          <w:kern w:val="0"/>
          <w:szCs w:val="21"/>
        </w:rPr>
        <w:t>备查文件目录</w:t>
      </w:r>
    </w:p>
    <w:p w:rsidR="00367A6A" w:rsidRDefault="00250141">
      <w:pPr>
        <w:spacing w:line="360" w:lineRule="auto"/>
        <w:ind w:firstLineChars="200" w:firstLine="420"/>
        <w:rPr>
          <w:rFonts w:eastAsiaTheme="minorEastAsia"/>
          <w:color w:val="000000" w:themeColor="text1"/>
          <w:szCs w:val="21"/>
        </w:rPr>
      </w:pPr>
      <w:r>
        <w:rPr>
          <w:rFonts w:eastAsiaTheme="minorEastAsia"/>
          <w:color w:val="000000" w:themeColor="text1"/>
          <w:szCs w:val="21"/>
        </w:rPr>
        <w:t>（一）中国证监会准予上投摩根岁岁金定期开放债券型证券投资基金募集注册的文件</w:t>
      </w:r>
    </w:p>
    <w:p w:rsidR="00367A6A" w:rsidRDefault="00250141">
      <w:pPr>
        <w:spacing w:line="360" w:lineRule="auto"/>
        <w:ind w:firstLineChars="200" w:firstLine="420"/>
        <w:rPr>
          <w:rFonts w:eastAsiaTheme="minorEastAsia"/>
          <w:color w:val="000000" w:themeColor="text1"/>
          <w:szCs w:val="21"/>
        </w:rPr>
      </w:pPr>
      <w:r>
        <w:rPr>
          <w:rFonts w:eastAsiaTheme="minorEastAsia"/>
          <w:color w:val="000000" w:themeColor="text1"/>
          <w:szCs w:val="21"/>
        </w:rPr>
        <w:t>（二）上投摩根岁岁金定期开放债券型证券投资基金基金合同</w:t>
      </w:r>
    </w:p>
    <w:p w:rsidR="00367A6A" w:rsidRDefault="00250141">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（三）上投摩根岁岁金定期开放债券型证券投资基金托管协议</w:t>
      </w:r>
    </w:p>
    <w:p w:rsidR="00367A6A" w:rsidRDefault="00250141">
      <w:pPr>
        <w:spacing w:line="360" w:lineRule="auto"/>
        <w:ind w:firstLineChars="200" w:firstLine="420"/>
        <w:rPr>
          <w:rFonts w:eastAsiaTheme="minorEastAsia"/>
          <w:color w:val="000000" w:themeColor="text1"/>
          <w:szCs w:val="21"/>
        </w:rPr>
      </w:pPr>
      <w:r>
        <w:rPr>
          <w:rFonts w:eastAsiaTheme="minorEastAsia"/>
          <w:color w:val="000000" w:themeColor="text1"/>
          <w:szCs w:val="21"/>
        </w:rPr>
        <w:t>（四）法律意见书</w:t>
      </w:r>
    </w:p>
    <w:p w:rsidR="00367A6A" w:rsidRDefault="00250141">
      <w:pPr>
        <w:spacing w:line="360" w:lineRule="auto"/>
        <w:ind w:firstLineChars="200" w:firstLine="420"/>
        <w:rPr>
          <w:rFonts w:eastAsiaTheme="minorEastAsia"/>
          <w:color w:val="000000" w:themeColor="text1"/>
          <w:szCs w:val="21"/>
        </w:rPr>
      </w:pPr>
      <w:r>
        <w:rPr>
          <w:rFonts w:eastAsiaTheme="minorEastAsia"/>
          <w:color w:val="000000" w:themeColor="text1"/>
          <w:szCs w:val="21"/>
        </w:rPr>
        <w:t>（五）基金管理人业务资格批件、营业执照</w:t>
      </w:r>
    </w:p>
    <w:p w:rsidR="00367A6A" w:rsidRDefault="00250141">
      <w:pPr>
        <w:spacing w:line="360" w:lineRule="auto"/>
        <w:ind w:firstLineChars="200" w:firstLine="420"/>
        <w:rPr>
          <w:rFonts w:eastAsiaTheme="minorEastAsia"/>
          <w:color w:val="000000" w:themeColor="text1"/>
          <w:szCs w:val="21"/>
        </w:rPr>
      </w:pPr>
      <w:r>
        <w:rPr>
          <w:rFonts w:eastAsiaTheme="minorEastAsia"/>
          <w:color w:val="000000" w:themeColor="text1"/>
          <w:szCs w:val="21"/>
        </w:rPr>
        <w:t>（六）基金托管人业务资格批件、营业执照</w:t>
      </w:r>
    </w:p>
    <w:p w:rsidR="00367A6A" w:rsidRDefault="00250141">
      <w:pPr>
        <w:spacing w:line="360" w:lineRule="auto"/>
        <w:ind w:firstLineChars="200" w:firstLine="420"/>
        <w:rPr>
          <w:rFonts w:eastAsiaTheme="minorEastAsia"/>
          <w:color w:val="000000" w:themeColor="text1"/>
          <w:szCs w:val="21"/>
        </w:rPr>
      </w:pPr>
      <w:r>
        <w:rPr>
          <w:rFonts w:eastAsiaTheme="minorEastAsia"/>
          <w:color w:val="000000" w:themeColor="text1"/>
          <w:szCs w:val="21"/>
        </w:rPr>
        <w:t>（七）上投摩根基金管理有限公司开放式基金业务规则</w:t>
      </w:r>
    </w:p>
    <w:p w:rsidR="00367A6A" w:rsidRDefault="00250141">
      <w:pPr>
        <w:spacing w:line="360" w:lineRule="auto"/>
        <w:ind w:firstLineChars="200" w:firstLine="420"/>
        <w:rPr>
          <w:rFonts w:eastAsiaTheme="minorEastAsia"/>
          <w:color w:val="000000" w:themeColor="text1"/>
          <w:szCs w:val="21"/>
        </w:rPr>
      </w:pPr>
      <w:r>
        <w:rPr>
          <w:rFonts w:eastAsiaTheme="minorEastAsia"/>
          <w:color w:val="000000" w:themeColor="text1"/>
          <w:szCs w:val="21"/>
        </w:rPr>
        <w:t>（八）中国证监会要求的其他文件</w:t>
      </w:r>
    </w:p>
    <w:p w:rsidR="00367A6A" w:rsidRDefault="00250141">
      <w:pPr>
        <w:autoSpaceDE w:val="0"/>
        <w:autoSpaceDN w:val="0"/>
        <w:adjustRightInd w:val="0"/>
        <w:spacing w:beforeLines="100" w:before="312" w:line="360" w:lineRule="auto"/>
        <w:jc w:val="left"/>
        <w:rPr>
          <w:rFonts w:eastAsiaTheme="minorEastAsia"/>
          <w:b/>
          <w:bCs/>
          <w:color w:val="000000" w:themeColor="text1"/>
          <w:kern w:val="0"/>
          <w:szCs w:val="21"/>
        </w:rPr>
      </w:pPr>
      <w:r>
        <w:rPr>
          <w:rFonts w:eastAsiaTheme="minorEastAsia"/>
          <w:b/>
          <w:bCs/>
          <w:color w:val="000000" w:themeColor="text1"/>
          <w:kern w:val="0"/>
          <w:szCs w:val="21"/>
        </w:rPr>
        <w:t>9.2</w:t>
      </w:r>
      <w:r>
        <w:rPr>
          <w:rFonts w:eastAsiaTheme="minorEastAsia"/>
          <w:b/>
          <w:bCs/>
          <w:color w:val="000000" w:themeColor="text1"/>
          <w:kern w:val="0"/>
          <w:szCs w:val="21"/>
        </w:rPr>
        <w:t>存放地点</w:t>
      </w:r>
    </w:p>
    <w:p w:rsidR="00367A6A" w:rsidRDefault="00250141">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基金管理人或基金托管人处。</w:t>
      </w:r>
    </w:p>
    <w:p w:rsidR="00367A6A" w:rsidRDefault="00250141">
      <w:pPr>
        <w:autoSpaceDE w:val="0"/>
        <w:autoSpaceDN w:val="0"/>
        <w:adjustRightInd w:val="0"/>
        <w:spacing w:beforeLines="100" w:before="312" w:line="360" w:lineRule="auto"/>
        <w:jc w:val="left"/>
        <w:rPr>
          <w:rFonts w:eastAsiaTheme="minorEastAsia"/>
          <w:b/>
          <w:bCs/>
          <w:color w:val="000000" w:themeColor="text1"/>
          <w:kern w:val="0"/>
          <w:szCs w:val="21"/>
        </w:rPr>
      </w:pPr>
      <w:r>
        <w:rPr>
          <w:rFonts w:eastAsiaTheme="minorEastAsia"/>
          <w:b/>
          <w:bCs/>
          <w:color w:val="000000" w:themeColor="text1"/>
          <w:kern w:val="0"/>
          <w:szCs w:val="21"/>
        </w:rPr>
        <w:t>9.3</w:t>
      </w:r>
      <w:r>
        <w:rPr>
          <w:rFonts w:eastAsiaTheme="minorEastAsia"/>
          <w:b/>
          <w:bCs/>
          <w:color w:val="000000" w:themeColor="text1"/>
          <w:kern w:val="0"/>
          <w:szCs w:val="21"/>
        </w:rPr>
        <w:t>查阅方式</w:t>
      </w:r>
    </w:p>
    <w:p w:rsidR="00367A6A" w:rsidRDefault="00250141">
      <w:pPr>
        <w:spacing w:line="360" w:lineRule="auto"/>
        <w:ind w:firstLineChars="200" w:firstLine="420"/>
        <w:rPr>
          <w:rFonts w:eastAsiaTheme="minorEastAsia"/>
          <w:color w:val="000000" w:themeColor="text1"/>
          <w:szCs w:val="21"/>
        </w:rPr>
      </w:pPr>
      <w:r>
        <w:rPr>
          <w:rFonts w:eastAsiaTheme="minorEastAsia"/>
          <w:color w:val="000000" w:themeColor="text1"/>
          <w:szCs w:val="21"/>
        </w:rPr>
        <w:t>投资者可在营业时间免费查阅，也可按工本费购买复印件。</w:t>
      </w:r>
    </w:p>
    <w:p w:rsidR="00367A6A" w:rsidRDefault="00367A6A">
      <w:pPr>
        <w:spacing w:line="360" w:lineRule="auto"/>
        <w:ind w:left="840"/>
        <w:jc w:val="right"/>
        <w:rPr>
          <w:rFonts w:eastAsiaTheme="minorEastAsia"/>
          <w:color w:val="000000" w:themeColor="text1"/>
          <w:szCs w:val="21"/>
        </w:rPr>
      </w:pPr>
    </w:p>
    <w:p w:rsidR="00367A6A" w:rsidRDefault="00367A6A">
      <w:pPr>
        <w:spacing w:line="360" w:lineRule="auto"/>
        <w:ind w:left="840"/>
        <w:jc w:val="center"/>
        <w:rPr>
          <w:rFonts w:eastAsiaTheme="minorEastAsia"/>
          <w:b/>
          <w:color w:val="000000" w:themeColor="text1"/>
          <w:szCs w:val="21"/>
        </w:rPr>
      </w:pPr>
    </w:p>
    <w:p w:rsidR="00367A6A" w:rsidRDefault="00250141">
      <w:pPr>
        <w:spacing w:line="360" w:lineRule="auto"/>
        <w:jc w:val="right"/>
        <w:rPr>
          <w:rFonts w:eastAsiaTheme="minorEastAsia"/>
          <w:b/>
          <w:bCs/>
          <w:color w:val="000000" w:themeColor="text1"/>
          <w:szCs w:val="21"/>
        </w:rPr>
      </w:pPr>
      <w:r>
        <w:rPr>
          <w:rFonts w:eastAsiaTheme="minorEastAsia"/>
          <w:b/>
          <w:bCs/>
          <w:color w:val="000000" w:themeColor="text1"/>
          <w:szCs w:val="21"/>
        </w:rPr>
        <w:t>上投摩根基金管理有限公司</w:t>
      </w:r>
    </w:p>
    <w:p w:rsidR="00367A6A" w:rsidRDefault="00250141">
      <w:pPr>
        <w:spacing w:line="360" w:lineRule="auto"/>
        <w:jc w:val="right"/>
        <w:rPr>
          <w:rFonts w:eastAsiaTheme="minorEastAsia"/>
          <w:b/>
          <w:bCs/>
          <w:color w:val="000000" w:themeColor="text1"/>
          <w:szCs w:val="21"/>
        </w:rPr>
      </w:pPr>
      <w:r>
        <w:rPr>
          <w:rFonts w:eastAsiaTheme="minorEastAsia"/>
          <w:b/>
          <w:bCs/>
          <w:color w:val="000000" w:themeColor="text1"/>
          <w:szCs w:val="21"/>
        </w:rPr>
        <w:t>二〇一九年七月十六日</w:t>
      </w:r>
    </w:p>
    <w:sectPr w:rsidR="00367A6A">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633" w:rsidRDefault="00250141">
      <w:r>
        <w:separator/>
      </w:r>
    </w:p>
  </w:endnote>
  <w:endnote w:type="continuationSeparator" w:id="0">
    <w:p w:rsidR="00FB2633" w:rsidRDefault="0025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A6A" w:rsidRDefault="00250141">
    <w:pPr>
      <w:pStyle w:val="ac"/>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DE0A63">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DE0A63">
      <w:rPr>
        <w:noProof/>
        <w:kern w:val="0"/>
        <w:szCs w:val="21"/>
      </w:rPr>
      <w:t>14</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A6A" w:rsidRDefault="00250141">
    <w:pPr>
      <w:pStyle w:val="ac"/>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367A6A" w:rsidRDefault="00367A6A">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A6A" w:rsidRDefault="00250141">
    <w:pPr>
      <w:pStyle w:val="ac"/>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DE0A63">
      <w:rPr>
        <w:rStyle w:val="af2"/>
        <w:noProof/>
      </w:rPr>
      <w:t>5</w:t>
    </w:r>
    <w:r>
      <w:rPr>
        <w:rStyle w:val="af2"/>
      </w:rPr>
      <w:fldChar w:fldCharType="end"/>
    </w:r>
  </w:p>
  <w:p w:rsidR="00367A6A" w:rsidRDefault="00367A6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633" w:rsidRDefault="00250141">
      <w:r>
        <w:separator/>
      </w:r>
    </w:p>
  </w:footnote>
  <w:footnote w:type="continuationSeparator" w:id="0">
    <w:p w:rsidR="00FB2633" w:rsidRDefault="00250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A6A" w:rsidRDefault="00250141">
    <w:pPr>
      <w:pStyle w:val="ad"/>
      <w:pBdr>
        <w:bottom w:val="single" w:sz="6" w:space="0" w:color="auto"/>
      </w:pBdr>
      <w:jc w:val="right"/>
    </w:pPr>
    <w:r>
      <w:t>上投摩根岁岁金定期开放债券型证券投资基金</w:t>
    </w:r>
    <w:r>
      <w:t>2019</w:t>
    </w:r>
    <w:r>
      <w:t>年第</w:t>
    </w:r>
    <w:r>
      <w:t>2</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14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67A6A"/>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46FF"/>
    <w:rsid w:val="005A557E"/>
    <w:rsid w:val="005A63FD"/>
    <w:rsid w:val="005B462A"/>
    <w:rsid w:val="005B5137"/>
    <w:rsid w:val="005B6047"/>
    <w:rsid w:val="005C0ED7"/>
    <w:rsid w:val="005C5409"/>
    <w:rsid w:val="005C62A5"/>
    <w:rsid w:val="005C6FF7"/>
    <w:rsid w:val="005C7C75"/>
    <w:rsid w:val="005C7D00"/>
    <w:rsid w:val="005D01A4"/>
    <w:rsid w:val="005D0BAB"/>
    <w:rsid w:val="005D1893"/>
    <w:rsid w:val="005D26E9"/>
    <w:rsid w:val="005D2CAA"/>
    <w:rsid w:val="005D4CBA"/>
    <w:rsid w:val="005E01A3"/>
    <w:rsid w:val="005E0354"/>
    <w:rsid w:val="005E6C62"/>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3E68"/>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B17"/>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A63"/>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2633"/>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16219AA-C222-4CD6-8FA5-AD71B6392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Char"/>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Char"/>
    <w:uiPriority w:val="99"/>
    <w:qFormat/>
    <w:rPr>
      <w:rFonts w:ascii="宋体" w:hAnsi="Courier New"/>
      <w:szCs w:val="21"/>
    </w:rPr>
  </w:style>
  <w:style w:type="paragraph" w:styleId="aa">
    <w:name w:val="Date"/>
    <w:basedOn w:val="a"/>
    <w:next w:val="a"/>
    <w:link w:val="Char0"/>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b">
    <w:name w:val="Balloon Text"/>
    <w:basedOn w:val="a"/>
    <w:semiHidden/>
    <w:qFormat/>
    <w:rPr>
      <w:sz w:val="18"/>
      <w:szCs w:val="18"/>
    </w:rPr>
  </w:style>
  <w:style w:type="paragraph" w:styleId="ac">
    <w:name w:val="footer"/>
    <w:basedOn w:val="a"/>
    <w:qFormat/>
    <w:pPr>
      <w:tabs>
        <w:tab w:val="center" w:pos="4153"/>
        <w:tab w:val="right" w:pos="8306"/>
      </w:tabs>
      <w:snapToGrid w:val="0"/>
      <w:jc w:val="left"/>
    </w:pPr>
    <w:rPr>
      <w:sz w:val="18"/>
      <w:szCs w:val="18"/>
    </w:rPr>
  </w:style>
  <w:style w:type="paragraph" w:styleId="ad">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e">
    <w:name w:val="List"/>
    <w:basedOn w:val="a7"/>
    <w:qFormat/>
    <w:pPr>
      <w:spacing w:after="220" w:line="220" w:lineRule="atLeast"/>
      <w:ind w:left="1440" w:hanging="360"/>
    </w:pPr>
    <w:rPr>
      <w:szCs w:val="20"/>
    </w:rPr>
  </w:style>
  <w:style w:type="paragraph" w:styleId="af">
    <w:name w:val="footnote text"/>
    <w:basedOn w:val="a"/>
    <w:link w:val="Char2"/>
    <w:qFormat/>
    <w:pPr>
      <w:snapToGrid w:val="0"/>
      <w:jc w:val="left"/>
    </w:pPr>
    <w:rPr>
      <w:sz w:val="18"/>
      <w:szCs w:val="18"/>
    </w:rPr>
  </w:style>
  <w:style w:type="paragraph" w:styleId="30">
    <w:name w:val="Body Text Indent 3"/>
    <w:basedOn w:val="a"/>
    <w:qFormat/>
    <w:pPr>
      <w:spacing w:line="560" w:lineRule="exact"/>
      <w:ind w:firstLineChars="200" w:firstLine="420"/>
    </w:pPr>
    <w:rPr>
      <w:rFonts w:ascii="Arial" w:hAnsi="Arial" w:cs="Arial"/>
      <w:color w:val="FF0000"/>
    </w:rPr>
  </w:style>
  <w:style w:type="paragraph" w:styleId="af0">
    <w:name w:val="Normal (Web)"/>
    <w:basedOn w:val="a"/>
    <w:qFormat/>
    <w:pPr>
      <w:widowControl/>
      <w:spacing w:before="100" w:beforeAutospacing="1" w:after="100" w:afterAutospacing="1"/>
      <w:jc w:val="left"/>
    </w:pPr>
    <w:rPr>
      <w:rFonts w:ascii="宋体" w:hAnsi="宋体"/>
      <w:kern w:val="0"/>
      <w:sz w:val="24"/>
    </w:rPr>
  </w:style>
  <w:style w:type="paragraph" w:styleId="10">
    <w:name w:val="index 1"/>
    <w:basedOn w:val="a"/>
    <w:next w:val="a"/>
    <w:semiHidden/>
    <w:qFormat/>
    <w:pPr>
      <w:jc w:val="right"/>
    </w:pPr>
    <w:rPr>
      <w:color w:val="008000"/>
    </w:rPr>
  </w:style>
  <w:style w:type="character" w:styleId="af1">
    <w:name w:val="Strong"/>
    <w:basedOn w:val="a1"/>
    <w:uiPriority w:val="22"/>
    <w:qFormat/>
    <w:rPr>
      <w:b/>
      <w:bCs/>
    </w:rPr>
  </w:style>
  <w:style w:type="character" w:styleId="af2">
    <w:name w:val="page number"/>
    <w:basedOn w:val="a1"/>
    <w:qFormat/>
  </w:style>
  <w:style w:type="character" w:styleId="af3">
    <w:name w:val="Hyperlink"/>
    <w:basedOn w:val="a1"/>
    <w:qFormat/>
    <w:rPr>
      <w:color w:val="0000FF"/>
      <w:u w:val="single"/>
    </w:rPr>
  </w:style>
  <w:style w:type="character" w:styleId="af4">
    <w:name w:val="annotation reference"/>
    <w:basedOn w:val="a1"/>
    <w:semiHidden/>
    <w:qFormat/>
    <w:rPr>
      <w:sz w:val="21"/>
      <w:szCs w:val="21"/>
    </w:rPr>
  </w:style>
  <w:style w:type="character" w:styleId="af5">
    <w:name w:val="footnote reference"/>
    <w:basedOn w:val="a1"/>
    <w:qFormat/>
    <w:rPr>
      <w:vertAlign w:val="superscript"/>
    </w:rPr>
  </w:style>
  <w:style w:type="table" w:styleId="af6">
    <w:name w:val="Table Grid"/>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3">
    <w:name w:val="Char"/>
    <w:basedOn w:val="a"/>
    <w:qFormat/>
  </w:style>
  <w:style w:type="paragraph" w:customStyle="1" w:styleId="Char10">
    <w:name w:val="Char1"/>
    <w:basedOn w:val="a"/>
    <w:qFormat/>
  </w:style>
  <w:style w:type="character" w:customStyle="1" w:styleId="t1">
    <w:name w:val="t1"/>
    <w:basedOn w:val="a1"/>
    <w:rPr>
      <w:color w:val="990000"/>
    </w:rPr>
  </w:style>
  <w:style w:type="character" w:customStyle="1" w:styleId="Char">
    <w:name w:val="纯文本 Char"/>
    <w:basedOn w:val="a1"/>
    <w:link w:val="a9"/>
    <w:uiPriority w:val="99"/>
    <w:rPr>
      <w:rFonts w:ascii="宋体" w:hAnsi="Courier New"/>
      <w:kern w:val="2"/>
      <w:sz w:val="21"/>
      <w:szCs w:val="21"/>
    </w:rPr>
  </w:style>
  <w:style w:type="character" w:customStyle="1" w:styleId="Char2">
    <w:name w:val="脚注文本 Char"/>
    <w:basedOn w:val="a1"/>
    <w:link w:val="af"/>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Char1">
    <w:name w:val="页眉 Char"/>
    <w:basedOn w:val="a1"/>
    <w:link w:val="ad"/>
    <w:uiPriority w:val="99"/>
    <w:rPr>
      <w:kern w:val="2"/>
      <w:sz w:val="18"/>
      <w:szCs w:val="18"/>
    </w:rPr>
  </w:style>
  <w:style w:type="character" w:customStyle="1" w:styleId="1Char">
    <w:name w:val="标题 1 Char"/>
    <w:basedOn w:val="a1"/>
    <w:link w:val="1"/>
    <w:rPr>
      <w:b/>
      <w:bCs/>
      <w:kern w:val="44"/>
      <w:sz w:val="44"/>
      <w:szCs w:val="44"/>
    </w:rPr>
  </w:style>
  <w:style w:type="character" w:customStyle="1" w:styleId="Char0">
    <w:name w:val="日期 Char"/>
    <w:basedOn w:val="a1"/>
    <w:link w:val="aa"/>
    <w:rPr>
      <w:kern w:val="2"/>
      <w:sz w:val="24"/>
    </w:rPr>
  </w:style>
  <w:style w:type="character" w:customStyle="1" w:styleId="3Char">
    <w:name w:val="标题 3 Char"/>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01506">
      <w:bodyDiv w:val="1"/>
      <w:marLeft w:val="0"/>
      <w:marRight w:val="0"/>
      <w:marTop w:val="0"/>
      <w:marBottom w:val="0"/>
      <w:divBdr>
        <w:top w:val="none" w:sz="0" w:space="0" w:color="auto"/>
        <w:left w:val="none" w:sz="0" w:space="0" w:color="auto"/>
        <w:bottom w:val="none" w:sz="0" w:space="0" w:color="auto"/>
        <w:right w:val="none" w:sz="0" w:space="0" w:color="auto"/>
      </w:divBdr>
    </w:div>
    <w:div w:id="247159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447DA0-2CCB-423A-B508-89E3F16E9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7</TotalTime>
  <Pages>14</Pages>
  <Words>1158</Words>
  <Characters>6601</Characters>
  <Application>Microsoft Office Word</Application>
  <DocSecurity>0</DocSecurity>
  <Lines>55</Lines>
  <Paragraphs>15</Paragraphs>
  <ScaleCrop>false</ScaleCrop>
  <Company>TRT. Ltd. Co.</Company>
  <LinksUpToDate>false</LinksUpToDate>
  <CharactersWithSpaces>7744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Alex.Huang@FA</cp:lastModifiedBy>
  <cp:revision>218</cp:revision>
  <cp:lastPrinted>2007-07-19T00:46:00Z</cp:lastPrinted>
  <dcterms:created xsi:type="dcterms:W3CDTF">2013-06-21T06:56:00Z</dcterms:created>
  <dcterms:modified xsi:type="dcterms:W3CDTF">2019-07-11T11:33:00Z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