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D" w:rsidRPr="00931D33" w:rsidRDefault="001F05B1" w:rsidP="0021189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32"/>
          <w:szCs w:val="32"/>
        </w:rPr>
        <w:t>工银瑞信中证传媒指数分级证券投资基金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B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类份额</w:t>
      </w:r>
      <w:r w:rsidR="001477A8" w:rsidRPr="00931D33">
        <w:rPr>
          <w:rStyle w:val="a6"/>
          <w:rFonts w:ascii="Times New Roman" w:hAnsi="Times New Roman" w:cs="Times New Roman"/>
          <w:sz w:val="32"/>
          <w:szCs w:val="32"/>
        </w:rPr>
        <w:t>溢价风险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提示公告</w:t>
      </w:r>
    </w:p>
    <w:p w:rsidR="0021189D" w:rsidRPr="00931D33" w:rsidRDefault="0021189D" w:rsidP="0021189D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近期，</w:t>
      </w:r>
      <w:r w:rsidR="00A47A61" w:rsidRPr="00931D33">
        <w:rPr>
          <w:rFonts w:ascii="Times New Roman" w:hAnsi="Times New Roman" w:cs="Times New Roman"/>
        </w:rPr>
        <w:t>工银瑞信</w:t>
      </w:r>
      <w:r w:rsidRPr="00931D33">
        <w:rPr>
          <w:rFonts w:ascii="Times New Roman" w:hAnsi="Times New Roman" w:cs="Times New Roman"/>
        </w:rPr>
        <w:t>基金管理有限公司（以下简称</w:t>
      </w:r>
      <w:r w:rsidRPr="00931D33">
        <w:rPr>
          <w:rFonts w:ascii="Times New Roman" w:hAnsi="Times New Roman" w:cs="Times New Roman"/>
        </w:rPr>
        <w:t>“</w:t>
      </w:r>
      <w:r w:rsidRPr="00931D33">
        <w:rPr>
          <w:rFonts w:ascii="Times New Roman" w:hAnsi="Times New Roman" w:cs="Times New Roman"/>
        </w:rPr>
        <w:t>本基金管理人</w:t>
      </w:r>
      <w:r w:rsidRPr="00931D33">
        <w:rPr>
          <w:rFonts w:ascii="Times New Roman" w:hAnsi="Times New Roman" w:cs="Times New Roman"/>
        </w:rPr>
        <w:t>”</w:t>
      </w:r>
      <w:r w:rsidRPr="00931D33">
        <w:rPr>
          <w:rFonts w:ascii="Times New Roman" w:hAnsi="Times New Roman" w:cs="Times New Roman"/>
        </w:rPr>
        <w:t>）旗下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Pr="00931D33">
        <w:rPr>
          <w:rFonts w:ascii="Times New Roman" w:hAnsi="Times New Roman" w:cs="Times New Roman"/>
        </w:rPr>
        <w:t>之</w:t>
      </w:r>
      <w:r w:rsidRPr="00931D33">
        <w:rPr>
          <w:rFonts w:ascii="Times New Roman" w:hAnsi="Times New Roman" w:cs="Times New Roman"/>
        </w:rPr>
        <w:t>B</w:t>
      </w:r>
      <w:r w:rsidRPr="00931D33">
        <w:rPr>
          <w:rFonts w:ascii="Times New Roman" w:hAnsi="Times New Roman" w:cs="Times New Roman"/>
        </w:rPr>
        <w:t>类份额（场内简称：</w:t>
      </w:r>
      <w:r w:rsidR="001F05B1">
        <w:rPr>
          <w:rFonts w:ascii="Times New Roman" w:hAnsi="Times New Roman" w:cs="Times New Roman" w:hint="eastAsia"/>
        </w:rPr>
        <w:t>传媒</w:t>
      </w:r>
      <w:r w:rsidR="001F05B1">
        <w:rPr>
          <w:rFonts w:ascii="Times New Roman" w:hAnsi="Times New Roman" w:cs="Times New Roman" w:hint="eastAsia"/>
        </w:rPr>
        <w:t>B</w:t>
      </w:r>
      <w:r w:rsidR="001F05B1">
        <w:rPr>
          <w:rFonts w:ascii="Times New Roman" w:hAnsi="Times New Roman" w:cs="Times New Roman" w:hint="eastAsia"/>
        </w:rPr>
        <w:t>级</w:t>
      </w:r>
      <w:r w:rsidRPr="00931D33">
        <w:rPr>
          <w:rFonts w:ascii="Times New Roman" w:hAnsi="Times New Roman" w:cs="Times New Roman"/>
        </w:rPr>
        <w:t>；交易代码：</w:t>
      </w:r>
      <w:r w:rsidR="001F05B1">
        <w:rPr>
          <w:rFonts w:ascii="Times New Roman" w:hAnsi="Times New Roman" w:cs="Times New Roman"/>
        </w:rPr>
        <w:t>150248</w:t>
      </w:r>
      <w:r w:rsidRPr="00931D33">
        <w:rPr>
          <w:rFonts w:ascii="Times New Roman" w:hAnsi="Times New Roman" w:cs="Times New Roman"/>
        </w:rPr>
        <w:t>）</w:t>
      </w:r>
      <w:r w:rsidR="001477A8" w:rsidRPr="00931D33">
        <w:rPr>
          <w:rFonts w:ascii="Times New Roman" w:hAnsi="Times New Roman" w:cs="Times New Roman"/>
        </w:rPr>
        <w:t>二级市场交易价格较基金份额参考净值的溢价幅度较高</w:t>
      </w:r>
      <w:r w:rsidRPr="00931D33">
        <w:rPr>
          <w:rFonts w:ascii="Times New Roman" w:hAnsi="Times New Roman" w:cs="Times New Roman"/>
        </w:rPr>
        <w:t>，</w:t>
      </w:r>
      <w:r w:rsidR="002C4A92" w:rsidRPr="00931D33">
        <w:rPr>
          <w:rFonts w:ascii="Times New Roman" w:hAnsi="Times New Roman" w:cs="Times New Roman"/>
        </w:rPr>
        <w:t>2019</w:t>
      </w:r>
      <w:r w:rsidR="002C4A92" w:rsidRPr="00931D33">
        <w:rPr>
          <w:rFonts w:ascii="Times New Roman" w:hAnsi="Times New Roman" w:cs="Times New Roman"/>
        </w:rPr>
        <w:t>年</w:t>
      </w:r>
      <w:r w:rsidR="00B47748">
        <w:rPr>
          <w:rFonts w:ascii="Times New Roman" w:hAnsi="Times New Roman" w:cs="Times New Roman" w:hint="eastAsia"/>
        </w:rPr>
        <w:t>7</w:t>
      </w:r>
      <w:r w:rsidR="002C4A92" w:rsidRPr="00931D33">
        <w:rPr>
          <w:rFonts w:ascii="Times New Roman" w:hAnsi="Times New Roman" w:cs="Times New Roman"/>
        </w:rPr>
        <w:t>月</w:t>
      </w:r>
      <w:r w:rsidR="00B47748">
        <w:rPr>
          <w:rFonts w:ascii="Times New Roman" w:hAnsi="Times New Roman" w:cs="Times New Roman" w:hint="eastAsia"/>
        </w:rPr>
        <w:t>10</w:t>
      </w:r>
      <w:r w:rsidR="00B01BD4" w:rsidRPr="00931D33">
        <w:rPr>
          <w:rFonts w:ascii="Times New Roman" w:hAnsi="Times New Roman" w:cs="Times New Roman"/>
        </w:rPr>
        <w:t>日，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="00B01BD4" w:rsidRPr="00931D33">
        <w:rPr>
          <w:rFonts w:ascii="Times New Roman" w:hAnsi="Times New Roman" w:cs="Times New Roman"/>
        </w:rPr>
        <w:t>在二级市场的收盘价为</w:t>
      </w:r>
      <w:r w:rsidR="006864D1">
        <w:rPr>
          <w:rFonts w:ascii="Times New Roman" w:hAnsi="Times New Roman" w:cs="Times New Roman"/>
        </w:rPr>
        <w:t>0.8</w:t>
      </w:r>
      <w:r w:rsidR="00B47748">
        <w:rPr>
          <w:rFonts w:ascii="Times New Roman" w:hAnsi="Times New Roman" w:cs="Times New Roman" w:hint="eastAsia"/>
        </w:rPr>
        <w:t>2</w:t>
      </w:r>
      <w:r w:rsidR="006864D1">
        <w:rPr>
          <w:rFonts w:ascii="Times New Roman" w:hAnsi="Times New Roman" w:cs="Times New Roman"/>
        </w:rPr>
        <w:t>9</w:t>
      </w:r>
      <w:r w:rsidR="00B01BD4" w:rsidRPr="00931D33">
        <w:rPr>
          <w:rFonts w:ascii="Times New Roman" w:hAnsi="Times New Roman" w:cs="Times New Roman"/>
        </w:rPr>
        <w:t>元，相对于当日</w:t>
      </w:r>
      <w:r w:rsidR="00B47748" w:rsidRPr="00B47748">
        <w:rPr>
          <w:rFonts w:ascii="Times New Roman" w:hAnsi="Times New Roman" w:cs="Times New Roman"/>
        </w:rPr>
        <w:t>0.7149</w:t>
      </w:r>
      <w:r w:rsidR="00B01BD4" w:rsidRPr="00931D33">
        <w:rPr>
          <w:rFonts w:ascii="Times New Roman" w:hAnsi="Times New Roman" w:cs="Times New Roman"/>
        </w:rPr>
        <w:t>元的基金份额参考净值，溢价幅度达到</w:t>
      </w:r>
      <w:r w:rsidR="00B47748">
        <w:rPr>
          <w:rFonts w:ascii="Times New Roman" w:hAnsi="Times New Roman" w:cs="Times New Roman" w:hint="eastAsia"/>
        </w:rPr>
        <w:t>15.96</w:t>
      </w:r>
      <w:r w:rsidR="00931D33" w:rsidRPr="00931D33">
        <w:rPr>
          <w:rFonts w:ascii="Times New Roman" w:hAnsi="Times New Roman" w:cs="Times New Roman"/>
        </w:rPr>
        <w:t>%</w:t>
      </w:r>
      <w:r w:rsidR="00B01BD4" w:rsidRPr="00931D33">
        <w:rPr>
          <w:rFonts w:ascii="Times New Roman" w:hAnsi="Times New Roman" w:cs="Times New Roman"/>
        </w:rPr>
        <w:t>。截止</w:t>
      </w:r>
      <w:r w:rsidR="002C4A92" w:rsidRPr="00931D33">
        <w:rPr>
          <w:rFonts w:ascii="Times New Roman" w:hAnsi="Times New Roman" w:cs="Times New Roman"/>
        </w:rPr>
        <w:t>2019</w:t>
      </w:r>
      <w:r w:rsidR="002C4A92" w:rsidRPr="00931D33">
        <w:rPr>
          <w:rFonts w:ascii="Times New Roman" w:hAnsi="Times New Roman" w:cs="Times New Roman"/>
        </w:rPr>
        <w:t>年</w:t>
      </w:r>
      <w:r w:rsidR="009818AD">
        <w:rPr>
          <w:rFonts w:ascii="Times New Roman" w:hAnsi="Times New Roman" w:cs="Times New Roman" w:hint="eastAsia"/>
        </w:rPr>
        <w:t>7</w:t>
      </w:r>
      <w:r w:rsidR="002C4A92" w:rsidRPr="00931D33">
        <w:rPr>
          <w:rFonts w:ascii="Times New Roman" w:hAnsi="Times New Roman" w:cs="Times New Roman"/>
        </w:rPr>
        <w:t>月</w:t>
      </w:r>
      <w:r w:rsidR="009818AD">
        <w:rPr>
          <w:rFonts w:ascii="Times New Roman" w:hAnsi="Times New Roman" w:cs="Times New Roman" w:hint="eastAsia"/>
        </w:rPr>
        <w:t>11</w:t>
      </w:r>
      <w:r w:rsidR="00B01BD4" w:rsidRPr="00931D33">
        <w:rPr>
          <w:rFonts w:ascii="Times New Roman" w:hAnsi="Times New Roman" w:cs="Times New Roman"/>
        </w:rPr>
        <w:t>日，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="00B01BD4" w:rsidRPr="00931D33">
        <w:rPr>
          <w:rFonts w:ascii="Times New Roman" w:hAnsi="Times New Roman" w:cs="Times New Roman"/>
        </w:rPr>
        <w:t>二级市场的收盘价为</w:t>
      </w:r>
      <w:r w:rsidR="009818AD">
        <w:rPr>
          <w:rFonts w:ascii="Times New Roman" w:hAnsi="Times New Roman" w:cs="Times New Roman"/>
        </w:rPr>
        <w:t>0.859</w:t>
      </w:r>
      <w:r w:rsidR="00B01BD4" w:rsidRPr="00931D33">
        <w:rPr>
          <w:rFonts w:ascii="Times New Roman" w:hAnsi="Times New Roman" w:cs="Times New Roman"/>
        </w:rPr>
        <w:t>元，</w:t>
      </w:r>
      <w:r w:rsidRPr="00931D33">
        <w:rPr>
          <w:rFonts w:ascii="Times New Roman" w:hAnsi="Times New Roman" w:cs="Times New Roman"/>
        </w:rPr>
        <w:t>明显高于基金份额参考净值，投资者如果盲目投资，可能遭受重大损失。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为此，本基金管理人提示如下：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1</w:t>
      </w:r>
      <w:r w:rsidRPr="00931D33">
        <w:rPr>
          <w:rFonts w:ascii="Times New Roman" w:hAnsi="Times New Roman" w:cs="Times New Roman"/>
        </w:rPr>
        <w:t>、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表现为高风险、高收益的特征。由于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内含杠杆机制的设计，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基金份额参考净值的变动幅度将大于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Pr="00931D33">
        <w:rPr>
          <w:rFonts w:ascii="Times New Roman" w:hAnsi="Times New Roman" w:cs="Times New Roman"/>
        </w:rPr>
        <w:t>份额（</w:t>
      </w:r>
      <w:r w:rsidR="000873D0" w:rsidRPr="00931D33">
        <w:rPr>
          <w:rFonts w:ascii="Times New Roman" w:hAnsi="Times New Roman" w:cs="Times New Roman"/>
        </w:rPr>
        <w:t>基金</w:t>
      </w:r>
      <w:r w:rsidRPr="00931D33">
        <w:rPr>
          <w:rFonts w:ascii="Times New Roman" w:hAnsi="Times New Roman" w:cs="Times New Roman"/>
        </w:rPr>
        <w:t>简称：</w:t>
      </w:r>
      <w:r w:rsidR="001F05B1">
        <w:rPr>
          <w:rFonts w:ascii="Times New Roman" w:hAnsi="Times New Roman" w:cs="Times New Roman"/>
        </w:rPr>
        <w:t>传媒母基</w:t>
      </w:r>
      <w:r w:rsidRPr="00931D33">
        <w:rPr>
          <w:rFonts w:ascii="Times New Roman" w:hAnsi="Times New Roman" w:cs="Times New Roman"/>
        </w:rPr>
        <w:t>，</w:t>
      </w:r>
      <w:r w:rsidR="000873D0" w:rsidRPr="00931D33">
        <w:rPr>
          <w:rFonts w:ascii="Times New Roman" w:hAnsi="Times New Roman" w:cs="Times New Roman"/>
        </w:rPr>
        <w:t>基金</w:t>
      </w:r>
      <w:r w:rsidRPr="00931D33">
        <w:rPr>
          <w:rFonts w:ascii="Times New Roman" w:hAnsi="Times New Roman" w:cs="Times New Roman"/>
        </w:rPr>
        <w:t>代码：</w:t>
      </w:r>
      <w:r w:rsidR="001F05B1">
        <w:rPr>
          <w:rFonts w:ascii="Times New Roman" w:hAnsi="Times New Roman" w:cs="Times New Roman"/>
        </w:rPr>
        <w:t>164818</w:t>
      </w:r>
      <w:r w:rsidRPr="00931D33">
        <w:rPr>
          <w:rFonts w:ascii="Times New Roman" w:hAnsi="Times New Roman" w:cs="Times New Roman"/>
        </w:rPr>
        <w:t>）净值和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A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份额（场内简称：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A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，场内代码：</w:t>
      </w:r>
      <w:r w:rsidR="001F05B1">
        <w:rPr>
          <w:rFonts w:ascii="Times New Roman" w:hAnsi="Times New Roman" w:cs="Times New Roman"/>
        </w:rPr>
        <w:t>150247</w:t>
      </w:r>
      <w:r w:rsidRPr="00931D33">
        <w:rPr>
          <w:rFonts w:ascii="Times New Roman" w:hAnsi="Times New Roman" w:cs="Times New Roman"/>
        </w:rPr>
        <w:t>）参考净值的变动幅度，即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的波动性要高于其他两类份额，其承担的风险也较高。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的持有人会因杠杆倍数的变化而承担不同程度的投资风险。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2</w:t>
      </w:r>
      <w:r w:rsidRPr="00931D33">
        <w:rPr>
          <w:rFonts w:ascii="Times New Roman" w:hAnsi="Times New Roman" w:cs="Times New Roman"/>
        </w:rPr>
        <w:t>、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的交易价格，除了有份额参考净值变化的风险外，还会受到市场的系统性风险、流动性风险等其他风险影响，可能使投资人面临损失。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3</w:t>
      </w:r>
      <w:r w:rsidR="0021189D" w:rsidRPr="00931D33">
        <w:rPr>
          <w:rFonts w:ascii="Times New Roman" w:hAnsi="Times New Roman" w:cs="Times New Roman"/>
        </w:rPr>
        <w:t>、截至本公告披露日，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="0021189D" w:rsidRPr="00931D33">
        <w:rPr>
          <w:rFonts w:ascii="Times New Roman" w:hAnsi="Times New Roman" w:cs="Times New Roman"/>
        </w:rPr>
        <w:t>运作正常。本基金管理人仍将严格按照法律法规及基金合同进行投资运作。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4</w:t>
      </w:r>
      <w:r w:rsidR="0021189D" w:rsidRPr="00931D33">
        <w:rPr>
          <w:rFonts w:ascii="Times New Roman" w:hAnsi="Times New Roman" w:cs="Times New Roman"/>
        </w:rPr>
        <w:t>、截至本公告披露日，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="0021189D" w:rsidRPr="00931D33">
        <w:rPr>
          <w:rFonts w:ascii="Times New Roman" w:hAnsi="Times New Roman" w:cs="Times New Roman"/>
        </w:rPr>
        <w:t>无其他应披露而未披露的重大信息。本基金管理人仍将严格按照有关规定和要求，及时做好信息披露工作。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5</w:t>
      </w:r>
      <w:r w:rsidR="0021189D" w:rsidRPr="00931D33">
        <w:rPr>
          <w:rFonts w:ascii="Times New Roman" w:hAnsi="Times New Roman" w:cs="Times New Roman"/>
        </w:rPr>
        <w:t>、基金管理人承诺以诚实信用、勤勉尽责的原则管理和运用基金资产，但不保证基金一定盈利，也不保证最低收益。投资者投资于本基金前应认真阅读本基金的基金合同和招募说明书（更新）等相关法律文件。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敬请投资者注意投资风险。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特此公告。</w:t>
      </w:r>
      <w:bookmarkStart w:id="0" w:name="_GoBack"/>
      <w:bookmarkEnd w:id="0"/>
    </w:p>
    <w:p w:rsidR="0021189D" w:rsidRPr="00931D33" w:rsidRDefault="002C4A92" w:rsidP="0021189D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lastRenderedPageBreak/>
        <w:t>工银瑞信</w:t>
      </w:r>
      <w:r w:rsidR="0021189D" w:rsidRPr="00931D33">
        <w:rPr>
          <w:rFonts w:ascii="Times New Roman" w:hAnsi="Times New Roman" w:cs="Times New Roman"/>
        </w:rPr>
        <w:t>基金管理有限公司</w:t>
      </w:r>
    </w:p>
    <w:p w:rsidR="0021189D" w:rsidRPr="00931D33" w:rsidRDefault="002C4A92" w:rsidP="0021189D">
      <w:pPr>
        <w:pStyle w:val="a3"/>
        <w:jc w:val="right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2019</w:t>
      </w:r>
      <w:r w:rsidRPr="00931D33">
        <w:rPr>
          <w:rFonts w:ascii="Times New Roman" w:hAnsi="Times New Roman" w:cs="Times New Roman"/>
        </w:rPr>
        <w:t>年</w:t>
      </w:r>
      <w:r w:rsidR="009818AD">
        <w:rPr>
          <w:rFonts w:ascii="Times New Roman" w:hAnsi="Times New Roman" w:cs="Times New Roman"/>
        </w:rPr>
        <w:t>7</w:t>
      </w:r>
      <w:r w:rsidRPr="00931D33">
        <w:rPr>
          <w:rFonts w:ascii="Times New Roman" w:hAnsi="Times New Roman" w:cs="Times New Roman"/>
        </w:rPr>
        <w:t>月</w:t>
      </w:r>
      <w:r w:rsidR="009818AD">
        <w:rPr>
          <w:rFonts w:ascii="Times New Roman" w:hAnsi="Times New Roman" w:cs="Times New Roman"/>
        </w:rPr>
        <w:t>12</w:t>
      </w:r>
      <w:r w:rsidR="0021189D" w:rsidRPr="00931D33">
        <w:rPr>
          <w:rFonts w:ascii="Times New Roman" w:hAnsi="Times New Roman" w:cs="Times New Roman"/>
        </w:rPr>
        <w:t>日</w:t>
      </w:r>
    </w:p>
    <w:p w:rsidR="0021189D" w:rsidRPr="00931D33" w:rsidRDefault="0021189D" w:rsidP="0021189D">
      <w:pPr>
        <w:pStyle w:val="a3"/>
        <w:rPr>
          <w:rFonts w:ascii="Times New Roman" w:hAnsi="Times New Roman" w:cs="Times New Roman"/>
        </w:rPr>
      </w:pPr>
    </w:p>
    <w:p w:rsidR="006E4314" w:rsidRPr="00931D33" w:rsidRDefault="00BB755A">
      <w:pPr>
        <w:rPr>
          <w:rFonts w:ascii="Times New Roman" w:hAnsi="Times New Roman" w:cs="Times New Roman"/>
        </w:rPr>
      </w:pPr>
    </w:p>
    <w:sectPr w:rsidR="006E4314" w:rsidRPr="00931D33" w:rsidSect="006F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76" w:rsidRDefault="00F41776" w:rsidP="00AC0B3D">
      <w:r>
        <w:separator/>
      </w:r>
    </w:p>
  </w:endnote>
  <w:endnote w:type="continuationSeparator" w:id="1">
    <w:p w:rsidR="00F41776" w:rsidRDefault="00F41776" w:rsidP="00AC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76" w:rsidRDefault="00F41776" w:rsidP="00AC0B3D">
      <w:r>
        <w:separator/>
      </w:r>
    </w:p>
  </w:footnote>
  <w:footnote w:type="continuationSeparator" w:id="1">
    <w:p w:rsidR="00F41776" w:rsidRDefault="00F41776" w:rsidP="00AC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ED"/>
    <w:rsid w:val="000139F1"/>
    <w:rsid w:val="00027099"/>
    <w:rsid w:val="00040FE2"/>
    <w:rsid w:val="000436EF"/>
    <w:rsid w:val="00080BFD"/>
    <w:rsid w:val="00083A59"/>
    <w:rsid w:val="000873D0"/>
    <w:rsid w:val="000934B2"/>
    <w:rsid w:val="000A4138"/>
    <w:rsid w:val="000C0A0B"/>
    <w:rsid w:val="000C2933"/>
    <w:rsid w:val="000C5209"/>
    <w:rsid w:val="000D4941"/>
    <w:rsid w:val="00106EFF"/>
    <w:rsid w:val="001074C2"/>
    <w:rsid w:val="00127605"/>
    <w:rsid w:val="00135D49"/>
    <w:rsid w:val="001477A8"/>
    <w:rsid w:val="00151DD8"/>
    <w:rsid w:val="0015327C"/>
    <w:rsid w:val="00154A7E"/>
    <w:rsid w:val="001942DE"/>
    <w:rsid w:val="001967F0"/>
    <w:rsid w:val="001A3418"/>
    <w:rsid w:val="001B167A"/>
    <w:rsid w:val="001D1B5F"/>
    <w:rsid w:val="001D24F9"/>
    <w:rsid w:val="001F05B1"/>
    <w:rsid w:val="0021189D"/>
    <w:rsid w:val="00247A19"/>
    <w:rsid w:val="002522A8"/>
    <w:rsid w:val="0025301F"/>
    <w:rsid w:val="0026726B"/>
    <w:rsid w:val="0027089E"/>
    <w:rsid w:val="002A207D"/>
    <w:rsid w:val="002B3560"/>
    <w:rsid w:val="002B7A7B"/>
    <w:rsid w:val="002C4A92"/>
    <w:rsid w:val="002E08BF"/>
    <w:rsid w:val="002E522E"/>
    <w:rsid w:val="00300AAC"/>
    <w:rsid w:val="00303A09"/>
    <w:rsid w:val="00323BEA"/>
    <w:rsid w:val="003270C7"/>
    <w:rsid w:val="0035007C"/>
    <w:rsid w:val="00355B45"/>
    <w:rsid w:val="00356362"/>
    <w:rsid w:val="003A354A"/>
    <w:rsid w:val="003B23ED"/>
    <w:rsid w:val="003C49A6"/>
    <w:rsid w:val="003F60D7"/>
    <w:rsid w:val="004107F8"/>
    <w:rsid w:val="00414DC3"/>
    <w:rsid w:val="00415D27"/>
    <w:rsid w:val="00424B39"/>
    <w:rsid w:val="0043251A"/>
    <w:rsid w:val="00437B8E"/>
    <w:rsid w:val="00464ECD"/>
    <w:rsid w:val="00470965"/>
    <w:rsid w:val="00491229"/>
    <w:rsid w:val="004A6582"/>
    <w:rsid w:val="004B3FE9"/>
    <w:rsid w:val="004E206B"/>
    <w:rsid w:val="004F161C"/>
    <w:rsid w:val="004F7DB4"/>
    <w:rsid w:val="00511253"/>
    <w:rsid w:val="00536814"/>
    <w:rsid w:val="005621F6"/>
    <w:rsid w:val="005709B7"/>
    <w:rsid w:val="00587EF0"/>
    <w:rsid w:val="006055A8"/>
    <w:rsid w:val="00622D5D"/>
    <w:rsid w:val="00635D6A"/>
    <w:rsid w:val="00652BC8"/>
    <w:rsid w:val="00657864"/>
    <w:rsid w:val="00663E91"/>
    <w:rsid w:val="006864D1"/>
    <w:rsid w:val="006B002E"/>
    <w:rsid w:val="006D0758"/>
    <w:rsid w:val="006F38A6"/>
    <w:rsid w:val="0070776B"/>
    <w:rsid w:val="00736A22"/>
    <w:rsid w:val="00753CCE"/>
    <w:rsid w:val="0075493C"/>
    <w:rsid w:val="007A07F2"/>
    <w:rsid w:val="007B2ACA"/>
    <w:rsid w:val="007C447D"/>
    <w:rsid w:val="007D1B73"/>
    <w:rsid w:val="007D5C35"/>
    <w:rsid w:val="007F7CB1"/>
    <w:rsid w:val="0080385D"/>
    <w:rsid w:val="00805A11"/>
    <w:rsid w:val="0083266A"/>
    <w:rsid w:val="00833EBA"/>
    <w:rsid w:val="00834610"/>
    <w:rsid w:val="00847924"/>
    <w:rsid w:val="008927F7"/>
    <w:rsid w:val="008C7537"/>
    <w:rsid w:val="008F590E"/>
    <w:rsid w:val="00900BB8"/>
    <w:rsid w:val="00906E1A"/>
    <w:rsid w:val="00913921"/>
    <w:rsid w:val="00917762"/>
    <w:rsid w:val="00931D33"/>
    <w:rsid w:val="00932972"/>
    <w:rsid w:val="00956B7F"/>
    <w:rsid w:val="00975307"/>
    <w:rsid w:val="00977AA3"/>
    <w:rsid w:val="009818AD"/>
    <w:rsid w:val="009919AC"/>
    <w:rsid w:val="009951F3"/>
    <w:rsid w:val="009A399F"/>
    <w:rsid w:val="00A05F59"/>
    <w:rsid w:val="00A15E1F"/>
    <w:rsid w:val="00A34A85"/>
    <w:rsid w:val="00A44449"/>
    <w:rsid w:val="00A47A61"/>
    <w:rsid w:val="00A54C79"/>
    <w:rsid w:val="00A658E2"/>
    <w:rsid w:val="00A7015F"/>
    <w:rsid w:val="00A719C5"/>
    <w:rsid w:val="00A87124"/>
    <w:rsid w:val="00AB2344"/>
    <w:rsid w:val="00AC0B3D"/>
    <w:rsid w:val="00B01BD4"/>
    <w:rsid w:val="00B22F68"/>
    <w:rsid w:val="00B464BD"/>
    <w:rsid w:val="00B47748"/>
    <w:rsid w:val="00B52E11"/>
    <w:rsid w:val="00BB755A"/>
    <w:rsid w:val="00BD6274"/>
    <w:rsid w:val="00BD7357"/>
    <w:rsid w:val="00BE0864"/>
    <w:rsid w:val="00BE3A2F"/>
    <w:rsid w:val="00BE3CF9"/>
    <w:rsid w:val="00C21B0A"/>
    <w:rsid w:val="00C22B4E"/>
    <w:rsid w:val="00C40641"/>
    <w:rsid w:val="00C62DCB"/>
    <w:rsid w:val="00C71C10"/>
    <w:rsid w:val="00CA69B5"/>
    <w:rsid w:val="00CE2F77"/>
    <w:rsid w:val="00CE5D76"/>
    <w:rsid w:val="00D02ABE"/>
    <w:rsid w:val="00D35DE6"/>
    <w:rsid w:val="00D362C0"/>
    <w:rsid w:val="00D91A49"/>
    <w:rsid w:val="00DB25CE"/>
    <w:rsid w:val="00DD360F"/>
    <w:rsid w:val="00DD66AB"/>
    <w:rsid w:val="00DE7733"/>
    <w:rsid w:val="00DF500A"/>
    <w:rsid w:val="00E11229"/>
    <w:rsid w:val="00E306B6"/>
    <w:rsid w:val="00E74C3E"/>
    <w:rsid w:val="00EC0045"/>
    <w:rsid w:val="00F0717C"/>
    <w:rsid w:val="00F1751B"/>
    <w:rsid w:val="00F20A1C"/>
    <w:rsid w:val="00F41776"/>
    <w:rsid w:val="00F53FED"/>
    <w:rsid w:val="00F941E5"/>
    <w:rsid w:val="00F96DDC"/>
    <w:rsid w:val="00FA0BC3"/>
    <w:rsid w:val="00FA702E"/>
    <w:rsid w:val="00FA79AA"/>
    <w:rsid w:val="00FC3F3B"/>
    <w:rsid w:val="00FF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rsid w:val="00211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rsid w:val="0021189D"/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1189D"/>
    <w:rPr>
      <w:sz w:val="21"/>
      <w:szCs w:val="21"/>
    </w:rPr>
  </w:style>
  <w:style w:type="character" w:styleId="a6">
    <w:name w:val="Strong"/>
    <w:basedOn w:val="a0"/>
    <w:uiPriority w:val="22"/>
    <w:qFormat/>
    <w:rsid w:val="0021189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21189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1189D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C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C0B3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C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C0B3D"/>
    <w:rPr>
      <w:sz w:val="18"/>
      <w:szCs w:val="18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4B3FE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4B3FE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ZHONGM</cp:lastModifiedBy>
  <cp:revision>2</cp:revision>
  <dcterms:created xsi:type="dcterms:W3CDTF">2019-07-11T16:00:00Z</dcterms:created>
  <dcterms:modified xsi:type="dcterms:W3CDTF">2019-07-11T16:00:00Z</dcterms:modified>
</cp:coreProperties>
</file>