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B5" w:rsidRPr="004D4087" w:rsidRDefault="004D4087" w:rsidP="004D4087">
      <w:pPr>
        <w:spacing w:line="300" w:lineRule="auto"/>
        <w:jc w:val="center"/>
        <w:rPr>
          <w:b/>
          <w:sz w:val="24"/>
          <w:szCs w:val="24"/>
        </w:rPr>
      </w:pPr>
      <w:r w:rsidRPr="004D4087">
        <w:rPr>
          <w:rFonts w:hint="eastAsia"/>
          <w:b/>
          <w:sz w:val="24"/>
          <w:szCs w:val="24"/>
        </w:rPr>
        <w:t>恒越基金管理有限公司关于旗下基金增加</w:t>
      </w:r>
      <w:r w:rsidR="00BD35B5">
        <w:rPr>
          <w:rFonts w:hint="eastAsia"/>
          <w:b/>
          <w:sz w:val="24"/>
          <w:szCs w:val="24"/>
        </w:rPr>
        <w:t>扬州国信嘉利基金销售有限公司</w:t>
      </w:r>
      <w:r w:rsidRPr="004D4087">
        <w:rPr>
          <w:rFonts w:hint="eastAsia"/>
          <w:b/>
          <w:sz w:val="24"/>
          <w:szCs w:val="24"/>
        </w:rPr>
        <w:t>为基金销售机构并</w:t>
      </w:r>
      <w:r w:rsidR="00301092">
        <w:rPr>
          <w:rFonts w:hint="eastAsia"/>
          <w:b/>
          <w:sz w:val="24"/>
          <w:szCs w:val="24"/>
        </w:rPr>
        <w:t>开通定期定额投资以及</w:t>
      </w:r>
      <w:r w:rsidRPr="004D4087">
        <w:rPr>
          <w:rFonts w:hint="eastAsia"/>
          <w:b/>
          <w:sz w:val="24"/>
          <w:szCs w:val="24"/>
        </w:rPr>
        <w:t>参加其费率优惠活动的公告</w:t>
      </w:r>
    </w:p>
    <w:p w:rsidR="004D4087" w:rsidRPr="004D4087" w:rsidRDefault="004D4087" w:rsidP="004D4087">
      <w:pPr>
        <w:spacing w:line="300" w:lineRule="auto"/>
        <w:rPr>
          <w:sz w:val="24"/>
          <w:szCs w:val="24"/>
        </w:rPr>
      </w:pPr>
    </w:p>
    <w:p w:rsidR="004D4087" w:rsidRPr="004D4087" w:rsidRDefault="004D4087" w:rsidP="004D4087">
      <w:pPr>
        <w:spacing w:line="300" w:lineRule="auto"/>
        <w:jc w:val="center"/>
        <w:rPr>
          <w:b/>
          <w:sz w:val="24"/>
          <w:szCs w:val="24"/>
        </w:rPr>
      </w:pPr>
      <w:r w:rsidRPr="004D4087">
        <w:rPr>
          <w:rFonts w:hint="eastAsia"/>
          <w:b/>
          <w:sz w:val="24"/>
          <w:szCs w:val="24"/>
        </w:rPr>
        <w:t>公告送出日期：</w:t>
      </w:r>
      <w:r w:rsidR="00DB0FCC">
        <w:rPr>
          <w:rFonts w:hint="eastAsia"/>
          <w:b/>
          <w:sz w:val="24"/>
          <w:szCs w:val="24"/>
        </w:rPr>
        <w:t>2019</w:t>
      </w:r>
      <w:r w:rsidRPr="004D4087">
        <w:rPr>
          <w:rFonts w:hint="eastAsia"/>
          <w:b/>
          <w:sz w:val="24"/>
          <w:szCs w:val="24"/>
        </w:rPr>
        <w:t>年</w:t>
      </w:r>
      <w:r w:rsidR="00BD35B5">
        <w:rPr>
          <w:rFonts w:hint="eastAsia"/>
          <w:b/>
          <w:sz w:val="24"/>
          <w:szCs w:val="24"/>
        </w:rPr>
        <w:t>7</w:t>
      </w:r>
      <w:r w:rsidRPr="004D4087">
        <w:rPr>
          <w:rFonts w:hint="eastAsia"/>
          <w:b/>
          <w:sz w:val="24"/>
          <w:szCs w:val="24"/>
        </w:rPr>
        <w:t>月</w:t>
      </w:r>
      <w:r w:rsidR="00BD35B5">
        <w:rPr>
          <w:rFonts w:hint="eastAsia"/>
          <w:b/>
          <w:sz w:val="24"/>
          <w:szCs w:val="24"/>
        </w:rPr>
        <w:t>5</w:t>
      </w:r>
      <w:r w:rsidRPr="004D4087">
        <w:rPr>
          <w:rFonts w:hint="eastAsia"/>
          <w:b/>
          <w:sz w:val="24"/>
          <w:szCs w:val="24"/>
        </w:rPr>
        <w:t>日</w:t>
      </w:r>
    </w:p>
    <w:p w:rsidR="004D4087" w:rsidRPr="004D4087" w:rsidRDefault="004D4087" w:rsidP="00A1259A">
      <w:pPr>
        <w:pStyle w:val="a7"/>
        <w:spacing w:line="300" w:lineRule="auto"/>
      </w:pPr>
    </w:p>
    <w:p w:rsidR="00C7207B" w:rsidRDefault="004D4087" w:rsidP="00A1259A">
      <w:pPr>
        <w:pStyle w:val="a7"/>
        <w:spacing w:line="300" w:lineRule="auto"/>
        <w:ind w:firstLineChars="200" w:firstLine="420"/>
      </w:pPr>
      <w:r w:rsidRPr="004D4087">
        <w:rPr>
          <w:rFonts w:hint="eastAsia"/>
        </w:rPr>
        <w:t>根据恒越基金管理有限公司（以下简称</w:t>
      </w:r>
      <w:r w:rsidRPr="004D4087">
        <w:t>“</w:t>
      </w:r>
      <w:r w:rsidRPr="004D4087">
        <w:rPr>
          <w:rFonts w:hint="eastAsia"/>
        </w:rPr>
        <w:t>本公司</w:t>
      </w:r>
      <w:r w:rsidRPr="004D4087">
        <w:t>”</w:t>
      </w:r>
      <w:r w:rsidRPr="004D4087">
        <w:rPr>
          <w:rFonts w:hint="eastAsia"/>
        </w:rPr>
        <w:t>）与</w:t>
      </w:r>
      <w:r w:rsidR="00BD35B5">
        <w:rPr>
          <w:rFonts w:hint="eastAsia"/>
        </w:rPr>
        <w:t>扬州国信嘉利基金销售有限公司</w:t>
      </w:r>
      <w:r w:rsidRPr="004D4087">
        <w:rPr>
          <w:rFonts w:hint="eastAsia"/>
        </w:rPr>
        <w:t>（以下简称</w:t>
      </w:r>
      <w:r w:rsidR="00594767">
        <w:rPr>
          <w:rFonts w:hint="eastAsia"/>
        </w:rPr>
        <w:t>“</w:t>
      </w:r>
      <w:r w:rsidR="00BD35B5">
        <w:rPr>
          <w:rFonts w:hint="eastAsia"/>
        </w:rPr>
        <w:t>国信嘉利</w:t>
      </w:r>
      <w:r>
        <w:rPr>
          <w:rFonts w:hint="eastAsia"/>
        </w:rPr>
        <w:t>”</w:t>
      </w:r>
      <w:r w:rsidRPr="004D4087">
        <w:rPr>
          <w:rFonts w:hint="eastAsia"/>
        </w:rPr>
        <w:t>）签署的基金销售协议，自</w:t>
      </w:r>
      <w:r w:rsidR="00DB0FCC">
        <w:t>201</w:t>
      </w:r>
      <w:r w:rsidR="00DB0FCC">
        <w:rPr>
          <w:rFonts w:hint="eastAsia"/>
        </w:rPr>
        <w:t>9</w:t>
      </w:r>
      <w:r w:rsidRPr="004D4087">
        <w:rPr>
          <w:rFonts w:hint="eastAsia"/>
        </w:rPr>
        <w:t>年</w:t>
      </w:r>
      <w:r w:rsidR="00BD35B5">
        <w:rPr>
          <w:rFonts w:hint="eastAsia"/>
        </w:rPr>
        <w:t>7</w:t>
      </w:r>
      <w:r w:rsidR="00594767">
        <w:rPr>
          <w:rFonts w:hint="eastAsia"/>
        </w:rPr>
        <w:t>月</w:t>
      </w:r>
      <w:r w:rsidR="00BD35B5">
        <w:rPr>
          <w:rFonts w:hint="eastAsia"/>
        </w:rPr>
        <w:t>5</w:t>
      </w:r>
      <w:r w:rsidRPr="004D4087">
        <w:rPr>
          <w:rFonts w:hint="eastAsia"/>
        </w:rPr>
        <w:t>日起，本公司旗下恒越研究精选混合型证券投资基金（</w:t>
      </w:r>
      <w:r w:rsidR="00CD6EF2">
        <w:rPr>
          <w:rFonts w:hint="eastAsia"/>
        </w:rPr>
        <w:t>A</w:t>
      </w:r>
      <w:r w:rsidR="00CD6EF2">
        <w:rPr>
          <w:rFonts w:hint="eastAsia"/>
        </w:rPr>
        <w:t>类</w:t>
      </w:r>
      <w:r w:rsidRPr="004D4087">
        <w:rPr>
          <w:rFonts w:hint="eastAsia"/>
        </w:rPr>
        <w:t>基金份额代码：</w:t>
      </w:r>
      <w:r w:rsidRPr="004D4087">
        <w:t>006049</w:t>
      </w:r>
      <w:r w:rsidR="001A2F23">
        <w:t>;</w:t>
      </w:r>
      <w:r w:rsidR="00CD6EF2">
        <w:rPr>
          <w:rFonts w:hint="eastAsia"/>
        </w:rPr>
        <w:t>B</w:t>
      </w:r>
      <w:r w:rsidR="00CD6EF2">
        <w:rPr>
          <w:rFonts w:hint="eastAsia"/>
        </w:rPr>
        <w:t>类</w:t>
      </w:r>
      <w:r w:rsidR="001A2F23">
        <w:rPr>
          <w:rFonts w:hint="eastAsia"/>
        </w:rPr>
        <w:t>基金份额代码：</w:t>
      </w:r>
      <w:r w:rsidR="001A2F23">
        <w:rPr>
          <w:rFonts w:hint="eastAsia"/>
        </w:rPr>
        <w:t>006050</w:t>
      </w:r>
      <w:r w:rsidR="008E3D91">
        <w:rPr>
          <w:rFonts w:hint="eastAsia"/>
        </w:rPr>
        <w:t>;</w:t>
      </w:r>
      <w:r w:rsidR="008E3D91" w:rsidRPr="008E3D91">
        <w:rPr>
          <w:rFonts w:hint="eastAsia"/>
        </w:rPr>
        <w:t>C</w:t>
      </w:r>
      <w:r w:rsidR="008E3D91" w:rsidRPr="008E3D91">
        <w:rPr>
          <w:rFonts w:hint="eastAsia"/>
        </w:rPr>
        <w:t>类基金份额代码：</w:t>
      </w:r>
      <w:r w:rsidR="008E3D91" w:rsidRPr="008E3D91">
        <w:rPr>
          <w:rFonts w:hint="eastAsia"/>
        </w:rPr>
        <w:t>007192</w:t>
      </w:r>
      <w:r w:rsidRPr="004D4087">
        <w:rPr>
          <w:rFonts w:hint="eastAsia"/>
        </w:rPr>
        <w:t>）</w:t>
      </w:r>
      <w:r w:rsidR="00BE0905" w:rsidRPr="00BE0905">
        <w:rPr>
          <w:rFonts w:hint="eastAsia"/>
        </w:rPr>
        <w:t>、恒越核心精选混合型证券投资基金（</w:t>
      </w:r>
      <w:r w:rsidR="00CD6EF2">
        <w:rPr>
          <w:rFonts w:hint="eastAsia"/>
        </w:rPr>
        <w:t>A</w:t>
      </w:r>
      <w:r w:rsidR="00CD6EF2">
        <w:rPr>
          <w:rFonts w:hint="eastAsia"/>
        </w:rPr>
        <w:t>类</w:t>
      </w:r>
      <w:r w:rsidR="00BE0905" w:rsidRPr="00BE0905">
        <w:rPr>
          <w:rFonts w:hint="eastAsia"/>
        </w:rPr>
        <w:t>前端基金份额代码：</w:t>
      </w:r>
      <w:r w:rsidR="00BE0905" w:rsidRPr="00BE0905">
        <w:rPr>
          <w:rFonts w:hint="eastAsia"/>
        </w:rPr>
        <w:t>006299</w:t>
      </w:r>
      <w:r w:rsidR="00BE0905" w:rsidRPr="00BE0905">
        <w:rPr>
          <w:rFonts w:hint="eastAsia"/>
        </w:rPr>
        <w:t>；</w:t>
      </w:r>
      <w:r w:rsidR="00CD6EF2">
        <w:rPr>
          <w:rFonts w:hint="eastAsia"/>
        </w:rPr>
        <w:t>A</w:t>
      </w:r>
      <w:r w:rsidR="00CD6EF2">
        <w:rPr>
          <w:rFonts w:hint="eastAsia"/>
        </w:rPr>
        <w:t>类</w:t>
      </w:r>
      <w:r w:rsidR="00BE0905" w:rsidRPr="00BE0905">
        <w:rPr>
          <w:rFonts w:hint="eastAsia"/>
        </w:rPr>
        <w:t>后端基金份额代码：</w:t>
      </w:r>
      <w:r w:rsidR="00BE0905" w:rsidRPr="00BE0905">
        <w:rPr>
          <w:rFonts w:hint="eastAsia"/>
        </w:rPr>
        <w:t>006313</w:t>
      </w:r>
      <w:r w:rsidR="008E3D91">
        <w:rPr>
          <w:rFonts w:hint="eastAsia"/>
        </w:rPr>
        <w:t>;</w:t>
      </w:r>
      <w:r w:rsidR="008E3D91" w:rsidRPr="008E3D91">
        <w:rPr>
          <w:rFonts w:hint="eastAsia"/>
        </w:rPr>
        <w:t xml:space="preserve"> C</w:t>
      </w:r>
      <w:r w:rsidR="008E3D91" w:rsidRPr="008E3D91">
        <w:rPr>
          <w:rFonts w:hint="eastAsia"/>
        </w:rPr>
        <w:t>类基金份额代码：</w:t>
      </w:r>
      <w:r w:rsidR="008E3D91" w:rsidRPr="008E3D91">
        <w:rPr>
          <w:rFonts w:hint="eastAsia"/>
        </w:rPr>
        <w:t>007193</w:t>
      </w:r>
      <w:r w:rsidR="00BE0905" w:rsidRPr="00BE0905">
        <w:rPr>
          <w:rFonts w:hint="eastAsia"/>
        </w:rPr>
        <w:t>）</w:t>
      </w:r>
      <w:r w:rsidRPr="004D4087">
        <w:rPr>
          <w:rFonts w:hint="eastAsia"/>
        </w:rPr>
        <w:t>增加</w:t>
      </w:r>
      <w:r w:rsidR="00BD35B5">
        <w:rPr>
          <w:rFonts w:hint="eastAsia"/>
        </w:rPr>
        <w:t>国信嘉利</w:t>
      </w:r>
      <w:r w:rsidRPr="004D4087">
        <w:rPr>
          <w:rFonts w:hint="eastAsia"/>
        </w:rPr>
        <w:t>为基金销售机构并</w:t>
      </w:r>
      <w:r w:rsidR="00C7207B">
        <w:rPr>
          <w:rFonts w:hint="eastAsia"/>
        </w:rPr>
        <w:t>开通定期定额投资以及</w:t>
      </w:r>
      <w:r w:rsidRPr="004D4087">
        <w:rPr>
          <w:rFonts w:hint="eastAsia"/>
        </w:rPr>
        <w:t>参加</w:t>
      </w:r>
      <w:r w:rsidR="00C7207B">
        <w:rPr>
          <w:rFonts w:hint="eastAsia"/>
        </w:rPr>
        <w:t>其</w:t>
      </w:r>
      <w:r w:rsidRPr="004D4087">
        <w:rPr>
          <w:rFonts w:hint="eastAsia"/>
        </w:rPr>
        <w:t>费率优惠活动。</w:t>
      </w:r>
    </w:p>
    <w:p w:rsidR="00A1259A" w:rsidRPr="008E3D91" w:rsidRDefault="00A1259A" w:rsidP="00A1259A">
      <w:pPr>
        <w:pStyle w:val="a7"/>
        <w:spacing w:line="300" w:lineRule="auto"/>
        <w:rPr>
          <w:rFonts w:ascii="宋体" w:eastAsia="宋体" w:hAnsi="宋体" w:cs="宋体"/>
          <w:szCs w:val="21"/>
        </w:rPr>
      </w:pPr>
    </w:p>
    <w:p w:rsidR="00C7207B" w:rsidRDefault="00C7207B" w:rsidP="00A1259A">
      <w:pPr>
        <w:pStyle w:val="a7"/>
        <w:spacing w:line="300" w:lineRule="auto"/>
        <w:ind w:firstLineChars="200" w:firstLine="420"/>
      </w:pPr>
      <w:r>
        <w:rPr>
          <w:rFonts w:ascii="宋体" w:eastAsia="宋体" w:hAnsi="宋体" w:cs="宋体" w:hint="eastAsia"/>
          <w:szCs w:val="21"/>
        </w:rPr>
        <w:t>定期定额投资业务（以下简称“定投”）：指投资者通过有关销售机构提出申请，约定每期扣款日、扣款金额及扣款方式，由销售机构于每期约定扣款日在投资者指定账户内自助完成扣款及基金申购申请的一种投资方式。</w:t>
      </w:r>
    </w:p>
    <w:p w:rsidR="00A1259A" w:rsidRDefault="00A1259A" w:rsidP="00A1259A">
      <w:pPr>
        <w:pStyle w:val="a7"/>
        <w:spacing w:line="300" w:lineRule="auto"/>
      </w:pPr>
    </w:p>
    <w:p w:rsidR="004D4087" w:rsidRPr="004D4087" w:rsidRDefault="004D4087" w:rsidP="00A1259A">
      <w:pPr>
        <w:pStyle w:val="a7"/>
        <w:spacing w:line="300" w:lineRule="auto"/>
        <w:ind w:firstLineChars="200" w:firstLine="420"/>
      </w:pPr>
      <w:r w:rsidRPr="004D4087">
        <w:rPr>
          <w:rFonts w:hint="eastAsia"/>
        </w:rPr>
        <w:t>现将具体事项公告如下：</w:t>
      </w:r>
    </w:p>
    <w:p w:rsidR="00A1259A" w:rsidRDefault="00A1259A" w:rsidP="00A1259A">
      <w:pPr>
        <w:pStyle w:val="a7"/>
        <w:spacing w:line="300" w:lineRule="auto"/>
      </w:pPr>
    </w:p>
    <w:p w:rsidR="00C7207B" w:rsidRPr="00A1259A" w:rsidRDefault="004D4087" w:rsidP="00A1259A">
      <w:pPr>
        <w:pStyle w:val="a7"/>
        <w:spacing w:line="300" w:lineRule="auto"/>
        <w:ind w:firstLineChars="200" w:firstLine="420"/>
        <w:rPr>
          <w:szCs w:val="21"/>
        </w:rPr>
      </w:pPr>
      <w:r>
        <w:rPr>
          <w:rFonts w:hint="eastAsia"/>
        </w:rPr>
        <w:t>一、</w:t>
      </w:r>
      <w:r w:rsidRPr="004D4087">
        <w:rPr>
          <w:rFonts w:hint="eastAsia"/>
        </w:rPr>
        <w:t>自</w:t>
      </w:r>
      <w:r w:rsidR="00DB0FCC">
        <w:rPr>
          <w:rFonts w:hint="eastAsia"/>
        </w:rPr>
        <w:t>2019</w:t>
      </w:r>
      <w:r>
        <w:rPr>
          <w:rFonts w:hint="eastAsia"/>
        </w:rPr>
        <w:t>年</w:t>
      </w:r>
      <w:r w:rsidR="00BD35B5">
        <w:rPr>
          <w:rFonts w:hint="eastAsia"/>
        </w:rPr>
        <w:t>7</w:t>
      </w:r>
      <w:r>
        <w:rPr>
          <w:rFonts w:hint="eastAsia"/>
        </w:rPr>
        <w:t>月</w:t>
      </w:r>
      <w:r w:rsidR="00BD35B5">
        <w:rPr>
          <w:rFonts w:hint="eastAsia"/>
        </w:rPr>
        <w:t>5</w:t>
      </w:r>
      <w:r>
        <w:rPr>
          <w:rFonts w:hint="eastAsia"/>
        </w:rPr>
        <w:t>日</w:t>
      </w:r>
      <w:r w:rsidR="00C7207B">
        <w:rPr>
          <w:rFonts w:hint="eastAsia"/>
        </w:rPr>
        <w:t>起，</w:t>
      </w:r>
      <w:r w:rsidR="00C7207B" w:rsidRPr="00A1259A">
        <w:rPr>
          <w:rFonts w:ascii="宋体" w:eastAsia="宋体" w:hAnsi="宋体" w:cs="宋体" w:hint="eastAsia"/>
          <w:color w:val="000000"/>
          <w:kern w:val="0"/>
          <w:szCs w:val="21"/>
        </w:rPr>
        <w:t>投资者可通过</w:t>
      </w:r>
      <w:r w:rsidR="00BD35B5">
        <w:rPr>
          <w:rFonts w:ascii="宋体" w:eastAsia="宋体" w:hAnsi="宋体" w:cs="宋体" w:hint="eastAsia"/>
          <w:color w:val="000000"/>
          <w:kern w:val="0"/>
          <w:szCs w:val="21"/>
        </w:rPr>
        <w:t>国信嘉利</w:t>
      </w:r>
      <w:r w:rsidR="00C7207B" w:rsidRPr="00A1259A">
        <w:rPr>
          <w:rFonts w:ascii="宋体" w:eastAsia="宋体" w:hAnsi="宋体" w:cs="宋体" w:hint="eastAsia"/>
          <w:color w:val="000000"/>
          <w:kern w:val="0"/>
          <w:szCs w:val="21"/>
        </w:rPr>
        <w:t>办理恒越研究精选混合型证券投资基金</w:t>
      </w:r>
      <w:r w:rsidR="005B61C1">
        <w:rPr>
          <w:rFonts w:ascii="宋体" w:eastAsia="宋体" w:hAnsi="宋体" w:cs="宋体" w:hint="eastAsia"/>
          <w:color w:val="000000"/>
          <w:kern w:val="0"/>
          <w:szCs w:val="21"/>
        </w:rPr>
        <w:t>、</w:t>
      </w:r>
      <w:r w:rsidR="005B61C1" w:rsidRPr="00437860">
        <w:rPr>
          <w:rFonts w:asciiTheme="minorEastAsia" w:hAnsiTheme="minorEastAsia" w:hint="eastAsia"/>
          <w:szCs w:val="21"/>
        </w:rPr>
        <w:t>恒越核心精选混合型证券投资基金</w:t>
      </w:r>
      <w:r w:rsidR="00C7207B" w:rsidRPr="00A1259A">
        <w:rPr>
          <w:rFonts w:ascii="宋体" w:eastAsia="宋体" w:hAnsi="宋体" w:cs="宋体" w:hint="eastAsia"/>
          <w:color w:val="000000"/>
          <w:kern w:val="0"/>
          <w:szCs w:val="21"/>
        </w:rPr>
        <w:t>的开户、申购、赎回、定投等业务。</w:t>
      </w:r>
      <w:r w:rsidR="00C7207B" w:rsidRPr="00A1259A">
        <w:rPr>
          <w:rFonts w:hint="eastAsia"/>
          <w:szCs w:val="21"/>
        </w:rPr>
        <w:t>投资者在</w:t>
      </w:r>
      <w:r w:rsidR="00BD35B5">
        <w:rPr>
          <w:rFonts w:hint="eastAsia"/>
          <w:szCs w:val="21"/>
        </w:rPr>
        <w:t>国信嘉利</w:t>
      </w:r>
      <w:r w:rsidR="00C7207B" w:rsidRPr="00A1259A">
        <w:rPr>
          <w:rFonts w:hint="eastAsia"/>
          <w:szCs w:val="21"/>
        </w:rPr>
        <w:t>办理上述业务应遵循</w:t>
      </w:r>
      <w:r w:rsidR="00BD35B5">
        <w:rPr>
          <w:rFonts w:hint="eastAsia"/>
          <w:szCs w:val="21"/>
        </w:rPr>
        <w:t>国信嘉利</w:t>
      </w:r>
      <w:r w:rsidR="00C7207B" w:rsidRPr="00A1259A">
        <w:rPr>
          <w:rFonts w:hint="eastAsia"/>
          <w:szCs w:val="21"/>
        </w:rPr>
        <w:t>的具体规定。</w:t>
      </w:r>
    </w:p>
    <w:p w:rsidR="00C7207B" w:rsidRPr="00A1259A" w:rsidRDefault="00C7207B" w:rsidP="00A1259A">
      <w:pPr>
        <w:pStyle w:val="a7"/>
        <w:spacing w:line="300" w:lineRule="auto"/>
        <w:rPr>
          <w:rFonts w:ascii="宋体" w:eastAsia="宋体" w:hAnsi="宋体" w:cs="宋体"/>
          <w:color w:val="000000"/>
          <w:kern w:val="0"/>
          <w:szCs w:val="21"/>
        </w:rPr>
      </w:pPr>
    </w:p>
    <w:p w:rsidR="00A1259A" w:rsidRPr="00A1259A" w:rsidRDefault="00A1259A" w:rsidP="00A1259A">
      <w:pPr>
        <w:pStyle w:val="a7"/>
        <w:spacing w:line="300" w:lineRule="auto"/>
        <w:ind w:firstLineChars="200" w:firstLine="420"/>
        <w:rPr>
          <w:rFonts w:ascii="宋体" w:eastAsia="宋体" w:hAnsi="宋体" w:cs="宋体"/>
          <w:color w:val="000000"/>
          <w:szCs w:val="21"/>
        </w:rPr>
      </w:pPr>
      <w:r w:rsidRPr="00A1259A">
        <w:rPr>
          <w:rFonts w:ascii="宋体" w:eastAsia="宋体" w:hAnsi="宋体" w:cs="宋体" w:hint="eastAsia"/>
          <w:color w:val="000000"/>
          <w:szCs w:val="21"/>
        </w:rPr>
        <w:t xml:space="preserve">二、定投业务的办理时间 </w:t>
      </w:r>
    </w:p>
    <w:p w:rsidR="00A1259A" w:rsidRDefault="00A1259A" w:rsidP="00A1259A">
      <w:pPr>
        <w:pStyle w:val="a7"/>
        <w:spacing w:line="300" w:lineRule="auto"/>
        <w:ind w:firstLineChars="200" w:firstLine="420"/>
        <w:rPr>
          <w:rFonts w:ascii="宋体" w:eastAsia="宋体" w:hAnsi="宋体" w:cs="宋体"/>
          <w:color w:val="000000"/>
          <w:szCs w:val="21"/>
        </w:rPr>
      </w:pPr>
      <w:r w:rsidRPr="00A1259A">
        <w:rPr>
          <w:rFonts w:ascii="宋体" w:eastAsia="宋体" w:hAnsi="宋体" w:cs="宋体" w:hint="eastAsia"/>
          <w:color w:val="000000"/>
          <w:szCs w:val="21"/>
        </w:rPr>
        <w:t>本基金在开放日办理定投业务，具体办理时间为上海证券交易所、深圳证券交易所正常交易日的交易时间（本公司公告暂停申购、赎回时除外）。由于基金销售机构系统及业务安排等原因，开放日的具体交易时间可能有所不同，投资者应参照</w:t>
      </w:r>
      <w:r w:rsidR="00BD35B5">
        <w:rPr>
          <w:rFonts w:ascii="宋体" w:eastAsia="宋体" w:hAnsi="宋体" w:cs="宋体" w:hint="eastAsia"/>
          <w:color w:val="000000"/>
          <w:szCs w:val="21"/>
        </w:rPr>
        <w:t>国信嘉利</w:t>
      </w:r>
      <w:r w:rsidRPr="00A1259A">
        <w:rPr>
          <w:rFonts w:ascii="宋体" w:eastAsia="宋体" w:hAnsi="宋体" w:cs="宋体" w:hint="eastAsia"/>
          <w:color w:val="000000"/>
          <w:szCs w:val="21"/>
        </w:rPr>
        <w:t>的具体规定。</w:t>
      </w:r>
    </w:p>
    <w:p w:rsidR="008E3D91" w:rsidRDefault="008E3D91" w:rsidP="008E3D91">
      <w:pPr>
        <w:widowControl/>
        <w:ind w:firstLineChars="100" w:firstLine="210"/>
        <w:jc w:val="left"/>
        <w:rPr>
          <w:rFonts w:ascii="宋体" w:eastAsia="宋体" w:hAnsi="宋体" w:cs="宋体"/>
          <w:color w:val="000000"/>
          <w:szCs w:val="21"/>
        </w:rPr>
      </w:pPr>
    </w:p>
    <w:p w:rsidR="00A1259A" w:rsidRPr="00A1259A" w:rsidRDefault="00A1259A" w:rsidP="008E3D91">
      <w:pPr>
        <w:widowControl/>
        <w:ind w:firstLineChars="100" w:firstLine="210"/>
        <w:jc w:val="left"/>
        <w:rPr>
          <w:rFonts w:ascii="宋体" w:eastAsia="宋体" w:hAnsi="宋体" w:cs="宋体"/>
          <w:color w:val="000000"/>
          <w:szCs w:val="21"/>
        </w:rPr>
      </w:pPr>
      <w:r w:rsidRPr="00A1259A">
        <w:rPr>
          <w:rFonts w:ascii="宋体" w:eastAsia="宋体" w:hAnsi="宋体" w:cs="宋体" w:hint="eastAsia"/>
          <w:color w:val="000000"/>
          <w:szCs w:val="21"/>
        </w:rPr>
        <w:t xml:space="preserve">  三、定投业务规则 </w:t>
      </w:r>
    </w:p>
    <w:p w:rsidR="00A1259A" w:rsidRPr="00A1259A" w:rsidRDefault="00A1259A" w:rsidP="00A1259A">
      <w:pPr>
        <w:pStyle w:val="a7"/>
        <w:spacing w:line="300" w:lineRule="auto"/>
        <w:ind w:firstLineChars="200" w:firstLine="420"/>
        <w:rPr>
          <w:rFonts w:ascii="宋体" w:eastAsia="宋体" w:hAnsi="宋体" w:cs="宋体"/>
          <w:color w:val="000000"/>
          <w:szCs w:val="21"/>
        </w:rPr>
      </w:pPr>
      <w:r w:rsidRPr="00A1259A">
        <w:rPr>
          <w:rFonts w:ascii="宋体" w:eastAsia="宋体" w:hAnsi="宋体" w:cs="宋体" w:hint="eastAsia"/>
          <w:color w:val="000000"/>
          <w:szCs w:val="21"/>
        </w:rPr>
        <w:t xml:space="preserve">3.1 办理方式 </w:t>
      </w:r>
    </w:p>
    <w:p w:rsidR="00A1259A" w:rsidRPr="00A1259A" w:rsidRDefault="00A1259A" w:rsidP="00A1259A">
      <w:pPr>
        <w:pStyle w:val="a7"/>
        <w:spacing w:line="300" w:lineRule="auto"/>
        <w:rPr>
          <w:rFonts w:ascii="宋体" w:eastAsia="宋体" w:hAnsi="宋体" w:cs="宋体"/>
          <w:color w:val="000000"/>
          <w:szCs w:val="21"/>
        </w:rPr>
      </w:pPr>
      <w:r w:rsidRPr="00A1259A">
        <w:rPr>
          <w:rFonts w:ascii="宋体" w:eastAsia="宋体" w:hAnsi="宋体" w:cs="宋体" w:hint="eastAsia"/>
          <w:color w:val="000000"/>
          <w:szCs w:val="21"/>
        </w:rPr>
        <w:t xml:space="preserve">    投资者开立基金账户后即可到</w:t>
      </w:r>
      <w:r w:rsidR="00BD35B5">
        <w:rPr>
          <w:rFonts w:ascii="宋体" w:eastAsia="宋体" w:hAnsi="宋体" w:cs="宋体" w:hint="eastAsia"/>
          <w:color w:val="000000"/>
          <w:szCs w:val="21"/>
        </w:rPr>
        <w:t>国信嘉利</w:t>
      </w:r>
      <w:r w:rsidRPr="00A1259A">
        <w:rPr>
          <w:rFonts w:ascii="宋体" w:eastAsia="宋体" w:hAnsi="宋体" w:cs="宋体" w:hint="eastAsia"/>
          <w:color w:val="000000"/>
          <w:szCs w:val="21"/>
        </w:rPr>
        <w:t>的经营网点或网上交易平台申请办理本基金的基金定投业务，具体安排请遵循</w:t>
      </w:r>
      <w:r w:rsidR="00BD35B5">
        <w:rPr>
          <w:rFonts w:ascii="宋体" w:eastAsia="宋体" w:hAnsi="宋体" w:cs="宋体" w:hint="eastAsia"/>
          <w:color w:val="000000"/>
          <w:szCs w:val="21"/>
        </w:rPr>
        <w:t>国信嘉利</w:t>
      </w:r>
      <w:r w:rsidRPr="00A1259A">
        <w:rPr>
          <w:rFonts w:ascii="宋体" w:eastAsia="宋体" w:hAnsi="宋体" w:cs="宋体" w:hint="eastAsia"/>
          <w:color w:val="000000"/>
          <w:szCs w:val="21"/>
        </w:rPr>
        <w:t>的相关规定。</w:t>
      </w:r>
    </w:p>
    <w:p w:rsidR="00A1259A" w:rsidRPr="00A1259A" w:rsidRDefault="00A1259A" w:rsidP="00A1259A">
      <w:pPr>
        <w:pStyle w:val="a7"/>
        <w:spacing w:line="300" w:lineRule="auto"/>
        <w:ind w:firstLineChars="200" w:firstLine="420"/>
        <w:rPr>
          <w:rFonts w:ascii="宋体" w:eastAsia="宋体" w:hAnsi="宋体" w:cs="宋体"/>
          <w:color w:val="000000"/>
          <w:szCs w:val="21"/>
        </w:rPr>
      </w:pPr>
      <w:r w:rsidRPr="00A1259A">
        <w:rPr>
          <w:rFonts w:ascii="宋体" w:eastAsia="宋体" w:hAnsi="宋体" w:cs="宋体" w:hint="eastAsia"/>
          <w:color w:val="000000"/>
          <w:szCs w:val="21"/>
        </w:rPr>
        <w:t>3.2 申购金额</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5"/>
        <w:gridCol w:w="2835"/>
        <w:gridCol w:w="1559"/>
        <w:gridCol w:w="1453"/>
      </w:tblGrid>
      <w:tr w:rsidR="00A1259A" w:rsidRPr="00A1259A" w:rsidTr="00171D57">
        <w:trPr>
          <w:trHeight w:val="199"/>
          <w:jc w:val="center"/>
        </w:trPr>
        <w:tc>
          <w:tcPr>
            <w:tcW w:w="3495" w:type="dxa"/>
            <w:vAlign w:val="center"/>
          </w:tcPr>
          <w:p w:rsidR="00A1259A" w:rsidRPr="00A1259A" w:rsidRDefault="00A1259A" w:rsidP="00A1259A">
            <w:pPr>
              <w:pStyle w:val="a7"/>
              <w:spacing w:line="300" w:lineRule="auto"/>
              <w:rPr>
                <w:rFonts w:ascii="宋体" w:eastAsia="宋体" w:hAnsi="宋体" w:cs="宋体"/>
                <w:szCs w:val="21"/>
              </w:rPr>
            </w:pPr>
            <w:r w:rsidRPr="00A1259A">
              <w:rPr>
                <w:rFonts w:ascii="宋体" w:eastAsia="宋体" w:hAnsi="宋体" w:cs="宋体" w:hint="eastAsia"/>
                <w:szCs w:val="21"/>
              </w:rPr>
              <w:t>基金名称</w:t>
            </w:r>
          </w:p>
        </w:tc>
        <w:tc>
          <w:tcPr>
            <w:tcW w:w="2835" w:type="dxa"/>
            <w:vAlign w:val="center"/>
          </w:tcPr>
          <w:p w:rsidR="00A1259A" w:rsidRPr="00A1259A" w:rsidRDefault="00A1259A" w:rsidP="00A1259A">
            <w:pPr>
              <w:pStyle w:val="a7"/>
              <w:spacing w:line="300" w:lineRule="auto"/>
              <w:rPr>
                <w:rFonts w:ascii="宋体" w:eastAsia="宋体" w:hAnsi="宋体" w:cs="宋体"/>
                <w:szCs w:val="21"/>
              </w:rPr>
            </w:pPr>
            <w:r w:rsidRPr="00A1259A">
              <w:rPr>
                <w:rFonts w:ascii="宋体" w:eastAsia="宋体" w:hAnsi="宋体" w:cs="宋体" w:hint="eastAsia"/>
                <w:szCs w:val="21"/>
              </w:rPr>
              <w:t>基金简称</w:t>
            </w:r>
          </w:p>
        </w:tc>
        <w:tc>
          <w:tcPr>
            <w:tcW w:w="1559" w:type="dxa"/>
            <w:vAlign w:val="center"/>
          </w:tcPr>
          <w:p w:rsidR="00A1259A" w:rsidRPr="00A1259A" w:rsidRDefault="00A1259A" w:rsidP="00A1259A">
            <w:pPr>
              <w:pStyle w:val="a7"/>
              <w:spacing w:line="300" w:lineRule="auto"/>
              <w:rPr>
                <w:rFonts w:ascii="宋体" w:eastAsia="宋体" w:hAnsi="宋体" w:cs="宋体"/>
                <w:szCs w:val="21"/>
              </w:rPr>
            </w:pPr>
            <w:r w:rsidRPr="00A1259A">
              <w:rPr>
                <w:rFonts w:ascii="宋体" w:eastAsia="宋体" w:hAnsi="宋体" w:cs="宋体" w:hint="eastAsia"/>
                <w:szCs w:val="21"/>
              </w:rPr>
              <w:t>基金代码</w:t>
            </w:r>
          </w:p>
        </w:tc>
        <w:tc>
          <w:tcPr>
            <w:tcW w:w="1453" w:type="dxa"/>
            <w:vAlign w:val="center"/>
          </w:tcPr>
          <w:p w:rsidR="00A1259A" w:rsidRPr="00A1259A" w:rsidRDefault="00A1259A" w:rsidP="00A1259A">
            <w:pPr>
              <w:pStyle w:val="a7"/>
              <w:spacing w:line="300" w:lineRule="auto"/>
              <w:rPr>
                <w:rFonts w:ascii="宋体" w:eastAsia="宋体" w:hAnsi="宋体" w:cs="宋体"/>
                <w:szCs w:val="21"/>
              </w:rPr>
            </w:pPr>
            <w:r w:rsidRPr="00A1259A">
              <w:rPr>
                <w:rFonts w:ascii="宋体" w:eastAsia="宋体" w:hAnsi="宋体" w:cs="宋体" w:hint="eastAsia"/>
                <w:szCs w:val="21"/>
              </w:rPr>
              <w:t>每期最低定投金额（元）</w:t>
            </w:r>
          </w:p>
        </w:tc>
      </w:tr>
      <w:tr w:rsidR="001A2F23" w:rsidRPr="00A1259A" w:rsidTr="00171D57">
        <w:trPr>
          <w:trHeight w:val="361"/>
          <w:jc w:val="center"/>
        </w:trPr>
        <w:tc>
          <w:tcPr>
            <w:tcW w:w="3495" w:type="dxa"/>
            <w:vMerge w:val="restart"/>
            <w:vAlign w:val="center"/>
          </w:tcPr>
          <w:p w:rsidR="001A2F23" w:rsidRPr="00A1259A" w:rsidRDefault="001A2F23" w:rsidP="00A1259A">
            <w:pPr>
              <w:pStyle w:val="a7"/>
              <w:spacing w:line="300" w:lineRule="auto"/>
              <w:rPr>
                <w:rFonts w:ascii="宋体" w:eastAsia="宋体" w:hAnsi="宋体" w:cs="宋体"/>
                <w:szCs w:val="21"/>
              </w:rPr>
            </w:pPr>
            <w:r w:rsidRPr="00A1259A">
              <w:rPr>
                <w:rFonts w:ascii="宋体" w:eastAsia="宋体" w:hAnsi="宋体" w:cs="宋体" w:hint="eastAsia"/>
                <w:szCs w:val="21"/>
              </w:rPr>
              <w:t>恒越研究精选混合型证券投资基金</w:t>
            </w:r>
          </w:p>
        </w:tc>
        <w:tc>
          <w:tcPr>
            <w:tcW w:w="2835" w:type="dxa"/>
            <w:vAlign w:val="center"/>
          </w:tcPr>
          <w:p w:rsidR="001A2F23" w:rsidRPr="00A1259A" w:rsidRDefault="001A2F23" w:rsidP="00A1259A">
            <w:pPr>
              <w:pStyle w:val="a7"/>
              <w:spacing w:line="300" w:lineRule="auto"/>
              <w:rPr>
                <w:rFonts w:ascii="宋体" w:eastAsia="宋体" w:hAnsi="宋体" w:cs="宋体"/>
                <w:szCs w:val="21"/>
              </w:rPr>
            </w:pPr>
            <w:r w:rsidRPr="00A1259A">
              <w:rPr>
                <w:rFonts w:ascii="宋体" w:eastAsia="宋体" w:hAnsi="宋体" w:cs="宋体" w:hint="eastAsia"/>
                <w:szCs w:val="21"/>
              </w:rPr>
              <w:t>恒越研究精选混合</w:t>
            </w:r>
            <w:r w:rsidR="00093DB5">
              <w:rPr>
                <w:rFonts w:ascii="宋体" w:eastAsia="宋体" w:hAnsi="宋体" w:cs="宋体" w:hint="eastAsia"/>
                <w:szCs w:val="21"/>
              </w:rPr>
              <w:t>A</w:t>
            </w:r>
          </w:p>
        </w:tc>
        <w:tc>
          <w:tcPr>
            <w:tcW w:w="1559" w:type="dxa"/>
            <w:vAlign w:val="center"/>
          </w:tcPr>
          <w:p w:rsidR="001A2F23" w:rsidRPr="00A1259A" w:rsidRDefault="001A2F23" w:rsidP="00A1259A">
            <w:pPr>
              <w:pStyle w:val="a7"/>
              <w:spacing w:line="300" w:lineRule="auto"/>
              <w:rPr>
                <w:rFonts w:ascii="宋体" w:eastAsia="宋体" w:hAnsi="宋体" w:cs="宋体"/>
                <w:szCs w:val="21"/>
              </w:rPr>
            </w:pPr>
            <w:r w:rsidRPr="00A1259A">
              <w:rPr>
                <w:rFonts w:ascii="宋体" w:eastAsia="宋体" w:hAnsi="宋体" w:cs="宋体" w:hint="eastAsia"/>
                <w:szCs w:val="21"/>
              </w:rPr>
              <w:t>006049</w:t>
            </w:r>
          </w:p>
        </w:tc>
        <w:tc>
          <w:tcPr>
            <w:tcW w:w="1453" w:type="dxa"/>
            <w:vAlign w:val="center"/>
          </w:tcPr>
          <w:p w:rsidR="001A2F23" w:rsidRPr="00A1259A" w:rsidRDefault="001A2F23" w:rsidP="00A1259A">
            <w:pPr>
              <w:pStyle w:val="a7"/>
              <w:spacing w:line="300" w:lineRule="auto"/>
              <w:rPr>
                <w:rFonts w:ascii="宋体" w:eastAsia="宋体" w:hAnsi="宋体" w:cs="宋体"/>
                <w:szCs w:val="21"/>
              </w:rPr>
            </w:pPr>
            <w:r w:rsidRPr="00A1259A">
              <w:rPr>
                <w:rFonts w:ascii="宋体" w:eastAsia="宋体" w:hAnsi="宋体" w:cs="宋体" w:hint="eastAsia"/>
                <w:szCs w:val="21"/>
              </w:rPr>
              <w:t>100</w:t>
            </w:r>
          </w:p>
        </w:tc>
      </w:tr>
      <w:tr w:rsidR="008E3D91" w:rsidRPr="00A1259A" w:rsidTr="00171D57">
        <w:trPr>
          <w:trHeight w:val="361"/>
          <w:jc w:val="center"/>
        </w:trPr>
        <w:tc>
          <w:tcPr>
            <w:tcW w:w="3495" w:type="dxa"/>
            <w:vMerge/>
            <w:vAlign w:val="center"/>
          </w:tcPr>
          <w:p w:rsidR="008E3D91" w:rsidRPr="00A1259A" w:rsidRDefault="008E3D91" w:rsidP="00A1259A">
            <w:pPr>
              <w:pStyle w:val="a7"/>
              <w:spacing w:line="300" w:lineRule="auto"/>
              <w:rPr>
                <w:rFonts w:ascii="宋体" w:eastAsia="宋体" w:hAnsi="宋体" w:cs="宋体"/>
                <w:szCs w:val="21"/>
              </w:rPr>
            </w:pPr>
          </w:p>
        </w:tc>
        <w:tc>
          <w:tcPr>
            <w:tcW w:w="2835" w:type="dxa"/>
            <w:vAlign w:val="center"/>
          </w:tcPr>
          <w:p w:rsidR="008E3D91" w:rsidRPr="00A1259A" w:rsidRDefault="008E3D91" w:rsidP="00093DB5">
            <w:pPr>
              <w:pStyle w:val="a7"/>
              <w:spacing w:line="300" w:lineRule="auto"/>
              <w:rPr>
                <w:rFonts w:ascii="宋体" w:eastAsia="宋体" w:hAnsi="宋体" w:cs="宋体"/>
                <w:szCs w:val="21"/>
              </w:rPr>
            </w:pPr>
            <w:r w:rsidRPr="00A1259A">
              <w:rPr>
                <w:rFonts w:ascii="宋体" w:eastAsia="宋体" w:hAnsi="宋体" w:cs="宋体" w:hint="eastAsia"/>
                <w:szCs w:val="21"/>
              </w:rPr>
              <w:t>恒越研究精选混合</w:t>
            </w:r>
            <w:r>
              <w:rPr>
                <w:rFonts w:ascii="宋体" w:eastAsia="宋体" w:hAnsi="宋体" w:cs="宋体" w:hint="eastAsia"/>
                <w:szCs w:val="21"/>
              </w:rPr>
              <w:t>B</w:t>
            </w:r>
          </w:p>
        </w:tc>
        <w:tc>
          <w:tcPr>
            <w:tcW w:w="1559" w:type="dxa"/>
            <w:vAlign w:val="center"/>
          </w:tcPr>
          <w:p w:rsidR="008E3D91" w:rsidRDefault="008E3D91" w:rsidP="00A1259A">
            <w:pPr>
              <w:pStyle w:val="a7"/>
              <w:spacing w:line="300" w:lineRule="auto"/>
              <w:rPr>
                <w:rFonts w:ascii="宋体" w:eastAsia="宋体" w:hAnsi="宋体" w:cs="宋体"/>
                <w:szCs w:val="21"/>
              </w:rPr>
            </w:pPr>
            <w:r>
              <w:rPr>
                <w:rFonts w:ascii="宋体" w:eastAsia="宋体" w:hAnsi="宋体" w:cs="宋体" w:hint="eastAsia"/>
                <w:szCs w:val="21"/>
              </w:rPr>
              <w:t>006050</w:t>
            </w:r>
          </w:p>
        </w:tc>
        <w:tc>
          <w:tcPr>
            <w:tcW w:w="1453" w:type="dxa"/>
            <w:vAlign w:val="center"/>
          </w:tcPr>
          <w:p w:rsidR="008E3D91" w:rsidRDefault="008E3D91" w:rsidP="00A1259A">
            <w:pPr>
              <w:pStyle w:val="a7"/>
              <w:spacing w:line="300" w:lineRule="auto"/>
              <w:rPr>
                <w:rFonts w:ascii="宋体" w:eastAsia="宋体" w:hAnsi="宋体" w:cs="宋体"/>
                <w:szCs w:val="21"/>
              </w:rPr>
            </w:pPr>
            <w:r>
              <w:rPr>
                <w:rFonts w:ascii="宋体" w:eastAsia="宋体" w:hAnsi="宋体" w:cs="宋体" w:hint="eastAsia"/>
                <w:szCs w:val="21"/>
              </w:rPr>
              <w:t>100</w:t>
            </w:r>
          </w:p>
        </w:tc>
      </w:tr>
      <w:tr w:rsidR="001A2F23" w:rsidRPr="00A1259A" w:rsidTr="00171D57">
        <w:trPr>
          <w:trHeight w:val="361"/>
          <w:jc w:val="center"/>
        </w:trPr>
        <w:tc>
          <w:tcPr>
            <w:tcW w:w="3495" w:type="dxa"/>
            <w:vMerge/>
            <w:vAlign w:val="center"/>
          </w:tcPr>
          <w:p w:rsidR="001A2F23" w:rsidRPr="00A1259A" w:rsidRDefault="001A2F23" w:rsidP="00A1259A">
            <w:pPr>
              <w:pStyle w:val="a7"/>
              <w:spacing w:line="300" w:lineRule="auto"/>
              <w:rPr>
                <w:rFonts w:ascii="宋体" w:eastAsia="宋体" w:hAnsi="宋体" w:cs="宋体"/>
                <w:szCs w:val="21"/>
              </w:rPr>
            </w:pPr>
          </w:p>
        </w:tc>
        <w:tc>
          <w:tcPr>
            <w:tcW w:w="2835" w:type="dxa"/>
            <w:vAlign w:val="center"/>
          </w:tcPr>
          <w:p w:rsidR="001A2F23" w:rsidRPr="00A1259A" w:rsidRDefault="008E3D91" w:rsidP="00093DB5">
            <w:pPr>
              <w:pStyle w:val="a7"/>
              <w:spacing w:line="300" w:lineRule="auto"/>
              <w:rPr>
                <w:rFonts w:ascii="宋体" w:eastAsia="宋体" w:hAnsi="宋体" w:cs="宋体"/>
                <w:szCs w:val="21"/>
              </w:rPr>
            </w:pPr>
            <w:r>
              <w:rPr>
                <w:rFonts w:ascii="宋体" w:eastAsia="宋体" w:hAnsi="宋体" w:cs="宋体" w:hint="eastAsia"/>
                <w:szCs w:val="21"/>
              </w:rPr>
              <w:t>恒越研究精选混合C</w:t>
            </w:r>
          </w:p>
        </w:tc>
        <w:tc>
          <w:tcPr>
            <w:tcW w:w="1559" w:type="dxa"/>
            <w:vAlign w:val="center"/>
          </w:tcPr>
          <w:p w:rsidR="001A2F23" w:rsidRPr="00A1259A" w:rsidRDefault="008E3D91" w:rsidP="00A1259A">
            <w:pPr>
              <w:pStyle w:val="a7"/>
              <w:spacing w:line="300" w:lineRule="auto"/>
              <w:rPr>
                <w:rFonts w:ascii="宋体" w:eastAsia="宋体" w:hAnsi="宋体" w:cs="宋体"/>
                <w:szCs w:val="21"/>
              </w:rPr>
            </w:pPr>
            <w:r>
              <w:rPr>
                <w:rFonts w:ascii="宋体" w:eastAsia="宋体" w:hAnsi="宋体" w:cs="宋体" w:hint="eastAsia"/>
                <w:szCs w:val="21"/>
              </w:rPr>
              <w:t>007192</w:t>
            </w:r>
          </w:p>
        </w:tc>
        <w:tc>
          <w:tcPr>
            <w:tcW w:w="1453" w:type="dxa"/>
            <w:vAlign w:val="center"/>
          </w:tcPr>
          <w:p w:rsidR="001A2F23" w:rsidRPr="00A1259A" w:rsidRDefault="001A2F23" w:rsidP="00A1259A">
            <w:pPr>
              <w:pStyle w:val="a7"/>
              <w:spacing w:line="300" w:lineRule="auto"/>
              <w:rPr>
                <w:rFonts w:ascii="宋体" w:eastAsia="宋体" w:hAnsi="宋体" w:cs="宋体"/>
                <w:szCs w:val="21"/>
              </w:rPr>
            </w:pPr>
            <w:r>
              <w:rPr>
                <w:rFonts w:ascii="宋体" w:eastAsia="宋体" w:hAnsi="宋体" w:cs="宋体" w:hint="eastAsia"/>
                <w:szCs w:val="21"/>
              </w:rPr>
              <w:t>100</w:t>
            </w:r>
          </w:p>
        </w:tc>
      </w:tr>
      <w:tr w:rsidR="008E3D91" w:rsidRPr="00A1259A" w:rsidTr="00171D57">
        <w:trPr>
          <w:trHeight w:val="361"/>
          <w:jc w:val="center"/>
        </w:trPr>
        <w:tc>
          <w:tcPr>
            <w:tcW w:w="3495" w:type="dxa"/>
            <w:vMerge w:val="restart"/>
            <w:vAlign w:val="center"/>
          </w:tcPr>
          <w:p w:rsidR="008E3D91" w:rsidRPr="00A1259A" w:rsidRDefault="008E3D91" w:rsidP="00A1259A">
            <w:pPr>
              <w:pStyle w:val="a7"/>
              <w:spacing w:line="300" w:lineRule="auto"/>
              <w:rPr>
                <w:rFonts w:ascii="宋体" w:eastAsia="宋体" w:hAnsi="宋体" w:cs="宋体"/>
                <w:szCs w:val="21"/>
              </w:rPr>
            </w:pPr>
            <w:r w:rsidRPr="00437860">
              <w:rPr>
                <w:rFonts w:asciiTheme="minorEastAsia" w:hAnsiTheme="minorEastAsia" w:hint="eastAsia"/>
                <w:szCs w:val="21"/>
              </w:rPr>
              <w:t>恒越核心精选混合型证券投资基金</w:t>
            </w:r>
          </w:p>
        </w:tc>
        <w:tc>
          <w:tcPr>
            <w:tcW w:w="2835" w:type="dxa"/>
            <w:vAlign w:val="center"/>
          </w:tcPr>
          <w:p w:rsidR="008E3D91" w:rsidRPr="00A1259A" w:rsidRDefault="008E3D91" w:rsidP="00864352">
            <w:pPr>
              <w:pStyle w:val="a7"/>
              <w:spacing w:line="300" w:lineRule="auto"/>
              <w:rPr>
                <w:rFonts w:ascii="宋体" w:eastAsia="宋体" w:hAnsi="宋体" w:cs="宋体"/>
                <w:szCs w:val="21"/>
              </w:rPr>
            </w:pPr>
            <w:r>
              <w:rPr>
                <w:rFonts w:ascii="宋体" w:eastAsia="宋体" w:hAnsi="宋体" w:cs="宋体" w:hint="eastAsia"/>
                <w:szCs w:val="21"/>
              </w:rPr>
              <w:t>恒越核心</w:t>
            </w:r>
            <w:r w:rsidRPr="00A1259A">
              <w:rPr>
                <w:rFonts w:ascii="宋体" w:eastAsia="宋体" w:hAnsi="宋体" w:cs="宋体" w:hint="eastAsia"/>
                <w:szCs w:val="21"/>
              </w:rPr>
              <w:t>精选混合</w:t>
            </w:r>
            <w:r w:rsidR="00171D57">
              <w:rPr>
                <w:rFonts w:ascii="宋体" w:eastAsia="宋体" w:hAnsi="宋体" w:cs="宋体" w:hint="eastAsia"/>
                <w:szCs w:val="21"/>
              </w:rPr>
              <w:t>A</w:t>
            </w:r>
            <w:r>
              <w:rPr>
                <w:rFonts w:ascii="宋体" w:eastAsia="宋体" w:hAnsi="宋体" w:cs="宋体" w:hint="eastAsia"/>
                <w:szCs w:val="21"/>
              </w:rPr>
              <w:t>(前端)</w:t>
            </w:r>
          </w:p>
        </w:tc>
        <w:tc>
          <w:tcPr>
            <w:tcW w:w="1559" w:type="dxa"/>
            <w:vAlign w:val="center"/>
          </w:tcPr>
          <w:p w:rsidR="008E3D91" w:rsidRDefault="008E3D91" w:rsidP="00A1259A">
            <w:pPr>
              <w:pStyle w:val="a7"/>
              <w:spacing w:line="300" w:lineRule="auto"/>
              <w:rPr>
                <w:rFonts w:ascii="宋体" w:eastAsia="宋体" w:hAnsi="宋体" w:cs="宋体"/>
                <w:szCs w:val="21"/>
              </w:rPr>
            </w:pPr>
            <w:r>
              <w:rPr>
                <w:rFonts w:ascii="宋体" w:eastAsia="宋体" w:hAnsi="宋体" w:cs="宋体" w:hint="eastAsia"/>
                <w:szCs w:val="21"/>
              </w:rPr>
              <w:t>006299</w:t>
            </w:r>
          </w:p>
        </w:tc>
        <w:tc>
          <w:tcPr>
            <w:tcW w:w="1453" w:type="dxa"/>
            <w:vAlign w:val="center"/>
          </w:tcPr>
          <w:p w:rsidR="008E3D91" w:rsidRDefault="008E3D91" w:rsidP="00A1259A">
            <w:pPr>
              <w:pStyle w:val="a7"/>
              <w:spacing w:line="300" w:lineRule="auto"/>
              <w:rPr>
                <w:rFonts w:ascii="宋体" w:eastAsia="宋体" w:hAnsi="宋体" w:cs="宋体"/>
                <w:szCs w:val="21"/>
              </w:rPr>
            </w:pPr>
            <w:r>
              <w:rPr>
                <w:rFonts w:ascii="宋体" w:eastAsia="宋体" w:hAnsi="宋体" w:cs="宋体" w:hint="eastAsia"/>
                <w:szCs w:val="21"/>
              </w:rPr>
              <w:t>100</w:t>
            </w:r>
          </w:p>
        </w:tc>
      </w:tr>
      <w:tr w:rsidR="008E3D91" w:rsidRPr="00A1259A" w:rsidTr="00171D57">
        <w:trPr>
          <w:trHeight w:val="361"/>
          <w:jc w:val="center"/>
        </w:trPr>
        <w:tc>
          <w:tcPr>
            <w:tcW w:w="3495" w:type="dxa"/>
            <w:vMerge/>
            <w:vAlign w:val="center"/>
          </w:tcPr>
          <w:p w:rsidR="008E3D91" w:rsidRPr="00437860" w:rsidRDefault="008E3D91" w:rsidP="00A1259A">
            <w:pPr>
              <w:pStyle w:val="a7"/>
              <w:spacing w:line="300" w:lineRule="auto"/>
              <w:rPr>
                <w:rFonts w:asciiTheme="minorEastAsia" w:hAnsiTheme="minorEastAsia"/>
                <w:szCs w:val="21"/>
              </w:rPr>
            </w:pPr>
          </w:p>
        </w:tc>
        <w:tc>
          <w:tcPr>
            <w:tcW w:w="2835" w:type="dxa"/>
            <w:vAlign w:val="center"/>
          </w:tcPr>
          <w:p w:rsidR="008E3D91" w:rsidRPr="00A1259A" w:rsidRDefault="008E3D91" w:rsidP="00864352">
            <w:pPr>
              <w:pStyle w:val="a7"/>
              <w:spacing w:line="300" w:lineRule="auto"/>
              <w:rPr>
                <w:rFonts w:ascii="宋体" w:eastAsia="宋体" w:hAnsi="宋体" w:cs="宋体"/>
                <w:szCs w:val="21"/>
              </w:rPr>
            </w:pPr>
            <w:r>
              <w:rPr>
                <w:rFonts w:ascii="宋体" w:eastAsia="宋体" w:hAnsi="宋体" w:cs="宋体" w:hint="eastAsia"/>
                <w:szCs w:val="21"/>
              </w:rPr>
              <w:t>恒越核心</w:t>
            </w:r>
            <w:r w:rsidRPr="00A1259A">
              <w:rPr>
                <w:rFonts w:ascii="宋体" w:eastAsia="宋体" w:hAnsi="宋体" w:cs="宋体" w:hint="eastAsia"/>
                <w:szCs w:val="21"/>
              </w:rPr>
              <w:t>精选混合</w:t>
            </w:r>
            <w:r w:rsidR="00171D57">
              <w:rPr>
                <w:rFonts w:ascii="宋体" w:eastAsia="宋体" w:hAnsi="宋体" w:cs="宋体" w:hint="eastAsia"/>
                <w:szCs w:val="21"/>
              </w:rPr>
              <w:t>A</w:t>
            </w:r>
            <w:r>
              <w:rPr>
                <w:rFonts w:ascii="宋体" w:eastAsia="宋体" w:hAnsi="宋体" w:cs="宋体" w:hint="eastAsia"/>
                <w:szCs w:val="21"/>
              </w:rPr>
              <w:t>(后端)</w:t>
            </w:r>
          </w:p>
        </w:tc>
        <w:tc>
          <w:tcPr>
            <w:tcW w:w="1559" w:type="dxa"/>
            <w:vAlign w:val="center"/>
          </w:tcPr>
          <w:p w:rsidR="008E3D91" w:rsidRDefault="008E3D91" w:rsidP="00A1259A">
            <w:pPr>
              <w:pStyle w:val="a7"/>
              <w:spacing w:line="300" w:lineRule="auto"/>
              <w:rPr>
                <w:rFonts w:ascii="宋体" w:eastAsia="宋体" w:hAnsi="宋体" w:cs="宋体"/>
                <w:szCs w:val="21"/>
              </w:rPr>
            </w:pPr>
            <w:r>
              <w:rPr>
                <w:rFonts w:ascii="宋体" w:eastAsia="宋体" w:hAnsi="宋体" w:cs="宋体" w:hint="eastAsia"/>
                <w:szCs w:val="21"/>
              </w:rPr>
              <w:t>006313</w:t>
            </w:r>
          </w:p>
        </w:tc>
        <w:tc>
          <w:tcPr>
            <w:tcW w:w="1453" w:type="dxa"/>
            <w:vAlign w:val="center"/>
          </w:tcPr>
          <w:p w:rsidR="008E3D91" w:rsidRDefault="008E3D91" w:rsidP="00A1259A">
            <w:pPr>
              <w:pStyle w:val="a7"/>
              <w:spacing w:line="300" w:lineRule="auto"/>
              <w:rPr>
                <w:rFonts w:ascii="宋体" w:eastAsia="宋体" w:hAnsi="宋体" w:cs="宋体"/>
                <w:szCs w:val="21"/>
              </w:rPr>
            </w:pPr>
            <w:r>
              <w:rPr>
                <w:rFonts w:ascii="宋体" w:eastAsia="宋体" w:hAnsi="宋体" w:cs="宋体" w:hint="eastAsia"/>
                <w:szCs w:val="21"/>
              </w:rPr>
              <w:t>100</w:t>
            </w:r>
          </w:p>
        </w:tc>
      </w:tr>
      <w:tr w:rsidR="008E3D91" w:rsidRPr="00A1259A" w:rsidTr="00171D57">
        <w:trPr>
          <w:trHeight w:val="361"/>
          <w:jc w:val="center"/>
        </w:trPr>
        <w:tc>
          <w:tcPr>
            <w:tcW w:w="3495" w:type="dxa"/>
            <w:vMerge/>
            <w:vAlign w:val="center"/>
          </w:tcPr>
          <w:p w:rsidR="008E3D91" w:rsidRPr="00437860" w:rsidRDefault="008E3D91" w:rsidP="00A1259A">
            <w:pPr>
              <w:pStyle w:val="a7"/>
              <w:spacing w:line="300" w:lineRule="auto"/>
              <w:rPr>
                <w:rFonts w:asciiTheme="minorEastAsia" w:hAnsiTheme="minorEastAsia"/>
                <w:szCs w:val="21"/>
              </w:rPr>
            </w:pPr>
          </w:p>
        </w:tc>
        <w:tc>
          <w:tcPr>
            <w:tcW w:w="2835" w:type="dxa"/>
            <w:vAlign w:val="center"/>
          </w:tcPr>
          <w:p w:rsidR="008E3D91" w:rsidRDefault="008E3D91" w:rsidP="00864352">
            <w:pPr>
              <w:pStyle w:val="a7"/>
              <w:spacing w:line="300" w:lineRule="auto"/>
              <w:rPr>
                <w:rFonts w:ascii="宋体" w:eastAsia="宋体" w:hAnsi="宋体" w:cs="宋体"/>
                <w:szCs w:val="21"/>
              </w:rPr>
            </w:pPr>
            <w:r>
              <w:rPr>
                <w:rFonts w:ascii="宋体" w:eastAsia="宋体" w:hAnsi="宋体" w:cs="宋体" w:hint="eastAsia"/>
                <w:szCs w:val="21"/>
              </w:rPr>
              <w:t>恒越核心精选混合C</w:t>
            </w:r>
          </w:p>
        </w:tc>
        <w:tc>
          <w:tcPr>
            <w:tcW w:w="1559" w:type="dxa"/>
            <w:vAlign w:val="center"/>
          </w:tcPr>
          <w:p w:rsidR="008E3D91" w:rsidRDefault="008E3D91" w:rsidP="00A1259A">
            <w:pPr>
              <w:pStyle w:val="a7"/>
              <w:spacing w:line="300" w:lineRule="auto"/>
              <w:rPr>
                <w:rFonts w:ascii="宋体" w:eastAsia="宋体" w:hAnsi="宋体" w:cs="宋体"/>
                <w:szCs w:val="21"/>
              </w:rPr>
            </w:pPr>
            <w:r>
              <w:rPr>
                <w:rFonts w:ascii="宋体" w:eastAsia="宋体" w:hAnsi="宋体" w:cs="宋体" w:hint="eastAsia"/>
                <w:szCs w:val="21"/>
              </w:rPr>
              <w:t>007193</w:t>
            </w:r>
          </w:p>
        </w:tc>
        <w:tc>
          <w:tcPr>
            <w:tcW w:w="1453" w:type="dxa"/>
            <w:vAlign w:val="center"/>
          </w:tcPr>
          <w:p w:rsidR="008E3D91" w:rsidRDefault="008E3D91" w:rsidP="00A1259A">
            <w:pPr>
              <w:pStyle w:val="a7"/>
              <w:spacing w:line="300" w:lineRule="auto"/>
              <w:rPr>
                <w:rFonts w:ascii="宋体" w:eastAsia="宋体" w:hAnsi="宋体" w:cs="宋体"/>
                <w:szCs w:val="21"/>
              </w:rPr>
            </w:pPr>
            <w:r>
              <w:rPr>
                <w:rFonts w:ascii="宋体" w:eastAsia="宋体" w:hAnsi="宋体" w:cs="宋体" w:hint="eastAsia"/>
                <w:szCs w:val="21"/>
              </w:rPr>
              <w:t>100</w:t>
            </w:r>
          </w:p>
        </w:tc>
      </w:tr>
    </w:tbl>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（1）每期最低定投金额如</w:t>
      </w:r>
      <w:r w:rsidR="00BD35B5">
        <w:rPr>
          <w:rFonts w:ascii="宋体" w:eastAsia="宋体" w:hAnsi="宋体" w:cs="宋体" w:hint="eastAsia"/>
          <w:color w:val="000000"/>
          <w:szCs w:val="21"/>
        </w:rPr>
        <w:t>国信嘉利</w:t>
      </w:r>
      <w:r>
        <w:rPr>
          <w:rFonts w:ascii="宋体" w:eastAsia="宋体" w:hAnsi="宋体" w:cs="宋体" w:hint="eastAsia"/>
          <w:color w:val="000000"/>
          <w:szCs w:val="21"/>
        </w:rPr>
        <w:t>有特别规定的，以</w:t>
      </w:r>
      <w:r w:rsidR="00BD35B5">
        <w:rPr>
          <w:rFonts w:ascii="宋体" w:eastAsia="宋体" w:hAnsi="宋体" w:cs="宋体" w:hint="eastAsia"/>
          <w:color w:val="000000"/>
          <w:szCs w:val="21"/>
        </w:rPr>
        <w:t>国信嘉利</w:t>
      </w:r>
      <w:r>
        <w:rPr>
          <w:rFonts w:ascii="宋体" w:eastAsia="宋体" w:hAnsi="宋体" w:cs="宋体" w:hint="eastAsia"/>
          <w:color w:val="000000"/>
          <w:szCs w:val="21"/>
        </w:rPr>
        <w:t>相关规定为准；</w:t>
      </w:r>
    </w:p>
    <w:p w:rsidR="00A1259A" w:rsidRDefault="00A1259A" w:rsidP="00A1259A">
      <w:pPr>
        <w:pStyle w:val="a7"/>
        <w:spacing w:line="300" w:lineRule="auto"/>
        <w:ind w:firstLineChars="150" w:firstLine="315"/>
        <w:rPr>
          <w:rFonts w:ascii="宋体" w:eastAsia="宋体" w:hAnsi="宋体" w:cs="宋体"/>
          <w:color w:val="000000"/>
          <w:szCs w:val="21"/>
        </w:rPr>
      </w:pPr>
      <w:r>
        <w:rPr>
          <w:rFonts w:ascii="宋体" w:eastAsia="宋体" w:hAnsi="宋体" w:cs="宋体" w:hint="eastAsia"/>
          <w:color w:val="000000"/>
          <w:szCs w:val="21"/>
        </w:rPr>
        <w:t>（2）投资者应和</w:t>
      </w:r>
      <w:r w:rsidR="00BD35B5">
        <w:rPr>
          <w:rFonts w:ascii="宋体" w:eastAsia="宋体" w:hAnsi="宋体" w:cs="宋体" w:hint="eastAsia"/>
          <w:color w:val="000000"/>
          <w:szCs w:val="21"/>
        </w:rPr>
        <w:t>国信嘉利</w:t>
      </w:r>
      <w:r>
        <w:rPr>
          <w:rFonts w:ascii="宋体" w:eastAsia="宋体" w:hAnsi="宋体" w:cs="宋体" w:hint="eastAsia"/>
          <w:color w:val="000000"/>
          <w:szCs w:val="21"/>
        </w:rPr>
        <w:t>约定扣款日期；</w:t>
      </w:r>
    </w:p>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（3）</w:t>
      </w:r>
      <w:r w:rsidR="00BD35B5">
        <w:rPr>
          <w:rFonts w:ascii="宋体" w:eastAsia="宋体" w:hAnsi="宋体" w:cs="宋体" w:hint="eastAsia"/>
          <w:color w:val="000000"/>
          <w:szCs w:val="21"/>
        </w:rPr>
        <w:t>国信嘉利</w:t>
      </w:r>
      <w:r>
        <w:rPr>
          <w:rFonts w:ascii="宋体" w:eastAsia="宋体" w:hAnsi="宋体" w:cs="宋体" w:hint="eastAsia"/>
          <w:color w:val="000000"/>
          <w:szCs w:val="21"/>
        </w:rPr>
        <w:t>将按照投资者申请时约定的每期扣款日、申购金额扣款，如遇非基金开放日则以</w:t>
      </w:r>
      <w:r w:rsidR="00BD35B5">
        <w:rPr>
          <w:rFonts w:ascii="宋体" w:eastAsia="宋体" w:hAnsi="宋体" w:cs="宋体" w:hint="eastAsia"/>
          <w:color w:val="000000"/>
          <w:szCs w:val="21"/>
        </w:rPr>
        <w:t>国信嘉利</w:t>
      </w:r>
      <w:r>
        <w:rPr>
          <w:rFonts w:ascii="宋体" w:eastAsia="宋体" w:hAnsi="宋体" w:cs="宋体" w:hint="eastAsia"/>
          <w:color w:val="000000"/>
          <w:szCs w:val="21"/>
        </w:rPr>
        <w:t>的相关规定为准，并将投资者申购的实际扣款日期视为基金申购申请日（T日）；</w:t>
      </w:r>
    </w:p>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（4）投资者需指定</w:t>
      </w:r>
      <w:r w:rsidR="00BD35B5">
        <w:rPr>
          <w:rFonts w:ascii="宋体" w:eastAsia="宋体" w:hAnsi="宋体" w:cs="宋体" w:hint="eastAsia"/>
          <w:color w:val="000000"/>
          <w:szCs w:val="21"/>
        </w:rPr>
        <w:t>国信嘉利</w:t>
      </w:r>
      <w:r>
        <w:rPr>
          <w:rFonts w:ascii="宋体" w:eastAsia="宋体" w:hAnsi="宋体" w:cs="宋体" w:hint="eastAsia"/>
          <w:color w:val="000000"/>
          <w:szCs w:val="21"/>
        </w:rPr>
        <w:t>认可的资金账户作为每期固定扣款账户；</w:t>
      </w:r>
    </w:p>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（5）基金定投申购费率以</w:t>
      </w:r>
      <w:r w:rsidR="00BD35B5">
        <w:rPr>
          <w:rFonts w:ascii="宋体" w:eastAsia="宋体" w:hAnsi="宋体" w:cs="宋体" w:hint="eastAsia"/>
          <w:color w:val="000000"/>
          <w:szCs w:val="21"/>
        </w:rPr>
        <w:t>国信嘉利</w:t>
      </w:r>
      <w:r>
        <w:rPr>
          <w:rFonts w:ascii="宋体" w:eastAsia="宋体" w:hAnsi="宋体" w:cs="宋体" w:hint="eastAsia"/>
          <w:color w:val="000000"/>
          <w:szCs w:val="21"/>
        </w:rPr>
        <w:t>的费率优惠活动为准。</w:t>
      </w:r>
    </w:p>
    <w:p w:rsidR="00A1259A" w:rsidRDefault="00A1259A" w:rsidP="00A1259A">
      <w:pPr>
        <w:pStyle w:val="a7"/>
        <w:spacing w:line="30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3.3 扣款与交易确认</w:t>
      </w:r>
    </w:p>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本基金的基金注册登记机构按照基金申购日（T日）的基金份额净值为基准计算申购份额，申购份额将在T+1日确认，投资者可自T+2日起查询申购成交情况。</w:t>
      </w:r>
    </w:p>
    <w:p w:rsidR="00A1259A" w:rsidRDefault="00A1259A" w:rsidP="00A1259A">
      <w:pPr>
        <w:pStyle w:val="a7"/>
        <w:spacing w:line="30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3.4 变更与解约</w:t>
      </w:r>
    </w:p>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投资者欲变更每期申购金额、扣款日期、扣款方式或终止定投业务，请遵循</w:t>
      </w:r>
      <w:r w:rsidR="00BD35B5">
        <w:rPr>
          <w:rFonts w:ascii="宋体" w:eastAsia="宋体" w:hAnsi="宋体" w:cs="宋体" w:hint="eastAsia"/>
          <w:color w:val="000000"/>
          <w:szCs w:val="21"/>
        </w:rPr>
        <w:t>国信嘉利</w:t>
      </w:r>
      <w:r>
        <w:rPr>
          <w:rFonts w:ascii="宋体" w:eastAsia="宋体" w:hAnsi="宋体" w:cs="宋体" w:hint="eastAsia"/>
          <w:color w:val="000000"/>
          <w:szCs w:val="21"/>
        </w:rPr>
        <w:t>的相关规定。</w:t>
      </w:r>
    </w:p>
    <w:p w:rsidR="00A1259A" w:rsidRDefault="00A1259A" w:rsidP="00A1259A">
      <w:pPr>
        <w:pStyle w:val="a7"/>
        <w:spacing w:line="300" w:lineRule="auto"/>
        <w:ind w:firstLineChars="200" w:firstLine="420"/>
        <w:rPr>
          <w:rFonts w:ascii="宋体" w:eastAsia="宋体" w:hAnsi="宋体" w:cs="宋体"/>
          <w:color w:val="000000"/>
          <w:szCs w:val="21"/>
        </w:rPr>
      </w:pPr>
      <w:r w:rsidRPr="00A1259A">
        <w:rPr>
          <w:rFonts w:ascii="宋体" w:eastAsia="宋体" w:hAnsi="宋体" w:cs="宋体" w:hint="eastAsia"/>
          <w:color w:val="000000"/>
          <w:szCs w:val="21"/>
        </w:rPr>
        <w:t>3.5</w:t>
      </w:r>
      <w:r>
        <w:rPr>
          <w:rFonts w:ascii="宋体" w:eastAsia="宋体" w:hAnsi="宋体" w:cs="宋体" w:hint="eastAsia"/>
          <w:color w:val="000000"/>
          <w:szCs w:val="21"/>
        </w:rPr>
        <w:t>重要提示</w:t>
      </w:r>
    </w:p>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（1）本公司有权根据市场情况或法律法规变化调整上述定投业务规则及有关限制，届时本公司将在调整生效前在中国证监会指定的信息披露媒体上予以公告。</w:t>
      </w:r>
    </w:p>
    <w:p w:rsidR="00A1259A" w:rsidRDefault="00A1259A" w:rsidP="00A1259A">
      <w:pPr>
        <w:pStyle w:val="a7"/>
        <w:spacing w:line="300" w:lineRule="auto"/>
        <w:ind w:firstLineChars="150" w:firstLine="315"/>
        <w:rPr>
          <w:rFonts w:ascii="宋体" w:eastAsia="宋体" w:hAnsi="宋体" w:cs="宋体"/>
          <w:color w:val="000000"/>
          <w:szCs w:val="21"/>
        </w:rPr>
      </w:pPr>
      <w:r>
        <w:rPr>
          <w:rFonts w:ascii="宋体" w:eastAsia="宋体" w:hAnsi="宋体" w:cs="宋体" w:hint="eastAsia"/>
          <w:color w:val="000000"/>
          <w:szCs w:val="21"/>
        </w:rPr>
        <w:t>（2）本公司新发售基金的定投业务规定，以届时公告为准。</w:t>
      </w:r>
    </w:p>
    <w:p w:rsidR="00A1259A" w:rsidRDefault="00A1259A" w:rsidP="00A1259A">
      <w:pPr>
        <w:pStyle w:val="a7"/>
        <w:spacing w:line="300" w:lineRule="auto"/>
        <w:ind w:firstLineChars="150" w:firstLine="315"/>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szCs w:val="21"/>
        </w:rPr>
        <w:t>投资</w:t>
      </w:r>
      <w:r>
        <w:rPr>
          <w:rFonts w:ascii="宋体" w:eastAsia="宋体" w:hAnsi="宋体" w:cs="宋体" w:hint="eastAsia"/>
          <w:szCs w:val="21"/>
        </w:rPr>
        <w:t>人</w:t>
      </w:r>
      <w:r w:rsidRPr="000A2090">
        <w:rPr>
          <w:rFonts w:ascii="宋体" w:eastAsia="宋体" w:hAnsi="宋体" w:cs="宋体"/>
          <w:szCs w:val="21"/>
        </w:rPr>
        <w:t>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4D4087" w:rsidRPr="00A1259A" w:rsidRDefault="004D4087" w:rsidP="00A1259A">
      <w:pPr>
        <w:pStyle w:val="a7"/>
        <w:spacing w:line="300" w:lineRule="auto"/>
        <w:rPr>
          <w:szCs w:val="21"/>
        </w:rPr>
      </w:pPr>
    </w:p>
    <w:p w:rsidR="004D4087" w:rsidRPr="00A1259A" w:rsidRDefault="00A1259A" w:rsidP="00A1259A">
      <w:pPr>
        <w:pStyle w:val="a7"/>
        <w:spacing w:line="300" w:lineRule="auto"/>
        <w:ind w:firstLineChars="200" w:firstLine="420"/>
        <w:rPr>
          <w:szCs w:val="21"/>
        </w:rPr>
      </w:pPr>
      <w:r w:rsidRPr="00A1259A">
        <w:rPr>
          <w:rFonts w:hint="eastAsia"/>
          <w:szCs w:val="21"/>
        </w:rPr>
        <w:t>四</w:t>
      </w:r>
      <w:r w:rsidR="004D4087" w:rsidRPr="00A1259A">
        <w:rPr>
          <w:rFonts w:hint="eastAsia"/>
          <w:szCs w:val="21"/>
        </w:rPr>
        <w:t>、投资者通过</w:t>
      </w:r>
      <w:r w:rsidR="00BD35B5">
        <w:rPr>
          <w:rFonts w:hint="eastAsia"/>
          <w:szCs w:val="21"/>
        </w:rPr>
        <w:t>国信嘉利</w:t>
      </w:r>
      <w:r w:rsidR="004D4087" w:rsidRPr="00A1259A">
        <w:rPr>
          <w:rFonts w:hint="eastAsia"/>
          <w:szCs w:val="21"/>
        </w:rPr>
        <w:t>申购恒越研究精选混合型证券</w:t>
      </w:r>
      <w:r w:rsidR="00C7207B" w:rsidRPr="00A1259A">
        <w:rPr>
          <w:rFonts w:hint="eastAsia"/>
          <w:szCs w:val="21"/>
        </w:rPr>
        <w:t>投资基金</w:t>
      </w:r>
      <w:r w:rsidR="005B61C1">
        <w:rPr>
          <w:rFonts w:hint="eastAsia"/>
          <w:szCs w:val="21"/>
        </w:rPr>
        <w:t>、</w:t>
      </w:r>
      <w:r w:rsidR="005B61C1" w:rsidRPr="005B61C1">
        <w:rPr>
          <w:rFonts w:hint="eastAsia"/>
          <w:szCs w:val="21"/>
        </w:rPr>
        <w:t>恒越核心精选混合型证券投资基金</w:t>
      </w:r>
      <w:r w:rsidR="00C7207B" w:rsidRPr="00A1259A">
        <w:rPr>
          <w:rFonts w:hint="eastAsia"/>
          <w:szCs w:val="21"/>
        </w:rPr>
        <w:t>，申购费率不设折扣限制，具体折扣费率和优惠期限以</w:t>
      </w:r>
      <w:r w:rsidR="00BD35B5">
        <w:rPr>
          <w:rFonts w:hint="eastAsia"/>
          <w:szCs w:val="21"/>
        </w:rPr>
        <w:t>国信嘉利</w:t>
      </w:r>
      <w:r w:rsidR="00C7207B" w:rsidRPr="00A1259A">
        <w:rPr>
          <w:rFonts w:hint="eastAsia"/>
          <w:szCs w:val="21"/>
        </w:rPr>
        <w:t>的具体规定为准，但</w:t>
      </w:r>
      <w:r w:rsidR="00BD35B5">
        <w:rPr>
          <w:rFonts w:hint="eastAsia"/>
          <w:szCs w:val="21"/>
        </w:rPr>
        <w:t>国信嘉利</w:t>
      </w:r>
      <w:r w:rsidR="004D4087" w:rsidRPr="00A1259A">
        <w:rPr>
          <w:rFonts w:hint="eastAsia"/>
          <w:szCs w:val="21"/>
        </w:rPr>
        <w:t>不得低于成本销售上述基金。</w:t>
      </w:r>
    </w:p>
    <w:p w:rsidR="004D4087" w:rsidRPr="005B61C1" w:rsidRDefault="004D4087" w:rsidP="00A1259A">
      <w:pPr>
        <w:pStyle w:val="a7"/>
        <w:spacing w:line="300" w:lineRule="auto"/>
        <w:rPr>
          <w:szCs w:val="21"/>
        </w:rPr>
      </w:pPr>
    </w:p>
    <w:p w:rsidR="004D4087" w:rsidRPr="00A1259A" w:rsidRDefault="004D4087" w:rsidP="00A1259A">
      <w:pPr>
        <w:pStyle w:val="a7"/>
        <w:spacing w:line="300" w:lineRule="auto"/>
        <w:ind w:firstLineChars="200" w:firstLine="420"/>
        <w:rPr>
          <w:szCs w:val="21"/>
        </w:rPr>
      </w:pPr>
      <w:r w:rsidRPr="00A1259A">
        <w:rPr>
          <w:rFonts w:hint="eastAsia"/>
          <w:szCs w:val="21"/>
        </w:rPr>
        <w:t>本费率优惠仅适用于恒越研究精选混合型证券投资基金</w:t>
      </w:r>
      <w:r w:rsidR="005B61C1">
        <w:rPr>
          <w:rFonts w:hint="eastAsia"/>
          <w:szCs w:val="21"/>
        </w:rPr>
        <w:t>、</w:t>
      </w:r>
      <w:r w:rsidR="005B61C1" w:rsidRPr="005B61C1">
        <w:rPr>
          <w:rFonts w:hint="eastAsia"/>
          <w:szCs w:val="21"/>
        </w:rPr>
        <w:t>恒越核心精选混合型证券投资基金</w:t>
      </w:r>
      <w:r w:rsidRPr="00A1259A">
        <w:rPr>
          <w:rFonts w:hint="eastAsia"/>
          <w:szCs w:val="21"/>
        </w:rPr>
        <w:t>在</w:t>
      </w:r>
      <w:r w:rsidR="00BD35B5">
        <w:rPr>
          <w:rFonts w:hint="eastAsia"/>
          <w:szCs w:val="21"/>
        </w:rPr>
        <w:t>国信嘉利</w:t>
      </w:r>
      <w:r w:rsidRPr="00A1259A">
        <w:rPr>
          <w:rFonts w:hint="eastAsia"/>
          <w:szCs w:val="21"/>
        </w:rPr>
        <w:t>处于正常申购期的采用前端收费模式的申购手续费，不包括基金赎回、转换业务等其他业务的手续费。基金原费率请详见基金合同、招募说明书（更新）等法律文件，以及本公司发布的最新业务公告。</w:t>
      </w:r>
    </w:p>
    <w:p w:rsidR="004D4087" w:rsidRPr="00A1259A" w:rsidRDefault="004D4087" w:rsidP="00A1259A">
      <w:pPr>
        <w:pStyle w:val="a7"/>
        <w:spacing w:line="300" w:lineRule="auto"/>
        <w:rPr>
          <w:szCs w:val="21"/>
        </w:rPr>
      </w:pPr>
    </w:p>
    <w:p w:rsidR="004D4087" w:rsidRPr="00A1259A" w:rsidRDefault="00A1259A" w:rsidP="00A1259A">
      <w:pPr>
        <w:pStyle w:val="a7"/>
        <w:spacing w:line="300" w:lineRule="auto"/>
        <w:ind w:firstLineChars="200" w:firstLine="420"/>
        <w:rPr>
          <w:szCs w:val="21"/>
        </w:rPr>
      </w:pPr>
      <w:r w:rsidRPr="00A1259A">
        <w:rPr>
          <w:rFonts w:hint="eastAsia"/>
          <w:szCs w:val="21"/>
        </w:rPr>
        <w:lastRenderedPageBreak/>
        <w:t>五</w:t>
      </w:r>
      <w:r w:rsidR="004D4087" w:rsidRPr="00A1259A">
        <w:rPr>
          <w:rFonts w:hint="eastAsia"/>
          <w:szCs w:val="21"/>
        </w:rPr>
        <w:t>、费率优惠的解释权归</w:t>
      </w:r>
      <w:r w:rsidR="00BD35B5">
        <w:rPr>
          <w:rFonts w:hint="eastAsia"/>
          <w:szCs w:val="21"/>
        </w:rPr>
        <w:t>国信嘉利</w:t>
      </w:r>
      <w:r w:rsidR="004D4087" w:rsidRPr="00A1259A">
        <w:rPr>
          <w:rFonts w:hint="eastAsia"/>
          <w:szCs w:val="21"/>
        </w:rPr>
        <w:t>所有，有关费率优惠的具体规定如有变化，敬请</w:t>
      </w:r>
      <w:r w:rsidR="00C7207B" w:rsidRPr="00A1259A">
        <w:rPr>
          <w:rFonts w:hint="eastAsia"/>
          <w:szCs w:val="21"/>
        </w:rPr>
        <w:t>投资者留意</w:t>
      </w:r>
      <w:r w:rsidR="00BD35B5">
        <w:rPr>
          <w:rFonts w:hint="eastAsia"/>
          <w:szCs w:val="21"/>
        </w:rPr>
        <w:t>国信嘉利</w:t>
      </w:r>
      <w:r w:rsidR="004D4087" w:rsidRPr="00A1259A">
        <w:rPr>
          <w:rFonts w:hint="eastAsia"/>
          <w:szCs w:val="21"/>
        </w:rPr>
        <w:t>的有关规定。投资者可通过以下途径咨询详情：</w:t>
      </w:r>
    </w:p>
    <w:p w:rsidR="004D4087" w:rsidRPr="00A1259A" w:rsidRDefault="004D4087" w:rsidP="00A1259A">
      <w:pPr>
        <w:pStyle w:val="a7"/>
        <w:spacing w:line="300" w:lineRule="auto"/>
        <w:rPr>
          <w:szCs w:val="21"/>
        </w:rPr>
      </w:pPr>
    </w:p>
    <w:p w:rsidR="005B61C1" w:rsidRDefault="00BD35B5" w:rsidP="005B61C1">
      <w:pPr>
        <w:pStyle w:val="a7"/>
        <w:numPr>
          <w:ilvl w:val="0"/>
          <w:numId w:val="5"/>
        </w:numPr>
        <w:spacing w:line="300" w:lineRule="auto"/>
        <w:rPr>
          <w:szCs w:val="21"/>
        </w:rPr>
      </w:pPr>
      <w:bookmarkStart w:id="0" w:name="OLE_LINK1"/>
      <w:bookmarkStart w:id="1" w:name="OLE_LINK2"/>
      <w:r>
        <w:rPr>
          <w:rFonts w:hint="eastAsia"/>
          <w:szCs w:val="21"/>
        </w:rPr>
        <w:t>扬州国信嘉利基金销售有限公司</w:t>
      </w:r>
      <w:bookmarkEnd w:id="0"/>
      <w:bookmarkEnd w:id="1"/>
    </w:p>
    <w:p w:rsidR="00931E30" w:rsidRDefault="004D4087" w:rsidP="005B61C1">
      <w:pPr>
        <w:pStyle w:val="a7"/>
        <w:spacing w:line="300" w:lineRule="auto"/>
        <w:ind w:left="420"/>
        <w:rPr>
          <w:szCs w:val="21"/>
        </w:rPr>
      </w:pPr>
      <w:r w:rsidRPr="00A1259A">
        <w:rPr>
          <w:rFonts w:hint="eastAsia"/>
          <w:szCs w:val="21"/>
        </w:rPr>
        <w:t>客户服务电话：</w:t>
      </w:r>
      <w:r w:rsidR="00BD35B5">
        <w:rPr>
          <w:rFonts w:hint="eastAsia"/>
          <w:szCs w:val="21"/>
        </w:rPr>
        <w:t>400-021-6088</w:t>
      </w:r>
      <w:bookmarkStart w:id="2" w:name="_GoBack"/>
      <w:bookmarkEnd w:id="2"/>
    </w:p>
    <w:p w:rsidR="004D4087" w:rsidRDefault="004D4087" w:rsidP="00E42F6E">
      <w:pPr>
        <w:pStyle w:val="a7"/>
        <w:spacing w:line="300" w:lineRule="auto"/>
        <w:ind w:firstLineChars="200" w:firstLine="420"/>
        <w:rPr>
          <w:szCs w:val="21"/>
        </w:rPr>
      </w:pPr>
      <w:r w:rsidRPr="00A1259A">
        <w:rPr>
          <w:rFonts w:hint="eastAsia"/>
          <w:szCs w:val="21"/>
        </w:rPr>
        <w:t>公司网站：</w:t>
      </w:r>
      <w:r w:rsidR="00BD35B5" w:rsidRPr="00BD35B5">
        <w:rPr>
          <w:szCs w:val="21"/>
        </w:rPr>
        <w:t>https://www.gxjlcn.com/</w:t>
      </w:r>
    </w:p>
    <w:p w:rsidR="00E42F6E" w:rsidRPr="00E42F6E" w:rsidRDefault="00E42F6E" w:rsidP="00E42F6E">
      <w:pPr>
        <w:pStyle w:val="a7"/>
        <w:spacing w:line="300" w:lineRule="auto"/>
        <w:ind w:firstLineChars="200" w:firstLine="420"/>
        <w:rPr>
          <w:szCs w:val="21"/>
        </w:rPr>
      </w:pPr>
    </w:p>
    <w:p w:rsidR="004D4087" w:rsidRPr="00A1259A" w:rsidRDefault="004D4087" w:rsidP="00A1259A">
      <w:pPr>
        <w:pStyle w:val="a7"/>
        <w:spacing w:line="300" w:lineRule="auto"/>
        <w:ind w:firstLineChars="200" w:firstLine="420"/>
        <w:rPr>
          <w:szCs w:val="21"/>
        </w:rPr>
      </w:pPr>
      <w:r w:rsidRPr="00A1259A">
        <w:rPr>
          <w:szCs w:val="21"/>
        </w:rPr>
        <w:t>2</w:t>
      </w:r>
      <w:r w:rsidRPr="00A1259A">
        <w:rPr>
          <w:rFonts w:hint="eastAsia"/>
          <w:szCs w:val="21"/>
        </w:rPr>
        <w:t>、恒越基金管理有限公司</w:t>
      </w:r>
    </w:p>
    <w:p w:rsidR="004D4087" w:rsidRPr="00A1259A" w:rsidRDefault="004D4087" w:rsidP="00A1259A">
      <w:pPr>
        <w:pStyle w:val="a7"/>
        <w:spacing w:line="300" w:lineRule="auto"/>
        <w:ind w:firstLineChars="200" w:firstLine="420"/>
        <w:rPr>
          <w:szCs w:val="21"/>
        </w:rPr>
      </w:pPr>
      <w:r w:rsidRPr="00A1259A">
        <w:rPr>
          <w:rFonts w:hint="eastAsia"/>
          <w:szCs w:val="21"/>
        </w:rPr>
        <w:t>客户服务电话：</w:t>
      </w:r>
      <w:r w:rsidRPr="00A1259A">
        <w:rPr>
          <w:szCs w:val="21"/>
        </w:rPr>
        <w:t xml:space="preserve">021-38987000 </w:t>
      </w:r>
    </w:p>
    <w:p w:rsidR="004D4087" w:rsidRPr="00A1259A" w:rsidRDefault="004D4087" w:rsidP="00A1259A">
      <w:pPr>
        <w:pStyle w:val="a7"/>
        <w:spacing w:line="300" w:lineRule="auto"/>
        <w:ind w:firstLineChars="200" w:firstLine="420"/>
        <w:rPr>
          <w:szCs w:val="21"/>
        </w:rPr>
      </w:pPr>
      <w:r w:rsidRPr="00A1259A">
        <w:rPr>
          <w:rFonts w:hint="eastAsia"/>
          <w:szCs w:val="21"/>
        </w:rPr>
        <w:t>公司网站：</w:t>
      </w:r>
      <w:r w:rsidRPr="00A1259A">
        <w:rPr>
          <w:szCs w:val="21"/>
        </w:rPr>
        <w:t xml:space="preserve">www.hengyuefund.com </w:t>
      </w:r>
    </w:p>
    <w:p w:rsidR="004D4087" w:rsidRPr="00A1259A" w:rsidRDefault="004D4087" w:rsidP="00A1259A">
      <w:pPr>
        <w:pStyle w:val="a7"/>
        <w:spacing w:line="300" w:lineRule="auto"/>
        <w:rPr>
          <w:szCs w:val="21"/>
        </w:rPr>
      </w:pPr>
    </w:p>
    <w:p w:rsidR="00A1259A" w:rsidRPr="00A1259A" w:rsidRDefault="00A1259A" w:rsidP="00A1259A">
      <w:pPr>
        <w:pStyle w:val="a7"/>
        <w:spacing w:line="300" w:lineRule="auto"/>
        <w:ind w:firstLineChars="200" w:firstLine="420"/>
        <w:rPr>
          <w:szCs w:val="21"/>
        </w:rPr>
      </w:pPr>
      <w:r w:rsidRPr="00A1259A">
        <w:rPr>
          <w:rFonts w:ascii="宋体" w:eastAsia="宋体" w:hAnsi="宋体" w:cs="宋体" w:hint="eastAsia"/>
          <w:szCs w:val="21"/>
        </w:rPr>
        <w:t>风险提示：本公司承诺以诚实信用、勤勉尽责的原则管理和运用基金资产，但不保证基金一定盈利，也不保证最低收益。基金的过往业绩及其净值高低并不预示其未来业绩表现。投资者投资基金前应认真阅读基金合同、招募说明书等法律文件，了解所投资基金的风险收益特征，并根据自身情况购买与本人风险承受能力相匹配的产品。敬请投资者注意投资风险。</w:t>
      </w:r>
    </w:p>
    <w:p w:rsidR="00A1259A" w:rsidRDefault="00A1259A" w:rsidP="00A1259A">
      <w:pPr>
        <w:pStyle w:val="a7"/>
        <w:spacing w:line="300" w:lineRule="auto"/>
        <w:rPr>
          <w:szCs w:val="21"/>
        </w:rPr>
      </w:pPr>
    </w:p>
    <w:p w:rsidR="004D4087" w:rsidRPr="00A1259A" w:rsidRDefault="004D4087" w:rsidP="00A1259A">
      <w:pPr>
        <w:pStyle w:val="a7"/>
        <w:spacing w:line="300" w:lineRule="auto"/>
        <w:ind w:firstLineChars="200" w:firstLine="420"/>
        <w:rPr>
          <w:szCs w:val="21"/>
        </w:rPr>
      </w:pPr>
      <w:r w:rsidRPr="00A1259A">
        <w:rPr>
          <w:rFonts w:hint="eastAsia"/>
          <w:szCs w:val="21"/>
        </w:rPr>
        <w:t>特此公告。</w:t>
      </w:r>
    </w:p>
    <w:p w:rsidR="004D4087" w:rsidRPr="00A1259A" w:rsidRDefault="004D4087" w:rsidP="00A1259A">
      <w:pPr>
        <w:pStyle w:val="a7"/>
        <w:spacing w:line="300" w:lineRule="auto"/>
        <w:rPr>
          <w:szCs w:val="21"/>
        </w:rPr>
      </w:pPr>
    </w:p>
    <w:p w:rsidR="004D4087" w:rsidRPr="00A1259A" w:rsidRDefault="004D4087" w:rsidP="00A1259A">
      <w:pPr>
        <w:pStyle w:val="a7"/>
        <w:spacing w:line="300" w:lineRule="auto"/>
        <w:jc w:val="right"/>
        <w:rPr>
          <w:szCs w:val="21"/>
        </w:rPr>
      </w:pPr>
      <w:r w:rsidRPr="00A1259A">
        <w:rPr>
          <w:rFonts w:hint="eastAsia"/>
          <w:szCs w:val="21"/>
        </w:rPr>
        <w:t>恒越基金管理有限公司</w:t>
      </w:r>
    </w:p>
    <w:p w:rsidR="004D4087" w:rsidRPr="00A1259A" w:rsidRDefault="00DB0FCC" w:rsidP="00A1259A">
      <w:pPr>
        <w:pStyle w:val="a7"/>
        <w:spacing w:line="300" w:lineRule="auto"/>
        <w:jc w:val="right"/>
        <w:rPr>
          <w:szCs w:val="21"/>
        </w:rPr>
      </w:pPr>
      <w:r>
        <w:rPr>
          <w:szCs w:val="21"/>
        </w:rPr>
        <w:t>201</w:t>
      </w:r>
      <w:r>
        <w:rPr>
          <w:rFonts w:hint="eastAsia"/>
          <w:szCs w:val="21"/>
        </w:rPr>
        <w:t>9</w:t>
      </w:r>
      <w:r w:rsidR="004D4087" w:rsidRPr="00A1259A">
        <w:rPr>
          <w:rFonts w:hint="eastAsia"/>
          <w:szCs w:val="21"/>
        </w:rPr>
        <w:t>年</w:t>
      </w:r>
      <w:r w:rsidR="00BD35B5">
        <w:rPr>
          <w:rFonts w:hint="eastAsia"/>
          <w:szCs w:val="21"/>
        </w:rPr>
        <w:t>7</w:t>
      </w:r>
      <w:r w:rsidR="004D4087" w:rsidRPr="00A1259A">
        <w:rPr>
          <w:rFonts w:hint="eastAsia"/>
          <w:szCs w:val="21"/>
        </w:rPr>
        <w:t>月</w:t>
      </w:r>
      <w:r w:rsidR="00BD35B5">
        <w:rPr>
          <w:rFonts w:hint="eastAsia"/>
          <w:szCs w:val="21"/>
        </w:rPr>
        <w:t>5</w:t>
      </w:r>
      <w:r w:rsidR="004D4087" w:rsidRPr="00A1259A">
        <w:rPr>
          <w:rFonts w:hint="eastAsia"/>
          <w:szCs w:val="21"/>
        </w:rPr>
        <w:t>日</w:t>
      </w:r>
    </w:p>
    <w:p w:rsidR="00C7207B" w:rsidRPr="00A1259A" w:rsidRDefault="00C7207B" w:rsidP="00A1259A">
      <w:pPr>
        <w:pStyle w:val="a7"/>
        <w:spacing w:line="300" w:lineRule="auto"/>
        <w:jc w:val="right"/>
        <w:rPr>
          <w:szCs w:val="21"/>
        </w:rPr>
      </w:pPr>
    </w:p>
    <w:sectPr w:rsidR="00C7207B" w:rsidRPr="00A1259A" w:rsidSect="007566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D11" w:rsidRDefault="00CB0D11" w:rsidP="00AE66AB">
      <w:r>
        <w:separator/>
      </w:r>
    </w:p>
  </w:endnote>
  <w:endnote w:type="continuationSeparator" w:id="1">
    <w:p w:rsidR="00CB0D11" w:rsidRDefault="00CB0D11" w:rsidP="00AE6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D11" w:rsidRDefault="00CB0D11" w:rsidP="00AE66AB">
      <w:r>
        <w:separator/>
      </w:r>
    </w:p>
  </w:footnote>
  <w:footnote w:type="continuationSeparator" w:id="1">
    <w:p w:rsidR="00CB0D11" w:rsidRDefault="00CB0D11" w:rsidP="00AE66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B39"/>
    <w:multiLevelType w:val="hybridMultilevel"/>
    <w:tmpl w:val="B5E835EC"/>
    <w:lvl w:ilvl="0" w:tplc="E1B8CD8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C82393D"/>
    <w:multiLevelType w:val="hybridMultilevel"/>
    <w:tmpl w:val="4150FA2E"/>
    <w:lvl w:ilvl="0" w:tplc="F24ABF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B124125"/>
    <w:multiLevelType w:val="hybridMultilevel"/>
    <w:tmpl w:val="8A3219CC"/>
    <w:lvl w:ilvl="0" w:tplc="78C47106">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E66212B"/>
    <w:multiLevelType w:val="hybridMultilevel"/>
    <w:tmpl w:val="724E9B88"/>
    <w:lvl w:ilvl="0" w:tplc="ACFA62B6">
      <w:start w:val="1"/>
      <w:numFmt w:val="japaneseCounting"/>
      <w:lvlText w:val="%1、"/>
      <w:lvlJc w:val="left"/>
      <w:pPr>
        <w:ind w:left="1395" w:hanging="91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62B20D9"/>
    <w:multiLevelType w:val="hybridMultilevel"/>
    <w:tmpl w:val="709C6C3C"/>
    <w:lvl w:ilvl="0" w:tplc="AE742D40">
      <w:start w:val="1"/>
      <w:numFmt w:val="japaneseCounting"/>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28D7"/>
    <w:rsid w:val="00093DB5"/>
    <w:rsid w:val="000C79CD"/>
    <w:rsid w:val="00105FC2"/>
    <w:rsid w:val="00171D57"/>
    <w:rsid w:val="001A2F23"/>
    <w:rsid w:val="001C77E6"/>
    <w:rsid w:val="002D28D7"/>
    <w:rsid w:val="00301092"/>
    <w:rsid w:val="0039478A"/>
    <w:rsid w:val="00444A14"/>
    <w:rsid w:val="0046776F"/>
    <w:rsid w:val="00467918"/>
    <w:rsid w:val="00477BC5"/>
    <w:rsid w:val="004C6D33"/>
    <w:rsid w:val="004D4087"/>
    <w:rsid w:val="00594767"/>
    <w:rsid w:val="005B61C1"/>
    <w:rsid w:val="00607117"/>
    <w:rsid w:val="00655C04"/>
    <w:rsid w:val="00694869"/>
    <w:rsid w:val="00756677"/>
    <w:rsid w:val="0077435C"/>
    <w:rsid w:val="007A2FB5"/>
    <w:rsid w:val="008679F1"/>
    <w:rsid w:val="008C741D"/>
    <w:rsid w:val="008E3D91"/>
    <w:rsid w:val="00923D7F"/>
    <w:rsid w:val="00931E30"/>
    <w:rsid w:val="009860D3"/>
    <w:rsid w:val="009C67A6"/>
    <w:rsid w:val="00A101A7"/>
    <w:rsid w:val="00A1259A"/>
    <w:rsid w:val="00A8105B"/>
    <w:rsid w:val="00A840C1"/>
    <w:rsid w:val="00AD6F64"/>
    <w:rsid w:val="00AE66AB"/>
    <w:rsid w:val="00B07EFB"/>
    <w:rsid w:val="00B72B22"/>
    <w:rsid w:val="00B87081"/>
    <w:rsid w:val="00BD35B5"/>
    <w:rsid w:val="00BE0905"/>
    <w:rsid w:val="00C47070"/>
    <w:rsid w:val="00C6275E"/>
    <w:rsid w:val="00C7207B"/>
    <w:rsid w:val="00C80465"/>
    <w:rsid w:val="00CB0D11"/>
    <w:rsid w:val="00CB2EAB"/>
    <w:rsid w:val="00CD6EF2"/>
    <w:rsid w:val="00D139EE"/>
    <w:rsid w:val="00DB0FCC"/>
    <w:rsid w:val="00DE0BDD"/>
    <w:rsid w:val="00E42F6E"/>
    <w:rsid w:val="00E46745"/>
    <w:rsid w:val="00E82C73"/>
    <w:rsid w:val="00EC1C19"/>
    <w:rsid w:val="00EF28CA"/>
    <w:rsid w:val="00F10FF1"/>
    <w:rsid w:val="00F225C5"/>
    <w:rsid w:val="00F31D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4087"/>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34"/>
    <w:qFormat/>
    <w:rsid w:val="004D4087"/>
    <w:pPr>
      <w:ind w:firstLineChars="200" w:firstLine="420"/>
    </w:pPr>
  </w:style>
  <w:style w:type="paragraph" w:styleId="a4">
    <w:name w:val="header"/>
    <w:basedOn w:val="a"/>
    <w:link w:val="Char"/>
    <w:uiPriority w:val="99"/>
    <w:unhideWhenUsed/>
    <w:rsid w:val="00AE6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66AB"/>
    <w:rPr>
      <w:sz w:val="18"/>
      <w:szCs w:val="18"/>
    </w:rPr>
  </w:style>
  <w:style w:type="paragraph" w:styleId="a5">
    <w:name w:val="footer"/>
    <w:basedOn w:val="a"/>
    <w:link w:val="Char0"/>
    <w:uiPriority w:val="99"/>
    <w:unhideWhenUsed/>
    <w:rsid w:val="00AE66AB"/>
    <w:pPr>
      <w:tabs>
        <w:tab w:val="center" w:pos="4153"/>
        <w:tab w:val="right" w:pos="8306"/>
      </w:tabs>
      <w:snapToGrid w:val="0"/>
      <w:jc w:val="left"/>
    </w:pPr>
    <w:rPr>
      <w:sz w:val="18"/>
      <w:szCs w:val="18"/>
    </w:rPr>
  </w:style>
  <w:style w:type="character" w:customStyle="1" w:styleId="Char0">
    <w:name w:val="页脚 Char"/>
    <w:basedOn w:val="a0"/>
    <w:link w:val="a5"/>
    <w:uiPriority w:val="99"/>
    <w:rsid w:val="00AE66AB"/>
    <w:rPr>
      <w:sz w:val="18"/>
      <w:szCs w:val="18"/>
    </w:rPr>
  </w:style>
  <w:style w:type="paragraph" w:styleId="a6">
    <w:name w:val="Date"/>
    <w:basedOn w:val="a"/>
    <w:next w:val="a"/>
    <w:link w:val="Char1"/>
    <w:uiPriority w:val="99"/>
    <w:semiHidden/>
    <w:unhideWhenUsed/>
    <w:rsid w:val="00C7207B"/>
    <w:pPr>
      <w:ind w:leftChars="2500" w:left="100"/>
    </w:pPr>
  </w:style>
  <w:style w:type="character" w:customStyle="1" w:styleId="Char1">
    <w:name w:val="日期 Char"/>
    <w:basedOn w:val="a0"/>
    <w:link w:val="a6"/>
    <w:uiPriority w:val="99"/>
    <w:semiHidden/>
    <w:rsid w:val="00C7207B"/>
  </w:style>
  <w:style w:type="paragraph" w:styleId="a7">
    <w:name w:val="No Spacing"/>
    <w:uiPriority w:val="1"/>
    <w:qFormat/>
    <w:rsid w:val="00A1259A"/>
    <w:pPr>
      <w:widowControl w:val="0"/>
      <w:jc w:val="both"/>
    </w:pPr>
  </w:style>
  <w:style w:type="character" w:styleId="a8">
    <w:name w:val="Hyperlink"/>
    <w:basedOn w:val="a0"/>
    <w:uiPriority w:val="99"/>
    <w:unhideWhenUsed/>
    <w:rsid w:val="00E42F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4087"/>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34"/>
    <w:qFormat/>
    <w:rsid w:val="004D4087"/>
    <w:pPr>
      <w:ind w:firstLineChars="200" w:firstLine="420"/>
    </w:pPr>
  </w:style>
  <w:style w:type="paragraph" w:styleId="a4">
    <w:name w:val="header"/>
    <w:basedOn w:val="a"/>
    <w:link w:val="Char"/>
    <w:uiPriority w:val="99"/>
    <w:unhideWhenUsed/>
    <w:rsid w:val="00AE6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66AB"/>
    <w:rPr>
      <w:sz w:val="18"/>
      <w:szCs w:val="18"/>
    </w:rPr>
  </w:style>
  <w:style w:type="paragraph" w:styleId="a5">
    <w:name w:val="footer"/>
    <w:basedOn w:val="a"/>
    <w:link w:val="Char0"/>
    <w:uiPriority w:val="99"/>
    <w:unhideWhenUsed/>
    <w:rsid w:val="00AE66AB"/>
    <w:pPr>
      <w:tabs>
        <w:tab w:val="center" w:pos="4153"/>
        <w:tab w:val="right" w:pos="8306"/>
      </w:tabs>
      <w:snapToGrid w:val="0"/>
      <w:jc w:val="left"/>
    </w:pPr>
    <w:rPr>
      <w:sz w:val="18"/>
      <w:szCs w:val="18"/>
    </w:rPr>
  </w:style>
  <w:style w:type="character" w:customStyle="1" w:styleId="Char0">
    <w:name w:val="页脚 Char"/>
    <w:basedOn w:val="a0"/>
    <w:link w:val="a5"/>
    <w:uiPriority w:val="99"/>
    <w:rsid w:val="00AE66AB"/>
    <w:rPr>
      <w:sz w:val="18"/>
      <w:szCs w:val="18"/>
    </w:rPr>
  </w:style>
  <w:style w:type="paragraph" w:styleId="a6">
    <w:name w:val="Date"/>
    <w:basedOn w:val="a"/>
    <w:next w:val="a"/>
    <w:link w:val="Char1"/>
    <w:uiPriority w:val="99"/>
    <w:semiHidden/>
    <w:unhideWhenUsed/>
    <w:rsid w:val="00C7207B"/>
    <w:pPr>
      <w:ind w:leftChars="2500" w:left="100"/>
    </w:pPr>
  </w:style>
  <w:style w:type="character" w:customStyle="1" w:styleId="Char1">
    <w:name w:val="日期 Char"/>
    <w:basedOn w:val="a0"/>
    <w:link w:val="a6"/>
    <w:uiPriority w:val="99"/>
    <w:semiHidden/>
    <w:rsid w:val="00C7207B"/>
  </w:style>
  <w:style w:type="paragraph" w:styleId="a7">
    <w:name w:val="No Spacing"/>
    <w:uiPriority w:val="1"/>
    <w:qFormat/>
    <w:rsid w:val="00A1259A"/>
    <w:pPr>
      <w:widowControl w:val="0"/>
      <w:jc w:val="both"/>
    </w:pPr>
  </w:style>
  <w:style w:type="character" w:styleId="a8">
    <w:name w:val="Hyperlink"/>
    <w:basedOn w:val="a0"/>
    <w:uiPriority w:val="99"/>
    <w:unhideWhenUsed/>
    <w:rsid w:val="00E42F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4598916">
      <w:bodyDiv w:val="1"/>
      <w:marLeft w:val="0"/>
      <w:marRight w:val="0"/>
      <w:marTop w:val="0"/>
      <w:marBottom w:val="0"/>
      <w:divBdr>
        <w:top w:val="none" w:sz="0" w:space="0" w:color="auto"/>
        <w:left w:val="none" w:sz="0" w:space="0" w:color="auto"/>
        <w:bottom w:val="none" w:sz="0" w:space="0" w:color="auto"/>
        <w:right w:val="none" w:sz="0" w:space="0" w:color="auto"/>
      </w:divBdr>
    </w:div>
    <w:div w:id="152679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326</Words>
  <Characters>1860</Characters>
  <Application>Microsoft Office Word</Application>
  <DocSecurity>4</DocSecurity>
  <Lines>15</Lines>
  <Paragraphs>4</Paragraphs>
  <ScaleCrop>false</ScaleCrop>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胡晨</dc:creator>
  <cp:lastModifiedBy>ZHONGM</cp:lastModifiedBy>
  <cp:revision>2</cp:revision>
  <dcterms:created xsi:type="dcterms:W3CDTF">2019-07-04T16:01:00Z</dcterms:created>
  <dcterms:modified xsi:type="dcterms:W3CDTF">2019-07-04T16:01:00Z</dcterms:modified>
</cp:coreProperties>
</file>