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B3" w:rsidRPr="00CF3E25" w:rsidRDefault="00E84DB3" w:rsidP="008F19EB">
      <w:pPr>
        <w:pStyle w:val="a5"/>
        <w:autoSpaceDE/>
        <w:autoSpaceDN/>
        <w:adjustRightInd/>
        <w:spacing w:line="600" w:lineRule="auto"/>
        <w:jc w:val="center"/>
        <w:rPr>
          <w:rFonts w:ascii="黑体" w:eastAsia="黑体"/>
          <w:b/>
          <w:sz w:val="42"/>
          <w:szCs w:val="42"/>
        </w:rPr>
      </w:pPr>
      <w:bookmarkStart w:id="0" w:name="_Toc123112222"/>
      <w:bookmarkStart w:id="1" w:name="_Toc123112261"/>
      <w:bookmarkStart w:id="2" w:name="_Toc123701381"/>
      <w:bookmarkStart w:id="3" w:name="_Toc139991724"/>
      <w:bookmarkStart w:id="4" w:name="_Toc139992299"/>
    </w:p>
    <w:p w:rsidR="00E84DB3" w:rsidRPr="00CF3E25" w:rsidRDefault="00E84DB3" w:rsidP="008F19EB">
      <w:pPr>
        <w:pStyle w:val="a5"/>
        <w:autoSpaceDE/>
        <w:autoSpaceDN/>
        <w:adjustRightInd/>
        <w:spacing w:line="600" w:lineRule="auto"/>
        <w:jc w:val="center"/>
        <w:rPr>
          <w:rFonts w:ascii="黑体" w:eastAsia="黑体"/>
          <w:b/>
          <w:sz w:val="42"/>
          <w:szCs w:val="42"/>
        </w:rPr>
      </w:pPr>
    </w:p>
    <w:p w:rsidR="00E84DB3" w:rsidRPr="00CF3E25" w:rsidRDefault="00E84DB3" w:rsidP="008F19EB">
      <w:pPr>
        <w:pStyle w:val="a5"/>
        <w:autoSpaceDE/>
        <w:autoSpaceDN/>
        <w:adjustRightInd/>
        <w:spacing w:line="600" w:lineRule="auto"/>
        <w:jc w:val="center"/>
        <w:rPr>
          <w:rFonts w:ascii="黑体" w:eastAsia="黑体"/>
          <w:b/>
          <w:sz w:val="42"/>
          <w:szCs w:val="42"/>
        </w:rPr>
      </w:pPr>
    </w:p>
    <w:bookmarkEnd w:id="0"/>
    <w:bookmarkEnd w:id="1"/>
    <w:bookmarkEnd w:id="2"/>
    <w:bookmarkEnd w:id="3"/>
    <w:bookmarkEnd w:id="4"/>
    <w:p w:rsidR="002552C0" w:rsidRPr="00277603" w:rsidRDefault="002552C0" w:rsidP="008F19EB">
      <w:pPr>
        <w:pStyle w:val="a5"/>
        <w:autoSpaceDE/>
        <w:autoSpaceDN/>
        <w:adjustRightInd/>
        <w:spacing w:line="600" w:lineRule="auto"/>
        <w:jc w:val="center"/>
        <w:rPr>
          <w:rFonts w:ascii="黑体" w:eastAsia="黑体" w:hAnsi="黑体" w:cs="Times New Roman"/>
          <w:b/>
          <w:bCs/>
          <w:sz w:val="48"/>
          <w:szCs w:val="30"/>
        </w:rPr>
      </w:pPr>
      <w:r w:rsidRPr="00277603">
        <w:rPr>
          <w:rFonts w:ascii="黑体" w:eastAsia="黑体" w:hAnsi="黑体" w:cs="Times New Roman" w:hint="eastAsia"/>
          <w:b/>
          <w:bCs/>
          <w:sz w:val="48"/>
          <w:szCs w:val="30"/>
        </w:rPr>
        <w:t>长城久盈纯债债券型证券投资基金</w:t>
      </w:r>
    </w:p>
    <w:p w:rsidR="002552C0" w:rsidRPr="00277603" w:rsidRDefault="002552C0" w:rsidP="008F19EB">
      <w:pPr>
        <w:pStyle w:val="a5"/>
        <w:autoSpaceDE/>
        <w:autoSpaceDN/>
        <w:adjustRightInd/>
        <w:spacing w:line="600" w:lineRule="auto"/>
        <w:jc w:val="center"/>
        <w:rPr>
          <w:rFonts w:ascii="黑体" w:eastAsia="黑体" w:hAnsi="黑体" w:cs="Times New Roman"/>
          <w:b/>
          <w:bCs/>
          <w:sz w:val="48"/>
          <w:szCs w:val="30"/>
        </w:rPr>
      </w:pPr>
      <w:r w:rsidRPr="00277603">
        <w:rPr>
          <w:rFonts w:ascii="黑体" w:eastAsia="黑体" w:hAnsi="黑体" w:cs="Times New Roman" w:hint="eastAsia"/>
          <w:b/>
          <w:bCs/>
          <w:sz w:val="48"/>
          <w:szCs w:val="30"/>
        </w:rPr>
        <w:t>清算报告</w:t>
      </w: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8F19EB" w:rsidP="008F19EB">
      <w:pPr>
        <w:pStyle w:val="a5"/>
        <w:autoSpaceDE/>
        <w:autoSpaceDN/>
        <w:adjustRightInd/>
        <w:spacing w:line="600" w:lineRule="auto"/>
        <w:jc w:val="center"/>
        <w:rPr>
          <w:rFonts w:ascii="黑体" w:eastAsia="黑体"/>
          <w:b/>
          <w:sz w:val="42"/>
          <w:szCs w:val="42"/>
        </w:rPr>
      </w:pPr>
    </w:p>
    <w:p w:rsidR="003B5A7F" w:rsidRPr="00277603" w:rsidRDefault="003B5A7F" w:rsidP="003B5A7F">
      <w:pPr>
        <w:ind w:firstLineChars="600" w:firstLine="1687"/>
        <w:jc w:val="left"/>
        <w:rPr>
          <w:rFonts w:ascii="黑体" w:eastAsia="黑体" w:hAnsi="黑体"/>
          <w:b/>
          <w:bCs/>
          <w:sz w:val="28"/>
          <w:szCs w:val="30"/>
        </w:rPr>
      </w:pPr>
      <w:r w:rsidRPr="00277603">
        <w:rPr>
          <w:rFonts w:ascii="黑体" w:eastAsia="黑体" w:hAnsi="黑体"/>
          <w:b/>
          <w:bCs/>
          <w:sz w:val="28"/>
          <w:szCs w:val="30"/>
        </w:rPr>
        <w:t>基金管理人：</w:t>
      </w:r>
      <w:r w:rsidRPr="00277603">
        <w:rPr>
          <w:rFonts w:ascii="黑体" w:eastAsia="黑体" w:hAnsi="黑体" w:hint="eastAsia"/>
          <w:b/>
          <w:bCs/>
          <w:sz w:val="28"/>
          <w:szCs w:val="30"/>
        </w:rPr>
        <w:t>长城基金管理有限公司</w:t>
      </w:r>
    </w:p>
    <w:p w:rsidR="003B5A7F" w:rsidRPr="00277603" w:rsidRDefault="003B5A7F" w:rsidP="003B5A7F">
      <w:pPr>
        <w:ind w:firstLineChars="600" w:firstLine="1687"/>
        <w:jc w:val="left"/>
        <w:rPr>
          <w:rFonts w:ascii="黑体" w:eastAsia="黑体" w:hAnsi="黑体"/>
          <w:b/>
          <w:bCs/>
          <w:sz w:val="28"/>
          <w:szCs w:val="30"/>
        </w:rPr>
      </w:pPr>
      <w:r w:rsidRPr="00277603">
        <w:rPr>
          <w:rFonts w:ascii="黑体" w:eastAsia="黑体" w:hAnsi="黑体"/>
          <w:b/>
          <w:bCs/>
          <w:sz w:val="28"/>
          <w:szCs w:val="30"/>
        </w:rPr>
        <w:t>基金托管人：</w:t>
      </w:r>
      <w:r w:rsidRPr="00277603">
        <w:rPr>
          <w:rFonts w:ascii="黑体" w:eastAsia="黑体" w:hAnsi="黑体" w:hint="eastAsia"/>
          <w:b/>
          <w:bCs/>
          <w:sz w:val="28"/>
          <w:szCs w:val="30"/>
        </w:rPr>
        <w:t>中国建设银行股份有限公司</w:t>
      </w:r>
    </w:p>
    <w:p w:rsidR="005E0013" w:rsidRPr="00277603" w:rsidRDefault="005E0013" w:rsidP="00CE1D1A">
      <w:pPr>
        <w:spacing w:line="360" w:lineRule="auto"/>
        <w:jc w:val="center"/>
        <w:rPr>
          <w:rFonts w:ascii="黑体" w:eastAsia="黑体" w:hAnsi="黑体"/>
          <w:b/>
          <w:bCs/>
          <w:sz w:val="28"/>
          <w:szCs w:val="30"/>
        </w:rPr>
      </w:pPr>
    </w:p>
    <w:p w:rsidR="008F19EB" w:rsidRPr="00CF3E25" w:rsidRDefault="008F19EB" w:rsidP="008F19EB">
      <w:pPr>
        <w:spacing w:line="360" w:lineRule="auto"/>
        <w:jc w:val="center"/>
        <w:rPr>
          <w:rFonts w:ascii="黑体" w:eastAsia="黑体" w:hAnsi="宋体"/>
          <w:b/>
          <w:bCs/>
          <w:sz w:val="28"/>
          <w:szCs w:val="28"/>
        </w:rPr>
      </w:pPr>
    </w:p>
    <w:p w:rsidR="00E84DB3" w:rsidRPr="00CF3E25" w:rsidRDefault="00E84DB3">
      <w:pPr>
        <w:widowControl/>
        <w:jc w:val="left"/>
        <w:rPr>
          <w:rFonts w:ascii="黑体" w:eastAsia="黑体" w:hAnsi="宋体"/>
          <w:b/>
          <w:bCs/>
          <w:sz w:val="28"/>
          <w:szCs w:val="28"/>
        </w:rPr>
      </w:pPr>
      <w:r w:rsidRPr="00CF3E25">
        <w:rPr>
          <w:rFonts w:ascii="黑体" w:eastAsia="黑体" w:hAnsi="宋体"/>
          <w:b/>
          <w:bCs/>
          <w:sz w:val="28"/>
          <w:szCs w:val="28"/>
        </w:rPr>
        <w:br w:type="page"/>
      </w:r>
    </w:p>
    <w:p w:rsidR="008F19EB" w:rsidRPr="00CF3E25" w:rsidRDefault="006C4B9D" w:rsidP="006C4B9D">
      <w:pPr>
        <w:spacing w:line="360" w:lineRule="auto"/>
        <w:jc w:val="center"/>
        <w:rPr>
          <w:rFonts w:ascii="黑体" w:eastAsia="黑体" w:hAnsi="宋体"/>
          <w:b/>
          <w:bCs/>
          <w:sz w:val="28"/>
          <w:szCs w:val="28"/>
        </w:rPr>
      </w:pPr>
      <w:r w:rsidRPr="00CF3E25">
        <w:rPr>
          <w:rFonts w:ascii="黑体" w:eastAsia="黑体" w:hAnsi="宋体" w:hint="eastAsia"/>
          <w:b/>
          <w:bCs/>
          <w:sz w:val="28"/>
          <w:szCs w:val="28"/>
        </w:rPr>
        <w:lastRenderedPageBreak/>
        <w:t>一、</w:t>
      </w:r>
      <w:r w:rsidR="008F19EB" w:rsidRPr="00CF3E25">
        <w:rPr>
          <w:rFonts w:ascii="黑体" w:eastAsia="黑体" w:hAnsi="宋体" w:hint="eastAsia"/>
          <w:b/>
          <w:bCs/>
          <w:sz w:val="28"/>
          <w:szCs w:val="28"/>
        </w:rPr>
        <w:t>重要提示</w:t>
      </w:r>
    </w:p>
    <w:p w:rsidR="00745B5E" w:rsidRPr="00CF3E25" w:rsidRDefault="00745B5E" w:rsidP="00745B5E">
      <w:pPr>
        <w:spacing w:line="360" w:lineRule="auto"/>
        <w:ind w:firstLineChars="200" w:firstLine="420"/>
        <w:rPr>
          <w:rFonts w:ascii="宋体" w:hAnsi="宋体" w:cs="宋体"/>
          <w:kern w:val="0"/>
          <w:szCs w:val="21"/>
        </w:rPr>
      </w:pPr>
      <w:r w:rsidRPr="00CF3E25">
        <w:rPr>
          <w:rFonts w:ascii="宋体" w:hAnsi="宋体" w:cs="宋体" w:hint="eastAsia"/>
          <w:kern w:val="0"/>
          <w:szCs w:val="21"/>
        </w:rPr>
        <w:t>长城久盈纯债债券型证券投资基金（以下简称“本基金”）由长城久盈纯债分级债券型证券投资基金经中国证监会2018年11月16日证监许可[2018]1887号文准予变更注册而来。《长城久盈纯债债券型证券投资基金基金合同》（以下简称“《基金合同》”）于2019年1月23日生效。</w:t>
      </w:r>
    </w:p>
    <w:p w:rsidR="00745B5E" w:rsidRPr="00CF3E25" w:rsidRDefault="00745B5E" w:rsidP="00745B5E">
      <w:pPr>
        <w:spacing w:line="360" w:lineRule="auto"/>
        <w:ind w:firstLineChars="200" w:firstLine="420"/>
        <w:rPr>
          <w:rFonts w:ascii="宋体" w:hAnsi="宋体" w:cs="宋体"/>
          <w:kern w:val="0"/>
          <w:szCs w:val="21"/>
        </w:rPr>
      </w:pPr>
      <w:r w:rsidRPr="00CF3E25">
        <w:rPr>
          <w:rFonts w:ascii="宋体" w:hAnsi="宋体" w:cs="宋体" w:hint="eastAsia"/>
          <w:kern w:val="0"/>
          <w:szCs w:val="21"/>
        </w:rPr>
        <w:t>根据《中华人民共和国证券投资基金法》、《公开募集证券投资基金运作管理办法》和《基金合同》的有关规定，本基金进行基金财产清算并终止《基金合同》。本基金《基金合同》终止与基金财产清算的公告详见2019年4月26日刊登在《上海证券报》和基金管理人网站（www.ccfund.com.cn）上的《关于长城久盈纯债债券型证券投资基金基金合同终止与基金财产清算的公告》。</w:t>
      </w:r>
    </w:p>
    <w:p w:rsidR="00745B5E" w:rsidRPr="00CF3E25" w:rsidRDefault="00745B5E" w:rsidP="00745B5E">
      <w:pPr>
        <w:spacing w:line="360" w:lineRule="auto"/>
        <w:ind w:firstLineChars="200" w:firstLine="420"/>
        <w:rPr>
          <w:rFonts w:ascii="宋体" w:hAnsi="宋体" w:cs="宋体"/>
          <w:kern w:val="0"/>
          <w:szCs w:val="21"/>
        </w:rPr>
      </w:pPr>
      <w:r w:rsidRPr="00CF3E25">
        <w:rPr>
          <w:rFonts w:ascii="宋体" w:hAnsi="宋体" w:cs="宋体" w:hint="eastAsia"/>
          <w:kern w:val="0"/>
          <w:szCs w:val="21"/>
        </w:rPr>
        <w:t>本基金自2019年4月26日起进入清算程序，由本基金管理人长城基金管理有限公司、基金托管人中国建设银行股份有限公司、安永华明会计师事务所（特殊普通合伙）和北京市中伦律师事务所组成基金财产清算小组履行基金财产清算程序，并由安永华明会计师事务所（特殊普通合伙）对清算报告进行审计，北京市中伦律师事务所对清算报告出具法律意见。</w:t>
      </w:r>
    </w:p>
    <w:p w:rsidR="008F19EB" w:rsidRPr="00CF3E25" w:rsidRDefault="008F19EB" w:rsidP="008F19EB">
      <w:pPr>
        <w:pStyle w:val="a5"/>
        <w:autoSpaceDE/>
        <w:autoSpaceDN/>
        <w:adjustRightInd/>
        <w:spacing w:line="600" w:lineRule="auto"/>
        <w:jc w:val="center"/>
        <w:rPr>
          <w:rFonts w:ascii="黑体" w:eastAsia="黑体"/>
          <w:b/>
          <w:sz w:val="42"/>
          <w:szCs w:val="42"/>
        </w:rPr>
      </w:pPr>
    </w:p>
    <w:p w:rsidR="008F19EB" w:rsidRPr="00CF3E25" w:rsidRDefault="006C4B9D" w:rsidP="006C4B9D">
      <w:pPr>
        <w:spacing w:line="360" w:lineRule="auto"/>
        <w:jc w:val="center"/>
        <w:rPr>
          <w:rFonts w:ascii="黑体" w:eastAsia="黑体" w:hAnsi="宋体"/>
          <w:b/>
          <w:bCs/>
          <w:sz w:val="28"/>
          <w:szCs w:val="28"/>
        </w:rPr>
      </w:pPr>
      <w:r w:rsidRPr="00CF3E25">
        <w:rPr>
          <w:rFonts w:ascii="黑体" w:eastAsia="黑体" w:hAnsi="宋体" w:hint="eastAsia"/>
          <w:b/>
          <w:bCs/>
          <w:sz w:val="28"/>
          <w:szCs w:val="28"/>
        </w:rPr>
        <w:t>二、</w:t>
      </w:r>
      <w:r w:rsidR="008F19EB" w:rsidRPr="00CF3E25">
        <w:rPr>
          <w:rFonts w:ascii="黑体" w:eastAsia="黑体" w:hAnsi="宋体" w:hint="eastAsia"/>
          <w:b/>
          <w:bCs/>
          <w:sz w:val="28"/>
          <w:szCs w:val="28"/>
        </w:rPr>
        <w:t>基金概况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5"/>
        <w:gridCol w:w="4529"/>
      </w:tblGrid>
      <w:tr w:rsidR="003B5A7F" w:rsidRPr="00CF3E25" w:rsidTr="00266255">
        <w:trPr>
          <w:trHeight w:val="304"/>
        </w:trPr>
        <w:tc>
          <w:tcPr>
            <w:tcW w:w="4116" w:type="dxa"/>
            <w:vAlign w:val="center"/>
          </w:tcPr>
          <w:p w:rsidR="003B5A7F" w:rsidRPr="00CF3E25" w:rsidRDefault="003B5A7F" w:rsidP="003B5A7F">
            <w:pPr>
              <w:jc w:val="left"/>
              <w:rPr>
                <w:rFonts w:ascii="宋体" w:hAnsi="宋体"/>
              </w:rPr>
            </w:pPr>
            <w:r w:rsidRPr="00CF3E25">
              <w:rPr>
                <w:rFonts w:ascii="宋体" w:hAnsi="宋体" w:hint="eastAsia"/>
              </w:rPr>
              <w:t>基金名称</w:t>
            </w:r>
          </w:p>
        </w:tc>
        <w:tc>
          <w:tcPr>
            <w:tcW w:w="4733" w:type="dxa"/>
            <w:vAlign w:val="center"/>
          </w:tcPr>
          <w:p w:rsidR="003B5A7F" w:rsidRPr="00CF3E25" w:rsidRDefault="003B5A7F" w:rsidP="00266255">
            <w:pPr>
              <w:jc w:val="left"/>
              <w:rPr>
                <w:rFonts w:ascii="宋体" w:hAnsi="宋体"/>
              </w:rPr>
            </w:pPr>
            <w:r w:rsidRPr="00CF3E25">
              <w:rPr>
                <w:rFonts w:ascii="宋体" w:hAnsi="宋体" w:hint="eastAsia"/>
              </w:rPr>
              <w:t>长城久盈纯债债券型证券投资基金</w:t>
            </w:r>
          </w:p>
        </w:tc>
      </w:tr>
      <w:tr w:rsidR="003B5A7F" w:rsidRPr="00CF3E25" w:rsidTr="00266255">
        <w:trPr>
          <w:trHeight w:val="304"/>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基金简称</w:t>
            </w:r>
          </w:p>
        </w:tc>
        <w:tc>
          <w:tcPr>
            <w:tcW w:w="4733" w:type="dxa"/>
            <w:vAlign w:val="center"/>
          </w:tcPr>
          <w:p w:rsidR="003B5A7F" w:rsidRPr="00CF3E25" w:rsidRDefault="003B5A7F" w:rsidP="00266255">
            <w:pPr>
              <w:jc w:val="left"/>
              <w:rPr>
                <w:rFonts w:ascii="宋体" w:hAnsi="宋体"/>
              </w:rPr>
            </w:pPr>
            <w:r w:rsidRPr="00CF3E25">
              <w:rPr>
                <w:rFonts w:ascii="宋体" w:hAnsi="宋体" w:hint="eastAsia"/>
              </w:rPr>
              <w:t>长城久盈纯债</w:t>
            </w:r>
          </w:p>
        </w:tc>
      </w:tr>
      <w:tr w:rsidR="003B5A7F" w:rsidRPr="00CF3E25" w:rsidTr="00266255">
        <w:trPr>
          <w:trHeight w:val="304"/>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基金主代码</w:t>
            </w:r>
          </w:p>
        </w:tc>
        <w:tc>
          <w:tcPr>
            <w:tcW w:w="4733" w:type="dxa"/>
            <w:vAlign w:val="center"/>
          </w:tcPr>
          <w:p w:rsidR="003B5A7F" w:rsidRPr="00CF3E25" w:rsidRDefault="003B5A7F" w:rsidP="00266255">
            <w:pPr>
              <w:jc w:val="left"/>
              <w:rPr>
                <w:rFonts w:ascii="宋体" w:hAnsi="宋体"/>
              </w:rPr>
            </w:pPr>
            <w:r w:rsidRPr="00CF3E25">
              <w:rPr>
                <w:rFonts w:ascii="宋体" w:hAnsi="宋体"/>
              </w:rPr>
              <w:t>000768</w:t>
            </w:r>
          </w:p>
        </w:tc>
      </w:tr>
      <w:tr w:rsidR="003B5A7F" w:rsidRPr="00CF3E25" w:rsidTr="00266255">
        <w:trPr>
          <w:trHeight w:val="304"/>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交易代码</w:t>
            </w:r>
          </w:p>
        </w:tc>
        <w:tc>
          <w:tcPr>
            <w:tcW w:w="4733" w:type="dxa"/>
            <w:vAlign w:val="center"/>
          </w:tcPr>
          <w:p w:rsidR="003B5A7F" w:rsidRPr="00CF3E25" w:rsidRDefault="003B5A7F" w:rsidP="00266255">
            <w:pPr>
              <w:jc w:val="left"/>
              <w:rPr>
                <w:rFonts w:ascii="宋体" w:hAnsi="宋体"/>
              </w:rPr>
            </w:pPr>
            <w:r w:rsidRPr="00CF3E25">
              <w:rPr>
                <w:rFonts w:ascii="宋体" w:hAnsi="宋体"/>
              </w:rPr>
              <w:t>000768</w:t>
            </w:r>
          </w:p>
        </w:tc>
      </w:tr>
      <w:tr w:rsidR="003B5A7F" w:rsidRPr="00CF3E25" w:rsidTr="00266255">
        <w:trPr>
          <w:trHeight w:val="321"/>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基金运作方式</w:t>
            </w:r>
          </w:p>
        </w:tc>
        <w:tc>
          <w:tcPr>
            <w:tcW w:w="4733" w:type="dxa"/>
            <w:vAlign w:val="center"/>
          </w:tcPr>
          <w:p w:rsidR="003B5A7F" w:rsidRPr="00CF3E25" w:rsidRDefault="003B5A7F" w:rsidP="00266255">
            <w:pPr>
              <w:jc w:val="left"/>
              <w:rPr>
                <w:rFonts w:ascii="宋体" w:hAnsi="宋体"/>
              </w:rPr>
            </w:pPr>
            <w:r w:rsidRPr="00CF3E25">
              <w:rPr>
                <w:rFonts w:ascii="宋体" w:hAnsi="宋体" w:hint="eastAsia"/>
              </w:rPr>
              <w:t>契约型开放式</w:t>
            </w:r>
          </w:p>
        </w:tc>
      </w:tr>
      <w:tr w:rsidR="003B5A7F" w:rsidRPr="00CF3E25" w:rsidTr="00266255">
        <w:trPr>
          <w:trHeight w:val="304"/>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基金合同生效日</w:t>
            </w:r>
          </w:p>
        </w:tc>
        <w:tc>
          <w:tcPr>
            <w:tcW w:w="4733" w:type="dxa"/>
            <w:vAlign w:val="center"/>
          </w:tcPr>
          <w:p w:rsidR="003B5A7F" w:rsidRPr="00CF3E25" w:rsidRDefault="003B5A7F" w:rsidP="00266255">
            <w:pPr>
              <w:jc w:val="left"/>
              <w:rPr>
                <w:rFonts w:ascii="宋体" w:hAnsi="宋体"/>
              </w:rPr>
            </w:pPr>
            <w:r w:rsidRPr="00CF3E25">
              <w:rPr>
                <w:rFonts w:ascii="宋体" w:hAnsi="宋体"/>
              </w:rPr>
              <w:t>2019年1月23日</w:t>
            </w:r>
          </w:p>
        </w:tc>
      </w:tr>
      <w:tr w:rsidR="003B5A7F" w:rsidRPr="00CF3E25" w:rsidTr="00266255">
        <w:trPr>
          <w:trHeight w:val="321"/>
        </w:trPr>
        <w:tc>
          <w:tcPr>
            <w:tcW w:w="4116" w:type="dxa"/>
            <w:vAlign w:val="center"/>
          </w:tcPr>
          <w:p w:rsidR="003B5A7F" w:rsidRPr="00CF3E25" w:rsidRDefault="00721693" w:rsidP="00266255">
            <w:pPr>
              <w:jc w:val="left"/>
              <w:rPr>
                <w:rFonts w:ascii="宋体" w:hAnsi="宋体"/>
              </w:rPr>
            </w:pPr>
            <w:r w:rsidRPr="00CF3E25">
              <w:rPr>
                <w:rFonts w:hint="eastAsia"/>
              </w:rPr>
              <w:t>最后运作日</w:t>
            </w:r>
            <w:r w:rsidR="003B5A7F" w:rsidRPr="00CF3E25">
              <w:rPr>
                <w:rFonts w:ascii="宋体" w:hAnsi="宋体" w:hint="eastAsia"/>
              </w:rPr>
              <w:t>基金份额总额</w:t>
            </w:r>
          </w:p>
        </w:tc>
        <w:tc>
          <w:tcPr>
            <w:tcW w:w="4733" w:type="dxa"/>
            <w:vAlign w:val="center"/>
          </w:tcPr>
          <w:p w:rsidR="003B5A7F" w:rsidRPr="00CF3E25" w:rsidRDefault="0045394E" w:rsidP="00266255">
            <w:pPr>
              <w:jc w:val="left"/>
              <w:rPr>
                <w:rFonts w:ascii="宋体" w:hAnsi="宋体"/>
              </w:rPr>
            </w:pPr>
            <w:r w:rsidRPr="00CF3E25">
              <w:rPr>
                <w:rFonts w:ascii="宋体" w:hAnsi="宋体"/>
              </w:rPr>
              <w:t>6,640,345.26</w:t>
            </w:r>
            <w:r w:rsidR="003B5A7F" w:rsidRPr="00CF3E25">
              <w:rPr>
                <w:rFonts w:ascii="宋体" w:hAnsi="宋体"/>
              </w:rPr>
              <w:t>份</w:t>
            </w:r>
          </w:p>
        </w:tc>
      </w:tr>
      <w:tr w:rsidR="003B5A7F" w:rsidRPr="00CF3E25" w:rsidTr="00266255">
        <w:trPr>
          <w:trHeight w:val="304"/>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投资目标</w:t>
            </w:r>
          </w:p>
        </w:tc>
        <w:tc>
          <w:tcPr>
            <w:tcW w:w="4733" w:type="dxa"/>
            <w:vAlign w:val="center"/>
          </w:tcPr>
          <w:p w:rsidR="003B5A7F" w:rsidRPr="00CF3E25" w:rsidRDefault="003B5A7F" w:rsidP="00266255">
            <w:pPr>
              <w:jc w:val="left"/>
              <w:rPr>
                <w:rFonts w:ascii="宋体" w:hAnsi="宋体"/>
              </w:rPr>
            </w:pPr>
            <w:r w:rsidRPr="00CF3E25">
              <w:rPr>
                <w:rFonts w:ascii="宋体" w:hAnsi="宋体" w:hint="eastAsia"/>
              </w:rPr>
              <w:t>在严格控制风险的前提下，力争实现基金资产的长期稳健增值。</w:t>
            </w:r>
          </w:p>
        </w:tc>
      </w:tr>
      <w:tr w:rsidR="003B5A7F" w:rsidRPr="00CF3E25" w:rsidTr="00266255">
        <w:trPr>
          <w:trHeight w:val="321"/>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投资策略</w:t>
            </w:r>
          </w:p>
        </w:tc>
        <w:tc>
          <w:tcPr>
            <w:tcW w:w="4733" w:type="dxa"/>
            <w:vAlign w:val="center"/>
          </w:tcPr>
          <w:p w:rsidR="003B5A7F" w:rsidRPr="00CF3E25" w:rsidRDefault="003B5A7F" w:rsidP="00266255">
            <w:pPr>
              <w:jc w:val="left"/>
              <w:rPr>
                <w:rFonts w:ascii="宋体" w:hAnsi="宋体"/>
              </w:rPr>
            </w:pPr>
            <w:r w:rsidRPr="00CF3E25">
              <w:rPr>
                <w:rFonts w:ascii="宋体" w:hAnsi="宋体"/>
              </w:rPr>
              <w:t>1、资产配置策略</w:t>
            </w:r>
          </w:p>
          <w:p w:rsidR="003B5A7F" w:rsidRPr="00CF3E25" w:rsidRDefault="003B5A7F" w:rsidP="00266255">
            <w:pPr>
              <w:jc w:val="left"/>
              <w:rPr>
                <w:rFonts w:ascii="宋体" w:hAnsi="宋体"/>
              </w:rPr>
            </w:pPr>
            <w:r w:rsidRPr="00CF3E25">
              <w:rPr>
                <w:rFonts w:ascii="宋体" w:hAnsi="宋体" w:hint="eastAsia"/>
              </w:rPr>
              <w:t>本基金采用“自上而下”的策略进行基金的大类资产配置，主要通过对宏观经济运行周期、财政政策、货币政策、利率走势、证券市场估值水平等可能影响资本市场的重要因素进行研究和预测，分析债券市场、债券品种、现金等大类资产的预期风险和收益，动态调整基金大类资产的投资比例，以控制系统性风险。本基金将择机利用债券回购交易放大组合债券资产杠杆，在严格控</w:t>
            </w:r>
            <w:r w:rsidRPr="00CF3E25">
              <w:rPr>
                <w:rFonts w:ascii="宋体" w:hAnsi="宋体" w:hint="eastAsia"/>
              </w:rPr>
              <w:lastRenderedPageBreak/>
              <w:t>制信用风险、流动性风险的基础上增强基金整体收益。</w:t>
            </w:r>
          </w:p>
          <w:p w:rsidR="003B5A7F" w:rsidRPr="00CF3E25" w:rsidRDefault="003B5A7F" w:rsidP="00266255">
            <w:pPr>
              <w:jc w:val="left"/>
              <w:rPr>
                <w:rFonts w:ascii="宋体" w:hAnsi="宋体"/>
              </w:rPr>
            </w:pPr>
            <w:r w:rsidRPr="00CF3E25">
              <w:rPr>
                <w:rFonts w:ascii="宋体" w:hAnsi="宋体"/>
              </w:rPr>
              <w:t>2、债券投资策略</w:t>
            </w:r>
          </w:p>
          <w:p w:rsidR="003B5A7F" w:rsidRPr="00CF3E25" w:rsidRDefault="003B5A7F" w:rsidP="003B5A7F">
            <w:pPr>
              <w:jc w:val="left"/>
              <w:rPr>
                <w:rFonts w:ascii="宋体" w:hAnsi="宋体"/>
              </w:rPr>
            </w:pPr>
            <w:r w:rsidRPr="00CF3E25">
              <w:rPr>
                <w:rFonts w:ascii="宋体" w:hAnsi="宋体" w:hint="eastAsia"/>
              </w:rPr>
              <w:t>本基金通过综合分析宏观经济形势、财政政策、货币政策、债券市场券种供求关系及资金供求关系，主动判断市场利率变化趋势，确定和动态调整债券资产的平均久期及债券资产配置。本基金具体投资策略包括久期管理策略、收益率曲线策略、个券选择策略、可转换债券投资策略、债券回购杠杆策略等。</w:t>
            </w:r>
          </w:p>
        </w:tc>
      </w:tr>
      <w:tr w:rsidR="003B5A7F" w:rsidRPr="00CF3E25" w:rsidTr="00266255">
        <w:trPr>
          <w:trHeight w:val="304"/>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lastRenderedPageBreak/>
              <w:t>业绩比较基准</w:t>
            </w:r>
          </w:p>
        </w:tc>
        <w:tc>
          <w:tcPr>
            <w:tcW w:w="4733" w:type="dxa"/>
            <w:vAlign w:val="center"/>
          </w:tcPr>
          <w:p w:rsidR="003B5A7F" w:rsidRPr="00CF3E25" w:rsidRDefault="003B5A7F" w:rsidP="00266255">
            <w:pPr>
              <w:jc w:val="left"/>
              <w:rPr>
                <w:rFonts w:ascii="宋体" w:hAnsi="宋体"/>
              </w:rPr>
            </w:pPr>
            <w:r w:rsidRPr="00CF3E25">
              <w:rPr>
                <w:rFonts w:ascii="宋体" w:hAnsi="宋体" w:hint="eastAsia"/>
              </w:rPr>
              <w:t>中国债券综合全价指数收益率</w:t>
            </w:r>
          </w:p>
        </w:tc>
      </w:tr>
      <w:tr w:rsidR="003B5A7F" w:rsidRPr="00CF3E25" w:rsidTr="00266255">
        <w:trPr>
          <w:trHeight w:val="321"/>
        </w:trPr>
        <w:tc>
          <w:tcPr>
            <w:tcW w:w="4116" w:type="dxa"/>
            <w:vAlign w:val="center"/>
          </w:tcPr>
          <w:p w:rsidR="003B5A7F" w:rsidRPr="00CF3E25" w:rsidRDefault="003B5A7F" w:rsidP="00266255">
            <w:pPr>
              <w:jc w:val="left"/>
              <w:rPr>
                <w:rFonts w:ascii="宋体" w:hAnsi="宋体"/>
              </w:rPr>
            </w:pPr>
            <w:r w:rsidRPr="00CF3E25">
              <w:rPr>
                <w:rFonts w:ascii="宋体" w:hAnsi="宋体"/>
              </w:rPr>
              <w:t>风险收益特征</w:t>
            </w:r>
          </w:p>
        </w:tc>
        <w:tc>
          <w:tcPr>
            <w:tcW w:w="4733" w:type="dxa"/>
            <w:vAlign w:val="center"/>
          </w:tcPr>
          <w:p w:rsidR="003B5A7F" w:rsidRPr="00CF3E25" w:rsidRDefault="003B5A7F" w:rsidP="00266255">
            <w:pPr>
              <w:jc w:val="left"/>
              <w:rPr>
                <w:rFonts w:ascii="宋体" w:hAnsi="宋体"/>
              </w:rPr>
            </w:pPr>
            <w:r w:rsidRPr="00CF3E25">
              <w:rPr>
                <w:rFonts w:ascii="宋体" w:hAnsi="宋体" w:hint="eastAsia"/>
              </w:rPr>
              <w:t>本基金为债券型基金，其长期平均风险和预期收益率低于混合型基金、股票型基金，高于货币市场基金。</w:t>
            </w:r>
          </w:p>
        </w:tc>
      </w:tr>
      <w:tr w:rsidR="003B5A7F" w:rsidRPr="00CF3E25" w:rsidTr="00266255">
        <w:trPr>
          <w:trHeight w:val="304"/>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基金管理人</w:t>
            </w:r>
          </w:p>
        </w:tc>
        <w:tc>
          <w:tcPr>
            <w:tcW w:w="4733" w:type="dxa"/>
            <w:vAlign w:val="center"/>
          </w:tcPr>
          <w:p w:rsidR="003B5A7F" w:rsidRPr="00CF3E25" w:rsidRDefault="003B5A7F" w:rsidP="00266255">
            <w:pPr>
              <w:jc w:val="left"/>
              <w:rPr>
                <w:rFonts w:ascii="宋体" w:hAnsi="宋体"/>
              </w:rPr>
            </w:pPr>
            <w:r w:rsidRPr="00CF3E25">
              <w:rPr>
                <w:rFonts w:ascii="宋体" w:hAnsi="宋体" w:hint="eastAsia"/>
              </w:rPr>
              <w:t>长城基金管理有限公司</w:t>
            </w:r>
          </w:p>
        </w:tc>
      </w:tr>
      <w:tr w:rsidR="003B5A7F" w:rsidRPr="00CF3E25" w:rsidTr="00266255">
        <w:trPr>
          <w:trHeight w:val="321"/>
        </w:trPr>
        <w:tc>
          <w:tcPr>
            <w:tcW w:w="4116" w:type="dxa"/>
            <w:vAlign w:val="center"/>
          </w:tcPr>
          <w:p w:rsidR="003B5A7F" w:rsidRPr="00CF3E25" w:rsidRDefault="003B5A7F" w:rsidP="00266255">
            <w:pPr>
              <w:jc w:val="left"/>
              <w:rPr>
                <w:rFonts w:ascii="宋体" w:hAnsi="宋体"/>
              </w:rPr>
            </w:pPr>
            <w:r w:rsidRPr="00CF3E25">
              <w:rPr>
                <w:rFonts w:ascii="宋体" w:hAnsi="宋体" w:hint="eastAsia"/>
              </w:rPr>
              <w:t>基金托管人</w:t>
            </w:r>
          </w:p>
        </w:tc>
        <w:tc>
          <w:tcPr>
            <w:tcW w:w="4733" w:type="dxa"/>
            <w:vAlign w:val="center"/>
          </w:tcPr>
          <w:p w:rsidR="003B5A7F" w:rsidRPr="00CF3E25" w:rsidRDefault="003B5A7F" w:rsidP="00266255">
            <w:pPr>
              <w:jc w:val="left"/>
              <w:rPr>
                <w:rFonts w:ascii="宋体" w:hAnsi="宋体"/>
              </w:rPr>
            </w:pPr>
            <w:r w:rsidRPr="00CF3E25">
              <w:rPr>
                <w:rFonts w:ascii="宋体" w:hAnsi="宋体" w:hint="eastAsia"/>
              </w:rPr>
              <w:t>中国建设银行股份有限公司</w:t>
            </w:r>
          </w:p>
        </w:tc>
      </w:tr>
    </w:tbl>
    <w:p w:rsidR="00B47144" w:rsidRPr="00CF3E25" w:rsidRDefault="00C6049A"/>
    <w:p w:rsidR="008F19EB" w:rsidRPr="00CF3E25" w:rsidRDefault="008F19EB"/>
    <w:p w:rsidR="008F19EB" w:rsidRPr="00CF3E25" w:rsidRDefault="006C4B9D" w:rsidP="006C4B9D">
      <w:pPr>
        <w:spacing w:line="360" w:lineRule="auto"/>
        <w:jc w:val="center"/>
        <w:rPr>
          <w:rFonts w:ascii="黑体" w:eastAsia="黑体" w:hAnsi="宋体"/>
          <w:b/>
          <w:bCs/>
          <w:sz w:val="28"/>
          <w:szCs w:val="28"/>
        </w:rPr>
      </w:pPr>
      <w:r w:rsidRPr="00CF3E25">
        <w:rPr>
          <w:rFonts w:ascii="黑体" w:eastAsia="黑体" w:hAnsi="宋体" w:hint="eastAsia"/>
          <w:b/>
          <w:bCs/>
          <w:sz w:val="28"/>
          <w:szCs w:val="28"/>
        </w:rPr>
        <w:t>三、</w:t>
      </w:r>
      <w:r w:rsidR="008F19EB" w:rsidRPr="00CF3E25">
        <w:rPr>
          <w:rFonts w:ascii="黑体" w:eastAsia="黑体" w:hAnsi="宋体" w:hint="eastAsia"/>
          <w:b/>
          <w:bCs/>
          <w:sz w:val="28"/>
          <w:szCs w:val="28"/>
        </w:rPr>
        <w:t>基金运作情况</w:t>
      </w:r>
    </w:p>
    <w:p w:rsidR="00745B5E" w:rsidRPr="00CF3E25" w:rsidRDefault="00745B5E" w:rsidP="00745B5E">
      <w:pPr>
        <w:spacing w:line="360" w:lineRule="auto"/>
        <w:ind w:firstLineChars="200" w:firstLine="420"/>
        <w:rPr>
          <w:rFonts w:asciiTheme="minorEastAsia" w:hAnsiTheme="minorEastAsia"/>
          <w:szCs w:val="21"/>
        </w:rPr>
      </w:pPr>
      <w:r w:rsidRPr="00CF3E25">
        <w:rPr>
          <w:rFonts w:ascii="宋体" w:hAnsi="宋体" w:cs="宋体" w:hint="eastAsia"/>
          <w:kern w:val="0"/>
          <w:szCs w:val="21"/>
        </w:rPr>
        <w:t>本基金由长城久盈纯债分级债券型证券投资基金经中国证监会2018年11月16日证监许可[2018]1887号文准予变更注册而来，《基金合同》</w:t>
      </w:r>
      <w:r w:rsidRPr="00CF3E25">
        <w:rPr>
          <w:rFonts w:asciiTheme="minorEastAsia" w:hAnsiTheme="minorEastAsia" w:hint="eastAsia"/>
          <w:bCs/>
          <w:szCs w:val="21"/>
        </w:rPr>
        <w:t>于</w:t>
      </w:r>
      <w:r w:rsidRPr="00CF3E25">
        <w:rPr>
          <w:rFonts w:asciiTheme="minorEastAsia" w:hAnsiTheme="minorEastAsia" w:cs="宋体" w:hint="eastAsia"/>
          <w:szCs w:val="21"/>
        </w:rPr>
        <w:t>2019年1月23日生效。</w:t>
      </w:r>
    </w:p>
    <w:p w:rsidR="00745B5E" w:rsidRPr="00CF3E25" w:rsidRDefault="00745B5E" w:rsidP="00745B5E">
      <w:pPr>
        <w:spacing w:line="360" w:lineRule="auto"/>
        <w:ind w:firstLineChars="200" w:firstLine="420"/>
        <w:rPr>
          <w:rFonts w:asciiTheme="minorEastAsia" w:hAnsiTheme="minorEastAsia"/>
          <w:szCs w:val="21"/>
        </w:rPr>
      </w:pPr>
      <w:r w:rsidRPr="00CF3E25">
        <w:rPr>
          <w:rFonts w:asciiTheme="minorEastAsia" w:hAnsiTheme="minorEastAsia" w:hint="eastAsia"/>
          <w:szCs w:val="21"/>
        </w:rPr>
        <w:t>自</w:t>
      </w:r>
      <w:r w:rsidRPr="00CF3E25">
        <w:rPr>
          <w:rFonts w:asciiTheme="minorEastAsia" w:hAnsiTheme="minorEastAsia" w:cs="宋体" w:hint="eastAsia"/>
          <w:szCs w:val="21"/>
        </w:rPr>
        <w:t>2019年1月23日</w:t>
      </w:r>
      <w:r w:rsidRPr="00CF3E25">
        <w:rPr>
          <w:rFonts w:asciiTheme="minorEastAsia" w:hAnsiTheme="minorEastAsia" w:hint="eastAsia"/>
          <w:szCs w:val="21"/>
        </w:rPr>
        <w:t>至</w:t>
      </w:r>
      <w:r w:rsidRPr="00CF3E25">
        <w:rPr>
          <w:rFonts w:ascii="宋体" w:hAnsi="宋体" w:cs="宋体" w:hint="eastAsia"/>
          <w:kern w:val="0"/>
          <w:szCs w:val="21"/>
        </w:rPr>
        <w:t>2019年4月25日</w:t>
      </w:r>
      <w:r w:rsidRPr="00CF3E25">
        <w:rPr>
          <w:rFonts w:asciiTheme="minorEastAsia" w:hAnsiTheme="minorEastAsia" w:hint="eastAsia"/>
          <w:szCs w:val="21"/>
        </w:rPr>
        <w:t>期间，本基金按《基金合同》正常运作。</w:t>
      </w:r>
      <w:r w:rsidRPr="00CF3E25">
        <w:rPr>
          <w:rFonts w:ascii="宋体" w:hAnsi="宋体" w:cs="Arial" w:hint="eastAsia"/>
          <w:szCs w:val="21"/>
        </w:rPr>
        <w:t>截至2019年4月25日，本基金出现连续60个工作日基金资产净值低于</w:t>
      </w:r>
      <w:r w:rsidRPr="00CF3E25">
        <w:rPr>
          <w:rFonts w:ascii="宋体" w:hAnsi="宋体" w:hint="eastAsia"/>
          <w:bCs/>
          <w:szCs w:val="21"/>
        </w:rPr>
        <w:t>人民币</w:t>
      </w:r>
      <w:r w:rsidRPr="00CF3E25">
        <w:rPr>
          <w:rFonts w:ascii="宋体" w:hAnsi="宋体" w:cs="Arial" w:hint="eastAsia"/>
          <w:szCs w:val="21"/>
        </w:rPr>
        <w:t>5000万元的情形，触发《基金合同》中约定的基金终止条款，本基金根据《基金合同》的约定进行基金财产清算，</w:t>
      </w:r>
      <w:r w:rsidRPr="00CF3E25">
        <w:rPr>
          <w:rFonts w:ascii="宋体" w:hAnsi="宋体" w:hint="eastAsia"/>
          <w:bCs/>
          <w:szCs w:val="21"/>
        </w:rPr>
        <w:t>无需</w:t>
      </w:r>
      <w:r w:rsidRPr="00CF3E25">
        <w:rPr>
          <w:rFonts w:ascii="宋体" w:hAnsi="宋体" w:cs="Arial" w:hint="eastAsia"/>
          <w:szCs w:val="21"/>
        </w:rPr>
        <w:t>召开基金份额持有人大会。</w:t>
      </w:r>
    </w:p>
    <w:p w:rsidR="00745B5E" w:rsidRPr="00CF3E25" w:rsidRDefault="00745B5E" w:rsidP="00F919E2">
      <w:pPr>
        <w:spacing w:line="360" w:lineRule="auto"/>
        <w:ind w:firstLineChars="200" w:firstLine="420"/>
      </w:pPr>
      <w:r w:rsidRPr="00CF3E25">
        <w:rPr>
          <w:rFonts w:asciiTheme="minorEastAsia" w:hAnsiTheme="minorEastAsia" w:hint="eastAsia"/>
          <w:szCs w:val="21"/>
        </w:rPr>
        <w:t>根据《中华人民共和国证券投资基金法》、《公开募集证券投资基金运作管理办法》、《基金合同》和《关于长城久盈纯债债券型证券投资基金基金合同终止与基金财产清算的公告》的有关规定，本基金自</w:t>
      </w:r>
      <w:r w:rsidRPr="00CF3E25">
        <w:rPr>
          <w:rFonts w:ascii="宋体" w:hAnsi="宋体" w:cs="宋体" w:hint="eastAsia"/>
          <w:kern w:val="0"/>
          <w:szCs w:val="21"/>
        </w:rPr>
        <w:t>2019年4月26日</w:t>
      </w:r>
      <w:r w:rsidRPr="00CF3E25">
        <w:rPr>
          <w:rFonts w:asciiTheme="minorEastAsia" w:hAnsiTheme="minorEastAsia" w:hint="eastAsia"/>
          <w:bCs/>
          <w:szCs w:val="21"/>
        </w:rPr>
        <w:t>起进入</w:t>
      </w:r>
      <w:r w:rsidRPr="00CF3E25">
        <w:rPr>
          <w:rFonts w:asciiTheme="minorEastAsia" w:hAnsiTheme="minorEastAsia" w:hint="eastAsia"/>
          <w:szCs w:val="21"/>
        </w:rPr>
        <w:t>清算程序。</w:t>
      </w:r>
    </w:p>
    <w:p w:rsidR="00877E46" w:rsidRPr="00CF3E25" w:rsidRDefault="00877E46"/>
    <w:p w:rsidR="00490795" w:rsidRPr="00CF3E25" w:rsidRDefault="00490795"/>
    <w:p w:rsidR="00490795" w:rsidRPr="00CF3E25" w:rsidRDefault="006C4B9D" w:rsidP="006C4B9D">
      <w:pPr>
        <w:spacing w:line="360" w:lineRule="auto"/>
        <w:jc w:val="center"/>
        <w:rPr>
          <w:rFonts w:ascii="黑体" w:eastAsia="黑体" w:hAnsi="宋体"/>
          <w:b/>
          <w:bCs/>
          <w:sz w:val="28"/>
          <w:szCs w:val="28"/>
        </w:rPr>
      </w:pPr>
      <w:r w:rsidRPr="00CF3E25">
        <w:rPr>
          <w:rFonts w:ascii="黑体" w:eastAsia="黑体" w:hAnsi="宋体" w:hint="eastAsia"/>
          <w:b/>
          <w:bCs/>
          <w:sz w:val="28"/>
          <w:szCs w:val="28"/>
        </w:rPr>
        <w:t>四、</w:t>
      </w:r>
      <w:r w:rsidR="00490795" w:rsidRPr="00CF3E25">
        <w:rPr>
          <w:rFonts w:ascii="黑体" w:eastAsia="黑体" w:hAnsi="宋体" w:hint="eastAsia"/>
          <w:b/>
          <w:bCs/>
          <w:sz w:val="28"/>
          <w:szCs w:val="28"/>
        </w:rPr>
        <w:t>财务会计报告</w:t>
      </w:r>
    </w:p>
    <w:p w:rsidR="00490795" w:rsidRPr="00CF3E25" w:rsidRDefault="00724B8B" w:rsidP="00877E46">
      <w:pPr>
        <w:spacing w:line="360" w:lineRule="auto"/>
      </w:pPr>
      <w:r w:rsidRPr="00CF3E25">
        <w:rPr>
          <w:rFonts w:hint="eastAsia"/>
        </w:rPr>
        <w:t>基金最后运作日资产负债表（</w:t>
      </w:r>
      <w:r w:rsidR="00877E46" w:rsidRPr="00CF3E25">
        <w:rPr>
          <w:rFonts w:hint="eastAsia"/>
        </w:rPr>
        <w:t>经审计）</w:t>
      </w:r>
    </w:p>
    <w:p w:rsidR="00877E46" w:rsidRPr="00CF3E25" w:rsidRDefault="00877E46" w:rsidP="00877E46">
      <w:pPr>
        <w:spacing w:line="360" w:lineRule="auto"/>
        <w:rPr>
          <w:rFonts w:ascii="宋体" w:hAnsi="宋体"/>
          <w:szCs w:val="21"/>
        </w:rPr>
      </w:pPr>
      <w:r w:rsidRPr="00CF3E25">
        <w:rPr>
          <w:rFonts w:hint="eastAsia"/>
        </w:rPr>
        <w:t>会计主体：</w:t>
      </w:r>
      <w:r w:rsidR="0045394E" w:rsidRPr="00CF3E25">
        <w:rPr>
          <w:rFonts w:ascii="宋体" w:hAnsi="宋体" w:hint="eastAsia"/>
          <w:szCs w:val="21"/>
        </w:rPr>
        <w:t>长城久盈纯债债券型证券投资基金</w:t>
      </w:r>
    </w:p>
    <w:p w:rsidR="00877E46" w:rsidRPr="00CF3E25" w:rsidRDefault="00877E46" w:rsidP="00877E46">
      <w:pPr>
        <w:spacing w:line="360" w:lineRule="auto"/>
        <w:rPr>
          <w:rFonts w:ascii="宋体" w:hAnsi="宋体"/>
          <w:szCs w:val="21"/>
        </w:rPr>
      </w:pPr>
      <w:r w:rsidRPr="00CF3E25">
        <w:rPr>
          <w:rFonts w:ascii="宋体" w:hAnsi="宋体" w:hint="eastAsia"/>
          <w:szCs w:val="21"/>
        </w:rPr>
        <w:t>报告截止日：</w:t>
      </w:r>
      <w:r w:rsidR="0045394E" w:rsidRPr="00CF3E25">
        <w:rPr>
          <w:rFonts w:ascii="宋体" w:hAnsi="宋体" w:hint="eastAsia"/>
          <w:szCs w:val="21"/>
        </w:rPr>
        <w:t>2019</w:t>
      </w:r>
      <w:r w:rsidRPr="00CF3E25">
        <w:rPr>
          <w:rFonts w:ascii="宋体" w:hAnsi="宋体" w:hint="eastAsia"/>
          <w:szCs w:val="21"/>
        </w:rPr>
        <w:t>年</w:t>
      </w:r>
      <w:r w:rsidR="0045394E" w:rsidRPr="00CF3E25">
        <w:rPr>
          <w:rFonts w:ascii="宋体" w:hAnsi="宋体" w:hint="eastAsia"/>
          <w:szCs w:val="21"/>
        </w:rPr>
        <w:t>4</w:t>
      </w:r>
      <w:r w:rsidRPr="00CF3E25">
        <w:rPr>
          <w:rFonts w:ascii="宋体" w:hAnsi="宋体" w:hint="eastAsia"/>
          <w:szCs w:val="21"/>
        </w:rPr>
        <w:t>月</w:t>
      </w:r>
      <w:r w:rsidR="0045394E" w:rsidRPr="00CF3E25">
        <w:rPr>
          <w:rFonts w:ascii="宋体" w:hAnsi="宋体" w:hint="eastAsia"/>
          <w:szCs w:val="21"/>
        </w:rPr>
        <w:t>25</w:t>
      </w:r>
      <w:r w:rsidRPr="00CF3E25">
        <w:rPr>
          <w:rFonts w:ascii="宋体" w:hAnsi="宋体" w:hint="eastAsia"/>
          <w:szCs w:val="21"/>
        </w:rPr>
        <w:t>日</w:t>
      </w:r>
    </w:p>
    <w:p w:rsidR="00651CA5" w:rsidRPr="00CF3E25" w:rsidRDefault="00651CA5" w:rsidP="00651CA5">
      <w:pPr>
        <w:spacing w:line="360" w:lineRule="auto"/>
        <w:jc w:val="right"/>
        <w:rPr>
          <w:rFonts w:ascii="宋体" w:hAnsi="宋体" w:cs="Arial"/>
          <w:szCs w:val="21"/>
        </w:rPr>
      </w:pPr>
      <w:r w:rsidRPr="00CF3E25">
        <w:rPr>
          <w:rFonts w:ascii="宋体" w:hAnsi="宋体" w:cs="Arial" w:hint="eastAsia"/>
          <w:szCs w:val="21"/>
        </w:rPr>
        <w:t>单位：人民币元</w:t>
      </w:r>
    </w:p>
    <w:tbl>
      <w:tblPr>
        <w:tblW w:w="5000" w:type="pct"/>
        <w:tblLook w:val="04A0"/>
      </w:tblPr>
      <w:tblGrid>
        <w:gridCol w:w="5495"/>
        <w:gridCol w:w="3027"/>
      </w:tblGrid>
      <w:tr w:rsidR="003B15FC" w:rsidRPr="00CF3E25" w:rsidTr="003B15FC">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lastRenderedPageBreak/>
              <w:t>最后运作日：2019年4月25日</w:t>
            </w:r>
          </w:p>
        </w:tc>
      </w:tr>
      <w:tr w:rsidR="003B15FC" w:rsidRPr="00CF3E25" w:rsidTr="003B15FC">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资  产 :</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银行存款</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3,919,326.99</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结算备付金</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251,578.64</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存出保证金</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14,745.65</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应收证券清算款</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2,500,199.86</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应收利息</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3,421.26</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资产合计:</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6,689,272.40</w:t>
            </w:r>
          </w:p>
        </w:tc>
      </w:tr>
      <w:tr w:rsidR="003B15FC" w:rsidRPr="00CF3E25" w:rsidTr="003B15FC">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负债:</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应付赎回款</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29,599.45</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应付管理人报酬</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1,941.85</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应付托管费</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728.20</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其他负债</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10,688.10</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负债合计</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42,957.60</w:t>
            </w:r>
          </w:p>
        </w:tc>
      </w:tr>
      <w:tr w:rsidR="003B15FC" w:rsidRPr="00CF3E25" w:rsidTr="003B15FC">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所有者权益：</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实收基金</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5,590,100.48</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未分配利润</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1,056,214.32</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所有者权益合计</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6,646,314.80</w:t>
            </w:r>
          </w:p>
        </w:tc>
      </w:tr>
      <w:tr w:rsidR="003B15FC" w:rsidRPr="00CF3E25" w:rsidTr="003B15FC">
        <w:trPr>
          <w:trHeight w:val="270"/>
        </w:trPr>
        <w:tc>
          <w:tcPr>
            <w:tcW w:w="3224" w:type="pct"/>
            <w:tcBorders>
              <w:top w:val="nil"/>
              <w:left w:val="single" w:sz="4" w:space="0" w:color="auto"/>
              <w:bottom w:val="single" w:sz="4" w:space="0" w:color="auto"/>
              <w:right w:val="single" w:sz="4" w:space="0" w:color="auto"/>
            </w:tcBorders>
            <w:shd w:val="clear" w:color="000000" w:fill="FFFFFF"/>
            <w:noWrap/>
            <w:hideMark/>
          </w:tcPr>
          <w:p w:rsidR="003B15FC" w:rsidRPr="00CF3E25" w:rsidRDefault="003B15FC" w:rsidP="001C2204">
            <w:pPr>
              <w:spacing w:line="276" w:lineRule="auto"/>
              <w:jc w:val="left"/>
              <w:rPr>
                <w:rFonts w:ascii="宋体" w:eastAsia="宋体" w:hAnsi="宋体" w:cs="Times New Roman"/>
                <w:szCs w:val="20"/>
              </w:rPr>
            </w:pPr>
            <w:r w:rsidRPr="00CF3E25">
              <w:rPr>
                <w:rFonts w:ascii="宋体" w:eastAsia="宋体" w:hAnsi="宋体" w:cs="Times New Roman" w:hint="eastAsia"/>
                <w:szCs w:val="20"/>
              </w:rPr>
              <w:t>负债与持有人权益总计：</w:t>
            </w:r>
          </w:p>
        </w:tc>
        <w:tc>
          <w:tcPr>
            <w:tcW w:w="1776" w:type="pct"/>
            <w:tcBorders>
              <w:top w:val="nil"/>
              <w:left w:val="nil"/>
              <w:bottom w:val="single" w:sz="4" w:space="0" w:color="auto"/>
              <w:right w:val="single" w:sz="4" w:space="0" w:color="auto"/>
            </w:tcBorders>
            <w:shd w:val="clear" w:color="000000" w:fill="FFFFFF"/>
            <w:noWrap/>
            <w:vAlign w:val="bottom"/>
            <w:hideMark/>
          </w:tcPr>
          <w:p w:rsidR="003B15FC" w:rsidRPr="00CF3E25" w:rsidRDefault="003B15FC" w:rsidP="001C2204">
            <w:pPr>
              <w:spacing w:line="276" w:lineRule="auto"/>
              <w:jc w:val="right"/>
              <w:rPr>
                <w:rFonts w:ascii="宋体" w:eastAsia="宋体" w:hAnsi="宋体" w:cs="Times New Roman"/>
                <w:szCs w:val="20"/>
              </w:rPr>
            </w:pPr>
            <w:r w:rsidRPr="00CF3E25">
              <w:rPr>
                <w:rFonts w:ascii="宋体" w:eastAsia="宋体" w:hAnsi="宋体" w:cs="Times New Roman" w:hint="eastAsia"/>
                <w:szCs w:val="20"/>
              </w:rPr>
              <w:t>6,689,272.40</w:t>
            </w:r>
          </w:p>
        </w:tc>
      </w:tr>
    </w:tbl>
    <w:p w:rsidR="00877E46" w:rsidRPr="00CF3E25" w:rsidRDefault="00406270" w:rsidP="00877E46">
      <w:pPr>
        <w:spacing w:line="360" w:lineRule="auto"/>
        <w:rPr>
          <w:rFonts w:asciiTheme="minorEastAsia" w:hAnsiTheme="minorEastAsia"/>
        </w:rPr>
      </w:pPr>
      <w:r w:rsidRPr="00CF3E25">
        <w:rPr>
          <w:rFonts w:asciiTheme="minorEastAsia" w:hAnsiTheme="minorEastAsia" w:hint="eastAsia"/>
        </w:rPr>
        <w:t>注：于最后运作日</w:t>
      </w:r>
      <w:r w:rsidRPr="00CF3E25">
        <w:rPr>
          <w:rFonts w:asciiTheme="minorEastAsia" w:hAnsiTheme="minorEastAsia"/>
        </w:rPr>
        <w:t>2019</w:t>
      </w:r>
      <w:r w:rsidRPr="00CF3E25">
        <w:rPr>
          <w:rFonts w:asciiTheme="minorEastAsia" w:hAnsiTheme="minorEastAsia" w:hint="eastAsia"/>
        </w:rPr>
        <w:t>年</w:t>
      </w:r>
      <w:r w:rsidRPr="00CF3E25">
        <w:rPr>
          <w:rFonts w:asciiTheme="minorEastAsia" w:hAnsiTheme="minorEastAsia"/>
        </w:rPr>
        <w:t>4</w:t>
      </w:r>
      <w:r w:rsidRPr="00CF3E25">
        <w:rPr>
          <w:rFonts w:asciiTheme="minorEastAsia" w:hAnsiTheme="minorEastAsia" w:hint="eastAsia"/>
        </w:rPr>
        <w:t>月</w:t>
      </w:r>
      <w:r w:rsidRPr="00CF3E25">
        <w:rPr>
          <w:rFonts w:asciiTheme="minorEastAsia" w:hAnsiTheme="minorEastAsia"/>
        </w:rPr>
        <w:t>25</w:t>
      </w:r>
      <w:r w:rsidRPr="00CF3E25">
        <w:rPr>
          <w:rFonts w:asciiTheme="minorEastAsia" w:hAnsiTheme="minorEastAsia" w:hint="eastAsia"/>
        </w:rPr>
        <w:t>日，基金份额净值为</w:t>
      </w:r>
      <w:r w:rsidRPr="00CF3E25">
        <w:rPr>
          <w:rFonts w:asciiTheme="minorEastAsia" w:hAnsiTheme="minorEastAsia"/>
        </w:rPr>
        <w:t>1.0009</w:t>
      </w:r>
      <w:r w:rsidRPr="00CF3E25">
        <w:rPr>
          <w:rFonts w:asciiTheme="minorEastAsia" w:hAnsiTheme="minorEastAsia" w:hint="eastAsia"/>
        </w:rPr>
        <w:t>元，份额总额为</w:t>
      </w:r>
      <w:r w:rsidRPr="00CF3E25">
        <w:rPr>
          <w:rFonts w:asciiTheme="minorEastAsia" w:hAnsiTheme="minorEastAsia"/>
        </w:rPr>
        <w:t>6,640,345.26</w:t>
      </w:r>
      <w:r w:rsidRPr="00CF3E25">
        <w:rPr>
          <w:rFonts w:asciiTheme="minorEastAsia" w:hAnsiTheme="minorEastAsia" w:hint="eastAsia"/>
        </w:rPr>
        <w:t>份，资产净值为</w:t>
      </w:r>
      <w:r w:rsidRPr="00CF3E25">
        <w:rPr>
          <w:rFonts w:asciiTheme="minorEastAsia" w:hAnsiTheme="minorEastAsia"/>
        </w:rPr>
        <w:t>6,646,314.80</w:t>
      </w:r>
      <w:r w:rsidRPr="00CF3E25">
        <w:rPr>
          <w:rFonts w:asciiTheme="minorEastAsia" w:hAnsiTheme="minorEastAsia" w:hint="eastAsia"/>
        </w:rPr>
        <w:t>元。</w:t>
      </w:r>
    </w:p>
    <w:p w:rsidR="00FF26D8" w:rsidRPr="00CF3E25" w:rsidRDefault="00FF26D8" w:rsidP="00F919E2"/>
    <w:p w:rsidR="00F919E2" w:rsidRPr="00CF3E25" w:rsidRDefault="00F919E2" w:rsidP="00F919E2"/>
    <w:p w:rsidR="00991E22" w:rsidRPr="00CF3E25" w:rsidRDefault="00406270" w:rsidP="006C4B9D">
      <w:pPr>
        <w:spacing w:line="360" w:lineRule="auto"/>
        <w:jc w:val="center"/>
        <w:rPr>
          <w:rFonts w:ascii="黑体" w:eastAsia="黑体" w:hAnsi="宋体"/>
          <w:b/>
          <w:bCs/>
          <w:sz w:val="28"/>
          <w:szCs w:val="28"/>
        </w:rPr>
      </w:pPr>
      <w:r w:rsidRPr="00CF3E25">
        <w:rPr>
          <w:rFonts w:ascii="黑体" w:eastAsia="黑体" w:hAnsi="宋体" w:hint="eastAsia"/>
          <w:b/>
          <w:bCs/>
          <w:sz w:val="28"/>
          <w:szCs w:val="28"/>
        </w:rPr>
        <w:t>五、清算情况</w:t>
      </w:r>
    </w:p>
    <w:p w:rsidR="00991E22" w:rsidRPr="00CF3E25" w:rsidRDefault="00406270" w:rsidP="00991E22">
      <w:pPr>
        <w:spacing w:line="360" w:lineRule="auto"/>
        <w:ind w:firstLine="420"/>
        <w:rPr>
          <w:rFonts w:asciiTheme="minorEastAsia" w:hAnsiTheme="minorEastAsia"/>
        </w:rPr>
      </w:pPr>
      <w:r w:rsidRPr="00CF3E25">
        <w:rPr>
          <w:rFonts w:asciiTheme="minorEastAsia" w:hAnsiTheme="minorEastAsia" w:hint="eastAsia"/>
        </w:rPr>
        <w:t>自</w:t>
      </w:r>
      <w:r w:rsidRPr="00CF3E25">
        <w:rPr>
          <w:rFonts w:asciiTheme="minorEastAsia" w:hAnsiTheme="minorEastAsia"/>
        </w:rPr>
        <w:t>2019</w:t>
      </w:r>
      <w:r w:rsidRPr="00CF3E25">
        <w:rPr>
          <w:rFonts w:asciiTheme="minorEastAsia" w:hAnsiTheme="minorEastAsia" w:hint="eastAsia"/>
        </w:rPr>
        <w:t>年</w:t>
      </w:r>
      <w:r w:rsidRPr="00CF3E25">
        <w:rPr>
          <w:rFonts w:asciiTheme="minorEastAsia" w:hAnsiTheme="minorEastAsia"/>
        </w:rPr>
        <w:t>4</w:t>
      </w:r>
      <w:r w:rsidRPr="00CF3E25">
        <w:rPr>
          <w:rFonts w:asciiTheme="minorEastAsia" w:hAnsiTheme="minorEastAsia" w:hint="eastAsia"/>
        </w:rPr>
        <w:t>月</w:t>
      </w:r>
      <w:r w:rsidRPr="00CF3E25">
        <w:rPr>
          <w:rFonts w:asciiTheme="minorEastAsia" w:hAnsiTheme="minorEastAsia"/>
        </w:rPr>
        <w:t>26</w:t>
      </w:r>
      <w:r w:rsidRPr="00CF3E25">
        <w:rPr>
          <w:rFonts w:asciiTheme="minorEastAsia" w:hAnsiTheme="minorEastAsia" w:hint="eastAsia"/>
        </w:rPr>
        <w:t>日至</w:t>
      </w:r>
      <w:r w:rsidRPr="00CF3E25">
        <w:rPr>
          <w:rFonts w:asciiTheme="minorEastAsia" w:hAnsiTheme="minorEastAsia"/>
        </w:rPr>
        <w:t>2019</w:t>
      </w:r>
      <w:r w:rsidRPr="00CF3E25">
        <w:rPr>
          <w:rFonts w:asciiTheme="minorEastAsia" w:hAnsiTheme="minorEastAsia" w:hint="eastAsia"/>
        </w:rPr>
        <w:t>年</w:t>
      </w:r>
      <w:r w:rsidRPr="00CF3E25">
        <w:rPr>
          <w:rFonts w:asciiTheme="minorEastAsia" w:hAnsiTheme="minorEastAsia"/>
        </w:rPr>
        <w:t>5</w:t>
      </w:r>
      <w:r w:rsidRPr="00CF3E25">
        <w:rPr>
          <w:rFonts w:asciiTheme="minorEastAsia" w:hAnsiTheme="minorEastAsia" w:hint="eastAsia"/>
        </w:rPr>
        <w:t>月</w:t>
      </w:r>
      <w:r w:rsidRPr="00CF3E25">
        <w:rPr>
          <w:rFonts w:asciiTheme="minorEastAsia" w:hAnsiTheme="minorEastAsia"/>
        </w:rPr>
        <w:t>17</w:t>
      </w:r>
      <w:r w:rsidRPr="00CF3E25">
        <w:rPr>
          <w:rFonts w:asciiTheme="minorEastAsia" w:hAnsiTheme="minorEastAsia" w:hint="eastAsia"/>
        </w:rPr>
        <w:t>日止为清算期间，基金财产清算小组对本基金的资产、负债进行清算，全部清算工作按清算原则和清算手续进行。具体清算情况如下：</w:t>
      </w:r>
    </w:p>
    <w:p w:rsidR="00991E22" w:rsidRPr="00CF3E25" w:rsidRDefault="00406270" w:rsidP="00A808ED">
      <w:pPr>
        <w:spacing w:line="360" w:lineRule="auto"/>
        <w:ind w:left="420"/>
        <w:rPr>
          <w:rFonts w:asciiTheme="minorEastAsia" w:hAnsiTheme="minorEastAsia"/>
        </w:rPr>
      </w:pPr>
      <w:r w:rsidRPr="00CF3E25">
        <w:rPr>
          <w:rFonts w:asciiTheme="minorEastAsia" w:hAnsiTheme="minorEastAsia"/>
        </w:rPr>
        <w:t>1、</w:t>
      </w:r>
      <w:r w:rsidRPr="00CF3E25">
        <w:rPr>
          <w:rFonts w:asciiTheme="minorEastAsia" w:hAnsiTheme="minorEastAsia" w:hint="eastAsia"/>
        </w:rPr>
        <w:t>清算费用</w:t>
      </w:r>
    </w:p>
    <w:p w:rsidR="00C34069" w:rsidRPr="00CF3E25" w:rsidRDefault="00406270" w:rsidP="00C34069">
      <w:pPr>
        <w:spacing w:line="360" w:lineRule="auto"/>
        <w:ind w:firstLineChars="200" w:firstLine="420"/>
        <w:rPr>
          <w:rFonts w:asciiTheme="minorEastAsia" w:hAnsiTheme="minorEastAsia"/>
          <w:bCs/>
          <w:szCs w:val="21"/>
        </w:rPr>
      </w:pPr>
      <w:r w:rsidRPr="00CF3E25">
        <w:rPr>
          <w:rFonts w:asciiTheme="minorEastAsia" w:hAnsiTheme="minorEastAsia" w:hint="eastAsia"/>
        </w:rPr>
        <w:t>按照《长城久盈纯债债券型证券投资基金基金合同》</w:t>
      </w:r>
      <w:bookmarkStart w:id="5" w:name="_Toc98560364"/>
      <w:bookmarkStart w:id="6" w:name="_Toc8059"/>
      <w:bookmarkStart w:id="7" w:name="_Toc7170"/>
      <w:bookmarkStart w:id="8" w:name="_Toc139991749"/>
      <w:bookmarkStart w:id="9" w:name="_Toc25647"/>
      <w:bookmarkStart w:id="10" w:name="_Toc123102466"/>
      <w:bookmarkStart w:id="11" w:name="_Toc29891"/>
      <w:bookmarkStart w:id="12" w:name="_Toc10006"/>
      <w:bookmarkStart w:id="13" w:name="_Toc9005"/>
      <w:bookmarkStart w:id="14" w:name="_Toc141703899"/>
      <w:bookmarkStart w:id="15" w:name="_Toc8049"/>
      <w:bookmarkStart w:id="16" w:name="_Toc27464"/>
      <w:bookmarkStart w:id="17" w:name="_Toc22978"/>
      <w:bookmarkStart w:id="18" w:name="_Toc6237"/>
      <w:bookmarkStart w:id="19" w:name="_Toc123112247"/>
      <w:bookmarkStart w:id="20" w:name="_Toc123051465"/>
      <w:bookmarkStart w:id="21" w:name="_Toc525720955"/>
      <w:r w:rsidRPr="00CF3E25">
        <w:rPr>
          <w:rFonts w:asciiTheme="minorEastAsia" w:hAnsiTheme="minorEastAsia"/>
        </w:rPr>
        <w:t>第</w:t>
      </w:r>
      <w:r w:rsidRPr="00CF3E25">
        <w:rPr>
          <w:rFonts w:asciiTheme="minorEastAsia" w:hAnsiTheme="minorEastAsia" w:hint="eastAsia"/>
        </w:rPr>
        <w:t>十九</w:t>
      </w:r>
      <w:r w:rsidRPr="00CF3E25">
        <w:rPr>
          <w:rFonts w:asciiTheme="minorEastAsia" w:hAnsiTheme="minorEastAsia"/>
        </w:rPr>
        <w:t>部分</w:t>
      </w:r>
      <w:bookmarkStart w:id="22" w:name="_Hlt88828593"/>
      <w:r w:rsidRPr="00CF3E25">
        <w:rPr>
          <w:rFonts w:asciiTheme="minorEastAsia" w:hAnsiTheme="minorEastAsia" w:hint="eastAsia"/>
        </w:rPr>
        <w: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C34069" w:rsidRPr="00CF3E25">
        <w:rPr>
          <w:rFonts w:asciiTheme="minorEastAsia" w:hAnsiTheme="minorEastAsia"/>
          <w:szCs w:val="21"/>
        </w:rPr>
        <w:t>基金合同的变更、终止与基金财产的清算</w:t>
      </w:r>
      <w:r w:rsidRPr="00CF3E25">
        <w:rPr>
          <w:rFonts w:asciiTheme="minorEastAsia" w:hAnsiTheme="minorEastAsia" w:hint="eastAsia"/>
        </w:rPr>
        <w:t>”的规定，</w:t>
      </w:r>
      <w:r w:rsidR="00C34069" w:rsidRPr="00CF3E25">
        <w:rPr>
          <w:rFonts w:asciiTheme="minorEastAsia" w:hAnsiTheme="minorEastAsia"/>
          <w:bCs/>
          <w:szCs w:val="21"/>
        </w:rPr>
        <w:t xml:space="preserve">清算费用是指基金财产清算小组在进行基金清算过程中发生的所有合理费用，清算费用由基金财产清算小组优先从基金财产中支付。 </w:t>
      </w:r>
    </w:p>
    <w:p w:rsidR="007F75BE" w:rsidRPr="00CF3E25" w:rsidRDefault="007F75BE" w:rsidP="007F75BE">
      <w:pPr>
        <w:spacing w:line="360" w:lineRule="auto"/>
        <w:ind w:firstLineChars="200" w:firstLine="420"/>
        <w:rPr>
          <w:rFonts w:asciiTheme="minorEastAsia" w:hAnsiTheme="minorEastAsia"/>
        </w:rPr>
      </w:pPr>
    </w:p>
    <w:p w:rsidR="00A6683F" w:rsidRPr="00CF3E25" w:rsidRDefault="00406270">
      <w:pPr>
        <w:spacing w:line="360" w:lineRule="auto"/>
        <w:ind w:firstLineChars="200" w:firstLine="420"/>
        <w:rPr>
          <w:rFonts w:asciiTheme="minorEastAsia" w:hAnsiTheme="minorEastAsia"/>
          <w:bCs/>
          <w:szCs w:val="21"/>
        </w:rPr>
      </w:pPr>
      <w:r w:rsidRPr="00CF3E25">
        <w:rPr>
          <w:rFonts w:asciiTheme="minorEastAsia" w:hAnsiTheme="minorEastAsia"/>
          <w:bCs/>
          <w:szCs w:val="21"/>
        </w:rPr>
        <w:t>2、</w:t>
      </w:r>
      <w:r w:rsidRPr="00CF3E25">
        <w:rPr>
          <w:rFonts w:asciiTheme="minorEastAsia" w:hAnsiTheme="minorEastAsia" w:hint="eastAsia"/>
          <w:bCs/>
          <w:szCs w:val="21"/>
        </w:rPr>
        <w:t>资产处置情况</w:t>
      </w:r>
    </w:p>
    <w:p w:rsidR="001D2494" w:rsidRPr="00CF3E25" w:rsidRDefault="00406270" w:rsidP="00A808ED">
      <w:pPr>
        <w:spacing w:line="360" w:lineRule="auto"/>
        <w:ind w:firstLineChars="200" w:firstLine="420"/>
        <w:rPr>
          <w:rFonts w:asciiTheme="minorEastAsia" w:hAnsiTheme="minorEastAsia"/>
        </w:rPr>
      </w:pPr>
      <w:r w:rsidRPr="00CF3E25">
        <w:rPr>
          <w:rFonts w:asciiTheme="minorEastAsia" w:hAnsiTheme="minorEastAsia" w:hint="eastAsia"/>
        </w:rPr>
        <w:t>（</w:t>
      </w:r>
      <w:r w:rsidRPr="00CF3E25">
        <w:rPr>
          <w:rFonts w:asciiTheme="minorEastAsia" w:hAnsiTheme="minorEastAsia"/>
        </w:rPr>
        <w:t>1）</w:t>
      </w:r>
      <w:r w:rsidRPr="00CF3E25">
        <w:rPr>
          <w:rFonts w:asciiTheme="minorEastAsia" w:hAnsiTheme="minorEastAsia" w:hint="eastAsia"/>
        </w:rPr>
        <w:t>本基金最后运作日银行存款</w:t>
      </w:r>
      <w:r w:rsidR="00C34069" w:rsidRPr="00CF3E25">
        <w:rPr>
          <w:rFonts w:ascii="宋体" w:eastAsia="宋体" w:hAnsi="宋体" w:cs="Times New Roman" w:hint="eastAsia"/>
          <w:szCs w:val="20"/>
        </w:rPr>
        <w:t>3,919,326.</w:t>
      </w:r>
      <w:r w:rsidR="00D009A8" w:rsidRPr="00CF3E25">
        <w:rPr>
          <w:rFonts w:asciiTheme="minorEastAsia" w:hAnsiTheme="minorEastAsia"/>
        </w:rPr>
        <w:t>99</w:t>
      </w:r>
      <w:r w:rsidRPr="00CF3E25">
        <w:rPr>
          <w:rFonts w:asciiTheme="minorEastAsia" w:hAnsiTheme="minorEastAsia" w:hint="eastAsia"/>
        </w:rPr>
        <w:t>元，是储存于基金托管人</w:t>
      </w:r>
      <w:r w:rsidR="00D009A8" w:rsidRPr="00CF3E25">
        <w:rPr>
          <w:rFonts w:asciiTheme="minorEastAsia" w:hAnsiTheme="minorEastAsia" w:hint="eastAsia"/>
        </w:rPr>
        <w:t>建设银行</w:t>
      </w:r>
      <w:r w:rsidRPr="00CF3E25">
        <w:rPr>
          <w:rFonts w:asciiTheme="minorEastAsia" w:hAnsiTheme="minorEastAsia" w:hint="eastAsia"/>
        </w:rPr>
        <w:t>的活期银行存款。</w:t>
      </w:r>
    </w:p>
    <w:p w:rsidR="001D2494" w:rsidRPr="00CF3E25" w:rsidRDefault="00406270" w:rsidP="00A808ED">
      <w:pPr>
        <w:spacing w:line="360" w:lineRule="auto"/>
        <w:ind w:firstLineChars="200" w:firstLine="420"/>
        <w:rPr>
          <w:rFonts w:asciiTheme="minorEastAsia" w:hAnsiTheme="minorEastAsia"/>
        </w:rPr>
      </w:pPr>
      <w:r w:rsidRPr="00CF3E25">
        <w:rPr>
          <w:rFonts w:asciiTheme="minorEastAsia" w:hAnsiTheme="minorEastAsia" w:hint="eastAsia"/>
        </w:rPr>
        <w:t>（</w:t>
      </w:r>
      <w:r w:rsidRPr="00CF3E25">
        <w:rPr>
          <w:rFonts w:asciiTheme="minorEastAsia" w:hAnsiTheme="minorEastAsia"/>
        </w:rPr>
        <w:t>2）</w:t>
      </w:r>
      <w:r w:rsidRPr="00CF3E25">
        <w:rPr>
          <w:rFonts w:asciiTheme="minorEastAsia" w:hAnsiTheme="minorEastAsia" w:hint="eastAsia"/>
        </w:rPr>
        <w:t>本基金最后运作日结算备付金</w:t>
      </w:r>
      <w:r w:rsidR="00C34069" w:rsidRPr="00CF3E25">
        <w:rPr>
          <w:rFonts w:ascii="宋体" w:eastAsia="宋体" w:hAnsi="宋体" w:cs="Times New Roman" w:hint="eastAsia"/>
          <w:szCs w:val="20"/>
        </w:rPr>
        <w:t>251,578.64</w:t>
      </w:r>
      <w:r w:rsidRPr="00CF3E25">
        <w:rPr>
          <w:rFonts w:asciiTheme="minorEastAsia" w:hAnsiTheme="minorEastAsia" w:hint="eastAsia"/>
        </w:rPr>
        <w:t>元和存出保证金</w:t>
      </w:r>
      <w:r w:rsidRPr="00CF3E25">
        <w:rPr>
          <w:rFonts w:asciiTheme="minorEastAsia" w:hAnsiTheme="minorEastAsia"/>
        </w:rPr>
        <w:t>14,745.65</w:t>
      </w:r>
      <w:r w:rsidRPr="00CF3E25">
        <w:rPr>
          <w:rFonts w:asciiTheme="minorEastAsia" w:hAnsiTheme="minorEastAsia" w:hint="eastAsia"/>
        </w:rPr>
        <w:t>元，是由中国证券登记结算公司上海分公司和深圳分公司收取并保管的结算备付金和结算保证金，其中上海结算备付金</w:t>
      </w:r>
      <w:r w:rsidRPr="00CF3E25">
        <w:rPr>
          <w:rFonts w:asciiTheme="minorEastAsia" w:hAnsiTheme="minorEastAsia"/>
        </w:rPr>
        <w:t>251,578.64</w:t>
      </w:r>
      <w:r w:rsidRPr="00CF3E25">
        <w:rPr>
          <w:rFonts w:asciiTheme="minorEastAsia" w:hAnsiTheme="minorEastAsia" w:hint="eastAsia"/>
        </w:rPr>
        <w:t>元，深圳结算备付金</w:t>
      </w:r>
      <w:r w:rsidRPr="00CF3E25">
        <w:rPr>
          <w:rFonts w:asciiTheme="minorEastAsia" w:hAnsiTheme="minorEastAsia"/>
        </w:rPr>
        <w:t>0.00</w:t>
      </w:r>
      <w:r w:rsidRPr="00CF3E25">
        <w:rPr>
          <w:rFonts w:asciiTheme="minorEastAsia" w:hAnsiTheme="minorEastAsia" w:hint="eastAsia"/>
        </w:rPr>
        <w:t>元，上海存出保证金</w:t>
      </w:r>
      <w:r w:rsidRPr="00CF3E25">
        <w:rPr>
          <w:rFonts w:asciiTheme="minorEastAsia" w:hAnsiTheme="minorEastAsia"/>
        </w:rPr>
        <w:t>11</w:t>
      </w:r>
      <w:r w:rsidRPr="00CF3E25">
        <w:rPr>
          <w:rFonts w:asciiTheme="minorEastAsia" w:hAnsiTheme="minorEastAsia" w:hint="eastAsia"/>
        </w:rPr>
        <w:t>，</w:t>
      </w:r>
      <w:r w:rsidRPr="00CF3E25">
        <w:rPr>
          <w:rFonts w:asciiTheme="minorEastAsia" w:hAnsiTheme="minorEastAsia"/>
        </w:rPr>
        <w:t>974.33</w:t>
      </w:r>
      <w:r w:rsidRPr="00CF3E25">
        <w:rPr>
          <w:rFonts w:asciiTheme="minorEastAsia" w:hAnsiTheme="minorEastAsia" w:hint="eastAsia"/>
        </w:rPr>
        <w:t>元，深圳存出保证金</w:t>
      </w:r>
      <w:r w:rsidRPr="00CF3E25">
        <w:rPr>
          <w:rFonts w:asciiTheme="minorEastAsia" w:hAnsiTheme="minorEastAsia"/>
        </w:rPr>
        <w:t>2</w:t>
      </w:r>
      <w:r w:rsidRPr="00CF3E25">
        <w:rPr>
          <w:rFonts w:asciiTheme="minorEastAsia" w:hAnsiTheme="minorEastAsia" w:hint="eastAsia"/>
        </w:rPr>
        <w:t>，</w:t>
      </w:r>
      <w:r w:rsidRPr="00CF3E25">
        <w:rPr>
          <w:rFonts w:asciiTheme="minorEastAsia" w:hAnsiTheme="minorEastAsia"/>
        </w:rPr>
        <w:t>771.32</w:t>
      </w:r>
      <w:r w:rsidRPr="00CF3E25">
        <w:rPr>
          <w:rFonts w:asciiTheme="minorEastAsia" w:hAnsiTheme="minorEastAsia" w:hint="eastAsia"/>
        </w:rPr>
        <w:t>元。结算备付金和存出保证金每月调整一次，为保护基金份额持有人利益，加快清盘速度，基金管理人将以自有资金先行垫付该笔款项。</w:t>
      </w:r>
    </w:p>
    <w:p w:rsidR="00C130F7" w:rsidRPr="00CF3E25" w:rsidRDefault="00406270" w:rsidP="00C130F7">
      <w:pPr>
        <w:spacing w:line="360" w:lineRule="auto"/>
        <w:ind w:firstLineChars="200" w:firstLine="420"/>
        <w:rPr>
          <w:rFonts w:asciiTheme="minorEastAsia" w:hAnsiTheme="minorEastAsia"/>
        </w:rPr>
      </w:pPr>
      <w:r w:rsidRPr="00CF3E25">
        <w:rPr>
          <w:rFonts w:asciiTheme="minorEastAsia" w:hAnsiTheme="minorEastAsia" w:hint="eastAsia"/>
        </w:rPr>
        <w:t>（</w:t>
      </w:r>
      <w:r w:rsidRPr="00CF3E25">
        <w:rPr>
          <w:rFonts w:asciiTheme="minorEastAsia" w:hAnsiTheme="minorEastAsia"/>
        </w:rPr>
        <w:t>3）</w:t>
      </w:r>
      <w:r w:rsidRPr="00CF3E25">
        <w:rPr>
          <w:rFonts w:asciiTheme="minorEastAsia" w:hAnsiTheme="minorEastAsia" w:hint="eastAsia"/>
        </w:rPr>
        <w:t>本基金最后运作日</w:t>
      </w:r>
      <w:r w:rsidRPr="00CF3E25">
        <w:rPr>
          <w:rFonts w:ascii="宋体" w:eastAsia="宋体" w:hAnsi="宋体" w:cs="Times New Roman" w:hint="eastAsia"/>
          <w:szCs w:val="20"/>
        </w:rPr>
        <w:t>应收证券清算款</w:t>
      </w:r>
      <w:r w:rsidRPr="00CF3E25">
        <w:rPr>
          <w:rFonts w:ascii="宋体" w:eastAsia="宋体" w:hAnsi="宋体" w:cs="Times New Roman"/>
          <w:szCs w:val="20"/>
        </w:rPr>
        <w:t>2,500,199.86</w:t>
      </w:r>
      <w:r w:rsidRPr="00CF3E25">
        <w:rPr>
          <w:rFonts w:asciiTheme="minorEastAsia" w:hAnsiTheme="minorEastAsia" w:hint="eastAsia"/>
        </w:rPr>
        <w:t>元</w:t>
      </w:r>
      <w:r w:rsidRPr="00CF3E25">
        <w:rPr>
          <w:rFonts w:asciiTheme="minorEastAsia" w:hAnsiTheme="minorEastAsia"/>
        </w:rPr>
        <w:t>,</w:t>
      </w:r>
      <w:r w:rsidR="001B0550" w:rsidRPr="00CF3E25">
        <w:rPr>
          <w:rFonts w:hint="eastAsia"/>
        </w:rPr>
        <w:t xml:space="preserve"> </w:t>
      </w:r>
      <w:r w:rsidR="00217D06" w:rsidRPr="00CF3E25">
        <w:rPr>
          <w:rFonts w:hint="eastAsia"/>
        </w:rPr>
        <w:t>为</w:t>
      </w:r>
      <w:r w:rsidR="001B0550" w:rsidRPr="00CF3E25">
        <w:rPr>
          <w:rFonts w:asciiTheme="minorEastAsia" w:hAnsiTheme="minorEastAsia" w:hint="eastAsia"/>
        </w:rPr>
        <w:t>上交所证券清算款</w:t>
      </w:r>
      <w:r w:rsidR="00217D06" w:rsidRPr="00CF3E25">
        <w:rPr>
          <w:rFonts w:asciiTheme="minorEastAsia" w:hAnsiTheme="minorEastAsia" w:hint="eastAsia"/>
        </w:rPr>
        <w:t>，</w:t>
      </w:r>
      <w:r w:rsidRPr="00CF3E25">
        <w:rPr>
          <w:rFonts w:asciiTheme="minorEastAsia" w:hAnsiTheme="minorEastAsia"/>
        </w:rPr>
        <w:t>该款项已于</w:t>
      </w:r>
      <w:r w:rsidR="00173824" w:rsidRPr="00CF3E25">
        <w:rPr>
          <w:rFonts w:asciiTheme="minorEastAsia" w:hAnsiTheme="minorEastAsia" w:hint="eastAsia"/>
        </w:rPr>
        <w:t>2019</w:t>
      </w:r>
      <w:r w:rsidRPr="00CF3E25">
        <w:rPr>
          <w:rFonts w:asciiTheme="minorEastAsia" w:hAnsiTheme="minorEastAsia" w:hint="eastAsia"/>
        </w:rPr>
        <w:t>年</w:t>
      </w:r>
      <w:r w:rsidR="00173824" w:rsidRPr="00CF3E25">
        <w:rPr>
          <w:rFonts w:asciiTheme="minorEastAsia" w:hAnsiTheme="minorEastAsia" w:hint="eastAsia"/>
        </w:rPr>
        <w:t>4</w:t>
      </w:r>
      <w:r w:rsidRPr="00CF3E25">
        <w:rPr>
          <w:rFonts w:asciiTheme="minorEastAsia" w:hAnsiTheme="minorEastAsia" w:hint="eastAsia"/>
        </w:rPr>
        <w:t>月</w:t>
      </w:r>
      <w:r w:rsidR="00173824" w:rsidRPr="00CF3E25">
        <w:rPr>
          <w:rFonts w:asciiTheme="minorEastAsia" w:hAnsiTheme="minorEastAsia" w:hint="eastAsia"/>
        </w:rPr>
        <w:t>26</w:t>
      </w:r>
      <w:r w:rsidRPr="00CF3E25">
        <w:rPr>
          <w:rFonts w:asciiTheme="minorEastAsia" w:hAnsiTheme="minorEastAsia" w:hint="eastAsia"/>
        </w:rPr>
        <w:t>日</w:t>
      </w:r>
      <w:r w:rsidR="001B0550" w:rsidRPr="00CF3E25">
        <w:rPr>
          <w:rFonts w:asciiTheme="minorEastAsia" w:hAnsiTheme="minorEastAsia" w:hint="eastAsia"/>
        </w:rPr>
        <w:t>清算</w:t>
      </w:r>
      <w:r w:rsidRPr="00CF3E25">
        <w:rPr>
          <w:rFonts w:asciiTheme="minorEastAsia" w:hAnsiTheme="minorEastAsia" w:hint="eastAsia"/>
        </w:rPr>
        <w:t>收回。</w:t>
      </w:r>
    </w:p>
    <w:p w:rsidR="00E57521" w:rsidRPr="00CF3E25" w:rsidRDefault="00C130F7" w:rsidP="00A808ED">
      <w:pPr>
        <w:spacing w:line="360" w:lineRule="auto"/>
        <w:ind w:firstLineChars="200" w:firstLine="420"/>
        <w:rPr>
          <w:rFonts w:asciiTheme="minorEastAsia" w:hAnsiTheme="minorEastAsia"/>
        </w:rPr>
      </w:pPr>
      <w:r w:rsidRPr="00CF3E25">
        <w:rPr>
          <w:rFonts w:asciiTheme="minorEastAsia" w:hAnsiTheme="minorEastAsia" w:hint="eastAsia"/>
        </w:rPr>
        <w:t>（4）</w:t>
      </w:r>
      <w:r w:rsidR="00E57521" w:rsidRPr="00CF3E25">
        <w:rPr>
          <w:rFonts w:asciiTheme="minorEastAsia" w:hAnsiTheme="minorEastAsia" w:hint="eastAsia"/>
        </w:rPr>
        <w:t>本基金最后运作日应收利息</w:t>
      </w:r>
      <w:r w:rsidR="00BA2FB6" w:rsidRPr="00CF3E25">
        <w:rPr>
          <w:rFonts w:asciiTheme="minorEastAsia" w:hAnsiTheme="minorEastAsia"/>
        </w:rPr>
        <w:t>3</w:t>
      </w:r>
      <w:r w:rsidR="00BA2FB6" w:rsidRPr="00CF3E25">
        <w:rPr>
          <w:rFonts w:asciiTheme="minorEastAsia" w:hAnsiTheme="minorEastAsia" w:hint="eastAsia"/>
        </w:rPr>
        <w:t>，</w:t>
      </w:r>
      <w:r w:rsidR="00BA2FB6" w:rsidRPr="00CF3E25">
        <w:rPr>
          <w:rFonts w:asciiTheme="minorEastAsia" w:hAnsiTheme="minorEastAsia"/>
        </w:rPr>
        <w:t>421.26</w:t>
      </w:r>
      <w:r w:rsidR="00E57521" w:rsidRPr="00CF3E25">
        <w:rPr>
          <w:rFonts w:asciiTheme="minorEastAsia" w:hAnsiTheme="minorEastAsia" w:hint="eastAsia"/>
        </w:rPr>
        <w:t>元，包括活期银行存款应收利息</w:t>
      </w:r>
      <w:r w:rsidR="00BA2FB6" w:rsidRPr="00CF3E25">
        <w:rPr>
          <w:rFonts w:asciiTheme="minorEastAsia" w:hAnsiTheme="minorEastAsia"/>
        </w:rPr>
        <w:t>2</w:t>
      </w:r>
      <w:r w:rsidR="00BA2FB6" w:rsidRPr="00CF3E25">
        <w:rPr>
          <w:rFonts w:asciiTheme="minorEastAsia" w:hAnsiTheme="minorEastAsia" w:hint="eastAsia"/>
        </w:rPr>
        <w:t>，</w:t>
      </w:r>
      <w:r w:rsidR="00BA2FB6" w:rsidRPr="00CF3E25">
        <w:rPr>
          <w:rFonts w:asciiTheme="minorEastAsia" w:hAnsiTheme="minorEastAsia"/>
        </w:rPr>
        <w:t>986.38</w:t>
      </w:r>
      <w:r w:rsidR="00E57521" w:rsidRPr="00CF3E25">
        <w:rPr>
          <w:rFonts w:asciiTheme="minorEastAsia" w:hAnsiTheme="minorEastAsia" w:hint="eastAsia"/>
        </w:rPr>
        <w:t>元、结算备付金应收利息</w:t>
      </w:r>
      <w:r w:rsidR="00BA2FB6" w:rsidRPr="00CF3E25">
        <w:rPr>
          <w:rFonts w:asciiTheme="minorEastAsia" w:hAnsiTheme="minorEastAsia"/>
        </w:rPr>
        <w:t>407.4</w:t>
      </w:r>
      <w:r w:rsidR="00E57521" w:rsidRPr="00CF3E25">
        <w:rPr>
          <w:rFonts w:asciiTheme="minorEastAsia" w:hAnsiTheme="minorEastAsia" w:hint="eastAsia"/>
        </w:rPr>
        <w:t>元和</w:t>
      </w:r>
      <w:r w:rsidR="005B3D45" w:rsidRPr="00CF3E25">
        <w:rPr>
          <w:rFonts w:asciiTheme="minorEastAsia" w:hAnsiTheme="minorEastAsia" w:hint="eastAsia"/>
        </w:rPr>
        <w:t>存出</w:t>
      </w:r>
      <w:r w:rsidR="00E57521" w:rsidRPr="00CF3E25">
        <w:rPr>
          <w:rFonts w:asciiTheme="minorEastAsia" w:hAnsiTheme="minorEastAsia" w:hint="eastAsia"/>
        </w:rPr>
        <w:t>保证金应收利息</w:t>
      </w:r>
      <w:r w:rsidR="00BA2FB6" w:rsidRPr="00CF3E25">
        <w:rPr>
          <w:rFonts w:asciiTheme="minorEastAsia" w:hAnsiTheme="minorEastAsia"/>
        </w:rPr>
        <w:t>27.48</w:t>
      </w:r>
      <w:r w:rsidR="00E57521" w:rsidRPr="00CF3E25">
        <w:rPr>
          <w:rFonts w:asciiTheme="minorEastAsia" w:hAnsiTheme="minorEastAsia" w:hint="eastAsia"/>
        </w:rPr>
        <w:t>元。应收活期银行存款利息由托管银行于每季度3月、6月、9月、12月</w:t>
      </w:r>
      <w:r w:rsidR="00217D06" w:rsidRPr="00CF3E25">
        <w:rPr>
          <w:rFonts w:asciiTheme="minorEastAsia" w:hAnsiTheme="minorEastAsia" w:hint="eastAsia"/>
        </w:rPr>
        <w:t>的</w:t>
      </w:r>
      <w:r w:rsidR="00E57521" w:rsidRPr="00CF3E25">
        <w:rPr>
          <w:rFonts w:asciiTheme="minorEastAsia" w:hAnsiTheme="minorEastAsia" w:hint="eastAsia"/>
        </w:rPr>
        <w:t>21日（节假日顺延）结算入账，或在账户注销时一次性结清；结算备付金和</w:t>
      </w:r>
      <w:r w:rsidR="005B3D45" w:rsidRPr="00CF3E25">
        <w:rPr>
          <w:rFonts w:asciiTheme="minorEastAsia" w:hAnsiTheme="minorEastAsia" w:hint="eastAsia"/>
        </w:rPr>
        <w:t>存出</w:t>
      </w:r>
      <w:r w:rsidR="00E57521" w:rsidRPr="00CF3E25">
        <w:rPr>
          <w:rFonts w:asciiTheme="minorEastAsia" w:hAnsiTheme="minorEastAsia" w:hint="eastAsia"/>
        </w:rPr>
        <w:t>保证金利息由中国证券登记</w:t>
      </w:r>
      <w:r w:rsidR="008048CF" w:rsidRPr="00CF3E25">
        <w:rPr>
          <w:rFonts w:asciiTheme="minorEastAsia" w:hAnsiTheme="minorEastAsia" w:hint="eastAsia"/>
        </w:rPr>
        <w:t>结算有限责任公司于每季度3月、6月、9月、12月</w:t>
      </w:r>
      <w:r w:rsidR="00217D06" w:rsidRPr="00CF3E25">
        <w:rPr>
          <w:rFonts w:asciiTheme="minorEastAsia" w:hAnsiTheme="minorEastAsia" w:hint="eastAsia"/>
        </w:rPr>
        <w:t>的</w:t>
      </w:r>
      <w:r w:rsidR="008048CF" w:rsidRPr="00CF3E25">
        <w:rPr>
          <w:rFonts w:asciiTheme="minorEastAsia" w:hAnsiTheme="minorEastAsia" w:hint="eastAsia"/>
        </w:rPr>
        <w:t>21日（节假日顺延）结算入账。为保护基金份额持有人利益，加快清盘速度，基金管理人将以自</w:t>
      </w:r>
      <w:r w:rsidR="00F115F7" w:rsidRPr="00CF3E25">
        <w:rPr>
          <w:rFonts w:asciiTheme="minorEastAsia" w:hAnsiTheme="minorEastAsia" w:hint="eastAsia"/>
        </w:rPr>
        <w:t>有</w:t>
      </w:r>
      <w:r w:rsidR="008048CF" w:rsidRPr="00CF3E25">
        <w:rPr>
          <w:rFonts w:asciiTheme="minorEastAsia" w:hAnsiTheme="minorEastAsia" w:hint="eastAsia"/>
        </w:rPr>
        <w:t>资金先行垫付该笔款项。</w:t>
      </w:r>
    </w:p>
    <w:p w:rsidR="00217D06" w:rsidRPr="00CF3E25" w:rsidRDefault="00217D06" w:rsidP="00A808ED">
      <w:pPr>
        <w:spacing w:line="360" w:lineRule="auto"/>
        <w:ind w:firstLineChars="200" w:firstLine="420"/>
        <w:rPr>
          <w:rFonts w:asciiTheme="minorEastAsia" w:hAnsiTheme="minorEastAsia"/>
        </w:rPr>
      </w:pPr>
    </w:p>
    <w:p w:rsidR="008048CF" w:rsidRPr="00CF3E25" w:rsidRDefault="00A808ED" w:rsidP="00A808ED">
      <w:pPr>
        <w:spacing w:line="360" w:lineRule="auto"/>
        <w:ind w:left="420"/>
        <w:rPr>
          <w:rFonts w:asciiTheme="minorEastAsia" w:hAnsiTheme="minorEastAsia"/>
          <w:bCs/>
          <w:szCs w:val="21"/>
        </w:rPr>
      </w:pPr>
      <w:r w:rsidRPr="00CF3E25">
        <w:rPr>
          <w:rFonts w:asciiTheme="minorEastAsia" w:hAnsiTheme="minorEastAsia" w:hint="eastAsia"/>
          <w:bCs/>
          <w:szCs w:val="21"/>
        </w:rPr>
        <w:t>3、</w:t>
      </w:r>
      <w:r w:rsidR="008048CF" w:rsidRPr="00CF3E25">
        <w:rPr>
          <w:rFonts w:asciiTheme="minorEastAsia" w:hAnsiTheme="minorEastAsia" w:hint="eastAsia"/>
          <w:bCs/>
          <w:szCs w:val="21"/>
        </w:rPr>
        <w:t>负债清偿情况</w:t>
      </w:r>
    </w:p>
    <w:p w:rsidR="009B0B29" w:rsidRPr="00CF3E25" w:rsidRDefault="00A808ED" w:rsidP="00A808ED">
      <w:pPr>
        <w:spacing w:line="360" w:lineRule="auto"/>
        <w:ind w:firstLineChars="200" w:firstLine="420"/>
        <w:rPr>
          <w:rFonts w:asciiTheme="minorEastAsia" w:hAnsiTheme="minorEastAsia"/>
        </w:rPr>
      </w:pPr>
      <w:r w:rsidRPr="00CF3E25">
        <w:rPr>
          <w:rFonts w:asciiTheme="minorEastAsia" w:hAnsiTheme="minorEastAsia" w:hint="eastAsia"/>
        </w:rPr>
        <w:t>（1）</w:t>
      </w:r>
      <w:r w:rsidR="009B0B29" w:rsidRPr="00CF3E25">
        <w:rPr>
          <w:rFonts w:asciiTheme="minorEastAsia" w:hAnsiTheme="minorEastAsia" w:hint="eastAsia"/>
        </w:rPr>
        <w:t>本基金</w:t>
      </w:r>
      <w:r w:rsidR="00406270" w:rsidRPr="00CF3E25">
        <w:rPr>
          <w:rFonts w:asciiTheme="minorEastAsia" w:hAnsiTheme="minorEastAsia" w:hint="eastAsia"/>
        </w:rPr>
        <w:t>最后运作日应付赎回款</w:t>
      </w:r>
      <w:r w:rsidR="009B0B29" w:rsidRPr="00CF3E25">
        <w:rPr>
          <w:rFonts w:asciiTheme="minorEastAsia" w:hAnsiTheme="minorEastAsia" w:hint="eastAsia"/>
        </w:rPr>
        <w:t>为人民币</w:t>
      </w:r>
      <w:r w:rsidR="00BA2FB6" w:rsidRPr="00CF3E25">
        <w:rPr>
          <w:rFonts w:asciiTheme="minorEastAsia" w:hAnsiTheme="minorEastAsia"/>
        </w:rPr>
        <w:t>29</w:t>
      </w:r>
      <w:r w:rsidR="00113785" w:rsidRPr="00CF3E25">
        <w:rPr>
          <w:rFonts w:asciiTheme="minorEastAsia" w:hAnsiTheme="minorEastAsia" w:hint="eastAsia"/>
        </w:rPr>
        <w:t>,</w:t>
      </w:r>
      <w:r w:rsidR="00BA2FB6" w:rsidRPr="00CF3E25">
        <w:rPr>
          <w:rFonts w:asciiTheme="minorEastAsia" w:hAnsiTheme="minorEastAsia"/>
        </w:rPr>
        <w:t>599.45</w:t>
      </w:r>
      <w:r w:rsidR="009B0B29" w:rsidRPr="00CF3E25">
        <w:rPr>
          <w:rFonts w:asciiTheme="minorEastAsia" w:hAnsiTheme="minorEastAsia" w:hint="eastAsia"/>
        </w:rPr>
        <w:t>元，</w:t>
      </w:r>
      <w:r w:rsidR="00406270" w:rsidRPr="00CF3E25">
        <w:rPr>
          <w:rFonts w:asciiTheme="minorEastAsia" w:hAnsiTheme="minorEastAsia" w:hint="eastAsia"/>
        </w:rPr>
        <w:t>该款项已于</w:t>
      </w:r>
      <w:r w:rsidR="00217D06" w:rsidRPr="00CF3E25">
        <w:rPr>
          <w:rFonts w:asciiTheme="minorEastAsia" w:hAnsiTheme="minorEastAsia" w:hint="eastAsia"/>
        </w:rPr>
        <w:t>2019</w:t>
      </w:r>
      <w:r w:rsidR="00406270" w:rsidRPr="00CF3E25">
        <w:rPr>
          <w:rFonts w:asciiTheme="minorEastAsia" w:hAnsiTheme="minorEastAsia"/>
        </w:rPr>
        <w:t>年</w:t>
      </w:r>
      <w:r w:rsidR="00217D06" w:rsidRPr="00CF3E25">
        <w:rPr>
          <w:rFonts w:asciiTheme="minorEastAsia" w:hAnsiTheme="minorEastAsia" w:hint="eastAsia"/>
        </w:rPr>
        <w:t>4</w:t>
      </w:r>
      <w:r w:rsidR="00406270" w:rsidRPr="00CF3E25">
        <w:rPr>
          <w:rFonts w:asciiTheme="minorEastAsia" w:hAnsiTheme="minorEastAsia"/>
        </w:rPr>
        <w:t>月</w:t>
      </w:r>
      <w:r w:rsidR="00217D06" w:rsidRPr="00CF3E25">
        <w:rPr>
          <w:rFonts w:asciiTheme="minorEastAsia" w:hAnsiTheme="minorEastAsia" w:hint="eastAsia"/>
        </w:rPr>
        <w:t>26</w:t>
      </w:r>
      <w:r w:rsidR="00406270" w:rsidRPr="00CF3E25">
        <w:rPr>
          <w:rFonts w:asciiTheme="minorEastAsia" w:hAnsiTheme="minorEastAsia"/>
        </w:rPr>
        <w:t>日至</w:t>
      </w:r>
      <w:r w:rsidR="00217D06" w:rsidRPr="00CF3E25">
        <w:rPr>
          <w:rFonts w:asciiTheme="minorEastAsia" w:hAnsiTheme="minorEastAsia" w:hint="eastAsia"/>
        </w:rPr>
        <w:t>29</w:t>
      </w:r>
      <w:r w:rsidR="00406270" w:rsidRPr="00CF3E25">
        <w:rPr>
          <w:rFonts w:asciiTheme="minorEastAsia" w:hAnsiTheme="minorEastAsia"/>
        </w:rPr>
        <w:t>日支付。</w:t>
      </w:r>
    </w:p>
    <w:p w:rsidR="008048CF" w:rsidRPr="00CF3E25" w:rsidRDefault="00A808ED" w:rsidP="00A808ED">
      <w:pPr>
        <w:spacing w:line="360" w:lineRule="auto"/>
        <w:ind w:firstLineChars="200" w:firstLine="420"/>
        <w:rPr>
          <w:rFonts w:asciiTheme="minorEastAsia" w:hAnsiTheme="minorEastAsia"/>
        </w:rPr>
      </w:pPr>
      <w:r w:rsidRPr="00CF3E25">
        <w:rPr>
          <w:rFonts w:asciiTheme="minorEastAsia" w:hAnsiTheme="minorEastAsia" w:hint="eastAsia"/>
        </w:rPr>
        <w:t>（2）</w:t>
      </w:r>
      <w:r w:rsidR="008048CF" w:rsidRPr="00CF3E25">
        <w:rPr>
          <w:rFonts w:asciiTheme="minorEastAsia" w:hAnsiTheme="minorEastAsia" w:hint="eastAsia"/>
        </w:rPr>
        <w:t>本基金最后运作日应付管理人报酬为</w:t>
      </w:r>
      <w:r w:rsidR="00064DE2" w:rsidRPr="00CF3E25">
        <w:rPr>
          <w:rFonts w:asciiTheme="minorEastAsia" w:hAnsiTheme="minorEastAsia" w:hint="eastAsia"/>
        </w:rPr>
        <w:t>人民币</w:t>
      </w:r>
      <w:r w:rsidR="00113785" w:rsidRPr="00CF3E25">
        <w:rPr>
          <w:rFonts w:asciiTheme="minorEastAsia" w:hAnsiTheme="minorEastAsia"/>
        </w:rPr>
        <w:t>1</w:t>
      </w:r>
      <w:r w:rsidR="00113785" w:rsidRPr="00CF3E25">
        <w:rPr>
          <w:rFonts w:asciiTheme="minorEastAsia" w:hAnsiTheme="minorEastAsia" w:hint="eastAsia"/>
        </w:rPr>
        <w:t>,</w:t>
      </w:r>
      <w:r w:rsidR="00113785" w:rsidRPr="00CF3E25">
        <w:rPr>
          <w:rFonts w:asciiTheme="minorEastAsia" w:hAnsiTheme="minorEastAsia"/>
        </w:rPr>
        <w:t>941.85</w:t>
      </w:r>
      <w:r w:rsidR="008048CF" w:rsidRPr="00CF3E25">
        <w:rPr>
          <w:rFonts w:asciiTheme="minorEastAsia" w:hAnsiTheme="minorEastAsia" w:hint="eastAsia"/>
        </w:rPr>
        <w:t>元，该款项已于</w:t>
      </w:r>
      <w:r w:rsidR="00113785" w:rsidRPr="00CF3E25">
        <w:rPr>
          <w:rFonts w:asciiTheme="minorEastAsia" w:hAnsiTheme="minorEastAsia" w:hint="eastAsia"/>
        </w:rPr>
        <w:t>2019</w:t>
      </w:r>
      <w:r w:rsidR="008048CF" w:rsidRPr="00CF3E25">
        <w:rPr>
          <w:rFonts w:asciiTheme="minorEastAsia" w:hAnsiTheme="minorEastAsia" w:hint="eastAsia"/>
        </w:rPr>
        <w:t>年</w:t>
      </w:r>
      <w:r w:rsidR="00113785" w:rsidRPr="00CF3E25">
        <w:rPr>
          <w:rFonts w:asciiTheme="minorEastAsia" w:hAnsiTheme="minorEastAsia" w:hint="eastAsia"/>
        </w:rPr>
        <w:t>5</w:t>
      </w:r>
      <w:r w:rsidR="008048CF" w:rsidRPr="00CF3E25">
        <w:rPr>
          <w:rFonts w:asciiTheme="minorEastAsia" w:hAnsiTheme="minorEastAsia" w:hint="eastAsia"/>
        </w:rPr>
        <w:t>月</w:t>
      </w:r>
      <w:r w:rsidR="00113785" w:rsidRPr="00CF3E25">
        <w:rPr>
          <w:rFonts w:asciiTheme="minorEastAsia" w:hAnsiTheme="minorEastAsia" w:hint="eastAsia"/>
        </w:rPr>
        <w:t>8</w:t>
      </w:r>
      <w:r w:rsidR="008048CF" w:rsidRPr="00CF3E25">
        <w:rPr>
          <w:rFonts w:asciiTheme="minorEastAsia" w:hAnsiTheme="minorEastAsia" w:hint="eastAsia"/>
        </w:rPr>
        <w:t>日支付。</w:t>
      </w:r>
    </w:p>
    <w:p w:rsidR="00113785" w:rsidRPr="00CF3E25" w:rsidRDefault="00A808ED" w:rsidP="00A808ED">
      <w:pPr>
        <w:spacing w:line="360" w:lineRule="auto"/>
        <w:ind w:firstLineChars="200" w:firstLine="420"/>
        <w:rPr>
          <w:rFonts w:asciiTheme="minorEastAsia" w:hAnsiTheme="minorEastAsia"/>
        </w:rPr>
      </w:pPr>
      <w:r w:rsidRPr="00CF3E25">
        <w:rPr>
          <w:rFonts w:asciiTheme="minorEastAsia" w:hAnsiTheme="minorEastAsia" w:hint="eastAsia"/>
        </w:rPr>
        <w:t>（3）</w:t>
      </w:r>
      <w:r w:rsidR="008048CF" w:rsidRPr="00CF3E25">
        <w:rPr>
          <w:rFonts w:asciiTheme="minorEastAsia" w:hAnsiTheme="minorEastAsia" w:hint="eastAsia"/>
        </w:rPr>
        <w:t>本基金最后运作日应付托管费为</w:t>
      </w:r>
      <w:r w:rsidR="00064DE2" w:rsidRPr="00CF3E25">
        <w:rPr>
          <w:rFonts w:asciiTheme="minorEastAsia" w:hAnsiTheme="minorEastAsia" w:hint="eastAsia"/>
        </w:rPr>
        <w:t>人民币</w:t>
      </w:r>
      <w:r w:rsidR="00113785" w:rsidRPr="00CF3E25">
        <w:rPr>
          <w:rFonts w:asciiTheme="minorEastAsia" w:hAnsiTheme="minorEastAsia"/>
        </w:rPr>
        <w:t>728.2</w:t>
      </w:r>
      <w:r w:rsidR="008048CF" w:rsidRPr="00CF3E25">
        <w:rPr>
          <w:rFonts w:asciiTheme="minorEastAsia" w:hAnsiTheme="minorEastAsia" w:hint="eastAsia"/>
        </w:rPr>
        <w:t>元，</w:t>
      </w:r>
      <w:r w:rsidR="00113785" w:rsidRPr="00CF3E25">
        <w:rPr>
          <w:rFonts w:asciiTheme="minorEastAsia" w:hAnsiTheme="minorEastAsia" w:hint="eastAsia"/>
        </w:rPr>
        <w:t>该款项已于2019年5月8日支付。</w:t>
      </w:r>
    </w:p>
    <w:p w:rsidR="00064DE2" w:rsidRPr="00CF3E25" w:rsidRDefault="00A808ED" w:rsidP="004056E6">
      <w:pPr>
        <w:spacing w:line="360" w:lineRule="auto"/>
        <w:ind w:firstLineChars="200" w:firstLine="420"/>
        <w:rPr>
          <w:rFonts w:asciiTheme="minorEastAsia" w:hAnsiTheme="minorEastAsia"/>
        </w:rPr>
      </w:pPr>
      <w:r w:rsidRPr="00CF3E25">
        <w:rPr>
          <w:rFonts w:asciiTheme="minorEastAsia" w:hAnsiTheme="minorEastAsia" w:hint="eastAsia"/>
        </w:rPr>
        <w:t>（4）</w:t>
      </w:r>
      <w:r w:rsidR="00064DE2" w:rsidRPr="00CF3E25">
        <w:rPr>
          <w:rFonts w:asciiTheme="minorEastAsia" w:hAnsiTheme="minorEastAsia" w:hint="eastAsia"/>
        </w:rPr>
        <w:t>本基金最后运作日其他负债为人民币</w:t>
      </w:r>
      <w:r w:rsidR="004056E6" w:rsidRPr="00CF3E25">
        <w:rPr>
          <w:rFonts w:asciiTheme="minorEastAsia" w:hAnsiTheme="minorEastAsia"/>
        </w:rPr>
        <w:t>10</w:t>
      </w:r>
      <w:r w:rsidR="004056E6" w:rsidRPr="00CF3E25">
        <w:rPr>
          <w:rFonts w:asciiTheme="minorEastAsia" w:hAnsiTheme="minorEastAsia" w:hint="eastAsia"/>
        </w:rPr>
        <w:t>,</w:t>
      </w:r>
      <w:r w:rsidR="004056E6" w:rsidRPr="00CF3E25">
        <w:rPr>
          <w:rFonts w:asciiTheme="minorEastAsia" w:hAnsiTheme="minorEastAsia"/>
        </w:rPr>
        <w:t>688.1</w:t>
      </w:r>
      <w:r w:rsidR="007534A7" w:rsidRPr="00CF3E25">
        <w:rPr>
          <w:rFonts w:asciiTheme="minorEastAsia" w:hAnsiTheme="minorEastAsia" w:hint="eastAsia"/>
        </w:rPr>
        <w:t>0</w:t>
      </w:r>
      <w:r w:rsidR="009B0B29" w:rsidRPr="00CF3E25">
        <w:rPr>
          <w:rFonts w:asciiTheme="minorEastAsia" w:hAnsiTheme="minorEastAsia" w:hint="eastAsia"/>
        </w:rPr>
        <w:t>元</w:t>
      </w:r>
      <w:r w:rsidR="00064DE2" w:rsidRPr="00CF3E25">
        <w:rPr>
          <w:rFonts w:asciiTheme="minorEastAsia" w:hAnsiTheme="minorEastAsia" w:hint="eastAsia"/>
        </w:rPr>
        <w:t>。其中，预提审计费</w:t>
      </w:r>
      <w:r w:rsidR="004056E6" w:rsidRPr="00CF3E25">
        <w:rPr>
          <w:rFonts w:asciiTheme="minorEastAsia" w:hAnsiTheme="minorEastAsia"/>
        </w:rPr>
        <w:t>9</w:t>
      </w:r>
      <w:r w:rsidR="004056E6" w:rsidRPr="00CF3E25">
        <w:rPr>
          <w:rFonts w:asciiTheme="minorEastAsia" w:hAnsiTheme="minorEastAsia" w:hint="eastAsia"/>
        </w:rPr>
        <w:t>,</w:t>
      </w:r>
      <w:r w:rsidR="004056E6" w:rsidRPr="00CF3E25">
        <w:rPr>
          <w:rFonts w:asciiTheme="minorEastAsia" w:hAnsiTheme="minorEastAsia"/>
        </w:rPr>
        <w:t>451.85</w:t>
      </w:r>
      <w:r w:rsidR="00064DE2" w:rsidRPr="00CF3E25">
        <w:rPr>
          <w:rFonts w:asciiTheme="minorEastAsia" w:hAnsiTheme="minorEastAsia" w:hint="eastAsia"/>
        </w:rPr>
        <w:t>元</w:t>
      </w:r>
      <w:r w:rsidR="009B0B29" w:rsidRPr="00CF3E25">
        <w:rPr>
          <w:rFonts w:asciiTheme="minorEastAsia" w:hAnsiTheme="minorEastAsia" w:hint="eastAsia"/>
        </w:rPr>
        <w:t>,</w:t>
      </w:r>
      <w:r w:rsidR="00064DE2" w:rsidRPr="00CF3E25">
        <w:rPr>
          <w:rFonts w:asciiTheme="minorEastAsia" w:hAnsiTheme="minorEastAsia" w:hint="eastAsia"/>
        </w:rPr>
        <w:t>已于</w:t>
      </w:r>
      <w:r w:rsidR="004056E6" w:rsidRPr="00CF3E25">
        <w:rPr>
          <w:rFonts w:asciiTheme="minorEastAsia" w:hAnsiTheme="minorEastAsia" w:hint="eastAsia"/>
        </w:rPr>
        <w:t>2019</w:t>
      </w:r>
      <w:r w:rsidR="00064DE2" w:rsidRPr="00CF3E25">
        <w:rPr>
          <w:rFonts w:asciiTheme="minorEastAsia" w:hAnsiTheme="minorEastAsia" w:hint="eastAsia"/>
        </w:rPr>
        <w:t>年</w:t>
      </w:r>
      <w:r w:rsidR="004056E6" w:rsidRPr="00CF3E25">
        <w:rPr>
          <w:rFonts w:asciiTheme="minorEastAsia" w:hAnsiTheme="minorEastAsia" w:hint="eastAsia"/>
        </w:rPr>
        <w:t>5</w:t>
      </w:r>
      <w:r w:rsidR="00064DE2" w:rsidRPr="00CF3E25">
        <w:rPr>
          <w:rFonts w:asciiTheme="minorEastAsia" w:hAnsiTheme="minorEastAsia" w:hint="eastAsia"/>
        </w:rPr>
        <w:t>月</w:t>
      </w:r>
      <w:r w:rsidR="004056E6" w:rsidRPr="00CF3E25">
        <w:rPr>
          <w:rFonts w:asciiTheme="minorEastAsia" w:hAnsiTheme="minorEastAsia" w:hint="eastAsia"/>
        </w:rPr>
        <w:t>6</w:t>
      </w:r>
      <w:r w:rsidR="00064DE2" w:rsidRPr="00CF3E25">
        <w:rPr>
          <w:rFonts w:asciiTheme="minorEastAsia" w:hAnsiTheme="minorEastAsia" w:hint="eastAsia"/>
        </w:rPr>
        <w:t>日支付；</w:t>
      </w:r>
      <w:r w:rsidR="000D73A5" w:rsidRPr="00CF3E25">
        <w:rPr>
          <w:rFonts w:asciiTheme="minorEastAsia" w:hAnsiTheme="minorEastAsia" w:hint="eastAsia"/>
        </w:rPr>
        <w:t>预提银行间账户维护费</w:t>
      </w:r>
      <w:r w:rsidR="004056E6" w:rsidRPr="00CF3E25">
        <w:rPr>
          <w:rFonts w:asciiTheme="minorEastAsia" w:hAnsiTheme="minorEastAsia"/>
        </w:rPr>
        <w:t>1</w:t>
      </w:r>
      <w:r w:rsidR="004056E6" w:rsidRPr="00CF3E25">
        <w:rPr>
          <w:rFonts w:asciiTheme="minorEastAsia" w:hAnsiTheme="minorEastAsia" w:hint="eastAsia"/>
        </w:rPr>
        <w:t>,</w:t>
      </w:r>
      <w:r w:rsidR="004056E6" w:rsidRPr="00CF3E25">
        <w:rPr>
          <w:rFonts w:asciiTheme="minorEastAsia" w:hAnsiTheme="minorEastAsia"/>
        </w:rPr>
        <w:t>236.25</w:t>
      </w:r>
      <w:r w:rsidR="000D73A5" w:rsidRPr="00CF3E25">
        <w:rPr>
          <w:rFonts w:asciiTheme="minorEastAsia" w:hAnsiTheme="minorEastAsia" w:hint="eastAsia"/>
        </w:rPr>
        <w:t>元</w:t>
      </w:r>
      <w:r w:rsidR="00AD6A3C" w:rsidRPr="00CF3E25">
        <w:rPr>
          <w:rFonts w:asciiTheme="minorEastAsia" w:hAnsiTheme="minorEastAsia" w:hint="eastAsia"/>
        </w:rPr>
        <w:t>，将</w:t>
      </w:r>
      <w:r w:rsidR="00FF26D8" w:rsidRPr="00CF3E25">
        <w:rPr>
          <w:rFonts w:asciiTheme="minorEastAsia" w:hAnsiTheme="minorEastAsia" w:hint="eastAsia"/>
        </w:rPr>
        <w:t>根据缴费通知单划付</w:t>
      </w:r>
      <w:r w:rsidR="00AD6A3C" w:rsidRPr="00CF3E25">
        <w:rPr>
          <w:rFonts w:asciiTheme="minorEastAsia" w:hAnsiTheme="minorEastAsia" w:hint="eastAsia"/>
        </w:rPr>
        <w:t>。</w:t>
      </w:r>
    </w:p>
    <w:p w:rsidR="00637D99" w:rsidRPr="00CF3E25" w:rsidRDefault="00637D99" w:rsidP="00A808ED">
      <w:pPr>
        <w:spacing w:line="360" w:lineRule="auto"/>
        <w:ind w:left="420"/>
        <w:rPr>
          <w:rFonts w:asciiTheme="minorEastAsia" w:hAnsiTheme="minorEastAsia"/>
          <w:bCs/>
          <w:szCs w:val="21"/>
        </w:rPr>
      </w:pPr>
    </w:p>
    <w:p w:rsidR="008048CF" w:rsidRPr="00CF3E25" w:rsidRDefault="00637D99" w:rsidP="00A808ED">
      <w:pPr>
        <w:spacing w:line="360" w:lineRule="auto"/>
        <w:ind w:left="420"/>
        <w:rPr>
          <w:rFonts w:asciiTheme="minorEastAsia" w:hAnsiTheme="minorEastAsia"/>
          <w:bCs/>
          <w:szCs w:val="21"/>
        </w:rPr>
      </w:pPr>
      <w:r w:rsidRPr="00CF3E25">
        <w:rPr>
          <w:rFonts w:asciiTheme="minorEastAsia" w:hAnsiTheme="minorEastAsia" w:hint="eastAsia"/>
          <w:bCs/>
          <w:szCs w:val="21"/>
        </w:rPr>
        <w:t>4</w:t>
      </w:r>
      <w:r w:rsidR="005C273A">
        <w:rPr>
          <w:rFonts w:asciiTheme="minorEastAsia" w:hAnsiTheme="minorEastAsia" w:hint="eastAsia"/>
          <w:bCs/>
          <w:szCs w:val="21"/>
        </w:rPr>
        <w:t>、</w:t>
      </w:r>
      <w:r w:rsidRPr="00CF3E25">
        <w:rPr>
          <w:rFonts w:asciiTheme="minorEastAsia" w:hAnsiTheme="minorEastAsia" w:hint="eastAsia"/>
          <w:bCs/>
          <w:szCs w:val="21"/>
        </w:rPr>
        <w:t>清算期间基金资产净值的变动情况</w:t>
      </w:r>
    </w:p>
    <w:p w:rsidR="008048CF" w:rsidRPr="00CF3E25" w:rsidRDefault="008048CF" w:rsidP="008048CF">
      <w:pPr>
        <w:pStyle w:val="a6"/>
        <w:spacing w:line="360" w:lineRule="auto"/>
        <w:ind w:left="780" w:firstLineChars="0" w:firstLine="0"/>
        <w:rPr>
          <w:bCs/>
          <w:szCs w:val="21"/>
        </w:rPr>
      </w:pPr>
      <w:r w:rsidRPr="00CF3E25">
        <w:rPr>
          <w:rFonts w:hint="eastAsia"/>
          <w:bCs/>
          <w:szCs w:val="21"/>
        </w:rPr>
        <w:t xml:space="preserve">                                                        </w:t>
      </w:r>
      <w:r w:rsidRPr="00CF3E25">
        <w:rPr>
          <w:rFonts w:hint="eastAsia"/>
          <w:bCs/>
          <w:szCs w:val="21"/>
        </w:rPr>
        <w:t>单位：人民币元</w:t>
      </w:r>
    </w:p>
    <w:tbl>
      <w:tblPr>
        <w:tblStyle w:val="a7"/>
        <w:tblW w:w="5000" w:type="pct"/>
        <w:tblLook w:val="04A0"/>
      </w:tblPr>
      <w:tblGrid>
        <w:gridCol w:w="5776"/>
        <w:gridCol w:w="2746"/>
      </w:tblGrid>
      <w:tr w:rsidR="00637D99" w:rsidRPr="00CF3E25" w:rsidTr="00637D99">
        <w:trPr>
          <w:trHeight w:val="270"/>
        </w:trPr>
        <w:tc>
          <w:tcPr>
            <w:tcW w:w="3389" w:type="pct"/>
            <w:hideMark/>
          </w:tcPr>
          <w:p w:rsidR="00637D99" w:rsidRPr="00CF3E25" w:rsidRDefault="00637D99" w:rsidP="00ED11BA">
            <w:pPr>
              <w:widowControl/>
              <w:spacing w:line="276" w:lineRule="auto"/>
              <w:jc w:val="center"/>
              <w:rPr>
                <w:rFonts w:ascii="宋体" w:eastAsia="宋体" w:hAnsi="宋体" w:cs="宋体"/>
                <w:kern w:val="0"/>
                <w:szCs w:val="21"/>
              </w:rPr>
            </w:pPr>
            <w:r w:rsidRPr="00CF3E25">
              <w:rPr>
                <w:rFonts w:ascii="宋体" w:eastAsia="宋体" w:hAnsi="宋体" w:cs="宋体" w:hint="eastAsia"/>
                <w:kern w:val="0"/>
                <w:szCs w:val="21"/>
              </w:rPr>
              <w:t>项目</w:t>
            </w:r>
          </w:p>
        </w:tc>
        <w:tc>
          <w:tcPr>
            <w:tcW w:w="1611" w:type="pct"/>
            <w:hideMark/>
          </w:tcPr>
          <w:p w:rsidR="00637D99" w:rsidRPr="00CF3E25" w:rsidRDefault="00637D99" w:rsidP="00ED11BA">
            <w:pPr>
              <w:widowControl/>
              <w:spacing w:line="276" w:lineRule="auto"/>
              <w:jc w:val="center"/>
              <w:rPr>
                <w:rFonts w:ascii="宋体" w:eastAsia="宋体" w:hAnsi="宋体" w:cs="宋体"/>
                <w:kern w:val="0"/>
                <w:szCs w:val="21"/>
              </w:rPr>
            </w:pPr>
            <w:r w:rsidRPr="00CF3E25">
              <w:rPr>
                <w:rFonts w:ascii="宋体" w:eastAsia="宋体" w:hAnsi="宋体" w:cs="宋体" w:hint="eastAsia"/>
                <w:kern w:val="0"/>
                <w:szCs w:val="21"/>
              </w:rPr>
              <w:t>金额</w:t>
            </w:r>
          </w:p>
        </w:tc>
      </w:tr>
      <w:tr w:rsidR="00637D99" w:rsidRPr="00CF3E25" w:rsidTr="00637D99">
        <w:trPr>
          <w:trHeight w:val="270"/>
        </w:trPr>
        <w:tc>
          <w:tcPr>
            <w:tcW w:w="3389" w:type="pct"/>
            <w:hideMark/>
          </w:tcPr>
          <w:p w:rsidR="00637D99" w:rsidRPr="00CF3E25" w:rsidRDefault="00637D99" w:rsidP="00C30459">
            <w:pPr>
              <w:widowControl/>
              <w:spacing w:line="276" w:lineRule="auto"/>
              <w:rPr>
                <w:rFonts w:ascii="宋体" w:eastAsia="宋体" w:hAnsi="宋体" w:cs="宋体"/>
                <w:kern w:val="0"/>
                <w:szCs w:val="21"/>
              </w:rPr>
            </w:pPr>
            <w:r w:rsidRPr="00CF3E25">
              <w:rPr>
                <w:rFonts w:ascii="宋体" w:eastAsia="宋体" w:hAnsi="宋体" w:cs="宋体" w:hint="eastAsia"/>
                <w:kern w:val="0"/>
                <w:szCs w:val="21"/>
              </w:rPr>
              <w:t>一、最后运作日（2019年4月25日）</w:t>
            </w:r>
            <w:r w:rsidR="00C30459" w:rsidRPr="00CF3E25">
              <w:rPr>
                <w:rFonts w:asciiTheme="minorEastAsia" w:hAnsiTheme="minorEastAsia" w:hint="eastAsia"/>
                <w:bCs/>
                <w:szCs w:val="21"/>
              </w:rPr>
              <w:t>基金资产净值</w:t>
            </w:r>
          </w:p>
        </w:tc>
        <w:tc>
          <w:tcPr>
            <w:tcW w:w="1611" w:type="pct"/>
            <w:hideMark/>
          </w:tcPr>
          <w:p w:rsidR="00637D99" w:rsidRPr="00CF3E25" w:rsidRDefault="00637D99" w:rsidP="00ED11BA">
            <w:pPr>
              <w:widowControl/>
              <w:spacing w:line="276" w:lineRule="auto"/>
              <w:jc w:val="right"/>
              <w:rPr>
                <w:rFonts w:ascii="宋体" w:eastAsia="宋体" w:hAnsi="宋体" w:cs="宋体"/>
                <w:kern w:val="0"/>
                <w:szCs w:val="21"/>
              </w:rPr>
            </w:pPr>
            <w:r w:rsidRPr="00CF3E25">
              <w:rPr>
                <w:rFonts w:ascii="宋体" w:eastAsia="宋体" w:hAnsi="宋体" w:cs="宋体" w:hint="eastAsia"/>
                <w:kern w:val="0"/>
                <w:szCs w:val="21"/>
              </w:rPr>
              <w:t xml:space="preserve">6,646,314.80 </w:t>
            </w:r>
          </w:p>
        </w:tc>
      </w:tr>
      <w:tr w:rsidR="00637D99" w:rsidRPr="00CF3E25" w:rsidTr="00637D99">
        <w:trPr>
          <w:trHeight w:val="270"/>
        </w:trPr>
        <w:tc>
          <w:tcPr>
            <w:tcW w:w="3389" w:type="pct"/>
            <w:hideMark/>
          </w:tcPr>
          <w:p w:rsidR="00637D99" w:rsidRPr="00CF3E25" w:rsidRDefault="00637D99" w:rsidP="00A44BF5">
            <w:pPr>
              <w:widowControl/>
              <w:spacing w:line="276" w:lineRule="auto"/>
              <w:rPr>
                <w:rFonts w:ascii="宋体" w:eastAsia="宋体" w:hAnsi="宋体" w:cs="宋体"/>
                <w:kern w:val="0"/>
                <w:szCs w:val="21"/>
              </w:rPr>
            </w:pPr>
            <w:r w:rsidRPr="00CF3E25">
              <w:rPr>
                <w:rFonts w:ascii="宋体" w:eastAsia="宋体" w:hAnsi="宋体" w:cs="宋体" w:hint="eastAsia"/>
                <w:kern w:val="0"/>
                <w:szCs w:val="21"/>
              </w:rPr>
              <w:t>加：清算期间（2019年4月2</w:t>
            </w:r>
            <w:r w:rsidR="00A44BF5" w:rsidRPr="00CF3E25">
              <w:rPr>
                <w:rFonts w:ascii="宋体" w:eastAsia="宋体" w:hAnsi="宋体" w:cs="宋体" w:hint="eastAsia"/>
                <w:kern w:val="0"/>
                <w:szCs w:val="21"/>
              </w:rPr>
              <w:t>6</w:t>
            </w:r>
            <w:r w:rsidRPr="00CF3E25">
              <w:rPr>
                <w:rFonts w:ascii="宋体" w:eastAsia="宋体" w:hAnsi="宋体" w:cs="宋体" w:hint="eastAsia"/>
                <w:kern w:val="0"/>
                <w:szCs w:val="21"/>
              </w:rPr>
              <w:t>日至2019年5月17日）收入</w:t>
            </w:r>
          </w:p>
        </w:tc>
        <w:tc>
          <w:tcPr>
            <w:tcW w:w="1611" w:type="pct"/>
            <w:noWrap/>
            <w:hideMark/>
          </w:tcPr>
          <w:p w:rsidR="00637D99" w:rsidRPr="00CF3E25" w:rsidRDefault="00637D99" w:rsidP="00ED11BA">
            <w:pPr>
              <w:widowControl/>
              <w:spacing w:line="276" w:lineRule="auto"/>
              <w:jc w:val="left"/>
              <w:rPr>
                <w:rFonts w:ascii="宋体" w:eastAsia="宋体" w:hAnsi="宋体" w:cs="宋体"/>
                <w:kern w:val="0"/>
                <w:sz w:val="22"/>
              </w:rPr>
            </w:pPr>
            <w:r w:rsidRPr="00CF3E25">
              <w:rPr>
                <w:rFonts w:ascii="宋体" w:eastAsia="宋体" w:hAnsi="宋体" w:cs="宋体" w:hint="eastAsia"/>
                <w:kern w:val="0"/>
                <w:sz w:val="22"/>
              </w:rPr>
              <w:t xml:space="preserve">               3,059.95 </w:t>
            </w:r>
          </w:p>
        </w:tc>
      </w:tr>
      <w:tr w:rsidR="00637D99" w:rsidRPr="00CF3E25" w:rsidTr="00637D99">
        <w:trPr>
          <w:trHeight w:val="270"/>
        </w:trPr>
        <w:tc>
          <w:tcPr>
            <w:tcW w:w="3389" w:type="pct"/>
            <w:hideMark/>
          </w:tcPr>
          <w:p w:rsidR="00637D99" w:rsidRPr="00CF3E25" w:rsidRDefault="00637D99" w:rsidP="00CD2DBD">
            <w:pPr>
              <w:widowControl/>
              <w:spacing w:line="276" w:lineRule="auto"/>
              <w:rPr>
                <w:rFonts w:ascii="宋体" w:eastAsia="宋体" w:hAnsi="宋体" w:cs="宋体"/>
                <w:kern w:val="0"/>
                <w:szCs w:val="21"/>
              </w:rPr>
            </w:pPr>
            <w:r w:rsidRPr="00CF3E25">
              <w:rPr>
                <w:rFonts w:ascii="宋体" w:eastAsia="宋体" w:hAnsi="宋体" w:cs="宋体" w:hint="eastAsia"/>
                <w:kern w:val="0"/>
                <w:szCs w:val="21"/>
              </w:rPr>
              <w:t xml:space="preserve">    其中：利息收入-银行存款利息收入（注）</w:t>
            </w:r>
          </w:p>
        </w:tc>
        <w:tc>
          <w:tcPr>
            <w:tcW w:w="1611" w:type="pct"/>
            <w:hideMark/>
          </w:tcPr>
          <w:p w:rsidR="00637D99" w:rsidRPr="00CF3E25" w:rsidRDefault="00637D99" w:rsidP="00ED11BA">
            <w:pPr>
              <w:widowControl/>
              <w:spacing w:line="276" w:lineRule="auto"/>
              <w:jc w:val="right"/>
              <w:rPr>
                <w:rFonts w:ascii="宋体" w:eastAsia="宋体" w:hAnsi="宋体" w:cs="宋体"/>
                <w:kern w:val="0"/>
                <w:szCs w:val="21"/>
              </w:rPr>
            </w:pPr>
            <w:r w:rsidRPr="00CF3E25">
              <w:rPr>
                <w:rFonts w:ascii="宋体" w:eastAsia="宋体" w:hAnsi="宋体" w:cs="宋体" w:hint="eastAsia"/>
                <w:kern w:val="0"/>
                <w:szCs w:val="21"/>
              </w:rPr>
              <w:t xml:space="preserve">2,818.72 </w:t>
            </w:r>
          </w:p>
        </w:tc>
      </w:tr>
      <w:tr w:rsidR="00637D99" w:rsidRPr="00CF3E25" w:rsidTr="00637D99">
        <w:trPr>
          <w:trHeight w:val="270"/>
        </w:trPr>
        <w:tc>
          <w:tcPr>
            <w:tcW w:w="3389" w:type="pct"/>
            <w:hideMark/>
          </w:tcPr>
          <w:p w:rsidR="00637D99" w:rsidRPr="00CF3E25" w:rsidRDefault="00637D99" w:rsidP="00CD2DBD">
            <w:pPr>
              <w:widowControl/>
              <w:spacing w:line="276" w:lineRule="auto"/>
              <w:rPr>
                <w:rFonts w:ascii="宋体" w:eastAsia="宋体" w:hAnsi="宋体" w:cs="宋体"/>
                <w:kern w:val="0"/>
                <w:szCs w:val="21"/>
              </w:rPr>
            </w:pPr>
            <w:r w:rsidRPr="00CF3E25">
              <w:rPr>
                <w:rFonts w:ascii="宋体" w:eastAsia="宋体" w:hAnsi="宋体" w:cs="宋体" w:hint="eastAsia"/>
                <w:kern w:val="0"/>
                <w:szCs w:val="21"/>
              </w:rPr>
              <w:t xml:space="preserve">         </w:t>
            </w:r>
            <w:r w:rsidR="00785E12" w:rsidRPr="00CF3E25">
              <w:rPr>
                <w:rFonts w:ascii="宋体" w:eastAsia="宋体" w:hAnsi="宋体" w:cs="宋体" w:hint="eastAsia"/>
                <w:kern w:val="0"/>
                <w:szCs w:val="21"/>
              </w:rPr>
              <w:t xml:space="preserve"> </w:t>
            </w:r>
            <w:r w:rsidRPr="00CF3E25">
              <w:rPr>
                <w:rFonts w:ascii="宋体" w:eastAsia="宋体" w:hAnsi="宋体" w:cs="宋体" w:hint="eastAsia"/>
                <w:kern w:val="0"/>
                <w:szCs w:val="21"/>
              </w:rPr>
              <w:t>利息收入-结算备付金利息收入（注）</w:t>
            </w:r>
          </w:p>
        </w:tc>
        <w:tc>
          <w:tcPr>
            <w:tcW w:w="1611" w:type="pct"/>
            <w:hideMark/>
          </w:tcPr>
          <w:p w:rsidR="00637D99" w:rsidRPr="00CF3E25" w:rsidRDefault="00637D99" w:rsidP="00ED11BA">
            <w:pPr>
              <w:widowControl/>
              <w:spacing w:line="276" w:lineRule="auto"/>
              <w:jc w:val="right"/>
              <w:rPr>
                <w:rFonts w:ascii="宋体" w:eastAsia="宋体" w:hAnsi="宋体" w:cs="宋体"/>
                <w:kern w:val="0"/>
                <w:szCs w:val="21"/>
              </w:rPr>
            </w:pPr>
            <w:r w:rsidRPr="00CF3E25">
              <w:rPr>
                <w:rFonts w:ascii="宋体" w:eastAsia="宋体" w:hAnsi="宋体" w:cs="宋体" w:hint="eastAsia"/>
                <w:kern w:val="0"/>
                <w:szCs w:val="21"/>
              </w:rPr>
              <w:t xml:space="preserve">228.58 </w:t>
            </w:r>
          </w:p>
        </w:tc>
      </w:tr>
      <w:tr w:rsidR="00637D99" w:rsidRPr="00CF3E25" w:rsidTr="00637D99">
        <w:trPr>
          <w:trHeight w:val="270"/>
        </w:trPr>
        <w:tc>
          <w:tcPr>
            <w:tcW w:w="3389" w:type="pct"/>
            <w:hideMark/>
          </w:tcPr>
          <w:p w:rsidR="00637D99" w:rsidRPr="00CF3E25" w:rsidRDefault="00637D99" w:rsidP="00CD2DBD">
            <w:pPr>
              <w:widowControl/>
              <w:spacing w:line="276" w:lineRule="auto"/>
              <w:rPr>
                <w:rFonts w:ascii="宋体" w:eastAsia="宋体" w:hAnsi="宋体" w:cs="宋体"/>
                <w:kern w:val="0"/>
                <w:szCs w:val="21"/>
              </w:rPr>
            </w:pPr>
            <w:r w:rsidRPr="00CF3E25">
              <w:rPr>
                <w:rFonts w:ascii="宋体" w:eastAsia="宋体" w:hAnsi="宋体" w:cs="宋体" w:hint="eastAsia"/>
                <w:kern w:val="0"/>
                <w:szCs w:val="21"/>
              </w:rPr>
              <w:t xml:space="preserve">    </w:t>
            </w:r>
            <w:r w:rsidR="00785E12" w:rsidRPr="00CF3E25">
              <w:rPr>
                <w:rFonts w:ascii="宋体" w:eastAsia="宋体" w:hAnsi="宋体" w:cs="宋体" w:hint="eastAsia"/>
                <w:kern w:val="0"/>
                <w:szCs w:val="21"/>
              </w:rPr>
              <w:t xml:space="preserve">      </w:t>
            </w:r>
            <w:r w:rsidRPr="00CF3E25">
              <w:rPr>
                <w:rFonts w:ascii="宋体" w:eastAsia="宋体" w:hAnsi="宋体" w:cs="宋体" w:hint="eastAsia"/>
                <w:kern w:val="0"/>
                <w:szCs w:val="21"/>
              </w:rPr>
              <w:t>利息收入-存出保证金利息收入（注）</w:t>
            </w:r>
          </w:p>
        </w:tc>
        <w:tc>
          <w:tcPr>
            <w:tcW w:w="1611" w:type="pct"/>
            <w:hideMark/>
          </w:tcPr>
          <w:p w:rsidR="00637D99" w:rsidRPr="00CF3E25" w:rsidRDefault="00637D99" w:rsidP="00ED11BA">
            <w:pPr>
              <w:widowControl/>
              <w:spacing w:line="276" w:lineRule="auto"/>
              <w:jc w:val="right"/>
              <w:rPr>
                <w:rFonts w:ascii="宋体" w:eastAsia="宋体" w:hAnsi="宋体" w:cs="宋体"/>
                <w:kern w:val="0"/>
                <w:szCs w:val="21"/>
              </w:rPr>
            </w:pPr>
            <w:r w:rsidRPr="00CF3E25">
              <w:rPr>
                <w:rFonts w:ascii="宋体" w:eastAsia="宋体" w:hAnsi="宋体" w:cs="宋体" w:hint="eastAsia"/>
                <w:kern w:val="0"/>
                <w:szCs w:val="21"/>
              </w:rPr>
              <w:t xml:space="preserve">12.65 </w:t>
            </w:r>
          </w:p>
        </w:tc>
      </w:tr>
      <w:tr w:rsidR="00637D99" w:rsidRPr="00CF3E25" w:rsidTr="00785E12">
        <w:trPr>
          <w:trHeight w:val="270"/>
        </w:trPr>
        <w:tc>
          <w:tcPr>
            <w:tcW w:w="3389" w:type="pct"/>
            <w:vAlign w:val="center"/>
            <w:hideMark/>
          </w:tcPr>
          <w:p w:rsidR="00637D99" w:rsidRPr="00CF3E25" w:rsidRDefault="00637D99" w:rsidP="00ED11BA">
            <w:pPr>
              <w:widowControl/>
              <w:spacing w:line="276" w:lineRule="auto"/>
              <w:jc w:val="left"/>
              <w:rPr>
                <w:rFonts w:ascii="宋体" w:eastAsia="宋体" w:hAnsi="宋体" w:cs="宋体"/>
                <w:kern w:val="0"/>
                <w:szCs w:val="21"/>
              </w:rPr>
            </w:pPr>
            <w:r w:rsidRPr="00CF3E25">
              <w:rPr>
                <w:rFonts w:ascii="宋体" w:eastAsia="宋体" w:hAnsi="宋体" w:cs="宋体" w:hint="eastAsia"/>
                <w:kern w:val="0"/>
                <w:szCs w:val="21"/>
              </w:rPr>
              <w:t>减：</w:t>
            </w:r>
            <w:r w:rsidR="00F264A9" w:rsidRPr="00CF3E25">
              <w:rPr>
                <w:rFonts w:ascii="宋体" w:eastAsia="宋体" w:hAnsi="宋体" w:cs="宋体" w:hint="eastAsia"/>
                <w:kern w:val="0"/>
                <w:szCs w:val="21"/>
              </w:rPr>
              <w:t>清算期间</w:t>
            </w:r>
            <w:r w:rsidRPr="00CF3E25">
              <w:rPr>
                <w:rFonts w:ascii="宋体" w:eastAsia="宋体" w:hAnsi="宋体" w:cs="宋体" w:hint="eastAsia"/>
                <w:kern w:val="0"/>
                <w:szCs w:val="21"/>
              </w:rPr>
              <w:t>基金净赎回转出金额（2019年4月25日赎回并于2019年4月26日确认的申请）(减少用“-”表示)</w:t>
            </w:r>
          </w:p>
        </w:tc>
        <w:tc>
          <w:tcPr>
            <w:tcW w:w="1611" w:type="pct"/>
            <w:vAlign w:val="center"/>
            <w:hideMark/>
          </w:tcPr>
          <w:p w:rsidR="00637D99" w:rsidRPr="00CF3E25" w:rsidRDefault="00637D99" w:rsidP="00ED11BA">
            <w:pPr>
              <w:widowControl/>
              <w:spacing w:line="276" w:lineRule="auto"/>
              <w:jc w:val="right"/>
              <w:rPr>
                <w:rFonts w:ascii="宋体" w:eastAsia="宋体" w:hAnsi="宋体" w:cs="宋体"/>
                <w:kern w:val="0"/>
                <w:szCs w:val="21"/>
              </w:rPr>
            </w:pPr>
            <w:r w:rsidRPr="00CF3E25">
              <w:rPr>
                <w:rFonts w:ascii="宋体" w:eastAsia="宋体" w:hAnsi="宋体" w:cs="宋体" w:hint="eastAsia"/>
                <w:kern w:val="0"/>
                <w:szCs w:val="21"/>
              </w:rPr>
              <w:t>-1,163.96</w:t>
            </w:r>
          </w:p>
        </w:tc>
      </w:tr>
      <w:tr w:rsidR="00637D99" w:rsidRPr="00CF3E25" w:rsidTr="00637D99">
        <w:trPr>
          <w:trHeight w:val="270"/>
        </w:trPr>
        <w:tc>
          <w:tcPr>
            <w:tcW w:w="3389" w:type="pct"/>
            <w:hideMark/>
          </w:tcPr>
          <w:p w:rsidR="00637D99" w:rsidRPr="00CF3E25" w:rsidRDefault="00637D99" w:rsidP="00ED11BA">
            <w:pPr>
              <w:widowControl/>
              <w:spacing w:line="276" w:lineRule="auto"/>
              <w:rPr>
                <w:rFonts w:ascii="宋体" w:eastAsia="宋体" w:hAnsi="宋体" w:cs="宋体"/>
                <w:kern w:val="0"/>
                <w:szCs w:val="21"/>
              </w:rPr>
            </w:pPr>
            <w:r w:rsidRPr="00CF3E25">
              <w:rPr>
                <w:rFonts w:ascii="宋体" w:eastAsia="宋体" w:hAnsi="宋体" w:cs="宋体" w:hint="eastAsia"/>
                <w:kern w:val="0"/>
                <w:szCs w:val="21"/>
              </w:rPr>
              <w:t>二、清算期结束日（2019年5月17日）</w:t>
            </w:r>
            <w:r w:rsidR="00C30459" w:rsidRPr="00CF3E25">
              <w:rPr>
                <w:rFonts w:asciiTheme="minorEastAsia" w:hAnsiTheme="minorEastAsia" w:hint="eastAsia"/>
                <w:bCs/>
                <w:szCs w:val="21"/>
              </w:rPr>
              <w:t>基金资产净值</w:t>
            </w:r>
          </w:p>
        </w:tc>
        <w:tc>
          <w:tcPr>
            <w:tcW w:w="1611" w:type="pct"/>
            <w:hideMark/>
          </w:tcPr>
          <w:p w:rsidR="00637D99" w:rsidRPr="00CF3E25" w:rsidRDefault="00637D99" w:rsidP="00ED11BA">
            <w:pPr>
              <w:widowControl/>
              <w:spacing w:line="276" w:lineRule="auto"/>
              <w:jc w:val="right"/>
              <w:rPr>
                <w:rFonts w:ascii="宋体" w:eastAsia="宋体" w:hAnsi="宋体" w:cs="宋体"/>
                <w:kern w:val="0"/>
                <w:szCs w:val="21"/>
              </w:rPr>
            </w:pPr>
            <w:r w:rsidRPr="00CF3E25">
              <w:rPr>
                <w:rFonts w:ascii="宋体" w:eastAsia="宋体" w:hAnsi="宋体" w:cs="宋体" w:hint="eastAsia"/>
                <w:kern w:val="0"/>
                <w:szCs w:val="21"/>
              </w:rPr>
              <w:t xml:space="preserve">6,648,210.79 </w:t>
            </w:r>
          </w:p>
        </w:tc>
      </w:tr>
    </w:tbl>
    <w:p w:rsidR="008048CF" w:rsidRPr="00CF3E25" w:rsidRDefault="00A55D7D" w:rsidP="00A55D7D">
      <w:pPr>
        <w:spacing w:line="360" w:lineRule="auto"/>
        <w:rPr>
          <w:rFonts w:asciiTheme="minorEastAsia" w:hAnsiTheme="minorEastAsia"/>
          <w:bCs/>
          <w:szCs w:val="21"/>
        </w:rPr>
      </w:pPr>
      <w:r w:rsidRPr="00CF3E25">
        <w:rPr>
          <w:rFonts w:asciiTheme="minorEastAsia" w:hAnsiTheme="minorEastAsia" w:hint="eastAsia"/>
          <w:bCs/>
          <w:szCs w:val="21"/>
        </w:rPr>
        <w:t>注：利息收入系以当前适用的利率预估计提的</w:t>
      </w:r>
      <w:r w:rsidR="00CD2DBD" w:rsidRPr="00CF3E25">
        <w:rPr>
          <w:rFonts w:ascii="宋体" w:eastAsia="宋体" w:hAnsi="宋体" w:cs="宋体" w:hint="eastAsia"/>
          <w:kern w:val="0"/>
          <w:szCs w:val="21"/>
        </w:rPr>
        <w:t>2019年4月26日至2019年5月17日</w:t>
      </w:r>
      <w:r w:rsidRPr="00CF3E25">
        <w:rPr>
          <w:rFonts w:asciiTheme="minorEastAsia" w:hAnsiTheme="minorEastAsia" w:hint="eastAsia"/>
          <w:bCs/>
          <w:szCs w:val="21"/>
        </w:rPr>
        <w:t>期间的银行存款利息</w:t>
      </w:r>
      <w:r w:rsidR="005B3D45" w:rsidRPr="00CF3E25">
        <w:rPr>
          <w:rFonts w:asciiTheme="minorEastAsia" w:hAnsiTheme="minorEastAsia" w:hint="eastAsia"/>
          <w:bCs/>
          <w:szCs w:val="21"/>
        </w:rPr>
        <w:t>、结算</w:t>
      </w:r>
      <w:r w:rsidR="00FF26D8" w:rsidRPr="00CF3E25">
        <w:rPr>
          <w:rFonts w:asciiTheme="minorEastAsia" w:hAnsiTheme="minorEastAsia" w:hint="eastAsia"/>
          <w:bCs/>
          <w:szCs w:val="21"/>
        </w:rPr>
        <w:t>备付金利息</w:t>
      </w:r>
      <w:r w:rsidRPr="00CF3E25">
        <w:rPr>
          <w:rFonts w:asciiTheme="minorEastAsia" w:hAnsiTheme="minorEastAsia" w:hint="eastAsia"/>
          <w:bCs/>
          <w:szCs w:val="21"/>
        </w:rPr>
        <w:t>和</w:t>
      </w:r>
      <w:r w:rsidR="005B3D45" w:rsidRPr="00CF3E25">
        <w:rPr>
          <w:rFonts w:asciiTheme="minorEastAsia" w:hAnsiTheme="minorEastAsia" w:hint="eastAsia"/>
          <w:bCs/>
          <w:szCs w:val="21"/>
        </w:rPr>
        <w:t>存出</w:t>
      </w:r>
      <w:r w:rsidR="0059746E" w:rsidRPr="00CF3E25">
        <w:rPr>
          <w:rFonts w:asciiTheme="minorEastAsia" w:hAnsiTheme="minorEastAsia" w:hint="eastAsia"/>
          <w:bCs/>
          <w:szCs w:val="21"/>
        </w:rPr>
        <w:t>保证金利息。</w:t>
      </w:r>
    </w:p>
    <w:p w:rsidR="00C30459" w:rsidRPr="00CF3E25" w:rsidRDefault="00C30459" w:rsidP="00A55D7D">
      <w:pPr>
        <w:spacing w:line="360" w:lineRule="auto"/>
        <w:rPr>
          <w:rFonts w:asciiTheme="minorEastAsia" w:hAnsiTheme="minorEastAsia"/>
          <w:bCs/>
          <w:szCs w:val="21"/>
        </w:rPr>
      </w:pPr>
    </w:p>
    <w:p w:rsidR="00180DD2" w:rsidRPr="00CF3E25" w:rsidRDefault="00180DD2" w:rsidP="00A55D7D">
      <w:pPr>
        <w:spacing w:line="360" w:lineRule="auto"/>
        <w:ind w:firstLine="405"/>
        <w:rPr>
          <w:rFonts w:asciiTheme="minorEastAsia" w:hAnsiTheme="minorEastAsia"/>
          <w:bCs/>
          <w:szCs w:val="21"/>
        </w:rPr>
      </w:pPr>
      <w:r w:rsidRPr="00CF3E25">
        <w:rPr>
          <w:rFonts w:asciiTheme="minorEastAsia" w:hAnsiTheme="minorEastAsia" w:hint="eastAsia"/>
          <w:bCs/>
          <w:szCs w:val="21"/>
        </w:rPr>
        <w:t>5</w:t>
      </w:r>
      <w:r w:rsidR="005C273A">
        <w:rPr>
          <w:rFonts w:asciiTheme="minorEastAsia" w:hAnsiTheme="minorEastAsia" w:hint="eastAsia"/>
          <w:bCs/>
          <w:szCs w:val="21"/>
        </w:rPr>
        <w:t>、</w:t>
      </w:r>
      <w:r w:rsidRPr="00CF3E25">
        <w:rPr>
          <w:rFonts w:asciiTheme="minorEastAsia" w:hAnsiTheme="minorEastAsia" w:hint="eastAsia"/>
          <w:bCs/>
          <w:szCs w:val="21"/>
        </w:rPr>
        <w:t>其他说明</w:t>
      </w:r>
      <w:r w:rsidR="00A342C1" w:rsidRPr="00CF3E25">
        <w:rPr>
          <w:rFonts w:asciiTheme="minorEastAsia" w:hAnsiTheme="minorEastAsia" w:hint="eastAsia"/>
          <w:bCs/>
          <w:szCs w:val="21"/>
        </w:rPr>
        <w:t>事项</w:t>
      </w:r>
    </w:p>
    <w:p w:rsidR="0016301C" w:rsidRPr="00CF3E25" w:rsidRDefault="00D009A8" w:rsidP="00A55D7D">
      <w:pPr>
        <w:spacing w:line="360" w:lineRule="auto"/>
        <w:ind w:firstLine="405"/>
        <w:rPr>
          <w:rFonts w:asciiTheme="minorEastAsia" w:hAnsiTheme="minorEastAsia"/>
          <w:bCs/>
          <w:szCs w:val="21"/>
        </w:rPr>
      </w:pPr>
      <w:r w:rsidRPr="00CF3E25">
        <w:rPr>
          <w:rFonts w:asciiTheme="minorEastAsia" w:hAnsiTheme="minorEastAsia" w:hint="eastAsia"/>
          <w:bCs/>
          <w:szCs w:val="21"/>
        </w:rPr>
        <w:t>清算期结束日（</w:t>
      </w:r>
      <w:r w:rsidRPr="00CF3E25">
        <w:rPr>
          <w:rFonts w:asciiTheme="minorEastAsia" w:hAnsiTheme="minorEastAsia"/>
          <w:bCs/>
          <w:szCs w:val="21"/>
        </w:rPr>
        <w:t>2019年5月17日）</w:t>
      </w:r>
      <w:r w:rsidR="00EE27E5" w:rsidRPr="00CF3E25">
        <w:rPr>
          <w:rFonts w:asciiTheme="minorEastAsia" w:hAnsiTheme="minorEastAsia" w:hint="eastAsia"/>
          <w:bCs/>
          <w:szCs w:val="21"/>
        </w:rPr>
        <w:t>本</w:t>
      </w:r>
      <w:r w:rsidRPr="00CF3E25">
        <w:rPr>
          <w:rFonts w:asciiTheme="minorEastAsia" w:hAnsiTheme="minorEastAsia" w:hint="eastAsia"/>
          <w:bCs/>
          <w:szCs w:val="21"/>
        </w:rPr>
        <w:t>基金</w:t>
      </w:r>
      <w:r w:rsidR="00EE27E5" w:rsidRPr="00CF3E25">
        <w:rPr>
          <w:rFonts w:asciiTheme="minorEastAsia" w:hAnsiTheme="minorEastAsia" w:hint="eastAsia"/>
          <w:bCs/>
          <w:szCs w:val="21"/>
        </w:rPr>
        <w:t>剩余财产</w:t>
      </w:r>
      <w:r w:rsidR="00B34603" w:rsidRPr="00CF3E25">
        <w:rPr>
          <w:rFonts w:asciiTheme="minorEastAsia" w:hAnsiTheme="minorEastAsia" w:hint="eastAsia"/>
          <w:bCs/>
          <w:szCs w:val="21"/>
        </w:rPr>
        <w:t>（</w:t>
      </w:r>
      <w:r w:rsidR="00C30459" w:rsidRPr="00CF3E25">
        <w:rPr>
          <w:rFonts w:asciiTheme="minorEastAsia" w:hAnsiTheme="minorEastAsia" w:hint="eastAsia"/>
          <w:bCs/>
          <w:szCs w:val="21"/>
        </w:rPr>
        <w:t>基金资产净值</w:t>
      </w:r>
      <w:r w:rsidR="00B34603" w:rsidRPr="00CF3E25">
        <w:rPr>
          <w:rFonts w:asciiTheme="minorEastAsia" w:hAnsiTheme="minorEastAsia" w:hint="eastAsia"/>
          <w:bCs/>
          <w:szCs w:val="21"/>
        </w:rPr>
        <w:t>）</w:t>
      </w:r>
      <w:r w:rsidR="0016301C" w:rsidRPr="00CF3E25">
        <w:rPr>
          <w:rFonts w:asciiTheme="minorEastAsia" w:hAnsiTheme="minorEastAsia" w:hint="eastAsia"/>
          <w:bCs/>
          <w:szCs w:val="21"/>
        </w:rPr>
        <w:t>为人民币</w:t>
      </w:r>
      <w:r w:rsidR="00CD2DBD" w:rsidRPr="00CF3E25">
        <w:rPr>
          <w:rFonts w:asciiTheme="minorEastAsia" w:hAnsiTheme="minorEastAsia"/>
          <w:bCs/>
          <w:szCs w:val="21"/>
        </w:rPr>
        <w:t>6</w:t>
      </w:r>
      <w:r w:rsidR="00CD2DBD" w:rsidRPr="00CF3E25">
        <w:rPr>
          <w:rFonts w:asciiTheme="minorEastAsia" w:hAnsiTheme="minorEastAsia" w:hint="eastAsia"/>
          <w:bCs/>
          <w:szCs w:val="21"/>
        </w:rPr>
        <w:t>,</w:t>
      </w:r>
      <w:r w:rsidR="00CD2DBD" w:rsidRPr="00CF3E25">
        <w:rPr>
          <w:rFonts w:asciiTheme="minorEastAsia" w:hAnsiTheme="minorEastAsia"/>
          <w:bCs/>
          <w:szCs w:val="21"/>
        </w:rPr>
        <w:t>648</w:t>
      </w:r>
      <w:r w:rsidR="00CD2DBD" w:rsidRPr="00CF3E25">
        <w:rPr>
          <w:rFonts w:asciiTheme="minorEastAsia" w:hAnsiTheme="minorEastAsia" w:hint="eastAsia"/>
          <w:bCs/>
          <w:szCs w:val="21"/>
        </w:rPr>
        <w:t>,</w:t>
      </w:r>
      <w:r w:rsidR="00CD2DBD" w:rsidRPr="00CF3E25">
        <w:rPr>
          <w:rFonts w:asciiTheme="minorEastAsia" w:hAnsiTheme="minorEastAsia"/>
          <w:bCs/>
          <w:szCs w:val="21"/>
        </w:rPr>
        <w:t>210.79</w:t>
      </w:r>
      <w:r w:rsidR="0016301C" w:rsidRPr="00CF3E25">
        <w:rPr>
          <w:rFonts w:asciiTheme="minorEastAsia" w:hAnsiTheme="minorEastAsia" w:hint="eastAsia"/>
          <w:bCs/>
          <w:szCs w:val="21"/>
        </w:rPr>
        <w:t>元，根据本基金的基金合同约定，依据基金财产清算的分配方案，将基金财产清算后的全部剩余资产清偿基金债务后，按基金份额持有人持有的基金份额比例进行分配。</w:t>
      </w:r>
    </w:p>
    <w:p w:rsidR="0016301C" w:rsidRPr="00CF3E25" w:rsidRDefault="00A323D2" w:rsidP="00A55D7D">
      <w:pPr>
        <w:spacing w:line="360" w:lineRule="auto"/>
        <w:ind w:firstLine="405"/>
        <w:rPr>
          <w:rFonts w:asciiTheme="minorEastAsia" w:hAnsiTheme="minorEastAsia"/>
          <w:bCs/>
          <w:szCs w:val="21"/>
        </w:rPr>
      </w:pPr>
      <w:r w:rsidRPr="00CF3E25">
        <w:rPr>
          <w:rFonts w:asciiTheme="minorEastAsia" w:hAnsiTheme="minorEastAsia" w:hint="eastAsia"/>
          <w:bCs/>
          <w:szCs w:val="21"/>
        </w:rPr>
        <w:t>清算期结束</w:t>
      </w:r>
      <w:r w:rsidR="006B5D33" w:rsidRPr="00CF3E25">
        <w:rPr>
          <w:rFonts w:asciiTheme="minorEastAsia" w:hAnsiTheme="minorEastAsia" w:hint="eastAsia"/>
          <w:bCs/>
          <w:szCs w:val="21"/>
        </w:rPr>
        <w:t>日</w:t>
      </w:r>
      <w:r w:rsidR="001E5352" w:rsidRPr="00CF3E25">
        <w:rPr>
          <w:rFonts w:asciiTheme="minorEastAsia" w:hAnsiTheme="minorEastAsia" w:hint="eastAsia"/>
          <w:bCs/>
          <w:szCs w:val="21"/>
        </w:rPr>
        <w:t>次</w:t>
      </w:r>
      <w:r w:rsidR="00BA43E8" w:rsidRPr="00CF3E25">
        <w:rPr>
          <w:rFonts w:asciiTheme="minorEastAsia" w:hAnsiTheme="minorEastAsia" w:hint="eastAsia"/>
          <w:bCs/>
          <w:szCs w:val="21"/>
        </w:rPr>
        <w:t>日</w:t>
      </w:r>
      <w:r w:rsidRPr="00CF3E25">
        <w:rPr>
          <w:rFonts w:asciiTheme="minorEastAsia" w:hAnsiTheme="minorEastAsia" w:hint="eastAsia"/>
          <w:bCs/>
          <w:szCs w:val="21"/>
        </w:rPr>
        <w:t>（</w:t>
      </w:r>
      <w:r w:rsidR="00CD2DBD" w:rsidRPr="00CF3E25">
        <w:rPr>
          <w:rFonts w:asciiTheme="minorEastAsia" w:hAnsiTheme="minorEastAsia" w:hint="eastAsia"/>
          <w:bCs/>
          <w:szCs w:val="21"/>
        </w:rPr>
        <w:t>2019年5月18日</w:t>
      </w:r>
      <w:r w:rsidRPr="00CF3E25">
        <w:rPr>
          <w:rFonts w:asciiTheme="minorEastAsia" w:hAnsiTheme="minorEastAsia" w:hint="eastAsia"/>
          <w:bCs/>
          <w:szCs w:val="21"/>
        </w:rPr>
        <w:t>）</w:t>
      </w:r>
      <w:r w:rsidR="0016301C" w:rsidRPr="00CF3E25">
        <w:rPr>
          <w:rFonts w:asciiTheme="minorEastAsia" w:hAnsiTheme="minorEastAsia" w:hint="eastAsia"/>
          <w:bCs/>
          <w:szCs w:val="21"/>
        </w:rPr>
        <w:t>至清算款划出日前一日的银行存款</w:t>
      </w:r>
      <w:r w:rsidR="00426612" w:rsidRPr="00CF3E25">
        <w:rPr>
          <w:rFonts w:asciiTheme="minorEastAsia" w:hAnsiTheme="minorEastAsia" w:hint="eastAsia"/>
          <w:bCs/>
          <w:szCs w:val="21"/>
        </w:rPr>
        <w:t>等</w:t>
      </w:r>
      <w:r w:rsidR="0016301C" w:rsidRPr="00CF3E25">
        <w:rPr>
          <w:rFonts w:asciiTheme="minorEastAsia" w:hAnsiTheme="minorEastAsia" w:hint="eastAsia"/>
          <w:bCs/>
          <w:szCs w:val="21"/>
        </w:rPr>
        <w:t>孳生的利息亦属份额持有人</w:t>
      </w:r>
      <w:r w:rsidR="0014142E" w:rsidRPr="00CF3E25">
        <w:rPr>
          <w:rFonts w:asciiTheme="minorEastAsia" w:hAnsiTheme="minorEastAsia" w:hint="eastAsia"/>
          <w:bCs/>
          <w:szCs w:val="21"/>
        </w:rPr>
        <w:t>所有。为保护基金份额持有人利益，加快清盘速度，基金管理人将以自有资金先</w:t>
      </w:r>
      <w:r w:rsidR="0016301C" w:rsidRPr="00CF3E25">
        <w:rPr>
          <w:rFonts w:asciiTheme="minorEastAsia" w:hAnsiTheme="minorEastAsia" w:hint="eastAsia"/>
          <w:bCs/>
          <w:szCs w:val="21"/>
        </w:rPr>
        <w:t>行垫付该笔款项（该金额可能与实际结息金额存在略微差异），供清盘分配使用。基金管理人垫付的资金以及垫付资金到账日起孳生的利息将于清算期后返还给基金管理人。</w:t>
      </w:r>
    </w:p>
    <w:p w:rsidR="00180DD2" w:rsidRPr="00CF3E25" w:rsidRDefault="00180DD2" w:rsidP="00A55D7D">
      <w:pPr>
        <w:spacing w:line="360" w:lineRule="auto"/>
        <w:ind w:firstLine="405"/>
        <w:rPr>
          <w:rFonts w:asciiTheme="minorEastAsia" w:hAnsiTheme="minorEastAsia"/>
          <w:bCs/>
          <w:szCs w:val="21"/>
        </w:rPr>
      </w:pPr>
    </w:p>
    <w:p w:rsidR="0016301C" w:rsidRPr="00CF3E25" w:rsidRDefault="00180DD2" w:rsidP="0016301C">
      <w:pPr>
        <w:spacing w:line="360" w:lineRule="auto"/>
        <w:ind w:firstLine="405"/>
        <w:rPr>
          <w:rFonts w:asciiTheme="minorEastAsia" w:hAnsiTheme="minorEastAsia"/>
          <w:bCs/>
          <w:szCs w:val="21"/>
        </w:rPr>
      </w:pPr>
      <w:r w:rsidRPr="00CF3E25">
        <w:rPr>
          <w:rFonts w:asciiTheme="minorEastAsia" w:hAnsiTheme="minorEastAsia" w:hint="eastAsia"/>
          <w:bCs/>
          <w:szCs w:val="21"/>
        </w:rPr>
        <w:t>6</w:t>
      </w:r>
      <w:r w:rsidR="005C273A">
        <w:rPr>
          <w:rFonts w:asciiTheme="minorEastAsia" w:hAnsiTheme="minorEastAsia" w:hint="eastAsia"/>
          <w:bCs/>
          <w:szCs w:val="21"/>
        </w:rPr>
        <w:t>、</w:t>
      </w:r>
      <w:r w:rsidR="0016301C" w:rsidRPr="00CF3E25">
        <w:rPr>
          <w:rFonts w:asciiTheme="minorEastAsia" w:hAnsiTheme="minorEastAsia" w:hint="eastAsia"/>
          <w:bCs/>
          <w:szCs w:val="21"/>
        </w:rPr>
        <w:t>基金财产清算报告的告知安排</w:t>
      </w:r>
    </w:p>
    <w:p w:rsidR="0016301C" w:rsidRPr="00CF3E25" w:rsidRDefault="0016301C" w:rsidP="000E7074">
      <w:pPr>
        <w:spacing w:line="360" w:lineRule="auto"/>
        <w:ind w:firstLineChars="200" w:firstLine="420"/>
        <w:rPr>
          <w:rFonts w:asciiTheme="minorEastAsia" w:hAnsiTheme="minorEastAsia"/>
          <w:bCs/>
          <w:szCs w:val="21"/>
        </w:rPr>
      </w:pPr>
      <w:r w:rsidRPr="00CF3E25">
        <w:rPr>
          <w:rFonts w:asciiTheme="minorEastAsia" w:hAnsiTheme="minorEastAsia" w:hint="eastAsia"/>
          <w:bCs/>
          <w:szCs w:val="21"/>
        </w:rPr>
        <w:t>本清算报告已经基金托管人复核，在经会计师事务所审计、律师事务所出具法律意见书后，报中国证券监督管理委员会备案并向基金份额持有人公告。</w:t>
      </w:r>
    </w:p>
    <w:p w:rsidR="002E4A2B" w:rsidRPr="00CF3E25" w:rsidRDefault="002E4A2B" w:rsidP="000E7074">
      <w:pPr>
        <w:spacing w:line="360" w:lineRule="auto"/>
        <w:ind w:firstLineChars="200" w:firstLine="420"/>
        <w:rPr>
          <w:rFonts w:asciiTheme="minorEastAsia" w:hAnsiTheme="minorEastAsia"/>
          <w:bCs/>
          <w:szCs w:val="21"/>
        </w:rPr>
      </w:pPr>
    </w:p>
    <w:p w:rsidR="009141EF" w:rsidRPr="00CF3E25" w:rsidRDefault="009141EF" w:rsidP="00F919E2"/>
    <w:p w:rsidR="000D52C9" w:rsidRPr="00CF3E25" w:rsidRDefault="000D52C9" w:rsidP="00F919E2"/>
    <w:p w:rsidR="0016301C" w:rsidRPr="00CF3E25" w:rsidRDefault="006C4B9D" w:rsidP="006C4B9D">
      <w:pPr>
        <w:spacing w:line="360" w:lineRule="auto"/>
        <w:jc w:val="center"/>
        <w:rPr>
          <w:rFonts w:ascii="黑体" w:eastAsia="黑体" w:hAnsi="宋体"/>
          <w:b/>
          <w:bCs/>
          <w:sz w:val="28"/>
          <w:szCs w:val="28"/>
        </w:rPr>
      </w:pPr>
      <w:r w:rsidRPr="00CF3E25">
        <w:rPr>
          <w:rFonts w:ascii="黑体" w:eastAsia="黑体" w:hAnsi="宋体" w:hint="eastAsia"/>
          <w:b/>
          <w:bCs/>
          <w:sz w:val="28"/>
          <w:szCs w:val="28"/>
        </w:rPr>
        <w:t>六、</w:t>
      </w:r>
      <w:r w:rsidR="0016301C" w:rsidRPr="00CF3E25">
        <w:rPr>
          <w:rFonts w:ascii="黑体" w:eastAsia="黑体" w:hAnsi="宋体" w:hint="eastAsia"/>
          <w:b/>
          <w:bCs/>
          <w:sz w:val="28"/>
          <w:szCs w:val="28"/>
        </w:rPr>
        <w:t>备查文件</w:t>
      </w:r>
    </w:p>
    <w:p w:rsidR="009067A6" w:rsidRPr="00CF3E25" w:rsidRDefault="009067A6" w:rsidP="009067A6">
      <w:pPr>
        <w:spacing w:line="360" w:lineRule="auto"/>
        <w:ind w:firstLineChars="200" w:firstLine="420"/>
        <w:jc w:val="left"/>
        <w:rPr>
          <w:rFonts w:asciiTheme="minorEastAsia" w:hAnsiTheme="minorEastAsia"/>
        </w:rPr>
      </w:pPr>
      <w:r w:rsidRPr="00CF3E25">
        <w:rPr>
          <w:rFonts w:asciiTheme="minorEastAsia" w:hAnsiTheme="minorEastAsia" w:hint="eastAsia"/>
        </w:rPr>
        <w:t>1、备查文件目录</w:t>
      </w:r>
    </w:p>
    <w:p w:rsidR="009067A6" w:rsidRPr="00CF3E25" w:rsidRDefault="009067A6" w:rsidP="009067A6">
      <w:pPr>
        <w:spacing w:line="360" w:lineRule="auto"/>
        <w:ind w:firstLineChars="200" w:firstLine="420"/>
        <w:jc w:val="left"/>
        <w:rPr>
          <w:rFonts w:asciiTheme="minorEastAsia" w:hAnsiTheme="minorEastAsia"/>
        </w:rPr>
      </w:pPr>
      <w:r w:rsidRPr="00CF3E25">
        <w:rPr>
          <w:rFonts w:asciiTheme="minorEastAsia" w:hAnsiTheme="minorEastAsia" w:hint="eastAsia"/>
        </w:rPr>
        <w:t>（1）</w:t>
      </w:r>
      <w:r w:rsidR="00066D97" w:rsidRPr="00CF3E25">
        <w:rPr>
          <w:rFonts w:ascii="宋体" w:hAnsi="宋体" w:hint="eastAsia"/>
          <w:szCs w:val="21"/>
        </w:rPr>
        <w:t>长城久盈纯债债券型证券投资基金</w:t>
      </w:r>
      <w:r w:rsidRPr="00CF3E25">
        <w:rPr>
          <w:rFonts w:asciiTheme="minorEastAsia" w:hAnsiTheme="minorEastAsia" w:hint="eastAsia"/>
        </w:rPr>
        <w:t>清算审计报告</w:t>
      </w:r>
    </w:p>
    <w:p w:rsidR="009067A6" w:rsidRPr="00CF3E25" w:rsidRDefault="009067A6" w:rsidP="009067A6">
      <w:pPr>
        <w:spacing w:line="360" w:lineRule="auto"/>
        <w:ind w:firstLineChars="200" w:firstLine="420"/>
        <w:jc w:val="left"/>
        <w:rPr>
          <w:rFonts w:asciiTheme="minorEastAsia" w:hAnsiTheme="minorEastAsia"/>
        </w:rPr>
      </w:pPr>
      <w:r w:rsidRPr="00CF3E25">
        <w:rPr>
          <w:rFonts w:asciiTheme="minorEastAsia" w:hAnsiTheme="minorEastAsia" w:hint="eastAsia"/>
        </w:rPr>
        <w:t>（2）</w:t>
      </w:r>
      <w:r w:rsidR="00C30459" w:rsidRPr="00CF3E25">
        <w:rPr>
          <w:rFonts w:asciiTheme="minorEastAsia" w:hAnsiTheme="minorEastAsia" w:hint="eastAsia"/>
        </w:rPr>
        <w:t>北京市中伦</w:t>
      </w:r>
      <w:r w:rsidRPr="00CF3E25">
        <w:rPr>
          <w:rFonts w:asciiTheme="minorEastAsia" w:hAnsiTheme="minorEastAsia" w:hint="eastAsia"/>
        </w:rPr>
        <w:t>律师事务所关于《</w:t>
      </w:r>
      <w:r w:rsidR="00066D97" w:rsidRPr="00CF3E25">
        <w:rPr>
          <w:rFonts w:ascii="宋体" w:hAnsi="宋体" w:hint="eastAsia"/>
          <w:szCs w:val="21"/>
        </w:rPr>
        <w:t>长城久盈纯债债券型证券投资基金</w:t>
      </w:r>
      <w:r w:rsidRPr="00CF3E25">
        <w:rPr>
          <w:rFonts w:asciiTheme="minorEastAsia" w:hAnsiTheme="minorEastAsia" w:hint="eastAsia"/>
        </w:rPr>
        <w:t>清算报告》的法律意见</w:t>
      </w:r>
      <w:r w:rsidR="008D67DE">
        <w:rPr>
          <w:rFonts w:asciiTheme="minorEastAsia" w:hAnsiTheme="minorEastAsia" w:hint="eastAsia"/>
        </w:rPr>
        <w:t>书</w:t>
      </w:r>
    </w:p>
    <w:p w:rsidR="009067A6" w:rsidRPr="00CF3E25" w:rsidRDefault="009067A6" w:rsidP="009067A6">
      <w:pPr>
        <w:spacing w:line="360" w:lineRule="auto"/>
        <w:ind w:firstLineChars="200" w:firstLine="420"/>
        <w:jc w:val="left"/>
        <w:rPr>
          <w:rFonts w:asciiTheme="minorEastAsia" w:hAnsiTheme="minorEastAsia"/>
        </w:rPr>
      </w:pPr>
      <w:r w:rsidRPr="00CF3E25">
        <w:rPr>
          <w:rFonts w:asciiTheme="minorEastAsia" w:hAnsiTheme="minorEastAsia" w:hint="eastAsia"/>
        </w:rPr>
        <w:t>2、存放地点</w:t>
      </w:r>
    </w:p>
    <w:p w:rsidR="009067A6" w:rsidRPr="00CF3E25" w:rsidRDefault="009067A6" w:rsidP="009067A6">
      <w:pPr>
        <w:spacing w:line="360" w:lineRule="auto"/>
        <w:ind w:firstLineChars="200" w:firstLine="420"/>
        <w:jc w:val="left"/>
        <w:rPr>
          <w:rFonts w:asciiTheme="minorEastAsia" w:hAnsiTheme="minorEastAsia"/>
        </w:rPr>
      </w:pPr>
      <w:r w:rsidRPr="00CF3E25">
        <w:rPr>
          <w:rFonts w:asciiTheme="minorEastAsia" w:hAnsiTheme="minorEastAsia" w:hint="eastAsia"/>
        </w:rPr>
        <w:t>基金管理人的办公场所：深圳市福田区益田路6009号新世界商务中心40-41层</w:t>
      </w:r>
    </w:p>
    <w:p w:rsidR="009067A6" w:rsidRPr="00CF3E25" w:rsidRDefault="009067A6" w:rsidP="009067A6">
      <w:pPr>
        <w:spacing w:line="360" w:lineRule="auto"/>
        <w:ind w:firstLineChars="200" w:firstLine="420"/>
        <w:jc w:val="left"/>
        <w:rPr>
          <w:rFonts w:asciiTheme="minorEastAsia" w:hAnsiTheme="minorEastAsia"/>
        </w:rPr>
      </w:pPr>
      <w:r w:rsidRPr="00CF3E25">
        <w:rPr>
          <w:rFonts w:asciiTheme="minorEastAsia" w:hAnsiTheme="minorEastAsia" w:hint="eastAsia"/>
        </w:rPr>
        <w:t>存放网址：www.ccfund.com.cn</w:t>
      </w:r>
    </w:p>
    <w:p w:rsidR="009067A6" w:rsidRPr="00CF3E25" w:rsidRDefault="009067A6" w:rsidP="009067A6">
      <w:pPr>
        <w:spacing w:line="360" w:lineRule="auto"/>
        <w:ind w:firstLineChars="200" w:firstLine="420"/>
        <w:jc w:val="left"/>
        <w:rPr>
          <w:rFonts w:asciiTheme="minorEastAsia" w:hAnsiTheme="minorEastAsia"/>
        </w:rPr>
      </w:pPr>
      <w:r w:rsidRPr="00CF3E25">
        <w:rPr>
          <w:rFonts w:asciiTheme="minorEastAsia" w:hAnsiTheme="minorEastAsia" w:hint="eastAsia"/>
        </w:rPr>
        <w:t>3、查阅方式</w:t>
      </w:r>
    </w:p>
    <w:p w:rsidR="009067A6" w:rsidRPr="00CF3E25" w:rsidRDefault="009067A6" w:rsidP="009067A6">
      <w:pPr>
        <w:spacing w:line="360" w:lineRule="auto"/>
        <w:ind w:firstLineChars="200" w:firstLine="420"/>
        <w:jc w:val="left"/>
        <w:rPr>
          <w:rFonts w:asciiTheme="minorEastAsia" w:hAnsiTheme="minorEastAsia"/>
        </w:rPr>
      </w:pPr>
      <w:r w:rsidRPr="00CF3E25">
        <w:rPr>
          <w:rFonts w:asciiTheme="minorEastAsia" w:hAnsiTheme="minorEastAsia" w:hint="eastAsia"/>
        </w:rPr>
        <w:t>投资者可在营业时间内至基金管理人的办公场所免费查阅。</w:t>
      </w:r>
    </w:p>
    <w:p w:rsidR="009067A6" w:rsidRPr="00CF3E25" w:rsidRDefault="009067A6" w:rsidP="009067A6">
      <w:pPr>
        <w:spacing w:line="360" w:lineRule="auto"/>
        <w:jc w:val="left"/>
        <w:rPr>
          <w:rFonts w:asciiTheme="minorEastAsia" w:hAnsiTheme="minorEastAsia"/>
        </w:rPr>
      </w:pPr>
    </w:p>
    <w:p w:rsidR="0016301C" w:rsidRPr="00CF3E25" w:rsidRDefault="0016301C" w:rsidP="009067A6">
      <w:pPr>
        <w:spacing w:line="360" w:lineRule="auto"/>
        <w:jc w:val="right"/>
        <w:rPr>
          <w:rFonts w:ascii="宋体" w:hAnsi="宋体"/>
          <w:szCs w:val="21"/>
        </w:rPr>
      </w:pPr>
    </w:p>
    <w:p w:rsidR="00CF3E25" w:rsidRPr="00CF3E25" w:rsidRDefault="00CF3E25" w:rsidP="009067A6">
      <w:pPr>
        <w:spacing w:line="360" w:lineRule="auto"/>
        <w:jc w:val="right"/>
        <w:rPr>
          <w:rFonts w:ascii="宋体" w:hAnsi="宋体"/>
          <w:szCs w:val="21"/>
        </w:rPr>
      </w:pPr>
    </w:p>
    <w:p w:rsidR="00CF3E25" w:rsidRPr="00CF3E25" w:rsidRDefault="00CF3E25" w:rsidP="009067A6">
      <w:pPr>
        <w:spacing w:line="360" w:lineRule="auto"/>
        <w:jc w:val="right"/>
        <w:rPr>
          <w:rFonts w:ascii="宋体" w:hAnsi="宋体"/>
          <w:szCs w:val="21"/>
        </w:rPr>
      </w:pPr>
    </w:p>
    <w:p w:rsidR="00CF3E25" w:rsidRPr="00CF3E25" w:rsidRDefault="00CF3E25" w:rsidP="009067A6">
      <w:pPr>
        <w:spacing w:line="360" w:lineRule="auto"/>
        <w:jc w:val="right"/>
        <w:rPr>
          <w:rFonts w:ascii="宋体" w:hAnsi="宋体"/>
          <w:szCs w:val="21"/>
        </w:rPr>
      </w:pPr>
    </w:p>
    <w:p w:rsidR="00AB57A3" w:rsidRPr="009067A6" w:rsidRDefault="00AB57A3" w:rsidP="00AB57A3">
      <w:pPr>
        <w:spacing w:line="360" w:lineRule="auto"/>
        <w:jc w:val="right"/>
        <w:rPr>
          <w:rFonts w:asciiTheme="minorEastAsia" w:hAnsiTheme="minorEastAsia"/>
        </w:rPr>
      </w:pPr>
      <w:r w:rsidRPr="00CF3E25">
        <w:rPr>
          <w:rFonts w:ascii="宋体" w:hAnsi="宋体" w:hint="eastAsia"/>
          <w:szCs w:val="21"/>
        </w:rPr>
        <w:t>长城久盈纯债债券型证券投资基金</w:t>
      </w:r>
      <w:r w:rsidRPr="009067A6">
        <w:rPr>
          <w:rFonts w:asciiTheme="minorEastAsia" w:hAnsiTheme="minorEastAsia" w:hint="eastAsia"/>
        </w:rPr>
        <w:t>基金财产清算小组</w:t>
      </w:r>
    </w:p>
    <w:p w:rsidR="00AB57A3" w:rsidRPr="009067A6" w:rsidRDefault="00AB57A3" w:rsidP="00AB57A3">
      <w:pPr>
        <w:spacing w:line="360" w:lineRule="auto"/>
        <w:jc w:val="right"/>
        <w:rPr>
          <w:rFonts w:asciiTheme="minorEastAsia" w:hAnsiTheme="minorEastAsia"/>
        </w:rPr>
      </w:pPr>
      <w:r>
        <w:rPr>
          <w:rFonts w:asciiTheme="minorEastAsia" w:hAnsiTheme="minorEastAsia" w:hint="eastAsia"/>
        </w:rPr>
        <w:t>2019</w:t>
      </w:r>
      <w:r w:rsidRPr="00E02CE3">
        <w:rPr>
          <w:rFonts w:asciiTheme="minorEastAsia" w:hAnsiTheme="minorEastAsia" w:hint="eastAsia"/>
        </w:rPr>
        <w:t>年</w:t>
      </w:r>
      <w:r>
        <w:rPr>
          <w:rFonts w:asciiTheme="minorEastAsia" w:hAnsiTheme="minorEastAsia" w:hint="eastAsia"/>
        </w:rPr>
        <w:t>6</w:t>
      </w:r>
      <w:r w:rsidRPr="00E02CE3">
        <w:rPr>
          <w:rFonts w:asciiTheme="minorEastAsia" w:hAnsiTheme="minorEastAsia" w:hint="eastAsia"/>
        </w:rPr>
        <w:t>月</w:t>
      </w:r>
      <w:r>
        <w:rPr>
          <w:rFonts w:asciiTheme="minorEastAsia" w:hAnsiTheme="minorEastAsia" w:hint="eastAsia"/>
        </w:rPr>
        <w:t>25</w:t>
      </w:r>
      <w:r w:rsidRPr="00E02CE3">
        <w:rPr>
          <w:rFonts w:asciiTheme="minorEastAsia" w:hAnsiTheme="minorEastAsia" w:hint="eastAsia"/>
        </w:rPr>
        <w:t>日</w:t>
      </w:r>
    </w:p>
    <w:p w:rsidR="00CF3E25" w:rsidRPr="00CF3E25" w:rsidRDefault="00CF3E25" w:rsidP="009067A6">
      <w:pPr>
        <w:spacing w:line="360" w:lineRule="auto"/>
        <w:jc w:val="right"/>
        <w:rPr>
          <w:rFonts w:ascii="宋体" w:hAnsi="宋体"/>
          <w:szCs w:val="21"/>
        </w:rPr>
      </w:pPr>
    </w:p>
    <w:p w:rsidR="00CF3E25" w:rsidRPr="00CF3E25" w:rsidRDefault="00CF3E25" w:rsidP="009067A6">
      <w:pPr>
        <w:spacing w:line="360" w:lineRule="auto"/>
        <w:jc w:val="right"/>
        <w:rPr>
          <w:rFonts w:ascii="宋体" w:hAnsi="宋体"/>
          <w:szCs w:val="21"/>
        </w:rPr>
      </w:pPr>
    </w:p>
    <w:p w:rsidR="00C30459" w:rsidRPr="00CF3E25" w:rsidRDefault="00C30459" w:rsidP="009067A6">
      <w:pPr>
        <w:spacing w:line="360" w:lineRule="auto"/>
        <w:jc w:val="right"/>
        <w:rPr>
          <w:rFonts w:ascii="宋体" w:hAnsi="宋体"/>
          <w:szCs w:val="21"/>
        </w:rPr>
      </w:pPr>
    </w:p>
    <w:p w:rsidR="00C30459" w:rsidRPr="00CF3E25" w:rsidRDefault="00C30459" w:rsidP="009067A6">
      <w:pPr>
        <w:spacing w:line="360" w:lineRule="auto"/>
        <w:jc w:val="right"/>
        <w:rPr>
          <w:rFonts w:ascii="宋体" w:hAnsi="宋体"/>
          <w:szCs w:val="21"/>
        </w:rPr>
      </w:pPr>
    </w:p>
    <w:p w:rsidR="00C30459" w:rsidRPr="00CF3E25" w:rsidRDefault="00C30459" w:rsidP="009067A6">
      <w:pPr>
        <w:spacing w:line="360" w:lineRule="auto"/>
        <w:jc w:val="right"/>
        <w:rPr>
          <w:rFonts w:ascii="宋体" w:hAnsi="宋体"/>
          <w:szCs w:val="21"/>
        </w:rPr>
      </w:pPr>
    </w:p>
    <w:p w:rsidR="00C30459" w:rsidRPr="00CF3E25" w:rsidRDefault="00C30459" w:rsidP="009067A6">
      <w:pPr>
        <w:spacing w:line="360" w:lineRule="auto"/>
        <w:jc w:val="right"/>
        <w:rPr>
          <w:rFonts w:ascii="宋体" w:hAnsi="宋体"/>
          <w:szCs w:val="21"/>
        </w:rPr>
      </w:pPr>
    </w:p>
    <w:p w:rsidR="00C30459" w:rsidRPr="00CF3E25" w:rsidRDefault="00C30459" w:rsidP="009067A6">
      <w:pPr>
        <w:spacing w:line="360" w:lineRule="auto"/>
        <w:jc w:val="right"/>
        <w:rPr>
          <w:rFonts w:ascii="宋体" w:hAnsi="宋体"/>
          <w:szCs w:val="21"/>
        </w:rPr>
      </w:pPr>
    </w:p>
    <w:p w:rsidR="00C30459" w:rsidRPr="00CF3E25" w:rsidRDefault="00C30459" w:rsidP="009067A6">
      <w:pPr>
        <w:spacing w:line="360" w:lineRule="auto"/>
        <w:jc w:val="right"/>
        <w:rPr>
          <w:rFonts w:ascii="宋体" w:hAnsi="宋体"/>
          <w:szCs w:val="21"/>
        </w:rPr>
      </w:pPr>
    </w:p>
    <w:p w:rsidR="00C30459" w:rsidRPr="00CF3E25" w:rsidRDefault="00C30459" w:rsidP="009067A6">
      <w:pPr>
        <w:spacing w:line="360" w:lineRule="auto"/>
        <w:jc w:val="right"/>
        <w:rPr>
          <w:rFonts w:ascii="宋体" w:hAnsi="宋体"/>
          <w:szCs w:val="21"/>
        </w:rPr>
      </w:pPr>
    </w:p>
    <w:p w:rsidR="00C30459" w:rsidRPr="00CF3E25" w:rsidRDefault="00C30459" w:rsidP="009067A6">
      <w:pPr>
        <w:spacing w:line="360" w:lineRule="auto"/>
        <w:jc w:val="right"/>
        <w:rPr>
          <w:rFonts w:asciiTheme="minorEastAsia" w:hAnsiTheme="minorEastAsia"/>
        </w:rPr>
      </w:pPr>
    </w:p>
    <w:sectPr w:rsidR="00C30459" w:rsidRPr="00CF3E25" w:rsidSect="006C4B9D">
      <w:headerReference w:type="default" r:id="rId8"/>
      <w:footerReference w:type="default" r:id="rId9"/>
      <w:headerReference w:type="firs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CDA" w:rsidRDefault="00DE3CDA" w:rsidP="008F19EB">
      <w:r>
        <w:separator/>
      </w:r>
    </w:p>
  </w:endnote>
  <w:endnote w:type="continuationSeparator" w:id="1">
    <w:p w:rsidR="00DE3CDA" w:rsidRDefault="00DE3CDA" w:rsidP="008F1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3632"/>
      <w:docPartObj>
        <w:docPartGallery w:val="Page Numbers (Bottom of Page)"/>
        <w:docPartUnique/>
      </w:docPartObj>
    </w:sdtPr>
    <w:sdtContent>
      <w:p w:rsidR="006C4B9D" w:rsidRDefault="006E00C3">
        <w:pPr>
          <w:pStyle w:val="a4"/>
          <w:jc w:val="center"/>
        </w:pPr>
        <w:r w:rsidRPr="006C4B9D">
          <w:rPr>
            <w:sz w:val="21"/>
            <w:szCs w:val="21"/>
          </w:rPr>
          <w:fldChar w:fldCharType="begin"/>
        </w:r>
        <w:r w:rsidR="006C4B9D" w:rsidRPr="006C4B9D">
          <w:rPr>
            <w:sz w:val="21"/>
            <w:szCs w:val="21"/>
          </w:rPr>
          <w:instrText xml:space="preserve"> PAGE   \* MERGEFORMAT </w:instrText>
        </w:r>
        <w:r w:rsidRPr="006C4B9D">
          <w:rPr>
            <w:sz w:val="21"/>
            <w:szCs w:val="21"/>
          </w:rPr>
          <w:fldChar w:fldCharType="separate"/>
        </w:r>
        <w:r w:rsidR="00C6049A" w:rsidRPr="00C6049A">
          <w:rPr>
            <w:noProof/>
            <w:sz w:val="21"/>
            <w:szCs w:val="21"/>
            <w:lang w:val="zh-CN"/>
          </w:rPr>
          <w:t>1</w:t>
        </w:r>
        <w:r w:rsidRPr="006C4B9D">
          <w:rPr>
            <w:sz w:val="21"/>
            <w:szCs w:val="21"/>
          </w:rPr>
          <w:fldChar w:fldCharType="end"/>
        </w:r>
      </w:p>
    </w:sdtContent>
  </w:sdt>
  <w:p w:rsidR="006C4B9D" w:rsidRDefault="006C4B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CDA" w:rsidRDefault="00DE3CDA" w:rsidP="008F19EB">
      <w:r>
        <w:separator/>
      </w:r>
    </w:p>
  </w:footnote>
  <w:footnote w:type="continuationSeparator" w:id="1">
    <w:p w:rsidR="00DE3CDA" w:rsidRDefault="00DE3CDA" w:rsidP="008F1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9D" w:rsidRDefault="002552C0" w:rsidP="006C4B9D">
    <w:pPr>
      <w:pStyle w:val="a3"/>
      <w:jc w:val="right"/>
    </w:pPr>
    <w:r w:rsidRPr="002552C0">
      <w:rPr>
        <w:rFonts w:hint="eastAsia"/>
      </w:rPr>
      <w:t>长城久盈纯债债券型证券投资基金清算报告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9D" w:rsidRDefault="006C4B9D" w:rsidP="006C4B9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876"/>
    <w:multiLevelType w:val="hybridMultilevel"/>
    <w:tmpl w:val="FF04D486"/>
    <w:lvl w:ilvl="0" w:tplc="D044545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CC3763"/>
    <w:multiLevelType w:val="hybridMultilevel"/>
    <w:tmpl w:val="7EF895DC"/>
    <w:lvl w:ilvl="0" w:tplc="AF6E8DFC">
      <w:start w:val="1"/>
      <w:numFmt w:val="decimal"/>
      <w:lvlText w:val="（%1）"/>
      <w:lvlJc w:val="left"/>
      <w:pPr>
        <w:ind w:left="1140" w:hanging="720"/>
      </w:pPr>
      <w:rPr>
        <w:rFonts w:asciiTheme="minorHAnsi" w:hAns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68B11A6"/>
    <w:multiLevelType w:val="hybridMultilevel"/>
    <w:tmpl w:val="B6126AF6"/>
    <w:lvl w:ilvl="0" w:tplc="A670BD60">
      <w:start w:val="1"/>
      <w:numFmt w:val="decimal"/>
      <w:lvlText w:val="（%1）"/>
      <w:lvlJc w:val="left"/>
      <w:pPr>
        <w:ind w:left="1140" w:hanging="720"/>
      </w:pPr>
      <w:rPr>
        <w:rFonts w:asciiTheme="minorHAnsi" w:hAns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9DD4795"/>
    <w:multiLevelType w:val="hybridMultilevel"/>
    <w:tmpl w:val="4DE4BD4C"/>
    <w:lvl w:ilvl="0" w:tplc="A208B0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A7923D4"/>
    <w:multiLevelType w:val="hybridMultilevel"/>
    <w:tmpl w:val="FEEC4C70"/>
    <w:lvl w:ilvl="0" w:tplc="B9A217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9EB"/>
    <w:rsid w:val="0002429F"/>
    <w:rsid w:val="00064DE2"/>
    <w:rsid w:val="00066D97"/>
    <w:rsid w:val="000673D0"/>
    <w:rsid w:val="0007055F"/>
    <w:rsid w:val="00091F97"/>
    <w:rsid w:val="000B05B6"/>
    <w:rsid w:val="000C0B1B"/>
    <w:rsid w:val="000D4334"/>
    <w:rsid w:val="000D52C9"/>
    <w:rsid w:val="000D73A5"/>
    <w:rsid w:val="000E3B5F"/>
    <w:rsid w:val="000E7074"/>
    <w:rsid w:val="00112A02"/>
    <w:rsid w:val="00113785"/>
    <w:rsid w:val="0014142E"/>
    <w:rsid w:val="0016301C"/>
    <w:rsid w:val="001634F2"/>
    <w:rsid w:val="00173824"/>
    <w:rsid w:val="00180DD2"/>
    <w:rsid w:val="001B0550"/>
    <w:rsid w:val="001C2204"/>
    <w:rsid w:val="001C299E"/>
    <w:rsid w:val="001C5423"/>
    <w:rsid w:val="001D2494"/>
    <w:rsid w:val="001D53B0"/>
    <w:rsid w:val="001E5352"/>
    <w:rsid w:val="00212C96"/>
    <w:rsid w:val="00217710"/>
    <w:rsid w:val="00217D06"/>
    <w:rsid w:val="00227323"/>
    <w:rsid w:val="00231436"/>
    <w:rsid w:val="002552C0"/>
    <w:rsid w:val="00277603"/>
    <w:rsid w:val="00281408"/>
    <w:rsid w:val="00281AB9"/>
    <w:rsid w:val="002927ED"/>
    <w:rsid w:val="002A223E"/>
    <w:rsid w:val="002A6C6A"/>
    <w:rsid w:val="002B5E04"/>
    <w:rsid w:val="002D4462"/>
    <w:rsid w:val="002E4A2B"/>
    <w:rsid w:val="00306100"/>
    <w:rsid w:val="00320D40"/>
    <w:rsid w:val="003278DF"/>
    <w:rsid w:val="00340293"/>
    <w:rsid w:val="00384101"/>
    <w:rsid w:val="003862AE"/>
    <w:rsid w:val="003A09B8"/>
    <w:rsid w:val="003B15FC"/>
    <w:rsid w:val="003B5A7F"/>
    <w:rsid w:val="003C78BC"/>
    <w:rsid w:val="003D313F"/>
    <w:rsid w:val="003E6EE2"/>
    <w:rsid w:val="003F0824"/>
    <w:rsid w:val="003F64B7"/>
    <w:rsid w:val="0040348D"/>
    <w:rsid w:val="004056E6"/>
    <w:rsid w:val="004060E4"/>
    <w:rsid w:val="00406270"/>
    <w:rsid w:val="00412754"/>
    <w:rsid w:val="00412E30"/>
    <w:rsid w:val="00426612"/>
    <w:rsid w:val="0045394E"/>
    <w:rsid w:val="00457EE9"/>
    <w:rsid w:val="004778CF"/>
    <w:rsid w:val="00490795"/>
    <w:rsid w:val="004B10A0"/>
    <w:rsid w:val="004B4A36"/>
    <w:rsid w:val="004B514E"/>
    <w:rsid w:val="004E0F17"/>
    <w:rsid w:val="004E6668"/>
    <w:rsid w:val="004F5C84"/>
    <w:rsid w:val="0051370C"/>
    <w:rsid w:val="00536EF6"/>
    <w:rsid w:val="00547977"/>
    <w:rsid w:val="00586568"/>
    <w:rsid w:val="0059746E"/>
    <w:rsid w:val="005A3833"/>
    <w:rsid w:val="005B3D45"/>
    <w:rsid w:val="005B60BA"/>
    <w:rsid w:val="005C273A"/>
    <w:rsid w:val="005E0013"/>
    <w:rsid w:val="00605372"/>
    <w:rsid w:val="00637D99"/>
    <w:rsid w:val="00642E3E"/>
    <w:rsid w:val="00651CA5"/>
    <w:rsid w:val="00665075"/>
    <w:rsid w:val="006916A8"/>
    <w:rsid w:val="00697B54"/>
    <w:rsid w:val="006B5D33"/>
    <w:rsid w:val="006C4B9D"/>
    <w:rsid w:val="006E00C3"/>
    <w:rsid w:val="00705679"/>
    <w:rsid w:val="00713992"/>
    <w:rsid w:val="00717075"/>
    <w:rsid w:val="00721693"/>
    <w:rsid w:val="00724B8B"/>
    <w:rsid w:val="00733B4A"/>
    <w:rsid w:val="00745B5E"/>
    <w:rsid w:val="007534A7"/>
    <w:rsid w:val="0076726E"/>
    <w:rsid w:val="00773068"/>
    <w:rsid w:val="00785E12"/>
    <w:rsid w:val="007A28EF"/>
    <w:rsid w:val="007D7BD6"/>
    <w:rsid w:val="007F75BE"/>
    <w:rsid w:val="008048CF"/>
    <w:rsid w:val="00836208"/>
    <w:rsid w:val="00864189"/>
    <w:rsid w:val="00874D42"/>
    <w:rsid w:val="00877E46"/>
    <w:rsid w:val="008C3449"/>
    <w:rsid w:val="008D67DE"/>
    <w:rsid w:val="008E48B2"/>
    <w:rsid w:val="008E5C1F"/>
    <w:rsid w:val="008F19EB"/>
    <w:rsid w:val="0090192E"/>
    <w:rsid w:val="009067A6"/>
    <w:rsid w:val="009141EF"/>
    <w:rsid w:val="009337CB"/>
    <w:rsid w:val="00961FA2"/>
    <w:rsid w:val="00991E22"/>
    <w:rsid w:val="009B0B29"/>
    <w:rsid w:val="009D02BB"/>
    <w:rsid w:val="009F598A"/>
    <w:rsid w:val="00A323D2"/>
    <w:rsid w:val="00A342C1"/>
    <w:rsid w:val="00A44BF5"/>
    <w:rsid w:val="00A46C48"/>
    <w:rsid w:val="00A55D7D"/>
    <w:rsid w:val="00A6683F"/>
    <w:rsid w:val="00A7437B"/>
    <w:rsid w:val="00A808ED"/>
    <w:rsid w:val="00AA28B8"/>
    <w:rsid w:val="00AB57A3"/>
    <w:rsid w:val="00AD3914"/>
    <w:rsid w:val="00AD6A3C"/>
    <w:rsid w:val="00AE12B8"/>
    <w:rsid w:val="00B34603"/>
    <w:rsid w:val="00B3475F"/>
    <w:rsid w:val="00B601BC"/>
    <w:rsid w:val="00B8479C"/>
    <w:rsid w:val="00B9331B"/>
    <w:rsid w:val="00BA2FB6"/>
    <w:rsid w:val="00BA43E8"/>
    <w:rsid w:val="00BE7447"/>
    <w:rsid w:val="00C130F7"/>
    <w:rsid w:val="00C30459"/>
    <w:rsid w:val="00C34069"/>
    <w:rsid w:val="00C43FC5"/>
    <w:rsid w:val="00C449CC"/>
    <w:rsid w:val="00C6049A"/>
    <w:rsid w:val="00C60FF1"/>
    <w:rsid w:val="00C6668A"/>
    <w:rsid w:val="00C73708"/>
    <w:rsid w:val="00C75501"/>
    <w:rsid w:val="00C756F2"/>
    <w:rsid w:val="00C85BE3"/>
    <w:rsid w:val="00CB3D30"/>
    <w:rsid w:val="00CD2DBD"/>
    <w:rsid w:val="00CD3178"/>
    <w:rsid w:val="00CE1D1A"/>
    <w:rsid w:val="00CF3E25"/>
    <w:rsid w:val="00D009A8"/>
    <w:rsid w:val="00D040CC"/>
    <w:rsid w:val="00D4182E"/>
    <w:rsid w:val="00D516FE"/>
    <w:rsid w:val="00D51863"/>
    <w:rsid w:val="00DC4726"/>
    <w:rsid w:val="00DD6F07"/>
    <w:rsid w:val="00DE3CDA"/>
    <w:rsid w:val="00DF4099"/>
    <w:rsid w:val="00E02CE3"/>
    <w:rsid w:val="00E21811"/>
    <w:rsid w:val="00E35D97"/>
    <w:rsid w:val="00E4775E"/>
    <w:rsid w:val="00E57521"/>
    <w:rsid w:val="00E82F1C"/>
    <w:rsid w:val="00E84DB3"/>
    <w:rsid w:val="00E84E85"/>
    <w:rsid w:val="00E95880"/>
    <w:rsid w:val="00ED0F56"/>
    <w:rsid w:val="00ED11BA"/>
    <w:rsid w:val="00EE27E5"/>
    <w:rsid w:val="00EE6B1A"/>
    <w:rsid w:val="00F115F7"/>
    <w:rsid w:val="00F13813"/>
    <w:rsid w:val="00F13AE4"/>
    <w:rsid w:val="00F264A9"/>
    <w:rsid w:val="00F56FCA"/>
    <w:rsid w:val="00F919E2"/>
    <w:rsid w:val="00F9404B"/>
    <w:rsid w:val="00F96CFF"/>
    <w:rsid w:val="00FE3CB5"/>
    <w:rsid w:val="00FF26D8"/>
    <w:rsid w:val="00FF4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9EB"/>
    <w:rPr>
      <w:sz w:val="18"/>
      <w:szCs w:val="18"/>
    </w:rPr>
  </w:style>
  <w:style w:type="paragraph" w:styleId="a4">
    <w:name w:val="footer"/>
    <w:basedOn w:val="a"/>
    <w:link w:val="Char0"/>
    <w:uiPriority w:val="99"/>
    <w:unhideWhenUsed/>
    <w:rsid w:val="008F19EB"/>
    <w:pPr>
      <w:tabs>
        <w:tab w:val="center" w:pos="4153"/>
        <w:tab w:val="right" w:pos="8306"/>
      </w:tabs>
      <w:snapToGrid w:val="0"/>
      <w:jc w:val="left"/>
    </w:pPr>
    <w:rPr>
      <w:sz w:val="18"/>
      <w:szCs w:val="18"/>
    </w:rPr>
  </w:style>
  <w:style w:type="character" w:customStyle="1" w:styleId="Char0">
    <w:name w:val="页脚 Char"/>
    <w:basedOn w:val="a0"/>
    <w:link w:val="a4"/>
    <w:uiPriority w:val="99"/>
    <w:rsid w:val="008F19EB"/>
    <w:rPr>
      <w:sz w:val="18"/>
      <w:szCs w:val="18"/>
    </w:rPr>
  </w:style>
  <w:style w:type="character" w:customStyle="1" w:styleId="Char1">
    <w:name w:val="正文文本 Char"/>
    <w:link w:val="a5"/>
    <w:rsid w:val="008F19EB"/>
    <w:rPr>
      <w:rFonts w:ascii="宋体"/>
    </w:rPr>
  </w:style>
  <w:style w:type="paragraph" w:styleId="a5">
    <w:name w:val="Body Text"/>
    <w:basedOn w:val="a"/>
    <w:link w:val="Char1"/>
    <w:rsid w:val="008F19EB"/>
    <w:pPr>
      <w:autoSpaceDE w:val="0"/>
      <w:autoSpaceDN w:val="0"/>
      <w:adjustRightInd w:val="0"/>
      <w:spacing w:line="360" w:lineRule="auto"/>
      <w:jc w:val="left"/>
    </w:pPr>
    <w:rPr>
      <w:rFonts w:ascii="宋体"/>
    </w:rPr>
  </w:style>
  <w:style w:type="character" w:customStyle="1" w:styleId="Char10">
    <w:name w:val="正文文本 Char1"/>
    <w:basedOn w:val="a0"/>
    <w:link w:val="a5"/>
    <w:uiPriority w:val="99"/>
    <w:semiHidden/>
    <w:rsid w:val="008F19EB"/>
  </w:style>
  <w:style w:type="paragraph" w:styleId="a6">
    <w:name w:val="List Paragraph"/>
    <w:basedOn w:val="a"/>
    <w:uiPriority w:val="34"/>
    <w:qFormat/>
    <w:rsid w:val="008F19EB"/>
    <w:pPr>
      <w:ind w:firstLineChars="200" w:firstLine="420"/>
    </w:pPr>
  </w:style>
  <w:style w:type="table" w:styleId="a7">
    <w:name w:val="Table Grid"/>
    <w:basedOn w:val="a1"/>
    <w:uiPriority w:val="59"/>
    <w:rsid w:val="00877E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basedOn w:val="a0"/>
    <w:uiPriority w:val="99"/>
    <w:semiHidden/>
    <w:unhideWhenUsed/>
    <w:rsid w:val="003B5A7F"/>
    <w:rPr>
      <w:sz w:val="21"/>
      <w:szCs w:val="21"/>
    </w:rPr>
  </w:style>
  <w:style w:type="paragraph" w:styleId="a9">
    <w:name w:val="annotation text"/>
    <w:basedOn w:val="a"/>
    <w:link w:val="Char2"/>
    <w:uiPriority w:val="99"/>
    <w:semiHidden/>
    <w:unhideWhenUsed/>
    <w:rsid w:val="003B5A7F"/>
    <w:pPr>
      <w:jc w:val="left"/>
    </w:pPr>
  </w:style>
  <w:style w:type="character" w:customStyle="1" w:styleId="Char2">
    <w:name w:val="批注文字 Char"/>
    <w:basedOn w:val="a0"/>
    <w:link w:val="a9"/>
    <w:uiPriority w:val="99"/>
    <w:semiHidden/>
    <w:rsid w:val="003B5A7F"/>
  </w:style>
  <w:style w:type="paragraph" w:styleId="aa">
    <w:name w:val="annotation subject"/>
    <w:basedOn w:val="a9"/>
    <w:next w:val="a9"/>
    <w:link w:val="Char3"/>
    <w:uiPriority w:val="99"/>
    <w:semiHidden/>
    <w:unhideWhenUsed/>
    <w:rsid w:val="003B5A7F"/>
    <w:rPr>
      <w:b/>
      <w:bCs/>
    </w:rPr>
  </w:style>
  <w:style w:type="character" w:customStyle="1" w:styleId="Char3">
    <w:name w:val="批注主题 Char"/>
    <w:basedOn w:val="Char2"/>
    <w:link w:val="aa"/>
    <w:uiPriority w:val="99"/>
    <w:semiHidden/>
    <w:rsid w:val="003B5A7F"/>
    <w:rPr>
      <w:b/>
      <w:bCs/>
    </w:rPr>
  </w:style>
  <w:style w:type="paragraph" w:styleId="ab">
    <w:name w:val="Balloon Text"/>
    <w:basedOn w:val="a"/>
    <w:link w:val="Char4"/>
    <w:uiPriority w:val="99"/>
    <w:semiHidden/>
    <w:unhideWhenUsed/>
    <w:rsid w:val="003B5A7F"/>
    <w:rPr>
      <w:sz w:val="18"/>
      <w:szCs w:val="18"/>
    </w:rPr>
  </w:style>
  <w:style w:type="character" w:customStyle="1" w:styleId="Char4">
    <w:name w:val="批注框文本 Char"/>
    <w:basedOn w:val="a0"/>
    <w:link w:val="ab"/>
    <w:uiPriority w:val="99"/>
    <w:semiHidden/>
    <w:rsid w:val="003B5A7F"/>
    <w:rPr>
      <w:sz w:val="18"/>
      <w:szCs w:val="18"/>
    </w:rPr>
  </w:style>
  <w:style w:type="paragraph" w:styleId="ac">
    <w:name w:val="Date"/>
    <w:basedOn w:val="a"/>
    <w:next w:val="a"/>
    <w:link w:val="Char5"/>
    <w:uiPriority w:val="99"/>
    <w:semiHidden/>
    <w:unhideWhenUsed/>
    <w:rsid w:val="00C30459"/>
    <w:pPr>
      <w:ind w:leftChars="2500" w:left="100"/>
    </w:pPr>
  </w:style>
  <w:style w:type="character" w:customStyle="1" w:styleId="Char5">
    <w:name w:val="日期 Char"/>
    <w:basedOn w:val="a0"/>
    <w:link w:val="ac"/>
    <w:uiPriority w:val="99"/>
    <w:semiHidden/>
    <w:rsid w:val="00C30459"/>
  </w:style>
</w:styles>
</file>

<file path=word/webSettings.xml><?xml version="1.0" encoding="utf-8"?>
<w:webSettings xmlns:r="http://schemas.openxmlformats.org/officeDocument/2006/relationships" xmlns:w="http://schemas.openxmlformats.org/wordprocessingml/2006/main">
  <w:divs>
    <w:div w:id="30768494">
      <w:bodyDiv w:val="1"/>
      <w:marLeft w:val="0"/>
      <w:marRight w:val="0"/>
      <w:marTop w:val="0"/>
      <w:marBottom w:val="0"/>
      <w:divBdr>
        <w:top w:val="none" w:sz="0" w:space="0" w:color="auto"/>
        <w:left w:val="none" w:sz="0" w:space="0" w:color="auto"/>
        <w:bottom w:val="none" w:sz="0" w:space="0" w:color="auto"/>
        <w:right w:val="none" w:sz="0" w:space="0" w:color="auto"/>
      </w:divBdr>
    </w:div>
    <w:div w:id="19075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49B8-A5B9-4DBB-9EFC-7AD6C45B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3520</Characters>
  <Application>Microsoft Office Word</Application>
  <DocSecurity>4</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胡仕馨</dc:creator>
  <cp:keywords/>
  <dc:description/>
  <cp:lastModifiedBy>ZHONGM</cp:lastModifiedBy>
  <cp:revision>2</cp:revision>
  <cp:lastPrinted>2019-05-14T10:19:00Z</cp:lastPrinted>
  <dcterms:created xsi:type="dcterms:W3CDTF">2019-06-24T16:00:00Z</dcterms:created>
  <dcterms:modified xsi:type="dcterms:W3CDTF">2019-06-24T16:00:00Z</dcterms:modified>
</cp:coreProperties>
</file>