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49" w:rsidRDefault="001F1249">
      <w:pPr>
        <w:autoSpaceDE w:val="0"/>
        <w:autoSpaceDN w:val="0"/>
        <w:adjustRightInd w:val="0"/>
        <w:spacing w:line="360" w:lineRule="auto"/>
        <w:jc w:val="left"/>
        <w:rPr>
          <w:rFonts w:ascii="宋体" w:hAnsi="宋体" w:cs="宋体"/>
          <w:color w:val="000000"/>
          <w:kern w:val="0"/>
          <w:sz w:val="24"/>
          <w:szCs w:val="24"/>
        </w:rPr>
      </w:pPr>
    </w:p>
    <w:p w:rsidR="001F1249" w:rsidRDefault="001F1249">
      <w:pPr>
        <w:pStyle w:val="21"/>
        <w:kinsoku w:val="0"/>
        <w:overflowPunct w:val="0"/>
        <w:adjustRightInd/>
        <w:spacing w:line="360" w:lineRule="auto"/>
        <w:jc w:val="center"/>
        <w:outlineLvl w:val="9"/>
        <w:rPr>
          <w:rFonts w:ascii="宋体" w:eastAsiaTheme="minorEastAsia" w:hAnsi="宋体" w:cs="宋体"/>
          <w:b w:val="0"/>
          <w:bCs w:val="0"/>
          <w:color w:val="323232"/>
          <w:sz w:val="36"/>
          <w:szCs w:val="36"/>
        </w:rPr>
      </w:pPr>
    </w:p>
    <w:p w:rsidR="001F1249" w:rsidRDefault="001F1249">
      <w:pPr>
        <w:pStyle w:val="21"/>
        <w:kinsoku w:val="0"/>
        <w:overflowPunct w:val="0"/>
        <w:adjustRightInd/>
        <w:spacing w:line="360" w:lineRule="auto"/>
        <w:jc w:val="center"/>
        <w:outlineLvl w:val="9"/>
        <w:rPr>
          <w:rFonts w:ascii="宋体" w:eastAsiaTheme="minorEastAsia" w:hAnsi="宋体" w:cs="宋体"/>
          <w:b w:val="0"/>
          <w:bCs w:val="0"/>
          <w:color w:val="323232"/>
          <w:sz w:val="36"/>
          <w:szCs w:val="36"/>
        </w:rPr>
      </w:pPr>
    </w:p>
    <w:p w:rsidR="001F1249" w:rsidRDefault="001F1249">
      <w:pPr>
        <w:pStyle w:val="21"/>
        <w:kinsoku w:val="0"/>
        <w:overflowPunct w:val="0"/>
        <w:adjustRightInd/>
        <w:spacing w:line="360" w:lineRule="auto"/>
        <w:jc w:val="center"/>
        <w:outlineLvl w:val="9"/>
        <w:rPr>
          <w:rFonts w:ascii="宋体" w:eastAsiaTheme="minorEastAsia" w:hAnsi="宋体" w:cs="宋体"/>
          <w:b w:val="0"/>
          <w:bCs w:val="0"/>
          <w:color w:val="323232"/>
          <w:sz w:val="36"/>
          <w:szCs w:val="36"/>
        </w:rPr>
      </w:pPr>
    </w:p>
    <w:p w:rsidR="001F1249" w:rsidRDefault="001F1249">
      <w:pPr>
        <w:pStyle w:val="21"/>
        <w:kinsoku w:val="0"/>
        <w:overflowPunct w:val="0"/>
        <w:adjustRightInd/>
        <w:spacing w:line="360" w:lineRule="auto"/>
        <w:jc w:val="center"/>
        <w:outlineLvl w:val="9"/>
        <w:rPr>
          <w:rFonts w:ascii="宋体" w:eastAsiaTheme="minorEastAsia" w:hAnsi="宋体" w:cs="宋体"/>
          <w:b w:val="0"/>
          <w:bCs w:val="0"/>
          <w:color w:val="323232"/>
          <w:sz w:val="36"/>
          <w:szCs w:val="36"/>
        </w:rPr>
      </w:pPr>
    </w:p>
    <w:p w:rsidR="001F1249" w:rsidRDefault="00FD4838">
      <w:pPr>
        <w:pStyle w:val="21"/>
        <w:kinsoku w:val="0"/>
        <w:overflowPunct w:val="0"/>
        <w:adjustRightInd/>
        <w:spacing w:line="360" w:lineRule="auto"/>
        <w:jc w:val="center"/>
        <w:outlineLvl w:val="9"/>
        <w:rPr>
          <w:rFonts w:ascii="宋体" w:eastAsiaTheme="minorEastAsia" w:hAnsi="宋体" w:cs="宋体"/>
          <w:bCs w:val="0"/>
          <w:color w:val="323232"/>
          <w:sz w:val="36"/>
          <w:szCs w:val="36"/>
        </w:rPr>
      </w:pPr>
      <w:r>
        <w:rPr>
          <w:rFonts w:ascii="宋体" w:eastAsiaTheme="minorEastAsia" w:hAnsi="宋体" w:cs="宋体" w:hint="eastAsia"/>
          <w:bCs w:val="0"/>
          <w:color w:val="323232"/>
          <w:sz w:val="36"/>
          <w:szCs w:val="36"/>
        </w:rPr>
        <w:t>国投瑞银和顺债券型证券投资基金</w:t>
      </w:r>
    </w:p>
    <w:p w:rsidR="001F1249" w:rsidRDefault="00FD4838">
      <w:pPr>
        <w:pStyle w:val="21"/>
        <w:kinsoku w:val="0"/>
        <w:overflowPunct w:val="0"/>
        <w:adjustRightInd/>
        <w:spacing w:line="360" w:lineRule="auto"/>
        <w:jc w:val="center"/>
        <w:outlineLvl w:val="9"/>
        <w:rPr>
          <w:rFonts w:ascii="宋体" w:eastAsia="宋体" w:hAnsi="宋体"/>
        </w:rPr>
      </w:pPr>
      <w:r>
        <w:rPr>
          <w:rFonts w:ascii="宋体" w:eastAsiaTheme="minorEastAsia" w:hAnsi="宋体" w:cs="宋体"/>
          <w:bCs w:val="0"/>
          <w:color w:val="323232"/>
          <w:sz w:val="36"/>
          <w:szCs w:val="36"/>
        </w:rPr>
        <w:t>清算报告</w:t>
      </w:r>
    </w:p>
    <w:p w:rsidR="001F1249" w:rsidRDefault="001F1249" w:rsidP="001D7310">
      <w:pPr>
        <w:pStyle w:val="21"/>
        <w:kinsoku w:val="0"/>
        <w:overflowPunct w:val="0"/>
        <w:adjustRightInd/>
        <w:spacing w:beforeLines="100" w:line="360" w:lineRule="auto"/>
        <w:ind w:left="153"/>
        <w:outlineLvl w:val="9"/>
        <w:rPr>
          <w:rFonts w:ascii="宋体" w:eastAsia="宋体" w:cs="宋体"/>
          <w:b w:val="0"/>
          <w:bCs w:val="0"/>
          <w:sz w:val="24"/>
          <w:szCs w:val="24"/>
        </w:rPr>
      </w:pPr>
    </w:p>
    <w:p w:rsidR="001F1249" w:rsidRDefault="001F1249" w:rsidP="001D7310">
      <w:pPr>
        <w:pStyle w:val="21"/>
        <w:kinsoku w:val="0"/>
        <w:overflowPunct w:val="0"/>
        <w:adjustRightInd/>
        <w:spacing w:beforeLines="100" w:line="360" w:lineRule="auto"/>
        <w:ind w:left="153"/>
        <w:outlineLvl w:val="9"/>
        <w:rPr>
          <w:rFonts w:ascii="宋体" w:eastAsia="宋体" w:cs="宋体"/>
          <w:b w:val="0"/>
          <w:bCs w:val="0"/>
          <w:sz w:val="24"/>
          <w:szCs w:val="24"/>
        </w:rPr>
        <w:pPrChange w:id="0" w:author="ZHONGM" w:date="2019-06-25T00:01:00Z">
          <w:pPr>
            <w:pStyle w:val="21"/>
            <w:kinsoku w:val="0"/>
            <w:overflowPunct w:val="0"/>
            <w:adjustRightInd/>
            <w:spacing w:beforeLines="100" w:line="360" w:lineRule="auto"/>
            <w:ind w:left="153"/>
            <w:outlineLvl w:val="9"/>
          </w:pPr>
        </w:pPrChange>
      </w:pPr>
    </w:p>
    <w:p w:rsidR="001F1249" w:rsidRDefault="001F1249" w:rsidP="001D7310">
      <w:pPr>
        <w:pStyle w:val="21"/>
        <w:kinsoku w:val="0"/>
        <w:overflowPunct w:val="0"/>
        <w:adjustRightInd/>
        <w:spacing w:beforeLines="100" w:line="360" w:lineRule="auto"/>
        <w:ind w:left="153"/>
        <w:outlineLvl w:val="9"/>
        <w:rPr>
          <w:rFonts w:ascii="宋体" w:eastAsia="宋体" w:cs="宋体"/>
          <w:b w:val="0"/>
          <w:bCs w:val="0"/>
          <w:sz w:val="24"/>
          <w:szCs w:val="24"/>
        </w:rPr>
        <w:pPrChange w:id="1" w:author="ZHONGM" w:date="2019-06-25T00:01:00Z">
          <w:pPr>
            <w:pStyle w:val="21"/>
            <w:kinsoku w:val="0"/>
            <w:overflowPunct w:val="0"/>
            <w:adjustRightInd/>
            <w:spacing w:beforeLines="100" w:line="360" w:lineRule="auto"/>
            <w:ind w:left="153"/>
            <w:outlineLvl w:val="9"/>
          </w:pPr>
        </w:pPrChange>
      </w:pPr>
    </w:p>
    <w:p w:rsidR="001F1249" w:rsidRDefault="001F1249" w:rsidP="001D7310">
      <w:pPr>
        <w:pStyle w:val="21"/>
        <w:kinsoku w:val="0"/>
        <w:overflowPunct w:val="0"/>
        <w:adjustRightInd/>
        <w:spacing w:beforeLines="100" w:line="360" w:lineRule="auto"/>
        <w:ind w:left="153"/>
        <w:outlineLvl w:val="9"/>
        <w:rPr>
          <w:rFonts w:ascii="宋体" w:eastAsia="宋体" w:cs="宋体"/>
          <w:b w:val="0"/>
          <w:bCs w:val="0"/>
          <w:sz w:val="24"/>
          <w:szCs w:val="24"/>
        </w:rPr>
        <w:pPrChange w:id="2" w:author="ZHONGM" w:date="2019-06-25T00:01:00Z">
          <w:pPr>
            <w:pStyle w:val="21"/>
            <w:kinsoku w:val="0"/>
            <w:overflowPunct w:val="0"/>
            <w:adjustRightInd/>
            <w:spacing w:beforeLines="100" w:line="360" w:lineRule="auto"/>
            <w:ind w:left="153"/>
            <w:outlineLvl w:val="9"/>
          </w:pPr>
        </w:pPrChange>
      </w:pPr>
    </w:p>
    <w:p w:rsidR="001F1249" w:rsidRDefault="001F1249" w:rsidP="001D7310">
      <w:pPr>
        <w:pStyle w:val="21"/>
        <w:kinsoku w:val="0"/>
        <w:overflowPunct w:val="0"/>
        <w:adjustRightInd/>
        <w:spacing w:beforeLines="100" w:line="360" w:lineRule="auto"/>
        <w:ind w:left="153"/>
        <w:outlineLvl w:val="9"/>
        <w:rPr>
          <w:rFonts w:ascii="宋体" w:eastAsia="宋体" w:cs="宋体"/>
          <w:b w:val="0"/>
          <w:bCs w:val="0"/>
          <w:sz w:val="24"/>
          <w:szCs w:val="24"/>
        </w:rPr>
        <w:pPrChange w:id="3" w:author="ZHONGM" w:date="2019-06-25T00:01:00Z">
          <w:pPr>
            <w:pStyle w:val="21"/>
            <w:kinsoku w:val="0"/>
            <w:overflowPunct w:val="0"/>
            <w:adjustRightInd/>
            <w:spacing w:beforeLines="100" w:line="360" w:lineRule="auto"/>
            <w:ind w:left="153"/>
            <w:outlineLvl w:val="9"/>
          </w:pPr>
        </w:pPrChange>
      </w:pPr>
    </w:p>
    <w:p w:rsidR="001F1249" w:rsidRDefault="001F1249" w:rsidP="001D7310">
      <w:pPr>
        <w:pStyle w:val="21"/>
        <w:kinsoku w:val="0"/>
        <w:overflowPunct w:val="0"/>
        <w:adjustRightInd/>
        <w:spacing w:beforeLines="100" w:line="360" w:lineRule="auto"/>
        <w:ind w:left="153"/>
        <w:outlineLvl w:val="9"/>
        <w:rPr>
          <w:rFonts w:ascii="宋体" w:eastAsia="宋体" w:cs="宋体"/>
          <w:b w:val="0"/>
          <w:bCs w:val="0"/>
          <w:sz w:val="24"/>
          <w:szCs w:val="24"/>
        </w:rPr>
        <w:pPrChange w:id="4" w:author="ZHONGM" w:date="2019-06-25T00:01:00Z">
          <w:pPr>
            <w:pStyle w:val="21"/>
            <w:kinsoku w:val="0"/>
            <w:overflowPunct w:val="0"/>
            <w:adjustRightInd/>
            <w:spacing w:beforeLines="100" w:line="360" w:lineRule="auto"/>
            <w:ind w:left="153"/>
            <w:outlineLvl w:val="9"/>
          </w:pPr>
        </w:pPrChange>
      </w:pPr>
    </w:p>
    <w:p w:rsidR="001F1249" w:rsidRDefault="00FD4838" w:rsidP="001D7310">
      <w:pPr>
        <w:pStyle w:val="21"/>
        <w:kinsoku w:val="0"/>
        <w:overflowPunct w:val="0"/>
        <w:adjustRightInd/>
        <w:spacing w:beforeLines="100" w:line="360" w:lineRule="auto"/>
        <w:ind w:left="153"/>
        <w:jc w:val="center"/>
        <w:outlineLvl w:val="9"/>
        <w:rPr>
          <w:rFonts w:ascii="宋体" w:eastAsia="宋体" w:cs="宋体"/>
          <w:b w:val="0"/>
          <w:bCs w:val="0"/>
          <w:sz w:val="24"/>
          <w:szCs w:val="24"/>
        </w:rPr>
        <w:pPrChange w:id="5" w:author="ZHONGM" w:date="2019-06-25T00:01:00Z">
          <w:pPr>
            <w:pStyle w:val="21"/>
            <w:kinsoku w:val="0"/>
            <w:overflowPunct w:val="0"/>
            <w:adjustRightInd/>
            <w:spacing w:beforeLines="100" w:line="360" w:lineRule="auto"/>
            <w:ind w:left="153"/>
            <w:jc w:val="center"/>
            <w:outlineLvl w:val="9"/>
          </w:pPr>
        </w:pPrChange>
      </w:pPr>
      <w:r>
        <w:rPr>
          <w:rFonts w:ascii="宋体" w:eastAsia="宋体" w:cs="宋体" w:hint="eastAsia"/>
          <w:b w:val="0"/>
          <w:bCs w:val="0"/>
          <w:sz w:val="24"/>
          <w:szCs w:val="24"/>
        </w:rPr>
        <w:t>基金管理人：国投瑞银基金管理有限公司</w:t>
      </w:r>
    </w:p>
    <w:p w:rsidR="001F1249" w:rsidRDefault="00FD4838">
      <w:pPr>
        <w:pStyle w:val="21"/>
        <w:kinsoku w:val="0"/>
        <w:overflowPunct w:val="0"/>
        <w:adjustRightInd/>
        <w:spacing w:line="360" w:lineRule="auto"/>
        <w:jc w:val="center"/>
        <w:outlineLvl w:val="9"/>
        <w:rPr>
          <w:rFonts w:ascii="宋体" w:eastAsia="宋体" w:cs="宋体"/>
          <w:b w:val="0"/>
          <w:bCs w:val="0"/>
          <w:sz w:val="24"/>
          <w:szCs w:val="24"/>
        </w:rPr>
      </w:pPr>
      <w:r>
        <w:rPr>
          <w:rFonts w:ascii="宋体" w:eastAsia="宋体" w:cs="宋体" w:hint="eastAsia"/>
          <w:b w:val="0"/>
          <w:bCs w:val="0"/>
          <w:sz w:val="24"/>
          <w:szCs w:val="24"/>
        </w:rPr>
        <w:t>基金托管人：中国工商银行股份有限公司</w:t>
      </w:r>
    </w:p>
    <w:p w:rsidR="001F1249" w:rsidRDefault="00FD4838">
      <w:pPr>
        <w:pStyle w:val="21"/>
        <w:kinsoku w:val="0"/>
        <w:overflowPunct w:val="0"/>
        <w:adjustRightInd/>
        <w:spacing w:line="360" w:lineRule="auto"/>
        <w:jc w:val="center"/>
        <w:outlineLvl w:val="9"/>
        <w:rPr>
          <w:rFonts w:ascii="宋体" w:eastAsia="宋体" w:cs="宋体"/>
          <w:b w:val="0"/>
          <w:bCs w:val="0"/>
          <w:sz w:val="24"/>
          <w:szCs w:val="24"/>
        </w:rPr>
      </w:pPr>
      <w:r>
        <w:rPr>
          <w:rFonts w:ascii="宋体" w:eastAsia="宋体" w:cs="宋体" w:hint="eastAsia"/>
          <w:b w:val="0"/>
          <w:bCs w:val="0"/>
          <w:sz w:val="24"/>
          <w:szCs w:val="24"/>
        </w:rPr>
        <w:t>清算报告出具日：2019年5月15日</w:t>
      </w:r>
    </w:p>
    <w:p w:rsidR="001F1249" w:rsidRDefault="00FD4838">
      <w:pPr>
        <w:pStyle w:val="21"/>
        <w:kinsoku w:val="0"/>
        <w:overflowPunct w:val="0"/>
        <w:adjustRightInd/>
        <w:spacing w:line="360" w:lineRule="auto"/>
        <w:jc w:val="center"/>
        <w:outlineLvl w:val="9"/>
        <w:rPr>
          <w:rFonts w:ascii="宋体" w:eastAsia="宋体" w:cs="宋体"/>
          <w:b w:val="0"/>
          <w:bCs w:val="0"/>
          <w:sz w:val="24"/>
          <w:szCs w:val="24"/>
        </w:rPr>
      </w:pPr>
      <w:r>
        <w:rPr>
          <w:rFonts w:ascii="宋体" w:eastAsia="宋体" w:cs="宋体" w:hint="eastAsia"/>
          <w:b w:val="0"/>
          <w:bCs w:val="0"/>
          <w:sz w:val="24"/>
          <w:szCs w:val="24"/>
        </w:rPr>
        <w:t>清算报告公告日：2019年</w:t>
      </w:r>
      <w:r w:rsidR="00136ED5">
        <w:rPr>
          <w:rFonts w:ascii="宋体" w:eastAsia="宋体" w:cs="宋体" w:hint="eastAsia"/>
          <w:b w:val="0"/>
          <w:bCs w:val="0"/>
          <w:sz w:val="24"/>
          <w:szCs w:val="24"/>
        </w:rPr>
        <w:t>6</w:t>
      </w:r>
      <w:r>
        <w:rPr>
          <w:rFonts w:ascii="宋体" w:eastAsia="宋体" w:cs="宋体" w:hint="eastAsia"/>
          <w:b w:val="0"/>
          <w:bCs w:val="0"/>
          <w:sz w:val="24"/>
          <w:szCs w:val="24"/>
        </w:rPr>
        <w:t>月</w:t>
      </w:r>
      <w:r w:rsidR="00136ED5">
        <w:rPr>
          <w:rFonts w:ascii="宋体" w:eastAsia="宋体" w:cs="宋体" w:hint="eastAsia"/>
          <w:b w:val="0"/>
          <w:bCs w:val="0"/>
          <w:sz w:val="24"/>
          <w:szCs w:val="24"/>
        </w:rPr>
        <w:t>25</w:t>
      </w:r>
      <w:r>
        <w:rPr>
          <w:rFonts w:ascii="宋体" w:eastAsia="宋体" w:cs="宋体" w:hint="eastAsia"/>
          <w:b w:val="0"/>
          <w:bCs w:val="0"/>
          <w:sz w:val="24"/>
          <w:szCs w:val="24"/>
        </w:rPr>
        <w:t>日</w:t>
      </w:r>
    </w:p>
    <w:p w:rsidR="001F1249" w:rsidRDefault="001F1249">
      <w:pPr>
        <w:pStyle w:val="21"/>
        <w:kinsoku w:val="0"/>
        <w:overflowPunct w:val="0"/>
        <w:adjustRightInd/>
        <w:spacing w:line="360" w:lineRule="auto"/>
        <w:outlineLvl w:val="9"/>
        <w:rPr>
          <w:rFonts w:ascii="宋体" w:eastAsia="宋体" w:cs="宋体"/>
          <w:b w:val="0"/>
          <w:bCs w:val="0"/>
          <w:sz w:val="24"/>
          <w:szCs w:val="24"/>
        </w:rPr>
      </w:pPr>
    </w:p>
    <w:p w:rsidR="001F1249" w:rsidRDefault="00FD4838">
      <w:pPr>
        <w:widowControl/>
        <w:spacing w:line="360" w:lineRule="auto"/>
        <w:jc w:val="left"/>
        <w:rPr>
          <w:rFonts w:ascii="宋体" w:eastAsia="宋体" w:hAnsi="宋体" w:cs="Microsoft JhengHei"/>
          <w:b/>
          <w:bCs/>
          <w:kern w:val="0"/>
          <w:sz w:val="28"/>
          <w:szCs w:val="28"/>
        </w:rPr>
      </w:pPr>
      <w:r>
        <w:rPr>
          <w:rFonts w:ascii="宋体" w:eastAsia="宋体" w:hAnsi="宋体"/>
        </w:rPr>
        <w:br w:type="page"/>
      </w:r>
    </w:p>
    <w:p w:rsidR="001F1249" w:rsidRDefault="00FD4838">
      <w:pPr>
        <w:pStyle w:val="21"/>
        <w:numPr>
          <w:ilvl w:val="0"/>
          <w:numId w:val="1"/>
        </w:numPr>
        <w:kinsoku w:val="0"/>
        <w:overflowPunct w:val="0"/>
        <w:adjustRightInd/>
        <w:spacing w:line="360" w:lineRule="auto"/>
        <w:outlineLvl w:val="9"/>
        <w:rPr>
          <w:rFonts w:ascii="宋体" w:eastAsia="宋体" w:hAnsi="宋体"/>
        </w:rPr>
      </w:pPr>
      <w:r>
        <w:rPr>
          <w:rFonts w:ascii="宋体" w:eastAsia="宋体" w:hAnsi="宋体" w:hint="eastAsia"/>
        </w:rPr>
        <w:lastRenderedPageBreak/>
        <w:t>重要提示</w:t>
      </w:r>
    </w:p>
    <w:p w:rsidR="001F1249" w:rsidRDefault="00FD4838">
      <w:pPr>
        <w:pStyle w:val="a4"/>
        <w:kinsoku w:val="0"/>
        <w:overflowPunct w:val="0"/>
        <w:spacing w:line="360" w:lineRule="auto"/>
        <w:ind w:left="0" w:firstLineChars="200" w:firstLine="480"/>
        <w:jc w:val="both"/>
        <w:rPr>
          <w:rFonts w:hAnsi="宋体"/>
        </w:rPr>
      </w:pPr>
      <w:r>
        <w:rPr>
          <w:rFonts w:hAnsi="宋体" w:hint="eastAsia"/>
        </w:rPr>
        <w:t>国投瑞银和顺债券型证券投资基金(以下简称"本基金")经中国证监会证监许可[2016] 1107号文注册募集，于2016年11月23日成</w:t>
      </w:r>
      <w:bookmarkStart w:id="6" w:name="_GoBack"/>
      <w:bookmarkEnd w:id="6"/>
      <w:r>
        <w:rPr>
          <w:rFonts w:hAnsi="宋体" w:hint="eastAsia"/>
        </w:rPr>
        <w:t>立并正式运作，</w:t>
      </w:r>
      <w:r>
        <w:rPr>
          <w:rFonts w:hint="eastAsia"/>
        </w:rPr>
        <w:t>基金管理人为国投瑞银基金管理有限公司（以下简称“基金管理人”），</w:t>
      </w:r>
      <w:r>
        <w:rPr>
          <w:rFonts w:hAnsi="宋体" w:hint="eastAsia"/>
        </w:rPr>
        <w:t>基金托管人为中国工商银行股份有限公司（以下简称“基金托管人”）。</w:t>
      </w:r>
    </w:p>
    <w:p w:rsidR="001F1249" w:rsidRDefault="00FD4838">
      <w:pPr>
        <w:pStyle w:val="a4"/>
        <w:kinsoku w:val="0"/>
        <w:overflowPunct w:val="0"/>
        <w:spacing w:line="360" w:lineRule="auto"/>
        <w:ind w:left="0" w:firstLineChars="200" w:firstLine="480"/>
        <w:jc w:val="both"/>
      </w:pPr>
      <w:r>
        <w:rPr>
          <w:rFonts w:hint="eastAsia"/>
        </w:rPr>
        <w:t>根据《中华人民共和国证券投资基金法》、《公开募集证券投资基金运作管理办法》、《国投瑞银和顺债券型证券投资基金基金合同》（以下简称“《基金合同》”）的有关规定，《基金合同》生效后，连续20个工作日出现基金份额持有人数量不满200人或者基金资产净值低于5000万元情形的，基金管理人应当在定期报告中予以披露；连续60个工作日出现前述情形的，本基金合同将终止并进行基金财产清算，且无需召开持有人大会。根据《关于国投瑞银和顺债券型证券投资基金基金财产清算及基金合同终止的公告》及《基金合同》，本基金最后运作日为2019年4月25日，于2019年4月26日起进入清算期。</w:t>
      </w:r>
    </w:p>
    <w:p w:rsidR="001F1249" w:rsidRDefault="00FD4838">
      <w:pPr>
        <w:pStyle w:val="21"/>
        <w:kinsoku w:val="0"/>
        <w:overflowPunct w:val="0"/>
        <w:spacing w:line="360" w:lineRule="auto"/>
        <w:ind w:left="0" w:right="75" w:firstLineChars="200" w:firstLine="480"/>
        <w:jc w:val="both"/>
        <w:outlineLvl w:val="9"/>
        <w:rPr>
          <w:rFonts w:ascii="宋体" w:eastAsia="宋体" w:hAnsi="宋体" w:cs="宋体"/>
          <w:b w:val="0"/>
          <w:bCs w:val="0"/>
          <w:sz w:val="24"/>
          <w:szCs w:val="24"/>
        </w:rPr>
      </w:pPr>
      <w:r>
        <w:rPr>
          <w:rFonts w:ascii="宋体" w:eastAsia="宋体" w:hAnsi="宋体" w:cs="宋体" w:hint="eastAsia"/>
          <w:b w:val="0"/>
          <w:bCs w:val="0"/>
          <w:sz w:val="24"/>
          <w:szCs w:val="24"/>
        </w:rPr>
        <w:t xml:space="preserve">基金管理人、基金托管人、安永华明会计师事务所（特殊普通合伙）和上海源泰律师事务所于2019年4月26日组成基金财产清算小组履行基金财产清算程序，并由安永华明会计师事务所（特殊普通合伙）对本基金进行清算审计，上海源泰律师事务所对清算报告出具法律意见。 </w:t>
      </w:r>
      <w:bookmarkStart w:id="7" w:name="bookmark3"/>
      <w:bookmarkStart w:id="8" w:name="bookmark2"/>
      <w:bookmarkEnd w:id="7"/>
      <w:bookmarkEnd w:id="8"/>
    </w:p>
    <w:p w:rsidR="001F1249" w:rsidRDefault="001F1249">
      <w:pPr>
        <w:pStyle w:val="21"/>
        <w:kinsoku w:val="0"/>
        <w:overflowPunct w:val="0"/>
        <w:spacing w:line="360" w:lineRule="auto"/>
        <w:ind w:left="0" w:right="75" w:firstLineChars="200" w:firstLine="480"/>
        <w:outlineLvl w:val="9"/>
        <w:rPr>
          <w:rFonts w:ascii="宋体" w:eastAsia="宋体" w:hAnsi="宋体" w:cs="宋体"/>
          <w:b w:val="0"/>
          <w:bCs w:val="0"/>
          <w:sz w:val="24"/>
          <w:szCs w:val="24"/>
        </w:rPr>
      </w:pPr>
    </w:p>
    <w:p w:rsidR="001F1249" w:rsidRDefault="00FD4838">
      <w:pPr>
        <w:pStyle w:val="21"/>
        <w:numPr>
          <w:ilvl w:val="0"/>
          <w:numId w:val="1"/>
        </w:numPr>
        <w:kinsoku w:val="0"/>
        <w:overflowPunct w:val="0"/>
        <w:spacing w:line="360" w:lineRule="auto"/>
        <w:ind w:right="75"/>
        <w:outlineLvl w:val="9"/>
        <w:rPr>
          <w:rFonts w:ascii="宋体" w:eastAsia="宋体" w:hAnsi="宋体"/>
          <w:b w:val="0"/>
          <w:bCs w:val="0"/>
        </w:rPr>
      </w:pPr>
      <w:r>
        <w:rPr>
          <w:rFonts w:ascii="宋体" w:eastAsia="宋体" w:hAnsi="宋体" w:hint="eastAsia"/>
        </w:rPr>
        <w:t>基金概况</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9"/>
        <w:gridCol w:w="5918"/>
      </w:tblGrid>
      <w:tr w:rsidR="00E06938">
        <w:trPr>
          <w:jc w:val="center"/>
        </w:trPr>
        <w:tc>
          <w:tcPr>
            <w:tcW w:w="2589" w:type="dxa"/>
            <w:tcBorders>
              <w:top w:val="single" w:sz="4" w:space="0" w:color="auto"/>
              <w:left w:val="single" w:sz="4" w:space="0" w:color="auto"/>
              <w:bottom w:val="single" w:sz="4" w:space="0" w:color="auto"/>
              <w:right w:val="single" w:sz="4" w:space="0" w:color="auto"/>
            </w:tcBorders>
            <w:shd w:val="clear" w:color="auto" w:fill="auto"/>
          </w:tcPr>
          <w:p w:rsidR="00E06938" w:rsidRDefault="00E069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基金名称</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E06938" w:rsidRDefault="00E069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国投瑞银和顺债券型证券投资基金</w:t>
            </w:r>
          </w:p>
        </w:tc>
      </w:tr>
      <w:tr w:rsidR="001F1249">
        <w:trPr>
          <w:jc w:val="center"/>
        </w:trPr>
        <w:tc>
          <w:tcPr>
            <w:tcW w:w="2589"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基金简称</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国投瑞银和顺债券</w:t>
            </w:r>
          </w:p>
        </w:tc>
      </w:tr>
      <w:tr w:rsidR="001F1249">
        <w:trPr>
          <w:jc w:val="center"/>
        </w:trPr>
        <w:tc>
          <w:tcPr>
            <w:tcW w:w="2589"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基金主代码</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003710</w:t>
            </w:r>
          </w:p>
        </w:tc>
      </w:tr>
      <w:tr w:rsidR="001F1249">
        <w:trPr>
          <w:jc w:val="center"/>
        </w:trPr>
        <w:tc>
          <w:tcPr>
            <w:tcW w:w="2589"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基金运作方式</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契约型、开放式</w:t>
            </w:r>
          </w:p>
        </w:tc>
      </w:tr>
      <w:tr w:rsidR="001F1249">
        <w:trPr>
          <w:jc w:val="center"/>
        </w:trPr>
        <w:tc>
          <w:tcPr>
            <w:tcW w:w="2589"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基金合同生效日</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2016年11月23日</w:t>
            </w:r>
          </w:p>
        </w:tc>
      </w:tr>
      <w:tr w:rsidR="001F1249" w:rsidTr="00AC293A">
        <w:trPr>
          <w:jc w:val="center"/>
        </w:trPr>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rsidR="001F1249" w:rsidRDefault="00FD4838" w:rsidP="00AC293A">
            <w:pPr>
              <w:pStyle w:val="a4"/>
              <w:kinsoku w:val="0"/>
              <w:overflowPunct w:val="0"/>
              <w:adjustRightInd/>
              <w:spacing w:line="360" w:lineRule="auto"/>
              <w:ind w:left="0"/>
              <w:jc w:val="both"/>
              <w:rPr>
                <w:rFonts w:asciiTheme="minorEastAsia" w:eastAsiaTheme="minorEastAsia" w:hAnsiTheme="minorEastAsia" w:cstheme="minorEastAsia"/>
              </w:rPr>
            </w:pPr>
            <w:r>
              <w:rPr>
                <w:rFonts w:asciiTheme="minorEastAsia" w:eastAsiaTheme="minorEastAsia" w:hAnsiTheme="minorEastAsia" w:cstheme="minorEastAsia" w:hint="eastAsia"/>
              </w:rPr>
              <w:t>最后运作日（2019年4月25日）基金份额总额</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tcPr>
          <w:p w:rsidR="001F1249" w:rsidRDefault="00FD4838" w:rsidP="00AC293A">
            <w:pPr>
              <w:pStyle w:val="a4"/>
              <w:kinsoku w:val="0"/>
              <w:overflowPunct w:val="0"/>
              <w:adjustRightInd/>
              <w:spacing w:line="360" w:lineRule="auto"/>
              <w:ind w:left="0"/>
              <w:jc w:val="both"/>
              <w:rPr>
                <w:rFonts w:asciiTheme="minorEastAsia" w:eastAsiaTheme="minorEastAsia" w:hAnsiTheme="minorEastAsia" w:cstheme="minorEastAsia"/>
              </w:rPr>
            </w:pPr>
            <w:r>
              <w:rPr>
                <w:rFonts w:asciiTheme="minorEastAsia" w:eastAsiaTheme="minorEastAsia" w:hAnsiTheme="minorEastAsia" w:cstheme="minorEastAsia" w:hint="eastAsia"/>
              </w:rPr>
              <w:t>2,617,158.33份</w:t>
            </w:r>
          </w:p>
        </w:tc>
      </w:tr>
      <w:tr w:rsidR="001F1249" w:rsidTr="00AC293A">
        <w:trPr>
          <w:jc w:val="center"/>
        </w:trPr>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rsidR="001F1249" w:rsidRDefault="00FD4838" w:rsidP="00AC293A">
            <w:pPr>
              <w:pStyle w:val="a4"/>
              <w:kinsoku w:val="0"/>
              <w:overflowPunct w:val="0"/>
              <w:adjustRightInd/>
              <w:spacing w:line="360" w:lineRule="auto"/>
              <w:ind w:left="0"/>
              <w:jc w:val="both"/>
              <w:rPr>
                <w:rFonts w:asciiTheme="minorEastAsia" w:eastAsiaTheme="minorEastAsia" w:hAnsiTheme="minorEastAsia" w:cstheme="minorEastAsia"/>
              </w:rPr>
            </w:pPr>
            <w:r>
              <w:rPr>
                <w:rFonts w:asciiTheme="minorEastAsia" w:eastAsiaTheme="minorEastAsia" w:hAnsiTheme="minorEastAsia" w:cstheme="minorEastAsia" w:hint="eastAsia"/>
              </w:rPr>
              <w:t>投资目标</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在严格控制风险的基础上，通过积极主动的投资管理，力争为投资人实现超越业绩比较基准的投资业绩。</w:t>
            </w:r>
          </w:p>
        </w:tc>
      </w:tr>
      <w:tr w:rsidR="001F1249" w:rsidTr="00AC293A">
        <w:trPr>
          <w:jc w:val="center"/>
        </w:trPr>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rsidR="001F1249" w:rsidRDefault="00FD4838" w:rsidP="00AC293A">
            <w:pPr>
              <w:pStyle w:val="a4"/>
              <w:kinsoku w:val="0"/>
              <w:overflowPunct w:val="0"/>
              <w:adjustRightInd/>
              <w:spacing w:line="360" w:lineRule="auto"/>
              <w:ind w:left="0"/>
              <w:jc w:val="both"/>
              <w:rPr>
                <w:rFonts w:asciiTheme="minorEastAsia" w:eastAsiaTheme="minorEastAsia" w:hAnsiTheme="minorEastAsia" w:cstheme="minorEastAsia"/>
              </w:rPr>
            </w:pPr>
            <w:r>
              <w:rPr>
                <w:rFonts w:asciiTheme="minorEastAsia" w:eastAsiaTheme="minorEastAsia" w:hAnsiTheme="minorEastAsia" w:cstheme="minorEastAsia" w:hint="eastAsia"/>
              </w:rPr>
              <w:t>投资策略</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（一）资产配置</w:t>
            </w:r>
          </w:p>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本基金采取稳健灵活的投资策略，通过固定收益类金融工具的主动管理，力求降低基金净值波动风险，并根据对股票市场的趋势研判，适度参与股票投资，力求提高基金总体收益率。</w:t>
            </w:r>
          </w:p>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（二）债券投资管理</w:t>
            </w:r>
          </w:p>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本基金采取“自上而下”的债券分析方法，确定债券投资组合，并管理组合风险。</w:t>
            </w:r>
          </w:p>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债券投资策略主要包括：久期策略、收益率曲线策略、类别选择策略和个券选择策略。</w:t>
            </w:r>
          </w:p>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（三）股票投资策略</w:t>
            </w:r>
          </w:p>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基金管理人将把握股票市场出现的趋势性或结构性投资机会，在本基金合同约定范围内直接投资股票市场，努力获取超额收益。在股票投资方面，基金管理人将遵循稳健和灵活兼顾的投资思路。</w:t>
            </w:r>
          </w:p>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（四）权证投资管理</w:t>
            </w:r>
          </w:p>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1、考量标的股票合理价值、标的股票价格、行权价格、行权时间、行权方式、股价历史与预期波动率和无风险收益率等要素，估计权证合理价值。</w:t>
            </w:r>
          </w:p>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2、根据权证合理价值与其市场价格间的差幅即“估值差价(Value Price)”以及权证合理价值对定价参数的敏感性，结合标的股票合理价值考量，决策买入、持有或沽出权证。</w:t>
            </w:r>
          </w:p>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（五）国债期货投资策略</w:t>
            </w:r>
          </w:p>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为有效控制债券投资的系统性风险，本基金根据风险管理的原则，以套期保值为目的，适度运用国债期货，提高投资组合的运作效率。</w:t>
            </w:r>
          </w:p>
        </w:tc>
      </w:tr>
      <w:tr w:rsidR="001F1249">
        <w:trPr>
          <w:jc w:val="center"/>
        </w:trPr>
        <w:tc>
          <w:tcPr>
            <w:tcW w:w="2589"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业绩比较基准</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 xml:space="preserve">中债综合指数收益率×90%＋沪深300指数收益率×10% </w:t>
            </w:r>
          </w:p>
        </w:tc>
      </w:tr>
      <w:tr w:rsidR="001F1249">
        <w:trPr>
          <w:jc w:val="center"/>
        </w:trPr>
        <w:tc>
          <w:tcPr>
            <w:tcW w:w="2589"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风险收益特征</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本基金为债券型基金，属证券投资基金中的较低风险品种，风险与预期收益高于货币市场基金，低于混合型基金和股票型基金。</w:t>
            </w:r>
          </w:p>
        </w:tc>
      </w:tr>
      <w:tr w:rsidR="001F1249">
        <w:trPr>
          <w:jc w:val="center"/>
        </w:trPr>
        <w:tc>
          <w:tcPr>
            <w:tcW w:w="2589"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基金管理人</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国投瑞银基金管理有限公司</w:t>
            </w:r>
          </w:p>
        </w:tc>
      </w:tr>
      <w:tr w:rsidR="001F1249">
        <w:trPr>
          <w:jc w:val="center"/>
        </w:trPr>
        <w:tc>
          <w:tcPr>
            <w:tcW w:w="2589"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基金托管人</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1F1249" w:rsidRDefault="00FD4838">
            <w:pPr>
              <w:pStyle w:val="a4"/>
              <w:kinsoku w:val="0"/>
              <w:overflowPunct w:val="0"/>
              <w:adjustRightInd/>
              <w:spacing w:line="360" w:lineRule="auto"/>
              <w:ind w:left="0"/>
              <w:rPr>
                <w:rFonts w:asciiTheme="minorEastAsia" w:eastAsiaTheme="minorEastAsia" w:hAnsiTheme="minorEastAsia" w:cstheme="minorEastAsia"/>
              </w:rPr>
            </w:pPr>
            <w:r>
              <w:rPr>
                <w:rFonts w:asciiTheme="minorEastAsia" w:eastAsiaTheme="minorEastAsia" w:hAnsiTheme="minorEastAsia" w:cstheme="minorEastAsia" w:hint="eastAsia"/>
              </w:rPr>
              <w:t>中国工商银行股份有限公司</w:t>
            </w:r>
          </w:p>
        </w:tc>
      </w:tr>
    </w:tbl>
    <w:p w:rsidR="001F1249" w:rsidRDefault="001F1249">
      <w:pPr>
        <w:spacing w:line="360" w:lineRule="auto"/>
        <w:ind w:firstLineChars="200" w:firstLine="480"/>
        <w:jc w:val="left"/>
        <w:rPr>
          <w:rFonts w:ascii="宋体" w:eastAsia="宋体" w:hAnsi="宋体"/>
          <w:color w:val="2C2C2C"/>
          <w:sz w:val="24"/>
          <w:szCs w:val="24"/>
          <w:highlight w:val="yellow"/>
        </w:rPr>
      </w:pPr>
    </w:p>
    <w:p w:rsidR="001F1249" w:rsidRDefault="00FD4838">
      <w:pPr>
        <w:pStyle w:val="21"/>
        <w:numPr>
          <w:ilvl w:val="0"/>
          <w:numId w:val="1"/>
        </w:numPr>
        <w:kinsoku w:val="0"/>
        <w:overflowPunct w:val="0"/>
        <w:spacing w:line="360" w:lineRule="auto"/>
        <w:ind w:right="75"/>
        <w:outlineLvl w:val="9"/>
        <w:rPr>
          <w:rFonts w:ascii="宋体" w:eastAsia="宋体" w:hAnsi="宋体"/>
        </w:rPr>
      </w:pPr>
      <w:r>
        <w:rPr>
          <w:rFonts w:ascii="宋体" w:eastAsia="宋体" w:hAnsi="宋体" w:hint="eastAsia"/>
        </w:rPr>
        <w:t>基金运作情况</w:t>
      </w:r>
    </w:p>
    <w:p w:rsidR="001F1249" w:rsidRDefault="00FD4838">
      <w:pPr>
        <w:spacing w:line="360" w:lineRule="auto"/>
        <w:ind w:firstLineChars="200" w:firstLine="480"/>
        <w:rPr>
          <w:rFonts w:ascii="宋体" w:eastAsia="宋体" w:hAnsi="宋体"/>
          <w:color w:val="2C2C2C"/>
          <w:sz w:val="24"/>
          <w:szCs w:val="24"/>
        </w:rPr>
      </w:pPr>
      <w:r>
        <w:rPr>
          <w:rFonts w:ascii="宋体" w:eastAsia="宋体" w:hAnsi="宋体" w:hint="eastAsia"/>
          <w:color w:val="2C2C2C"/>
          <w:sz w:val="24"/>
          <w:szCs w:val="24"/>
        </w:rPr>
        <w:t>本基金经中国证监会证监许可[2016]1107号文注册募集，由基金管理人依照法律法规、基金合同等规定于2016年11月14日至2016年11月18日向社会公开募集。本基金基金合同于2016年11月23日正式生效，基金合同生效日的基金份额总数为248,914,094.67份。自2016年11月23日至2019年4月25日期间，本基金正常运作。</w:t>
      </w:r>
    </w:p>
    <w:p w:rsidR="001F1249" w:rsidRDefault="00FD4838">
      <w:pPr>
        <w:spacing w:line="360" w:lineRule="auto"/>
        <w:ind w:firstLineChars="200" w:firstLine="480"/>
        <w:rPr>
          <w:rFonts w:ascii="宋体" w:eastAsia="宋体" w:hAnsi="宋体"/>
          <w:color w:val="2C2C2C"/>
          <w:sz w:val="24"/>
          <w:szCs w:val="24"/>
        </w:rPr>
      </w:pPr>
      <w:r>
        <w:rPr>
          <w:rFonts w:ascii="宋体" w:eastAsia="宋体" w:hAnsi="宋体" w:hint="eastAsia"/>
          <w:color w:val="2C2C2C"/>
          <w:sz w:val="24"/>
          <w:szCs w:val="24"/>
        </w:rPr>
        <w:t>根据《中华人民共和国证券投资基金法》、《公开募集证券投资基金运作管理办法》、《基金合同》的有关规定，《基金合同》生效后，连续20个工作日出现基金份额持有人数量不满200人或者基金资产净值低于5000万元情形的，基金管理人应当在定期报告中予以披露；连续60个工作日出现前述情形的，本基金合同将终止并进行基金财产清算，且无需召开持有人大会。截至2019年4月25日，本基金的基金资产净值已连续60个工作日低于5000万元，触发基金合同终止情形，基金合同自动终止，基金管理人已就该事项于2019年4月26日刊登了《关于国投瑞银和顺债券型证券投资基金基金财产清算及基金合同终止的公告》。本基金从2019年4月26日起进入清算期。</w:t>
      </w:r>
    </w:p>
    <w:p w:rsidR="001F1249" w:rsidRDefault="001F1249">
      <w:pPr>
        <w:spacing w:line="360" w:lineRule="auto"/>
        <w:ind w:firstLineChars="200" w:firstLine="480"/>
        <w:jc w:val="left"/>
        <w:rPr>
          <w:rFonts w:ascii="宋体" w:eastAsia="宋体" w:hAnsi="宋体"/>
          <w:color w:val="2C2C2C"/>
          <w:sz w:val="24"/>
          <w:szCs w:val="24"/>
          <w:highlight w:val="yellow"/>
        </w:rPr>
      </w:pPr>
    </w:p>
    <w:p w:rsidR="001F1249" w:rsidRDefault="00FD4838">
      <w:pPr>
        <w:pStyle w:val="21"/>
        <w:numPr>
          <w:ilvl w:val="0"/>
          <w:numId w:val="1"/>
        </w:numPr>
        <w:kinsoku w:val="0"/>
        <w:overflowPunct w:val="0"/>
        <w:spacing w:line="360" w:lineRule="auto"/>
        <w:ind w:right="75"/>
        <w:outlineLvl w:val="9"/>
        <w:rPr>
          <w:rFonts w:ascii="宋体" w:eastAsia="宋体" w:hAnsi="宋体"/>
        </w:rPr>
      </w:pPr>
      <w:r>
        <w:rPr>
          <w:rFonts w:ascii="宋体" w:eastAsia="宋体" w:hAnsi="宋体" w:hint="eastAsia"/>
        </w:rPr>
        <w:t>财务会计报告</w:t>
      </w:r>
    </w:p>
    <w:p w:rsidR="001F1249" w:rsidRDefault="00FD4838">
      <w:pPr>
        <w:spacing w:line="360" w:lineRule="auto"/>
        <w:jc w:val="left"/>
        <w:rPr>
          <w:rFonts w:ascii="宋体" w:eastAsia="宋体" w:hAnsi="宋体"/>
          <w:color w:val="2C2C2C"/>
          <w:sz w:val="24"/>
          <w:szCs w:val="24"/>
        </w:rPr>
      </w:pPr>
      <w:r>
        <w:rPr>
          <w:rFonts w:ascii="宋体" w:eastAsia="宋体" w:hAnsi="宋体" w:hint="eastAsia"/>
          <w:color w:val="2C2C2C"/>
          <w:sz w:val="24"/>
          <w:szCs w:val="24"/>
        </w:rPr>
        <w:t>基金最后运作日资产负债表（已经审计）</w:t>
      </w:r>
    </w:p>
    <w:p w:rsidR="001F1249" w:rsidRDefault="00FD4838">
      <w:pPr>
        <w:spacing w:line="360" w:lineRule="auto"/>
        <w:jc w:val="left"/>
        <w:rPr>
          <w:rFonts w:ascii="宋体" w:eastAsia="宋体" w:hAnsi="宋体"/>
          <w:color w:val="2C2C2C"/>
          <w:sz w:val="24"/>
          <w:szCs w:val="24"/>
        </w:rPr>
      </w:pPr>
      <w:r>
        <w:rPr>
          <w:rFonts w:ascii="宋体" w:eastAsia="宋体" w:hAnsi="宋体" w:hint="eastAsia"/>
          <w:color w:val="2C2C2C"/>
          <w:sz w:val="24"/>
          <w:szCs w:val="24"/>
        </w:rPr>
        <w:t>会计主体：国投瑞银和顺债券型证券投资基金</w:t>
      </w:r>
    </w:p>
    <w:p w:rsidR="001F1249" w:rsidRDefault="00FD4838">
      <w:pPr>
        <w:spacing w:line="360" w:lineRule="auto"/>
        <w:jc w:val="left"/>
        <w:rPr>
          <w:rFonts w:ascii="宋体" w:eastAsia="宋体" w:hAnsi="宋体"/>
          <w:color w:val="2C2C2C"/>
          <w:sz w:val="24"/>
          <w:szCs w:val="24"/>
        </w:rPr>
      </w:pPr>
      <w:r>
        <w:rPr>
          <w:rFonts w:ascii="宋体" w:eastAsia="宋体" w:hAnsi="宋体" w:hint="eastAsia"/>
          <w:color w:val="2C2C2C"/>
          <w:sz w:val="24"/>
          <w:szCs w:val="24"/>
        </w:rPr>
        <w:t>报告截止日：2019年4月25日</w:t>
      </w:r>
    </w:p>
    <w:p w:rsidR="001F1249" w:rsidRDefault="00FD4838">
      <w:pPr>
        <w:spacing w:line="360" w:lineRule="auto"/>
        <w:ind w:rightChars="2" w:right="4"/>
        <w:jc w:val="right"/>
        <w:rPr>
          <w:rFonts w:asciiTheme="minorEastAsia" w:hAnsiTheme="minorEastAsia" w:cstheme="minorEastAsia"/>
          <w:sz w:val="24"/>
          <w:szCs w:val="24"/>
        </w:rPr>
      </w:pPr>
      <w:r>
        <w:rPr>
          <w:rFonts w:asciiTheme="minorEastAsia" w:hAnsiTheme="minorEastAsia" w:cstheme="minorEastAsia"/>
          <w:sz w:val="24"/>
          <w:szCs w:val="24"/>
        </w:rPr>
        <w:t>单位：人民币元</w:t>
      </w:r>
    </w:p>
    <w:tbl>
      <w:tblPr>
        <w:tblW w:w="9569" w:type="dxa"/>
        <w:jc w:val="center"/>
        <w:tblInd w:w="-33" w:type="dxa"/>
        <w:tblLayout w:type="fixed"/>
        <w:tblLook w:val="04A0"/>
      </w:tblPr>
      <w:tblGrid>
        <w:gridCol w:w="5386"/>
        <w:gridCol w:w="4183"/>
      </w:tblGrid>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1F1249">
            <w:pPr>
              <w:pStyle w:val="a8"/>
              <w:spacing w:before="0" w:beforeAutospacing="0" w:after="0" w:afterAutospacing="0" w:line="360" w:lineRule="auto"/>
              <w:rPr>
                <w:rFonts w:asciiTheme="minorEastAsia" w:eastAsiaTheme="minorEastAsia" w:hAnsiTheme="minorEastAsia" w:cstheme="minorEastAsia"/>
                <w:b/>
              </w:rPr>
            </w:pP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b/>
                <w:bCs/>
                <w:sz w:val="24"/>
                <w:szCs w:val="24"/>
              </w:rPr>
            </w:pPr>
            <w:r>
              <w:rPr>
                <w:rFonts w:asciiTheme="minorEastAsia" w:hAnsiTheme="minorEastAsia" w:cstheme="minorEastAsia" w:hint="eastAsia"/>
                <w:b/>
                <w:bCs/>
                <w:sz w:val="24"/>
                <w:szCs w:val="24"/>
              </w:rPr>
              <w:t>最后运作日</w:t>
            </w:r>
          </w:p>
          <w:p w:rsidR="001F1249" w:rsidRDefault="00FD4838">
            <w:pPr>
              <w:spacing w:line="360" w:lineRule="auto"/>
              <w:ind w:firstLine="480"/>
              <w:jc w:val="right"/>
              <w:rPr>
                <w:rFonts w:asciiTheme="minorEastAsia" w:hAnsiTheme="minorEastAsia" w:cstheme="minorEastAsia"/>
                <w:b/>
                <w:bCs/>
                <w:sz w:val="24"/>
                <w:szCs w:val="24"/>
              </w:rPr>
            </w:pPr>
            <w:r>
              <w:rPr>
                <w:rFonts w:asciiTheme="minorEastAsia" w:hAnsiTheme="minorEastAsia" w:cstheme="minorEastAsia" w:hint="eastAsia"/>
                <w:b/>
                <w:bCs/>
                <w:sz w:val="24"/>
                <w:szCs w:val="24"/>
              </w:rPr>
              <w:t>2019年4月25日</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b/>
              </w:rPr>
            </w:pPr>
            <w:r>
              <w:rPr>
                <w:rFonts w:asciiTheme="minorEastAsia" w:eastAsiaTheme="minorEastAsia" w:hAnsiTheme="minorEastAsia" w:cstheme="minorEastAsia" w:hint="eastAsia"/>
                <w:b/>
              </w:rPr>
              <w:t>资产：</w:t>
            </w:r>
          </w:p>
        </w:tc>
        <w:tc>
          <w:tcPr>
            <w:tcW w:w="4183" w:type="dxa"/>
            <w:tcBorders>
              <w:top w:val="single" w:sz="4" w:space="0" w:color="auto"/>
              <w:left w:val="nil"/>
              <w:bottom w:val="single" w:sz="4" w:space="0" w:color="auto"/>
              <w:right w:val="single" w:sz="4" w:space="0" w:color="auto"/>
            </w:tcBorders>
            <w:vAlign w:val="bottom"/>
          </w:tcPr>
          <w:p w:rsidR="001F1249" w:rsidRDefault="001F1249">
            <w:pPr>
              <w:spacing w:line="360" w:lineRule="auto"/>
              <w:ind w:firstLine="480"/>
              <w:jc w:val="right"/>
              <w:rPr>
                <w:rFonts w:asciiTheme="minorEastAsia" w:hAnsiTheme="minorEastAsia" w:cstheme="minorEastAsia"/>
                <w:b/>
                <w:bCs/>
                <w:sz w:val="24"/>
                <w:szCs w:val="24"/>
              </w:rPr>
            </w:pP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银行存款</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203,249.93</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结算备付金</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40,946.67</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存出保证金</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12,166.62</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交易性金融资产</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2,765,713.80</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其中：股票投资</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债券投资</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2,765,713.80</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应收利息</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13,452.73</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应收证券清算款</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116,511.02</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资产总计</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3,152,040.77</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b/>
              </w:rPr>
              <w:t>负债：</w:t>
            </w:r>
          </w:p>
        </w:tc>
        <w:tc>
          <w:tcPr>
            <w:tcW w:w="4183" w:type="dxa"/>
            <w:tcBorders>
              <w:top w:val="single" w:sz="4" w:space="0" w:color="auto"/>
              <w:left w:val="nil"/>
              <w:bottom w:val="single" w:sz="4" w:space="0" w:color="auto"/>
              <w:right w:val="single" w:sz="4" w:space="0" w:color="auto"/>
            </w:tcBorders>
            <w:vAlign w:val="bottom"/>
          </w:tcPr>
          <w:p w:rsidR="001F1249" w:rsidRDefault="001F1249">
            <w:pPr>
              <w:spacing w:line="360" w:lineRule="auto"/>
              <w:ind w:firstLine="480"/>
              <w:jc w:val="right"/>
              <w:rPr>
                <w:rFonts w:asciiTheme="minorEastAsia" w:hAnsiTheme="minorEastAsia" w:cstheme="minorEastAsia"/>
                <w:sz w:val="24"/>
                <w:szCs w:val="24"/>
              </w:rPr>
            </w:pP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应付赎回款</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124,675.57</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rPr>
              <w:t>应付管理人报酬</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3,456.66</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rPr>
              <w:t>应付托管费</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864.15</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应付交易费用</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1,848.94</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其他负债</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23.05</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负债合计</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130,868.37</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b/>
              </w:rPr>
              <w:t>所有者权益：</w:t>
            </w:r>
          </w:p>
        </w:tc>
        <w:tc>
          <w:tcPr>
            <w:tcW w:w="4183" w:type="dxa"/>
            <w:tcBorders>
              <w:top w:val="single" w:sz="4" w:space="0" w:color="auto"/>
              <w:left w:val="nil"/>
              <w:bottom w:val="single" w:sz="4" w:space="0" w:color="auto"/>
              <w:right w:val="single" w:sz="4" w:space="0" w:color="auto"/>
            </w:tcBorders>
            <w:vAlign w:val="bottom"/>
          </w:tcPr>
          <w:p w:rsidR="001F1249" w:rsidRDefault="001F1249">
            <w:pPr>
              <w:spacing w:line="360" w:lineRule="auto"/>
              <w:ind w:firstLine="480"/>
              <w:jc w:val="right"/>
              <w:rPr>
                <w:rFonts w:asciiTheme="minorEastAsia" w:hAnsiTheme="minorEastAsia" w:cstheme="minorEastAsia"/>
                <w:sz w:val="24"/>
                <w:szCs w:val="24"/>
              </w:rPr>
            </w:pP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b/>
              </w:rPr>
            </w:pPr>
            <w:r>
              <w:rPr>
                <w:rFonts w:asciiTheme="minorEastAsia" w:eastAsiaTheme="minorEastAsia" w:hAnsiTheme="minorEastAsia" w:cstheme="minorEastAsia" w:hint="eastAsia"/>
              </w:rPr>
              <w:t>实收基金</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2,617,158.33</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未分配利润</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404,014.07</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所有者权益合计</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3,021,172.40</w:t>
            </w:r>
          </w:p>
        </w:tc>
      </w:tr>
      <w:tr w:rsidR="001F1249">
        <w:trPr>
          <w:jc w:val="center"/>
        </w:trPr>
        <w:tc>
          <w:tcPr>
            <w:tcW w:w="5386" w:type="dxa"/>
            <w:tcBorders>
              <w:top w:val="single" w:sz="4" w:space="0" w:color="auto"/>
              <w:left w:val="single" w:sz="4" w:space="0" w:color="auto"/>
              <w:bottom w:val="single" w:sz="4" w:space="0" w:color="auto"/>
              <w:right w:val="single" w:sz="4" w:space="0" w:color="auto"/>
            </w:tcBorders>
            <w:vAlign w:val="center"/>
          </w:tcPr>
          <w:p w:rsidR="001F1249" w:rsidRDefault="00FD4838">
            <w:pPr>
              <w:pStyle w:val="a8"/>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负债和所有者权益总计</w:t>
            </w:r>
          </w:p>
        </w:tc>
        <w:tc>
          <w:tcPr>
            <w:tcW w:w="4183" w:type="dxa"/>
            <w:tcBorders>
              <w:top w:val="single" w:sz="4" w:space="0" w:color="auto"/>
              <w:left w:val="nil"/>
              <w:bottom w:val="single" w:sz="4" w:space="0" w:color="auto"/>
              <w:right w:val="single" w:sz="4" w:space="0" w:color="auto"/>
            </w:tcBorders>
            <w:vAlign w:val="bottom"/>
          </w:tcPr>
          <w:p w:rsidR="001F1249" w:rsidRDefault="00FD4838">
            <w:pPr>
              <w:spacing w:line="360" w:lineRule="auto"/>
              <w:ind w:firstLine="480"/>
              <w:jc w:val="right"/>
              <w:rPr>
                <w:rFonts w:asciiTheme="minorEastAsia" w:hAnsiTheme="minorEastAsia" w:cstheme="minorEastAsia"/>
                <w:sz w:val="24"/>
                <w:szCs w:val="24"/>
              </w:rPr>
            </w:pPr>
            <w:r>
              <w:rPr>
                <w:rFonts w:asciiTheme="minorEastAsia" w:hAnsiTheme="minorEastAsia" w:cstheme="minorEastAsia"/>
                <w:sz w:val="24"/>
                <w:szCs w:val="24"/>
              </w:rPr>
              <w:t>3,152,040.77</w:t>
            </w:r>
          </w:p>
        </w:tc>
      </w:tr>
    </w:tbl>
    <w:p w:rsidR="001F1249" w:rsidRDefault="00FD4838">
      <w:pPr>
        <w:spacing w:line="360" w:lineRule="auto"/>
        <w:ind w:firstLine="480"/>
        <w:jc w:val="left"/>
        <w:rPr>
          <w:rFonts w:ascii="宋体" w:eastAsia="宋体" w:hAnsi="宋体"/>
          <w:color w:val="2C2C2C"/>
          <w:sz w:val="24"/>
          <w:szCs w:val="24"/>
        </w:rPr>
      </w:pPr>
      <w:bookmarkStart w:id="9" w:name="资产"/>
      <w:bookmarkEnd w:id="9"/>
      <w:r>
        <w:rPr>
          <w:rFonts w:ascii="宋体" w:eastAsia="宋体" w:hAnsi="宋体" w:hint="eastAsia"/>
          <w:color w:val="2C2C2C"/>
          <w:sz w:val="24"/>
          <w:szCs w:val="24"/>
        </w:rPr>
        <w:t>注:报告截止日2019年4月25日(基金最后运作日),基金份额净值1.154元,基金份额总额2,617,158.33份。</w:t>
      </w:r>
    </w:p>
    <w:p w:rsidR="001F1249" w:rsidRDefault="001F1249">
      <w:pPr>
        <w:pStyle w:val="21"/>
        <w:kinsoku w:val="0"/>
        <w:overflowPunct w:val="0"/>
        <w:spacing w:line="360" w:lineRule="auto"/>
        <w:ind w:right="75"/>
        <w:jc w:val="both"/>
        <w:outlineLvl w:val="9"/>
        <w:rPr>
          <w:rFonts w:ascii="宋体" w:eastAsia="宋体" w:cs="宋体"/>
          <w:b w:val="0"/>
          <w:bCs w:val="0"/>
          <w:sz w:val="24"/>
          <w:szCs w:val="24"/>
        </w:rPr>
      </w:pPr>
    </w:p>
    <w:p w:rsidR="001F1249" w:rsidRDefault="00FD4838">
      <w:pPr>
        <w:pStyle w:val="21"/>
        <w:numPr>
          <w:ilvl w:val="0"/>
          <w:numId w:val="1"/>
        </w:numPr>
        <w:kinsoku w:val="0"/>
        <w:overflowPunct w:val="0"/>
        <w:spacing w:line="360" w:lineRule="auto"/>
        <w:ind w:right="75"/>
        <w:outlineLvl w:val="9"/>
        <w:rPr>
          <w:rFonts w:ascii="宋体" w:eastAsia="宋体" w:hAnsi="宋体"/>
        </w:rPr>
      </w:pPr>
      <w:r>
        <w:rPr>
          <w:rFonts w:ascii="宋体" w:eastAsia="宋体" w:hAnsi="宋体" w:hint="eastAsia"/>
        </w:rPr>
        <w:t>清算情况</w:t>
      </w:r>
    </w:p>
    <w:p w:rsidR="001F1249" w:rsidRDefault="00FD4838">
      <w:pPr>
        <w:spacing w:line="360" w:lineRule="auto"/>
        <w:ind w:firstLineChars="200" w:firstLine="480"/>
        <w:rPr>
          <w:rFonts w:ascii="宋体" w:eastAsia="宋体" w:hAnsi="宋体"/>
          <w:color w:val="2C2C2C"/>
          <w:sz w:val="24"/>
          <w:szCs w:val="24"/>
        </w:rPr>
      </w:pPr>
      <w:r>
        <w:rPr>
          <w:rFonts w:ascii="宋体" w:eastAsia="宋体" w:hAnsi="宋体" w:hint="eastAsia"/>
          <w:color w:val="2C2C2C"/>
          <w:sz w:val="24"/>
          <w:szCs w:val="24"/>
        </w:rPr>
        <w:t>自2019年4月26日至2019年5月15日止的清算期间，本基金基金财产清算小组对本基金的资产、负债进行清算，全部清算工作按清算原则和清算手续进行。基金资产处置、负债清偿及基金净资产分配情况如下：</w:t>
      </w:r>
    </w:p>
    <w:p w:rsidR="001F1249" w:rsidRDefault="001F1249">
      <w:pPr>
        <w:overflowPunct w:val="0"/>
        <w:autoSpaceDE w:val="0"/>
        <w:autoSpaceDN w:val="0"/>
        <w:snapToGrid w:val="0"/>
        <w:spacing w:line="360" w:lineRule="auto"/>
        <w:ind w:left="360"/>
        <w:rPr>
          <w:rFonts w:ascii="Arial" w:eastAsia="黑体" w:hAnsi="Arial" w:cs="Arial"/>
          <w:sz w:val="22"/>
        </w:rPr>
      </w:pPr>
    </w:p>
    <w:p w:rsidR="001F1249" w:rsidRDefault="00FD4838">
      <w:pPr>
        <w:numPr>
          <w:ilvl w:val="0"/>
          <w:numId w:val="2"/>
        </w:numPr>
        <w:tabs>
          <w:tab w:val="left" w:pos="709"/>
        </w:tabs>
        <w:overflowPunct w:val="0"/>
        <w:autoSpaceDE w:val="0"/>
        <w:autoSpaceDN w:val="0"/>
        <w:snapToGrid w:val="0"/>
        <w:spacing w:line="360" w:lineRule="auto"/>
        <w:rPr>
          <w:rFonts w:asciiTheme="minorEastAsia" w:hAnsiTheme="minorEastAsia" w:cstheme="minorEastAsia"/>
          <w:sz w:val="24"/>
          <w:szCs w:val="24"/>
        </w:rPr>
      </w:pPr>
      <w:bookmarkStart w:id="10" w:name="OLE_LINK9"/>
      <w:bookmarkStart w:id="11" w:name="OLE_LINK8"/>
      <w:r>
        <w:rPr>
          <w:rFonts w:asciiTheme="minorEastAsia" w:hAnsiTheme="minorEastAsia" w:cstheme="minorEastAsia" w:hint="eastAsia"/>
          <w:sz w:val="24"/>
          <w:szCs w:val="24"/>
        </w:rPr>
        <w:t>资产处置情况</w:t>
      </w:r>
      <w:bookmarkStart w:id="12" w:name="OLE_LINK14"/>
      <w:bookmarkStart w:id="13" w:name="OLE_LINK15"/>
      <w:bookmarkEnd w:id="10"/>
      <w:bookmarkEnd w:id="11"/>
    </w:p>
    <w:bookmarkEnd w:id="12"/>
    <w:bookmarkEnd w:id="13"/>
    <w:p w:rsidR="001F1249" w:rsidRDefault="00FD4838">
      <w:pPr>
        <w:pStyle w:val="ab"/>
        <w:numPr>
          <w:ilvl w:val="0"/>
          <w:numId w:val="3"/>
        </w:numPr>
        <w:overflowPunct w:val="0"/>
        <w:autoSpaceDE w:val="0"/>
        <w:autoSpaceDN w:val="0"/>
        <w:snapToGrid w:val="0"/>
        <w:spacing w:line="360"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本基金最后运作日结算备付金人民币40,946.67元。截至2019年5月15日结算备付金人民币43,988.97元，该款项将于清算结束日后划入本基金托管账户。</w:t>
      </w:r>
    </w:p>
    <w:p w:rsidR="001F1249" w:rsidRDefault="00FD4838">
      <w:pPr>
        <w:pStyle w:val="ab"/>
        <w:numPr>
          <w:ilvl w:val="0"/>
          <w:numId w:val="3"/>
        </w:numPr>
        <w:overflowPunct w:val="0"/>
        <w:autoSpaceDE w:val="0"/>
        <w:autoSpaceDN w:val="0"/>
        <w:snapToGrid w:val="0"/>
        <w:spacing w:line="360"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本基金最后运作日存出保证金人民币12,166.62元。该款项已于2019年5月7日转入本基金托管账户。</w:t>
      </w:r>
    </w:p>
    <w:p w:rsidR="001F1249" w:rsidRDefault="00FD4838">
      <w:pPr>
        <w:pStyle w:val="ab"/>
        <w:numPr>
          <w:ilvl w:val="0"/>
          <w:numId w:val="3"/>
        </w:numPr>
        <w:tabs>
          <w:tab w:val="left" w:pos="1148"/>
        </w:tabs>
        <w:overflowPunct w:val="0"/>
        <w:autoSpaceDE w:val="0"/>
        <w:autoSpaceDN w:val="0"/>
        <w:snapToGrid w:val="0"/>
        <w:spacing w:line="360"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本基金最后运作日交易性金融资产人民币2,765,713.80元，系债券投资人民币2,765,713.80元，其明细如下：</w:t>
      </w:r>
    </w:p>
    <w:p w:rsidR="001F1249" w:rsidRDefault="00FD4838">
      <w:pPr>
        <w:tabs>
          <w:tab w:val="left" w:pos="1134"/>
        </w:tabs>
        <w:overflowPunct w:val="0"/>
        <w:autoSpaceDE w:val="0"/>
        <w:autoSpaceDN w:val="0"/>
        <w:snapToGrid w:val="0"/>
        <w:spacing w:line="360" w:lineRule="auto"/>
        <w:ind w:leftChars="100" w:left="210" w:right="-4"/>
        <w:jc w:val="right"/>
        <w:rPr>
          <w:rFonts w:asciiTheme="minorEastAsia" w:hAnsiTheme="minorEastAsia" w:cstheme="minorEastAsia"/>
          <w:sz w:val="24"/>
          <w:szCs w:val="24"/>
        </w:rPr>
      </w:pPr>
      <w:r>
        <w:rPr>
          <w:rFonts w:asciiTheme="minorEastAsia" w:hAnsiTheme="minorEastAsia" w:cstheme="minorEastAsia" w:hint="eastAsia"/>
          <w:sz w:val="24"/>
          <w:szCs w:val="24"/>
        </w:rPr>
        <w:t>单位：人民币元</w:t>
      </w:r>
    </w:p>
    <w:tbl>
      <w:tblPr>
        <w:tblW w:w="9431" w:type="dxa"/>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5"/>
        <w:gridCol w:w="1461"/>
        <w:gridCol w:w="1559"/>
        <w:gridCol w:w="1559"/>
        <w:gridCol w:w="1843"/>
        <w:gridCol w:w="1854"/>
      </w:tblGrid>
      <w:tr w:rsidR="001F1249">
        <w:trPr>
          <w:jc w:val="center"/>
        </w:trPr>
        <w:tc>
          <w:tcPr>
            <w:tcW w:w="1155"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jc w:val="center"/>
              <w:rPr>
                <w:rFonts w:asciiTheme="minorEastAsia" w:hAnsiTheme="minorEastAsia" w:cstheme="minorEastAsia"/>
                <w:sz w:val="24"/>
                <w:szCs w:val="24"/>
              </w:rPr>
            </w:pPr>
            <w:r>
              <w:rPr>
                <w:rFonts w:asciiTheme="minorEastAsia" w:hAnsiTheme="minorEastAsia" w:cstheme="minorEastAsia" w:hint="eastAsia"/>
                <w:sz w:val="24"/>
                <w:szCs w:val="24"/>
              </w:rPr>
              <w:t>债券</w:t>
            </w:r>
          </w:p>
          <w:p w:rsidR="001F1249" w:rsidRDefault="00FD4838">
            <w:pPr>
              <w:tabs>
                <w:tab w:val="left" w:pos="1134"/>
              </w:tabs>
              <w:overflowPunct w:val="0"/>
              <w:autoSpaceDE w:val="0"/>
              <w:autoSpaceDN w:val="0"/>
              <w:snapToGrid w:val="0"/>
              <w:spacing w:line="360" w:lineRule="auto"/>
              <w:ind w:leftChars="100" w:left="210"/>
              <w:jc w:val="center"/>
              <w:rPr>
                <w:rFonts w:asciiTheme="minorEastAsia" w:hAnsiTheme="minorEastAsia" w:cstheme="minorEastAsia"/>
                <w:sz w:val="24"/>
                <w:szCs w:val="24"/>
              </w:rPr>
            </w:pPr>
            <w:r>
              <w:rPr>
                <w:rFonts w:asciiTheme="minorEastAsia" w:hAnsiTheme="minorEastAsia" w:cstheme="minorEastAsia" w:hint="eastAsia"/>
                <w:sz w:val="24"/>
                <w:szCs w:val="24"/>
              </w:rPr>
              <w:t>代码</w:t>
            </w:r>
          </w:p>
        </w:tc>
        <w:tc>
          <w:tcPr>
            <w:tcW w:w="1461"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jc w:val="center"/>
              <w:rPr>
                <w:rFonts w:asciiTheme="minorEastAsia" w:hAnsiTheme="minorEastAsia" w:cstheme="minorEastAsia"/>
                <w:sz w:val="24"/>
                <w:szCs w:val="24"/>
              </w:rPr>
            </w:pPr>
            <w:r>
              <w:rPr>
                <w:rFonts w:asciiTheme="minorEastAsia" w:hAnsiTheme="minorEastAsia" w:cstheme="minorEastAsia" w:hint="eastAsia"/>
                <w:sz w:val="24"/>
                <w:szCs w:val="24"/>
              </w:rPr>
              <w:t>债券</w:t>
            </w:r>
          </w:p>
          <w:p w:rsidR="001F1249" w:rsidRDefault="00FD4838">
            <w:pPr>
              <w:tabs>
                <w:tab w:val="left" w:pos="1134"/>
              </w:tabs>
              <w:overflowPunct w:val="0"/>
              <w:autoSpaceDE w:val="0"/>
              <w:autoSpaceDN w:val="0"/>
              <w:snapToGrid w:val="0"/>
              <w:spacing w:line="360" w:lineRule="auto"/>
              <w:ind w:leftChars="100" w:left="210"/>
              <w:jc w:val="center"/>
              <w:rPr>
                <w:rFonts w:asciiTheme="minorEastAsia" w:hAnsiTheme="minorEastAsia" w:cstheme="minorEastAsia"/>
                <w:sz w:val="24"/>
                <w:szCs w:val="24"/>
              </w:rPr>
            </w:pPr>
            <w:r>
              <w:rPr>
                <w:rFonts w:asciiTheme="minorEastAsia" w:hAnsiTheme="minorEastAsia" w:cstheme="minorEastAsia" w:hint="eastAsia"/>
                <w:sz w:val="24"/>
                <w:szCs w:val="24"/>
              </w:rPr>
              <w:t>名称</w:t>
            </w:r>
          </w:p>
        </w:tc>
        <w:tc>
          <w:tcPr>
            <w:tcW w:w="1559"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38" w:right="-80"/>
              <w:jc w:val="center"/>
              <w:rPr>
                <w:rFonts w:asciiTheme="minorEastAsia" w:hAnsiTheme="minorEastAsia" w:cstheme="minorEastAsia"/>
                <w:sz w:val="24"/>
                <w:szCs w:val="24"/>
              </w:rPr>
            </w:pPr>
            <w:r>
              <w:rPr>
                <w:rFonts w:asciiTheme="minorEastAsia" w:hAnsiTheme="minorEastAsia" w:cstheme="minorEastAsia" w:hint="eastAsia"/>
                <w:sz w:val="24"/>
                <w:szCs w:val="24"/>
              </w:rPr>
              <w:t>最后运作日</w:t>
            </w:r>
          </w:p>
          <w:p w:rsidR="001F1249" w:rsidRDefault="00FD4838">
            <w:pPr>
              <w:tabs>
                <w:tab w:val="left" w:pos="1134"/>
              </w:tabs>
              <w:overflowPunct w:val="0"/>
              <w:autoSpaceDE w:val="0"/>
              <w:autoSpaceDN w:val="0"/>
              <w:snapToGrid w:val="0"/>
              <w:spacing w:line="360" w:lineRule="auto"/>
              <w:ind w:leftChars="100" w:left="210" w:rightChars="-38" w:right="-80"/>
              <w:jc w:val="center"/>
              <w:rPr>
                <w:rFonts w:asciiTheme="minorEastAsia" w:hAnsiTheme="minorEastAsia" w:cstheme="minorEastAsia"/>
                <w:sz w:val="24"/>
                <w:szCs w:val="24"/>
              </w:rPr>
            </w:pPr>
            <w:r>
              <w:rPr>
                <w:rFonts w:asciiTheme="minorEastAsia" w:hAnsiTheme="minorEastAsia" w:cstheme="minorEastAsia" w:hint="eastAsia"/>
                <w:sz w:val="24"/>
                <w:szCs w:val="24"/>
              </w:rPr>
              <w:t>估值单价</w:t>
            </w:r>
          </w:p>
        </w:tc>
        <w:tc>
          <w:tcPr>
            <w:tcW w:w="1559"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38" w:right="-80"/>
              <w:jc w:val="center"/>
              <w:rPr>
                <w:rFonts w:asciiTheme="minorEastAsia" w:hAnsiTheme="minorEastAsia" w:cstheme="minorEastAsia"/>
                <w:sz w:val="24"/>
                <w:szCs w:val="24"/>
              </w:rPr>
            </w:pPr>
            <w:r>
              <w:rPr>
                <w:rFonts w:asciiTheme="minorEastAsia" w:hAnsiTheme="minorEastAsia" w:cstheme="minorEastAsia" w:hint="eastAsia"/>
                <w:sz w:val="24"/>
                <w:szCs w:val="24"/>
              </w:rPr>
              <w:t>数量</w:t>
            </w:r>
          </w:p>
          <w:p w:rsidR="001F1249" w:rsidRDefault="00FD4838">
            <w:pPr>
              <w:tabs>
                <w:tab w:val="left" w:pos="1134"/>
              </w:tabs>
              <w:overflowPunct w:val="0"/>
              <w:autoSpaceDE w:val="0"/>
              <w:autoSpaceDN w:val="0"/>
              <w:snapToGrid w:val="0"/>
              <w:spacing w:line="360" w:lineRule="auto"/>
              <w:ind w:leftChars="100" w:left="210" w:rightChars="-38" w:right="-80"/>
              <w:jc w:val="center"/>
              <w:rPr>
                <w:rFonts w:asciiTheme="minorEastAsia" w:hAnsiTheme="minorEastAsia" w:cstheme="minorEastAsia"/>
                <w:sz w:val="24"/>
                <w:szCs w:val="24"/>
              </w:rPr>
            </w:pPr>
            <w:r>
              <w:rPr>
                <w:rFonts w:asciiTheme="minorEastAsia" w:hAnsiTheme="minorEastAsia" w:cstheme="minorEastAsia" w:hint="eastAsia"/>
                <w:sz w:val="24"/>
                <w:szCs w:val="24"/>
              </w:rPr>
              <w:t>(单位:张)</w:t>
            </w:r>
          </w:p>
        </w:tc>
        <w:tc>
          <w:tcPr>
            <w:tcW w:w="1843"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38" w:right="-80"/>
              <w:jc w:val="center"/>
              <w:rPr>
                <w:rFonts w:asciiTheme="minorEastAsia" w:hAnsiTheme="minorEastAsia" w:cstheme="minorEastAsia"/>
                <w:sz w:val="24"/>
                <w:szCs w:val="24"/>
              </w:rPr>
            </w:pPr>
            <w:r>
              <w:rPr>
                <w:rFonts w:asciiTheme="minorEastAsia" w:hAnsiTheme="minorEastAsia" w:cstheme="minorEastAsia" w:hint="eastAsia"/>
                <w:sz w:val="24"/>
                <w:szCs w:val="24"/>
              </w:rPr>
              <w:t>最后运作日</w:t>
            </w:r>
          </w:p>
          <w:p w:rsidR="001F1249" w:rsidRDefault="00FD4838">
            <w:pPr>
              <w:tabs>
                <w:tab w:val="left" w:pos="1134"/>
              </w:tabs>
              <w:overflowPunct w:val="0"/>
              <w:autoSpaceDE w:val="0"/>
              <w:autoSpaceDN w:val="0"/>
              <w:snapToGrid w:val="0"/>
              <w:spacing w:line="360" w:lineRule="auto"/>
              <w:ind w:leftChars="100" w:left="210" w:rightChars="-38" w:right="-80"/>
              <w:jc w:val="center"/>
              <w:rPr>
                <w:rFonts w:asciiTheme="minorEastAsia" w:hAnsiTheme="minorEastAsia" w:cstheme="minorEastAsia"/>
                <w:sz w:val="24"/>
                <w:szCs w:val="24"/>
              </w:rPr>
            </w:pPr>
            <w:r>
              <w:rPr>
                <w:rFonts w:asciiTheme="minorEastAsia" w:hAnsiTheme="minorEastAsia" w:cstheme="minorEastAsia" w:hint="eastAsia"/>
                <w:sz w:val="24"/>
                <w:szCs w:val="24"/>
              </w:rPr>
              <w:t>成本总额</w:t>
            </w:r>
          </w:p>
        </w:tc>
        <w:tc>
          <w:tcPr>
            <w:tcW w:w="1854"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38" w:right="-80"/>
              <w:jc w:val="center"/>
              <w:rPr>
                <w:rFonts w:asciiTheme="minorEastAsia" w:hAnsiTheme="minorEastAsia" w:cstheme="minorEastAsia"/>
                <w:sz w:val="24"/>
                <w:szCs w:val="24"/>
              </w:rPr>
            </w:pPr>
            <w:r>
              <w:rPr>
                <w:rFonts w:asciiTheme="minorEastAsia" w:hAnsiTheme="minorEastAsia" w:cstheme="minorEastAsia" w:hint="eastAsia"/>
                <w:sz w:val="24"/>
                <w:szCs w:val="24"/>
              </w:rPr>
              <w:t>最后运作日</w:t>
            </w:r>
          </w:p>
          <w:p w:rsidR="001F1249" w:rsidRDefault="00FD4838">
            <w:pPr>
              <w:tabs>
                <w:tab w:val="left" w:pos="1134"/>
              </w:tabs>
              <w:overflowPunct w:val="0"/>
              <w:autoSpaceDE w:val="0"/>
              <w:autoSpaceDN w:val="0"/>
              <w:snapToGrid w:val="0"/>
              <w:spacing w:line="360" w:lineRule="auto"/>
              <w:ind w:leftChars="100" w:left="210" w:rightChars="-38" w:right="-80"/>
              <w:jc w:val="center"/>
              <w:rPr>
                <w:rFonts w:asciiTheme="minorEastAsia" w:hAnsiTheme="minorEastAsia" w:cstheme="minorEastAsia"/>
                <w:sz w:val="24"/>
                <w:szCs w:val="24"/>
              </w:rPr>
            </w:pPr>
            <w:r>
              <w:rPr>
                <w:rFonts w:asciiTheme="minorEastAsia" w:hAnsiTheme="minorEastAsia" w:cstheme="minorEastAsia" w:hint="eastAsia"/>
                <w:sz w:val="24"/>
                <w:szCs w:val="24"/>
              </w:rPr>
              <w:t>估值总额</w:t>
            </w:r>
          </w:p>
        </w:tc>
      </w:tr>
      <w:tr w:rsidR="001F1249">
        <w:trPr>
          <w:jc w:val="center"/>
        </w:trPr>
        <w:tc>
          <w:tcPr>
            <w:tcW w:w="1155"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24" w:right="-50"/>
              <w:jc w:val="center"/>
              <w:rPr>
                <w:rFonts w:asciiTheme="minorEastAsia" w:hAnsiTheme="minorEastAsia" w:cstheme="minorEastAsia"/>
                <w:bCs/>
                <w:sz w:val="24"/>
                <w:szCs w:val="24"/>
              </w:rPr>
            </w:pPr>
            <w:r>
              <w:rPr>
                <w:rFonts w:asciiTheme="minorEastAsia" w:hAnsiTheme="minorEastAsia" w:cstheme="minorEastAsia" w:hint="eastAsia"/>
                <w:bCs/>
                <w:sz w:val="24"/>
                <w:szCs w:val="24"/>
              </w:rPr>
              <w:t>019544</w:t>
            </w:r>
          </w:p>
        </w:tc>
        <w:tc>
          <w:tcPr>
            <w:tcW w:w="1461"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24" w:right="-50"/>
              <w:jc w:val="center"/>
              <w:rPr>
                <w:rFonts w:asciiTheme="minorEastAsia" w:hAnsiTheme="minorEastAsia" w:cstheme="minorEastAsia"/>
                <w:bCs/>
                <w:sz w:val="24"/>
                <w:szCs w:val="24"/>
              </w:rPr>
            </w:pPr>
            <w:r>
              <w:rPr>
                <w:rFonts w:asciiTheme="minorEastAsia" w:hAnsiTheme="minorEastAsia" w:cstheme="minorEastAsia" w:hint="eastAsia"/>
                <w:bCs/>
                <w:sz w:val="24"/>
                <w:szCs w:val="24"/>
              </w:rPr>
              <w:t>16国债16</w:t>
            </w:r>
          </w:p>
        </w:tc>
        <w:tc>
          <w:tcPr>
            <w:tcW w:w="1559"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24" w:right="-50"/>
              <w:jc w:val="right"/>
              <w:rPr>
                <w:rFonts w:asciiTheme="minorEastAsia" w:hAnsiTheme="minorEastAsia" w:cstheme="minorEastAsia"/>
                <w:bCs/>
                <w:sz w:val="24"/>
                <w:szCs w:val="24"/>
              </w:rPr>
            </w:pPr>
            <w:r>
              <w:rPr>
                <w:rFonts w:asciiTheme="minorEastAsia" w:hAnsiTheme="minorEastAsia" w:cstheme="minorEastAsia" w:hint="eastAsia"/>
                <w:bCs/>
                <w:sz w:val="24"/>
                <w:szCs w:val="24"/>
              </w:rPr>
              <w:t>100.05</w:t>
            </w:r>
          </w:p>
        </w:tc>
        <w:tc>
          <w:tcPr>
            <w:tcW w:w="1559"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24" w:right="-50"/>
              <w:jc w:val="right"/>
              <w:rPr>
                <w:rFonts w:asciiTheme="minorEastAsia" w:hAnsiTheme="minorEastAsia" w:cstheme="minorEastAsia"/>
                <w:bCs/>
                <w:sz w:val="24"/>
                <w:szCs w:val="24"/>
              </w:rPr>
            </w:pPr>
            <w:r>
              <w:rPr>
                <w:rFonts w:asciiTheme="minorEastAsia" w:hAnsiTheme="minorEastAsia" w:cstheme="minorEastAsia" w:hint="eastAsia"/>
                <w:bCs/>
                <w:sz w:val="24"/>
                <w:szCs w:val="24"/>
              </w:rPr>
              <w:t>2,260</w:t>
            </w:r>
          </w:p>
        </w:tc>
        <w:tc>
          <w:tcPr>
            <w:tcW w:w="1843"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24" w:right="-50"/>
              <w:jc w:val="right"/>
              <w:rPr>
                <w:rFonts w:asciiTheme="minorEastAsia" w:hAnsiTheme="minorEastAsia" w:cstheme="minorEastAsia"/>
                <w:bCs/>
                <w:sz w:val="24"/>
                <w:szCs w:val="24"/>
              </w:rPr>
            </w:pPr>
            <w:r>
              <w:rPr>
                <w:rFonts w:asciiTheme="minorEastAsia" w:hAnsiTheme="minorEastAsia" w:cstheme="minorEastAsia" w:hint="eastAsia"/>
                <w:bCs/>
                <w:sz w:val="24"/>
                <w:szCs w:val="24"/>
              </w:rPr>
              <w:t>225,887.00</w:t>
            </w:r>
          </w:p>
        </w:tc>
        <w:tc>
          <w:tcPr>
            <w:tcW w:w="1854"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24" w:right="-50"/>
              <w:jc w:val="right"/>
              <w:rPr>
                <w:rFonts w:asciiTheme="minorEastAsia" w:hAnsiTheme="minorEastAsia" w:cstheme="minorEastAsia"/>
                <w:bCs/>
                <w:sz w:val="24"/>
                <w:szCs w:val="24"/>
              </w:rPr>
            </w:pPr>
            <w:r>
              <w:rPr>
                <w:rFonts w:asciiTheme="minorEastAsia" w:hAnsiTheme="minorEastAsia" w:cstheme="minorEastAsia" w:hint="eastAsia"/>
                <w:bCs/>
                <w:sz w:val="24"/>
                <w:szCs w:val="24"/>
              </w:rPr>
              <w:t>226,113.00</w:t>
            </w:r>
          </w:p>
        </w:tc>
      </w:tr>
      <w:tr w:rsidR="001F1249">
        <w:trPr>
          <w:jc w:val="center"/>
        </w:trPr>
        <w:tc>
          <w:tcPr>
            <w:tcW w:w="1155"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24" w:right="-50"/>
              <w:jc w:val="center"/>
              <w:rPr>
                <w:rFonts w:asciiTheme="minorEastAsia" w:hAnsiTheme="minorEastAsia" w:cstheme="minorEastAsia"/>
                <w:bCs/>
                <w:sz w:val="24"/>
                <w:szCs w:val="24"/>
              </w:rPr>
            </w:pPr>
            <w:r>
              <w:rPr>
                <w:rFonts w:asciiTheme="minorEastAsia" w:hAnsiTheme="minorEastAsia" w:cstheme="minorEastAsia" w:hint="eastAsia"/>
                <w:bCs/>
                <w:sz w:val="24"/>
                <w:szCs w:val="24"/>
              </w:rPr>
              <w:t>018006</w:t>
            </w:r>
          </w:p>
        </w:tc>
        <w:tc>
          <w:tcPr>
            <w:tcW w:w="1461"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24" w:right="-50"/>
              <w:jc w:val="center"/>
              <w:rPr>
                <w:rFonts w:asciiTheme="minorEastAsia" w:hAnsiTheme="minorEastAsia" w:cstheme="minorEastAsia"/>
                <w:bCs/>
                <w:sz w:val="24"/>
                <w:szCs w:val="24"/>
              </w:rPr>
            </w:pPr>
            <w:r>
              <w:rPr>
                <w:rFonts w:asciiTheme="minorEastAsia" w:hAnsiTheme="minorEastAsia" w:cstheme="minorEastAsia" w:hint="eastAsia"/>
                <w:bCs/>
                <w:sz w:val="24"/>
                <w:szCs w:val="24"/>
              </w:rPr>
              <w:t>国开1702</w:t>
            </w:r>
          </w:p>
        </w:tc>
        <w:tc>
          <w:tcPr>
            <w:tcW w:w="1559"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24" w:right="-50"/>
              <w:jc w:val="right"/>
              <w:rPr>
                <w:rFonts w:asciiTheme="minorEastAsia" w:hAnsiTheme="minorEastAsia" w:cstheme="minorEastAsia"/>
                <w:bCs/>
                <w:sz w:val="24"/>
                <w:szCs w:val="24"/>
              </w:rPr>
            </w:pPr>
            <w:r>
              <w:rPr>
                <w:rFonts w:asciiTheme="minorEastAsia" w:hAnsiTheme="minorEastAsia" w:cstheme="minorEastAsia" w:hint="eastAsia"/>
                <w:bCs/>
                <w:sz w:val="24"/>
                <w:szCs w:val="24"/>
              </w:rPr>
              <w:t>101.26</w:t>
            </w:r>
          </w:p>
        </w:tc>
        <w:tc>
          <w:tcPr>
            <w:tcW w:w="1559"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24" w:right="-50"/>
              <w:jc w:val="right"/>
              <w:rPr>
                <w:rFonts w:asciiTheme="minorEastAsia" w:hAnsiTheme="minorEastAsia" w:cstheme="minorEastAsia"/>
                <w:bCs/>
                <w:sz w:val="24"/>
                <w:szCs w:val="24"/>
              </w:rPr>
            </w:pPr>
            <w:r>
              <w:rPr>
                <w:rFonts w:asciiTheme="minorEastAsia" w:hAnsiTheme="minorEastAsia" w:cstheme="minorEastAsia" w:hint="eastAsia"/>
                <w:bCs/>
                <w:sz w:val="24"/>
                <w:szCs w:val="24"/>
              </w:rPr>
              <w:t>25,080</w:t>
            </w:r>
          </w:p>
        </w:tc>
        <w:tc>
          <w:tcPr>
            <w:tcW w:w="1843"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24" w:right="-50"/>
              <w:jc w:val="right"/>
              <w:rPr>
                <w:rFonts w:asciiTheme="minorEastAsia" w:hAnsiTheme="minorEastAsia" w:cstheme="minorEastAsia"/>
                <w:bCs/>
                <w:sz w:val="24"/>
                <w:szCs w:val="24"/>
              </w:rPr>
            </w:pPr>
            <w:r>
              <w:rPr>
                <w:rFonts w:asciiTheme="minorEastAsia" w:hAnsiTheme="minorEastAsia" w:cstheme="minorEastAsia" w:hint="eastAsia"/>
                <w:bCs/>
                <w:sz w:val="24"/>
                <w:szCs w:val="24"/>
              </w:rPr>
              <w:t>2,503,631.59</w:t>
            </w:r>
          </w:p>
        </w:tc>
        <w:tc>
          <w:tcPr>
            <w:tcW w:w="1854" w:type="dxa"/>
            <w:shd w:val="clear" w:color="auto" w:fill="auto"/>
            <w:vAlign w:val="bottom"/>
          </w:tcPr>
          <w:p w:rsidR="001F1249" w:rsidRDefault="00FD4838">
            <w:pPr>
              <w:tabs>
                <w:tab w:val="left" w:pos="1134"/>
              </w:tabs>
              <w:overflowPunct w:val="0"/>
              <w:autoSpaceDE w:val="0"/>
              <w:autoSpaceDN w:val="0"/>
              <w:snapToGrid w:val="0"/>
              <w:spacing w:line="360" w:lineRule="auto"/>
              <w:ind w:leftChars="100" w:left="210" w:rightChars="-24" w:right="-50"/>
              <w:jc w:val="right"/>
              <w:rPr>
                <w:rFonts w:asciiTheme="minorEastAsia" w:hAnsiTheme="minorEastAsia" w:cstheme="minorEastAsia"/>
                <w:bCs/>
                <w:sz w:val="24"/>
                <w:szCs w:val="24"/>
              </w:rPr>
            </w:pPr>
            <w:r>
              <w:rPr>
                <w:rFonts w:asciiTheme="minorEastAsia" w:hAnsiTheme="minorEastAsia" w:cstheme="minorEastAsia" w:hint="eastAsia"/>
                <w:bCs/>
                <w:sz w:val="24"/>
                <w:szCs w:val="24"/>
              </w:rPr>
              <w:t>2,539,600.80</w:t>
            </w:r>
          </w:p>
        </w:tc>
      </w:tr>
    </w:tbl>
    <w:p w:rsidR="001F1249" w:rsidRDefault="00FD4838" w:rsidP="00874CDF">
      <w:pPr>
        <w:spacing w:line="360" w:lineRule="auto"/>
        <w:ind w:left="420" w:firstLine="420"/>
        <w:rPr>
          <w:rFonts w:asciiTheme="minorEastAsia" w:hAnsiTheme="minorEastAsia" w:cstheme="minorEastAsia"/>
          <w:sz w:val="24"/>
          <w:szCs w:val="24"/>
        </w:rPr>
      </w:pPr>
      <w:r>
        <w:rPr>
          <w:rFonts w:asciiTheme="minorEastAsia" w:hAnsiTheme="minorEastAsia" w:cstheme="minorEastAsia" w:hint="eastAsia"/>
          <w:sz w:val="24"/>
          <w:szCs w:val="24"/>
        </w:rPr>
        <w:t>注：以上交易性金融资产已于自2019年4月26日至2019年5月15日止的清算期间处置变现，实际变现金额为人民币2,776,141.77元。</w:t>
      </w:r>
    </w:p>
    <w:p w:rsidR="001F1249" w:rsidRDefault="00FD4838" w:rsidP="00AC293A">
      <w:pPr>
        <w:pStyle w:val="ab"/>
        <w:numPr>
          <w:ilvl w:val="0"/>
          <w:numId w:val="3"/>
        </w:numPr>
        <w:tabs>
          <w:tab w:val="left" w:pos="1148"/>
        </w:tabs>
        <w:overflowPunct w:val="0"/>
        <w:autoSpaceDE w:val="0"/>
        <w:autoSpaceDN w:val="0"/>
        <w:spacing w:line="360"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本基金最后运作日应收证券清算款人民币116,511.02元，已于2019年4月26日收回并划入本基金托管账户。</w:t>
      </w:r>
    </w:p>
    <w:p w:rsidR="001F1249" w:rsidRDefault="00FD4838" w:rsidP="00AC293A">
      <w:pPr>
        <w:pStyle w:val="ab"/>
        <w:numPr>
          <w:ilvl w:val="0"/>
          <w:numId w:val="3"/>
        </w:numPr>
        <w:tabs>
          <w:tab w:val="left" w:pos="1148"/>
        </w:tabs>
        <w:overflowPunct w:val="0"/>
        <w:autoSpaceDE w:val="0"/>
        <w:autoSpaceDN w:val="0"/>
        <w:spacing w:line="360"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基金最后运作日应收利息人民币13,452.73元，其中包括应收银行存款利息人民币665.89元、应收结算备付金利息人民币166.39元、应收存出保证金利息人民币18.89元、应收申购款利息人民币9.58元、应收赎回款利息人民币3,126.16元及应收债券利息人民币9,465.82元。其中，应收申购款利息人民币9.58元、应收赎回款利息人民币3,126.16元及应收债券利息人民币9,465.82元，已于清算期间收回并划入本基金托管账户。截至2019年5月15日应收利息余额为人民币1,814.89元，其中应收银行存款利息人民币1,584.97元、应收结算备付金利息人民币204.43元及应收存出保证金利息人民币25.49元，该款项将于结息后划入本基金托管账户。</w:t>
      </w:r>
    </w:p>
    <w:p w:rsidR="001F1249" w:rsidRDefault="001F1249">
      <w:pPr>
        <w:overflowPunct w:val="0"/>
        <w:autoSpaceDE w:val="0"/>
        <w:autoSpaceDN w:val="0"/>
        <w:snapToGrid w:val="0"/>
        <w:spacing w:line="360" w:lineRule="auto"/>
        <w:ind w:left="1129"/>
        <w:rPr>
          <w:rFonts w:asciiTheme="minorEastAsia" w:hAnsiTheme="minorEastAsia" w:cstheme="minorEastAsia"/>
          <w:kern w:val="0"/>
          <w:sz w:val="24"/>
          <w:szCs w:val="24"/>
        </w:rPr>
      </w:pPr>
    </w:p>
    <w:p w:rsidR="001F1249" w:rsidRDefault="00FD4838">
      <w:pPr>
        <w:numPr>
          <w:ilvl w:val="0"/>
          <w:numId w:val="2"/>
        </w:numPr>
        <w:tabs>
          <w:tab w:val="left" w:pos="709"/>
        </w:tabs>
        <w:overflowPunct w:val="0"/>
        <w:autoSpaceDE w:val="0"/>
        <w:autoSpaceDN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负债清偿情况</w:t>
      </w:r>
    </w:p>
    <w:p w:rsidR="001F1249" w:rsidRDefault="00FD4838">
      <w:pPr>
        <w:pStyle w:val="ab"/>
        <w:numPr>
          <w:ilvl w:val="0"/>
          <w:numId w:val="4"/>
        </w:numPr>
        <w:spacing w:line="360" w:lineRule="auto"/>
        <w:ind w:firstLineChars="0"/>
        <w:rPr>
          <w:rFonts w:asciiTheme="minorEastAsia" w:hAnsiTheme="minorEastAsia"/>
          <w:sz w:val="24"/>
        </w:rPr>
      </w:pPr>
      <w:r>
        <w:rPr>
          <w:rFonts w:asciiTheme="minorEastAsia" w:hAnsiTheme="minorEastAsia" w:hint="eastAsia"/>
          <w:sz w:val="24"/>
        </w:rPr>
        <w:t>本基金最后运作日应付赎回款为人民币124,675.57元，该款项已于2019年4月26日支付。</w:t>
      </w:r>
    </w:p>
    <w:p w:rsidR="001F1249" w:rsidRDefault="00FD4838">
      <w:pPr>
        <w:pStyle w:val="ab"/>
        <w:numPr>
          <w:ilvl w:val="0"/>
          <w:numId w:val="4"/>
        </w:numPr>
        <w:spacing w:line="360" w:lineRule="auto"/>
        <w:ind w:firstLineChars="0"/>
        <w:rPr>
          <w:rFonts w:asciiTheme="minorEastAsia" w:hAnsiTheme="minorEastAsia"/>
          <w:sz w:val="24"/>
        </w:rPr>
      </w:pPr>
      <w:r>
        <w:rPr>
          <w:rFonts w:asciiTheme="minorEastAsia" w:hAnsiTheme="minorEastAsia" w:hint="eastAsia"/>
          <w:sz w:val="24"/>
        </w:rPr>
        <w:t>本基金最后运作日应付管理人报酬为人民币3,456.66元，该款项已于2019年5月7日支付。</w:t>
      </w:r>
    </w:p>
    <w:p w:rsidR="001F1249" w:rsidRDefault="00FD4838">
      <w:pPr>
        <w:pStyle w:val="ab"/>
        <w:numPr>
          <w:ilvl w:val="0"/>
          <w:numId w:val="4"/>
        </w:numPr>
        <w:spacing w:line="360" w:lineRule="auto"/>
        <w:ind w:firstLineChars="0"/>
        <w:rPr>
          <w:rFonts w:asciiTheme="minorEastAsia" w:hAnsiTheme="minorEastAsia"/>
          <w:sz w:val="24"/>
        </w:rPr>
      </w:pPr>
      <w:r>
        <w:rPr>
          <w:rFonts w:asciiTheme="minorEastAsia" w:hAnsiTheme="minorEastAsia" w:hint="eastAsia"/>
          <w:sz w:val="24"/>
        </w:rPr>
        <w:t>本基金最后运作日应付托管费为人民币864.15元，该款项已于2019年5月7日支付。</w:t>
      </w:r>
    </w:p>
    <w:p w:rsidR="001F1249" w:rsidRDefault="00FD4838">
      <w:pPr>
        <w:pStyle w:val="ab"/>
        <w:numPr>
          <w:ilvl w:val="0"/>
          <w:numId w:val="4"/>
        </w:numPr>
        <w:spacing w:line="360" w:lineRule="auto"/>
        <w:ind w:firstLineChars="0"/>
        <w:rPr>
          <w:rFonts w:asciiTheme="minorEastAsia" w:hAnsiTheme="minorEastAsia"/>
          <w:sz w:val="24"/>
        </w:rPr>
      </w:pPr>
      <w:r>
        <w:rPr>
          <w:rFonts w:asciiTheme="minorEastAsia" w:hAnsiTheme="minorEastAsia" w:hint="eastAsia"/>
          <w:sz w:val="24"/>
        </w:rPr>
        <w:t>本基金最后运作日应付交易费用为人民币1,848.94元，该款项已于2019年5月6日支付。</w:t>
      </w:r>
    </w:p>
    <w:p w:rsidR="001F1249" w:rsidRDefault="00FD4838">
      <w:pPr>
        <w:pStyle w:val="ab"/>
        <w:numPr>
          <w:ilvl w:val="0"/>
          <w:numId w:val="4"/>
        </w:numPr>
        <w:spacing w:line="360" w:lineRule="auto"/>
        <w:ind w:firstLineChars="0"/>
        <w:rPr>
          <w:rFonts w:asciiTheme="minorEastAsia" w:hAnsiTheme="minorEastAsia"/>
          <w:sz w:val="24"/>
        </w:rPr>
      </w:pPr>
      <w:r>
        <w:rPr>
          <w:rFonts w:asciiTheme="minorEastAsia" w:hAnsiTheme="minorEastAsia" w:hint="eastAsia"/>
          <w:sz w:val="24"/>
        </w:rPr>
        <w:t>本基金最后运作日其他负债为人民币23.05元，系计提的应付赎回费，该款项已于2019年4月26日支付。</w:t>
      </w:r>
    </w:p>
    <w:p w:rsidR="001F1249" w:rsidRDefault="001F1249">
      <w:pPr>
        <w:tabs>
          <w:tab w:val="left" w:pos="1134"/>
        </w:tabs>
        <w:overflowPunct w:val="0"/>
        <w:autoSpaceDE w:val="0"/>
        <w:autoSpaceDN w:val="0"/>
        <w:snapToGrid w:val="0"/>
        <w:spacing w:line="360" w:lineRule="auto"/>
        <w:rPr>
          <w:rFonts w:asciiTheme="minorEastAsia" w:hAnsiTheme="minorEastAsia" w:cstheme="minorEastAsia"/>
          <w:sz w:val="24"/>
          <w:szCs w:val="24"/>
        </w:rPr>
      </w:pPr>
    </w:p>
    <w:p w:rsidR="001F1249" w:rsidRDefault="00FD4838">
      <w:pPr>
        <w:numPr>
          <w:ilvl w:val="0"/>
          <w:numId w:val="2"/>
        </w:numPr>
        <w:tabs>
          <w:tab w:val="left" w:pos="708"/>
        </w:tabs>
        <w:overflowPunct w:val="0"/>
        <w:autoSpaceDE w:val="0"/>
        <w:autoSpaceDN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清算期间的清算损益情况</w:t>
      </w:r>
    </w:p>
    <w:p w:rsidR="001F1249" w:rsidRDefault="00FD4838">
      <w:pPr>
        <w:overflowPunct w:val="0"/>
        <w:autoSpaceDE w:val="0"/>
        <w:autoSpaceDN w:val="0"/>
        <w:snapToGrid w:val="0"/>
        <w:spacing w:line="360" w:lineRule="auto"/>
        <w:ind w:left="6480" w:rightChars="-8" w:right="-17" w:firstLine="967"/>
        <w:jc w:val="right"/>
        <w:rPr>
          <w:rFonts w:asciiTheme="minorEastAsia" w:hAnsiTheme="minorEastAsia" w:cstheme="minorEastAsia"/>
          <w:b/>
          <w:sz w:val="24"/>
          <w:szCs w:val="24"/>
        </w:rPr>
      </w:pPr>
      <w:r>
        <w:rPr>
          <w:rFonts w:asciiTheme="minorEastAsia" w:hAnsiTheme="minorEastAsia" w:cstheme="minorEastAsia" w:hint="eastAsia"/>
          <w:sz w:val="24"/>
          <w:szCs w:val="24"/>
        </w:rPr>
        <w:t>单位：人民币元</w:t>
      </w:r>
    </w:p>
    <w:tbl>
      <w:tblPr>
        <w:tblW w:w="9516"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9"/>
        <w:gridCol w:w="4667"/>
      </w:tblGrid>
      <w:tr w:rsidR="001F1249">
        <w:trPr>
          <w:trHeight w:val="80"/>
          <w:jc w:val="center"/>
        </w:trPr>
        <w:tc>
          <w:tcPr>
            <w:tcW w:w="4849" w:type="dxa"/>
            <w:noWrap/>
            <w:vAlign w:val="bottom"/>
          </w:tcPr>
          <w:p w:rsidR="001F1249" w:rsidRDefault="00FD4838">
            <w:pPr>
              <w:overflowPunct w:val="0"/>
              <w:autoSpaceDE w:val="0"/>
              <w:autoSpaceDN w:val="0"/>
              <w:snapToGrid w:val="0"/>
              <w:spacing w:line="360" w:lineRule="auto"/>
              <w:ind w:left="-47" w:right="-61"/>
              <w:jc w:val="left"/>
              <w:rPr>
                <w:rFonts w:asciiTheme="minorEastAsia" w:hAnsiTheme="minorEastAsia" w:cstheme="minorEastAsia"/>
                <w:sz w:val="24"/>
                <w:szCs w:val="24"/>
              </w:rPr>
            </w:pPr>
            <w:r>
              <w:rPr>
                <w:rFonts w:asciiTheme="minorEastAsia" w:hAnsiTheme="minorEastAsia" w:cstheme="minorEastAsia" w:hint="eastAsia"/>
                <w:sz w:val="24"/>
                <w:szCs w:val="24"/>
              </w:rPr>
              <w:t>项目</w:t>
            </w:r>
          </w:p>
        </w:tc>
        <w:tc>
          <w:tcPr>
            <w:tcW w:w="4667" w:type="dxa"/>
            <w:noWrap/>
            <w:vAlign w:val="bottom"/>
          </w:tcPr>
          <w:p w:rsidR="001F1249" w:rsidRDefault="00FD4838">
            <w:pPr>
              <w:overflowPunct w:val="0"/>
              <w:autoSpaceDE w:val="0"/>
              <w:autoSpaceDN w:val="0"/>
              <w:snapToGrid w:val="0"/>
              <w:spacing w:line="360" w:lineRule="auto"/>
              <w:jc w:val="righ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自2019年4月26日至</w:t>
            </w:r>
          </w:p>
          <w:p w:rsidR="001F1249" w:rsidRDefault="00FD4838">
            <w:pPr>
              <w:overflowPunct w:val="0"/>
              <w:autoSpaceDE w:val="0"/>
              <w:autoSpaceDN w:val="0"/>
              <w:snapToGrid w:val="0"/>
              <w:spacing w:line="360" w:lineRule="auto"/>
              <w:jc w:val="righ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2019年5月15日止清算期间</w:t>
            </w:r>
          </w:p>
        </w:tc>
      </w:tr>
      <w:tr w:rsidR="001F1249">
        <w:trPr>
          <w:trHeight w:val="271"/>
          <w:jc w:val="center"/>
        </w:trPr>
        <w:tc>
          <w:tcPr>
            <w:tcW w:w="4849" w:type="dxa"/>
            <w:noWrap/>
            <w:vAlign w:val="bottom"/>
          </w:tcPr>
          <w:p w:rsidR="001F1249" w:rsidRDefault="00FD4838">
            <w:pPr>
              <w:overflowPunct w:val="0"/>
              <w:autoSpaceDE w:val="0"/>
              <w:autoSpaceDN w:val="0"/>
              <w:snapToGrid w:val="0"/>
              <w:spacing w:line="360" w:lineRule="auto"/>
              <w:ind w:left="-47" w:right="-61"/>
              <w:jc w:val="left"/>
              <w:rPr>
                <w:rFonts w:asciiTheme="minorEastAsia" w:hAnsiTheme="minorEastAsia" w:cstheme="minorEastAsia"/>
                <w:sz w:val="24"/>
                <w:szCs w:val="24"/>
              </w:rPr>
            </w:pPr>
            <w:r>
              <w:rPr>
                <w:rFonts w:asciiTheme="minorEastAsia" w:hAnsiTheme="minorEastAsia" w:cstheme="minorEastAsia" w:hint="eastAsia"/>
                <w:sz w:val="24"/>
                <w:szCs w:val="24"/>
              </w:rPr>
              <w:t>一、清算收益</w:t>
            </w:r>
          </w:p>
        </w:tc>
        <w:tc>
          <w:tcPr>
            <w:tcW w:w="4667" w:type="dxa"/>
            <w:noWrap/>
            <w:vAlign w:val="bottom"/>
          </w:tcPr>
          <w:p w:rsidR="001F1249" w:rsidRDefault="001F1249">
            <w:pPr>
              <w:overflowPunct w:val="0"/>
              <w:autoSpaceDE w:val="0"/>
              <w:autoSpaceDN w:val="0"/>
              <w:snapToGrid w:val="0"/>
              <w:spacing w:line="360" w:lineRule="auto"/>
              <w:jc w:val="right"/>
              <w:rPr>
                <w:rFonts w:asciiTheme="minorEastAsia" w:hAnsiTheme="minorEastAsia" w:cstheme="minorEastAsia"/>
                <w:color w:val="000000"/>
                <w:sz w:val="24"/>
                <w:szCs w:val="24"/>
              </w:rPr>
            </w:pPr>
          </w:p>
        </w:tc>
      </w:tr>
      <w:tr w:rsidR="001F1249">
        <w:trPr>
          <w:trHeight w:val="80"/>
          <w:jc w:val="center"/>
        </w:trPr>
        <w:tc>
          <w:tcPr>
            <w:tcW w:w="4849" w:type="dxa"/>
            <w:noWrap/>
            <w:vAlign w:val="bottom"/>
          </w:tcPr>
          <w:p w:rsidR="001F1249" w:rsidRDefault="00FD4838">
            <w:pPr>
              <w:overflowPunct w:val="0"/>
              <w:autoSpaceDE w:val="0"/>
              <w:autoSpaceDN w:val="0"/>
              <w:snapToGrid w:val="0"/>
              <w:spacing w:line="360" w:lineRule="auto"/>
              <w:ind w:left="-47" w:right="-61" w:firstLine="448"/>
              <w:jc w:val="left"/>
              <w:rPr>
                <w:rFonts w:asciiTheme="minorEastAsia" w:hAnsiTheme="minorEastAsia" w:cstheme="minorEastAsia"/>
                <w:sz w:val="24"/>
                <w:szCs w:val="24"/>
              </w:rPr>
            </w:pPr>
            <w:r>
              <w:rPr>
                <w:rFonts w:asciiTheme="minorEastAsia" w:hAnsiTheme="minorEastAsia" w:cstheme="minorEastAsia" w:hint="eastAsia"/>
                <w:sz w:val="24"/>
                <w:szCs w:val="24"/>
              </w:rPr>
              <w:t>1、利息收入（注1）</w:t>
            </w:r>
          </w:p>
        </w:tc>
        <w:tc>
          <w:tcPr>
            <w:tcW w:w="4667" w:type="dxa"/>
            <w:noWrap/>
            <w:vAlign w:val="center"/>
          </w:tcPr>
          <w:p w:rsidR="001F1249" w:rsidRDefault="00FD4838">
            <w:pPr>
              <w:overflowPunct w:val="0"/>
              <w:autoSpaceDE w:val="0"/>
              <w:autoSpaceDN w:val="0"/>
              <w:snapToGrid w:val="0"/>
              <w:spacing w:line="360" w:lineRule="auto"/>
              <w:jc w:val="right"/>
              <w:rPr>
                <w:rFonts w:asciiTheme="minorEastAsia" w:hAnsiTheme="minorEastAsia" w:cstheme="minorEastAsia"/>
                <w:color w:val="000000"/>
                <w:sz w:val="24"/>
                <w:szCs w:val="24"/>
                <w:highlight w:val="yellow"/>
              </w:rPr>
            </w:pPr>
            <w:r>
              <w:rPr>
                <w:rFonts w:asciiTheme="minorEastAsia" w:hAnsiTheme="minorEastAsia" w:cstheme="minorEastAsia" w:hint="eastAsia"/>
                <w:color w:val="000000"/>
                <w:sz w:val="24"/>
                <w:szCs w:val="24"/>
              </w:rPr>
              <w:t>1,257.94</w:t>
            </w:r>
          </w:p>
        </w:tc>
      </w:tr>
      <w:tr w:rsidR="001F1249">
        <w:trPr>
          <w:trHeight w:val="80"/>
          <w:jc w:val="center"/>
        </w:trPr>
        <w:tc>
          <w:tcPr>
            <w:tcW w:w="4849" w:type="dxa"/>
            <w:noWrap/>
            <w:vAlign w:val="bottom"/>
          </w:tcPr>
          <w:p w:rsidR="001F1249" w:rsidRDefault="00FD4838">
            <w:pPr>
              <w:overflowPunct w:val="0"/>
              <w:autoSpaceDE w:val="0"/>
              <w:autoSpaceDN w:val="0"/>
              <w:snapToGrid w:val="0"/>
              <w:spacing w:line="360" w:lineRule="auto"/>
              <w:ind w:left="-47" w:right="-61" w:firstLine="448"/>
              <w:jc w:val="left"/>
              <w:rPr>
                <w:rFonts w:asciiTheme="minorEastAsia" w:hAnsiTheme="minorEastAsia" w:cstheme="minorEastAsia"/>
                <w:sz w:val="24"/>
                <w:szCs w:val="24"/>
              </w:rPr>
            </w:pPr>
            <w:r>
              <w:rPr>
                <w:rFonts w:asciiTheme="minorEastAsia" w:hAnsiTheme="minorEastAsia" w:cstheme="minorEastAsia" w:hint="eastAsia"/>
                <w:sz w:val="24"/>
                <w:szCs w:val="24"/>
              </w:rPr>
              <w:t>2、投资收益</w:t>
            </w:r>
          </w:p>
        </w:tc>
        <w:tc>
          <w:tcPr>
            <w:tcW w:w="4667" w:type="dxa"/>
            <w:noWrap/>
            <w:vAlign w:val="center"/>
          </w:tcPr>
          <w:p w:rsidR="001F1249" w:rsidRDefault="00FD4838">
            <w:pPr>
              <w:overflowPunct w:val="0"/>
              <w:autoSpaceDE w:val="0"/>
              <w:autoSpaceDN w:val="0"/>
              <w:snapToGrid w:val="0"/>
              <w:spacing w:line="360" w:lineRule="auto"/>
              <w:jc w:val="righ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36,876.41</w:t>
            </w:r>
          </w:p>
        </w:tc>
      </w:tr>
      <w:tr w:rsidR="001F1249">
        <w:trPr>
          <w:trHeight w:val="80"/>
          <w:jc w:val="center"/>
        </w:trPr>
        <w:tc>
          <w:tcPr>
            <w:tcW w:w="4849" w:type="dxa"/>
            <w:noWrap/>
            <w:vAlign w:val="bottom"/>
          </w:tcPr>
          <w:p w:rsidR="001F1249" w:rsidRDefault="00FD4838">
            <w:pPr>
              <w:overflowPunct w:val="0"/>
              <w:autoSpaceDE w:val="0"/>
              <w:autoSpaceDN w:val="0"/>
              <w:snapToGrid w:val="0"/>
              <w:spacing w:line="360" w:lineRule="auto"/>
              <w:ind w:left="-47" w:right="-61" w:firstLine="448"/>
              <w:jc w:val="left"/>
              <w:rPr>
                <w:rFonts w:asciiTheme="minorEastAsia" w:hAnsiTheme="minorEastAsia" w:cstheme="minorEastAsia"/>
                <w:sz w:val="24"/>
                <w:szCs w:val="24"/>
              </w:rPr>
            </w:pPr>
            <w:r>
              <w:rPr>
                <w:rFonts w:asciiTheme="minorEastAsia" w:hAnsiTheme="minorEastAsia" w:cstheme="minorEastAsia" w:hint="eastAsia"/>
                <w:sz w:val="24"/>
                <w:szCs w:val="24"/>
              </w:rPr>
              <w:t>3、公允价值变动损益</w:t>
            </w:r>
          </w:p>
        </w:tc>
        <w:tc>
          <w:tcPr>
            <w:tcW w:w="4667" w:type="dxa"/>
            <w:noWrap/>
            <w:vAlign w:val="center"/>
          </w:tcPr>
          <w:p w:rsidR="001F1249" w:rsidRDefault="00FD4838">
            <w:pPr>
              <w:overflowPunct w:val="0"/>
              <w:autoSpaceDE w:val="0"/>
              <w:autoSpaceDN w:val="0"/>
              <w:snapToGrid w:val="0"/>
              <w:spacing w:line="360" w:lineRule="auto"/>
              <w:jc w:val="righ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-36,195.21</w:t>
            </w:r>
          </w:p>
        </w:tc>
      </w:tr>
      <w:tr w:rsidR="001F1249">
        <w:trPr>
          <w:trHeight w:val="80"/>
          <w:jc w:val="center"/>
        </w:trPr>
        <w:tc>
          <w:tcPr>
            <w:tcW w:w="4849" w:type="dxa"/>
            <w:noWrap/>
            <w:vAlign w:val="bottom"/>
          </w:tcPr>
          <w:p w:rsidR="001F1249" w:rsidRDefault="00FD4838">
            <w:pPr>
              <w:overflowPunct w:val="0"/>
              <w:autoSpaceDE w:val="0"/>
              <w:autoSpaceDN w:val="0"/>
              <w:snapToGrid w:val="0"/>
              <w:spacing w:line="360" w:lineRule="auto"/>
              <w:ind w:left="-47" w:right="-61" w:firstLine="448"/>
              <w:jc w:val="left"/>
              <w:rPr>
                <w:rFonts w:asciiTheme="minorEastAsia" w:hAnsiTheme="minorEastAsia" w:cstheme="minorEastAsia"/>
                <w:sz w:val="24"/>
                <w:szCs w:val="24"/>
              </w:rPr>
            </w:pPr>
            <w:r>
              <w:rPr>
                <w:rFonts w:asciiTheme="minorEastAsia" w:hAnsiTheme="minorEastAsia" w:cstheme="minorEastAsia" w:hint="eastAsia"/>
                <w:sz w:val="24"/>
                <w:szCs w:val="24"/>
              </w:rPr>
              <w:t>4、其他收入（注2）</w:t>
            </w:r>
          </w:p>
        </w:tc>
        <w:tc>
          <w:tcPr>
            <w:tcW w:w="4667" w:type="dxa"/>
            <w:noWrap/>
            <w:vAlign w:val="bottom"/>
          </w:tcPr>
          <w:p w:rsidR="001F1249" w:rsidRDefault="00FD4838">
            <w:pPr>
              <w:overflowPunct w:val="0"/>
              <w:autoSpaceDE w:val="0"/>
              <w:autoSpaceDN w:val="0"/>
              <w:snapToGrid w:val="0"/>
              <w:spacing w:line="360" w:lineRule="auto"/>
              <w:jc w:val="righ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0.56</w:t>
            </w:r>
          </w:p>
        </w:tc>
      </w:tr>
      <w:tr w:rsidR="001F1249">
        <w:trPr>
          <w:trHeight w:val="80"/>
          <w:jc w:val="center"/>
        </w:trPr>
        <w:tc>
          <w:tcPr>
            <w:tcW w:w="4849" w:type="dxa"/>
            <w:noWrap/>
            <w:vAlign w:val="bottom"/>
          </w:tcPr>
          <w:p w:rsidR="001F1249" w:rsidRDefault="00FD4838">
            <w:pPr>
              <w:overflowPunct w:val="0"/>
              <w:autoSpaceDE w:val="0"/>
              <w:autoSpaceDN w:val="0"/>
              <w:snapToGrid w:val="0"/>
              <w:spacing w:line="360" w:lineRule="auto"/>
              <w:ind w:left="-47" w:right="-61" w:firstLine="448"/>
              <w:jc w:val="left"/>
              <w:rPr>
                <w:rFonts w:asciiTheme="minorEastAsia" w:hAnsiTheme="minorEastAsia" w:cstheme="minorEastAsia"/>
                <w:sz w:val="24"/>
                <w:szCs w:val="24"/>
              </w:rPr>
            </w:pPr>
            <w:r>
              <w:rPr>
                <w:rFonts w:asciiTheme="minorEastAsia" w:hAnsiTheme="minorEastAsia" w:cstheme="minorEastAsia" w:hint="eastAsia"/>
                <w:sz w:val="24"/>
                <w:szCs w:val="24"/>
              </w:rPr>
              <w:t>清算收益小计</w:t>
            </w:r>
          </w:p>
        </w:tc>
        <w:tc>
          <w:tcPr>
            <w:tcW w:w="4667" w:type="dxa"/>
            <w:noWrap/>
            <w:vAlign w:val="center"/>
          </w:tcPr>
          <w:p w:rsidR="001F1249" w:rsidRDefault="00FD4838">
            <w:pPr>
              <w:overflowPunct w:val="0"/>
              <w:autoSpaceDE w:val="0"/>
              <w:autoSpaceDN w:val="0"/>
              <w:snapToGrid w:val="0"/>
              <w:spacing w:line="360" w:lineRule="auto"/>
              <w:jc w:val="right"/>
              <w:rPr>
                <w:rFonts w:asciiTheme="minorEastAsia" w:hAnsiTheme="minorEastAsia" w:cstheme="minorEastAsia"/>
                <w:color w:val="000000"/>
                <w:sz w:val="24"/>
                <w:szCs w:val="24"/>
                <w:highlight w:val="yellow"/>
              </w:rPr>
            </w:pPr>
            <w:r>
              <w:rPr>
                <w:rFonts w:asciiTheme="minorEastAsia" w:hAnsiTheme="minorEastAsia" w:cstheme="minorEastAsia" w:hint="eastAsia"/>
                <w:color w:val="000000"/>
                <w:sz w:val="24"/>
                <w:szCs w:val="24"/>
              </w:rPr>
              <w:t>1,939.70</w:t>
            </w:r>
          </w:p>
        </w:tc>
      </w:tr>
      <w:tr w:rsidR="001F1249">
        <w:trPr>
          <w:trHeight w:val="80"/>
          <w:jc w:val="center"/>
        </w:trPr>
        <w:tc>
          <w:tcPr>
            <w:tcW w:w="4849" w:type="dxa"/>
            <w:noWrap/>
            <w:vAlign w:val="bottom"/>
          </w:tcPr>
          <w:p w:rsidR="001F1249" w:rsidRDefault="00FD4838">
            <w:pPr>
              <w:overflowPunct w:val="0"/>
              <w:autoSpaceDE w:val="0"/>
              <w:autoSpaceDN w:val="0"/>
              <w:snapToGrid w:val="0"/>
              <w:spacing w:line="360" w:lineRule="auto"/>
              <w:ind w:left="-47" w:right="-61"/>
              <w:jc w:val="left"/>
              <w:rPr>
                <w:rFonts w:asciiTheme="minorEastAsia" w:hAnsiTheme="minorEastAsia" w:cstheme="minorEastAsia"/>
                <w:sz w:val="24"/>
                <w:szCs w:val="24"/>
              </w:rPr>
            </w:pPr>
            <w:r>
              <w:rPr>
                <w:rFonts w:asciiTheme="minorEastAsia" w:hAnsiTheme="minorEastAsia" w:cstheme="minorEastAsia" w:hint="eastAsia"/>
                <w:sz w:val="24"/>
                <w:szCs w:val="24"/>
              </w:rPr>
              <w:t>二、清算支出</w:t>
            </w:r>
          </w:p>
        </w:tc>
        <w:tc>
          <w:tcPr>
            <w:tcW w:w="4667" w:type="dxa"/>
            <w:noWrap/>
            <w:vAlign w:val="center"/>
          </w:tcPr>
          <w:p w:rsidR="001F1249" w:rsidRDefault="001F1249">
            <w:pPr>
              <w:overflowPunct w:val="0"/>
              <w:autoSpaceDE w:val="0"/>
              <w:autoSpaceDN w:val="0"/>
              <w:snapToGrid w:val="0"/>
              <w:spacing w:line="360" w:lineRule="auto"/>
              <w:jc w:val="right"/>
              <w:rPr>
                <w:rFonts w:asciiTheme="minorEastAsia" w:hAnsiTheme="minorEastAsia" w:cstheme="minorEastAsia"/>
                <w:color w:val="000000"/>
                <w:sz w:val="24"/>
                <w:szCs w:val="24"/>
                <w:highlight w:val="yellow"/>
              </w:rPr>
            </w:pPr>
          </w:p>
        </w:tc>
      </w:tr>
      <w:tr w:rsidR="001F1249">
        <w:trPr>
          <w:trHeight w:val="80"/>
          <w:jc w:val="center"/>
        </w:trPr>
        <w:tc>
          <w:tcPr>
            <w:tcW w:w="4849" w:type="dxa"/>
            <w:noWrap/>
            <w:vAlign w:val="bottom"/>
          </w:tcPr>
          <w:p w:rsidR="001F1249" w:rsidRDefault="00FD4838">
            <w:pPr>
              <w:overflowPunct w:val="0"/>
              <w:autoSpaceDE w:val="0"/>
              <w:autoSpaceDN w:val="0"/>
              <w:snapToGrid w:val="0"/>
              <w:spacing w:line="360" w:lineRule="auto"/>
              <w:ind w:left="-47" w:right="-61" w:firstLine="434"/>
              <w:jc w:val="left"/>
              <w:rPr>
                <w:rFonts w:asciiTheme="minorEastAsia" w:hAnsiTheme="minorEastAsia" w:cstheme="minorEastAsia"/>
                <w:sz w:val="24"/>
                <w:szCs w:val="24"/>
              </w:rPr>
            </w:pPr>
            <w:r>
              <w:rPr>
                <w:rFonts w:asciiTheme="minorEastAsia" w:hAnsiTheme="minorEastAsia" w:cstheme="minorEastAsia" w:hint="eastAsia"/>
                <w:sz w:val="24"/>
                <w:szCs w:val="24"/>
              </w:rPr>
              <w:t>1、交易费用</w:t>
            </w:r>
          </w:p>
        </w:tc>
        <w:tc>
          <w:tcPr>
            <w:tcW w:w="4667" w:type="dxa"/>
            <w:noWrap/>
            <w:vAlign w:val="bottom"/>
          </w:tcPr>
          <w:p w:rsidR="001F1249" w:rsidRDefault="00FD4838">
            <w:pPr>
              <w:overflowPunct w:val="0"/>
              <w:autoSpaceDE w:val="0"/>
              <w:autoSpaceDN w:val="0"/>
              <w:snapToGrid w:val="0"/>
              <w:spacing w:line="360" w:lineRule="auto"/>
              <w:jc w:val="righ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2.78</w:t>
            </w:r>
          </w:p>
        </w:tc>
      </w:tr>
      <w:tr w:rsidR="001F1249">
        <w:trPr>
          <w:trHeight w:val="80"/>
          <w:jc w:val="center"/>
        </w:trPr>
        <w:tc>
          <w:tcPr>
            <w:tcW w:w="4849" w:type="dxa"/>
            <w:noWrap/>
            <w:vAlign w:val="bottom"/>
          </w:tcPr>
          <w:p w:rsidR="001F1249" w:rsidRDefault="00FD4838">
            <w:pPr>
              <w:overflowPunct w:val="0"/>
              <w:autoSpaceDE w:val="0"/>
              <w:autoSpaceDN w:val="0"/>
              <w:snapToGrid w:val="0"/>
              <w:spacing w:line="360" w:lineRule="auto"/>
              <w:ind w:left="-47" w:right="-61" w:firstLine="434"/>
              <w:jc w:val="left"/>
              <w:rPr>
                <w:rFonts w:asciiTheme="minorEastAsia" w:hAnsiTheme="minorEastAsia" w:cstheme="minorEastAsia"/>
                <w:sz w:val="24"/>
                <w:szCs w:val="24"/>
              </w:rPr>
            </w:pPr>
            <w:r>
              <w:rPr>
                <w:rFonts w:asciiTheme="minorEastAsia" w:hAnsiTheme="minorEastAsia" w:cstheme="minorEastAsia" w:hint="eastAsia"/>
                <w:sz w:val="24"/>
                <w:szCs w:val="24"/>
              </w:rPr>
              <w:t>2、清算费用（注3）</w:t>
            </w:r>
          </w:p>
        </w:tc>
        <w:tc>
          <w:tcPr>
            <w:tcW w:w="4667" w:type="dxa"/>
            <w:noWrap/>
            <w:vAlign w:val="bottom"/>
          </w:tcPr>
          <w:p w:rsidR="001F1249" w:rsidRDefault="00FD4838">
            <w:pPr>
              <w:overflowPunct w:val="0"/>
              <w:autoSpaceDE w:val="0"/>
              <w:autoSpaceDN w:val="0"/>
              <w:snapToGrid w:val="0"/>
              <w:spacing w:line="360" w:lineRule="auto"/>
              <w:jc w:val="righ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w:t>
            </w:r>
          </w:p>
        </w:tc>
      </w:tr>
      <w:tr w:rsidR="001F1249">
        <w:trPr>
          <w:trHeight w:val="80"/>
          <w:jc w:val="center"/>
        </w:trPr>
        <w:tc>
          <w:tcPr>
            <w:tcW w:w="4849" w:type="dxa"/>
            <w:noWrap/>
            <w:vAlign w:val="bottom"/>
          </w:tcPr>
          <w:p w:rsidR="001F1249" w:rsidRDefault="00FD4838">
            <w:pPr>
              <w:overflowPunct w:val="0"/>
              <w:autoSpaceDE w:val="0"/>
              <w:autoSpaceDN w:val="0"/>
              <w:snapToGrid w:val="0"/>
              <w:spacing w:line="360" w:lineRule="auto"/>
              <w:ind w:left="-47" w:right="-61" w:firstLine="434"/>
              <w:jc w:val="left"/>
              <w:rPr>
                <w:rFonts w:asciiTheme="minorEastAsia" w:hAnsiTheme="minorEastAsia" w:cstheme="minorEastAsia"/>
                <w:sz w:val="24"/>
                <w:szCs w:val="24"/>
              </w:rPr>
            </w:pPr>
            <w:r>
              <w:rPr>
                <w:rFonts w:asciiTheme="minorEastAsia" w:hAnsiTheme="minorEastAsia" w:cstheme="minorEastAsia" w:hint="eastAsia"/>
                <w:sz w:val="24"/>
                <w:szCs w:val="24"/>
              </w:rPr>
              <w:t>清算支出小计</w:t>
            </w:r>
          </w:p>
        </w:tc>
        <w:tc>
          <w:tcPr>
            <w:tcW w:w="4667" w:type="dxa"/>
            <w:noWrap/>
            <w:vAlign w:val="bottom"/>
          </w:tcPr>
          <w:p w:rsidR="001F1249" w:rsidRDefault="00FD4838">
            <w:pPr>
              <w:overflowPunct w:val="0"/>
              <w:autoSpaceDE w:val="0"/>
              <w:autoSpaceDN w:val="0"/>
              <w:snapToGrid w:val="0"/>
              <w:spacing w:line="360" w:lineRule="auto"/>
              <w:jc w:val="righ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2.78</w:t>
            </w:r>
          </w:p>
        </w:tc>
      </w:tr>
      <w:tr w:rsidR="001F1249">
        <w:trPr>
          <w:trHeight w:val="80"/>
          <w:jc w:val="center"/>
        </w:trPr>
        <w:tc>
          <w:tcPr>
            <w:tcW w:w="4849" w:type="dxa"/>
            <w:noWrap/>
            <w:vAlign w:val="bottom"/>
          </w:tcPr>
          <w:p w:rsidR="001F1249" w:rsidRDefault="00FD4838">
            <w:pPr>
              <w:overflowPunct w:val="0"/>
              <w:autoSpaceDE w:val="0"/>
              <w:autoSpaceDN w:val="0"/>
              <w:snapToGrid w:val="0"/>
              <w:spacing w:line="360" w:lineRule="auto"/>
              <w:ind w:left="-47" w:right="-61"/>
              <w:jc w:val="left"/>
              <w:rPr>
                <w:rFonts w:asciiTheme="minorEastAsia" w:hAnsiTheme="minorEastAsia" w:cstheme="minorEastAsia"/>
                <w:sz w:val="24"/>
                <w:szCs w:val="24"/>
              </w:rPr>
            </w:pPr>
            <w:r>
              <w:rPr>
                <w:rFonts w:asciiTheme="minorEastAsia" w:hAnsiTheme="minorEastAsia" w:cstheme="minorEastAsia" w:hint="eastAsia"/>
                <w:sz w:val="24"/>
                <w:szCs w:val="24"/>
              </w:rPr>
              <w:t>三、清算净收益</w:t>
            </w:r>
          </w:p>
        </w:tc>
        <w:tc>
          <w:tcPr>
            <w:tcW w:w="4667" w:type="dxa"/>
            <w:noWrap/>
            <w:vAlign w:val="center"/>
          </w:tcPr>
          <w:p w:rsidR="001F1249" w:rsidRDefault="00FD4838">
            <w:pPr>
              <w:overflowPunct w:val="0"/>
              <w:autoSpaceDE w:val="0"/>
              <w:autoSpaceDN w:val="0"/>
              <w:snapToGrid w:val="0"/>
              <w:spacing w:line="360" w:lineRule="auto"/>
              <w:jc w:val="right"/>
              <w:rPr>
                <w:rFonts w:asciiTheme="minorEastAsia" w:hAnsiTheme="minorEastAsia" w:cstheme="minorEastAsia"/>
                <w:color w:val="000000"/>
                <w:sz w:val="24"/>
                <w:szCs w:val="24"/>
                <w:highlight w:val="yellow"/>
              </w:rPr>
            </w:pPr>
            <w:r>
              <w:rPr>
                <w:rFonts w:asciiTheme="minorEastAsia" w:hAnsiTheme="minorEastAsia" w:cstheme="minorEastAsia" w:hint="eastAsia"/>
                <w:color w:val="000000"/>
                <w:sz w:val="24"/>
                <w:szCs w:val="24"/>
              </w:rPr>
              <w:t>1,936.92</w:t>
            </w:r>
          </w:p>
        </w:tc>
      </w:tr>
    </w:tbl>
    <w:p w:rsidR="001F1249" w:rsidRDefault="00FD4838">
      <w:pPr>
        <w:overflowPunct w:val="0"/>
        <w:autoSpaceDE w:val="0"/>
        <w:autoSpaceDN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注1：利息收入系计提的自2019年4月26日起至2019年5月15日止清算期间的银行存款利息及赎回款利息。</w:t>
      </w:r>
    </w:p>
    <w:p w:rsidR="001F1249" w:rsidRDefault="00FD4838">
      <w:pPr>
        <w:overflowPunct w:val="0"/>
        <w:autoSpaceDE w:val="0"/>
        <w:autoSpaceDN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注2：其他收入系最后运作日基金份额持有人的赎回业务产生的赎回费收入。</w:t>
      </w:r>
    </w:p>
    <w:p w:rsidR="001F1249" w:rsidRDefault="00FD4838">
      <w:pPr>
        <w:overflowPunct w:val="0"/>
        <w:autoSpaceDE w:val="0"/>
        <w:autoSpaceDN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注3：根据《关于国投瑞银和顺债券型证券投资基金基金财产清算及基金合同终止的公告》，考虑到本基金清算的实际情况，从保护基金份额持有人利益的角度出发，本基金的清算费用将由基金管理人承担。</w:t>
      </w:r>
    </w:p>
    <w:p w:rsidR="001F1249" w:rsidRDefault="001F1249">
      <w:pPr>
        <w:overflowPunct w:val="0"/>
        <w:autoSpaceDE w:val="0"/>
        <w:autoSpaceDN w:val="0"/>
        <w:snapToGrid w:val="0"/>
        <w:spacing w:line="360" w:lineRule="auto"/>
        <w:ind w:firstLineChars="200" w:firstLine="480"/>
        <w:rPr>
          <w:rFonts w:asciiTheme="minorEastAsia" w:hAnsiTheme="minorEastAsia" w:cstheme="minorEastAsia"/>
          <w:sz w:val="24"/>
          <w:szCs w:val="24"/>
        </w:rPr>
      </w:pPr>
    </w:p>
    <w:p w:rsidR="001F1249" w:rsidRDefault="00FD4838">
      <w:pPr>
        <w:numPr>
          <w:ilvl w:val="0"/>
          <w:numId w:val="2"/>
        </w:numPr>
        <w:tabs>
          <w:tab w:val="left" w:pos="708"/>
        </w:tabs>
        <w:overflowPunct w:val="0"/>
        <w:autoSpaceDE w:val="0"/>
        <w:autoSpaceDN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清算期间</w:t>
      </w:r>
      <w:r>
        <w:rPr>
          <w:rFonts w:asciiTheme="minorEastAsia" w:hAnsiTheme="minorEastAsia" w:cstheme="minorEastAsia"/>
          <w:sz w:val="24"/>
          <w:szCs w:val="24"/>
        </w:rPr>
        <w:t>的剩余资产分配情况</w:t>
      </w:r>
    </w:p>
    <w:p w:rsidR="001F1249" w:rsidRDefault="001F1249">
      <w:pPr>
        <w:numPr>
          <w:ilvl w:val="255"/>
          <w:numId w:val="0"/>
        </w:numPr>
        <w:tabs>
          <w:tab w:val="left" w:pos="708"/>
        </w:tabs>
        <w:overflowPunct w:val="0"/>
        <w:autoSpaceDE w:val="0"/>
        <w:autoSpaceDN w:val="0"/>
        <w:snapToGrid w:val="0"/>
        <w:spacing w:line="360" w:lineRule="auto"/>
        <w:rPr>
          <w:rFonts w:asciiTheme="minorEastAsia" w:hAnsiTheme="minorEastAsia" w:cstheme="minorEastAsia"/>
          <w:sz w:val="24"/>
          <w:szCs w:val="24"/>
        </w:rPr>
      </w:pPr>
    </w:p>
    <w:p w:rsidR="001F1249" w:rsidRDefault="00FD4838">
      <w:pPr>
        <w:overflowPunct w:val="0"/>
        <w:autoSpaceDE w:val="0"/>
        <w:autoSpaceDN w:val="0"/>
        <w:snapToGrid w:val="0"/>
        <w:spacing w:line="360" w:lineRule="auto"/>
        <w:ind w:firstLineChars="200" w:firstLine="480"/>
        <w:jc w:val="right"/>
        <w:rPr>
          <w:rFonts w:asciiTheme="minorEastAsia" w:hAnsiTheme="minorEastAsia" w:cs="Arial"/>
          <w:sz w:val="24"/>
          <w:szCs w:val="24"/>
        </w:rPr>
      </w:pPr>
      <w:r>
        <w:rPr>
          <w:rFonts w:asciiTheme="minorEastAsia" w:hAnsiTheme="minorEastAsia" w:cs="Arial" w:hint="eastAsia"/>
          <w:sz w:val="24"/>
          <w:szCs w:val="24"/>
        </w:rPr>
        <w:t>单位：人民币元</w:t>
      </w:r>
    </w:p>
    <w:tbl>
      <w:tblPr>
        <w:tblW w:w="9386"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9"/>
        <w:gridCol w:w="4537"/>
      </w:tblGrid>
      <w:tr w:rsidR="001F1249">
        <w:trPr>
          <w:jc w:val="center"/>
        </w:trPr>
        <w:tc>
          <w:tcPr>
            <w:tcW w:w="4849" w:type="dxa"/>
            <w:shd w:val="clear" w:color="auto" w:fill="auto"/>
          </w:tcPr>
          <w:p w:rsidR="001F1249" w:rsidRDefault="00FD4838">
            <w:pPr>
              <w:overflowPunct w:val="0"/>
              <w:autoSpaceDE w:val="0"/>
              <w:autoSpaceDN w:val="0"/>
              <w:snapToGrid w:val="0"/>
              <w:spacing w:line="360" w:lineRule="auto"/>
              <w:jc w:val="left"/>
              <w:rPr>
                <w:rFonts w:asciiTheme="minorEastAsia" w:hAnsiTheme="minorEastAsia" w:cs="Arial"/>
                <w:sz w:val="24"/>
                <w:szCs w:val="24"/>
              </w:rPr>
            </w:pPr>
            <w:r>
              <w:rPr>
                <w:rFonts w:asciiTheme="minorEastAsia" w:hAnsiTheme="minorEastAsia" w:cs="Arial" w:hint="eastAsia"/>
                <w:sz w:val="24"/>
                <w:szCs w:val="24"/>
              </w:rPr>
              <w:t>项目</w:t>
            </w:r>
          </w:p>
        </w:tc>
        <w:tc>
          <w:tcPr>
            <w:tcW w:w="4537" w:type="dxa"/>
            <w:shd w:val="clear" w:color="auto" w:fill="auto"/>
          </w:tcPr>
          <w:p w:rsidR="001F1249" w:rsidRDefault="00FD4838">
            <w:pPr>
              <w:overflowPunct w:val="0"/>
              <w:autoSpaceDE w:val="0"/>
              <w:autoSpaceDN w:val="0"/>
              <w:snapToGrid w:val="0"/>
              <w:spacing w:line="360" w:lineRule="auto"/>
              <w:ind w:firstLineChars="200" w:firstLine="480"/>
              <w:jc w:val="right"/>
              <w:rPr>
                <w:rFonts w:asciiTheme="minorEastAsia" w:hAnsiTheme="minorEastAsia" w:cs="Arial"/>
                <w:sz w:val="24"/>
                <w:szCs w:val="24"/>
              </w:rPr>
            </w:pPr>
            <w:r>
              <w:rPr>
                <w:rFonts w:asciiTheme="minorEastAsia" w:hAnsiTheme="minorEastAsia" w:cs="Arial" w:hint="eastAsia"/>
                <w:sz w:val="24"/>
                <w:szCs w:val="24"/>
              </w:rPr>
              <w:t>金额</w:t>
            </w:r>
          </w:p>
        </w:tc>
      </w:tr>
      <w:tr w:rsidR="001F1249">
        <w:trPr>
          <w:jc w:val="center"/>
        </w:trPr>
        <w:tc>
          <w:tcPr>
            <w:tcW w:w="4849" w:type="dxa"/>
            <w:shd w:val="clear" w:color="auto" w:fill="auto"/>
          </w:tcPr>
          <w:p w:rsidR="001F1249" w:rsidRDefault="00FD4838">
            <w:pPr>
              <w:overflowPunct w:val="0"/>
              <w:autoSpaceDE w:val="0"/>
              <w:autoSpaceDN w:val="0"/>
              <w:snapToGrid w:val="0"/>
              <w:spacing w:line="360" w:lineRule="auto"/>
              <w:jc w:val="left"/>
              <w:rPr>
                <w:rFonts w:asciiTheme="minorEastAsia" w:hAnsiTheme="minorEastAsia" w:cs="Arial"/>
                <w:sz w:val="24"/>
                <w:szCs w:val="24"/>
              </w:rPr>
            </w:pPr>
            <w:r>
              <w:rPr>
                <w:rFonts w:asciiTheme="minorEastAsia" w:hAnsiTheme="minorEastAsia" w:cs="Arial" w:hint="eastAsia"/>
                <w:sz w:val="24"/>
                <w:szCs w:val="24"/>
              </w:rPr>
              <w:t>一、最后运作日2019年4月25日基金净资产</w:t>
            </w:r>
          </w:p>
        </w:tc>
        <w:tc>
          <w:tcPr>
            <w:tcW w:w="4537" w:type="dxa"/>
            <w:shd w:val="clear" w:color="auto" w:fill="auto"/>
            <w:vAlign w:val="center"/>
          </w:tcPr>
          <w:p w:rsidR="001F1249" w:rsidRDefault="00FD4838">
            <w:pPr>
              <w:overflowPunct w:val="0"/>
              <w:autoSpaceDE w:val="0"/>
              <w:autoSpaceDN w:val="0"/>
              <w:snapToGrid w:val="0"/>
              <w:spacing w:line="360" w:lineRule="auto"/>
              <w:ind w:firstLineChars="200" w:firstLine="480"/>
              <w:jc w:val="right"/>
              <w:rPr>
                <w:rFonts w:asciiTheme="minorEastAsia" w:hAnsiTheme="minorEastAsia" w:cs="Arial"/>
                <w:sz w:val="24"/>
                <w:szCs w:val="24"/>
              </w:rPr>
            </w:pPr>
            <w:r>
              <w:rPr>
                <w:rFonts w:asciiTheme="minorEastAsia" w:hAnsiTheme="minorEastAsia" w:cs="Arial" w:hint="eastAsia"/>
                <w:sz w:val="24"/>
                <w:szCs w:val="24"/>
              </w:rPr>
              <w:t xml:space="preserve">3,021,172.40 </w:t>
            </w:r>
          </w:p>
        </w:tc>
      </w:tr>
      <w:tr w:rsidR="001F1249">
        <w:trPr>
          <w:jc w:val="center"/>
        </w:trPr>
        <w:tc>
          <w:tcPr>
            <w:tcW w:w="4849" w:type="dxa"/>
            <w:shd w:val="clear" w:color="auto" w:fill="auto"/>
          </w:tcPr>
          <w:p w:rsidR="001F1249" w:rsidRDefault="00FD4838">
            <w:pPr>
              <w:overflowPunct w:val="0"/>
              <w:autoSpaceDE w:val="0"/>
              <w:autoSpaceDN w:val="0"/>
              <w:snapToGrid w:val="0"/>
              <w:spacing w:line="360" w:lineRule="auto"/>
              <w:jc w:val="left"/>
              <w:rPr>
                <w:rFonts w:asciiTheme="minorEastAsia" w:hAnsiTheme="minorEastAsia" w:cs="Arial"/>
                <w:sz w:val="24"/>
                <w:szCs w:val="24"/>
              </w:rPr>
            </w:pPr>
            <w:r>
              <w:rPr>
                <w:rFonts w:asciiTheme="minorEastAsia" w:hAnsiTheme="minorEastAsia" w:cs="Arial" w:hint="eastAsia"/>
                <w:sz w:val="24"/>
                <w:szCs w:val="24"/>
              </w:rPr>
              <w:t>加：清算期间净收益</w:t>
            </w:r>
          </w:p>
        </w:tc>
        <w:tc>
          <w:tcPr>
            <w:tcW w:w="4537" w:type="dxa"/>
            <w:shd w:val="clear" w:color="auto" w:fill="auto"/>
            <w:vAlign w:val="center"/>
          </w:tcPr>
          <w:p w:rsidR="001F1249" w:rsidRDefault="00FD4838">
            <w:pPr>
              <w:overflowPunct w:val="0"/>
              <w:autoSpaceDE w:val="0"/>
              <w:autoSpaceDN w:val="0"/>
              <w:snapToGrid w:val="0"/>
              <w:spacing w:line="360" w:lineRule="auto"/>
              <w:ind w:firstLineChars="200" w:firstLine="480"/>
              <w:jc w:val="right"/>
              <w:rPr>
                <w:rFonts w:asciiTheme="minorEastAsia" w:hAnsiTheme="minorEastAsia" w:cs="Arial"/>
                <w:sz w:val="24"/>
                <w:szCs w:val="24"/>
              </w:rPr>
            </w:pPr>
            <w:r>
              <w:rPr>
                <w:rFonts w:asciiTheme="minorEastAsia" w:hAnsiTheme="minorEastAsia" w:cs="Arial" w:hint="eastAsia"/>
                <w:sz w:val="24"/>
                <w:szCs w:val="24"/>
              </w:rPr>
              <w:t>1,936.92</w:t>
            </w:r>
          </w:p>
        </w:tc>
      </w:tr>
      <w:tr w:rsidR="001F1249">
        <w:trPr>
          <w:jc w:val="center"/>
        </w:trPr>
        <w:tc>
          <w:tcPr>
            <w:tcW w:w="4849" w:type="dxa"/>
            <w:shd w:val="clear" w:color="auto" w:fill="auto"/>
          </w:tcPr>
          <w:p w:rsidR="001F1249" w:rsidRDefault="00FD4838">
            <w:pPr>
              <w:overflowPunct w:val="0"/>
              <w:autoSpaceDE w:val="0"/>
              <w:autoSpaceDN w:val="0"/>
              <w:snapToGrid w:val="0"/>
              <w:spacing w:line="360" w:lineRule="auto"/>
              <w:jc w:val="left"/>
              <w:rPr>
                <w:rFonts w:asciiTheme="minorEastAsia" w:hAnsiTheme="minorEastAsia" w:cs="Arial"/>
                <w:sz w:val="24"/>
                <w:szCs w:val="24"/>
              </w:rPr>
            </w:pPr>
            <w:r>
              <w:rPr>
                <w:rFonts w:asciiTheme="minorEastAsia" w:hAnsiTheme="minorEastAsia" w:cs="Arial" w:hint="eastAsia"/>
                <w:sz w:val="24"/>
                <w:szCs w:val="24"/>
              </w:rPr>
              <w:t>基金赎回款（注1）</w:t>
            </w:r>
          </w:p>
        </w:tc>
        <w:tc>
          <w:tcPr>
            <w:tcW w:w="4537" w:type="dxa"/>
            <w:shd w:val="clear" w:color="auto" w:fill="auto"/>
            <w:vAlign w:val="center"/>
          </w:tcPr>
          <w:p w:rsidR="001F1249" w:rsidRDefault="00FD4838">
            <w:pPr>
              <w:overflowPunct w:val="0"/>
              <w:autoSpaceDE w:val="0"/>
              <w:autoSpaceDN w:val="0"/>
              <w:snapToGrid w:val="0"/>
              <w:spacing w:line="360" w:lineRule="auto"/>
              <w:ind w:firstLineChars="200" w:firstLine="480"/>
              <w:jc w:val="right"/>
              <w:rPr>
                <w:rFonts w:asciiTheme="minorEastAsia" w:hAnsiTheme="minorEastAsia" w:cs="Arial"/>
                <w:sz w:val="24"/>
                <w:szCs w:val="24"/>
              </w:rPr>
            </w:pPr>
            <w:r>
              <w:rPr>
                <w:rFonts w:asciiTheme="minorEastAsia" w:hAnsiTheme="minorEastAsia" w:cs="Arial" w:hint="eastAsia"/>
                <w:sz w:val="24"/>
                <w:szCs w:val="24"/>
              </w:rPr>
              <w:t>-151,218.95</w:t>
            </w:r>
          </w:p>
        </w:tc>
      </w:tr>
      <w:tr w:rsidR="001F1249">
        <w:trPr>
          <w:trHeight w:val="101"/>
          <w:jc w:val="center"/>
        </w:trPr>
        <w:tc>
          <w:tcPr>
            <w:tcW w:w="4849" w:type="dxa"/>
            <w:shd w:val="clear" w:color="auto" w:fill="auto"/>
          </w:tcPr>
          <w:p w:rsidR="001F1249" w:rsidRDefault="00FD4838">
            <w:pPr>
              <w:overflowPunct w:val="0"/>
              <w:autoSpaceDE w:val="0"/>
              <w:autoSpaceDN w:val="0"/>
              <w:snapToGrid w:val="0"/>
              <w:spacing w:line="360" w:lineRule="auto"/>
              <w:jc w:val="left"/>
              <w:rPr>
                <w:rFonts w:asciiTheme="minorEastAsia" w:hAnsiTheme="minorEastAsia" w:cs="Arial"/>
                <w:sz w:val="24"/>
                <w:szCs w:val="24"/>
              </w:rPr>
            </w:pPr>
            <w:r>
              <w:rPr>
                <w:rFonts w:asciiTheme="minorEastAsia" w:hAnsiTheme="minorEastAsia" w:cs="Arial" w:hint="eastAsia"/>
                <w:sz w:val="24"/>
                <w:szCs w:val="24"/>
              </w:rPr>
              <w:t>二、2019年5月15日基金净资产</w:t>
            </w:r>
          </w:p>
        </w:tc>
        <w:tc>
          <w:tcPr>
            <w:tcW w:w="4537" w:type="dxa"/>
            <w:shd w:val="clear" w:color="auto" w:fill="auto"/>
            <w:vAlign w:val="center"/>
          </w:tcPr>
          <w:p w:rsidR="001F1249" w:rsidRDefault="00FD4838">
            <w:pPr>
              <w:overflowPunct w:val="0"/>
              <w:autoSpaceDE w:val="0"/>
              <w:autoSpaceDN w:val="0"/>
              <w:snapToGrid w:val="0"/>
              <w:spacing w:line="360" w:lineRule="auto"/>
              <w:ind w:firstLineChars="200" w:firstLine="480"/>
              <w:jc w:val="right"/>
              <w:rPr>
                <w:rFonts w:asciiTheme="minorEastAsia" w:hAnsiTheme="minorEastAsia" w:cs="Arial"/>
                <w:sz w:val="24"/>
                <w:szCs w:val="24"/>
              </w:rPr>
            </w:pPr>
            <w:r>
              <w:rPr>
                <w:rFonts w:asciiTheme="minorEastAsia" w:hAnsiTheme="minorEastAsia" w:cs="Arial" w:hint="eastAsia"/>
                <w:sz w:val="24"/>
                <w:szCs w:val="24"/>
              </w:rPr>
              <w:t>2,871,890.37</w:t>
            </w:r>
          </w:p>
        </w:tc>
      </w:tr>
    </w:tbl>
    <w:p w:rsidR="001F1249" w:rsidRDefault="00FD4838">
      <w:pPr>
        <w:overflowPunct w:val="0"/>
        <w:autoSpaceDE w:val="0"/>
        <w:autoSpaceDN w:val="0"/>
        <w:snapToGrid w:val="0"/>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注1：系本基金持有人于最后运作日（2019年4月25日）提交的赎回申请，已于2019年4月26日支付。</w:t>
      </w:r>
    </w:p>
    <w:p w:rsidR="001F1249" w:rsidRDefault="00FD4838">
      <w:pPr>
        <w:overflowPunct w:val="0"/>
        <w:autoSpaceDE w:val="0"/>
        <w:autoSpaceDN w:val="0"/>
        <w:snapToGrid w:val="0"/>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根据本基金的《基金合同》及《关于国投瑞银和顺债券型证券投资基金基金财产清算及基金合同终止的公告》，依据基金财产清算的分配方案，将基金财产清算后的全部剩余资产扣除基金财产清算费用（本基金清算费用由基金管理人承担）、交纳所欠税款（如有）并清偿基金债务后，按基金份额持有人持有的基金份额比例进行分配。</w:t>
      </w:r>
    </w:p>
    <w:p w:rsidR="001F1249" w:rsidRDefault="00FD4838">
      <w:pPr>
        <w:overflowPunct w:val="0"/>
        <w:autoSpaceDE w:val="0"/>
        <w:autoSpaceDN w:val="0"/>
        <w:snapToGrid w:val="0"/>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因清算款划出日不能确定，暂不能准确预估清算结束日至清算款划出日前一日银行存款产生的利息，该期间利息亦属全体份额持有人所有，将于划出清算款时一并向基金份额持有人分配。为保护基金份额持有人利益，加快清算速度，基金管理人将以自有资金先行垫付该笔款项（该金额可能与实际结息金额存在略微差异）。基金管理人垫付的资金以及垫付资金产生的利息将于清算期后返还给基金管理人。</w:t>
      </w:r>
    </w:p>
    <w:p w:rsidR="001F1249" w:rsidRDefault="001F1249">
      <w:pPr>
        <w:overflowPunct w:val="0"/>
        <w:autoSpaceDE w:val="0"/>
        <w:autoSpaceDN w:val="0"/>
        <w:snapToGrid w:val="0"/>
        <w:spacing w:line="360" w:lineRule="auto"/>
        <w:ind w:firstLineChars="200" w:firstLine="480"/>
        <w:rPr>
          <w:rFonts w:asciiTheme="minorEastAsia" w:hAnsiTheme="minorEastAsia" w:cs="Arial"/>
          <w:sz w:val="24"/>
          <w:szCs w:val="24"/>
        </w:rPr>
      </w:pPr>
    </w:p>
    <w:p w:rsidR="001F1249" w:rsidRDefault="00FD4838">
      <w:pPr>
        <w:numPr>
          <w:ilvl w:val="0"/>
          <w:numId w:val="2"/>
        </w:numPr>
        <w:tabs>
          <w:tab w:val="left" w:pos="708"/>
        </w:tabs>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基金财产清算报告的告知安排</w:t>
      </w:r>
    </w:p>
    <w:p w:rsidR="001F1249" w:rsidRDefault="00FD4838">
      <w:pPr>
        <w:overflowPunct w:val="0"/>
        <w:autoSpaceDE w:val="0"/>
        <w:autoSpaceDN w:val="0"/>
        <w:snapToGrid w:val="0"/>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本清算报告已经基金托管人复核，在经会计师事务所审计、律师事务所出具法律意见书后，报中国证券监督管理委员会备案并向基金份额持有人公告。</w:t>
      </w:r>
    </w:p>
    <w:p w:rsidR="001F1249" w:rsidRDefault="001F1249">
      <w:pPr>
        <w:kinsoku w:val="0"/>
        <w:overflowPunct w:val="0"/>
        <w:snapToGrid w:val="0"/>
        <w:spacing w:line="360" w:lineRule="auto"/>
        <w:ind w:right="75" w:firstLineChars="200" w:firstLine="480"/>
        <w:rPr>
          <w:rFonts w:ascii="宋体" w:eastAsia="宋体" w:hAnsi="宋体" w:cs="宋体"/>
          <w:color w:val="2C2C2C"/>
          <w:sz w:val="24"/>
          <w:szCs w:val="24"/>
        </w:rPr>
      </w:pPr>
    </w:p>
    <w:p w:rsidR="001F1249" w:rsidRDefault="00FD4838">
      <w:pPr>
        <w:pStyle w:val="21"/>
        <w:numPr>
          <w:ilvl w:val="0"/>
          <w:numId w:val="1"/>
        </w:numPr>
        <w:kinsoku w:val="0"/>
        <w:overflowPunct w:val="0"/>
        <w:spacing w:line="360" w:lineRule="auto"/>
        <w:ind w:right="75"/>
        <w:outlineLvl w:val="9"/>
        <w:rPr>
          <w:rFonts w:ascii="宋体" w:eastAsia="宋体" w:hAnsi="宋体"/>
        </w:rPr>
      </w:pPr>
      <w:r>
        <w:rPr>
          <w:rFonts w:ascii="宋体" w:eastAsia="宋体" w:hAnsi="宋体" w:hint="eastAsia"/>
        </w:rPr>
        <w:t>备查文件</w:t>
      </w:r>
    </w:p>
    <w:p w:rsidR="001F1249" w:rsidRDefault="00FD4838">
      <w:pPr>
        <w:pStyle w:val="Default"/>
        <w:spacing w:line="360" w:lineRule="auto"/>
        <w:rPr>
          <w:rFonts w:hAnsi="宋体"/>
          <w:color w:val="2C2C2C"/>
        </w:rPr>
      </w:pPr>
      <w:r>
        <w:rPr>
          <w:rFonts w:hAnsi="宋体" w:hint="eastAsia"/>
          <w:color w:val="2C2C2C"/>
        </w:rPr>
        <w:t>1、备查文件目录</w:t>
      </w:r>
      <w:r>
        <w:rPr>
          <w:rFonts w:hAnsi="宋体" w:hint="eastAsia"/>
          <w:color w:val="2C2C2C"/>
        </w:rPr>
        <w:br/>
        <w:t>（1）《国投瑞银和顺债券型证券投资基金清算审计报告》</w:t>
      </w:r>
      <w:r>
        <w:rPr>
          <w:rFonts w:hAnsi="宋体" w:hint="eastAsia"/>
          <w:color w:val="2C2C2C"/>
        </w:rPr>
        <w:br/>
        <w:t>（2）《国投瑞银和顺债券型证券投资基金清算事宜之法律意见》</w:t>
      </w:r>
      <w:r>
        <w:rPr>
          <w:rFonts w:hAnsi="宋体" w:hint="eastAsia"/>
          <w:color w:val="2C2C2C"/>
        </w:rPr>
        <w:br/>
        <w:t>2、存放地点</w:t>
      </w:r>
      <w:r>
        <w:rPr>
          <w:rFonts w:hAnsi="宋体" w:hint="eastAsia"/>
          <w:color w:val="2C2C2C"/>
        </w:rPr>
        <w:br/>
        <w:t>基金管理人的办公场所：中国广东省深圳市福田区金田路4028号荣超经贸中心46层</w:t>
      </w:r>
    </w:p>
    <w:p w:rsidR="001F1249" w:rsidRDefault="00FD4838">
      <w:pPr>
        <w:pStyle w:val="Default"/>
        <w:adjustRightInd/>
        <w:spacing w:line="360" w:lineRule="auto"/>
        <w:rPr>
          <w:rFonts w:hAnsi="宋体"/>
          <w:color w:val="2C2C2C"/>
        </w:rPr>
      </w:pPr>
      <w:r>
        <w:rPr>
          <w:rFonts w:hAnsi="宋体" w:hint="eastAsia"/>
          <w:color w:val="2C2C2C"/>
        </w:rPr>
        <w:t>存放网址：http://www.ubssdic.com</w:t>
      </w:r>
    </w:p>
    <w:p w:rsidR="001F1249" w:rsidRDefault="00FD4838">
      <w:pPr>
        <w:pStyle w:val="Default"/>
        <w:adjustRightInd/>
        <w:spacing w:line="360" w:lineRule="auto"/>
        <w:rPr>
          <w:rFonts w:hAnsi="宋体"/>
          <w:color w:val="2C2C2C"/>
        </w:rPr>
      </w:pPr>
      <w:r>
        <w:rPr>
          <w:rFonts w:hAnsi="宋体" w:hint="eastAsia"/>
          <w:color w:val="2C2C2C"/>
        </w:rPr>
        <w:t>3、查阅方式</w:t>
      </w:r>
      <w:r>
        <w:rPr>
          <w:rFonts w:hAnsi="宋体" w:hint="eastAsia"/>
          <w:color w:val="2C2C2C"/>
        </w:rPr>
        <w:br/>
        <w:t>投资者可在营业时间内至基金管理人的办公场所免费查阅。</w:t>
      </w:r>
    </w:p>
    <w:p w:rsidR="001F1249" w:rsidRDefault="00FD4838">
      <w:pPr>
        <w:pStyle w:val="Default"/>
        <w:adjustRightInd/>
        <w:spacing w:line="360" w:lineRule="auto"/>
        <w:rPr>
          <w:rFonts w:hAnsi="宋体"/>
          <w:color w:val="2C2C2C"/>
        </w:rPr>
      </w:pPr>
      <w:r>
        <w:rPr>
          <w:rFonts w:hAnsi="宋体" w:hint="eastAsia"/>
          <w:color w:val="2C2C2C"/>
        </w:rPr>
        <w:t>咨询电话：400-880-6868</w:t>
      </w:r>
    </w:p>
    <w:p w:rsidR="001F1249" w:rsidRDefault="001F1249">
      <w:pPr>
        <w:pStyle w:val="Default"/>
        <w:adjustRightInd/>
        <w:spacing w:line="360" w:lineRule="auto"/>
        <w:rPr>
          <w:rFonts w:hAnsi="宋体"/>
          <w:color w:val="2C2C2C"/>
        </w:rPr>
      </w:pPr>
    </w:p>
    <w:p w:rsidR="001F1249" w:rsidRDefault="001F1249">
      <w:pPr>
        <w:pStyle w:val="Default"/>
        <w:adjustRightInd/>
        <w:spacing w:line="360" w:lineRule="auto"/>
        <w:rPr>
          <w:rFonts w:hAnsi="宋体"/>
          <w:color w:val="2C2C2C"/>
        </w:rPr>
      </w:pPr>
    </w:p>
    <w:p w:rsidR="001F1249" w:rsidRDefault="001F1249">
      <w:pPr>
        <w:pStyle w:val="Default"/>
        <w:adjustRightInd/>
        <w:spacing w:line="360" w:lineRule="auto"/>
        <w:rPr>
          <w:rFonts w:hAnsi="宋体"/>
          <w:color w:val="2C2C2C"/>
        </w:rPr>
      </w:pPr>
    </w:p>
    <w:p w:rsidR="001F1249" w:rsidRDefault="00FD4838">
      <w:pPr>
        <w:pStyle w:val="Default"/>
        <w:adjustRightInd/>
        <w:spacing w:line="360" w:lineRule="auto"/>
        <w:jc w:val="right"/>
        <w:rPr>
          <w:rFonts w:hAnsi="宋体"/>
          <w:color w:val="2C2C2C"/>
        </w:rPr>
      </w:pPr>
      <w:r>
        <w:rPr>
          <w:rFonts w:hAnsi="宋体" w:hint="eastAsia"/>
          <w:color w:val="2C2C2C"/>
        </w:rPr>
        <w:t>国投瑞银和顺债券型证券投资基金基金财产清算小组</w:t>
      </w:r>
    </w:p>
    <w:p w:rsidR="001F1249" w:rsidRDefault="00FD4838">
      <w:pPr>
        <w:pStyle w:val="Default"/>
        <w:wordWrap w:val="0"/>
        <w:adjustRightInd/>
        <w:spacing w:line="360" w:lineRule="auto"/>
        <w:jc w:val="right"/>
        <w:rPr>
          <w:rFonts w:hAnsi="宋体"/>
          <w:color w:val="2C2C2C"/>
          <w:highlight w:val="yellow"/>
        </w:rPr>
      </w:pPr>
      <w:r>
        <w:rPr>
          <w:rFonts w:hAnsi="宋体" w:hint="eastAsia"/>
          <w:color w:val="2C2C2C"/>
        </w:rPr>
        <w:t>2019年5月15日</w:t>
      </w:r>
    </w:p>
    <w:sectPr w:rsidR="001F1249" w:rsidSect="002A5851">
      <w:headerReference w:type="default" r:id="rId9"/>
      <w:footerReference w:type="default" r:id="rId10"/>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64A" w:rsidRDefault="0039064A">
      <w:r>
        <w:separator/>
      </w:r>
    </w:p>
  </w:endnote>
  <w:endnote w:type="continuationSeparator" w:id="1">
    <w:p w:rsidR="0039064A" w:rsidRDefault="00390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icrosoft JhengHei">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49" w:rsidRDefault="002A5851">
    <w:pPr>
      <w:pStyle w:val="a6"/>
      <w:jc w:val="center"/>
    </w:pPr>
    <w:r>
      <w:fldChar w:fldCharType="begin"/>
    </w:r>
    <w:r w:rsidR="00FD4838">
      <w:instrText xml:space="preserve"> PAGE   \* MERGEFORMAT </w:instrText>
    </w:r>
    <w:r>
      <w:fldChar w:fldCharType="separate"/>
    </w:r>
    <w:r w:rsidR="001D7310" w:rsidRPr="001D7310">
      <w:rPr>
        <w:noProof/>
        <w:lang w:val="zh-CN"/>
      </w:rPr>
      <w:t>1</w:t>
    </w:r>
    <w:r>
      <w:fldChar w:fldCharType="end"/>
    </w:r>
  </w:p>
  <w:p w:rsidR="001F1249" w:rsidRDefault="001F1249">
    <w:pPr>
      <w:kinsoku w:val="0"/>
      <w:overflowPunct w:val="0"/>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64A" w:rsidRDefault="0039064A">
      <w:r>
        <w:separator/>
      </w:r>
    </w:p>
  </w:footnote>
  <w:footnote w:type="continuationSeparator" w:id="1">
    <w:p w:rsidR="0039064A" w:rsidRDefault="00390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49" w:rsidRDefault="002A5851">
    <w:pPr>
      <w:kinsoku w:val="0"/>
      <w:overflowPunct w:val="0"/>
      <w:spacing w:line="200" w:lineRule="exact"/>
      <w:rPr>
        <w:sz w:val="20"/>
        <w:szCs w:val="20"/>
      </w:rPr>
    </w:pPr>
    <w:r w:rsidRPr="002A5851">
      <w:rPr>
        <w:noProof/>
      </w:rPr>
      <w:pict>
        <v:shape id="Freeform 1" o:spid="_x0000_s4097" style="position:absolute;left:0;text-align:left;margin-left:75.25pt;margin-top:55.55pt;width:444.75pt;height:0;z-index:-251658752;mso-position-horizontal-relative:page;mso-position-vertical-relative:page;mso-width-relative:page;mso-height-relative:page" coordsize="8895,20" o:spt="100" o:gfxdata="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8v5I61gAAAAwBAAAPAAAAAAAAAAEAIAAAACIA&#10;AABkcnMvZG93bnJldi54bWxQSwECFAAUAAAACACHTuJAGph31H0CAABvBQAADgAAAAAAAAABACAA&#10;AAAlAQAAZHJzL2Uyb0RvYy54bWxQSwUGAAAAAAYABgBZAQAAFAYAAAAA&#10;" o:allowincell="f" adj="0,,0" path="m,l8895,e" filled="f">
          <v:stroke joinstyle="round"/>
          <v:formulas/>
          <v:path o:connecttype="segments" o:connectlocs="0,0;5648325,0" o:connectangles="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143F"/>
    <w:multiLevelType w:val="multilevel"/>
    <w:tmpl w:val="08B714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B2D700"/>
    <w:multiLevelType w:val="singleLevel"/>
    <w:tmpl w:val="1BB2D700"/>
    <w:lvl w:ilvl="0">
      <w:start w:val="1"/>
      <w:numFmt w:val="decimal"/>
      <w:lvlText w:val="(%1)"/>
      <w:lvlJc w:val="left"/>
      <w:pPr>
        <w:ind w:left="425" w:hanging="425"/>
      </w:pPr>
      <w:rPr>
        <w:rFonts w:hint="default"/>
      </w:rPr>
    </w:lvl>
  </w:abstractNum>
  <w:abstractNum w:abstractNumId="2">
    <w:nsid w:val="40B109CB"/>
    <w:multiLevelType w:val="multilevel"/>
    <w:tmpl w:val="40B109C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E552172"/>
    <w:multiLevelType w:val="multilevel"/>
    <w:tmpl w:val="5E552172"/>
    <w:lvl w:ilvl="0">
      <w:start w:val="1"/>
      <w:numFmt w:val="decimal"/>
      <w:lvlText w:val="%1、"/>
      <w:lvlJc w:val="left"/>
      <w:pPr>
        <w:ind w:left="708" w:hanging="70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173"/>
    <w:rsid w:val="00005781"/>
    <w:rsid w:val="00012AA3"/>
    <w:rsid w:val="0002720F"/>
    <w:rsid w:val="00062102"/>
    <w:rsid w:val="00062D94"/>
    <w:rsid w:val="00062F89"/>
    <w:rsid w:val="00081848"/>
    <w:rsid w:val="000F6765"/>
    <w:rsid w:val="00127E02"/>
    <w:rsid w:val="00136ED5"/>
    <w:rsid w:val="0013721F"/>
    <w:rsid w:val="00187E3B"/>
    <w:rsid w:val="001A36E6"/>
    <w:rsid w:val="001A6E76"/>
    <w:rsid w:val="001B0857"/>
    <w:rsid w:val="001C7F9A"/>
    <w:rsid w:val="001D7310"/>
    <w:rsid w:val="001F1249"/>
    <w:rsid w:val="001F1F76"/>
    <w:rsid w:val="002037F2"/>
    <w:rsid w:val="00204D67"/>
    <w:rsid w:val="00210E47"/>
    <w:rsid w:val="0021220B"/>
    <w:rsid w:val="002145CB"/>
    <w:rsid w:val="00262896"/>
    <w:rsid w:val="002853EC"/>
    <w:rsid w:val="002860FF"/>
    <w:rsid w:val="00290D66"/>
    <w:rsid w:val="0029170E"/>
    <w:rsid w:val="002A5851"/>
    <w:rsid w:val="002D1727"/>
    <w:rsid w:val="00325A7E"/>
    <w:rsid w:val="00352528"/>
    <w:rsid w:val="00353176"/>
    <w:rsid w:val="00353E7B"/>
    <w:rsid w:val="00387C3B"/>
    <w:rsid w:val="0039064A"/>
    <w:rsid w:val="003969F2"/>
    <w:rsid w:val="003B5347"/>
    <w:rsid w:val="003C6924"/>
    <w:rsid w:val="003E6B45"/>
    <w:rsid w:val="00412072"/>
    <w:rsid w:val="00415DED"/>
    <w:rsid w:val="00426A63"/>
    <w:rsid w:val="004300C5"/>
    <w:rsid w:val="00456CD6"/>
    <w:rsid w:val="0047700E"/>
    <w:rsid w:val="004842B6"/>
    <w:rsid w:val="004B4E06"/>
    <w:rsid w:val="004D390B"/>
    <w:rsid w:val="004D462E"/>
    <w:rsid w:val="004E00EF"/>
    <w:rsid w:val="0051494E"/>
    <w:rsid w:val="005153B7"/>
    <w:rsid w:val="005201F4"/>
    <w:rsid w:val="00523450"/>
    <w:rsid w:val="00535304"/>
    <w:rsid w:val="00535C53"/>
    <w:rsid w:val="0056450E"/>
    <w:rsid w:val="00587149"/>
    <w:rsid w:val="005A2E8C"/>
    <w:rsid w:val="005A78EB"/>
    <w:rsid w:val="005B2212"/>
    <w:rsid w:val="005F688A"/>
    <w:rsid w:val="006078F9"/>
    <w:rsid w:val="00630D2A"/>
    <w:rsid w:val="00683C06"/>
    <w:rsid w:val="00691E16"/>
    <w:rsid w:val="006C075C"/>
    <w:rsid w:val="006D785B"/>
    <w:rsid w:val="006E561E"/>
    <w:rsid w:val="006E7939"/>
    <w:rsid w:val="006F0DA9"/>
    <w:rsid w:val="00740427"/>
    <w:rsid w:val="00745273"/>
    <w:rsid w:val="00761525"/>
    <w:rsid w:val="00762BC7"/>
    <w:rsid w:val="007634A6"/>
    <w:rsid w:val="0078249B"/>
    <w:rsid w:val="007915CC"/>
    <w:rsid w:val="007B13C6"/>
    <w:rsid w:val="007D398C"/>
    <w:rsid w:val="007D3A3E"/>
    <w:rsid w:val="007D7FC7"/>
    <w:rsid w:val="00814875"/>
    <w:rsid w:val="00826A07"/>
    <w:rsid w:val="008273EB"/>
    <w:rsid w:val="00867FAC"/>
    <w:rsid w:val="00872406"/>
    <w:rsid w:val="00874CDF"/>
    <w:rsid w:val="00896EC1"/>
    <w:rsid w:val="008C0F99"/>
    <w:rsid w:val="00913F19"/>
    <w:rsid w:val="009212A7"/>
    <w:rsid w:val="0092659A"/>
    <w:rsid w:val="00945674"/>
    <w:rsid w:val="00951964"/>
    <w:rsid w:val="009531A1"/>
    <w:rsid w:val="00962492"/>
    <w:rsid w:val="00963408"/>
    <w:rsid w:val="00965383"/>
    <w:rsid w:val="009717FC"/>
    <w:rsid w:val="009C1330"/>
    <w:rsid w:val="009C69FA"/>
    <w:rsid w:val="009D17C5"/>
    <w:rsid w:val="009F447A"/>
    <w:rsid w:val="00A0510A"/>
    <w:rsid w:val="00A07F9C"/>
    <w:rsid w:val="00A1350E"/>
    <w:rsid w:val="00A15C3D"/>
    <w:rsid w:val="00A232D2"/>
    <w:rsid w:val="00A336AE"/>
    <w:rsid w:val="00A36030"/>
    <w:rsid w:val="00A83B31"/>
    <w:rsid w:val="00AC293A"/>
    <w:rsid w:val="00AD1472"/>
    <w:rsid w:val="00AE0990"/>
    <w:rsid w:val="00AF0945"/>
    <w:rsid w:val="00B02EDA"/>
    <w:rsid w:val="00B13B67"/>
    <w:rsid w:val="00B21158"/>
    <w:rsid w:val="00B22072"/>
    <w:rsid w:val="00B23060"/>
    <w:rsid w:val="00B27FA0"/>
    <w:rsid w:val="00B3601A"/>
    <w:rsid w:val="00B84BE3"/>
    <w:rsid w:val="00B8519F"/>
    <w:rsid w:val="00B904B8"/>
    <w:rsid w:val="00B93C80"/>
    <w:rsid w:val="00BA2374"/>
    <w:rsid w:val="00BA33CE"/>
    <w:rsid w:val="00BB7608"/>
    <w:rsid w:val="00BD4BAB"/>
    <w:rsid w:val="00BD7454"/>
    <w:rsid w:val="00BE2816"/>
    <w:rsid w:val="00BE611E"/>
    <w:rsid w:val="00BE6306"/>
    <w:rsid w:val="00BE738A"/>
    <w:rsid w:val="00C13F1F"/>
    <w:rsid w:val="00C30DC0"/>
    <w:rsid w:val="00C31186"/>
    <w:rsid w:val="00C36E6B"/>
    <w:rsid w:val="00C41A13"/>
    <w:rsid w:val="00C44B06"/>
    <w:rsid w:val="00C45679"/>
    <w:rsid w:val="00C46504"/>
    <w:rsid w:val="00C706FE"/>
    <w:rsid w:val="00C849CD"/>
    <w:rsid w:val="00CA0650"/>
    <w:rsid w:val="00CD2DE9"/>
    <w:rsid w:val="00CE4EC2"/>
    <w:rsid w:val="00D02E56"/>
    <w:rsid w:val="00D23124"/>
    <w:rsid w:val="00D46223"/>
    <w:rsid w:val="00D84AD6"/>
    <w:rsid w:val="00DC4C38"/>
    <w:rsid w:val="00DD0214"/>
    <w:rsid w:val="00DE74F3"/>
    <w:rsid w:val="00E06938"/>
    <w:rsid w:val="00E225CC"/>
    <w:rsid w:val="00E22933"/>
    <w:rsid w:val="00E43068"/>
    <w:rsid w:val="00E44D51"/>
    <w:rsid w:val="00E51FB2"/>
    <w:rsid w:val="00E53C71"/>
    <w:rsid w:val="00E55261"/>
    <w:rsid w:val="00E71173"/>
    <w:rsid w:val="00E87EFB"/>
    <w:rsid w:val="00E90B1C"/>
    <w:rsid w:val="00ED0F38"/>
    <w:rsid w:val="00EF6A07"/>
    <w:rsid w:val="00F05EDB"/>
    <w:rsid w:val="00F566B3"/>
    <w:rsid w:val="00F60077"/>
    <w:rsid w:val="00F82BC3"/>
    <w:rsid w:val="00FB3ECB"/>
    <w:rsid w:val="00FB47B1"/>
    <w:rsid w:val="00FD4838"/>
    <w:rsid w:val="020F5D45"/>
    <w:rsid w:val="02AF7E44"/>
    <w:rsid w:val="038C3834"/>
    <w:rsid w:val="08E806BA"/>
    <w:rsid w:val="0A054658"/>
    <w:rsid w:val="0C4C2BFD"/>
    <w:rsid w:val="0C5E4EFF"/>
    <w:rsid w:val="1074736B"/>
    <w:rsid w:val="16852F0E"/>
    <w:rsid w:val="1D7B54B7"/>
    <w:rsid w:val="220E4AC5"/>
    <w:rsid w:val="25F02398"/>
    <w:rsid w:val="2B710536"/>
    <w:rsid w:val="2BFE2DAA"/>
    <w:rsid w:val="2D186567"/>
    <w:rsid w:val="2D6008B4"/>
    <w:rsid w:val="2EB45FB5"/>
    <w:rsid w:val="307B3CA1"/>
    <w:rsid w:val="348C7571"/>
    <w:rsid w:val="357D689B"/>
    <w:rsid w:val="37A134D2"/>
    <w:rsid w:val="38F858FD"/>
    <w:rsid w:val="423E55FC"/>
    <w:rsid w:val="432A1FB8"/>
    <w:rsid w:val="43B408BC"/>
    <w:rsid w:val="443510D2"/>
    <w:rsid w:val="457F5FE4"/>
    <w:rsid w:val="46CF7F76"/>
    <w:rsid w:val="478C4742"/>
    <w:rsid w:val="49580563"/>
    <w:rsid w:val="4B9863E4"/>
    <w:rsid w:val="4C42221E"/>
    <w:rsid w:val="4F747DAF"/>
    <w:rsid w:val="4F8A3511"/>
    <w:rsid w:val="534F72EE"/>
    <w:rsid w:val="54566D95"/>
    <w:rsid w:val="54652CCB"/>
    <w:rsid w:val="575240CE"/>
    <w:rsid w:val="5AAA34CF"/>
    <w:rsid w:val="5C5F07F3"/>
    <w:rsid w:val="5ED04CDC"/>
    <w:rsid w:val="5F5E126F"/>
    <w:rsid w:val="607163D8"/>
    <w:rsid w:val="636C24A3"/>
    <w:rsid w:val="64CF7865"/>
    <w:rsid w:val="67360285"/>
    <w:rsid w:val="681A479C"/>
    <w:rsid w:val="68B60A9D"/>
    <w:rsid w:val="69DE6805"/>
    <w:rsid w:val="713B686F"/>
    <w:rsid w:val="737E520D"/>
    <w:rsid w:val="756A77E5"/>
    <w:rsid w:val="771A3595"/>
    <w:rsid w:val="7A0D44C5"/>
    <w:rsid w:val="7C1A1192"/>
    <w:rsid w:val="7CD76E0C"/>
    <w:rsid w:val="7CE50C51"/>
    <w:rsid w:val="7D40465E"/>
    <w:rsid w:val="7E2C0FE7"/>
    <w:rsid w:val="7F0806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楷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85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A5851"/>
    <w:pPr>
      <w:jc w:val="left"/>
    </w:pPr>
  </w:style>
  <w:style w:type="paragraph" w:styleId="a4">
    <w:name w:val="Body Text"/>
    <w:basedOn w:val="a"/>
    <w:link w:val="Char0"/>
    <w:uiPriority w:val="1"/>
    <w:qFormat/>
    <w:rsid w:val="002A5851"/>
    <w:pPr>
      <w:autoSpaceDE w:val="0"/>
      <w:autoSpaceDN w:val="0"/>
      <w:adjustRightInd w:val="0"/>
      <w:ind w:left="151"/>
      <w:jc w:val="left"/>
    </w:pPr>
    <w:rPr>
      <w:rFonts w:ascii="宋体" w:eastAsia="宋体" w:hAnsi="Times New Roman" w:cs="宋体"/>
      <w:kern w:val="0"/>
      <w:sz w:val="24"/>
      <w:szCs w:val="24"/>
    </w:rPr>
  </w:style>
  <w:style w:type="paragraph" w:styleId="a5">
    <w:name w:val="Balloon Text"/>
    <w:basedOn w:val="a"/>
    <w:link w:val="Char1"/>
    <w:uiPriority w:val="99"/>
    <w:unhideWhenUsed/>
    <w:qFormat/>
    <w:rsid w:val="002A5851"/>
    <w:rPr>
      <w:sz w:val="18"/>
      <w:szCs w:val="18"/>
    </w:rPr>
  </w:style>
  <w:style w:type="paragraph" w:styleId="a6">
    <w:name w:val="footer"/>
    <w:basedOn w:val="a"/>
    <w:link w:val="Char2"/>
    <w:uiPriority w:val="99"/>
    <w:unhideWhenUsed/>
    <w:qFormat/>
    <w:rsid w:val="002A585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2A585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A5851"/>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unhideWhenUsed/>
    <w:qFormat/>
    <w:rsid w:val="002A5851"/>
    <w:rPr>
      <w:b/>
      <w:bCs/>
    </w:rPr>
  </w:style>
  <w:style w:type="character" w:styleId="aa">
    <w:name w:val="annotation reference"/>
    <w:basedOn w:val="a0"/>
    <w:uiPriority w:val="99"/>
    <w:unhideWhenUsed/>
    <w:qFormat/>
    <w:rsid w:val="002A5851"/>
    <w:rPr>
      <w:sz w:val="21"/>
      <w:szCs w:val="21"/>
    </w:rPr>
  </w:style>
  <w:style w:type="character" w:customStyle="1" w:styleId="Char3">
    <w:name w:val="页眉 Char"/>
    <w:basedOn w:val="a0"/>
    <w:link w:val="a7"/>
    <w:uiPriority w:val="99"/>
    <w:qFormat/>
    <w:rsid w:val="002A5851"/>
    <w:rPr>
      <w:sz w:val="18"/>
      <w:szCs w:val="18"/>
    </w:rPr>
  </w:style>
  <w:style w:type="character" w:customStyle="1" w:styleId="Char2">
    <w:name w:val="页脚 Char"/>
    <w:basedOn w:val="a0"/>
    <w:link w:val="a6"/>
    <w:uiPriority w:val="99"/>
    <w:rsid w:val="002A5851"/>
    <w:rPr>
      <w:sz w:val="18"/>
      <w:szCs w:val="18"/>
    </w:rPr>
  </w:style>
  <w:style w:type="paragraph" w:customStyle="1" w:styleId="Default">
    <w:name w:val="Default"/>
    <w:rsid w:val="002A5851"/>
    <w:pPr>
      <w:widowControl w:val="0"/>
      <w:autoSpaceDE w:val="0"/>
      <w:autoSpaceDN w:val="0"/>
      <w:adjustRightInd w:val="0"/>
    </w:pPr>
    <w:rPr>
      <w:rFonts w:ascii="宋体" w:eastAsia="宋体" w:hAnsiTheme="minorHAnsi" w:cs="宋体"/>
      <w:color w:val="000000"/>
      <w:sz w:val="24"/>
      <w:szCs w:val="24"/>
    </w:rPr>
  </w:style>
  <w:style w:type="character" w:customStyle="1" w:styleId="Char0">
    <w:name w:val="正文文本 Char"/>
    <w:basedOn w:val="a0"/>
    <w:link w:val="a4"/>
    <w:uiPriority w:val="1"/>
    <w:qFormat/>
    <w:rsid w:val="002A5851"/>
    <w:rPr>
      <w:rFonts w:ascii="宋体" w:eastAsia="宋体" w:hAnsi="Times New Roman" w:cs="宋体"/>
      <w:kern w:val="0"/>
      <w:sz w:val="24"/>
      <w:szCs w:val="24"/>
    </w:rPr>
  </w:style>
  <w:style w:type="paragraph" w:customStyle="1" w:styleId="21">
    <w:name w:val="标题 21"/>
    <w:basedOn w:val="a"/>
    <w:uiPriority w:val="1"/>
    <w:qFormat/>
    <w:rsid w:val="002A5851"/>
    <w:pPr>
      <w:autoSpaceDE w:val="0"/>
      <w:autoSpaceDN w:val="0"/>
      <w:adjustRightInd w:val="0"/>
      <w:ind w:left="151"/>
      <w:jc w:val="left"/>
      <w:outlineLvl w:val="1"/>
    </w:pPr>
    <w:rPr>
      <w:rFonts w:ascii="Microsoft JhengHei" w:eastAsia="Microsoft JhengHei" w:hAnsi="Times New Roman" w:cs="Microsoft JhengHei"/>
      <w:b/>
      <w:bCs/>
      <w:kern w:val="0"/>
      <w:sz w:val="28"/>
      <w:szCs w:val="28"/>
    </w:rPr>
  </w:style>
  <w:style w:type="character" w:customStyle="1" w:styleId="Char1">
    <w:name w:val="批注框文本 Char"/>
    <w:basedOn w:val="a0"/>
    <w:link w:val="a5"/>
    <w:uiPriority w:val="99"/>
    <w:semiHidden/>
    <w:qFormat/>
    <w:rsid w:val="002A5851"/>
    <w:rPr>
      <w:sz w:val="18"/>
      <w:szCs w:val="18"/>
    </w:rPr>
  </w:style>
  <w:style w:type="character" w:customStyle="1" w:styleId="Char">
    <w:name w:val="批注文字 Char"/>
    <w:basedOn w:val="a0"/>
    <w:link w:val="a3"/>
    <w:uiPriority w:val="99"/>
    <w:semiHidden/>
    <w:qFormat/>
    <w:rsid w:val="002A5851"/>
  </w:style>
  <w:style w:type="character" w:customStyle="1" w:styleId="Char4">
    <w:name w:val="批注主题 Char"/>
    <w:basedOn w:val="Char"/>
    <w:link w:val="a9"/>
    <w:uiPriority w:val="99"/>
    <w:semiHidden/>
    <w:qFormat/>
    <w:rsid w:val="002A5851"/>
    <w:rPr>
      <w:b/>
      <w:bCs/>
    </w:rPr>
  </w:style>
  <w:style w:type="paragraph" w:styleId="ab">
    <w:name w:val="List Paragraph"/>
    <w:basedOn w:val="a"/>
    <w:uiPriority w:val="34"/>
    <w:qFormat/>
    <w:rsid w:val="002A5851"/>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华文楷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iPriority w:val="1"/>
    <w:qFormat/>
    <w:pPr>
      <w:autoSpaceDE w:val="0"/>
      <w:autoSpaceDN w:val="0"/>
      <w:adjustRightInd w:val="0"/>
      <w:ind w:left="151"/>
      <w:jc w:val="left"/>
    </w:pPr>
    <w:rPr>
      <w:rFonts w:ascii="宋体" w:eastAsia="宋体" w:hAnsi="Times New Roman" w:cs="宋体"/>
      <w:kern w:val="0"/>
      <w:sz w:val="24"/>
      <w:szCs w:val="24"/>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unhideWhenUsed/>
    <w:qFormat/>
    <w:rPr>
      <w:b/>
      <w:bCs/>
    </w:rPr>
  </w:style>
  <w:style w:type="character" w:styleId="aa">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 w:type="paragraph" w:customStyle="1" w:styleId="Default">
    <w:name w:val="Default"/>
    <w:pPr>
      <w:widowControl w:val="0"/>
      <w:autoSpaceDE w:val="0"/>
      <w:autoSpaceDN w:val="0"/>
      <w:adjustRightInd w:val="0"/>
    </w:pPr>
    <w:rPr>
      <w:rFonts w:ascii="宋体" w:eastAsia="宋体" w:hAnsiTheme="minorHAnsi" w:cs="宋体"/>
      <w:color w:val="000000"/>
      <w:sz w:val="24"/>
      <w:szCs w:val="24"/>
    </w:rPr>
  </w:style>
  <w:style w:type="character" w:customStyle="1" w:styleId="Char0">
    <w:name w:val="正文文本 Char"/>
    <w:basedOn w:val="a0"/>
    <w:link w:val="a4"/>
    <w:uiPriority w:val="1"/>
    <w:qFormat/>
    <w:rPr>
      <w:rFonts w:ascii="宋体" w:eastAsia="宋体" w:hAnsi="Times New Roman" w:cs="宋体"/>
      <w:kern w:val="0"/>
      <w:sz w:val="24"/>
      <w:szCs w:val="24"/>
    </w:rPr>
  </w:style>
  <w:style w:type="paragraph" w:customStyle="1" w:styleId="21">
    <w:name w:val="标题 21"/>
    <w:basedOn w:val="a"/>
    <w:uiPriority w:val="1"/>
    <w:qFormat/>
    <w:pPr>
      <w:autoSpaceDE w:val="0"/>
      <w:autoSpaceDN w:val="0"/>
      <w:adjustRightInd w:val="0"/>
      <w:ind w:left="151"/>
      <w:jc w:val="left"/>
      <w:outlineLvl w:val="1"/>
    </w:pPr>
    <w:rPr>
      <w:rFonts w:ascii="Microsoft JhengHei" w:eastAsia="Microsoft JhengHei" w:hAnsi="Times New Roman" w:cs="Microsoft JhengHei"/>
      <w:b/>
      <w:bCs/>
      <w:kern w:val="0"/>
      <w:sz w:val="28"/>
      <w:szCs w:val="28"/>
    </w:rPr>
  </w:style>
  <w:style w:type="character" w:customStyle="1" w:styleId="Char1">
    <w:name w:val="批注框文本 Char"/>
    <w:basedOn w:val="a0"/>
    <w:link w:val="a5"/>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paragraph" w:styleId="ab">
    <w:name w:val="List Paragraph"/>
    <w:basedOn w:val="a"/>
    <w:uiPriority w:val="34"/>
    <w:qFormat/>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02FBF55-0677-4CC4-9233-9579D5E71A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4201</Characters>
  <Application>Microsoft Office Word</Application>
  <DocSecurity>4</DocSecurity>
  <Lines>35</Lines>
  <Paragraphs>9</Paragraphs>
  <ScaleCrop>false</ScaleCrop>
  <Company>Lenovo</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carrey.wu</dc:creator>
  <cp:lastModifiedBy>ZHONGM</cp:lastModifiedBy>
  <cp:revision>2</cp:revision>
  <dcterms:created xsi:type="dcterms:W3CDTF">2019-06-24T16:01:00Z</dcterms:created>
  <dcterms:modified xsi:type="dcterms:W3CDTF">2019-06-24T16:01:00Z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