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42" w:rsidRPr="002B175D" w:rsidRDefault="008F2942" w:rsidP="00861AD8">
      <w:pPr>
        <w:adjustRightInd w:val="0"/>
        <w:snapToGrid w:val="0"/>
        <w:spacing w:line="360" w:lineRule="auto"/>
        <w:jc w:val="left"/>
        <w:rPr>
          <w:rFonts w:asciiTheme="minorEastAsia" w:eastAsiaTheme="minorEastAsia" w:hAnsiTheme="minorEastAsia" w:cs="Arial"/>
          <w:szCs w:val="21"/>
        </w:rPr>
      </w:pPr>
    </w:p>
    <w:p w:rsidR="00BA4B87" w:rsidRPr="002B175D" w:rsidRDefault="00BA4B87" w:rsidP="00861AD8">
      <w:pPr>
        <w:tabs>
          <w:tab w:val="left" w:pos="1890"/>
        </w:tabs>
        <w:snapToGrid w:val="0"/>
        <w:spacing w:line="360" w:lineRule="auto"/>
        <w:rPr>
          <w:rFonts w:asciiTheme="minorEastAsia" w:eastAsiaTheme="minorEastAsia" w:hAnsiTheme="minorEastAsia"/>
          <w:i/>
          <w:iCs/>
          <w:sz w:val="28"/>
          <w:szCs w:val="28"/>
        </w:rPr>
      </w:pPr>
    </w:p>
    <w:p w:rsidR="00BA4B87" w:rsidRPr="002B175D" w:rsidRDefault="00BA4B87" w:rsidP="00861AD8">
      <w:pPr>
        <w:snapToGrid w:val="0"/>
        <w:spacing w:line="360" w:lineRule="auto"/>
        <w:ind w:firstLine="881"/>
        <w:jc w:val="center"/>
        <w:rPr>
          <w:rFonts w:asciiTheme="minorEastAsia" w:eastAsiaTheme="minorEastAsia" w:hAnsiTheme="minorEastAsia"/>
          <w:b/>
          <w:sz w:val="44"/>
        </w:rPr>
      </w:pPr>
    </w:p>
    <w:p w:rsidR="00BA4B87" w:rsidRPr="002B175D" w:rsidRDefault="00BA4B87" w:rsidP="00861AD8">
      <w:pPr>
        <w:snapToGrid w:val="0"/>
        <w:spacing w:line="360" w:lineRule="auto"/>
        <w:ind w:firstLine="881"/>
        <w:jc w:val="center"/>
        <w:rPr>
          <w:rFonts w:asciiTheme="minorEastAsia" w:eastAsiaTheme="minorEastAsia" w:hAnsiTheme="minorEastAsia"/>
          <w:b/>
          <w:sz w:val="44"/>
        </w:rPr>
      </w:pPr>
    </w:p>
    <w:p w:rsidR="00BA4B87" w:rsidRPr="002B175D" w:rsidRDefault="00BA4B87" w:rsidP="00861AD8">
      <w:pPr>
        <w:snapToGrid w:val="0"/>
        <w:spacing w:line="360" w:lineRule="auto"/>
        <w:ind w:firstLine="881"/>
        <w:jc w:val="center"/>
        <w:rPr>
          <w:rFonts w:asciiTheme="minorEastAsia" w:eastAsiaTheme="minorEastAsia" w:hAnsiTheme="minorEastAsia"/>
          <w:b/>
          <w:sz w:val="44"/>
        </w:rPr>
      </w:pPr>
    </w:p>
    <w:p w:rsidR="00047CE2" w:rsidRPr="002B175D" w:rsidRDefault="002F7481" w:rsidP="00861AD8">
      <w:pPr>
        <w:snapToGrid w:val="0"/>
        <w:spacing w:line="360" w:lineRule="auto"/>
        <w:ind w:leftChars="-67" w:hangingChars="32" w:hanging="141"/>
        <w:jc w:val="center"/>
        <w:rPr>
          <w:rFonts w:asciiTheme="minorEastAsia" w:eastAsiaTheme="minorEastAsia" w:hAnsiTheme="minorEastAsia"/>
          <w:b/>
          <w:sz w:val="44"/>
        </w:rPr>
      </w:pPr>
      <w:r w:rsidRPr="002B175D">
        <w:rPr>
          <w:rFonts w:asciiTheme="minorEastAsia" w:eastAsiaTheme="minorEastAsia" w:hAnsiTheme="minorEastAsia" w:hint="eastAsia"/>
          <w:b/>
          <w:sz w:val="44"/>
        </w:rPr>
        <w:t>易方达</w:t>
      </w:r>
      <w:r w:rsidR="003B1F0E" w:rsidRPr="002B175D">
        <w:rPr>
          <w:rFonts w:asciiTheme="minorEastAsia" w:eastAsiaTheme="minorEastAsia" w:hAnsiTheme="minorEastAsia" w:hint="eastAsia"/>
          <w:b/>
          <w:sz w:val="44"/>
        </w:rPr>
        <w:t>新收益灵活配置</w:t>
      </w:r>
      <w:r w:rsidR="00047CE2" w:rsidRPr="002B175D">
        <w:rPr>
          <w:rFonts w:asciiTheme="minorEastAsia" w:eastAsiaTheme="minorEastAsia" w:hAnsiTheme="minorEastAsia" w:hint="eastAsia"/>
          <w:b/>
          <w:sz w:val="44"/>
        </w:rPr>
        <w:t>混合型</w:t>
      </w:r>
      <w:r w:rsidR="002221EE" w:rsidRPr="002B175D">
        <w:rPr>
          <w:rFonts w:asciiTheme="minorEastAsia" w:eastAsiaTheme="minorEastAsia" w:hAnsiTheme="minorEastAsia" w:hint="eastAsia"/>
          <w:b/>
          <w:sz w:val="44"/>
        </w:rPr>
        <w:t>证券投资基金</w:t>
      </w:r>
    </w:p>
    <w:p w:rsidR="00BA4B87" w:rsidRPr="002B175D" w:rsidRDefault="002C2A38" w:rsidP="00861AD8">
      <w:pPr>
        <w:snapToGrid w:val="0"/>
        <w:spacing w:line="360" w:lineRule="auto"/>
        <w:jc w:val="center"/>
        <w:rPr>
          <w:rFonts w:asciiTheme="minorEastAsia" w:eastAsiaTheme="minorEastAsia" w:hAnsiTheme="minorEastAsia"/>
          <w:b/>
          <w:sz w:val="44"/>
        </w:rPr>
      </w:pPr>
      <w:r w:rsidRPr="002B175D">
        <w:rPr>
          <w:rFonts w:asciiTheme="minorEastAsia" w:eastAsiaTheme="minorEastAsia" w:hAnsiTheme="minorEastAsia" w:hint="eastAsia"/>
          <w:b/>
          <w:sz w:val="44"/>
        </w:rPr>
        <w:t>更新的</w:t>
      </w:r>
      <w:r w:rsidR="00BA4B87" w:rsidRPr="002B175D">
        <w:rPr>
          <w:rFonts w:asciiTheme="minorEastAsia" w:eastAsiaTheme="minorEastAsia" w:hAnsiTheme="minorEastAsia" w:hint="eastAsia"/>
          <w:b/>
          <w:sz w:val="44"/>
        </w:rPr>
        <w:t>招募说明书</w:t>
      </w:r>
      <w:r w:rsidR="0049452C" w:rsidRPr="002B175D">
        <w:rPr>
          <w:rFonts w:asciiTheme="minorEastAsia" w:eastAsiaTheme="minorEastAsia" w:hAnsiTheme="minorEastAsia" w:hint="eastAsia"/>
          <w:b/>
          <w:sz w:val="44"/>
        </w:rPr>
        <w:t>摘要</w:t>
      </w:r>
    </w:p>
    <w:p w:rsidR="00BA4B87" w:rsidRPr="002B175D" w:rsidRDefault="00BA4B87" w:rsidP="00861AD8">
      <w:pPr>
        <w:snapToGrid w:val="0"/>
        <w:spacing w:line="360" w:lineRule="auto"/>
        <w:ind w:leftChars="800" w:left="1680" w:firstLine="181"/>
        <w:rPr>
          <w:rFonts w:asciiTheme="minorEastAsia" w:eastAsiaTheme="minorEastAsia" w:hAnsiTheme="minorEastAsia"/>
          <w:sz w:val="30"/>
          <w:szCs w:val="30"/>
        </w:rPr>
      </w:pPr>
    </w:p>
    <w:p w:rsidR="00992FE4" w:rsidRPr="002B175D" w:rsidRDefault="00992FE4" w:rsidP="00861AD8">
      <w:pPr>
        <w:snapToGrid w:val="0"/>
        <w:spacing w:line="360" w:lineRule="auto"/>
        <w:ind w:leftChars="800" w:left="1680" w:firstLine="181"/>
        <w:rPr>
          <w:rFonts w:asciiTheme="minorEastAsia" w:eastAsiaTheme="minorEastAsia" w:hAnsiTheme="minorEastAsia"/>
          <w:sz w:val="30"/>
          <w:szCs w:val="30"/>
        </w:rPr>
      </w:pPr>
    </w:p>
    <w:p w:rsidR="00BA4B87" w:rsidRPr="002B175D" w:rsidRDefault="00BA4B87" w:rsidP="00861AD8">
      <w:pPr>
        <w:snapToGrid w:val="0"/>
        <w:spacing w:line="360" w:lineRule="auto"/>
        <w:ind w:leftChars="800" w:left="1680"/>
        <w:rPr>
          <w:rFonts w:asciiTheme="minorEastAsia" w:eastAsiaTheme="minorEastAsia" w:hAnsiTheme="minorEastAsia"/>
          <w:sz w:val="30"/>
          <w:szCs w:val="30"/>
        </w:rPr>
      </w:pPr>
    </w:p>
    <w:p w:rsidR="00BA4B87" w:rsidRPr="002B175D" w:rsidRDefault="00BA4B87" w:rsidP="00861AD8">
      <w:pPr>
        <w:snapToGrid w:val="0"/>
        <w:spacing w:line="360" w:lineRule="auto"/>
        <w:ind w:leftChars="800" w:left="1680"/>
        <w:rPr>
          <w:rFonts w:asciiTheme="minorEastAsia" w:eastAsiaTheme="minorEastAsia" w:hAnsiTheme="minorEastAsia"/>
          <w:sz w:val="30"/>
          <w:szCs w:val="30"/>
        </w:rPr>
      </w:pPr>
    </w:p>
    <w:p w:rsidR="00861AD8" w:rsidRPr="002B175D" w:rsidRDefault="00861AD8" w:rsidP="00861AD8">
      <w:pPr>
        <w:snapToGrid w:val="0"/>
        <w:spacing w:line="360" w:lineRule="auto"/>
        <w:ind w:leftChars="800" w:left="1680"/>
        <w:rPr>
          <w:rFonts w:asciiTheme="minorEastAsia" w:eastAsiaTheme="minorEastAsia" w:hAnsiTheme="minorEastAsia"/>
          <w:sz w:val="30"/>
          <w:szCs w:val="30"/>
        </w:rPr>
      </w:pPr>
    </w:p>
    <w:p w:rsidR="00861AD8" w:rsidRPr="002B175D" w:rsidRDefault="00861AD8" w:rsidP="00861AD8">
      <w:pPr>
        <w:snapToGrid w:val="0"/>
        <w:spacing w:line="360" w:lineRule="auto"/>
        <w:ind w:leftChars="800" w:left="1680"/>
        <w:rPr>
          <w:rFonts w:asciiTheme="minorEastAsia" w:eastAsiaTheme="minorEastAsia" w:hAnsiTheme="minorEastAsia"/>
          <w:sz w:val="30"/>
          <w:szCs w:val="30"/>
        </w:rPr>
      </w:pPr>
    </w:p>
    <w:p w:rsidR="00BA4B87" w:rsidRPr="002B175D" w:rsidRDefault="00BA4B87" w:rsidP="00861AD8">
      <w:pPr>
        <w:snapToGrid w:val="0"/>
        <w:spacing w:line="360" w:lineRule="auto"/>
        <w:ind w:leftChars="800" w:left="1680"/>
        <w:rPr>
          <w:rFonts w:asciiTheme="minorEastAsia" w:eastAsiaTheme="minorEastAsia" w:hAnsiTheme="minorEastAsia"/>
          <w:sz w:val="30"/>
          <w:szCs w:val="30"/>
        </w:rPr>
      </w:pPr>
    </w:p>
    <w:p w:rsidR="00BA4B87" w:rsidRPr="002B175D" w:rsidRDefault="00BA4B87" w:rsidP="00861AD8">
      <w:pPr>
        <w:snapToGrid w:val="0"/>
        <w:spacing w:line="360" w:lineRule="auto"/>
        <w:ind w:leftChars="800" w:left="1680"/>
        <w:rPr>
          <w:rFonts w:asciiTheme="minorEastAsia" w:eastAsiaTheme="minorEastAsia" w:hAnsiTheme="minorEastAsia"/>
          <w:sz w:val="30"/>
          <w:szCs w:val="30"/>
        </w:rPr>
      </w:pPr>
    </w:p>
    <w:p w:rsidR="00BA4B87" w:rsidRPr="002B175D" w:rsidRDefault="00BA4B87" w:rsidP="00861AD8">
      <w:pPr>
        <w:snapToGrid w:val="0"/>
        <w:spacing w:line="360" w:lineRule="auto"/>
        <w:ind w:leftChars="686" w:left="1679" w:hangingChars="74" w:hanging="238"/>
        <w:rPr>
          <w:rFonts w:asciiTheme="minorEastAsia" w:eastAsiaTheme="minorEastAsia" w:hAnsiTheme="minorEastAsia"/>
          <w:b/>
          <w:sz w:val="32"/>
          <w:szCs w:val="32"/>
        </w:rPr>
      </w:pPr>
      <w:r w:rsidRPr="002B175D">
        <w:rPr>
          <w:rFonts w:asciiTheme="minorEastAsia" w:eastAsiaTheme="minorEastAsia" w:hAnsiTheme="minorEastAsia" w:hint="eastAsia"/>
          <w:b/>
          <w:sz w:val="32"/>
          <w:szCs w:val="32"/>
        </w:rPr>
        <w:t>基金管理人：易方达基金管理有限公司</w:t>
      </w:r>
    </w:p>
    <w:p w:rsidR="00BA4B87" w:rsidRPr="002B175D" w:rsidRDefault="00BA4B87" w:rsidP="00861AD8">
      <w:pPr>
        <w:snapToGrid w:val="0"/>
        <w:spacing w:line="360" w:lineRule="auto"/>
        <w:ind w:leftChars="685" w:left="1438"/>
        <w:rPr>
          <w:rFonts w:asciiTheme="minorEastAsia" w:eastAsiaTheme="minorEastAsia" w:hAnsiTheme="minorEastAsia"/>
          <w:b/>
          <w:sz w:val="32"/>
          <w:szCs w:val="32"/>
        </w:rPr>
      </w:pPr>
      <w:r w:rsidRPr="002B175D">
        <w:rPr>
          <w:rFonts w:asciiTheme="minorEastAsia" w:eastAsiaTheme="minorEastAsia" w:hAnsiTheme="minorEastAsia" w:hint="eastAsia"/>
          <w:b/>
          <w:sz w:val="32"/>
          <w:szCs w:val="32"/>
        </w:rPr>
        <w:t>基金托管人：</w:t>
      </w:r>
      <w:r w:rsidR="00EF13DB" w:rsidRPr="002B175D">
        <w:rPr>
          <w:rFonts w:asciiTheme="minorEastAsia" w:eastAsiaTheme="minorEastAsia" w:hAnsiTheme="minorEastAsia" w:hint="eastAsia"/>
          <w:b/>
          <w:sz w:val="32"/>
          <w:szCs w:val="32"/>
        </w:rPr>
        <w:t>中国邮政储蓄银行股份有限公司</w:t>
      </w:r>
    </w:p>
    <w:p w:rsidR="00BA4B87" w:rsidRPr="002B175D" w:rsidRDefault="00BA4B87" w:rsidP="00861AD8">
      <w:pPr>
        <w:snapToGrid w:val="0"/>
        <w:spacing w:line="360" w:lineRule="auto"/>
        <w:ind w:firstLine="561"/>
        <w:rPr>
          <w:rFonts w:asciiTheme="minorEastAsia" w:eastAsiaTheme="minorEastAsia" w:hAnsiTheme="minorEastAsia"/>
          <w:b/>
          <w:sz w:val="24"/>
        </w:rPr>
      </w:pPr>
    </w:p>
    <w:p w:rsidR="00563799" w:rsidRPr="002B175D" w:rsidRDefault="00C75C04" w:rsidP="00861AD8">
      <w:pPr>
        <w:snapToGrid w:val="0"/>
        <w:spacing w:line="360" w:lineRule="auto"/>
        <w:jc w:val="center"/>
        <w:rPr>
          <w:rFonts w:asciiTheme="minorEastAsia" w:eastAsiaTheme="minorEastAsia" w:hAnsiTheme="minorEastAsia"/>
          <w:b/>
          <w:bCs/>
          <w:sz w:val="28"/>
        </w:rPr>
      </w:pPr>
      <w:r w:rsidRPr="002B175D">
        <w:rPr>
          <w:rFonts w:asciiTheme="minorEastAsia" w:eastAsiaTheme="minorEastAsia" w:hAnsiTheme="minorEastAsia" w:hint="eastAsia"/>
          <w:b/>
          <w:bCs/>
          <w:sz w:val="28"/>
        </w:rPr>
        <w:t>二○一九年六月</w:t>
      </w:r>
    </w:p>
    <w:p w:rsidR="00563799" w:rsidRPr="002B175D" w:rsidRDefault="00563799" w:rsidP="00861AD8">
      <w:pPr>
        <w:snapToGrid w:val="0"/>
        <w:spacing w:line="360" w:lineRule="auto"/>
        <w:jc w:val="center"/>
        <w:rPr>
          <w:rFonts w:asciiTheme="minorEastAsia" w:eastAsiaTheme="minorEastAsia" w:hAnsiTheme="minorEastAsia"/>
          <w:b/>
          <w:bCs/>
          <w:sz w:val="28"/>
        </w:rPr>
      </w:pPr>
    </w:p>
    <w:p w:rsidR="00563799" w:rsidRPr="002B175D" w:rsidRDefault="00563799">
      <w:pPr>
        <w:widowControl/>
        <w:jc w:val="left"/>
        <w:rPr>
          <w:rFonts w:asciiTheme="minorEastAsia" w:eastAsiaTheme="minorEastAsia" w:hAnsiTheme="minorEastAsia"/>
          <w:b/>
          <w:bCs/>
          <w:sz w:val="28"/>
        </w:rPr>
      </w:pPr>
      <w:r w:rsidRPr="002B175D">
        <w:rPr>
          <w:rFonts w:asciiTheme="minorEastAsia" w:eastAsiaTheme="minorEastAsia" w:hAnsiTheme="minorEastAsia"/>
          <w:b/>
          <w:bCs/>
          <w:sz w:val="28"/>
        </w:rPr>
        <w:br w:type="page"/>
      </w:r>
    </w:p>
    <w:p w:rsidR="00BA4B87" w:rsidRPr="002B175D" w:rsidRDefault="00BA4B87" w:rsidP="00861AD8">
      <w:pPr>
        <w:snapToGrid w:val="0"/>
        <w:spacing w:line="360" w:lineRule="auto"/>
        <w:jc w:val="center"/>
        <w:rPr>
          <w:rFonts w:asciiTheme="minorEastAsia" w:eastAsiaTheme="minorEastAsia" w:hAnsiTheme="minorEastAsia"/>
          <w:b/>
          <w:sz w:val="28"/>
          <w:szCs w:val="28"/>
        </w:rPr>
      </w:pPr>
      <w:r w:rsidRPr="002B175D">
        <w:rPr>
          <w:rFonts w:asciiTheme="minorEastAsia" w:eastAsiaTheme="minorEastAsia" w:hAnsiTheme="minorEastAsia" w:hint="eastAsia"/>
          <w:b/>
          <w:sz w:val="28"/>
          <w:szCs w:val="28"/>
        </w:rPr>
        <w:lastRenderedPageBreak/>
        <w:t>重要提示</w:t>
      </w:r>
    </w:p>
    <w:p w:rsidR="00BA4B87" w:rsidRPr="002B175D" w:rsidRDefault="00BA4B87" w:rsidP="00861AD8">
      <w:pPr>
        <w:snapToGrid w:val="0"/>
        <w:spacing w:line="360" w:lineRule="auto"/>
        <w:ind w:firstLineChars="200" w:firstLine="422"/>
        <w:rPr>
          <w:rFonts w:asciiTheme="minorEastAsia" w:eastAsiaTheme="minorEastAsia" w:hAnsiTheme="minorEastAsia"/>
          <w:b/>
        </w:rPr>
      </w:pPr>
      <w:r w:rsidRPr="002B175D">
        <w:rPr>
          <w:rFonts w:asciiTheme="minorEastAsia" w:eastAsiaTheme="minorEastAsia" w:hAnsiTheme="minorEastAsia" w:hint="eastAsia"/>
          <w:b/>
        </w:rPr>
        <w:t>本基金根据</w:t>
      </w:r>
      <w:r w:rsidR="006335C7" w:rsidRPr="002B175D">
        <w:rPr>
          <w:rFonts w:asciiTheme="minorEastAsia" w:eastAsiaTheme="minorEastAsia" w:hAnsiTheme="minorEastAsia" w:hint="eastAsia"/>
          <w:b/>
        </w:rPr>
        <w:t>201</w:t>
      </w:r>
      <w:r w:rsidR="007D1EC0" w:rsidRPr="002B175D">
        <w:rPr>
          <w:rFonts w:asciiTheme="minorEastAsia" w:eastAsiaTheme="minorEastAsia" w:hAnsiTheme="minorEastAsia" w:hint="eastAsia"/>
          <w:b/>
        </w:rPr>
        <w:t>5</w:t>
      </w:r>
      <w:r w:rsidR="00461ADF" w:rsidRPr="002B175D">
        <w:rPr>
          <w:rFonts w:asciiTheme="minorEastAsia" w:eastAsiaTheme="minorEastAsia" w:hAnsiTheme="minorEastAsia" w:hint="eastAsia"/>
          <w:b/>
        </w:rPr>
        <w:t>年</w:t>
      </w:r>
      <w:r w:rsidR="00905A27" w:rsidRPr="002B175D">
        <w:rPr>
          <w:rFonts w:asciiTheme="minorEastAsia" w:eastAsiaTheme="minorEastAsia" w:hAnsiTheme="minorEastAsia" w:hint="eastAsia"/>
          <w:b/>
        </w:rPr>
        <w:t>4</w:t>
      </w:r>
      <w:r w:rsidRPr="002B175D">
        <w:rPr>
          <w:rFonts w:asciiTheme="minorEastAsia" w:eastAsiaTheme="minorEastAsia" w:hAnsiTheme="minorEastAsia" w:hint="eastAsia"/>
          <w:b/>
        </w:rPr>
        <w:t>月</w:t>
      </w:r>
      <w:r w:rsidR="00905A27" w:rsidRPr="002B175D">
        <w:rPr>
          <w:rFonts w:asciiTheme="minorEastAsia" w:eastAsiaTheme="minorEastAsia" w:hAnsiTheme="minorEastAsia" w:hint="eastAsia"/>
          <w:b/>
        </w:rPr>
        <w:t>8</w:t>
      </w:r>
      <w:r w:rsidRPr="002B175D">
        <w:rPr>
          <w:rFonts w:asciiTheme="minorEastAsia" w:eastAsiaTheme="minorEastAsia" w:hAnsiTheme="minorEastAsia" w:hint="eastAsia"/>
          <w:b/>
        </w:rPr>
        <w:t>日中国证券监督管理委员会《关于</w:t>
      </w:r>
      <w:r w:rsidR="00E51843" w:rsidRPr="002B175D">
        <w:rPr>
          <w:rFonts w:asciiTheme="minorEastAsia" w:eastAsiaTheme="minorEastAsia" w:hAnsiTheme="minorEastAsia" w:hint="eastAsia"/>
          <w:b/>
        </w:rPr>
        <w:t>准予</w:t>
      </w:r>
      <w:r w:rsidR="002F7481" w:rsidRPr="002B175D">
        <w:rPr>
          <w:rFonts w:asciiTheme="minorEastAsia" w:eastAsiaTheme="minorEastAsia" w:hAnsiTheme="minorEastAsia" w:hint="eastAsia"/>
          <w:b/>
        </w:rPr>
        <w:t>易方达</w:t>
      </w:r>
      <w:r w:rsidR="003B1F0E" w:rsidRPr="002B175D">
        <w:rPr>
          <w:rFonts w:asciiTheme="minorEastAsia" w:eastAsiaTheme="minorEastAsia" w:hAnsiTheme="minorEastAsia" w:hint="eastAsia"/>
          <w:b/>
        </w:rPr>
        <w:t>新收益灵活配置</w:t>
      </w:r>
      <w:r w:rsidR="00047CE2" w:rsidRPr="002B175D">
        <w:rPr>
          <w:rFonts w:asciiTheme="minorEastAsia" w:eastAsiaTheme="minorEastAsia" w:hAnsiTheme="minorEastAsia" w:hint="eastAsia"/>
          <w:b/>
        </w:rPr>
        <w:t>混合型</w:t>
      </w:r>
      <w:r w:rsidR="002221EE" w:rsidRPr="002B175D">
        <w:rPr>
          <w:rFonts w:asciiTheme="minorEastAsia" w:eastAsiaTheme="minorEastAsia" w:hAnsiTheme="minorEastAsia" w:hint="eastAsia"/>
          <w:b/>
        </w:rPr>
        <w:t>证券投资基金</w:t>
      </w:r>
      <w:r w:rsidR="00E51843" w:rsidRPr="002B175D">
        <w:rPr>
          <w:rFonts w:asciiTheme="minorEastAsia" w:eastAsiaTheme="minorEastAsia" w:hAnsiTheme="minorEastAsia" w:hint="eastAsia"/>
          <w:b/>
        </w:rPr>
        <w:t>注册</w:t>
      </w:r>
      <w:r w:rsidRPr="002B175D">
        <w:rPr>
          <w:rFonts w:asciiTheme="minorEastAsia" w:eastAsiaTheme="minorEastAsia" w:hAnsiTheme="minorEastAsia" w:hint="eastAsia"/>
          <w:b/>
        </w:rPr>
        <w:t>的批复》</w:t>
      </w:r>
      <w:r w:rsidR="002E1C38" w:rsidRPr="002B175D">
        <w:rPr>
          <w:rFonts w:asciiTheme="minorEastAsia" w:eastAsiaTheme="minorEastAsia" w:hAnsiTheme="minorEastAsia" w:hint="eastAsia"/>
          <w:b/>
        </w:rPr>
        <w:t>（</w:t>
      </w:r>
      <w:r w:rsidRPr="002B175D">
        <w:rPr>
          <w:rFonts w:asciiTheme="minorEastAsia" w:eastAsiaTheme="minorEastAsia" w:hAnsiTheme="minorEastAsia" w:hint="eastAsia"/>
          <w:b/>
        </w:rPr>
        <w:t>证监许可[</w:t>
      </w:r>
      <w:r w:rsidR="00287884" w:rsidRPr="002B175D">
        <w:rPr>
          <w:rFonts w:asciiTheme="minorEastAsia" w:eastAsiaTheme="minorEastAsia" w:hAnsiTheme="minorEastAsia" w:hint="eastAsia"/>
          <w:b/>
        </w:rPr>
        <w:t>201</w:t>
      </w:r>
      <w:r w:rsidR="007D1EC0" w:rsidRPr="002B175D">
        <w:rPr>
          <w:rFonts w:asciiTheme="minorEastAsia" w:eastAsiaTheme="minorEastAsia" w:hAnsiTheme="minorEastAsia" w:hint="eastAsia"/>
          <w:b/>
        </w:rPr>
        <w:t>5</w:t>
      </w:r>
      <w:r w:rsidRPr="002B175D">
        <w:rPr>
          <w:rFonts w:asciiTheme="minorEastAsia" w:eastAsiaTheme="minorEastAsia" w:hAnsiTheme="minorEastAsia" w:hint="eastAsia"/>
          <w:b/>
        </w:rPr>
        <w:t>]</w:t>
      </w:r>
      <w:r w:rsidR="008E1D1B" w:rsidRPr="002B175D">
        <w:rPr>
          <w:rFonts w:asciiTheme="minorEastAsia" w:eastAsiaTheme="minorEastAsia" w:hAnsiTheme="minorEastAsia" w:hint="eastAsia"/>
          <w:b/>
        </w:rPr>
        <w:t>578</w:t>
      </w:r>
      <w:r w:rsidRPr="002B175D">
        <w:rPr>
          <w:rFonts w:asciiTheme="minorEastAsia" w:eastAsiaTheme="minorEastAsia" w:hAnsiTheme="minorEastAsia" w:hint="eastAsia"/>
          <w:b/>
        </w:rPr>
        <w:t>号</w:t>
      </w:r>
      <w:r w:rsidR="002E1C38" w:rsidRPr="002B175D">
        <w:rPr>
          <w:rFonts w:asciiTheme="minorEastAsia" w:eastAsiaTheme="minorEastAsia" w:hAnsiTheme="minorEastAsia" w:hint="eastAsia"/>
          <w:b/>
        </w:rPr>
        <w:t>）</w:t>
      </w:r>
      <w:r w:rsidRPr="002B175D">
        <w:rPr>
          <w:rFonts w:asciiTheme="minorEastAsia" w:eastAsiaTheme="minorEastAsia" w:hAnsiTheme="minorEastAsia" w:hint="eastAsia"/>
          <w:b/>
        </w:rPr>
        <w:t>和</w:t>
      </w:r>
      <w:r w:rsidR="00287884" w:rsidRPr="002B175D">
        <w:rPr>
          <w:rFonts w:asciiTheme="minorEastAsia" w:eastAsiaTheme="minorEastAsia" w:hAnsiTheme="minorEastAsia" w:hint="eastAsia"/>
          <w:b/>
        </w:rPr>
        <w:t>201</w:t>
      </w:r>
      <w:r w:rsidR="007D1EC0" w:rsidRPr="002B175D">
        <w:rPr>
          <w:rFonts w:asciiTheme="minorEastAsia" w:eastAsiaTheme="minorEastAsia" w:hAnsiTheme="minorEastAsia" w:hint="eastAsia"/>
          <w:b/>
        </w:rPr>
        <w:t>5</w:t>
      </w:r>
      <w:r w:rsidR="00461ADF" w:rsidRPr="002B175D">
        <w:rPr>
          <w:rFonts w:asciiTheme="minorEastAsia" w:eastAsiaTheme="minorEastAsia" w:hAnsiTheme="minorEastAsia" w:hint="eastAsia"/>
          <w:b/>
        </w:rPr>
        <w:t>年</w:t>
      </w:r>
      <w:r w:rsidR="001447B3" w:rsidRPr="002B175D">
        <w:rPr>
          <w:rFonts w:asciiTheme="minorEastAsia" w:eastAsiaTheme="minorEastAsia" w:hAnsiTheme="minorEastAsia" w:hint="eastAsia"/>
          <w:b/>
        </w:rPr>
        <w:t>4</w:t>
      </w:r>
      <w:r w:rsidRPr="002B175D">
        <w:rPr>
          <w:rFonts w:asciiTheme="minorEastAsia" w:eastAsiaTheme="minorEastAsia" w:hAnsiTheme="minorEastAsia" w:hint="eastAsia"/>
          <w:b/>
        </w:rPr>
        <w:t>月</w:t>
      </w:r>
      <w:r w:rsidR="001447B3" w:rsidRPr="002B175D">
        <w:rPr>
          <w:rFonts w:asciiTheme="minorEastAsia" w:eastAsiaTheme="minorEastAsia" w:hAnsiTheme="minorEastAsia" w:hint="eastAsia"/>
          <w:b/>
        </w:rPr>
        <w:t>9</w:t>
      </w:r>
      <w:r w:rsidRPr="002B175D">
        <w:rPr>
          <w:rFonts w:asciiTheme="minorEastAsia" w:eastAsiaTheme="minorEastAsia" w:hAnsiTheme="minorEastAsia" w:hint="eastAsia"/>
          <w:b/>
        </w:rPr>
        <w:t>日《关于</w:t>
      </w:r>
      <w:r w:rsidR="002F7481" w:rsidRPr="002B175D">
        <w:rPr>
          <w:rFonts w:asciiTheme="minorEastAsia" w:eastAsiaTheme="minorEastAsia" w:hAnsiTheme="minorEastAsia" w:hint="eastAsia"/>
          <w:b/>
        </w:rPr>
        <w:t>易方达</w:t>
      </w:r>
      <w:r w:rsidR="003B1F0E" w:rsidRPr="002B175D">
        <w:rPr>
          <w:rFonts w:asciiTheme="minorEastAsia" w:eastAsiaTheme="minorEastAsia" w:hAnsiTheme="minorEastAsia" w:hint="eastAsia"/>
          <w:b/>
        </w:rPr>
        <w:t>新收益灵活配置</w:t>
      </w:r>
      <w:r w:rsidR="00047CE2" w:rsidRPr="002B175D">
        <w:rPr>
          <w:rFonts w:asciiTheme="minorEastAsia" w:eastAsiaTheme="minorEastAsia" w:hAnsiTheme="minorEastAsia" w:hint="eastAsia"/>
          <w:b/>
        </w:rPr>
        <w:t>混合型</w:t>
      </w:r>
      <w:r w:rsidR="002221EE" w:rsidRPr="002B175D">
        <w:rPr>
          <w:rFonts w:asciiTheme="minorEastAsia" w:eastAsiaTheme="minorEastAsia" w:hAnsiTheme="minorEastAsia" w:hint="eastAsia"/>
          <w:b/>
        </w:rPr>
        <w:t>证券投资基金</w:t>
      </w:r>
      <w:r w:rsidRPr="002B175D">
        <w:rPr>
          <w:rFonts w:asciiTheme="minorEastAsia" w:eastAsiaTheme="minorEastAsia" w:hAnsiTheme="minorEastAsia" w:hint="eastAsia"/>
          <w:b/>
        </w:rPr>
        <w:t>募集时间安排的确认函》</w:t>
      </w:r>
      <w:r w:rsidR="002E1C38" w:rsidRPr="002B175D">
        <w:rPr>
          <w:rFonts w:asciiTheme="minorEastAsia" w:eastAsiaTheme="minorEastAsia" w:hAnsiTheme="minorEastAsia" w:hint="eastAsia"/>
          <w:b/>
        </w:rPr>
        <w:t>（</w:t>
      </w:r>
      <w:r w:rsidR="007D1EC0" w:rsidRPr="002B175D">
        <w:rPr>
          <w:rFonts w:asciiTheme="minorEastAsia" w:eastAsiaTheme="minorEastAsia" w:hAnsiTheme="minorEastAsia" w:hint="eastAsia"/>
          <w:b/>
        </w:rPr>
        <w:t>机构</w:t>
      </w:r>
      <w:r w:rsidRPr="002B175D">
        <w:rPr>
          <w:rFonts w:asciiTheme="minorEastAsia" w:eastAsiaTheme="minorEastAsia" w:hAnsiTheme="minorEastAsia" w:hint="eastAsia"/>
          <w:b/>
        </w:rPr>
        <w:t>部函[</w:t>
      </w:r>
      <w:r w:rsidR="00B1279E" w:rsidRPr="002B175D">
        <w:rPr>
          <w:rFonts w:asciiTheme="minorEastAsia" w:eastAsiaTheme="minorEastAsia" w:hAnsiTheme="minorEastAsia" w:hint="eastAsia"/>
          <w:b/>
        </w:rPr>
        <w:t>201</w:t>
      </w:r>
      <w:r w:rsidR="007D1EC0" w:rsidRPr="002B175D">
        <w:rPr>
          <w:rFonts w:asciiTheme="minorEastAsia" w:eastAsiaTheme="minorEastAsia" w:hAnsiTheme="minorEastAsia" w:hint="eastAsia"/>
          <w:b/>
        </w:rPr>
        <w:t>5</w:t>
      </w:r>
      <w:r w:rsidRPr="002B175D">
        <w:rPr>
          <w:rFonts w:asciiTheme="minorEastAsia" w:eastAsiaTheme="minorEastAsia" w:hAnsiTheme="minorEastAsia" w:hint="eastAsia"/>
          <w:b/>
        </w:rPr>
        <w:t>]</w:t>
      </w:r>
      <w:r w:rsidR="001447B3" w:rsidRPr="002B175D">
        <w:rPr>
          <w:rFonts w:asciiTheme="minorEastAsia" w:eastAsiaTheme="minorEastAsia" w:hAnsiTheme="minorEastAsia" w:hint="eastAsia"/>
          <w:b/>
        </w:rPr>
        <w:t>908</w:t>
      </w:r>
      <w:r w:rsidRPr="002B175D">
        <w:rPr>
          <w:rFonts w:asciiTheme="minorEastAsia" w:eastAsiaTheme="minorEastAsia" w:hAnsiTheme="minorEastAsia" w:hint="eastAsia"/>
          <w:b/>
        </w:rPr>
        <w:t>号</w:t>
      </w:r>
      <w:r w:rsidR="002E1C38" w:rsidRPr="002B175D">
        <w:rPr>
          <w:rFonts w:asciiTheme="minorEastAsia" w:eastAsiaTheme="minorEastAsia" w:hAnsiTheme="minorEastAsia" w:hint="eastAsia"/>
          <w:b/>
        </w:rPr>
        <w:t>）</w:t>
      </w:r>
      <w:r w:rsidRPr="002B175D">
        <w:rPr>
          <w:rFonts w:asciiTheme="minorEastAsia" w:eastAsiaTheme="minorEastAsia" w:hAnsiTheme="minorEastAsia" w:hint="eastAsia"/>
          <w:b/>
        </w:rPr>
        <w:t>，进行募集。</w:t>
      </w:r>
      <w:r w:rsidR="002C2A38" w:rsidRPr="002B175D">
        <w:rPr>
          <w:rFonts w:asciiTheme="minorEastAsia" w:eastAsiaTheme="minorEastAsia" w:hAnsiTheme="minorEastAsia" w:hint="eastAsia"/>
          <w:b/>
          <w:szCs w:val="21"/>
        </w:rPr>
        <w:t>本基金基金合同于2015年4月17日正式生效。</w:t>
      </w:r>
    </w:p>
    <w:p w:rsidR="00B16F38" w:rsidRPr="002B175D" w:rsidRDefault="00B16F38" w:rsidP="00861AD8">
      <w:pPr>
        <w:snapToGrid w:val="0"/>
        <w:spacing w:line="360" w:lineRule="auto"/>
        <w:ind w:firstLineChars="200" w:firstLine="422"/>
        <w:rPr>
          <w:rFonts w:asciiTheme="minorEastAsia" w:eastAsiaTheme="minorEastAsia" w:hAnsiTheme="minorEastAsia"/>
          <w:b/>
          <w:szCs w:val="21"/>
        </w:rPr>
      </w:pPr>
      <w:r w:rsidRPr="002B175D">
        <w:rPr>
          <w:rFonts w:asciiTheme="minorEastAsia" w:eastAsiaTheme="minorEastAsia" w:hAnsiTheme="minorEastAsia"/>
          <w:b/>
          <w:szCs w:val="21"/>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BA4B87" w:rsidRPr="002B175D" w:rsidRDefault="00BA4B87" w:rsidP="00861AD8">
      <w:pPr>
        <w:snapToGrid w:val="0"/>
        <w:spacing w:line="360" w:lineRule="auto"/>
        <w:ind w:firstLineChars="200" w:firstLine="422"/>
        <w:rPr>
          <w:rFonts w:asciiTheme="minorEastAsia" w:eastAsiaTheme="minorEastAsia" w:hAnsiTheme="minorEastAsia"/>
          <w:b/>
        </w:rPr>
      </w:pPr>
      <w:r w:rsidRPr="002B175D">
        <w:rPr>
          <w:rFonts w:asciiTheme="minorEastAsia" w:eastAsiaTheme="minorEastAsia" w:hAnsiTheme="minorEastAsia" w:hint="eastAsia"/>
          <w:b/>
        </w:rPr>
        <w:t>基金管理人保证《招募说明书》的内容真实、准确、完整。本</w:t>
      </w:r>
      <w:r w:rsidR="001E6198" w:rsidRPr="002B175D">
        <w:rPr>
          <w:rFonts w:asciiTheme="minorEastAsia" w:eastAsiaTheme="minorEastAsia" w:hAnsiTheme="minorEastAsia" w:hint="eastAsia"/>
          <w:b/>
        </w:rPr>
        <w:t>基金</w:t>
      </w:r>
      <w:r w:rsidRPr="002B175D">
        <w:rPr>
          <w:rFonts w:asciiTheme="minorEastAsia" w:eastAsiaTheme="minorEastAsia" w:hAnsiTheme="minorEastAsia" w:hint="eastAsia"/>
          <w:b/>
        </w:rPr>
        <w:t>经中国证监会</w:t>
      </w:r>
      <w:r w:rsidR="001F59B1" w:rsidRPr="002B175D">
        <w:rPr>
          <w:rFonts w:asciiTheme="minorEastAsia" w:eastAsiaTheme="minorEastAsia" w:hAnsiTheme="minorEastAsia" w:hint="eastAsia"/>
          <w:b/>
        </w:rPr>
        <w:t>注册</w:t>
      </w:r>
      <w:r w:rsidRPr="002B175D">
        <w:rPr>
          <w:rFonts w:asciiTheme="minorEastAsia" w:eastAsiaTheme="minorEastAsia" w:hAnsiTheme="minorEastAsia" w:hint="eastAsia"/>
          <w:b/>
        </w:rPr>
        <w:t>，但中国证监会对本基金募集的</w:t>
      </w:r>
      <w:r w:rsidR="001F59B1" w:rsidRPr="002B175D">
        <w:rPr>
          <w:rFonts w:asciiTheme="minorEastAsia" w:eastAsiaTheme="minorEastAsia" w:hAnsiTheme="minorEastAsia" w:hint="eastAsia"/>
          <w:b/>
        </w:rPr>
        <w:t>注册</w:t>
      </w:r>
      <w:r w:rsidRPr="002B175D">
        <w:rPr>
          <w:rFonts w:asciiTheme="minorEastAsia" w:eastAsiaTheme="minorEastAsia" w:hAnsiTheme="minorEastAsia" w:hint="eastAsia"/>
          <w:b/>
        </w:rPr>
        <w:t>，并不表明其对本基金的</w:t>
      </w:r>
      <w:r w:rsidR="00DC001E" w:rsidRPr="002B175D">
        <w:rPr>
          <w:rFonts w:asciiTheme="minorEastAsia" w:eastAsiaTheme="minorEastAsia" w:hAnsiTheme="minorEastAsia" w:hint="eastAsia"/>
          <w:b/>
        </w:rPr>
        <w:t>投资价值、市场前景</w:t>
      </w:r>
      <w:r w:rsidRPr="002B175D">
        <w:rPr>
          <w:rFonts w:asciiTheme="minorEastAsia" w:eastAsiaTheme="minorEastAsia" w:hAnsiTheme="minorEastAsia" w:hint="eastAsia"/>
          <w:b/>
        </w:rPr>
        <w:t>和收益作出实质性判断或保证，也不表明投资于本基金没有风险。</w:t>
      </w:r>
    </w:p>
    <w:p w:rsidR="00BA4B87" w:rsidRPr="002B175D" w:rsidRDefault="00BA4B87" w:rsidP="00861AD8">
      <w:pPr>
        <w:snapToGrid w:val="0"/>
        <w:spacing w:line="360" w:lineRule="auto"/>
        <w:ind w:firstLineChars="200" w:firstLine="422"/>
        <w:rPr>
          <w:rFonts w:asciiTheme="minorEastAsia" w:eastAsiaTheme="minorEastAsia" w:hAnsiTheme="minorEastAsia"/>
          <w:b/>
        </w:rPr>
      </w:pPr>
      <w:r w:rsidRPr="002B175D">
        <w:rPr>
          <w:rFonts w:asciiTheme="minorEastAsia" w:eastAsiaTheme="minorEastAsia" w:hAnsiTheme="minorEastAsia" w:hint="eastAsia"/>
          <w:b/>
        </w:rPr>
        <w:t>基金管理人依照恪尽职守、诚实信用、谨慎勤勉的原则管理和运用基金财产，但不保证基金一定盈利，也不保证最低收益。</w:t>
      </w:r>
    </w:p>
    <w:p w:rsidR="00565195" w:rsidRPr="002B175D" w:rsidRDefault="00F477A7" w:rsidP="00861AD8">
      <w:pPr>
        <w:snapToGrid w:val="0"/>
        <w:spacing w:line="360" w:lineRule="auto"/>
        <w:ind w:firstLineChars="200" w:firstLine="422"/>
        <w:rPr>
          <w:rFonts w:asciiTheme="minorEastAsia" w:eastAsiaTheme="minorEastAsia" w:hAnsiTheme="minorEastAsia"/>
          <w:b/>
        </w:rPr>
      </w:pPr>
      <w:r w:rsidRPr="002B175D">
        <w:rPr>
          <w:rFonts w:asciiTheme="minorEastAsia" w:eastAsiaTheme="minorEastAsia" w:hAnsiTheme="minorEastAsia" w:hint="eastAsia"/>
          <w:b/>
        </w:rPr>
        <w:t>本基金投资于证券市场，基金净值会因为证券市场波动等因素产生波动。投资有风险，投资者在投资本基金前，请认真阅读本</w:t>
      </w:r>
      <w:r w:rsidR="0001716B" w:rsidRPr="002B175D">
        <w:rPr>
          <w:rFonts w:asciiTheme="minorEastAsia" w:eastAsiaTheme="minorEastAsia" w:hAnsiTheme="minorEastAsia" w:hint="eastAsia"/>
          <w:b/>
        </w:rPr>
        <w:t>基金的</w:t>
      </w:r>
      <w:r w:rsidRPr="002B175D">
        <w:rPr>
          <w:rFonts w:asciiTheme="minorEastAsia" w:eastAsiaTheme="minorEastAsia" w:hAnsiTheme="minorEastAsia" w:hint="eastAsia"/>
          <w:b/>
        </w:rPr>
        <w:t>招募说明书</w:t>
      </w:r>
      <w:r w:rsidR="0001716B" w:rsidRPr="002B175D">
        <w:rPr>
          <w:rFonts w:asciiTheme="minorEastAsia" w:eastAsiaTheme="minorEastAsia" w:hAnsiTheme="minorEastAsia" w:hint="eastAsia"/>
          <w:b/>
        </w:rPr>
        <w:t>和基金合同等信息披露文件</w:t>
      </w:r>
      <w:r w:rsidRPr="002B175D">
        <w:rPr>
          <w:rFonts w:asciiTheme="minorEastAsia" w:eastAsiaTheme="minorEastAsia" w:hAnsiTheme="minorEastAsia" w:hint="eastAsia"/>
          <w:b/>
        </w:rPr>
        <w:t>，全面认识本基金产品的风险收益特征和产品特性，充分考虑自身的风险承受能力，理性判断市场，</w:t>
      </w:r>
      <w:r w:rsidR="0097106B" w:rsidRPr="002B175D">
        <w:rPr>
          <w:rFonts w:asciiTheme="minorEastAsia" w:eastAsiaTheme="minorEastAsia" w:hAnsiTheme="minorEastAsia" w:hint="eastAsia"/>
          <w:b/>
        </w:rPr>
        <w:t>自主判断基金的投资价值，对认购（或申购）基金的意愿、时机、数量等投资行为作出独立决策，</w:t>
      </w:r>
      <w:r w:rsidRPr="002B175D">
        <w:rPr>
          <w:rFonts w:asciiTheme="minorEastAsia" w:eastAsiaTheme="minorEastAsia" w:hAnsiTheme="minorEastAsia" w:hint="eastAsia"/>
          <w:b/>
        </w:rPr>
        <w:t>承担基金投资中出现的各类风险。投资本基金可能遇到的风险包括：</w:t>
      </w:r>
      <w:r w:rsidR="007A48BA" w:rsidRPr="002B175D">
        <w:rPr>
          <w:rFonts w:asciiTheme="minorEastAsia" w:eastAsiaTheme="minorEastAsia" w:hAnsiTheme="minorEastAsia" w:hint="eastAsia"/>
          <w:b/>
        </w:rPr>
        <w:t>证券市场整体环境引发的系统性风险；个别证券特有的非系统性风险；流动性风险；基金投资过程中产生的操作风险；因交收违约和投资债券引发的信用风险；</w:t>
      </w:r>
      <w:r w:rsidRPr="002B175D">
        <w:rPr>
          <w:rFonts w:asciiTheme="minorEastAsia" w:eastAsiaTheme="minorEastAsia" w:hAnsiTheme="minorEastAsia" w:hint="eastAsia"/>
          <w:b/>
        </w:rPr>
        <w:t>基金投资回报可能低于业绩比较基准的风险；</w:t>
      </w:r>
      <w:r w:rsidR="0028174F" w:rsidRPr="002B175D">
        <w:rPr>
          <w:rFonts w:asciiTheme="minorEastAsia" w:eastAsiaTheme="minorEastAsia" w:hAnsiTheme="minorEastAsia" w:hint="eastAsia"/>
          <w:b/>
        </w:rPr>
        <w:t>本基金的投资范围包括股指期货等金融衍生品</w:t>
      </w:r>
      <w:r w:rsidR="009347D0" w:rsidRPr="002B175D">
        <w:rPr>
          <w:rFonts w:asciiTheme="minorEastAsia" w:eastAsiaTheme="minorEastAsia" w:hAnsiTheme="minorEastAsia" w:hint="eastAsia"/>
          <w:b/>
        </w:rPr>
        <w:t>、</w:t>
      </w:r>
      <w:r w:rsidR="002A2D0D" w:rsidRPr="002B175D">
        <w:rPr>
          <w:rFonts w:asciiTheme="minorEastAsia" w:eastAsiaTheme="minorEastAsia" w:hAnsiTheme="minorEastAsia" w:hint="eastAsia"/>
          <w:b/>
        </w:rPr>
        <w:t>证券公司短期公司债券</w:t>
      </w:r>
      <w:r w:rsidR="003542DE" w:rsidRPr="002B175D">
        <w:rPr>
          <w:rFonts w:asciiTheme="minorEastAsia" w:eastAsiaTheme="minorEastAsia" w:hAnsiTheme="minorEastAsia" w:hint="eastAsia"/>
          <w:b/>
        </w:rPr>
        <w:t>、中小企业私募债</w:t>
      </w:r>
      <w:r w:rsidR="00A65CB8" w:rsidRPr="002B175D">
        <w:rPr>
          <w:rFonts w:asciiTheme="minorEastAsia" w:eastAsiaTheme="minorEastAsia" w:hAnsiTheme="minorEastAsia" w:hint="eastAsia"/>
          <w:b/>
        </w:rPr>
        <w:t>等品种</w:t>
      </w:r>
      <w:r w:rsidRPr="002B175D">
        <w:rPr>
          <w:rFonts w:asciiTheme="minorEastAsia" w:eastAsiaTheme="minorEastAsia" w:hAnsiTheme="minorEastAsia" w:hint="eastAsia"/>
          <w:b/>
        </w:rPr>
        <w:t>，可能给本基金带来额外风险等。</w:t>
      </w:r>
      <w:r w:rsidR="00565195" w:rsidRPr="002B175D">
        <w:rPr>
          <w:rFonts w:asciiTheme="minorEastAsia" w:eastAsiaTheme="minorEastAsia" w:hAnsiTheme="minorEastAsia" w:hint="eastAsia"/>
          <w:b/>
          <w:szCs w:val="21"/>
        </w:rPr>
        <w:t>本基金的具体运作特点详见基金合同和招募说明书的约定。本基金的一般风险及特有风险详见</w:t>
      </w:r>
      <w:r w:rsidR="00A13477" w:rsidRPr="002B175D">
        <w:rPr>
          <w:rFonts w:asciiTheme="minorEastAsia" w:eastAsiaTheme="minorEastAsia" w:hAnsiTheme="minorEastAsia" w:hint="eastAsia"/>
          <w:b/>
          <w:szCs w:val="21"/>
        </w:rPr>
        <w:t>本</w:t>
      </w:r>
      <w:r w:rsidR="00565195" w:rsidRPr="002B175D">
        <w:rPr>
          <w:rFonts w:asciiTheme="minorEastAsia" w:eastAsiaTheme="minorEastAsia" w:hAnsiTheme="minorEastAsia" w:hint="eastAsia"/>
          <w:b/>
          <w:szCs w:val="21"/>
        </w:rPr>
        <w:t>招募说明书的</w:t>
      </w:r>
      <w:r w:rsidR="007A48BA" w:rsidRPr="002B175D">
        <w:rPr>
          <w:rFonts w:asciiTheme="minorEastAsia" w:eastAsiaTheme="minorEastAsia" w:hAnsiTheme="minorEastAsia" w:hint="eastAsia"/>
          <w:b/>
          <w:szCs w:val="21"/>
        </w:rPr>
        <w:t>“</w:t>
      </w:r>
      <w:r w:rsidR="00565195" w:rsidRPr="002B175D">
        <w:rPr>
          <w:rFonts w:asciiTheme="minorEastAsia" w:eastAsiaTheme="minorEastAsia" w:hAnsiTheme="minorEastAsia" w:hint="eastAsia"/>
          <w:b/>
          <w:szCs w:val="21"/>
        </w:rPr>
        <w:t>风险揭示</w:t>
      </w:r>
      <w:r w:rsidR="007A48BA" w:rsidRPr="002B175D">
        <w:rPr>
          <w:rFonts w:asciiTheme="minorEastAsia" w:eastAsiaTheme="minorEastAsia" w:hAnsiTheme="minorEastAsia" w:hint="eastAsia"/>
          <w:b/>
          <w:szCs w:val="21"/>
        </w:rPr>
        <w:t>”</w:t>
      </w:r>
      <w:r w:rsidR="00565195" w:rsidRPr="002B175D">
        <w:rPr>
          <w:rFonts w:asciiTheme="minorEastAsia" w:eastAsiaTheme="minorEastAsia" w:hAnsiTheme="minorEastAsia" w:hint="eastAsia"/>
          <w:b/>
          <w:szCs w:val="21"/>
        </w:rPr>
        <w:t>部分。</w:t>
      </w:r>
    </w:p>
    <w:p w:rsidR="00A13477" w:rsidRPr="002B175D" w:rsidRDefault="00A13477" w:rsidP="00861AD8">
      <w:pPr>
        <w:snapToGrid w:val="0"/>
        <w:spacing w:line="360" w:lineRule="auto"/>
        <w:ind w:firstLineChars="200" w:firstLine="422"/>
        <w:rPr>
          <w:rFonts w:asciiTheme="minorEastAsia" w:eastAsiaTheme="minorEastAsia" w:hAnsiTheme="minorEastAsia"/>
          <w:b/>
        </w:rPr>
      </w:pPr>
      <w:r w:rsidRPr="002B175D">
        <w:rPr>
          <w:rFonts w:asciiTheme="minorEastAsia" w:eastAsiaTheme="minorEastAsia" w:hAnsiTheme="minorEastAsia" w:hint="eastAsia"/>
          <w:b/>
        </w:rPr>
        <w:t>本基金为混合型基金，理论上其</w:t>
      </w:r>
      <w:r w:rsidR="00A84CCF" w:rsidRPr="002B175D">
        <w:rPr>
          <w:rFonts w:asciiTheme="minorEastAsia" w:eastAsiaTheme="minorEastAsia" w:hAnsiTheme="minorEastAsia" w:hint="eastAsia"/>
          <w:b/>
        </w:rPr>
        <w:t>预期</w:t>
      </w:r>
      <w:r w:rsidRPr="002B175D">
        <w:rPr>
          <w:rFonts w:asciiTheme="minorEastAsia" w:eastAsiaTheme="minorEastAsia" w:hAnsiTheme="minorEastAsia" w:hint="eastAsia"/>
          <w:b/>
        </w:rPr>
        <w:t>风险收益水平低于股票型基金，高于债券型基金和货币市场基金。</w:t>
      </w:r>
    </w:p>
    <w:p w:rsidR="00BA4B87" w:rsidRPr="002B175D" w:rsidRDefault="00565195" w:rsidP="00861AD8">
      <w:pPr>
        <w:snapToGrid w:val="0"/>
        <w:spacing w:line="360" w:lineRule="auto"/>
        <w:ind w:firstLineChars="200" w:firstLine="422"/>
        <w:rPr>
          <w:rFonts w:asciiTheme="minorEastAsia" w:eastAsiaTheme="minorEastAsia" w:hAnsiTheme="minorEastAsia"/>
          <w:b/>
        </w:rPr>
      </w:pPr>
      <w:r w:rsidRPr="002B175D">
        <w:rPr>
          <w:rFonts w:asciiTheme="minorEastAsia" w:eastAsiaTheme="minorEastAsia" w:hAnsiTheme="minorEastAsia" w:hint="eastAsia"/>
          <w:b/>
        </w:rPr>
        <w:t>基金管理人提醒投资者基金投资的“买者自负”原则，在投资者作出投资决策后，基金运营状况与基金净值变化引致的投资风险，由投资者自行负责。</w:t>
      </w:r>
      <w:r w:rsidR="00886EE5" w:rsidRPr="002B175D">
        <w:rPr>
          <w:rFonts w:asciiTheme="minorEastAsia" w:eastAsiaTheme="minorEastAsia" w:hAnsiTheme="minorEastAsia" w:hint="eastAsia"/>
          <w:b/>
        </w:rPr>
        <w:t>此外，本基金以1元初始面值进行募集，在市场波动等因素的影响下，存在单位份额净值跌破1元初始面值的风险。</w:t>
      </w:r>
    </w:p>
    <w:p w:rsidR="00BA4B87" w:rsidRPr="002B175D" w:rsidRDefault="00C75C04" w:rsidP="00861AD8">
      <w:pPr>
        <w:snapToGrid w:val="0"/>
        <w:spacing w:line="360" w:lineRule="auto"/>
        <w:ind w:firstLineChars="200" w:firstLine="422"/>
        <w:rPr>
          <w:rFonts w:asciiTheme="minorEastAsia" w:eastAsiaTheme="minorEastAsia" w:hAnsiTheme="minorEastAsia"/>
          <w:b/>
        </w:rPr>
      </w:pPr>
      <w:r w:rsidRPr="002B175D">
        <w:rPr>
          <w:rFonts w:asciiTheme="minorEastAsia" w:eastAsiaTheme="minorEastAsia" w:hAnsiTheme="minorEastAsia" w:hint="eastAsia"/>
          <w:b/>
        </w:rPr>
        <w:t>基金不同于银行储蓄</w:t>
      </w:r>
      <w:r w:rsidR="00BA4B87" w:rsidRPr="002B175D">
        <w:rPr>
          <w:rFonts w:asciiTheme="minorEastAsia" w:eastAsiaTheme="minorEastAsia" w:hAnsiTheme="minorEastAsia" w:hint="eastAsia"/>
          <w:b/>
        </w:rPr>
        <w:t>，基金</w:t>
      </w:r>
      <w:r w:rsidR="008D4032" w:rsidRPr="002B175D">
        <w:rPr>
          <w:rFonts w:asciiTheme="minorEastAsia" w:eastAsiaTheme="minorEastAsia" w:hAnsiTheme="minorEastAsia" w:hint="eastAsia"/>
          <w:b/>
        </w:rPr>
        <w:t>投资人</w:t>
      </w:r>
      <w:r w:rsidR="00BA4B87" w:rsidRPr="002B175D">
        <w:rPr>
          <w:rFonts w:asciiTheme="minorEastAsia" w:eastAsiaTheme="minorEastAsia" w:hAnsiTheme="minorEastAsia" w:hint="eastAsia"/>
          <w:b/>
        </w:rPr>
        <w:t>有可能获得较高的收益，也有可能损失本金。投资有风险，</w:t>
      </w:r>
      <w:r w:rsidR="008D4032" w:rsidRPr="002B175D">
        <w:rPr>
          <w:rFonts w:asciiTheme="minorEastAsia" w:eastAsiaTheme="minorEastAsia" w:hAnsiTheme="minorEastAsia" w:hint="eastAsia"/>
          <w:b/>
        </w:rPr>
        <w:t>投资人</w:t>
      </w:r>
      <w:r w:rsidR="00BA4B87" w:rsidRPr="002B175D">
        <w:rPr>
          <w:rFonts w:asciiTheme="minorEastAsia" w:eastAsiaTheme="minorEastAsia" w:hAnsiTheme="minorEastAsia" w:hint="eastAsia"/>
          <w:b/>
        </w:rPr>
        <w:t>在进行投资决策前，请仔细阅读本基金的《招募说明书》及《基金合同》。</w:t>
      </w:r>
    </w:p>
    <w:p w:rsidR="005D65CC" w:rsidRPr="002B175D" w:rsidRDefault="005D65CC" w:rsidP="00861AD8">
      <w:pPr>
        <w:snapToGrid w:val="0"/>
        <w:spacing w:line="360" w:lineRule="auto"/>
        <w:ind w:firstLineChars="200" w:firstLine="422"/>
        <w:rPr>
          <w:rFonts w:asciiTheme="minorEastAsia" w:eastAsiaTheme="minorEastAsia" w:hAnsiTheme="minorEastAsia"/>
          <w:b/>
        </w:rPr>
      </w:pPr>
      <w:r w:rsidRPr="002B175D">
        <w:rPr>
          <w:rFonts w:asciiTheme="minorEastAsia" w:eastAsiaTheme="minorEastAsia" w:hAnsiTheme="minorEastAsia" w:hint="eastAsia"/>
          <w:b/>
        </w:rPr>
        <w:lastRenderedPageBreak/>
        <w:t>基金的过往业绩并不预示其未来表现</w:t>
      </w:r>
      <w:r w:rsidR="004E67B3" w:rsidRPr="002B175D">
        <w:rPr>
          <w:rFonts w:asciiTheme="minorEastAsia" w:eastAsiaTheme="minorEastAsia" w:hAnsiTheme="minorEastAsia" w:hint="eastAsia"/>
          <w:b/>
        </w:rPr>
        <w:t>，基金管理人管理的其他基金的业绩并不构成对本基金表现的保证</w:t>
      </w:r>
      <w:r w:rsidRPr="002B175D">
        <w:rPr>
          <w:rFonts w:asciiTheme="minorEastAsia" w:eastAsiaTheme="minorEastAsia" w:hAnsiTheme="minorEastAsia" w:hint="eastAsia"/>
          <w:b/>
        </w:rPr>
        <w:t>。</w:t>
      </w:r>
    </w:p>
    <w:p w:rsidR="002B175D" w:rsidRPr="002B175D" w:rsidRDefault="00BD3B25" w:rsidP="00861AD8">
      <w:pPr>
        <w:snapToGrid w:val="0"/>
        <w:spacing w:line="360" w:lineRule="auto"/>
        <w:ind w:firstLineChars="200" w:firstLine="422"/>
        <w:rPr>
          <w:rFonts w:asciiTheme="minorEastAsia" w:eastAsiaTheme="minorEastAsia" w:hAnsiTheme="minorEastAsia"/>
          <w:b/>
          <w:szCs w:val="21"/>
        </w:rPr>
        <w:sectPr w:rsidR="002B175D" w:rsidRPr="002B175D" w:rsidSect="00AE70B8">
          <w:headerReference w:type="even" r:id="rId9"/>
          <w:headerReference w:type="default" r:id="rId10"/>
          <w:footerReference w:type="even" r:id="rId11"/>
          <w:footerReference w:type="default" r:id="rId12"/>
          <w:headerReference w:type="first" r:id="rId13"/>
          <w:footerReference w:type="first" r:id="rId14"/>
          <w:pgSz w:w="11906" w:h="16838" w:code="9"/>
          <w:pgMar w:top="1440" w:right="1803" w:bottom="1440" w:left="1803" w:header="851" w:footer="992" w:gutter="0"/>
          <w:pgNumType w:start="1"/>
          <w:cols w:space="720"/>
          <w:docGrid w:type="lines" w:linePitch="317"/>
        </w:sectPr>
      </w:pPr>
      <w:r w:rsidRPr="002B175D">
        <w:rPr>
          <w:rFonts w:asciiTheme="minorEastAsia" w:eastAsiaTheme="minorEastAsia" w:hAnsiTheme="minorEastAsia" w:hint="eastAsia"/>
          <w:b/>
          <w:szCs w:val="21"/>
        </w:rPr>
        <w:t>本招募</w:t>
      </w:r>
      <w:r w:rsidRPr="002B175D">
        <w:rPr>
          <w:rFonts w:asciiTheme="minorEastAsia" w:eastAsiaTheme="minorEastAsia" w:hAnsiTheme="minorEastAsia"/>
          <w:b/>
          <w:szCs w:val="21"/>
        </w:rPr>
        <w:t>说明书</w:t>
      </w:r>
      <w:r w:rsidRPr="002B175D">
        <w:rPr>
          <w:rFonts w:asciiTheme="minorEastAsia" w:eastAsiaTheme="minorEastAsia" w:hAnsiTheme="minorEastAsia" w:hint="eastAsia"/>
          <w:b/>
          <w:szCs w:val="21"/>
        </w:rPr>
        <w:t>已经本基金托管人复核。除非另有说明，本招募说明书</w:t>
      </w:r>
      <w:r w:rsidR="00C75C04" w:rsidRPr="002B175D">
        <w:rPr>
          <w:rFonts w:asciiTheme="minorEastAsia" w:eastAsiaTheme="minorEastAsia" w:hAnsiTheme="minorEastAsia" w:hint="eastAsia"/>
          <w:b/>
          <w:szCs w:val="21"/>
        </w:rPr>
        <w:t>所载内容截止日为2019年4月17日</w:t>
      </w:r>
      <w:r w:rsidRPr="002B175D">
        <w:rPr>
          <w:rFonts w:asciiTheme="minorEastAsia" w:eastAsiaTheme="minorEastAsia" w:hAnsiTheme="minorEastAsia" w:hint="eastAsia"/>
          <w:b/>
          <w:szCs w:val="21"/>
        </w:rPr>
        <w:t>，</w:t>
      </w:r>
      <w:r w:rsidR="00C75C04" w:rsidRPr="002B175D">
        <w:rPr>
          <w:rFonts w:asciiTheme="minorEastAsia" w:eastAsiaTheme="minorEastAsia" w:hAnsiTheme="minorEastAsia" w:hint="eastAsia"/>
          <w:b/>
          <w:szCs w:val="21"/>
        </w:rPr>
        <w:t>有关财务数据截止日为2019年3月31日</w:t>
      </w:r>
      <w:r w:rsidRPr="002B175D">
        <w:rPr>
          <w:rFonts w:asciiTheme="minorEastAsia" w:eastAsiaTheme="minorEastAsia" w:hAnsiTheme="minorEastAsia" w:hint="eastAsia"/>
          <w:b/>
          <w:szCs w:val="21"/>
        </w:rPr>
        <w:t>，</w:t>
      </w:r>
      <w:r w:rsidR="00C75C04" w:rsidRPr="002B175D">
        <w:rPr>
          <w:rFonts w:asciiTheme="minorEastAsia" w:eastAsiaTheme="minorEastAsia" w:hAnsiTheme="minorEastAsia" w:hint="eastAsia"/>
          <w:b/>
          <w:szCs w:val="21"/>
        </w:rPr>
        <w:t>净值表现截止日为2018年12月31日</w:t>
      </w:r>
      <w:r w:rsidRPr="002B175D">
        <w:rPr>
          <w:rFonts w:asciiTheme="minorEastAsia" w:eastAsiaTheme="minorEastAsia" w:hAnsiTheme="minorEastAsia" w:hint="eastAsia"/>
          <w:b/>
          <w:szCs w:val="21"/>
        </w:rPr>
        <w:t>。</w:t>
      </w:r>
      <w:r w:rsidR="001B053A" w:rsidRPr="002B175D">
        <w:rPr>
          <w:rFonts w:asciiTheme="minorEastAsia" w:eastAsiaTheme="minorEastAsia" w:hAnsiTheme="minorEastAsia" w:hint="eastAsia"/>
          <w:b/>
          <w:szCs w:val="21"/>
        </w:rPr>
        <w:t>（本报告中财务数据未经审计）</w:t>
      </w:r>
    </w:p>
    <w:p w:rsidR="00BA4B87" w:rsidRPr="002B175D" w:rsidRDefault="00072D7C" w:rsidP="00861AD8">
      <w:pPr>
        <w:pStyle w:val="1"/>
        <w:snapToGrid w:val="0"/>
        <w:spacing w:beforeLines="0" w:afterLines="0" w:line="360" w:lineRule="auto"/>
        <w:ind w:firstLine="640"/>
        <w:jc w:val="left"/>
        <w:rPr>
          <w:rFonts w:asciiTheme="minorEastAsia" w:eastAsiaTheme="minorEastAsia" w:hAnsiTheme="minorEastAsia"/>
        </w:rPr>
      </w:pPr>
      <w:bookmarkStart w:id="0" w:name="_Toc332373446"/>
      <w:bookmarkStart w:id="1" w:name="_Toc403058850"/>
      <w:r w:rsidRPr="002B175D">
        <w:rPr>
          <w:rFonts w:asciiTheme="minorEastAsia" w:eastAsiaTheme="minorEastAsia" w:hAnsiTheme="minorEastAsia" w:hint="eastAsia"/>
        </w:rPr>
        <w:t>一</w:t>
      </w:r>
      <w:r w:rsidR="00BA4B87" w:rsidRPr="002B175D">
        <w:rPr>
          <w:rFonts w:asciiTheme="minorEastAsia" w:eastAsiaTheme="minorEastAsia" w:hAnsiTheme="minorEastAsia" w:hint="eastAsia"/>
        </w:rPr>
        <w:t>、基金管理人</w:t>
      </w:r>
      <w:bookmarkEnd w:id="0"/>
      <w:bookmarkEnd w:id="1"/>
    </w:p>
    <w:p w:rsidR="00BA4B87" w:rsidRPr="002B175D" w:rsidRDefault="002E1C38" w:rsidP="00861AD8">
      <w:pPr>
        <w:snapToGrid w:val="0"/>
        <w:spacing w:line="360" w:lineRule="auto"/>
        <w:ind w:firstLineChars="200" w:firstLine="420"/>
        <w:rPr>
          <w:rStyle w:val="da"/>
          <w:rFonts w:asciiTheme="minorEastAsia" w:eastAsiaTheme="minorEastAsia" w:hAnsiTheme="minorEastAsia"/>
        </w:rPr>
      </w:pPr>
      <w:bookmarkStart w:id="2" w:name="_Toc332373447"/>
      <w:r w:rsidRPr="002B175D">
        <w:rPr>
          <w:rStyle w:val="da"/>
          <w:rFonts w:asciiTheme="minorEastAsia" w:eastAsiaTheme="minorEastAsia" w:hAnsiTheme="minorEastAsia" w:hint="eastAsia"/>
        </w:rPr>
        <w:t>（</w:t>
      </w:r>
      <w:r w:rsidR="00BA4B87" w:rsidRPr="002B175D">
        <w:rPr>
          <w:rStyle w:val="da"/>
          <w:rFonts w:asciiTheme="minorEastAsia" w:eastAsiaTheme="minorEastAsia" w:hAnsiTheme="minorEastAsia" w:hint="eastAsia"/>
        </w:rPr>
        <w:t>一</w:t>
      </w:r>
      <w:r w:rsidRPr="002B175D">
        <w:rPr>
          <w:rStyle w:val="da"/>
          <w:rFonts w:asciiTheme="minorEastAsia" w:eastAsiaTheme="minorEastAsia" w:hAnsiTheme="minorEastAsia" w:hint="eastAsia"/>
        </w:rPr>
        <w:t>）</w:t>
      </w:r>
      <w:r w:rsidR="00BA4B87" w:rsidRPr="002B175D">
        <w:rPr>
          <w:rStyle w:val="da"/>
          <w:rFonts w:asciiTheme="minorEastAsia" w:eastAsiaTheme="minorEastAsia" w:hAnsiTheme="minorEastAsia" w:hint="eastAsia"/>
        </w:rPr>
        <w:t>基金管理人基本情况</w:t>
      </w:r>
      <w:bookmarkEnd w:id="2"/>
    </w:p>
    <w:p w:rsidR="0035483B" w:rsidRPr="002B175D" w:rsidRDefault="00861AD8" w:rsidP="00861AD8">
      <w:pPr>
        <w:snapToGrid w:val="0"/>
        <w:spacing w:line="360" w:lineRule="auto"/>
        <w:ind w:firstLine="420"/>
        <w:rPr>
          <w:rFonts w:asciiTheme="minorEastAsia" w:eastAsiaTheme="minorEastAsia" w:hAnsiTheme="minorEastAsia"/>
        </w:rPr>
      </w:pPr>
      <w:bookmarkStart w:id="3" w:name="_Toc332373448"/>
      <w:r w:rsidRPr="002B175D">
        <w:rPr>
          <w:rFonts w:asciiTheme="minorEastAsia" w:eastAsiaTheme="minorEastAsia" w:hAnsiTheme="minorEastAsia" w:hint="eastAsia"/>
        </w:rPr>
        <w:t>1、</w:t>
      </w:r>
      <w:r w:rsidR="0035483B" w:rsidRPr="002B175D">
        <w:rPr>
          <w:rFonts w:asciiTheme="minorEastAsia" w:eastAsiaTheme="minorEastAsia" w:hAnsiTheme="minorEastAsia" w:hint="eastAsia"/>
        </w:rPr>
        <w:t>基金管理人：易方达基金管理有限公司</w:t>
      </w:r>
    </w:p>
    <w:p w:rsidR="0035483B" w:rsidRPr="002B175D" w:rsidRDefault="0035483B" w:rsidP="00861AD8">
      <w:pPr>
        <w:snapToGrid w:val="0"/>
        <w:spacing w:line="360" w:lineRule="auto"/>
        <w:ind w:firstLine="420"/>
        <w:rPr>
          <w:rFonts w:asciiTheme="minorEastAsia" w:eastAsiaTheme="minorEastAsia" w:hAnsiTheme="minorEastAsia"/>
        </w:rPr>
      </w:pPr>
      <w:r w:rsidRPr="002B175D">
        <w:rPr>
          <w:rFonts w:asciiTheme="minorEastAsia" w:eastAsiaTheme="minorEastAsia" w:hAnsiTheme="minorEastAsia" w:hint="eastAsia"/>
        </w:rPr>
        <w:t>注册地址：</w:t>
      </w:r>
      <w:r w:rsidR="00BD3B25" w:rsidRPr="002B175D">
        <w:rPr>
          <w:rStyle w:val="da"/>
          <w:rFonts w:asciiTheme="minorEastAsia" w:eastAsiaTheme="minorEastAsia" w:hAnsiTheme="minorEastAsia" w:hint="eastAsia"/>
          <w:szCs w:val="21"/>
        </w:rPr>
        <w:t>广东省珠海市横琴新区宝华路6号105室－42891（集中办公区）</w:t>
      </w:r>
    </w:p>
    <w:p w:rsidR="0035483B" w:rsidRPr="002B175D" w:rsidRDefault="0035483B" w:rsidP="00861AD8">
      <w:pPr>
        <w:snapToGrid w:val="0"/>
        <w:spacing w:line="360" w:lineRule="auto"/>
        <w:ind w:firstLine="420"/>
        <w:rPr>
          <w:rFonts w:asciiTheme="minorEastAsia" w:eastAsiaTheme="minorEastAsia" w:hAnsiTheme="minorEastAsia"/>
        </w:rPr>
      </w:pPr>
      <w:r w:rsidRPr="002B175D">
        <w:rPr>
          <w:rFonts w:asciiTheme="minorEastAsia" w:eastAsiaTheme="minorEastAsia" w:hAnsiTheme="minorEastAsia" w:hint="eastAsia"/>
        </w:rPr>
        <w:t>办公地址：广州市天河区珠江新城珠江东路30号广州银行大厦40-43楼</w:t>
      </w:r>
    </w:p>
    <w:p w:rsidR="0035483B" w:rsidRPr="002B175D" w:rsidRDefault="0035483B" w:rsidP="00861AD8">
      <w:pPr>
        <w:snapToGrid w:val="0"/>
        <w:spacing w:line="360" w:lineRule="auto"/>
        <w:ind w:firstLine="420"/>
        <w:rPr>
          <w:rFonts w:asciiTheme="minorEastAsia" w:eastAsiaTheme="minorEastAsia" w:hAnsiTheme="minorEastAsia"/>
        </w:rPr>
      </w:pPr>
      <w:r w:rsidRPr="002B175D">
        <w:rPr>
          <w:rFonts w:asciiTheme="minorEastAsia" w:eastAsiaTheme="minorEastAsia" w:hAnsiTheme="minorEastAsia" w:hint="eastAsia"/>
        </w:rPr>
        <w:t>设立日期：2001年4月17日</w:t>
      </w:r>
    </w:p>
    <w:p w:rsidR="007042D4" w:rsidRPr="002B175D" w:rsidRDefault="0035483B" w:rsidP="00861AD8">
      <w:pPr>
        <w:snapToGrid w:val="0"/>
        <w:spacing w:line="360" w:lineRule="auto"/>
        <w:ind w:firstLine="420"/>
        <w:jc w:val="left"/>
        <w:rPr>
          <w:rFonts w:asciiTheme="minorEastAsia" w:eastAsiaTheme="minorEastAsia" w:hAnsiTheme="minorEastAsia"/>
        </w:rPr>
      </w:pPr>
      <w:r w:rsidRPr="002B175D">
        <w:rPr>
          <w:rFonts w:asciiTheme="minorEastAsia" w:eastAsiaTheme="minorEastAsia" w:hAnsiTheme="minorEastAsia" w:hint="eastAsia"/>
        </w:rPr>
        <w:t>法定代表人：</w:t>
      </w:r>
      <w:r w:rsidR="003944C1" w:rsidRPr="002B175D">
        <w:rPr>
          <w:rFonts w:asciiTheme="minorEastAsia" w:eastAsiaTheme="minorEastAsia" w:hAnsiTheme="minorEastAsia" w:hint="eastAsia"/>
        </w:rPr>
        <w:t>刘晓艳</w:t>
      </w:r>
    </w:p>
    <w:p w:rsidR="0035483B" w:rsidRPr="002B175D" w:rsidRDefault="0035483B" w:rsidP="00861AD8">
      <w:pPr>
        <w:snapToGrid w:val="0"/>
        <w:spacing w:line="360" w:lineRule="auto"/>
        <w:ind w:firstLine="420"/>
        <w:rPr>
          <w:rFonts w:asciiTheme="minorEastAsia" w:eastAsiaTheme="minorEastAsia" w:hAnsiTheme="minorEastAsia"/>
        </w:rPr>
      </w:pPr>
      <w:r w:rsidRPr="002B175D">
        <w:rPr>
          <w:rFonts w:asciiTheme="minorEastAsia" w:eastAsiaTheme="minorEastAsia" w:hAnsiTheme="minorEastAsia" w:hint="eastAsia"/>
        </w:rPr>
        <w:t>联系电话：4008818088</w:t>
      </w:r>
    </w:p>
    <w:p w:rsidR="0035483B" w:rsidRPr="002B175D" w:rsidRDefault="00D334A3" w:rsidP="00861AD8">
      <w:pPr>
        <w:snapToGrid w:val="0"/>
        <w:spacing w:line="360" w:lineRule="auto"/>
        <w:ind w:firstLine="420"/>
        <w:rPr>
          <w:rFonts w:asciiTheme="minorEastAsia" w:eastAsiaTheme="minorEastAsia" w:hAnsiTheme="minorEastAsia"/>
        </w:rPr>
      </w:pPr>
      <w:r w:rsidRPr="002B175D">
        <w:rPr>
          <w:rFonts w:asciiTheme="minorEastAsia" w:eastAsiaTheme="minorEastAsia" w:hAnsiTheme="minorEastAsia" w:hint="eastAsia"/>
        </w:rPr>
        <w:t>联系人：李红枫</w:t>
      </w:r>
    </w:p>
    <w:p w:rsidR="0035483B" w:rsidRPr="002B175D" w:rsidRDefault="0035483B" w:rsidP="00861AD8">
      <w:pPr>
        <w:snapToGrid w:val="0"/>
        <w:spacing w:line="360" w:lineRule="auto"/>
        <w:ind w:firstLine="420"/>
        <w:rPr>
          <w:rFonts w:asciiTheme="minorEastAsia" w:eastAsiaTheme="minorEastAsia" w:hAnsiTheme="minorEastAsia"/>
        </w:rPr>
      </w:pPr>
      <w:r w:rsidRPr="002B175D">
        <w:rPr>
          <w:rFonts w:asciiTheme="minorEastAsia" w:eastAsiaTheme="minorEastAsia" w:hAnsiTheme="minorEastAsia" w:hint="eastAsia"/>
        </w:rPr>
        <w:t>注册资本：12,000万元人民币</w:t>
      </w:r>
    </w:p>
    <w:p w:rsidR="0035483B" w:rsidRPr="002B175D" w:rsidRDefault="0035483B" w:rsidP="00861AD8">
      <w:pPr>
        <w:snapToGrid w:val="0"/>
        <w:spacing w:line="360" w:lineRule="auto"/>
        <w:ind w:firstLine="420"/>
        <w:rPr>
          <w:rFonts w:asciiTheme="minorEastAsia" w:eastAsiaTheme="minorEastAsia" w:hAnsiTheme="minorEastAsia"/>
        </w:rPr>
      </w:pPr>
      <w:r w:rsidRPr="002B175D">
        <w:rPr>
          <w:rFonts w:asciiTheme="minorEastAsia" w:eastAsiaTheme="minorEastAsia" w:hAnsiTheme="minorEastAsia" w:hint="eastAsia"/>
        </w:rPr>
        <w:t>批准设立机关及文号：</w:t>
      </w:r>
      <w:r w:rsidR="007817F8" w:rsidRPr="002B175D">
        <w:rPr>
          <w:rFonts w:asciiTheme="minorEastAsia" w:eastAsiaTheme="minorEastAsia" w:hAnsiTheme="minorEastAsia" w:hint="eastAsia"/>
        </w:rPr>
        <w:t>中国证券监督管理委员会</w:t>
      </w:r>
      <w:r w:rsidRPr="002B175D">
        <w:rPr>
          <w:rFonts w:asciiTheme="minorEastAsia" w:eastAsiaTheme="minorEastAsia" w:hAnsiTheme="minorEastAsia" w:hint="eastAsia"/>
        </w:rPr>
        <w:t>，证监基金字[2001]4号</w:t>
      </w:r>
    </w:p>
    <w:p w:rsidR="0035483B" w:rsidRPr="002B175D" w:rsidRDefault="0035483B" w:rsidP="00861AD8">
      <w:pPr>
        <w:snapToGrid w:val="0"/>
        <w:spacing w:line="360" w:lineRule="auto"/>
        <w:ind w:firstLine="420"/>
        <w:rPr>
          <w:rFonts w:asciiTheme="minorEastAsia" w:eastAsiaTheme="minorEastAsia" w:hAnsiTheme="minorEastAsia"/>
        </w:rPr>
      </w:pPr>
      <w:r w:rsidRPr="002B175D">
        <w:rPr>
          <w:rFonts w:asciiTheme="minorEastAsia" w:eastAsiaTheme="minorEastAsia" w:hAnsiTheme="minorEastAsia" w:hint="eastAsia"/>
        </w:rPr>
        <w:t>经营范围：</w:t>
      </w:r>
      <w:r w:rsidR="00BD3B25" w:rsidRPr="002B175D">
        <w:rPr>
          <w:rStyle w:val="da"/>
          <w:rFonts w:asciiTheme="minorEastAsia" w:eastAsiaTheme="minorEastAsia" w:hAnsiTheme="minorEastAsia" w:hint="eastAsia"/>
        </w:rPr>
        <w:t>公开募集证券投资基金管理、基金销售、特定客户资产管理</w:t>
      </w:r>
    </w:p>
    <w:p w:rsidR="00DC4340" w:rsidRPr="002B175D" w:rsidRDefault="00DC4340" w:rsidP="00861AD8">
      <w:pPr>
        <w:snapToGrid w:val="0"/>
        <w:spacing w:line="360" w:lineRule="auto"/>
        <w:ind w:firstLine="420"/>
        <w:rPr>
          <w:rFonts w:asciiTheme="minorEastAsia" w:eastAsiaTheme="minorEastAsia" w:hAnsiTheme="minorEastAsia"/>
        </w:rPr>
      </w:pPr>
      <w:r w:rsidRPr="002B175D">
        <w:rPr>
          <w:rFonts w:asciiTheme="minorEastAsia" w:eastAsiaTheme="minorEastAsia" w:hAnsiTheme="minorEastAsia"/>
        </w:rPr>
        <w:t>2、股权结构：</w:t>
      </w:r>
    </w:p>
    <w:tbl>
      <w:tblPr>
        <w:tblW w:w="4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1"/>
        <w:gridCol w:w="2411"/>
      </w:tblGrid>
      <w:tr w:rsidR="00893E2C" w:rsidRPr="002B175D" w:rsidTr="00DC4340">
        <w:trPr>
          <w:jc w:val="center"/>
        </w:trPr>
        <w:tc>
          <w:tcPr>
            <w:tcW w:w="3367" w:type="pct"/>
            <w:vAlign w:val="center"/>
          </w:tcPr>
          <w:p w:rsidR="00DC4340" w:rsidRPr="002B175D" w:rsidRDefault="00DC4340" w:rsidP="00861AD8">
            <w:pPr>
              <w:snapToGrid w:val="0"/>
              <w:spacing w:line="360" w:lineRule="auto"/>
              <w:ind w:firstLine="420"/>
              <w:jc w:val="center"/>
              <w:rPr>
                <w:rFonts w:asciiTheme="minorEastAsia" w:eastAsiaTheme="minorEastAsia" w:hAnsiTheme="minorEastAsia"/>
              </w:rPr>
            </w:pPr>
            <w:r w:rsidRPr="002B175D">
              <w:rPr>
                <w:rFonts w:asciiTheme="minorEastAsia" w:eastAsiaTheme="minorEastAsia" w:hAnsiTheme="minorEastAsia"/>
              </w:rPr>
              <w:t>股东名称</w:t>
            </w:r>
          </w:p>
        </w:tc>
        <w:tc>
          <w:tcPr>
            <w:tcW w:w="1633" w:type="pct"/>
            <w:vAlign w:val="center"/>
          </w:tcPr>
          <w:p w:rsidR="00DC4340" w:rsidRPr="002B175D" w:rsidRDefault="00DC4340" w:rsidP="00861AD8">
            <w:pPr>
              <w:snapToGrid w:val="0"/>
              <w:spacing w:line="360" w:lineRule="auto"/>
              <w:ind w:firstLine="420"/>
              <w:jc w:val="center"/>
              <w:rPr>
                <w:rFonts w:asciiTheme="minorEastAsia" w:eastAsiaTheme="minorEastAsia" w:hAnsiTheme="minorEastAsia"/>
              </w:rPr>
            </w:pPr>
            <w:r w:rsidRPr="002B175D">
              <w:rPr>
                <w:rFonts w:asciiTheme="minorEastAsia" w:eastAsiaTheme="minorEastAsia" w:hAnsiTheme="minorEastAsia"/>
              </w:rPr>
              <w:t>出资比例</w:t>
            </w:r>
          </w:p>
        </w:tc>
      </w:tr>
      <w:tr w:rsidR="00893E2C" w:rsidRPr="002B175D" w:rsidTr="00DC4340">
        <w:trPr>
          <w:jc w:val="center"/>
        </w:trPr>
        <w:tc>
          <w:tcPr>
            <w:tcW w:w="3367" w:type="pct"/>
            <w:vAlign w:val="center"/>
          </w:tcPr>
          <w:p w:rsidR="00DC4340" w:rsidRPr="002B175D" w:rsidRDefault="00DC4340" w:rsidP="00861AD8">
            <w:pPr>
              <w:snapToGrid w:val="0"/>
              <w:spacing w:line="360" w:lineRule="auto"/>
              <w:ind w:firstLine="420"/>
              <w:rPr>
                <w:rFonts w:asciiTheme="minorEastAsia" w:eastAsiaTheme="minorEastAsia" w:hAnsiTheme="minorEastAsia"/>
              </w:rPr>
            </w:pPr>
            <w:r w:rsidRPr="002B175D">
              <w:rPr>
                <w:rFonts w:asciiTheme="minorEastAsia" w:eastAsiaTheme="minorEastAsia" w:hAnsiTheme="minorEastAsia"/>
              </w:rPr>
              <w:t>广东粤财信托有限公司</w:t>
            </w:r>
          </w:p>
        </w:tc>
        <w:tc>
          <w:tcPr>
            <w:tcW w:w="1633" w:type="pct"/>
            <w:vAlign w:val="center"/>
          </w:tcPr>
          <w:p w:rsidR="00DC4340" w:rsidRPr="002B175D" w:rsidRDefault="00DC4340" w:rsidP="00861AD8">
            <w:pPr>
              <w:snapToGrid w:val="0"/>
              <w:spacing w:line="360" w:lineRule="auto"/>
              <w:ind w:firstLine="420"/>
              <w:jc w:val="center"/>
              <w:rPr>
                <w:rFonts w:asciiTheme="minorEastAsia" w:eastAsiaTheme="minorEastAsia" w:hAnsiTheme="minorEastAsia"/>
              </w:rPr>
            </w:pPr>
            <w:r w:rsidRPr="002B175D">
              <w:rPr>
                <w:rFonts w:asciiTheme="minorEastAsia" w:eastAsiaTheme="minorEastAsia" w:hAnsiTheme="minorEastAsia"/>
              </w:rPr>
              <w:t>1/4</w:t>
            </w:r>
          </w:p>
        </w:tc>
      </w:tr>
      <w:tr w:rsidR="00893E2C" w:rsidRPr="002B175D" w:rsidTr="00DC4340">
        <w:trPr>
          <w:jc w:val="center"/>
        </w:trPr>
        <w:tc>
          <w:tcPr>
            <w:tcW w:w="3367" w:type="pct"/>
            <w:vAlign w:val="center"/>
          </w:tcPr>
          <w:p w:rsidR="00DC4340" w:rsidRPr="002B175D" w:rsidRDefault="00DC4340" w:rsidP="00861AD8">
            <w:pPr>
              <w:snapToGrid w:val="0"/>
              <w:spacing w:line="360" w:lineRule="auto"/>
              <w:ind w:firstLine="420"/>
              <w:rPr>
                <w:rFonts w:asciiTheme="minorEastAsia" w:eastAsiaTheme="minorEastAsia" w:hAnsiTheme="minorEastAsia"/>
              </w:rPr>
            </w:pPr>
            <w:r w:rsidRPr="002B175D">
              <w:rPr>
                <w:rFonts w:asciiTheme="minorEastAsia" w:eastAsiaTheme="minorEastAsia" w:hAnsiTheme="minorEastAsia"/>
              </w:rPr>
              <w:t>广发证券股份有限公司</w:t>
            </w:r>
          </w:p>
        </w:tc>
        <w:tc>
          <w:tcPr>
            <w:tcW w:w="1633" w:type="pct"/>
            <w:vAlign w:val="center"/>
          </w:tcPr>
          <w:p w:rsidR="00DC4340" w:rsidRPr="002B175D" w:rsidRDefault="00DC4340" w:rsidP="00861AD8">
            <w:pPr>
              <w:snapToGrid w:val="0"/>
              <w:spacing w:line="360" w:lineRule="auto"/>
              <w:ind w:firstLine="420"/>
              <w:jc w:val="center"/>
              <w:rPr>
                <w:rFonts w:asciiTheme="minorEastAsia" w:eastAsiaTheme="minorEastAsia" w:hAnsiTheme="minorEastAsia"/>
              </w:rPr>
            </w:pPr>
            <w:r w:rsidRPr="002B175D">
              <w:rPr>
                <w:rFonts w:asciiTheme="minorEastAsia" w:eastAsiaTheme="minorEastAsia" w:hAnsiTheme="minorEastAsia"/>
              </w:rPr>
              <w:t>1/4</w:t>
            </w:r>
          </w:p>
        </w:tc>
      </w:tr>
      <w:tr w:rsidR="00893E2C" w:rsidRPr="002B175D" w:rsidTr="00DC4340">
        <w:trPr>
          <w:jc w:val="center"/>
        </w:trPr>
        <w:tc>
          <w:tcPr>
            <w:tcW w:w="3367" w:type="pct"/>
            <w:vAlign w:val="center"/>
          </w:tcPr>
          <w:p w:rsidR="00DC4340" w:rsidRPr="002B175D" w:rsidRDefault="00DC4340" w:rsidP="00861AD8">
            <w:pPr>
              <w:snapToGrid w:val="0"/>
              <w:spacing w:line="360" w:lineRule="auto"/>
              <w:ind w:firstLine="420"/>
              <w:rPr>
                <w:rFonts w:asciiTheme="minorEastAsia" w:eastAsiaTheme="minorEastAsia" w:hAnsiTheme="minorEastAsia"/>
              </w:rPr>
            </w:pPr>
            <w:r w:rsidRPr="002B175D">
              <w:rPr>
                <w:rFonts w:asciiTheme="minorEastAsia" w:eastAsiaTheme="minorEastAsia" w:hAnsiTheme="minorEastAsia"/>
              </w:rPr>
              <w:t>盈峰投资控股集团有限公司</w:t>
            </w:r>
          </w:p>
        </w:tc>
        <w:tc>
          <w:tcPr>
            <w:tcW w:w="1633" w:type="pct"/>
            <w:vAlign w:val="center"/>
          </w:tcPr>
          <w:p w:rsidR="00DC4340" w:rsidRPr="002B175D" w:rsidRDefault="00DC4340" w:rsidP="00861AD8">
            <w:pPr>
              <w:snapToGrid w:val="0"/>
              <w:spacing w:line="360" w:lineRule="auto"/>
              <w:ind w:firstLine="420"/>
              <w:jc w:val="center"/>
              <w:rPr>
                <w:rFonts w:asciiTheme="minorEastAsia" w:eastAsiaTheme="minorEastAsia" w:hAnsiTheme="minorEastAsia"/>
              </w:rPr>
            </w:pPr>
            <w:r w:rsidRPr="002B175D">
              <w:rPr>
                <w:rFonts w:asciiTheme="minorEastAsia" w:eastAsiaTheme="minorEastAsia" w:hAnsiTheme="minorEastAsia"/>
              </w:rPr>
              <w:t>1/4</w:t>
            </w:r>
          </w:p>
        </w:tc>
      </w:tr>
      <w:tr w:rsidR="00893E2C" w:rsidRPr="002B175D" w:rsidTr="00DC4340">
        <w:trPr>
          <w:jc w:val="center"/>
        </w:trPr>
        <w:tc>
          <w:tcPr>
            <w:tcW w:w="3367" w:type="pct"/>
            <w:vAlign w:val="center"/>
          </w:tcPr>
          <w:p w:rsidR="00DC4340" w:rsidRPr="002B175D" w:rsidRDefault="00DC4340" w:rsidP="00861AD8">
            <w:pPr>
              <w:snapToGrid w:val="0"/>
              <w:spacing w:line="360" w:lineRule="auto"/>
              <w:ind w:firstLine="420"/>
              <w:rPr>
                <w:rFonts w:asciiTheme="minorEastAsia" w:eastAsiaTheme="minorEastAsia" w:hAnsiTheme="minorEastAsia"/>
              </w:rPr>
            </w:pPr>
            <w:r w:rsidRPr="002B175D">
              <w:rPr>
                <w:rFonts w:asciiTheme="minorEastAsia" w:eastAsiaTheme="minorEastAsia" w:hAnsiTheme="minorEastAsia"/>
              </w:rPr>
              <w:t>广东省广晟资产经营有限公司</w:t>
            </w:r>
          </w:p>
        </w:tc>
        <w:tc>
          <w:tcPr>
            <w:tcW w:w="1633" w:type="pct"/>
            <w:vAlign w:val="center"/>
          </w:tcPr>
          <w:p w:rsidR="00DC4340" w:rsidRPr="002B175D" w:rsidRDefault="00DC4340" w:rsidP="00861AD8">
            <w:pPr>
              <w:snapToGrid w:val="0"/>
              <w:spacing w:line="360" w:lineRule="auto"/>
              <w:ind w:firstLine="420"/>
              <w:jc w:val="center"/>
              <w:rPr>
                <w:rFonts w:asciiTheme="minorEastAsia" w:eastAsiaTheme="minorEastAsia" w:hAnsiTheme="minorEastAsia"/>
              </w:rPr>
            </w:pPr>
            <w:r w:rsidRPr="002B175D">
              <w:rPr>
                <w:rFonts w:asciiTheme="minorEastAsia" w:eastAsiaTheme="minorEastAsia" w:hAnsiTheme="minorEastAsia"/>
              </w:rPr>
              <w:t>1/6</w:t>
            </w:r>
          </w:p>
        </w:tc>
      </w:tr>
      <w:tr w:rsidR="00893E2C" w:rsidRPr="002B175D" w:rsidTr="00DC4340">
        <w:trPr>
          <w:jc w:val="center"/>
        </w:trPr>
        <w:tc>
          <w:tcPr>
            <w:tcW w:w="3367" w:type="pct"/>
            <w:vAlign w:val="center"/>
          </w:tcPr>
          <w:p w:rsidR="00DC4340" w:rsidRPr="002B175D" w:rsidRDefault="00DC4340" w:rsidP="00861AD8">
            <w:pPr>
              <w:snapToGrid w:val="0"/>
              <w:spacing w:line="360" w:lineRule="auto"/>
              <w:ind w:firstLine="420"/>
              <w:rPr>
                <w:rFonts w:asciiTheme="minorEastAsia" w:eastAsiaTheme="minorEastAsia" w:hAnsiTheme="minorEastAsia"/>
              </w:rPr>
            </w:pPr>
            <w:r w:rsidRPr="002B175D">
              <w:rPr>
                <w:rFonts w:asciiTheme="minorEastAsia" w:eastAsiaTheme="minorEastAsia" w:hAnsiTheme="minorEastAsia"/>
              </w:rPr>
              <w:t>广州市广永国有资产经营有限公司</w:t>
            </w:r>
          </w:p>
        </w:tc>
        <w:tc>
          <w:tcPr>
            <w:tcW w:w="1633" w:type="pct"/>
            <w:vAlign w:val="center"/>
          </w:tcPr>
          <w:p w:rsidR="00DC4340" w:rsidRPr="002B175D" w:rsidRDefault="00DC4340" w:rsidP="00861AD8">
            <w:pPr>
              <w:snapToGrid w:val="0"/>
              <w:spacing w:line="360" w:lineRule="auto"/>
              <w:ind w:firstLine="420"/>
              <w:jc w:val="center"/>
              <w:rPr>
                <w:rFonts w:asciiTheme="minorEastAsia" w:eastAsiaTheme="minorEastAsia" w:hAnsiTheme="minorEastAsia"/>
              </w:rPr>
            </w:pPr>
            <w:r w:rsidRPr="002B175D">
              <w:rPr>
                <w:rFonts w:asciiTheme="minorEastAsia" w:eastAsiaTheme="minorEastAsia" w:hAnsiTheme="minorEastAsia"/>
              </w:rPr>
              <w:t>1/12</w:t>
            </w:r>
          </w:p>
        </w:tc>
      </w:tr>
      <w:tr w:rsidR="00893E2C" w:rsidRPr="002B175D" w:rsidTr="00DC4340">
        <w:trPr>
          <w:jc w:val="center"/>
        </w:trPr>
        <w:tc>
          <w:tcPr>
            <w:tcW w:w="3367" w:type="pct"/>
            <w:vAlign w:val="center"/>
          </w:tcPr>
          <w:p w:rsidR="00DC4340" w:rsidRPr="002B175D" w:rsidRDefault="00DC4340" w:rsidP="00861AD8">
            <w:pPr>
              <w:snapToGrid w:val="0"/>
              <w:spacing w:line="360" w:lineRule="auto"/>
              <w:ind w:firstLine="420"/>
              <w:rPr>
                <w:rFonts w:asciiTheme="minorEastAsia" w:eastAsiaTheme="minorEastAsia" w:hAnsiTheme="minorEastAsia"/>
              </w:rPr>
            </w:pPr>
            <w:r w:rsidRPr="002B175D">
              <w:rPr>
                <w:rFonts w:asciiTheme="minorEastAsia" w:eastAsiaTheme="minorEastAsia" w:hAnsiTheme="minorEastAsia"/>
              </w:rPr>
              <w:t>总计</w:t>
            </w:r>
          </w:p>
        </w:tc>
        <w:tc>
          <w:tcPr>
            <w:tcW w:w="1633" w:type="pct"/>
            <w:vAlign w:val="center"/>
          </w:tcPr>
          <w:p w:rsidR="00DC4340" w:rsidRPr="002B175D" w:rsidRDefault="00DC4340" w:rsidP="00861AD8">
            <w:pPr>
              <w:snapToGrid w:val="0"/>
              <w:spacing w:line="360" w:lineRule="auto"/>
              <w:ind w:firstLine="420"/>
              <w:jc w:val="center"/>
              <w:rPr>
                <w:rFonts w:asciiTheme="minorEastAsia" w:eastAsiaTheme="minorEastAsia" w:hAnsiTheme="minorEastAsia"/>
              </w:rPr>
            </w:pPr>
            <w:r w:rsidRPr="002B175D">
              <w:rPr>
                <w:rFonts w:asciiTheme="minorEastAsia" w:eastAsiaTheme="minorEastAsia" w:hAnsiTheme="minorEastAsia"/>
              </w:rPr>
              <w:t>100%</w:t>
            </w:r>
          </w:p>
        </w:tc>
      </w:tr>
    </w:tbl>
    <w:p w:rsidR="00BA4B87" w:rsidRPr="002B175D" w:rsidRDefault="002E1C38" w:rsidP="00861AD8">
      <w:pPr>
        <w:snapToGrid w:val="0"/>
        <w:spacing w:line="360" w:lineRule="auto"/>
        <w:ind w:firstLineChars="200" w:firstLine="420"/>
        <w:rPr>
          <w:rStyle w:val="da"/>
          <w:rFonts w:asciiTheme="minorEastAsia" w:eastAsiaTheme="minorEastAsia" w:hAnsiTheme="minorEastAsia"/>
        </w:rPr>
      </w:pPr>
      <w:r w:rsidRPr="002B175D">
        <w:rPr>
          <w:rStyle w:val="da"/>
          <w:rFonts w:asciiTheme="minorEastAsia" w:eastAsiaTheme="minorEastAsia" w:hAnsiTheme="minorEastAsia" w:hint="eastAsia"/>
        </w:rPr>
        <w:t>（</w:t>
      </w:r>
      <w:r w:rsidR="008D4032" w:rsidRPr="002B175D">
        <w:rPr>
          <w:rStyle w:val="da"/>
          <w:rFonts w:asciiTheme="minorEastAsia" w:eastAsiaTheme="minorEastAsia" w:hAnsiTheme="minorEastAsia" w:hint="eastAsia"/>
        </w:rPr>
        <w:t>二</w:t>
      </w:r>
      <w:r w:rsidRPr="002B175D">
        <w:rPr>
          <w:rStyle w:val="da"/>
          <w:rFonts w:asciiTheme="minorEastAsia" w:eastAsiaTheme="minorEastAsia" w:hAnsiTheme="minorEastAsia" w:hint="eastAsia"/>
        </w:rPr>
        <w:t>）</w:t>
      </w:r>
      <w:r w:rsidR="00BA4B87" w:rsidRPr="002B175D">
        <w:rPr>
          <w:rStyle w:val="da"/>
          <w:rFonts w:asciiTheme="minorEastAsia" w:eastAsiaTheme="minorEastAsia" w:hAnsiTheme="minorEastAsia" w:hint="eastAsia"/>
        </w:rPr>
        <w:t>主要人员情况</w:t>
      </w:r>
      <w:bookmarkEnd w:id="3"/>
    </w:p>
    <w:p w:rsidR="00BA4B87" w:rsidRPr="002B175D" w:rsidRDefault="00BA4B87"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1、董事、监事及高级管理人员</w:t>
      </w:r>
    </w:p>
    <w:p w:rsidR="00075172" w:rsidRPr="002B175D" w:rsidRDefault="00075172" w:rsidP="00075172">
      <w:pPr>
        <w:snapToGrid w:val="0"/>
        <w:spacing w:line="360" w:lineRule="auto"/>
        <w:ind w:firstLineChars="200" w:firstLine="420"/>
        <w:rPr>
          <w:rFonts w:asciiTheme="minorEastAsia" w:eastAsiaTheme="minorEastAsia" w:hAnsiTheme="minorEastAsia"/>
        </w:rPr>
      </w:pPr>
      <w:bookmarkStart w:id="4" w:name="_Toc332373449"/>
      <w:r w:rsidRPr="002B175D">
        <w:rPr>
          <w:rFonts w:asciiTheme="minorEastAsia" w:eastAsiaTheme="minorEastAsia" w:hAnsiTheme="minorEastAsia" w:hint="eastAsia"/>
        </w:rPr>
        <w:t>詹余引先生，工商管理博士，董事长。曾任中国平安保险公司证券部研究咨询室总经理助理；平安证券有限责任公司研究咨询部副总经理（主持工作）、国债部副总经理（主持工作）、资产管理部副总经理、总经理；中国平安保险股份有限公司投资管理部副总经理（主持工作）；全国社会保障基金理事会投资部资产配置处处长、投资部副主任、境外投资部主任、投资部主任、证券投资部主任。现任易方达基金管理有限公司董事长；易方达国际控股有限公司董事长。</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刘晓艳女士，经济学博士，副董事长、总裁。曾任广发证券有限责任公司投资理财部副经理、基金经理，基金投资理财部副总经理、基金资产管理部总经理；易方达基金管理有限公司督察员、监察部总经理、市场部总经理、总裁助理、公司副总裁、常务副总裁。现任易方达基金管理有限公司副董事长、总裁；易方达资产管理（香港）有限公司董事长。</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周泽群先生，高级管理人员工商管理硕士（EMBA），董事。曾任珠海粤财实业有限公司董事长；粤财控股（北京）有限公司总经理、董事长；广东粤财投资控股有限公司总经理助理、办公室主任，广东粤财投资控股有限公司副总经理。现任广东粤财投资控股有限公司董事、总经理。</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秦力先生，经济学博士，董事。曾任广发证券投资银行部常务副总经理、投资理财部总经理、资金营运部总经理、规划管理部总经理、投资自营部总经理、公司总经理助理、副总经理；广东金融高新区股权交易中心有限公司董事长；广发控股（香港）有限公司董事。现任广发证券股份有限公司执行董事、常务副总经理；广发证券资产管理（广东）有限公司董事长。</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陈志辉先生，管理学硕士，董事。曾任美的集团税务总监；安永会计师事务所广州分所高级审计员；盈峰投资控股集团有限公司资财中心总经理。现任宁波盈峰股权投资基金管理有限公司合伙人、联席总裁；深圳市盈峰环保产业基金管理有限公司监事；广东顺德盈峰互联网产业投资管理有限公司监事；广东神华保险代理有限公司董事；厦门瑞为信息技术有限公司董事。</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戚思胤先生，经济学硕士，董事。曾任广东省高速公路发展股份有限公司证券部投资者关系管理业务员、投资者关系管理主管、信息披露主管、证券事务代表；广东省广晟资产经营有限公司资本运营部高级主管、团委副书记、副部长、部长；（香港）广晟投资发展有限公司董事、常务副总经理等职务。现任广东省广晟资产经营有限公司董事会办公室（法务中心）主任；广东风华高新科技股份有限公司董事；佛山电器照明股份有限公司董事；深圳市中金岭南有色金属股份有限公司董事；佛山市国星光电股份有限公司董事；广东南粤银行股份有限公司董事。</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忻榕女士，工商行政管理博士，独立董事。曾任中科院研究生院讲师；美国加州高温橡胶公司市场部经理；美国加州大学讲师；美国南加州大学助理教授；香港科技大学副教授；中欧国际工商学院教授；瑞士洛桑管理学院教授。现任中欧国际工商学院教授；复星旅游文化集团（开曼）有限公司独立董事。</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谭劲松先生，管理学博士（会计学），独立董事。曾任邵阳市财会学校教师；中山大学管理学院助教、讲师、副教授。现任中山大学管理学院教授；中远海运特种运输股份有限公司独立董事；上海莱士血液制品股份有限公司独立董事；珠海华发实业股份有限公司独立董事；广州恒运企业集团股份有限公司独立董事；中国南方航空股份有限公司独立董事。</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庄伟燕女士，法学博士，独立董事。曾任广东省妇女联合会干部；广东鸿鼎律师事务所主任；广东广悦鸿鼎律师事务所管委会主任。现任广东广信君达律师事务所党委副书记、高级合伙人。</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陈国祥先生，经济学硕士，监事会主席。曾任交通银行广州分行江南西营业部经理；广东粤财信托投资公司证券部副总经理、基金部总经理；易方达基金管理有限公司市场拓展部总经理、总裁助理、市场总监。现任易方达基金管理有限公司监事会主席。</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赵必伟先生，经济学专业研究生，监事。曾任广州市财政局第四分局工作专管员；广州市税务局对外分局工作科长、副局长；广州市广永国有资产经营有限公司董事副总裁、总裁；香港广永财务有限公司副总经理、总经理；广州市广永经贸公司总经理；广州银行股份有限公司副董事长；广州广永丽都酒店有限公司董事。现任广州市广永国有资产经营有限公司董事长、党总支书记；万联证券股份有限公司董事；广州赛马娱乐总公司副董事长；广州银行股份有限公司董事。</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廖智先生，经济学硕士，监事。曾任广东证券股份有限公司基金部主管；易方达基金管理有限公司综合管理部副总经理、人力资源部副总经理、市场部总经理、互联网金融部总经理。现任易方达基金管理有限公司总裁助理；广东粤财互联网金融股份有限公司董事。</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张优造先生，工商管理硕士(MBA)，常务副总裁。曾任南方证券交易中心业务发展部经理；广东证券公司发行上市部经理；深圳证券业务部总经理、基金部总经理；易方达基金管理有限公司董事、副总裁。现任易方达基金管理有限公司常务副总裁；易方达国际控股有限公司董事。</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陈彤先生，经济学博士，副总裁。曾任中国经济开发信托投资公司成都营业部研发部副经理、交易部经理、研发部经理、证券总部研究部行业研究员；易方达基金管理有限公司市场拓展部主管、基金科瑞基金经理、市场部华东区大区销售经理、市场部总经理助理、南京分公司总经理、成都分公司总经理、上海分公司总经理、总裁助理、市场总监。现任易方达基金管理有限公司副总裁；易方达国际控股有限公司董事。</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马骏先生，高级管理人员工商管理硕士（EMBA），副总裁。曾任君安证券有限公司营业部职员；深圳众大投资有限公司投资部副总经理；广发证券有限责任公司研究员；易方达基金管理有限公司固定收益部总经理、现金管理部总经理、固定收益总部总经理、总裁助理、固定收益投资总监、固定收益首席投资官、基金科讯基金经理、易方达50指数证券投资基金基金经理、易方达深证100交易型开放式指数基金基金经理。现任易方达基金管理有限公司副总裁；易方达资产管理（香港）有限公司董事、人民币合格境外投资者（RQFII）业务负责人、证券交易负责人员（RO）、就证券提供意见负责人员（RO）、提供资产管理负责人员（RO）、固定收益投资决策委员会委员、产品审批委员会委员。</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吴欣荣先生，工学硕士，副总裁。曾任易方达基金管理有限公司研究员、投资管理部经理、基金投资部副总经理、研究部副总经理、研究部总经理、基金投资部总经理、公募基金投资部总经理、权益投资总部总经理、总裁助理、权益投资总监、基金科瑞基金经理、易方达科汇灵活配置混合型证券投资基金基金经理、易方达价值精选股票型证券投资基金基金经理。现任易方达基金管理有限公司副总裁；易方达国际控股有限公司董事。</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张南女士，经济学博士，督察长。曾任广东省经济贸易委员会主任科员、副处长；易方达基金管理有限公司市场拓展部副总经理、监察部总经理。现任易方达基金管理有限公司督察长。</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范岳先生，工商管理硕士(MBA)，首席产品官。曾任中国工商银行深圳分行国际业务部科员；深圳证券登记结算公司办公室经理、国际部经理；深圳证券交易所北京中心助理主任、上市部副总监、基金债券部副总监、基金管理部总监。现任易方达基金管理有限公司首席产品官。</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关秀霞女士，财务硕士、工商管理硕士，首席国际业务官。曾任中国银行 (香港) 分析员；Daniel Dennis 高级审计师；美国道富银行波士顿及亚洲总部大中华地区高级副总裁、董事总经理、中国区行长、亚洲区（除日本外）副总裁、机构服务主管、美国共同基金业务风险经理、公司内部审计部高级审计师。现任易方达基金管理有限公司首席国际业务官。</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高松凡先生，高级管理人员工商管理硕士（EMBA），首席养老金业务官。曾任招商银行总行人事部高级经理、企业年金中心副主任；浦东发展银行总行企业年金部总经理；长江养老保险公司首席市场总监；易方达基金管理有限公司养老金业务总监。现任易方达基金管理有限公司首席养老金业务官。</w:t>
      </w:r>
    </w:p>
    <w:p w:rsidR="00075172" w:rsidRPr="002B175D" w:rsidRDefault="00075172" w:rsidP="0007517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陈荣女士，经济学博士，首席运营官。曾任中国人民银行广州分行统计研究处科员；易方达基金管理有限公司运作支持部经理、核算部总经理助理、核算部副总经理、核算部总经理、投资风险管理部总经理、公司总裁助理、公司董事会秘书。现任易方达基金管理有限公司首席运营官，兼任公司财务中心主任；易方达资产管理（香港）有限公司董事；易方达资产管理有限公司监事；易方达海外投资（深圳）有限公司监事。</w:t>
      </w:r>
    </w:p>
    <w:p w:rsidR="00C75C04" w:rsidRPr="002B175D" w:rsidRDefault="00075172" w:rsidP="00847F22">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汪兰英女士，工学学士、法学学士，首席大类资产配置官。曾任中信证券股份有限公司风险投资部投资经理助理；中国证监会基金监管部副主任科员、主任科员、副处长、处长；中国人寿资产管理有限公司风险管理部副总经理（主持工作）、项目评审部副总经理（主持工作）、基金投资部副总经理（主持工作）。现任易方达基金管理有限公司首席大类资产配置官；易方达资产管理有限公司董事。</w:t>
      </w:r>
    </w:p>
    <w:p w:rsidR="00BA4B87" w:rsidRPr="002B175D" w:rsidRDefault="00BA4B87"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2、基金经理</w:t>
      </w:r>
      <w:bookmarkEnd w:id="4"/>
    </w:p>
    <w:p w:rsidR="00CE293F" w:rsidRPr="002B175D" w:rsidRDefault="00CE293F" w:rsidP="00CE293F">
      <w:pPr>
        <w:snapToGrid w:val="0"/>
        <w:spacing w:line="360" w:lineRule="auto"/>
        <w:ind w:firstLineChars="200" w:firstLine="420"/>
        <w:rPr>
          <w:rFonts w:asciiTheme="minorEastAsia" w:eastAsiaTheme="minorEastAsia" w:hAnsiTheme="minorEastAsia"/>
        </w:rPr>
      </w:pPr>
      <w:bookmarkStart w:id="5" w:name="_Toc332373450"/>
      <w:r w:rsidRPr="002B175D">
        <w:rPr>
          <w:rFonts w:asciiTheme="minorEastAsia" w:eastAsiaTheme="minorEastAsia" w:hAnsiTheme="minorEastAsia" w:hint="eastAsia"/>
        </w:rPr>
        <w:t>张清华先生，物理学硕士。曾任晨星资讯（深圳）有限公司数量分析师，中信证券股份有限公司研究员，易方达基金管理有限公司投资经理、固定收益基金投资部总经理、易方达裕如灵活配置混合型证券投资基金基金经理（自2015年4月2日至2018年2月1日）、易方达新收益灵活配置混合型证券投资基金基金经理（自2015年4月17日至2018年2月1日）、易方达瑞选灵活配置混合型证券投资基金基金经理（自2015年12月9日至2018年2月1日）、易方达新利灵活配置混合型证券投资基金基金经理（自2016年3月15日至2018年2月1日）、易方达新鑫灵活配置混合型证券投资基金基金经理（自2016年3月15日至2018年2月1日）、易方达新享灵活配置混合型证券投资基金基金经理（自2016年3月29日至2018年2月1日）、易方达瑞景灵活配置混合型证券投资基金基金经理（自2016年8月6日至2018年2月1日）、易方达瑞通灵活配置混合型证券投资基金基金经理（自2016年12月7日至2018年2月1日）、易方达瑞程灵活配置混合型证券投资基金基金经理（自2016年12月15日至2018年2月1日）、易方达瑞弘灵活配置混合型证券投资基金基金经理（自2017年1月11日至2018年2月1日）。现任易方达基金管理有限公司混合资产投资部总经理、易方达安心回报债券型证券投资基金基金经理（自2013年12月23日起任职）、易方达裕丰回报债券型证券投资基金基金经理（自2014年1月9日起任职）、易方达安心回馈混合型证券投资基金基金经理（自2015年5月29日起任职）、易方达裕祥回报债券型证券投资基金基金经理（自2016年1月22日起任职）、易方达裕鑫债券型证券投资基金基金经理（自2016年9月5日起任职）、易方达丰和债券型证券投资基金基金经理（自2016年11月23日起任职）、易方达安盈回报混合型证券投资基金基金经理（自2017年2月16日起任职）、易方达瑞信灵活配置混合型证券投资基金基金经理（自2018年1月30日起任职）、易方达瑞和灵活配置混合型证券投资基金基金经理（自2018年2月7日起任职）、易方达鑫转添利混合型证券投资基金基金经理（自2018年8月9日起任职）、易方达鑫转增利混合型证券投资基金基金经理（自2018年11月7日起任职）、易方达新收益灵活配置混合型证券投资基金基金经理（自2018年12月25日起任职）、易方达鑫转招利混合型证券投资基金基金经理（自2019年1月29日起任职）、易方达丰华债券型证券投资基金基金经理（自2019年2月19日起任职）。</w:t>
      </w:r>
    </w:p>
    <w:p w:rsidR="00CE293F" w:rsidRPr="002B175D" w:rsidRDefault="00CE293F" w:rsidP="00CE293F">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韩阅川先生，统计学硕士。曾任嘉实基金管理有限公司固定收益部投资经理。现任易方达基金管理有限公司易方达瑞信灵活配置混合型证券投资基金基金经理助理、易方达瑞和灵活配置混合型证券投资基金基金经理助理、易方达新收益灵活配置混合型证券投资基金基金经理助理、易方达裕鑫债券型证券投资基金基金经理助理、易方达瑞选灵活配置混合型证券投资基金基金经理助理、易方达新益灵活配置混合型证券投资基金基金经理助理、易方达新享灵活配置混合型证券投资基金基金经理助理、易方达新利灵活配置混合型证券投资基金基金经理助理、易方达瑞景灵活配置混合型证券投资基金、易方达瑞兴灵活配置混合型证券投资基金基金经理助理、易方达瑞祥灵活配置混合型证券投资基金基金经理助理、易方达瑞智灵活配置混合型证券投资基金基金经理助理、易方达新鑫灵活配置混合型证券投资基金基金经理助理。</w:t>
      </w:r>
    </w:p>
    <w:p w:rsidR="00CE293F" w:rsidRPr="002B175D" w:rsidRDefault="00CE293F" w:rsidP="00CE293F">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本基金历任基金经理情况：张清华先生，管理期间为2015年4月17日至2018年2月1日；林森先生，管理期间为2017年12月30日至2019年1月7日。</w:t>
      </w:r>
    </w:p>
    <w:p w:rsidR="00CE293F" w:rsidRPr="002B175D" w:rsidRDefault="00CE293F" w:rsidP="00CE293F">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3、固定收益投资决策委员会成员</w:t>
      </w:r>
    </w:p>
    <w:p w:rsidR="00CE293F" w:rsidRPr="002B175D" w:rsidRDefault="00CE293F" w:rsidP="00CE293F">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本公司固定收益投资决策委员会成员包括：马骏先生、王晓晨女士、张清华先生、袁方女士、胡剑先生。</w:t>
      </w:r>
    </w:p>
    <w:p w:rsidR="00CE293F" w:rsidRPr="002B175D" w:rsidRDefault="00CE293F" w:rsidP="00CE293F">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马骏先生，同上。</w:t>
      </w:r>
    </w:p>
    <w:p w:rsidR="00CE293F" w:rsidRPr="002B175D" w:rsidRDefault="00CE293F" w:rsidP="00CE293F">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王晓晨女士，经济学硕士。曾任易方达基金管理有限公司集中交易室债券交易员、债券交易主管、固定收益总部总经理助理、固定收益基金投资部副总经理、易方达货币市场基金基金经理、易方达保证金收益货币市场基金基金经理、易方达保本一号混合型证券投资基金基金经理。现任易方达基金管理有限公司固定收益投资部副总经理、易方达增强回报债券型证券投资基金基金经理、易方达投资级信用债债券型证券投资基金基金经理、易方达中债新综合债券指数发起式证券投资基金（LOF）基金经理、易方达双债增强债券型证券投资基金基金经理、易方达纯债债券型证券投资基金基金经理、易方达中债3-5年期国债指数证券投资基金基金经理、易方达中债7-10年期国开行债券指数证券投资基金基金经理、易方达恒益定期开放债券型发起式证券投资基金基金经理、易方达新鑫灵活配置混合型证券投资基金基金经理、易方达恒安定期开放债券型发起式证券投资基金基金经理、易方达富财纯债债券型证券投资基金基金经理、易方达安瑞短债债券型证券投资基金基金经理、易方达中债1-3年国开行债券指数证券投资基金基金经理，兼易方达资产管理（香港）有限公司基金经理、就证券提供意见负责人员（RO）、提供资产管理负责人员（RO）、易方达资产管理（香港）有限公司固定收益投资决策委员会委员。</w:t>
      </w:r>
    </w:p>
    <w:p w:rsidR="00CE293F" w:rsidRPr="002B175D" w:rsidRDefault="00CE293F" w:rsidP="00CE293F">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张清华先生，同上。</w:t>
      </w:r>
    </w:p>
    <w:p w:rsidR="00CE293F" w:rsidRPr="002B175D" w:rsidRDefault="00CE293F" w:rsidP="00CE293F">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袁方女士，工学硕士。曾任中慧会计师事务所审计师、资产评估师，湘财证券有限责任公司投资经理，泰康人寿保险公司投资经理，天弘基金管理有限公司基金经理、固定收益总监，泰康资产管理有限责任公司年金投资部高级投资经理、执行总监，易方达基金管理有限公司固定收益投资部总经理助理、固定收益总部总经理助理、固定收益机构投资部总经理、固定收益专户投资部总经理。现任易方达基金管理有限公司年金投资部总经理、投资经理。</w:t>
      </w:r>
    </w:p>
    <w:p w:rsidR="00B729F7" w:rsidRPr="002B175D" w:rsidRDefault="00CE293F" w:rsidP="005C0E4F">
      <w:pPr>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胡剑先生，经济学硕士。曾任易方达基金管理有限公司固定收益部债券研究员、基金经理助理兼债券研究员、固定收益研究部负责人、固定收益总部总经理助理、易方达中债新综合债券指数发起式证券投资基金（LOF）基金经理、易方达纯债1年定期开放债券型证券投资基金基金经理、易方达永旭添利定期开放债券型证券投资基金基金经理、易方达纯债债券型证券投资基金基金经理、易方达裕景添利6个月定期开放债券型证券投资基金基金经理。现任易方达基金管理有限公司固定收益投资部总经理、固定收益研究部总经理、易方达稳健收益债券型证券投资基金基金经理、易方达信用债债券型证券投资基金基金经理、易方达裕惠回报定期开放式混合型发起式证券投资基金基金经理、易方达瑞财灵活配置混合型证券投资基金基金经理、易方达高等级信用债债券型证券投资基金基金经理、易方达丰惠混合型证券投资基金基金经理、易方达瑞富灵活配置混合型证券投资基金基金经理、易方达瑞智灵活配置混合型证券投资基金基金经理、易方达瑞兴灵活配置混合型证券投资基金基金经理、易方达瑞祥灵活配置混合型证券投资基金基金经理、易方达瑞祺灵活配置混合型证券投资基金基金经理、易方达3年封闭运作战略配售灵活配置混合型证券投资基金（LOF）基金经理、易方达岁丰添利债券型证券投资基金基金经理、易方达恒利3个月定期开放债券型发起式证券投资基金基金经理</w:t>
      </w:r>
      <w:r w:rsidR="00B729F7" w:rsidRPr="002B175D">
        <w:rPr>
          <w:rFonts w:asciiTheme="minorEastAsia" w:eastAsiaTheme="minorEastAsia" w:hAnsiTheme="minorEastAsia" w:hint="eastAsia"/>
        </w:rPr>
        <w:t>。</w:t>
      </w:r>
    </w:p>
    <w:bookmarkEnd w:id="5"/>
    <w:p w:rsidR="00B80F82" w:rsidRPr="002B175D" w:rsidRDefault="00BA4B87">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4、上述人员之间均不存在近亲属关系。</w:t>
      </w:r>
    </w:p>
    <w:p w:rsidR="00861AD8" w:rsidRPr="002B175D" w:rsidRDefault="00861AD8" w:rsidP="00861AD8">
      <w:pPr>
        <w:snapToGrid w:val="0"/>
        <w:spacing w:line="360" w:lineRule="auto"/>
        <w:ind w:firstLineChars="200" w:firstLine="420"/>
        <w:rPr>
          <w:rStyle w:val="da"/>
          <w:rFonts w:asciiTheme="minorEastAsia" w:eastAsiaTheme="minorEastAsia" w:hAnsiTheme="minorEastAsia"/>
        </w:rPr>
      </w:pPr>
    </w:p>
    <w:p w:rsidR="00BA4B87" w:rsidRPr="002B175D" w:rsidRDefault="00072D7C" w:rsidP="00861AD8">
      <w:pPr>
        <w:pStyle w:val="1"/>
        <w:snapToGrid w:val="0"/>
        <w:spacing w:beforeLines="0" w:afterLines="0" w:line="360" w:lineRule="auto"/>
        <w:ind w:firstLine="640"/>
        <w:jc w:val="left"/>
        <w:rPr>
          <w:rFonts w:asciiTheme="minorEastAsia" w:eastAsiaTheme="minorEastAsia" w:hAnsiTheme="minorEastAsia"/>
        </w:rPr>
      </w:pPr>
      <w:bookmarkStart w:id="6" w:name="_Toc332373471"/>
      <w:bookmarkStart w:id="7" w:name="_Toc403058851"/>
      <w:r w:rsidRPr="002B175D">
        <w:rPr>
          <w:rFonts w:asciiTheme="minorEastAsia" w:eastAsiaTheme="minorEastAsia" w:hAnsiTheme="minorEastAsia" w:hint="eastAsia"/>
        </w:rPr>
        <w:t>二</w:t>
      </w:r>
      <w:r w:rsidR="00BA4B87" w:rsidRPr="002B175D">
        <w:rPr>
          <w:rFonts w:asciiTheme="minorEastAsia" w:eastAsiaTheme="minorEastAsia" w:hAnsiTheme="minorEastAsia" w:hint="eastAsia"/>
        </w:rPr>
        <w:t>、基金托管人</w:t>
      </w:r>
      <w:bookmarkEnd w:id="6"/>
      <w:bookmarkEnd w:id="7"/>
    </w:p>
    <w:p w:rsidR="000E78A4" w:rsidRPr="002B175D" w:rsidRDefault="000E78A4" w:rsidP="000E78A4">
      <w:pPr>
        <w:snapToGrid w:val="0"/>
        <w:spacing w:line="360" w:lineRule="auto"/>
        <w:ind w:firstLineChars="200" w:firstLine="420"/>
        <w:rPr>
          <w:rFonts w:asciiTheme="minorEastAsia" w:eastAsiaTheme="minorEastAsia" w:hAnsiTheme="minorEastAsia"/>
        </w:rPr>
      </w:pPr>
      <w:bookmarkStart w:id="8" w:name="_Toc332373481"/>
      <w:bookmarkStart w:id="9" w:name="_Toc403058852"/>
      <w:r w:rsidRPr="002B175D">
        <w:rPr>
          <w:rFonts w:asciiTheme="minorEastAsia" w:eastAsiaTheme="minorEastAsia" w:hAnsiTheme="minorEastAsia" w:hint="eastAsia"/>
        </w:rPr>
        <w:t>名称：中国邮政储蓄银行股份有限公司</w:t>
      </w:r>
    </w:p>
    <w:p w:rsidR="000E78A4" w:rsidRPr="002B175D" w:rsidRDefault="000E78A4" w:rsidP="000E78A4">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住所：北京市西城区金融大街3号</w:t>
      </w:r>
    </w:p>
    <w:p w:rsidR="000E78A4" w:rsidRPr="002B175D" w:rsidRDefault="000E78A4" w:rsidP="000E78A4">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办公地址：北京市西城区金融大街3号A座</w:t>
      </w:r>
    </w:p>
    <w:p w:rsidR="000E78A4" w:rsidRPr="002B175D" w:rsidRDefault="000E78A4" w:rsidP="000E78A4">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成立时间：2007年3月6日</w:t>
      </w:r>
    </w:p>
    <w:p w:rsidR="000E78A4" w:rsidRPr="002B175D" w:rsidRDefault="000E78A4" w:rsidP="000E78A4">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法定代表人：</w:t>
      </w:r>
      <w:r w:rsidR="00680B5D" w:rsidRPr="002B175D">
        <w:rPr>
          <w:rFonts w:asciiTheme="minorEastAsia" w:eastAsiaTheme="minorEastAsia" w:hAnsiTheme="minorEastAsia" w:hint="eastAsia"/>
          <w:kern w:val="0"/>
        </w:rPr>
        <w:t>张金良</w:t>
      </w:r>
    </w:p>
    <w:p w:rsidR="000E78A4" w:rsidRPr="002B175D" w:rsidRDefault="000E78A4" w:rsidP="000E78A4">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注册资本：</w:t>
      </w:r>
      <w:r w:rsidRPr="002B175D">
        <w:rPr>
          <w:rFonts w:asciiTheme="minorEastAsia" w:eastAsiaTheme="minorEastAsia" w:hAnsiTheme="minorEastAsia" w:hint="eastAsia"/>
          <w:szCs w:val="21"/>
        </w:rPr>
        <w:t>810.31亿元人民币</w:t>
      </w:r>
    </w:p>
    <w:p w:rsidR="000E78A4" w:rsidRPr="002B175D" w:rsidRDefault="000E78A4" w:rsidP="000E78A4">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批准设立机关及批准设立文号：中国银监会银监复〔2006〕484号</w:t>
      </w:r>
    </w:p>
    <w:p w:rsidR="000E78A4" w:rsidRPr="002B175D" w:rsidRDefault="000E78A4" w:rsidP="000E78A4">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基金托管资格批文及文号：证监许可〔2009〕673号</w:t>
      </w:r>
    </w:p>
    <w:p w:rsidR="00680B5D" w:rsidRPr="002B175D" w:rsidRDefault="00680B5D" w:rsidP="00680B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rPr>
        <w:t>联系人：</w:t>
      </w:r>
      <w:r w:rsidRPr="002B175D">
        <w:rPr>
          <w:rFonts w:asciiTheme="minorEastAsia" w:eastAsiaTheme="minorEastAsia" w:hAnsiTheme="minorEastAsia" w:hint="eastAsia"/>
          <w:szCs w:val="21"/>
        </w:rPr>
        <w:t>马强</w:t>
      </w:r>
    </w:p>
    <w:p w:rsidR="000E78A4" w:rsidRPr="002B175D" w:rsidRDefault="00680B5D" w:rsidP="000E78A4">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kern w:val="0"/>
        </w:rPr>
        <w:t>联系电话：</w:t>
      </w:r>
      <w:r w:rsidRPr="002B175D">
        <w:rPr>
          <w:rFonts w:asciiTheme="minorEastAsia" w:eastAsiaTheme="minorEastAsia" w:hAnsiTheme="minorEastAsia" w:hint="eastAsia"/>
          <w:kern w:val="0"/>
          <w:szCs w:val="21"/>
        </w:rPr>
        <w:t>010－68857221</w:t>
      </w:r>
    </w:p>
    <w:p w:rsidR="00861AD8" w:rsidRPr="002B175D" w:rsidRDefault="00861AD8" w:rsidP="00861AD8">
      <w:pPr>
        <w:snapToGrid w:val="0"/>
        <w:spacing w:line="360" w:lineRule="auto"/>
        <w:ind w:firstLineChars="200" w:firstLine="420"/>
        <w:rPr>
          <w:rFonts w:asciiTheme="minorEastAsia" w:eastAsiaTheme="minorEastAsia" w:hAnsiTheme="minorEastAsia"/>
        </w:rPr>
      </w:pPr>
    </w:p>
    <w:p w:rsidR="00BA4B87" w:rsidRPr="002B175D" w:rsidRDefault="00072D7C" w:rsidP="00861AD8">
      <w:pPr>
        <w:pStyle w:val="1"/>
        <w:snapToGrid w:val="0"/>
        <w:spacing w:beforeLines="0" w:afterLines="0" w:line="360" w:lineRule="auto"/>
        <w:ind w:firstLine="640"/>
        <w:jc w:val="left"/>
        <w:rPr>
          <w:rFonts w:asciiTheme="minorEastAsia" w:eastAsiaTheme="minorEastAsia" w:hAnsiTheme="minorEastAsia"/>
        </w:rPr>
      </w:pPr>
      <w:r w:rsidRPr="002B175D">
        <w:rPr>
          <w:rFonts w:asciiTheme="minorEastAsia" w:eastAsiaTheme="minorEastAsia" w:hAnsiTheme="minorEastAsia" w:hint="eastAsia"/>
        </w:rPr>
        <w:t>三</w:t>
      </w:r>
      <w:r w:rsidR="00BA4B87" w:rsidRPr="002B175D">
        <w:rPr>
          <w:rFonts w:asciiTheme="minorEastAsia" w:eastAsiaTheme="minorEastAsia" w:hAnsiTheme="minorEastAsia" w:hint="eastAsia"/>
        </w:rPr>
        <w:t>、相关服务机构</w:t>
      </w:r>
      <w:bookmarkEnd w:id="8"/>
      <w:bookmarkEnd w:id="9"/>
    </w:p>
    <w:p w:rsidR="00BA4B87" w:rsidRPr="002B175D" w:rsidRDefault="002E1C38" w:rsidP="00861AD8">
      <w:pPr>
        <w:snapToGrid w:val="0"/>
        <w:spacing w:line="360" w:lineRule="auto"/>
        <w:ind w:firstLineChars="200" w:firstLine="420"/>
        <w:rPr>
          <w:rStyle w:val="da"/>
          <w:rFonts w:asciiTheme="minorEastAsia" w:eastAsiaTheme="minorEastAsia" w:hAnsiTheme="minorEastAsia"/>
        </w:rPr>
      </w:pPr>
      <w:bookmarkStart w:id="10" w:name="_Toc332373482"/>
      <w:r w:rsidRPr="002B175D">
        <w:rPr>
          <w:rStyle w:val="da"/>
          <w:rFonts w:asciiTheme="minorEastAsia" w:eastAsiaTheme="minorEastAsia" w:hAnsiTheme="minorEastAsia" w:hint="eastAsia"/>
        </w:rPr>
        <w:t>（</w:t>
      </w:r>
      <w:r w:rsidR="00BA4B87" w:rsidRPr="002B175D">
        <w:rPr>
          <w:rStyle w:val="da"/>
          <w:rFonts w:asciiTheme="minorEastAsia" w:eastAsiaTheme="minorEastAsia" w:hAnsiTheme="minorEastAsia" w:hint="eastAsia"/>
        </w:rPr>
        <w:t>一</w:t>
      </w:r>
      <w:r w:rsidRPr="002B175D">
        <w:rPr>
          <w:rStyle w:val="da"/>
          <w:rFonts w:asciiTheme="minorEastAsia" w:eastAsiaTheme="minorEastAsia" w:hAnsiTheme="minorEastAsia" w:hint="eastAsia"/>
        </w:rPr>
        <w:t>）</w:t>
      </w:r>
      <w:bookmarkEnd w:id="10"/>
      <w:r w:rsidR="00F73FEB" w:rsidRPr="002B175D">
        <w:rPr>
          <w:rStyle w:val="da"/>
          <w:rFonts w:asciiTheme="minorEastAsia" w:eastAsiaTheme="minorEastAsia" w:hAnsiTheme="minorEastAsia" w:hint="eastAsia"/>
        </w:rPr>
        <w:t>基金份额销售机构</w:t>
      </w:r>
    </w:p>
    <w:p w:rsidR="00BA4B87" w:rsidRPr="002B175D" w:rsidRDefault="00BA4B87" w:rsidP="00861AD8">
      <w:pPr>
        <w:snapToGrid w:val="0"/>
        <w:spacing w:line="360" w:lineRule="auto"/>
        <w:ind w:firstLineChars="200" w:firstLine="420"/>
        <w:rPr>
          <w:rStyle w:val="da"/>
          <w:rFonts w:asciiTheme="minorEastAsia" w:eastAsiaTheme="minorEastAsia" w:hAnsiTheme="minorEastAsia"/>
        </w:rPr>
      </w:pPr>
      <w:r w:rsidRPr="002B175D">
        <w:rPr>
          <w:rStyle w:val="da"/>
          <w:rFonts w:asciiTheme="minorEastAsia" w:eastAsiaTheme="minorEastAsia" w:hAnsiTheme="minorEastAsia" w:hint="eastAsia"/>
        </w:rPr>
        <w:t>1、直销机构：易方达基金管理有限公司</w:t>
      </w:r>
    </w:p>
    <w:p w:rsidR="00C961FC" w:rsidRPr="002B175D" w:rsidRDefault="00C961FC" w:rsidP="00861AD8">
      <w:pPr>
        <w:snapToGrid w:val="0"/>
        <w:spacing w:line="360" w:lineRule="auto"/>
        <w:ind w:firstLineChars="200" w:firstLine="420"/>
        <w:rPr>
          <w:rStyle w:val="da"/>
          <w:rFonts w:asciiTheme="minorEastAsia" w:eastAsiaTheme="minorEastAsia" w:hAnsiTheme="minorEastAsia"/>
        </w:rPr>
      </w:pPr>
      <w:r w:rsidRPr="002B175D">
        <w:rPr>
          <w:rStyle w:val="da"/>
          <w:rFonts w:asciiTheme="minorEastAsia" w:eastAsiaTheme="minorEastAsia" w:hAnsiTheme="minorEastAsia" w:hint="eastAsia"/>
        </w:rPr>
        <w:t>注册地址：</w:t>
      </w:r>
      <w:r w:rsidR="00BD3B25" w:rsidRPr="002B175D">
        <w:rPr>
          <w:rStyle w:val="da"/>
          <w:rFonts w:asciiTheme="minorEastAsia" w:eastAsiaTheme="minorEastAsia" w:hAnsiTheme="minorEastAsia" w:hint="eastAsia"/>
          <w:szCs w:val="21"/>
        </w:rPr>
        <w:t>广东省珠海市横琴新区宝华路6号105室－42891（集中办公区）</w:t>
      </w:r>
    </w:p>
    <w:p w:rsidR="00BA4B87" w:rsidRPr="002B175D" w:rsidRDefault="00BA4B87" w:rsidP="00861AD8">
      <w:pPr>
        <w:snapToGrid w:val="0"/>
        <w:spacing w:line="360" w:lineRule="auto"/>
        <w:ind w:firstLineChars="200" w:firstLine="420"/>
        <w:rPr>
          <w:rStyle w:val="da"/>
          <w:rFonts w:asciiTheme="minorEastAsia" w:eastAsiaTheme="minorEastAsia" w:hAnsiTheme="minorEastAsia"/>
        </w:rPr>
      </w:pPr>
      <w:r w:rsidRPr="002B175D">
        <w:rPr>
          <w:rStyle w:val="da"/>
          <w:rFonts w:asciiTheme="minorEastAsia" w:eastAsiaTheme="minorEastAsia" w:hAnsiTheme="minorEastAsia" w:hint="eastAsia"/>
        </w:rPr>
        <w:t>办公地址：</w:t>
      </w:r>
      <w:r w:rsidR="00E95B25" w:rsidRPr="002B175D">
        <w:rPr>
          <w:rStyle w:val="da"/>
          <w:rFonts w:asciiTheme="minorEastAsia" w:eastAsiaTheme="minorEastAsia" w:hAnsiTheme="minorEastAsia" w:hint="eastAsia"/>
        </w:rPr>
        <w:t>广州市天河区珠江新城珠江东路30号广州银行大厦40-43楼</w:t>
      </w:r>
    </w:p>
    <w:p w:rsidR="00BA4B87" w:rsidRPr="002B175D" w:rsidRDefault="00BA4B87" w:rsidP="00861AD8">
      <w:pPr>
        <w:snapToGrid w:val="0"/>
        <w:spacing w:line="360" w:lineRule="auto"/>
        <w:ind w:firstLineChars="200" w:firstLine="420"/>
        <w:rPr>
          <w:rStyle w:val="da"/>
          <w:rFonts w:asciiTheme="minorEastAsia" w:eastAsiaTheme="minorEastAsia" w:hAnsiTheme="minorEastAsia"/>
        </w:rPr>
      </w:pPr>
      <w:r w:rsidRPr="002B175D">
        <w:rPr>
          <w:rStyle w:val="da"/>
          <w:rFonts w:asciiTheme="minorEastAsia" w:eastAsiaTheme="minorEastAsia" w:hAnsiTheme="minorEastAsia" w:hint="eastAsia"/>
        </w:rPr>
        <w:t>法定代表人：</w:t>
      </w:r>
      <w:r w:rsidR="00E15C56" w:rsidRPr="002B175D">
        <w:rPr>
          <w:rStyle w:val="da"/>
          <w:rFonts w:asciiTheme="minorEastAsia" w:eastAsiaTheme="minorEastAsia" w:hAnsiTheme="minorEastAsia" w:hint="eastAsia"/>
        </w:rPr>
        <w:t>刘晓艳</w:t>
      </w:r>
    </w:p>
    <w:p w:rsidR="00BA4B87" w:rsidRPr="002B175D" w:rsidRDefault="00BA4B87" w:rsidP="00861AD8">
      <w:pPr>
        <w:snapToGrid w:val="0"/>
        <w:spacing w:line="360" w:lineRule="auto"/>
        <w:ind w:firstLineChars="200" w:firstLine="420"/>
        <w:rPr>
          <w:rStyle w:val="da"/>
          <w:rFonts w:asciiTheme="minorEastAsia" w:eastAsiaTheme="minorEastAsia" w:hAnsiTheme="minorEastAsia"/>
        </w:rPr>
      </w:pPr>
      <w:r w:rsidRPr="002B175D">
        <w:rPr>
          <w:rStyle w:val="da"/>
          <w:rFonts w:asciiTheme="minorEastAsia" w:eastAsiaTheme="minorEastAsia" w:hAnsiTheme="minorEastAsia" w:hint="eastAsia"/>
        </w:rPr>
        <w:t>电话：020-85102506</w:t>
      </w:r>
    </w:p>
    <w:p w:rsidR="00BA4B87" w:rsidRPr="002B175D" w:rsidRDefault="00BA4B87" w:rsidP="00861AD8">
      <w:pPr>
        <w:snapToGrid w:val="0"/>
        <w:spacing w:line="360" w:lineRule="auto"/>
        <w:ind w:firstLineChars="200" w:firstLine="420"/>
        <w:rPr>
          <w:rStyle w:val="da"/>
          <w:rFonts w:asciiTheme="minorEastAsia" w:eastAsiaTheme="minorEastAsia" w:hAnsiTheme="minorEastAsia"/>
        </w:rPr>
      </w:pPr>
      <w:r w:rsidRPr="002B175D">
        <w:rPr>
          <w:rStyle w:val="da"/>
          <w:rFonts w:asciiTheme="minorEastAsia" w:eastAsiaTheme="minorEastAsia" w:hAnsiTheme="minorEastAsia" w:hint="eastAsia"/>
        </w:rPr>
        <w:t>传真：4008818099</w:t>
      </w:r>
    </w:p>
    <w:p w:rsidR="00BA4B87" w:rsidRPr="002B175D" w:rsidRDefault="00BA4B87" w:rsidP="00861AD8">
      <w:pPr>
        <w:snapToGrid w:val="0"/>
        <w:spacing w:line="360" w:lineRule="auto"/>
        <w:ind w:firstLineChars="200" w:firstLine="420"/>
        <w:rPr>
          <w:rStyle w:val="da"/>
          <w:rFonts w:asciiTheme="minorEastAsia" w:eastAsiaTheme="minorEastAsia" w:hAnsiTheme="minorEastAsia"/>
        </w:rPr>
      </w:pPr>
      <w:r w:rsidRPr="002B175D">
        <w:rPr>
          <w:rStyle w:val="da"/>
          <w:rFonts w:asciiTheme="minorEastAsia" w:eastAsiaTheme="minorEastAsia" w:hAnsiTheme="minorEastAsia" w:hint="eastAsia"/>
        </w:rPr>
        <w:t>联系人：</w:t>
      </w:r>
      <w:r w:rsidR="00056022" w:rsidRPr="002B175D">
        <w:rPr>
          <w:rStyle w:val="da"/>
          <w:rFonts w:asciiTheme="minorEastAsia" w:eastAsiaTheme="minorEastAsia" w:hAnsiTheme="minorEastAsia" w:hint="eastAsia"/>
        </w:rPr>
        <w:t>李红枫</w:t>
      </w:r>
    </w:p>
    <w:p w:rsidR="00BA4B87" w:rsidRPr="002B175D" w:rsidRDefault="00BA4B87"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网址：</w:t>
      </w:r>
      <w:hyperlink r:id="rId15" w:history="1">
        <w:r w:rsidRPr="002B175D">
          <w:rPr>
            <w:rStyle w:val="da"/>
            <w:rFonts w:asciiTheme="minorEastAsia" w:eastAsiaTheme="minorEastAsia" w:hAnsiTheme="minorEastAsia" w:hint="eastAsia"/>
            <w:szCs w:val="21"/>
          </w:rPr>
          <w:t>www.efunds.com.cn</w:t>
        </w:r>
      </w:hyperlink>
    </w:p>
    <w:p w:rsidR="00BA4B87" w:rsidRPr="002B175D" w:rsidRDefault="00BA4B87"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直销机构网点信息</w:t>
      </w:r>
      <w:r w:rsidR="00E15C56" w:rsidRPr="002B175D">
        <w:rPr>
          <w:rStyle w:val="da"/>
          <w:rFonts w:asciiTheme="minorEastAsia" w:eastAsiaTheme="minorEastAsia" w:hAnsiTheme="minorEastAsia" w:hint="eastAsia"/>
          <w:szCs w:val="21"/>
        </w:rPr>
        <w:t>：</w:t>
      </w:r>
    </w:p>
    <w:p w:rsidR="00E15C56" w:rsidRPr="002B175D" w:rsidRDefault="00E15C56"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（1）易方达基金管理有限公司广州直销中心</w:t>
      </w:r>
    </w:p>
    <w:p w:rsidR="00E15C56" w:rsidRPr="002B175D" w:rsidRDefault="00E15C56"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办公地址：广州市天河区珠江新城珠江东路30号广州银行大厦40楼</w:t>
      </w:r>
    </w:p>
    <w:p w:rsidR="00E15C56" w:rsidRPr="002B175D" w:rsidRDefault="00E15C56"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电话：020-85102506</w:t>
      </w:r>
    </w:p>
    <w:p w:rsidR="00E15C56" w:rsidRPr="002B175D" w:rsidRDefault="00E15C56"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传真：4008818099</w:t>
      </w:r>
    </w:p>
    <w:p w:rsidR="00E15C56" w:rsidRPr="002B175D" w:rsidRDefault="00E15C56"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联系人：</w:t>
      </w:r>
      <w:r w:rsidR="00056022" w:rsidRPr="002B175D">
        <w:rPr>
          <w:rStyle w:val="da"/>
          <w:rFonts w:asciiTheme="minorEastAsia" w:eastAsiaTheme="minorEastAsia" w:hAnsiTheme="minorEastAsia" w:hint="eastAsia"/>
          <w:szCs w:val="21"/>
        </w:rPr>
        <w:t>李红枫</w:t>
      </w:r>
    </w:p>
    <w:p w:rsidR="00E15C56" w:rsidRPr="002B175D" w:rsidRDefault="00E15C56"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（2）易方达基金管理有限公司北京直销中心</w:t>
      </w:r>
    </w:p>
    <w:p w:rsidR="00E15C56" w:rsidRPr="002B175D" w:rsidRDefault="00E15C56"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办公地址：</w:t>
      </w:r>
      <w:r w:rsidR="00D334A3" w:rsidRPr="002B175D">
        <w:rPr>
          <w:rStyle w:val="da"/>
          <w:rFonts w:asciiTheme="minorEastAsia" w:eastAsiaTheme="minorEastAsia" w:hAnsiTheme="minorEastAsia" w:hint="eastAsia"/>
          <w:szCs w:val="21"/>
        </w:rPr>
        <w:t>北京市西城区武定侯街2号泰康国际大厦18层</w:t>
      </w:r>
    </w:p>
    <w:p w:rsidR="00E15C56" w:rsidRPr="002B175D" w:rsidRDefault="00E15C56"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电话：010-63213377</w:t>
      </w:r>
    </w:p>
    <w:p w:rsidR="00E15C56" w:rsidRPr="002B175D" w:rsidRDefault="00E15C56"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传真：4008818099</w:t>
      </w:r>
    </w:p>
    <w:p w:rsidR="00E15C56" w:rsidRPr="002B175D" w:rsidRDefault="00E15C56"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联系人：刘蕾</w:t>
      </w:r>
    </w:p>
    <w:p w:rsidR="00E15C56" w:rsidRPr="002B175D" w:rsidRDefault="00E15C56"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（3）易方达基金管理有限公司上海直销中心</w:t>
      </w:r>
    </w:p>
    <w:p w:rsidR="00E15C56" w:rsidRPr="002B175D" w:rsidRDefault="00E15C56"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办公地址：上海市</w:t>
      </w:r>
      <w:r w:rsidR="00056022" w:rsidRPr="002B175D">
        <w:rPr>
          <w:rStyle w:val="da"/>
          <w:rFonts w:asciiTheme="minorEastAsia" w:eastAsiaTheme="minorEastAsia" w:hAnsiTheme="minorEastAsia" w:hint="eastAsia"/>
          <w:szCs w:val="21"/>
        </w:rPr>
        <w:t>浦东新区</w:t>
      </w:r>
      <w:r w:rsidRPr="002B175D">
        <w:rPr>
          <w:rStyle w:val="da"/>
          <w:rFonts w:asciiTheme="minorEastAsia" w:eastAsiaTheme="minorEastAsia" w:hAnsiTheme="minorEastAsia" w:hint="eastAsia"/>
          <w:szCs w:val="21"/>
        </w:rPr>
        <w:t>世纪大道88号金茂大厦</w:t>
      </w:r>
      <w:r w:rsidR="00056022" w:rsidRPr="002B175D">
        <w:rPr>
          <w:rStyle w:val="da"/>
          <w:rFonts w:asciiTheme="minorEastAsia" w:eastAsiaTheme="minorEastAsia" w:hAnsiTheme="minorEastAsia"/>
          <w:szCs w:val="21"/>
        </w:rPr>
        <w:t>46楼</w:t>
      </w:r>
    </w:p>
    <w:p w:rsidR="00E15C56" w:rsidRPr="002B175D" w:rsidRDefault="00E15C56"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电话：021-50476668</w:t>
      </w:r>
    </w:p>
    <w:p w:rsidR="00E15C56" w:rsidRPr="002B175D" w:rsidRDefault="00E15C56"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传真：4008818099</w:t>
      </w:r>
    </w:p>
    <w:p w:rsidR="00E15C56" w:rsidRPr="002B175D" w:rsidRDefault="00E15C56"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联系人：于楠</w:t>
      </w:r>
    </w:p>
    <w:p w:rsidR="00E15C56" w:rsidRPr="002B175D" w:rsidRDefault="00E15C56"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（4）易方达基金管理有限公司网上交易系统</w:t>
      </w:r>
    </w:p>
    <w:p w:rsidR="00E15C56" w:rsidRPr="002B175D" w:rsidRDefault="00E15C56"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网址：www.efunds.com.cn</w:t>
      </w:r>
    </w:p>
    <w:p w:rsidR="00BA4B87" w:rsidRPr="002B175D" w:rsidRDefault="00BA4B87"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2、</w:t>
      </w:r>
      <w:r w:rsidR="00CA069E" w:rsidRPr="002B175D">
        <w:rPr>
          <w:rStyle w:val="da"/>
          <w:rFonts w:asciiTheme="minorEastAsia" w:eastAsiaTheme="minorEastAsia" w:hAnsiTheme="minorEastAsia" w:hint="eastAsia"/>
          <w:szCs w:val="21"/>
        </w:rPr>
        <w:t>非直销</w:t>
      </w:r>
      <w:r w:rsidR="007520A0" w:rsidRPr="002B175D">
        <w:rPr>
          <w:rStyle w:val="da"/>
          <w:rFonts w:asciiTheme="minorEastAsia" w:eastAsiaTheme="minorEastAsia" w:hAnsiTheme="minorEastAsia" w:hint="eastAsia"/>
          <w:szCs w:val="21"/>
        </w:rPr>
        <w:t>销售</w:t>
      </w:r>
      <w:r w:rsidRPr="002B175D">
        <w:rPr>
          <w:rStyle w:val="da"/>
          <w:rFonts w:asciiTheme="minorEastAsia" w:eastAsiaTheme="minorEastAsia" w:hAnsiTheme="minorEastAsia" w:hint="eastAsia"/>
          <w:szCs w:val="21"/>
        </w:rPr>
        <w:t>机构</w:t>
      </w:r>
    </w:p>
    <w:p w:rsidR="00C75C04" w:rsidRPr="002B175D" w:rsidRDefault="00C75C04" w:rsidP="00C75C04">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(1)华西证券</w:t>
      </w:r>
    </w:p>
    <w:p w:rsidR="00C75C04" w:rsidRPr="002B175D" w:rsidRDefault="00C75C04" w:rsidP="00C75C04">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注册地址：四川省成都市高新区天府二街198号</w:t>
      </w:r>
    </w:p>
    <w:p w:rsidR="00C75C04" w:rsidRPr="002B175D" w:rsidRDefault="00C75C04" w:rsidP="00C75C04">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办公地址：四川省成都市高新区天府二街198号华西证券大厦</w:t>
      </w:r>
    </w:p>
    <w:p w:rsidR="00C75C04" w:rsidRPr="002B175D" w:rsidRDefault="00C75C04" w:rsidP="00C75C04">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法定代表人：杨炯洋</w:t>
      </w:r>
    </w:p>
    <w:p w:rsidR="00C75C04" w:rsidRPr="002B175D" w:rsidRDefault="00C75C04" w:rsidP="00C75C04">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联系人：谢国梅</w:t>
      </w:r>
    </w:p>
    <w:p w:rsidR="00C75C04" w:rsidRPr="002B175D" w:rsidRDefault="00C75C04" w:rsidP="00C75C04">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联系电话：010-52723273</w:t>
      </w:r>
    </w:p>
    <w:p w:rsidR="00C75C04" w:rsidRPr="002B175D" w:rsidRDefault="00C75C04" w:rsidP="00C75C04">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客户服务电话：95584</w:t>
      </w:r>
    </w:p>
    <w:p w:rsidR="00C75C04" w:rsidRPr="002B175D" w:rsidRDefault="00C75C04" w:rsidP="00C75C04">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传真：028-86150040</w:t>
      </w:r>
    </w:p>
    <w:p w:rsidR="00C75C04" w:rsidRPr="002B175D" w:rsidRDefault="00C75C04"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网址：www.hx168.com.cn</w:t>
      </w:r>
    </w:p>
    <w:p w:rsidR="00BA4B87" w:rsidRPr="002B175D" w:rsidRDefault="002E1C38" w:rsidP="00861AD8">
      <w:pPr>
        <w:snapToGrid w:val="0"/>
        <w:spacing w:line="360" w:lineRule="auto"/>
        <w:ind w:firstLineChars="200" w:firstLine="420"/>
        <w:rPr>
          <w:rStyle w:val="da"/>
          <w:rFonts w:asciiTheme="minorEastAsia" w:eastAsiaTheme="minorEastAsia" w:hAnsiTheme="minorEastAsia"/>
          <w:szCs w:val="21"/>
        </w:rPr>
      </w:pPr>
      <w:bookmarkStart w:id="11" w:name="_Toc332373483"/>
      <w:r w:rsidRPr="002B175D">
        <w:rPr>
          <w:rStyle w:val="da"/>
          <w:rFonts w:asciiTheme="minorEastAsia" w:eastAsiaTheme="minorEastAsia" w:hAnsiTheme="minorEastAsia" w:hint="eastAsia"/>
          <w:szCs w:val="21"/>
        </w:rPr>
        <w:t>（</w:t>
      </w:r>
      <w:r w:rsidR="00BA4B87" w:rsidRPr="002B175D">
        <w:rPr>
          <w:rStyle w:val="da"/>
          <w:rFonts w:asciiTheme="minorEastAsia" w:eastAsiaTheme="minorEastAsia" w:hAnsiTheme="minorEastAsia" w:hint="eastAsia"/>
          <w:szCs w:val="21"/>
        </w:rPr>
        <w:t>二</w:t>
      </w:r>
      <w:r w:rsidRPr="002B175D">
        <w:rPr>
          <w:rStyle w:val="da"/>
          <w:rFonts w:asciiTheme="minorEastAsia" w:eastAsiaTheme="minorEastAsia" w:hAnsiTheme="minorEastAsia" w:hint="eastAsia"/>
          <w:szCs w:val="21"/>
        </w:rPr>
        <w:t>）</w:t>
      </w:r>
      <w:r w:rsidR="00BA4B87" w:rsidRPr="002B175D">
        <w:rPr>
          <w:rStyle w:val="da"/>
          <w:rFonts w:asciiTheme="minorEastAsia" w:eastAsiaTheme="minorEastAsia" w:hAnsiTheme="minorEastAsia" w:hint="eastAsia"/>
          <w:szCs w:val="21"/>
        </w:rPr>
        <w:t>基金</w:t>
      </w:r>
      <w:bookmarkEnd w:id="11"/>
      <w:r w:rsidR="006F2DCE" w:rsidRPr="002B175D">
        <w:rPr>
          <w:rStyle w:val="da"/>
          <w:rFonts w:asciiTheme="minorEastAsia" w:eastAsiaTheme="minorEastAsia" w:hAnsiTheme="minorEastAsia" w:hint="eastAsia"/>
          <w:szCs w:val="21"/>
        </w:rPr>
        <w:t>登记机构</w:t>
      </w:r>
    </w:p>
    <w:p w:rsidR="00BA4B87" w:rsidRPr="002B175D" w:rsidRDefault="00BA4B87"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名称：易方达基金管理有限公司</w:t>
      </w:r>
    </w:p>
    <w:p w:rsidR="00BA4B87" w:rsidRPr="002B175D" w:rsidRDefault="00BA4B87" w:rsidP="00BD3B25">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szCs w:val="21"/>
        </w:rPr>
        <w:t>注册地址：</w:t>
      </w:r>
      <w:r w:rsidR="00BD3B25" w:rsidRPr="002B175D">
        <w:rPr>
          <w:rStyle w:val="da"/>
          <w:rFonts w:asciiTheme="minorEastAsia" w:eastAsiaTheme="minorEastAsia" w:hAnsiTheme="minorEastAsia" w:hint="eastAsia"/>
          <w:szCs w:val="21"/>
        </w:rPr>
        <w:t>广东省珠海市横琴新区宝华路6号105室－42891（集中办公区）</w:t>
      </w:r>
    </w:p>
    <w:p w:rsidR="00BA4B87" w:rsidRPr="002B175D" w:rsidRDefault="00BA4B87"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szCs w:val="21"/>
        </w:rPr>
        <w:t>办公</w:t>
      </w:r>
      <w:r w:rsidRPr="002B175D">
        <w:rPr>
          <w:rStyle w:val="da"/>
          <w:rFonts w:asciiTheme="minorEastAsia" w:eastAsiaTheme="minorEastAsia" w:hAnsiTheme="minorEastAsia" w:hint="eastAsia"/>
          <w:szCs w:val="21"/>
        </w:rPr>
        <w:t>地址：</w:t>
      </w:r>
      <w:r w:rsidR="007445A2" w:rsidRPr="002B175D">
        <w:rPr>
          <w:rFonts w:asciiTheme="minorEastAsia" w:eastAsiaTheme="minorEastAsia" w:hAnsiTheme="minorEastAsia" w:hint="eastAsia"/>
          <w:szCs w:val="21"/>
        </w:rPr>
        <w:t>广州市天河区珠江新城珠江东路30号广州银行大厦40-43楼</w:t>
      </w:r>
    </w:p>
    <w:p w:rsidR="00BA4B87" w:rsidRPr="002B175D" w:rsidRDefault="00BA4B87"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法定代表人：</w:t>
      </w:r>
      <w:r w:rsidR="00A07011" w:rsidRPr="002B175D">
        <w:rPr>
          <w:rStyle w:val="da"/>
          <w:rFonts w:asciiTheme="minorEastAsia" w:eastAsiaTheme="minorEastAsia" w:hAnsiTheme="minorEastAsia" w:hint="eastAsia"/>
          <w:szCs w:val="21"/>
        </w:rPr>
        <w:t>刘晓艳</w:t>
      </w:r>
    </w:p>
    <w:p w:rsidR="00BA4B87" w:rsidRPr="002B175D" w:rsidRDefault="00BA4B87"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电话：4008818088</w:t>
      </w:r>
    </w:p>
    <w:p w:rsidR="00BA4B87" w:rsidRPr="002B175D" w:rsidRDefault="00BA4B87"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传真：</w:t>
      </w:r>
      <w:r w:rsidRPr="002B175D">
        <w:rPr>
          <w:rStyle w:val="da"/>
          <w:rFonts w:asciiTheme="minorEastAsia" w:eastAsiaTheme="minorEastAsia" w:hAnsiTheme="minorEastAsia"/>
          <w:szCs w:val="21"/>
        </w:rPr>
        <w:t>020</w:t>
      </w:r>
      <w:r w:rsidRPr="002B175D">
        <w:rPr>
          <w:rStyle w:val="da"/>
          <w:rFonts w:asciiTheme="minorEastAsia" w:eastAsiaTheme="minorEastAsia" w:hAnsiTheme="minorEastAsia" w:hint="eastAsia"/>
          <w:szCs w:val="21"/>
        </w:rPr>
        <w:t>-38799249</w:t>
      </w:r>
    </w:p>
    <w:p w:rsidR="00BA4B87" w:rsidRPr="002B175D" w:rsidRDefault="00BA4B87"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联系人：余贤高</w:t>
      </w:r>
    </w:p>
    <w:p w:rsidR="00BA4B87" w:rsidRPr="002B175D" w:rsidRDefault="002E1C38" w:rsidP="00861AD8">
      <w:pPr>
        <w:snapToGrid w:val="0"/>
        <w:spacing w:line="360" w:lineRule="auto"/>
        <w:ind w:firstLineChars="200" w:firstLine="420"/>
        <w:rPr>
          <w:rStyle w:val="da"/>
          <w:rFonts w:asciiTheme="minorEastAsia" w:eastAsiaTheme="minorEastAsia" w:hAnsiTheme="minorEastAsia"/>
          <w:szCs w:val="21"/>
        </w:rPr>
      </w:pPr>
      <w:bookmarkStart w:id="12" w:name="_Toc332373484"/>
      <w:r w:rsidRPr="002B175D">
        <w:rPr>
          <w:rStyle w:val="da"/>
          <w:rFonts w:asciiTheme="minorEastAsia" w:eastAsiaTheme="minorEastAsia" w:hAnsiTheme="minorEastAsia" w:hint="eastAsia"/>
          <w:szCs w:val="21"/>
        </w:rPr>
        <w:t>（</w:t>
      </w:r>
      <w:r w:rsidR="00BA4B87" w:rsidRPr="002B175D">
        <w:rPr>
          <w:rStyle w:val="da"/>
          <w:rFonts w:asciiTheme="minorEastAsia" w:eastAsiaTheme="minorEastAsia" w:hAnsiTheme="minorEastAsia" w:hint="eastAsia"/>
          <w:szCs w:val="21"/>
        </w:rPr>
        <w:t>三</w:t>
      </w:r>
      <w:r w:rsidRPr="002B175D">
        <w:rPr>
          <w:rStyle w:val="da"/>
          <w:rFonts w:asciiTheme="minorEastAsia" w:eastAsiaTheme="minorEastAsia" w:hAnsiTheme="minorEastAsia" w:hint="eastAsia"/>
          <w:szCs w:val="21"/>
        </w:rPr>
        <w:t>）</w:t>
      </w:r>
      <w:r w:rsidR="00BA4B87" w:rsidRPr="002B175D">
        <w:rPr>
          <w:rStyle w:val="da"/>
          <w:rFonts w:asciiTheme="minorEastAsia" w:eastAsiaTheme="minorEastAsia" w:hAnsiTheme="minorEastAsia" w:hint="eastAsia"/>
          <w:szCs w:val="21"/>
        </w:rPr>
        <w:t>律师事务所和经办律师</w:t>
      </w:r>
      <w:bookmarkEnd w:id="12"/>
    </w:p>
    <w:p w:rsidR="00450463" w:rsidRPr="002B175D" w:rsidRDefault="00450463"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szCs w:val="21"/>
        </w:rPr>
        <w:t>律师事务所：</w:t>
      </w:r>
      <w:r w:rsidR="00A12B7E" w:rsidRPr="002B175D">
        <w:rPr>
          <w:rFonts w:asciiTheme="minorEastAsia" w:eastAsiaTheme="minorEastAsia" w:hAnsiTheme="minorEastAsia" w:hint="eastAsia"/>
          <w:szCs w:val="21"/>
        </w:rPr>
        <w:t>国浩律师(广州)事务所</w:t>
      </w:r>
    </w:p>
    <w:p w:rsidR="00450463" w:rsidRPr="002B175D" w:rsidRDefault="00450463" w:rsidP="00861AD8">
      <w:pPr>
        <w:snapToGrid w:val="0"/>
        <w:spacing w:line="360" w:lineRule="auto"/>
        <w:ind w:firstLineChars="200" w:firstLine="420"/>
        <w:rPr>
          <w:rStyle w:val="da"/>
          <w:rFonts w:asciiTheme="minorEastAsia" w:eastAsiaTheme="minorEastAsia" w:hAnsiTheme="minorEastAsia" w:cs="宋体"/>
          <w:szCs w:val="21"/>
        </w:rPr>
      </w:pPr>
      <w:r w:rsidRPr="002B175D">
        <w:rPr>
          <w:rStyle w:val="da"/>
          <w:rFonts w:asciiTheme="minorEastAsia" w:eastAsiaTheme="minorEastAsia" w:hAnsiTheme="minorEastAsia"/>
          <w:szCs w:val="21"/>
        </w:rPr>
        <w:t>地址：</w:t>
      </w:r>
      <w:r w:rsidR="00303E9B" w:rsidRPr="002B175D">
        <w:rPr>
          <w:rFonts w:asciiTheme="minorEastAsia" w:eastAsiaTheme="minorEastAsia" w:hAnsiTheme="minorEastAsia" w:hint="eastAsia"/>
          <w:szCs w:val="21"/>
        </w:rPr>
        <w:t>广州市天河区珠江东路28</w:t>
      </w:r>
      <w:r w:rsidR="00A12B7E" w:rsidRPr="002B175D">
        <w:rPr>
          <w:rFonts w:asciiTheme="minorEastAsia" w:eastAsiaTheme="minorEastAsia" w:hAnsiTheme="minorEastAsia" w:hint="eastAsia"/>
          <w:szCs w:val="21"/>
        </w:rPr>
        <w:t>号</w:t>
      </w:r>
      <w:r w:rsidR="00303E9B" w:rsidRPr="002B175D">
        <w:rPr>
          <w:rFonts w:asciiTheme="minorEastAsia" w:eastAsiaTheme="minorEastAsia" w:hAnsiTheme="minorEastAsia" w:hint="eastAsia"/>
          <w:szCs w:val="21"/>
        </w:rPr>
        <w:t>越秀金融</w:t>
      </w:r>
      <w:r w:rsidR="00A12B7E" w:rsidRPr="002B175D">
        <w:rPr>
          <w:rFonts w:asciiTheme="minorEastAsia" w:eastAsiaTheme="minorEastAsia" w:hAnsiTheme="minorEastAsia" w:hint="eastAsia"/>
          <w:szCs w:val="21"/>
        </w:rPr>
        <w:t>大厦</w:t>
      </w:r>
      <w:r w:rsidR="00303E9B" w:rsidRPr="002B175D">
        <w:rPr>
          <w:rFonts w:asciiTheme="minorEastAsia" w:eastAsiaTheme="minorEastAsia" w:hAnsiTheme="minorEastAsia" w:hint="eastAsia"/>
          <w:szCs w:val="21"/>
        </w:rPr>
        <w:t>38层</w:t>
      </w:r>
    </w:p>
    <w:p w:rsidR="00450463" w:rsidRPr="002B175D" w:rsidRDefault="00450463"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szCs w:val="21"/>
        </w:rPr>
        <w:t>负责人：</w:t>
      </w:r>
      <w:r w:rsidR="004D37E3" w:rsidRPr="002B175D">
        <w:rPr>
          <w:rStyle w:val="da"/>
          <w:rFonts w:asciiTheme="minorEastAsia" w:eastAsiaTheme="minorEastAsia" w:hAnsiTheme="minorEastAsia" w:hint="eastAsia"/>
          <w:szCs w:val="21"/>
        </w:rPr>
        <w:t>程秉</w:t>
      </w:r>
    </w:p>
    <w:p w:rsidR="00450463" w:rsidRPr="002B175D" w:rsidRDefault="00450463"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szCs w:val="21"/>
        </w:rPr>
        <w:t>电话：</w:t>
      </w:r>
      <w:r w:rsidR="00226D90" w:rsidRPr="002B175D">
        <w:rPr>
          <w:rStyle w:val="da"/>
          <w:rFonts w:asciiTheme="minorEastAsia" w:eastAsiaTheme="minorEastAsia" w:hAnsiTheme="minorEastAsia"/>
          <w:szCs w:val="21"/>
        </w:rPr>
        <w:t>020-38799345</w:t>
      </w:r>
    </w:p>
    <w:p w:rsidR="00450463" w:rsidRPr="002B175D" w:rsidRDefault="00450463" w:rsidP="00861AD8">
      <w:pPr>
        <w:snapToGrid w:val="0"/>
        <w:spacing w:line="360" w:lineRule="auto"/>
        <w:ind w:firstLineChars="200" w:firstLine="420"/>
        <w:rPr>
          <w:rFonts w:asciiTheme="minorEastAsia" w:eastAsiaTheme="minorEastAsia" w:hAnsiTheme="minorEastAsia"/>
          <w:szCs w:val="21"/>
        </w:rPr>
      </w:pPr>
      <w:r w:rsidRPr="002B175D">
        <w:rPr>
          <w:rStyle w:val="da"/>
          <w:rFonts w:asciiTheme="minorEastAsia" w:eastAsiaTheme="minorEastAsia" w:hAnsiTheme="minorEastAsia"/>
          <w:szCs w:val="21"/>
        </w:rPr>
        <w:t>传真：</w:t>
      </w:r>
      <w:r w:rsidR="00226D90" w:rsidRPr="002B175D">
        <w:rPr>
          <w:rFonts w:asciiTheme="minorEastAsia" w:eastAsiaTheme="minorEastAsia" w:hAnsiTheme="minorEastAsia"/>
          <w:szCs w:val="21"/>
        </w:rPr>
        <w:t>020-</w:t>
      </w:r>
      <w:r w:rsidR="00303E9B" w:rsidRPr="002B175D">
        <w:rPr>
          <w:rStyle w:val="da"/>
          <w:rFonts w:asciiTheme="minorEastAsia" w:eastAsiaTheme="minorEastAsia" w:hAnsiTheme="minorEastAsia"/>
          <w:szCs w:val="21"/>
        </w:rPr>
        <w:t>38799345</w:t>
      </w:r>
      <w:r w:rsidR="00303E9B" w:rsidRPr="002B175D">
        <w:rPr>
          <w:rStyle w:val="da"/>
          <w:rFonts w:asciiTheme="minorEastAsia" w:eastAsiaTheme="minorEastAsia" w:hAnsiTheme="minorEastAsia" w:hint="eastAsia"/>
          <w:szCs w:val="21"/>
        </w:rPr>
        <w:t>-200</w:t>
      </w:r>
    </w:p>
    <w:p w:rsidR="00A12B7E" w:rsidRPr="002B175D" w:rsidRDefault="00450463"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szCs w:val="21"/>
        </w:rPr>
        <w:t>经办律师：</w:t>
      </w:r>
      <w:r w:rsidR="00481324" w:rsidRPr="002B175D">
        <w:rPr>
          <w:rStyle w:val="da"/>
          <w:rFonts w:asciiTheme="minorEastAsia" w:eastAsiaTheme="minorEastAsia" w:hAnsiTheme="minorEastAsia" w:hint="eastAsia"/>
          <w:szCs w:val="21"/>
        </w:rPr>
        <w:t>黄贞、陈桂华</w:t>
      </w:r>
    </w:p>
    <w:p w:rsidR="00450463" w:rsidRPr="002B175D" w:rsidRDefault="00450463"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szCs w:val="21"/>
        </w:rPr>
        <w:t>联系人：</w:t>
      </w:r>
      <w:r w:rsidR="00A12B7E" w:rsidRPr="002B175D">
        <w:rPr>
          <w:rStyle w:val="da"/>
          <w:rFonts w:asciiTheme="minorEastAsia" w:eastAsiaTheme="minorEastAsia" w:hAnsiTheme="minorEastAsia" w:hint="eastAsia"/>
          <w:szCs w:val="21"/>
        </w:rPr>
        <w:t>黄贞</w:t>
      </w:r>
    </w:p>
    <w:p w:rsidR="00BA4B87" w:rsidRPr="002B175D" w:rsidRDefault="002E1C38" w:rsidP="00861AD8">
      <w:pPr>
        <w:snapToGrid w:val="0"/>
        <w:spacing w:line="360" w:lineRule="auto"/>
        <w:ind w:firstLineChars="200" w:firstLine="420"/>
        <w:rPr>
          <w:rStyle w:val="da"/>
          <w:rFonts w:asciiTheme="minorEastAsia" w:eastAsiaTheme="minorEastAsia" w:hAnsiTheme="minorEastAsia"/>
          <w:szCs w:val="21"/>
        </w:rPr>
      </w:pPr>
      <w:bookmarkStart w:id="13" w:name="_Toc332373485"/>
      <w:r w:rsidRPr="002B175D">
        <w:rPr>
          <w:rStyle w:val="da"/>
          <w:rFonts w:asciiTheme="minorEastAsia" w:eastAsiaTheme="minorEastAsia" w:hAnsiTheme="minorEastAsia" w:hint="eastAsia"/>
          <w:szCs w:val="21"/>
        </w:rPr>
        <w:t>（</w:t>
      </w:r>
      <w:r w:rsidR="00BA4B87" w:rsidRPr="002B175D">
        <w:rPr>
          <w:rStyle w:val="da"/>
          <w:rFonts w:asciiTheme="minorEastAsia" w:eastAsiaTheme="minorEastAsia" w:hAnsiTheme="minorEastAsia" w:hint="eastAsia"/>
          <w:szCs w:val="21"/>
        </w:rPr>
        <w:t>四</w:t>
      </w:r>
      <w:r w:rsidRPr="002B175D">
        <w:rPr>
          <w:rStyle w:val="da"/>
          <w:rFonts w:asciiTheme="minorEastAsia" w:eastAsiaTheme="minorEastAsia" w:hAnsiTheme="minorEastAsia" w:hint="eastAsia"/>
          <w:szCs w:val="21"/>
        </w:rPr>
        <w:t>）</w:t>
      </w:r>
      <w:r w:rsidR="00BA4B87" w:rsidRPr="002B175D">
        <w:rPr>
          <w:rStyle w:val="da"/>
          <w:rFonts w:asciiTheme="minorEastAsia" w:eastAsiaTheme="minorEastAsia" w:hAnsiTheme="minorEastAsia" w:hint="eastAsia"/>
          <w:szCs w:val="21"/>
        </w:rPr>
        <w:t>会计师事务所和经办注册会计师</w:t>
      </w:r>
      <w:bookmarkEnd w:id="13"/>
    </w:p>
    <w:p w:rsidR="003F08A3" w:rsidRPr="002B175D" w:rsidRDefault="003F08A3"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本基金的法定验资机构为安永华明会计师事务所（特殊普通合伙）。</w:t>
      </w:r>
    </w:p>
    <w:p w:rsidR="007520A0" w:rsidRPr="002B175D" w:rsidRDefault="007520A0"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会计师事务所：安永华明会计师事务所（特殊普通合伙）</w:t>
      </w:r>
    </w:p>
    <w:p w:rsidR="007520A0" w:rsidRPr="002B175D" w:rsidRDefault="007520A0"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主要经营场所：北京市东城区东长安街</w:t>
      </w:r>
      <w:r w:rsidRPr="002B175D">
        <w:rPr>
          <w:rFonts w:asciiTheme="minorEastAsia" w:eastAsiaTheme="minorEastAsia" w:hAnsiTheme="minorEastAsia"/>
          <w:szCs w:val="21"/>
        </w:rPr>
        <w:t>1</w:t>
      </w:r>
      <w:r w:rsidRPr="002B175D">
        <w:rPr>
          <w:rFonts w:asciiTheme="minorEastAsia" w:eastAsiaTheme="minorEastAsia" w:hAnsiTheme="minorEastAsia" w:hint="eastAsia"/>
          <w:szCs w:val="21"/>
        </w:rPr>
        <w:t>号东方广场安永大楼</w:t>
      </w:r>
      <w:r w:rsidRPr="002B175D">
        <w:rPr>
          <w:rFonts w:asciiTheme="minorEastAsia" w:eastAsiaTheme="minorEastAsia" w:hAnsiTheme="minorEastAsia"/>
          <w:szCs w:val="21"/>
        </w:rPr>
        <w:t>17</w:t>
      </w:r>
      <w:r w:rsidRPr="002B175D">
        <w:rPr>
          <w:rFonts w:asciiTheme="minorEastAsia" w:eastAsiaTheme="minorEastAsia" w:hAnsiTheme="minorEastAsia" w:hint="eastAsia"/>
          <w:szCs w:val="21"/>
        </w:rPr>
        <w:t>层</w:t>
      </w:r>
      <w:r w:rsidRPr="002B175D">
        <w:rPr>
          <w:rFonts w:asciiTheme="minorEastAsia" w:eastAsiaTheme="minorEastAsia" w:hAnsiTheme="minorEastAsia"/>
          <w:szCs w:val="21"/>
        </w:rPr>
        <w:t>01-12</w:t>
      </w:r>
      <w:r w:rsidRPr="002B175D">
        <w:rPr>
          <w:rFonts w:asciiTheme="minorEastAsia" w:eastAsiaTheme="minorEastAsia" w:hAnsiTheme="minorEastAsia" w:hint="eastAsia"/>
          <w:szCs w:val="21"/>
        </w:rPr>
        <w:t>室</w:t>
      </w:r>
    </w:p>
    <w:p w:rsidR="007520A0" w:rsidRPr="002B175D" w:rsidRDefault="007520A0"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执行事务合伙人：</w:t>
      </w:r>
      <w:r w:rsidRPr="002B175D">
        <w:rPr>
          <w:rFonts w:asciiTheme="minorEastAsia" w:eastAsiaTheme="minorEastAsia" w:hAnsiTheme="minorEastAsia"/>
          <w:szCs w:val="21"/>
        </w:rPr>
        <w:t>NgAlbertKongPing</w:t>
      </w:r>
      <w:r w:rsidRPr="002B175D">
        <w:rPr>
          <w:rFonts w:asciiTheme="minorEastAsia" w:eastAsiaTheme="minorEastAsia" w:hAnsiTheme="minorEastAsia" w:hint="eastAsia"/>
          <w:szCs w:val="21"/>
        </w:rPr>
        <w:t>吴港平</w:t>
      </w:r>
    </w:p>
    <w:p w:rsidR="007520A0" w:rsidRPr="002B175D" w:rsidRDefault="007520A0"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电话：（</w:t>
      </w:r>
      <w:r w:rsidRPr="002B175D">
        <w:rPr>
          <w:rFonts w:asciiTheme="minorEastAsia" w:eastAsiaTheme="minorEastAsia" w:hAnsiTheme="minorEastAsia"/>
          <w:szCs w:val="21"/>
        </w:rPr>
        <w:t>010</w:t>
      </w:r>
      <w:r w:rsidRPr="002B175D">
        <w:rPr>
          <w:rFonts w:asciiTheme="minorEastAsia" w:eastAsiaTheme="minorEastAsia" w:hAnsiTheme="minorEastAsia" w:hint="eastAsia"/>
          <w:szCs w:val="21"/>
        </w:rPr>
        <w:t>）</w:t>
      </w:r>
      <w:r w:rsidRPr="002B175D">
        <w:rPr>
          <w:rFonts w:asciiTheme="minorEastAsia" w:eastAsiaTheme="minorEastAsia" w:hAnsiTheme="minorEastAsia"/>
          <w:szCs w:val="21"/>
        </w:rPr>
        <w:t>58153000</w:t>
      </w:r>
    </w:p>
    <w:p w:rsidR="007520A0" w:rsidRPr="002B175D" w:rsidRDefault="007520A0"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传真：（</w:t>
      </w:r>
      <w:r w:rsidRPr="002B175D">
        <w:rPr>
          <w:rFonts w:asciiTheme="minorEastAsia" w:eastAsiaTheme="minorEastAsia" w:hAnsiTheme="minorEastAsia"/>
          <w:szCs w:val="21"/>
        </w:rPr>
        <w:t>010</w:t>
      </w:r>
      <w:r w:rsidRPr="002B175D">
        <w:rPr>
          <w:rFonts w:asciiTheme="minorEastAsia" w:eastAsiaTheme="minorEastAsia" w:hAnsiTheme="minorEastAsia" w:hint="eastAsia"/>
          <w:szCs w:val="21"/>
        </w:rPr>
        <w:t>）</w:t>
      </w:r>
      <w:r w:rsidRPr="002B175D">
        <w:rPr>
          <w:rFonts w:asciiTheme="minorEastAsia" w:eastAsiaTheme="minorEastAsia" w:hAnsiTheme="minorEastAsia"/>
          <w:szCs w:val="21"/>
        </w:rPr>
        <w:t>85188298</w:t>
      </w:r>
    </w:p>
    <w:p w:rsidR="007520A0" w:rsidRPr="002B175D" w:rsidRDefault="007520A0"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经办注册会计师：</w:t>
      </w:r>
      <w:r w:rsidR="009814A8" w:rsidRPr="002B175D">
        <w:rPr>
          <w:rFonts w:asciiTheme="minorEastAsia" w:eastAsiaTheme="minorEastAsia" w:hAnsiTheme="minorEastAsia" w:hint="eastAsia"/>
          <w:szCs w:val="21"/>
        </w:rPr>
        <w:t>昌华、熊姝英</w:t>
      </w:r>
    </w:p>
    <w:p w:rsidR="007520A0" w:rsidRPr="002B175D" w:rsidRDefault="007520A0"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联系人：许建辉</w:t>
      </w:r>
    </w:p>
    <w:p w:rsidR="007A4529" w:rsidRPr="002B175D" w:rsidRDefault="007A4529" w:rsidP="00861AD8">
      <w:pPr>
        <w:snapToGrid w:val="0"/>
        <w:spacing w:line="360" w:lineRule="auto"/>
        <w:ind w:firstLineChars="200" w:firstLine="420"/>
        <w:rPr>
          <w:rStyle w:val="da"/>
          <w:rFonts w:asciiTheme="minorEastAsia" w:eastAsiaTheme="minorEastAsia" w:hAnsiTheme="minorEastAsia"/>
          <w:szCs w:val="21"/>
        </w:rPr>
      </w:pPr>
      <w:r w:rsidRPr="002B175D">
        <w:rPr>
          <w:rStyle w:val="da"/>
          <w:rFonts w:asciiTheme="minorEastAsia" w:eastAsiaTheme="minorEastAsia" w:hAnsiTheme="minorEastAsia" w:hint="eastAsia"/>
          <w:szCs w:val="21"/>
        </w:rPr>
        <w:t>本基金的年度财务报表及其他规定事项的审计机构为普华永道中天会计师事务所(特殊普通合伙)。</w:t>
      </w:r>
    </w:p>
    <w:p w:rsidR="00A81974" w:rsidRPr="002B175D" w:rsidRDefault="00A81974"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会计师事务所：普华永道中天会计师事务所（特殊普通合伙）</w:t>
      </w:r>
    </w:p>
    <w:p w:rsidR="003212DD" w:rsidRPr="002B175D" w:rsidRDefault="003212DD"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住所：上海市湖滨路202号普华永道中心11楼</w:t>
      </w:r>
    </w:p>
    <w:p w:rsidR="003212DD" w:rsidRPr="002B175D" w:rsidRDefault="003212DD"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办公地址：上海市湖滨路202号普华永道中心11楼</w:t>
      </w:r>
    </w:p>
    <w:p w:rsidR="003212DD" w:rsidRPr="002B175D" w:rsidRDefault="003212DD"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首席合伙人：李丹</w:t>
      </w:r>
    </w:p>
    <w:p w:rsidR="003212DD" w:rsidRPr="002B175D" w:rsidRDefault="003212DD"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电话：（021）23238888</w:t>
      </w:r>
    </w:p>
    <w:p w:rsidR="003212DD" w:rsidRPr="002B175D" w:rsidRDefault="003212DD"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传真：（021）23238800</w:t>
      </w:r>
    </w:p>
    <w:p w:rsidR="003212DD" w:rsidRPr="002B175D" w:rsidRDefault="003212DD"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经办注册会计师：</w:t>
      </w:r>
      <w:r w:rsidR="00D334A3" w:rsidRPr="002B175D">
        <w:rPr>
          <w:rFonts w:asciiTheme="minorEastAsia" w:eastAsiaTheme="minorEastAsia" w:hAnsiTheme="minorEastAsia" w:hint="eastAsia"/>
          <w:szCs w:val="21"/>
        </w:rPr>
        <w:t>陈熹、周祎</w:t>
      </w:r>
    </w:p>
    <w:p w:rsidR="00BA4B87" w:rsidRPr="002B175D" w:rsidRDefault="003212DD" w:rsidP="00861AD8">
      <w:pPr>
        <w:snapToGrid w:val="0"/>
        <w:spacing w:line="360" w:lineRule="auto"/>
        <w:ind w:firstLineChars="200" w:firstLine="420"/>
        <w:rPr>
          <w:rStyle w:val="da"/>
          <w:rFonts w:asciiTheme="minorEastAsia" w:eastAsiaTheme="minorEastAsia" w:hAnsiTheme="minorEastAsia"/>
          <w:szCs w:val="21"/>
        </w:rPr>
      </w:pPr>
      <w:r w:rsidRPr="002B175D">
        <w:rPr>
          <w:rFonts w:asciiTheme="minorEastAsia" w:eastAsiaTheme="minorEastAsia" w:hAnsiTheme="minorEastAsia" w:hint="eastAsia"/>
          <w:szCs w:val="21"/>
        </w:rPr>
        <w:t>联系人：周祎</w:t>
      </w:r>
    </w:p>
    <w:p w:rsidR="00BA4B87" w:rsidRPr="002B175D" w:rsidRDefault="00BA4B87" w:rsidP="00861AD8">
      <w:pPr>
        <w:pStyle w:val="21"/>
        <w:snapToGrid w:val="0"/>
        <w:spacing w:before="0" w:beforeAutospacing="0" w:after="0" w:afterAutospacing="0"/>
        <w:ind w:firstLineChars="0" w:firstLine="420"/>
        <w:rPr>
          <w:rFonts w:asciiTheme="minorEastAsia" w:eastAsiaTheme="minorEastAsia" w:hAnsiTheme="minorEastAsia"/>
          <w:szCs w:val="21"/>
        </w:rPr>
      </w:pPr>
    </w:p>
    <w:p w:rsidR="00072D7C" w:rsidRPr="002B175D" w:rsidRDefault="00072D7C" w:rsidP="00861AD8">
      <w:pPr>
        <w:pStyle w:val="1"/>
        <w:snapToGrid w:val="0"/>
        <w:spacing w:beforeLines="0" w:afterLines="0" w:line="360" w:lineRule="auto"/>
        <w:ind w:firstLineChars="0" w:firstLine="0"/>
        <w:jc w:val="both"/>
        <w:rPr>
          <w:rFonts w:asciiTheme="minorEastAsia" w:eastAsiaTheme="minorEastAsia" w:hAnsiTheme="minorEastAsia"/>
        </w:rPr>
      </w:pPr>
      <w:bookmarkStart w:id="14" w:name="_Toc347214136"/>
      <w:bookmarkStart w:id="15" w:name="_Toc358389026"/>
      <w:r w:rsidRPr="002B175D">
        <w:rPr>
          <w:rFonts w:asciiTheme="minorEastAsia" w:eastAsiaTheme="minorEastAsia" w:hAnsiTheme="minorEastAsia" w:hint="eastAsia"/>
        </w:rPr>
        <w:t>四、基金的名称</w:t>
      </w:r>
    </w:p>
    <w:bookmarkEnd w:id="14"/>
    <w:bookmarkEnd w:id="15"/>
    <w:p w:rsidR="00072D7C" w:rsidRPr="002B175D" w:rsidRDefault="00072D7C" w:rsidP="00861AD8">
      <w:pPr>
        <w:snapToGrid w:val="0"/>
        <w:spacing w:line="360" w:lineRule="auto"/>
        <w:ind w:firstLineChars="200" w:firstLine="420"/>
        <w:rPr>
          <w:rFonts w:asciiTheme="minorEastAsia" w:eastAsiaTheme="minorEastAsia" w:hAnsiTheme="minorEastAsia"/>
        </w:rPr>
      </w:pPr>
      <w:r w:rsidRPr="002B175D">
        <w:rPr>
          <w:rFonts w:asciiTheme="minorEastAsia" w:eastAsiaTheme="minorEastAsia" w:hAnsiTheme="minorEastAsia" w:hint="eastAsia"/>
        </w:rPr>
        <w:t>易方达新收益灵活配置混合型证券投资基金</w:t>
      </w:r>
    </w:p>
    <w:p w:rsidR="00861AD8" w:rsidRPr="002B175D" w:rsidRDefault="00861AD8" w:rsidP="00861AD8">
      <w:pPr>
        <w:snapToGrid w:val="0"/>
        <w:spacing w:line="360" w:lineRule="auto"/>
        <w:ind w:firstLineChars="200" w:firstLine="420"/>
        <w:rPr>
          <w:rStyle w:val="da"/>
          <w:rFonts w:asciiTheme="minorEastAsia" w:eastAsiaTheme="minorEastAsia" w:hAnsiTheme="minorEastAsia"/>
          <w:szCs w:val="21"/>
        </w:rPr>
      </w:pPr>
    </w:p>
    <w:p w:rsidR="00072D7C" w:rsidRPr="002B175D" w:rsidRDefault="00072D7C" w:rsidP="00861AD8">
      <w:pPr>
        <w:pStyle w:val="1"/>
        <w:snapToGrid w:val="0"/>
        <w:spacing w:beforeLines="0" w:afterLines="0" w:line="360" w:lineRule="auto"/>
        <w:ind w:firstLineChars="0" w:firstLine="0"/>
        <w:jc w:val="both"/>
        <w:rPr>
          <w:rFonts w:asciiTheme="minorEastAsia" w:eastAsiaTheme="minorEastAsia" w:hAnsiTheme="minorEastAsia"/>
        </w:rPr>
      </w:pPr>
      <w:r w:rsidRPr="002B175D">
        <w:rPr>
          <w:rFonts w:asciiTheme="minorEastAsia" w:eastAsiaTheme="minorEastAsia" w:hAnsiTheme="minorEastAsia" w:hint="eastAsia"/>
        </w:rPr>
        <w:t>五、基金的类型</w:t>
      </w:r>
    </w:p>
    <w:p w:rsidR="00072D7C" w:rsidRPr="002B175D" w:rsidRDefault="00072D7C" w:rsidP="00861AD8">
      <w:pPr>
        <w:snapToGrid w:val="0"/>
        <w:spacing w:line="360" w:lineRule="auto"/>
        <w:ind w:firstLine="420"/>
        <w:rPr>
          <w:rFonts w:asciiTheme="minorEastAsia" w:eastAsiaTheme="minorEastAsia" w:hAnsiTheme="minorEastAsia" w:cs="Arial"/>
        </w:rPr>
      </w:pPr>
      <w:r w:rsidRPr="002B175D">
        <w:rPr>
          <w:rFonts w:asciiTheme="minorEastAsia" w:eastAsiaTheme="minorEastAsia" w:hAnsiTheme="minorEastAsia" w:cs="Arial" w:hint="eastAsia"/>
        </w:rPr>
        <w:t>契约型开放式混合型证券投资基金</w:t>
      </w:r>
    </w:p>
    <w:p w:rsidR="00861AD8" w:rsidRPr="002B175D" w:rsidRDefault="00861AD8" w:rsidP="00861AD8">
      <w:pPr>
        <w:snapToGrid w:val="0"/>
        <w:spacing w:line="360" w:lineRule="auto"/>
        <w:ind w:firstLine="420"/>
        <w:rPr>
          <w:rFonts w:asciiTheme="minorEastAsia" w:eastAsiaTheme="minorEastAsia" w:hAnsiTheme="minorEastAsia" w:cs="Arial"/>
        </w:rPr>
      </w:pPr>
    </w:p>
    <w:p w:rsidR="00072D7C" w:rsidRPr="002B175D" w:rsidRDefault="00072D7C" w:rsidP="00861AD8">
      <w:pPr>
        <w:pStyle w:val="1"/>
        <w:snapToGrid w:val="0"/>
        <w:spacing w:beforeLines="0" w:afterLines="0" w:line="360" w:lineRule="auto"/>
        <w:ind w:firstLineChars="0" w:firstLine="0"/>
        <w:jc w:val="both"/>
        <w:rPr>
          <w:rFonts w:asciiTheme="minorEastAsia" w:eastAsiaTheme="minorEastAsia" w:hAnsiTheme="minorEastAsia"/>
        </w:rPr>
      </w:pPr>
      <w:r w:rsidRPr="002B175D">
        <w:rPr>
          <w:rFonts w:asciiTheme="minorEastAsia" w:eastAsiaTheme="minorEastAsia" w:hAnsiTheme="minorEastAsia" w:hint="eastAsia"/>
        </w:rPr>
        <w:t>六、基金的投资目标</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本基金在控制风险的前提下，追求基金资产的稳健增值。</w:t>
      </w:r>
    </w:p>
    <w:p w:rsidR="00861AD8" w:rsidRPr="002B175D" w:rsidRDefault="00861AD8" w:rsidP="00861AD8">
      <w:pPr>
        <w:snapToGrid w:val="0"/>
        <w:spacing w:line="360" w:lineRule="auto"/>
        <w:ind w:firstLineChars="200" w:firstLine="420"/>
        <w:rPr>
          <w:rStyle w:val="da"/>
          <w:rFonts w:asciiTheme="minorEastAsia" w:eastAsiaTheme="minorEastAsia" w:hAnsiTheme="minorEastAsia"/>
          <w:szCs w:val="21"/>
        </w:rPr>
      </w:pPr>
    </w:p>
    <w:p w:rsidR="00072D7C" w:rsidRPr="002B175D" w:rsidRDefault="00072D7C" w:rsidP="00861AD8">
      <w:pPr>
        <w:pStyle w:val="1"/>
        <w:snapToGrid w:val="0"/>
        <w:spacing w:beforeLines="0" w:afterLines="0" w:line="360" w:lineRule="auto"/>
        <w:ind w:firstLineChars="0" w:firstLine="0"/>
        <w:jc w:val="both"/>
        <w:rPr>
          <w:rFonts w:asciiTheme="minorEastAsia" w:eastAsiaTheme="minorEastAsia" w:hAnsiTheme="minorEastAsia"/>
        </w:rPr>
      </w:pPr>
      <w:bookmarkStart w:id="16" w:name="_Toc231035054"/>
      <w:bookmarkStart w:id="17" w:name="_Toc231035624"/>
      <w:bookmarkStart w:id="18" w:name="_Toc231035800"/>
      <w:bookmarkStart w:id="19" w:name="_Toc231044560"/>
      <w:bookmarkStart w:id="20" w:name="_Toc231044691"/>
      <w:bookmarkStart w:id="21" w:name="_Toc231044821"/>
      <w:bookmarkStart w:id="22" w:name="_Toc231044951"/>
      <w:bookmarkStart w:id="23" w:name="_Toc231110109"/>
      <w:r w:rsidRPr="002B175D">
        <w:rPr>
          <w:rFonts w:asciiTheme="minorEastAsia" w:eastAsiaTheme="minorEastAsia" w:hAnsiTheme="minorEastAsia" w:hint="eastAsia"/>
        </w:rPr>
        <w:t>七、基金的投资方向</w:t>
      </w:r>
      <w:bookmarkEnd w:id="16"/>
      <w:bookmarkEnd w:id="17"/>
      <w:bookmarkEnd w:id="18"/>
      <w:bookmarkEnd w:id="19"/>
      <w:bookmarkEnd w:id="20"/>
      <w:bookmarkEnd w:id="21"/>
      <w:bookmarkEnd w:id="22"/>
      <w:bookmarkEnd w:id="23"/>
    </w:p>
    <w:p w:rsidR="00072D7C" w:rsidRPr="002B175D" w:rsidRDefault="00072D7C" w:rsidP="00861AD8">
      <w:pPr>
        <w:snapToGrid w:val="0"/>
        <w:spacing w:line="360" w:lineRule="auto"/>
        <w:ind w:firstLineChars="200" w:firstLine="420"/>
        <w:rPr>
          <w:rFonts w:asciiTheme="minorEastAsia" w:eastAsiaTheme="minorEastAsia" w:hAnsiTheme="minorEastAsia"/>
          <w:bCs/>
          <w:szCs w:val="21"/>
        </w:rPr>
      </w:pPr>
      <w:r w:rsidRPr="002B175D">
        <w:rPr>
          <w:rFonts w:asciiTheme="minorEastAsia" w:eastAsiaTheme="minorEastAsia" w:hAnsiTheme="minorEastAsia" w:hint="eastAsia"/>
          <w:bCs/>
          <w:szCs w:val="21"/>
        </w:rPr>
        <w:t>本基金的投资范围包括国内依法发行、上市的股票（包括创业板、中小板以及其他经中国证监会核准上市的股票）、债券（包括国债、央行票据、地方政府债、金融债、企业债、公司债、证券公司短期公司债、中小企业私募债、次级债、中期票据、短期融资券、可转换债券、可交换债券、资产支持证券等）、债券回购、银行存款、权证、股指期货及法律法规或中国证监会允许基金投资的其他金融工具。</w:t>
      </w:r>
    </w:p>
    <w:p w:rsidR="00072D7C" w:rsidRPr="002B175D" w:rsidRDefault="00072D7C" w:rsidP="00861AD8">
      <w:pPr>
        <w:snapToGrid w:val="0"/>
        <w:spacing w:line="360" w:lineRule="auto"/>
        <w:ind w:firstLineChars="200" w:firstLine="420"/>
        <w:rPr>
          <w:rFonts w:asciiTheme="minorEastAsia" w:eastAsiaTheme="minorEastAsia" w:hAnsiTheme="minorEastAsia"/>
          <w:bCs/>
          <w:szCs w:val="21"/>
        </w:rPr>
      </w:pPr>
      <w:r w:rsidRPr="002B175D">
        <w:rPr>
          <w:rFonts w:asciiTheme="minorEastAsia" w:eastAsiaTheme="minorEastAsia" w:hAnsiTheme="minorEastAsia"/>
          <w:bCs/>
          <w:szCs w:val="21"/>
        </w:rPr>
        <w:t>如法律法规或监管机构以后允许基金投资其他品种</w:t>
      </w:r>
      <w:r w:rsidRPr="002B175D">
        <w:rPr>
          <w:rFonts w:asciiTheme="minorEastAsia" w:eastAsiaTheme="minorEastAsia" w:hAnsiTheme="minorEastAsia" w:hint="eastAsia"/>
          <w:bCs/>
          <w:szCs w:val="21"/>
        </w:rPr>
        <w:t>，本基金可将其纳入投资范围。</w:t>
      </w:r>
    </w:p>
    <w:p w:rsidR="00072D7C" w:rsidRPr="002B175D" w:rsidRDefault="00072D7C" w:rsidP="00861AD8">
      <w:pPr>
        <w:snapToGrid w:val="0"/>
        <w:spacing w:line="360" w:lineRule="auto"/>
        <w:ind w:firstLineChars="200" w:firstLine="420"/>
        <w:rPr>
          <w:rFonts w:asciiTheme="minorEastAsia" w:eastAsiaTheme="minorEastAsia" w:hAnsiTheme="minorEastAsia"/>
          <w:bCs/>
          <w:szCs w:val="21"/>
        </w:rPr>
      </w:pPr>
      <w:r w:rsidRPr="002B175D">
        <w:rPr>
          <w:rFonts w:asciiTheme="minorEastAsia" w:eastAsiaTheme="minorEastAsia" w:hAnsiTheme="minorEastAsia"/>
          <w:bCs/>
          <w:szCs w:val="21"/>
        </w:rPr>
        <w:t>基金的投资组合比例为：</w:t>
      </w:r>
    </w:p>
    <w:p w:rsidR="00072D7C" w:rsidRPr="002B175D" w:rsidRDefault="00072D7C" w:rsidP="00861AD8">
      <w:pPr>
        <w:snapToGrid w:val="0"/>
        <w:spacing w:line="360" w:lineRule="auto"/>
        <w:ind w:firstLineChars="200" w:firstLine="420"/>
        <w:rPr>
          <w:rFonts w:asciiTheme="minorEastAsia" w:eastAsiaTheme="minorEastAsia" w:hAnsiTheme="minorEastAsia"/>
          <w:bCs/>
          <w:szCs w:val="21"/>
        </w:rPr>
      </w:pPr>
      <w:r w:rsidRPr="002B175D">
        <w:rPr>
          <w:rFonts w:asciiTheme="minorEastAsia" w:eastAsiaTheme="minorEastAsia" w:hAnsiTheme="minorEastAsia" w:hint="eastAsia"/>
          <w:bCs/>
          <w:szCs w:val="21"/>
        </w:rPr>
        <w:t>本基金为混合型基金，股票资产占基金资产的比例为0%-95%，扣除股指期货合约需缴纳的交易保证金后，现金或到期日在一年以内的政府债券不低于基金资产净值的5%</w:t>
      </w:r>
      <w:r w:rsidR="00086EE8" w:rsidRPr="002B175D">
        <w:rPr>
          <w:rFonts w:asciiTheme="minorEastAsia" w:eastAsiaTheme="minorEastAsia" w:hAnsiTheme="minorEastAsia" w:hint="eastAsia"/>
          <w:bCs/>
          <w:szCs w:val="21"/>
        </w:rPr>
        <w:t>，现金不包括结算备付金、存出保证金、应收申购款等</w:t>
      </w:r>
      <w:r w:rsidRPr="002B175D">
        <w:rPr>
          <w:rFonts w:asciiTheme="minorEastAsia" w:eastAsiaTheme="minorEastAsia" w:hAnsiTheme="minorEastAsia" w:hint="eastAsia"/>
          <w:bCs/>
          <w:szCs w:val="21"/>
        </w:rPr>
        <w:t>，权证、股指期货及其他金融工具的投资比例依照法律法规或监管机构的规定执行。</w:t>
      </w:r>
    </w:p>
    <w:p w:rsidR="00861AD8" w:rsidRPr="002B175D" w:rsidRDefault="00861AD8" w:rsidP="00861AD8">
      <w:pPr>
        <w:snapToGrid w:val="0"/>
        <w:spacing w:line="360" w:lineRule="auto"/>
        <w:ind w:firstLineChars="200" w:firstLine="420"/>
        <w:rPr>
          <w:rStyle w:val="da"/>
          <w:rFonts w:asciiTheme="minorEastAsia" w:eastAsiaTheme="minorEastAsia" w:hAnsiTheme="minorEastAsia"/>
        </w:rPr>
      </w:pPr>
    </w:p>
    <w:p w:rsidR="00072D7C" w:rsidRPr="002B175D" w:rsidRDefault="00072D7C" w:rsidP="00861AD8">
      <w:pPr>
        <w:pStyle w:val="1"/>
        <w:snapToGrid w:val="0"/>
        <w:spacing w:beforeLines="0" w:afterLines="0" w:line="360" w:lineRule="auto"/>
        <w:ind w:firstLineChars="0" w:firstLine="0"/>
        <w:jc w:val="both"/>
        <w:rPr>
          <w:rFonts w:asciiTheme="minorEastAsia" w:eastAsiaTheme="minorEastAsia" w:hAnsiTheme="minorEastAsia"/>
        </w:rPr>
      </w:pPr>
      <w:bookmarkStart w:id="24" w:name="_Toc231035056"/>
      <w:bookmarkStart w:id="25" w:name="_Toc231035626"/>
      <w:bookmarkStart w:id="26" w:name="_Toc231035802"/>
      <w:bookmarkStart w:id="27" w:name="_Toc231044562"/>
      <w:bookmarkStart w:id="28" w:name="_Toc231044693"/>
      <w:bookmarkStart w:id="29" w:name="_Toc231044823"/>
      <w:bookmarkStart w:id="30" w:name="_Toc231044953"/>
      <w:bookmarkStart w:id="31" w:name="_Toc231110111"/>
      <w:r w:rsidRPr="002B175D">
        <w:rPr>
          <w:rFonts w:asciiTheme="minorEastAsia" w:eastAsiaTheme="minorEastAsia" w:hAnsiTheme="minorEastAsia" w:hint="eastAsia"/>
        </w:rPr>
        <w:t>八、基金的</w:t>
      </w:r>
      <w:r w:rsidRPr="002B175D">
        <w:rPr>
          <w:rFonts w:asciiTheme="minorEastAsia" w:eastAsiaTheme="minorEastAsia" w:hAnsiTheme="minorEastAsia" w:hint="eastAsia"/>
          <w:bCs/>
        </w:rPr>
        <w:t>投资策略</w:t>
      </w:r>
      <w:bookmarkEnd w:id="24"/>
      <w:bookmarkEnd w:id="25"/>
      <w:bookmarkEnd w:id="26"/>
      <w:bookmarkEnd w:id="27"/>
      <w:bookmarkEnd w:id="28"/>
      <w:bookmarkEnd w:id="29"/>
      <w:bookmarkEnd w:id="30"/>
      <w:bookmarkEnd w:id="31"/>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bCs/>
          <w:szCs w:val="21"/>
        </w:rPr>
        <w:t>1</w:t>
      </w:r>
      <w:r w:rsidR="00861AD8" w:rsidRPr="002B175D">
        <w:rPr>
          <w:rFonts w:asciiTheme="minorEastAsia" w:eastAsiaTheme="minorEastAsia" w:hAnsiTheme="minorEastAsia" w:cs="Arial" w:hint="eastAsia"/>
          <w:bCs/>
          <w:szCs w:val="21"/>
        </w:rPr>
        <w:t>、</w:t>
      </w:r>
      <w:r w:rsidRPr="002B175D">
        <w:rPr>
          <w:rFonts w:asciiTheme="minorEastAsia" w:eastAsiaTheme="minorEastAsia" w:hAnsiTheme="minorEastAsia" w:cs="Arial" w:hint="eastAsia"/>
          <w:bCs/>
          <w:szCs w:val="21"/>
        </w:rPr>
        <w:t>资产配置策略</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本基金基于定量与定性相结合的宏观及市场分析，确定组合中股票、债券等资产类别的配置比例。</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在资产配置中，本基金主要考虑：（1）宏观经济走势，主要通过对GDP增速、工业增加值、物价水平、市场利率水平等宏观经济指标的分析，判断实体经济在经济周期中所处的阶段；（2）市场估值与流动性，紧密跟踪国内外市场整体估值变化，货币供应量增速变化及其对市场整体资金供求的可能影响；（3）政策因素，密切关注国家宏观经济与产业经济层面相关政策的政策导向及其变化对市场和相关产业的影响。</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bCs/>
          <w:szCs w:val="21"/>
        </w:rPr>
        <w:t>2</w:t>
      </w:r>
      <w:r w:rsidR="00861AD8" w:rsidRPr="002B175D">
        <w:rPr>
          <w:rFonts w:asciiTheme="minorEastAsia" w:eastAsiaTheme="minorEastAsia" w:hAnsiTheme="minorEastAsia" w:cs="Arial" w:hint="eastAsia"/>
          <w:bCs/>
          <w:szCs w:val="21"/>
        </w:rPr>
        <w:t>、</w:t>
      </w:r>
      <w:r w:rsidRPr="002B175D">
        <w:rPr>
          <w:rFonts w:asciiTheme="minorEastAsia" w:eastAsiaTheme="minorEastAsia" w:hAnsiTheme="minorEastAsia" w:cs="Arial" w:hint="eastAsia"/>
          <w:bCs/>
          <w:szCs w:val="21"/>
        </w:rPr>
        <w:t>股票投资策略</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（1）行业配置策略</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本基金将通过分析以下因素，对各行业的投资价值进行综合评估，从而确定并动态调整行业配置比例。</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1）行业景气度</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本基金将密切关注国家相关产业政策、规划动态，并结合行业数据持续跟踪、上下游产业链深入进行调研等方法，根据相关行业盈利水平的横向与纵向比较，适时对各行业景气度周期与行业未来盈利趋势进行研判，重点投资于景气度较高且具有可持续性的行业。</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2）行业竞争格局</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本基金主要通过密切跟踪行业进入者的数量、行业内各公司的竞争策略及各公司产品或服务的市场份额来判断公司所处行业竞争格局的变化，重点投资于行业竞争格局良好的行业。</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（2）个股投资策略</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1）公司基本面分析</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在行业配置的基础上，本基金将重点投资于满足基金管理人以下分析标准的公司：公司经营稳健，盈利能力较强或具有较好的盈利预期；财务状况运行良好，资产负债结构相对合理，财务风险较小；公司治理结构合理、管理团队相对稳定、管理规范、具有清晰的长期愿景与企业文化、信息透明。</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2）估值水平分析</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本基金将根据上市公司的行业特性及公司本身的特点，选择合适的股票估值方法。可供选择的估值方法包括市盈率法（P/E）、市净率法（P/B）、市盈率－长期成长法（PEG）、企业价值/销售收入(EV/SALES)、企业价值/息税折旧摊销前利润法（EV/EBITDA）、自由现金流贴现模型（FCFF，FCFE）或股利贴现模型（DDM）等。通过估值水平分析，基金管理人力争发掘出价值被低估或估值合理的股票。</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3）股票组合的构建与调整</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本基金在行业分析、公司基本面分析及估值水平分析的基础上，进行股票组合的构建。当行业、公司的基本面、股票的估值水平出现较大变化时，本基金将对股票组合适时进行动态调整。</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3、债券投资策略</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1）在债券投资方面，本基金将主要通过类属配置与券种选择两个层次进行投资管理。在类属配置层次，本基金结合对宏观经济、市场利率、供求变化等因素的综合分析，根据交易所市场与银行间市场类属资产的风险收益特征，定期对投资组合类属资产进行优化配置和调整，确定类属资产的最优权重。</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在券种选择上，本基金以长期利率趋势分析为基础，结合经济变化趋势、货币政策及不同债券品种的收益率水平、流动性和信用风险等因素，实施积极主动的债券投资管理。</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随着国内债券市场的深入发展和结构性变迁，更多债券新品种和交易形式将增加债券投资盈利模式，本基金将密切跟踪市场动态变化，选择合适的介入机会，谋求高于市场平均水平的投资回报。</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（2）证券公司短期公司债券投资策略</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本基金将根据内部的信用分析方法对可选的证券公司短期公司债券品种进行筛选，确定投资决策。此外，本基金将对拟投资或已投资的证券公司短期公司债券进行流动性分析和监测，尽量选择流动性相对较好的品种进行投资，并适当控制债券投资组合整体的久期，保证本基金的流动性。</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（3）中小企业私募债投资策略</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bCs/>
          <w:szCs w:val="21"/>
        </w:rPr>
        <w:t>本基金在控制信用风险的基础上，对中小企业私募债</w:t>
      </w:r>
      <w:r w:rsidRPr="002B175D">
        <w:rPr>
          <w:rFonts w:asciiTheme="minorEastAsia" w:eastAsiaTheme="minorEastAsia" w:hAnsiTheme="minorEastAsia" w:cs="Arial" w:hint="eastAsia"/>
          <w:bCs/>
          <w:szCs w:val="21"/>
        </w:rPr>
        <w:t>进行</w:t>
      </w:r>
      <w:r w:rsidRPr="002B175D">
        <w:rPr>
          <w:rFonts w:asciiTheme="minorEastAsia" w:eastAsiaTheme="minorEastAsia" w:hAnsiTheme="minorEastAsia" w:cs="Arial"/>
          <w:bCs/>
          <w:szCs w:val="21"/>
        </w:rPr>
        <w:t>投资，主要采取分散</w:t>
      </w:r>
      <w:r w:rsidRPr="002B175D">
        <w:rPr>
          <w:rFonts w:asciiTheme="minorEastAsia" w:eastAsiaTheme="minorEastAsia" w:hAnsiTheme="minorEastAsia" w:cs="Arial" w:hint="eastAsia"/>
          <w:bCs/>
          <w:szCs w:val="21"/>
        </w:rPr>
        <w:t>化</w:t>
      </w:r>
      <w:r w:rsidRPr="002B175D">
        <w:rPr>
          <w:rFonts w:asciiTheme="minorEastAsia" w:eastAsiaTheme="minorEastAsia" w:hAnsiTheme="minorEastAsia" w:cs="Arial"/>
          <w:bCs/>
          <w:szCs w:val="21"/>
        </w:rPr>
        <w:t>投资</w:t>
      </w:r>
      <w:r w:rsidRPr="002B175D">
        <w:rPr>
          <w:rFonts w:asciiTheme="minorEastAsia" w:eastAsiaTheme="minorEastAsia" w:hAnsiTheme="minorEastAsia" w:cs="Arial" w:hint="eastAsia"/>
          <w:bCs/>
          <w:szCs w:val="21"/>
        </w:rPr>
        <w:t>策略</w:t>
      </w:r>
      <w:r w:rsidRPr="002B175D">
        <w:rPr>
          <w:rFonts w:asciiTheme="minorEastAsia" w:eastAsiaTheme="minorEastAsia" w:hAnsiTheme="minorEastAsia" w:cs="Arial"/>
          <w:bCs/>
          <w:szCs w:val="21"/>
        </w:rPr>
        <w:t>，控制个债持有比例。同时，紧密跟踪研究发债企业的基本面情况变化，</w:t>
      </w:r>
      <w:r w:rsidRPr="002B175D">
        <w:rPr>
          <w:rFonts w:asciiTheme="minorEastAsia" w:eastAsiaTheme="minorEastAsia" w:hAnsiTheme="minorEastAsia" w:cs="Arial" w:hint="eastAsia"/>
          <w:bCs/>
          <w:szCs w:val="21"/>
        </w:rPr>
        <w:t>并据此调整投资组合，</w:t>
      </w:r>
      <w:r w:rsidRPr="002B175D">
        <w:rPr>
          <w:rFonts w:asciiTheme="minorEastAsia" w:eastAsiaTheme="minorEastAsia" w:hAnsiTheme="minorEastAsia" w:cs="Arial"/>
          <w:bCs/>
          <w:szCs w:val="21"/>
        </w:rPr>
        <w:t>控制投资风险。</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（4）资产支持证券投资策略</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本公司投资资产支持证券将采取自上而下和自下而上相结合的投资策略。自上而下投资策略指本公司在平均久期配置策略与期限结构配置策略基础上，运用数量化或定性分析方法对资产支持证券的利率风险、提前偿付风险、流动性风险溢价、税收溢价等因素进行分析，对收益率走势及其收益和风险进行判断。自下而上投资策略指本公司运用数量化或定性分析方法对资产池信用风险进行分析和度量，选择风险与收益相匹配的更优品种进行配置。</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4、衍生产品投资策略</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1）本基金可以参与股指期货交易，但必须根据风险管理的原则，以套期保值为目的。本基金将根据对现货和期货市场的分析，采取多头或空头套期保值等策略进行套期保值操作。具体投资策略包括：1）对冲投资组合的系统性风险；2）有效管理现金流量、降低建仓或调仓过程中的冲击成本等。</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（2）权证投资策略</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权证为本基金辅助性投资工具。权证的投资原则为有利于基金资产增值、控制下跌风险、实现保值和锁定收益。</w:t>
      </w:r>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3）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072D7C" w:rsidRPr="002B175D" w:rsidRDefault="00072D7C" w:rsidP="00861AD8">
      <w:pPr>
        <w:pStyle w:val="21"/>
        <w:snapToGrid w:val="0"/>
        <w:spacing w:before="0" w:beforeAutospacing="0" w:after="0" w:afterAutospacing="0"/>
        <w:ind w:firstLineChars="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5、</w:t>
      </w:r>
      <w:r w:rsidRPr="002B175D">
        <w:rPr>
          <w:rFonts w:asciiTheme="minorEastAsia" w:eastAsiaTheme="minorEastAsia" w:hAnsiTheme="minorEastAsia" w:cs="Arial" w:hint="eastAsia"/>
          <w:bCs/>
          <w:szCs w:val="21"/>
          <w:lang w:bidi="en-US"/>
        </w:rPr>
        <w:t>未来，随着市场的发展和基金管理运作的需要，基金管理人可以在不改变投资目标的前提下，遵循法律法规的规定，相应调整或更新投资策略，并在招募说明书更新中公告</w:t>
      </w:r>
      <w:r w:rsidRPr="002B175D">
        <w:rPr>
          <w:rFonts w:asciiTheme="minorEastAsia" w:eastAsiaTheme="minorEastAsia" w:hAnsiTheme="minorEastAsia" w:cs="Arial" w:hint="eastAsia"/>
          <w:bCs/>
          <w:szCs w:val="21"/>
        </w:rPr>
        <w:t>。</w:t>
      </w:r>
    </w:p>
    <w:p w:rsidR="00861AD8" w:rsidRPr="002B175D" w:rsidRDefault="00861AD8" w:rsidP="00861AD8">
      <w:pPr>
        <w:pStyle w:val="21"/>
        <w:snapToGrid w:val="0"/>
        <w:spacing w:before="0" w:beforeAutospacing="0" w:after="0" w:afterAutospacing="0"/>
        <w:ind w:firstLineChars="0" w:firstLine="420"/>
        <w:rPr>
          <w:rFonts w:asciiTheme="minorEastAsia" w:eastAsiaTheme="minorEastAsia" w:hAnsiTheme="minorEastAsia"/>
          <w:sz w:val="30"/>
          <w:szCs w:val="21"/>
        </w:rPr>
      </w:pPr>
    </w:p>
    <w:p w:rsidR="00072D7C" w:rsidRPr="002B175D" w:rsidRDefault="00072D7C" w:rsidP="00861AD8">
      <w:pPr>
        <w:pStyle w:val="1"/>
        <w:snapToGrid w:val="0"/>
        <w:spacing w:beforeLines="0" w:afterLines="0" w:line="360" w:lineRule="auto"/>
        <w:ind w:firstLineChars="0" w:firstLine="0"/>
        <w:jc w:val="both"/>
        <w:rPr>
          <w:rFonts w:asciiTheme="minorEastAsia" w:eastAsiaTheme="minorEastAsia" w:hAnsiTheme="minorEastAsia"/>
        </w:rPr>
      </w:pPr>
      <w:bookmarkStart w:id="32" w:name="_Toc231035057"/>
      <w:bookmarkStart w:id="33" w:name="_Toc231035627"/>
      <w:bookmarkStart w:id="34" w:name="_Toc231035803"/>
      <w:bookmarkStart w:id="35" w:name="_Toc231044563"/>
      <w:bookmarkStart w:id="36" w:name="_Toc231044694"/>
      <w:bookmarkStart w:id="37" w:name="_Toc231044824"/>
      <w:bookmarkStart w:id="38" w:name="_Toc231044954"/>
      <w:bookmarkStart w:id="39" w:name="_Toc231110112"/>
      <w:r w:rsidRPr="002B175D">
        <w:rPr>
          <w:rFonts w:asciiTheme="minorEastAsia" w:eastAsiaTheme="minorEastAsia" w:hAnsiTheme="minorEastAsia" w:hint="eastAsia"/>
        </w:rPr>
        <w:t>九、基金的业绩</w:t>
      </w:r>
      <w:r w:rsidRPr="002B175D">
        <w:rPr>
          <w:rFonts w:asciiTheme="minorEastAsia" w:eastAsiaTheme="minorEastAsia" w:hAnsiTheme="minorEastAsia"/>
        </w:rPr>
        <w:t>比较基准</w:t>
      </w:r>
      <w:bookmarkEnd w:id="32"/>
      <w:bookmarkEnd w:id="33"/>
      <w:bookmarkEnd w:id="34"/>
      <w:bookmarkEnd w:id="35"/>
      <w:bookmarkEnd w:id="36"/>
      <w:bookmarkEnd w:id="37"/>
      <w:bookmarkEnd w:id="38"/>
      <w:bookmarkEnd w:id="39"/>
    </w:p>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一年期人民币定期存款利率（税后）+2%</w:t>
      </w:r>
    </w:p>
    <w:p w:rsidR="00861AD8" w:rsidRPr="002B175D" w:rsidRDefault="00861AD8" w:rsidP="00861AD8">
      <w:pPr>
        <w:snapToGrid w:val="0"/>
        <w:spacing w:line="360" w:lineRule="auto"/>
        <w:ind w:firstLineChars="200" w:firstLine="420"/>
        <w:rPr>
          <w:rFonts w:asciiTheme="minorEastAsia" w:eastAsiaTheme="minorEastAsia" w:hAnsiTheme="minorEastAsia" w:cs="Arial"/>
          <w:bCs/>
          <w:szCs w:val="21"/>
        </w:rPr>
      </w:pPr>
    </w:p>
    <w:p w:rsidR="00072D7C" w:rsidRPr="002B175D" w:rsidRDefault="00072D7C" w:rsidP="00861AD8">
      <w:pPr>
        <w:pStyle w:val="1"/>
        <w:snapToGrid w:val="0"/>
        <w:spacing w:beforeLines="0" w:afterLines="0" w:line="360" w:lineRule="auto"/>
        <w:ind w:firstLineChars="0" w:firstLine="0"/>
        <w:jc w:val="both"/>
        <w:rPr>
          <w:rFonts w:asciiTheme="minorEastAsia" w:eastAsiaTheme="minorEastAsia" w:hAnsiTheme="minorEastAsia"/>
        </w:rPr>
      </w:pPr>
      <w:bookmarkStart w:id="40" w:name="_Toc87269125"/>
      <w:bookmarkStart w:id="41" w:name="_Toc231035058"/>
      <w:bookmarkStart w:id="42" w:name="_Toc231035628"/>
      <w:bookmarkStart w:id="43" w:name="_Toc231035804"/>
      <w:bookmarkStart w:id="44" w:name="_Toc231044564"/>
      <w:bookmarkStart w:id="45" w:name="_Toc231044695"/>
      <w:bookmarkStart w:id="46" w:name="_Toc231044825"/>
      <w:bookmarkStart w:id="47" w:name="_Toc231044955"/>
      <w:bookmarkStart w:id="48" w:name="_Toc231110113"/>
      <w:bookmarkStart w:id="49" w:name="_Toc84149642"/>
      <w:r w:rsidRPr="002B175D">
        <w:rPr>
          <w:rFonts w:asciiTheme="minorEastAsia" w:eastAsiaTheme="minorEastAsia" w:hAnsiTheme="minorEastAsia" w:hint="eastAsia"/>
        </w:rPr>
        <w:t>十、基金的风险收益特征</w:t>
      </w:r>
      <w:bookmarkEnd w:id="40"/>
      <w:bookmarkEnd w:id="41"/>
      <w:bookmarkEnd w:id="42"/>
      <w:bookmarkEnd w:id="43"/>
      <w:bookmarkEnd w:id="44"/>
      <w:bookmarkEnd w:id="45"/>
      <w:bookmarkEnd w:id="46"/>
      <w:bookmarkEnd w:id="47"/>
      <w:bookmarkEnd w:id="48"/>
    </w:p>
    <w:bookmarkEnd w:id="49"/>
    <w:p w:rsidR="00072D7C" w:rsidRPr="002B175D" w:rsidRDefault="00072D7C" w:rsidP="00861AD8">
      <w:pPr>
        <w:snapToGrid w:val="0"/>
        <w:spacing w:line="360" w:lineRule="auto"/>
        <w:ind w:firstLineChars="200" w:firstLine="420"/>
        <w:rPr>
          <w:rFonts w:asciiTheme="minorEastAsia" w:eastAsiaTheme="minorEastAsia" w:hAnsiTheme="minorEastAsia" w:cs="Arial"/>
          <w:bCs/>
          <w:szCs w:val="21"/>
        </w:rPr>
      </w:pPr>
      <w:r w:rsidRPr="002B175D">
        <w:rPr>
          <w:rFonts w:asciiTheme="minorEastAsia" w:eastAsiaTheme="minorEastAsia" w:hAnsiTheme="minorEastAsia" w:cs="Arial" w:hint="eastAsia"/>
          <w:bCs/>
          <w:szCs w:val="21"/>
        </w:rPr>
        <w:t>本基金为混合型基金，理论上其预期风险与预期收益水平低于股票型基金，高于债券型基金和货币市场基金。</w:t>
      </w:r>
    </w:p>
    <w:p w:rsidR="00861AD8" w:rsidRPr="002B175D" w:rsidRDefault="00861AD8" w:rsidP="00861AD8">
      <w:pPr>
        <w:snapToGrid w:val="0"/>
        <w:spacing w:line="360" w:lineRule="auto"/>
        <w:ind w:firstLineChars="200" w:firstLine="420"/>
        <w:rPr>
          <w:rFonts w:asciiTheme="minorEastAsia" w:eastAsiaTheme="minorEastAsia" w:hAnsiTheme="minorEastAsia"/>
          <w:szCs w:val="21"/>
        </w:rPr>
      </w:pPr>
    </w:p>
    <w:p w:rsidR="00072D7C" w:rsidRPr="002B175D" w:rsidRDefault="00072D7C" w:rsidP="00861AD8">
      <w:pPr>
        <w:pStyle w:val="1"/>
        <w:snapToGrid w:val="0"/>
        <w:spacing w:beforeLines="0" w:afterLines="0" w:line="360" w:lineRule="auto"/>
        <w:ind w:firstLineChars="0" w:firstLine="0"/>
        <w:jc w:val="both"/>
        <w:rPr>
          <w:rFonts w:asciiTheme="minorEastAsia" w:eastAsiaTheme="minorEastAsia" w:hAnsiTheme="minorEastAsia"/>
        </w:rPr>
      </w:pPr>
      <w:bookmarkStart w:id="50" w:name="_Toc231035065"/>
      <w:bookmarkStart w:id="51" w:name="_Toc231035635"/>
      <w:bookmarkStart w:id="52" w:name="_Toc231035811"/>
      <w:bookmarkStart w:id="53" w:name="_Toc231044571"/>
      <w:bookmarkStart w:id="54" w:name="_Toc231044702"/>
      <w:bookmarkStart w:id="55" w:name="_Toc231044832"/>
      <w:bookmarkStart w:id="56" w:name="_Toc231044962"/>
      <w:bookmarkStart w:id="57" w:name="_Toc231110120"/>
      <w:r w:rsidRPr="002B175D">
        <w:rPr>
          <w:rFonts w:asciiTheme="minorEastAsia" w:eastAsiaTheme="minorEastAsia" w:hAnsiTheme="minorEastAsia" w:hint="eastAsia"/>
        </w:rPr>
        <w:t>十一、基金投资组合报告（未经审计）</w:t>
      </w:r>
      <w:bookmarkEnd w:id="50"/>
      <w:bookmarkEnd w:id="51"/>
      <w:bookmarkEnd w:id="52"/>
      <w:bookmarkEnd w:id="53"/>
      <w:bookmarkEnd w:id="54"/>
      <w:bookmarkEnd w:id="55"/>
      <w:bookmarkEnd w:id="56"/>
      <w:bookmarkEnd w:id="57"/>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本基金管理人的董事会及董事保证本报告所载资料不存在虚假记载、误导性陈述或重大遗漏，并对其内容的真实性、准确性和完整性承担个别及连带责任。</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本基金的托管人中国邮政储蓄银行股份有限公司根据本基金合同的规定，复核了本报告的内容，保证复核内容不存在虚假记载、误导性陈述或者重大遗漏。</w:t>
      </w:r>
    </w:p>
    <w:p w:rsidR="00BA4B87" w:rsidRPr="002B175D" w:rsidRDefault="00C75C04" w:rsidP="00861AD8">
      <w:pPr>
        <w:pStyle w:val="21"/>
        <w:snapToGrid w:val="0"/>
        <w:spacing w:before="0" w:beforeAutospacing="0" w:after="0" w:afterAutospacing="0"/>
        <w:ind w:firstLineChars="0" w:firstLine="420"/>
        <w:rPr>
          <w:rFonts w:asciiTheme="minorEastAsia" w:eastAsiaTheme="minorEastAsia" w:hAnsiTheme="minorEastAsia"/>
          <w:szCs w:val="21"/>
        </w:rPr>
      </w:pPr>
      <w:r w:rsidRPr="002B175D">
        <w:rPr>
          <w:rFonts w:asciiTheme="minorEastAsia" w:eastAsiaTheme="minorEastAsia" w:hAnsiTheme="minorEastAsia" w:hint="eastAsia"/>
          <w:szCs w:val="21"/>
        </w:rPr>
        <w:t>本投资组合报告有关数据的期间为2019年1月1日至2019年3月31日</w:t>
      </w:r>
      <w:r w:rsidR="00BD3B25" w:rsidRPr="002B175D">
        <w:rPr>
          <w:rFonts w:asciiTheme="minorEastAsia" w:eastAsiaTheme="minorEastAsia" w:hAnsiTheme="minorEastAsia" w:hint="eastAsia"/>
          <w:szCs w:val="21"/>
        </w:rPr>
        <w:t>。</w:t>
      </w:r>
    </w:p>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1、报告期末基金资产组合情况</w:t>
      </w: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5"/>
        <w:gridCol w:w="3005"/>
        <w:gridCol w:w="2668"/>
        <w:gridCol w:w="1662"/>
      </w:tblGrid>
      <w:tr w:rsidR="00C75C04" w:rsidRPr="002B175D" w:rsidTr="00075172">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序号</w:t>
            </w:r>
          </w:p>
        </w:tc>
        <w:tc>
          <w:tcPr>
            <w:tcW w:w="335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项目</w:t>
            </w:r>
          </w:p>
        </w:tc>
        <w:tc>
          <w:tcPr>
            <w:tcW w:w="297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金额</w:t>
            </w:r>
            <w:r w:rsidRPr="002B175D">
              <w:rPr>
                <w:rFonts w:asciiTheme="minorEastAsia" w:eastAsiaTheme="minorEastAsia" w:hAnsiTheme="minorEastAsia"/>
              </w:rPr>
              <w:t>(</w:t>
            </w:r>
            <w:r w:rsidRPr="002B175D">
              <w:rPr>
                <w:rFonts w:asciiTheme="minorEastAsia" w:eastAsiaTheme="minorEastAsia" w:hAnsiTheme="minorEastAsia" w:hint="eastAsia"/>
              </w:rPr>
              <w:t>元</w:t>
            </w:r>
            <w:r w:rsidRPr="002B175D">
              <w:rPr>
                <w:rFonts w:asciiTheme="minorEastAsia" w:eastAsiaTheme="minorEastAsia" w:hAnsiTheme="minorEastAsia"/>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占基金总资产的比例</w:t>
            </w:r>
            <w:r w:rsidRPr="002B175D">
              <w:rPr>
                <w:rFonts w:asciiTheme="minorEastAsia" w:eastAsiaTheme="minorEastAsia" w:hAnsiTheme="minorEastAsia"/>
              </w:rPr>
              <w:t>(%)</w:t>
            </w:r>
          </w:p>
        </w:tc>
      </w:tr>
      <w:tr w:rsidR="00C75C04" w:rsidRPr="002B175D" w:rsidTr="00075172">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rPr>
              <w:t>1</w:t>
            </w:r>
          </w:p>
        </w:tc>
        <w:tc>
          <w:tcPr>
            <w:tcW w:w="335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权益投资</w:t>
            </w:r>
          </w:p>
        </w:tc>
        <w:tc>
          <w:tcPr>
            <w:tcW w:w="297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76,752,134.46</w:t>
            </w:r>
          </w:p>
        </w:tc>
        <w:tc>
          <w:tcPr>
            <w:tcW w:w="1844"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71.32</w:t>
            </w:r>
          </w:p>
        </w:tc>
      </w:tr>
      <w:tr w:rsidR="00C75C04" w:rsidRPr="002B175D" w:rsidTr="0007517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5C04" w:rsidRPr="002B175D" w:rsidRDefault="00C75C04" w:rsidP="00075172">
            <w:pPr>
              <w:spacing w:before="29" w:line="300" w:lineRule="auto"/>
              <w:ind w:left="17"/>
              <w:jc w:val="center"/>
              <w:rPr>
                <w:rFonts w:asciiTheme="minorEastAsia" w:eastAsiaTheme="minorEastAsia" w:hAnsiTheme="minorEastAsia"/>
              </w:rPr>
            </w:pPr>
          </w:p>
        </w:tc>
        <w:tc>
          <w:tcPr>
            <w:tcW w:w="335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其中：股票</w:t>
            </w:r>
          </w:p>
        </w:tc>
        <w:tc>
          <w:tcPr>
            <w:tcW w:w="297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76,752,134.46</w:t>
            </w:r>
          </w:p>
        </w:tc>
        <w:tc>
          <w:tcPr>
            <w:tcW w:w="1844"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71.32</w:t>
            </w:r>
          </w:p>
        </w:tc>
      </w:tr>
      <w:tr w:rsidR="00C75C04" w:rsidRPr="002B175D" w:rsidTr="00075172">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rPr>
              <w:t>2</w:t>
            </w:r>
          </w:p>
        </w:tc>
        <w:tc>
          <w:tcPr>
            <w:tcW w:w="335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固定收益投资</w:t>
            </w:r>
          </w:p>
        </w:tc>
        <w:tc>
          <w:tcPr>
            <w:tcW w:w="297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26,347,367.76</w:t>
            </w:r>
          </w:p>
        </w:tc>
        <w:tc>
          <w:tcPr>
            <w:tcW w:w="1844"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24.48</w:t>
            </w:r>
          </w:p>
        </w:tc>
      </w:tr>
      <w:tr w:rsidR="00C75C04" w:rsidRPr="002B175D" w:rsidTr="0007517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5C04" w:rsidRPr="002B175D" w:rsidRDefault="00C75C04" w:rsidP="00075172">
            <w:pPr>
              <w:spacing w:before="29" w:line="300" w:lineRule="auto"/>
              <w:ind w:left="17"/>
              <w:jc w:val="center"/>
              <w:rPr>
                <w:rFonts w:asciiTheme="minorEastAsia" w:eastAsiaTheme="minorEastAsia" w:hAnsiTheme="minorEastAsia"/>
              </w:rPr>
            </w:pPr>
          </w:p>
        </w:tc>
        <w:tc>
          <w:tcPr>
            <w:tcW w:w="335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其中：债券</w:t>
            </w:r>
          </w:p>
        </w:tc>
        <w:tc>
          <w:tcPr>
            <w:tcW w:w="297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26,347,367.76</w:t>
            </w:r>
          </w:p>
        </w:tc>
        <w:tc>
          <w:tcPr>
            <w:tcW w:w="1844"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24.48</w:t>
            </w:r>
          </w:p>
        </w:tc>
      </w:tr>
      <w:tr w:rsidR="00C75C04" w:rsidRPr="002B175D" w:rsidTr="0007517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5C04" w:rsidRPr="002B175D" w:rsidRDefault="00C75C04" w:rsidP="00075172">
            <w:pPr>
              <w:spacing w:before="29" w:line="300" w:lineRule="auto"/>
              <w:ind w:left="17"/>
              <w:jc w:val="center"/>
              <w:rPr>
                <w:rFonts w:asciiTheme="minorEastAsia" w:eastAsiaTheme="minorEastAsia" w:hAnsiTheme="minorEastAsia"/>
              </w:rPr>
            </w:pPr>
          </w:p>
        </w:tc>
        <w:tc>
          <w:tcPr>
            <w:tcW w:w="335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资产支持证券</w:t>
            </w:r>
          </w:p>
        </w:tc>
        <w:tc>
          <w:tcPr>
            <w:tcW w:w="297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r>
      <w:tr w:rsidR="00C75C04" w:rsidRPr="002B175D" w:rsidTr="00075172">
        <w:trPr>
          <w:jc w:val="center"/>
        </w:trPr>
        <w:tc>
          <w:tcPr>
            <w:tcW w:w="720" w:type="dxa"/>
            <w:tcBorders>
              <w:top w:val="single" w:sz="4" w:space="0" w:color="auto"/>
              <w:left w:val="single" w:sz="4" w:space="0" w:color="auto"/>
              <w:bottom w:val="single" w:sz="4" w:space="0" w:color="auto"/>
              <w:right w:val="single" w:sz="4" w:space="0" w:color="auto"/>
            </w:tcBorders>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rPr>
              <w:t>3</w:t>
            </w:r>
          </w:p>
        </w:tc>
        <w:tc>
          <w:tcPr>
            <w:tcW w:w="3358" w:type="dxa"/>
            <w:tcBorders>
              <w:top w:val="single" w:sz="4" w:space="0" w:color="auto"/>
              <w:left w:val="single" w:sz="4" w:space="0" w:color="auto"/>
              <w:bottom w:val="single" w:sz="4" w:space="0" w:color="auto"/>
              <w:right w:val="single" w:sz="4" w:space="0" w:color="auto"/>
            </w:tcBorders>
            <w:hideMark/>
          </w:tcPr>
          <w:p w:rsidR="00C75C04" w:rsidRPr="002B175D" w:rsidRDefault="00C75C04" w:rsidP="00075172">
            <w:pPr>
              <w:spacing w:before="29" w:line="300" w:lineRule="auto"/>
              <w:ind w:leftChars="50" w:left="105"/>
              <w:rPr>
                <w:rFonts w:asciiTheme="minorEastAsia" w:eastAsiaTheme="minorEastAsia" w:hAnsiTheme="minorEastAsia"/>
              </w:rPr>
            </w:pPr>
            <w:r w:rsidRPr="002B175D">
              <w:rPr>
                <w:rFonts w:asciiTheme="minorEastAsia" w:eastAsiaTheme="minorEastAsia" w:hAnsiTheme="minorEastAsia" w:hint="eastAsia"/>
              </w:rPr>
              <w:t>贵金属投资</w:t>
            </w:r>
          </w:p>
        </w:tc>
        <w:tc>
          <w:tcPr>
            <w:tcW w:w="297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r>
      <w:tr w:rsidR="00C75C04" w:rsidRPr="002B175D" w:rsidTr="00075172">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rPr>
              <w:t>4</w:t>
            </w:r>
          </w:p>
        </w:tc>
        <w:tc>
          <w:tcPr>
            <w:tcW w:w="335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金融衍生品投资</w:t>
            </w:r>
          </w:p>
        </w:tc>
        <w:tc>
          <w:tcPr>
            <w:tcW w:w="297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r>
      <w:tr w:rsidR="00C75C04" w:rsidRPr="002B175D" w:rsidTr="00075172">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rPr>
              <w:t>5</w:t>
            </w:r>
          </w:p>
        </w:tc>
        <w:tc>
          <w:tcPr>
            <w:tcW w:w="335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买入返售金融资产</w:t>
            </w:r>
          </w:p>
        </w:tc>
        <w:tc>
          <w:tcPr>
            <w:tcW w:w="297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r>
      <w:tr w:rsidR="00C75C04" w:rsidRPr="002B175D" w:rsidTr="0007517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5C04" w:rsidRPr="002B175D" w:rsidRDefault="00C75C04" w:rsidP="00075172">
            <w:pPr>
              <w:spacing w:before="29" w:line="300" w:lineRule="auto"/>
              <w:ind w:left="17"/>
              <w:jc w:val="center"/>
              <w:rPr>
                <w:rFonts w:asciiTheme="minorEastAsia" w:eastAsiaTheme="minorEastAsia" w:hAnsiTheme="minorEastAsia"/>
              </w:rPr>
            </w:pPr>
          </w:p>
        </w:tc>
        <w:tc>
          <w:tcPr>
            <w:tcW w:w="335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其中：买断式回购的买入返售金融资产</w:t>
            </w:r>
          </w:p>
        </w:tc>
        <w:tc>
          <w:tcPr>
            <w:tcW w:w="297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r>
      <w:tr w:rsidR="00C75C04" w:rsidRPr="002B175D" w:rsidTr="00075172">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rPr>
              <w:t>6</w:t>
            </w:r>
          </w:p>
        </w:tc>
        <w:tc>
          <w:tcPr>
            <w:tcW w:w="335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银行存款和结算备付金合计</w:t>
            </w:r>
          </w:p>
        </w:tc>
        <w:tc>
          <w:tcPr>
            <w:tcW w:w="297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2,147,198.39</w:t>
            </w:r>
          </w:p>
        </w:tc>
        <w:tc>
          <w:tcPr>
            <w:tcW w:w="1844"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2.00</w:t>
            </w:r>
          </w:p>
        </w:tc>
      </w:tr>
      <w:tr w:rsidR="00C75C04" w:rsidRPr="002B175D" w:rsidTr="00075172">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rPr>
              <w:t>7</w:t>
            </w:r>
          </w:p>
        </w:tc>
        <w:tc>
          <w:tcPr>
            <w:tcW w:w="335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left"/>
              <w:rPr>
                <w:rFonts w:asciiTheme="minorEastAsia" w:eastAsiaTheme="minorEastAsia" w:hAnsiTheme="minorEastAsia"/>
              </w:rPr>
            </w:pPr>
            <w:r w:rsidRPr="002B175D">
              <w:rPr>
                <w:rFonts w:asciiTheme="minorEastAsia" w:eastAsiaTheme="minorEastAsia" w:hAnsiTheme="minorEastAsia" w:hint="eastAsia"/>
              </w:rPr>
              <w:t>其他资产</w:t>
            </w:r>
          </w:p>
        </w:tc>
        <w:tc>
          <w:tcPr>
            <w:tcW w:w="297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2,364,203.06</w:t>
            </w:r>
          </w:p>
        </w:tc>
        <w:tc>
          <w:tcPr>
            <w:tcW w:w="1844"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2.20</w:t>
            </w:r>
          </w:p>
        </w:tc>
      </w:tr>
      <w:tr w:rsidR="00C75C04" w:rsidRPr="002B175D" w:rsidTr="00075172">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rPr>
              <w:t>8</w:t>
            </w:r>
          </w:p>
        </w:tc>
        <w:tc>
          <w:tcPr>
            <w:tcW w:w="335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left"/>
              <w:rPr>
                <w:rFonts w:asciiTheme="minorEastAsia" w:eastAsiaTheme="minorEastAsia" w:hAnsiTheme="minorEastAsia"/>
              </w:rPr>
            </w:pPr>
            <w:r w:rsidRPr="002B175D">
              <w:rPr>
                <w:rFonts w:asciiTheme="minorEastAsia" w:eastAsiaTheme="minorEastAsia" w:hAnsiTheme="minorEastAsia" w:hint="eastAsia"/>
              </w:rPr>
              <w:t>合计</w:t>
            </w:r>
          </w:p>
        </w:tc>
        <w:tc>
          <w:tcPr>
            <w:tcW w:w="297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107,610,903.67</w:t>
            </w:r>
          </w:p>
        </w:tc>
        <w:tc>
          <w:tcPr>
            <w:tcW w:w="1844"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100.00</w:t>
            </w:r>
          </w:p>
        </w:tc>
      </w:tr>
    </w:tbl>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2、报告期末按行业分类的股票投资组合</w:t>
      </w:r>
    </w:p>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（1）报告期末按行业分类的境内股票投资组合</w:t>
      </w:r>
    </w:p>
    <w:tbl>
      <w:tblPr>
        <w:tblW w:w="8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48"/>
        <w:gridCol w:w="3130"/>
        <w:gridCol w:w="2611"/>
        <w:gridCol w:w="1511"/>
      </w:tblGrid>
      <w:tr w:rsidR="002B175D" w:rsidRPr="002B175D" w:rsidTr="002B175D">
        <w:trPr>
          <w:trHeight w:val="390"/>
        </w:trPr>
        <w:tc>
          <w:tcPr>
            <w:tcW w:w="748" w:type="dxa"/>
            <w:tcBorders>
              <w:top w:val="single" w:sz="4" w:space="0" w:color="000000"/>
              <w:left w:val="single" w:sz="4" w:space="0" w:color="000000"/>
              <w:bottom w:val="single" w:sz="4" w:space="0" w:color="000000"/>
              <w:right w:val="single" w:sz="4" w:space="0" w:color="000000"/>
            </w:tcBorders>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代码</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行业类别</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公允价值（元）</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占基金资产净值比例（％）</w:t>
            </w: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rPr>
              <w:t>A</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农、林、牧、渔业</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autoSpaceDE w:val="0"/>
              <w:autoSpaceDN w:val="0"/>
              <w:adjustRightInd w:val="0"/>
              <w:spacing w:before="29" w:line="300" w:lineRule="auto"/>
              <w:ind w:left="15"/>
              <w:jc w:val="right"/>
              <w:rPr>
                <w:rFonts w:asciiTheme="minorEastAsia" w:eastAsiaTheme="minorEastAsia" w:hAnsiTheme="minorEastAsia"/>
              </w:rPr>
            </w:pPr>
            <w:r w:rsidRPr="002B175D">
              <w:rPr>
                <w:rFonts w:asciiTheme="minorEastAsia" w:eastAsiaTheme="minorEastAsia" w:hAnsiTheme="minorEastAsia"/>
              </w:rPr>
              <w:t>4,222,400.00</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utoSpaceDE w:val="0"/>
              <w:autoSpaceDN w:val="0"/>
              <w:adjustRightInd w:val="0"/>
              <w:spacing w:before="29" w:line="300" w:lineRule="auto"/>
              <w:ind w:left="15"/>
              <w:jc w:val="right"/>
              <w:rPr>
                <w:rFonts w:asciiTheme="minorEastAsia" w:eastAsiaTheme="minorEastAsia" w:hAnsiTheme="minorEastAsia"/>
              </w:rPr>
            </w:pPr>
            <w:r w:rsidRPr="002B175D">
              <w:rPr>
                <w:rFonts w:asciiTheme="minorEastAsia" w:eastAsiaTheme="minorEastAsia" w:hAnsiTheme="minorEastAsia"/>
              </w:rPr>
              <w:t>4.17</w:t>
            </w: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rPr>
              <w:t>B</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采矿业</w:t>
            </w:r>
          </w:p>
        </w:tc>
        <w:tc>
          <w:tcPr>
            <w:tcW w:w="2611" w:type="dxa"/>
            <w:tcBorders>
              <w:top w:val="single" w:sz="4" w:space="0" w:color="000000"/>
              <w:left w:val="single" w:sz="4" w:space="0" w:color="auto"/>
              <w:bottom w:val="single" w:sz="4" w:space="0" w:color="000000"/>
              <w:right w:val="single" w:sz="4" w:space="0" w:color="000000"/>
            </w:tcBorders>
            <w:vAlign w:val="center"/>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p w:rsidR="00C75C04" w:rsidRPr="002B175D" w:rsidRDefault="00C75C04" w:rsidP="00075172">
            <w:pPr>
              <w:spacing w:line="300" w:lineRule="auto"/>
              <w:jc w:val="right"/>
              <w:rPr>
                <w:rFonts w:asciiTheme="minorEastAsia" w:eastAsiaTheme="minorEastAsia" w:hAnsiTheme="minorEastAsia"/>
              </w:rPr>
            </w:pP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p w:rsidR="00C75C04" w:rsidRPr="002B175D" w:rsidRDefault="00C75C04" w:rsidP="00075172">
            <w:pPr>
              <w:spacing w:line="300" w:lineRule="auto"/>
              <w:jc w:val="right"/>
              <w:rPr>
                <w:rFonts w:asciiTheme="minorEastAsia" w:eastAsiaTheme="minorEastAsia" w:hAnsiTheme="minorEastAsia"/>
              </w:rPr>
            </w:pP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rPr>
              <w:t>C</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制造业</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66,237,709.52</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65.39</w:t>
            </w: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rPr>
              <w:t>D</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电力、热力、燃气及水生产和供应业</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rPr>
              <w:t>E</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建筑业</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rPr>
              <w:t>F</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批发和零售业</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rPr>
              <w:t>G</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交通运输、仓储和邮政业</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rPr>
              <w:t>H</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住宿和餐饮业</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rPr>
              <w:t>I</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信息传输、软件和信息技术服务业</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32,902.94</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0.03</w:t>
            </w: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rPr>
              <w:t>J</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金融业</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4,861,362.00</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4.80</w:t>
            </w: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rPr>
              <w:t>K</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房地产业</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1,397,760.00</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1.38</w:t>
            </w: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rPr>
              <w:t>L</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租赁和商务服务业</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rPr>
              <w:t>M</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科学研究和技术服务业</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rPr>
              <w:t>N</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水利、环境和公共设施管理业</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rPr>
              <w:t>O</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居民服务、修理和其他服务业</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rPr>
              <w:t>P</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教育</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rPr>
              <w:t>Q</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卫生和社会工作</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rPr>
              <w:t>R</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文化、体育和娱乐业</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jc w:val="center"/>
              <w:rPr>
                <w:rFonts w:asciiTheme="minorEastAsia" w:eastAsiaTheme="minorEastAsia" w:hAnsiTheme="minorEastAsia"/>
              </w:rPr>
            </w:pPr>
            <w:r w:rsidRPr="002B175D">
              <w:rPr>
                <w:rFonts w:asciiTheme="minorEastAsia" w:eastAsiaTheme="minorEastAsia" w:hAnsiTheme="minorEastAsia"/>
              </w:rPr>
              <w:t>S</w:t>
            </w: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综合</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w:t>
            </w:r>
          </w:p>
        </w:tc>
      </w:tr>
      <w:tr w:rsidR="002B175D" w:rsidRPr="002B175D" w:rsidTr="002B175D">
        <w:trPr>
          <w:trHeight w:val="285"/>
        </w:trPr>
        <w:tc>
          <w:tcPr>
            <w:tcW w:w="7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5C04" w:rsidRPr="002B175D" w:rsidRDefault="00C75C04" w:rsidP="00075172">
            <w:pPr>
              <w:adjustRightInd w:val="0"/>
              <w:snapToGrid w:val="0"/>
              <w:spacing w:line="300" w:lineRule="auto"/>
              <w:jc w:val="center"/>
              <w:rPr>
                <w:rFonts w:asciiTheme="minorEastAsia" w:eastAsiaTheme="minorEastAsia" w:hAnsiTheme="minorEastAsia"/>
              </w:rPr>
            </w:pPr>
          </w:p>
        </w:tc>
        <w:tc>
          <w:tcPr>
            <w:tcW w:w="313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rsidR="00C75C04" w:rsidRPr="002B175D" w:rsidRDefault="00C75C04" w:rsidP="00075172">
            <w:pPr>
              <w:adjustRightInd w:val="0"/>
              <w:snapToGrid w:val="0"/>
              <w:spacing w:line="300" w:lineRule="auto"/>
              <w:rPr>
                <w:rFonts w:asciiTheme="minorEastAsia" w:eastAsiaTheme="minorEastAsia" w:hAnsiTheme="minorEastAsia"/>
              </w:rPr>
            </w:pPr>
            <w:r w:rsidRPr="002B175D">
              <w:rPr>
                <w:rFonts w:asciiTheme="minorEastAsia" w:eastAsiaTheme="minorEastAsia" w:hAnsiTheme="minorEastAsia" w:hint="eastAsia"/>
              </w:rPr>
              <w:t>合计</w:t>
            </w:r>
          </w:p>
        </w:tc>
        <w:tc>
          <w:tcPr>
            <w:tcW w:w="2611" w:type="dxa"/>
            <w:tcBorders>
              <w:top w:val="single" w:sz="4" w:space="0" w:color="000000"/>
              <w:left w:val="single" w:sz="4" w:space="0" w:color="auto"/>
              <w:bottom w:val="single" w:sz="4" w:space="0" w:color="000000"/>
              <w:right w:val="single" w:sz="4" w:space="0" w:color="000000"/>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76,752,134.46</w:t>
            </w:r>
          </w:p>
        </w:tc>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75.77</w:t>
            </w:r>
          </w:p>
        </w:tc>
      </w:tr>
    </w:tbl>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3、报告期末按公允价值占基金资产净值比例大小排序的前十名股票投资明细</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8"/>
        <w:gridCol w:w="1152"/>
        <w:gridCol w:w="1275"/>
        <w:gridCol w:w="1401"/>
        <w:gridCol w:w="2024"/>
        <w:gridCol w:w="1400"/>
      </w:tblGrid>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股票代码</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股票名称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数量</w:t>
            </w:r>
            <w:r w:rsidRPr="002B175D">
              <w:rPr>
                <w:rFonts w:asciiTheme="minorEastAsia" w:eastAsiaTheme="minorEastAsia" w:hAnsiTheme="minorEastAsia"/>
              </w:rPr>
              <w:t>(</w:t>
            </w:r>
            <w:r w:rsidRPr="002B175D">
              <w:rPr>
                <w:rFonts w:asciiTheme="minorEastAsia" w:eastAsiaTheme="minorEastAsia" w:hAnsiTheme="minorEastAsia" w:hint="eastAsia"/>
              </w:rPr>
              <w:t>股</w:t>
            </w:r>
            <w:r w:rsidRPr="002B175D">
              <w:rPr>
                <w:rFonts w:asciiTheme="minorEastAsia" w:eastAsiaTheme="minorEastAsia" w:hAnsiTheme="minor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公允价值</w:t>
            </w:r>
            <w:r w:rsidRPr="002B175D">
              <w:rPr>
                <w:rFonts w:asciiTheme="minorEastAsia" w:eastAsiaTheme="minorEastAsia" w:hAnsiTheme="minorEastAsia"/>
              </w:rPr>
              <w:t>(</w:t>
            </w:r>
            <w:r w:rsidRPr="002B175D">
              <w:rPr>
                <w:rFonts w:asciiTheme="minorEastAsia" w:eastAsiaTheme="minorEastAsia" w:hAnsiTheme="minorEastAsia" w:hint="eastAsia"/>
              </w:rPr>
              <w:t>元</w:t>
            </w:r>
            <w:r w:rsidRPr="002B175D">
              <w:rPr>
                <w:rFonts w:asciiTheme="minorEastAsia" w:eastAsiaTheme="minorEastAsia" w:hAnsiTheme="minor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占基金资产净值比例</w:t>
            </w:r>
            <w:r w:rsidRPr="002B175D">
              <w:rPr>
                <w:rFonts w:asciiTheme="minorEastAsia" w:eastAsiaTheme="minorEastAsia" w:hAnsiTheme="minorEastAsia"/>
              </w:rPr>
              <w:t>(</w:t>
            </w:r>
            <w:r w:rsidRPr="002B175D">
              <w:rPr>
                <w:rFonts w:asciiTheme="minorEastAsia" w:eastAsiaTheme="minorEastAsia" w:hAnsiTheme="minorEastAsia" w:hint="eastAsia"/>
              </w:rPr>
              <w:t>％</w:t>
            </w:r>
            <w:r w:rsidRPr="002B175D">
              <w:rPr>
                <w:rFonts w:asciiTheme="minorEastAsia" w:eastAsiaTheme="minorEastAsia" w:hAnsiTheme="minorEastAsia"/>
              </w:rPr>
              <w:t>)</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600486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扬农化工</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94,600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5,235,164.00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5.17</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002202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金风科技</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353,073</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5,137,212.15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5.07</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000860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顺鑫农业</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83,300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5,050,479.00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4.99</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300628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亿联网络</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51,700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5,040,750.00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4.98</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002531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天顺风能</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714,100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4,763,047.00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4.70</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000568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泸州老窖</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70,000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4,660,600.00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4.60</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002007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华兰生物</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97,800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4,401,000.00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4.34</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300498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温氏股份</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104,000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4,222,400.00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4.17</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002415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海康威视</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111,500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3,910,305.00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3.86</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600519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贵州茅台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4,200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3,586,758.00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3.54</w:t>
            </w:r>
          </w:p>
        </w:tc>
      </w:tr>
    </w:tbl>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4、报告期末按债券品种分类的债券投资组合</w:t>
      </w:r>
    </w:p>
    <w:tbl>
      <w:tblPr>
        <w:tblW w:w="8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3049"/>
        <w:gridCol w:w="2654"/>
        <w:gridCol w:w="1520"/>
      </w:tblGrid>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序号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债券品种</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公允价值</w:t>
            </w:r>
            <w:r w:rsidRPr="002B175D">
              <w:rPr>
                <w:rFonts w:asciiTheme="minorEastAsia" w:eastAsiaTheme="minorEastAsia" w:hAnsiTheme="minorEastAsia"/>
              </w:rPr>
              <w:t>(</w:t>
            </w:r>
            <w:r w:rsidRPr="002B175D">
              <w:rPr>
                <w:rFonts w:asciiTheme="minorEastAsia" w:eastAsiaTheme="minorEastAsia" w:hAnsiTheme="minorEastAsia" w:hint="eastAsia"/>
              </w:rPr>
              <w:t>元</w:t>
            </w:r>
            <w:r w:rsidRPr="002B175D">
              <w:rPr>
                <w:rFonts w:asciiTheme="minorEastAsia" w:eastAsiaTheme="minorEastAsia" w:hAnsiTheme="minorEastAsia"/>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占基金资产净值比例</w:t>
            </w:r>
            <w:r w:rsidRPr="002B175D">
              <w:rPr>
                <w:rFonts w:asciiTheme="minorEastAsia" w:eastAsiaTheme="minorEastAsia" w:hAnsiTheme="minorEastAsia"/>
              </w:rPr>
              <w:t>(</w:t>
            </w:r>
            <w:r w:rsidRPr="002B175D">
              <w:rPr>
                <w:rFonts w:asciiTheme="minorEastAsia" w:eastAsiaTheme="minorEastAsia" w:hAnsiTheme="minorEastAsia" w:hint="eastAsia"/>
              </w:rPr>
              <w:t>％</w:t>
            </w:r>
            <w:r w:rsidRPr="002B175D">
              <w:rPr>
                <w:rFonts w:asciiTheme="minorEastAsia" w:eastAsiaTheme="minorEastAsia" w:hAnsiTheme="minorEastAsia"/>
              </w:rPr>
              <w:t>)</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国家债券</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央行票据</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金融债券</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5,105,410.00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5.04</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tcPr>
          <w:p w:rsidR="00C75C04" w:rsidRPr="002B175D" w:rsidRDefault="00C75C04" w:rsidP="00075172">
            <w:pPr>
              <w:spacing w:before="29" w:line="300" w:lineRule="auto"/>
              <w:ind w:left="17"/>
              <w:jc w:val="center"/>
              <w:rPr>
                <w:rFonts w:asciiTheme="minorEastAsia" w:eastAsiaTheme="minorEastAsia" w:hAnsiTheme="minorEastAsi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其中：政策性金融债</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5,105,410.00</w:t>
            </w:r>
          </w:p>
        </w:tc>
        <w:tc>
          <w:tcPr>
            <w:tcW w:w="161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5.04</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企业债券</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企业短期融资券</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中期票据</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可转债（可交换债）</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21,241,957.76</w:t>
            </w:r>
          </w:p>
        </w:tc>
        <w:tc>
          <w:tcPr>
            <w:tcW w:w="161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20.97</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同业存单</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其他</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w:t>
            </w:r>
          </w:p>
        </w:tc>
      </w:tr>
      <w:tr w:rsidR="00C75C04" w:rsidRPr="002B175D" w:rsidTr="00075172">
        <w:tc>
          <w:tcPr>
            <w:tcW w:w="81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left"/>
              <w:rPr>
                <w:rFonts w:asciiTheme="minorEastAsia" w:eastAsiaTheme="minorEastAsia" w:hAnsiTheme="minorEastAsia"/>
              </w:rPr>
            </w:pPr>
            <w:r w:rsidRPr="002B175D">
              <w:rPr>
                <w:rFonts w:asciiTheme="minorEastAsia" w:eastAsiaTheme="minorEastAsia" w:hAnsiTheme="minorEastAsia" w:hint="eastAsia"/>
              </w:rPr>
              <w:t>合计</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26,347,367.76</w:t>
            </w:r>
          </w:p>
        </w:tc>
        <w:tc>
          <w:tcPr>
            <w:tcW w:w="161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right"/>
              <w:rPr>
                <w:rFonts w:asciiTheme="minorEastAsia" w:eastAsiaTheme="minorEastAsia" w:hAnsiTheme="minorEastAsia"/>
              </w:rPr>
            </w:pPr>
            <w:r w:rsidRPr="002B175D">
              <w:rPr>
                <w:rFonts w:asciiTheme="minorEastAsia" w:eastAsiaTheme="minorEastAsia" w:hAnsiTheme="minorEastAsia"/>
              </w:rPr>
              <w:t>26.01</w:t>
            </w:r>
          </w:p>
        </w:tc>
      </w:tr>
    </w:tbl>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5、报告期末按公允价值占基金资产净值比例大小排序的前五名债券投资明细</w:t>
      </w:r>
    </w:p>
    <w:tbl>
      <w:tblPr>
        <w:tblW w:w="8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7"/>
        <w:gridCol w:w="1381"/>
        <w:gridCol w:w="1750"/>
        <w:gridCol w:w="1381"/>
        <w:gridCol w:w="1872"/>
        <w:gridCol w:w="889"/>
      </w:tblGrid>
      <w:tr w:rsidR="00C75C04" w:rsidRPr="002B175D" w:rsidTr="00075172">
        <w:tc>
          <w:tcPr>
            <w:tcW w:w="802"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center"/>
              <w:rPr>
                <w:rFonts w:asciiTheme="minorEastAsia" w:eastAsiaTheme="minorEastAsia" w:hAnsiTheme="minorEastAsia"/>
                <w:kern w:val="0"/>
              </w:rPr>
            </w:pPr>
            <w:r w:rsidRPr="002B175D">
              <w:rPr>
                <w:rFonts w:asciiTheme="minorEastAsia" w:eastAsiaTheme="minorEastAsia" w:hAnsiTheme="minorEastAsia" w:hint="eastAsia"/>
                <w:kern w:val="0"/>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center"/>
              <w:rPr>
                <w:rFonts w:asciiTheme="minorEastAsia" w:eastAsiaTheme="minorEastAsia" w:hAnsiTheme="minorEastAsia"/>
                <w:kern w:val="0"/>
              </w:rPr>
            </w:pPr>
            <w:r w:rsidRPr="002B175D">
              <w:rPr>
                <w:rFonts w:asciiTheme="minorEastAsia" w:eastAsiaTheme="minorEastAsia" w:hAnsiTheme="minorEastAsia" w:hint="eastAsia"/>
                <w:kern w:val="0"/>
              </w:rPr>
              <w:t>债券代码</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center"/>
              <w:rPr>
                <w:rFonts w:asciiTheme="minorEastAsia" w:eastAsiaTheme="minorEastAsia" w:hAnsiTheme="minorEastAsia"/>
                <w:kern w:val="0"/>
              </w:rPr>
            </w:pPr>
            <w:r w:rsidRPr="002B175D">
              <w:rPr>
                <w:rFonts w:asciiTheme="minorEastAsia" w:eastAsiaTheme="minorEastAsia" w:hAnsiTheme="minorEastAsia" w:hint="eastAsia"/>
                <w:kern w:val="0"/>
              </w:rPr>
              <w:t>债券名称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center"/>
              <w:rPr>
                <w:rFonts w:asciiTheme="minorEastAsia" w:eastAsiaTheme="minorEastAsia" w:hAnsiTheme="minorEastAsia"/>
                <w:kern w:val="0"/>
              </w:rPr>
            </w:pPr>
            <w:r w:rsidRPr="002B175D">
              <w:rPr>
                <w:rFonts w:asciiTheme="minorEastAsia" w:eastAsiaTheme="minorEastAsia" w:hAnsiTheme="minorEastAsia" w:hint="eastAsia"/>
                <w:kern w:val="0"/>
              </w:rPr>
              <w:t>数量（张）</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center"/>
              <w:rPr>
                <w:rFonts w:asciiTheme="minorEastAsia" w:eastAsiaTheme="minorEastAsia" w:hAnsiTheme="minorEastAsia"/>
                <w:kern w:val="0"/>
              </w:rPr>
            </w:pPr>
            <w:r w:rsidRPr="002B175D">
              <w:rPr>
                <w:rFonts w:asciiTheme="minorEastAsia" w:eastAsiaTheme="minorEastAsia" w:hAnsiTheme="minorEastAsia" w:hint="eastAsia"/>
                <w:kern w:val="0"/>
              </w:rPr>
              <w:t>公允价值</w:t>
            </w:r>
            <w:r w:rsidRPr="002B175D">
              <w:rPr>
                <w:rFonts w:asciiTheme="minorEastAsia" w:eastAsiaTheme="minorEastAsia" w:hAnsiTheme="minorEastAsia"/>
                <w:kern w:val="0"/>
              </w:rPr>
              <w:t>(</w:t>
            </w:r>
            <w:r w:rsidRPr="002B175D">
              <w:rPr>
                <w:rFonts w:asciiTheme="minorEastAsia" w:eastAsiaTheme="minorEastAsia" w:hAnsiTheme="minorEastAsia" w:hint="eastAsia"/>
                <w:kern w:val="0"/>
              </w:rPr>
              <w:t>元</w:t>
            </w:r>
            <w:r w:rsidRPr="002B175D">
              <w:rPr>
                <w:rFonts w:asciiTheme="minorEastAsia" w:eastAsiaTheme="minorEastAsia" w:hAnsiTheme="minorEastAsia"/>
                <w:kern w:val="0"/>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center"/>
              <w:rPr>
                <w:rFonts w:asciiTheme="minorEastAsia" w:eastAsiaTheme="minorEastAsia" w:hAnsiTheme="minorEastAsia"/>
                <w:kern w:val="0"/>
              </w:rPr>
            </w:pPr>
            <w:r w:rsidRPr="002B175D">
              <w:rPr>
                <w:rFonts w:asciiTheme="minorEastAsia" w:eastAsiaTheme="minorEastAsia" w:hAnsiTheme="minorEastAsia" w:hint="eastAsia"/>
                <w:kern w:val="0"/>
              </w:rPr>
              <w:t>占基金资产净值比例（％）</w:t>
            </w:r>
          </w:p>
        </w:tc>
      </w:tr>
      <w:tr w:rsidR="00C75C04" w:rsidRPr="002B175D" w:rsidTr="00075172">
        <w:tc>
          <w:tcPr>
            <w:tcW w:w="802"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128054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中宠转债</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38,760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4,368,252.00</w:t>
            </w:r>
          </w:p>
        </w:tc>
        <w:tc>
          <w:tcPr>
            <w:tcW w:w="99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4.31</w:t>
            </w:r>
          </w:p>
        </w:tc>
      </w:tr>
      <w:tr w:rsidR="00C75C04" w:rsidRPr="002B175D" w:rsidTr="00075172">
        <w:tc>
          <w:tcPr>
            <w:tcW w:w="802"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018005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国开</w:t>
            </w:r>
            <w:r w:rsidRPr="002B175D">
              <w:rPr>
                <w:rFonts w:asciiTheme="minorEastAsia" w:eastAsiaTheme="minorEastAsia" w:hAnsiTheme="minorEastAsia"/>
              </w:rPr>
              <w:t>1701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41,000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4,100,410.00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4.05</w:t>
            </w:r>
          </w:p>
        </w:tc>
      </w:tr>
      <w:tr w:rsidR="00C75C04" w:rsidRPr="002B175D" w:rsidTr="00075172">
        <w:tc>
          <w:tcPr>
            <w:tcW w:w="802"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128051</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光华转债</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24,468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2,597,767.56</w:t>
            </w:r>
          </w:p>
        </w:tc>
        <w:tc>
          <w:tcPr>
            <w:tcW w:w="99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2.56</w:t>
            </w:r>
          </w:p>
        </w:tc>
      </w:tr>
      <w:tr w:rsidR="00C75C04" w:rsidRPr="002B175D" w:rsidTr="00075172">
        <w:tc>
          <w:tcPr>
            <w:tcW w:w="802"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123021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万信转</w:t>
            </w:r>
            <w:r w:rsidRPr="002B175D">
              <w:rPr>
                <w:rFonts w:asciiTheme="minorEastAsia" w:eastAsiaTheme="minorEastAsia" w:hAnsiTheme="minorEastAsi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17,530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2,076,954.40</w:t>
            </w:r>
          </w:p>
        </w:tc>
        <w:tc>
          <w:tcPr>
            <w:tcW w:w="99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2.05</w:t>
            </w:r>
          </w:p>
        </w:tc>
      </w:tr>
      <w:tr w:rsidR="00C75C04" w:rsidRPr="002B175D" w:rsidTr="00075172">
        <w:tc>
          <w:tcPr>
            <w:tcW w:w="802"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128030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天康转债</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16,495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2,016,018.90</w:t>
            </w:r>
          </w:p>
        </w:tc>
        <w:tc>
          <w:tcPr>
            <w:tcW w:w="99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1.99</w:t>
            </w:r>
          </w:p>
        </w:tc>
      </w:tr>
    </w:tbl>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6、报告期末按公允价值占基金资产净值比例大小排序的前十名资产支持证券投资明细</w:t>
      </w:r>
    </w:p>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本基金本报告期末未持有资产支持证券。</w:t>
      </w:r>
    </w:p>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7、报告期末按公允价值占基金资产净值比例大小排序的前五名贵金属投资明细</w:t>
      </w:r>
    </w:p>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本基金本报告期末未持有贵金属。</w:t>
      </w:r>
    </w:p>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8、报告期末按公允价值占基金资产净值比例大小排序的前五名权证投资明细</w:t>
      </w:r>
    </w:p>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本基金本报告期末未持有权证。</w:t>
      </w:r>
    </w:p>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9、报告期末本基金投资的股指期货交易情况说明</w:t>
      </w:r>
    </w:p>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本基金本报告期末未投资股指期货。</w:t>
      </w:r>
    </w:p>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szCs w:val="21"/>
        </w:rPr>
        <w:t>10</w:t>
      </w:r>
      <w:r w:rsidRPr="002B175D">
        <w:rPr>
          <w:rFonts w:asciiTheme="minorEastAsia" w:eastAsiaTheme="minorEastAsia" w:hAnsiTheme="minorEastAsia" w:hint="eastAsia"/>
          <w:szCs w:val="21"/>
        </w:rPr>
        <w:t>、报告期末本基金投资的国债期货交易情况说明</w:t>
      </w:r>
    </w:p>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本基金本报告期末未投资国债期货。</w:t>
      </w:r>
    </w:p>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11、投资组合报告附注</w:t>
      </w:r>
    </w:p>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（1）本基金投资的前十名证券的发行主体本期没有出现被监管部门立案调查，或在报告编制日前一年内受到公开谴责、处罚的情形。</w:t>
      </w:r>
    </w:p>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（2）本基金投资的前十名股票没有超出基金合同规定的备选股票库。</w:t>
      </w:r>
    </w:p>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（3）其他资产构成</w:t>
      </w:r>
    </w:p>
    <w:tbl>
      <w:tblPr>
        <w:tblW w:w="8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1"/>
        <w:gridCol w:w="3789"/>
        <w:gridCol w:w="2700"/>
      </w:tblGrid>
      <w:tr w:rsidR="002B175D" w:rsidRPr="002B175D" w:rsidTr="002B175D">
        <w:tc>
          <w:tcPr>
            <w:tcW w:w="1511"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7"/>
              <w:jc w:val="center"/>
              <w:rPr>
                <w:rFonts w:asciiTheme="minorEastAsia" w:eastAsiaTheme="minorEastAsia" w:hAnsiTheme="minorEastAsia"/>
                <w:kern w:val="0"/>
              </w:rPr>
            </w:pPr>
            <w:r w:rsidRPr="002B175D">
              <w:rPr>
                <w:rFonts w:asciiTheme="minorEastAsia" w:eastAsiaTheme="minorEastAsia" w:hAnsiTheme="minorEastAsia" w:hint="eastAsia"/>
                <w:kern w:val="0"/>
              </w:rPr>
              <w:t>序号</w:t>
            </w:r>
          </w:p>
        </w:tc>
        <w:tc>
          <w:tcPr>
            <w:tcW w:w="378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7"/>
              <w:jc w:val="center"/>
              <w:rPr>
                <w:rFonts w:asciiTheme="minorEastAsia" w:eastAsiaTheme="minorEastAsia" w:hAnsiTheme="minorEastAsia"/>
                <w:kern w:val="0"/>
              </w:rPr>
            </w:pPr>
            <w:r w:rsidRPr="002B175D">
              <w:rPr>
                <w:rFonts w:asciiTheme="minorEastAsia" w:eastAsiaTheme="minorEastAsia" w:hAnsiTheme="minorEastAsia" w:hint="eastAsia"/>
                <w:kern w:val="0"/>
              </w:rPr>
              <w:t>名称</w:t>
            </w:r>
          </w:p>
        </w:tc>
        <w:tc>
          <w:tcPr>
            <w:tcW w:w="270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7"/>
              <w:jc w:val="center"/>
              <w:rPr>
                <w:rFonts w:asciiTheme="minorEastAsia" w:eastAsiaTheme="minorEastAsia" w:hAnsiTheme="minorEastAsia"/>
                <w:kern w:val="0"/>
              </w:rPr>
            </w:pPr>
            <w:r w:rsidRPr="002B175D">
              <w:rPr>
                <w:rFonts w:asciiTheme="minorEastAsia" w:eastAsiaTheme="minorEastAsia" w:hAnsiTheme="minorEastAsia" w:hint="eastAsia"/>
                <w:kern w:val="0"/>
              </w:rPr>
              <w:t>金额</w:t>
            </w:r>
            <w:r w:rsidRPr="002B175D">
              <w:rPr>
                <w:rFonts w:asciiTheme="minorEastAsia" w:eastAsiaTheme="minorEastAsia" w:hAnsiTheme="minorEastAsia"/>
                <w:kern w:val="0"/>
              </w:rPr>
              <w:t>(</w:t>
            </w:r>
            <w:r w:rsidRPr="002B175D">
              <w:rPr>
                <w:rFonts w:asciiTheme="minorEastAsia" w:eastAsiaTheme="minorEastAsia" w:hAnsiTheme="minorEastAsia" w:hint="eastAsia"/>
                <w:kern w:val="0"/>
              </w:rPr>
              <w:t>元</w:t>
            </w:r>
            <w:r w:rsidRPr="002B175D">
              <w:rPr>
                <w:rFonts w:asciiTheme="minorEastAsia" w:eastAsiaTheme="minorEastAsia" w:hAnsiTheme="minorEastAsia"/>
                <w:kern w:val="0"/>
              </w:rPr>
              <w:t>)</w:t>
            </w:r>
          </w:p>
        </w:tc>
      </w:tr>
      <w:tr w:rsidR="002B175D" w:rsidRPr="002B175D" w:rsidTr="002B175D">
        <w:tc>
          <w:tcPr>
            <w:tcW w:w="1511"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center"/>
              <w:rPr>
                <w:rFonts w:asciiTheme="minorEastAsia" w:eastAsiaTheme="minorEastAsia" w:hAnsiTheme="minorEastAsia"/>
                <w:kern w:val="0"/>
              </w:rPr>
            </w:pPr>
            <w:r w:rsidRPr="002B175D">
              <w:rPr>
                <w:rFonts w:asciiTheme="minorEastAsia" w:eastAsiaTheme="minorEastAsia" w:hAnsiTheme="minorEastAsia"/>
              </w:rPr>
              <w:t>1</w:t>
            </w:r>
          </w:p>
        </w:tc>
        <w:tc>
          <w:tcPr>
            <w:tcW w:w="378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left"/>
              <w:rPr>
                <w:rFonts w:asciiTheme="minorEastAsia" w:eastAsiaTheme="minorEastAsia" w:hAnsiTheme="minorEastAsia"/>
                <w:kern w:val="0"/>
              </w:rPr>
            </w:pPr>
            <w:r w:rsidRPr="002B175D">
              <w:rPr>
                <w:rFonts w:asciiTheme="minorEastAsia" w:eastAsiaTheme="minorEastAsia" w:hAnsiTheme="minorEastAsia" w:hint="eastAsia"/>
                <w:kern w:val="0"/>
              </w:rPr>
              <w:t>存出保证金</w:t>
            </w:r>
          </w:p>
        </w:tc>
        <w:tc>
          <w:tcPr>
            <w:tcW w:w="270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right"/>
              <w:rPr>
                <w:rFonts w:asciiTheme="minorEastAsia" w:eastAsiaTheme="minorEastAsia" w:hAnsiTheme="minorEastAsia"/>
                <w:kern w:val="0"/>
              </w:rPr>
            </w:pPr>
            <w:r w:rsidRPr="002B175D">
              <w:rPr>
                <w:rFonts w:asciiTheme="minorEastAsia" w:eastAsiaTheme="minorEastAsia" w:hAnsiTheme="minorEastAsia"/>
                <w:kern w:val="0"/>
              </w:rPr>
              <w:t>185,429.15</w:t>
            </w:r>
          </w:p>
        </w:tc>
      </w:tr>
      <w:tr w:rsidR="002B175D" w:rsidRPr="002B175D" w:rsidTr="002B175D">
        <w:tc>
          <w:tcPr>
            <w:tcW w:w="1511"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center"/>
              <w:rPr>
                <w:rFonts w:asciiTheme="minorEastAsia" w:eastAsiaTheme="minorEastAsia" w:hAnsiTheme="minorEastAsia"/>
              </w:rPr>
            </w:pPr>
            <w:r w:rsidRPr="002B175D">
              <w:rPr>
                <w:rFonts w:asciiTheme="minorEastAsia" w:eastAsiaTheme="minorEastAsia" w:hAnsiTheme="minorEastAsia"/>
              </w:rPr>
              <w:t>2</w:t>
            </w:r>
          </w:p>
        </w:tc>
        <w:tc>
          <w:tcPr>
            <w:tcW w:w="378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left"/>
              <w:rPr>
                <w:rFonts w:asciiTheme="minorEastAsia" w:eastAsiaTheme="minorEastAsia" w:hAnsiTheme="minorEastAsia"/>
                <w:kern w:val="0"/>
              </w:rPr>
            </w:pPr>
            <w:r w:rsidRPr="002B175D">
              <w:rPr>
                <w:rFonts w:asciiTheme="minorEastAsia" w:eastAsiaTheme="minorEastAsia" w:hAnsiTheme="minorEastAsia" w:hint="eastAsia"/>
                <w:kern w:val="0"/>
              </w:rPr>
              <w:t>应收证券清算款</w:t>
            </w:r>
          </w:p>
        </w:tc>
        <w:tc>
          <w:tcPr>
            <w:tcW w:w="270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right"/>
              <w:rPr>
                <w:rFonts w:asciiTheme="minorEastAsia" w:eastAsiaTheme="minorEastAsia" w:hAnsiTheme="minorEastAsia"/>
                <w:kern w:val="0"/>
              </w:rPr>
            </w:pPr>
            <w:r w:rsidRPr="002B175D">
              <w:rPr>
                <w:rFonts w:asciiTheme="minorEastAsia" w:eastAsiaTheme="minorEastAsia" w:hAnsiTheme="minorEastAsia"/>
                <w:kern w:val="0"/>
              </w:rPr>
              <w:t>1,756,685.95</w:t>
            </w:r>
          </w:p>
        </w:tc>
      </w:tr>
      <w:tr w:rsidR="002B175D" w:rsidRPr="002B175D" w:rsidTr="002B175D">
        <w:tc>
          <w:tcPr>
            <w:tcW w:w="1511"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center"/>
              <w:rPr>
                <w:rFonts w:asciiTheme="minorEastAsia" w:eastAsiaTheme="minorEastAsia" w:hAnsiTheme="minorEastAsia"/>
              </w:rPr>
            </w:pPr>
            <w:r w:rsidRPr="002B175D">
              <w:rPr>
                <w:rFonts w:asciiTheme="minorEastAsia" w:eastAsiaTheme="minorEastAsia" w:hAnsiTheme="minorEastAsia"/>
              </w:rPr>
              <w:t>3</w:t>
            </w:r>
          </w:p>
        </w:tc>
        <w:tc>
          <w:tcPr>
            <w:tcW w:w="378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left"/>
              <w:rPr>
                <w:rFonts w:asciiTheme="minorEastAsia" w:eastAsiaTheme="minorEastAsia" w:hAnsiTheme="minorEastAsia"/>
                <w:kern w:val="0"/>
              </w:rPr>
            </w:pPr>
            <w:r w:rsidRPr="002B175D">
              <w:rPr>
                <w:rFonts w:asciiTheme="minorEastAsia" w:eastAsiaTheme="minorEastAsia" w:hAnsiTheme="minorEastAsia" w:hint="eastAsia"/>
                <w:kern w:val="0"/>
              </w:rPr>
              <w:t>应收股利</w:t>
            </w:r>
          </w:p>
        </w:tc>
        <w:tc>
          <w:tcPr>
            <w:tcW w:w="270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right"/>
              <w:rPr>
                <w:rFonts w:asciiTheme="minorEastAsia" w:eastAsiaTheme="minorEastAsia" w:hAnsiTheme="minorEastAsia"/>
                <w:kern w:val="0"/>
              </w:rPr>
            </w:pPr>
            <w:r w:rsidRPr="002B175D">
              <w:rPr>
                <w:rFonts w:asciiTheme="minorEastAsia" w:eastAsiaTheme="minorEastAsia" w:hAnsiTheme="minorEastAsia"/>
                <w:kern w:val="0"/>
              </w:rPr>
              <w:t>-</w:t>
            </w:r>
          </w:p>
        </w:tc>
      </w:tr>
      <w:tr w:rsidR="002B175D" w:rsidRPr="002B175D" w:rsidTr="002B175D">
        <w:tc>
          <w:tcPr>
            <w:tcW w:w="1511"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center"/>
              <w:rPr>
                <w:rFonts w:asciiTheme="minorEastAsia" w:eastAsiaTheme="minorEastAsia" w:hAnsiTheme="minorEastAsia"/>
              </w:rPr>
            </w:pPr>
            <w:r w:rsidRPr="002B175D">
              <w:rPr>
                <w:rFonts w:asciiTheme="minorEastAsia" w:eastAsiaTheme="minorEastAsia" w:hAnsiTheme="minorEastAsia"/>
              </w:rPr>
              <w:t>4</w:t>
            </w:r>
          </w:p>
        </w:tc>
        <w:tc>
          <w:tcPr>
            <w:tcW w:w="378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left"/>
              <w:rPr>
                <w:rFonts w:asciiTheme="minorEastAsia" w:eastAsiaTheme="minorEastAsia" w:hAnsiTheme="minorEastAsia"/>
                <w:kern w:val="0"/>
              </w:rPr>
            </w:pPr>
            <w:r w:rsidRPr="002B175D">
              <w:rPr>
                <w:rFonts w:asciiTheme="minorEastAsia" w:eastAsiaTheme="minorEastAsia" w:hAnsiTheme="minorEastAsia" w:hint="eastAsia"/>
                <w:kern w:val="0"/>
              </w:rPr>
              <w:t>应收利息</w:t>
            </w:r>
          </w:p>
        </w:tc>
        <w:tc>
          <w:tcPr>
            <w:tcW w:w="270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right"/>
              <w:rPr>
                <w:rFonts w:asciiTheme="minorEastAsia" w:eastAsiaTheme="minorEastAsia" w:hAnsiTheme="minorEastAsia"/>
                <w:kern w:val="0"/>
              </w:rPr>
            </w:pPr>
            <w:r w:rsidRPr="002B175D">
              <w:rPr>
                <w:rFonts w:asciiTheme="minorEastAsia" w:eastAsiaTheme="minorEastAsia" w:hAnsiTheme="minorEastAsia"/>
                <w:kern w:val="0"/>
              </w:rPr>
              <w:t>188,737.99</w:t>
            </w:r>
          </w:p>
        </w:tc>
      </w:tr>
      <w:tr w:rsidR="002B175D" w:rsidRPr="002B175D" w:rsidTr="002B175D">
        <w:tc>
          <w:tcPr>
            <w:tcW w:w="1511"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center"/>
              <w:rPr>
                <w:rFonts w:asciiTheme="minorEastAsia" w:eastAsiaTheme="minorEastAsia" w:hAnsiTheme="minorEastAsia"/>
              </w:rPr>
            </w:pPr>
            <w:r w:rsidRPr="002B175D">
              <w:rPr>
                <w:rFonts w:asciiTheme="minorEastAsia" w:eastAsiaTheme="minorEastAsia" w:hAnsiTheme="minorEastAsia"/>
              </w:rPr>
              <w:t>5</w:t>
            </w:r>
          </w:p>
        </w:tc>
        <w:tc>
          <w:tcPr>
            <w:tcW w:w="378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left"/>
              <w:rPr>
                <w:rFonts w:asciiTheme="minorEastAsia" w:eastAsiaTheme="minorEastAsia" w:hAnsiTheme="minorEastAsia"/>
                <w:kern w:val="0"/>
              </w:rPr>
            </w:pPr>
            <w:r w:rsidRPr="002B175D">
              <w:rPr>
                <w:rFonts w:asciiTheme="minorEastAsia" w:eastAsiaTheme="minorEastAsia" w:hAnsiTheme="minorEastAsia" w:hint="eastAsia"/>
                <w:kern w:val="0"/>
              </w:rPr>
              <w:t>应收申购款</w:t>
            </w:r>
          </w:p>
        </w:tc>
        <w:tc>
          <w:tcPr>
            <w:tcW w:w="270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right"/>
              <w:rPr>
                <w:rFonts w:asciiTheme="minorEastAsia" w:eastAsiaTheme="minorEastAsia" w:hAnsiTheme="minorEastAsia"/>
                <w:kern w:val="0"/>
              </w:rPr>
            </w:pPr>
            <w:r w:rsidRPr="002B175D">
              <w:rPr>
                <w:rFonts w:asciiTheme="minorEastAsia" w:eastAsiaTheme="minorEastAsia" w:hAnsiTheme="minorEastAsia"/>
                <w:kern w:val="0"/>
              </w:rPr>
              <w:t>233,349.97</w:t>
            </w:r>
          </w:p>
        </w:tc>
      </w:tr>
      <w:tr w:rsidR="002B175D" w:rsidRPr="002B175D" w:rsidTr="002B175D">
        <w:tc>
          <w:tcPr>
            <w:tcW w:w="1511"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center"/>
              <w:rPr>
                <w:rFonts w:asciiTheme="minorEastAsia" w:eastAsiaTheme="minorEastAsia" w:hAnsiTheme="minorEastAsia"/>
              </w:rPr>
            </w:pPr>
            <w:r w:rsidRPr="002B175D">
              <w:rPr>
                <w:rFonts w:asciiTheme="minorEastAsia" w:eastAsiaTheme="minorEastAsia" w:hAnsiTheme="minorEastAsia"/>
              </w:rPr>
              <w:t>6</w:t>
            </w:r>
          </w:p>
        </w:tc>
        <w:tc>
          <w:tcPr>
            <w:tcW w:w="378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left"/>
              <w:rPr>
                <w:rFonts w:asciiTheme="minorEastAsia" w:eastAsiaTheme="minorEastAsia" w:hAnsiTheme="minorEastAsia"/>
                <w:kern w:val="0"/>
              </w:rPr>
            </w:pPr>
            <w:r w:rsidRPr="002B175D">
              <w:rPr>
                <w:rFonts w:asciiTheme="minorEastAsia" w:eastAsiaTheme="minorEastAsia" w:hAnsiTheme="minorEastAsia" w:hint="eastAsia"/>
                <w:kern w:val="0"/>
              </w:rPr>
              <w:t>其他应收款</w:t>
            </w:r>
          </w:p>
        </w:tc>
        <w:tc>
          <w:tcPr>
            <w:tcW w:w="270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right"/>
              <w:rPr>
                <w:rFonts w:asciiTheme="minorEastAsia" w:eastAsiaTheme="minorEastAsia" w:hAnsiTheme="minorEastAsia"/>
                <w:kern w:val="0"/>
              </w:rPr>
            </w:pPr>
            <w:r w:rsidRPr="002B175D">
              <w:rPr>
                <w:rFonts w:asciiTheme="minorEastAsia" w:eastAsiaTheme="minorEastAsia" w:hAnsiTheme="minorEastAsia"/>
                <w:kern w:val="0"/>
              </w:rPr>
              <w:t>-</w:t>
            </w:r>
          </w:p>
        </w:tc>
      </w:tr>
      <w:tr w:rsidR="002B175D" w:rsidRPr="002B175D" w:rsidTr="002B175D">
        <w:tc>
          <w:tcPr>
            <w:tcW w:w="1511"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center"/>
              <w:rPr>
                <w:rFonts w:asciiTheme="minorEastAsia" w:eastAsiaTheme="minorEastAsia" w:hAnsiTheme="minorEastAsia"/>
              </w:rPr>
            </w:pPr>
            <w:r w:rsidRPr="002B175D">
              <w:rPr>
                <w:rFonts w:asciiTheme="minorEastAsia" w:eastAsiaTheme="minorEastAsia" w:hAnsiTheme="minorEastAsia"/>
              </w:rPr>
              <w:t>7</w:t>
            </w:r>
          </w:p>
        </w:tc>
        <w:tc>
          <w:tcPr>
            <w:tcW w:w="378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left"/>
              <w:rPr>
                <w:rFonts w:asciiTheme="minorEastAsia" w:eastAsiaTheme="minorEastAsia" w:hAnsiTheme="minorEastAsia"/>
              </w:rPr>
            </w:pPr>
            <w:r w:rsidRPr="002B175D">
              <w:rPr>
                <w:rFonts w:asciiTheme="minorEastAsia" w:eastAsiaTheme="minorEastAsia" w:hAnsiTheme="minorEastAsia" w:hint="eastAsia"/>
              </w:rPr>
              <w:t>待摊费用</w:t>
            </w:r>
          </w:p>
        </w:tc>
        <w:tc>
          <w:tcPr>
            <w:tcW w:w="270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right"/>
              <w:rPr>
                <w:rFonts w:asciiTheme="minorEastAsia" w:eastAsiaTheme="minorEastAsia" w:hAnsiTheme="minorEastAsia"/>
              </w:rPr>
            </w:pPr>
            <w:r w:rsidRPr="002B175D">
              <w:rPr>
                <w:rFonts w:asciiTheme="minorEastAsia" w:eastAsiaTheme="minorEastAsia" w:hAnsiTheme="minorEastAsia"/>
              </w:rPr>
              <w:t>-</w:t>
            </w:r>
          </w:p>
        </w:tc>
      </w:tr>
      <w:tr w:rsidR="002B175D" w:rsidRPr="002B175D" w:rsidTr="002B175D">
        <w:tc>
          <w:tcPr>
            <w:tcW w:w="1511"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center"/>
              <w:rPr>
                <w:rFonts w:asciiTheme="minorEastAsia" w:eastAsiaTheme="minorEastAsia" w:hAnsiTheme="minorEastAsia"/>
              </w:rPr>
            </w:pPr>
            <w:r w:rsidRPr="002B175D">
              <w:rPr>
                <w:rFonts w:asciiTheme="minorEastAsia" w:eastAsiaTheme="minorEastAsia" w:hAnsiTheme="minorEastAsia"/>
              </w:rPr>
              <w:t>8</w:t>
            </w:r>
          </w:p>
        </w:tc>
        <w:tc>
          <w:tcPr>
            <w:tcW w:w="378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left"/>
              <w:rPr>
                <w:rFonts w:asciiTheme="minorEastAsia" w:eastAsiaTheme="minorEastAsia" w:hAnsiTheme="minorEastAsia"/>
                <w:kern w:val="0"/>
              </w:rPr>
            </w:pPr>
            <w:r w:rsidRPr="002B175D">
              <w:rPr>
                <w:rFonts w:asciiTheme="minorEastAsia" w:eastAsiaTheme="minorEastAsia" w:hAnsiTheme="minorEastAsia" w:hint="eastAsia"/>
                <w:kern w:val="0"/>
              </w:rPr>
              <w:t>其他</w:t>
            </w:r>
          </w:p>
        </w:tc>
        <w:tc>
          <w:tcPr>
            <w:tcW w:w="270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right"/>
              <w:rPr>
                <w:rFonts w:asciiTheme="minorEastAsia" w:eastAsiaTheme="minorEastAsia" w:hAnsiTheme="minorEastAsia"/>
                <w:kern w:val="0"/>
              </w:rPr>
            </w:pPr>
            <w:r w:rsidRPr="002B175D">
              <w:rPr>
                <w:rFonts w:asciiTheme="minorEastAsia" w:eastAsiaTheme="minorEastAsia" w:hAnsiTheme="minorEastAsia"/>
                <w:kern w:val="0"/>
              </w:rPr>
              <w:t>-</w:t>
            </w:r>
          </w:p>
        </w:tc>
      </w:tr>
      <w:tr w:rsidR="002B175D" w:rsidRPr="002B175D" w:rsidTr="002B175D">
        <w:tc>
          <w:tcPr>
            <w:tcW w:w="1511"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center"/>
              <w:rPr>
                <w:rFonts w:asciiTheme="minorEastAsia" w:eastAsiaTheme="minorEastAsia" w:hAnsiTheme="minorEastAsia"/>
              </w:rPr>
            </w:pPr>
            <w:r w:rsidRPr="002B175D">
              <w:rPr>
                <w:rFonts w:asciiTheme="minorEastAsia" w:eastAsiaTheme="minorEastAsia" w:hAnsiTheme="minorEastAsia"/>
              </w:rPr>
              <w:t>9</w:t>
            </w:r>
          </w:p>
        </w:tc>
        <w:tc>
          <w:tcPr>
            <w:tcW w:w="3789"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left"/>
              <w:rPr>
                <w:rFonts w:asciiTheme="minorEastAsia" w:eastAsiaTheme="minorEastAsia" w:hAnsiTheme="minorEastAsia"/>
                <w:kern w:val="0"/>
              </w:rPr>
            </w:pPr>
            <w:r w:rsidRPr="002B175D">
              <w:rPr>
                <w:rFonts w:asciiTheme="minorEastAsia" w:eastAsiaTheme="minorEastAsia" w:hAnsiTheme="minorEastAsia" w:hint="eastAsia"/>
                <w:kern w:val="0"/>
              </w:rPr>
              <w:t>合计</w:t>
            </w:r>
          </w:p>
        </w:tc>
        <w:tc>
          <w:tcPr>
            <w:tcW w:w="2700"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autoSpaceDE w:val="0"/>
              <w:autoSpaceDN w:val="0"/>
              <w:adjustRightInd w:val="0"/>
              <w:spacing w:before="29" w:line="300" w:lineRule="auto"/>
              <w:ind w:left="15"/>
              <w:jc w:val="right"/>
              <w:rPr>
                <w:rFonts w:asciiTheme="minorEastAsia" w:eastAsiaTheme="minorEastAsia" w:hAnsiTheme="minorEastAsia"/>
                <w:kern w:val="0"/>
              </w:rPr>
            </w:pPr>
            <w:r w:rsidRPr="002B175D">
              <w:rPr>
                <w:rFonts w:asciiTheme="minorEastAsia" w:eastAsiaTheme="minorEastAsia" w:hAnsiTheme="minorEastAsia"/>
                <w:kern w:val="0"/>
              </w:rPr>
              <w:t>2,364,203.06</w:t>
            </w:r>
          </w:p>
        </w:tc>
      </w:tr>
    </w:tbl>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（4）报告期末持有的处于转股期的可转换债券明细</w:t>
      </w:r>
    </w:p>
    <w:tbl>
      <w:tblPr>
        <w:tblW w:w="8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0"/>
        <w:gridCol w:w="1605"/>
        <w:gridCol w:w="1579"/>
        <w:gridCol w:w="1645"/>
        <w:gridCol w:w="1591"/>
      </w:tblGrid>
      <w:tr w:rsidR="00C75C04" w:rsidRPr="002B175D" w:rsidTr="00075172">
        <w:tc>
          <w:tcPr>
            <w:tcW w:w="165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序号</w:t>
            </w:r>
          </w:p>
        </w:tc>
        <w:tc>
          <w:tcPr>
            <w:tcW w:w="165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债券代码</w:t>
            </w:r>
          </w:p>
        </w:tc>
        <w:tc>
          <w:tcPr>
            <w:tcW w:w="165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债券名称</w:t>
            </w:r>
          </w:p>
        </w:tc>
        <w:tc>
          <w:tcPr>
            <w:tcW w:w="165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公允价值</w:t>
            </w:r>
            <w:r w:rsidRPr="002B175D">
              <w:rPr>
                <w:rFonts w:asciiTheme="minorEastAsia" w:eastAsiaTheme="minorEastAsia" w:hAnsiTheme="minorEastAsia"/>
              </w:rPr>
              <w:t>(</w:t>
            </w:r>
            <w:r w:rsidRPr="002B175D">
              <w:rPr>
                <w:rFonts w:asciiTheme="minorEastAsia" w:eastAsiaTheme="minorEastAsia" w:hAnsiTheme="minorEastAsia" w:hint="eastAsia"/>
              </w:rPr>
              <w:t>元</w:t>
            </w:r>
            <w:r w:rsidRPr="002B175D">
              <w:rPr>
                <w:rFonts w:asciiTheme="minorEastAsia" w:eastAsiaTheme="minorEastAsia" w:hAnsiTheme="minorEastAsia"/>
              </w:rPr>
              <w:t>)</w:t>
            </w:r>
          </w:p>
        </w:tc>
        <w:tc>
          <w:tcPr>
            <w:tcW w:w="1656"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占基金资产净值比例</w:t>
            </w:r>
            <w:r w:rsidRPr="002B175D">
              <w:rPr>
                <w:rFonts w:asciiTheme="minorEastAsia" w:eastAsiaTheme="minorEastAsia" w:hAnsiTheme="minorEastAsia"/>
              </w:rPr>
              <w:t>(%)</w:t>
            </w:r>
          </w:p>
        </w:tc>
      </w:tr>
      <w:tr w:rsidR="00C75C04" w:rsidRPr="002B175D" w:rsidTr="00075172">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128030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天康转债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2,016,018.90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1.99</w:t>
            </w:r>
          </w:p>
        </w:tc>
      </w:tr>
      <w:tr w:rsidR="00C75C04" w:rsidRPr="002B175D" w:rsidTr="00075172">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110045</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海澜转债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1,581,000.00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1.56</w:t>
            </w:r>
          </w:p>
        </w:tc>
      </w:tr>
      <w:tr w:rsidR="00C75C04" w:rsidRPr="002B175D" w:rsidTr="00075172">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128023</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亚太转债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1,492,548.32</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1.47</w:t>
            </w:r>
          </w:p>
        </w:tc>
      </w:tr>
      <w:tr w:rsidR="00C75C04" w:rsidRPr="002B175D" w:rsidTr="00075172">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113015</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隆基转债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1,241,947.20</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1.23</w:t>
            </w:r>
          </w:p>
        </w:tc>
      </w:tr>
      <w:tr w:rsidR="00C75C04" w:rsidRPr="002B175D" w:rsidTr="00075172">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128044</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岭南转债</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1,085,173.76</w:t>
            </w:r>
          </w:p>
        </w:tc>
        <w:tc>
          <w:tcPr>
            <w:tcW w:w="0" w:type="auto"/>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1.07</w:t>
            </w:r>
          </w:p>
        </w:tc>
      </w:tr>
    </w:tbl>
    <w:p w:rsidR="00C75C04" w:rsidRPr="002B175D" w:rsidRDefault="00C75C04" w:rsidP="002B175D">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（5）报告期末前十名股票中存在流通受限情况的说明</w:t>
      </w:r>
    </w:p>
    <w:tbl>
      <w:tblPr>
        <w:tblW w:w="8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2"/>
        <w:gridCol w:w="1225"/>
        <w:gridCol w:w="1224"/>
        <w:gridCol w:w="1692"/>
        <w:gridCol w:w="1552"/>
        <w:gridCol w:w="1285"/>
      </w:tblGrid>
      <w:tr w:rsidR="00C75C04" w:rsidRPr="002B175D" w:rsidTr="00075172">
        <w:tc>
          <w:tcPr>
            <w:tcW w:w="1083"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序号</w:t>
            </w:r>
          </w:p>
        </w:tc>
        <w:tc>
          <w:tcPr>
            <w:tcW w:w="1302"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股票代码</w:t>
            </w:r>
          </w:p>
        </w:tc>
        <w:tc>
          <w:tcPr>
            <w:tcW w:w="1301"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股票名称</w:t>
            </w:r>
          </w:p>
        </w:tc>
        <w:tc>
          <w:tcPr>
            <w:tcW w:w="180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流通受限部分的公允价值</w:t>
            </w:r>
            <w:r w:rsidRPr="002B175D">
              <w:rPr>
                <w:rFonts w:asciiTheme="minorEastAsia" w:eastAsiaTheme="minorEastAsia" w:hAnsiTheme="minorEastAsia"/>
              </w:rPr>
              <w:t>(</w:t>
            </w:r>
            <w:r w:rsidRPr="002B175D">
              <w:rPr>
                <w:rFonts w:asciiTheme="minorEastAsia" w:eastAsiaTheme="minorEastAsia" w:hAnsiTheme="minorEastAsia" w:hint="eastAsia"/>
              </w:rPr>
              <w:t>元</w:t>
            </w:r>
            <w:r w:rsidRPr="002B175D">
              <w:rPr>
                <w:rFonts w:asciiTheme="minorEastAsia" w:eastAsiaTheme="minorEastAsia" w:hAnsiTheme="minorEastAsia"/>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占基金资产净值比例</w:t>
            </w:r>
            <w:r w:rsidRPr="002B175D">
              <w:rPr>
                <w:rFonts w:asciiTheme="minorEastAsia" w:eastAsiaTheme="minorEastAsia" w:hAnsiTheme="minorEastAsia"/>
              </w:rPr>
              <w:t>(%)</w:t>
            </w:r>
          </w:p>
        </w:tc>
        <w:tc>
          <w:tcPr>
            <w:tcW w:w="136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before="29" w:line="300" w:lineRule="auto"/>
              <w:ind w:left="17"/>
              <w:jc w:val="center"/>
              <w:rPr>
                <w:rFonts w:asciiTheme="minorEastAsia" w:eastAsiaTheme="minorEastAsia" w:hAnsiTheme="minorEastAsia"/>
              </w:rPr>
            </w:pPr>
            <w:r w:rsidRPr="002B175D">
              <w:rPr>
                <w:rFonts w:asciiTheme="minorEastAsia" w:eastAsiaTheme="minorEastAsia" w:hAnsiTheme="minorEastAsia" w:hint="eastAsia"/>
              </w:rPr>
              <w:t>流通受限情况说明</w:t>
            </w:r>
          </w:p>
        </w:tc>
      </w:tr>
      <w:tr w:rsidR="00C75C04" w:rsidRPr="002B175D" w:rsidTr="00075172">
        <w:tc>
          <w:tcPr>
            <w:tcW w:w="1083"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1</w:t>
            </w:r>
          </w:p>
        </w:tc>
        <w:tc>
          <w:tcPr>
            <w:tcW w:w="1302"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rPr>
              <w:t>002202</w:t>
            </w:r>
          </w:p>
        </w:tc>
        <w:tc>
          <w:tcPr>
            <w:tcW w:w="1301"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center"/>
              <w:rPr>
                <w:rFonts w:asciiTheme="minorEastAsia" w:eastAsiaTheme="minorEastAsia" w:hAnsiTheme="minorEastAsia"/>
              </w:rPr>
            </w:pPr>
            <w:r w:rsidRPr="002B175D">
              <w:rPr>
                <w:rFonts w:asciiTheme="minorEastAsia" w:eastAsiaTheme="minorEastAsia" w:hAnsiTheme="minorEastAsia" w:hint="eastAsia"/>
              </w:rPr>
              <w:t>金风科技</w:t>
            </w:r>
          </w:p>
        </w:tc>
        <w:tc>
          <w:tcPr>
            <w:tcW w:w="180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820,227.15</w:t>
            </w:r>
          </w:p>
        </w:tc>
        <w:tc>
          <w:tcPr>
            <w:tcW w:w="1655"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rPr>
              <w:t>0.81</w:t>
            </w:r>
          </w:p>
        </w:tc>
        <w:tc>
          <w:tcPr>
            <w:tcW w:w="1367" w:type="dxa"/>
            <w:tcBorders>
              <w:top w:val="single" w:sz="4" w:space="0" w:color="auto"/>
              <w:left w:val="single" w:sz="4" w:space="0" w:color="auto"/>
              <w:bottom w:val="single" w:sz="4" w:space="0" w:color="auto"/>
              <w:right w:val="single" w:sz="4" w:space="0" w:color="auto"/>
            </w:tcBorders>
            <w:vAlign w:val="center"/>
            <w:hideMark/>
          </w:tcPr>
          <w:p w:rsidR="00C75C04" w:rsidRPr="002B175D" w:rsidRDefault="00C75C04" w:rsidP="00075172">
            <w:pPr>
              <w:spacing w:line="300" w:lineRule="auto"/>
              <w:jc w:val="right"/>
              <w:rPr>
                <w:rFonts w:asciiTheme="minorEastAsia" w:eastAsiaTheme="minorEastAsia" w:hAnsiTheme="minorEastAsia"/>
              </w:rPr>
            </w:pPr>
            <w:r w:rsidRPr="002B175D">
              <w:rPr>
                <w:rFonts w:asciiTheme="minorEastAsia" w:eastAsiaTheme="minorEastAsia" w:hAnsiTheme="minorEastAsia" w:hint="eastAsia"/>
              </w:rPr>
              <w:t>配股流通受限</w:t>
            </w:r>
          </w:p>
        </w:tc>
      </w:tr>
    </w:tbl>
    <w:p w:rsidR="00C75C04" w:rsidRPr="002B175D" w:rsidRDefault="00C75C04" w:rsidP="00C75C04">
      <w:pPr>
        <w:spacing w:line="300" w:lineRule="auto"/>
        <w:rPr>
          <w:rFonts w:asciiTheme="minorEastAsia" w:eastAsiaTheme="minorEastAsia" w:hAnsiTheme="minorEastAsia"/>
        </w:rPr>
      </w:pPr>
    </w:p>
    <w:p w:rsidR="00072D7C" w:rsidRPr="002B175D" w:rsidRDefault="00072D7C" w:rsidP="00861AD8">
      <w:pPr>
        <w:pStyle w:val="1"/>
        <w:snapToGrid w:val="0"/>
        <w:spacing w:beforeLines="0" w:afterLines="0" w:line="360" w:lineRule="auto"/>
        <w:ind w:firstLine="640"/>
        <w:jc w:val="left"/>
        <w:rPr>
          <w:rFonts w:asciiTheme="minorEastAsia" w:eastAsiaTheme="minorEastAsia" w:hAnsiTheme="minorEastAsia"/>
        </w:rPr>
      </w:pPr>
      <w:r w:rsidRPr="002B175D">
        <w:rPr>
          <w:rFonts w:asciiTheme="minorEastAsia" w:eastAsiaTheme="minorEastAsia" w:hAnsiTheme="minorEastAsia" w:hint="eastAsia"/>
        </w:rPr>
        <w:t>十二、基金的业绩</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szCs w:val="21"/>
        </w:rPr>
        <w:t>基金管理人依照恪尽职守、诚实信用、谨慎勤勉的原则管理和运用基金财产，但不保证基金一定盈利，也不保证最低收益。基金的过往业绩并不代表其未来表现。投资有风险，投资者在</w:t>
      </w:r>
      <w:r w:rsidRPr="002B175D">
        <w:rPr>
          <w:rFonts w:asciiTheme="minorEastAsia" w:eastAsiaTheme="minorEastAsia" w:hAnsiTheme="minorEastAsia" w:hint="eastAsia"/>
          <w:szCs w:val="21"/>
        </w:rPr>
        <w:t>作出</w:t>
      </w:r>
      <w:r w:rsidRPr="002B175D">
        <w:rPr>
          <w:rFonts w:asciiTheme="minorEastAsia" w:eastAsiaTheme="minorEastAsia" w:hAnsiTheme="minorEastAsia"/>
          <w:szCs w:val="21"/>
        </w:rPr>
        <w:t>投资决策前应仔细阅读本基金的招募说明书。</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本基金合同生效日为2015年4月17日，</w:t>
      </w:r>
      <w:r w:rsidR="00C75C04" w:rsidRPr="002B175D">
        <w:rPr>
          <w:rFonts w:asciiTheme="minorEastAsia" w:eastAsiaTheme="minorEastAsia" w:hAnsiTheme="minorEastAsia" w:hint="eastAsia"/>
          <w:szCs w:val="21"/>
        </w:rPr>
        <w:t>基金合同生效以来（截至2018年12月31日）的投资业绩及与同期基准的比较如下表所示</w:t>
      </w:r>
      <w:r w:rsidRPr="002B175D">
        <w:rPr>
          <w:rFonts w:asciiTheme="minorEastAsia" w:eastAsiaTheme="minorEastAsia" w:hAnsiTheme="minorEastAsia" w:hint="eastAsia"/>
          <w:szCs w:val="21"/>
        </w:rPr>
        <w:t>：</w:t>
      </w:r>
    </w:p>
    <w:p w:rsidR="00D45AA5" w:rsidRPr="002B175D" w:rsidRDefault="00D45AA5" w:rsidP="00D45AA5">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1、易方达新收益混合A类基金份额净值增长率与同期业绩比较基准收益率比较</w:t>
      </w:r>
    </w:p>
    <w:tbl>
      <w:tblPr>
        <w:tblW w:w="8415" w:type="dxa"/>
        <w:tblCellMar>
          <w:left w:w="0" w:type="dxa"/>
          <w:right w:w="0" w:type="dxa"/>
        </w:tblCellMar>
        <w:tblLook w:val="04A0"/>
      </w:tblPr>
      <w:tblGrid>
        <w:gridCol w:w="1288"/>
        <w:gridCol w:w="1164"/>
        <w:gridCol w:w="1072"/>
        <w:gridCol w:w="1120"/>
        <w:gridCol w:w="1338"/>
        <w:gridCol w:w="1270"/>
        <w:gridCol w:w="1163"/>
      </w:tblGrid>
      <w:tr w:rsidR="00893E2C" w:rsidRPr="002B175D" w:rsidTr="0027108C">
        <w:trPr>
          <w:trHeight w:val="705"/>
        </w:trPr>
        <w:tc>
          <w:tcPr>
            <w:tcW w:w="1288" w:type="dxa"/>
            <w:tcBorders>
              <w:top w:val="single" w:sz="4" w:space="0" w:color="auto"/>
              <w:left w:val="single" w:sz="4" w:space="0" w:color="auto"/>
              <w:bottom w:val="single" w:sz="4" w:space="0" w:color="auto"/>
              <w:right w:val="single" w:sz="4" w:space="0" w:color="auto"/>
            </w:tcBorders>
            <w:noWrap/>
            <w:vAlign w:val="center"/>
            <w:hideMark/>
          </w:tcPr>
          <w:p w:rsidR="00D45AA5" w:rsidRPr="002B175D" w:rsidRDefault="00D45AA5">
            <w:pPr>
              <w:snapToGrid w:val="0"/>
              <w:spacing w:line="360" w:lineRule="auto"/>
              <w:jc w:val="center"/>
              <w:rPr>
                <w:rFonts w:asciiTheme="minorEastAsia" w:eastAsiaTheme="minorEastAsia" w:hAnsiTheme="minorEastAsia" w:cs="Arial Unicode MS"/>
                <w:szCs w:val="21"/>
              </w:rPr>
            </w:pPr>
            <w:r w:rsidRPr="002B175D">
              <w:rPr>
                <w:rFonts w:asciiTheme="minorEastAsia" w:eastAsiaTheme="minorEastAsia" w:hAnsiTheme="minorEastAsia" w:hint="eastAsia"/>
                <w:szCs w:val="21"/>
              </w:rPr>
              <w:t>阶段</w:t>
            </w:r>
          </w:p>
        </w:tc>
        <w:tc>
          <w:tcPr>
            <w:tcW w:w="1164" w:type="dxa"/>
            <w:tcBorders>
              <w:top w:val="single" w:sz="4" w:space="0" w:color="auto"/>
              <w:left w:val="nil"/>
              <w:bottom w:val="single" w:sz="4" w:space="0" w:color="auto"/>
              <w:right w:val="single" w:sz="4" w:space="0" w:color="auto"/>
            </w:tcBorders>
            <w:vAlign w:val="center"/>
            <w:hideMark/>
          </w:tcPr>
          <w:p w:rsidR="00D45AA5" w:rsidRPr="002B175D" w:rsidRDefault="00D45AA5">
            <w:pPr>
              <w:snapToGrid w:val="0"/>
              <w:spacing w:line="360" w:lineRule="auto"/>
              <w:jc w:val="center"/>
              <w:rPr>
                <w:rFonts w:asciiTheme="minorEastAsia" w:eastAsiaTheme="minorEastAsia" w:hAnsiTheme="minorEastAsia" w:cs="Arial Unicode MS"/>
                <w:szCs w:val="21"/>
              </w:rPr>
            </w:pPr>
            <w:r w:rsidRPr="002B175D">
              <w:rPr>
                <w:rFonts w:asciiTheme="minorEastAsia" w:eastAsiaTheme="minorEastAsia" w:hAnsiTheme="minorEastAsia" w:hint="eastAsia"/>
                <w:szCs w:val="21"/>
              </w:rPr>
              <w:t>净值增长率（1）</w:t>
            </w:r>
          </w:p>
        </w:tc>
        <w:tc>
          <w:tcPr>
            <w:tcW w:w="1072" w:type="dxa"/>
            <w:tcBorders>
              <w:top w:val="single" w:sz="4" w:space="0" w:color="auto"/>
              <w:left w:val="nil"/>
              <w:bottom w:val="single" w:sz="4" w:space="0" w:color="auto"/>
              <w:right w:val="single" w:sz="4" w:space="0" w:color="auto"/>
            </w:tcBorders>
            <w:vAlign w:val="center"/>
            <w:hideMark/>
          </w:tcPr>
          <w:p w:rsidR="00D45AA5" w:rsidRPr="002B175D" w:rsidRDefault="00D45AA5">
            <w:pPr>
              <w:snapToGrid w:val="0"/>
              <w:spacing w:line="360" w:lineRule="auto"/>
              <w:jc w:val="center"/>
              <w:rPr>
                <w:rFonts w:asciiTheme="minorEastAsia" w:eastAsiaTheme="minorEastAsia" w:hAnsiTheme="minorEastAsia" w:cs="Arial Unicode MS"/>
                <w:szCs w:val="21"/>
              </w:rPr>
            </w:pPr>
            <w:r w:rsidRPr="002B175D">
              <w:rPr>
                <w:rFonts w:asciiTheme="minorEastAsia" w:eastAsiaTheme="minorEastAsia" w:hAnsiTheme="minorEastAsia" w:hint="eastAsia"/>
                <w:szCs w:val="21"/>
              </w:rPr>
              <w:t>净值增长率标准差（2）</w:t>
            </w:r>
          </w:p>
        </w:tc>
        <w:tc>
          <w:tcPr>
            <w:tcW w:w="1120" w:type="dxa"/>
            <w:tcBorders>
              <w:top w:val="single" w:sz="4" w:space="0" w:color="auto"/>
              <w:left w:val="nil"/>
              <w:bottom w:val="single" w:sz="4" w:space="0" w:color="auto"/>
              <w:right w:val="single" w:sz="4" w:space="0" w:color="auto"/>
            </w:tcBorders>
            <w:vAlign w:val="center"/>
            <w:hideMark/>
          </w:tcPr>
          <w:p w:rsidR="00D45AA5" w:rsidRPr="002B175D" w:rsidRDefault="00D45AA5">
            <w:pPr>
              <w:snapToGrid w:val="0"/>
              <w:spacing w:line="360" w:lineRule="auto"/>
              <w:jc w:val="center"/>
              <w:rPr>
                <w:rFonts w:asciiTheme="minorEastAsia" w:eastAsiaTheme="minorEastAsia" w:hAnsiTheme="minorEastAsia" w:cs="Arial Unicode MS"/>
                <w:szCs w:val="21"/>
              </w:rPr>
            </w:pPr>
            <w:r w:rsidRPr="002B175D">
              <w:rPr>
                <w:rFonts w:asciiTheme="minorEastAsia" w:eastAsiaTheme="minorEastAsia" w:hAnsiTheme="minorEastAsia" w:hint="eastAsia"/>
                <w:szCs w:val="21"/>
              </w:rPr>
              <w:t>业绩比较基准收益率（3）</w:t>
            </w:r>
          </w:p>
        </w:tc>
        <w:tc>
          <w:tcPr>
            <w:tcW w:w="1338" w:type="dxa"/>
            <w:tcBorders>
              <w:top w:val="single" w:sz="4" w:space="0" w:color="auto"/>
              <w:left w:val="nil"/>
              <w:bottom w:val="single" w:sz="4" w:space="0" w:color="auto"/>
              <w:right w:val="single" w:sz="4" w:space="0" w:color="auto"/>
            </w:tcBorders>
            <w:vAlign w:val="center"/>
            <w:hideMark/>
          </w:tcPr>
          <w:p w:rsidR="00D45AA5" w:rsidRPr="002B175D" w:rsidRDefault="00D45AA5">
            <w:pPr>
              <w:snapToGrid w:val="0"/>
              <w:spacing w:line="360" w:lineRule="auto"/>
              <w:jc w:val="center"/>
              <w:rPr>
                <w:rFonts w:asciiTheme="minorEastAsia" w:eastAsiaTheme="minorEastAsia" w:hAnsiTheme="minorEastAsia" w:cs="Arial Unicode MS"/>
                <w:szCs w:val="21"/>
              </w:rPr>
            </w:pPr>
            <w:r w:rsidRPr="002B175D">
              <w:rPr>
                <w:rFonts w:asciiTheme="minorEastAsia" w:eastAsiaTheme="minorEastAsia" w:hAnsiTheme="minorEastAsia" w:hint="eastAsia"/>
                <w:szCs w:val="21"/>
              </w:rPr>
              <w:t>业绩比较基准收益率标准差（4）</w:t>
            </w:r>
          </w:p>
        </w:tc>
        <w:tc>
          <w:tcPr>
            <w:tcW w:w="1270" w:type="dxa"/>
            <w:tcBorders>
              <w:top w:val="single" w:sz="4" w:space="0" w:color="auto"/>
              <w:left w:val="nil"/>
              <w:bottom w:val="single" w:sz="4" w:space="0" w:color="auto"/>
              <w:right w:val="single" w:sz="4" w:space="0" w:color="auto"/>
            </w:tcBorders>
            <w:noWrap/>
            <w:vAlign w:val="center"/>
            <w:hideMark/>
          </w:tcPr>
          <w:p w:rsidR="00D45AA5" w:rsidRPr="002B175D" w:rsidRDefault="00D45AA5">
            <w:pPr>
              <w:snapToGrid w:val="0"/>
              <w:spacing w:line="360" w:lineRule="auto"/>
              <w:jc w:val="center"/>
              <w:rPr>
                <w:rFonts w:asciiTheme="minorEastAsia" w:eastAsiaTheme="minorEastAsia" w:hAnsiTheme="minorEastAsia"/>
                <w:szCs w:val="21"/>
              </w:rPr>
            </w:pPr>
            <w:r w:rsidRPr="002B175D">
              <w:rPr>
                <w:rFonts w:asciiTheme="minorEastAsia" w:eastAsiaTheme="minorEastAsia" w:hAnsiTheme="minorEastAsia" w:hint="eastAsia"/>
                <w:szCs w:val="21"/>
              </w:rPr>
              <w:t>(1)－(3)</w:t>
            </w:r>
          </w:p>
        </w:tc>
        <w:tc>
          <w:tcPr>
            <w:tcW w:w="1163" w:type="dxa"/>
            <w:tcBorders>
              <w:top w:val="single" w:sz="4" w:space="0" w:color="auto"/>
              <w:left w:val="nil"/>
              <w:bottom w:val="single" w:sz="4" w:space="0" w:color="auto"/>
              <w:right w:val="single" w:sz="4" w:space="0" w:color="auto"/>
            </w:tcBorders>
            <w:noWrap/>
            <w:vAlign w:val="center"/>
            <w:hideMark/>
          </w:tcPr>
          <w:p w:rsidR="00D45AA5" w:rsidRPr="002B175D" w:rsidRDefault="00D45AA5">
            <w:pPr>
              <w:snapToGrid w:val="0"/>
              <w:spacing w:line="360" w:lineRule="auto"/>
              <w:jc w:val="center"/>
              <w:rPr>
                <w:rFonts w:asciiTheme="minorEastAsia" w:eastAsiaTheme="minorEastAsia" w:hAnsiTheme="minorEastAsia"/>
                <w:szCs w:val="21"/>
              </w:rPr>
            </w:pPr>
            <w:r w:rsidRPr="002B175D">
              <w:rPr>
                <w:rFonts w:asciiTheme="minorEastAsia" w:eastAsiaTheme="minorEastAsia" w:hAnsiTheme="minorEastAsia" w:hint="eastAsia"/>
                <w:szCs w:val="21"/>
              </w:rPr>
              <w:t>(2)－(4)</w:t>
            </w:r>
          </w:p>
        </w:tc>
      </w:tr>
      <w:tr w:rsidR="00893E2C" w:rsidRPr="002B175D" w:rsidTr="0027108C">
        <w:trPr>
          <w:trHeight w:val="300"/>
        </w:trPr>
        <w:tc>
          <w:tcPr>
            <w:tcW w:w="1288" w:type="dxa"/>
            <w:tcBorders>
              <w:top w:val="single" w:sz="4" w:space="0" w:color="auto"/>
              <w:left w:val="single" w:sz="4" w:space="0" w:color="auto"/>
              <w:bottom w:val="single" w:sz="4" w:space="0" w:color="auto"/>
              <w:right w:val="single" w:sz="4" w:space="0" w:color="auto"/>
            </w:tcBorders>
            <w:noWrap/>
            <w:vAlign w:val="center"/>
            <w:hideMark/>
          </w:tcPr>
          <w:p w:rsidR="00D45AA5" w:rsidRPr="002B175D" w:rsidRDefault="00D45AA5">
            <w:pPr>
              <w:snapToGrid w:val="0"/>
              <w:spacing w:line="360" w:lineRule="auto"/>
              <w:rPr>
                <w:rFonts w:asciiTheme="minorEastAsia" w:eastAsiaTheme="minorEastAsia" w:hAnsiTheme="minorEastAsia"/>
                <w:szCs w:val="21"/>
              </w:rPr>
            </w:pPr>
            <w:r w:rsidRPr="002B175D">
              <w:rPr>
                <w:rFonts w:asciiTheme="minorEastAsia" w:eastAsiaTheme="minorEastAsia" w:hAnsiTheme="minorEastAsia" w:hint="eastAsia"/>
                <w:szCs w:val="21"/>
              </w:rPr>
              <w:t>自基金合同生效日至2015年12月31日</w:t>
            </w:r>
          </w:p>
        </w:tc>
        <w:tc>
          <w:tcPr>
            <w:tcW w:w="1164" w:type="dxa"/>
            <w:tcBorders>
              <w:top w:val="single" w:sz="4" w:space="0" w:color="auto"/>
              <w:left w:val="nil"/>
              <w:bottom w:val="single" w:sz="4" w:space="0" w:color="auto"/>
              <w:right w:val="single" w:sz="4" w:space="0" w:color="auto"/>
            </w:tcBorders>
            <w:noWrap/>
            <w:vAlign w:val="center"/>
            <w:hideMark/>
          </w:tcPr>
          <w:p w:rsidR="00D45AA5" w:rsidRPr="002B175D" w:rsidRDefault="00D45AA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9.20%</w:t>
            </w:r>
          </w:p>
        </w:tc>
        <w:tc>
          <w:tcPr>
            <w:tcW w:w="1072" w:type="dxa"/>
            <w:tcBorders>
              <w:top w:val="single" w:sz="4" w:space="0" w:color="auto"/>
              <w:left w:val="nil"/>
              <w:bottom w:val="single" w:sz="4" w:space="0" w:color="auto"/>
              <w:right w:val="single" w:sz="4" w:space="0" w:color="auto"/>
            </w:tcBorders>
            <w:noWrap/>
            <w:vAlign w:val="center"/>
            <w:hideMark/>
          </w:tcPr>
          <w:p w:rsidR="00D45AA5" w:rsidRPr="002B175D" w:rsidRDefault="00D45AA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0.23%</w:t>
            </w:r>
          </w:p>
        </w:tc>
        <w:tc>
          <w:tcPr>
            <w:tcW w:w="1120" w:type="dxa"/>
            <w:tcBorders>
              <w:top w:val="single" w:sz="4" w:space="0" w:color="auto"/>
              <w:left w:val="nil"/>
              <w:bottom w:val="single" w:sz="4" w:space="0" w:color="auto"/>
              <w:right w:val="single" w:sz="4" w:space="0" w:color="auto"/>
            </w:tcBorders>
            <w:noWrap/>
            <w:vAlign w:val="center"/>
            <w:hideMark/>
          </w:tcPr>
          <w:p w:rsidR="00D45AA5" w:rsidRPr="002B175D" w:rsidRDefault="00D45AA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2.81%</w:t>
            </w:r>
          </w:p>
        </w:tc>
        <w:tc>
          <w:tcPr>
            <w:tcW w:w="1338" w:type="dxa"/>
            <w:tcBorders>
              <w:top w:val="single" w:sz="4" w:space="0" w:color="auto"/>
              <w:left w:val="nil"/>
              <w:bottom w:val="single" w:sz="4" w:space="0" w:color="auto"/>
              <w:right w:val="single" w:sz="4" w:space="0" w:color="auto"/>
            </w:tcBorders>
            <w:noWrap/>
            <w:vAlign w:val="center"/>
            <w:hideMark/>
          </w:tcPr>
          <w:p w:rsidR="00D45AA5" w:rsidRPr="002B175D" w:rsidRDefault="00D45AA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0.01%</w:t>
            </w:r>
          </w:p>
        </w:tc>
        <w:tc>
          <w:tcPr>
            <w:tcW w:w="1270" w:type="dxa"/>
            <w:tcBorders>
              <w:top w:val="single" w:sz="4" w:space="0" w:color="auto"/>
              <w:left w:val="nil"/>
              <w:bottom w:val="single" w:sz="4" w:space="0" w:color="auto"/>
              <w:right w:val="single" w:sz="4" w:space="0" w:color="auto"/>
            </w:tcBorders>
            <w:noWrap/>
            <w:vAlign w:val="center"/>
            <w:hideMark/>
          </w:tcPr>
          <w:p w:rsidR="00D45AA5" w:rsidRPr="002B175D" w:rsidRDefault="00D45AA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6.39%</w:t>
            </w:r>
          </w:p>
        </w:tc>
        <w:tc>
          <w:tcPr>
            <w:tcW w:w="1163" w:type="dxa"/>
            <w:tcBorders>
              <w:top w:val="single" w:sz="4" w:space="0" w:color="auto"/>
              <w:left w:val="nil"/>
              <w:bottom w:val="single" w:sz="4" w:space="0" w:color="auto"/>
              <w:right w:val="single" w:sz="4" w:space="0" w:color="auto"/>
            </w:tcBorders>
            <w:noWrap/>
            <w:vAlign w:val="center"/>
            <w:hideMark/>
          </w:tcPr>
          <w:p w:rsidR="00D45AA5" w:rsidRPr="002B175D" w:rsidRDefault="00D45AA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0.22%</w:t>
            </w:r>
          </w:p>
        </w:tc>
      </w:tr>
      <w:tr w:rsidR="00893E2C" w:rsidRPr="002B175D" w:rsidTr="0027108C">
        <w:trPr>
          <w:trHeight w:val="300"/>
        </w:trPr>
        <w:tc>
          <w:tcPr>
            <w:tcW w:w="1288" w:type="dxa"/>
            <w:tcBorders>
              <w:top w:val="single" w:sz="4" w:space="0" w:color="auto"/>
              <w:left w:val="single" w:sz="4" w:space="0" w:color="auto"/>
              <w:bottom w:val="single" w:sz="4" w:space="0" w:color="auto"/>
              <w:right w:val="single" w:sz="4" w:space="0" w:color="auto"/>
            </w:tcBorders>
            <w:noWrap/>
            <w:vAlign w:val="center"/>
            <w:hideMark/>
          </w:tcPr>
          <w:p w:rsidR="0027108C" w:rsidRPr="002B175D" w:rsidRDefault="0027108C">
            <w:pPr>
              <w:snapToGrid w:val="0"/>
              <w:spacing w:line="360" w:lineRule="auto"/>
              <w:rPr>
                <w:rFonts w:asciiTheme="minorEastAsia" w:eastAsiaTheme="minorEastAsia" w:hAnsiTheme="minorEastAsia"/>
                <w:szCs w:val="21"/>
              </w:rPr>
            </w:pPr>
            <w:r w:rsidRPr="002B175D">
              <w:rPr>
                <w:rFonts w:asciiTheme="minorEastAsia" w:eastAsiaTheme="minorEastAsia" w:hAnsiTheme="minorEastAsia" w:hint="eastAsia"/>
                <w:szCs w:val="21"/>
              </w:rPr>
              <w:t>2016年1月1日至2016年12月31日</w:t>
            </w:r>
          </w:p>
        </w:tc>
        <w:tc>
          <w:tcPr>
            <w:tcW w:w="1164" w:type="dxa"/>
            <w:tcBorders>
              <w:top w:val="single" w:sz="4" w:space="0" w:color="auto"/>
              <w:left w:val="nil"/>
              <w:bottom w:val="single" w:sz="4" w:space="0" w:color="auto"/>
              <w:right w:val="single" w:sz="4" w:space="0" w:color="auto"/>
            </w:tcBorders>
            <w:noWrap/>
            <w:vAlign w:val="center"/>
            <w:hideMark/>
          </w:tcPr>
          <w:p w:rsidR="0027108C" w:rsidRPr="002B175D" w:rsidRDefault="0027108C">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2.38%</w:t>
            </w:r>
          </w:p>
        </w:tc>
        <w:tc>
          <w:tcPr>
            <w:tcW w:w="1072" w:type="dxa"/>
            <w:tcBorders>
              <w:top w:val="single" w:sz="4" w:space="0" w:color="auto"/>
              <w:left w:val="nil"/>
              <w:bottom w:val="single" w:sz="4" w:space="0" w:color="auto"/>
              <w:right w:val="single" w:sz="4" w:space="0" w:color="auto"/>
            </w:tcBorders>
            <w:noWrap/>
            <w:vAlign w:val="center"/>
            <w:hideMark/>
          </w:tcPr>
          <w:p w:rsidR="0027108C" w:rsidRPr="002B175D" w:rsidRDefault="0027108C">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0.09%</w:t>
            </w:r>
          </w:p>
        </w:tc>
        <w:tc>
          <w:tcPr>
            <w:tcW w:w="1120" w:type="dxa"/>
            <w:tcBorders>
              <w:top w:val="single" w:sz="4" w:space="0" w:color="auto"/>
              <w:left w:val="nil"/>
              <w:bottom w:val="single" w:sz="4" w:space="0" w:color="auto"/>
              <w:right w:val="single" w:sz="4" w:space="0" w:color="auto"/>
            </w:tcBorders>
            <w:noWrap/>
            <w:vAlign w:val="center"/>
            <w:hideMark/>
          </w:tcPr>
          <w:p w:rsidR="0027108C" w:rsidRPr="002B175D" w:rsidRDefault="0027108C">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3.56%</w:t>
            </w:r>
          </w:p>
        </w:tc>
        <w:tc>
          <w:tcPr>
            <w:tcW w:w="1338" w:type="dxa"/>
            <w:tcBorders>
              <w:top w:val="single" w:sz="4" w:space="0" w:color="auto"/>
              <w:left w:val="nil"/>
              <w:bottom w:val="single" w:sz="4" w:space="0" w:color="auto"/>
              <w:right w:val="single" w:sz="4" w:space="0" w:color="auto"/>
            </w:tcBorders>
            <w:noWrap/>
            <w:vAlign w:val="center"/>
            <w:hideMark/>
          </w:tcPr>
          <w:p w:rsidR="0027108C" w:rsidRPr="002B175D" w:rsidRDefault="0027108C">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0.01%</w:t>
            </w:r>
          </w:p>
        </w:tc>
        <w:tc>
          <w:tcPr>
            <w:tcW w:w="1270" w:type="dxa"/>
            <w:tcBorders>
              <w:top w:val="single" w:sz="4" w:space="0" w:color="auto"/>
              <w:left w:val="nil"/>
              <w:bottom w:val="single" w:sz="4" w:space="0" w:color="auto"/>
              <w:right w:val="single" w:sz="4" w:space="0" w:color="auto"/>
            </w:tcBorders>
            <w:noWrap/>
            <w:vAlign w:val="center"/>
            <w:hideMark/>
          </w:tcPr>
          <w:p w:rsidR="0027108C" w:rsidRPr="002B175D" w:rsidRDefault="0027108C">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-1.18%</w:t>
            </w:r>
          </w:p>
        </w:tc>
        <w:tc>
          <w:tcPr>
            <w:tcW w:w="1163" w:type="dxa"/>
            <w:tcBorders>
              <w:top w:val="single" w:sz="4" w:space="0" w:color="auto"/>
              <w:left w:val="nil"/>
              <w:bottom w:val="single" w:sz="4" w:space="0" w:color="auto"/>
              <w:right w:val="single" w:sz="4" w:space="0" w:color="auto"/>
            </w:tcBorders>
            <w:noWrap/>
            <w:vAlign w:val="center"/>
            <w:hideMark/>
          </w:tcPr>
          <w:p w:rsidR="0027108C" w:rsidRPr="002B175D" w:rsidRDefault="0027108C">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0.08%</w:t>
            </w:r>
          </w:p>
        </w:tc>
      </w:tr>
      <w:tr w:rsidR="00893E2C" w:rsidRPr="002B175D" w:rsidTr="0027108C">
        <w:trPr>
          <w:trHeight w:val="300"/>
        </w:trPr>
        <w:tc>
          <w:tcPr>
            <w:tcW w:w="1288" w:type="dxa"/>
            <w:tcBorders>
              <w:top w:val="single" w:sz="4" w:space="0" w:color="auto"/>
              <w:left w:val="single" w:sz="4" w:space="0" w:color="auto"/>
              <w:bottom w:val="single" w:sz="4" w:space="0" w:color="auto"/>
              <w:right w:val="single" w:sz="4" w:space="0" w:color="auto"/>
            </w:tcBorders>
            <w:noWrap/>
            <w:vAlign w:val="center"/>
            <w:hideMark/>
          </w:tcPr>
          <w:p w:rsidR="00BD3B25" w:rsidRPr="002B175D" w:rsidRDefault="00BD3B25" w:rsidP="00BD3B25">
            <w:pPr>
              <w:snapToGrid w:val="0"/>
              <w:spacing w:line="360" w:lineRule="auto"/>
              <w:rPr>
                <w:rFonts w:asciiTheme="minorEastAsia" w:eastAsiaTheme="minorEastAsia" w:hAnsiTheme="minorEastAsia"/>
                <w:szCs w:val="21"/>
              </w:rPr>
            </w:pPr>
            <w:r w:rsidRPr="002B175D">
              <w:rPr>
                <w:rFonts w:asciiTheme="minorEastAsia" w:eastAsiaTheme="minorEastAsia" w:hAnsiTheme="minorEastAsia" w:hint="eastAsia"/>
                <w:szCs w:val="21"/>
              </w:rPr>
              <w:t>2017年1月1日至2017年</w:t>
            </w:r>
            <w:r w:rsidRPr="002B175D">
              <w:rPr>
                <w:rFonts w:asciiTheme="minorEastAsia" w:eastAsiaTheme="minorEastAsia" w:hAnsiTheme="minorEastAsia"/>
                <w:szCs w:val="21"/>
              </w:rPr>
              <w:t>12</w:t>
            </w:r>
            <w:r w:rsidRPr="002B175D">
              <w:rPr>
                <w:rFonts w:asciiTheme="minorEastAsia" w:eastAsiaTheme="minorEastAsia" w:hAnsiTheme="minorEastAsia" w:hint="eastAsia"/>
                <w:szCs w:val="21"/>
              </w:rPr>
              <w:t>月3</w:t>
            </w:r>
            <w:r w:rsidRPr="002B175D">
              <w:rPr>
                <w:rFonts w:asciiTheme="minorEastAsia" w:eastAsiaTheme="minorEastAsia" w:hAnsiTheme="minorEastAsia"/>
                <w:szCs w:val="21"/>
              </w:rPr>
              <w:t>1</w:t>
            </w:r>
            <w:r w:rsidRPr="002B175D">
              <w:rPr>
                <w:rFonts w:asciiTheme="minorEastAsia" w:eastAsiaTheme="minorEastAsia" w:hAnsiTheme="minorEastAsia" w:hint="eastAsia"/>
                <w:szCs w:val="21"/>
              </w:rPr>
              <w:t>日</w:t>
            </w:r>
          </w:p>
        </w:tc>
        <w:tc>
          <w:tcPr>
            <w:tcW w:w="1164" w:type="dxa"/>
            <w:tcBorders>
              <w:top w:val="single" w:sz="4" w:space="0" w:color="auto"/>
              <w:left w:val="nil"/>
              <w:bottom w:val="single" w:sz="4" w:space="0" w:color="auto"/>
              <w:right w:val="single" w:sz="4" w:space="0" w:color="auto"/>
            </w:tcBorders>
            <w:noWrap/>
            <w:vAlign w:val="center"/>
            <w:hideMark/>
          </w:tcPr>
          <w:p w:rsidR="00BD3B25" w:rsidRPr="002B175D" w:rsidRDefault="00BD3B25" w:rsidP="00BD3B2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12.08%</w:t>
            </w:r>
          </w:p>
        </w:tc>
        <w:tc>
          <w:tcPr>
            <w:tcW w:w="1072" w:type="dxa"/>
            <w:tcBorders>
              <w:top w:val="single" w:sz="4" w:space="0" w:color="auto"/>
              <w:left w:val="nil"/>
              <w:bottom w:val="single" w:sz="4" w:space="0" w:color="auto"/>
              <w:right w:val="single" w:sz="4" w:space="0" w:color="auto"/>
            </w:tcBorders>
            <w:noWrap/>
            <w:vAlign w:val="center"/>
            <w:hideMark/>
          </w:tcPr>
          <w:p w:rsidR="00BD3B25" w:rsidRPr="002B175D" w:rsidRDefault="00BD3B25" w:rsidP="00BD3B2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0.21%</w:t>
            </w:r>
          </w:p>
        </w:tc>
        <w:tc>
          <w:tcPr>
            <w:tcW w:w="1120" w:type="dxa"/>
            <w:tcBorders>
              <w:top w:val="single" w:sz="4" w:space="0" w:color="auto"/>
              <w:left w:val="nil"/>
              <w:bottom w:val="single" w:sz="4" w:space="0" w:color="auto"/>
              <w:right w:val="single" w:sz="4" w:space="0" w:color="auto"/>
            </w:tcBorders>
            <w:noWrap/>
            <w:vAlign w:val="center"/>
            <w:hideMark/>
          </w:tcPr>
          <w:p w:rsidR="00BD3B25" w:rsidRPr="002B175D" w:rsidRDefault="00BD3B25" w:rsidP="00BD3B2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3.55%</w:t>
            </w:r>
          </w:p>
        </w:tc>
        <w:tc>
          <w:tcPr>
            <w:tcW w:w="1338" w:type="dxa"/>
            <w:tcBorders>
              <w:top w:val="single" w:sz="4" w:space="0" w:color="auto"/>
              <w:left w:val="nil"/>
              <w:bottom w:val="single" w:sz="4" w:space="0" w:color="auto"/>
              <w:right w:val="single" w:sz="4" w:space="0" w:color="auto"/>
            </w:tcBorders>
            <w:noWrap/>
            <w:vAlign w:val="center"/>
            <w:hideMark/>
          </w:tcPr>
          <w:p w:rsidR="00BD3B25" w:rsidRPr="002B175D" w:rsidRDefault="00BD3B25" w:rsidP="00BD3B2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0.01%</w:t>
            </w:r>
          </w:p>
        </w:tc>
        <w:tc>
          <w:tcPr>
            <w:tcW w:w="1270" w:type="dxa"/>
            <w:tcBorders>
              <w:top w:val="single" w:sz="4" w:space="0" w:color="auto"/>
              <w:left w:val="nil"/>
              <w:bottom w:val="single" w:sz="4" w:space="0" w:color="auto"/>
              <w:right w:val="single" w:sz="4" w:space="0" w:color="auto"/>
            </w:tcBorders>
            <w:noWrap/>
            <w:vAlign w:val="center"/>
            <w:hideMark/>
          </w:tcPr>
          <w:p w:rsidR="00BD3B25" w:rsidRPr="002B175D" w:rsidRDefault="00BD3B25" w:rsidP="00BD3B2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8.53%</w:t>
            </w:r>
          </w:p>
        </w:tc>
        <w:tc>
          <w:tcPr>
            <w:tcW w:w="1163" w:type="dxa"/>
            <w:tcBorders>
              <w:top w:val="single" w:sz="4" w:space="0" w:color="auto"/>
              <w:left w:val="nil"/>
              <w:bottom w:val="single" w:sz="4" w:space="0" w:color="auto"/>
              <w:right w:val="single" w:sz="4" w:space="0" w:color="auto"/>
            </w:tcBorders>
            <w:noWrap/>
            <w:vAlign w:val="center"/>
            <w:hideMark/>
          </w:tcPr>
          <w:p w:rsidR="00BD3B25" w:rsidRPr="002B175D" w:rsidRDefault="00BD3B25" w:rsidP="00BD3B2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0.20%</w:t>
            </w:r>
          </w:p>
        </w:tc>
      </w:tr>
      <w:tr w:rsidR="00893E2C" w:rsidRPr="002B175D" w:rsidTr="0027108C">
        <w:trPr>
          <w:trHeight w:val="300"/>
        </w:trPr>
        <w:tc>
          <w:tcPr>
            <w:tcW w:w="1288" w:type="dxa"/>
            <w:tcBorders>
              <w:top w:val="single" w:sz="4" w:space="0" w:color="auto"/>
              <w:left w:val="single" w:sz="4" w:space="0" w:color="auto"/>
              <w:bottom w:val="single" w:sz="4" w:space="0" w:color="auto"/>
              <w:right w:val="single" w:sz="4" w:space="0" w:color="auto"/>
            </w:tcBorders>
            <w:noWrap/>
            <w:vAlign w:val="center"/>
            <w:hideMark/>
          </w:tcPr>
          <w:p w:rsidR="00E437AD" w:rsidRPr="002B175D" w:rsidRDefault="00C75C04" w:rsidP="00E437AD">
            <w:pPr>
              <w:snapToGrid w:val="0"/>
              <w:spacing w:line="360" w:lineRule="auto"/>
              <w:rPr>
                <w:rFonts w:asciiTheme="minorEastAsia" w:eastAsiaTheme="minorEastAsia" w:hAnsiTheme="minorEastAsia"/>
                <w:szCs w:val="21"/>
              </w:rPr>
            </w:pPr>
            <w:r w:rsidRPr="002B175D">
              <w:rPr>
                <w:rFonts w:asciiTheme="minorEastAsia" w:eastAsiaTheme="minorEastAsia" w:hAnsiTheme="minorEastAsia"/>
                <w:szCs w:val="21"/>
              </w:rPr>
              <w:t>2018年1月1日至2018年12月31日</w:t>
            </w:r>
          </w:p>
        </w:tc>
        <w:tc>
          <w:tcPr>
            <w:tcW w:w="1164" w:type="dxa"/>
            <w:tcBorders>
              <w:top w:val="single" w:sz="4" w:space="0" w:color="auto"/>
              <w:left w:val="nil"/>
              <w:bottom w:val="single" w:sz="4" w:space="0" w:color="auto"/>
              <w:right w:val="single" w:sz="4" w:space="0" w:color="auto"/>
            </w:tcBorders>
            <w:noWrap/>
            <w:vAlign w:val="center"/>
            <w:hideMark/>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2.87%</w:t>
            </w:r>
          </w:p>
        </w:tc>
        <w:tc>
          <w:tcPr>
            <w:tcW w:w="1072" w:type="dxa"/>
            <w:tcBorders>
              <w:top w:val="single" w:sz="4" w:space="0" w:color="auto"/>
              <w:left w:val="nil"/>
              <w:bottom w:val="single" w:sz="4" w:space="0" w:color="auto"/>
              <w:right w:val="single" w:sz="4" w:space="0" w:color="auto"/>
            </w:tcBorders>
            <w:noWrap/>
            <w:vAlign w:val="center"/>
            <w:hideMark/>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0.33%</w:t>
            </w:r>
          </w:p>
        </w:tc>
        <w:tc>
          <w:tcPr>
            <w:tcW w:w="1120" w:type="dxa"/>
            <w:tcBorders>
              <w:top w:val="single" w:sz="4" w:space="0" w:color="auto"/>
              <w:left w:val="nil"/>
              <w:bottom w:val="single" w:sz="4" w:space="0" w:color="auto"/>
              <w:right w:val="single" w:sz="4" w:space="0" w:color="auto"/>
            </w:tcBorders>
            <w:noWrap/>
            <w:vAlign w:val="center"/>
            <w:hideMark/>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3.55%</w:t>
            </w:r>
          </w:p>
        </w:tc>
        <w:tc>
          <w:tcPr>
            <w:tcW w:w="1338" w:type="dxa"/>
            <w:tcBorders>
              <w:top w:val="single" w:sz="4" w:space="0" w:color="auto"/>
              <w:left w:val="nil"/>
              <w:bottom w:val="single" w:sz="4" w:space="0" w:color="auto"/>
              <w:right w:val="single" w:sz="4" w:space="0" w:color="auto"/>
            </w:tcBorders>
            <w:noWrap/>
            <w:vAlign w:val="center"/>
            <w:hideMark/>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0.01%</w:t>
            </w:r>
          </w:p>
        </w:tc>
        <w:tc>
          <w:tcPr>
            <w:tcW w:w="1270" w:type="dxa"/>
            <w:tcBorders>
              <w:top w:val="single" w:sz="4" w:space="0" w:color="auto"/>
              <w:left w:val="nil"/>
              <w:bottom w:val="single" w:sz="4" w:space="0" w:color="auto"/>
              <w:right w:val="single" w:sz="4" w:space="0" w:color="auto"/>
            </w:tcBorders>
            <w:noWrap/>
            <w:vAlign w:val="center"/>
            <w:hideMark/>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-0.68%</w:t>
            </w:r>
          </w:p>
        </w:tc>
        <w:tc>
          <w:tcPr>
            <w:tcW w:w="1163" w:type="dxa"/>
            <w:tcBorders>
              <w:top w:val="single" w:sz="4" w:space="0" w:color="auto"/>
              <w:left w:val="nil"/>
              <w:bottom w:val="single" w:sz="4" w:space="0" w:color="auto"/>
              <w:right w:val="single" w:sz="4" w:space="0" w:color="auto"/>
            </w:tcBorders>
            <w:noWrap/>
            <w:vAlign w:val="center"/>
            <w:hideMark/>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0.32%</w:t>
            </w:r>
          </w:p>
        </w:tc>
      </w:tr>
      <w:tr w:rsidR="00893E2C" w:rsidRPr="002B175D" w:rsidTr="0027108C">
        <w:trPr>
          <w:trHeight w:val="300"/>
        </w:trPr>
        <w:tc>
          <w:tcPr>
            <w:tcW w:w="1288" w:type="dxa"/>
            <w:tcBorders>
              <w:top w:val="single" w:sz="4" w:space="0" w:color="auto"/>
              <w:left w:val="single" w:sz="4" w:space="0" w:color="auto"/>
              <w:bottom w:val="single" w:sz="4" w:space="0" w:color="auto"/>
              <w:right w:val="single" w:sz="4" w:space="0" w:color="auto"/>
            </w:tcBorders>
            <w:noWrap/>
            <w:vAlign w:val="center"/>
          </w:tcPr>
          <w:p w:rsidR="00E437AD" w:rsidRPr="002B175D" w:rsidRDefault="00C75C04" w:rsidP="00E437AD">
            <w:pPr>
              <w:snapToGrid w:val="0"/>
              <w:spacing w:line="360" w:lineRule="auto"/>
              <w:rPr>
                <w:rFonts w:asciiTheme="minorEastAsia" w:eastAsiaTheme="minorEastAsia" w:hAnsiTheme="minorEastAsia"/>
                <w:szCs w:val="21"/>
              </w:rPr>
            </w:pPr>
            <w:r w:rsidRPr="002B175D">
              <w:rPr>
                <w:rFonts w:asciiTheme="minorEastAsia" w:eastAsiaTheme="minorEastAsia" w:hAnsiTheme="minorEastAsia" w:hint="eastAsia"/>
                <w:szCs w:val="21"/>
              </w:rPr>
              <w:t>自基金合同生效日至</w:t>
            </w:r>
            <w:r w:rsidRPr="002B175D">
              <w:rPr>
                <w:rFonts w:asciiTheme="minorEastAsia" w:eastAsiaTheme="minorEastAsia" w:hAnsiTheme="minorEastAsia"/>
                <w:szCs w:val="21"/>
              </w:rPr>
              <w:t>2018年12月31日</w:t>
            </w:r>
          </w:p>
        </w:tc>
        <w:tc>
          <w:tcPr>
            <w:tcW w:w="1164" w:type="dxa"/>
            <w:tcBorders>
              <w:top w:val="single" w:sz="4" w:space="0" w:color="auto"/>
              <w:left w:val="nil"/>
              <w:bottom w:val="single" w:sz="4" w:space="0" w:color="auto"/>
              <w:right w:val="single" w:sz="4" w:space="0" w:color="auto"/>
            </w:tcBorders>
            <w:noWrap/>
            <w:vAlign w:val="center"/>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28.90%</w:t>
            </w:r>
          </w:p>
        </w:tc>
        <w:tc>
          <w:tcPr>
            <w:tcW w:w="1072" w:type="dxa"/>
            <w:tcBorders>
              <w:top w:val="single" w:sz="4" w:space="0" w:color="auto"/>
              <w:left w:val="nil"/>
              <w:bottom w:val="single" w:sz="4" w:space="0" w:color="auto"/>
              <w:right w:val="single" w:sz="4" w:space="0" w:color="auto"/>
            </w:tcBorders>
            <w:noWrap/>
            <w:vAlign w:val="center"/>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0.23%</w:t>
            </w:r>
          </w:p>
        </w:tc>
        <w:tc>
          <w:tcPr>
            <w:tcW w:w="1120" w:type="dxa"/>
            <w:tcBorders>
              <w:top w:val="single" w:sz="4" w:space="0" w:color="auto"/>
              <w:left w:val="nil"/>
              <w:bottom w:val="single" w:sz="4" w:space="0" w:color="auto"/>
              <w:right w:val="single" w:sz="4" w:space="0" w:color="auto"/>
            </w:tcBorders>
            <w:noWrap/>
            <w:vAlign w:val="center"/>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13.46%</w:t>
            </w:r>
          </w:p>
        </w:tc>
        <w:tc>
          <w:tcPr>
            <w:tcW w:w="1338" w:type="dxa"/>
            <w:tcBorders>
              <w:top w:val="single" w:sz="4" w:space="0" w:color="auto"/>
              <w:left w:val="nil"/>
              <w:bottom w:val="single" w:sz="4" w:space="0" w:color="auto"/>
              <w:right w:val="single" w:sz="4" w:space="0" w:color="auto"/>
            </w:tcBorders>
            <w:noWrap/>
            <w:vAlign w:val="center"/>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0.01%</w:t>
            </w:r>
          </w:p>
        </w:tc>
        <w:tc>
          <w:tcPr>
            <w:tcW w:w="1270" w:type="dxa"/>
            <w:tcBorders>
              <w:top w:val="single" w:sz="4" w:space="0" w:color="auto"/>
              <w:left w:val="nil"/>
              <w:bottom w:val="single" w:sz="4" w:space="0" w:color="auto"/>
              <w:right w:val="single" w:sz="4" w:space="0" w:color="auto"/>
            </w:tcBorders>
            <w:noWrap/>
            <w:vAlign w:val="center"/>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15.44%</w:t>
            </w:r>
          </w:p>
        </w:tc>
        <w:tc>
          <w:tcPr>
            <w:tcW w:w="1163" w:type="dxa"/>
            <w:tcBorders>
              <w:top w:val="single" w:sz="4" w:space="0" w:color="auto"/>
              <w:left w:val="nil"/>
              <w:bottom w:val="single" w:sz="4" w:space="0" w:color="auto"/>
              <w:right w:val="single" w:sz="4" w:space="0" w:color="auto"/>
            </w:tcBorders>
            <w:noWrap/>
            <w:vAlign w:val="center"/>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0.22%</w:t>
            </w:r>
          </w:p>
        </w:tc>
      </w:tr>
    </w:tbl>
    <w:p w:rsidR="00D45AA5" w:rsidRPr="002B175D" w:rsidRDefault="00D45AA5" w:rsidP="00D45AA5">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2、易方达新收益混合C类基金份额净值增长率与同期业绩比较基准收益率比较</w:t>
      </w:r>
    </w:p>
    <w:tbl>
      <w:tblPr>
        <w:tblW w:w="8372" w:type="dxa"/>
        <w:tblInd w:w="-50" w:type="dxa"/>
        <w:tblCellMar>
          <w:left w:w="0" w:type="dxa"/>
          <w:right w:w="0" w:type="dxa"/>
        </w:tblCellMar>
        <w:tblLook w:val="04A0"/>
      </w:tblPr>
      <w:tblGrid>
        <w:gridCol w:w="1328"/>
        <w:gridCol w:w="1236"/>
        <w:gridCol w:w="1058"/>
        <w:gridCol w:w="1102"/>
        <w:gridCol w:w="1250"/>
        <w:gridCol w:w="1236"/>
        <w:gridCol w:w="1162"/>
      </w:tblGrid>
      <w:tr w:rsidR="00893E2C" w:rsidRPr="002B175D" w:rsidTr="00D45AA5">
        <w:trPr>
          <w:trHeight w:val="705"/>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D45AA5" w:rsidRPr="002B175D" w:rsidRDefault="00D45AA5">
            <w:pPr>
              <w:snapToGrid w:val="0"/>
              <w:spacing w:line="360" w:lineRule="auto"/>
              <w:jc w:val="center"/>
              <w:rPr>
                <w:rFonts w:asciiTheme="minorEastAsia" w:eastAsiaTheme="minorEastAsia" w:hAnsiTheme="minorEastAsia" w:cs="Arial Unicode MS"/>
                <w:szCs w:val="21"/>
              </w:rPr>
            </w:pPr>
            <w:r w:rsidRPr="002B175D">
              <w:rPr>
                <w:rFonts w:asciiTheme="minorEastAsia" w:eastAsiaTheme="minorEastAsia" w:hAnsiTheme="minorEastAsia" w:hint="eastAsia"/>
                <w:szCs w:val="21"/>
              </w:rPr>
              <w:t>阶段</w:t>
            </w:r>
          </w:p>
        </w:tc>
        <w:tc>
          <w:tcPr>
            <w:tcW w:w="1236" w:type="dxa"/>
            <w:tcBorders>
              <w:top w:val="single" w:sz="4" w:space="0" w:color="auto"/>
              <w:left w:val="nil"/>
              <w:bottom w:val="single" w:sz="4" w:space="0" w:color="auto"/>
              <w:right w:val="single" w:sz="4" w:space="0" w:color="auto"/>
            </w:tcBorders>
            <w:vAlign w:val="center"/>
            <w:hideMark/>
          </w:tcPr>
          <w:p w:rsidR="00D45AA5" w:rsidRPr="002B175D" w:rsidRDefault="00D45AA5">
            <w:pPr>
              <w:snapToGrid w:val="0"/>
              <w:spacing w:line="360" w:lineRule="auto"/>
              <w:jc w:val="center"/>
              <w:rPr>
                <w:rFonts w:asciiTheme="minorEastAsia" w:eastAsiaTheme="minorEastAsia" w:hAnsiTheme="minorEastAsia" w:cs="Arial Unicode MS"/>
                <w:szCs w:val="21"/>
              </w:rPr>
            </w:pPr>
            <w:r w:rsidRPr="002B175D">
              <w:rPr>
                <w:rFonts w:asciiTheme="minorEastAsia" w:eastAsiaTheme="minorEastAsia" w:hAnsiTheme="minorEastAsia" w:hint="eastAsia"/>
                <w:szCs w:val="21"/>
              </w:rPr>
              <w:t>净值增长率（1）</w:t>
            </w:r>
          </w:p>
        </w:tc>
        <w:tc>
          <w:tcPr>
            <w:tcW w:w="1058" w:type="dxa"/>
            <w:tcBorders>
              <w:top w:val="single" w:sz="4" w:space="0" w:color="auto"/>
              <w:left w:val="nil"/>
              <w:bottom w:val="single" w:sz="4" w:space="0" w:color="auto"/>
              <w:right w:val="single" w:sz="4" w:space="0" w:color="auto"/>
            </w:tcBorders>
            <w:vAlign w:val="center"/>
            <w:hideMark/>
          </w:tcPr>
          <w:p w:rsidR="00D45AA5" w:rsidRPr="002B175D" w:rsidRDefault="00D45AA5">
            <w:pPr>
              <w:snapToGrid w:val="0"/>
              <w:spacing w:line="360" w:lineRule="auto"/>
              <w:jc w:val="center"/>
              <w:rPr>
                <w:rFonts w:asciiTheme="minorEastAsia" w:eastAsiaTheme="minorEastAsia" w:hAnsiTheme="minorEastAsia" w:cs="Arial Unicode MS"/>
                <w:szCs w:val="21"/>
              </w:rPr>
            </w:pPr>
            <w:r w:rsidRPr="002B175D">
              <w:rPr>
                <w:rFonts w:asciiTheme="minorEastAsia" w:eastAsiaTheme="minorEastAsia" w:hAnsiTheme="minorEastAsia" w:hint="eastAsia"/>
                <w:szCs w:val="21"/>
              </w:rPr>
              <w:t>净值增长率标准差（2）</w:t>
            </w:r>
          </w:p>
        </w:tc>
        <w:tc>
          <w:tcPr>
            <w:tcW w:w="1102" w:type="dxa"/>
            <w:tcBorders>
              <w:top w:val="single" w:sz="4" w:space="0" w:color="auto"/>
              <w:left w:val="nil"/>
              <w:bottom w:val="single" w:sz="4" w:space="0" w:color="auto"/>
              <w:right w:val="single" w:sz="4" w:space="0" w:color="auto"/>
            </w:tcBorders>
            <w:vAlign w:val="center"/>
            <w:hideMark/>
          </w:tcPr>
          <w:p w:rsidR="00D45AA5" w:rsidRPr="002B175D" w:rsidRDefault="00D45AA5">
            <w:pPr>
              <w:snapToGrid w:val="0"/>
              <w:spacing w:line="360" w:lineRule="auto"/>
              <w:jc w:val="center"/>
              <w:rPr>
                <w:rFonts w:asciiTheme="minorEastAsia" w:eastAsiaTheme="minorEastAsia" w:hAnsiTheme="minorEastAsia" w:cs="Arial Unicode MS"/>
                <w:szCs w:val="21"/>
              </w:rPr>
            </w:pPr>
            <w:r w:rsidRPr="002B175D">
              <w:rPr>
                <w:rFonts w:asciiTheme="minorEastAsia" w:eastAsiaTheme="minorEastAsia" w:hAnsiTheme="minorEastAsia" w:hint="eastAsia"/>
                <w:szCs w:val="21"/>
              </w:rPr>
              <w:t>业绩比较基准收益率（3）</w:t>
            </w:r>
          </w:p>
        </w:tc>
        <w:tc>
          <w:tcPr>
            <w:tcW w:w="1250" w:type="dxa"/>
            <w:tcBorders>
              <w:top w:val="single" w:sz="4" w:space="0" w:color="auto"/>
              <w:left w:val="nil"/>
              <w:bottom w:val="single" w:sz="4" w:space="0" w:color="auto"/>
              <w:right w:val="single" w:sz="4" w:space="0" w:color="auto"/>
            </w:tcBorders>
            <w:vAlign w:val="center"/>
            <w:hideMark/>
          </w:tcPr>
          <w:p w:rsidR="00D45AA5" w:rsidRPr="002B175D" w:rsidRDefault="00D45AA5">
            <w:pPr>
              <w:snapToGrid w:val="0"/>
              <w:spacing w:line="360" w:lineRule="auto"/>
              <w:jc w:val="center"/>
              <w:rPr>
                <w:rFonts w:asciiTheme="minorEastAsia" w:eastAsiaTheme="minorEastAsia" w:hAnsiTheme="minorEastAsia" w:cs="Arial Unicode MS"/>
                <w:szCs w:val="21"/>
              </w:rPr>
            </w:pPr>
            <w:r w:rsidRPr="002B175D">
              <w:rPr>
                <w:rFonts w:asciiTheme="minorEastAsia" w:eastAsiaTheme="minorEastAsia" w:hAnsiTheme="minorEastAsia" w:hint="eastAsia"/>
                <w:szCs w:val="21"/>
              </w:rPr>
              <w:t>业绩比较基准收益率标准差（4）</w:t>
            </w:r>
          </w:p>
        </w:tc>
        <w:tc>
          <w:tcPr>
            <w:tcW w:w="1236" w:type="dxa"/>
            <w:tcBorders>
              <w:top w:val="single" w:sz="4" w:space="0" w:color="auto"/>
              <w:left w:val="nil"/>
              <w:bottom w:val="single" w:sz="4" w:space="0" w:color="auto"/>
              <w:right w:val="single" w:sz="4" w:space="0" w:color="auto"/>
            </w:tcBorders>
            <w:noWrap/>
            <w:vAlign w:val="center"/>
            <w:hideMark/>
          </w:tcPr>
          <w:p w:rsidR="00D45AA5" w:rsidRPr="002B175D" w:rsidRDefault="00D45AA5">
            <w:pPr>
              <w:snapToGrid w:val="0"/>
              <w:spacing w:line="360" w:lineRule="auto"/>
              <w:jc w:val="center"/>
              <w:rPr>
                <w:rFonts w:asciiTheme="minorEastAsia" w:eastAsiaTheme="minorEastAsia" w:hAnsiTheme="minorEastAsia"/>
                <w:szCs w:val="21"/>
              </w:rPr>
            </w:pPr>
            <w:r w:rsidRPr="002B175D">
              <w:rPr>
                <w:rFonts w:asciiTheme="minorEastAsia" w:eastAsiaTheme="minorEastAsia" w:hAnsiTheme="minorEastAsia" w:hint="eastAsia"/>
                <w:szCs w:val="21"/>
              </w:rPr>
              <w:t>(1)－(3)</w:t>
            </w:r>
          </w:p>
        </w:tc>
        <w:tc>
          <w:tcPr>
            <w:tcW w:w="1162" w:type="dxa"/>
            <w:tcBorders>
              <w:top w:val="single" w:sz="4" w:space="0" w:color="auto"/>
              <w:left w:val="nil"/>
              <w:bottom w:val="single" w:sz="4" w:space="0" w:color="auto"/>
              <w:right w:val="single" w:sz="4" w:space="0" w:color="auto"/>
            </w:tcBorders>
            <w:noWrap/>
            <w:vAlign w:val="center"/>
            <w:hideMark/>
          </w:tcPr>
          <w:p w:rsidR="00D45AA5" w:rsidRPr="002B175D" w:rsidRDefault="00D45AA5">
            <w:pPr>
              <w:snapToGrid w:val="0"/>
              <w:spacing w:line="360" w:lineRule="auto"/>
              <w:jc w:val="center"/>
              <w:rPr>
                <w:rFonts w:asciiTheme="minorEastAsia" w:eastAsiaTheme="minorEastAsia" w:hAnsiTheme="minorEastAsia"/>
                <w:szCs w:val="21"/>
              </w:rPr>
            </w:pPr>
            <w:r w:rsidRPr="002B175D">
              <w:rPr>
                <w:rFonts w:asciiTheme="minorEastAsia" w:eastAsiaTheme="minorEastAsia" w:hAnsiTheme="minorEastAsia" w:hint="eastAsia"/>
                <w:szCs w:val="21"/>
              </w:rPr>
              <w:t>(2)－(4)</w:t>
            </w:r>
          </w:p>
        </w:tc>
      </w:tr>
      <w:tr w:rsidR="00893E2C" w:rsidRPr="002B175D" w:rsidTr="00D45AA5">
        <w:trPr>
          <w:trHeight w:val="300"/>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D45AA5" w:rsidRPr="002B175D" w:rsidRDefault="00D45AA5">
            <w:pPr>
              <w:snapToGrid w:val="0"/>
              <w:spacing w:line="360" w:lineRule="auto"/>
              <w:rPr>
                <w:rFonts w:asciiTheme="minorEastAsia" w:eastAsiaTheme="minorEastAsia" w:hAnsiTheme="minorEastAsia"/>
                <w:szCs w:val="21"/>
              </w:rPr>
            </w:pPr>
            <w:r w:rsidRPr="002B175D">
              <w:rPr>
                <w:rFonts w:asciiTheme="minorEastAsia" w:eastAsiaTheme="minorEastAsia" w:hAnsiTheme="minorEastAsia" w:hint="eastAsia"/>
                <w:szCs w:val="21"/>
              </w:rPr>
              <w:t>自基金合同生效日至2015年12月31日</w:t>
            </w:r>
          </w:p>
        </w:tc>
        <w:tc>
          <w:tcPr>
            <w:tcW w:w="1236" w:type="dxa"/>
            <w:tcBorders>
              <w:top w:val="single" w:sz="4" w:space="0" w:color="auto"/>
              <w:left w:val="nil"/>
              <w:bottom w:val="single" w:sz="4" w:space="0" w:color="auto"/>
              <w:right w:val="single" w:sz="4" w:space="0" w:color="auto"/>
            </w:tcBorders>
            <w:noWrap/>
            <w:vAlign w:val="center"/>
            <w:hideMark/>
          </w:tcPr>
          <w:p w:rsidR="00D45AA5" w:rsidRPr="002B175D" w:rsidRDefault="00D45AA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8.00%</w:t>
            </w:r>
          </w:p>
        </w:tc>
        <w:tc>
          <w:tcPr>
            <w:tcW w:w="1058" w:type="dxa"/>
            <w:tcBorders>
              <w:top w:val="single" w:sz="4" w:space="0" w:color="auto"/>
              <w:left w:val="nil"/>
              <w:bottom w:val="single" w:sz="4" w:space="0" w:color="auto"/>
              <w:right w:val="single" w:sz="4" w:space="0" w:color="auto"/>
            </w:tcBorders>
            <w:noWrap/>
            <w:vAlign w:val="center"/>
            <w:hideMark/>
          </w:tcPr>
          <w:p w:rsidR="00D45AA5" w:rsidRPr="002B175D" w:rsidRDefault="00D45AA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0.25%</w:t>
            </w:r>
          </w:p>
        </w:tc>
        <w:tc>
          <w:tcPr>
            <w:tcW w:w="1102" w:type="dxa"/>
            <w:tcBorders>
              <w:top w:val="single" w:sz="4" w:space="0" w:color="auto"/>
              <w:left w:val="nil"/>
              <w:bottom w:val="single" w:sz="4" w:space="0" w:color="auto"/>
              <w:right w:val="single" w:sz="4" w:space="0" w:color="auto"/>
            </w:tcBorders>
            <w:noWrap/>
            <w:vAlign w:val="center"/>
            <w:hideMark/>
          </w:tcPr>
          <w:p w:rsidR="00D45AA5" w:rsidRPr="002B175D" w:rsidRDefault="00D45AA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2.81%</w:t>
            </w:r>
          </w:p>
        </w:tc>
        <w:tc>
          <w:tcPr>
            <w:tcW w:w="1250" w:type="dxa"/>
            <w:tcBorders>
              <w:top w:val="single" w:sz="4" w:space="0" w:color="auto"/>
              <w:left w:val="nil"/>
              <w:bottom w:val="single" w:sz="4" w:space="0" w:color="auto"/>
              <w:right w:val="single" w:sz="4" w:space="0" w:color="auto"/>
            </w:tcBorders>
            <w:noWrap/>
            <w:vAlign w:val="center"/>
            <w:hideMark/>
          </w:tcPr>
          <w:p w:rsidR="00D45AA5" w:rsidRPr="002B175D" w:rsidRDefault="00D45AA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0.01%</w:t>
            </w:r>
          </w:p>
        </w:tc>
        <w:tc>
          <w:tcPr>
            <w:tcW w:w="1236" w:type="dxa"/>
            <w:tcBorders>
              <w:top w:val="single" w:sz="4" w:space="0" w:color="auto"/>
              <w:left w:val="nil"/>
              <w:bottom w:val="single" w:sz="4" w:space="0" w:color="auto"/>
              <w:right w:val="single" w:sz="4" w:space="0" w:color="auto"/>
            </w:tcBorders>
            <w:noWrap/>
            <w:vAlign w:val="center"/>
            <w:hideMark/>
          </w:tcPr>
          <w:p w:rsidR="00D45AA5" w:rsidRPr="002B175D" w:rsidRDefault="00D45AA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5.19%</w:t>
            </w:r>
          </w:p>
        </w:tc>
        <w:tc>
          <w:tcPr>
            <w:tcW w:w="1162" w:type="dxa"/>
            <w:tcBorders>
              <w:top w:val="single" w:sz="4" w:space="0" w:color="auto"/>
              <w:left w:val="nil"/>
              <w:bottom w:val="single" w:sz="4" w:space="0" w:color="auto"/>
              <w:right w:val="single" w:sz="4" w:space="0" w:color="auto"/>
            </w:tcBorders>
            <w:noWrap/>
            <w:vAlign w:val="center"/>
            <w:hideMark/>
          </w:tcPr>
          <w:p w:rsidR="00D45AA5" w:rsidRPr="002B175D" w:rsidRDefault="00D45AA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0.24%</w:t>
            </w:r>
          </w:p>
        </w:tc>
      </w:tr>
      <w:tr w:rsidR="00893E2C" w:rsidRPr="002B175D" w:rsidTr="00D45AA5">
        <w:trPr>
          <w:trHeight w:val="300"/>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27108C" w:rsidRPr="002B175D" w:rsidRDefault="0027108C">
            <w:pPr>
              <w:snapToGrid w:val="0"/>
              <w:spacing w:line="360" w:lineRule="auto"/>
              <w:rPr>
                <w:rFonts w:asciiTheme="minorEastAsia" w:eastAsiaTheme="minorEastAsia" w:hAnsiTheme="minorEastAsia"/>
                <w:szCs w:val="21"/>
              </w:rPr>
            </w:pPr>
            <w:r w:rsidRPr="002B175D">
              <w:rPr>
                <w:rFonts w:asciiTheme="minorEastAsia" w:eastAsiaTheme="minorEastAsia" w:hAnsiTheme="minorEastAsia" w:hint="eastAsia"/>
                <w:szCs w:val="21"/>
              </w:rPr>
              <w:t>2016年1月1日至2016年12月31日</w:t>
            </w:r>
          </w:p>
        </w:tc>
        <w:tc>
          <w:tcPr>
            <w:tcW w:w="1236" w:type="dxa"/>
            <w:tcBorders>
              <w:top w:val="single" w:sz="4" w:space="0" w:color="auto"/>
              <w:left w:val="nil"/>
              <w:bottom w:val="single" w:sz="4" w:space="0" w:color="auto"/>
              <w:right w:val="single" w:sz="4" w:space="0" w:color="auto"/>
            </w:tcBorders>
            <w:noWrap/>
            <w:vAlign w:val="center"/>
            <w:hideMark/>
          </w:tcPr>
          <w:p w:rsidR="0027108C" w:rsidRPr="002B175D" w:rsidRDefault="0027108C">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2.41%</w:t>
            </w:r>
          </w:p>
        </w:tc>
        <w:tc>
          <w:tcPr>
            <w:tcW w:w="1058" w:type="dxa"/>
            <w:tcBorders>
              <w:top w:val="single" w:sz="4" w:space="0" w:color="auto"/>
              <w:left w:val="nil"/>
              <w:bottom w:val="single" w:sz="4" w:space="0" w:color="auto"/>
              <w:right w:val="single" w:sz="4" w:space="0" w:color="auto"/>
            </w:tcBorders>
            <w:noWrap/>
            <w:vAlign w:val="center"/>
            <w:hideMark/>
          </w:tcPr>
          <w:p w:rsidR="0027108C" w:rsidRPr="002B175D" w:rsidRDefault="0027108C">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0.09%</w:t>
            </w:r>
          </w:p>
        </w:tc>
        <w:tc>
          <w:tcPr>
            <w:tcW w:w="1102" w:type="dxa"/>
            <w:tcBorders>
              <w:top w:val="single" w:sz="4" w:space="0" w:color="auto"/>
              <w:left w:val="nil"/>
              <w:bottom w:val="single" w:sz="4" w:space="0" w:color="auto"/>
              <w:right w:val="single" w:sz="4" w:space="0" w:color="auto"/>
            </w:tcBorders>
            <w:noWrap/>
            <w:vAlign w:val="center"/>
            <w:hideMark/>
          </w:tcPr>
          <w:p w:rsidR="0027108C" w:rsidRPr="002B175D" w:rsidRDefault="0027108C">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3.56%</w:t>
            </w:r>
          </w:p>
        </w:tc>
        <w:tc>
          <w:tcPr>
            <w:tcW w:w="1250" w:type="dxa"/>
            <w:tcBorders>
              <w:top w:val="single" w:sz="4" w:space="0" w:color="auto"/>
              <w:left w:val="nil"/>
              <w:bottom w:val="single" w:sz="4" w:space="0" w:color="auto"/>
              <w:right w:val="single" w:sz="4" w:space="0" w:color="auto"/>
            </w:tcBorders>
            <w:noWrap/>
            <w:vAlign w:val="center"/>
            <w:hideMark/>
          </w:tcPr>
          <w:p w:rsidR="0027108C" w:rsidRPr="002B175D" w:rsidRDefault="0027108C">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0.01%</w:t>
            </w:r>
          </w:p>
        </w:tc>
        <w:tc>
          <w:tcPr>
            <w:tcW w:w="1236" w:type="dxa"/>
            <w:tcBorders>
              <w:top w:val="single" w:sz="4" w:space="0" w:color="auto"/>
              <w:left w:val="nil"/>
              <w:bottom w:val="single" w:sz="4" w:space="0" w:color="auto"/>
              <w:right w:val="single" w:sz="4" w:space="0" w:color="auto"/>
            </w:tcBorders>
            <w:noWrap/>
            <w:vAlign w:val="center"/>
            <w:hideMark/>
          </w:tcPr>
          <w:p w:rsidR="0027108C" w:rsidRPr="002B175D" w:rsidRDefault="0027108C">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-1.15%</w:t>
            </w:r>
          </w:p>
        </w:tc>
        <w:tc>
          <w:tcPr>
            <w:tcW w:w="1162" w:type="dxa"/>
            <w:tcBorders>
              <w:top w:val="single" w:sz="4" w:space="0" w:color="auto"/>
              <w:left w:val="nil"/>
              <w:bottom w:val="single" w:sz="4" w:space="0" w:color="auto"/>
              <w:right w:val="single" w:sz="4" w:space="0" w:color="auto"/>
            </w:tcBorders>
            <w:noWrap/>
            <w:vAlign w:val="center"/>
            <w:hideMark/>
          </w:tcPr>
          <w:p w:rsidR="0027108C" w:rsidRPr="002B175D" w:rsidRDefault="0027108C">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hint="eastAsia"/>
                <w:szCs w:val="21"/>
              </w:rPr>
              <w:t>0.08%</w:t>
            </w:r>
          </w:p>
        </w:tc>
      </w:tr>
      <w:tr w:rsidR="00893E2C" w:rsidRPr="002B175D" w:rsidTr="00D45AA5">
        <w:trPr>
          <w:trHeight w:val="300"/>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BD3B25" w:rsidRPr="002B175D" w:rsidRDefault="00BD3B25" w:rsidP="00BD3B25">
            <w:pPr>
              <w:snapToGrid w:val="0"/>
              <w:spacing w:line="360" w:lineRule="auto"/>
              <w:rPr>
                <w:rFonts w:asciiTheme="minorEastAsia" w:eastAsiaTheme="minorEastAsia" w:hAnsiTheme="minorEastAsia"/>
                <w:szCs w:val="21"/>
              </w:rPr>
            </w:pPr>
            <w:r w:rsidRPr="002B175D">
              <w:rPr>
                <w:rFonts w:asciiTheme="minorEastAsia" w:eastAsiaTheme="minorEastAsia" w:hAnsiTheme="minorEastAsia" w:hint="eastAsia"/>
                <w:szCs w:val="21"/>
              </w:rPr>
              <w:t>2017年1月1日至2017年</w:t>
            </w:r>
            <w:r w:rsidRPr="002B175D">
              <w:rPr>
                <w:rFonts w:asciiTheme="minorEastAsia" w:eastAsiaTheme="minorEastAsia" w:hAnsiTheme="minorEastAsia"/>
                <w:szCs w:val="21"/>
              </w:rPr>
              <w:t>12</w:t>
            </w:r>
            <w:r w:rsidRPr="002B175D">
              <w:rPr>
                <w:rFonts w:asciiTheme="minorEastAsia" w:eastAsiaTheme="minorEastAsia" w:hAnsiTheme="minorEastAsia" w:hint="eastAsia"/>
                <w:szCs w:val="21"/>
              </w:rPr>
              <w:t>月3</w:t>
            </w:r>
            <w:r w:rsidRPr="002B175D">
              <w:rPr>
                <w:rFonts w:asciiTheme="minorEastAsia" w:eastAsiaTheme="minorEastAsia" w:hAnsiTheme="minorEastAsia"/>
                <w:szCs w:val="21"/>
              </w:rPr>
              <w:t>1</w:t>
            </w:r>
            <w:r w:rsidRPr="002B175D">
              <w:rPr>
                <w:rFonts w:asciiTheme="minorEastAsia" w:eastAsiaTheme="minorEastAsia" w:hAnsiTheme="minorEastAsia" w:hint="eastAsia"/>
                <w:szCs w:val="21"/>
              </w:rPr>
              <w:t>日</w:t>
            </w:r>
          </w:p>
        </w:tc>
        <w:tc>
          <w:tcPr>
            <w:tcW w:w="1236" w:type="dxa"/>
            <w:tcBorders>
              <w:top w:val="single" w:sz="4" w:space="0" w:color="auto"/>
              <w:left w:val="nil"/>
              <w:bottom w:val="single" w:sz="4" w:space="0" w:color="auto"/>
              <w:right w:val="single" w:sz="4" w:space="0" w:color="auto"/>
            </w:tcBorders>
            <w:noWrap/>
            <w:vAlign w:val="center"/>
            <w:hideMark/>
          </w:tcPr>
          <w:p w:rsidR="00BD3B25" w:rsidRPr="002B175D" w:rsidRDefault="00BD3B25" w:rsidP="00BD3B2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11.84%</w:t>
            </w:r>
          </w:p>
        </w:tc>
        <w:tc>
          <w:tcPr>
            <w:tcW w:w="1058" w:type="dxa"/>
            <w:tcBorders>
              <w:top w:val="single" w:sz="4" w:space="0" w:color="auto"/>
              <w:left w:val="nil"/>
              <w:bottom w:val="single" w:sz="4" w:space="0" w:color="auto"/>
              <w:right w:val="single" w:sz="4" w:space="0" w:color="auto"/>
            </w:tcBorders>
            <w:noWrap/>
            <w:vAlign w:val="center"/>
            <w:hideMark/>
          </w:tcPr>
          <w:p w:rsidR="00BD3B25" w:rsidRPr="002B175D" w:rsidRDefault="00BD3B25" w:rsidP="00BD3B2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0.21%</w:t>
            </w:r>
          </w:p>
        </w:tc>
        <w:tc>
          <w:tcPr>
            <w:tcW w:w="1102" w:type="dxa"/>
            <w:tcBorders>
              <w:top w:val="single" w:sz="4" w:space="0" w:color="auto"/>
              <w:left w:val="nil"/>
              <w:bottom w:val="single" w:sz="4" w:space="0" w:color="auto"/>
              <w:right w:val="single" w:sz="4" w:space="0" w:color="auto"/>
            </w:tcBorders>
            <w:noWrap/>
            <w:vAlign w:val="center"/>
            <w:hideMark/>
          </w:tcPr>
          <w:p w:rsidR="00BD3B25" w:rsidRPr="002B175D" w:rsidRDefault="00BD3B25" w:rsidP="00BD3B2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3.55%</w:t>
            </w:r>
          </w:p>
        </w:tc>
        <w:tc>
          <w:tcPr>
            <w:tcW w:w="1250" w:type="dxa"/>
            <w:tcBorders>
              <w:top w:val="single" w:sz="4" w:space="0" w:color="auto"/>
              <w:left w:val="nil"/>
              <w:bottom w:val="single" w:sz="4" w:space="0" w:color="auto"/>
              <w:right w:val="single" w:sz="4" w:space="0" w:color="auto"/>
            </w:tcBorders>
            <w:noWrap/>
            <w:vAlign w:val="center"/>
            <w:hideMark/>
          </w:tcPr>
          <w:p w:rsidR="00BD3B25" w:rsidRPr="002B175D" w:rsidRDefault="00BD3B25" w:rsidP="00BD3B2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0.01%</w:t>
            </w:r>
          </w:p>
        </w:tc>
        <w:tc>
          <w:tcPr>
            <w:tcW w:w="1236" w:type="dxa"/>
            <w:tcBorders>
              <w:top w:val="single" w:sz="4" w:space="0" w:color="auto"/>
              <w:left w:val="nil"/>
              <w:bottom w:val="single" w:sz="4" w:space="0" w:color="auto"/>
              <w:right w:val="single" w:sz="4" w:space="0" w:color="auto"/>
            </w:tcBorders>
            <w:noWrap/>
            <w:vAlign w:val="center"/>
            <w:hideMark/>
          </w:tcPr>
          <w:p w:rsidR="00BD3B25" w:rsidRPr="002B175D" w:rsidRDefault="00BD3B25" w:rsidP="00BD3B2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8.29%</w:t>
            </w:r>
          </w:p>
        </w:tc>
        <w:tc>
          <w:tcPr>
            <w:tcW w:w="1162" w:type="dxa"/>
            <w:tcBorders>
              <w:top w:val="single" w:sz="4" w:space="0" w:color="auto"/>
              <w:left w:val="nil"/>
              <w:bottom w:val="single" w:sz="4" w:space="0" w:color="auto"/>
              <w:right w:val="single" w:sz="4" w:space="0" w:color="auto"/>
            </w:tcBorders>
            <w:noWrap/>
            <w:vAlign w:val="center"/>
            <w:hideMark/>
          </w:tcPr>
          <w:p w:rsidR="00BD3B25" w:rsidRPr="002B175D" w:rsidRDefault="00BD3B25" w:rsidP="00BD3B25">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0.20%</w:t>
            </w:r>
          </w:p>
        </w:tc>
      </w:tr>
      <w:tr w:rsidR="00893E2C" w:rsidRPr="002B175D" w:rsidTr="00D45AA5">
        <w:trPr>
          <w:trHeight w:val="300"/>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E437AD" w:rsidRPr="002B175D" w:rsidRDefault="00C75C04" w:rsidP="00E437AD">
            <w:pPr>
              <w:snapToGrid w:val="0"/>
              <w:spacing w:line="360" w:lineRule="auto"/>
              <w:rPr>
                <w:rFonts w:asciiTheme="minorEastAsia" w:eastAsiaTheme="minorEastAsia" w:hAnsiTheme="minorEastAsia"/>
                <w:szCs w:val="21"/>
              </w:rPr>
            </w:pPr>
            <w:r w:rsidRPr="002B175D">
              <w:rPr>
                <w:rFonts w:asciiTheme="minorEastAsia" w:eastAsiaTheme="minorEastAsia" w:hAnsiTheme="minorEastAsia"/>
                <w:szCs w:val="21"/>
              </w:rPr>
              <w:t>2018年1月1日至2018年12月31日</w:t>
            </w:r>
          </w:p>
        </w:tc>
        <w:tc>
          <w:tcPr>
            <w:tcW w:w="1236" w:type="dxa"/>
            <w:tcBorders>
              <w:top w:val="single" w:sz="4" w:space="0" w:color="auto"/>
              <w:left w:val="nil"/>
              <w:bottom w:val="single" w:sz="4" w:space="0" w:color="auto"/>
              <w:right w:val="single" w:sz="4" w:space="0" w:color="auto"/>
            </w:tcBorders>
            <w:noWrap/>
            <w:vAlign w:val="center"/>
            <w:hideMark/>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2.67%</w:t>
            </w:r>
          </w:p>
        </w:tc>
        <w:tc>
          <w:tcPr>
            <w:tcW w:w="1058" w:type="dxa"/>
            <w:tcBorders>
              <w:top w:val="single" w:sz="4" w:space="0" w:color="auto"/>
              <w:left w:val="nil"/>
              <w:bottom w:val="single" w:sz="4" w:space="0" w:color="auto"/>
              <w:right w:val="single" w:sz="4" w:space="0" w:color="auto"/>
            </w:tcBorders>
            <w:noWrap/>
            <w:vAlign w:val="center"/>
            <w:hideMark/>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0.34%</w:t>
            </w:r>
          </w:p>
        </w:tc>
        <w:tc>
          <w:tcPr>
            <w:tcW w:w="1102" w:type="dxa"/>
            <w:tcBorders>
              <w:top w:val="single" w:sz="4" w:space="0" w:color="auto"/>
              <w:left w:val="nil"/>
              <w:bottom w:val="single" w:sz="4" w:space="0" w:color="auto"/>
              <w:right w:val="single" w:sz="4" w:space="0" w:color="auto"/>
            </w:tcBorders>
            <w:noWrap/>
            <w:vAlign w:val="center"/>
            <w:hideMark/>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3.55%</w:t>
            </w:r>
          </w:p>
        </w:tc>
        <w:tc>
          <w:tcPr>
            <w:tcW w:w="1250" w:type="dxa"/>
            <w:tcBorders>
              <w:top w:val="single" w:sz="4" w:space="0" w:color="auto"/>
              <w:left w:val="nil"/>
              <w:bottom w:val="single" w:sz="4" w:space="0" w:color="auto"/>
              <w:right w:val="single" w:sz="4" w:space="0" w:color="auto"/>
            </w:tcBorders>
            <w:noWrap/>
            <w:vAlign w:val="center"/>
            <w:hideMark/>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0.01%</w:t>
            </w:r>
          </w:p>
        </w:tc>
        <w:tc>
          <w:tcPr>
            <w:tcW w:w="1236" w:type="dxa"/>
            <w:tcBorders>
              <w:top w:val="single" w:sz="4" w:space="0" w:color="auto"/>
              <w:left w:val="nil"/>
              <w:bottom w:val="single" w:sz="4" w:space="0" w:color="auto"/>
              <w:right w:val="single" w:sz="4" w:space="0" w:color="auto"/>
            </w:tcBorders>
            <w:noWrap/>
            <w:vAlign w:val="center"/>
            <w:hideMark/>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-0.88%</w:t>
            </w:r>
          </w:p>
        </w:tc>
        <w:tc>
          <w:tcPr>
            <w:tcW w:w="1162" w:type="dxa"/>
            <w:tcBorders>
              <w:top w:val="single" w:sz="4" w:space="0" w:color="auto"/>
              <w:left w:val="nil"/>
              <w:bottom w:val="single" w:sz="4" w:space="0" w:color="auto"/>
              <w:right w:val="single" w:sz="4" w:space="0" w:color="auto"/>
            </w:tcBorders>
            <w:noWrap/>
            <w:vAlign w:val="center"/>
            <w:hideMark/>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0.33%</w:t>
            </w:r>
          </w:p>
        </w:tc>
      </w:tr>
      <w:tr w:rsidR="00893E2C" w:rsidRPr="002B175D" w:rsidTr="00D45AA5">
        <w:trPr>
          <w:trHeight w:val="300"/>
        </w:trPr>
        <w:tc>
          <w:tcPr>
            <w:tcW w:w="1328" w:type="dxa"/>
            <w:tcBorders>
              <w:top w:val="single" w:sz="4" w:space="0" w:color="auto"/>
              <w:left w:val="single" w:sz="4" w:space="0" w:color="auto"/>
              <w:bottom w:val="single" w:sz="4" w:space="0" w:color="auto"/>
              <w:right w:val="single" w:sz="4" w:space="0" w:color="auto"/>
            </w:tcBorders>
            <w:noWrap/>
            <w:vAlign w:val="center"/>
          </w:tcPr>
          <w:p w:rsidR="00E437AD" w:rsidRPr="002B175D" w:rsidRDefault="00C75C04" w:rsidP="00E437AD">
            <w:pPr>
              <w:snapToGrid w:val="0"/>
              <w:spacing w:line="360" w:lineRule="auto"/>
              <w:rPr>
                <w:rFonts w:asciiTheme="minorEastAsia" w:eastAsiaTheme="minorEastAsia" w:hAnsiTheme="minorEastAsia"/>
                <w:szCs w:val="21"/>
              </w:rPr>
            </w:pPr>
            <w:r w:rsidRPr="002B175D">
              <w:rPr>
                <w:rFonts w:asciiTheme="minorEastAsia" w:eastAsiaTheme="minorEastAsia" w:hAnsiTheme="minorEastAsia" w:hint="eastAsia"/>
                <w:szCs w:val="21"/>
              </w:rPr>
              <w:t>自基金合同生效日至</w:t>
            </w:r>
            <w:r w:rsidRPr="002B175D">
              <w:rPr>
                <w:rFonts w:asciiTheme="minorEastAsia" w:eastAsiaTheme="minorEastAsia" w:hAnsiTheme="minorEastAsia"/>
                <w:szCs w:val="21"/>
              </w:rPr>
              <w:t>2018年12月31日</w:t>
            </w:r>
          </w:p>
        </w:tc>
        <w:tc>
          <w:tcPr>
            <w:tcW w:w="1236" w:type="dxa"/>
            <w:tcBorders>
              <w:top w:val="single" w:sz="4" w:space="0" w:color="auto"/>
              <w:left w:val="nil"/>
              <w:bottom w:val="single" w:sz="4" w:space="0" w:color="auto"/>
              <w:right w:val="single" w:sz="4" w:space="0" w:color="auto"/>
            </w:tcBorders>
            <w:noWrap/>
            <w:vAlign w:val="center"/>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27.00%</w:t>
            </w:r>
          </w:p>
        </w:tc>
        <w:tc>
          <w:tcPr>
            <w:tcW w:w="1058" w:type="dxa"/>
            <w:tcBorders>
              <w:top w:val="single" w:sz="4" w:space="0" w:color="auto"/>
              <w:left w:val="nil"/>
              <w:bottom w:val="single" w:sz="4" w:space="0" w:color="auto"/>
              <w:right w:val="single" w:sz="4" w:space="0" w:color="auto"/>
            </w:tcBorders>
            <w:noWrap/>
            <w:vAlign w:val="center"/>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0.24%</w:t>
            </w:r>
          </w:p>
        </w:tc>
        <w:tc>
          <w:tcPr>
            <w:tcW w:w="1102" w:type="dxa"/>
            <w:tcBorders>
              <w:top w:val="single" w:sz="4" w:space="0" w:color="auto"/>
              <w:left w:val="nil"/>
              <w:bottom w:val="single" w:sz="4" w:space="0" w:color="auto"/>
              <w:right w:val="single" w:sz="4" w:space="0" w:color="auto"/>
            </w:tcBorders>
            <w:noWrap/>
            <w:vAlign w:val="center"/>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13.46%</w:t>
            </w:r>
          </w:p>
        </w:tc>
        <w:tc>
          <w:tcPr>
            <w:tcW w:w="1250" w:type="dxa"/>
            <w:tcBorders>
              <w:top w:val="single" w:sz="4" w:space="0" w:color="auto"/>
              <w:left w:val="nil"/>
              <w:bottom w:val="single" w:sz="4" w:space="0" w:color="auto"/>
              <w:right w:val="single" w:sz="4" w:space="0" w:color="auto"/>
            </w:tcBorders>
            <w:noWrap/>
            <w:vAlign w:val="center"/>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0.01%</w:t>
            </w:r>
          </w:p>
        </w:tc>
        <w:tc>
          <w:tcPr>
            <w:tcW w:w="1236" w:type="dxa"/>
            <w:tcBorders>
              <w:top w:val="single" w:sz="4" w:space="0" w:color="auto"/>
              <w:left w:val="nil"/>
              <w:bottom w:val="single" w:sz="4" w:space="0" w:color="auto"/>
              <w:right w:val="single" w:sz="4" w:space="0" w:color="auto"/>
            </w:tcBorders>
            <w:noWrap/>
            <w:vAlign w:val="center"/>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13.54%</w:t>
            </w:r>
          </w:p>
        </w:tc>
        <w:tc>
          <w:tcPr>
            <w:tcW w:w="1162" w:type="dxa"/>
            <w:tcBorders>
              <w:top w:val="single" w:sz="4" w:space="0" w:color="auto"/>
              <w:left w:val="nil"/>
              <w:bottom w:val="single" w:sz="4" w:space="0" w:color="auto"/>
              <w:right w:val="single" w:sz="4" w:space="0" w:color="auto"/>
            </w:tcBorders>
            <w:noWrap/>
            <w:vAlign w:val="center"/>
          </w:tcPr>
          <w:p w:rsidR="00E437AD" w:rsidRPr="002B175D" w:rsidRDefault="00C75C04" w:rsidP="00C75C04">
            <w:pPr>
              <w:snapToGrid w:val="0"/>
              <w:spacing w:line="360" w:lineRule="auto"/>
              <w:jc w:val="right"/>
              <w:rPr>
                <w:rFonts w:asciiTheme="minorEastAsia" w:eastAsiaTheme="minorEastAsia" w:hAnsiTheme="minorEastAsia"/>
                <w:szCs w:val="21"/>
              </w:rPr>
            </w:pPr>
            <w:r w:rsidRPr="002B175D">
              <w:rPr>
                <w:rFonts w:asciiTheme="minorEastAsia" w:eastAsiaTheme="minorEastAsia" w:hAnsiTheme="minorEastAsia"/>
                <w:szCs w:val="21"/>
              </w:rPr>
              <w:t>0.23%</w:t>
            </w:r>
          </w:p>
        </w:tc>
      </w:tr>
    </w:tbl>
    <w:p w:rsidR="00BC23ED" w:rsidRPr="002B175D" w:rsidRDefault="00BC23ED" w:rsidP="00BC23ED">
      <w:pPr>
        <w:snapToGrid w:val="0"/>
        <w:spacing w:line="360" w:lineRule="auto"/>
        <w:ind w:firstLineChars="200" w:firstLine="420"/>
        <w:rPr>
          <w:rFonts w:asciiTheme="minorEastAsia" w:eastAsiaTheme="minorEastAsia" w:hAnsiTheme="minorEastAsia"/>
          <w:szCs w:val="21"/>
        </w:rPr>
      </w:pPr>
    </w:p>
    <w:p w:rsidR="00072D7C" w:rsidRPr="002B175D" w:rsidRDefault="00072D7C" w:rsidP="00861AD8">
      <w:pPr>
        <w:pStyle w:val="1"/>
        <w:snapToGrid w:val="0"/>
        <w:spacing w:beforeLines="0" w:afterLines="0" w:line="360" w:lineRule="auto"/>
        <w:ind w:firstLineChars="0" w:firstLine="0"/>
        <w:jc w:val="both"/>
        <w:rPr>
          <w:rFonts w:asciiTheme="minorEastAsia" w:eastAsiaTheme="minorEastAsia" w:hAnsiTheme="minorEastAsia"/>
        </w:rPr>
      </w:pPr>
      <w:r w:rsidRPr="002B175D">
        <w:rPr>
          <w:rFonts w:asciiTheme="minorEastAsia" w:eastAsiaTheme="minorEastAsia" w:hAnsiTheme="minorEastAsia" w:hint="eastAsia"/>
        </w:rPr>
        <w:t>十三、费用概览</w:t>
      </w:r>
    </w:p>
    <w:p w:rsidR="00072D7C" w:rsidRPr="002B175D" w:rsidRDefault="00072D7C" w:rsidP="00861AD8">
      <w:pPr>
        <w:snapToGrid w:val="0"/>
        <w:spacing w:line="360" w:lineRule="auto"/>
        <w:ind w:firstLineChars="200" w:firstLine="420"/>
        <w:rPr>
          <w:rStyle w:val="da"/>
          <w:rFonts w:asciiTheme="minorEastAsia" w:eastAsiaTheme="minorEastAsia" w:hAnsiTheme="minorEastAsia"/>
        </w:rPr>
      </w:pPr>
      <w:r w:rsidRPr="002B175D">
        <w:rPr>
          <w:rStyle w:val="da"/>
          <w:rFonts w:asciiTheme="minorEastAsia" w:eastAsiaTheme="minorEastAsia" w:hAnsiTheme="minorEastAsia" w:hint="eastAsia"/>
        </w:rPr>
        <w:t>（一）基金费用的种类</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1、基金管理人的管理费；</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2、基金托管人的托管费；</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3、销售服务费；</w:t>
      </w:r>
    </w:p>
    <w:p w:rsidR="00072D7C" w:rsidRPr="002B175D" w:rsidRDefault="00072D7C" w:rsidP="00861AD8">
      <w:pPr>
        <w:snapToGrid w:val="0"/>
        <w:spacing w:line="360" w:lineRule="auto"/>
        <w:ind w:firstLineChars="200" w:firstLine="420"/>
        <w:rPr>
          <w:rFonts w:asciiTheme="minorEastAsia" w:eastAsiaTheme="minorEastAsia" w:hAnsiTheme="minorEastAsia"/>
          <w:bCs/>
          <w:szCs w:val="21"/>
        </w:rPr>
      </w:pPr>
      <w:r w:rsidRPr="002B175D">
        <w:rPr>
          <w:rFonts w:asciiTheme="minorEastAsia" w:eastAsiaTheme="minorEastAsia" w:hAnsiTheme="minorEastAsia" w:hint="eastAsia"/>
          <w:bCs/>
          <w:szCs w:val="21"/>
        </w:rPr>
        <w:t>4</w:t>
      </w:r>
      <w:r w:rsidRPr="002B175D">
        <w:rPr>
          <w:rFonts w:asciiTheme="minorEastAsia" w:eastAsiaTheme="minorEastAsia" w:hAnsiTheme="minorEastAsia"/>
          <w:bCs/>
          <w:szCs w:val="21"/>
        </w:rPr>
        <w:t>、《基金合同》生效后与基金相关的信息披露费用；</w:t>
      </w:r>
    </w:p>
    <w:p w:rsidR="00072D7C" w:rsidRPr="002B175D" w:rsidRDefault="00072D7C" w:rsidP="00861AD8">
      <w:pPr>
        <w:snapToGrid w:val="0"/>
        <w:spacing w:line="360" w:lineRule="auto"/>
        <w:ind w:firstLineChars="200" w:firstLine="420"/>
        <w:rPr>
          <w:rFonts w:asciiTheme="minorEastAsia" w:eastAsiaTheme="minorEastAsia" w:hAnsiTheme="minorEastAsia"/>
          <w:bCs/>
          <w:szCs w:val="21"/>
        </w:rPr>
      </w:pPr>
      <w:r w:rsidRPr="002B175D">
        <w:rPr>
          <w:rFonts w:asciiTheme="minorEastAsia" w:eastAsiaTheme="minorEastAsia" w:hAnsiTheme="minorEastAsia" w:hint="eastAsia"/>
          <w:bCs/>
          <w:szCs w:val="21"/>
        </w:rPr>
        <w:t>5</w:t>
      </w:r>
      <w:r w:rsidRPr="002B175D">
        <w:rPr>
          <w:rFonts w:asciiTheme="minorEastAsia" w:eastAsiaTheme="minorEastAsia" w:hAnsiTheme="minorEastAsia"/>
          <w:bCs/>
          <w:szCs w:val="21"/>
        </w:rPr>
        <w:t>、《基金合同》生效后与基金相关的会计师费、律师费</w:t>
      </w:r>
      <w:r w:rsidRPr="002B175D">
        <w:rPr>
          <w:rFonts w:asciiTheme="minorEastAsia" w:eastAsiaTheme="minorEastAsia" w:hAnsiTheme="minorEastAsia" w:hint="eastAsia"/>
          <w:bCs/>
          <w:szCs w:val="21"/>
        </w:rPr>
        <w:t>、</w:t>
      </w:r>
      <w:r w:rsidRPr="002B175D">
        <w:rPr>
          <w:rFonts w:asciiTheme="minorEastAsia" w:eastAsiaTheme="minorEastAsia" w:hAnsiTheme="minorEastAsia"/>
          <w:bCs/>
          <w:szCs w:val="21"/>
        </w:rPr>
        <w:t>诉讼费</w:t>
      </w:r>
      <w:r w:rsidRPr="002B175D">
        <w:rPr>
          <w:rFonts w:asciiTheme="minorEastAsia" w:eastAsiaTheme="minorEastAsia" w:hAnsiTheme="minorEastAsia" w:hint="eastAsia"/>
          <w:bCs/>
          <w:szCs w:val="21"/>
        </w:rPr>
        <w:t>和仲裁费</w:t>
      </w:r>
      <w:r w:rsidRPr="002B175D">
        <w:rPr>
          <w:rFonts w:asciiTheme="minorEastAsia" w:eastAsiaTheme="minorEastAsia" w:hAnsiTheme="minorEastAsia"/>
          <w:bCs/>
          <w:szCs w:val="21"/>
        </w:rPr>
        <w:t>；</w:t>
      </w:r>
    </w:p>
    <w:p w:rsidR="00072D7C" w:rsidRPr="002B175D" w:rsidRDefault="00072D7C" w:rsidP="00861AD8">
      <w:pPr>
        <w:snapToGrid w:val="0"/>
        <w:spacing w:line="360" w:lineRule="auto"/>
        <w:ind w:firstLineChars="200" w:firstLine="420"/>
        <w:rPr>
          <w:rFonts w:asciiTheme="minorEastAsia" w:eastAsiaTheme="minorEastAsia" w:hAnsiTheme="minorEastAsia"/>
          <w:bCs/>
          <w:szCs w:val="21"/>
        </w:rPr>
      </w:pPr>
      <w:r w:rsidRPr="002B175D">
        <w:rPr>
          <w:rFonts w:asciiTheme="minorEastAsia" w:eastAsiaTheme="minorEastAsia" w:hAnsiTheme="minorEastAsia" w:hint="eastAsia"/>
          <w:bCs/>
          <w:szCs w:val="21"/>
        </w:rPr>
        <w:t>6</w:t>
      </w:r>
      <w:r w:rsidRPr="002B175D">
        <w:rPr>
          <w:rFonts w:asciiTheme="minorEastAsia" w:eastAsiaTheme="minorEastAsia" w:hAnsiTheme="minorEastAsia"/>
          <w:bCs/>
          <w:szCs w:val="21"/>
        </w:rPr>
        <w:t>、基金份额持有人大会费用；</w:t>
      </w:r>
    </w:p>
    <w:p w:rsidR="00072D7C" w:rsidRPr="002B175D" w:rsidRDefault="00072D7C" w:rsidP="00861AD8">
      <w:pPr>
        <w:snapToGrid w:val="0"/>
        <w:spacing w:line="360" w:lineRule="auto"/>
        <w:ind w:firstLineChars="200" w:firstLine="420"/>
        <w:rPr>
          <w:rFonts w:asciiTheme="minorEastAsia" w:eastAsiaTheme="minorEastAsia" w:hAnsiTheme="minorEastAsia"/>
          <w:bCs/>
          <w:szCs w:val="21"/>
        </w:rPr>
      </w:pPr>
      <w:r w:rsidRPr="002B175D">
        <w:rPr>
          <w:rFonts w:asciiTheme="minorEastAsia" w:eastAsiaTheme="minorEastAsia" w:hAnsiTheme="minorEastAsia" w:hint="eastAsia"/>
          <w:bCs/>
          <w:szCs w:val="21"/>
        </w:rPr>
        <w:t>7</w:t>
      </w:r>
      <w:r w:rsidRPr="002B175D">
        <w:rPr>
          <w:rFonts w:asciiTheme="minorEastAsia" w:eastAsiaTheme="minorEastAsia" w:hAnsiTheme="minorEastAsia"/>
          <w:bCs/>
          <w:szCs w:val="21"/>
        </w:rPr>
        <w:t>、基金的证券交易费用；</w:t>
      </w:r>
    </w:p>
    <w:p w:rsidR="00072D7C" w:rsidRPr="002B175D" w:rsidRDefault="00072D7C" w:rsidP="00861AD8">
      <w:pPr>
        <w:snapToGrid w:val="0"/>
        <w:spacing w:line="360" w:lineRule="auto"/>
        <w:ind w:firstLineChars="200" w:firstLine="420"/>
        <w:rPr>
          <w:rFonts w:asciiTheme="minorEastAsia" w:eastAsiaTheme="minorEastAsia" w:hAnsiTheme="minorEastAsia"/>
          <w:bCs/>
          <w:szCs w:val="21"/>
        </w:rPr>
      </w:pPr>
      <w:r w:rsidRPr="002B175D">
        <w:rPr>
          <w:rFonts w:asciiTheme="minorEastAsia" w:eastAsiaTheme="minorEastAsia" w:hAnsiTheme="minorEastAsia" w:hint="eastAsia"/>
          <w:bCs/>
          <w:szCs w:val="21"/>
        </w:rPr>
        <w:t>8</w:t>
      </w:r>
      <w:r w:rsidRPr="002B175D">
        <w:rPr>
          <w:rFonts w:asciiTheme="minorEastAsia" w:eastAsiaTheme="minorEastAsia" w:hAnsiTheme="minorEastAsia"/>
          <w:bCs/>
          <w:szCs w:val="21"/>
        </w:rPr>
        <w:t>、基金的银行汇划费用；</w:t>
      </w:r>
    </w:p>
    <w:p w:rsidR="00072D7C" w:rsidRPr="002B175D" w:rsidRDefault="00072D7C" w:rsidP="00861AD8">
      <w:pPr>
        <w:snapToGrid w:val="0"/>
        <w:spacing w:line="360" w:lineRule="auto"/>
        <w:ind w:firstLineChars="200" w:firstLine="420"/>
        <w:rPr>
          <w:rFonts w:asciiTheme="minorEastAsia" w:eastAsiaTheme="minorEastAsia" w:hAnsiTheme="minorEastAsia"/>
          <w:bCs/>
          <w:szCs w:val="21"/>
        </w:rPr>
      </w:pPr>
      <w:r w:rsidRPr="002B175D">
        <w:rPr>
          <w:rFonts w:asciiTheme="minorEastAsia" w:eastAsiaTheme="minorEastAsia" w:hAnsiTheme="minorEastAsia" w:hint="eastAsia"/>
          <w:bCs/>
          <w:szCs w:val="21"/>
        </w:rPr>
        <w:t>9</w:t>
      </w:r>
      <w:r w:rsidRPr="002B175D">
        <w:rPr>
          <w:rFonts w:asciiTheme="minorEastAsia" w:eastAsiaTheme="minorEastAsia" w:hAnsiTheme="minorEastAsia"/>
          <w:bCs/>
          <w:szCs w:val="21"/>
        </w:rPr>
        <w:t>、</w:t>
      </w:r>
      <w:r w:rsidRPr="002B175D">
        <w:rPr>
          <w:rFonts w:asciiTheme="minorEastAsia" w:eastAsiaTheme="minorEastAsia" w:hAnsiTheme="minorEastAsia" w:hint="eastAsia"/>
          <w:bCs/>
          <w:szCs w:val="21"/>
        </w:rPr>
        <w:t>证券账户开户费用、银行账户维护费用；</w:t>
      </w:r>
    </w:p>
    <w:p w:rsidR="00072D7C" w:rsidRPr="002B175D" w:rsidRDefault="00072D7C" w:rsidP="00861AD8">
      <w:pPr>
        <w:snapToGrid w:val="0"/>
        <w:spacing w:line="360" w:lineRule="auto"/>
        <w:ind w:firstLineChars="200" w:firstLine="420"/>
        <w:rPr>
          <w:rFonts w:asciiTheme="minorEastAsia" w:eastAsiaTheme="minorEastAsia" w:hAnsiTheme="minorEastAsia"/>
          <w:bCs/>
          <w:szCs w:val="21"/>
        </w:rPr>
      </w:pPr>
      <w:r w:rsidRPr="002B175D">
        <w:rPr>
          <w:rFonts w:asciiTheme="minorEastAsia" w:eastAsiaTheme="minorEastAsia" w:hAnsiTheme="minorEastAsia" w:hint="eastAsia"/>
          <w:bCs/>
          <w:szCs w:val="21"/>
        </w:rPr>
        <w:t>10</w:t>
      </w:r>
      <w:r w:rsidRPr="002B175D">
        <w:rPr>
          <w:rFonts w:asciiTheme="minorEastAsia" w:eastAsiaTheme="minorEastAsia" w:hAnsiTheme="minorEastAsia"/>
          <w:bCs/>
          <w:szCs w:val="21"/>
        </w:rPr>
        <w:t>、按照国家有关规定和《基金合同》约定，可以在基金财产中列支的其他费用。</w:t>
      </w:r>
    </w:p>
    <w:p w:rsidR="00072D7C" w:rsidRPr="002B175D" w:rsidRDefault="00072D7C" w:rsidP="00861AD8">
      <w:pPr>
        <w:snapToGrid w:val="0"/>
        <w:spacing w:line="360" w:lineRule="auto"/>
        <w:ind w:firstLineChars="200" w:firstLine="420"/>
        <w:rPr>
          <w:rStyle w:val="da"/>
          <w:rFonts w:asciiTheme="minorEastAsia" w:eastAsiaTheme="minorEastAsia" w:hAnsiTheme="minorEastAsia"/>
        </w:rPr>
      </w:pPr>
      <w:r w:rsidRPr="002B175D">
        <w:rPr>
          <w:rStyle w:val="da"/>
          <w:rFonts w:asciiTheme="minorEastAsia" w:eastAsiaTheme="minorEastAsia" w:hAnsiTheme="minorEastAsia" w:hint="eastAsia"/>
        </w:rPr>
        <w:t>（二）基金费用计提方法、计提标准和支付方式</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1、基金管理人的管理费</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本基金的管理费按前一日基金资产净值的</w:t>
      </w:r>
      <w:r w:rsidR="00A5245E" w:rsidRPr="002B175D">
        <w:rPr>
          <w:rFonts w:asciiTheme="minorEastAsia" w:eastAsiaTheme="minorEastAsia" w:hAnsiTheme="minorEastAsia" w:hint="eastAsia"/>
          <w:szCs w:val="21"/>
        </w:rPr>
        <w:t>0.60</w:t>
      </w:r>
      <w:r w:rsidRPr="002B175D">
        <w:rPr>
          <w:rFonts w:asciiTheme="minorEastAsia" w:eastAsiaTheme="minorEastAsia" w:hAnsiTheme="minorEastAsia" w:hint="eastAsia"/>
          <w:szCs w:val="21"/>
        </w:rPr>
        <w:t>%年费率计提。管理费的计算方法如下：</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H＝E×</w:t>
      </w:r>
      <w:r w:rsidR="00A5245E" w:rsidRPr="002B175D">
        <w:rPr>
          <w:rFonts w:asciiTheme="minorEastAsia" w:eastAsiaTheme="minorEastAsia" w:hAnsiTheme="minorEastAsia" w:hint="eastAsia"/>
          <w:szCs w:val="21"/>
        </w:rPr>
        <w:t>0.60</w:t>
      </w:r>
      <w:r w:rsidRPr="002B175D">
        <w:rPr>
          <w:rFonts w:asciiTheme="minorEastAsia" w:eastAsiaTheme="minorEastAsia" w:hAnsiTheme="minorEastAsia" w:hint="eastAsia"/>
          <w:szCs w:val="21"/>
        </w:rPr>
        <w:t>%÷当年天数</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H为每日应计提的基金管理费</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E为前一日的基金资产净值</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基金管理费每日计提，按月支付。由基金管理人在次月初3个工作日内出具资金划拨指令，基金托管人复核无误后于2个工作日内进行支付。若遇法定节假日、休息日等，支付日期顺延。</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2、基金托管人的托管费</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本基金的托管费按前一日基金资产净值的0.20%的年费率计提。托管费的计算方法如下：</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H＝E×0.20%÷当年天数</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H为每日应计提的基金托管费</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E为前一日的基金资产净值</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基金托管费每日计提，按月支付。由基金管理人在次月初3个工作日内出具资金划拨指令，基金托管人复核无误后于2个工作日内进行支付。若遇法定节假日、休息日等，支付日期顺延。</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3、销售服务费</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本基金A类基金份额不收取销售服务费，C类基金份额的销售服务费年费率为0.20%，按前一日C类基金资产净值的0.20%年费率计提。</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销售服务费的计算方法如下：</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H＝E×0.20%÷当年天数</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H为C类基金份额每日应计提的销售服务费</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E为C类基金份额前一日基金资产净值</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销售服务费每日计提，按月支付。由基金管理人在次月初3个工作日内出具资金划拨指令，基金托管人复核无误后于2个工作日内进行支付。若遇法定节假日、休息日等，支付日期顺延。</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销售服务费可用于本基金市场推广、销售以及基金份额持有人服务等各项费用。</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上述“（一）基金费用的种类中第4－10项费用”，根据有关法规及相应协议规定，按费用实际支出金额列入当期费用，由基金托管人从基金财产中支付。</w:t>
      </w:r>
    </w:p>
    <w:p w:rsidR="00072D7C" w:rsidRPr="002B175D" w:rsidRDefault="00072D7C" w:rsidP="00861AD8">
      <w:pPr>
        <w:snapToGrid w:val="0"/>
        <w:spacing w:line="360" w:lineRule="auto"/>
        <w:ind w:firstLineChars="200" w:firstLine="420"/>
        <w:rPr>
          <w:rStyle w:val="da"/>
          <w:rFonts w:asciiTheme="minorEastAsia" w:eastAsiaTheme="minorEastAsia" w:hAnsiTheme="minorEastAsia"/>
        </w:rPr>
      </w:pPr>
      <w:r w:rsidRPr="002B175D">
        <w:rPr>
          <w:rStyle w:val="da"/>
          <w:rFonts w:asciiTheme="minorEastAsia" w:eastAsiaTheme="minorEastAsia" w:hAnsiTheme="minorEastAsia" w:hint="eastAsia"/>
        </w:rPr>
        <w:t>（三）不列入基金费用的项目</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下列费用不列入基金费用：</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1、基金管理人和基金托管人因未履行或未完全履行义务导致的费用支出或基金财产的损失；</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2、基金管理人和基金托管人处理与基金运作无关的事项发生的费用；</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3、《基金合同》生效前的相关费用；</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4、其他根据相关法律法规及中国证监会的有关规定不得列入基金费用的项目。</w:t>
      </w:r>
    </w:p>
    <w:p w:rsidR="00072D7C" w:rsidRPr="002B175D" w:rsidRDefault="00072D7C" w:rsidP="00861AD8">
      <w:pPr>
        <w:snapToGrid w:val="0"/>
        <w:spacing w:line="360" w:lineRule="auto"/>
        <w:ind w:firstLineChars="200" w:firstLine="420"/>
        <w:rPr>
          <w:rFonts w:asciiTheme="minorEastAsia" w:eastAsiaTheme="minorEastAsia" w:hAnsiTheme="minorEastAsia"/>
          <w:bCs/>
          <w:szCs w:val="21"/>
        </w:rPr>
      </w:pPr>
      <w:r w:rsidRPr="002B175D">
        <w:rPr>
          <w:rFonts w:asciiTheme="minorEastAsia" w:eastAsiaTheme="minorEastAsia" w:hAnsiTheme="minorEastAsia" w:hint="eastAsia"/>
          <w:bCs/>
          <w:szCs w:val="21"/>
        </w:rPr>
        <w:t>（四）与基金销售有关的费用</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1、申购费</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（1）申购费率</w:t>
      </w:r>
    </w:p>
    <w:p w:rsidR="00AC53D8" w:rsidRPr="002B175D" w:rsidRDefault="00AC53D8" w:rsidP="00861AD8">
      <w:pPr>
        <w:snapToGrid w:val="0"/>
        <w:spacing w:line="360" w:lineRule="auto"/>
        <w:ind w:firstLineChars="200" w:firstLine="420"/>
        <w:rPr>
          <w:rFonts w:asciiTheme="minorEastAsia" w:eastAsiaTheme="minorEastAsia" w:hAnsiTheme="minorEastAsia"/>
          <w:szCs w:val="21"/>
        </w:rPr>
      </w:pPr>
      <w:r w:rsidRPr="002B175D">
        <w:rPr>
          <w:rStyle w:val="da"/>
          <w:rFonts w:asciiTheme="minorEastAsia" w:eastAsiaTheme="minorEastAsia" w:hAnsiTheme="minorEastAsia" w:hint="eastAsia"/>
          <w:szCs w:val="21"/>
        </w:rPr>
        <w:t>对于A类基金份额，</w:t>
      </w:r>
      <w:r w:rsidRPr="002B175D">
        <w:rPr>
          <w:rFonts w:asciiTheme="minorEastAsia" w:eastAsiaTheme="minorEastAsia" w:hAnsiTheme="minorEastAsia" w:hint="eastAsia"/>
          <w:szCs w:val="21"/>
        </w:rPr>
        <w:t>本基金对通过直销中心申购的</w:t>
      </w:r>
      <w:r w:rsidRPr="002B175D">
        <w:rPr>
          <w:rStyle w:val="da"/>
          <w:rFonts w:asciiTheme="minorEastAsia" w:eastAsiaTheme="minorEastAsia" w:hAnsiTheme="minorEastAsia" w:hint="eastAsia"/>
          <w:szCs w:val="21"/>
        </w:rPr>
        <w:t>特定投资群体</w:t>
      </w:r>
      <w:r w:rsidRPr="002B175D">
        <w:rPr>
          <w:rFonts w:asciiTheme="minorEastAsia" w:eastAsiaTheme="minorEastAsia" w:hAnsiTheme="minorEastAsia" w:hint="eastAsia"/>
          <w:szCs w:val="21"/>
        </w:rPr>
        <w:t>与除此之外的其他投资者实施差别的申购费率。</w:t>
      </w:r>
    </w:p>
    <w:p w:rsidR="00AC53D8" w:rsidRPr="002B175D" w:rsidRDefault="00AC53D8"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AC53D8" w:rsidRPr="002B175D" w:rsidRDefault="00AC53D8"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特定投资群体可通过本</w:t>
      </w:r>
      <w:r w:rsidR="00056022" w:rsidRPr="002B175D">
        <w:rPr>
          <w:rFonts w:asciiTheme="minorEastAsia" w:eastAsiaTheme="minorEastAsia" w:hAnsiTheme="minorEastAsia" w:hint="eastAsia"/>
          <w:szCs w:val="21"/>
        </w:rPr>
        <w:t>公司</w:t>
      </w:r>
      <w:r w:rsidRPr="002B175D">
        <w:rPr>
          <w:rFonts w:asciiTheme="minorEastAsia" w:eastAsiaTheme="minorEastAsia" w:hAnsiTheme="minorEastAsia" w:hint="eastAsia"/>
          <w:szCs w:val="21"/>
        </w:rPr>
        <w:t>直销中心申购本基金</w:t>
      </w:r>
      <w:r w:rsidRPr="002B175D">
        <w:rPr>
          <w:rStyle w:val="da"/>
          <w:rFonts w:asciiTheme="minorEastAsia" w:eastAsiaTheme="minorEastAsia" w:hAnsiTheme="minorEastAsia" w:hint="eastAsia"/>
          <w:szCs w:val="21"/>
        </w:rPr>
        <w:t>A类份额</w:t>
      </w:r>
      <w:r w:rsidRPr="002B175D">
        <w:rPr>
          <w:rFonts w:asciiTheme="minorEastAsia" w:eastAsiaTheme="minorEastAsia" w:hAnsiTheme="minorEastAsia" w:hint="eastAsia"/>
          <w:szCs w:val="21"/>
        </w:rPr>
        <w:t>。基金管理人可根据情况变更</w:t>
      </w:r>
      <w:r w:rsidRPr="002B175D">
        <w:rPr>
          <w:rFonts w:asciiTheme="minorEastAsia" w:eastAsiaTheme="minorEastAsia" w:hAnsiTheme="minorEastAsia" w:hint="eastAsia"/>
          <w:bCs/>
          <w:szCs w:val="21"/>
        </w:rPr>
        <w:t>或增减</w:t>
      </w:r>
      <w:r w:rsidRPr="002B175D">
        <w:rPr>
          <w:rFonts w:asciiTheme="minorEastAsia" w:eastAsiaTheme="minorEastAsia" w:hAnsiTheme="minorEastAsia" w:hint="eastAsia"/>
          <w:szCs w:val="21"/>
        </w:rPr>
        <w:t>特定投资群体申购本基金</w:t>
      </w:r>
      <w:r w:rsidRPr="002B175D">
        <w:rPr>
          <w:rStyle w:val="da"/>
          <w:rFonts w:asciiTheme="minorEastAsia" w:eastAsiaTheme="minorEastAsia" w:hAnsiTheme="minorEastAsia" w:hint="eastAsia"/>
          <w:szCs w:val="21"/>
        </w:rPr>
        <w:t>A类份额</w:t>
      </w:r>
      <w:r w:rsidRPr="002B175D">
        <w:rPr>
          <w:rFonts w:asciiTheme="minorEastAsia" w:eastAsiaTheme="minorEastAsia" w:hAnsiTheme="minorEastAsia" w:hint="eastAsia"/>
          <w:szCs w:val="21"/>
        </w:rPr>
        <w:t>的销售机构，并按规定予以公告。</w:t>
      </w:r>
    </w:p>
    <w:p w:rsidR="00AC53D8" w:rsidRPr="002B175D" w:rsidRDefault="00AC53D8"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通过基金管理人的直销中心申购本基金</w:t>
      </w:r>
      <w:r w:rsidRPr="002B175D">
        <w:rPr>
          <w:rStyle w:val="da"/>
          <w:rFonts w:asciiTheme="minorEastAsia" w:eastAsiaTheme="minorEastAsia" w:hAnsiTheme="minorEastAsia" w:hint="eastAsia"/>
          <w:szCs w:val="21"/>
        </w:rPr>
        <w:t>A类份额</w:t>
      </w:r>
      <w:r w:rsidRPr="002B175D">
        <w:rPr>
          <w:rFonts w:asciiTheme="minorEastAsia" w:eastAsiaTheme="minorEastAsia" w:hAnsiTheme="minorEastAsia" w:hint="eastAsia"/>
          <w:szCs w:val="21"/>
        </w:rPr>
        <w:t>的</w:t>
      </w:r>
      <w:r w:rsidRPr="002B175D">
        <w:rPr>
          <w:rFonts w:asciiTheme="minorEastAsia" w:eastAsiaTheme="minorEastAsia" w:hAnsiTheme="minorEastAsia"/>
          <w:szCs w:val="21"/>
        </w:rPr>
        <w:t>特定投资群体</w:t>
      </w:r>
      <w:r w:rsidRPr="002B175D">
        <w:rPr>
          <w:rFonts w:asciiTheme="minorEastAsia" w:eastAsiaTheme="minorEastAsia" w:hAnsiTheme="minorEastAsia" w:hint="eastAsia"/>
          <w:szCs w:val="21"/>
        </w:rPr>
        <w:t>申购费率见下表：</w:t>
      </w:r>
    </w:p>
    <w:tbl>
      <w:tblPr>
        <w:tblW w:w="7574" w:type="dxa"/>
        <w:jc w:val="center"/>
        <w:tblLook w:val="0000"/>
      </w:tblPr>
      <w:tblGrid>
        <w:gridCol w:w="3794"/>
        <w:gridCol w:w="3780"/>
      </w:tblGrid>
      <w:tr w:rsidR="00893E2C" w:rsidRPr="002B175D" w:rsidTr="00926860">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bCs/>
                <w:kern w:val="0"/>
                <w:szCs w:val="21"/>
              </w:rPr>
            </w:pPr>
            <w:r w:rsidRPr="002B175D">
              <w:rPr>
                <w:rFonts w:asciiTheme="minorEastAsia" w:eastAsiaTheme="minorEastAsia" w:hAnsiTheme="minorEastAsia"/>
                <w:bCs/>
                <w:kern w:val="0"/>
                <w:szCs w:val="21"/>
              </w:rPr>
              <w:t>申购金额M（元）（含申购费）</w:t>
            </w:r>
          </w:p>
        </w:tc>
        <w:tc>
          <w:tcPr>
            <w:tcW w:w="3780" w:type="dxa"/>
            <w:tcBorders>
              <w:top w:val="single" w:sz="8" w:space="0" w:color="auto"/>
              <w:left w:val="nil"/>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bCs/>
                <w:kern w:val="0"/>
                <w:szCs w:val="21"/>
              </w:rPr>
            </w:pPr>
            <w:r w:rsidRPr="002B175D">
              <w:rPr>
                <w:rStyle w:val="da"/>
                <w:rFonts w:asciiTheme="minorEastAsia" w:eastAsiaTheme="minorEastAsia" w:hAnsiTheme="minorEastAsia" w:hint="eastAsia"/>
                <w:szCs w:val="21"/>
              </w:rPr>
              <w:t>A类份额</w:t>
            </w:r>
            <w:r w:rsidRPr="002B175D">
              <w:rPr>
                <w:rFonts w:asciiTheme="minorEastAsia" w:eastAsiaTheme="minorEastAsia" w:hAnsiTheme="minorEastAsia"/>
                <w:bCs/>
                <w:kern w:val="0"/>
                <w:szCs w:val="21"/>
              </w:rPr>
              <w:t>申购费率</w:t>
            </w:r>
          </w:p>
        </w:tc>
      </w:tr>
      <w:tr w:rsidR="00893E2C" w:rsidRPr="002B175D" w:rsidTr="00926860">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M＜100万</w:t>
            </w:r>
          </w:p>
        </w:tc>
        <w:tc>
          <w:tcPr>
            <w:tcW w:w="3780" w:type="dxa"/>
            <w:tcBorders>
              <w:top w:val="nil"/>
              <w:left w:val="nil"/>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hint="eastAsia"/>
                <w:kern w:val="0"/>
                <w:szCs w:val="21"/>
              </w:rPr>
              <w:t>0.12</w:t>
            </w:r>
            <w:r w:rsidRPr="002B175D">
              <w:rPr>
                <w:rFonts w:asciiTheme="minorEastAsia" w:eastAsiaTheme="minorEastAsia" w:hAnsiTheme="minorEastAsia"/>
                <w:kern w:val="0"/>
                <w:szCs w:val="21"/>
              </w:rPr>
              <w:t>%</w:t>
            </w:r>
          </w:p>
        </w:tc>
      </w:tr>
      <w:tr w:rsidR="00893E2C" w:rsidRPr="002B175D" w:rsidTr="00926860">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100万≤M＜</w:t>
            </w:r>
            <w:r w:rsidRPr="002B175D">
              <w:rPr>
                <w:rFonts w:asciiTheme="minorEastAsia" w:eastAsiaTheme="minorEastAsia" w:hAnsiTheme="minorEastAsia" w:hint="eastAsia"/>
                <w:kern w:val="0"/>
                <w:szCs w:val="21"/>
              </w:rPr>
              <w:t>2</w:t>
            </w:r>
            <w:r w:rsidRPr="002B175D">
              <w:rPr>
                <w:rFonts w:asciiTheme="minorEastAsia" w:eastAsiaTheme="minorEastAsia" w:hAnsiTheme="minorEastAsia"/>
                <w:kern w:val="0"/>
                <w:szCs w:val="21"/>
              </w:rPr>
              <w:t>00万</w:t>
            </w:r>
          </w:p>
        </w:tc>
        <w:tc>
          <w:tcPr>
            <w:tcW w:w="3780" w:type="dxa"/>
            <w:tcBorders>
              <w:top w:val="nil"/>
              <w:left w:val="nil"/>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hint="eastAsia"/>
                <w:kern w:val="0"/>
                <w:szCs w:val="21"/>
              </w:rPr>
              <w:t>0.10</w:t>
            </w:r>
            <w:r w:rsidRPr="002B175D">
              <w:rPr>
                <w:rFonts w:asciiTheme="minorEastAsia" w:eastAsiaTheme="minorEastAsia" w:hAnsiTheme="minorEastAsia"/>
                <w:kern w:val="0"/>
                <w:szCs w:val="21"/>
              </w:rPr>
              <w:t>%</w:t>
            </w:r>
          </w:p>
        </w:tc>
      </w:tr>
      <w:tr w:rsidR="00893E2C" w:rsidRPr="002B175D" w:rsidTr="00926860">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hint="eastAsia"/>
                <w:kern w:val="0"/>
                <w:szCs w:val="21"/>
              </w:rPr>
              <w:t>2</w:t>
            </w:r>
            <w:r w:rsidRPr="002B175D">
              <w:rPr>
                <w:rFonts w:asciiTheme="minorEastAsia" w:eastAsiaTheme="minorEastAsia" w:hAnsiTheme="minorEastAsia"/>
                <w:kern w:val="0"/>
                <w:szCs w:val="21"/>
              </w:rPr>
              <w:t>00万≤M＜</w:t>
            </w:r>
            <w:r w:rsidRPr="002B175D">
              <w:rPr>
                <w:rFonts w:asciiTheme="minorEastAsia" w:eastAsiaTheme="minorEastAsia" w:hAnsiTheme="minorEastAsia" w:hint="eastAsia"/>
                <w:kern w:val="0"/>
                <w:szCs w:val="21"/>
              </w:rPr>
              <w:t>5</w:t>
            </w:r>
            <w:r w:rsidRPr="002B175D">
              <w:rPr>
                <w:rFonts w:asciiTheme="minorEastAsia" w:eastAsiaTheme="minorEastAsia" w:hAnsiTheme="minorEastAsia"/>
                <w:kern w:val="0"/>
                <w:szCs w:val="21"/>
              </w:rPr>
              <w:t>00万</w:t>
            </w:r>
          </w:p>
        </w:tc>
        <w:tc>
          <w:tcPr>
            <w:tcW w:w="3780" w:type="dxa"/>
            <w:tcBorders>
              <w:top w:val="nil"/>
              <w:left w:val="nil"/>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hint="eastAsia"/>
                <w:kern w:val="0"/>
                <w:szCs w:val="21"/>
              </w:rPr>
              <w:t>0.06%</w:t>
            </w:r>
          </w:p>
        </w:tc>
      </w:tr>
      <w:tr w:rsidR="00893E2C" w:rsidRPr="002B175D" w:rsidTr="00926860">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M≥500万</w:t>
            </w:r>
          </w:p>
        </w:tc>
        <w:tc>
          <w:tcPr>
            <w:tcW w:w="3780" w:type="dxa"/>
            <w:tcBorders>
              <w:top w:val="nil"/>
              <w:left w:val="nil"/>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1</w:t>
            </w:r>
            <w:r w:rsidRPr="002B175D">
              <w:rPr>
                <w:rFonts w:asciiTheme="minorEastAsia" w:eastAsiaTheme="minorEastAsia" w:hAnsiTheme="minorEastAsia" w:hint="eastAsia"/>
                <w:kern w:val="0"/>
                <w:szCs w:val="21"/>
              </w:rPr>
              <w:t>,</w:t>
            </w:r>
            <w:r w:rsidRPr="002B175D">
              <w:rPr>
                <w:rFonts w:asciiTheme="minorEastAsia" w:eastAsiaTheme="minorEastAsia" w:hAnsiTheme="minorEastAsia"/>
                <w:kern w:val="0"/>
                <w:szCs w:val="21"/>
              </w:rPr>
              <w:t>000元/笔</w:t>
            </w:r>
          </w:p>
        </w:tc>
      </w:tr>
    </w:tbl>
    <w:p w:rsidR="00AC53D8" w:rsidRPr="002B175D" w:rsidRDefault="00AC53D8"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其他投资者申购本基金</w:t>
      </w:r>
      <w:r w:rsidRPr="002B175D">
        <w:rPr>
          <w:rStyle w:val="da"/>
          <w:rFonts w:asciiTheme="minorEastAsia" w:eastAsiaTheme="minorEastAsia" w:hAnsiTheme="minorEastAsia" w:hint="eastAsia"/>
          <w:szCs w:val="21"/>
        </w:rPr>
        <w:t>A类份额</w:t>
      </w:r>
      <w:r w:rsidRPr="002B175D">
        <w:rPr>
          <w:rFonts w:asciiTheme="minorEastAsia" w:eastAsiaTheme="minorEastAsia" w:hAnsiTheme="minorEastAsia" w:hint="eastAsia"/>
          <w:szCs w:val="21"/>
        </w:rPr>
        <w:t>的申购费率见下表：</w:t>
      </w:r>
    </w:p>
    <w:tbl>
      <w:tblPr>
        <w:tblW w:w="7574" w:type="dxa"/>
        <w:jc w:val="center"/>
        <w:tblLook w:val="0000"/>
      </w:tblPr>
      <w:tblGrid>
        <w:gridCol w:w="3794"/>
        <w:gridCol w:w="3780"/>
      </w:tblGrid>
      <w:tr w:rsidR="00893E2C" w:rsidRPr="002B175D" w:rsidTr="00926860">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bCs/>
                <w:kern w:val="0"/>
                <w:szCs w:val="21"/>
              </w:rPr>
            </w:pPr>
            <w:r w:rsidRPr="002B175D">
              <w:rPr>
                <w:rFonts w:asciiTheme="minorEastAsia" w:eastAsiaTheme="minorEastAsia" w:hAnsiTheme="minorEastAsia"/>
                <w:bCs/>
                <w:kern w:val="0"/>
                <w:szCs w:val="21"/>
              </w:rPr>
              <w:t>申购金额M（元）（含申购费）</w:t>
            </w:r>
          </w:p>
        </w:tc>
        <w:tc>
          <w:tcPr>
            <w:tcW w:w="3780" w:type="dxa"/>
            <w:tcBorders>
              <w:top w:val="single" w:sz="8" w:space="0" w:color="auto"/>
              <w:left w:val="nil"/>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bCs/>
                <w:kern w:val="0"/>
                <w:szCs w:val="21"/>
              </w:rPr>
            </w:pPr>
            <w:r w:rsidRPr="002B175D">
              <w:rPr>
                <w:rStyle w:val="da"/>
                <w:rFonts w:asciiTheme="minorEastAsia" w:eastAsiaTheme="minorEastAsia" w:hAnsiTheme="minorEastAsia" w:hint="eastAsia"/>
                <w:szCs w:val="21"/>
              </w:rPr>
              <w:t>A类份额</w:t>
            </w:r>
            <w:r w:rsidRPr="002B175D">
              <w:rPr>
                <w:rFonts w:asciiTheme="minorEastAsia" w:eastAsiaTheme="minorEastAsia" w:hAnsiTheme="minorEastAsia"/>
                <w:bCs/>
                <w:kern w:val="0"/>
                <w:szCs w:val="21"/>
              </w:rPr>
              <w:t>申购费率</w:t>
            </w:r>
          </w:p>
        </w:tc>
      </w:tr>
      <w:tr w:rsidR="00893E2C" w:rsidRPr="002B175D" w:rsidTr="00926860">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M＜100万</w:t>
            </w:r>
          </w:p>
        </w:tc>
        <w:tc>
          <w:tcPr>
            <w:tcW w:w="3780" w:type="dxa"/>
            <w:tcBorders>
              <w:top w:val="nil"/>
              <w:left w:val="nil"/>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hint="eastAsia"/>
                <w:kern w:val="0"/>
                <w:szCs w:val="21"/>
              </w:rPr>
              <w:t>1.2</w:t>
            </w:r>
            <w:r w:rsidRPr="002B175D">
              <w:rPr>
                <w:rFonts w:asciiTheme="minorEastAsia" w:eastAsiaTheme="minorEastAsia" w:hAnsiTheme="minorEastAsia"/>
                <w:kern w:val="0"/>
                <w:szCs w:val="21"/>
              </w:rPr>
              <w:t>%</w:t>
            </w:r>
          </w:p>
        </w:tc>
      </w:tr>
      <w:tr w:rsidR="00893E2C" w:rsidRPr="002B175D" w:rsidTr="00926860">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100万≤M＜</w:t>
            </w:r>
            <w:r w:rsidRPr="002B175D">
              <w:rPr>
                <w:rFonts w:asciiTheme="minorEastAsia" w:eastAsiaTheme="minorEastAsia" w:hAnsiTheme="minorEastAsia" w:hint="eastAsia"/>
                <w:kern w:val="0"/>
                <w:szCs w:val="21"/>
              </w:rPr>
              <w:t>2</w:t>
            </w:r>
            <w:r w:rsidRPr="002B175D">
              <w:rPr>
                <w:rFonts w:asciiTheme="minorEastAsia" w:eastAsiaTheme="minorEastAsia" w:hAnsiTheme="minorEastAsia"/>
                <w:kern w:val="0"/>
                <w:szCs w:val="21"/>
              </w:rPr>
              <w:t>00万</w:t>
            </w:r>
          </w:p>
        </w:tc>
        <w:tc>
          <w:tcPr>
            <w:tcW w:w="3780" w:type="dxa"/>
            <w:tcBorders>
              <w:top w:val="nil"/>
              <w:left w:val="nil"/>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hint="eastAsia"/>
                <w:kern w:val="0"/>
                <w:szCs w:val="21"/>
              </w:rPr>
              <w:t>1.0</w:t>
            </w:r>
            <w:r w:rsidRPr="002B175D">
              <w:rPr>
                <w:rFonts w:asciiTheme="minorEastAsia" w:eastAsiaTheme="minorEastAsia" w:hAnsiTheme="minorEastAsia"/>
                <w:kern w:val="0"/>
                <w:szCs w:val="21"/>
              </w:rPr>
              <w:t>%</w:t>
            </w:r>
          </w:p>
        </w:tc>
      </w:tr>
      <w:tr w:rsidR="00893E2C" w:rsidRPr="002B175D" w:rsidTr="00926860">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hint="eastAsia"/>
                <w:kern w:val="0"/>
                <w:szCs w:val="21"/>
              </w:rPr>
              <w:t>2</w:t>
            </w:r>
            <w:r w:rsidRPr="002B175D">
              <w:rPr>
                <w:rFonts w:asciiTheme="minorEastAsia" w:eastAsiaTheme="minorEastAsia" w:hAnsiTheme="minorEastAsia"/>
                <w:kern w:val="0"/>
                <w:szCs w:val="21"/>
              </w:rPr>
              <w:t>00万≤M＜</w:t>
            </w:r>
            <w:r w:rsidRPr="002B175D">
              <w:rPr>
                <w:rFonts w:asciiTheme="minorEastAsia" w:eastAsiaTheme="minorEastAsia" w:hAnsiTheme="minorEastAsia" w:hint="eastAsia"/>
                <w:kern w:val="0"/>
                <w:szCs w:val="21"/>
              </w:rPr>
              <w:t>5</w:t>
            </w:r>
            <w:r w:rsidRPr="002B175D">
              <w:rPr>
                <w:rFonts w:asciiTheme="minorEastAsia" w:eastAsiaTheme="minorEastAsia" w:hAnsiTheme="minorEastAsia"/>
                <w:kern w:val="0"/>
                <w:szCs w:val="21"/>
              </w:rPr>
              <w:t>00万</w:t>
            </w:r>
          </w:p>
        </w:tc>
        <w:tc>
          <w:tcPr>
            <w:tcW w:w="3780" w:type="dxa"/>
            <w:tcBorders>
              <w:top w:val="nil"/>
              <w:left w:val="nil"/>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hint="eastAsia"/>
                <w:kern w:val="0"/>
                <w:szCs w:val="21"/>
              </w:rPr>
              <w:t>0.6%</w:t>
            </w:r>
          </w:p>
        </w:tc>
      </w:tr>
      <w:tr w:rsidR="00893E2C" w:rsidRPr="002B175D" w:rsidTr="00926860">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M≥500万</w:t>
            </w:r>
          </w:p>
        </w:tc>
        <w:tc>
          <w:tcPr>
            <w:tcW w:w="3780" w:type="dxa"/>
            <w:tcBorders>
              <w:top w:val="nil"/>
              <w:left w:val="nil"/>
              <w:bottom w:val="single" w:sz="8" w:space="0" w:color="auto"/>
              <w:right w:val="single" w:sz="8" w:space="0" w:color="auto"/>
            </w:tcBorders>
            <w:shd w:val="clear" w:color="auto" w:fill="auto"/>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1</w:t>
            </w:r>
            <w:r w:rsidRPr="002B175D">
              <w:rPr>
                <w:rFonts w:asciiTheme="minorEastAsia" w:eastAsiaTheme="minorEastAsia" w:hAnsiTheme="minorEastAsia" w:hint="eastAsia"/>
                <w:kern w:val="0"/>
                <w:szCs w:val="21"/>
              </w:rPr>
              <w:t>,</w:t>
            </w:r>
            <w:r w:rsidRPr="002B175D">
              <w:rPr>
                <w:rFonts w:asciiTheme="minorEastAsia" w:eastAsiaTheme="minorEastAsia" w:hAnsiTheme="minorEastAsia"/>
                <w:kern w:val="0"/>
                <w:szCs w:val="21"/>
              </w:rPr>
              <w:t>000元/笔</w:t>
            </w:r>
          </w:p>
        </w:tc>
      </w:tr>
    </w:tbl>
    <w:p w:rsidR="00AC53D8" w:rsidRPr="002B175D" w:rsidRDefault="00AC53D8"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本基金C类基金份额不收取申购费用。</w:t>
      </w:r>
    </w:p>
    <w:p w:rsidR="0049452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（2）申购费的收取方式和用途</w:t>
      </w:r>
    </w:p>
    <w:p w:rsidR="0049452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在申购费按金额分档的情况下，如果投资者多次申购，申购费适用单笔申购金额所对应的费率。</w:t>
      </w:r>
    </w:p>
    <w:p w:rsidR="0049452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bCs/>
          <w:szCs w:val="21"/>
        </w:rPr>
        <w:t>本基金A类基金份额的</w:t>
      </w:r>
      <w:r w:rsidRPr="002B175D">
        <w:rPr>
          <w:rFonts w:asciiTheme="minorEastAsia" w:eastAsiaTheme="minorEastAsia" w:hAnsiTheme="minorEastAsia"/>
          <w:bCs/>
          <w:szCs w:val="21"/>
        </w:rPr>
        <w:t>申购费用由</w:t>
      </w:r>
      <w:r w:rsidRPr="002B175D">
        <w:rPr>
          <w:rFonts w:asciiTheme="minorEastAsia" w:eastAsiaTheme="minorEastAsia" w:hAnsiTheme="minorEastAsia" w:hint="eastAsia"/>
          <w:bCs/>
          <w:szCs w:val="21"/>
        </w:rPr>
        <w:t>申购基金份额的</w:t>
      </w:r>
      <w:r w:rsidRPr="002B175D">
        <w:rPr>
          <w:rFonts w:asciiTheme="minorEastAsia" w:eastAsiaTheme="minorEastAsia" w:hAnsiTheme="minorEastAsia"/>
          <w:bCs/>
          <w:szCs w:val="21"/>
        </w:rPr>
        <w:t>投资人承担</w:t>
      </w:r>
      <w:r w:rsidRPr="002B175D">
        <w:rPr>
          <w:rFonts w:asciiTheme="minorEastAsia" w:eastAsiaTheme="minorEastAsia" w:hAnsiTheme="minorEastAsia" w:hint="eastAsia"/>
          <w:szCs w:val="21"/>
        </w:rPr>
        <w:t>，</w:t>
      </w:r>
      <w:r w:rsidRPr="002B175D">
        <w:rPr>
          <w:rFonts w:asciiTheme="minorEastAsia" w:eastAsiaTheme="minorEastAsia" w:hAnsiTheme="minorEastAsia"/>
          <w:szCs w:val="21"/>
        </w:rPr>
        <w:t>不列入基金财产，主要用于本基金的市场推广、销售、注册登记等各项费用。</w:t>
      </w:r>
      <w:r w:rsidRPr="002B175D">
        <w:rPr>
          <w:rFonts w:asciiTheme="minorEastAsia" w:eastAsiaTheme="minorEastAsia" w:hAnsiTheme="minorEastAsia" w:hint="eastAsia"/>
          <w:szCs w:val="21"/>
        </w:rPr>
        <w:t>赎回费用由基金赎回人承担。</w:t>
      </w:r>
    </w:p>
    <w:p w:rsidR="0049452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（3）申购份额的计算</w:t>
      </w:r>
    </w:p>
    <w:p w:rsidR="0049452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1）若投资人选择A类基金份额，则申购份额的计算公式如下：</w:t>
      </w:r>
    </w:p>
    <w:p w:rsidR="0049452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szCs w:val="21"/>
        </w:rPr>
        <w:t>净申购金额=申购金额/（1+申购费率）</w:t>
      </w:r>
    </w:p>
    <w:p w:rsidR="0049452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szCs w:val="21"/>
        </w:rPr>
        <w:t>（注：对于500万（含）以上适用固定金额申购费的申购，净申购金额＝申购金额－固定申购费金额）</w:t>
      </w:r>
    </w:p>
    <w:p w:rsidR="0049452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szCs w:val="21"/>
        </w:rPr>
        <w:t>申购费用=申购金额-净申购金额</w:t>
      </w:r>
    </w:p>
    <w:p w:rsidR="0049452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szCs w:val="21"/>
        </w:rPr>
        <w:t>申购份额=净申购金额/T日</w:t>
      </w:r>
      <w:r w:rsidRPr="002B175D">
        <w:rPr>
          <w:rFonts w:asciiTheme="minorEastAsia" w:eastAsiaTheme="minorEastAsia" w:hAnsiTheme="minorEastAsia" w:hint="eastAsia"/>
          <w:szCs w:val="21"/>
        </w:rPr>
        <w:t>A类</w:t>
      </w:r>
      <w:r w:rsidRPr="002B175D">
        <w:rPr>
          <w:rFonts w:asciiTheme="minorEastAsia" w:eastAsiaTheme="minorEastAsia" w:hAnsiTheme="minorEastAsia"/>
          <w:szCs w:val="21"/>
        </w:rPr>
        <w:t>基金份额净值</w:t>
      </w:r>
    </w:p>
    <w:p w:rsidR="0049452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2）若投资人选择C类基金份额，则申购份额的计算公式如下：</w:t>
      </w:r>
    </w:p>
    <w:p w:rsidR="0049452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szCs w:val="21"/>
        </w:rPr>
        <w:t>申购份额=申购金额/T日</w:t>
      </w:r>
      <w:r w:rsidRPr="002B175D">
        <w:rPr>
          <w:rFonts w:asciiTheme="minorEastAsia" w:eastAsiaTheme="minorEastAsia" w:hAnsiTheme="minorEastAsia" w:hint="eastAsia"/>
          <w:szCs w:val="21"/>
        </w:rPr>
        <w:t>C类</w:t>
      </w:r>
      <w:r w:rsidRPr="002B175D">
        <w:rPr>
          <w:rFonts w:asciiTheme="minorEastAsia" w:eastAsiaTheme="minorEastAsia" w:hAnsiTheme="minorEastAsia"/>
          <w:szCs w:val="21"/>
        </w:rPr>
        <w:t>基金份额净值</w:t>
      </w:r>
    </w:p>
    <w:p w:rsidR="0049452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本基金分为A类和C类两类基金份额，分别计算和公告基金份额净值。</w:t>
      </w:r>
      <w:r w:rsidRPr="002B175D">
        <w:rPr>
          <w:rFonts w:asciiTheme="minorEastAsia" w:eastAsiaTheme="minorEastAsia" w:hAnsiTheme="minorEastAsia"/>
          <w:szCs w:val="21"/>
        </w:rPr>
        <w:t>申购涉及金额、份额的计算结果保留到小数点后两位，小数点后两位以后的部分四舍五入，由此产生的误差计入基金财产。</w:t>
      </w:r>
    </w:p>
    <w:p w:rsidR="00AC53D8"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2</w:t>
      </w:r>
      <w:r w:rsidR="00AC53D8" w:rsidRPr="002B175D">
        <w:rPr>
          <w:rFonts w:asciiTheme="minorEastAsia" w:eastAsiaTheme="minorEastAsia" w:hAnsiTheme="minorEastAsia" w:hint="eastAsia"/>
          <w:szCs w:val="21"/>
        </w:rPr>
        <w:t>、赎回费</w:t>
      </w:r>
    </w:p>
    <w:p w:rsidR="0049452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（1）赎回费率及赎回费用的收取、用途</w:t>
      </w:r>
    </w:p>
    <w:p w:rsidR="00AC53D8" w:rsidRPr="002B175D" w:rsidRDefault="00AC53D8"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1）本基金</w:t>
      </w:r>
      <w:r w:rsidRPr="002B175D">
        <w:rPr>
          <w:rStyle w:val="da"/>
          <w:rFonts w:asciiTheme="minorEastAsia" w:eastAsiaTheme="minorEastAsia" w:hAnsiTheme="minorEastAsia" w:hint="eastAsia"/>
          <w:szCs w:val="21"/>
        </w:rPr>
        <w:t>A类份额</w:t>
      </w:r>
      <w:r w:rsidRPr="002B175D">
        <w:rPr>
          <w:rFonts w:asciiTheme="minorEastAsia" w:eastAsiaTheme="minorEastAsia" w:hAnsiTheme="minorEastAsia" w:hint="eastAsia"/>
          <w:szCs w:val="21"/>
        </w:rPr>
        <w:t>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rsidR="00893E2C" w:rsidRPr="002B175D" w:rsidTr="00926860">
        <w:trPr>
          <w:trHeight w:val="462"/>
          <w:jc w:val="center"/>
        </w:trPr>
        <w:tc>
          <w:tcPr>
            <w:tcW w:w="3806" w:type="dxa"/>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持有时间（天）</w:t>
            </w:r>
          </w:p>
        </w:tc>
        <w:tc>
          <w:tcPr>
            <w:tcW w:w="3735" w:type="dxa"/>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Style w:val="da"/>
                <w:rFonts w:asciiTheme="minorEastAsia" w:eastAsiaTheme="minorEastAsia" w:hAnsiTheme="minorEastAsia" w:hint="eastAsia"/>
                <w:szCs w:val="21"/>
              </w:rPr>
              <w:t>A类份额</w:t>
            </w:r>
            <w:r w:rsidRPr="002B175D">
              <w:rPr>
                <w:rFonts w:asciiTheme="minorEastAsia" w:eastAsiaTheme="minorEastAsia" w:hAnsiTheme="minorEastAsia"/>
                <w:kern w:val="0"/>
                <w:szCs w:val="21"/>
              </w:rPr>
              <w:t>赎回费率</w:t>
            </w:r>
          </w:p>
        </w:tc>
      </w:tr>
      <w:tr w:rsidR="00893E2C" w:rsidRPr="002B175D" w:rsidTr="00926860">
        <w:trPr>
          <w:trHeight w:val="462"/>
          <w:jc w:val="center"/>
        </w:trPr>
        <w:tc>
          <w:tcPr>
            <w:tcW w:w="3806" w:type="dxa"/>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0-6</w:t>
            </w:r>
          </w:p>
        </w:tc>
        <w:tc>
          <w:tcPr>
            <w:tcW w:w="3735" w:type="dxa"/>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1.5%</w:t>
            </w:r>
          </w:p>
        </w:tc>
      </w:tr>
      <w:tr w:rsidR="00893E2C" w:rsidRPr="002B175D" w:rsidTr="00926860">
        <w:trPr>
          <w:trHeight w:val="474"/>
          <w:jc w:val="center"/>
        </w:trPr>
        <w:tc>
          <w:tcPr>
            <w:tcW w:w="3806" w:type="dxa"/>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7-29</w:t>
            </w:r>
          </w:p>
        </w:tc>
        <w:tc>
          <w:tcPr>
            <w:tcW w:w="3735" w:type="dxa"/>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0.75%</w:t>
            </w:r>
          </w:p>
        </w:tc>
      </w:tr>
      <w:tr w:rsidR="00893E2C" w:rsidRPr="002B175D" w:rsidTr="00926860">
        <w:trPr>
          <w:trHeight w:val="462"/>
          <w:jc w:val="center"/>
        </w:trPr>
        <w:tc>
          <w:tcPr>
            <w:tcW w:w="3806" w:type="dxa"/>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30-89</w:t>
            </w:r>
          </w:p>
        </w:tc>
        <w:tc>
          <w:tcPr>
            <w:tcW w:w="3735" w:type="dxa"/>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0.5%</w:t>
            </w:r>
          </w:p>
        </w:tc>
      </w:tr>
      <w:tr w:rsidR="00893E2C" w:rsidRPr="002B175D" w:rsidTr="00926860">
        <w:trPr>
          <w:trHeight w:val="462"/>
          <w:jc w:val="center"/>
        </w:trPr>
        <w:tc>
          <w:tcPr>
            <w:tcW w:w="3806" w:type="dxa"/>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90-179</w:t>
            </w:r>
          </w:p>
        </w:tc>
        <w:tc>
          <w:tcPr>
            <w:tcW w:w="3735" w:type="dxa"/>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0.5%</w:t>
            </w:r>
          </w:p>
        </w:tc>
      </w:tr>
      <w:tr w:rsidR="00893E2C" w:rsidRPr="002B175D" w:rsidTr="00926860">
        <w:trPr>
          <w:trHeight w:val="462"/>
          <w:jc w:val="center"/>
        </w:trPr>
        <w:tc>
          <w:tcPr>
            <w:tcW w:w="3806" w:type="dxa"/>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180-364</w:t>
            </w:r>
          </w:p>
        </w:tc>
        <w:tc>
          <w:tcPr>
            <w:tcW w:w="3735" w:type="dxa"/>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0.</w:t>
            </w:r>
            <w:r w:rsidRPr="002B175D">
              <w:rPr>
                <w:rFonts w:asciiTheme="minorEastAsia" w:eastAsiaTheme="minorEastAsia" w:hAnsiTheme="minorEastAsia" w:hint="eastAsia"/>
                <w:kern w:val="0"/>
                <w:szCs w:val="21"/>
              </w:rPr>
              <w:t>1</w:t>
            </w:r>
            <w:r w:rsidRPr="002B175D">
              <w:rPr>
                <w:rFonts w:asciiTheme="minorEastAsia" w:eastAsiaTheme="minorEastAsia" w:hAnsiTheme="minorEastAsia"/>
                <w:kern w:val="0"/>
                <w:szCs w:val="21"/>
              </w:rPr>
              <w:t>%</w:t>
            </w:r>
          </w:p>
        </w:tc>
      </w:tr>
      <w:tr w:rsidR="00893E2C" w:rsidRPr="002B175D" w:rsidTr="00926860">
        <w:trPr>
          <w:trHeight w:val="474"/>
          <w:jc w:val="center"/>
        </w:trPr>
        <w:tc>
          <w:tcPr>
            <w:tcW w:w="3806" w:type="dxa"/>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365-729</w:t>
            </w:r>
          </w:p>
        </w:tc>
        <w:tc>
          <w:tcPr>
            <w:tcW w:w="3735" w:type="dxa"/>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0.</w:t>
            </w:r>
            <w:r w:rsidRPr="002B175D">
              <w:rPr>
                <w:rFonts w:asciiTheme="minorEastAsia" w:eastAsiaTheme="minorEastAsia" w:hAnsiTheme="minorEastAsia" w:hint="eastAsia"/>
                <w:kern w:val="0"/>
                <w:szCs w:val="21"/>
              </w:rPr>
              <w:t>0</w:t>
            </w:r>
            <w:r w:rsidRPr="002B175D">
              <w:rPr>
                <w:rFonts w:asciiTheme="minorEastAsia" w:eastAsiaTheme="minorEastAsia" w:hAnsiTheme="minorEastAsia"/>
                <w:kern w:val="0"/>
                <w:szCs w:val="21"/>
              </w:rPr>
              <w:t>5%</w:t>
            </w:r>
          </w:p>
        </w:tc>
      </w:tr>
      <w:tr w:rsidR="00893E2C" w:rsidRPr="002B175D" w:rsidTr="00926860">
        <w:trPr>
          <w:trHeight w:val="474"/>
          <w:jc w:val="center"/>
        </w:trPr>
        <w:tc>
          <w:tcPr>
            <w:tcW w:w="3806" w:type="dxa"/>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730及以上</w:t>
            </w:r>
          </w:p>
        </w:tc>
        <w:tc>
          <w:tcPr>
            <w:tcW w:w="3735" w:type="dxa"/>
          </w:tcPr>
          <w:p w:rsidR="00AC53D8" w:rsidRPr="002B175D" w:rsidRDefault="00AC53D8" w:rsidP="00861AD8">
            <w:pPr>
              <w:widowControl/>
              <w:snapToGrid w:val="0"/>
              <w:spacing w:line="360" w:lineRule="auto"/>
              <w:jc w:val="center"/>
              <w:rPr>
                <w:rFonts w:asciiTheme="minorEastAsia" w:eastAsiaTheme="minorEastAsia" w:hAnsiTheme="minorEastAsia"/>
                <w:kern w:val="0"/>
                <w:szCs w:val="21"/>
              </w:rPr>
            </w:pPr>
            <w:r w:rsidRPr="002B175D">
              <w:rPr>
                <w:rFonts w:asciiTheme="minorEastAsia" w:eastAsiaTheme="minorEastAsia" w:hAnsiTheme="minorEastAsia"/>
                <w:kern w:val="0"/>
                <w:szCs w:val="21"/>
              </w:rPr>
              <w:t>0%</w:t>
            </w:r>
          </w:p>
        </w:tc>
      </w:tr>
    </w:tbl>
    <w:p w:rsidR="00AC53D8" w:rsidRPr="002B175D" w:rsidRDefault="00AC53D8"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投资者可将其持有的全部或部分A类基金份额赎回。</w:t>
      </w:r>
      <w:r w:rsidRPr="002B175D">
        <w:rPr>
          <w:rFonts w:asciiTheme="minorEastAsia" w:eastAsiaTheme="minorEastAsia" w:hAnsiTheme="minorEastAsia"/>
          <w:szCs w:val="21"/>
        </w:rPr>
        <w:t>赎回费用由赎回基金份额的基金份额持有人承担，</w:t>
      </w:r>
      <w:r w:rsidRPr="002B175D">
        <w:rPr>
          <w:rFonts w:asciiTheme="minorEastAsia" w:eastAsiaTheme="minorEastAsia" w:hAnsiTheme="minorEastAsia" w:hint="eastAsia"/>
          <w:szCs w:val="21"/>
        </w:rPr>
        <w:t>在基金份额持有人赎回基金份额时收取。对持有期少于30天（不含）的A类基金份额持有人所收取赎回费用全额计入基金财产；对持有期在30天以上（含）且少于90天（不含）的A类基金份额持有人所收取赎回费用总额的</w:t>
      </w:r>
      <w:r w:rsidRPr="002B175D">
        <w:rPr>
          <w:rFonts w:asciiTheme="minorEastAsia" w:eastAsiaTheme="minorEastAsia" w:hAnsiTheme="minorEastAsia"/>
          <w:szCs w:val="21"/>
        </w:rPr>
        <w:t>75%计入</w:t>
      </w:r>
      <w:r w:rsidRPr="002B175D">
        <w:rPr>
          <w:rFonts w:asciiTheme="minorEastAsia" w:eastAsiaTheme="minorEastAsia" w:hAnsiTheme="minorEastAsia" w:hint="eastAsia"/>
          <w:szCs w:val="21"/>
        </w:rPr>
        <w:t>基金财产；对持有期在90天以上（含）且少于180天（不含）的A类基金份额持有人所收取赎回费用总额</w:t>
      </w:r>
      <w:r w:rsidRPr="002B175D">
        <w:rPr>
          <w:rFonts w:asciiTheme="minorEastAsia" w:eastAsiaTheme="minorEastAsia" w:hAnsiTheme="minorEastAsia"/>
          <w:szCs w:val="21"/>
        </w:rPr>
        <w:t>的50%计入</w:t>
      </w:r>
      <w:r w:rsidRPr="002B175D">
        <w:rPr>
          <w:rFonts w:asciiTheme="minorEastAsia" w:eastAsiaTheme="minorEastAsia" w:hAnsiTheme="minorEastAsia" w:hint="eastAsia"/>
          <w:szCs w:val="21"/>
        </w:rPr>
        <w:t>基金财产；对持续持有</w:t>
      </w:r>
      <w:r w:rsidRPr="002B175D">
        <w:rPr>
          <w:rFonts w:asciiTheme="minorEastAsia" w:eastAsiaTheme="minorEastAsia" w:hAnsiTheme="minorEastAsia"/>
          <w:szCs w:val="21"/>
        </w:rPr>
        <w:t>期180天以上（含）的</w:t>
      </w:r>
      <w:r w:rsidRPr="002B175D">
        <w:rPr>
          <w:rFonts w:asciiTheme="minorEastAsia" w:eastAsiaTheme="minorEastAsia" w:hAnsiTheme="minorEastAsia" w:hint="eastAsia"/>
          <w:szCs w:val="21"/>
        </w:rPr>
        <w:t>A类基金份额持有人</w:t>
      </w:r>
      <w:r w:rsidRPr="002B175D">
        <w:rPr>
          <w:rFonts w:asciiTheme="minorEastAsia" w:eastAsiaTheme="minorEastAsia" w:hAnsiTheme="minorEastAsia"/>
          <w:szCs w:val="21"/>
        </w:rPr>
        <w:t>所收取赎回费用总额</w:t>
      </w:r>
      <w:r w:rsidRPr="002B175D">
        <w:rPr>
          <w:rFonts w:asciiTheme="minorEastAsia" w:eastAsiaTheme="minorEastAsia" w:hAnsiTheme="minorEastAsia" w:hint="eastAsia"/>
          <w:szCs w:val="21"/>
        </w:rPr>
        <w:t>的25%计入基金财产；其余用于支付市场推广、注册登记费和其他手续费。</w:t>
      </w:r>
    </w:p>
    <w:p w:rsidR="00AC53D8" w:rsidRPr="002B175D" w:rsidRDefault="00AC53D8"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2）本基金C类基金份额赎回费率见下表：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R="00893E2C" w:rsidRPr="002B175D" w:rsidTr="00926860">
        <w:trPr>
          <w:jc w:val="center"/>
        </w:trPr>
        <w:tc>
          <w:tcPr>
            <w:tcW w:w="3870" w:type="dxa"/>
          </w:tcPr>
          <w:p w:rsidR="00AC53D8" w:rsidRPr="002B175D" w:rsidRDefault="00AC53D8" w:rsidP="00861AD8">
            <w:pPr>
              <w:widowControl/>
              <w:snapToGrid w:val="0"/>
              <w:spacing w:line="360" w:lineRule="auto"/>
              <w:jc w:val="center"/>
              <w:rPr>
                <w:rFonts w:asciiTheme="minorEastAsia" w:eastAsiaTheme="minorEastAsia" w:hAnsiTheme="minorEastAsia" w:cs="宋体"/>
                <w:kern w:val="0"/>
                <w:szCs w:val="21"/>
              </w:rPr>
            </w:pPr>
            <w:r w:rsidRPr="002B175D">
              <w:rPr>
                <w:rFonts w:asciiTheme="minorEastAsia" w:eastAsiaTheme="minorEastAsia" w:hAnsiTheme="minorEastAsia" w:cs="宋体" w:hint="eastAsia"/>
                <w:kern w:val="0"/>
                <w:szCs w:val="21"/>
              </w:rPr>
              <w:t>持有时间(天)</w:t>
            </w:r>
          </w:p>
        </w:tc>
        <w:tc>
          <w:tcPr>
            <w:tcW w:w="3798" w:type="dxa"/>
          </w:tcPr>
          <w:p w:rsidR="00AC53D8" w:rsidRPr="002B175D" w:rsidRDefault="00AC53D8" w:rsidP="00861AD8">
            <w:pPr>
              <w:widowControl/>
              <w:snapToGrid w:val="0"/>
              <w:spacing w:line="360" w:lineRule="auto"/>
              <w:jc w:val="center"/>
              <w:rPr>
                <w:rFonts w:asciiTheme="minorEastAsia" w:eastAsiaTheme="minorEastAsia" w:hAnsiTheme="minorEastAsia" w:cs="宋体"/>
                <w:kern w:val="0"/>
                <w:szCs w:val="21"/>
              </w:rPr>
            </w:pPr>
            <w:r w:rsidRPr="002B175D">
              <w:rPr>
                <w:rFonts w:asciiTheme="minorEastAsia" w:eastAsiaTheme="minorEastAsia" w:hAnsiTheme="minorEastAsia" w:cs="宋体" w:hint="eastAsia"/>
                <w:kern w:val="0"/>
                <w:szCs w:val="21"/>
              </w:rPr>
              <w:t>C类基金份额赎回费率</w:t>
            </w:r>
          </w:p>
        </w:tc>
      </w:tr>
      <w:tr w:rsidR="00893E2C" w:rsidRPr="002B175D" w:rsidTr="00926860">
        <w:trPr>
          <w:jc w:val="center"/>
        </w:trPr>
        <w:tc>
          <w:tcPr>
            <w:tcW w:w="3870" w:type="dxa"/>
          </w:tcPr>
          <w:p w:rsidR="00B65048" w:rsidRPr="002B175D" w:rsidRDefault="00B65048" w:rsidP="00B65048">
            <w:pPr>
              <w:widowControl/>
              <w:snapToGrid w:val="0"/>
              <w:spacing w:line="360" w:lineRule="auto"/>
              <w:jc w:val="center"/>
              <w:rPr>
                <w:rFonts w:asciiTheme="minorEastAsia" w:eastAsiaTheme="minorEastAsia" w:hAnsiTheme="minorEastAsia" w:cs="宋体"/>
                <w:kern w:val="0"/>
                <w:szCs w:val="21"/>
              </w:rPr>
            </w:pPr>
            <w:r w:rsidRPr="002B175D">
              <w:rPr>
                <w:rFonts w:asciiTheme="minorEastAsia" w:eastAsiaTheme="minorEastAsia" w:hAnsiTheme="minorEastAsia"/>
                <w:kern w:val="0"/>
                <w:szCs w:val="21"/>
              </w:rPr>
              <w:t>0-6</w:t>
            </w:r>
          </w:p>
        </w:tc>
        <w:tc>
          <w:tcPr>
            <w:tcW w:w="3798" w:type="dxa"/>
          </w:tcPr>
          <w:p w:rsidR="00B65048" w:rsidRPr="002B175D" w:rsidRDefault="00B65048" w:rsidP="00B65048">
            <w:pPr>
              <w:widowControl/>
              <w:snapToGrid w:val="0"/>
              <w:spacing w:line="360" w:lineRule="auto"/>
              <w:jc w:val="center"/>
              <w:rPr>
                <w:rFonts w:asciiTheme="minorEastAsia" w:eastAsiaTheme="minorEastAsia" w:hAnsiTheme="minorEastAsia" w:cs="宋体"/>
                <w:kern w:val="0"/>
                <w:szCs w:val="21"/>
              </w:rPr>
            </w:pPr>
            <w:r w:rsidRPr="002B175D">
              <w:rPr>
                <w:rFonts w:asciiTheme="minorEastAsia" w:eastAsiaTheme="minorEastAsia" w:hAnsiTheme="minorEastAsia"/>
                <w:kern w:val="0"/>
                <w:szCs w:val="21"/>
              </w:rPr>
              <w:t>1.5%</w:t>
            </w:r>
          </w:p>
        </w:tc>
      </w:tr>
      <w:tr w:rsidR="00893E2C" w:rsidRPr="002B175D" w:rsidTr="00926860">
        <w:trPr>
          <w:jc w:val="center"/>
        </w:trPr>
        <w:tc>
          <w:tcPr>
            <w:tcW w:w="3870" w:type="dxa"/>
          </w:tcPr>
          <w:p w:rsidR="00AC53D8" w:rsidRPr="002B175D" w:rsidRDefault="00B65048" w:rsidP="00861AD8">
            <w:pPr>
              <w:widowControl/>
              <w:snapToGrid w:val="0"/>
              <w:spacing w:line="360" w:lineRule="auto"/>
              <w:jc w:val="center"/>
              <w:rPr>
                <w:rFonts w:asciiTheme="minorEastAsia" w:eastAsiaTheme="minorEastAsia" w:hAnsiTheme="minorEastAsia" w:cs="宋体"/>
                <w:kern w:val="0"/>
                <w:szCs w:val="21"/>
              </w:rPr>
            </w:pPr>
            <w:r w:rsidRPr="002B175D">
              <w:rPr>
                <w:rFonts w:asciiTheme="minorEastAsia" w:eastAsiaTheme="minorEastAsia" w:hAnsiTheme="minorEastAsia" w:cs="宋体"/>
                <w:kern w:val="0"/>
                <w:szCs w:val="21"/>
              </w:rPr>
              <w:t>7</w:t>
            </w:r>
            <w:r w:rsidR="00AC53D8" w:rsidRPr="002B175D">
              <w:rPr>
                <w:rFonts w:asciiTheme="minorEastAsia" w:eastAsiaTheme="minorEastAsia" w:hAnsiTheme="minorEastAsia" w:cs="宋体" w:hint="eastAsia"/>
                <w:kern w:val="0"/>
                <w:szCs w:val="21"/>
              </w:rPr>
              <w:t>-29</w:t>
            </w:r>
          </w:p>
        </w:tc>
        <w:tc>
          <w:tcPr>
            <w:tcW w:w="3798" w:type="dxa"/>
          </w:tcPr>
          <w:p w:rsidR="00AC53D8" w:rsidRPr="002B175D" w:rsidRDefault="00AC53D8" w:rsidP="00861AD8">
            <w:pPr>
              <w:widowControl/>
              <w:snapToGrid w:val="0"/>
              <w:spacing w:line="360" w:lineRule="auto"/>
              <w:jc w:val="center"/>
              <w:rPr>
                <w:rFonts w:asciiTheme="minorEastAsia" w:eastAsiaTheme="minorEastAsia" w:hAnsiTheme="minorEastAsia" w:cs="宋体"/>
                <w:kern w:val="0"/>
                <w:szCs w:val="21"/>
              </w:rPr>
            </w:pPr>
            <w:r w:rsidRPr="002B175D">
              <w:rPr>
                <w:rFonts w:asciiTheme="minorEastAsia" w:eastAsiaTheme="minorEastAsia" w:hAnsiTheme="minorEastAsia" w:cs="宋体" w:hint="eastAsia"/>
                <w:kern w:val="0"/>
                <w:szCs w:val="21"/>
              </w:rPr>
              <w:t>0.5%</w:t>
            </w:r>
          </w:p>
        </w:tc>
      </w:tr>
      <w:tr w:rsidR="00893E2C" w:rsidRPr="002B175D" w:rsidTr="00926860">
        <w:trPr>
          <w:jc w:val="center"/>
        </w:trPr>
        <w:tc>
          <w:tcPr>
            <w:tcW w:w="3870" w:type="dxa"/>
          </w:tcPr>
          <w:p w:rsidR="00AC53D8" w:rsidRPr="002B175D" w:rsidRDefault="00AC53D8" w:rsidP="00861AD8">
            <w:pPr>
              <w:widowControl/>
              <w:snapToGrid w:val="0"/>
              <w:spacing w:line="360" w:lineRule="auto"/>
              <w:jc w:val="center"/>
              <w:rPr>
                <w:rFonts w:asciiTheme="minorEastAsia" w:eastAsiaTheme="minorEastAsia" w:hAnsiTheme="minorEastAsia" w:cs="宋体"/>
                <w:kern w:val="0"/>
                <w:szCs w:val="21"/>
              </w:rPr>
            </w:pPr>
            <w:r w:rsidRPr="002B175D">
              <w:rPr>
                <w:rFonts w:asciiTheme="minorEastAsia" w:eastAsiaTheme="minorEastAsia" w:hAnsiTheme="minorEastAsia" w:cs="宋体" w:hint="eastAsia"/>
                <w:kern w:val="0"/>
                <w:szCs w:val="21"/>
              </w:rPr>
              <w:t>30-89</w:t>
            </w:r>
          </w:p>
        </w:tc>
        <w:tc>
          <w:tcPr>
            <w:tcW w:w="3798" w:type="dxa"/>
          </w:tcPr>
          <w:p w:rsidR="00AC53D8" w:rsidRPr="002B175D" w:rsidRDefault="00AC53D8" w:rsidP="00861AD8">
            <w:pPr>
              <w:widowControl/>
              <w:snapToGrid w:val="0"/>
              <w:spacing w:line="360" w:lineRule="auto"/>
              <w:jc w:val="center"/>
              <w:rPr>
                <w:rFonts w:asciiTheme="minorEastAsia" w:eastAsiaTheme="minorEastAsia" w:hAnsiTheme="minorEastAsia" w:cs="宋体"/>
                <w:kern w:val="0"/>
                <w:szCs w:val="21"/>
              </w:rPr>
            </w:pPr>
            <w:r w:rsidRPr="002B175D">
              <w:rPr>
                <w:rFonts w:asciiTheme="minorEastAsia" w:eastAsiaTheme="minorEastAsia" w:hAnsiTheme="minorEastAsia" w:cs="宋体" w:hint="eastAsia"/>
                <w:kern w:val="0"/>
                <w:szCs w:val="21"/>
              </w:rPr>
              <w:t>0.20%</w:t>
            </w:r>
          </w:p>
        </w:tc>
      </w:tr>
      <w:tr w:rsidR="00893E2C" w:rsidRPr="002B175D" w:rsidTr="00926860">
        <w:trPr>
          <w:jc w:val="center"/>
        </w:trPr>
        <w:tc>
          <w:tcPr>
            <w:tcW w:w="3870" w:type="dxa"/>
          </w:tcPr>
          <w:p w:rsidR="00AC53D8" w:rsidRPr="002B175D" w:rsidRDefault="00AC53D8" w:rsidP="00861AD8">
            <w:pPr>
              <w:widowControl/>
              <w:snapToGrid w:val="0"/>
              <w:spacing w:line="360" w:lineRule="auto"/>
              <w:jc w:val="center"/>
              <w:rPr>
                <w:rFonts w:asciiTheme="minorEastAsia" w:eastAsiaTheme="minorEastAsia" w:hAnsiTheme="minorEastAsia" w:cs="宋体"/>
                <w:kern w:val="0"/>
                <w:szCs w:val="21"/>
              </w:rPr>
            </w:pPr>
            <w:r w:rsidRPr="002B175D">
              <w:rPr>
                <w:rFonts w:asciiTheme="minorEastAsia" w:eastAsiaTheme="minorEastAsia" w:hAnsiTheme="minorEastAsia" w:cs="宋体" w:hint="eastAsia"/>
                <w:kern w:val="0"/>
                <w:szCs w:val="21"/>
              </w:rPr>
              <w:t>90及以上</w:t>
            </w:r>
          </w:p>
        </w:tc>
        <w:tc>
          <w:tcPr>
            <w:tcW w:w="3798" w:type="dxa"/>
          </w:tcPr>
          <w:p w:rsidR="00AC53D8" w:rsidRPr="002B175D" w:rsidRDefault="00AC53D8" w:rsidP="00861AD8">
            <w:pPr>
              <w:widowControl/>
              <w:snapToGrid w:val="0"/>
              <w:spacing w:line="360" w:lineRule="auto"/>
              <w:jc w:val="center"/>
              <w:rPr>
                <w:rFonts w:asciiTheme="minorEastAsia" w:eastAsiaTheme="minorEastAsia" w:hAnsiTheme="minorEastAsia" w:cs="宋体"/>
                <w:kern w:val="0"/>
                <w:szCs w:val="21"/>
              </w:rPr>
            </w:pPr>
            <w:r w:rsidRPr="002B175D">
              <w:rPr>
                <w:rFonts w:asciiTheme="minorEastAsia" w:eastAsiaTheme="minorEastAsia" w:hAnsiTheme="minorEastAsia" w:cs="宋体" w:hint="eastAsia"/>
                <w:kern w:val="0"/>
                <w:szCs w:val="21"/>
              </w:rPr>
              <w:t>0%</w:t>
            </w:r>
          </w:p>
        </w:tc>
      </w:tr>
    </w:tbl>
    <w:p w:rsidR="00AC53D8" w:rsidRPr="002B175D" w:rsidRDefault="00AC53D8"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投资者可将其持有的全部或部分C类基金份额赎回。</w:t>
      </w:r>
      <w:r w:rsidRPr="002B175D">
        <w:rPr>
          <w:rFonts w:asciiTheme="minorEastAsia" w:eastAsiaTheme="minorEastAsia" w:hAnsiTheme="minorEastAsia"/>
          <w:szCs w:val="21"/>
        </w:rPr>
        <w:t>赎回费用由赎回基金份额的基金份额持有人承担，</w:t>
      </w:r>
      <w:r w:rsidRPr="002B175D">
        <w:rPr>
          <w:rFonts w:asciiTheme="minorEastAsia" w:eastAsiaTheme="minorEastAsia" w:hAnsiTheme="minorEastAsia" w:hint="eastAsia"/>
          <w:szCs w:val="21"/>
        </w:rPr>
        <w:t>在基金份额持有人赎回基金份额时收取。对持有期少于30天（不含）的C类基金份额持有人所收取赎回费用全额计入基金财产；对持有期在30天以上（含）且少于90天（不含）的C类基金份额持有人所收取赎回费用总额的25</w:t>
      </w:r>
      <w:r w:rsidRPr="002B175D">
        <w:rPr>
          <w:rFonts w:asciiTheme="minorEastAsia" w:eastAsiaTheme="minorEastAsia" w:hAnsiTheme="minorEastAsia"/>
          <w:szCs w:val="21"/>
        </w:rPr>
        <w:t>%计入</w:t>
      </w:r>
      <w:r w:rsidRPr="002B175D">
        <w:rPr>
          <w:rFonts w:asciiTheme="minorEastAsia" w:eastAsiaTheme="minorEastAsia" w:hAnsiTheme="minorEastAsia" w:hint="eastAsia"/>
          <w:szCs w:val="21"/>
        </w:rPr>
        <w:t>基金财产；其余用于支付市场推广、注册登记费和其他手续费。</w:t>
      </w:r>
    </w:p>
    <w:p w:rsidR="0049452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（2）赎回金额的计算</w:t>
      </w:r>
    </w:p>
    <w:p w:rsidR="0049452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szCs w:val="21"/>
        </w:rPr>
        <w:t>赎回费用=赎回份额×T日</w:t>
      </w:r>
      <w:r w:rsidRPr="002B175D">
        <w:rPr>
          <w:rFonts w:asciiTheme="minorEastAsia" w:eastAsiaTheme="minorEastAsia" w:hAnsiTheme="minorEastAsia" w:hint="eastAsia"/>
          <w:szCs w:val="21"/>
        </w:rPr>
        <w:t>该类</w:t>
      </w:r>
      <w:r w:rsidRPr="002B175D">
        <w:rPr>
          <w:rFonts w:asciiTheme="minorEastAsia" w:eastAsiaTheme="minorEastAsia" w:hAnsiTheme="minorEastAsia"/>
          <w:szCs w:val="21"/>
        </w:rPr>
        <w:t>基金份额净值×</w:t>
      </w:r>
      <w:r w:rsidRPr="002B175D">
        <w:rPr>
          <w:rFonts w:asciiTheme="minorEastAsia" w:eastAsiaTheme="minorEastAsia" w:hAnsiTheme="minorEastAsia" w:hint="eastAsia"/>
          <w:szCs w:val="21"/>
        </w:rPr>
        <w:t>该类份额</w:t>
      </w:r>
      <w:r w:rsidRPr="002B175D">
        <w:rPr>
          <w:rFonts w:asciiTheme="minorEastAsia" w:eastAsiaTheme="minorEastAsia" w:hAnsiTheme="minorEastAsia"/>
          <w:szCs w:val="21"/>
        </w:rPr>
        <w:t>赎回费率</w:t>
      </w:r>
    </w:p>
    <w:p w:rsidR="0049452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szCs w:val="21"/>
        </w:rPr>
        <w:t>赎回金额=赎回份额×T日</w:t>
      </w:r>
      <w:r w:rsidRPr="002B175D">
        <w:rPr>
          <w:rFonts w:asciiTheme="minorEastAsia" w:eastAsiaTheme="minorEastAsia" w:hAnsiTheme="minorEastAsia" w:hint="eastAsia"/>
          <w:szCs w:val="21"/>
        </w:rPr>
        <w:t>该类</w:t>
      </w:r>
      <w:r w:rsidRPr="002B175D">
        <w:rPr>
          <w:rFonts w:asciiTheme="minorEastAsia" w:eastAsiaTheme="minorEastAsia" w:hAnsiTheme="minorEastAsia"/>
          <w:szCs w:val="21"/>
        </w:rPr>
        <w:t>基金份额净值-赎回费用</w:t>
      </w:r>
    </w:p>
    <w:p w:rsidR="0049452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szCs w:val="21"/>
        </w:rPr>
        <w:t>赎回费用、赎回金额的单位为人民币元，计算结果保留到小数点后两位，小数点后两位以后的部分四舍五入，由此产生的误差计入基金财产。</w:t>
      </w:r>
    </w:p>
    <w:p w:rsidR="0049452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3、基金转换费由基金份额持有人承担，由转出基金赎回费用及基金申购补差费用构成，其中赎回费用按照</w:t>
      </w:r>
      <w:r w:rsidR="00575F24" w:rsidRPr="002B175D">
        <w:rPr>
          <w:rFonts w:asciiTheme="minorEastAsia" w:eastAsiaTheme="minorEastAsia" w:hAnsiTheme="minorEastAsia" w:hint="eastAsia"/>
          <w:szCs w:val="21"/>
        </w:rPr>
        <w:t>各基金的</w:t>
      </w:r>
      <w:r w:rsidRPr="002B175D">
        <w:rPr>
          <w:rFonts w:asciiTheme="minorEastAsia" w:eastAsiaTheme="minorEastAsia" w:hAnsiTheme="minorEastAsia" w:hint="eastAsia"/>
          <w:szCs w:val="2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072D7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4</w:t>
      </w:r>
      <w:r w:rsidR="00072D7C" w:rsidRPr="002B175D">
        <w:rPr>
          <w:rFonts w:asciiTheme="minorEastAsia" w:eastAsiaTheme="minorEastAsia" w:hAnsiTheme="minorEastAsia" w:hint="eastAsia"/>
          <w:szCs w:val="21"/>
        </w:rPr>
        <w:t>、投资者通过本公司网上交易系统（www.efunds.com.cn）进行申购、赎回和转换的交易费率，请具体参照我公司网站上的相关说明。</w:t>
      </w:r>
    </w:p>
    <w:p w:rsidR="00072D7C" w:rsidRPr="002B175D" w:rsidRDefault="0049452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5</w:t>
      </w:r>
      <w:r w:rsidR="00072D7C" w:rsidRPr="002B175D">
        <w:rPr>
          <w:rFonts w:asciiTheme="minorEastAsia" w:eastAsiaTheme="minorEastAsia" w:hAnsiTheme="minorEastAsia" w:hint="eastAsia"/>
          <w:szCs w:val="21"/>
        </w:rPr>
        <w:t>、基金管理人可以在基金合同规定的范围内调整申购费率、赎回费率和转换费率或变更收费方式。上述费率或收费方式如发生变更，基金管理人最迟应于新的费率或收费方式实施日前依照《信息披露办法》的有关规定在指定媒体上公告。</w:t>
      </w:r>
    </w:p>
    <w:p w:rsidR="00072D7C" w:rsidRPr="002B175D" w:rsidRDefault="00072D7C" w:rsidP="00861AD8">
      <w:pPr>
        <w:snapToGrid w:val="0"/>
        <w:spacing w:line="360" w:lineRule="auto"/>
        <w:ind w:firstLineChars="200" w:firstLine="420"/>
        <w:rPr>
          <w:rStyle w:val="da"/>
          <w:rFonts w:asciiTheme="minorEastAsia" w:eastAsiaTheme="minorEastAsia" w:hAnsiTheme="minorEastAsia"/>
          <w:szCs w:val="21"/>
        </w:rPr>
      </w:pPr>
      <w:r w:rsidRPr="002B175D">
        <w:rPr>
          <w:rFonts w:asciiTheme="minorEastAsia" w:eastAsiaTheme="minorEastAsia" w:hAnsiTheme="minorEastAsia" w:hint="eastAsia"/>
          <w:szCs w:val="21"/>
        </w:rPr>
        <w:t>基金管理人可以在不违背法律法规规定及基金合同约定的情况下根据市场情况制定基金促销计划，针对基金投资者定期和不定期地开展基金促销活动。在基金促销活动期间，</w:t>
      </w:r>
      <w:r w:rsidR="006E3AE4" w:rsidRPr="002B175D">
        <w:rPr>
          <w:rFonts w:asciiTheme="minorEastAsia" w:eastAsiaTheme="minorEastAsia" w:hAnsiTheme="minorEastAsia" w:hint="eastAsia"/>
          <w:szCs w:val="21"/>
        </w:rPr>
        <w:t>基金管理人可以适当调低基金销售费率，或针对特定渠道、特定投资群体开展有差别的费率优惠活动</w:t>
      </w:r>
      <w:r w:rsidRPr="002B175D">
        <w:rPr>
          <w:rFonts w:asciiTheme="minorEastAsia" w:eastAsiaTheme="minorEastAsia" w:hAnsiTheme="minorEastAsia" w:hint="eastAsia"/>
          <w:szCs w:val="21"/>
        </w:rPr>
        <w:t>。</w:t>
      </w:r>
    </w:p>
    <w:p w:rsidR="00072D7C" w:rsidRPr="002B175D" w:rsidRDefault="00072D7C" w:rsidP="00861AD8">
      <w:pPr>
        <w:snapToGrid w:val="0"/>
        <w:spacing w:line="360" w:lineRule="auto"/>
        <w:ind w:firstLineChars="200" w:firstLine="420"/>
        <w:rPr>
          <w:rStyle w:val="da"/>
          <w:rFonts w:asciiTheme="minorEastAsia" w:eastAsiaTheme="minorEastAsia" w:hAnsiTheme="minorEastAsia"/>
        </w:rPr>
      </w:pPr>
      <w:r w:rsidRPr="002B175D">
        <w:rPr>
          <w:rStyle w:val="da"/>
          <w:rFonts w:asciiTheme="minorEastAsia" w:eastAsiaTheme="minorEastAsia" w:hAnsiTheme="minorEastAsia" w:hint="eastAsia"/>
        </w:rPr>
        <w:t>（五）费用调整</w:t>
      </w:r>
    </w:p>
    <w:p w:rsidR="00072D7C" w:rsidRPr="002B175D" w:rsidRDefault="00072D7C" w:rsidP="00861AD8">
      <w:pPr>
        <w:snapToGrid w:val="0"/>
        <w:spacing w:line="360" w:lineRule="auto"/>
        <w:ind w:firstLineChars="200" w:firstLine="420"/>
        <w:rPr>
          <w:rFonts w:asciiTheme="minorEastAsia" w:eastAsiaTheme="minorEastAsia" w:hAnsiTheme="minorEastAsia"/>
          <w:szCs w:val="21"/>
        </w:rPr>
      </w:pPr>
      <w:r w:rsidRPr="002B175D">
        <w:rPr>
          <w:rFonts w:asciiTheme="minorEastAsia" w:eastAsiaTheme="minorEastAsia" w:hAnsiTheme="minorEastAsia" w:hint="eastAsia"/>
          <w:szCs w:val="21"/>
        </w:rPr>
        <w:t>基金管理人和基金托管人协商一致后，可按照基金发展情况，并根据法律法规规定和基金合同约定针对全部或部分份额类别调整基金管理费率、基金托管费率、销售服务费率等相关费率。</w:t>
      </w:r>
    </w:p>
    <w:p w:rsidR="00861AD8" w:rsidRPr="002B175D" w:rsidRDefault="00861AD8" w:rsidP="00861AD8">
      <w:pPr>
        <w:snapToGrid w:val="0"/>
        <w:spacing w:line="360" w:lineRule="auto"/>
        <w:ind w:firstLineChars="200" w:firstLine="420"/>
        <w:rPr>
          <w:rFonts w:asciiTheme="minorEastAsia" w:eastAsiaTheme="minorEastAsia" w:hAnsiTheme="minorEastAsia"/>
          <w:szCs w:val="21"/>
        </w:rPr>
      </w:pPr>
    </w:p>
    <w:p w:rsidR="00BA4852" w:rsidRPr="002B175D" w:rsidRDefault="00BA4852" w:rsidP="00861AD8">
      <w:pPr>
        <w:pStyle w:val="1"/>
        <w:snapToGrid w:val="0"/>
        <w:spacing w:beforeLines="0" w:afterLines="0" w:line="360" w:lineRule="auto"/>
        <w:ind w:firstLineChars="0" w:firstLine="0"/>
        <w:jc w:val="both"/>
        <w:rPr>
          <w:rFonts w:asciiTheme="minorEastAsia" w:eastAsiaTheme="minorEastAsia" w:hAnsiTheme="minorEastAsia"/>
        </w:rPr>
      </w:pPr>
      <w:r w:rsidRPr="002B175D">
        <w:rPr>
          <w:rFonts w:asciiTheme="minorEastAsia" w:eastAsiaTheme="minorEastAsia" w:hAnsiTheme="minorEastAsia" w:hint="eastAsia"/>
        </w:rPr>
        <w:t>十四、</w:t>
      </w:r>
      <w:r w:rsidRPr="002B175D">
        <w:rPr>
          <w:rFonts w:asciiTheme="minorEastAsia" w:eastAsiaTheme="minorEastAsia" w:hAnsiTheme="minorEastAsia" w:hint="eastAsia"/>
          <w:bCs/>
        </w:rPr>
        <w:t>对招募说明书更新部分的说明</w:t>
      </w:r>
    </w:p>
    <w:p w:rsidR="00BA4852" w:rsidRPr="002B175D" w:rsidRDefault="00BA4852" w:rsidP="00861AD8">
      <w:pPr>
        <w:snapToGrid w:val="0"/>
        <w:spacing w:line="360" w:lineRule="auto"/>
        <w:ind w:firstLineChars="200" w:firstLine="420"/>
        <w:rPr>
          <w:rFonts w:asciiTheme="minorEastAsia" w:eastAsiaTheme="minorEastAsia" w:hAnsiTheme="minorEastAsia" w:cs="Arial"/>
        </w:rPr>
      </w:pPr>
      <w:r w:rsidRPr="002B175D">
        <w:rPr>
          <w:rFonts w:asciiTheme="minorEastAsia" w:eastAsiaTheme="minorEastAsia" w:hAnsiTheme="minorEastAsia" w:cs="Arial" w:hint="eastAsia"/>
        </w:rPr>
        <w:t>本基金管理人依据《中华人民共和国证券投资基金法》、《证券投资基金信息披露管理办法》等有关法律法规及《</w:t>
      </w:r>
      <w:r w:rsidRPr="002B175D">
        <w:rPr>
          <w:rFonts w:asciiTheme="minorEastAsia" w:eastAsiaTheme="minorEastAsia" w:hAnsiTheme="minorEastAsia" w:hint="eastAsia"/>
        </w:rPr>
        <w:t>易方达新收益灵活配置混合型证券投资基金</w:t>
      </w:r>
      <w:r w:rsidRPr="002B175D">
        <w:rPr>
          <w:rFonts w:asciiTheme="minorEastAsia" w:eastAsiaTheme="minorEastAsia" w:hAnsiTheme="minorEastAsia" w:cs="Arial" w:hint="eastAsia"/>
        </w:rPr>
        <w:t>基金合同》，结合本基金管理人对本基金实施的投资管理活动，</w:t>
      </w:r>
      <w:r w:rsidR="00C75C04" w:rsidRPr="002B175D">
        <w:rPr>
          <w:rFonts w:asciiTheme="minorEastAsia" w:eastAsiaTheme="minorEastAsia" w:hAnsiTheme="minorEastAsia" w:cs="Arial" w:hint="eastAsia"/>
        </w:rPr>
        <w:t>对2018年11月30日刊登</w:t>
      </w:r>
      <w:r w:rsidRPr="002B175D">
        <w:rPr>
          <w:rFonts w:asciiTheme="minorEastAsia" w:eastAsiaTheme="minorEastAsia" w:hAnsiTheme="minorEastAsia" w:cs="Arial" w:hint="eastAsia"/>
        </w:rPr>
        <w:t>的本基金</w:t>
      </w:r>
      <w:r w:rsidR="00A07570" w:rsidRPr="002B175D">
        <w:rPr>
          <w:rFonts w:asciiTheme="minorEastAsia" w:eastAsiaTheme="minorEastAsia" w:hAnsiTheme="minorEastAsia" w:cs="Arial" w:hint="eastAsia"/>
        </w:rPr>
        <w:t>更新的</w:t>
      </w:r>
      <w:r w:rsidRPr="002B175D">
        <w:rPr>
          <w:rFonts w:asciiTheme="minorEastAsia" w:eastAsiaTheme="minorEastAsia" w:hAnsiTheme="minorEastAsia" w:cs="Arial" w:hint="eastAsia"/>
        </w:rPr>
        <w:t>招募说明书进行了更新，主要更新的内容如下：</w:t>
      </w:r>
    </w:p>
    <w:p w:rsidR="002C3388" w:rsidRPr="002B175D" w:rsidRDefault="002C3388" w:rsidP="005C0E4F">
      <w:pPr>
        <w:pStyle w:val="af4"/>
        <w:numPr>
          <w:ilvl w:val="0"/>
          <w:numId w:val="52"/>
        </w:numPr>
        <w:snapToGrid w:val="0"/>
        <w:spacing w:line="360" w:lineRule="auto"/>
        <w:ind w:firstLineChars="0"/>
        <w:rPr>
          <w:rFonts w:asciiTheme="minorEastAsia" w:eastAsiaTheme="minorEastAsia" w:hAnsiTheme="minorEastAsia" w:cs="Arial"/>
        </w:rPr>
      </w:pPr>
      <w:r w:rsidRPr="002B175D">
        <w:rPr>
          <w:rFonts w:asciiTheme="minorEastAsia" w:eastAsiaTheme="minorEastAsia" w:hAnsiTheme="minorEastAsia" w:cs="Arial" w:hint="eastAsia"/>
        </w:rPr>
        <w:t>在“三、基金管理人”部分，更新了部分内容。</w:t>
      </w:r>
    </w:p>
    <w:p w:rsidR="002C3388" w:rsidRPr="002B175D" w:rsidRDefault="002C3388" w:rsidP="005C0E4F">
      <w:pPr>
        <w:pStyle w:val="af4"/>
        <w:numPr>
          <w:ilvl w:val="0"/>
          <w:numId w:val="52"/>
        </w:numPr>
        <w:snapToGrid w:val="0"/>
        <w:spacing w:line="360" w:lineRule="auto"/>
        <w:ind w:firstLineChars="0"/>
        <w:rPr>
          <w:rFonts w:asciiTheme="minorEastAsia" w:eastAsiaTheme="minorEastAsia" w:hAnsiTheme="minorEastAsia" w:cs="Arial"/>
        </w:rPr>
      </w:pPr>
      <w:r w:rsidRPr="002B175D">
        <w:rPr>
          <w:rFonts w:asciiTheme="minorEastAsia" w:eastAsiaTheme="minorEastAsia" w:hAnsiTheme="minorEastAsia" w:cs="Arial" w:hint="eastAsia"/>
        </w:rPr>
        <w:t>在“四、基金托管人”部分</w:t>
      </w:r>
      <w:r w:rsidR="00FD48EA" w:rsidRPr="002B175D">
        <w:rPr>
          <w:rFonts w:asciiTheme="minorEastAsia" w:eastAsiaTheme="minorEastAsia" w:hAnsiTheme="minorEastAsia" w:cs="Arial" w:hint="eastAsia"/>
        </w:rPr>
        <w:t>，更新了部分内容</w:t>
      </w:r>
      <w:r w:rsidRPr="002B175D">
        <w:rPr>
          <w:rFonts w:asciiTheme="minorEastAsia" w:eastAsiaTheme="minorEastAsia" w:hAnsiTheme="minorEastAsia" w:cs="Arial" w:hint="eastAsia"/>
        </w:rPr>
        <w:t>。</w:t>
      </w:r>
    </w:p>
    <w:p w:rsidR="002C3388" w:rsidRPr="002B175D" w:rsidRDefault="002C3388" w:rsidP="005C0E4F">
      <w:pPr>
        <w:pStyle w:val="af4"/>
        <w:numPr>
          <w:ilvl w:val="0"/>
          <w:numId w:val="52"/>
        </w:numPr>
        <w:snapToGrid w:val="0"/>
        <w:spacing w:line="360" w:lineRule="auto"/>
        <w:ind w:firstLineChars="0"/>
        <w:rPr>
          <w:rFonts w:asciiTheme="minorEastAsia" w:eastAsiaTheme="minorEastAsia" w:hAnsiTheme="minorEastAsia" w:cs="Arial"/>
        </w:rPr>
      </w:pPr>
      <w:r w:rsidRPr="002B175D">
        <w:rPr>
          <w:rFonts w:asciiTheme="minorEastAsia" w:eastAsiaTheme="minorEastAsia" w:hAnsiTheme="minorEastAsia" w:cs="Arial" w:hint="eastAsia"/>
        </w:rPr>
        <w:t>在“九、基金转换和定期定额投资计划”部分，更新了部分内容。</w:t>
      </w:r>
    </w:p>
    <w:p w:rsidR="002C3388" w:rsidRPr="002B175D" w:rsidRDefault="002C3388" w:rsidP="005C0E4F">
      <w:pPr>
        <w:pStyle w:val="af4"/>
        <w:numPr>
          <w:ilvl w:val="0"/>
          <w:numId w:val="52"/>
        </w:numPr>
        <w:snapToGrid w:val="0"/>
        <w:spacing w:line="360" w:lineRule="auto"/>
        <w:ind w:firstLineChars="0"/>
        <w:rPr>
          <w:rFonts w:asciiTheme="minorEastAsia" w:eastAsiaTheme="minorEastAsia" w:hAnsiTheme="minorEastAsia" w:cs="Arial"/>
        </w:rPr>
      </w:pPr>
      <w:r w:rsidRPr="002B175D">
        <w:rPr>
          <w:rFonts w:asciiTheme="minorEastAsia" w:eastAsiaTheme="minorEastAsia" w:hAnsiTheme="minorEastAsia" w:cs="Arial" w:hint="eastAsia"/>
        </w:rPr>
        <w:t>在“十一、基金的投资”部分</w:t>
      </w:r>
      <w:r w:rsidR="00B4679D" w:rsidRPr="002B175D">
        <w:rPr>
          <w:rFonts w:asciiTheme="minorEastAsia" w:eastAsiaTheme="minorEastAsia" w:hAnsiTheme="minorEastAsia" w:cs="Arial" w:hint="eastAsia"/>
        </w:rPr>
        <w:t>，</w:t>
      </w:r>
      <w:r w:rsidR="000E78A4" w:rsidRPr="002B175D">
        <w:rPr>
          <w:rFonts w:asciiTheme="minorEastAsia" w:eastAsiaTheme="minorEastAsia" w:hAnsiTheme="minorEastAsia" w:cs="Arial" w:hint="eastAsia"/>
        </w:rPr>
        <w:t>更新</w:t>
      </w:r>
      <w:r w:rsidR="00FD48EA" w:rsidRPr="002B175D">
        <w:rPr>
          <w:rFonts w:asciiTheme="minorEastAsia" w:eastAsiaTheme="minorEastAsia" w:hAnsiTheme="minorEastAsia" w:cs="Arial" w:hint="eastAsia"/>
        </w:rPr>
        <w:t>了</w:t>
      </w:r>
      <w:r w:rsidRPr="002B175D">
        <w:rPr>
          <w:rFonts w:asciiTheme="minorEastAsia" w:eastAsiaTheme="minorEastAsia" w:hAnsiTheme="minorEastAsia" w:cs="Arial" w:hint="eastAsia"/>
        </w:rPr>
        <w:t>基金投资组合报告的内容。</w:t>
      </w:r>
    </w:p>
    <w:p w:rsidR="002C3388" w:rsidRPr="002B175D" w:rsidRDefault="002C3388" w:rsidP="005C0E4F">
      <w:pPr>
        <w:pStyle w:val="af4"/>
        <w:numPr>
          <w:ilvl w:val="0"/>
          <w:numId w:val="52"/>
        </w:numPr>
        <w:snapToGrid w:val="0"/>
        <w:spacing w:line="360" w:lineRule="auto"/>
        <w:ind w:firstLineChars="0"/>
        <w:rPr>
          <w:rFonts w:asciiTheme="minorEastAsia" w:eastAsiaTheme="minorEastAsia" w:hAnsiTheme="minorEastAsia" w:cs="Arial"/>
        </w:rPr>
      </w:pPr>
      <w:r w:rsidRPr="002B175D">
        <w:rPr>
          <w:rFonts w:asciiTheme="minorEastAsia" w:eastAsiaTheme="minorEastAsia" w:hAnsiTheme="minorEastAsia" w:cs="Arial" w:hint="eastAsia"/>
        </w:rPr>
        <w:t>在“十二、基金的业绩”部分，更新了基金的投资业绩数据。</w:t>
      </w:r>
    </w:p>
    <w:p w:rsidR="000E78A4" w:rsidRPr="002B175D" w:rsidRDefault="000E78A4" w:rsidP="002B175D">
      <w:pPr>
        <w:pStyle w:val="af4"/>
        <w:numPr>
          <w:ilvl w:val="0"/>
          <w:numId w:val="52"/>
        </w:numPr>
        <w:snapToGrid w:val="0"/>
        <w:spacing w:line="360" w:lineRule="auto"/>
        <w:ind w:firstLineChars="0"/>
        <w:rPr>
          <w:rFonts w:asciiTheme="minorEastAsia" w:eastAsiaTheme="minorEastAsia" w:hAnsiTheme="minorEastAsia" w:cs="Arial"/>
        </w:rPr>
      </w:pPr>
      <w:r w:rsidRPr="002B175D">
        <w:rPr>
          <w:rFonts w:asciiTheme="minorEastAsia" w:eastAsiaTheme="minorEastAsia" w:hAnsiTheme="minorEastAsia" w:cs="Arial" w:hint="eastAsia"/>
        </w:rPr>
        <w:t>在“</w:t>
      </w:r>
      <w:r w:rsidR="002B175D" w:rsidRPr="002B175D">
        <w:rPr>
          <w:rFonts w:asciiTheme="minorEastAsia" w:eastAsiaTheme="minorEastAsia" w:hAnsiTheme="minorEastAsia" w:cs="Arial" w:hint="eastAsia"/>
        </w:rPr>
        <w:t>二十二、基金托管协议的内容摘要</w:t>
      </w:r>
      <w:r w:rsidRPr="002B175D">
        <w:rPr>
          <w:rFonts w:asciiTheme="minorEastAsia" w:eastAsiaTheme="minorEastAsia" w:hAnsiTheme="minorEastAsia" w:cs="Arial" w:hint="eastAsia"/>
        </w:rPr>
        <w:t>”部分，更新了部分内容。</w:t>
      </w:r>
    </w:p>
    <w:p w:rsidR="002C3388" w:rsidRPr="002B175D" w:rsidRDefault="002C3388" w:rsidP="005C0E4F">
      <w:pPr>
        <w:pStyle w:val="af4"/>
        <w:numPr>
          <w:ilvl w:val="0"/>
          <w:numId w:val="52"/>
        </w:numPr>
        <w:snapToGrid w:val="0"/>
        <w:spacing w:line="360" w:lineRule="auto"/>
        <w:ind w:firstLineChars="0"/>
        <w:rPr>
          <w:rFonts w:asciiTheme="minorEastAsia" w:eastAsiaTheme="minorEastAsia" w:hAnsiTheme="minorEastAsia" w:cs="Arial"/>
        </w:rPr>
      </w:pPr>
      <w:r w:rsidRPr="002B175D">
        <w:rPr>
          <w:rFonts w:asciiTheme="minorEastAsia" w:eastAsiaTheme="minorEastAsia" w:hAnsiTheme="minorEastAsia" w:cs="Arial" w:hint="eastAsia"/>
        </w:rPr>
        <w:t>在“二十四、其他应披露事项”部分，根据相关公告的内容进行了</w:t>
      </w:r>
      <w:r w:rsidR="009A5743" w:rsidRPr="002B175D">
        <w:rPr>
          <w:rFonts w:asciiTheme="minorEastAsia" w:eastAsiaTheme="minorEastAsia" w:hAnsiTheme="minorEastAsia" w:cs="Arial" w:hint="eastAsia"/>
        </w:rPr>
        <w:t>更新</w:t>
      </w:r>
      <w:r w:rsidRPr="002B175D">
        <w:rPr>
          <w:rFonts w:asciiTheme="minorEastAsia" w:eastAsiaTheme="minorEastAsia" w:hAnsiTheme="minorEastAsia" w:cs="Arial" w:hint="eastAsia"/>
        </w:rPr>
        <w:t>。</w:t>
      </w:r>
    </w:p>
    <w:p w:rsidR="00BA4B87" w:rsidRPr="002B175D" w:rsidRDefault="00BA4B87" w:rsidP="00861AD8">
      <w:pPr>
        <w:pStyle w:val="a6"/>
        <w:snapToGrid w:val="0"/>
        <w:spacing w:line="360" w:lineRule="auto"/>
        <w:ind w:firstLine="420"/>
        <w:rPr>
          <w:rFonts w:asciiTheme="minorEastAsia" w:eastAsiaTheme="minorEastAsia" w:hAnsiTheme="minorEastAsia"/>
          <w:sz w:val="21"/>
        </w:rPr>
      </w:pPr>
    </w:p>
    <w:p w:rsidR="006E3AE4" w:rsidRPr="002B175D" w:rsidRDefault="006E3AE4" w:rsidP="00861AD8">
      <w:pPr>
        <w:pStyle w:val="a6"/>
        <w:snapToGrid w:val="0"/>
        <w:spacing w:line="360" w:lineRule="auto"/>
        <w:ind w:firstLine="420"/>
        <w:rPr>
          <w:rFonts w:asciiTheme="minorEastAsia" w:eastAsiaTheme="minorEastAsia" w:hAnsiTheme="minorEastAsia"/>
          <w:sz w:val="21"/>
        </w:rPr>
      </w:pPr>
    </w:p>
    <w:p w:rsidR="00BA4B87" w:rsidRPr="002B175D" w:rsidRDefault="00334D3F" w:rsidP="00861AD8">
      <w:pPr>
        <w:pStyle w:val="a6"/>
        <w:snapToGrid w:val="0"/>
        <w:spacing w:line="360" w:lineRule="auto"/>
        <w:ind w:firstLine="420"/>
        <w:jc w:val="right"/>
        <w:rPr>
          <w:rFonts w:asciiTheme="minorEastAsia" w:eastAsiaTheme="minorEastAsia" w:hAnsiTheme="minorEastAsia"/>
          <w:sz w:val="21"/>
        </w:rPr>
      </w:pPr>
      <w:r w:rsidRPr="002B175D">
        <w:rPr>
          <w:rFonts w:asciiTheme="minorEastAsia" w:eastAsiaTheme="minorEastAsia" w:hAnsiTheme="minorEastAsia" w:hint="eastAsia"/>
          <w:sz w:val="21"/>
        </w:rPr>
        <w:t>易方达基金管理有限公司</w:t>
      </w:r>
    </w:p>
    <w:p w:rsidR="00861AD8" w:rsidRPr="002B175D" w:rsidRDefault="00C75C04" w:rsidP="002B175D">
      <w:pPr>
        <w:pStyle w:val="a6"/>
        <w:wordWrap w:val="0"/>
        <w:snapToGrid w:val="0"/>
        <w:spacing w:line="360" w:lineRule="auto"/>
        <w:ind w:right="420" w:firstLine="420"/>
        <w:jc w:val="right"/>
        <w:rPr>
          <w:rFonts w:asciiTheme="minorEastAsia" w:eastAsiaTheme="minorEastAsia" w:hAnsiTheme="minorEastAsia"/>
          <w:sz w:val="21"/>
        </w:rPr>
      </w:pPr>
      <w:r w:rsidRPr="002B175D">
        <w:rPr>
          <w:rFonts w:asciiTheme="minorEastAsia" w:eastAsiaTheme="minorEastAsia" w:hAnsiTheme="minorEastAsia" w:cs="Arial"/>
          <w:sz w:val="21"/>
          <w:szCs w:val="24"/>
        </w:rPr>
        <w:t>2019年6月1日</w:t>
      </w:r>
      <w:bookmarkStart w:id="58" w:name="_GoBack"/>
      <w:bookmarkEnd w:id="58"/>
    </w:p>
    <w:sectPr w:rsidR="00861AD8" w:rsidRPr="002B175D" w:rsidSect="00AE70B8">
      <w:footerReference w:type="default" r:id="rId16"/>
      <w:pgSz w:w="11906" w:h="16838" w:code="9"/>
      <w:pgMar w:top="1440" w:right="1803" w:bottom="1440" w:left="1803" w:header="851" w:footer="992" w:gutter="0"/>
      <w:pgNumType w:start="1"/>
      <w:cols w:space="720"/>
      <w:docGrid w:type="lines" w:linePitch="3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52A" w:rsidRDefault="0007252A"/>
    <w:p w:rsidR="0007252A" w:rsidRDefault="0007252A"/>
  </w:endnote>
  <w:endnote w:type="continuationSeparator" w:id="1">
    <w:p w:rsidR="0007252A" w:rsidRDefault="0007252A"/>
    <w:p w:rsidR="0007252A" w:rsidRDefault="0007252A"/>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肆">
    <w:altName w:val="宋体"/>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72" w:rsidRDefault="00075172">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72" w:rsidRDefault="00075172" w:rsidP="00AE70B8">
    <w:pPr>
      <w:pStyle w:val="a9"/>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72" w:rsidRDefault="00075172">
    <w:pPr>
      <w:pStyle w:val="a9"/>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5D" w:rsidRDefault="00F23220" w:rsidP="00AE70B8">
    <w:pPr>
      <w:pStyle w:val="a9"/>
      <w:ind w:firstLine="360"/>
      <w:jc w:val="center"/>
    </w:pPr>
    <w:r w:rsidRPr="00F23220">
      <w:fldChar w:fldCharType="begin"/>
    </w:r>
    <w:r w:rsidR="002B175D">
      <w:instrText xml:space="preserve"> PAGE   \* MERGEFORMAT </w:instrText>
    </w:r>
    <w:r w:rsidRPr="00F23220">
      <w:fldChar w:fldCharType="separate"/>
    </w:r>
    <w:r w:rsidR="002B175D" w:rsidRPr="002B175D">
      <w:rPr>
        <w:noProof/>
        <w:lang w:val="zh-CN"/>
      </w:rPr>
      <w:t>2</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52A" w:rsidRDefault="0007252A"/>
    <w:p w:rsidR="0007252A" w:rsidRDefault="0007252A"/>
  </w:footnote>
  <w:footnote w:type="continuationSeparator" w:id="1">
    <w:p w:rsidR="0007252A" w:rsidRDefault="0007252A"/>
    <w:p w:rsidR="0007252A" w:rsidRDefault="0007252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72" w:rsidRDefault="00075172">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72" w:rsidRDefault="00075172" w:rsidP="002B175D">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72" w:rsidRDefault="00075172">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B66A80"/>
    <w:lvl w:ilvl="0">
      <w:start w:val="1"/>
      <w:numFmt w:val="decimal"/>
      <w:lvlText w:val="%1."/>
      <w:lvlJc w:val="left"/>
      <w:pPr>
        <w:tabs>
          <w:tab w:val="num" w:pos="2040"/>
        </w:tabs>
        <w:ind w:left="2040" w:hanging="360"/>
      </w:pPr>
    </w:lvl>
  </w:abstractNum>
  <w:abstractNum w:abstractNumId="1">
    <w:nsid w:val="FFFFFF7D"/>
    <w:multiLevelType w:val="singleLevel"/>
    <w:tmpl w:val="D77EA536"/>
    <w:lvl w:ilvl="0">
      <w:start w:val="1"/>
      <w:numFmt w:val="decimal"/>
      <w:lvlText w:val="%1."/>
      <w:lvlJc w:val="left"/>
      <w:pPr>
        <w:tabs>
          <w:tab w:val="num" w:pos="1620"/>
        </w:tabs>
        <w:ind w:left="1620" w:hanging="360"/>
      </w:pPr>
    </w:lvl>
  </w:abstractNum>
  <w:abstractNum w:abstractNumId="2">
    <w:nsid w:val="FFFFFF7E"/>
    <w:multiLevelType w:val="singleLevel"/>
    <w:tmpl w:val="D722BE4C"/>
    <w:lvl w:ilvl="0">
      <w:start w:val="1"/>
      <w:numFmt w:val="decimal"/>
      <w:lvlText w:val="%1."/>
      <w:lvlJc w:val="left"/>
      <w:pPr>
        <w:tabs>
          <w:tab w:val="num" w:pos="1200"/>
        </w:tabs>
        <w:ind w:left="1200" w:hanging="360"/>
      </w:pPr>
    </w:lvl>
  </w:abstractNum>
  <w:abstractNum w:abstractNumId="3">
    <w:nsid w:val="FFFFFF7F"/>
    <w:multiLevelType w:val="singleLevel"/>
    <w:tmpl w:val="596E522A"/>
    <w:lvl w:ilvl="0">
      <w:start w:val="1"/>
      <w:numFmt w:val="decimal"/>
      <w:lvlText w:val="%1."/>
      <w:lvlJc w:val="left"/>
      <w:pPr>
        <w:tabs>
          <w:tab w:val="num" w:pos="780"/>
        </w:tabs>
        <w:ind w:left="780" w:hanging="360"/>
      </w:pPr>
    </w:lvl>
  </w:abstractNum>
  <w:abstractNum w:abstractNumId="4">
    <w:nsid w:val="FFFFFF80"/>
    <w:multiLevelType w:val="singleLevel"/>
    <w:tmpl w:val="C2A01F0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C636976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2CAC36E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7AE64CA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97EE8EA"/>
    <w:lvl w:ilvl="0">
      <w:start w:val="1"/>
      <w:numFmt w:val="decimal"/>
      <w:lvlText w:val="%1."/>
      <w:lvlJc w:val="left"/>
      <w:pPr>
        <w:tabs>
          <w:tab w:val="num" w:pos="360"/>
        </w:tabs>
        <w:ind w:left="360" w:hanging="360"/>
      </w:pPr>
    </w:lvl>
  </w:abstractNum>
  <w:abstractNum w:abstractNumId="9">
    <w:nsid w:val="FFFFFF89"/>
    <w:multiLevelType w:val="singleLevel"/>
    <w:tmpl w:val="EAFA0012"/>
    <w:lvl w:ilvl="0">
      <w:start w:val="1"/>
      <w:numFmt w:val="bullet"/>
      <w:lvlText w:val=""/>
      <w:lvlJc w:val="left"/>
      <w:pPr>
        <w:tabs>
          <w:tab w:val="num" w:pos="360"/>
        </w:tabs>
        <w:ind w:left="360" w:hanging="360"/>
      </w:pPr>
      <w:rPr>
        <w:rFonts w:ascii="Wingdings" w:hAnsi="Wingdings" w:hint="default"/>
      </w:rPr>
    </w:lvl>
  </w:abstractNum>
  <w:abstractNum w:abstractNumId="10">
    <w:nsid w:val="02A63ECB"/>
    <w:multiLevelType w:val="singleLevel"/>
    <w:tmpl w:val="2136817C"/>
    <w:lvl w:ilvl="0">
      <w:start w:val="1"/>
      <w:numFmt w:val="decimal"/>
      <w:lvlText w:val="(%1)"/>
      <w:lvlJc w:val="left"/>
      <w:pPr>
        <w:tabs>
          <w:tab w:val="num" w:pos="425"/>
        </w:tabs>
        <w:ind w:left="425" w:hanging="425"/>
      </w:pPr>
      <w:rPr>
        <w:rFonts w:hint="eastAsia"/>
      </w:rPr>
    </w:lvl>
  </w:abstractNum>
  <w:abstractNum w:abstractNumId="11">
    <w:nsid w:val="04305539"/>
    <w:multiLevelType w:val="hybridMultilevel"/>
    <w:tmpl w:val="A1F6F9D2"/>
    <w:lvl w:ilvl="0" w:tplc="A3A8FC1E">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2">
    <w:nsid w:val="06DA78B9"/>
    <w:multiLevelType w:val="hybridMultilevel"/>
    <w:tmpl w:val="FEA6D152"/>
    <w:lvl w:ilvl="0" w:tplc="04090019">
      <w:start w:val="1"/>
      <w:numFmt w:val="lowerLetter"/>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3">
    <w:nsid w:val="06EF2B8A"/>
    <w:multiLevelType w:val="hybridMultilevel"/>
    <w:tmpl w:val="1860661A"/>
    <w:lvl w:ilvl="0" w:tplc="129ADA6E">
      <w:start w:val="1"/>
      <w:numFmt w:val="japaneseCounting"/>
      <w:lvlText w:val="%1、"/>
      <w:lvlJc w:val="left"/>
      <w:pPr>
        <w:tabs>
          <w:tab w:val="num" w:pos="720"/>
        </w:tabs>
        <w:ind w:left="720" w:hanging="720"/>
      </w:pPr>
      <w:rPr>
        <w:rFonts w:hint="eastAsia"/>
      </w:rPr>
    </w:lvl>
    <w:lvl w:ilvl="1" w:tplc="7BD2BFA8">
      <w:start w:val="1"/>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5">
    <w:nsid w:val="1AB70BA6"/>
    <w:multiLevelType w:val="hybridMultilevel"/>
    <w:tmpl w:val="0F2A35AE"/>
    <w:lvl w:ilvl="0" w:tplc="35F09A1C">
      <w:start w:val="1"/>
      <w:numFmt w:val="chineseCountingThousand"/>
      <w:lvlText w:val="（%1）."/>
      <w:lvlJc w:val="left"/>
      <w:pPr>
        <w:tabs>
          <w:tab w:val="num" w:pos="1140"/>
        </w:tabs>
        <w:ind w:left="0" w:firstLine="420"/>
      </w:pPr>
      <w:rPr>
        <w:rFonts w:hint="eastAsia"/>
        <w:sz w:val="24"/>
      </w:rPr>
    </w:lvl>
    <w:lvl w:ilvl="1" w:tplc="9F5E5A14">
      <w:start w:val="1"/>
      <w:numFmt w:val="decimal"/>
      <w:lvlText w:val="%2."/>
      <w:lvlJc w:val="left"/>
      <w:pPr>
        <w:tabs>
          <w:tab w:val="num" w:pos="780"/>
        </w:tabs>
        <w:ind w:left="0" w:firstLine="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4"/>
      <w:suff w:val="nothing"/>
      <w:lvlText w:val=""/>
      <w:lvlJc w:val="left"/>
      <w:pPr>
        <w:ind w:left="851" w:firstLine="0"/>
      </w:pPr>
      <w:rPr>
        <w:rFonts w:hint="eastAsia"/>
      </w:rPr>
    </w:lvl>
    <w:lvl w:ilvl="4">
      <w:start w:val="1"/>
      <w:numFmt w:val="none"/>
      <w:pStyle w:val="5"/>
      <w:suff w:val="nothing"/>
      <w:lvlText w:val=""/>
      <w:lvlJc w:val="left"/>
      <w:pPr>
        <w:ind w:left="851" w:firstLine="0"/>
      </w:pPr>
      <w:rPr>
        <w:rFonts w:hint="eastAsia"/>
      </w:rPr>
    </w:lvl>
    <w:lvl w:ilvl="5">
      <w:start w:val="1"/>
      <w:numFmt w:val="none"/>
      <w:pStyle w:val="6"/>
      <w:suff w:val="nothing"/>
      <w:lvlText w:val=""/>
      <w:lvlJc w:val="left"/>
      <w:pPr>
        <w:ind w:left="851" w:firstLine="0"/>
      </w:pPr>
      <w:rPr>
        <w:rFonts w:hint="eastAsia"/>
      </w:rPr>
    </w:lvl>
    <w:lvl w:ilvl="6">
      <w:start w:val="1"/>
      <w:numFmt w:val="none"/>
      <w:pStyle w:val="7"/>
      <w:suff w:val="nothing"/>
      <w:lvlText w:val=""/>
      <w:lvlJc w:val="left"/>
      <w:pPr>
        <w:ind w:left="851" w:firstLine="0"/>
      </w:pPr>
      <w:rPr>
        <w:rFonts w:hint="eastAsia"/>
      </w:rPr>
    </w:lvl>
    <w:lvl w:ilvl="7">
      <w:start w:val="1"/>
      <w:numFmt w:val="none"/>
      <w:pStyle w:val="8"/>
      <w:suff w:val="nothing"/>
      <w:lvlText w:val=""/>
      <w:lvlJc w:val="left"/>
      <w:pPr>
        <w:ind w:left="851" w:firstLine="0"/>
      </w:pPr>
      <w:rPr>
        <w:rFonts w:hint="eastAsia"/>
      </w:rPr>
    </w:lvl>
    <w:lvl w:ilvl="8">
      <w:start w:val="1"/>
      <w:numFmt w:val="none"/>
      <w:pStyle w:val="9"/>
      <w:suff w:val="nothing"/>
      <w:lvlText w:val=""/>
      <w:lvlJc w:val="left"/>
      <w:pPr>
        <w:ind w:left="851" w:firstLine="0"/>
      </w:pPr>
      <w:rPr>
        <w:rFonts w:hint="eastAsia"/>
      </w:rPr>
    </w:lvl>
  </w:abstractNum>
  <w:abstractNum w:abstractNumId="17">
    <w:nsid w:val="301540F1"/>
    <w:multiLevelType w:val="hybridMultilevel"/>
    <w:tmpl w:val="433830B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37296806"/>
    <w:multiLevelType w:val="hybridMultilevel"/>
    <w:tmpl w:val="0E4CF03C"/>
    <w:lvl w:ilvl="0" w:tplc="7960D7AE">
      <w:start w:val="1"/>
      <w:numFmt w:val="decimal"/>
      <w:lvlText w:val="%1、"/>
      <w:lvlJc w:val="left"/>
      <w:pPr>
        <w:tabs>
          <w:tab w:val="num" w:pos="900"/>
        </w:tabs>
        <w:ind w:left="900" w:hanging="480"/>
      </w:pPr>
      <w:rPr>
        <w:rFonts w:eastAsia="肆"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37E46BB2"/>
    <w:multiLevelType w:val="hybridMultilevel"/>
    <w:tmpl w:val="3BAA6728"/>
    <w:lvl w:ilvl="0" w:tplc="7960D7AE">
      <w:start w:val="1"/>
      <w:numFmt w:val="decimal"/>
      <w:lvlText w:val="%1、"/>
      <w:lvlJc w:val="left"/>
      <w:pPr>
        <w:tabs>
          <w:tab w:val="num" w:pos="900"/>
        </w:tabs>
        <w:ind w:left="900" w:hanging="480"/>
      </w:pPr>
      <w:rPr>
        <w:rFonts w:eastAsia="肆"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88E68AD"/>
    <w:multiLevelType w:val="hybridMultilevel"/>
    <w:tmpl w:val="0A4EB93A"/>
    <w:lvl w:ilvl="0" w:tplc="5D0875D8">
      <w:start w:val="1"/>
      <w:numFmt w:val="chineseCountingThousand"/>
      <w:lvlText w:val="（%1）."/>
      <w:lvlJc w:val="left"/>
      <w:pPr>
        <w:tabs>
          <w:tab w:val="num" w:pos="1140"/>
        </w:tabs>
        <w:ind w:left="0" w:firstLine="420"/>
      </w:pPr>
      <w:rPr>
        <w:rFonts w:hint="eastAsia"/>
      </w:rPr>
    </w:lvl>
    <w:lvl w:ilvl="1" w:tplc="012E9C98">
      <w:start w:val="1"/>
      <w:numFmt w:val="decimal"/>
      <w:lvlText w:val="%2."/>
      <w:lvlJc w:val="left"/>
      <w:pPr>
        <w:tabs>
          <w:tab w:val="num" w:pos="780"/>
        </w:tabs>
        <w:ind w:left="0" w:firstLine="420"/>
      </w:pPr>
      <w:rPr>
        <w:rFonts w:hint="eastAsia"/>
      </w:rPr>
    </w:lvl>
    <w:lvl w:ilvl="2" w:tplc="67DE0988">
      <w:start w:val="1"/>
      <w:numFmt w:val="decimal"/>
      <w:lvlText w:val="(%3)"/>
      <w:lvlJc w:val="left"/>
      <w:pPr>
        <w:tabs>
          <w:tab w:val="num" w:pos="1200"/>
        </w:tabs>
        <w:ind w:left="420" w:firstLine="420"/>
      </w:pPr>
      <w:rPr>
        <w:rFonts w:ascii="宋体" w:eastAsia="宋体" w:hint="eastAsia"/>
        <w:b w:val="0"/>
        <w:i w:val="0"/>
        <w:sz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B3F20FC"/>
    <w:multiLevelType w:val="hybridMultilevel"/>
    <w:tmpl w:val="AED468A2"/>
    <w:lvl w:ilvl="0" w:tplc="0B700C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3EB55A5A"/>
    <w:multiLevelType w:val="hybridMultilevel"/>
    <w:tmpl w:val="E9006A3E"/>
    <w:lvl w:ilvl="0" w:tplc="4FB6808C">
      <w:start w:val="1"/>
      <w:numFmt w:val="decimal"/>
      <w:lvlText w:val="(%1)"/>
      <w:lvlJc w:val="left"/>
      <w:pPr>
        <w:ind w:left="1217" w:hanging="73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3">
    <w:nsid w:val="434C0486"/>
    <w:multiLevelType w:val="hybridMultilevel"/>
    <w:tmpl w:val="6D92F278"/>
    <w:lvl w:ilvl="0" w:tplc="5D0875D8">
      <w:start w:val="1"/>
      <w:numFmt w:val="chineseCountingThousand"/>
      <w:lvlText w:val="（%1）."/>
      <w:lvlJc w:val="left"/>
      <w:pPr>
        <w:tabs>
          <w:tab w:val="num" w:pos="1140"/>
        </w:tabs>
        <w:ind w:left="0" w:firstLine="420"/>
      </w:pPr>
      <w:rPr>
        <w:rFonts w:hint="eastAsia"/>
      </w:rPr>
    </w:lvl>
    <w:lvl w:ilvl="1" w:tplc="85DCE3DC">
      <w:start w:val="1"/>
      <w:numFmt w:val="decimal"/>
      <w:lvlText w:val="%2."/>
      <w:lvlJc w:val="left"/>
      <w:pPr>
        <w:tabs>
          <w:tab w:val="num" w:pos="780"/>
        </w:tabs>
        <w:ind w:left="0" w:firstLine="420"/>
      </w:pPr>
      <w:rPr>
        <w:rFonts w:hint="eastAsia"/>
      </w:rPr>
    </w:lvl>
    <w:lvl w:ilvl="2" w:tplc="C8DE7F70">
      <w:start w:val="1"/>
      <w:numFmt w:val="decimal"/>
      <w:lvlText w:val="（%3）"/>
      <w:lvlJc w:val="left"/>
      <w:pPr>
        <w:tabs>
          <w:tab w:val="num" w:pos="1560"/>
        </w:tabs>
        <w:ind w:left="420" w:firstLine="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43A15B2"/>
    <w:multiLevelType w:val="hybridMultilevel"/>
    <w:tmpl w:val="41F605F0"/>
    <w:lvl w:ilvl="0" w:tplc="C5F02C56">
      <w:start w:val="1"/>
      <w:numFmt w:val="decimal"/>
      <w:lvlText w:val="（%1）"/>
      <w:lvlJc w:val="left"/>
      <w:pPr>
        <w:ind w:left="1560" w:hanging="720"/>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56C7310"/>
    <w:multiLevelType w:val="hybridMultilevel"/>
    <w:tmpl w:val="2EC46E02"/>
    <w:lvl w:ilvl="0" w:tplc="FFFFFFFF">
      <w:start w:val="1"/>
      <w:numFmt w:val="japaneseCounting"/>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6">
    <w:nsid w:val="480810E9"/>
    <w:multiLevelType w:val="multilevel"/>
    <w:tmpl w:val="40A20F34"/>
    <w:lvl w:ilvl="0">
      <w:start w:val="1"/>
      <w:numFmt w:val="none"/>
      <w:lvlText w:val=""/>
      <w:lvlJc w:val="left"/>
      <w:pPr>
        <w:tabs>
          <w:tab w:val="num" w:pos="425"/>
        </w:tabs>
        <w:ind w:left="0" w:firstLine="0"/>
      </w:pPr>
      <w:rPr>
        <w:rFonts w:hint="eastAsia"/>
      </w:rPr>
    </w:lvl>
    <w:lvl w:ilvl="1">
      <w:start w:val="1"/>
      <w:numFmt w:val="chineseCountingThousand"/>
      <w:lvlText w:val="%2、"/>
      <w:lvlJc w:val="left"/>
      <w:pPr>
        <w:tabs>
          <w:tab w:val="num" w:pos="1276"/>
        </w:tabs>
        <w:ind w:left="851" w:firstLine="0"/>
      </w:pPr>
      <w:rPr>
        <w:rFonts w:hint="eastAsia"/>
      </w:rPr>
    </w:lvl>
    <w:lvl w:ilvl="2">
      <w:start w:val="1"/>
      <w:numFmt w:val="chineseCountingThousand"/>
      <w:lvlText w:val="（%3）"/>
      <w:lvlJc w:val="left"/>
      <w:pPr>
        <w:tabs>
          <w:tab w:val="num" w:pos="2126"/>
        </w:tabs>
        <w:ind w:left="1701" w:firstLine="0"/>
      </w:pPr>
      <w:rPr>
        <w:rFonts w:hint="eastAsia"/>
      </w:rPr>
    </w:lvl>
    <w:lvl w:ilvl="3">
      <w:start w:val="1"/>
      <w:numFmt w:val="lowerLetter"/>
      <w:lvlText w:val="%4)"/>
      <w:lvlJc w:val="left"/>
      <w:pPr>
        <w:tabs>
          <w:tab w:val="num" w:pos="2976"/>
        </w:tabs>
        <w:ind w:left="2551" w:firstLine="0"/>
      </w:pPr>
      <w:rPr>
        <w:rFonts w:hint="eastAsia"/>
      </w:rPr>
    </w:lvl>
    <w:lvl w:ilvl="4">
      <w:start w:val="1"/>
      <w:numFmt w:val="decimal"/>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27">
    <w:nsid w:val="4B385D0F"/>
    <w:multiLevelType w:val="hybridMultilevel"/>
    <w:tmpl w:val="36E8BDCC"/>
    <w:lvl w:ilvl="0" w:tplc="FFFFFFFF">
      <w:start w:val="1"/>
      <w:numFmt w:val="japaneseCounting"/>
      <w:lvlText w:val="（%1）"/>
      <w:lvlJc w:val="left"/>
      <w:pPr>
        <w:tabs>
          <w:tab w:val="num" w:pos="720"/>
        </w:tabs>
        <w:ind w:left="720" w:hanging="720"/>
      </w:pPr>
      <w:rPr>
        <w:rFonts w:hint="eastAsia"/>
      </w:rPr>
    </w:lvl>
    <w:lvl w:ilvl="1" w:tplc="FFFFFFFF">
      <w:start w:val="1"/>
      <w:numFmt w:val="decimal"/>
      <w:pStyle w:val="a"/>
      <w:lvlText w:val="%2、"/>
      <w:lvlJc w:val="left"/>
      <w:pPr>
        <w:tabs>
          <w:tab w:val="num" w:pos="780"/>
        </w:tabs>
        <w:ind w:left="780" w:hanging="36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8">
    <w:nsid w:val="4C9109DF"/>
    <w:multiLevelType w:val="hybridMultilevel"/>
    <w:tmpl w:val="0D3C1AC2"/>
    <w:lvl w:ilvl="0" w:tplc="892A96B2">
      <w:start w:val="1"/>
      <w:numFmt w:val="decimal"/>
      <w:lvlText w:val="%1、"/>
      <w:lvlJc w:val="left"/>
      <w:pPr>
        <w:tabs>
          <w:tab w:val="num" w:pos="900"/>
        </w:tabs>
        <w:ind w:left="900" w:hanging="420"/>
      </w:pPr>
      <w:rPr>
        <w:rFonts w:hint="eastAsia"/>
      </w:rPr>
    </w:lvl>
    <w:lvl w:ilvl="1" w:tplc="5742121A">
      <w:start w:val="1"/>
      <w:numFmt w:val="decimalEnclosedCircle"/>
      <w:lvlText w:val="%2"/>
      <w:lvlJc w:val="left"/>
      <w:pPr>
        <w:tabs>
          <w:tab w:val="num" w:pos="1260"/>
        </w:tabs>
        <w:ind w:left="1260" w:hanging="360"/>
      </w:pPr>
      <w:rPr>
        <w:rFonts w:ascii="宋体" w:hAnsi="宋体"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4FE24DAD"/>
    <w:multiLevelType w:val="hybridMultilevel"/>
    <w:tmpl w:val="4B5A0BFC"/>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0">
    <w:nsid w:val="532465A0"/>
    <w:multiLevelType w:val="hybridMultilevel"/>
    <w:tmpl w:val="9AE4CDEA"/>
    <w:lvl w:ilvl="0" w:tplc="77962930">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1">
    <w:nsid w:val="53EB22A3"/>
    <w:multiLevelType w:val="hybridMultilevel"/>
    <w:tmpl w:val="B3D6975C"/>
    <w:lvl w:ilvl="0" w:tplc="841C8DC8">
      <w:start w:val="1"/>
      <w:numFmt w:val="decimal"/>
      <w:lvlText w:val="（%1）"/>
      <w:lvlJc w:val="left"/>
      <w:pPr>
        <w:tabs>
          <w:tab w:val="num" w:pos="1134"/>
        </w:tabs>
        <w:ind w:left="1134" w:hanging="714"/>
      </w:pPr>
      <w:rPr>
        <w:rFonts w:hint="eastAsia"/>
      </w:rPr>
    </w:lvl>
    <w:lvl w:ilvl="1" w:tplc="329A9606">
      <w:start w:val="1"/>
      <w:numFmt w:val="low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4CE24E7"/>
    <w:multiLevelType w:val="hybridMultilevel"/>
    <w:tmpl w:val="1766073E"/>
    <w:lvl w:ilvl="0" w:tplc="DCA8932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6C20CF4"/>
    <w:multiLevelType w:val="multilevel"/>
    <w:tmpl w:val="4350DE18"/>
    <w:lvl w:ilvl="0">
      <w:start w:val="1"/>
      <w:numFmt w:val="decimal"/>
      <w:lvlText w:val="%1、"/>
      <w:lvlJc w:val="left"/>
      <w:pPr>
        <w:tabs>
          <w:tab w:val="num" w:pos="2160"/>
        </w:tabs>
        <w:ind w:left="2160" w:hanging="480"/>
      </w:pPr>
      <w:rPr>
        <w:rFonts w:eastAsia="肆" w:hint="eastAsia"/>
      </w:rPr>
    </w:lvl>
    <w:lvl w:ilvl="1">
      <w:start w:val="1"/>
      <w:numFmt w:val="lowerLetter"/>
      <w:lvlText w:val="%2)"/>
      <w:lvlJc w:val="left"/>
      <w:pPr>
        <w:tabs>
          <w:tab w:val="num" w:pos="2520"/>
        </w:tabs>
        <w:ind w:left="2520" w:hanging="420"/>
      </w:pPr>
    </w:lvl>
    <w:lvl w:ilvl="2">
      <w:start w:val="1"/>
      <w:numFmt w:val="lowerRoman"/>
      <w:lvlText w:val="%3."/>
      <w:lvlJc w:val="right"/>
      <w:pPr>
        <w:tabs>
          <w:tab w:val="num" w:pos="2940"/>
        </w:tabs>
        <w:ind w:left="2940" w:hanging="420"/>
      </w:pPr>
    </w:lvl>
    <w:lvl w:ilvl="3">
      <w:start w:val="1"/>
      <w:numFmt w:val="decimal"/>
      <w:lvlText w:val="%4."/>
      <w:lvlJc w:val="left"/>
      <w:pPr>
        <w:tabs>
          <w:tab w:val="num" w:pos="3360"/>
        </w:tabs>
        <w:ind w:left="3360" w:hanging="420"/>
      </w:pPr>
    </w:lvl>
    <w:lvl w:ilvl="4">
      <w:start w:val="1"/>
      <w:numFmt w:val="lowerLetter"/>
      <w:lvlText w:val="%5)"/>
      <w:lvlJc w:val="left"/>
      <w:pPr>
        <w:tabs>
          <w:tab w:val="num" w:pos="3780"/>
        </w:tabs>
        <w:ind w:left="3780" w:hanging="420"/>
      </w:pPr>
    </w:lvl>
    <w:lvl w:ilvl="5">
      <w:start w:val="1"/>
      <w:numFmt w:val="lowerRoman"/>
      <w:lvlText w:val="%6."/>
      <w:lvlJc w:val="right"/>
      <w:pPr>
        <w:tabs>
          <w:tab w:val="num" w:pos="4200"/>
        </w:tabs>
        <w:ind w:left="4200" w:hanging="420"/>
      </w:pPr>
    </w:lvl>
    <w:lvl w:ilvl="6">
      <w:start w:val="1"/>
      <w:numFmt w:val="decimal"/>
      <w:lvlText w:val="%7."/>
      <w:lvlJc w:val="left"/>
      <w:pPr>
        <w:tabs>
          <w:tab w:val="num" w:pos="4620"/>
        </w:tabs>
        <w:ind w:left="4620" w:hanging="420"/>
      </w:pPr>
    </w:lvl>
    <w:lvl w:ilvl="7">
      <w:start w:val="1"/>
      <w:numFmt w:val="lowerLetter"/>
      <w:lvlText w:val="%8)"/>
      <w:lvlJc w:val="left"/>
      <w:pPr>
        <w:tabs>
          <w:tab w:val="num" w:pos="5040"/>
        </w:tabs>
        <w:ind w:left="5040" w:hanging="420"/>
      </w:pPr>
    </w:lvl>
    <w:lvl w:ilvl="8">
      <w:start w:val="1"/>
      <w:numFmt w:val="lowerRoman"/>
      <w:lvlText w:val="%9."/>
      <w:lvlJc w:val="right"/>
      <w:pPr>
        <w:tabs>
          <w:tab w:val="num" w:pos="5460"/>
        </w:tabs>
        <w:ind w:left="5460" w:hanging="420"/>
      </w:pPr>
    </w:lvl>
  </w:abstractNum>
  <w:abstractNum w:abstractNumId="35">
    <w:nsid w:val="58EB041B"/>
    <w:multiLevelType w:val="hybridMultilevel"/>
    <w:tmpl w:val="625E0996"/>
    <w:lvl w:ilvl="0" w:tplc="0409000F">
      <w:start w:val="1"/>
      <w:numFmt w:val="decimal"/>
      <w:lvlText w:val="%1."/>
      <w:lvlJc w:val="left"/>
      <w:pPr>
        <w:tabs>
          <w:tab w:val="num" w:pos="987"/>
        </w:tabs>
        <w:ind w:left="987"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B1E64C3"/>
    <w:multiLevelType w:val="multilevel"/>
    <w:tmpl w:val="56CC4BCE"/>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5DBA05E8"/>
    <w:multiLevelType w:val="hybridMultilevel"/>
    <w:tmpl w:val="6EE23A6A"/>
    <w:lvl w:ilvl="0" w:tplc="0409001B">
      <w:start w:val="1"/>
      <w:numFmt w:val="lowerRoman"/>
      <w:lvlText w:val="%1."/>
      <w:lvlJc w:val="right"/>
      <w:pPr>
        <w:tabs>
          <w:tab w:val="num" w:pos="900"/>
        </w:tabs>
        <w:ind w:left="900" w:hanging="48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E5E11DD"/>
    <w:multiLevelType w:val="hybridMultilevel"/>
    <w:tmpl w:val="7A34AD50"/>
    <w:lvl w:ilvl="0" w:tplc="7960D7AE">
      <w:start w:val="1"/>
      <w:numFmt w:val="decimal"/>
      <w:lvlText w:val="%1、"/>
      <w:lvlJc w:val="left"/>
      <w:pPr>
        <w:tabs>
          <w:tab w:val="num" w:pos="900"/>
        </w:tabs>
        <w:ind w:left="900" w:hanging="480"/>
      </w:pPr>
      <w:rPr>
        <w:rFonts w:eastAsia="肆" w:hint="eastAsia"/>
      </w:rPr>
    </w:lvl>
    <w:lvl w:ilvl="1" w:tplc="A328D27E">
      <w:numFmt w:val="none"/>
      <w:lvlText w:val=""/>
      <w:lvlJc w:val="left"/>
      <w:pPr>
        <w:tabs>
          <w:tab w:val="num" w:pos="360"/>
        </w:tabs>
      </w:pPr>
    </w:lvl>
    <w:lvl w:ilvl="2" w:tplc="BB80C800">
      <w:numFmt w:val="none"/>
      <w:lvlText w:val=""/>
      <w:lvlJc w:val="left"/>
      <w:pPr>
        <w:tabs>
          <w:tab w:val="num" w:pos="360"/>
        </w:tabs>
      </w:pPr>
    </w:lvl>
    <w:lvl w:ilvl="3" w:tplc="21505FDA">
      <w:numFmt w:val="none"/>
      <w:lvlText w:val=""/>
      <w:lvlJc w:val="left"/>
      <w:pPr>
        <w:tabs>
          <w:tab w:val="num" w:pos="360"/>
        </w:tabs>
      </w:pPr>
    </w:lvl>
    <w:lvl w:ilvl="4" w:tplc="B5063910">
      <w:numFmt w:val="none"/>
      <w:lvlText w:val=""/>
      <w:lvlJc w:val="left"/>
      <w:pPr>
        <w:tabs>
          <w:tab w:val="num" w:pos="360"/>
        </w:tabs>
      </w:pPr>
    </w:lvl>
    <w:lvl w:ilvl="5" w:tplc="913E6AD2">
      <w:numFmt w:val="none"/>
      <w:lvlText w:val=""/>
      <w:lvlJc w:val="left"/>
      <w:pPr>
        <w:tabs>
          <w:tab w:val="num" w:pos="360"/>
        </w:tabs>
      </w:pPr>
    </w:lvl>
    <w:lvl w:ilvl="6" w:tplc="87E61C3A">
      <w:numFmt w:val="none"/>
      <w:lvlText w:val=""/>
      <w:lvlJc w:val="left"/>
      <w:pPr>
        <w:tabs>
          <w:tab w:val="num" w:pos="360"/>
        </w:tabs>
      </w:pPr>
    </w:lvl>
    <w:lvl w:ilvl="7" w:tplc="5FD62720">
      <w:numFmt w:val="none"/>
      <w:lvlText w:val=""/>
      <w:lvlJc w:val="left"/>
      <w:pPr>
        <w:tabs>
          <w:tab w:val="num" w:pos="360"/>
        </w:tabs>
      </w:pPr>
    </w:lvl>
    <w:lvl w:ilvl="8" w:tplc="5A5CFE96">
      <w:numFmt w:val="none"/>
      <w:lvlText w:val=""/>
      <w:lvlJc w:val="left"/>
      <w:pPr>
        <w:tabs>
          <w:tab w:val="num" w:pos="360"/>
        </w:tabs>
      </w:pPr>
    </w:lvl>
  </w:abstractNum>
  <w:abstractNum w:abstractNumId="39">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0">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41">
    <w:nsid w:val="67D51DFF"/>
    <w:multiLevelType w:val="hybridMultilevel"/>
    <w:tmpl w:val="B7A4913C"/>
    <w:lvl w:ilvl="0" w:tplc="1E54F69A">
      <w:start w:val="1"/>
      <w:numFmt w:val="japaneseCounting"/>
      <w:lvlText w:val="%1、"/>
      <w:lvlJc w:val="left"/>
      <w:pPr>
        <w:tabs>
          <w:tab w:val="num" w:pos="480"/>
        </w:tabs>
        <w:ind w:left="480" w:hanging="480"/>
      </w:pPr>
      <w:rPr>
        <w:rFonts w:hint="eastAsia"/>
        <w:lang w:val="en-US"/>
      </w:rPr>
    </w:lvl>
    <w:lvl w:ilvl="1" w:tplc="1E54F69A">
      <w:start w:val="1"/>
      <w:numFmt w:val="japaneseCounting"/>
      <w:lvlText w:val="%2、"/>
      <w:lvlJc w:val="left"/>
      <w:pPr>
        <w:tabs>
          <w:tab w:val="num" w:pos="480"/>
        </w:tabs>
        <w:ind w:left="480" w:hanging="480"/>
      </w:pPr>
      <w:rPr>
        <w:rFonts w:hint="eastAsia"/>
        <w:lang w:val="en-US"/>
      </w:rPr>
    </w:lvl>
    <w:lvl w:ilvl="2" w:tplc="04090011">
      <w:start w:val="1"/>
      <w:numFmt w:val="decimal"/>
      <w:lvlText w:val="%3)"/>
      <w:lvlJc w:val="left"/>
      <w:pPr>
        <w:tabs>
          <w:tab w:val="num" w:pos="1260"/>
        </w:tabs>
        <w:ind w:left="1260" w:hanging="420"/>
      </w:pPr>
    </w:lvl>
    <w:lvl w:ilvl="3" w:tplc="0409000B">
      <w:start w:val="1"/>
      <w:numFmt w:val="bullet"/>
      <w:lvlText w:val=""/>
      <w:lvlJc w:val="left"/>
      <w:pPr>
        <w:tabs>
          <w:tab w:val="num" w:pos="1680"/>
        </w:tabs>
        <w:ind w:left="1680" w:hanging="420"/>
      </w:pPr>
      <w:rPr>
        <w:rFonts w:ascii="Wingdings" w:hAnsi="Wingdings" w:hint="default"/>
      </w:rPr>
    </w:lvl>
    <w:lvl w:ilvl="4" w:tplc="04090019">
      <w:start w:val="1"/>
      <w:numFmt w:val="lowerLetter"/>
      <w:lvlText w:val="%5)"/>
      <w:lvlJc w:val="left"/>
      <w:pPr>
        <w:tabs>
          <w:tab w:val="num" w:pos="2100"/>
        </w:tabs>
        <w:ind w:left="2100" w:hanging="420"/>
      </w:pPr>
    </w:lvl>
    <w:lvl w:ilvl="5" w:tplc="CEB0B0CC">
      <w:start w:val="1"/>
      <w:numFmt w:val="decimal"/>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C390FF8"/>
    <w:multiLevelType w:val="hybridMultilevel"/>
    <w:tmpl w:val="91840896"/>
    <w:lvl w:ilvl="0" w:tplc="E3C0E748">
      <w:start w:val="1"/>
      <w:numFmt w:val="decimal"/>
      <w:lvlText w:val="%1."/>
      <w:lvlJc w:val="left"/>
      <w:pPr>
        <w:tabs>
          <w:tab w:val="num" w:pos="900"/>
        </w:tabs>
        <w:ind w:left="-27" w:firstLine="567"/>
      </w:pPr>
      <w:rPr>
        <w:rFonts w:hint="eastAsia"/>
      </w:rPr>
    </w:lvl>
    <w:lvl w:ilvl="1" w:tplc="B858AA0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E5803B9"/>
    <w:multiLevelType w:val="hybridMultilevel"/>
    <w:tmpl w:val="ECD434F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5">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46">
    <w:nsid w:val="73123D9C"/>
    <w:multiLevelType w:val="hybridMultilevel"/>
    <w:tmpl w:val="8682A73C"/>
    <w:lvl w:ilvl="0" w:tplc="7960D7AE">
      <w:start w:val="1"/>
      <w:numFmt w:val="decimal"/>
      <w:lvlText w:val="%1、"/>
      <w:lvlJc w:val="left"/>
      <w:pPr>
        <w:tabs>
          <w:tab w:val="num" w:pos="900"/>
        </w:tabs>
        <w:ind w:left="900" w:hanging="480"/>
      </w:pPr>
      <w:rPr>
        <w:rFonts w:eastAsia="肆"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7">
    <w:nsid w:val="77B4748A"/>
    <w:multiLevelType w:val="hybridMultilevel"/>
    <w:tmpl w:val="806C3D62"/>
    <w:lvl w:ilvl="0" w:tplc="99AA8908">
      <w:start w:val="1"/>
      <w:numFmt w:val="decimal"/>
      <w:lvlText w:val="%1."/>
      <w:lvlJc w:val="left"/>
      <w:pPr>
        <w:tabs>
          <w:tab w:val="num" w:pos="780"/>
        </w:tabs>
        <w:ind w:left="420" w:firstLine="0"/>
      </w:pPr>
      <w:rPr>
        <w:rFonts w:hint="eastAsia"/>
      </w:rPr>
    </w:lvl>
    <w:lvl w:ilvl="1" w:tplc="271E205C">
      <w:start w:val="1"/>
      <w:numFmt w:val="decimal"/>
      <w:lvlText w:val="（%2）"/>
      <w:lvlJc w:val="left"/>
      <w:pPr>
        <w:tabs>
          <w:tab w:val="num" w:pos="851"/>
        </w:tabs>
        <w:ind w:left="851" w:hanging="567"/>
      </w:pPr>
      <w:rPr>
        <w:rFonts w:hint="eastAsia"/>
      </w:rPr>
    </w:lvl>
    <w:lvl w:ilvl="2" w:tplc="23888C08">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79894A28"/>
    <w:multiLevelType w:val="hybridMultilevel"/>
    <w:tmpl w:val="A75CEFA0"/>
    <w:lvl w:ilvl="0" w:tplc="0409000F">
      <w:start w:val="1"/>
      <w:numFmt w:val="decimal"/>
      <w:lvlText w:val="(%1)"/>
      <w:lvlJc w:val="left"/>
      <w:pPr>
        <w:ind w:left="735" w:hanging="735"/>
      </w:pPr>
      <w:rPr>
        <w:rFonts w:hint="default"/>
      </w:rPr>
    </w:lvl>
    <w:lvl w:ilvl="1" w:tplc="04090019">
      <w:start w:val="1"/>
      <w:numFmt w:val="decimal"/>
      <w:lvlText w:val="(%2)"/>
      <w:lvlJc w:val="left"/>
      <w:pPr>
        <w:ind w:left="1155" w:hanging="73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E531937"/>
    <w:multiLevelType w:val="hybridMultilevel"/>
    <w:tmpl w:val="EB885994"/>
    <w:lvl w:ilvl="0" w:tplc="9F5E5A14">
      <w:start w:val="1"/>
      <w:numFmt w:val="decimal"/>
      <w:lvlText w:val="%1."/>
      <w:lvlJc w:val="left"/>
      <w:pPr>
        <w:tabs>
          <w:tab w:val="num" w:pos="780"/>
        </w:tabs>
        <w:ind w:left="0" w:firstLine="420"/>
      </w:pPr>
      <w:rPr>
        <w:rFonts w:hint="eastAsia"/>
      </w:rPr>
    </w:lvl>
    <w:lvl w:ilvl="1" w:tplc="D618D024">
      <w:start w:val="1"/>
      <w:numFmt w:val="decimal"/>
      <w:lvlText w:val="(%2)"/>
      <w:lvlJc w:val="left"/>
      <w:pPr>
        <w:tabs>
          <w:tab w:val="num" w:pos="780"/>
        </w:tabs>
        <w:ind w:left="0" w:firstLine="420"/>
      </w:pPr>
      <w:rPr>
        <w:rFonts w:ascii="宋体" w:eastAsia="宋体" w:hint="eastAsia"/>
        <w:b w:val="0"/>
        <w:i w:val="0"/>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nsid w:val="7EE602AC"/>
    <w:multiLevelType w:val="hybridMultilevel"/>
    <w:tmpl w:val="6652E13E"/>
    <w:lvl w:ilvl="0" w:tplc="8C2A9336">
      <w:start w:val="1"/>
      <w:numFmt w:val="decimal"/>
      <w:lvlText w:val="（%1）"/>
      <w:lvlJc w:val="left"/>
      <w:pPr>
        <w:tabs>
          <w:tab w:val="num" w:pos="2100"/>
        </w:tabs>
        <w:ind w:left="2100" w:hanging="420"/>
      </w:pPr>
      <w:rPr>
        <w:rFonts w:hint="eastAsia"/>
        <w:b w:val="0"/>
        <w:sz w:val="21"/>
        <w:szCs w:val="21"/>
      </w:rPr>
    </w:lvl>
    <w:lvl w:ilvl="1" w:tplc="04090019" w:tentative="1">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num w:numId="1">
    <w:abstractNumId w:val="10"/>
  </w:num>
  <w:num w:numId="2">
    <w:abstractNumId w:val="14"/>
  </w:num>
  <w:num w:numId="3">
    <w:abstractNumId w:val="25"/>
  </w:num>
  <w:num w:numId="4">
    <w:abstractNumId w:val="16"/>
  </w:num>
  <w:num w:numId="5">
    <w:abstractNumId w:val="26"/>
  </w:num>
  <w:num w:numId="6">
    <w:abstractNumId w:val="40"/>
  </w:num>
  <w:num w:numId="7">
    <w:abstractNumId w:val="27"/>
  </w:num>
  <w:num w:numId="8">
    <w:abstractNumId w:val="19"/>
  </w:num>
  <w:num w:numId="9">
    <w:abstractNumId w:val="33"/>
  </w:num>
  <w:num w:numId="10">
    <w:abstractNumId w:val="4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8"/>
  </w:num>
  <w:num w:numId="22">
    <w:abstractNumId w:val="23"/>
  </w:num>
  <w:num w:numId="23">
    <w:abstractNumId w:val="20"/>
  </w:num>
  <w:num w:numId="24">
    <w:abstractNumId w:val="49"/>
  </w:num>
  <w:num w:numId="25">
    <w:abstractNumId w:val="15"/>
  </w:num>
  <w:num w:numId="26">
    <w:abstractNumId w:val="44"/>
  </w:num>
  <w:num w:numId="27">
    <w:abstractNumId w:val="31"/>
  </w:num>
  <w:num w:numId="28">
    <w:abstractNumId w:val="30"/>
  </w:num>
  <w:num w:numId="29">
    <w:abstractNumId w:val="18"/>
  </w:num>
  <w:num w:numId="30">
    <w:abstractNumId w:val="46"/>
  </w:num>
  <w:num w:numId="31">
    <w:abstractNumId w:val="13"/>
  </w:num>
  <w:num w:numId="32">
    <w:abstractNumId w:val="28"/>
  </w:num>
  <w:num w:numId="33">
    <w:abstractNumId w:val="12"/>
  </w:num>
  <w:num w:numId="34">
    <w:abstractNumId w:val="50"/>
  </w:num>
  <w:num w:numId="35">
    <w:abstractNumId w:val="42"/>
  </w:num>
  <w:num w:numId="36">
    <w:abstractNumId w:val="36"/>
  </w:num>
  <w:num w:numId="37">
    <w:abstractNumId w:val="39"/>
  </w:num>
  <w:num w:numId="38">
    <w:abstractNumId w:val="34"/>
  </w:num>
  <w:num w:numId="39">
    <w:abstractNumId w:val="41"/>
  </w:num>
  <w:num w:numId="40">
    <w:abstractNumId w:val="37"/>
  </w:num>
  <w:num w:numId="41">
    <w:abstractNumId w:val="45"/>
  </w:num>
  <w:num w:numId="42">
    <w:abstractNumId w:val="21"/>
  </w:num>
  <w:num w:numId="43">
    <w:abstractNumId w:val="32"/>
  </w:num>
  <w:num w:numId="44">
    <w:abstractNumId w:val="48"/>
  </w:num>
  <w:num w:numId="45">
    <w:abstractNumId w:val="22"/>
  </w:num>
  <w:num w:numId="46">
    <w:abstractNumId w:val="29"/>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1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447"/>
  <w:displayHorizontalDrawingGridEvery w:val="0"/>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4B87"/>
    <w:rsid w:val="00000829"/>
    <w:rsid w:val="000008BD"/>
    <w:rsid w:val="000009F5"/>
    <w:rsid w:val="00000C38"/>
    <w:rsid w:val="00002696"/>
    <w:rsid w:val="00002865"/>
    <w:rsid w:val="00003C24"/>
    <w:rsid w:val="00004199"/>
    <w:rsid w:val="00005763"/>
    <w:rsid w:val="000059BE"/>
    <w:rsid w:val="000064C6"/>
    <w:rsid w:val="00006C96"/>
    <w:rsid w:val="00010950"/>
    <w:rsid w:val="00010BE3"/>
    <w:rsid w:val="000123D9"/>
    <w:rsid w:val="0001419E"/>
    <w:rsid w:val="000147AA"/>
    <w:rsid w:val="0001716B"/>
    <w:rsid w:val="000174AA"/>
    <w:rsid w:val="000208CD"/>
    <w:rsid w:val="00020907"/>
    <w:rsid w:val="00021D40"/>
    <w:rsid w:val="00022523"/>
    <w:rsid w:val="0002259A"/>
    <w:rsid w:val="00023038"/>
    <w:rsid w:val="000258AE"/>
    <w:rsid w:val="00025C20"/>
    <w:rsid w:val="00025D8B"/>
    <w:rsid w:val="00026705"/>
    <w:rsid w:val="00026D5F"/>
    <w:rsid w:val="00027992"/>
    <w:rsid w:val="00027D3C"/>
    <w:rsid w:val="00030AA1"/>
    <w:rsid w:val="00030EFE"/>
    <w:rsid w:val="00031D27"/>
    <w:rsid w:val="000335F6"/>
    <w:rsid w:val="00036C46"/>
    <w:rsid w:val="000375DA"/>
    <w:rsid w:val="00037A8D"/>
    <w:rsid w:val="00040946"/>
    <w:rsid w:val="00042C9F"/>
    <w:rsid w:val="000432F2"/>
    <w:rsid w:val="00043C5D"/>
    <w:rsid w:val="000467C2"/>
    <w:rsid w:val="00046A2F"/>
    <w:rsid w:val="00046AE8"/>
    <w:rsid w:val="00046D6E"/>
    <w:rsid w:val="00047342"/>
    <w:rsid w:val="00047CE2"/>
    <w:rsid w:val="000512C9"/>
    <w:rsid w:val="00052320"/>
    <w:rsid w:val="00052C9F"/>
    <w:rsid w:val="00053030"/>
    <w:rsid w:val="00053407"/>
    <w:rsid w:val="00053DBD"/>
    <w:rsid w:val="00053E4C"/>
    <w:rsid w:val="0005478E"/>
    <w:rsid w:val="00055032"/>
    <w:rsid w:val="000553C5"/>
    <w:rsid w:val="00056022"/>
    <w:rsid w:val="0005646C"/>
    <w:rsid w:val="000579E2"/>
    <w:rsid w:val="000602D3"/>
    <w:rsid w:val="000603E7"/>
    <w:rsid w:val="00060771"/>
    <w:rsid w:val="00061A4B"/>
    <w:rsid w:val="00062004"/>
    <w:rsid w:val="000622C6"/>
    <w:rsid w:val="0006260C"/>
    <w:rsid w:val="00062629"/>
    <w:rsid w:val="0006533D"/>
    <w:rsid w:val="000658E9"/>
    <w:rsid w:val="0006600C"/>
    <w:rsid w:val="00066D91"/>
    <w:rsid w:val="00067E66"/>
    <w:rsid w:val="00070309"/>
    <w:rsid w:val="00071BC7"/>
    <w:rsid w:val="0007252A"/>
    <w:rsid w:val="00072D7C"/>
    <w:rsid w:val="000743BB"/>
    <w:rsid w:val="0007451B"/>
    <w:rsid w:val="00074F0F"/>
    <w:rsid w:val="00075172"/>
    <w:rsid w:val="000751D7"/>
    <w:rsid w:val="000754B6"/>
    <w:rsid w:val="00076E39"/>
    <w:rsid w:val="00077BD0"/>
    <w:rsid w:val="00080A4A"/>
    <w:rsid w:val="00082177"/>
    <w:rsid w:val="00082D38"/>
    <w:rsid w:val="0008426E"/>
    <w:rsid w:val="00084A0F"/>
    <w:rsid w:val="00085404"/>
    <w:rsid w:val="00085634"/>
    <w:rsid w:val="00086EE8"/>
    <w:rsid w:val="000878D9"/>
    <w:rsid w:val="00087C08"/>
    <w:rsid w:val="000900B4"/>
    <w:rsid w:val="00090469"/>
    <w:rsid w:val="00090A33"/>
    <w:rsid w:val="00090BF0"/>
    <w:rsid w:val="00093518"/>
    <w:rsid w:val="0009363C"/>
    <w:rsid w:val="00095641"/>
    <w:rsid w:val="0009673C"/>
    <w:rsid w:val="000A1967"/>
    <w:rsid w:val="000A20AD"/>
    <w:rsid w:val="000A26DC"/>
    <w:rsid w:val="000A34E2"/>
    <w:rsid w:val="000A4424"/>
    <w:rsid w:val="000A53A4"/>
    <w:rsid w:val="000A55CC"/>
    <w:rsid w:val="000A579A"/>
    <w:rsid w:val="000A63A1"/>
    <w:rsid w:val="000A6C68"/>
    <w:rsid w:val="000A7C2A"/>
    <w:rsid w:val="000B0B17"/>
    <w:rsid w:val="000B1599"/>
    <w:rsid w:val="000B2A07"/>
    <w:rsid w:val="000B2DD6"/>
    <w:rsid w:val="000B3DA4"/>
    <w:rsid w:val="000B46DC"/>
    <w:rsid w:val="000B5344"/>
    <w:rsid w:val="000B7017"/>
    <w:rsid w:val="000C2D98"/>
    <w:rsid w:val="000C32FA"/>
    <w:rsid w:val="000C3945"/>
    <w:rsid w:val="000C5050"/>
    <w:rsid w:val="000C5C37"/>
    <w:rsid w:val="000D15C6"/>
    <w:rsid w:val="000D1888"/>
    <w:rsid w:val="000D3ABD"/>
    <w:rsid w:val="000D3ADE"/>
    <w:rsid w:val="000D3DAB"/>
    <w:rsid w:val="000D4DF8"/>
    <w:rsid w:val="000D6139"/>
    <w:rsid w:val="000D743D"/>
    <w:rsid w:val="000E06C8"/>
    <w:rsid w:val="000E1148"/>
    <w:rsid w:val="000E1757"/>
    <w:rsid w:val="000E197D"/>
    <w:rsid w:val="000E2BA4"/>
    <w:rsid w:val="000E2F9E"/>
    <w:rsid w:val="000E39F0"/>
    <w:rsid w:val="000E4694"/>
    <w:rsid w:val="000E46D7"/>
    <w:rsid w:val="000E6D1C"/>
    <w:rsid w:val="000E711E"/>
    <w:rsid w:val="000E7413"/>
    <w:rsid w:val="000E77BB"/>
    <w:rsid w:val="000E78A4"/>
    <w:rsid w:val="000E7F0B"/>
    <w:rsid w:val="000F1803"/>
    <w:rsid w:val="000F217C"/>
    <w:rsid w:val="000F2807"/>
    <w:rsid w:val="000F3DCD"/>
    <w:rsid w:val="000F40A1"/>
    <w:rsid w:val="000F5558"/>
    <w:rsid w:val="000F595F"/>
    <w:rsid w:val="000F5B87"/>
    <w:rsid w:val="000F6E21"/>
    <w:rsid w:val="000F71D6"/>
    <w:rsid w:val="000F74E9"/>
    <w:rsid w:val="000F79C6"/>
    <w:rsid w:val="00101ABE"/>
    <w:rsid w:val="00101C35"/>
    <w:rsid w:val="001023AF"/>
    <w:rsid w:val="001029BF"/>
    <w:rsid w:val="00103010"/>
    <w:rsid w:val="00103317"/>
    <w:rsid w:val="00103C99"/>
    <w:rsid w:val="00104072"/>
    <w:rsid w:val="00104621"/>
    <w:rsid w:val="00105592"/>
    <w:rsid w:val="00105DA3"/>
    <w:rsid w:val="0010655B"/>
    <w:rsid w:val="0010689F"/>
    <w:rsid w:val="00107E28"/>
    <w:rsid w:val="0011071E"/>
    <w:rsid w:val="0011115D"/>
    <w:rsid w:val="001111DA"/>
    <w:rsid w:val="0011137D"/>
    <w:rsid w:val="00111483"/>
    <w:rsid w:val="00111550"/>
    <w:rsid w:val="00111681"/>
    <w:rsid w:val="001138AD"/>
    <w:rsid w:val="00114CB9"/>
    <w:rsid w:val="001175C0"/>
    <w:rsid w:val="001176C5"/>
    <w:rsid w:val="00117AF6"/>
    <w:rsid w:val="0012005A"/>
    <w:rsid w:val="00120226"/>
    <w:rsid w:val="00120A1D"/>
    <w:rsid w:val="00121AB8"/>
    <w:rsid w:val="001260F5"/>
    <w:rsid w:val="001308D7"/>
    <w:rsid w:val="00130A00"/>
    <w:rsid w:val="00130E9A"/>
    <w:rsid w:val="001318DA"/>
    <w:rsid w:val="00132C86"/>
    <w:rsid w:val="00133009"/>
    <w:rsid w:val="0013422A"/>
    <w:rsid w:val="001347A6"/>
    <w:rsid w:val="00135048"/>
    <w:rsid w:val="00135CB2"/>
    <w:rsid w:val="00135E76"/>
    <w:rsid w:val="00135EF2"/>
    <w:rsid w:val="00135F3C"/>
    <w:rsid w:val="001369FA"/>
    <w:rsid w:val="0013793E"/>
    <w:rsid w:val="00137C27"/>
    <w:rsid w:val="00137DAD"/>
    <w:rsid w:val="00140387"/>
    <w:rsid w:val="001404C8"/>
    <w:rsid w:val="0014103D"/>
    <w:rsid w:val="0014103F"/>
    <w:rsid w:val="00141DBD"/>
    <w:rsid w:val="00142DCB"/>
    <w:rsid w:val="00143612"/>
    <w:rsid w:val="001447B3"/>
    <w:rsid w:val="001461B1"/>
    <w:rsid w:val="00146C0A"/>
    <w:rsid w:val="001474BD"/>
    <w:rsid w:val="00147A68"/>
    <w:rsid w:val="0015192A"/>
    <w:rsid w:val="00152E12"/>
    <w:rsid w:val="00157F9D"/>
    <w:rsid w:val="001611D1"/>
    <w:rsid w:val="001617AE"/>
    <w:rsid w:val="00161887"/>
    <w:rsid w:val="001618F9"/>
    <w:rsid w:val="00161CFC"/>
    <w:rsid w:val="0016274E"/>
    <w:rsid w:val="00162EEB"/>
    <w:rsid w:val="00163296"/>
    <w:rsid w:val="001634D6"/>
    <w:rsid w:val="00163592"/>
    <w:rsid w:val="0016381A"/>
    <w:rsid w:val="00163C31"/>
    <w:rsid w:val="00163FB5"/>
    <w:rsid w:val="00164C1E"/>
    <w:rsid w:val="00164DEB"/>
    <w:rsid w:val="00164EE8"/>
    <w:rsid w:val="001678FB"/>
    <w:rsid w:val="0017025E"/>
    <w:rsid w:val="001711A1"/>
    <w:rsid w:val="001735E3"/>
    <w:rsid w:val="00173896"/>
    <w:rsid w:val="00175112"/>
    <w:rsid w:val="001769C4"/>
    <w:rsid w:val="00177C93"/>
    <w:rsid w:val="00177EF8"/>
    <w:rsid w:val="00181D5A"/>
    <w:rsid w:val="00184282"/>
    <w:rsid w:val="00184F77"/>
    <w:rsid w:val="001856A1"/>
    <w:rsid w:val="00187C2E"/>
    <w:rsid w:val="001922E2"/>
    <w:rsid w:val="00192A21"/>
    <w:rsid w:val="00192FAC"/>
    <w:rsid w:val="001930AD"/>
    <w:rsid w:val="00193187"/>
    <w:rsid w:val="0019364D"/>
    <w:rsid w:val="00194301"/>
    <w:rsid w:val="00194665"/>
    <w:rsid w:val="0019491D"/>
    <w:rsid w:val="00194A61"/>
    <w:rsid w:val="00194C12"/>
    <w:rsid w:val="001953F1"/>
    <w:rsid w:val="0019543C"/>
    <w:rsid w:val="001977D2"/>
    <w:rsid w:val="0019799A"/>
    <w:rsid w:val="001A1688"/>
    <w:rsid w:val="001A4A9A"/>
    <w:rsid w:val="001A5992"/>
    <w:rsid w:val="001A599B"/>
    <w:rsid w:val="001A59D1"/>
    <w:rsid w:val="001A6348"/>
    <w:rsid w:val="001A6C00"/>
    <w:rsid w:val="001A7C28"/>
    <w:rsid w:val="001B053A"/>
    <w:rsid w:val="001B18F3"/>
    <w:rsid w:val="001B1C0C"/>
    <w:rsid w:val="001B39DD"/>
    <w:rsid w:val="001B52A6"/>
    <w:rsid w:val="001B5D97"/>
    <w:rsid w:val="001B62B0"/>
    <w:rsid w:val="001B71AC"/>
    <w:rsid w:val="001B7A7F"/>
    <w:rsid w:val="001C049E"/>
    <w:rsid w:val="001C1088"/>
    <w:rsid w:val="001C175C"/>
    <w:rsid w:val="001C422B"/>
    <w:rsid w:val="001C54CA"/>
    <w:rsid w:val="001C555F"/>
    <w:rsid w:val="001C56D2"/>
    <w:rsid w:val="001C5A87"/>
    <w:rsid w:val="001C5F3E"/>
    <w:rsid w:val="001C626A"/>
    <w:rsid w:val="001C73D0"/>
    <w:rsid w:val="001D03BD"/>
    <w:rsid w:val="001D047F"/>
    <w:rsid w:val="001D0947"/>
    <w:rsid w:val="001D10FC"/>
    <w:rsid w:val="001D2766"/>
    <w:rsid w:val="001D2A4F"/>
    <w:rsid w:val="001D2AE6"/>
    <w:rsid w:val="001D2F5A"/>
    <w:rsid w:val="001D4386"/>
    <w:rsid w:val="001D4770"/>
    <w:rsid w:val="001D4B9C"/>
    <w:rsid w:val="001D5928"/>
    <w:rsid w:val="001D6852"/>
    <w:rsid w:val="001D71FB"/>
    <w:rsid w:val="001D7542"/>
    <w:rsid w:val="001E2C67"/>
    <w:rsid w:val="001E3849"/>
    <w:rsid w:val="001E49F5"/>
    <w:rsid w:val="001E4C2E"/>
    <w:rsid w:val="001E5840"/>
    <w:rsid w:val="001E5FFC"/>
    <w:rsid w:val="001E6198"/>
    <w:rsid w:val="001E6AB4"/>
    <w:rsid w:val="001E7E40"/>
    <w:rsid w:val="001F12B2"/>
    <w:rsid w:val="001F3C78"/>
    <w:rsid w:val="001F3CB0"/>
    <w:rsid w:val="001F3F96"/>
    <w:rsid w:val="001F4ACA"/>
    <w:rsid w:val="001F51BD"/>
    <w:rsid w:val="001F59B1"/>
    <w:rsid w:val="0020019C"/>
    <w:rsid w:val="002004ED"/>
    <w:rsid w:val="002010A5"/>
    <w:rsid w:val="002010C0"/>
    <w:rsid w:val="00202CA0"/>
    <w:rsid w:val="002030F5"/>
    <w:rsid w:val="002034E4"/>
    <w:rsid w:val="0020350B"/>
    <w:rsid w:val="002039C9"/>
    <w:rsid w:val="002045E1"/>
    <w:rsid w:val="00204E42"/>
    <w:rsid w:val="00205733"/>
    <w:rsid w:val="002057BD"/>
    <w:rsid w:val="00205D7C"/>
    <w:rsid w:val="00206F26"/>
    <w:rsid w:val="00210543"/>
    <w:rsid w:val="0021169C"/>
    <w:rsid w:val="0021171D"/>
    <w:rsid w:val="0021184E"/>
    <w:rsid w:val="0021302E"/>
    <w:rsid w:val="00214437"/>
    <w:rsid w:val="0021491A"/>
    <w:rsid w:val="00214A68"/>
    <w:rsid w:val="00215990"/>
    <w:rsid w:val="00216C41"/>
    <w:rsid w:val="00220813"/>
    <w:rsid w:val="00220D0C"/>
    <w:rsid w:val="00220FA0"/>
    <w:rsid w:val="002213EA"/>
    <w:rsid w:val="002214F8"/>
    <w:rsid w:val="002221EE"/>
    <w:rsid w:val="00222A41"/>
    <w:rsid w:val="002233ED"/>
    <w:rsid w:val="00224477"/>
    <w:rsid w:val="0022545D"/>
    <w:rsid w:val="00225B09"/>
    <w:rsid w:val="00225C17"/>
    <w:rsid w:val="00225DC8"/>
    <w:rsid w:val="00226D90"/>
    <w:rsid w:val="00232498"/>
    <w:rsid w:val="00232814"/>
    <w:rsid w:val="00232BE8"/>
    <w:rsid w:val="00235E39"/>
    <w:rsid w:val="00236C12"/>
    <w:rsid w:val="002429D0"/>
    <w:rsid w:val="00243202"/>
    <w:rsid w:val="0024354F"/>
    <w:rsid w:val="00244BC7"/>
    <w:rsid w:val="00244FEE"/>
    <w:rsid w:val="00246735"/>
    <w:rsid w:val="00247380"/>
    <w:rsid w:val="00250798"/>
    <w:rsid w:val="002508C7"/>
    <w:rsid w:val="00251E1C"/>
    <w:rsid w:val="002522C1"/>
    <w:rsid w:val="002535AB"/>
    <w:rsid w:val="002536D4"/>
    <w:rsid w:val="0025451A"/>
    <w:rsid w:val="00254F5B"/>
    <w:rsid w:val="002551F0"/>
    <w:rsid w:val="00255427"/>
    <w:rsid w:val="002567AE"/>
    <w:rsid w:val="00257225"/>
    <w:rsid w:val="00260637"/>
    <w:rsid w:val="0026173F"/>
    <w:rsid w:val="00262C89"/>
    <w:rsid w:val="0026340B"/>
    <w:rsid w:val="00263C50"/>
    <w:rsid w:val="0026526E"/>
    <w:rsid w:val="00265506"/>
    <w:rsid w:val="00266197"/>
    <w:rsid w:val="00266EA9"/>
    <w:rsid w:val="0027108C"/>
    <w:rsid w:val="00271129"/>
    <w:rsid w:val="00271D34"/>
    <w:rsid w:val="00273DB7"/>
    <w:rsid w:val="00274169"/>
    <w:rsid w:val="00276939"/>
    <w:rsid w:val="0027774D"/>
    <w:rsid w:val="0028174F"/>
    <w:rsid w:val="00282CAB"/>
    <w:rsid w:val="002832A5"/>
    <w:rsid w:val="002839AA"/>
    <w:rsid w:val="00283D42"/>
    <w:rsid w:val="00284C03"/>
    <w:rsid w:val="0028530B"/>
    <w:rsid w:val="00285895"/>
    <w:rsid w:val="00285B3D"/>
    <w:rsid w:val="00285C23"/>
    <w:rsid w:val="00286732"/>
    <w:rsid w:val="00287884"/>
    <w:rsid w:val="0029195F"/>
    <w:rsid w:val="00294408"/>
    <w:rsid w:val="00294DE8"/>
    <w:rsid w:val="002957A2"/>
    <w:rsid w:val="00295BF8"/>
    <w:rsid w:val="00295BFB"/>
    <w:rsid w:val="00295EFB"/>
    <w:rsid w:val="00296231"/>
    <w:rsid w:val="0029658E"/>
    <w:rsid w:val="002967FD"/>
    <w:rsid w:val="00296B7B"/>
    <w:rsid w:val="00296BBB"/>
    <w:rsid w:val="00297FCF"/>
    <w:rsid w:val="002A002C"/>
    <w:rsid w:val="002A0164"/>
    <w:rsid w:val="002A01E3"/>
    <w:rsid w:val="002A1A17"/>
    <w:rsid w:val="002A1D23"/>
    <w:rsid w:val="002A2D0D"/>
    <w:rsid w:val="002A31EB"/>
    <w:rsid w:val="002A42BE"/>
    <w:rsid w:val="002A4882"/>
    <w:rsid w:val="002A4C61"/>
    <w:rsid w:val="002A4D62"/>
    <w:rsid w:val="002A6A89"/>
    <w:rsid w:val="002A6C6A"/>
    <w:rsid w:val="002A7144"/>
    <w:rsid w:val="002B115A"/>
    <w:rsid w:val="002B175D"/>
    <w:rsid w:val="002B19B1"/>
    <w:rsid w:val="002B2736"/>
    <w:rsid w:val="002B4F56"/>
    <w:rsid w:val="002B59D7"/>
    <w:rsid w:val="002B6381"/>
    <w:rsid w:val="002B6490"/>
    <w:rsid w:val="002B6825"/>
    <w:rsid w:val="002B7567"/>
    <w:rsid w:val="002C09AE"/>
    <w:rsid w:val="002C1966"/>
    <w:rsid w:val="002C2A38"/>
    <w:rsid w:val="002C2A96"/>
    <w:rsid w:val="002C3388"/>
    <w:rsid w:val="002C406A"/>
    <w:rsid w:val="002C43E0"/>
    <w:rsid w:val="002C5540"/>
    <w:rsid w:val="002C5753"/>
    <w:rsid w:val="002C6AE9"/>
    <w:rsid w:val="002D0C0F"/>
    <w:rsid w:val="002D3E6B"/>
    <w:rsid w:val="002D497A"/>
    <w:rsid w:val="002D4D63"/>
    <w:rsid w:val="002D4D6B"/>
    <w:rsid w:val="002D760F"/>
    <w:rsid w:val="002D7B92"/>
    <w:rsid w:val="002E0541"/>
    <w:rsid w:val="002E057B"/>
    <w:rsid w:val="002E0E3F"/>
    <w:rsid w:val="002E1C38"/>
    <w:rsid w:val="002E2804"/>
    <w:rsid w:val="002E2EEC"/>
    <w:rsid w:val="002E37B0"/>
    <w:rsid w:val="002E4490"/>
    <w:rsid w:val="002E44B0"/>
    <w:rsid w:val="002E483A"/>
    <w:rsid w:val="002E4B64"/>
    <w:rsid w:val="002E4E2C"/>
    <w:rsid w:val="002E55B7"/>
    <w:rsid w:val="002E6775"/>
    <w:rsid w:val="002E681B"/>
    <w:rsid w:val="002E70AC"/>
    <w:rsid w:val="002F0576"/>
    <w:rsid w:val="002F2C91"/>
    <w:rsid w:val="002F3E13"/>
    <w:rsid w:val="002F4153"/>
    <w:rsid w:val="002F4363"/>
    <w:rsid w:val="002F4D82"/>
    <w:rsid w:val="002F54D4"/>
    <w:rsid w:val="002F62DA"/>
    <w:rsid w:val="002F6500"/>
    <w:rsid w:val="002F6B43"/>
    <w:rsid w:val="002F7481"/>
    <w:rsid w:val="003008BB"/>
    <w:rsid w:val="00300A25"/>
    <w:rsid w:val="003015CC"/>
    <w:rsid w:val="00301930"/>
    <w:rsid w:val="003028F5"/>
    <w:rsid w:val="00303B62"/>
    <w:rsid w:val="00303E9B"/>
    <w:rsid w:val="0030404A"/>
    <w:rsid w:val="00305674"/>
    <w:rsid w:val="003059D7"/>
    <w:rsid w:val="00306891"/>
    <w:rsid w:val="00310E26"/>
    <w:rsid w:val="003112AE"/>
    <w:rsid w:val="003114C0"/>
    <w:rsid w:val="00311E99"/>
    <w:rsid w:val="003134A5"/>
    <w:rsid w:val="0031498B"/>
    <w:rsid w:val="00316967"/>
    <w:rsid w:val="003173D1"/>
    <w:rsid w:val="003177A6"/>
    <w:rsid w:val="00317FD7"/>
    <w:rsid w:val="003212DD"/>
    <w:rsid w:val="00321D40"/>
    <w:rsid w:val="00321FA7"/>
    <w:rsid w:val="003230AF"/>
    <w:rsid w:val="0032452F"/>
    <w:rsid w:val="00324612"/>
    <w:rsid w:val="0032513B"/>
    <w:rsid w:val="00325D29"/>
    <w:rsid w:val="00325E94"/>
    <w:rsid w:val="003261CF"/>
    <w:rsid w:val="00326CD2"/>
    <w:rsid w:val="003273AD"/>
    <w:rsid w:val="00327806"/>
    <w:rsid w:val="00327B53"/>
    <w:rsid w:val="00330CCD"/>
    <w:rsid w:val="00331853"/>
    <w:rsid w:val="00332445"/>
    <w:rsid w:val="00333B02"/>
    <w:rsid w:val="00333C2E"/>
    <w:rsid w:val="00334D3F"/>
    <w:rsid w:val="00335663"/>
    <w:rsid w:val="00335929"/>
    <w:rsid w:val="00336FF7"/>
    <w:rsid w:val="00337CDE"/>
    <w:rsid w:val="00340785"/>
    <w:rsid w:val="00341586"/>
    <w:rsid w:val="003416A9"/>
    <w:rsid w:val="00341D50"/>
    <w:rsid w:val="00341F1D"/>
    <w:rsid w:val="003438A8"/>
    <w:rsid w:val="00346008"/>
    <w:rsid w:val="003478B3"/>
    <w:rsid w:val="00350065"/>
    <w:rsid w:val="003513E8"/>
    <w:rsid w:val="00353734"/>
    <w:rsid w:val="003541F9"/>
    <w:rsid w:val="003542DE"/>
    <w:rsid w:val="0035483B"/>
    <w:rsid w:val="0035575C"/>
    <w:rsid w:val="00356DC1"/>
    <w:rsid w:val="00357E23"/>
    <w:rsid w:val="00360A83"/>
    <w:rsid w:val="003615CA"/>
    <w:rsid w:val="00361ABE"/>
    <w:rsid w:val="00362EB6"/>
    <w:rsid w:val="003641B1"/>
    <w:rsid w:val="003647C0"/>
    <w:rsid w:val="00364B5F"/>
    <w:rsid w:val="00364B7A"/>
    <w:rsid w:val="00364C92"/>
    <w:rsid w:val="003656D0"/>
    <w:rsid w:val="003657E9"/>
    <w:rsid w:val="0036656D"/>
    <w:rsid w:val="00366CF1"/>
    <w:rsid w:val="0036720D"/>
    <w:rsid w:val="003673DB"/>
    <w:rsid w:val="00367E73"/>
    <w:rsid w:val="003713F0"/>
    <w:rsid w:val="00371919"/>
    <w:rsid w:val="00372583"/>
    <w:rsid w:val="00373CD1"/>
    <w:rsid w:val="0037563B"/>
    <w:rsid w:val="003758D9"/>
    <w:rsid w:val="00377DB8"/>
    <w:rsid w:val="00377E71"/>
    <w:rsid w:val="0038042C"/>
    <w:rsid w:val="00381D1E"/>
    <w:rsid w:val="00381E28"/>
    <w:rsid w:val="003829BD"/>
    <w:rsid w:val="00382E9B"/>
    <w:rsid w:val="00384BF7"/>
    <w:rsid w:val="003856F5"/>
    <w:rsid w:val="00385B4F"/>
    <w:rsid w:val="00385D84"/>
    <w:rsid w:val="00387A46"/>
    <w:rsid w:val="00391B65"/>
    <w:rsid w:val="00391B71"/>
    <w:rsid w:val="0039284A"/>
    <w:rsid w:val="003944C1"/>
    <w:rsid w:val="0039465D"/>
    <w:rsid w:val="00394A16"/>
    <w:rsid w:val="0039579C"/>
    <w:rsid w:val="003957A6"/>
    <w:rsid w:val="00395D5E"/>
    <w:rsid w:val="003A0590"/>
    <w:rsid w:val="003A079A"/>
    <w:rsid w:val="003A28A8"/>
    <w:rsid w:val="003A33BB"/>
    <w:rsid w:val="003A38EE"/>
    <w:rsid w:val="003A5BD2"/>
    <w:rsid w:val="003A5F2C"/>
    <w:rsid w:val="003A65B7"/>
    <w:rsid w:val="003A6899"/>
    <w:rsid w:val="003A6E49"/>
    <w:rsid w:val="003A729D"/>
    <w:rsid w:val="003A7670"/>
    <w:rsid w:val="003B1F0E"/>
    <w:rsid w:val="003B25BA"/>
    <w:rsid w:val="003B2791"/>
    <w:rsid w:val="003B2AB3"/>
    <w:rsid w:val="003B2BFC"/>
    <w:rsid w:val="003B31D8"/>
    <w:rsid w:val="003B477C"/>
    <w:rsid w:val="003B48EE"/>
    <w:rsid w:val="003B4F01"/>
    <w:rsid w:val="003B529B"/>
    <w:rsid w:val="003B592E"/>
    <w:rsid w:val="003B63BF"/>
    <w:rsid w:val="003B6713"/>
    <w:rsid w:val="003B7ACA"/>
    <w:rsid w:val="003B7D5C"/>
    <w:rsid w:val="003B7DEA"/>
    <w:rsid w:val="003C0E10"/>
    <w:rsid w:val="003C0FDA"/>
    <w:rsid w:val="003C1F97"/>
    <w:rsid w:val="003C209E"/>
    <w:rsid w:val="003C2593"/>
    <w:rsid w:val="003C474F"/>
    <w:rsid w:val="003C4F08"/>
    <w:rsid w:val="003D04FE"/>
    <w:rsid w:val="003D0D0C"/>
    <w:rsid w:val="003D2B8D"/>
    <w:rsid w:val="003D2CB8"/>
    <w:rsid w:val="003D2EE8"/>
    <w:rsid w:val="003D35FC"/>
    <w:rsid w:val="003D3BF3"/>
    <w:rsid w:val="003D3FB5"/>
    <w:rsid w:val="003D710C"/>
    <w:rsid w:val="003E0E9A"/>
    <w:rsid w:val="003E1279"/>
    <w:rsid w:val="003E2A40"/>
    <w:rsid w:val="003E4BD9"/>
    <w:rsid w:val="003E682C"/>
    <w:rsid w:val="003E6FE4"/>
    <w:rsid w:val="003E727E"/>
    <w:rsid w:val="003F0109"/>
    <w:rsid w:val="003F08A3"/>
    <w:rsid w:val="003F0C97"/>
    <w:rsid w:val="003F1E3F"/>
    <w:rsid w:val="003F5A4B"/>
    <w:rsid w:val="003F64A7"/>
    <w:rsid w:val="003F6B42"/>
    <w:rsid w:val="004007A5"/>
    <w:rsid w:val="004008A3"/>
    <w:rsid w:val="00401BBA"/>
    <w:rsid w:val="00401F67"/>
    <w:rsid w:val="004055A7"/>
    <w:rsid w:val="0040645F"/>
    <w:rsid w:val="00406C29"/>
    <w:rsid w:val="00407B32"/>
    <w:rsid w:val="00411812"/>
    <w:rsid w:val="004124D0"/>
    <w:rsid w:val="004136DC"/>
    <w:rsid w:val="004136DF"/>
    <w:rsid w:val="004164CA"/>
    <w:rsid w:val="004168C6"/>
    <w:rsid w:val="00416E00"/>
    <w:rsid w:val="004175EE"/>
    <w:rsid w:val="00421AA6"/>
    <w:rsid w:val="004229EF"/>
    <w:rsid w:val="004242AF"/>
    <w:rsid w:val="00424860"/>
    <w:rsid w:val="00424CA9"/>
    <w:rsid w:val="00425DE7"/>
    <w:rsid w:val="00426A18"/>
    <w:rsid w:val="004314F0"/>
    <w:rsid w:val="004327CF"/>
    <w:rsid w:val="00432D6D"/>
    <w:rsid w:val="00434E81"/>
    <w:rsid w:val="004362AE"/>
    <w:rsid w:val="00436516"/>
    <w:rsid w:val="004376BF"/>
    <w:rsid w:val="00437972"/>
    <w:rsid w:val="00437B7D"/>
    <w:rsid w:val="0044087D"/>
    <w:rsid w:val="00440B93"/>
    <w:rsid w:val="00440CFF"/>
    <w:rsid w:val="004411E7"/>
    <w:rsid w:val="00441AD4"/>
    <w:rsid w:val="0044276E"/>
    <w:rsid w:val="004428C2"/>
    <w:rsid w:val="00442D62"/>
    <w:rsid w:val="00442D8A"/>
    <w:rsid w:val="00443B88"/>
    <w:rsid w:val="004447C9"/>
    <w:rsid w:val="00445F19"/>
    <w:rsid w:val="00450463"/>
    <w:rsid w:val="00451C03"/>
    <w:rsid w:val="004528A0"/>
    <w:rsid w:val="00453476"/>
    <w:rsid w:val="0045501C"/>
    <w:rsid w:val="00456845"/>
    <w:rsid w:val="0045757D"/>
    <w:rsid w:val="00457737"/>
    <w:rsid w:val="00457F31"/>
    <w:rsid w:val="00460056"/>
    <w:rsid w:val="00460D6A"/>
    <w:rsid w:val="00460FC3"/>
    <w:rsid w:val="00460FE2"/>
    <w:rsid w:val="004610E5"/>
    <w:rsid w:val="00461A51"/>
    <w:rsid w:val="00461ADF"/>
    <w:rsid w:val="00462FB4"/>
    <w:rsid w:val="004648B1"/>
    <w:rsid w:val="00465843"/>
    <w:rsid w:val="004658A8"/>
    <w:rsid w:val="0047093B"/>
    <w:rsid w:val="00473CCA"/>
    <w:rsid w:val="00473E1C"/>
    <w:rsid w:val="00475802"/>
    <w:rsid w:val="00476562"/>
    <w:rsid w:val="0047690A"/>
    <w:rsid w:val="00476CC0"/>
    <w:rsid w:val="00477CA5"/>
    <w:rsid w:val="004810C7"/>
    <w:rsid w:val="00481324"/>
    <w:rsid w:val="00481511"/>
    <w:rsid w:val="0048242D"/>
    <w:rsid w:val="00483B72"/>
    <w:rsid w:val="004845BE"/>
    <w:rsid w:val="004860FB"/>
    <w:rsid w:val="00486586"/>
    <w:rsid w:val="00486679"/>
    <w:rsid w:val="0048712B"/>
    <w:rsid w:val="004872AA"/>
    <w:rsid w:val="00487A14"/>
    <w:rsid w:val="00487CCF"/>
    <w:rsid w:val="0049002F"/>
    <w:rsid w:val="0049014C"/>
    <w:rsid w:val="004918F3"/>
    <w:rsid w:val="0049452C"/>
    <w:rsid w:val="00494F1A"/>
    <w:rsid w:val="00495644"/>
    <w:rsid w:val="00495D77"/>
    <w:rsid w:val="004961CE"/>
    <w:rsid w:val="0049627A"/>
    <w:rsid w:val="0049633F"/>
    <w:rsid w:val="00497091"/>
    <w:rsid w:val="004A0711"/>
    <w:rsid w:val="004A08B7"/>
    <w:rsid w:val="004A1234"/>
    <w:rsid w:val="004A1314"/>
    <w:rsid w:val="004A1381"/>
    <w:rsid w:val="004A2685"/>
    <w:rsid w:val="004A2A89"/>
    <w:rsid w:val="004A2B98"/>
    <w:rsid w:val="004A355E"/>
    <w:rsid w:val="004A36EA"/>
    <w:rsid w:val="004A37C6"/>
    <w:rsid w:val="004A3E71"/>
    <w:rsid w:val="004A543D"/>
    <w:rsid w:val="004A7B34"/>
    <w:rsid w:val="004B1B2A"/>
    <w:rsid w:val="004B2078"/>
    <w:rsid w:val="004B2F33"/>
    <w:rsid w:val="004B3B54"/>
    <w:rsid w:val="004B3D9B"/>
    <w:rsid w:val="004B3F2B"/>
    <w:rsid w:val="004B4C25"/>
    <w:rsid w:val="004B4DB5"/>
    <w:rsid w:val="004B59D5"/>
    <w:rsid w:val="004B5A70"/>
    <w:rsid w:val="004B5AC2"/>
    <w:rsid w:val="004B618C"/>
    <w:rsid w:val="004B6FDB"/>
    <w:rsid w:val="004B79E5"/>
    <w:rsid w:val="004B7BF0"/>
    <w:rsid w:val="004B7FD7"/>
    <w:rsid w:val="004C06FB"/>
    <w:rsid w:val="004C0F6D"/>
    <w:rsid w:val="004C1EE7"/>
    <w:rsid w:val="004C2117"/>
    <w:rsid w:val="004C2EDE"/>
    <w:rsid w:val="004C392E"/>
    <w:rsid w:val="004C3BA4"/>
    <w:rsid w:val="004C3F19"/>
    <w:rsid w:val="004C5E64"/>
    <w:rsid w:val="004C5ED1"/>
    <w:rsid w:val="004C6B7E"/>
    <w:rsid w:val="004D0BD7"/>
    <w:rsid w:val="004D1C93"/>
    <w:rsid w:val="004D2EBF"/>
    <w:rsid w:val="004D37E3"/>
    <w:rsid w:val="004D4C3B"/>
    <w:rsid w:val="004D4E4B"/>
    <w:rsid w:val="004D5608"/>
    <w:rsid w:val="004D5638"/>
    <w:rsid w:val="004D7FB2"/>
    <w:rsid w:val="004E01A1"/>
    <w:rsid w:val="004E0625"/>
    <w:rsid w:val="004E1CF6"/>
    <w:rsid w:val="004E1FD5"/>
    <w:rsid w:val="004E2746"/>
    <w:rsid w:val="004E2AD4"/>
    <w:rsid w:val="004E3CA7"/>
    <w:rsid w:val="004E5108"/>
    <w:rsid w:val="004E5DA9"/>
    <w:rsid w:val="004E67B3"/>
    <w:rsid w:val="004F103B"/>
    <w:rsid w:val="004F10EA"/>
    <w:rsid w:val="004F1233"/>
    <w:rsid w:val="004F2A90"/>
    <w:rsid w:val="004F2B62"/>
    <w:rsid w:val="004F36EF"/>
    <w:rsid w:val="004F5D53"/>
    <w:rsid w:val="004F6CA3"/>
    <w:rsid w:val="004F7BB1"/>
    <w:rsid w:val="0050032D"/>
    <w:rsid w:val="00500795"/>
    <w:rsid w:val="00500A0A"/>
    <w:rsid w:val="00501BC7"/>
    <w:rsid w:val="0050397E"/>
    <w:rsid w:val="0050455E"/>
    <w:rsid w:val="005047AC"/>
    <w:rsid w:val="00505139"/>
    <w:rsid w:val="005059CE"/>
    <w:rsid w:val="005060A4"/>
    <w:rsid w:val="0050701D"/>
    <w:rsid w:val="00510390"/>
    <w:rsid w:val="005124FF"/>
    <w:rsid w:val="005125A2"/>
    <w:rsid w:val="00512B21"/>
    <w:rsid w:val="00512F9F"/>
    <w:rsid w:val="005143AF"/>
    <w:rsid w:val="005144EA"/>
    <w:rsid w:val="00515405"/>
    <w:rsid w:val="00517D5E"/>
    <w:rsid w:val="005206B8"/>
    <w:rsid w:val="00521972"/>
    <w:rsid w:val="00524616"/>
    <w:rsid w:val="00524AA8"/>
    <w:rsid w:val="00524EB0"/>
    <w:rsid w:val="00525219"/>
    <w:rsid w:val="005259C6"/>
    <w:rsid w:val="00525CF3"/>
    <w:rsid w:val="0052677C"/>
    <w:rsid w:val="00526AAE"/>
    <w:rsid w:val="00531253"/>
    <w:rsid w:val="00531FEC"/>
    <w:rsid w:val="00532E43"/>
    <w:rsid w:val="00532F60"/>
    <w:rsid w:val="00533272"/>
    <w:rsid w:val="00533D5A"/>
    <w:rsid w:val="00534A8E"/>
    <w:rsid w:val="00534E7C"/>
    <w:rsid w:val="0053560E"/>
    <w:rsid w:val="005363F6"/>
    <w:rsid w:val="0053644E"/>
    <w:rsid w:val="0053676A"/>
    <w:rsid w:val="00537805"/>
    <w:rsid w:val="00541082"/>
    <w:rsid w:val="005411F2"/>
    <w:rsid w:val="005415A9"/>
    <w:rsid w:val="00541D63"/>
    <w:rsid w:val="005437CF"/>
    <w:rsid w:val="00545CAE"/>
    <w:rsid w:val="0054622C"/>
    <w:rsid w:val="00546B7B"/>
    <w:rsid w:val="00547620"/>
    <w:rsid w:val="00547CB9"/>
    <w:rsid w:val="00551402"/>
    <w:rsid w:val="0055183F"/>
    <w:rsid w:val="00551D8D"/>
    <w:rsid w:val="0055340E"/>
    <w:rsid w:val="0055344C"/>
    <w:rsid w:val="005535E2"/>
    <w:rsid w:val="00554E26"/>
    <w:rsid w:val="00554EFC"/>
    <w:rsid w:val="00555603"/>
    <w:rsid w:val="00556B9A"/>
    <w:rsid w:val="00556E3F"/>
    <w:rsid w:val="005570CB"/>
    <w:rsid w:val="005571A6"/>
    <w:rsid w:val="005579B7"/>
    <w:rsid w:val="00560B2D"/>
    <w:rsid w:val="00560EC7"/>
    <w:rsid w:val="005626EC"/>
    <w:rsid w:val="005627CF"/>
    <w:rsid w:val="00562EF3"/>
    <w:rsid w:val="00563799"/>
    <w:rsid w:val="0056427E"/>
    <w:rsid w:val="00564CC1"/>
    <w:rsid w:val="00565195"/>
    <w:rsid w:val="005652ED"/>
    <w:rsid w:val="00565841"/>
    <w:rsid w:val="00565EBD"/>
    <w:rsid w:val="00566830"/>
    <w:rsid w:val="00566AB1"/>
    <w:rsid w:val="0056736B"/>
    <w:rsid w:val="0057051C"/>
    <w:rsid w:val="005706C9"/>
    <w:rsid w:val="00571371"/>
    <w:rsid w:val="00571968"/>
    <w:rsid w:val="00572E89"/>
    <w:rsid w:val="00574744"/>
    <w:rsid w:val="00575EDB"/>
    <w:rsid w:val="00575F24"/>
    <w:rsid w:val="0057679C"/>
    <w:rsid w:val="005768FB"/>
    <w:rsid w:val="00576A72"/>
    <w:rsid w:val="00577AF4"/>
    <w:rsid w:val="00577D12"/>
    <w:rsid w:val="005806A9"/>
    <w:rsid w:val="005811D7"/>
    <w:rsid w:val="00585D1E"/>
    <w:rsid w:val="005867B3"/>
    <w:rsid w:val="00586E1B"/>
    <w:rsid w:val="0058749B"/>
    <w:rsid w:val="00587D7B"/>
    <w:rsid w:val="0059174B"/>
    <w:rsid w:val="005921F6"/>
    <w:rsid w:val="005933AA"/>
    <w:rsid w:val="005940DF"/>
    <w:rsid w:val="0059529A"/>
    <w:rsid w:val="005961C6"/>
    <w:rsid w:val="00596BEE"/>
    <w:rsid w:val="00597FA7"/>
    <w:rsid w:val="005A0B40"/>
    <w:rsid w:val="005A129F"/>
    <w:rsid w:val="005A1373"/>
    <w:rsid w:val="005A4356"/>
    <w:rsid w:val="005A4E18"/>
    <w:rsid w:val="005A5111"/>
    <w:rsid w:val="005A58F3"/>
    <w:rsid w:val="005A63DC"/>
    <w:rsid w:val="005A73D8"/>
    <w:rsid w:val="005A7E4F"/>
    <w:rsid w:val="005A7F95"/>
    <w:rsid w:val="005B42EA"/>
    <w:rsid w:val="005B5CBD"/>
    <w:rsid w:val="005B5CEB"/>
    <w:rsid w:val="005B6F23"/>
    <w:rsid w:val="005B71B7"/>
    <w:rsid w:val="005B77E1"/>
    <w:rsid w:val="005C015B"/>
    <w:rsid w:val="005C06C9"/>
    <w:rsid w:val="005C0E4F"/>
    <w:rsid w:val="005C23A3"/>
    <w:rsid w:val="005C2DBE"/>
    <w:rsid w:val="005C666E"/>
    <w:rsid w:val="005C7508"/>
    <w:rsid w:val="005C7A00"/>
    <w:rsid w:val="005C7FED"/>
    <w:rsid w:val="005D0083"/>
    <w:rsid w:val="005D01C8"/>
    <w:rsid w:val="005D028A"/>
    <w:rsid w:val="005D1722"/>
    <w:rsid w:val="005D1A6B"/>
    <w:rsid w:val="005D22B4"/>
    <w:rsid w:val="005D286E"/>
    <w:rsid w:val="005D3E64"/>
    <w:rsid w:val="005D4205"/>
    <w:rsid w:val="005D444A"/>
    <w:rsid w:val="005D5358"/>
    <w:rsid w:val="005D539E"/>
    <w:rsid w:val="005D5AB3"/>
    <w:rsid w:val="005D65CC"/>
    <w:rsid w:val="005D66CE"/>
    <w:rsid w:val="005D69FF"/>
    <w:rsid w:val="005D7F94"/>
    <w:rsid w:val="005E00F2"/>
    <w:rsid w:val="005E0D81"/>
    <w:rsid w:val="005E1158"/>
    <w:rsid w:val="005E1201"/>
    <w:rsid w:val="005E1880"/>
    <w:rsid w:val="005E2DE2"/>
    <w:rsid w:val="005E3769"/>
    <w:rsid w:val="005E5445"/>
    <w:rsid w:val="005E59ED"/>
    <w:rsid w:val="005E6884"/>
    <w:rsid w:val="005E6F6B"/>
    <w:rsid w:val="005E72C9"/>
    <w:rsid w:val="005E75FC"/>
    <w:rsid w:val="005E7A25"/>
    <w:rsid w:val="005F030C"/>
    <w:rsid w:val="005F08FF"/>
    <w:rsid w:val="005F1331"/>
    <w:rsid w:val="005F1645"/>
    <w:rsid w:val="005F2545"/>
    <w:rsid w:val="005F254F"/>
    <w:rsid w:val="005F2D63"/>
    <w:rsid w:val="005F33C0"/>
    <w:rsid w:val="005F4344"/>
    <w:rsid w:val="005F4CF9"/>
    <w:rsid w:val="005F4D13"/>
    <w:rsid w:val="005F5DE4"/>
    <w:rsid w:val="005F6EED"/>
    <w:rsid w:val="005F77B9"/>
    <w:rsid w:val="0060014E"/>
    <w:rsid w:val="0060220C"/>
    <w:rsid w:val="00603ABA"/>
    <w:rsid w:val="00605D0A"/>
    <w:rsid w:val="00610EEC"/>
    <w:rsid w:val="006113FB"/>
    <w:rsid w:val="00611FE2"/>
    <w:rsid w:val="006129FB"/>
    <w:rsid w:val="00612A6F"/>
    <w:rsid w:val="00612CF4"/>
    <w:rsid w:val="00612D5E"/>
    <w:rsid w:val="00613A29"/>
    <w:rsid w:val="0061401C"/>
    <w:rsid w:val="00616497"/>
    <w:rsid w:val="006206AD"/>
    <w:rsid w:val="00622BFE"/>
    <w:rsid w:val="006233D0"/>
    <w:rsid w:val="00623CDD"/>
    <w:rsid w:val="00626061"/>
    <w:rsid w:val="0062696C"/>
    <w:rsid w:val="00626A0B"/>
    <w:rsid w:val="00626D44"/>
    <w:rsid w:val="0062746E"/>
    <w:rsid w:val="00627602"/>
    <w:rsid w:val="006277B4"/>
    <w:rsid w:val="00627981"/>
    <w:rsid w:val="00627AC6"/>
    <w:rsid w:val="00630D82"/>
    <w:rsid w:val="00631684"/>
    <w:rsid w:val="006319B4"/>
    <w:rsid w:val="006329B6"/>
    <w:rsid w:val="006335C7"/>
    <w:rsid w:val="00635DC9"/>
    <w:rsid w:val="0063658B"/>
    <w:rsid w:val="006368EA"/>
    <w:rsid w:val="00636D93"/>
    <w:rsid w:val="00640B64"/>
    <w:rsid w:val="00642A0B"/>
    <w:rsid w:val="006434A0"/>
    <w:rsid w:val="006444A0"/>
    <w:rsid w:val="00644F84"/>
    <w:rsid w:val="00645E34"/>
    <w:rsid w:val="00646FDD"/>
    <w:rsid w:val="00647BC7"/>
    <w:rsid w:val="00650961"/>
    <w:rsid w:val="006513B0"/>
    <w:rsid w:val="00651B97"/>
    <w:rsid w:val="00653292"/>
    <w:rsid w:val="006536CB"/>
    <w:rsid w:val="00654FE1"/>
    <w:rsid w:val="006553BF"/>
    <w:rsid w:val="006562C3"/>
    <w:rsid w:val="00657A1F"/>
    <w:rsid w:val="0066115D"/>
    <w:rsid w:val="00662882"/>
    <w:rsid w:val="00664BD6"/>
    <w:rsid w:val="006650C9"/>
    <w:rsid w:val="00666363"/>
    <w:rsid w:val="006708E2"/>
    <w:rsid w:val="006719B9"/>
    <w:rsid w:val="006734EE"/>
    <w:rsid w:val="00674565"/>
    <w:rsid w:val="00674A1C"/>
    <w:rsid w:val="00674B78"/>
    <w:rsid w:val="00674C09"/>
    <w:rsid w:val="00674EF5"/>
    <w:rsid w:val="0067613D"/>
    <w:rsid w:val="00680B5D"/>
    <w:rsid w:val="00681B57"/>
    <w:rsid w:val="00681DCE"/>
    <w:rsid w:val="00682A17"/>
    <w:rsid w:val="00683327"/>
    <w:rsid w:val="00683802"/>
    <w:rsid w:val="00684B44"/>
    <w:rsid w:val="00685D02"/>
    <w:rsid w:val="00686A4D"/>
    <w:rsid w:val="006872D3"/>
    <w:rsid w:val="0068731F"/>
    <w:rsid w:val="0069280D"/>
    <w:rsid w:val="0069378F"/>
    <w:rsid w:val="00693D9A"/>
    <w:rsid w:val="006941E2"/>
    <w:rsid w:val="0069527F"/>
    <w:rsid w:val="00695781"/>
    <w:rsid w:val="0069783F"/>
    <w:rsid w:val="006A0A57"/>
    <w:rsid w:val="006A1A16"/>
    <w:rsid w:val="006A35D0"/>
    <w:rsid w:val="006A3A72"/>
    <w:rsid w:val="006A4A3E"/>
    <w:rsid w:val="006A4E56"/>
    <w:rsid w:val="006A5510"/>
    <w:rsid w:val="006A556B"/>
    <w:rsid w:val="006A665D"/>
    <w:rsid w:val="006A6D35"/>
    <w:rsid w:val="006A746D"/>
    <w:rsid w:val="006B03BC"/>
    <w:rsid w:val="006B0442"/>
    <w:rsid w:val="006B0B79"/>
    <w:rsid w:val="006B0BDA"/>
    <w:rsid w:val="006B1EFF"/>
    <w:rsid w:val="006B3241"/>
    <w:rsid w:val="006B5663"/>
    <w:rsid w:val="006B5890"/>
    <w:rsid w:val="006C07D9"/>
    <w:rsid w:val="006C325B"/>
    <w:rsid w:val="006C3A40"/>
    <w:rsid w:val="006C40E4"/>
    <w:rsid w:val="006D05A2"/>
    <w:rsid w:val="006D070E"/>
    <w:rsid w:val="006D1EBC"/>
    <w:rsid w:val="006D3DCF"/>
    <w:rsid w:val="006D4355"/>
    <w:rsid w:val="006D4526"/>
    <w:rsid w:val="006D478D"/>
    <w:rsid w:val="006D5375"/>
    <w:rsid w:val="006D5F20"/>
    <w:rsid w:val="006D65A2"/>
    <w:rsid w:val="006D67B3"/>
    <w:rsid w:val="006D70C3"/>
    <w:rsid w:val="006E02FF"/>
    <w:rsid w:val="006E0D8B"/>
    <w:rsid w:val="006E0F39"/>
    <w:rsid w:val="006E15F6"/>
    <w:rsid w:val="006E16B3"/>
    <w:rsid w:val="006E1B0A"/>
    <w:rsid w:val="006E2188"/>
    <w:rsid w:val="006E21A4"/>
    <w:rsid w:val="006E2E46"/>
    <w:rsid w:val="006E37DF"/>
    <w:rsid w:val="006E39BC"/>
    <w:rsid w:val="006E3AE4"/>
    <w:rsid w:val="006E3FDD"/>
    <w:rsid w:val="006E6455"/>
    <w:rsid w:val="006E698A"/>
    <w:rsid w:val="006E6E06"/>
    <w:rsid w:val="006E7038"/>
    <w:rsid w:val="006E7B3A"/>
    <w:rsid w:val="006F2DCE"/>
    <w:rsid w:val="006F335D"/>
    <w:rsid w:val="006F3D9F"/>
    <w:rsid w:val="006F5A2F"/>
    <w:rsid w:val="006F639C"/>
    <w:rsid w:val="006F7634"/>
    <w:rsid w:val="006F7979"/>
    <w:rsid w:val="006F7DE4"/>
    <w:rsid w:val="00700200"/>
    <w:rsid w:val="0070095A"/>
    <w:rsid w:val="007013FE"/>
    <w:rsid w:val="00701811"/>
    <w:rsid w:val="007036A5"/>
    <w:rsid w:val="00703B5F"/>
    <w:rsid w:val="00704281"/>
    <w:rsid w:val="007042D4"/>
    <w:rsid w:val="00704EB8"/>
    <w:rsid w:val="00705012"/>
    <w:rsid w:val="00705322"/>
    <w:rsid w:val="007067C7"/>
    <w:rsid w:val="00707EC7"/>
    <w:rsid w:val="00710551"/>
    <w:rsid w:val="007117A0"/>
    <w:rsid w:val="0071199C"/>
    <w:rsid w:val="00712A27"/>
    <w:rsid w:val="00712F2A"/>
    <w:rsid w:val="0071332F"/>
    <w:rsid w:val="00714307"/>
    <w:rsid w:val="007154D1"/>
    <w:rsid w:val="007203D0"/>
    <w:rsid w:val="00721260"/>
    <w:rsid w:val="00721A72"/>
    <w:rsid w:val="00722FC3"/>
    <w:rsid w:val="007233BD"/>
    <w:rsid w:val="007256EE"/>
    <w:rsid w:val="00726179"/>
    <w:rsid w:val="00726DAB"/>
    <w:rsid w:val="007274AA"/>
    <w:rsid w:val="00727C93"/>
    <w:rsid w:val="00730AB8"/>
    <w:rsid w:val="00731D4B"/>
    <w:rsid w:val="007327BE"/>
    <w:rsid w:val="0073390E"/>
    <w:rsid w:val="00733912"/>
    <w:rsid w:val="00733C3E"/>
    <w:rsid w:val="0073407F"/>
    <w:rsid w:val="00734095"/>
    <w:rsid w:val="007344DF"/>
    <w:rsid w:val="00734DC3"/>
    <w:rsid w:val="00736476"/>
    <w:rsid w:val="00740AA6"/>
    <w:rsid w:val="007445A2"/>
    <w:rsid w:val="00745A7C"/>
    <w:rsid w:val="007468C0"/>
    <w:rsid w:val="00746A7E"/>
    <w:rsid w:val="00747586"/>
    <w:rsid w:val="00747B4C"/>
    <w:rsid w:val="0075134B"/>
    <w:rsid w:val="007518BA"/>
    <w:rsid w:val="00751B61"/>
    <w:rsid w:val="007520A0"/>
    <w:rsid w:val="0075257C"/>
    <w:rsid w:val="007531AF"/>
    <w:rsid w:val="007537E6"/>
    <w:rsid w:val="00753A5D"/>
    <w:rsid w:val="00754CCD"/>
    <w:rsid w:val="00755A83"/>
    <w:rsid w:val="0075627D"/>
    <w:rsid w:val="007564FA"/>
    <w:rsid w:val="00756686"/>
    <w:rsid w:val="00757252"/>
    <w:rsid w:val="007601A2"/>
    <w:rsid w:val="0076074D"/>
    <w:rsid w:val="0076119F"/>
    <w:rsid w:val="00761CD2"/>
    <w:rsid w:val="00762961"/>
    <w:rsid w:val="00762E69"/>
    <w:rsid w:val="00764385"/>
    <w:rsid w:val="0076508F"/>
    <w:rsid w:val="00765978"/>
    <w:rsid w:val="00766320"/>
    <w:rsid w:val="00766C1B"/>
    <w:rsid w:val="00770225"/>
    <w:rsid w:val="00771213"/>
    <w:rsid w:val="0077426F"/>
    <w:rsid w:val="007764EC"/>
    <w:rsid w:val="00776514"/>
    <w:rsid w:val="00780802"/>
    <w:rsid w:val="00780E51"/>
    <w:rsid w:val="007817F8"/>
    <w:rsid w:val="007822C3"/>
    <w:rsid w:val="007825F1"/>
    <w:rsid w:val="00782C87"/>
    <w:rsid w:val="00785065"/>
    <w:rsid w:val="00785DF9"/>
    <w:rsid w:val="007875FD"/>
    <w:rsid w:val="00787F21"/>
    <w:rsid w:val="007905BD"/>
    <w:rsid w:val="007912DE"/>
    <w:rsid w:val="0079214B"/>
    <w:rsid w:val="007931CF"/>
    <w:rsid w:val="00794601"/>
    <w:rsid w:val="00795422"/>
    <w:rsid w:val="00795965"/>
    <w:rsid w:val="007959A0"/>
    <w:rsid w:val="0079797C"/>
    <w:rsid w:val="007A03C7"/>
    <w:rsid w:val="007A1B55"/>
    <w:rsid w:val="007A2C1F"/>
    <w:rsid w:val="007A4529"/>
    <w:rsid w:val="007A480F"/>
    <w:rsid w:val="007A48BA"/>
    <w:rsid w:val="007A4AA0"/>
    <w:rsid w:val="007A573E"/>
    <w:rsid w:val="007A770C"/>
    <w:rsid w:val="007B1537"/>
    <w:rsid w:val="007B1746"/>
    <w:rsid w:val="007B1CC7"/>
    <w:rsid w:val="007B3484"/>
    <w:rsid w:val="007B3539"/>
    <w:rsid w:val="007B3643"/>
    <w:rsid w:val="007B3AB2"/>
    <w:rsid w:val="007B4770"/>
    <w:rsid w:val="007B4CF6"/>
    <w:rsid w:val="007B51F2"/>
    <w:rsid w:val="007B7C0B"/>
    <w:rsid w:val="007B7E25"/>
    <w:rsid w:val="007C2241"/>
    <w:rsid w:val="007C2F0B"/>
    <w:rsid w:val="007C5F70"/>
    <w:rsid w:val="007C6E23"/>
    <w:rsid w:val="007D0A97"/>
    <w:rsid w:val="007D0E22"/>
    <w:rsid w:val="007D1044"/>
    <w:rsid w:val="007D1EC0"/>
    <w:rsid w:val="007D2B40"/>
    <w:rsid w:val="007D2CAF"/>
    <w:rsid w:val="007D3A86"/>
    <w:rsid w:val="007D486B"/>
    <w:rsid w:val="007D56D4"/>
    <w:rsid w:val="007D6164"/>
    <w:rsid w:val="007E01D0"/>
    <w:rsid w:val="007E03AA"/>
    <w:rsid w:val="007E1ACF"/>
    <w:rsid w:val="007E219B"/>
    <w:rsid w:val="007E3BF8"/>
    <w:rsid w:val="007E4B2B"/>
    <w:rsid w:val="007E60E1"/>
    <w:rsid w:val="007E72DE"/>
    <w:rsid w:val="007F03EF"/>
    <w:rsid w:val="007F06A5"/>
    <w:rsid w:val="007F0B0E"/>
    <w:rsid w:val="007F22C6"/>
    <w:rsid w:val="007F449F"/>
    <w:rsid w:val="007F4A6A"/>
    <w:rsid w:val="007F5262"/>
    <w:rsid w:val="007F5996"/>
    <w:rsid w:val="007F63A3"/>
    <w:rsid w:val="007F7DF5"/>
    <w:rsid w:val="0080157C"/>
    <w:rsid w:val="00802FD0"/>
    <w:rsid w:val="00803CC2"/>
    <w:rsid w:val="00804290"/>
    <w:rsid w:val="0080512D"/>
    <w:rsid w:val="00805CBA"/>
    <w:rsid w:val="008078F4"/>
    <w:rsid w:val="00811556"/>
    <w:rsid w:val="00811C8A"/>
    <w:rsid w:val="00812C9A"/>
    <w:rsid w:val="0081410F"/>
    <w:rsid w:val="0081455A"/>
    <w:rsid w:val="00815F6A"/>
    <w:rsid w:val="00816B44"/>
    <w:rsid w:val="00817430"/>
    <w:rsid w:val="008200B2"/>
    <w:rsid w:val="0082263F"/>
    <w:rsid w:val="008235D6"/>
    <w:rsid w:val="008236FB"/>
    <w:rsid w:val="008250BA"/>
    <w:rsid w:val="0082656C"/>
    <w:rsid w:val="00827F37"/>
    <w:rsid w:val="00831D26"/>
    <w:rsid w:val="0083264B"/>
    <w:rsid w:val="0083309A"/>
    <w:rsid w:val="00834F11"/>
    <w:rsid w:val="00835BD8"/>
    <w:rsid w:val="008365D3"/>
    <w:rsid w:val="008367FE"/>
    <w:rsid w:val="00836D29"/>
    <w:rsid w:val="008375E9"/>
    <w:rsid w:val="008411BF"/>
    <w:rsid w:val="008419AE"/>
    <w:rsid w:val="00842877"/>
    <w:rsid w:val="008430FA"/>
    <w:rsid w:val="008432A1"/>
    <w:rsid w:val="00843601"/>
    <w:rsid w:val="00843959"/>
    <w:rsid w:val="00843FC8"/>
    <w:rsid w:val="00847F22"/>
    <w:rsid w:val="008501B1"/>
    <w:rsid w:val="00851558"/>
    <w:rsid w:val="008534EA"/>
    <w:rsid w:val="008546B9"/>
    <w:rsid w:val="00855255"/>
    <w:rsid w:val="00856C27"/>
    <w:rsid w:val="00857751"/>
    <w:rsid w:val="00857C6D"/>
    <w:rsid w:val="008600D9"/>
    <w:rsid w:val="008613C7"/>
    <w:rsid w:val="00861AD8"/>
    <w:rsid w:val="00862436"/>
    <w:rsid w:val="008626D4"/>
    <w:rsid w:val="00865C27"/>
    <w:rsid w:val="00866A0C"/>
    <w:rsid w:val="00871178"/>
    <w:rsid w:val="008727F1"/>
    <w:rsid w:val="008739B8"/>
    <w:rsid w:val="008748AC"/>
    <w:rsid w:val="0087511C"/>
    <w:rsid w:val="00875470"/>
    <w:rsid w:val="008777E7"/>
    <w:rsid w:val="00880A01"/>
    <w:rsid w:val="00880F98"/>
    <w:rsid w:val="00881E75"/>
    <w:rsid w:val="008828E4"/>
    <w:rsid w:val="00884171"/>
    <w:rsid w:val="00884427"/>
    <w:rsid w:val="00884C64"/>
    <w:rsid w:val="00886BAC"/>
    <w:rsid w:val="00886D9A"/>
    <w:rsid w:val="00886EE5"/>
    <w:rsid w:val="00890A8B"/>
    <w:rsid w:val="00891E93"/>
    <w:rsid w:val="00892FB7"/>
    <w:rsid w:val="008931AE"/>
    <w:rsid w:val="00893E2C"/>
    <w:rsid w:val="00894B4A"/>
    <w:rsid w:val="0089595F"/>
    <w:rsid w:val="008962C3"/>
    <w:rsid w:val="00896814"/>
    <w:rsid w:val="00897003"/>
    <w:rsid w:val="00897B2D"/>
    <w:rsid w:val="00897E96"/>
    <w:rsid w:val="008A0A8E"/>
    <w:rsid w:val="008A0EB3"/>
    <w:rsid w:val="008A1372"/>
    <w:rsid w:val="008A14B4"/>
    <w:rsid w:val="008A168E"/>
    <w:rsid w:val="008A2425"/>
    <w:rsid w:val="008A34E7"/>
    <w:rsid w:val="008A3633"/>
    <w:rsid w:val="008A4020"/>
    <w:rsid w:val="008A4258"/>
    <w:rsid w:val="008A4E68"/>
    <w:rsid w:val="008A526E"/>
    <w:rsid w:val="008A5715"/>
    <w:rsid w:val="008A585A"/>
    <w:rsid w:val="008A5AF1"/>
    <w:rsid w:val="008A5C04"/>
    <w:rsid w:val="008A7497"/>
    <w:rsid w:val="008A7AC4"/>
    <w:rsid w:val="008A7B58"/>
    <w:rsid w:val="008B01E5"/>
    <w:rsid w:val="008B1EE1"/>
    <w:rsid w:val="008B2219"/>
    <w:rsid w:val="008B4EF8"/>
    <w:rsid w:val="008B5311"/>
    <w:rsid w:val="008B654C"/>
    <w:rsid w:val="008B67BD"/>
    <w:rsid w:val="008B79CA"/>
    <w:rsid w:val="008B7D43"/>
    <w:rsid w:val="008C17AE"/>
    <w:rsid w:val="008C2297"/>
    <w:rsid w:val="008C440B"/>
    <w:rsid w:val="008C5360"/>
    <w:rsid w:val="008C567D"/>
    <w:rsid w:val="008C5D59"/>
    <w:rsid w:val="008C7114"/>
    <w:rsid w:val="008C787B"/>
    <w:rsid w:val="008D0FF3"/>
    <w:rsid w:val="008D29A6"/>
    <w:rsid w:val="008D4032"/>
    <w:rsid w:val="008D4238"/>
    <w:rsid w:val="008D494D"/>
    <w:rsid w:val="008D4BAE"/>
    <w:rsid w:val="008D4DB5"/>
    <w:rsid w:val="008D515A"/>
    <w:rsid w:val="008D6529"/>
    <w:rsid w:val="008E0DB9"/>
    <w:rsid w:val="008E1270"/>
    <w:rsid w:val="008E1C58"/>
    <w:rsid w:val="008E1D1B"/>
    <w:rsid w:val="008E1D78"/>
    <w:rsid w:val="008E1DE9"/>
    <w:rsid w:val="008E3B17"/>
    <w:rsid w:val="008E4A08"/>
    <w:rsid w:val="008E5DF4"/>
    <w:rsid w:val="008E625B"/>
    <w:rsid w:val="008E76E9"/>
    <w:rsid w:val="008F05B4"/>
    <w:rsid w:val="008F289D"/>
    <w:rsid w:val="008F2942"/>
    <w:rsid w:val="008F54F0"/>
    <w:rsid w:val="008F5BB7"/>
    <w:rsid w:val="008F717F"/>
    <w:rsid w:val="009009C3"/>
    <w:rsid w:val="00900C00"/>
    <w:rsid w:val="00900FAB"/>
    <w:rsid w:val="009012CD"/>
    <w:rsid w:val="0090139E"/>
    <w:rsid w:val="00901B1D"/>
    <w:rsid w:val="00902C3A"/>
    <w:rsid w:val="00903553"/>
    <w:rsid w:val="00903679"/>
    <w:rsid w:val="00903C6A"/>
    <w:rsid w:val="00904F8C"/>
    <w:rsid w:val="00905A27"/>
    <w:rsid w:val="00905A9E"/>
    <w:rsid w:val="009077DB"/>
    <w:rsid w:val="00907F5F"/>
    <w:rsid w:val="00911D61"/>
    <w:rsid w:val="0091210F"/>
    <w:rsid w:val="00912177"/>
    <w:rsid w:val="009138C8"/>
    <w:rsid w:val="009141A0"/>
    <w:rsid w:val="009145B6"/>
    <w:rsid w:val="009148C8"/>
    <w:rsid w:val="00914B5B"/>
    <w:rsid w:val="00917AAA"/>
    <w:rsid w:val="0092087D"/>
    <w:rsid w:val="00922014"/>
    <w:rsid w:val="00922A96"/>
    <w:rsid w:val="009240C4"/>
    <w:rsid w:val="009242B7"/>
    <w:rsid w:val="009245A6"/>
    <w:rsid w:val="009255BD"/>
    <w:rsid w:val="00926860"/>
    <w:rsid w:val="009317FF"/>
    <w:rsid w:val="00931EA9"/>
    <w:rsid w:val="0093374D"/>
    <w:rsid w:val="00933BF2"/>
    <w:rsid w:val="00933C93"/>
    <w:rsid w:val="00933CDC"/>
    <w:rsid w:val="00933FF7"/>
    <w:rsid w:val="009347D0"/>
    <w:rsid w:val="00935489"/>
    <w:rsid w:val="0093561A"/>
    <w:rsid w:val="0093574A"/>
    <w:rsid w:val="00935CE5"/>
    <w:rsid w:val="0093626E"/>
    <w:rsid w:val="00940887"/>
    <w:rsid w:val="00940D34"/>
    <w:rsid w:val="009417BA"/>
    <w:rsid w:val="00941D58"/>
    <w:rsid w:val="00950C2E"/>
    <w:rsid w:val="00952DB5"/>
    <w:rsid w:val="00953FC5"/>
    <w:rsid w:val="00955E16"/>
    <w:rsid w:val="00957E4B"/>
    <w:rsid w:val="0096094F"/>
    <w:rsid w:val="00960BC9"/>
    <w:rsid w:val="00961271"/>
    <w:rsid w:val="009622BB"/>
    <w:rsid w:val="00963339"/>
    <w:rsid w:val="009648D4"/>
    <w:rsid w:val="00965086"/>
    <w:rsid w:val="00966D63"/>
    <w:rsid w:val="00970D86"/>
    <w:rsid w:val="00970FDC"/>
    <w:rsid w:val="0097106B"/>
    <w:rsid w:val="00971B97"/>
    <w:rsid w:val="00971ED8"/>
    <w:rsid w:val="00972780"/>
    <w:rsid w:val="00972EC0"/>
    <w:rsid w:val="00973C76"/>
    <w:rsid w:val="0097450E"/>
    <w:rsid w:val="00975478"/>
    <w:rsid w:val="00975C95"/>
    <w:rsid w:val="00975F9C"/>
    <w:rsid w:val="00976340"/>
    <w:rsid w:val="00976821"/>
    <w:rsid w:val="0097719C"/>
    <w:rsid w:val="009814A8"/>
    <w:rsid w:val="0098318A"/>
    <w:rsid w:val="0098338A"/>
    <w:rsid w:val="00984250"/>
    <w:rsid w:val="009862EE"/>
    <w:rsid w:val="00986848"/>
    <w:rsid w:val="00986F01"/>
    <w:rsid w:val="009900DB"/>
    <w:rsid w:val="00990B2F"/>
    <w:rsid w:val="00991385"/>
    <w:rsid w:val="0099181D"/>
    <w:rsid w:val="00992FE4"/>
    <w:rsid w:val="00993180"/>
    <w:rsid w:val="0099591E"/>
    <w:rsid w:val="00996839"/>
    <w:rsid w:val="00996880"/>
    <w:rsid w:val="00996950"/>
    <w:rsid w:val="009A168D"/>
    <w:rsid w:val="009A2218"/>
    <w:rsid w:val="009A2E5C"/>
    <w:rsid w:val="009A418C"/>
    <w:rsid w:val="009A5743"/>
    <w:rsid w:val="009A5A64"/>
    <w:rsid w:val="009A5D43"/>
    <w:rsid w:val="009A69C8"/>
    <w:rsid w:val="009B05BA"/>
    <w:rsid w:val="009B0F9A"/>
    <w:rsid w:val="009B29AB"/>
    <w:rsid w:val="009B2B84"/>
    <w:rsid w:val="009B2E01"/>
    <w:rsid w:val="009B46AD"/>
    <w:rsid w:val="009B50CA"/>
    <w:rsid w:val="009B6C7E"/>
    <w:rsid w:val="009C0BDD"/>
    <w:rsid w:val="009C2710"/>
    <w:rsid w:val="009C28F0"/>
    <w:rsid w:val="009C2B63"/>
    <w:rsid w:val="009C2CEC"/>
    <w:rsid w:val="009C3117"/>
    <w:rsid w:val="009C396E"/>
    <w:rsid w:val="009C5402"/>
    <w:rsid w:val="009C56F4"/>
    <w:rsid w:val="009C58F0"/>
    <w:rsid w:val="009C6BF0"/>
    <w:rsid w:val="009C7696"/>
    <w:rsid w:val="009D1FBD"/>
    <w:rsid w:val="009D38E0"/>
    <w:rsid w:val="009D42C4"/>
    <w:rsid w:val="009D5E4B"/>
    <w:rsid w:val="009E04F7"/>
    <w:rsid w:val="009E13FC"/>
    <w:rsid w:val="009E1D3D"/>
    <w:rsid w:val="009E1DB5"/>
    <w:rsid w:val="009E2804"/>
    <w:rsid w:val="009E2EE5"/>
    <w:rsid w:val="009E2FF2"/>
    <w:rsid w:val="009E3C36"/>
    <w:rsid w:val="009E3C65"/>
    <w:rsid w:val="009E6141"/>
    <w:rsid w:val="009E6BEF"/>
    <w:rsid w:val="009E7116"/>
    <w:rsid w:val="009E7813"/>
    <w:rsid w:val="009E7B3F"/>
    <w:rsid w:val="009F14A0"/>
    <w:rsid w:val="009F1DB8"/>
    <w:rsid w:val="009F24D2"/>
    <w:rsid w:val="009F626E"/>
    <w:rsid w:val="009F630E"/>
    <w:rsid w:val="009F66A5"/>
    <w:rsid w:val="009F6A37"/>
    <w:rsid w:val="009F705C"/>
    <w:rsid w:val="009F71EF"/>
    <w:rsid w:val="009F763A"/>
    <w:rsid w:val="009F7E57"/>
    <w:rsid w:val="00A00575"/>
    <w:rsid w:val="00A01641"/>
    <w:rsid w:val="00A01C11"/>
    <w:rsid w:val="00A0246E"/>
    <w:rsid w:val="00A05E07"/>
    <w:rsid w:val="00A07011"/>
    <w:rsid w:val="00A0750D"/>
    <w:rsid w:val="00A07570"/>
    <w:rsid w:val="00A11F04"/>
    <w:rsid w:val="00A122CB"/>
    <w:rsid w:val="00A123B2"/>
    <w:rsid w:val="00A12B7E"/>
    <w:rsid w:val="00A13477"/>
    <w:rsid w:val="00A143EE"/>
    <w:rsid w:val="00A150CF"/>
    <w:rsid w:val="00A1635B"/>
    <w:rsid w:val="00A16669"/>
    <w:rsid w:val="00A16CE7"/>
    <w:rsid w:val="00A173D2"/>
    <w:rsid w:val="00A2055C"/>
    <w:rsid w:val="00A20909"/>
    <w:rsid w:val="00A21D42"/>
    <w:rsid w:val="00A224F0"/>
    <w:rsid w:val="00A22D7A"/>
    <w:rsid w:val="00A23CF2"/>
    <w:rsid w:val="00A24A87"/>
    <w:rsid w:val="00A24B6D"/>
    <w:rsid w:val="00A24C4E"/>
    <w:rsid w:val="00A254BB"/>
    <w:rsid w:val="00A2578B"/>
    <w:rsid w:val="00A25F49"/>
    <w:rsid w:val="00A26107"/>
    <w:rsid w:val="00A277EA"/>
    <w:rsid w:val="00A27C89"/>
    <w:rsid w:val="00A3053B"/>
    <w:rsid w:val="00A30592"/>
    <w:rsid w:val="00A30FD1"/>
    <w:rsid w:val="00A33E8E"/>
    <w:rsid w:val="00A346A1"/>
    <w:rsid w:val="00A35672"/>
    <w:rsid w:val="00A35EDE"/>
    <w:rsid w:val="00A37151"/>
    <w:rsid w:val="00A3721A"/>
    <w:rsid w:val="00A42EE1"/>
    <w:rsid w:val="00A431CF"/>
    <w:rsid w:val="00A454C0"/>
    <w:rsid w:val="00A45EF6"/>
    <w:rsid w:val="00A46181"/>
    <w:rsid w:val="00A4684A"/>
    <w:rsid w:val="00A47CE7"/>
    <w:rsid w:val="00A5015E"/>
    <w:rsid w:val="00A509AA"/>
    <w:rsid w:val="00A510B6"/>
    <w:rsid w:val="00A5245E"/>
    <w:rsid w:val="00A533C9"/>
    <w:rsid w:val="00A53AAA"/>
    <w:rsid w:val="00A53D67"/>
    <w:rsid w:val="00A53E84"/>
    <w:rsid w:val="00A54CA5"/>
    <w:rsid w:val="00A574B0"/>
    <w:rsid w:val="00A57745"/>
    <w:rsid w:val="00A61E61"/>
    <w:rsid w:val="00A63B97"/>
    <w:rsid w:val="00A64477"/>
    <w:rsid w:val="00A64673"/>
    <w:rsid w:val="00A646FD"/>
    <w:rsid w:val="00A64800"/>
    <w:rsid w:val="00A65C02"/>
    <w:rsid w:val="00A65CB8"/>
    <w:rsid w:val="00A66C64"/>
    <w:rsid w:val="00A67128"/>
    <w:rsid w:val="00A67953"/>
    <w:rsid w:val="00A67E93"/>
    <w:rsid w:val="00A70BE1"/>
    <w:rsid w:val="00A70EB7"/>
    <w:rsid w:val="00A71A73"/>
    <w:rsid w:val="00A730F9"/>
    <w:rsid w:val="00A736B3"/>
    <w:rsid w:val="00A739FD"/>
    <w:rsid w:val="00A73F32"/>
    <w:rsid w:val="00A74943"/>
    <w:rsid w:val="00A75DF0"/>
    <w:rsid w:val="00A76236"/>
    <w:rsid w:val="00A76269"/>
    <w:rsid w:val="00A763A1"/>
    <w:rsid w:val="00A8036C"/>
    <w:rsid w:val="00A81974"/>
    <w:rsid w:val="00A832B1"/>
    <w:rsid w:val="00A83904"/>
    <w:rsid w:val="00A83CCE"/>
    <w:rsid w:val="00A84CCF"/>
    <w:rsid w:val="00A84E2C"/>
    <w:rsid w:val="00A85194"/>
    <w:rsid w:val="00A8640A"/>
    <w:rsid w:val="00A91D0D"/>
    <w:rsid w:val="00A9291A"/>
    <w:rsid w:val="00A92A48"/>
    <w:rsid w:val="00A93A43"/>
    <w:rsid w:val="00A951DC"/>
    <w:rsid w:val="00A957F4"/>
    <w:rsid w:val="00A95E4A"/>
    <w:rsid w:val="00A96833"/>
    <w:rsid w:val="00A97748"/>
    <w:rsid w:val="00AA2EB6"/>
    <w:rsid w:val="00AA40F0"/>
    <w:rsid w:val="00AA5411"/>
    <w:rsid w:val="00AA64D6"/>
    <w:rsid w:val="00AA650C"/>
    <w:rsid w:val="00AA7543"/>
    <w:rsid w:val="00AB012C"/>
    <w:rsid w:val="00AB21F7"/>
    <w:rsid w:val="00AB279C"/>
    <w:rsid w:val="00AB357F"/>
    <w:rsid w:val="00AB478E"/>
    <w:rsid w:val="00AB4C62"/>
    <w:rsid w:val="00AB5B52"/>
    <w:rsid w:val="00AB6B8F"/>
    <w:rsid w:val="00AB70EA"/>
    <w:rsid w:val="00AC0A07"/>
    <w:rsid w:val="00AC122C"/>
    <w:rsid w:val="00AC125E"/>
    <w:rsid w:val="00AC1A64"/>
    <w:rsid w:val="00AC4621"/>
    <w:rsid w:val="00AC53D8"/>
    <w:rsid w:val="00AC6736"/>
    <w:rsid w:val="00AC7E71"/>
    <w:rsid w:val="00AD22DC"/>
    <w:rsid w:val="00AD31AE"/>
    <w:rsid w:val="00AD329B"/>
    <w:rsid w:val="00AD32D9"/>
    <w:rsid w:val="00AD71EF"/>
    <w:rsid w:val="00AD74A9"/>
    <w:rsid w:val="00AD7BB9"/>
    <w:rsid w:val="00AE2772"/>
    <w:rsid w:val="00AE2909"/>
    <w:rsid w:val="00AE3058"/>
    <w:rsid w:val="00AE490A"/>
    <w:rsid w:val="00AE4923"/>
    <w:rsid w:val="00AE4EC2"/>
    <w:rsid w:val="00AE536E"/>
    <w:rsid w:val="00AE56F4"/>
    <w:rsid w:val="00AE6407"/>
    <w:rsid w:val="00AE6872"/>
    <w:rsid w:val="00AE6C6C"/>
    <w:rsid w:val="00AE70B8"/>
    <w:rsid w:val="00AF0EE6"/>
    <w:rsid w:val="00AF1062"/>
    <w:rsid w:val="00AF1D2C"/>
    <w:rsid w:val="00AF2751"/>
    <w:rsid w:val="00AF3585"/>
    <w:rsid w:val="00AF4496"/>
    <w:rsid w:val="00AF47E6"/>
    <w:rsid w:val="00AF55BB"/>
    <w:rsid w:val="00AF578F"/>
    <w:rsid w:val="00B002D3"/>
    <w:rsid w:val="00B00D23"/>
    <w:rsid w:val="00B02822"/>
    <w:rsid w:val="00B02B1E"/>
    <w:rsid w:val="00B0312A"/>
    <w:rsid w:val="00B060DF"/>
    <w:rsid w:val="00B06E93"/>
    <w:rsid w:val="00B076E7"/>
    <w:rsid w:val="00B1039B"/>
    <w:rsid w:val="00B11F78"/>
    <w:rsid w:val="00B12243"/>
    <w:rsid w:val="00B12400"/>
    <w:rsid w:val="00B1279E"/>
    <w:rsid w:val="00B13146"/>
    <w:rsid w:val="00B13A36"/>
    <w:rsid w:val="00B13A7A"/>
    <w:rsid w:val="00B13ADC"/>
    <w:rsid w:val="00B145E7"/>
    <w:rsid w:val="00B1570B"/>
    <w:rsid w:val="00B16F38"/>
    <w:rsid w:val="00B17503"/>
    <w:rsid w:val="00B20423"/>
    <w:rsid w:val="00B20935"/>
    <w:rsid w:val="00B21AE8"/>
    <w:rsid w:val="00B221B4"/>
    <w:rsid w:val="00B2266C"/>
    <w:rsid w:val="00B2398D"/>
    <w:rsid w:val="00B2446B"/>
    <w:rsid w:val="00B248C4"/>
    <w:rsid w:val="00B259B1"/>
    <w:rsid w:val="00B2624E"/>
    <w:rsid w:val="00B26963"/>
    <w:rsid w:val="00B27FCF"/>
    <w:rsid w:val="00B32835"/>
    <w:rsid w:val="00B34632"/>
    <w:rsid w:val="00B3491B"/>
    <w:rsid w:val="00B35D93"/>
    <w:rsid w:val="00B361B2"/>
    <w:rsid w:val="00B366F7"/>
    <w:rsid w:val="00B36755"/>
    <w:rsid w:val="00B36FDE"/>
    <w:rsid w:val="00B370D4"/>
    <w:rsid w:val="00B37B27"/>
    <w:rsid w:val="00B37CAD"/>
    <w:rsid w:val="00B37DF2"/>
    <w:rsid w:val="00B409CB"/>
    <w:rsid w:val="00B43DA4"/>
    <w:rsid w:val="00B44338"/>
    <w:rsid w:val="00B44918"/>
    <w:rsid w:val="00B4679D"/>
    <w:rsid w:val="00B46C51"/>
    <w:rsid w:val="00B5028E"/>
    <w:rsid w:val="00B52B4B"/>
    <w:rsid w:val="00B536D4"/>
    <w:rsid w:val="00B54B96"/>
    <w:rsid w:val="00B54E31"/>
    <w:rsid w:val="00B5508E"/>
    <w:rsid w:val="00B55474"/>
    <w:rsid w:val="00B559FF"/>
    <w:rsid w:val="00B57119"/>
    <w:rsid w:val="00B57307"/>
    <w:rsid w:val="00B57968"/>
    <w:rsid w:val="00B57999"/>
    <w:rsid w:val="00B57E2F"/>
    <w:rsid w:val="00B600B6"/>
    <w:rsid w:val="00B62238"/>
    <w:rsid w:val="00B62413"/>
    <w:rsid w:val="00B62D7D"/>
    <w:rsid w:val="00B63FF2"/>
    <w:rsid w:val="00B64274"/>
    <w:rsid w:val="00B65048"/>
    <w:rsid w:val="00B655C4"/>
    <w:rsid w:val="00B65C8E"/>
    <w:rsid w:val="00B70B95"/>
    <w:rsid w:val="00B71282"/>
    <w:rsid w:val="00B723BA"/>
    <w:rsid w:val="00B729F7"/>
    <w:rsid w:val="00B733FC"/>
    <w:rsid w:val="00B73AB0"/>
    <w:rsid w:val="00B74F93"/>
    <w:rsid w:val="00B754E1"/>
    <w:rsid w:val="00B75BC9"/>
    <w:rsid w:val="00B76206"/>
    <w:rsid w:val="00B774E0"/>
    <w:rsid w:val="00B80496"/>
    <w:rsid w:val="00B80F82"/>
    <w:rsid w:val="00B81BAF"/>
    <w:rsid w:val="00B81C2E"/>
    <w:rsid w:val="00B81D74"/>
    <w:rsid w:val="00B822A7"/>
    <w:rsid w:val="00B828E6"/>
    <w:rsid w:val="00B841C7"/>
    <w:rsid w:val="00B847A7"/>
    <w:rsid w:val="00B858EF"/>
    <w:rsid w:val="00B874C3"/>
    <w:rsid w:val="00B87656"/>
    <w:rsid w:val="00B902A1"/>
    <w:rsid w:val="00B90B53"/>
    <w:rsid w:val="00B90D27"/>
    <w:rsid w:val="00B918DA"/>
    <w:rsid w:val="00B91B8D"/>
    <w:rsid w:val="00B91F68"/>
    <w:rsid w:val="00B933DC"/>
    <w:rsid w:val="00B93880"/>
    <w:rsid w:val="00B94751"/>
    <w:rsid w:val="00B95706"/>
    <w:rsid w:val="00B96087"/>
    <w:rsid w:val="00BA1E8F"/>
    <w:rsid w:val="00BA235D"/>
    <w:rsid w:val="00BA2615"/>
    <w:rsid w:val="00BA4142"/>
    <w:rsid w:val="00BA42C9"/>
    <w:rsid w:val="00BA430C"/>
    <w:rsid w:val="00BA4726"/>
    <w:rsid w:val="00BA4852"/>
    <w:rsid w:val="00BA4B00"/>
    <w:rsid w:val="00BA4B87"/>
    <w:rsid w:val="00BA50C2"/>
    <w:rsid w:val="00BA62D7"/>
    <w:rsid w:val="00BA7D18"/>
    <w:rsid w:val="00BB3DC7"/>
    <w:rsid w:val="00BB44E7"/>
    <w:rsid w:val="00BB4871"/>
    <w:rsid w:val="00BC021E"/>
    <w:rsid w:val="00BC0856"/>
    <w:rsid w:val="00BC0CD4"/>
    <w:rsid w:val="00BC1BD4"/>
    <w:rsid w:val="00BC2183"/>
    <w:rsid w:val="00BC23ED"/>
    <w:rsid w:val="00BC31EF"/>
    <w:rsid w:val="00BC33F6"/>
    <w:rsid w:val="00BC6DF5"/>
    <w:rsid w:val="00BD0BDC"/>
    <w:rsid w:val="00BD12B3"/>
    <w:rsid w:val="00BD1ABD"/>
    <w:rsid w:val="00BD3066"/>
    <w:rsid w:val="00BD3B25"/>
    <w:rsid w:val="00BD4DD3"/>
    <w:rsid w:val="00BD53A3"/>
    <w:rsid w:val="00BD5ACD"/>
    <w:rsid w:val="00BD6090"/>
    <w:rsid w:val="00BD643A"/>
    <w:rsid w:val="00BD6496"/>
    <w:rsid w:val="00BD6AB5"/>
    <w:rsid w:val="00BD6C72"/>
    <w:rsid w:val="00BD737A"/>
    <w:rsid w:val="00BD7809"/>
    <w:rsid w:val="00BE048A"/>
    <w:rsid w:val="00BE0C61"/>
    <w:rsid w:val="00BE141C"/>
    <w:rsid w:val="00BE283A"/>
    <w:rsid w:val="00BE31B8"/>
    <w:rsid w:val="00BF0A17"/>
    <w:rsid w:val="00BF0AFC"/>
    <w:rsid w:val="00BF14FF"/>
    <w:rsid w:val="00BF1567"/>
    <w:rsid w:val="00BF1722"/>
    <w:rsid w:val="00BF1F01"/>
    <w:rsid w:val="00BF3A49"/>
    <w:rsid w:val="00BF4A86"/>
    <w:rsid w:val="00BF50A2"/>
    <w:rsid w:val="00BF593D"/>
    <w:rsid w:val="00C0063A"/>
    <w:rsid w:val="00C00C4C"/>
    <w:rsid w:val="00C00D4F"/>
    <w:rsid w:val="00C01166"/>
    <w:rsid w:val="00C014AA"/>
    <w:rsid w:val="00C01F3D"/>
    <w:rsid w:val="00C04C6B"/>
    <w:rsid w:val="00C0536B"/>
    <w:rsid w:val="00C05517"/>
    <w:rsid w:val="00C05D9D"/>
    <w:rsid w:val="00C065D3"/>
    <w:rsid w:val="00C10274"/>
    <w:rsid w:val="00C1098E"/>
    <w:rsid w:val="00C112C9"/>
    <w:rsid w:val="00C121CE"/>
    <w:rsid w:val="00C12A9A"/>
    <w:rsid w:val="00C12AEE"/>
    <w:rsid w:val="00C13548"/>
    <w:rsid w:val="00C15153"/>
    <w:rsid w:val="00C17547"/>
    <w:rsid w:val="00C2039A"/>
    <w:rsid w:val="00C21398"/>
    <w:rsid w:val="00C21E12"/>
    <w:rsid w:val="00C2218E"/>
    <w:rsid w:val="00C24661"/>
    <w:rsid w:val="00C25D92"/>
    <w:rsid w:val="00C26743"/>
    <w:rsid w:val="00C26B9D"/>
    <w:rsid w:val="00C26CB7"/>
    <w:rsid w:val="00C27F92"/>
    <w:rsid w:val="00C302D2"/>
    <w:rsid w:val="00C305BC"/>
    <w:rsid w:val="00C31BB8"/>
    <w:rsid w:val="00C35176"/>
    <w:rsid w:val="00C355C1"/>
    <w:rsid w:val="00C3622F"/>
    <w:rsid w:val="00C36378"/>
    <w:rsid w:val="00C378C5"/>
    <w:rsid w:val="00C37BE8"/>
    <w:rsid w:val="00C41102"/>
    <w:rsid w:val="00C46639"/>
    <w:rsid w:val="00C4672B"/>
    <w:rsid w:val="00C468D4"/>
    <w:rsid w:val="00C46AFD"/>
    <w:rsid w:val="00C50BE9"/>
    <w:rsid w:val="00C514D3"/>
    <w:rsid w:val="00C548AE"/>
    <w:rsid w:val="00C55D92"/>
    <w:rsid w:val="00C56D17"/>
    <w:rsid w:val="00C575D4"/>
    <w:rsid w:val="00C57BD0"/>
    <w:rsid w:val="00C61676"/>
    <w:rsid w:val="00C6558D"/>
    <w:rsid w:val="00C707BF"/>
    <w:rsid w:val="00C70B47"/>
    <w:rsid w:val="00C70BE0"/>
    <w:rsid w:val="00C7157E"/>
    <w:rsid w:val="00C71EA8"/>
    <w:rsid w:val="00C72A72"/>
    <w:rsid w:val="00C72C88"/>
    <w:rsid w:val="00C72D54"/>
    <w:rsid w:val="00C74F9C"/>
    <w:rsid w:val="00C75215"/>
    <w:rsid w:val="00C75523"/>
    <w:rsid w:val="00C75765"/>
    <w:rsid w:val="00C75C04"/>
    <w:rsid w:val="00C762A3"/>
    <w:rsid w:val="00C7691B"/>
    <w:rsid w:val="00C77096"/>
    <w:rsid w:val="00C7752D"/>
    <w:rsid w:val="00C775F5"/>
    <w:rsid w:val="00C80ECB"/>
    <w:rsid w:val="00C81B0A"/>
    <w:rsid w:val="00C82DF0"/>
    <w:rsid w:val="00C84F37"/>
    <w:rsid w:val="00C8515F"/>
    <w:rsid w:val="00C8680A"/>
    <w:rsid w:val="00C86CE4"/>
    <w:rsid w:val="00C91925"/>
    <w:rsid w:val="00C9385B"/>
    <w:rsid w:val="00C93B93"/>
    <w:rsid w:val="00C9420F"/>
    <w:rsid w:val="00C94765"/>
    <w:rsid w:val="00C94AA3"/>
    <w:rsid w:val="00C94B11"/>
    <w:rsid w:val="00C95B3A"/>
    <w:rsid w:val="00C961FC"/>
    <w:rsid w:val="00C9636E"/>
    <w:rsid w:val="00C970FA"/>
    <w:rsid w:val="00C97913"/>
    <w:rsid w:val="00CA069E"/>
    <w:rsid w:val="00CA1B41"/>
    <w:rsid w:val="00CA3B2C"/>
    <w:rsid w:val="00CA57BD"/>
    <w:rsid w:val="00CA6933"/>
    <w:rsid w:val="00CA6DC5"/>
    <w:rsid w:val="00CA798B"/>
    <w:rsid w:val="00CB013C"/>
    <w:rsid w:val="00CB08FF"/>
    <w:rsid w:val="00CB09E3"/>
    <w:rsid w:val="00CB158E"/>
    <w:rsid w:val="00CB1C47"/>
    <w:rsid w:val="00CB260A"/>
    <w:rsid w:val="00CB2696"/>
    <w:rsid w:val="00CB50D7"/>
    <w:rsid w:val="00CB5A82"/>
    <w:rsid w:val="00CB5FB3"/>
    <w:rsid w:val="00CB6439"/>
    <w:rsid w:val="00CC089F"/>
    <w:rsid w:val="00CC1021"/>
    <w:rsid w:val="00CC52E3"/>
    <w:rsid w:val="00CC5330"/>
    <w:rsid w:val="00CC6187"/>
    <w:rsid w:val="00CC675C"/>
    <w:rsid w:val="00CC6F54"/>
    <w:rsid w:val="00CD08F6"/>
    <w:rsid w:val="00CD10B1"/>
    <w:rsid w:val="00CD16F4"/>
    <w:rsid w:val="00CD1AE0"/>
    <w:rsid w:val="00CD2E5F"/>
    <w:rsid w:val="00CD4FE9"/>
    <w:rsid w:val="00CD5098"/>
    <w:rsid w:val="00CD6A7D"/>
    <w:rsid w:val="00CD7448"/>
    <w:rsid w:val="00CD7876"/>
    <w:rsid w:val="00CD795D"/>
    <w:rsid w:val="00CE0E5C"/>
    <w:rsid w:val="00CE17F7"/>
    <w:rsid w:val="00CE1A8B"/>
    <w:rsid w:val="00CE23EB"/>
    <w:rsid w:val="00CE240E"/>
    <w:rsid w:val="00CE293F"/>
    <w:rsid w:val="00CE51D2"/>
    <w:rsid w:val="00CE612A"/>
    <w:rsid w:val="00CE6A06"/>
    <w:rsid w:val="00CF0114"/>
    <w:rsid w:val="00CF055C"/>
    <w:rsid w:val="00CF06F7"/>
    <w:rsid w:val="00CF164C"/>
    <w:rsid w:val="00CF2865"/>
    <w:rsid w:val="00CF2E74"/>
    <w:rsid w:val="00CF41AB"/>
    <w:rsid w:val="00CF45A8"/>
    <w:rsid w:val="00CF4857"/>
    <w:rsid w:val="00CF50BF"/>
    <w:rsid w:val="00CF535A"/>
    <w:rsid w:val="00CF6A46"/>
    <w:rsid w:val="00CF751B"/>
    <w:rsid w:val="00CF76BF"/>
    <w:rsid w:val="00CF7E2C"/>
    <w:rsid w:val="00D0015A"/>
    <w:rsid w:val="00D00300"/>
    <w:rsid w:val="00D007A5"/>
    <w:rsid w:val="00D00EC9"/>
    <w:rsid w:val="00D01132"/>
    <w:rsid w:val="00D011DE"/>
    <w:rsid w:val="00D019DA"/>
    <w:rsid w:val="00D02814"/>
    <w:rsid w:val="00D03623"/>
    <w:rsid w:val="00D05706"/>
    <w:rsid w:val="00D06106"/>
    <w:rsid w:val="00D10907"/>
    <w:rsid w:val="00D10EA8"/>
    <w:rsid w:val="00D11D0C"/>
    <w:rsid w:val="00D127C2"/>
    <w:rsid w:val="00D136C3"/>
    <w:rsid w:val="00D14269"/>
    <w:rsid w:val="00D14447"/>
    <w:rsid w:val="00D15841"/>
    <w:rsid w:val="00D1676E"/>
    <w:rsid w:val="00D178E0"/>
    <w:rsid w:val="00D21BB8"/>
    <w:rsid w:val="00D22384"/>
    <w:rsid w:val="00D22AF2"/>
    <w:rsid w:val="00D22DBE"/>
    <w:rsid w:val="00D231C6"/>
    <w:rsid w:val="00D27BC3"/>
    <w:rsid w:val="00D32427"/>
    <w:rsid w:val="00D32C59"/>
    <w:rsid w:val="00D3335C"/>
    <w:rsid w:val="00D334A3"/>
    <w:rsid w:val="00D347A8"/>
    <w:rsid w:val="00D3560F"/>
    <w:rsid w:val="00D358B7"/>
    <w:rsid w:val="00D43820"/>
    <w:rsid w:val="00D448FD"/>
    <w:rsid w:val="00D452DB"/>
    <w:rsid w:val="00D45AA5"/>
    <w:rsid w:val="00D50332"/>
    <w:rsid w:val="00D50E04"/>
    <w:rsid w:val="00D51034"/>
    <w:rsid w:val="00D52837"/>
    <w:rsid w:val="00D53F70"/>
    <w:rsid w:val="00D5578C"/>
    <w:rsid w:val="00D55E50"/>
    <w:rsid w:val="00D57165"/>
    <w:rsid w:val="00D57FF1"/>
    <w:rsid w:val="00D60117"/>
    <w:rsid w:val="00D62443"/>
    <w:rsid w:val="00D626AB"/>
    <w:rsid w:val="00D660C9"/>
    <w:rsid w:val="00D6728F"/>
    <w:rsid w:val="00D6764A"/>
    <w:rsid w:val="00D6797F"/>
    <w:rsid w:val="00D67DDB"/>
    <w:rsid w:val="00D71FC6"/>
    <w:rsid w:val="00D72FBD"/>
    <w:rsid w:val="00D73AED"/>
    <w:rsid w:val="00D74258"/>
    <w:rsid w:val="00D757B2"/>
    <w:rsid w:val="00D75AC1"/>
    <w:rsid w:val="00D75FB9"/>
    <w:rsid w:val="00D768E5"/>
    <w:rsid w:val="00D76CE2"/>
    <w:rsid w:val="00D776E6"/>
    <w:rsid w:val="00D80B32"/>
    <w:rsid w:val="00D81322"/>
    <w:rsid w:val="00D839A6"/>
    <w:rsid w:val="00D844CF"/>
    <w:rsid w:val="00D866B4"/>
    <w:rsid w:val="00D869D0"/>
    <w:rsid w:val="00D87D1A"/>
    <w:rsid w:val="00D9100A"/>
    <w:rsid w:val="00D912B7"/>
    <w:rsid w:val="00D93F20"/>
    <w:rsid w:val="00D94556"/>
    <w:rsid w:val="00D955F6"/>
    <w:rsid w:val="00D96FF1"/>
    <w:rsid w:val="00D97103"/>
    <w:rsid w:val="00D97EB9"/>
    <w:rsid w:val="00DA1F41"/>
    <w:rsid w:val="00DA2087"/>
    <w:rsid w:val="00DA2FD2"/>
    <w:rsid w:val="00DB34CF"/>
    <w:rsid w:val="00DB3E32"/>
    <w:rsid w:val="00DB4390"/>
    <w:rsid w:val="00DB553A"/>
    <w:rsid w:val="00DB6D30"/>
    <w:rsid w:val="00DB7515"/>
    <w:rsid w:val="00DC001E"/>
    <w:rsid w:val="00DC066C"/>
    <w:rsid w:val="00DC0B3B"/>
    <w:rsid w:val="00DC1D1F"/>
    <w:rsid w:val="00DC4075"/>
    <w:rsid w:val="00DC4340"/>
    <w:rsid w:val="00DC4812"/>
    <w:rsid w:val="00DC552F"/>
    <w:rsid w:val="00DC6B08"/>
    <w:rsid w:val="00DD0646"/>
    <w:rsid w:val="00DD0764"/>
    <w:rsid w:val="00DD1BC8"/>
    <w:rsid w:val="00DD34D1"/>
    <w:rsid w:val="00DD3CB7"/>
    <w:rsid w:val="00DD4317"/>
    <w:rsid w:val="00DD48AB"/>
    <w:rsid w:val="00DD51F1"/>
    <w:rsid w:val="00DD581B"/>
    <w:rsid w:val="00DD5874"/>
    <w:rsid w:val="00DD6813"/>
    <w:rsid w:val="00DE064F"/>
    <w:rsid w:val="00DE1367"/>
    <w:rsid w:val="00DE1B1C"/>
    <w:rsid w:val="00DE1D45"/>
    <w:rsid w:val="00DE4E4C"/>
    <w:rsid w:val="00DE4F6E"/>
    <w:rsid w:val="00DE4FD3"/>
    <w:rsid w:val="00DE52BC"/>
    <w:rsid w:val="00DE6E70"/>
    <w:rsid w:val="00DE6E81"/>
    <w:rsid w:val="00DF0353"/>
    <w:rsid w:val="00DF277C"/>
    <w:rsid w:val="00DF3D4F"/>
    <w:rsid w:val="00DF5850"/>
    <w:rsid w:val="00DF5D10"/>
    <w:rsid w:val="00DF6158"/>
    <w:rsid w:val="00DF695F"/>
    <w:rsid w:val="00DF74DF"/>
    <w:rsid w:val="00E00085"/>
    <w:rsid w:val="00E00713"/>
    <w:rsid w:val="00E00815"/>
    <w:rsid w:val="00E03DF7"/>
    <w:rsid w:val="00E04477"/>
    <w:rsid w:val="00E05B6E"/>
    <w:rsid w:val="00E075EF"/>
    <w:rsid w:val="00E102A0"/>
    <w:rsid w:val="00E1201B"/>
    <w:rsid w:val="00E12258"/>
    <w:rsid w:val="00E12C22"/>
    <w:rsid w:val="00E12CC8"/>
    <w:rsid w:val="00E132EC"/>
    <w:rsid w:val="00E137DE"/>
    <w:rsid w:val="00E13F7E"/>
    <w:rsid w:val="00E145B0"/>
    <w:rsid w:val="00E1528F"/>
    <w:rsid w:val="00E15800"/>
    <w:rsid w:val="00E15C56"/>
    <w:rsid w:val="00E1659A"/>
    <w:rsid w:val="00E166E5"/>
    <w:rsid w:val="00E174E9"/>
    <w:rsid w:val="00E175FB"/>
    <w:rsid w:val="00E208D9"/>
    <w:rsid w:val="00E21057"/>
    <w:rsid w:val="00E21518"/>
    <w:rsid w:val="00E21768"/>
    <w:rsid w:val="00E2196A"/>
    <w:rsid w:val="00E22335"/>
    <w:rsid w:val="00E23FAD"/>
    <w:rsid w:val="00E248EB"/>
    <w:rsid w:val="00E254AE"/>
    <w:rsid w:val="00E25B8C"/>
    <w:rsid w:val="00E25D51"/>
    <w:rsid w:val="00E2614A"/>
    <w:rsid w:val="00E2675F"/>
    <w:rsid w:val="00E26A5A"/>
    <w:rsid w:val="00E27F26"/>
    <w:rsid w:val="00E30552"/>
    <w:rsid w:val="00E32921"/>
    <w:rsid w:val="00E36453"/>
    <w:rsid w:val="00E36A9D"/>
    <w:rsid w:val="00E37822"/>
    <w:rsid w:val="00E37B73"/>
    <w:rsid w:val="00E37D54"/>
    <w:rsid w:val="00E37E60"/>
    <w:rsid w:val="00E40637"/>
    <w:rsid w:val="00E41603"/>
    <w:rsid w:val="00E41611"/>
    <w:rsid w:val="00E41AE6"/>
    <w:rsid w:val="00E426BC"/>
    <w:rsid w:val="00E4375C"/>
    <w:rsid w:val="00E437AD"/>
    <w:rsid w:val="00E4382D"/>
    <w:rsid w:val="00E438A9"/>
    <w:rsid w:val="00E43C46"/>
    <w:rsid w:val="00E44274"/>
    <w:rsid w:val="00E448A3"/>
    <w:rsid w:val="00E512B1"/>
    <w:rsid w:val="00E5170D"/>
    <w:rsid w:val="00E51843"/>
    <w:rsid w:val="00E51D51"/>
    <w:rsid w:val="00E53A3B"/>
    <w:rsid w:val="00E547DE"/>
    <w:rsid w:val="00E6065B"/>
    <w:rsid w:val="00E6148C"/>
    <w:rsid w:val="00E615AB"/>
    <w:rsid w:val="00E63669"/>
    <w:rsid w:val="00E67247"/>
    <w:rsid w:val="00E67D55"/>
    <w:rsid w:val="00E67DAA"/>
    <w:rsid w:val="00E70E0F"/>
    <w:rsid w:val="00E71573"/>
    <w:rsid w:val="00E717CD"/>
    <w:rsid w:val="00E73991"/>
    <w:rsid w:val="00E75F45"/>
    <w:rsid w:val="00E76D64"/>
    <w:rsid w:val="00E77221"/>
    <w:rsid w:val="00E7734E"/>
    <w:rsid w:val="00E804E2"/>
    <w:rsid w:val="00E81627"/>
    <w:rsid w:val="00E81C49"/>
    <w:rsid w:val="00E81E97"/>
    <w:rsid w:val="00E8438B"/>
    <w:rsid w:val="00E85196"/>
    <w:rsid w:val="00E865B8"/>
    <w:rsid w:val="00E86A4A"/>
    <w:rsid w:val="00E87612"/>
    <w:rsid w:val="00E914B5"/>
    <w:rsid w:val="00E92D49"/>
    <w:rsid w:val="00E92F0A"/>
    <w:rsid w:val="00E93231"/>
    <w:rsid w:val="00E93863"/>
    <w:rsid w:val="00E93AED"/>
    <w:rsid w:val="00E95125"/>
    <w:rsid w:val="00E95B25"/>
    <w:rsid w:val="00E96895"/>
    <w:rsid w:val="00E96BD6"/>
    <w:rsid w:val="00E96DFD"/>
    <w:rsid w:val="00E97346"/>
    <w:rsid w:val="00E97742"/>
    <w:rsid w:val="00EA00AA"/>
    <w:rsid w:val="00EA15A8"/>
    <w:rsid w:val="00EA17C4"/>
    <w:rsid w:val="00EA23BF"/>
    <w:rsid w:val="00EA23F2"/>
    <w:rsid w:val="00EA2874"/>
    <w:rsid w:val="00EA2F8A"/>
    <w:rsid w:val="00EA34F6"/>
    <w:rsid w:val="00EA3FD8"/>
    <w:rsid w:val="00EA548F"/>
    <w:rsid w:val="00EA7349"/>
    <w:rsid w:val="00EB04EE"/>
    <w:rsid w:val="00EB07BB"/>
    <w:rsid w:val="00EB1B58"/>
    <w:rsid w:val="00EB2DEA"/>
    <w:rsid w:val="00EB3137"/>
    <w:rsid w:val="00EB325B"/>
    <w:rsid w:val="00EB45C3"/>
    <w:rsid w:val="00EB5DB8"/>
    <w:rsid w:val="00EB6A26"/>
    <w:rsid w:val="00EB6EFA"/>
    <w:rsid w:val="00EB77B1"/>
    <w:rsid w:val="00EB7EDB"/>
    <w:rsid w:val="00EC12D3"/>
    <w:rsid w:val="00EC159E"/>
    <w:rsid w:val="00EC2E13"/>
    <w:rsid w:val="00EC3964"/>
    <w:rsid w:val="00EC44DC"/>
    <w:rsid w:val="00EC47D9"/>
    <w:rsid w:val="00EC4A39"/>
    <w:rsid w:val="00EC4D14"/>
    <w:rsid w:val="00EC51BC"/>
    <w:rsid w:val="00EC5B35"/>
    <w:rsid w:val="00EC6CA7"/>
    <w:rsid w:val="00EC6CC6"/>
    <w:rsid w:val="00EC6E67"/>
    <w:rsid w:val="00EC7147"/>
    <w:rsid w:val="00EC7888"/>
    <w:rsid w:val="00EC78EA"/>
    <w:rsid w:val="00EC7A7E"/>
    <w:rsid w:val="00ED0377"/>
    <w:rsid w:val="00ED1858"/>
    <w:rsid w:val="00ED24F7"/>
    <w:rsid w:val="00ED3374"/>
    <w:rsid w:val="00ED36B7"/>
    <w:rsid w:val="00ED3BC7"/>
    <w:rsid w:val="00ED5B81"/>
    <w:rsid w:val="00ED5D46"/>
    <w:rsid w:val="00EE1D26"/>
    <w:rsid w:val="00EE207D"/>
    <w:rsid w:val="00EE20B8"/>
    <w:rsid w:val="00EE2426"/>
    <w:rsid w:val="00EE2464"/>
    <w:rsid w:val="00EE38C1"/>
    <w:rsid w:val="00EF04C8"/>
    <w:rsid w:val="00EF0BCE"/>
    <w:rsid w:val="00EF13DB"/>
    <w:rsid w:val="00EF1CD4"/>
    <w:rsid w:val="00EF335B"/>
    <w:rsid w:val="00EF3495"/>
    <w:rsid w:val="00EF3C55"/>
    <w:rsid w:val="00EF4B1B"/>
    <w:rsid w:val="00EF5049"/>
    <w:rsid w:val="00EF58D9"/>
    <w:rsid w:val="00EF5BA2"/>
    <w:rsid w:val="00EF756D"/>
    <w:rsid w:val="00EF7584"/>
    <w:rsid w:val="00F0107C"/>
    <w:rsid w:val="00F018FC"/>
    <w:rsid w:val="00F01915"/>
    <w:rsid w:val="00F01C51"/>
    <w:rsid w:val="00F01E94"/>
    <w:rsid w:val="00F04573"/>
    <w:rsid w:val="00F0509F"/>
    <w:rsid w:val="00F057C9"/>
    <w:rsid w:val="00F05F45"/>
    <w:rsid w:val="00F06AC9"/>
    <w:rsid w:val="00F11102"/>
    <w:rsid w:val="00F1187B"/>
    <w:rsid w:val="00F12A6E"/>
    <w:rsid w:val="00F12F2B"/>
    <w:rsid w:val="00F14066"/>
    <w:rsid w:val="00F144BB"/>
    <w:rsid w:val="00F17377"/>
    <w:rsid w:val="00F177B2"/>
    <w:rsid w:val="00F20EBB"/>
    <w:rsid w:val="00F23220"/>
    <w:rsid w:val="00F24836"/>
    <w:rsid w:val="00F25294"/>
    <w:rsid w:val="00F257CB"/>
    <w:rsid w:val="00F25E02"/>
    <w:rsid w:val="00F25F58"/>
    <w:rsid w:val="00F262AF"/>
    <w:rsid w:val="00F26335"/>
    <w:rsid w:val="00F272F1"/>
    <w:rsid w:val="00F301E7"/>
    <w:rsid w:val="00F3081B"/>
    <w:rsid w:val="00F31AB0"/>
    <w:rsid w:val="00F31FA4"/>
    <w:rsid w:val="00F32A84"/>
    <w:rsid w:val="00F332AB"/>
    <w:rsid w:val="00F334F8"/>
    <w:rsid w:val="00F33779"/>
    <w:rsid w:val="00F3517A"/>
    <w:rsid w:val="00F35829"/>
    <w:rsid w:val="00F363AC"/>
    <w:rsid w:val="00F36469"/>
    <w:rsid w:val="00F36F75"/>
    <w:rsid w:val="00F37493"/>
    <w:rsid w:val="00F37B1F"/>
    <w:rsid w:val="00F405CA"/>
    <w:rsid w:val="00F40D38"/>
    <w:rsid w:val="00F4145F"/>
    <w:rsid w:val="00F41A90"/>
    <w:rsid w:val="00F41E85"/>
    <w:rsid w:val="00F42B7B"/>
    <w:rsid w:val="00F43707"/>
    <w:rsid w:val="00F44E11"/>
    <w:rsid w:val="00F45AB7"/>
    <w:rsid w:val="00F46AAC"/>
    <w:rsid w:val="00F474A6"/>
    <w:rsid w:val="00F477A7"/>
    <w:rsid w:val="00F506BE"/>
    <w:rsid w:val="00F50BFE"/>
    <w:rsid w:val="00F50C35"/>
    <w:rsid w:val="00F52163"/>
    <w:rsid w:val="00F526EF"/>
    <w:rsid w:val="00F528A9"/>
    <w:rsid w:val="00F52AA9"/>
    <w:rsid w:val="00F54D91"/>
    <w:rsid w:val="00F55DE3"/>
    <w:rsid w:val="00F55EBC"/>
    <w:rsid w:val="00F56DE7"/>
    <w:rsid w:val="00F62F00"/>
    <w:rsid w:val="00F63CAF"/>
    <w:rsid w:val="00F63E6E"/>
    <w:rsid w:val="00F63FE2"/>
    <w:rsid w:val="00F64134"/>
    <w:rsid w:val="00F67D70"/>
    <w:rsid w:val="00F700CD"/>
    <w:rsid w:val="00F707FC"/>
    <w:rsid w:val="00F70B23"/>
    <w:rsid w:val="00F71A49"/>
    <w:rsid w:val="00F71FE3"/>
    <w:rsid w:val="00F72CAB"/>
    <w:rsid w:val="00F73FEB"/>
    <w:rsid w:val="00F75DE7"/>
    <w:rsid w:val="00F7721B"/>
    <w:rsid w:val="00F802EE"/>
    <w:rsid w:val="00F810CF"/>
    <w:rsid w:val="00F84FB1"/>
    <w:rsid w:val="00F86354"/>
    <w:rsid w:val="00F87563"/>
    <w:rsid w:val="00F9083C"/>
    <w:rsid w:val="00F91567"/>
    <w:rsid w:val="00F924D4"/>
    <w:rsid w:val="00F92961"/>
    <w:rsid w:val="00F96F59"/>
    <w:rsid w:val="00F97A89"/>
    <w:rsid w:val="00FA0770"/>
    <w:rsid w:val="00FA10D9"/>
    <w:rsid w:val="00FA2E6B"/>
    <w:rsid w:val="00FA351F"/>
    <w:rsid w:val="00FA3A28"/>
    <w:rsid w:val="00FA3BFE"/>
    <w:rsid w:val="00FA42A0"/>
    <w:rsid w:val="00FA4482"/>
    <w:rsid w:val="00FA5DFE"/>
    <w:rsid w:val="00FA66A0"/>
    <w:rsid w:val="00FA6D82"/>
    <w:rsid w:val="00FB253F"/>
    <w:rsid w:val="00FB3F9C"/>
    <w:rsid w:val="00FB46FE"/>
    <w:rsid w:val="00FB56C8"/>
    <w:rsid w:val="00FB653E"/>
    <w:rsid w:val="00FB7B5D"/>
    <w:rsid w:val="00FC0129"/>
    <w:rsid w:val="00FC2143"/>
    <w:rsid w:val="00FC2CD6"/>
    <w:rsid w:val="00FC54A6"/>
    <w:rsid w:val="00FC5BCC"/>
    <w:rsid w:val="00FC6366"/>
    <w:rsid w:val="00FC65FE"/>
    <w:rsid w:val="00FC782E"/>
    <w:rsid w:val="00FC78B2"/>
    <w:rsid w:val="00FD2233"/>
    <w:rsid w:val="00FD27D0"/>
    <w:rsid w:val="00FD2B4A"/>
    <w:rsid w:val="00FD32CC"/>
    <w:rsid w:val="00FD3B2B"/>
    <w:rsid w:val="00FD48EA"/>
    <w:rsid w:val="00FD4B16"/>
    <w:rsid w:val="00FD4EA2"/>
    <w:rsid w:val="00FD5612"/>
    <w:rsid w:val="00FD5A2E"/>
    <w:rsid w:val="00FE1510"/>
    <w:rsid w:val="00FE2345"/>
    <w:rsid w:val="00FE386C"/>
    <w:rsid w:val="00FE506E"/>
    <w:rsid w:val="00FE5C66"/>
    <w:rsid w:val="00FE67B0"/>
    <w:rsid w:val="00FE750C"/>
    <w:rsid w:val="00FF0091"/>
    <w:rsid w:val="00FF042E"/>
    <w:rsid w:val="00FF0903"/>
    <w:rsid w:val="00FF0A78"/>
    <w:rsid w:val="00FF160E"/>
    <w:rsid w:val="00FF20F5"/>
    <w:rsid w:val="00FF3005"/>
    <w:rsid w:val="00FF3C6E"/>
    <w:rsid w:val="00FF3FA9"/>
    <w:rsid w:val="00FF5DDA"/>
    <w:rsid w:val="00FF5E39"/>
    <w:rsid w:val="00FF5F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142"/>
    <w:pPr>
      <w:widowControl w:val="0"/>
      <w:jc w:val="both"/>
    </w:pPr>
    <w:rPr>
      <w:kern w:val="2"/>
      <w:sz w:val="21"/>
      <w:szCs w:val="24"/>
    </w:rPr>
  </w:style>
  <w:style w:type="paragraph" w:styleId="1">
    <w:name w:val="heading 1"/>
    <w:aliases w:val="Heading 0,H1,PIM 1,Heading 11,level 1,Level 1 Head,h1,123321,Level 1 Topic Heading"/>
    <w:basedOn w:val="a0"/>
    <w:next w:val="a0"/>
    <w:link w:val="1Char"/>
    <w:qFormat/>
    <w:rsid w:val="00BA4B87"/>
    <w:pPr>
      <w:keepNext/>
      <w:spacing w:beforeLines="100" w:afterLines="100"/>
      <w:ind w:firstLineChars="200" w:firstLine="200"/>
      <w:jc w:val="center"/>
      <w:outlineLvl w:val="0"/>
    </w:pPr>
    <w:rPr>
      <w:rFonts w:ascii="黑体" w:eastAsia="黑体"/>
      <w:sz w:val="32"/>
      <w:szCs w:val="32"/>
    </w:rPr>
  </w:style>
  <w:style w:type="paragraph" w:styleId="2">
    <w:name w:val="heading 2"/>
    <w:aliases w:val="H2,Heading 2 Hidden,Heading 2 CCBS,标题 2 Char Char,2nd level,h2,2,Header 2,PIM2,l2,Level 2 Head,proj2,proj21,proj22,proj23,proj24,proj25,proj26,proj27,proj28,proj29,proj210,proj211,proj212,proj221,proj231,proj241,proj251,proj261,proj271,proj281"/>
    <w:basedOn w:val="a0"/>
    <w:next w:val="a0"/>
    <w:qFormat/>
    <w:rsid w:val="00BA4B87"/>
    <w:pPr>
      <w:keepNext/>
      <w:keepLines/>
      <w:spacing w:beforeLines="100" w:afterLines="100"/>
      <w:ind w:firstLineChars="200" w:firstLine="200"/>
      <w:outlineLvl w:val="1"/>
    </w:pPr>
    <w:rPr>
      <w:rFonts w:ascii="Arial" w:hAnsi="Arial"/>
      <w:b/>
      <w:sz w:val="28"/>
      <w:szCs w:val="28"/>
    </w:rPr>
  </w:style>
  <w:style w:type="paragraph" w:styleId="3">
    <w:name w:val="heading 3"/>
    <w:basedOn w:val="a0"/>
    <w:next w:val="a0"/>
    <w:qFormat/>
    <w:rsid w:val="00BA4B87"/>
    <w:pPr>
      <w:numPr>
        <w:ilvl w:val="2"/>
        <w:numId w:val="6"/>
      </w:numPr>
      <w:spacing w:before="260" w:after="260" w:line="416" w:lineRule="auto"/>
      <w:outlineLvl w:val="2"/>
    </w:pPr>
    <w:rPr>
      <w:rFonts w:ascii="仿宋_GB2312" w:eastAsia="仿宋_GB2312"/>
      <w:sz w:val="24"/>
      <w:szCs w:val="20"/>
    </w:rPr>
  </w:style>
  <w:style w:type="paragraph" w:styleId="4">
    <w:name w:val="heading 4"/>
    <w:basedOn w:val="a0"/>
    <w:next w:val="a0"/>
    <w:qFormat/>
    <w:rsid w:val="00BA4B87"/>
    <w:pPr>
      <w:keepNext/>
      <w:keepLines/>
      <w:numPr>
        <w:ilvl w:val="3"/>
        <w:numId w:val="4"/>
      </w:numPr>
      <w:spacing w:before="280" w:after="290" w:line="376" w:lineRule="auto"/>
      <w:outlineLvl w:val="3"/>
    </w:pPr>
    <w:rPr>
      <w:rFonts w:ascii="Arial" w:eastAsia="黑体" w:hAnsi="Arial"/>
      <w:b/>
      <w:bCs/>
      <w:sz w:val="28"/>
      <w:szCs w:val="28"/>
    </w:rPr>
  </w:style>
  <w:style w:type="paragraph" w:styleId="5">
    <w:name w:val="heading 5"/>
    <w:basedOn w:val="a0"/>
    <w:next w:val="a0"/>
    <w:qFormat/>
    <w:rsid w:val="00BA4B87"/>
    <w:pPr>
      <w:keepNext/>
      <w:keepLines/>
      <w:numPr>
        <w:ilvl w:val="4"/>
        <w:numId w:val="4"/>
      </w:numPr>
      <w:spacing w:before="280" w:after="290" w:line="376" w:lineRule="auto"/>
      <w:ind w:firstLineChars="200" w:firstLine="200"/>
      <w:outlineLvl w:val="4"/>
    </w:pPr>
    <w:rPr>
      <w:b/>
      <w:bCs/>
      <w:sz w:val="28"/>
      <w:szCs w:val="28"/>
    </w:rPr>
  </w:style>
  <w:style w:type="paragraph" w:styleId="6">
    <w:name w:val="heading 6"/>
    <w:basedOn w:val="a0"/>
    <w:next w:val="a0"/>
    <w:qFormat/>
    <w:rsid w:val="00BA4B87"/>
    <w:pPr>
      <w:keepNext/>
      <w:keepLines/>
      <w:numPr>
        <w:ilvl w:val="5"/>
        <w:numId w:val="4"/>
      </w:numPr>
      <w:spacing w:before="240" w:after="64" w:line="320" w:lineRule="auto"/>
      <w:ind w:firstLineChars="200" w:firstLine="200"/>
      <w:outlineLvl w:val="5"/>
    </w:pPr>
    <w:rPr>
      <w:rFonts w:ascii="Arial" w:eastAsia="黑体" w:hAnsi="Arial"/>
      <w:b/>
      <w:bCs/>
      <w:sz w:val="24"/>
    </w:rPr>
  </w:style>
  <w:style w:type="paragraph" w:styleId="7">
    <w:name w:val="heading 7"/>
    <w:basedOn w:val="a0"/>
    <w:next w:val="a0"/>
    <w:qFormat/>
    <w:rsid w:val="00BA4B87"/>
    <w:pPr>
      <w:keepNext/>
      <w:keepLines/>
      <w:numPr>
        <w:ilvl w:val="6"/>
        <w:numId w:val="4"/>
      </w:numPr>
      <w:spacing w:before="240" w:after="64" w:line="320" w:lineRule="auto"/>
      <w:ind w:firstLineChars="200" w:firstLine="200"/>
      <w:outlineLvl w:val="6"/>
    </w:pPr>
    <w:rPr>
      <w:b/>
      <w:bCs/>
      <w:sz w:val="24"/>
    </w:rPr>
  </w:style>
  <w:style w:type="paragraph" w:styleId="8">
    <w:name w:val="heading 8"/>
    <w:basedOn w:val="a0"/>
    <w:next w:val="a0"/>
    <w:qFormat/>
    <w:rsid w:val="00BA4B87"/>
    <w:pPr>
      <w:keepNext/>
      <w:keepLines/>
      <w:numPr>
        <w:ilvl w:val="7"/>
        <w:numId w:val="4"/>
      </w:numPr>
      <w:spacing w:before="240" w:after="64" w:line="320" w:lineRule="auto"/>
      <w:ind w:firstLineChars="200" w:firstLine="200"/>
      <w:outlineLvl w:val="7"/>
    </w:pPr>
    <w:rPr>
      <w:rFonts w:ascii="Arial" w:eastAsia="黑体" w:hAnsi="Arial"/>
      <w:sz w:val="24"/>
    </w:rPr>
  </w:style>
  <w:style w:type="paragraph" w:styleId="9">
    <w:name w:val="heading 9"/>
    <w:basedOn w:val="a0"/>
    <w:next w:val="a0"/>
    <w:qFormat/>
    <w:rsid w:val="00BA4B87"/>
    <w:pPr>
      <w:keepNext/>
      <w:keepLines/>
      <w:numPr>
        <w:ilvl w:val="8"/>
        <w:numId w:val="4"/>
      </w:numPr>
      <w:spacing w:before="240" w:after="64" w:line="320" w:lineRule="auto"/>
      <w:ind w:firstLineChars="200" w:firstLine="200"/>
      <w:outlineLvl w:val="8"/>
    </w:pPr>
    <w:rPr>
      <w:rFonts w:ascii="Arial" w:eastAsia="黑体" w:hAnsi="Arial"/>
      <w:sz w:val="24"/>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1">
    <w:name w:val="样式 标题 2 + 段前: 1 行 段后: 1 行"/>
    <w:basedOn w:val="2"/>
    <w:rsid w:val="00BA4B87"/>
    <w:pPr>
      <w:numPr>
        <w:numId w:val="2"/>
      </w:numPr>
      <w:spacing w:before="447" w:after="447"/>
    </w:pPr>
    <w:rPr>
      <w:b w:val="0"/>
      <w:szCs w:val="20"/>
    </w:rPr>
  </w:style>
  <w:style w:type="paragraph" w:customStyle="1" w:styleId="2111111">
    <w:name w:val="样式 样式 样式 标题 2 + 段前: 1 行 段后: 1 行1 + 段前: 1 行 段后: 1 行 + 段前: 1 行 段后..."/>
    <w:basedOn w:val="a0"/>
    <w:rsid w:val="00BA4B87"/>
    <w:pPr>
      <w:keepNext/>
      <w:keepLines/>
      <w:numPr>
        <w:ilvl w:val="1"/>
        <w:numId w:val="4"/>
      </w:numPr>
      <w:spacing w:beforeLines="100" w:afterLines="100"/>
      <w:outlineLvl w:val="1"/>
    </w:pPr>
    <w:rPr>
      <w:rFonts w:ascii="Arial" w:hAnsi="Arial"/>
      <w:b/>
      <w:bCs/>
      <w:sz w:val="28"/>
      <w:szCs w:val="20"/>
    </w:rPr>
  </w:style>
  <w:style w:type="paragraph" w:styleId="a">
    <w:name w:val="Body Text"/>
    <w:basedOn w:val="a0"/>
    <w:rsid w:val="00BA4B87"/>
    <w:pPr>
      <w:numPr>
        <w:ilvl w:val="1"/>
        <w:numId w:val="7"/>
      </w:numPr>
      <w:tabs>
        <w:tab w:val="num" w:pos="0"/>
      </w:tabs>
      <w:autoSpaceDE w:val="0"/>
      <w:autoSpaceDN w:val="0"/>
      <w:adjustRightInd w:val="0"/>
      <w:ind w:left="0" w:firstLine="540"/>
      <w:jc w:val="left"/>
    </w:pPr>
    <w:rPr>
      <w:rFonts w:ascii="宋体"/>
      <w:kern w:val="0"/>
      <w:sz w:val="24"/>
    </w:rPr>
  </w:style>
  <w:style w:type="paragraph" w:styleId="a4">
    <w:name w:val="Normal Indent"/>
    <w:basedOn w:val="a0"/>
    <w:rsid w:val="00BA4B87"/>
    <w:pPr>
      <w:ind w:firstLine="420"/>
    </w:pPr>
    <w:rPr>
      <w:szCs w:val="20"/>
    </w:rPr>
  </w:style>
  <w:style w:type="character" w:styleId="a5">
    <w:name w:val="Hyperlink"/>
    <w:basedOn w:val="a1"/>
    <w:uiPriority w:val="99"/>
    <w:rsid w:val="00BA4B87"/>
    <w:rPr>
      <w:color w:val="0000FF"/>
      <w:u w:val="single"/>
    </w:rPr>
  </w:style>
  <w:style w:type="paragraph" w:styleId="10">
    <w:name w:val="toc 1"/>
    <w:basedOn w:val="a0"/>
    <w:next w:val="a0"/>
    <w:autoRedefine/>
    <w:uiPriority w:val="39"/>
    <w:rsid w:val="00BA4B87"/>
    <w:pPr>
      <w:tabs>
        <w:tab w:val="right" w:leader="dot" w:pos="8296"/>
      </w:tabs>
      <w:spacing w:line="360" w:lineRule="exact"/>
      <w:jc w:val="left"/>
    </w:pPr>
    <w:rPr>
      <w:rFonts w:ascii="宋体" w:eastAsia="黑体" w:hAnsi="宋体"/>
      <w:caps/>
      <w:noProof/>
      <w:color w:val="000000"/>
      <w:sz w:val="24"/>
      <w:szCs w:val="28"/>
    </w:rPr>
  </w:style>
  <w:style w:type="paragraph" w:styleId="20">
    <w:name w:val="toc 2"/>
    <w:basedOn w:val="a0"/>
    <w:next w:val="a0"/>
    <w:autoRedefine/>
    <w:uiPriority w:val="39"/>
    <w:rsid w:val="00BA4B87"/>
    <w:pPr>
      <w:ind w:left="320" w:firstLineChars="200" w:firstLine="200"/>
      <w:jc w:val="left"/>
    </w:pPr>
    <w:rPr>
      <w:rFonts w:eastAsia="仿宋_GB2312"/>
      <w:smallCaps/>
      <w:szCs w:val="20"/>
    </w:rPr>
  </w:style>
  <w:style w:type="paragraph" w:customStyle="1" w:styleId="11">
    <w:name w:val="样式 标题 1 + 黑体 非加粗"/>
    <w:basedOn w:val="1"/>
    <w:rsid w:val="00BA4B87"/>
    <w:pPr>
      <w:pageBreakBefore/>
    </w:pPr>
    <w:rPr>
      <w:rFonts w:hAnsi="黑体"/>
      <w:b/>
    </w:rPr>
  </w:style>
  <w:style w:type="paragraph" w:customStyle="1" w:styleId="111">
    <w:name w:val="样式 标题 1 + 段前: 1 行 段后: 1 行"/>
    <w:basedOn w:val="1"/>
    <w:rsid w:val="00BA4B87"/>
    <w:pPr>
      <w:pageBreakBefore/>
    </w:pPr>
    <w:rPr>
      <w:szCs w:val="20"/>
    </w:rPr>
  </w:style>
  <w:style w:type="paragraph" w:customStyle="1" w:styleId="21">
    <w:name w:val="样式 首行缩进:  2 字符"/>
    <w:basedOn w:val="a0"/>
    <w:rsid w:val="00BA4B87"/>
    <w:pPr>
      <w:spacing w:before="100" w:beforeAutospacing="1" w:after="100" w:afterAutospacing="1" w:line="360" w:lineRule="auto"/>
      <w:ind w:firstLineChars="200" w:firstLine="480"/>
    </w:pPr>
    <w:rPr>
      <w:szCs w:val="20"/>
    </w:rPr>
  </w:style>
  <w:style w:type="paragraph" w:styleId="a6">
    <w:name w:val="Plain Text"/>
    <w:basedOn w:val="a0"/>
    <w:link w:val="Char"/>
    <w:rsid w:val="00BA4B87"/>
    <w:pPr>
      <w:ind w:firstLineChars="200" w:firstLine="200"/>
    </w:pPr>
    <w:rPr>
      <w:rFonts w:ascii="宋体" w:hAnsi="Courier New"/>
      <w:sz w:val="24"/>
      <w:szCs w:val="21"/>
    </w:rPr>
  </w:style>
  <w:style w:type="paragraph" w:styleId="a7">
    <w:name w:val="header"/>
    <w:basedOn w:val="a0"/>
    <w:link w:val="Char0"/>
    <w:uiPriority w:val="99"/>
    <w:rsid w:val="00BA4B87"/>
    <w:pPr>
      <w:pBdr>
        <w:bottom w:val="single" w:sz="6" w:space="1" w:color="auto"/>
      </w:pBdr>
      <w:tabs>
        <w:tab w:val="center" w:pos="4153"/>
        <w:tab w:val="right" w:pos="8306"/>
      </w:tabs>
      <w:snapToGrid w:val="0"/>
      <w:ind w:firstLineChars="200" w:firstLine="200"/>
      <w:jc w:val="center"/>
    </w:pPr>
    <w:rPr>
      <w:rFonts w:eastAsia="仿宋_GB2312"/>
      <w:sz w:val="18"/>
      <w:szCs w:val="20"/>
    </w:rPr>
  </w:style>
  <w:style w:type="character" w:styleId="a8">
    <w:name w:val="page number"/>
    <w:basedOn w:val="a1"/>
    <w:rsid w:val="00BA4B87"/>
  </w:style>
  <w:style w:type="paragraph" w:styleId="a9">
    <w:name w:val="footer"/>
    <w:basedOn w:val="a0"/>
    <w:link w:val="Char1"/>
    <w:uiPriority w:val="99"/>
    <w:rsid w:val="00BA4B87"/>
    <w:pPr>
      <w:tabs>
        <w:tab w:val="center" w:pos="4153"/>
        <w:tab w:val="right" w:pos="8306"/>
      </w:tabs>
      <w:snapToGrid w:val="0"/>
      <w:ind w:firstLineChars="200" w:firstLine="200"/>
      <w:jc w:val="left"/>
    </w:pPr>
    <w:rPr>
      <w:rFonts w:eastAsia="仿宋_GB2312"/>
      <w:sz w:val="18"/>
      <w:szCs w:val="20"/>
    </w:rPr>
  </w:style>
  <w:style w:type="character" w:customStyle="1" w:styleId="da">
    <w:name w:val="da"/>
    <w:basedOn w:val="a1"/>
    <w:rsid w:val="00BA4B87"/>
  </w:style>
  <w:style w:type="paragraph" w:customStyle="1" w:styleId="aa">
    <w:name w:val="特点"/>
    <w:aliases w:val="表正文,正文非缩进,段1"/>
    <w:basedOn w:val="a0"/>
    <w:next w:val="a4"/>
    <w:rsid w:val="00BA4B87"/>
    <w:pPr>
      <w:ind w:firstLine="420"/>
    </w:pPr>
    <w:rPr>
      <w:szCs w:val="20"/>
    </w:rPr>
  </w:style>
  <w:style w:type="paragraph" w:styleId="ab">
    <w:name w:val="Balloon Text"/>
    <w:basedOn w:val="a0"/>
    <w:semiHidden/>
    <w:rsid w:val="00BA4B87"/>
    <w:pPr>
      <w:ind w:firstLineChars="200" w:firstLine="200"/>
    </w:pPr>
    <w:rPr>
      <w:sz w:val="18"/>
      <w:szCs w:val="18"/>
    </w:rPr>
  </w:style>
  <w:style w:type="paragraph" w:styleId="ac">
    <w:name w:val="Body Text First Indent"/>
    <w:basedOn w:val="a"/>
    <w:link w:val="Char2"/>
    <w:rsid w:val="00BA4B87"/>
    <w:pPr>
      <w:numPr>
        <w:ilvl w:val="0"/>
        <w:numId w:val="0"/>
      </w:numPr>
      <w:tabs>
        <w:tab w:val="clear" w:pos="780"/>
      </w:tabs>
      <w:autoSpaceDE/>
      <w:autoSpaceDN/>
      <w:adjustRightInd/>
      <w:spacing w:after="120"/>
      <w:ind w:firstLineChars="100" w:firstLine="420"/>
      <w:jc w:val="both"/>
    </w:pPr>
    <w:rPr>
      <w:rFonts w:ascii="Times New Roman"/>
      <w:kern w:val="2"/>
      <w:sz w:val="21"/>
    </w:rPr>
  </w:style>
  <w:style w:type="character" w:styleId="ad">
    <w:name w:val="annotation reference"/>
    <w:basedOn w:val="a1"/>
    <w:rsid w:val="00BA4B87"/>
    <w:rPr>
      <w:sz w:val="21"/>
      <w:szCs w:val="21"/>
    </w:rPr>
  </w:style>
  <w:style w:type="paragraph" w:styleId="ae">
    <w:name w:val="annotation text"/>
    <w:basedOn w:val="a0"/>
    <w:link w:val="Char3"/>
    <w:rsid w:val="00BA4B87"/>
    <w:pPr>
      <w:jc w:val="left"/>
    </w:pPr>
  </w:style>
  <w:style w:type="character" w:customStyle="1" w:styleId="Char3">
    <w:name w:val="批注文字 Char"/>
    <w:basedOn w:val="a1"/>
    <w:link w:val="ae"/>
    <w:semiHidden/>
    <w:rsid w:val="00BA4B87"/>
    <w:rPr>
      <w:rFonts w:eastAsia="宋体"/>
      <w:kern w:val="2"/>
      <w:sz w:val="21"/>
      <w:szCs w:val="24"/>
      <w:lang w:val="en-US" w:eastAsia="zh-CN" w:bidi="ar-SA"/>
    </w:rPr>
  </w:style>
  <w:style w:type="character" w:styleId="af">
    <w:name w:val="Strong"/>
    <w:basedOn w:val="a1"/>
    <w:qFormat/>
    <w:rsid w:val="00BA4B87"/>
    <w:rPr>
      <w:b/>
      <w:bCs/>
    </w:rPr>
  </w:style>
  <w:style w:type="character" w:customStyle="1" w:styleId="read">
    <w:name w:val="read"/>
    <w:basedOn w:val="a1"/>
    <w:rsid w:val="00BA4B87"/>
  </w:style>
  <w:style w:type="character" w:customStyle="1" w:styleId="unnamed11">
    <w:name w:val="unnamed11"/>
    <w:basedOn w:val="a1"/>
    <w:rsid w:val="00BD3066"/>
    <w:rPr>
      <w:rFonts w:ascii="宋体" w:eastAsia="宋体" w:hAnsi="宋体" w:hint="eastAsia"/>
      <w:sz w:val="18"/>
      <w:szCs w:val="18"/>
    </w:rPr>
  </w:style>
  <w:style w:type="character" w:customStyle="1" w:styleId="CharChar1">
    <w:name w:val="Char Char1"/>
    <w:basedOn w:val="a1"/>
    <w:rsid w:val="003656D0"/>
    <w:rPr>
      <w:rFonts w:eastAsia="宋体"/>
      <w:kern w:val="2"/>
      <w:sz w:val="21"/>
      <w:szCs w:val="24"/>
      <w:lang w:val="en-US" w:eastAsia="zh-CN" w:bidi="ar-SA"/>
    </w:rPr>
  </w:style>
  <w:style w:type="paragraph" w:styleId="af0">
    <w:name w:val="annotation subject"/>
    <w:basedOn w:val="ae"/>
    <w:next w:val="ae"/>
    <w:semiHidden/>
    <w:rsid w:val="009009C3"/>
    <w:rPr>
      <w:b/>
      <w:bCs/>
    </w:rPr>
  </w:style>
  <w:style w:type="paragraph" w:styleId="30">
    <w:name w:val="toc 3"/>
    <w:basedOn w:val="a0"/>
    <w:next w:val="a0"/>
    <w:autoRedefine/>
    <w:uiPriority w:val="39"/>
    <w:rsid w:val="00972780"/>
    <w:pPr>
      <w:ind w:leftChars="400" w:left="840"/>
    </w:pPr>
  </w:style>
  <w:style w:type="paragraph" w:styleId="af1">
    <w:name w:val="Document Map"/>
    <w:basedOn w:val="a0"/>
    <w:link w:val="Char4"/>
    <w:rsid w:val="00685D02"/>
    <w:rPr>
      <w:rFonts w:ascii="宋体"/>
      <w:sz w:val="18"/>
      <w:szCs w:val="18"/>
    </w:rPr>
  </w:style>
  <w:style w:type="character" w:customStyle="1" w:styleId="Char4">
    <w:name w:val="文档结构图 Char"/>
    <w:basedOn w:val="a1"/>
    <w:link w:val="af1"/>
    <w:rsid w:val="00685D02"/>
    <w:rPr>
      <w:rFonts w:ascii="宋体"/>
      <w:kern w:val="2"/>
      <w:sz w:val="18"/>
      <w:szCs w:val="18"/>
    </w:rPr>
  </w:style>
  <w:style w:type="paragraph" w:styleId="af2">
    <w:name w:val="Revision"/>
    <w:hidden/>
    <w:uiPriority w:val="99"/>
    <w:semiHidden/>
    <w:rsid w:val="00E95125"/>
    <w:rPr>
      <w:kern w:val="2"/>
      <w:sz w:val="21"/>
      <w:szCs w:val="24"/>
    </w:rPr>
  </w:style>
  <w:style w:type="character" w:customStyle="1" w:styleId="Char0">
    <w:name w:val="页眉 Char"/>
    <w:basedOn w:val="a1"/>
    <w:link w:val="a7"/>
    <w:uiPriority w:val="99"/>
    <w:rsid w:val="00AE70B8"/>
    <w:rPr>
      <w:rFonts w:eastAsia="仿宋_GB2312"/>
      <w:kern w:val="2"/>
      <w:sz w:val="18"/>
    </w:rPr>
  </w:style>
  <w:style w:type="character" w:customStyle="1" w:styleId="Char1">
    <w:name w:val="页脚 Char"/>
    <w:basedOn w:val="a1"/>
    <w:link w:val="a9"/>
    <w:uiPriority w:val="99"/>
    <w:rsid w:val="00AE70B8"/>
    <w:rPr>
      <w:rFonts w:eastAsia="仿宋_GB2312"/>
      <w:kern w:val="2"/>
      <w:sz w:val="18"/>
    </w:rPr>
  </w:style>
  <w:style w:type="character" w:styleId="af3">
    <w:name w:val="footnote reference"/>
    <w:basedOn w:val="a1"/>
    <w:rsid w:val="00441AD4"/>
    <w:rPr>
      <w:vertAlign w:val="superscript"/>
    </w:rPr>
  </w:style>
  <w:style w:type="character" w:customStyle="1" w:styleId="big1">
    <w:name w:val="big1"/>
    <w:basedOn w:val="a1"/>
    <w:rsid w:val="00D178E0"/>
    <w:rPr>
      <w:spacing w:val="360"/>
      <w:sz w:val="22"/>
      <w:szCs w:val="22"/>
    </w:rPr>
  </w:style>
  <w:style w:type="character" w:customStyle="1" w:styleId="Char">
    <w:name w:val="纯文本 Char"/>
    <w:basedOn w:val="a1"/>
    <w:link w:val="a6"/>
    <w:locked/>
    <w:rsid w:val="00310E26"/>
    <w:rPr>
      <w:rFonts w:ascii="宋体" w:hAnsi="Courier New"/>
      <w:kern w:val="2"/>
      <w:sz w:val="24"/>
      <w:szCs w:val="21"/>
    </w:rPr>
  </w:style>
  <w:style w:type="character" w:customStyle="1" w:styleId="Char2">
    <w:name w:val="正文首行缩进 Char"/>
    <w:basedOn w:val="a1"/>
    <w:link w:val="ac"/>
    <w:rsid w:val="00AE2909"/>
    <w:rPr>
      <w:kern w:val="2"/>
      <w:sz w:val="21"/>
      <w:szCs w:val="24"/>
    </w:rPr>
  </w:style>
  <w:style w:type="character" w:customStyle="1" w:styleId="1Char">
    <w:name w:val="标题 1 Char"/>
    <w:aliases w:val="Heading 0 Char,H1 Char,PIM 1 Char,Heading 11 Char,level 1 Char,Level 1 Head Char,h1 Char,123321 Char,Level 1 Topic Heading Char"/>
    <w:basedOn w:val="a1"/>
    <w:link w:val="1"/>
    <w:rsid w:val="00072D7C"/>
    <w:rPr>
      <w:rFonts w:ascii="黑体" w:eastAsia="黑体"/>
      <w:kern w:val="2"/>
      <w:sz w:val="32"/>
      <w:szCs w:val="32"/>
    </w:rPr>
  </w:style>
  <w:style w:type="character" w:customStyle="1" w:styleId="Char10">
    <w:name w:val="纯文本 Char1"/>
    <w:basedOn w:val="a1"/>
    <w:semiHidden/>
    <w:locked/>
    <w:rsid w:val="003944C1"/>
    <w:rPr>
      <w:rFonts w:ascii="宋体" w:hAnsi="Courier New" w:cs="Courier New"/>
      <w:kern w:val="2"/>
      <w:sz w:val="21"/>
      <w:szCs w:val="21"/>
    </w:rPr>
  </w:style>
  <w:style w:type="character" w:customStyle="1" w:styleId="afont1">
    <w:name w:val="afont1"/>
    <w:basedOn w:val="a1"/>
    <w:rsid w:val="00177C93"/>
    <w:rPr>
      <w:rFonts w:ascii="Arial Narrow" w:hAnsi="Arial Narrow" w:hint="default"/>
      <w:sz w:val="21"/>
      <w:szCs w:val="21"/>
    </w:rPr>
  </w:style>
  <w:style w:type="paragraph" w:styleId="af4">
    <w:name w:val="List Paragraph"/>
    <w:basedOn w:val="a0"/>
    <w:uiPriority w:val="34"/>
    <w:qFormat/>
    <w:rsid w:val="003212DD"/>
    <w:pPr>
      <w:ind w:firstLineChars="200" w:firstLine="420"/>
    </w:pPr>
  </w:style>
  <w:style w:type="paragraph" w:styleId="HTML">
    <w:name w:val="HTML Preformatted"/>
    <w:basedOn w:val="a0"/>
    <w:link w:val="HTMLChar"/>
    <w:uiPriority w:val="99"/>
    <w:semiHidden/>
    <w:unhideWhenUsed/>
    <w:rsid w:val="00025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1"/>
    <w:link w:val="HTML"/>
    <w:uiPriority w:val="99"/>
    <w:semiHidden/>
    <w:rsid w:val="000258AE"/>
    <w:rPr>
      <w:rFonts w:ascii="宋体" w:hAnsi="宋体"/>
      <w:sz w:val="24"/>
      <w:szCs w:val="24"/>
    </w:rPr>
  </w:style>
  <w:style w:type="paragraph" w:styleId="af5">
    <w:name w:val="Date"/>
    <w:basedOn w:val="a0"/>
    <w:next w:val="a0"/>
    <w:link w:val="Char5"/>
    <w:rsid w:val="00563799"/>
    <w:pPr>
      <w:ind w:leftChars="2500" w:left="100"/>
    </w:pPr>
  </w:style>
  <w:style w:type="character" w:customStyle="1" w:styleId="Char5">
    <w:name w:val="日期 Char"/>
    <w:basedOn w:val="a1"/>
    <w:link w:val="af5"/>
    <w:rsid w:val="00563799"/>
    <w:rPr>
      <w:kern w:val="2"/>
      <w:sz w:val="21"/>
      <w:szCs w:val="24"/>
    </w:rPr>
  </w:style>
</w:styles>
</file>

<file path=word/webSettings.xml><?xml version="1.0" encoding="utf-8"?>
<w:webSettings xmlns:r="http://schemas.openxmlformats.org/officeDocument/2006/relationships" xmlns:w="http://schemas.openxmlformats.org/wordprocessingml/2006/main">
  <w:divs>
    <w:div w:id="15154341">
      <w:bodyDiv w:val="1"/>
      <w:marLeft w:val="0"/>
      <w:marRight w:val="0"/>
      <w:marTop w:val="0"/>
      <w:marBottom w:val="0"/>
      <w:divBdr>
        <w:top w:val="none" w:sz="0" w:space="0" w:color="auto"/>
        <w:left w:val="none" w:sz="0" w:space="0" w:color="auto"/>
        <w:bottom w:val="none" w:sz="0" w:space="0" w:color="auto"/>
        <w:right w:val="none" w:sz="0" w:space="0" w:color="auto"/>
      </w:divBdr>
    </w:div>
    <w:div w:id="40786077">
      <w:bodyDiv w:val="1"/>
      <w:marLeft w:val="0"/>
      <w:marRight w:val="0"/>
      <w:marTop w:val="0"/>
      <w:marBottom w:val="0"/>
      <w:divBdr>
        <w:top w:val="none" w:sz="0" w:space="0" w:color="auto"/>
        <w:left w:val="none" w:sz="0" w:space="0" w:color="auto"/>
        <w:bottom w:val="none" w:sz="0" w:space="0" w:color="auto"/>
        <w:right w:val="none" w:sz="0" w:space="0" w:color="auto"/>
      </w:divBdr>
    </w:div>
    <w:div w:id="66148172">
      <w:bodyDiv w:val="1"/>
      <w:marLeft w:val="0"/>
      <w:marRight w:val="0"/>
      <w:marTop w:val="0"/>
      <w:marBottom w:val="0"/>
      <w:divBdr>
        <w:top w:val="none" w:sz="0" w:space="0" w:color="auto"/>
        <w:left w:val="none" w:sz="0" w:space="0" w:color="auto"/>
        <w:bottom w:val="none" w:sz="0" w:space="0" w:color="auto"/>
        <w:right w:val="none" w:sz="0" w:space="0" w:color="auto"/>
      </w:divBdr>
    </w:div>
    <w:div w:id="105276223">
      <w:bodyDiv w:val="1"/>
      <w:marLeft w:val="0"/>
      <w:marRight w:val="0"/>
      <w:marTop w:val="0"/>
      <w:marBottom w:val="0"/>
      <w:divBdr>
        <w:top w:val="none" w:sz="0" w:space="0" w:color="auto"/>
        <w:left w:val="none" w:sz="0" w:space="0" w:color="auto"/>
        <w:bottom w:val="none" w:sz="0" w:space="0" w:color="auto"/>
        <w:right w:val="none" w:sz="0" w:space="0" w:color="auto"/>
      </w:divBdr>
    </w:div>
    <w:div w:id="105391358">
      <w:bodyDiv w:val="1"/>
      <w:marLeft w:val="0"/>
      <w:marRight w:val="0"/>
      <w:marTop w:val="0"/>
      <w:marBottom w:val="0"/>
      <w:divBdr>
        <w:top w:val="none" w:sz="0" w:space="0" w:color="auto"/>
        <w:left w:val="none" w:sz="0" w:space="0" w:color="auto"/>
        <w:bottom w:val="none" w:sz="0" w:space="0" w:color="auto"/>
        <w:right w:val="none" w:sz="0" w:space="0" w:color="auto"/>
      </w:divBdr>
    </w:div>
    <w:div w:id="120004528">
      <w:bodyDiv w:val="1"/>
      <w:marLeft w:val="0"/>
      <w:marRight w:val="0"/>
      <w:marTop w:val="0"/>
      <w:marBottom w:val="0"/>
      <w:divBdr>
        <w:top w:val="none" w:sz="0" w:space="0" w:color="auto"/>
        <w:left w:val="none" w:sz="0" w:space="0" w:color="auto"/>
        <w:bottom w:val="none" w:sz="0" w:space="0" w:color="auto"/>
        <w:right w:val="none" w:sz="0" w:space="0" w:color="auto"/>
      </w:divBdr>
    </w:div>
    <w:div w:id="160894016">
      <w:bodyDiv w:val="1"/>
      <w:marLeft w:val="0"/>
      <w:marRight w:val="0"/>
      <w:marTop w:val="0"/>
      <w:marBottom w:val="0"/>
      <w:divBdr>
        <w:top w:val="none" w:sz="0" w:space="0" w:color="auto"/>
        <w:left w:val="none" w:sz="0" w:space="0" w:color="auto"/>
        <w:bottom w:val="none" w:sz="0" w:space="0" w:color="auto"/>
        <w:right w:val="none" w:sz="0" w:space="0" w:color="auto"/>
      </w:divBdr>
    </w:div>
    <w:div w:id="275452463">
      <w:bodyDiv w:val="1"/>
      <w:marLeft w:val="0"/>
      <w:marRight w:val="0"/>
      <w:marTop w:val="0"/>
      <w:marBottom w:val="0"/>
      <w:divBdr>
        <w:top w:val="none" w:sz="0" w:space="0" w:color="auto"/>
        <w:left w:val="none" w:sz="0" w:space="0" w:color="auto"/>
        <w:bottom w:val="none" w:sz="0" w:space="0" w:color="auto"/>
        <w:right w:val="none" w:sz="0" w:space="0" w:color="auto"/>
      </w:divBdr>
    </w:div>
    <w:div w:id="312368131">
      <w:bodyDiv w:val="1"/>
      <w:marLeft w:val="0"/>
      <w:marRight w:val="0"/>
      <w:marTop w:val="0"/>
      <w:marBottom w:val="0"/>
      <w:divBdr>
        <w:top w:val="none" w:sz="0" w:space="0" w:color="auto"/>
        <w:left w:val="none" w:sz="0" w:space="0" w:color="auto"/>
        <w:bottom w:val="none" w:sz="0" w:space="0" w:color="auto"/>
        <w:right w:val="none" w:sz="0" w:space="0" w:color="auto"/>
      </w:divBdr>
    </w:div>
    <w:div w:id="348483031">
      <w:bodyDiv w:val="1"/>
      <w:marLeft w:val="0"/>
      <w:marRight w:val="0"/>
      <w:marTop w:val="0"/>
      <w:marBottom w:val="0"/>
      <w:divBdr>
        <w:top w:val="none" w:sz="0" w:space="0" w:color="auto"/>
        <w:left w:val="none" w:sz="0" w:space="0" w:color="auto"/>
        <w:bottom w:val="none" w:sz="0" w:space="0" w:color="auto"/>
        <w:right w:val="none" w:sz="0" w:space="0" w:color="auto"/>
      </w:divBdr>
    </w:div>
    <w:div w:id="358436960">
      <w:bodyDiv w:val="1"/>
      <w:marLeft w:val="0"/>
      <w:marRight w:val="0"/>
      <w:marTop w:val="0"/>
      <w:marBottom w:val="0"/>
      <w:divBdr>
        <w:top w:val="none" w:sz="0" w:space="0" w:color="auto"/>
        <w:left w:val="none" w:sz="0" w:space="0" w:color="auto"/>
        <w:bottom w:val="none" w:sz="0" w:space="0" w:color="auto"/>
        <w:right w:val="none" w:sz="0" w:space="0" w:color="auto"/>
      </w:divBdr>
    </w:div>
    <w:div w:id="524099857">
      <w:bodyDiv w:val="1"/>
      <w:marLeft w:val="0"/>
      <w:marRight w:val="0"/>
      <w:marTop w:val="0"/>
      <w:marBottom w:val="0"/>
      <w:divBdr>
        <w:top w:val="none" w:sz="0" w:space="0" w:color="auto"/>
        <w:left w:val="none" w:sz="0" w:space="0" w:color="auto"/>
        <w:bottom w:val="none" w:sz="0" w:space="0" w:color="auto"/>
        <w:right w:val="none" w:sz="0" w:space="0" w:color="auto"/>
      </w:divBdr>
    </w:div>
    <w:div w:id="543099075">
      <w:bodyDiv w:val="1"/>
      <w:marLeft w:val="0"/>
      <w:marRight w:val="0"/>
      <w:marTop w:val="0"/>
      <w:marBottom w:val="0"/>
      <w:divBdr>
        <w:top w:val="none" w:sz="0" w:space="0" w:color="auto"/>
        <w:left w:val="none" w:sz="0" w:space="0" w:color="auto"/>
        <w:bottom w:val="none" w:sz="0" w:space="0" w:color="auto"/>
        <w:right w:val="none" w:sz="0" w:space="0" w:color="auto"/>
      </w:divBdr>
    </w:div>
    <w:div w:id="555511995">
      <w:bodyDiv w:val="1"/>
      <w:marLeft w:val="0"/>
      <w:marRight w:val="0"/>
      <w:marTop w:val="0"/>
      <w:marBottom w:val="0"/>
      <w:divBdr>
        <w:top w:val="none" w:sz="0" w:space="0" w:color="auto"/>
        <w:left w:val="none" w:sz="0" w:space="0" w:color="auto"/>
        <w:bottom w:val="none" w:sz="0" w:space="0" w:color="auto"/>
        <w:right w:val="none" w:sz="0" w:space="0" w:color="auto"/>
      </w:divBdr>
    </w:div>
    <w:div w:id="555630851">
      <w:bodyDiv w:val="1"/>
      <w:marLeft w:val="0"/>
      <w:marRight w:val="0"/>
      <w:marTop w:val="0"/>
      <w:marBottom w:val="0"/>
      <w:divBdr>
        <w:top w:val="none" w:sz="0" w:space="0" w:color="auto"/>
        <w:left w:val="none" w:sz="0" w:space="0" w:color="auto"/>
        <w:bottom w:val="none" w:sz="0" w:space="0" w:color="auto"/>
        <w:right w:val="none" w:sz="0" w:space="0" w:color="auto"/>
      </w:divBdr>
    </w:div>
    <w:div w:id="567106597">
      <w:bodyDiv w:val="1"/>
      <w:marLeft w:val="0"/>
      <w:marRight w:val="0"/>
      <w:marTop w:val="0"/>
      <w:marBottom w:val="0"/>
      <w:divBdr>
        <w:top w:val="none" w:sz="0" w:space="0" w:color="auto"/>
        <w:left w:val="none" w:sz="0" w:space="0" w:color="auto"/>
        <w:bottom w:val="none" w:sz="0" w:space="0" w:color="auto"/>
        <w:right w:val="none" w:sz="0" w:space="0" w:color="auto"/>
      </w:divBdr>
    </w:div>
    <w:div w:id="596837604">
      <w:bodyDiv w:val="1"/>
      <w:marLeft w:val="0"/>
      <w:marRight w:val="0"/>
      <w:marTop w:val="0"/>
      <w:marBottom w:val="0"/>
      <w:divBdr>
        <w:top w:val="none" w:sz="0" w:space="0" w:color="auto"/>
        <w:left w:val="none" w:sz="0" w:space="0" w:color="auto"/>
        <w:bottom w:val="none" w:sz="0" w:space="0" w:color="auto"/>
        <w:right w:val="none" w:sz="0" w:space="0" w:color="auto"/>
      </w:divBdr>
    </w:div>
    <w:div w:id="596987020">
      <w:bodyDiv w:val="1"/>
      <w:marLeft w:val="0"/>
      <w:marRight w:val="0"/>
      <w:marTop w:val="0"/>
      <w:marBottom w:val="0"/>
      <w:divBdr>
        <w:top w:val="none" w:sz="0" w:space="0" w:color="auto"/>
        <w:left w:val="none" w:sz="0" w:space="0" w:color="auto"/>
        <w:bottom w:val="none" w:sz="0" w:space="0" w:color="auto"/>
        <w:right w:val="none" w:sz="0" w:space="0" w:color="auto"/>
      </w:divBdr>
    </w:div>
    <w:div w:id="615867544">
      <w:bodyDiv w:val="1"/>
      <w:marLeft w:val="0"/>
      <w:marRight w:val="0"/>
      <w:marTop w:val="0"/>
      <w:marBottom w:val="0"/>
      <w:divBdr>
        <w:top w:val="none" w:sz="0" w:space="0" w:color="auto"/>
        <w:left w:val="none" w:sz="0" w:space="0" w:color="auto"/>
        <w:bottom w:val="none" w:sz="0" w:space="0" w:color="auto"/>
        <w:right w:val="none" w:sz="0" w:space="0" w:color="auto"/>
      </w:divBdr>
    </w:div>
    <w:div w:id="620766834">
      <w:bodyDiv w:val="1"/>
      <w:marLeft w:val="0"/>
      <w:marRight w:val="0"/>
      <w:marTop w:val="0"/>
      <w:marBottom w:val="0"/>
      <w:divBdr>
        <w:top w:val="none" w:sz="0" w:space="0" w:color="auto"/>
        <w:left w:val="none" w:sz="0" w:space="0" w:color="auto"/>
        <w:bottom w:val="none" w:sz="0" w:space="0" w:color="auto"/>
        <w:right w:val="none" w:sz="0" w:space="0" w:color="auto"/>
      </w:divBdr>
    </w:div>
    <w:div w:id="622350673">
      <w:bodyDiv w:val="1"/>
      <w:marLeft w:val="0"/>
      <w:marRight w:val="0"/>
      <w:marTop w:val="0"/>
      <w:marBottom w:val="0"/>
      <w:divBdr>
        <w:top w:val="none" w:sz="0" w:space="0" w:color="auto"/>
        <w:left w:val="none" w:sz="0" w:space="0" w:color="auto"/>
        <w:bottom w:val="none" w:sz="0" w:space="0" w:color="auto"/>
        <w:right w:val="none" w:sz="0" w:space="0" w:color="auto"/>
      </w:divBdr>
    </w:div>
    <w:div w:id="670252790">
      <w:bodyDiv w:val="1"/>
      <w:marLeft w:val="0"/>
      <w:marRight w:val="0"/>
      <w:marTop w:val="0"/>
      <w:marBottom w:val="0"/>
      <w:divBdr>
        <w:top w:val="none" w:sz="0" w:space="0" w:color="auto"/>
        <w:left w:val="none" w:sz="0" w:space="0" w:color="auto"/>
        <w:bottom w:val="none" w:sz="0" w:space="0" w:color="auto"/>
        <w:right w:val="none" w:sz="0" w:space="0" w:color="auto"/>
      </w:divBdr>
    </w:div>
    <w:div w:id="671764632">
      <w:bodyDiv w:val="1"/>
      <w:marLeft w:val="0"/>
      <w:marRight w:val="0"/>
      <w:marTop w:val="0"/>
      <w:marBottom w:val="0"/>
      <w:divBdr>
        <w:top w:val="none" w:sz="0" w:space="0" w:color="auto"/>
        <w:left w:val="none" w:sz="0" w:space="0" w:color="auto"/>
        <w:bottom w:val="none" w:sz="0" w:space="0" w:color="auto"/>
        <w:right w:val="none" w:sz="0" w:space="0" w:color="auto"/>
      </w:divBdr>
    </w:div>
    <w:div w:id="672798948">
      <w:bodyDiv w:val="1"/>
      <w:marLeft w:val="0"/>
      <w:marRight w:val="0"/>
      <w:marTop w:val="0"/>
      <w:marBottom w:val="0"/>
      <w:divBdr>
        <w:top w:val="none" w:sz="0" w:space="0" w:color="auto"/>
        <w:left w:val="none" w:sz="0" w:space="0" w:color="auto"/>
        <w:bottom w:val="none" w:sz="0" w:space="0" w:color="auto"/>
        <w:right w:val="none" w:sz="0" w:space="0" w:color="auto"/>
      </w:divBdr>
    </w:div>
    <w:div w:id="680282069">
      <w:bodyDiv w:val="1"/>
      <w:marLeft w:val="0"/>
      <w:marRight w:val="0"/>
      <w:marTop w:val="0"/>
      <w:marBottom w:val="0"/>
      <w:divBdr>
        <w:top w:val="none" w:sz="0" w:space="0" w:color="auto"/>
        <w:left w:val="none" w:sz="0" w:space="0" w:color="auto"/>
        <w:bottom w:val="none" w:sz="0" w:space="0" w:color="auto"/>
        <w:right w:val="none" w:sz="0" w:space="0" w:color="auto"/>
      </w:divBdr>
    </w:div>
    <w:div w:id="699554446">
      <w:bodyDiv w:val="1"/>
      <w:marLeft w:val="0"/>
      <w:marRight w:val="0"/>
      <w:marTop w:val="0"/>
      <w:marBottom w:val="0"/>
      <w:divBdr>
        <w:top w:val="none" w:sz="0" w:space="0" w:color="auto"/>
        <w:left w:val="none" w:sz="0" w:space="0" w:color="auto"/>
        <w:bottom w:val="none" w:sz="0" w:space="0" w:color="auto"/>
        <w:right w:val="none" w:sz="0" w:space="0" w:color="auto"/>
      </w:divBdr>
    </w:div>
    <w:div w:id="718280987">
      <w:bodyDiv w:val="1"/>
      <w:marLeft w:val="0"/>
      <w:marRight w:val="0"/>
      <w:marTop w:val="0"/>
      <w:marBottom w:val="0"/>
      <w:divBdr>
        <w:top w:val="none" w:sz="0" w:space="0" w:color="auto"/>
        <w:left w:val="none" w:sz="0" w:space="0" w:color="auto"/>
        <w:bottom w:val="none" w:sz="0" w:space="0" w:color="auto"/>
        <w:right w:val="none" w:sz="0" w:space="0" w:color="auto"/>
      </w:divBdr>
    </w:div>
    <w:div w:id="780107249">
      <w:bodyDiv w:val="1"/>
      <w:marLeft w:val="0"/>
      <w:marRight w:val="0"/>
      <w:marTop w:val="0"/>
      <w:marBottom w:val="0"/>
      <w:divBdr>
        <w:top w:val="none" w:sz="0" w:space="0" w:color="auto"/>
        <w:left w:val="none" w:sz="0" w:space="0" w:color="auto"/>
        <w:bottom w:val="none" w:sz="0" w:space="0" w:color="auto"/>
        <w:right w:val="none" w:sz="0" w:space="0" w:color="auto"/>
      </w:divBdr>
    </w:div>
    <w:div w:id="789132022">
      <w:bodyDiv w:val="1"/>
      <w:marLeft w:val="0"/>
      <w:marRight w:val="0"/>
      <w:marTop w:val="0"/>
      <w:marBottom w:val="0"/>
      <w:divBdr>
        <w:top w:val="none" w:sz="0" w:space="0" w:color="auto"/>
        <w:left w:val="none" w:sz="0" w:space="0" w:color="auto"/>
        <w:bottom w:val="none" w:sz="0" w:space="0" w:color="auto"/>
        <w:right w:val="none" w:sz="0" w:space="0" w:color="auto"/>
      </w:divBdr>
    </w:div>
    <w:div w:id="811874566">
      <w:bodyDiv w:val="1"/>
      <w:marLeft w:val="0"/>
      <w:marRight w:val="0"/>
      <w:marTop w:val="0"/>
      <w:marBottom w:val="0"/>
      <w:divBdr>
        <w:top w:val="none" w:sz="0" w:space="0" w:color="auto"/>
        <w:left w:val="none" w:sz="0" w:space="0" w:color="auto"/>
        <w:bottom w:val="none" w:sz="0" w:space="0" w:color="auto"/>
        <w:right w:val="none" w:sz="0" w:space="0" w:color="auto"/>
      </w:divBdr>
    </w:div>
    <w:div w:id="819737574">
      <w:bodyDiv w:val="1"/>
      <w:marLeft w:val="0"/>
      <w:marRight w:val="0"/>
      <w:marTop w:val="0"/>
      <w:marBottom w:val="0"/>
      <w:divBdr>
        <w:top w:val="none" w:sz="0" w:space="0" w:color="auto"/>
        <w:left w:val="none" w:sz="0" w:space="0" w:color="auto"/>
        <w:bottom w:val="none" w:sz="0" w:space="0" w:color="auto"/>
        <w:right w:val="none" w:sz="0" w:space="0" w:color="auto"/>
      </w:divBdr>
    </w:div>
    <w:div w:id="866135316">
      <w:bodyDiv w:val="1"/>
      <w:marLeft w:val="0"/>
      <w:marRight w:val="0"/>
      <w:marTop w:val="0"/>
      <w:marBottom w:val="0"/>
      <w:divBdr>
        <w:top w:val="none" w:sz="0" w:space="0" w:color="auto"/>
        <w:left w:val="none" w:sz="0" w:space="0" w:color="auto"/>
        <w:bottom w:val="none" w:sz="0" w:space="0" w:color="auto"/>
        <w:right w:val="none" w:sz="0" w:space="0" w:color="auto"/>
      </w:divBdr>
    </w:div>
    <w:div w:id="889852038">
      <w:bodyDiv w:val="1"/>
      <w:marLeft w:val="0"/>
      <w:marRight w:val="0"/>
      <w:marTop w:val="0"/>
      <w:marBottom w:val="0"/>
      <w:divBdr>
        <w:top w:val="none" w:sz="0" w:space="0" w:color="auto"/>
        <w:left w:val="none" w:sz="0" w:space="0" w:color="auto"/>
        <w:bottom w:val="none" w:sz="0" w:space="0" w:color="auto"/>
        <w:right w:val="none" w:sz="0" w:space="0" w:color="auto"/>
      </w:divBdr>
    </w:div>
    <w:div w:id="948002444">
      <w:bodyDiv w:val="1"/>
      <w:marLeft w:val="0"/>
      <w:marRight w:val="0"/>
      <w:marTop w:val="0"/>
      <w:marBottom w:val="0"/>
      <w:divBdr>
        <w:top w:val="none" w:sz="0" w:space="0" w:color="auto"/>
        <w:left w:val="none" w:sz="0" w:space="0" w:color="auto"/>
        <w:bottom w:val="none" w:sz="0" w:space="0" w:color="auto"/>
        <w:right w:val="none" w:sz="0" w:space="0" w:color="auto"/>
      </w:divBdr>
    </w:div>
    <w:div w:id="952131905">
      <w:bodyDiv w:val="1"/>
      <w:marLeft w:val="0"/>
      <w:marRight w:val="0"/>
      <w:marTop w:val="0"/>
      <w:marBottom w:val="0"/>
      <w:divBdr>
        <w:top w:val="none" w:sz="0" w:space="0" w:color="auto"/>
        <w:left w:val="none" w:sz="0" w:space="0" w:color="auto"/>
        <w:bottom w:val="none" w:sz="0" w:space="0" w:color="auto"/>
        <w:right w:val="none" w:sz="0" w:space="0" w:color="auto"/>
      </w:divBdr>
    </w:div>
    <w:div w:id="993490440">
      <w:bodyDiv w:val="1"/>
      <w:marLeft w:val="0"/>
      <w:marRight w:val="0"/>
      <w:marTop w:val="0"/>
      <w:marBottom w:val="0"/>
      <w:divBdr>
        <w:top w:val="none" w:sz="0" w:space="0" w:color="auto"/>
        <w:left w:val="none" w:sz="0" w:space="0" w:color="auto"/>
        <w:bottom w:val="none" w:sz="0" w:space="0" w:color="auto"/>
        <w:right w:val="none" w:sz="0" w:space="0" w:color="auto"/>
      </w:divBdr>
    </w:div>
    <w:div w:id="994603558">
      <w:bodyDiv w:val="1"/>
      <w:marLeft w:val="0"/>
      <w:marRight w:val="0"/>
      <w:marTop w:val="0"/>
      <w:marBottom w:val="0"/>
      <w:divBdr>
        <w:top w:val="none" w:sz="0" w:space="0" w:color="auto"/>
        <w:left w:val="none" w:sz="0" w:space="0" w:color="auto"/>
        <w:bottom w:val="none" w:sz="0" w:space="0" w:color="auto"/>
        <w:right w:val="none" w:sz="0" w:space="0" w:color="auto"/>
      </w:divBdr>
    </w:div>
    <w:div w:id="1009720370">
      <w:bodyDiv w:val="1"/>
      <w:marLeft w:val="0"/>
      <w:marRight w:val="0"/>
      <w:marTop w:val="0"/>
      <w:marBottom w:val="0"/>
      <w:divBdr>
        <w:top w:val="none" w:sz="0" w:space="0" w:color="auto"/>
        <w:left w:val="none" w:sz="0" w:space="0" w:color="auto"/>
        <w:bottom w:val="none" w:sz="0" w:space="0" w:color="auto"/>
        <w:right w:val="none" w:sz="0" w:space="0" w:color="auto"/>
      </w:divBdr>
    </w:div>
    <w:div w:id="1025523423">
      <w:bodyDiv w:val="1"/>
      <w:marLeft w:val="0"/>
      <w:marRight w:val="0"/>
      <w:marTop w:val="0"/>
      <w:marBottom w:val="0"/>
      <w:divBdr>
        <w:top w:val="none" w:sz="0" w:space="0" w:color="auto"/>
        <w:left w:val="none" w:sz="0" w:space="0" w:color="auto"/>
        <w:bottom w:val="none" w:sz="0" w:space="0" w:color="auto"/>
        <w:right w:val="none" w:sz="0" w:space="0" w:color="auto"/>
      </w:divBdr>
    </w:div>
    <w:div w:id="1035691512">
      <w:bodyDiv w:val="1"/>
      <w:marLeft w:val="0"/>
      <w:marRight w:val="0"/>
      <w:marTop w:val="0"/>
      <w:marBottom w:val="0"/>
      <w:divBdr>
        <w:top w:val="none" w:sz="0" w:space="0" w:color="auto"/>
        <w:left w:val="none" w:sz="0" w:space="0" w:color="auto"/>
        <w:bottom w:val="none" w:sz="0" w:space="0" w:color="auto"/>
        <w:right w:val="none" w:sz="0" w:space="0" w:color="auto"/>
      </w:divBdr>
    </w:div>
    <w:div w:id="1072120089">
      <w:bodyDiv w:val="1"/>
      <w:marLeft w:val="0"/>
      <w:marRight w:val="0"/>
      <w:marTop w:val="0"/>
      <w:marBottom w:val="0"/>
      <w:divBdr>
        <w:top w:val="none" w:sz="0" w:space="0" w:color="auto"/>
        <w:left w:val="none" w:sz="0" w:space="0" w:color="auto"/>
        <w:bottom w:val="none" w:sz="0" w:space="0" w:color="auto"/>
        <w:right w:val="none" w:sz="0" w:space="0" w:color="auto"/>
      </w:divBdr>
    </w:div>
    <w:div w:id="1119103585">
      <w:bodyDiv w:val="1"/>
      <w:marLeft w:val="0"/>
      <w:marRight w:val="0"/>
      <w:marTop w:val="0"/>
      <w:marBottom w:val="0"/>
      <w:divBdr>
        <w:top w:val="none" w:sz="0" w:space="0" w:color="auto"/>
        <w:left w:val="none" w:sz="0" w:space="0" w:color="auto"/>
        <w:bottom w:val="none" w:sz="0" w:space="0" w:color="auto"/>
        <w:right w:val="none" w:sz="0" w:space="0" w:color="auto"/>
      </w:divBdr>
    </w:div>
    <w:div w:id="1128011368">
      <w:bodyDiv w:val="1"/>
      <w:marLeft w:val="0"/>
      <w:marRight w:val="0"/>
      <w:marTop w:val="0"/>
      <w:marBottom w:val="0"/>
      <w:divBdr>
        <w:top w:val="none" w:sz="0" w:space="0" w:color="auto"/>
        <w:left w:val="none" w:sz="0" w:space="0" w:color="auto"/>
        <w:bottom w:val="none" w:sz="0" w:space="0" w:color="auto"/>
        <w:right w:val="none" w:sz="0" w:space="0" w:color="auto"/>
      </w:divBdr>
    </w:div>
    <w:div w:id="1134373628">
      <w:bodyDiv w:val="1"/>
      <w:marLeft w:val="0"/>
      <w:marRight w:val="0"/>
      <w:marTop w:val="0"/>
      <w:marBottom w:val="0"/>
      <w:divBdr>
        <w:top w:val="none" w:sz="0" w:space="0" w:color="auto"/>
        <w:left w:val="none" w:sz="0" w:space="0" w:color="auto"/>
        <w:bottom w:val="none" w:sz="0" w:space="0" w:color="auto"/>
        <w:right w:val="none" w:sz="0" w:space="0" w:color="auto"/>
      </w:divBdr>
    </w:div>
    <w:div w:id="1153982509">
      <w:bodyDiv w:val="1"/>
      <w:marLeft w:val="0"/>
      <w:marRight w:val="0"/>
      <w:marTop w:val="0"/>
      <w:marBottom w:val="0"/>
      <w:divBdr>
        <w:top w:val="none" w:sz="0" w:space="0" w:color="auto"/>
        <w:left w:val="none" w:sz="0" w:space="0" w:color="auto"/>
        <w:bottom w:val="none" w:sz="0" w:space="0" w:color="auto"/>
        <w:right w:val="none" w:sz="0" w:space="0" w:color="auto"/>
      </w:divBdr>
    </w:div>
    <w:div w:id="1176968261">
      <w:bodyDiv w:val="1"/>
      <w:marLeft w:val="0"/>
      <w:marRight w:val="0"/>
      <w:marTop w:val="0"/>
      <w:marBottom w:val="0"/>
      <w:divBdr>
        <w:top w:val="none" w:sz="0" w:space="0" w:color="auto"/>
        <w:left w:val="none" w:sz="0" w:space="0" w:color="auto"/>
        <w:bottom w:val="none" w:sz="0" w:space="0" w:color="auto"/>
        <w:right w:val="none" w:sz="0" w:space="0" w:color="auto"/>
      </w:divBdr>
    </w:div>
    <w:div w:id="1200361755">
      <w:bodyDiv w:val="1"/>
      <w:marLeft w:val="0"/>
      <w:marRight w:val="0"/>
      <w:marTop w:val="0"/>
      <w:marBottom w:val="0"/>
      <w:divBdr>
        <w:top w:val="none" w:sz="0" w:space="0" w:color="auto"/>
        <w:left w:val="none" w:sz="0" w:space="0" w:color="auto"/>
        <w:bottom w:val="none" w:sz="0" w:space="0" w:color="auto"/>
        <w:right w:val="none" w:sz="0" w:space="0" w:color="auto"/>
      </w:divBdr>
    </w:div>
    <w:div w:id="1203057783">
      <w:bodyDiv w:val="1"/>
      <w:marLeft w:val="0"/>
      <w:marRight w:val="0"/>
      <w:marTop w:val="0"/>
      <w:marBottom w:val="0"/>
      <w:divBdr>
        <w:top w:val="none" w:sz="0" w:space="0" w:color="auto"/>
        <w:left w:val="none" w:sz="0" w:space="0" w:color="auto"/>
        <w:bottom w:val="none" w:sz="0" w:space="0" w:color="auto"/>
        <w:right w:val="none" w:sz="0" w:space="0" w:color="auto"/>
      </w:divBdr>
    </w:div>
    <w:div w:id="1204101325">
      <w:bodyDiv w:val="1"/>
      <w:marLeft w:val="0"/>
      <w:marRight w:val="0"/>
      <w:marTop w:val="0"/>
      <w:marBottom w:val="0"/>
      <w:divBdr>
        <w:top w:val="none" w:sz="0" w:space="0" w:color="auto"/>
        <w:left w:val="none" w:sz="0" w:space="0" w:color="auto"/>
        <w:bottom w:val="none" w:sz="0" w:space="0" w:color="auto"/>
        <w:right w:val="none" w:sz="0" w:space="0" w:color="auto"/>
      </w:divBdr>
    </w:div>
    <w:div w:id="1227374088">
      <w:bodyDiv w:val="1"/>
      <w:marLeft w:val="0"/>
      <w:marRight w:val="0"/>
      <w:marTop w:val="0"/>
      <w:marBottom w:val="0"/>
      <w:divBdr>
        <w:top w:val="none" w:sz="0" w:space="0" w:color="auto"/>
        <w:left w:val="none" w:sz="0" w:space="0" w:color="auto"/>
        <w:bottom w:val="none" w:sz="0" w:space="0" w:color="auto"/>
        <w:right w:val="none" w:sz="0" w:space="0" w:color="auto"/>
      </w:divBdr>
      <w:divsChild>
        <w:div w:id="1672949665">
          <w:marLeft w:val="0"/>
          <w:marRight w:val="0"/>
          <w:marTop w:val="0"/>
          <w:marBottom w:val="0"/>
          <w:divBdr>
            <w:top w:val="none" w:sz="0" w:space="0" w:color="auto"/>
            <w:left w:val="none" w:sz="0" w:space="0" w:color="auto"/>
            <w:bottom w:val="none" w:sz="0" w:space="0" w:color="auto"/>
            <w:right w:val="none" w:sz="0" w:space="0" w:color="auto"/>
          </w:divBdr>
          <w:divsChild>
            <w:div w:id="971325707">
              <w:marLeft w:val="0"/>
              <w:marRight w:val="0"/>
              <w:marTop w:val="0"/>
              <w:marBottom w:val="0"/>
              <w:divBdr>
                <w:top w:val="single" w:sz="18" w:space="0" w:color="000000"/>
                <w:left w:val="none" w:sz="0" w:space="0" w:color="auto"/>
                <w:bottom w:val="none" w:sz="0" w:space="0" w:color="auto"/>
                <w:right w:val="none" w:sz="0" w:space="0" w:color="auto"/>
              </w:divBdr>
              <w:divsChild>
                <w:div w:id="5730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99307">
      <w:bodyDiv w:val="1"/>
      <w:marLeft w:val="0"/>
      <w:marRight w:val="0"/>
      <w:marTop w:val="0"/>
      <w:marBottom w:val="0"/>
      <w:divBdr>
        <w:top w:val="none" w:sz="0" w:space="0" w:color="auto"/>
        <w:left w:val="none" w:sz="0" w:space="0" w:color="auto"/>
        <w:bottom w:val="none" w:sz="0" w:space="0" w:color="auto"/>
        <w:right w:val="none" w:sz="0" w:space="0" w:color="auto"/>
      </w:divBdr>
    </w:div>
    <w:div w:id="1274285609">
      <w:bodyDiv w:val="1"/>
      <w:marLeft w:val="0"/>
      <w:marRight w:val="0"/>
      <w:marTop w:val="0"/>
      <w:marBottom w:val="0"/>
      <w:divBdr>
        <w:top w:val="none" w:sz="0" w:space="0" w:color="auto"/>
        <w:left w:val="none" w:sz="0" w:space="0" w:color="auto"/>
        <w:bottom w:val="none" w:sz="0" w:space="0" w:color="auto"/>
        <w:right w:val="none" w:sz="0" w:space="0" w:color="auto"/>
      </w:divBdr>
    </w:div>
    <w:div w:id="1379620922">
      <w:bodyDiv w:val="1"/>
      <w:marLeft w:val="0"/>
      <w:marRight w:val="0"/>
      <w:marTop w:val="0"/>
      <w:marBottom w:val="0"/>
      <w:divBdr>
        <w:top w:val="none" w:sz="0" w:space="0" w:color="auto"/>
        <w:left w:val="none" w:sz="0" w:space="0" w:color="auto"/>
        <w:bottom w:val="none" w:sz="0" w:space="0" w:color="auto"/>
        <w:right w:val="none" w:sz="0" w:space="0" w:color="auto"/>
      </w:divBdr>
    </w:div>
    <w:div w:id="1391928769">
      <w:bodyDiv w:val="1"/>
      <w:marLeft w:val="0"/>
      <w:marRight w:val="0"/>
      <w:marTop w:val="0"/>
      <w:marBottom w:val="0"/>
      <w:divBdr>
        <w:top w:val="none" w:sz="0" w:space="0" w:color="auto"/>
        <w:left w:val="none" w:sz="0" w:space="0" w:color="auto"/>
        <w:bottom w:val="none" w:sz="0" w:space="0" w:color="auto"/>
        <w:right w:val="none" w:sz="0" w:space="0" w:color="auto"/>
      </w:divBdr>
    </w:div>
    <w:div w:id="1450855756">
      <w:bodyDiv w:val="1"/>
      <w:marLeft w:val="0"/>
      <w:marRight w:val="0"/>
      <w:marTop w:val="0"/>
      <w:marBottom w:val="0"/>
      <w:divBdr>
        <w:top w:val="none" w:sz="0" w:space="0" w:color="auto"/>
        <w:left w:val="none" w:sz="0" w:space="0" w:color="auto"/>
        <w:bottom w:val="none" w:sz="0" w:space="0" w:color="auto"/>
        <w:right w:val="none" w:sz="0" w:space="0" w:color="auto"/>
      </w:divBdr>
    </w:div>
    <w:div w:id="1580670762">
      <w:bodyDiv w:val="1"/>
      <w:marLeft w:val="0"/>
      <w:marRight w:val="0"/>
      <w:marTop w:val="0"/>
      <w:marBottom w:val="0"/>
      <w:divBdr>
        <w:top w:val="none" w:sz="0" w:space="0" w:color="auto"/>
        <w:left w:val="none" w:sz="0" w:space="0" w:color="auto"/>
        <w:bottom w:val="none" w:sz="0" w:space="0" w:color="auto"/>
        <w:right w:val="none" w:sz="0" w:space="0" w:color="auto"/>
      </w:divBdr>
    </w:div>
    <w:div w:id="1628471233">
      <w:bodyDiv w:val="1"/>
      <w:marLeft w:val="0"/>
      <w:marRight w:val="0"/>
      <w:marTop w:val="0"/>
      <w:marBottom w:val="0"/>
      <w:divBdr>
        <w:top w:val="none" w:sz="0" w:space="0" w:color="auto"/>
        <w:left w:val="none" w:sz="0" w:space="0" w:color="auto"/>
        <w:bottom w:val="none" w:sz="0" w:space="0" w:color="auto"/>
        <w:right w:val="none" w:sz="0" w:space="0" w:color="auto"/>
      </w:divBdr>
    </w:div>
    <w:div w:id="1709791577">
      <w:bodyDiv w:val="1"/>
      <w:marLeft w:val="0"/>
      <w:marRight w:val="0"/>
      <w:marTop w:val="0"/>
      <w:marBottom w:val="0"/>
      <w:divBdr>
        <w:top w:val="none" w:sz="0" w:space="0" w:color="auto"/>
        <w:left w:val="none" w:sz="0" w:space="0" w:color="auto"/>
        <w:bottom w:val="none" w:sz="0" w:space="0" w:color="auto"/>
        <w:right w:val="none" w:sz="0" w:space="0" w:color="auto"/>
      </w:divBdr>
    </w:div>
    <w:div w:id="1736901427">
      <w:bodyDiv w:val="1"/>
      <w:marLeft w:val="0"/>
      <w:marRight w:val="0"/>
      <w:marTop w:val="0"/>
      <w:marBottom w:val="0"/>
      <w:divBdr>
        <w:top w:val="none" w:sz="0" w:space="0" w:color="auto"/>
        <w:left w:val="none" w:sz="0" w:space="0" w:color="auto"/>
        <w:bottom w:val="none" w:sz="0" w:space="0" w:color="auto"/>
        <w:right w:val="none" w:sz="0" w:space="0" w:color="auto"/>
      </w:divBdr>
    </w:div>
    <w:div w:id="1744595834">
      <w:bodyDiv w:val="1"/>
      <w:marLeft w:val="0"/>
      <w:marRight w:val="0"/>
      <w:marTop w:val="0"/>
      <w:marBottom w:val="0"/>
      <w:divBdr>
        <w:top w:val="none" w:sz="0" w:space="0" w:color="auto"/>
        <w:left w:val="none" w:sz="0" w:space="0" w:color="auto"/>
        <w:bottom w:val="none" w:sz="0" w:space="0" w:color="auto"/>
        <w:right w:val="none" w:sz="0" w:space="0" w:color="auto"/>
      </w:divBdr>
    </w:div>
    <w:div w:id="1811090771">
      <w:bodyDiv w:val="1"/>
      <w:marLeft w:val="0"/>
      <w:marRight w:val="0"/>
      <w:marTop w:val="0"/>
      <w:marBottom w:val="0"/>
      <w:divBdr>
        <w:top w:val="none" w:sz="0" w:space="0" w:color="auto"/>
        <w:left w:val="none" w:sz="0" w:space="0" w:color="auto"/>
        <w:bottom w:val="none" w:sz="0" w:space="0" w:color="auto"/>
        <w:right w:val="none" w:sz="0" w:space="0" w:color="auto"/>
      </w:divBdr>
    </w:div>
    <w:div w:id="1967007856">
      <w:bodyDiv w:val="1"/>
      <w:marLeft w:val="0"/>
      <w:marRight w:val="0"/>
      <w:marTop w:val="0"/>
      <w:marBottom w:val="0"/>
      <w:divBdr>
        <w:top w:val="none" w:sz="0" w:space="0" w:color="auto"/>
        <w:left w:val="none" w:sz="0" w:space="0" w:color="auto"/>
        <w:bottom w:val="none" w:sz="0" w:space="0" w:color="auto"/>
        <w:right w:val="none" w:sz="0" w:space="0" w:color="auto"/>
      </w:divBdr>
    </w:div>
    <w:div w:id="2009477260">
      <w:bodyDiv w:val="1"/>
      <w:marLeft w:val="0"/>
      <w:marRight w:val="0"/>
      <w:marTop w:val="0"/>
      <w:marBottom w:val="0"/>
      <w:divBdr>
        <w:top w:val="none" w:sz="0" w:space="0" w:color="auto"/>
        <w:left w:val="none" w:sz="0" w:space="0" w:color="auto"/>
        <w:bottom w:val="none" w:sz="0" w:space="0" w:color="auto"/>
        <w:right w:val="none" w:sz="0" w:space="0" w:color="auto"/>
      </w:divBdr>
    </w:div>
    <w:div w:id="2018338150">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1081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funds.com.c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6B607-E8E9-4725-8FA7-EA03C0C4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3014</Words>
  <Characters>17183</Characters>
  <Application>Microsoft Office Word</Application>
  <DocSecurity>4</DocSecurity>
  <Lines>143</Lines>
  <Paragraphs>40</Paragraphs>
  <ScaleCrop>false</ScaleCrop>
  <Company>E FUND</Company>
  <LinksUpToDate>false</LinksUpToDate>
  <CharactersWithSpaces>20157</CharactersWithSpaces>
  <SharedDoc>false</SharedDoc>
  <HLinks>
    <vt:vector size="156" baseType="variant">
      <vt:variant>
        <vt:i4>6160454</vt:i4>
      </vt:variant>
      <vt:variant>
        <vt:i4>153</vt:i4>
      </vt:variant>
      <vt:variant>
        <vt:i4>0</vt:i4>
      </vt:variant>
      <vt:variant>
        <vt:i4>5</vt:i4>
      </vt:variant>
      <vt:variant>
        <vt:lpwstr>http://www.efunds.com.cn/</vt:lpwstr>
      </vt:variant>
      <vt:variant>
        <vt:lpwstr/>
      </vt:variant>
      <vt:variant>
        <vt:i4>1572922</vt:i4>
      </vt:variant>
      <vt:variant>
        <vt:i4>146</vt:i4>
      </vt:variant>
      <vt:variant>
        <vt:i4>0</vt:i4>
      </vt:variant>
      <vt:variant>
        <vt:i4>5</vt:i4>
      </vt:variant>
      <vt:variant>
        <vt:lpwstr/>
      </vt:variant>
      <vt:variant>
        <vt:lpwstr>_Toc403058872</vt:lpwstr>
      </vt:variant>
      <vt:variant>
        <vt:i4>1572922</vt:i4>
      </vt:variant>
      <vt:variant>
        <vt:i4>140</vt:i4>
      </vt:variant>
      <vt:variant>
        <vt:i4>0</vt:i4>
      </vt:variant>
      <vt:variant>
        <vt:i4>5</vt:i4>
      </vt:variant>
      <vt:variant>
        <vt:lpwstr/>
      </vt:variant>
      <vt:variant>
        <vt:lpwstr>_Toc403058871</vt:lpwstr>
      </vt:variant>
      <vt:variant>
        <vt:i4>1572922</vt:i4>
      </vt:variant>
      <vt:variant>
        <vt:i4>134</vt:i4>
      </vt:variant>
      <vt:variant>
        <vt:i4>0</vt:i4>
      </vt:variant>
      <vt:variant>
        <vt:i4>5</vt:i4>
      </vt:variant>
      <vt:variant>
        <vt:lpwstr/>
      </vt:variant>
      <vt:variant>
        <vt:lpwstr>_Toc403058870</vt:lpwstr>
      </vt:variant>
      <vt:variant>
        <vt:i4>1638458</vt:i4>
      </vt:variant>
      <vt:variant>
        <vt:i4>128</vt:i4>
      </vt:variant>
      <vt:variant>
        <vt:i4>0</vt:i4>
      </vt:variant>
      <vt:variant>
        <vt:i4>5</vt:i4>
      </vt:variant>
      <vt:variant>
        <vt:lpwstr/>
      </vt:variant>
      <vt:variant>
        <vt:lpwstr>_Toc403058869</vt:lpwstr>
      </vt:variant>
      <vt:variant>
        <vt:i4>1638458</vt:i4>
      </vt:variant>
      <vt:variant>
        <vt:i4>122</vt:i4>
      </vt:variant>
      <vt:variant>
        <vt:i4>0</vt:i4>
      </vt:variant>
      <vt:variant>
        <vt:i4>5</vt:i4>
      </vt:variant>
      <vt:variant>
        <vt:lpwstr/>
      </vt:variant>
      <vt:variant>
        <vt:lpwstr>_Toc403058868</vt:lpwstr>
      </vt:variant>
      <vt:variant>
        <vt:i4>1638458</vt:i4>
      </vt:variant>
      <vt:variant>
        <vt:i4>116</vt:i4>
      </vt:variant>
      <vt:variant>
        <vt:i4>0</vt:i4>
      </vt:variant>
      <vt:variant>
        <vt:i4>5</vt:i4>
      </vt:variant>
      <vt:variant>
        <vt:lpwstr/>
      </vt:variant>
      <vt:variant>
        <vt:lpwstr>_Toc403058867</vt:lpwstr>
      </vt:variant>
      <vt:variant>
        <vt:i4>1638458</vt:i4>
      </vt:variant>
      <vt:variant>
        <vt:i4>110</vt:i4>
      </vt:variant>
      <vt:variant>
        <vt:i4>0</vt:i4>
      </vt:variant>
      <vt:variant>
        <vt:i4>5</vt:i4>
      </vt:variant>
      <vt:variant>
        <vt:lpwstr/>
      </vt:variant>
      <vt:variant>
        <vt:lpwstr>_Toc403058866</vt:lpwstr>
      </vt:variant>
      <vt:variant>
        <vt:i4>1638458</vt:i4>
      </vt:variant>
      <vt:variant>
        <vt:i4>104</vt:i4>
      </vt:variant>
      <vt:variant>
        <vt:i4>0</vt:i4>
      </vt:variant>
      <vt:variant>
        <vt:i4>5</vt:i4>
      </vt:variant>
      <vt:variant>
        <vt:lpwstr/>
      </vt:variant>
      <vt:variant>
        <vt:lpwstr>_Toc403058865</vt:lpwstr>
      </vt:variant>
      <vt:variant>
        <vt:i4>1638458</vt:i4>
      </vt:variant>
      <vt:variant>
        <vt:i4>98</vt:i4>
      </vt:variant>
      <vt:variant>
        <vt:i4>0</vt:i4>
      </vt:variant>
      <vt:variant>
        <vt:i4>5</vt:i4>
      </vt:variant>
      <vt:variant>
        <vt:lpwstr/>
      </vt:variant>
      <vt:variant>
        <vt:lpwstr>_Toc403058864</vt:lpwstr>
      </vt:variant>
      <vt:variant>
        <vt:i4>1638458</vt:i4>
      </vt:variant>
      <vt:variant>
        <vt:i4>92</vt:i4>
      </vt:variant>
      <vt:variant>
        <vt:i4>0</vt:i4>
      </vt:variant>
      <vt:variant>
        <vt:i4>5</vt:i4>
      </vt:variant>
      <vt:variant>
        <vt:lpwstr/>
      </vt:variant>
      <vt:variant>
        <vt:lpwstr>_Toc403058863</vt:lpwstr>
      </vt:variant>
      <vt:variant>
        <vt:i4>1638458</vt:i4>
      </vt:variant>
      <vt:variant>
        <vt:i4>86</vt:i4>
      </vt:variant>
      <vt:variant>
        <vt:i4>0</vt:i4>
      </vt:variant>
      <vt:variant>
        <vt:i4>5</vt:i4>
      </vt:variant>
      <vt:variant>
        <vt:lpwstr/>
      </vt:variant>
      <vt:variant>
        <vt:lpwstr>_Toc403058862</vt:lpwstr>
      </vt:variant>
      <vt:variant>
        <vt:i4>1638458</vt:i4>
      </vt:variant>
      <vt:variant>
        <vt:i4>80</vt:i4>
      </vt:variant>
      <vt:variant>
        <vt:i4>0</vt:i4>
      </vt:variant>
      <vt:variant>
        <vt:i4>5</vt:i4>
      </vt:variant>
      <vt:variant>
        <vt:lpwstr/>
      </vt:variant>
      <vt:variant>
        <vt:lpwstr>_Toc403058861</vt:lpwstr>
      </vt:variant>
      <vt:variant>
        <vt:i4>1638458</vt:i4>
      </vt:variant>
      <vt:variant>
        <vt:i4>74</vt:i4>
      </vt:variant>
      <vt:variant>
        <vt:i4>0</vt:i4>
      </vt:variant>
      <vt:variant>
        <vt:i4>5</vt:i4>
      </vt:variant>
      <vt:variant>
        <vt:lpwstr/>
      </vt:variant>
      <vt:variant>
        <vt:lpwstr>_Toc403058860</vt:lpwstr>
      </vt:variant>
      <vt:variant>
        <vt:i4>1703994</vt:i4>
      </vt:variant>
      <vt:variant>
        <vt:i4>68</vt:i4>
      </vt:variant>
      <vt:variant>
        <vt:i4>0</vt:i4>
      </vt:variant>
      <vt:variant>
        <vt:i4>5</vt:i4>
      </vt:variant>
      <vt:variant>
        <vt:lpwstr/>
      </vt:variant>
      <vt:variant>
        <vt:lpwstr>_Toc403058859</vt:lpwstr>
      </vt:variant>
      <vt:variant>
        <vt:i4>1703994</vt:i4>
      </vt:variant>
      <vt:variant>
        <vt:i4>62</vt:i4>
      </vt:variant>
      <vt:variant>
        <vt:i4>0</vt:i4>
      </vt:variant>
      <vt:variant>
        <vt:i4>5</vt:i4>
      </vt:variant>
      <vt:variant>
        <vt:lpwstr/>
      </vt:variant>
      <vt:variant>
        <vt:lpwstr>_Toc403058858</vt:lpwstr>
      </vt:variant>
      <vt:variant>
        <vt:i4>1703994</vt:i4>
      </vt:variant>
      <vt:variant>
        <vt:i4>56</vt:i4>
      </vt:variant>
      <vt:variant>
        <vt:i4>0</vt:i4>
      </vt:variant>
      <vt:variant>
        <vt:i4>5</vt:i4>
      </vt:variant>
      <vt:variant>
        <vt:lpwstr/>
      </vt:variant>
      <vt:variant>
        <vt:lpwstr>_Toc403058857</vt:lpwstr>
      </vt:variant>
      <vt:variant>
        <vt:i4>1703994</vt:i4>
      </vt:variant>
      <vt:variant>
        <vt:i4>50</vt:i4>
      </vt:variant>
      <vt:variant>
        <vt:i4>0</vt:i4>
      </vt:variant>
      <vt:variant>
        <vt:i4>5</vt:i4>
      </vt:variant>
      <vt:variant>
        <vt:lpwstr/>
      </vt:variant>
      <vt:variant>
        <vt:lpwstr>_Toc403058856</vt:lpwstr>
      </vt:variant>
      <vt:variant>
        <vt:i4>1703994</vt:i4>
      </vt:variant>
      <vt:variant>
        <vt:i4>44</vt:i4>
      </vt:variant>
      <vt:variant>
        <vt:i4>0</vt:i4>
      </vt:variant>
      <vt:variant>
        <vt:i4>5</vt:i4>
      </vt:variant>
      <vt:variant>
        <vt:lpwstr/>
      </vt:variant>
      <vt:variant>
        <vt:lpwstr>_Toc403058855</vt:lpwstr>
      </vt:variant>
      <vt:variant>
        <vt:i4>1703994</vt:i4>
      </vt:variant>
      <vt:variant>
        <vt:i4>38</vt:i4>
      </vt:variant>
      <vt:variant>
        <vt:i4>0</vt:i4>
      </vt:variant>
      <vt:variant>
        <vt:i4>5</vt:i4>
      </vt:variant>
      <vt:variant>
        <vt:lpwstr/>
      </vt:variant>
      <vt:variant>
        <vt:lpwstr>_Toc403058854</vt:lpwstr>
      </vt:variant>
      <vt:variant>
        <vt:i4>1703994</vt:i4>
      </vt:variant>
      <vt:variant>
        <vt:i4>32</vt:i4>
      </vt:variant>
      <vt:variant>
        <vt:i4>0</vt:i4>
      </vt:variant>
      <vt:variant>
        <vt:i4>5</vt:i4>
      </vt:variant>
      <vt:variant>
        <vt:lpwstr/>
      </vt:variant>
      <vt:variant>
        <vt:lpwstr>_Toc403058853</vt:lpwstr>
      </vt:variant>
      <vt:variant>
        <vt:i4>1703994</vt:i4>
      </vt:variant>
      <vt:variant>
        <vt:i4>26</vt:i4>
      </vt:variant>
      <vt:variant>
        <vt:i4>0</vt:i4>
      </vt:variant>
      <vt:variant>
        <vt:i4>5</vt:i4>
      </vt:variant>
      <vt:variant>
        <vt:lpwstr/>
      </vt:variant>
      <vt:variant>
        <vt:lpwstr>_Toc403058852</vt:lpwstr>
      </vt:variant>
      <vt:variant>
        <vt:i4>1703994</vt:i4>
      </vt:variant>
      <vt:variant>
        <vt:i4>20</vt:i4>
      </vt:variant>
      <vt:variant>
        <vt:i4>0</vt:i4>
      </vt:variant>
      <vt:variant>
        <vt:i4>5</vt:i4>
      </vt:variant>
      <vt:variant>
        <vt:lpwstr/>
      </vt:variant>
      <vt:variant>
        <vt:lpwstr>_Toc403058851</vt:lpwstr>
      </vt:variant>
      <vt:variant>
        <vt:i4>1703994</vt:i4>
      </vt:variant>
      <vt:variant>
        <vt:i4>14</vt:i4>
      </vt:variant>
      <vt:variant>
        <vt:i4>0</vt:i4>
      </vt:variant>
      <vt:variant>
        <vt:i4>5</vt:i4>
      </vt:variant>
      <vt:variant>
        <vt:lpwstr/>
      </vt:variant>
      <vt:variant>
        <vt:lpwstr>_Toc403058850</vt:lpwstr>
      </vt:variant>
      <vt:variant>
        <vt:i4>1769530</vt:i4>
      </vt:variant>
      <vt:variant>
        <vt:i4>8</vt:i4>
      </vt:variant>
      <vt:variant>
        <vt:i4>0</vt:i4>
      </vt:variant>
      <vt:variant>
        <vt:i4>5</vt:i4>
      </vt:variant>
      <vt:variant>
        <vt:lpwstr/>
      </vt:variant>
      <vt:variant>
        <vt:lpwstr>_Toc403058849</vt:lpwstr>
      </vt:variant>
      <vt:variant>
        <vt:i4>1769530</vt:i4>
      </vt:variant>
      <vt:variant>
        <vt:i4>2</vt:i4>
      </vt:variant>
      <vt:variant>
        <vt:i4>0</vt:i4>
      </vt:variant>
      <vt:variant>
        <vt:i4>5</vt:i4>
      </vt:variant>
      <vt:variant>
        <vt:lpwstr/>
      </vt:variant>
      <vt:variant>
        <vt:lpwstr>_Toc403058848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yangll</dc:creator>
  <cp:lastModifiedBy>ZHONGM</cp:lastModifiedBy>
  <cp:revision>2</cp:revision>
  <cp:lastPrinted>2015-03-26T02:11:00Z</cp:lastPrinted>
  <dcterms:created xsi:type="dcterms:W3CDTF">2019-05-31T16:01:00Z</dcterms:created>
  <dcterms:modified xsi:type="dcterms:W3CDTF">2019-05-31T16:01:00Z</dcterms:modified>
</cp:coreProperties>
</file>