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40" w:rsidRPr="00B46532" w:rsidRDefault="00702C55" w:rsidP="00B46532">
      <w:pPr>
        <w:widowControl/>
        <w:adjustRightInd w:val="0"/>
        <w:snapToGrid w:val="0"/>
        <w:spacing w:line="360" w:lineRule="auto"/>
        <w:jc w:val="center"/>
        <w:rPr>
          <w:rFonts w:ascii="宋体" w:eastAsia="宋体" w:hAnsi="宋体" w:cs="宋体"/>
          <w:b/>
          <w:color w:val="000000"/>
          <w:kern w:val="0"/>
          <w:sz w:val="27"/>
          <w:szCs w:val="27"/>
        </w:rPr>
      </w:pPr>
      <w:r w:rsidRPr="00702C55">
        <w:rPr>
          <w:rFonts w:ascii="宋体" w:eastAsia="宋体" w:hAnsi="宋体" w:cs="宋体" w:hint="eastAsia"/>
          <w:b/>
          <w:color w:val="000000"/>
          <w:kern w:val="0"/>
          <w:sz w:val="27"/>
          <w:szCs w:val="27"/>
        </w:rPr>
        <w:t>中欧</w:t>
      </w:r>
      <w:r w:rsidR="000B425B">
        <w:rPr>
          <w:rFonts w:ascii="宋体" w:eastAsia="宋体" w:hAnsi="宋体" w:cs="宋体" w:hint="eastAsia"/>
          <w:b/>
          <w:color w:val="000000"/>
          <w:kern w:val="0"/>
          <w:sz w:val="27"/>
          <w:szCs w:val="27"/>
        </w:rPr>
        <w:t>强势多策略定期开放债券</w:t>
      </w:r>
      <w:r w:rsidRPr="00702C55">
        <w:rPr>
          <w:rFonts w:ascii="宋体" w:eastAsia="宋体" w:hAnsi="宋体" w:cs="宋体" w:hint="eastAsia"/>
          <w:b/>
          <w:color w:val="000000"/>
          <w:kern w:val="0"/>
          <w:sz w:val="27"/>
          <w:szCs w:val="27"/>
        </w:rPr>
        <w:t>型证券投资基金</w:t>
      </w:r>
      <w:r w:rsidR="00D511BE" w:rsidRPr="00B46532">
        <w:rPr>
          <w:rFonts w:ascii="宋体" w:eastAsia="宋体" w:hAnsi="宋体" w:cs="宋体" w:hint="eastAsia"/>
          <w:b/>
          <w:color w:val="000000"/>
          <w:kern w:val="0"/>
          <w:sz w:val="27"/>
          <w:szCs w:val="27"/>
        </w:rPr>
        <w:t>清算报告</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7"/>
          <w:szCs w:val="27"/>
        </w:rPr>
      </w:pPr>
    </w:p>
    <w:p w:rsidR="00AD5C40" w:rsidRPr="00B46532"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基金管理人：</w:t>
      </w:r>
      <w:r w:rsidR="00BF3BD3" w:rsidRPr="00B46532">
        <w:rPr>
          <w:rFonts w:ascii="宋体" w:eastAsia="宋体" w:hAnsi="宋体" w:cs="宋体" w:hint="eastAsia"/>
          <w:color w:val="000000"/>
          <w:kern w:val="0"/>
          <w:sz w:val="24"/>
          <w:szCs w:val="24"/>
        </w:rPr>
        <w:t>中欧基金管理有限公司</w:t>
      </w:r>
    </w:p>
    <w:p w:rsidR="00AD5C40"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基金托管人：</w:t>
      </w:r>
      <w:r w:rsidR="00702C55" w:rsidRPr="00702C55">
        <w:rPr>
          <w:rFonts w:ascii="宋体" w:eastAsia="宋体" w:hAnsi="宋体" w:cs="宋体" w:hint="eastAsia"/>
          <w:color w:val="000000"/>
          <w:kern w:val="0"/>
          <w:sz w:val="24"/>
          <w:szCs w:val="24"/>
        </w:rPr>
        <w:t>中国</w:t>
      </w:r>
      <w:r w:rsidR="000B425B">
        <w:rPr>
          <w:rFonts w:ascii="宋体" w:eastAsia="宋体" w:hAnsi="宋体" w:cs="宋体" w:hint="eastAsia"/>
          <w:color w:val="000000"/>
          <w:kern w:val="0"/>
          <w:sz w:val="24"/>
          <w:szCs w:val="24"/>
        </w:rPr>
        <w:t>工商</w:t>
      </w:r>
      <w:r w:rsidR="00702C55" w:rsidRPr="00702C55">
        <w:rPr>
          <w:rFonts w:ascii="宋体" w:eastAsia="宋体" w:hAnsi="宋体" w:cs="宋体" w:hint="eastAsia"/>
          <w:color w:val="000000"/>
          <w:kern w:val="0"/>
          <w:sz w:val="24"/>
          <w:szCs w:val="24"/>
        </w:rPr>
        <w:t>银行股份有限公司</w:t>
      </w:r>
    </w:p>
    <w:p w:rsidR="00DC006E" w:rsidRPr="00DC006E" w:rsidRDefault="00DC006E"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报告出具日期</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2018年</w:t>
      </w:r>
      <w:r w:rsidR="000B425B">
        <w:rPr>
          <w:rFonts w:ascii="宋体" w:eastAsia="宋体" w:hAnsi="宋体" w:cs="宋体"/>
          <w:color w:val="000000"/>
          <w:kern w:val="0"/>
          <w:sz w:val="24"/>
          <w:szCs w:val="24"/>
        </w:rPr>
        <w:t>11</w:t>
      </w:r>
      <w:r>
        <w:rPr>
          <w:rFonts w:ascii="宋体" w:eastAsia="宋体" w:hAnsi="宋体" w:cs="宋体" w:hint="eastAsia"/>
          <w:color w:val="000000"/>
          <w:kern w:val="0"/>
          <w:sz w:val="24"/>
          <w:szCs w:val="24"/>
        </w:rPr>
        <w:t>月</w:t>
      </w:r>
      <w:r w:rsidR="000B425B">
        <w:rPr>
          <w:rFonts w:ascii="宋体" w:eastAsia="宋体" w:hAnsi="宋体" w:cs="宋体"/>
          <w:color w:val="000000"/>
          <w:kern w:val="0"/>
          <w:sz w:val="24"/>
          <w:szCs w:val="24"/>
        </w:rPr>
        <w:t>30</w:t>
      </w:r>
      <w:r>
        <w:rPr>
          <w:rFonts w:ascii="宋体" w:eastAsia="宋体" w:hAnsi="宋体" w:cs="宋体" w:hint="eastAsia"/>
          <w:color w:val="000000"/>
          <w:kern w:val="0"/>
          <w:sz w:val="24"/>
          <w:szCs w:val="24"/>
        </w:rPr>
        <w:t>日</w:t>
      </w:r>
    </w:p>
    <w:p w:rsidR="00AD5C40" w:rsidRPr="00B46532" w:rsidRDefault="008730F0"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w:t>
      </w:r>
      <w:r w:rsidR="00AD5C40" w:rsidRPr="00B46532">
        <w:rPr>
          <w:rFonts w:ascii="宋体" w:eastAsia="宋体" w:hAnsi="宋体" w:cs="宋体" w:hint="eastAsia"/>
          <w:color w:val="000000"/>
          <w:kern w:val="0"/>
          <w:sz w:val="24"/>
          <w:szCs w:val="24"/>
        </w:rPr>
        <w:t>公告日期：2018年</w:t>
      </w:r>
      <w:r w:rsidR="006A78C4">
        <w:rPr>
          <w:rFonts w:ascii="宋体" w:eastAsia="宋体" w:hAnsi="宋体" w:cs="宋体"/>
          <w:color w:val="000000"/>
          <w:kern w:val="0"/>
          <w:sz w:val="24"/>
          <w:szCs w:val="24"/>
        </w:rPr>
        <w:t>5</w:t>
      </w:r>
      <w:r w:rsidR="00AD5C40" w:rsidRPr="00B46532">
        <w:rPr>
          <w:rFonts w:ascii="宋体" w:eastAsia="宋体" w:hAnsi="宋体" w:cs="宋体" w:hint="eastAsia"/>
          <w:color w:val="000000"/>
          <w:kern w:val="0"/>
          <w:sz w:val="24"/>
          <w:szCs w:val="24"/>
        </w:rPr>
        <w:t>月</w:t>
      </w:r>
      <w:r w:rsidR="006A78C4">
        <w:rPr>
          <w:rFonts w:ascii="宋体" w:eastAsia="宋体" w:hAnsi="宋体" w:cs="宋体"/>
          <w:color w:val="000000"/>
          <w:kern w:val="0"/>
          <w:sz w:val="24"/>
          <w:szCs w:val="24"/>
        </w:rPr>
        <w:t>31</w:t>
      </w:r>
      <w:r w:rsidR="00AD5C40" w:rsidRPr="00B46532">
        <w:rPr>
          <w:rFonts w:ascii="宋体" w:eastAsia="宋体" w:hAnsi="宋体" w:cs="宋体" w:hint="eastAsia"/>
          <w:color w:val="000000"/>
          <w:kern w:val="0"/>
          <w:sz w:val="24"/>
          <w:szCs w:val="24"/>
        </w:rPr>
        <w:t>日</w:t>
      </w:r>
    </w:p>
    <w:p w:rsidR="00B46532" w:rsidRPr="008C2088" w:rsidRDefault="00B46532" w:rsidP="00B46532">
      <w:pPr>
        <w:widowControl/>
        <w:adjustRightInd w:val="0"/>
        <w:snapToGrid w:val="0"/>
        <w:spacing w:line="360" w:lineRule="auto"/>
        <w:jc w:val="left"/>
        <w:rPr>
          <w:rFonts w:ascii="宋体" w:eastAsia="宋体" w:hAnsi="宋体" w:cs="宋体"/>
          <w:color w:val="000000"/>
          <w:kern w:val="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一、</w:t>
      </w:r>
      <w:r w:rsidR="00AD5C40" w:rsidRPr="00B46532">
        <w:rPr>
          <w:rFonts w:ascii="宋体" w:eastAsia="宋体" w:hAnsi="宋体" w:cs="宋体" w:hint="eastAsia"/>
          <w:color w:val="000000"/>
          <w:kern w:val="0"/>
          <w:sz w:val="24"/>
          <w:szCs w:val="24"/>
        </w:rPr>
        <w:t>重要提示</w:t>
      </w:r>
      <w:bookmarkStart w:id="0" w:name="_GoBack"/>
      <w:bookmarkEnd w:id="0"/>
    </w:p>
    <w:p w:rsidR="00576A20" w:rsidRDefault="000B425B"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sidRPr="000B425B">
        <w:rPr>
          <w:rFonts w:ascii="宋体" w:eastAsia="宋体" w:hAnsi="宋体" w:cs="宋体" w:hint="eastAsia"/>
          <w:color w:val="000000"/>
          <w:kern w:val="0"/>
          <w:sz w:val="24"/>
          <w:szCs w:val="24"/>
        </w:rPr>
        <w:t>中欧强势多策略定期开放债券型证券投资基金(以下简称“本基金”)，系经中国证券监督管理委员会(以下简称"中国证监会")证监许可[2015]2201号文《关于准予中欧强势多策略定期开放债券型证券投资基金注册的批复》</w:t>
      </w:r>
      <w:r w:rsidR="006628C0">
        <w:rPr>
          <w:rFonts w:ascii="宋体" w:eastAsia="宋体" w:hAnsi="宋体" w:cs="宋体"/>
          <w:color w:val="000000"/>
          <w:kern w:val="0"/>
          <w:sz w:val="24"/>
          <w:szCs w:val="24"/>
        </w:rPr>
        <w:t>批</w:t>
      </w:r>
      <w:r w:rsidRPr="000B425B">
        <w:rPr>
          <w:rFonts w:ascii="宋体" w:eastAsia="宋体" w:hAnsi="宋体" w:cs="宋体" w:hint="eastAsia"/>
          <w:color w:val="000000"/>
          <w:kern w:val="0"/>
          <w:sz w:val="24"/>
          <w:szCs w:val="24"/>
        </w:rPr>
        <w:t>准，由中欧基金管理有限公司依照《中华人民共和国证券投资基金法》和《中欧强势多策略定期开放债券型证券投资基金基金合同》负责公开募集，基金合同于2015年11月10日生效，首次募集规模为2,196,140,548.59份基金份额。本基金为契约型开放式，存续期不定。本基金以定期开放方式运作，即采取在封闭期内封闭运作、封闭期与封闭期之间定期开放的运作方式。本基金的基金管理人为中欧基金管理有限公司，注册登记机构为中欧基金管理有限公司，基金托管人为中国工商银行股份有限公司。</w:t>
      </w:r>
    </w:p>
    <w:p w:rsidR="008C2088" w:rsidRDefault="00B14139" w:rsidP="00702C55">
      <w:pPr>
        <w:widowControl/>
        <w:adjustRightInd w:val="0"/>
        <w:snapToGrid w:val="0"/>
        <w:spacing w:line="360" w:lineRule="auto"/>
        <w:ind w:firstLineChars="200" w:firstLine="480"/>
        <w:jc w:val="left"/>
        <w:rPr>
          <w:rFonts w:ascii="宋体" w:eastAsia="宋体" w:hAnsi="宋体"/>
          <w:color w:val="000000"/>
          <w:sz w:val="24"/>
          <w:szCs w:val="24"/>
        </w:rPr>
      </w:pPr>
      <w:r w:rsidRPr="00B14139">
        <w:rPr>
          <w:rFonts w:ascii="宋体" w:eastAsia="宋体" w:hAnsi="宋体" w:hint="eastAsia"/>
          <w:color w:val="000000"/>
          <w:sz w:val="24"/>
          <w:szCs w:val="24"/>
        </w:rPr>
        <w:t>基金管理人根据《中华人民共和国证券投资基金法》、《公开募集证券投资基金运作管理办法》和《</w:t>
      </w:r>
      <w:r w:rsidRPr="000B425B">
        <w:rPr>
          <w:rFonts w:ascii="宋体" w:eastAsia="宋体" w:hAnsi="宋体" w:cs="宋体" w:hint="eastAsia"/>
          <w:color w:val="000000"/>
          <w:kern w:val="0"/>
          <w:sz w:val="24"/>
          <w:szCs w:val="24"/>
        </w:rPr>
        <w:t>中欧强势多策略定期开放债券型证券投资基金基金合同</w:t>
      </w:r>
      <w:r w:rsidRPr="00B14139">
        <w:rPr>
          <w:rFonts w:ascii="宋体" w:eastAsia="宋体" w:hAnsi="宋体" w:hint="eastAsia"/>
          <w:color w:val="000000"/>
          <w:sz w:val="24"/>
          <w:szCs w:val="24"/>
        </w:rPr>
        <w:t>》的有关规定于2018年</w:t>
      </w:r>
      <w:r>
        <w:rPr>
          <w:rFonts w:ascii="宋体" w:eastAsia="宋体" w:hAnsi="宋体" w:hint="eastAsia"/>
          <w:color w:val="000000"/>
          <w:sz w:val="24"/>
          <w:szCs w:val="24"/>
        </w:rPr>
        <w:t>9</w:t>
      </w:r>
      <w:r w:rsidRPr="00B14139">
        <w:rPr>
          <w:rFonts w:ascii="宋体" w:eastAsia="宋体" w:hAnsi="宋体" w:hint="eastAsia"/>
          <w:color w:val="000000"/>
          <w:sz w:val="24"/>
          <w:szCs w:val="24"/>
        </w:rPr>
        <w:t>月26日至2018年</w:t>
      </w:r>
      <w:r>
        <w:rPr>
          <w:rFonts w:ascii="宋体" w:eastAsia="宋体" w:hAnsi="宋体" w:hint="eastAsia"/>
          <w:color w:val="000000"/>
          <w:sz w:val="24"/>
          <w:szCs w:val="24"/>
        </w:rPr>
        <w:t>1</w:t>
      </w:r>
      <w:r>
        <w:rPr>
          <w:rFonts w:ascii="宋体" w:eastAsia="宋体" w:hAnsi="宋体"/>
          <w:color w:val="000000"/>
          <w:sz w:val="24"/>
          <w:szCs w:val="24"/>
        </w:rPr>
        <w:t>0</w:t>
      </w:r>
      <w:r w:rsidRPr="00B14139">
        <w:rPr>
          <w:rFonts w:ascii="宋体" w:eastAsia="宋体" w:hAnsi="宋体" w:hint="eastAsia"/>
          <w:color w:val="000000"/>
          <w:sz w:val="24"/>
          <w:szCs w:val="24"/>
        </w:rPr>
        <w:t>月</w:t>
      </w:r>
      <w:r>
        <w:rPr>
          <w:rFonts w:ascii="宋体" w:eastAsia="宋体" w:hAnsi="宋体" w:hint="eastAsia"/>
          <w:color w:val="000000"/>
          <w:sz w:val="24"/>
          <w:szCs w:val="24"/>
        </w:rPr>
        <w:t>1</w:t>
      </w:r>
      <w:r>
        <w:rPr>
          <w:rFonts w:ascii="宋体" w:eastAsia="宋体" w:hAnsi="宋体"/>
          <w:color w:val="000000"/>
          <w:sz w:val="24"/>
          <w:szCs w:val="24"/>
        </w:rPr>
        <w:t>9</w:t>
      </w:r>
      <w:r w:rsidRPr="00B14139">
        <w:rPr>
          <w:rFonts w:ascii="宋体" w:eastAsia="宋体" w:hAnsi="宋体" w:hint="eastAsia"/>
          <w:color w:val="000000"/>
          <w:sz w:val="24"/>
          <w:szCs w:val="24"/>
        </w:rPr>
        <w:t>日期间以通讯方式召开了本基金的基金份额持有人大会，审议</w:t>
      </w:r>
      <w:r>
        <w:rPr>
          <w:rFonts w:ascii="宋体" w:eastAsia="宋体" w:hAnsi="宋体" w:hint="eastAsia"/>
          <w:color w:val="000000"/>
          <w:sz w:val="24"/>
          <w:szCs w:val="24"/>
        </w:rPr>
        <w:t>通过了</w:t>
      </w:r>
      <w:r w:rsidRPr="00B14139">
        <w:rPr>
          <w:rFonts w:ascii="宋体" w:eastAsia="宋体" w:hAnsi="宋体" w:hint="eastAsia"/>
          <w:color w:val="000000"/>
          <w:sz w:val="24"/>
          <w:szCs w:val="24"/>
        </w:rPr>
        <w:t>《</w:t>
      </w:r>
      <w:r w:rsidRPr="000B425B">
        <w:rPr>
          <w:rFonts w:ascii="宋体" w:eastAsia="宋体" w:hAnsi="宋体" w:hint="eastAsia"/>
          <w:color w:val="000000"/>
          <w:sz w:val="24"/>
          <w:szCs w:val="24"/>
        </w:rPr>
        <w:t>关于终止中欧强势多策略定期开放债券型证券投资基金基金合同相关事项的议案</w:t>
      </w:r>
      <w:r>
        <w:rPr>
          <w:rFonts w:ascii="宋体" w:eastAsia="宋体" w:hAnsi="宋体" w:hint="eastAsia"/>
          <w:color w:val="000000"/>
          <w:sz w:val="24"/>
          <w:szCs w:val="24"/>
        </w:rPr>
        <w:t>》，</w:t>
      </w:r>
      <w:r w:rsidRPr="00B14139">
        <w:rPr>
          <w:rFonts w:ascii="宋体" w:eastAsia="宋体" w:hAnsi="宋体" w:hint="eastAsia"/>
          <w:color w:val="000000"/>
          <w:sz w:val="24"/>
          <w:szCs w:val="24"/>
        </w:rPr>
        <w:t>本次大会决议自2018年</w:t>
      </w:r>
      <w:r>
        <w:rPr>
          <w:rFonts w:ascii="宋体" w:eastAsia="宋体" w:hAnsi="宋体"/>
          <w:color w:val="000000"/>
          <w:sz w:val="24"/>
          <w:szCs w:val="24"/>
        </w:rPr>
        <w:t>10</w:t>
      </w:r>
      <w:r w:rsidRPr="00B14139">
        <w:rPr>
          <w:rFonts w:ascii="宋体" w:eastAsia="宋体" w:hAnsi="宋体" w:hint="eastAsia"/>
          <w:color w:val="000000"/>
          <w:sz w:val="24"/>
          <w:szCs w:val="24"/>
        </w:rPr>
        <w:t>月</w:t>
      </w:r>
      <w:r>
        <w:rPr>
          <w:rFonts w:ascii="宋体" w:eastAsia="宋体" w:hAnsi="宋体"/>
          <w:color w:val="000000"/>
          <w:sz w:val="24"/>
          <w:szCs w:val="24"/>
        </w:rPr>
        <w:t>22</w:t>
      </w:r>
      <w:r w:rsidRPr="00B14139">
        <w:rPr>
          <w:rFonts w:ascii="宋体" w:eastAsia="宋体" w:hAnsi="宋体" w:hint="eastAsia"/>
          <w:color w:val="000000"/>
          <w:sz w:val="24"/>
          <w:szCs w:val="24"/>
        </w:rPr>
        <w:t>日起生效。基金管理人于2018年</w:t>
      </w:r>
      <w:r>
        <w:rPr>
          <w:rFonts w:ascii="宋体" w:eastAsia="宋体" w:hAnsi="宋体"/>
          <w:color w:val="000000"/>
          <w:sz w:val="24"/>
          <w:szCs w:val="24"/>
        </w:rPr>
        <w:t>10</w:t>
      </w:r>
      <w:r w:rsidRPr="00B14139">
        <w:rPr>
          <w:rFonts w:ascii="宋体" w:eastAsia="宋体" w:hAnsi="宋体" w:hint="eastAsia"/>
          <w:color w:val="000000"/>
          <w:sz w:val="24"/>
          <w:szCs w:val="24"/>
        </w:rPr>
        <w:t>月</w:t>
      </w:r>
      <w:r>
        <w:rPr>
          <w:rFonts w:ascii="宋体" w:eastAsia="宋体" w:hAnsi="宋体"/>
          <w:color w:val="000000"/>
          <w:sz w:val="24"/>
          <w:szCs w:val="24"/>
        </w:rPr>
        <w:t>23</w:t>
      </w:r>
      <w:r w:rsidRPr="00B14139">
        <w:rPr>
          <w:rFonts w:ascii="宋体" w:eastAsia="宋体" w:hAnsi="宋体" w:hint="eastAsia"/>
          <w:color w:val="000000"/>
          <w:sz w:val="24"/>
          <w:szCs w:val="24"/>
        </w:rPr>
        <w:t>日在《中国证券报》、《上海证券报》、《证券时报》和基金管理人网站刊登了《中欧基金管理有限公司关于</w:t>
      </w:r>
      <w:r w:rsidRPr="000B425B">
        <w:rPr>
          <w:rFonts w:ascii="宋体" w:eastAsia="宋体" w:hAnsi="宋体" w:cs="宋体" w:hint="eastAsia"/>
          <w:color w:val="000000"/>
          <w:kern w:val="0"/>
          <w:sz w:val="24"/>
          <w:szCs w:val="24"/>
        </w:rPr>
        <w:t>中欧强势多策略定期开放债券型证券投资基金</w:t>
      </w:r>
      <w:r w:rsidRPr="00B14139">
        <w:rPr>
          <w:rFonts w:ascii="宋体" w:eastAsia="宋体" w:hAnsi="宋体" w:hint="eastAsia"/>
          <w:color w:val="000000"/>
          <w:sz w:val="24"/>
          <w:szCs w:val="24"/>
        </w:rPr>
        <w:t>基金份额持有人大会表决结果暨决议生效公告》。</w:t>
      </w:r>
    </w:p>
    <w:p w:rsidR="00F9769D" w:rsidRPr="00B46532" w:rsidRDefault="00F9769D">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本基金从201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0B425B">
        <w:rPr>
          <w:rFonts w:ascii="宋体" w:eastAsia="宋体" w:hAnsi="宋体"/>
          <w:color w:val="000000"/>
          <w:sz w:val="24"/>
          <w:szCs w:val="24"/>
        </w:rPr>
        <w:t>10</w:t>
      </w:r>
      <w:r w:rsidRPr="00B46532">
        <w:rPr>
          <w:rFonts w:ascii="宋体" w:eastAsia="宋体" w:hAnsi="宋体" w:hint="eastAsia"/>
          <w:color w:val="000000"/>
          <w:sz w:val="24"/>
          <w:szCs w:val="24"/>
        </w:rPr>
        <w:t>月</w:t>
      </w:r>
      <w:r w:rsidR="000B425B">
        <w:rPr>
          <w:rFonts w:ascii="宋体" w:eastAsia="宋体" w:hAnsi="宋体"/>
          <w:color w:val="000000"/>
          <w:sz w:val="24"/>
          <w:szCs w:val="24"/>
        </w:rPr>
        <w:t>3</w:t>
      </w:r>
      <w:r w:rsidR="00702C55">
        <w:rPr>
          <w:rFonts w:ascii="宋体" w:eastAsia="宋体" w:hAnsi="宋体"/>
          <w:color w:val="000000"/>
          <w:sz w:val="24"/>
          <w:szCs w:val="24"/>
        </w:rPr>
        <w:t>1</w:t>
      </w:r>
      <w:r w:rsidRPr="00B46532">
        <w:rPr>
          <w:rFonts w:ascii="宋体" w:eastAsia="宋体" w:hAnsi="宋体" w:hint="eastAsia"/>
          <w:color w:val="000000"/>
          <w:sz w:val="24"/>
          <w:szCs w:val="24"/>
        </w:rPr>
        <w:t>日起进入清算</w:t>
      </w:r>
      <w:r w:rsidR="00942E06">
        <w:rPr>
          <w:rFonts w:ascii="宋体" w:eastAsia="宋体" w:hAnsi="宋体" w:hint="eastAsia"/>
          <w:color w:val="000000"/>
          <w:sz w:val="24"/>
          <w:szCs w:val="24"/>
        </w:rPr>
        <w:t>程序</w:t>
      </w:r>
      <w:r w:rsidRPr="00B46532">
        <w:rPr>
          <w:rFonts w:ascii="宋体" w:eastAsia="宋体" w:hAnsi="宋体" w:hint="eastAsia"/>
          <w:color w:val="000000"/>
          <w:sz w:val="24"/>
          <w:szCs w:val="24"/>
        </w:rPr>
        <w:t>，由本基金管理人中欧基金管理有限公司、基金托管人</w:t>
      </w:r>
      <w:r w:rsidR="008C2088">
        <w:rPr>
          <w:rFonts w:ascii="宋体" w:eastAsia="宋体" w:hAnsi="宋体" w:hint="eastAsia"/>
          <w:color w:val="000000"/>
          <w:sz w:val="24"/>
          <w:szCs w:val="24"/>
        </w:rPr>
        <w:t>中国</w:t>
      </w:r>
      <w:r w:rsidR="000B425B">
        <w:rPr>
          <w:rFonts w:ascii="宋体" w:eastAsia="宋体" w:hAnsi="宋体" w:hint="eastAsia"/>
          <w:color w:val="000000"/>
          <w:sz w:val="24"/>
          <w:szCs w:val="24"/>
        </w:rPr>
        <w:t>工商</w:t>
      </w:r>
      <w:r w:rsidRPr="00B46532">
        <w:rPr>
          <w:rFonts w:ascii="宋体" w:eastAsia="宋体" w:hAnsi="宋体" w:hint="eastAsia"/>
          <w:color w:val="000000"/>
          <w:sz w:val="24"/>
          <w:szCs w:val="24"/>
        </w:rPr>
        <w:t>银行股份有限公司、</w:t>
      </w:r>
      <w:r w:rsidR="005E43EF">
        <w:rPr>
          <w:rFonts w:ascii="Times New Roman" w:eastAsia="宋体" w:hAnsi="Times New Roman" w:hint="eastAsia"/>
          <w:kern w:val="0"/>
          <w:sz w:val="24"/>
          <w:szCs w:val="24"/>
        </w:rPr>
        <w:t>安永华明会计师事务所（特</w:t>
      </w:r>
      <w:r w:rsidR="005E43EF">
        <w:rPr>
          <w:rFonts w:ascii="Times New Roman" w:eastAsia="宋体" w:hAnsi="Times New Roman" w:hint="eastAsia"/>
          <w:kern w:val="0"/>
          <w:sz w:val="24"/>
          <w:szCs w:val="24"/>
        </w:rPr>
        <w:lastRenderedPageBreak/>
        <w:t>殊普通合伙）</w:t>
      </w:r>
      <w:r w:rsidRPr="00B46532">
        <w:rPr>
          <w:rFonts w:ascii="宋体" w:eastAsia="宋体" w:hAnsi="宋体" w:hint="eastAsia"/>
          <w:color w:val="000000"/>
          <w:sz w:val="24"/>
          <w:szCs w:val="24"/>
        </w:rPr>
        <w:t>和上海市通力律师事务所组成基金财产清算小组履行基金财产清算程序，并由</w:t>
      </w:r>
      <w:r w:rsidR="005E43EF">
        <w:rPr>
          <w:rFonts w:ascii="Times New Roman" w:eastAsia="宋体" w:hAnsi="Times New Roman" w:hint="eastAsia"/>
          <w:kern w:val="0"/>
          <w:sz w:val="24"/>
          <w:szCs w:val="24"/>
        </w:rPr>
        <w:t>安永华明会计师事务所（特殊普通合伙）</w:t>
      </w:r>
      <w:r w:rsidRPr="00B46532">
        <w:rPr>
          <w:rFonts w:ascii="宋体" w:eastAsia="宋体" w:hAnsi="宋体" w:hint="eastAsia"/>
          <w:color w:val="000000"/>
          <w:sz w:val="24"/>
          <w:szCs w:val="24"/>
        </w:rPr>
        <w:t>对清算报告进行审计，上海市通力律师事务所对清算报告出具法律意见。</w:t>
      </w:r>
    </w:p>
    <w:p w:rsidR="00B46532" w:rsidRPr="00B46532" w:rsidRDefault="00B46532" w:rsidP="00B46532">
      <w:pPr>
        <w:widowControl/>
        <w:adjustRightInd w:val="0"/>
        <w:snapToGrid w:val="0"/>
        <w:spacing w:line="360" w:lineRule="auto"/>
        <w:ind w:firstLineChars="200" w:firstLine="480"/>
        <w:jc w:val="left"/>
        <w:rPr>
          <w:rFonts w:ascii="宋体" w:eastAsia="宋体" w:hAnsi="宋体"/>
          <w:color w:val="00000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二、</w:t>
      </w:r>
      <w:r w:rsidR="00AD5C40" w:rsidRPr="00B46532">
        <w:rPr>
          <w:rFonts w:ascii="宋体" w:eastAsia="宋体" w:hAnsi="宋体" w:cs="宋体" w:hint="eastAsia"/>
          <w:color w:val="000000"/>
          <w:kern w:val="0"/>
          <w:sz w:val="24"/>
          <w:szCs w:val="24"/>
        </w:rPr>
        <w:t>基金概况</w:t>
      </w:r>
    </w:p>
    <w:p w:rsidR="00D511BE"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1、基金名称：</w:t>
      </w:r>
      <w:r w:rsidR="008C2088" w:rsidRPr="008C2088">
        <w:rPr>
          <w:rFonts w:hint="eastAsia"/>
          <w:color w:val="000000"/>
        </w:rPr>
        <w:t>中欧</w:t>
      </w:r>
      <w:r w:rsidR="000B425B">
        <w:rPr>
          <w:rFonts w:hint="eastAsia"/>
          <w:color w:val="000000"/>
        </w:rPr>
        <w:t>强势多策略定期开放</w:t>
      </w:r>
      <w:r w:rsidR="000B425B">
        <w:rPr>
          <w:color w:val="000000"/>
        </w:rPr>
        <w:t>债券</w:t>
      </w:r>
      <w:r w:rsidR="008C2088" w:rsidRPr="008C2088">
        <w:rPr>
          <w:rFonts w:hint="eastAsia"/>
          <w:color w:val="000000"/>
        </w:rPr>
        <w:t>型证券投资基金</w:t>
      </w:r>
      <w:r w:rsidRPr="00B46532">
        <w:rPr>
          <w:rFonts w:hint="eastAsia"/>
          <w:color w:val="000000"/>
        </w:rPr>
        <w:t>。</w:t>
      </w:r>
    </w:p>
    <w:p w:rsidR="00D511BE"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基金简称：</w:t>
      </w:r>
      <w:r w:rsidR="000B425B" w:rsidRPr="008C2088">
        <w:rPr>
          <w:rFonts w:hint="eastAsia"/>
          <w:color w:val="000000"/>
        </w:rPr>
        <w:t>中欧</w:t>
      </w:r>
      <w:r w:rsidR="000B425B">
        <w:rPr>
          <w:rFonts w:hint="eastAsia"/>
          <w:color w:val="000000"/>
        </w:rPr>
        <w:t>强势多策略债券</w:t>
      </w:r>
      <w:r w:rsidRPr="00B46532">
        <w:rPr>
          <w:rFonts w:hint="eastAsia"/>
          <w:color w:val="000000"/>
        </w:rPr>
        <w:t>。</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基金代码：</w:t>
      </w:r>
      <w:r w:rsidR="000B425B">
        <w:rPr>
          <w:color w:val="000000"/>
        </w:rPr>
        <w:t>001912</w:t>
      </w:r>
      <w:r w:rsidR="00D511BE">
        <w:rPr>
          <w:rFonts w:hint="eastAsia"/>
          <w:color w:val="000000"/>
        </w:rPr>
        <w:t>。</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2、基金运作方式：契约型、开放式</w:t>
      </w:r>
      <w:r w:rsidR="00B14139">
        <w:rPr>
          <w:rFonts w:hint="eastAsia"/>
          <w:color w:val="000000"/>
        </w:rPr>
        <w:t>，</w:t>
      </w:r>
      <w:r w:rsidR="00B14139" w:rsidRPr="00B14139">
        <w:rPr>
          <w:rFonts w:hint="eastAsia"/>
          <w:color w:val="000000"/>
        </w:rPr>
        <w:t>本基金以定期开放方式运作，即采取在封闭期内封闭运作、封闭期与封闭期之间定期开放的运作方式。</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3、基金合同生效日：20</w:t>
      </w:r>
      <w:r w:rsidR="00702C55">
        <w:rPr>
          <w:color w:val="000000"/>
        </w:rPr>
        <w:t>1</w:t>
      </w:r>
      <w:r w:rsidR="000B425B">
        <w:rPr>
          <w:color w:val="000000"/>
        </w:rPr>
        <w:t>5</w:t>
      </w:r>
      <w:r w:rsidRPr="00B46532">
        <w:rPr>
          <w:rFonts w:hint="eastAsia"/>
          <w:color w:val="000000"/>
        </w:rPr>
        <w:t>年</w:t>
      </w:r>
      <w:r w:rsidR="000B425B">
        <w:rPr>
          <w:color w:val="000000"/>
        </w:rPr>
        <w:t>11</w:t>
      </w:r>
      <w:r w:rsidRPr="00B46532">
        <w:rPr>
          <w:rFonts w:hint="eastAsia"/>
          <w:color w:val="000000"/>
        </w:rPr>
        <w:t>月</w:t>
      </w:r>
      <w:r w:rsidR="000B425B">
        <w:rPr>
          <w:color w:val="000000"/>
        </w:rPr>
        <w:t>10</w:t>
      </w:r>
      <w:r w:rsidRPr="00B46532">
        <w:rPr>
          <w:rFonts w:hint="eastAsia"/>
          <w:color w:val="000000"/>
        </w:rPr>
        <w:t>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4、基金运作终止日：201</w:t>
      </w:r>
      <w:r w:rsidRPr="00B46532">
        <w:rPr>
          <w:color w:val="000000"/>
        </w:rPr>
        <w:t>8</w:t>
      </w:r>
      <w:r w:rsidRPr="00B46532">
        <w:rPr>
          <w:rFonts w:hint="eastAsia"/>
          <w:color w:val="000000"/>
        </w:rPr>
        <w:t>年</w:t>
      </w:r>
      <w:r w:rsidR="000B425B">
        <w:rPr>
          <w:color w:val="000000"/>
        </w:rPr>
        <w:t>10</w:t>
      </w:r>
      <w:r w:rsidRPr="00B46532">
        <w:rPr>
          <w:rFonts w:hint="eastAsia"/>
          <w:color w:val="000000"/>
        </w:rPr>
        <w:t>月</w:t>
      </w:r>
      <w:r w:rsidR="000B425B">
        <w:rPr>
          <w:color w:val="000000"/>
        </w:rPr>
        <w:t>30</w:t>
      </w:r>
      <w:r w:rsidRPr="00B46532">
        <w:rPr>
          <w:rFonts w:hint="eastAsia"/>
          <w:color w:val="000000"/>
        </w:rPr>
        <w:t>日。</w:t>
      </w:r>
      <w:r w:rsidRPr="005E43EF">
        <w:rPr>
          <w:rFonts w:hint="eastAsia"/>
          <w:color w:val="000000"/>
        </w:rPr>
        <w:t>基金份额总额：</w:t>
      </w:r>
      <w:r w:rsidR="000B425B" w:rsidRPr="000B425B">
        <w:rPr>
          <w:color w:val="000000"/>
        </w:rPr>
        <w:t>946,240.43</w:t>
      </w:r>
      <w:r w:rsidRPr="005E43EF">
        <w:rPr>
          <w:rFonts w:hint="eastAsia"/>
          <w:color w:val="000000"/>
        </w:rPr>
        <w:t>份。</w:t>
      </w:r>
    </w:p>
    <w:p w:rsidR="009F08B2" w:rsidRPr="00D511BE" w:rsidRDefault="009F08B2" w:rsidP="007E2691">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5、投资目标：</w:t>
      </w:r>
      <w:r w:rsidR="007E2691" w:rsidRPr="007E2691">
        <w:rPr>
          <w:rFonts w:hint="eastAsia"/>
          <w:color w:val="000000"/>
        </w:rPr>
        <w:t>在有效控制投资组合风险的前提下，力争为基金份额持有人获取超越业绩比较基准的投资回报。</w:t>
      </w:r>
    </w:p>
    <w:p w:rsidR="007E2691" w:rsidRDefault="009F08B2" w:rsidP="007E2691">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6、投资策略：</w:t>
      </w:r>
    </w:p>
    <w:p w:rsidR="007E2691" w:rsidRDefault="007E2691" w:rsidP="007E2691">
      <w:pPr>
        <w:pStyle w:val="a3"/>
        <w:adjustRightInd w:val="0"/>
        <w:snapToGrid w:val="0"/>
        <w:spacing w:before="0" w:beforeAutospacing="0" w:after="0" w:afterAutospacing="0" w:line="360" w:lineRule="auto"/>
        <w:ind w:firstLineChars="200" w:firstLine="480"/>
        <w:rPr>
          <w:color w:val="000000"/>
        </w:rPr>
      </w:pPr>
      <w:r w:rsidRPr="007E2691">
        <w:rPr>
          <w:rFonts w:hint="eastAsia"/>
          <w:color w:val="000000"/>
        </w:rPr>
        <w:t>本基金管理人将运用多策略进行债券资产组合投资。根据基本价值评估、经济环境和市场风险评估预期未来市场利率水平以及利率曲线形态确定债券组合的久期配置，在确定组合久期基础上进行组合期限配置形态的调整。通过对宏观经济、产业行业的研究以及相应的财务分析和非财务分析，“自上而下”在各类债券资产类别之间进行类属配置，“自下而上”进行个券选择。在市场收益率以及个券收益率变化过程中，灵活运用骑乘策略、套息策略、利差策略等增强组合收益。当市场收益率上行时，基金管理人将运用国债期货对组合中的债券资产进行套期保值，以回避一定的市场风险。</w:t>
      </w:r>
    </w:p>
    <w:p w:rsidR="007E2691" w:rsidRDefault="007E2691" w:rsidP="007E2691">
      <w:pPr>
        <w:pStyle w:val="a3"/>
        <w:adjustRightInd w:val="0"/>
        <w:snapToGrid w:val="0"/>
        <w:spacing w:before="0" w:beforeAutospacing="0" w:after="0" w:afterAutospacing="0" w:line="360" w:lineRule="auto"/>
        <w:ind w:firstLineChars="200" w:firstLine="480"/>
      </w:pPr>
      <w:r>
        <w:t>1、利率预期策略</w:t>
      </w:r>
    </w:p>
    <w:p w:rsidR="007E2691" w:rsidRDefault="007E2691" w:rsidP="007E2691">
      <w:pPr>
        <w:pStyle w:val="a3"/>
        <w:adjustRightInd w:val="0"/>
        <w:snapToGrid w:val="0"/>
        <w:spacing w:before="0" w:beforeAutospacing="0" w:after="0" w:afterAutospacing="0" w:line="360" w:lineRule="auto"/>
        <w:ind w:firstLineChars="200" w:firstLine="480"/>
      </w:pPr>
      <w:r>
        <w:t>（1）久期策略</w:t>
      </w:r>
    </w:p>
    <w:p w:rsidR="007E2691" w:rsidRDefault="007E2691" w:rsidP="007E2691">
      <w:pPr>
        <w:pStyle w:val="a3"/>
        <w:adjustRightInd w:val="0"/>
        <w:snapToGrid w:val="0"/>
        <w:spacing w:before="0" w:beforeAutospacing="0" w:after="0" w:afterAutospacing="0" w:line="360" w:lineRule="auto"/>
        <w:ind w:firstLineChars="200" w:firstLine="480"/>
      </w:pPr>
      <w:r>
        <w:t>久期策略是指，根据基本价值评估、经济环境和市场风险评估，并考虑在运作周期中所处阶段，确定债券组合的久期配置。本基金将在预期市场利率下行时，适当拉长债券组合的久期水平，在预期市场利率上行时，适当缩短债券组合的久期水平，以此提高债券组合的收益水平。</w:t>
      </w:r>
    </w:p>
    <w:p w:rsidR="007E2691" w:rsidRDefault="007E2691" w:rsidP="007E2691">
      <w:pPr>
        <w:pStyle w:val="a3"/>
        <w:adjustRightInd w:val="0"/>
        <w:snapToGrid w:val="0"/>
        <w:spacing w:before="0" w:beforeAutospacing="0" w:after="0" w:afterAutospacing="0" w:line="360" w:lineRule="auto"/>
        <w:ind w:firstLineChars="200" w:firstLine="480"/>
      </w:pPr>
      <w:r>
        <w:t>（2）收益率曲线策略</w:t>
      </w:r>
    </w:p>
    <w:p w:rsidR="007E2691" w:rsidRDefault="007E2691" w:rsidP="007E2691">
      <w:pPr>
        <w:pStyle w:val="a3"/>
        <w:adjustRightInd w:val="0"/>
        <w:snapToGrid w:val="0"/>
        <w:spacing w:before="0" w:beforeAutospacing="0" w:after="0" w:afterAutospacing="0" w:line="360" w:lineRule="auto"/>
        <w:ind w:firstLineChars="200" w:firstLine="480"/>
      </w:pPr>
      <w:r>
        <w:lastRenderedPageBreak/>
        <w:t>收益率曲线策略是指，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rsidR="007E2691" w:rsidRDefault="007E2691" w:rsidP="007E2691">
      <w:pPr>
        <w:pStyle w:val="a3"/>
        <w:adjustRightInd w:val="0"/>
        <w:snapToGrid w:val="0"/>
        <w:spacing w:before="0" w:beforeAutospacing="0" w:after="0" w:afterAutospacing="0" w:line="360" w:lineRule="auto"/>
        <w:ind w:firstLineChars="200" w:firstLine="480"/>
      </w:pPr>
      <w:r>
        <w:t>2、信用策略</w:t>
      </w:r>
    </w:p>
    <w:p w:rsidR="007E2691" w:rsidRDefault="007E2691" w:rsidP="007E2691">
      <w:pPr>
        <w:pStyle w:val="a3"/>
        <w:adjustRightInd w:val="0"/>
        <w:snapToGrid w:val="0"/>
        <w:spacing w:before="0" w:beforeAutospacing="0" w:after="0" w:afterAutospacing="0" w:line="360" w:lineRule="auto"/>
        <w:ind w:firstLineChars="200" w:firstLine="480"/>
      </w:pPr>
      <w:r>
        <w:t>（1）类属配置策略</w:t>
      </w:r>
    </w:p>
    <w:p w:rsidR="007E2691" w:rsidRDefault="007E2691" w:rsidP="007E2691">
      <w:pPr>
        <w:pStyle w:val="a3"/>
        <w:adjustRightInd w:val="0"/>
        <w:snapToGrid w:val="0"/>
        <w:spacing w:before="0" w:beforeAutospacing="0" w:after="0" w:afterAutospacing="0" w:line="360" w:lineRule="auto"/>
        <w:ind w:firstLineChars="200" w:firstLine="480"/>
      </w:pPr>
      <w:r>
        <w:t>类属配置主要包括资产类别选择、各类资产的适当组合以及对资产组合的 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7E2691" w:rsidRDefault="007E2691" w:rsidP="007E2691">
      <w:pPr>
        <w:pStyle w:val="a3"/>
        <w:adjustRightInd w:val="0"/>
        <w:snapToGrid w:val="0"/>
        <w:spacing w:before="0" w:beforeAutospacing="0" w:after="0" w:afterAutospacing="0" w:line="360" w:lineRule="auto"/>
        <w:ind w:firstLineChars="200" w:firstLine="480"/>
      </w:pPr>
      <w:r>
        <w:t>（2）个券选择策略</w:t>
      </w:r>
    </w:p>
    <w:p w:rsidR="007E2691" w:rsidRDefault="007E2691" w:rsidP="007E2691">
      <w:pPr>
        <w:pStyle w:val="a3"/>
        <w:adjustRightInd w:val="0"/>
        <w:snapToGrid w:val="0"/>
        <w:spacing w:before="0" w:beforeAutospacing="0" w:after="0" w:afterAutospacing="0" w:line="360" w:lineRule="auto"/>
        <w:ind w:firstLineChars="200" w:firstLine="480"/>
      </w:pPr>
      <w:r>
        <w:t>基金管理人自建债券研究资料库，并对所有投资的信用品种进行详细的财 务分析和非财务分析，比较个券的流动性、到期收益率、信用等级、税收因素等，进行个券选择。</w:t>
      </w:r>
    </w:p>
    <w:p w:rsidR="007E2691" w:rsidRDefault="007E2691" w:rsidP="007E2691">
      <w:pPr>
        <w:pStyle w:val="a3"/>
        <w:adjustRightInd w:val="0"/>
        <w:snapToGrid w:val="0"/>
        <w:spacing w:before="0" w:beforeAutospacing="0" w:after="0" w:afterAutospacing="0" w:line="360" w:lineRule="auto"/>
        <w:ind w:firstLineChars="200" w:firstLine="480"/>
      </w:pPr>
      <w:r>
        <w:t>3、时机策略</w:t>
      </w:r>
    </w:p>
    <w:p w:rsidR="007E2691" w:rsidRDefault="007E2691" w:rsidP="007E2691">
      <w:pPr>
        <w:pStyle w:val="a3"/>
        <w:adjustRightInd w:val="0"/>
        <w:snapToGrid w:val="0"/>
        <w:spacing w:before="0" w:beforeAutospacing="0" w:after="0" w:afterAutospacing="0" w:line="360" w:lineRule="auto"/>
        <w:ind w:firstLineChars="200" w:firstLine="480"/>
      </w:pPr>
      <w:r>
        <w:t>（1）骑乘策略</w:t>
      </w:r>
    </w:p>
    <w:p w:rsidR="007E2691" w:rsidRDefault="007E2691" w:rsidP="007E2691">
      <w:pPr>
        <w:pStyle w:val="a3"/>
        <w:adjustRightInd w:val="0"/>
        <w:snapToGrid w:val="0"/>
        <w:spacing w:before="0" w:beforeAutospacing="0" w:after="0" w:afterAutospacing="0" w:line="360" w:lineRule="auto"/>
        <w:ind w:firstLineChars="200" w:firstLine="480"/>
      </w:pPr>
      <w: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7E2691" w:rsidRDefault="007E2691" w:rsidP="007E2691">
      <w:pPr>
        <w:pStyle w:val="a3"/>
        <w:adjustRightInd w:val="0"/>
        <w:snapToGrid w:val="0"/>
        <w:spacing w:before="0" w:beforeAutospacing="0" w:after="0" w:afterAutospacing="0" w:line="360" w:lineRule="auto"/>
        <w:ind w:firstLineChars="200" w:firstLine="480"/>
      </w:pPr>
      <w:r>
        <w:t>（2）息差策略</w:t>
      </w:r>
    </w:p>
    <w:p w:rsidR="007E2691" w:rsidRDefault="007E2691" w:rsidP="007E2691">
      <w:pPr>
        <w:pStyle w:val="a3"/>
        <w:adjustRightInd w:val="0"/>
        <w:snapToGrid w:val="0"/>
        <w:spacing w:before="0" w:beforeAutospacing="0" w:after="0" w:afterAutospacing="0" w:line="360" w:lineRule="auto"/>
        <w:ind w:firstLineChars="200" w:firstLine="480"/>
      </w:pPr>
      <w:r>
        <w:t>利用回购利率低于债券收益率的情形，通过正回购将所获得资金投资于债 券以获取超额收益。</w:t>
      </w:r>
    </w:p>
    <w:p w:rsidR="007E2691" w:rsidRDefault="007E2691" w:rsidP="007E2691">
      <w:pPr>
        <w:pStyle w:val="a3"/>
        <w:adjustRightInd w:val="0"/>
        <w:snapToGrid w:val="0"/>
        <w:spacing w:before="0" w:beforeAutospacing="0" w:after="0" w:afterAutospacing="0" w:line="360" w:lineRule="auto"/>
        <w:ind w:firstLineChars="200" w:firstLine="480"/>
      </w:pPr>
      <w:r>
        <w:t>（3）利差策略</w:t>
      </w:r>
    </w:p>
    <w:p w:rsidR="007E2691" w:rsidRDefault="007E2691" w:rsidP="007E2691">
      <w:pPr>
        <w:pStyle w:val="a3"/>
        <w:adjustRightInd w:val="0"/>
        <w:snapToGrid w:val="0"/>
        <w:spacing w:before="0" w:beforeAutospacing="0" w:after="0" w:afterAutospacing="0" w:line="360" w:lineRule="auto"/>
        <w:ind w:firstLineChars="200" w:firstLine="480"/>
      </w:pPr>
      <w:r>
        <w:t>对两个期限相近的债券的利差进行分析，从而对利差水平的未来走势做出 判断，从而进行相应的债券置换。当预期利差水平缩小时，可以买入收益率高的债券同时卖出收益率低的债券，通过两债券利差的缩小获得投资收益；当预 期利差水平扩大时，可以买入收益率低的债券同时卖出收益率高的债券，通过 两债券利差的扩大获得投资收益。</w:t>
      </w:r>
    </w:p>
    <w:p w:rsidR="007E2691" w:rsidRDefault="007E2691" w:rsidP="007E2691">
      <w:pPr>
        <w:pStyle w:val="a3"/>
        <w:adjustRightInd w:val="0"/>
        <w:snapToGrid w:val="0"/>
        <w:spacing w:before="0" w:beforeAutospacing="0" w:after="0" w:afterAutospacing="0" w:line="360" w:lineRule="auto"/>
        <w:ind w:firstLineChars="200" w:firstLine="480"/>
      </w:pPr>
      <w:r>
        <w:t>4、资产支持证券投资策略</w:t>
      </w:r>
    </w:p>
    <w:p w:rsidR="007E2691" w:rsidRDefault="007E2691" w:rsidP="007E2691">
      <w:pPr>
        <w:pStyle w:val="a3"/>
        <w:adjustRightInd w:val="0"/>
        <w:snapToGrid w:val="0"/>
        <w:spacing w:before="0" w:beforeAutospacing="0" w:after="0" w:afterAutospacing="0" w:line="360" w:lineRule="auto"/>
        <w:ind w:firstLineChars="200" w:firstLine="480"/>
      </w:pPr>
      <w:r>
        <w:t>本基金通过对资产支持证券资产池结构和质量的跟踪考察、分析资产支持证券的发行条款、预估提前偿还率变化对资产支持证券未来现金流的影响，谨慎投资资产支持证券。</w:t>
      </w:r>
    </w:p>
    <w:p w:rsidR="007E2691" w:rsidRDefault="007E2691" w:rsidP="007E2691">
      <w:pPr>
        <w:pStyle w:val="a3"/>
        <w:adjustRightInd w:val="0"/>
        <w:snapToGrid w:val="0"/>
        <w:spacing w:before="0" w:beforeAutospacing="0" w:after="0" w:afterAutospacing="0" w:line="360" w:lineRule="auto"/>
        <w:ind w:firstLineChars="200" w:firstLine="480"/>
      </w:pPr>
      <w:r>
        <w:t>5、中小企业私募债券投资策略</w:t>
      </w:r>
    </w:p>
    <w:p w:rsidR="007E2691" w:rsidRDefault="007E2691" w:rsidP="007E2691">
      <w:pPr>
        <w:pStyle w:val="a3"/>
        <w:adjustRightInd w:val="0"/>
        <w:snapToGrid w:val="0"/>
        <w:spacing w:before="0" w:beforeAutospacing="0" w:after="0" w:afterAutospacing="0" w:line="360" w:lineRule="auto"/>
        <w:ind w:firstLineChars="200" w:firstLine="480"/>
      </w:pPr>
      <w:r>
        <w:t>与传统的信用债券相比，中小企业私募债券由于以非公开方式发行和转让，普遍具有高风险和高收益的显著特点。本基金将运用基本面研究，结合公司财务分析方法对债券发行人信用风险进行分析和度量，选择风险与收益相匹配的更优品种进行投资。具体为：①研究债券发行人的公司背景、产业发展趋势、行业政策、盈利状况、竞争地位、治理结构等基本面信息，分析企业的长期运作风险；②运用财务评价体系对债券发行人的资产流动性、盈利能力、偿债能力、成长能力、现金流水平等方面进行综合评价，评估发行人财务风险； ③利用历史数据、市场价格以及资产质量等信息，估算私募债券发行人的违约率及违约损失率；④考察债券发行人的增信措施，如担保、抵押、质押、银行授信、偿债基金、有序偿债安排等；⑤综合上述分析结果，确定信用利差的合理水平，利用市场的相对失衡，选择具有投资价值的品种进行投资。</w:t>
      </w:r>
    </w:p>
    <w:p w:rsidR="00AB06AA" w:rsidRDefault="007E2691" w:rsidP="007E2691">
      <w:pPr>
        <w:pStyle w:val="a3"/>
        <w:adjustRightInd w:val="0"/>
        <w:snapToGrid w:val="0"/>
        <w:spacing w:before="0" w:beforeAutospacing="0" w:after="0" w:afterAutospacing="0" w:line="360" w:lineRule="auto"/>
        <w:ind w:firstLineChars="200" w:firstLine="480"/>
      </w:pPr>
      <w:r>
        <w:t>6、国债期货投资策略</w:t>
      </w:r>
    </w:p>
    <w:p w:rsidR="007E2691" w:rsidRDefault="007E2691" w:rsidP="007E2691">
      <w:pPr>
        <w:pStyle w:val="a3"/>
        <w:adjustRightInd w:val="0"/>
        <w:snapToGrid w:val="0"/>
        <w:spacing w:before="0" w:beforeAutospacing="0" w:after="0" w:afterAutospacing="0" w:line="360" w:lineRule="auto"/>
        <w:ind w:firstLineChars="200" w:firstLine="480"/>
        <w:rPr>
          <w:color w:val="000000"/>
        </w:rPr>
      </w:pPr>
      <w:r>
        <w:t>本基金投资国债期货以套期保值为目的，以回避市场风险。故国债期货空 头的合约价值主要与债券组合的多头价值相对应。基金管理人通过动态管理国 债期货合约数量，以萃取相应债券组合的超额收益。</w:t>
      </w:r>
    </w:p>
    <w:p w:rsidR="00BF7EEA" w:rsidRDefault="00BF7EEA" w:rsidP="002E6604">
      <w:pPr>
        <w:pStyle w:val="a3"/>
        <w:adjustRightInd w:val="0"/>
        <w:snapToGrid w:val="0"/>
        <w:spacing w:before="0" w:beforeAutospacing="0" w:after="0" w:afterAutospacing="0" w:line="360" w:lineRule="auto"/>
        <w:ind w:firstLineChars="200" w:firstLine="480"/>
        <w:rPr>
          <w:color w:val="000000"/>
        </w:rPr>
      </w:pPr>
      <w:r>
        <w:rPr>
          <w:rFonts w:hint="eastAsia"/>
          <w:color w:val="000000"/>
        </w:rPr>
        <w:t>7、</w:t>
      </w:r>
      <w:r w:rsidRPr="00DB00EE">
        <w:rPr>
          <w:rFonts w:hint="eastAsia"/>
          <w:color w:val="000000"/>
        </w:rPr>
        <w:t>业绩比较基准</w:t>
      </w:r>
      <w:r w:rsidR="002E6604" w:rsidRPr="002E6604">
        <w:rPr>
          <w:color w:val="000000"/>
        </w:rPr>
        <w:t>：</w:t>
      </w:r>
      <w:r w:rsidR="007E2691" w:rsidRPr="007E2691">
        <w:rPr>
          <w:rFonts w:hint="eastAsia"/>
          <w:color w:val="000000"/>
        </w:rPr>
        <w:t>中债综合指数收益率</w:t>
      </w:r>
    </w:p>
    <w:p w:rsidR="007E2691" w:rsidRDefault="00BF7EEA" w:rsidP="007E2691">
      <w:pPr>
        <w:pStyle w:val="a3"/>
        <w:adjustRightInd w:val="0"/>
        <w:snapToGrid w:val="0"/>
        <w:spacing w:before="0" w:beforeAutospacing="0" w:after="0" w:afterAutospacing="0" w:line="360" w:lineRule="auto"/>
        <w:ind w:firstLineChars="200" w:firstLine="480"/>
        <w:rPr>
          <w:color w:val="000000"/>
        </w:rPr>
      </w:pPr>
      <w:r>
        <w:rPr>
          <w:rFonts w:hint="eastAsia"/>
          <w:color w:val="000000"/>
        </w:rPr>
        <w:t>8、风险收益特征：</w:t>
      </w:r>
    </w:p>
    <w:p w:rsidR="00BF7EEA" w:rsidRDefault="007E2691" w:rsidP="007E2691">
      <w:pPr>
        <w:pStyle w:val="a3"/>
        <w:adjustRightInd w:val="0"/>
        <w:snapToGrid w:val="0"/>
        <w:spacing w:before="0" w:beforeAutospacing="0" w:after="0" w:afterAutospacing="0" w:line="360" w:lineRule="auto"/>
        <w:ind w:firstLineChars="200" w:firstLine="480"/>
        <w:rPr>
          <w:color w:val="000000"/>
        </w:rPr>
      </w:pPr>
      <w:r w:rsidRPr="007E2691">
        <w:rPr>
          <w:rFonts w:hint="eastAsia"/>
          <w:color w:val="000000"/>
        </w:rPr>
        <w:t>本基金为债券型基金，预期收益和预期风险高于货币市场基金，但低于混合型基金、股票型基金，属于较低风险/收益的产品。</w:t>
      </w:r>
    </w:p>
    <w:p w:rsidR="00BF7EEA" w:rsidRDefault="00BF7EEA" w:rsidP="00BF7EEA">
      <w:pPr>
        <w:pStyle w:val="a3"/>
        <w:adjustRightInd w:val="0"/>
        <w:snapToGrid w:val="0"/>
        <w:spacing w:before="0" w:beforeAutospacing="0" w:after="0" w:afterAutospacing="0" w:line="360" w:lineRule="auto"/>
        <w:ind w:firstLineChars="200" w:firstLine="480"/>
        <w:rPr>
          <w:color w:val="000000"/>
        </w:rPr>
      </w:pPr>
      <w:r>
        <w:rPr>
          <w:rFonts w:hint="eastAsia"/>
          <w:color w:val="000000"/>
        </w:rPr>
        <w:t>9、基金管理人：中欧基金管理有限公司</w:t>
      </w:r>
    </w:p>
    <w:p w:rsidR="00BF7EEA" w:rsidRPr="00B46532" w:rsidRDefault="00BF7EEA" w:rsidP="002751B8">
      <w:pPr>
        <w:pStyle w:val="a3"/>
        <w:adjustRightInd w:val="0"/>
        <w:snapToGrid w:val="0"/>
        <w:spacing w:before="0" w:beforeAutospacing="0" w:after="0" w:afterAutospacing="0" w:line="360" w:lineRule="auto"/>
        <w:ind w:firstLineChars="200" w:firstLine="480"/>
        <w:rPr>
          <w:color w:val="000000"/>
        </w:rPr>
      </w:pPr>
      <w:r>
        <w:rPr>
          <w:rFonts w:hint="eastAsia"/>
          <w:color w:val="000000"/>
        </w:rPr>
        <w:t>10、基金托管人：</w:t>
      </w:r>
      <w:r w:rsidR="008C2088">
        <w:rPr>
          <w:rFonts w:hint="eastAsia"/>
          <w:color w:val="000000"/>
        </w:rPr>
        <w:t>中国</w:t>
      </w:r>
      <w:r w:rsidR="000B425B">
        <w:rPr>
          <w:rFonts w:hint="eastAsia"/>
          <w:color w:val="000000"/>
        </w:rPr>
        <w:t>工商</w:t>
      </w:r>
      <w:r>
        <w:rPr>
          <w:rFonts w:hint="eastAsia"/>
          <w:color w:val="000000"/>
        </w:rPr>
        <w:t>银行股份有限公司</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p>
    <w:p w:rsidR="00AD5C40" w:rsidRPr="002E6604" w:rsidRDefault="009F08B2" w:rsidP="00B46532">
      <w:pPr>
        <w:pStyle w:val="a3"/>
        <w:adjustRightInd w:val="0"/>
        <w:snapToGrid w:val="0"/>
        <w:spacing w:before="0" w:beforeAutospacing="0" w:after="0" w:afterAutospacing="0" w:line="360" w:lineRule="auto"/>
        <w:ind w:firstLineChars="200" w:firstLine="480"/>
        <w:rPr>
          <w:color w:val="000000"/>
        </w:rPr>
      </w:pPr>
      <w:r w:rsidRPr="002E6604">
        <w:rPr>
          <w:rFonts w:hint="eastAsia"/>
          <w:color w:val="000000"/>
        </w:rPr>
        <w:t>三、</w:t>
      </w:r>
      <w:r w:rsidR="00AD5C40" w:rsidRPr="002E6604">
        <w:rPr>
          <w:rFonts w:hint="eastAsia"/>
          <w:color w:val="000000"/>
        </w:rPr>
        <w:t>基金最后运作日</w:t>
      </w:r>
      <w:r w:rsidR="002751B8" w:rsidRPr="002E6604">
        <w:rPr>
          <w:rFonts w:hint="eastAsia"/>
          <w:color w:val="000000"/>
        </w:rPr>
        <w:t>资产负债表</w:t>
      </w:r>
      <w:r w:rsidR="00AD5C40" w:rsidRPr="002E6604">
        <w:rPr>
          <w:rFonts w:hint="eastAsia"/>
          <w:color w:val="000000"/>
        </w:rPr>
        <w:t>（经审计）</w:t>
      </w:r>
    </w:p>
    <w:p w:rsidR="00AF5710" w:rsidRDefault="00AD5C40" w:rsidP="00A4215E">
      <w:pPr>
        <w:pStyle w:val="a3"/>
        <w:adjustRightInd w:val="0"/>
        <w:snapToGrid w:val="0"/>
        <w:spacing w:before="0" w:beforeAutospacing="0" w:after="0" w:afterAutospacing="0" w:line="360" w:lineRule="auto"/>
        <w:ind w:firstLineChars="200" w:firstLine="480"/>
        <w:jc w:val="right"/>
        <w:rPr>
          <w:color w:val="000000"/>
        </w:rPr>
      </w:pPr>
      <w:r w:rsidRPr="002E6604">
        <w:rPr>
          <w:rFonts w:hint="eastAsia"/>
          <w:color w:val="000000"/>
        </w:rPr>
        <w:t>单位：人民币元</w:t>
      </w:r>
    </w:p>
    <w:tbl>
      <w:tblPr>
        <w:tblW w:w="8807" w:type="dxa"/>
        <w:tblInd w:w="113" w:type="dxa"/>
        <w:tblLook w:val="04A0"/>
      </w:tblPr>
      <w:tblGrid>
        <w:gridCol w:w="4905"/>
        <w:gridCol w:w="3902"/>
      </w:tblGrid>
      <w:tr w:rsidR="000B425B" w:rsidRPr="00CE7C55" w:rsidTr="00374C83">
        <w:trPr>
          <w:trHeight w:val="383"/>
        </w:trPr>
        <w:tc>
          <w:tcPr>
            <w:tcW w:w="4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b/>
                <w:bCs/>
                <w:color w:val="000000"/>
                <w:kern w:val="0"/>
                <w:sz w:val="20"/>
                <w:szCs w:val="20"/>
              </w:rPr>
            </w:pPr>
            <w:bookmarkStart w:id="1" w:name="RANGE!A1"/>
            <w:r w:rsidRPr="00CE7C55">
              <w:rPr>
                <w:rFonts w:ascii="黑体" w:eastAsia="黑体" w:hAnsi="黑体" w:cs="Calibri" w:hint="eastAsia"/>
                <w:b/>
                <w:bCs/>
                <w:color w:val="000000"/>
                <w:kern w:val="0"/>
                <w:sz w:val="20"/>
                <w:szCs w:val="20"/>
              </w:rPr>
              <w:t>资 产</w:t>
            </w:r>
            <w:bookmarkEnd w:id="1"/>
          </w:p>
        </w:tc>
        <w:tc>
          <w:tcPr>
            <w:tcW w:w="3902" w:type="dxa"/>
            <w:tcBorders>
              <w:top w:val="single" w:sz="4" w:space="0" w:color="auto"/>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b/>
                <w:bCs/>
                <w:color w:val="000000"/>
                <w:kern w:val="0"/>
                <w:sz w:val="20"/>
                <w:szCs w:val="20"/>
              </w:rPr>
            </w:pPr>
            <w:r w:rsidRPr="00CE7C55">
              <w:rPr>
                <w:rFonts w:ascii="黑体" w:eastAsia="黑体" w:hAnsi="黑体" w:cs="Calibri" w:hint="eastAsia"/>
                <w:b/>
                <w:bCs/>
                <w:color w:val="000000"/>
                <w:kern w:val="0"/>
                <w:sz w:val="20"/>
                <w:szCs w:val="20"/>
              </w:rPr>
              <w:t>最后运作日</w:t>
            </w:r>
          </w:p>
        </w:tc>
      </w:tr>
      <w:tr w:rsidR="000B425B" w:rsidRPr="00CE7C55" w:rsidTr="00374C83">
        <w:trPr>
          <w:trHeight w:val="191"/>
        </w:trPr>
        <w:tc>
          <w:tcPr>
            <w:tcW w:w="4905" w:type="dxa"/>
            <w:vMerge/>
            <w:tcBorders>
              <w:top w:val="single" w:sz="4" w:space="0" w:color="auto"/>
              <w:left w:val="single" w:sz="4" w:space="0" w:color="auto"/>
              <w:bottom w:val="single" w:sz="4" w:space="0" w:color="auto"/>
              <w:right w:val="single" w:sz="4" w:space="0" w:color="auto"/>
            </w:tcBorders>
            <w:vAlign w:val="center"/>
            <w:hideMark/>
          </w:tcPr>
          <w:p w:rsidR="000B425B" w:rsidRPr="00CE7C55" w:rsidRDefault="000B425B" w:rsidP="00374C83">
            <w:pPr>
              <w:widowControl/>
              <w:jc w:val="left"/>
              <w:rPr>
                <w:rFonts w:ascii="黑体" w:eastAsia="黑体" w:hAnsi="黑体" w:cs="Calibri"/>
                <w:b/>
                <w:bCs/>
                <w:color w:val="000000"/>
                <w:kern w:val="0"/>
                <w:sz w:val="20"/>
                <w:szCs w:val="20"/>
              </w:rPr>
            </w:pP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b/>
                <w:bCs/>
                <w:color w:val="000000"/>
                <w:kern w:val="0"/>
                <w:sz w:val="20"/>
                <w:szCs w:val="20"/>
              </w:rPr>
            </w:pPr>
            <w:r w:rsidRPr="00CE7C55">
              <w:rPr>
                <w:rFonts w:ascii="黑体" w:eastAsia="黑体" w:hAnsi="黑体" w:cs="Calibri" w:hint="eastAsia"/>
                <w:b/>
                <w:bCs/>
                <w:color w:val="000000"/>
                <w:kern w:val="0"/>
                <w:sz w:val="20"/>
                <w:szCs w:val="20"/>
              </w:rPr>
              <w:t>2018/10/30</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资 产：</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Calibri" w:eastAsia="黑体" w:hAnsi="Calibri" w:cs="Calibri"/>
                <w:color w:val="000000"/>
                <w:kern w:val="0"/>
                <w:sz w:val="20"/>
                <w:szCs w:val="20"/>
              </w:rPr>
              <w:t>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银行存款</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481,840.74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结算备付金</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存出保证金</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3,983.62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交易性金融资产</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1,005,100.00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应收利息</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22,869.21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应收申购款</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应收证券清算款</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1,026,539.79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资产总计</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2,540,333.36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b/>
                <w:bCs/>
                <w:color w:val="000000"/>
                <w:kern w:val="0"/>
                <w:sz w:val="20"/>
                <w:szCs w:val="20"/>
              </w:rPr>
            </w:pPr>
            <w:r w:rsidRPr="00CE7C55">
              <w:rPr>
                <w:rFonts w:ascii="黑体" w:eastAsia="黑体" w:hAnsi="黑体" w:cs="Calibri" w:hint="eastAsia"/>
                <w:b/>
                <w:bCs/>
                <w:color w:val="000000"/>
                <w:kern w:val="0"/>
                <w:sz w:val="20"/>
                <w:szCs w:val="20"/>
              </w:rPr>
              <w:t>负 债：</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Calibri" w:eastAsia="黑体" w:hAnsi="Calibri" w:cs="Calibri"/>
                <w:color w:val="000000"/>
                <w:kern w:val="0"/>
                <w:sz w:val="20"/>
                <w:szCs w:val="20"/>
              </w:rPr>
              <w:t>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应付赎回款</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1,286,383.40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应付赎回费</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应付管理人报酬</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7,257.16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应付托管费</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2,073.45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应付销售服务费</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应付交易费用</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175.00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应交税费</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应付利润</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预提费用</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205,000.00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其他负债</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负债合计</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1,500,889.01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b/>
                <w:bCs/>
                <w:color w:val="000000"/>
                <w:kern w:val="0"/>
                <w:sz w:val="20"/>
                <w:szCs w:val="20"/>
              </w:rPr>
            </w:pPr>
            <w:r w:rsidRPr="00CE7C55">
              <w:rPr>
                <w:rFonts w:ascii="黑体" w:eastAsia="黑体" w:hAnsi="黑体" w:cs="Calibri" w:hint="eastAsia"/>
                <w:b/>
                <w:bCs/>
                <w:color w:val="000000"/>
                <w:kern w:val="0"/>
                <w:sz w:val="20"/>
                <w:szCs w:val="20"/>
              </w:rPr>
              <w:t>所有者权益：</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Calibri" w:eastAsia="黑体" w:hAnsi="Calibri" w:cs="Calibri"/>
                <w:color w:val="000000"/>
                <w:kern w:val="0"/>
                <w:sz w:val="20"/>
                <w:szCs w:val="20"/>
              </w:rPr>
              <w:t>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实收基金</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946,240.43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未分配利润</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93,203.92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所有者权益合计</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1,039,444.35 </w:t>
            </w:r>
          </w:p>
        </w:tc>
      </w:tr>
      <w:tr w:rsidR="000B425B" w:rsidRPr="00CE7C55" w:rsidTr="00374C83">
        <w:trPr>
          <w:trHeight w:val="191"/>
        </w:trPr>
        <w:tc>
          <w:tcPr>
            <w:tcW w:w="4905" w:type="dxa"/>
            <w:tcBorders>
              <w:top w:val="nil"/>
              <w:left w:val="single" w:sz="4" w:space="0" w:color="auto"/>
              <w:bottom w:val="single" w:sz="4" w:space="0" w:color="auto"/>
              <w:right w:val="single" w:sz="4" w:space="0" w:color="auto"/>
            </w:tcBorders>
            <w:shd w:val="clear" w:color="auto" w:fill="auto"/>
            <w:vAlign w:val="center"/>
            <w:hideMark/>
          </w:tcPr>
          <w:p w:rsidR="000B425B" w:rsidRPr="00CE7C55" w:rsidRDefault="000B425B" w:rsidP="00374C83">
            <w:pPr>
              <w:widowControl/>
              <w:jc w:val="lef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负债和所有者权益总计</w:t>
            </w:r>
          </w:p>
        </w:tc>
        <w:tc>
          <w:tcPr>
            <w:tcW w:w="3902" w:type="dxa"/>
            <w:tcBorders>
              <w:top w:val="nil"/>
              <w:left w:val="nil"/>
              <w:bottom w:val="single" w:sz="4" w:space="0" w:color="auto"/>
              <w:right w:val="single" w:sz="4" w:space="0" w:color="auto"/>
            </w:tcBorders>
            <w:shd w:val="clear" w:color="auto" w:fill="auto"/>
            <w:vAlign w:val="center"/>
            <w:hideMark/>
          </w:tcPr>
          <w:p w:rsidR="000B425B" w:rsidRPr="00CE7C55" w:rsidRDefault="000B425B" w:rsidP="00374C83">
            <w:pPr>
              <w:widowControl/>
              <w:jc w:val="right"/>
              <w:rPr>
                <w:rFonts w:ascii="黑体" w:eastAsia="黑体" w:hAnsi="黑体" w:cs="Calibri"/>
                <w:color w:val="000000"/>
                <w:kern w:val="0"/>
                <w:sz w:val="20"/>
                <w:szCs w:val="20"/>
              </w:rPr>
            </w:pPr>
            <w:r w:rsidRPr="00CE7C55">
              <w:rPr>
                <w:rFonts w:ascii="黑体" w:eastAsia="黑体" w:hAnsi="黑体" w:cs="Calibri" w:hint="eastAsia"/>
                <w:color w:val="000000"/>
                <w:kern w:val="0"/>
                <w:sz w:val="20"/>
                <w:szCs w:val="20"/>
              </w:rPr>
              <w:t xml:space="preserve">       2,540,333.36 </w:t>
            </w:r>
          </w:p>
        </w:tc>
      </w:tr>
    </w:tbl>
    <w:p w:rsidR="000B425B" w:rsidRDefault="000B425B" w:rsidP="00A4215E">
      <w:pPr>
        <w:pStyle w:val="a3"/>
        <w:adjustRightInd w:val="0"/>
        <w:snapToGrid w:val="0"/>
        <w:spacing w:before="0" w:beforeAutospacing="0" w:after="0" w:afterAutospacing="0" w:line="360" w:lineRule="auto"/>
        <w:ind w:firstLineChars="200" w:firstLine="480"/>
        <w:jc w:val="right"/>
        <w:rPr>
          <w:color w:val="000000"/>
        </w:rPr>
      </w:pPr>
    </w:p>
    <w:p w:rsidR="00AD5C4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四、</w:t>
      </w:r>
      <w:r w:rsidR="00AD5C40" w:rsidRPr="00B46532">
        <w:rPr>
          <w:rFonts w:hint="eastAsia"/>
          <w:color w:val="000000"/>
        </w:rPr>
        <w:t>清盘事项说明</w:t>
      </w:r>
    </w:p>
    <w:p w:rsidR="002E6604" w:rsidRDefault="00B325F0" w:rsidP="002E6604">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Pr="00B46532">
        <w:rPr>
          <w:color w:val="000000"/>
        </w:rPr>
        <w:t>清算原因</w:t>
      </w:r>
    </w:p>
    <w:p w:rsidR="00B325F0" w:rsidRPr="00B46532" w:rsidRDefault="000B425B" w:rsidP="002E6604">
      <w:pPr>
        <w:pStyle w:val="a3"/>
        <w:adjustRightInd w:val="0"/>
        <w:snapToGrid w:val="0"/>
        <w:spacing w:before="0" w:beforeAutospacing="0" w:after="0" w:afterAutospacing="0" w:line="360" w:lineRule="auto"/>
        <w:ind w:firstLineChars="200" w:firstLine="480"/>
        <w:rPr>
          <w:color w:val="000000"/>
        </w:rPr>
      </w:pPr>
      <w:r w:rsidRPr="000B425B">
        <w:rPr>
          <w:rFonts w:hint="eastAsia"/>
          <w:color w:val="000000"/>
        </w:rPr>
        <w:t>根据《基金合同》“第十九部分 基金的合并、基金合同的变更、终止与基金财产的清算”中“有下列情形之一的，基金合同应当终止：1、基金份额持有人大会决定终止的；2、基金管理人、基金托管人职责终止，在 6 个月内没有新基金管理人、新基金托管人承接的；3、基金合同约定的其他情形；4、相关法律法规和中国证监会规定的其他情况。”本基金基金份额持有人大会通过《关于终止中欧强势多策略定期开放债券型证券投资基金基金合同相关事项的议案》。</w:t>
      </w:r>
    </w:p>
    <w:p w:rsidR="00B46532"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w:t>
      </w:r>
      <w:r w:rsidRPr="00B46532">
        <w:rPr>
          <w:color w:val="000000"/>
        </w:rPr>
        <w:t>清算起始日</w:t>
      </w:r>
    </w:p>
    <w:p w:rsidR="002751B8" w:rsidRDefault="000B425B" w:rsidP="002751B8">
      <w:pPr>
        <w:pStyle w:val="a3"/>
        <w:adjustRightInd w:val="0"/>
        <w:snapToGrid w:val="0"/>
        <w:spacing w:before="0" w:beforeAutospacing="0" w:after="0" w:afterAutospacing="0" w:line="360" w:lineRule="auto"/>
        <w:ind w:firstLineChars="200" w:firstLine="480"/>
        <w:rPr>
          <w:color w:val="000000"/>
        </w:rPr>
      </w:pPr>
      <w:r w:rsidRPr="000B425B">
        <w:rPr>
          <w:rFonts w:hint="eastAsia"/>
          <w:color w:val="000000"/>
        </w:rPr>
        <w:t>根据《中欧强势多策略定期开放债券型证券投资基金基金合同终止及基金财产清算的公告》，自2018年10月31日起，本基金进入清算程序。故本基金清算起始日为2018年10月31日。</w:t>
      </w:r>
    </w:p>
    <w:p w:rsidR="0091314C" w:rsidRDefault="0091314C" w:rsidP="0091314C">
      <w:pPr>
        <w:pStyle w:val="a3"/>
        <w:adjustRightInd w:val="0"/>
        <w:snapToGrid w:val="0"/>
        <w:spacing w:before="0" w:beforeAutospacing="0" w:after="0" w:afterAutospacing="0" w:line="360" w:lineRule="auto"/>
        <w:ind w:firstLineChars="200" w:firstLine="480"/>
        <w:rPr>
          <w:color w:val="000000"/>
        </w:rPr>
      </w:pPr>
      <w:r>
        <w:rPr>
          <w:rFonts w:hint="eastAsia"/>
          <w:color w:val="000000"/>
        </w:rPr>
        <w:t>3、清算报表编制基础</w:t>
      </w:r>
    </w:p>
    <w:p w:rsidR="0091314C" w:rsidRDefault="000B425B" w:rsidP="0091314C">
      <w:pPr>
        <w:pStyle w:val="a3"/>
        <w:adjustRightInd w:val="0"/>
        <w:snapToGrid w:val="0"/>
        <w:spacing w:before="0" w:beforeAutospacing="0" w:after="0" w:afterAutospacing="0" w:line="360" w:lineRule="auto"/>
        <w:ind w:firstLineChars="200" w:firstLine="480"/>
        <w:rPr>
          <w:color w:val="000000"/>
        </w:rPr>
      </w:pPr>
      <w:r w:rsidRPr="000B425B">
        <w:rPr>
          <w:rFonts w:hint="eastAsia"/>
          <w:color w:val="000000"/>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B46532" w:rsidRPr="0091314C" w:rsidRDefault="00B46532" w:rsidP="00B46532">
      <w:pPr>
        <w:pStyle w:val="a3"/>
        <w:adjustRightInd w:val="0"/>
        <w:snapToGrid w:val="0"/>
        <w:spacing w:before="0" w:beforeAutospacing="0" w:after="0" w:afterAutospacing="0" w:line="360" w:lineRule="auto"/>
        <w:ind w:firstLineChars="200" w:firstLine="480"/>
        <w:rPr>
          <w:color w:val="000000"/>
        </w:rPr>
      </w:pP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五、清算情况</w:t>
      </w:r>
    </w:p>
    <w:p w:rsidR="007656AB" w:rsidRPr="007656AB" w:rsidRDefault="000B425B" w:rsidP="007656AB">
      <w:pPr>
        <w:pStyle w:val="a3"/>
        <w:adjustRightInd w:val="0"/>
        <w:snapToGrid w:val="0"/>
        <w:spacing w:before="0" w:beforeAutospacing="0" w:after="0" w:afterAutospacing="0" w:line="360" w:lineRule="auto"/>
        <w:ind w:firstLineChars="200" w:firstLine="480"/>
        <w:rPr>
          <w:color w:val="000000"/>
        </w:rPr>
      </w:pPr>
      <w:r w:rsidRPr="000B425B">
        <w:rPr>
          <w:rFonts w:hint="eastAsia"/>
          <w:color w:val="000000"/>
        </w:rPr>
        <w:t>自2018年10月31日至2018年11月22日止清算期间，基金财产清算小组对本基金的资产、负债进行清算，全部清算工作按清算原则和清算手续进行。具体清算情况如下：</w:t>
      </w:r>
    </w:p>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sidRPr="007656AB">
        <w:rPr>
          <w:color w:val="000000"/>
        </w:rPr>
        <w:t>1</w:t>
      </w:r>
      <w:r w:rsidRPr="007656AB">
        <w:rPr>
          <w:rFonts w:hint="eastAsia"/>
          <w:color w:val="000000"/>
        </w:rPr>
        <w:t>、清算费用</w:t>
      </w:r>
    </w:p>
    <w:p w:rsidR="007656AB" w:rsidRPr="007656AB" w:rsidRDefault="000B425B" w:rsidP="007656AB">
      <w:pPr>
        <w:pStyle w:val="a3"/>
        <w:adjustRightInd w:val="0"/>
        <w:snapToGrid w:val="0"/>
        <w:spacing w:before="0" w:beforeAutospacing="0" w:after="0" w:afterAutospacing="0" w:line="360" w:lineRule="auto"/>
        <w:ind w:firstLineChars="200" w:firstLine="480"/>
        <w:rPr>
          <w:color w:val="000000"/>
        </w:rPr>
      </w:pPr>
      <w:r w:rsidRPr="000B425B">
        <w:rPr>
          <w:rFonts w:hint="eastAsia"/>
          <w:color w:val="000000"/>
        </w:rPr>
        <w:t>清算费用是指基金财产清算小组在进行基金财产清算过程中发生的所有合理费用，根据基金合同的规定，清算费用由基金财产清算小组优先从基金财产中支付。考虑到基金清算的实际情况，从保护基金份额持有人利益的角度出发，本基金的部分清算费用</w:t>
      </w:r>
      <w:r w:rsidR="009C4EFE" w:rsidRPr="009C4EFE">
        <w:rPr>
          <w:color w:val="000000"/>
        </w:rPr>
        <w:t>24.02</w:t>
      </w:r>
      <w:r w:rsidR="009C4EFE">
        <w:rPr>
          <w:rFonts w:hint="eastAsia"/>
          <w:szCs w:val="21"/>
        </w:rPr>
        <w:t>元由基金资产承担，</w:t>
      </w:r>
      <w:r w:rsidR="009C4EFE" w:rsidRPr="009C4EFE">
        <w:rPr>
          <w:rFonts w:hint="eastAsia"/>
          <w:szCs w:val="21"/>
        </w:rPr>
        <w:t>其余清算费用</w:t>
      </w:r>
      <w:r w:rsidRPr="000B425B">
        <w:rPr>
          <w:rFonts w:hint="eastAsia"/>
          <w:color w:val="000000"/>
        </w:rPr>
        <w:t>由基金管理人承担。</w:t>
      </w:r>
    </w:p>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bookmarkStart w:id="2" w:name="OLE_LINK8"/>
      <w:bookmarkStart w:id="3" w:name="OLE_LINK9"/>
      <w:r w:rsidRPr="007656AB">
        <w:rPr>
          <w:color w:val="000000"/>
        </w:rPr>
        <w:t>2、</w:t>
      </w:r>
      <w:r w:rsidRPr="007656AB">
        <w:rPr>
          <w:rFonts w:hint="eastAsia"/>
          <w:color w:val="000000"/>
        </w:rPr>
        <w:t>资产处置情况</w:t>
      </w:r>
    </w:p>
    <w:p w:rsidR="007656AB" w:rsidRDefault="007656AB" w:rsidP="002E6604">
      <w:pPr>
        <w:pStyle w:val="a3"/>
        <w:adjustRightInd w:val="0"/>
        <w:snapToGrid w:val="0"/>
        <w:spacing w:before="0" w:beforeAutospacing="0" w:after="0" w:afterAutospacing="0" w:line="360" w:lineRule="auto"/>
        <w:ind w:firstLineChars="200" w:firstLine="480"/>
        <w:rPr>
          <w:color w:val="000000"/>
        </w:rPr>
      </w:pPr>
      <w:bookmarkStart w:id="4" w:name="OLE_LINK6"/>
      <w:bookmarkStart w:id="5" w:name="OLE_LINK7"/>
      <w:bookmarkEnd w:id="2"/>
      <w:bookmarkEnd w:id="3"/>
      <w:r>
        <w:rPr>
          <w:rFonts w:hint="eastAsia"/>
          <w:color w:val="000000"/>
        </w:rPr>
        <w:t>（1）</w:t>
      </w:r>
      <w:r w:rsidR="000B425B" w:rsidRPr="000B425B">
        <w:rPr>
          <w:rFonts w:hint="eastAsia"/>
          <w:color w:val="000000"/>
        </w:rPr>
        <w:t>本基金最后运作日交易性金融资产为人民币1,005,100.00元，全部为债券投资，应收利息合计为人民币21,540.82元，明细如下：</w:t>
      </w:r>
    </w:p>
    <w:p w:rsidR="000B425B" w:rsidRDefault="000B425B" w:rsidP="000B425B">
      <w:pPr>
        <w:pStyle w:val="a3"/>
        <w:adjustRightInd w:val="0"/>
        <w:snapToGrid w:val="0"/>
        <w:spacing w:before="0" w:beforeAutospacing="0" w:after="0" w:afterAutospacing="0" w:line="360" w:lineRule="auto"/>
        <w:ind w:firstLineChars="200" w:firstLine="480"/>
        <w:jc w:val="right"/>
        <w:rPr>
          <w:color w:val="000000"/>
        </w:rPr>
      </w:pPr>
      <w:r w:rsidRPr="000B425B">
        <w:rPr>
          <w:rFonts w:hint="eastAsia"/>
          <w:color w:val="000000"/>
        </w:rPr>
        <w:t>金额单位</w:t>
      </w:r>
      <w:r w:rsidRPr="000B425B">
        <w:rPr>
          <w:color w:val="000000"/>
        </w:rPr>
        <w:t>：</w:t>
      </w:r>
      <w:r w:rsidRPr="000B425B">
        <w:rPr>
          <w:rFonts w:hint="eastAsia"/>
          <w:color w:val="000000"/>
        </w:rPr>
        <w:t>人民币元</w:t>
      </w: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134"/>
        <w:gridCol w:w="993"/>
        <w:gridCol w:w="1417"/>
        <w:gridCol w:w="1418"/>
        <w:gridCol w:w="1134"/>
      </w:tblGrid>
      <w:tr w:rsidR="000B425B" w:rsidRPr="007558EE" w:rsidTr="00374C83">
        <w:tc>
          <w:tcPr>
            <w:tcW w:w="1242" w:type="dxa"/>
            <w:vAlign w:val="center"/>
          </w:tcPr>
          <w:p w:rsidR="000B425B" w:rsidRPr="007558EE" w:rsidRDefault="000B425B" w:rsidP="00374C83">
            <w:pPr>
              <w:jc w:val="left"/>
              <w:rPr>
                <w:rFonts w:ascii="黑体" w:eastAsia="黑体" w:hAnsi="黑体"/>
                <w:sz w:val="18"/>
              </w:rPr>
            </w:pPr>
            <w:r w:rsidRPr="007558EE">
              <w:rPr>
                <w:rFonts w:ascii="黑体" w:eastAsia="黑体" w:hAnsi="黑体"/>
                <w:sz w:val="18"/>
              </w:rPr>
              <w:t>债券名称</w:t>
            </w:r>
          </w:p>
        </w:tc>
        <w:tc>
          <w:tcPr>
            <w:tcW w:w="1134" w:type="dxa"/>
            <w:vAlign w:val="center"/>
          </w:tcPr>
          <w:p w:rsidR="000B425B" w:rsidRPr="007558EE" w:rsidRDefault="000B425B" w:rsidP="00374C83">
            <w:pPr>
              <w:jc w:val="left"/>
              <w:rPr>
                <w:rFonts w:ascii="黑体" w:eastAsia="黑体" w:hAnsi="黑体"/>
                <w:sz w:val="18"/>
              </w:rPr>
            </w:pPr>
            <w:r w:rsidRPr="007558EE">
              <w:rPr>
                <w:rFonts w:ascii="黑体" w:eastAsia="黑体" w:hAnsi="黑体"/>
                <w:sz w:val="18"/>
              </w:rPr>
              <w:t>债券代码</w:t>
            </w:r>
          </w:p>
        </w:tc>
        <w:tc>
          <w:tcPr>
            <w:tcW w:w="1134" w:type="dxa"/>
            <w:vAlign w:val="center"/>
          </w:tcPr>
          <w:p w:rsidR="000B425B" w:rsidRPr="007558EE" w:rsidRDefault="000B425B" w:rsidP="00374C83">
            <w:pPr>
              <w:jc w:val="right"/>
              <w:rPr>
                <w:rFonts w:ascii="黑体" w:eastAsia="黑体" w:hAnsi="黑体"/>
                <w:sz w:val="18"/>
              </w:rPr>
            </w:pPr>
            <w:r>
              <w:rPr>
                <w:rFonts w:ascii="黑体" w:eastAsia="黑体" w:hAnsi="黑体"/>
                <w:sz w:val="18"/>
              </w:rPr>
              <w:t>最后运作</w:t>
            </w:r>
            <w:r w:rsidRPr="007558EE">
              <w:rPr>
                <w:rFonts w:ascii="黑体" w:eastAsia="黑体" w:hAnsi="黑体"/>
                <w:sz w:val="18"/>
              </w:rPr>
              <w:t>日</w:t>
            </w:r>
          </w:p>
          <w:p w:rsidR="000B425B" w:rsidRPr="007558EE" w:rsidRDefault="000B425B" w:rsidP="00374C83">
            <w:pPr>
              <w:jc w:val="right"/>
              <w:rPr>
                <w:rFonts w:ascii="黑体" w:eastAsia="黑体" w:hAnsi="黑体"/>
                <w:sz w:val="18"/>
              </w:rPr>
            </w:pPr>
            <w:r w:rsidRPr="007558EE">
              <w:rPr>
                <w:rFonts w:ascii="黑体" w:eastAsia="黑体" w:hAnsi="黑体"/>
                <w:sz w:val="18"/>
              </w:rPr>
              <w:t>估值单价</w:t>
            </w:r>
          </w:p>
        </w:tc>
        <w:tc>
          <w:tcPr>
            <w:tcW w:w="993" w:type="dxa"/>
            <w:vAlign w:val="center"/>
          </w:tcPr>
          <w:p w:rsidR="000B425B" w:rsidRPr="007558EE" w:rsidRDefault="000B425B" w:rsidP="00374C83">
            <w:pPr>
              <w:jc w:val="right"/>
              <w:rPr>
                <w:rFonts w:ascii="黑体" w:eastAsia="黑体" w:hAnsi="黑体"/>
                <w:sz w:val="18"/>
              </w:rPr>
            </w:pPr>
            <w:r w:rsidRPr="007558EE">
              <w:rPr>
                <w:rFonts w:ascii="黑体" w:eastAsia="黑体" w:hAnsi="黑体"/>
                <w:sz w:val="18"/>
              </w:rPr>
              <w:t>数量</w:t>
            </w:r>
          </w:p>
        </w:tc>
        <w:tc>
          <w:tcPr>
            <w:tcW w:w="1417" w:type="dxa"/>
            <w:vAlign w:val="center"/>
          </w:tcPr>
          <w:p w:rsidR="000B425B" w:rsidRPr="007558EE" w:rsidRDefault="000B425B" w:rsidP="00374C83">
            <w:pPr>
              <w:jc w:val="right"/>
              <w:rPr>
                <w:rFonts w:ascii="黑体" w:eastAsia="黑体" w:hAnsi="黑体"/>
                <w:sz w:val="18"/>
              </w:rPr>
            </w:pPr>
            <w:r>
              <w:rPr>
                <w:rFonts w:ascii="黑体" w:eastAsia="黑体" w:hAnsi="黑体"/>
                <w:sz w:val="18"/>
              </w:rPr>
              <w:t>最后运作</w:t>
            </w:r>
            <w:r w:rsidRPr="007558EE">
              <w:rPr>
                <w:rFonts w:ascii="黑体" w:eastAsia="黑体" w:hAnsi="黑体"/>
                <w:sz w:val="18"/>
              </w:rPr>
              <w:t>日</w:t>
            </w:r>
          </w:p>
          <w:p w:rsidR="000B425B" w:rsidRPr="007558EE" w:rsidRDefault="000B425B" w:rsidP="00374C83">
            <w:pPr>
              <w:jc w:val="right"/>
              <w:rPr>
                <w:rFonts w:ascii="黑体" w:eastAsia="黑体" w:hAnsi="黑体"/>
                <w:sz w:val="18"/>
              </w:rPr>
            </w:pPr>
            <w:r w:rsidRPr="007558EE">
              <w:rPr>
                <w:rFonts w:ascii="黑体" w:eastAsia="黑体" w:hAnsi="黑体"/>
                <w:sz w:val="18"/>
              </w:rPr>
              <w:t>成本总额</w:t>
            </w:r>
          </w:p>
        </w:tc>
        <w:tc>
          <w:tcPr>
            <w:tcW w:w="1418" w:type="dxa"/>
            <w:shd w:val="clear" w:color="auto" w:fill="auto"/>
            <w:vAlign w:val="center"/>
          </w:tcPr>
          <w:p w:rsidR="000B425B" w:rsidRPr="007558EE" w:rsidRDefault="000B425B" w:rsidP="00374C83">
            <w:pPr>
              <w:jc w:val="right"/>
              <w:rPr>
                <w:rFonts w:ascii="黑体" w:eastAsia="黑体" w:hAnsi="黑体"/>
                <w:sz w:val="18"/>
              </w:rPr>
            </w:pPr>
            <w:r>
              <w:rPr>
                <w:rFonts w:ascii="黑体" w:eastAsia="黑体" w:hAnsi="黑体"/>
                <w:sz w:val="18"/>
              </w:rPr>
              <w:t>最后运作</w:t>
            </w:r>
            <w:r w:rsidRPr="007558EE">
              <w:rPr>
                <w:rFonts w:ascii="黑体" w:eastAsia="黑体" w:hAnsi="黑体"/>
                <w:sz w:val="18"/>
              </w:rPr>
              <w:t>日</w:t>
            </w:r>
          </w:p>
          <w:p w:rsidR="000B425B" w:rsidRPr="007558EE" w:rsidRDefault="000B425B" w:rsidP="00374C83">
            <w:pPr>
              <w:jc w:val="right"/>
              <w:rPr>
                <w:rFonts w:ascii="黑体" w:eastAsia="黑体" w:hAnsi="黑体"/>
                <w:sz w:val="18"/>
              </w:rPr>
            </w:pPr>
            <w:r w:rsidRPr="007558EE">
              <w:rPr>
                <w:rFonts w:ascii="黑体" w:eastAsia="黑体" w:hAnsi="黑体"/>
                <w:sz w:val="18"/>
              </w:rPr>
              <w:t>估值总额</w:t>
            </w:r>
          </w:p>
        </w:tc>
        <w:tc>
          <w:tcPr>
            <w:tcW w:w="1134" w:type="dxa"/>
            <w:shd w:val="clear" w:color="auto" w:fill="auto"/>
            <w:vAlign w:val="center"/>
          </w:tcPr>
          <w:p w:rsidR="000B425B" w:rsidRPr="007558EE" w:rsidRDefault="000B425B" w:rsidP="00374C83">
            <w:pPr>
              <w:jc w:val="right"/>
              <w:rPr>
                <w:rFonts w:ascii="黑体" w:eastAsia="黑体" w:hAnsi="黑体"/>
                <w:sz w:val="18"/>
              </w:rPr>
            </w:pPr>
            <w:r>
              <w:rPr>
                <w:rFonts w:ascii="黑体" w:eastAsia="黑体" w:hAnsi="黑体"/>
                <w:sz w:val="18"/>
              </w:rPr>
              <w:t>最后运作</w:t>
            </w:r>
            <w:r w:rsidRPr="007558EE">
              <w:rPr>
                <w:rFonts w:ascii="黑体" w:eastAsia="黑体" w:hAnsi="黑体"/>
                <w:sz w:val="18"/>
              </w:rPr>
              <w:t>日</w:t>
            </w:r>
          </w:p>
          <w:p w:rsidR="000B425B" w:rsidRPr="007558EE" w:rsidRDefault="000B425B" w:rsidP="00374C83">
            <w:pPr>
              <w:jc w:val="right"/>
              <w:rPr>
                <w:rFonts w:ascii="黑体" w:eastAsia="黑体" w:hAnsi="黑体"/>
                <w:sz w:val="18"/>
              </w:rPr>
            </w:pPr>
            <w:r w:rsidRPr="007558EE">
              <w:rPr>
                <w:rFonts w:ascii="黑体" w:eastAsia="黑体" w:hAnsi="黑体"/>
                <w:sz w:val="18"/>
              </w:rPr>
              <w:t>应收利息</w:t>
            </w:r>
          </w:p>
        </w:tc>
      </w:tr>
      <w:tr w:rsidR="000B425B" w:rsidRPr="007558EE" w:rsidTr="00374C83">
        <w:tc>
          <w:tcPr>
            <w:tcW w:w="1242" w:type="dxa"/>
            <w:vAlign w:val="center"/>
          </w:tcPr>
          <w:p w:rsidR="000B425B" w:rsidRPr="007558EE" w:rsidRDefault="000B425B" w:rsidP="00374C83">
            <w:pPr>
              <w:jc w:val="left"/>
              <w:rPr>
                <w:rFonts w:ascii="黑体" w:eastAsia="黑体" w:hAnsi="黑体"/>
                <w:sz w:val="18"/>
              </w:rPr>
            </w:pPr>
            <w:r w:rsidRPr="00AF1B8A">
              <w:rPr>
                <w:rFonts w:ascii="黑体" w:eastAsia="黑体" w:hAnsi="黑体" w:hint="eastAsia"/>
                <w:sz w:val="18"/>
              </w:rPr>
              <w:t>国开1701</w:t>
            </w:r>
          </w:p>
        </w:tc>
        <w:tc>
          <w:tcPr>
            <w:tcW w:w="1134" w:type="dxa"/>
            <w:vAlign w:val="center"/>
          </w:tcPr>
          <w:p w:rsidR="000B425B" w:rsidRPr="007558EE" w:rsidRDefault="000B425B" w:rsidP="00374C83">
            <w:pPr>
              <w:jc w:val="left"/>
              <w:rPr>
                <w:rFonts w:ascii="黑体" w:eastAsia="黑体" w:hAnsi="黑体"/>
                <w:sz w:val="18"/>
              </w:rPr>
            </w:pPr>
            <w:r>
              <w:rPr>
                <w:rFonts w:ascii="黑体" w:eastAsia="黑体" w:hAnsi="黑体"/>
                <w:sz w:val="18"/>
              </w:rPr>
              <w:t>018005</w:t>
            </w:r>
          </w:p>
        </w:tc>
        <w:tc>
          <w:tcPr>
            <w:tcW w:w="1134" w:type="dxa"/>
            <w:vAlign w:val="center"/>
          </w:tcPr>
          <w:p w:rsidR="000B425B" w:rsidRPr="007558EE" w:rsidRDefault="000B425B" w:rsidP="00374C83">
            <w:pPr>
              <w:jc w:val="right"/>
              <w:rPr>
                <w:rFonts w:ascii="黑体" w:eastAsia="黑体" w:hAnsi="黑体"/>
                <w:sz w:val="18"/>
              </w:rPr>
            </w:pPr>
            <w:r w:rsidRPr="009E53F3">
              <w:rPr>
                <w:rFonts w:ascii="黑体" w:eastAsia="黑体" w:hAnsi="黑体"/>
                <w:sz w:val="18"/>
              </w:rPr>
              <w:t>100.51</w:t>
            </w:r>
          </w:p>
        </w:tc>
        <w:tc>
          <w:tcPr>
            <w:tcW w:w="993" w:type="dxa"/>
            <w:vAlign w:val="center"/>
          </w:tcPr>
          <w:p w:rsidR="000B425B" w:rsidRPr="007558EE" w:rsidRDefault="000B425B" w:rsidP="00374C83">
            <w:pPr>
              <w:jc w:val="right"/>
              <w:rPr>
                <w:rFonts w:ascii="黑体" w:eastAsia="黑体" w:hAnsi="黑体"/>
                <w:sz w:val="18"/>
              </w:rPr>
            </w:pPr>
            <w:r w:rsidRPr="009E53F3">
              <w:rPr>
                <w:rFonts w:ascii="黑体" w:eastAsia="黑体" w:hAnsi="黑体"/>
                <w:sz w:val="18"/>
              </w:rPr>
              <w:t>10,000</w:t>
            </w:r>
          </w:p>
        </w:tc>
        <w:tc>
          <w:tcPr>
            <w:tcW w:w="1417" w:type="dxa"/>
            <w:vAlign w:val="center"/>
          </w:tcPr>
          <w:p w:rsidR="000B425B" w:rsidRPr="007558EE" w:rsidRDefault="000B425B" w:rsidP="00374C83">
            <w:pPr>
              <w:jc w:val="right"/>
              <w:rPr>
                <w:rFonts w:ascii="黑体" w:eastAsia="黑体" w:hAnsi="黑体"/>
                <w:sz w:val="18"/>
              </w:rPr>
            </w:pPr>
            <w:r w:rsidRPr="00D163CE">
              <w:rPr>
                <w:rFonts w:ascii="黑体" w:eastAsia="黑体" w:hAnsi="黑体"/>
                <w:sz w:val="18"/>
              </w:rPr>
              <w:t>1,002,918.33</w:t>
            </w:r>
          </w:p>
        </w:tc>
        <w:tc>
          <w:tcPr>
            <w:tcW w:w="1418" w:type="dxa"/>
            <w:shd w:val="clear" w:color="auto" w:fill="auto"/>
            <w:vAlign w:val="center"/>
          </w:tcPr>
          <w:p w:rsidR="000B425B" w:rsidRPr="007558EE" w:rsidRDefault="000B425B" w:rsidP="00374C83">
            <w:pPr>
              <w:jc w:val="right"/>
              <w:rPr>
                <w:rFonts w:ascii="黑体" w:eastAsia="黑体" w:hAnsi="黑体"/>
                <w:sz w:val="18"/>
              </w:rPr>
            </w:pPr>
            <w:r w:rsidRPr="00D163CE">
              <w:rPr>
                <w:rFonts w:ascii="黑体" w:eastAsia="黑体" w:hAnsi="黑体"/>
                <w:sz w:val="18"/>
              </w:rPr>
              <w:t>1,005,100.00</w:t>
            </w:r>
          </w:p>
        </w:tc>
        <w:tc>
          <w:tcPr>
            <w:tcW w:w="1134" w:type="dxa"/>
            <w:shd w:val="clear" w:color="auto" w:fill="auto"/>
            <w:vAlign w:val="center"/>
          </w:tcPr>
          <w:p w:rsidR="000B425B" w:rsidRPr="007558EE" w:rsidRDefault="000B425B" w:rsidP="00374C83">
            <w:pPr>
              <w:jc w:val="right"/>
              <w:rPr>
                <w:rFonts w:ascii="黑体" w:eastAsia="黑体" w:hAnsi="黑体"/>
                <w:sz w:val="18"/>
              </w:rPr>
            </w:pPr>
            <w:r w:rsidRPr="00BC4BE4">
              <w:rPr>
                <w:rFonts w:ascii="黑体" w:eastAsia="黑体" w:hAnsi="黑体"/>
                <w:sz w:val="18"/>
              </w:rPr>
              <w:t>21,540.82</w:t>
            </w:r>
          </w:p>
        </w:tc>
      </w:tr>
    </w:tbl>
    <w:p w:rsidR="000B425B" w:rsidRDefault="000B425B" w:rsidP="000B425B">
      <w:pPr>
        <w:pStyle w:val="a3"/>
        <w:adjustRightInd w:val="0"/>
        <w:snapToGrid w:val="0"/>
        <w:spacing w:before="0" w:beforeAutospacing="0" w:after="0" w:afterAutospacing="0" w:line="360" w:lineRule="auto"/>
        <w:rPr>
          <w:color w:val="000000"/>
        </w:rPr>
      </w:pPr>
      <w:r w:rsidRPr="000B425B">
        <w:rPr>
          <w:rFonts w:hint="eastAsia"/>
          <w:color w:val="000000"/>
        </w:rPr>
        <w:t>全部交易性金融资产于清算期间完成处置变现，发生处置价差共计人民币1,662.57元，交易费用共计人民币1.02元，清算期债券利息收入为180.18元。变现实际收到的证券清算款共计人民币1,026,300.88元于清算期间划入托管账户。</w:t>
      </w:r>
    </w:p>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Pr>
          <w:rFonts w:hint="eastAsia"/>
          <w:color w:val="000000"/>
        </w:rPr>
        <w:t>（2）</w:t>
      </w:r>
      <w:r w:rsidR="000B425B" w:rsidRPr="000B425B">
        <w:rPr>
          <w:rFonts w:hint="eastAsia"/>
          <w:color w:val="000000"/>
        </w:rPr>
        <w:t>本基金最后运作日应收证券清算款人民币1,026,539.79元，于2018年10月31日划入托管账户。</w:t>
      </w:r>
    </w:p>
    <w:p w:rsidR="007656AB" w:rsidRDefault="007656AB" w:rsidP="007656AB">
      <w:pPr>
        <w:pStyle w:val="a3"/>
        <w:adjustRightInd w:val="0"/>
        <w:snapToGrid w:val="0"/>
        <w:spacing w:before="0" w:beforeAutospacing="0" w:after="0" w:afterAutospacing="0" w:line="360" w:lineRule="auto"/>
        <w:ind w:firstLineChars="200" w:firstLine="480"/>
        <w:rPr>
          <w:color w:val="000000"/>
        </w:rPr>
      </w:pPr>
      <w:r>
        <w:rPr>
          <w:rFonts w:hint="eastAsia"/>
          <w:color w:val="000000"/>
        </w:rPr>
        <w:t>（3）</w:t>
      </w:r>
      <w:r w:rsidR="000B425B" w:rsidRPr="000B425B">
        <w:rPr>
          <w:rFonts w:hint="eastAsia"/>
          <w:color w:val="000000"/>
        </w:rPr>
        <w:t>本基金最后运作日无应收申购款。</w:t>
      </w:r>
    </w:p>
    <w:p w:rsidR="000B425B" w:rsidRDefault="000B425B" w:rsidP="007656AB">
      <w:pPr>
        <w:pStyle w:val="a3"/>
        <w:adjustRightInd w:val="0"/>
        <w:snapToGrid w:val="0"/>
        <w:spacing w:before="0" w:beforeAutospacing="0" w:after="0" w:afterAutospacing="0" w:line="360" w:lineRule="auto"/>
        <w:ind w:firstLineChars="200" w:firstLine="480"/>
        <w:rPr>
          <w:color w:val="000000"/>
        </w:rPr>
      </w:pPr>
      <w:r>
        <w:rPr>
          <w:rFonts w:hint="eastAsia"/>
          <w:color w:val="000000"/>
        </w:rPr>
        <w:t>（4）</w:t>
      </w:r>
      <w:r w:rsidRPr="000B425B">
        <w:rPr>
          <w:rFonts w:hint="eastAsia"/>
          <w:color w:val="000000"/>
        </w:rPr>
        <w:t>本基金最后运作日应收利息为人民币22,869.21元，其中应收银行存款利息人民币1,317.99元，应收结算备付金利息3.60元，应收存出保证金利息6.80元，以上利息共计1,328.39元将由基金管理人以自有资金先行垫付，于清算款划出日前划入托管账户，垫付资金待结息款到账后将返还给管理人；应收债券利息为人民币21,540.82元，具体参见资产处置情况（1）。</w:t>
      </w:r>
    </w:p>
    <w:p w:rsidR="000B425B" w:rsidRDefault="000B425B" w:rsidP="007656AB">
      <w:pPr>
        <w:pStyle w:val="a3"/>
        <w:adjustRightInd w:val="0"/>
        <w:snapToGrid w:val="0"/>
        <w:spacing w:before="0" w:beforeAutospacing="0" w:after="0" w:afterAutospacing="0" w:line="360" w:lineRule="auto"/>
        <w:ind w:firstLineChars="200" w:firstLine="480"/>
        <w:rPr>
          <w:color w:val="000000"/>
        </w:rPr>
      </w:pPr>
      <w:r>
        <w:rPr>
          <w:rFonts w:hint="eastAsia"/>
          <w:color w:val="000000"/>
        </w:rPr>
        <w:t>（5）</w:t>
      </w:r>
      <w:r w:rsidRPr="000B425B">
        <w:rPr>
          <w:rFonts w:hint="eastAsia"/>
          <w:color w:val="000000"/>
        </w:rPr>
        <w:t>本基金最后运作日无结算备付金。</w:t>
      </w:r>
    </w:p>
    <w:p w:rsidR="000B425B" w:rsidRPr="000B425B" w:rsidRDefault="000B425B" w:rsidP="007656AB">
      <w:pPr>
        <w:pStyle w:val="a3"/>
        <w:adjustRightInd w:val="0"/>
        <w:snapToGrid w:val="0"/>
        <w:spacing w:before="0" w:beforeAutospacing="0" w:after="0" w:afterAutospacing="0" w:line="360" w:lineRule="auto"/>
        <w:ind w:firstLineChars="200" w:firstLine="480"/>
        <w:rPr>
          <w:color w:val="000000"/>
        </w:rPr>
      </w:pPr>
      <w:r>
        <w:rPr>
          <w:rFonts w:hint="eastAsia"/>
          <w:color w:val="000000"/>
        </w:rPr>
        <w:t>（6）</w:t>
      </w:r>
      <w:r w:rsidRPr="000B425B">
        <w:rPr>
          <w:rFonts w:hint="eastAsia"/>
          <w:color w:val="000000"/>
        </w:rPr>
        <w:t>本基金最后运作日存出保证金为人民币3,983.62元,于2018年11年2日划入托管账户。</w:t>
      </w:r>
    </w:p>
    <w:bookmarkEnd w:id="4"/>
    <w:bookmarkEnd w:id="5"/>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Pr>
          <w:color w:val="000000"/>
        </w:rPr>
        <w:t>3</w:t>
      </w:r>
      <w:r>
        <w:rPr>
          <w:rFonts w:hint="eastAsia"/>
          <w:color w:val="000000"/>
        </w:rPr>
        <w:t>、</w:t>
      </w:r>
      <w:r w:rsidRPr="007656AB">
        <w:rPr>
          <w:rFonts w:hint="eastAsia"/>
          <w:color w:val="000000"/>
        </w:rPr>
        <w:t>负债清偿情况</w:t>
      </w:r>
    </w:p>
    <w:p w:rsidR="00D417F0" w:rsidRPr="00D417F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（1）</w:t>
      </w:r>
      <w:r w:rsidR="000B425B" w:rsidRPr="000B425B">
        <w:rPr>
          <w:rFonts w:hint="eastAsia"/>
          <w:color w:val="000000"/>
        </w:rPr>
        <w:t>本基金最后运作日应付管理人报酬为人民币7,257.16元，该款项已于2018年11月5日支付。</w:t>
      </w:r>
    </w:p>
    <w:p w:rsidR="00D417F0" w:rsidRPr="00D417F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（2）</w:t>
      </w:r>
      <w:r w:rsidR="007E2691" w:rsidRPr="007E2691">
        <w:rPr>
          <w:rFonts w:hint="eastAsia"/>
          <w:color w:val="000000"/>
        </w:rPr>
        <w:t>本基金最后运作日应付托管费为人民币2,073.45元，该款项已于2018年11月5日支付。</w:t>
      </w:r>
    </w:p>
    <w:p w:rsidR="00D417F0" w:rsidRPr="00D417F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（3）</w:t>
      </w:r>
      <w:r w:rsidR="007E2691" w:rsidRPr="007E2691">
        <w:rPr>
          <w:rFonts w:hint="eastAsia"/>
          <w:color w:val="000000"/>
        </w:rPr>
        <w:t>本基金最后运作日无应付销售服务费。</w:t>
      </w:r>
    </w:p>
    <w:p w:rsidR="00D417F0" w:rsidRPr="00D417F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（4）</w:t>
      </w:r>
      <w:r w:rsidR="007E2691" w:rsidRPr="007E2691">
        <w:rPr>
          <w:rFonts w:hint="eastAsia"/>
          <w:color w:val="000000"/>
        </w:rPr>
        <w:t>本基金最后运作日应付交易费用为人民币175.00元，已于2018年11月22日支付。</w:t>
      </w:r>
    </w:p>
    <w:p w:rsidR="00D417F0" w:rsidRPr="00D417F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（5）</w:t>
      </w:r>
      <w:r w:rsidR="007E2691" w:rsidRPr="007E2691">
        <w:rPr>
          <w:rFonts w:hint="eastAsia"/>
          <w:color w:val="000000"/>
        </w:rPr>
        <w:t>本基金最后运作日无其他负债。</w:t>
      </w:r>
    </w:p>
    <w:p w:rsidR="00AD5C40" w:rsidRDefault="00D417F0"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（6）</w:t>
      </w:r>
      <w:r w:rsidR="007E2691" w:rsidRPr="007E2691">
        <w:rPr>
          <w:rFonts w:hint="eastAsia"/>
          <w:color w:val="000000"/>
        </w:rPr>
        <w:t>本基金最后运作日应付赎回款为人民币1,286,383.40元，已于2018年10月31日支付。</w:t>
      </w:r>
    </w:p>
    <w:p w:rsidR="007E2691" w:rsidRDefault="007E2691" w:rsidP="00D417F0">
      <w:pPr>
        <w:pStyle w:val="a3"/>
        <w:adjustRightInd w:val="0"/>
        <w:snapToGrid w:val="0"/>
        <w:spacing w:before="0" w:beforeAutospacing="0" w:after="0" w:afterAutospacing="0" w:line="360" w:lineRule="auto"/>
        <w:ind w:firstLineChars="200" w:firstLine="480"/>
        <w:rPr>
          <w:color w:val="000000"/>
        </w:rPr>
      </w:pPr>
      <w:r>
        <w:rPr>
          <w:rFonts w:hint="eastAsia"/>
          <w:color w:val="000000"/>
        </w:rPr>
        <w:t>（7）</w:t>
      </w:r>
      <w:r w:rsidRPr="007E2691">
        <w:rPr>
          <w:rFonts w:hint="eastAsia"/>
          <w:color w:val="000000"/>
        </w:rPr>
        <w:t>本基金最后运作日无应交税费。</w:t>
      </w:r>
    </w:p>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Pr>
          <w:color w:val="000000"/>
        </w:rPr>
        <w:t>4</w:t>
      </w:r>
      <w:r w:rsidRPr="007656AB">
        <w:rPr>
          <w:rFonts w:hint="eastAsia"/>
          <w:color w:val="000000"/>
        </w:rPr>
        <w:t>、清算期间的清算损益情况</w:t>
      </w:r>
    </w:p>
    <w:tbl>
      <w:tblPr>
        <w:tblStyle w:val="21"/>
        <w:tblW w:w="8476" w:type="dxa"/>
        <w:tblLook w:val="0000"/>
      </w:tblPr>
      <w:tblGrid>
        <w:gridCol w:w="5739"/>
        <w:gridCol w:w="2737"/>
      </w:tblGrid>
      <w:tr w:rsidR="007656AB" w:rsidRPr="007656AB" w:rsidTr="007656AB">
        <w:trPr>
          <w:cnfStyle w:val="000000100000"/>
          <w:trHeight w:val="80"/>
        </w:trPr>
        <w:tc>
          <w:tcPr>
            <w:cnfStyle w:val="000010000000"/>
            <w:tcW w:w="5739" w:type="dxa"/>
            <w:noWrap/>
          </w:tcPr>
          <w:p w:rsidR="007656AB" w:rsidRPr="007656AB" w:rsidRDefault="007656AB" w:rsidP="000A1292">
            <w:pPr>
              <w:overflowPunct w:val="0"/>
              <w:autoSpaceDE w:val="0"/>
              <w:autoSpaceDN w:val="0"/>
              <w:snapToGrid w:val="0"/>
              <w:ind w:left="34"/>
              <w:jc w:val="left"/>
              <w:rPr>
                <w:rFonts w:ascii="宋体" w:eastAsia="宋体" w:hAnsi="宋体" w:cs="Arial"/>
                <w:sz w:val="22"/>
              </w:rPr>
            </w:pPr>
            <w:r w:rsidRPr="007656AB">
              <w:rPr>
                <w:rFonts w:ascii="宋体" w:eastAsia="宋体" w:hAnsi="宋体" w:cs="Arial" w:hint="eastAsia"/>
                <w:sz w:val="22"/>
              </w:rPr>
              <w:t>项目</w:t>
            </w:r>
          </w:p>
        </w:tc>
        <w:tc>
          <w:tcPr>
            <w:cnfStyle w:val="000001000000"/>
            <w:tcW w:w="2737" w:type="dxa"/>
            <w:noWrap/>
          </w:tcPr>
          <w:p w:rsidR="007656AB" w:rsidRPr="007656AB" w:rsidRDefault="007656AB" w:rsidP="000A1292">
            <w:pPr>
              <w:overflowPunct w:val="0"/>
              <w:autoSpaceDE w:val="0"/>
              <w:autoSpaceDN w:val="0"/>
              <w:snapToGrid w:val="0"/>
              <w:jc w:val="right"/>
              <w:rPr>
                <w:rFonts w:ascii="宋体" w:eastAsia="宋体" w:hAnsi="宋体" w:cs="Arial"/>
                <w:sz w:val="22"/>
              </w:rPr>
            </w:pPr>
            <w:r w:rsidRPr="007656AB">
              <w:rPr>
                <w:rFonts w:ascii="宋体" w:eastAsia="宋体" w:hAnsi="宋体" w:cs="Arial" w:hint="eastAsia"/>
                <w:sz w:val="22"/>
              </w:rPr>
              <w:t>自2018年</w:t>
            </w:r>
            <w:r w:rsidR="007E2691">
              <w:rPr>
                <w:rFonts w:ascii="宋体" w:eastAsia="宋体" w:hAnsi="宋体" w:cs="Arial"/>
                <w:sz w:val="22"/>
              </w:rPr>
              <w:t>10</w:t>
            </w:r>
            <w:r w:rsidRPr="007656AB">
              <w:rPr>
                <w:rFonts w:ascii="宋体" w:eastAsia="宋体" w:hAnsi="宋体" w:cs="Arial" w:hint="eastAsia"/>
                <w:sz w:val="22"/>
              </w:rPr>
              <w:t>月</w:t>
            </w:r>
            <w:r w:rsidR="007E2691">
              <w:rPr>
                <w:rFonts w:ascii="宋体" w:eastAsia="宋体" w:hAnsi="宋体" w:cs="Arial"/>
                <w:sz w:val="22"/>
              </w:rPr>
              <w:t>31</w:t>
            </w:r>
            <w:r w:rsidRPr="007656AB">
              <w:rPr>
                <w:rFonts w:ascii="宋体" w:eastAsia="宋体" w:hAnsi="宋体" w:cs="Arial" w:hint="eastAsia"/>
                <w:sz w:val="22"/>
              </w:rPr>
              <w:t>日</w:t>
            </w:r>
          </w:p>
          <w:p w:rsidR="007656AB" w:rsidRPr="007656AB" w:rsidRDefault="007656AB" w:rsidP="000A1292">
            <w:pPr>
              <w:tabs>
                <w:tab w:val="left" w:pos="2517"/>
              </w:tabs>
              <w:overflowPunct w:val="0"/>
              <w:autoSpaceDE w:val="0"/>
              <w:autoSpaceDN w:val="0"/>
              <w:snapToGrid w:val="0"/>
              <w:jc w:val="right"/>
              <w:rPr>
                <w:rFonts w:ascii="宋体" w:eastAsia="宋体" w:hAnsi="宋体" w:cs="Arial"/>
                <w:sz w:val="22"/>
              </w:rPr>
            </w:pPr>
            <w:r w:rsidRPr="007656AB">
              <w:rPr>
                <w:rFonts w:ascii="宋体" w:eastAsia="宋体" w:hAnsi="宋体" w:cs="Arial" w:hint="eastAsia"/>
                <w:sz w:val="22"/>
              </w:rPr>
              <w:t>至2018年</w:t>
            </w:r>
            <w:r w:rsidR="007E2691">
              <w:rPr>
                <w:rFonts w:ascii="宋体" w:eastAsia="宋体" w:hAnsi="宋体" w:cs="Arial"/>
                <w:sz w:val="22"/>
              </w:rPr>
              <w:t>11</w:t>
            </w:r>
            <w:r w:rsidRPr="007656AB">
              <w:rPr>
                <w:rFonts w:ascii="宋体" w:eastAsia="宋体" w:hAnsi="宋体" w:cs="Arial" w:hint="eastAsia"/>
                <w:sz w:val="22"/>
              </w:rPr>
              <w:t>月</w:t>
            </w:r>
            <w:r w:rsidR="007E2691">
              <w:rPr>
                <w:rFonts w:ascii="宋体" w:eastAsia="宋体" w:hAnsi="宋体" w:cs="Arial"/>
                <w:sz w:val="22"/>
              </w:rPr>
              <w:t>22</w:t>
            </w:r>
            <w:r w:rsidRPr="007656AB">
              <w:rPr>
                <w:rFonts w:ascii="宋体" w:eastAsia="宋体" w:hAnsi="宋体" w:cs="Arial" w:hint="eastAsia"/>
                <w:sz w:val="22"/>
              </w:rPr>
              <w:t>日</w:t>
            </w:r>
          </w:p>
          <w:p w:rsidR="007656AB" w:rsidRPr="007656AB" w:rsidRDefault="007656AB" w:rsidP="000A1292">
            <w:pPr>
              <w:overflowPunct w:val="0"/>
              <w:autoSpaceDE w:val="0"/>
              <w:autoSpaceDN w:val="0"/>
              <w:snapToGrid w:val="0"/>
              <w:jc w:val="right"/>
              <w:rPr>
                <w:rFonts w:ascii="宋体" w:eastAsia="宋体" w:hAnsi="宋体" w:cs="Arial"/>
                <w:sz w:val="22"/>
              </w:rPr>
            </w:pPr>
            <w:r w:rsidRPr="007656AB">
              <w:rPr>
                <w:rFonts w:ascii="宋体" w:eastAsia="宋体" w:hAnsi="宋体" w:cs="Arial" w:hint="eastAsia"/>
                <w:sz w:val="22"/>
              </w:rPr>
              <w:t>止清算期间</w:t>
            </w:r>
          </w:p>
        </w:tc>
      </w:tr>
      <w:tr w:rsidR="007656AB" w:rsidRPr="007656AB" w:rsidTr="007656AB">
        <w:trPr>
          <w:trHeight w:val="271"/>
        </w:trPr>
        <w:tc>
          <w:tcPr>
            <w:cnfStyle w:val="000010000000"/>
            <w:tcW w:w="5739" w:type="dxa"/>
            <w:noWrap/>
          </w:tcPr>
          <w:p w:rsidR="007656AB" w:rsidRPr="007656AB" w:rsidRDefault="007656AB" w:rsidP="000A1292">
            <w:pPr>
              <w:overflowPunct w:val="0"/>
              <w:autoSpaceDE w:val="0"/>
              <w:autoSpaceDN w:val="0"/>
              <w:snapToGrid w:val="0"/>
              <w:ind w:left="34"/>
              <w:jc w:val="left"/>
              <w:rPr>
                <w:rFonts w:ascii="宋体" w:eastAsia="宋体" w:hAnsi="宋体" w:cs="Arial"/>
                <w:sz w:val="22"/>
              </w:rPr>
            </w:pPr>
            <w:r w:rsidRPr="007656AB">
              <w:rPr>
                <w:rFonts w:ascii="宋体" w:eastAsia="宋体" w:hAnsi="宋体" w:cs="Arial" w:hint="eastAsia"/>
                <w:sz w:val="22"/>
              </w:rPr>
              <w:t>一、收益</w:t>
            </w:r>
          </w:p>
        </w:tc>
        <w:tc>
          <w:tcPr>
            <w:cnfStyle w:val="000001000000"/>
            <w:tcW w:w="2737" w:type="dxa"/>
            <w:noWrap/>
          </w:tcPr>
          <w:p w:rsidR="007656AB" w:rsidRPr="007656AB" w:rsidRDefault="007656AB" w:rsidP="000A1292">
            <w:pPr>
              <w:overflowPunct w:val="0"/>
              <w:autoSpaceDE w:val="0"/>
              <w:autoSpaceDN w:val="0"/>
              <w:snapToGrid w:val="0"/>
              <w:jc w:val="right"/>
              <w:rPr>
                <w:rFonts w:ascii="宋体" w:eastAsia="宋体" w:hAnsi="宋体" w:cs="Arial"/>
                <w:sz w:val="22"/>
              </w:rPr>
            </w:pPr>
          </w:p>
        </w:tc>
      </w:tr>
      <w:tr w:rsidR="007E2691" w:rsidRPr="007656AB" w:rsidTr="007656AB">
        <w:trPr>
          <w:cnfStyle w:val="000000100000"/>
          <w:trHeight w:val="80"/>
        </w:trPr>
        <w:tc>
          <w:tcPr>
            <w:cnfStyle w:val="000010000000"/>
            <w:tcW w:w="5739" w:type="dxa"/>
            <w:noWrap/>
          </w:tcPr>
          <w:p w:rsidR="007E2691" w:rsidRPr="007656AB" w:rsidRDefault="007E2691" w:rsidP="007E2691">
            <w:pPr>
              <w:numPr>
                <w:ilvl w:val="0"/>
                <w:numId w:val="4"/>
              </w:numPr>
              <w:overflowPunct w:val="0"/>
              <w:autoSpaceDE w:val="0"/>
              <w:autoSpaceDN w:val="0"/>
              <w:snapToGrid w:val="0"/>
              <w:jc w:val="left"/>
              <w:rPr>
                <w:rFonts w:ascii="宋体" w:eastAsia="宋体" w:hAnsi="宋体" w:cs="Arial"/>
                <w:sz w:val="22"/>
              </w:rPr>
            </w:pPr>
            <w:r w:rsidRPr="007656AB">
              <w:rPr>
                <w:rFonts w:ascii="宋体" w:eastAsia="宋体" w:hAnsi="宋体" w:cs="Arial" w:hint="eastAsia"/>
                <w:sz w:val="22"/>
              </w:rPr>
              <w:t>利息收入（注1）</w:t>
            </w:r>
          </w:p>
        </w:tc>
        <w:tc>
          <w:tcPr>
            <w:cnfStyle w:val="000001000000"/>
            <w:tcW w:w="2737" w:type="dxa"/>
            <w:noWrap/>
          </w:tcPr>
          <w:p w:rsidR="007E2691" w:rsidRPr="007656AB" w:rsidRDefault="007E2691" w:rsidP="007E2691">
            <w:pPr>
              <w:overflowPunct w:val="0"/>
              <w:autoSpaceDE w:val="0"/>
              <w:autoSpaceDN w:val="0"/>
              <w:snapToGrid w:val="0"/>
              <w:jc w:val="right"/>
              <w:rPr>
                <w:rFonts w:ascii="宋体" w:eastAsia="宋体" w:hAnsi="宋体" w:cs="Arial"/>
                <w:sz w:val="24"/>
              </w:rPr>
            </w:pPr>
            <w:r w:rsidRPr="00D63B9E">
              <w:rPr>
                <w:rFonts w:ascii="黑体" w:eastAsia="黑体" w:hAnsi="黑体" w:cs="Arial"/>
                <w:sz w:val="24"/>
              </w:rPr>
              <w:t>593.74</w:t>
            </w:r>
          </w:p>
        </w:tc>
      </w:tr>
      <w:tr w:rsidR="007E2691" w:rsidRPr="007656AB" w:rsidTr="007656AB">
        <w:trPr>
          <w:trHeight w:val="80"/>
        </w:trPr>
        <w:tc>
          <w:tcPr>
            <w:cnfStyle w:val="000010000000"/>
            <w:tcW w:w="5739" w:type="dxa"/>
            <w:noWrap/>
          </w:tcPr>
          <w:p w:rsidR="007E2691" w:rsidRPr="007656AB" w:rsidRDefault="007E2691" w:rsidP="007E2691">
            <w:pPr>
              <w:numPr>
                <w:ilvl w:val="0"/>
                <w:numId w:val="4"/>
              </w:numPr>
              <w:overflowPunct w:val="0"/>
              <w:autoSpaceDE w:val="0"/>
              <w:autoSpaceDN w:val="0"/>
              <w:snapToGrid w:val="0"/>
              <w:jc w:val="left"/>
              <w:rPr>
                <w:rFonts w:ascii="宋体" w:eastAsia="宋体" w:hAnsi="宋体" w:cs="Arial"/>
                <w:sz w:val="22"/>
              </w:rPr>
            </w:pPr>
            <w:r>
              <w:rPr>
                <w:rFonts w:ascii="宋体" w:eastAsia="宋体" w:hAnsi="宋体" w:cs="Arial" w:hint="eastAsia"/>
                <w:sz w:val="22"/>
              </w:rPr>
              <w:t>处</w:t>
            </w:r>
            <w:r w:rsidRPr="007E2691">
              <w:rPr>
                <w:rFonts w:ascii="宋体" w:eastAsia="宋体" w:hAnsi="宋体" w:cs="Arial" w:hint="eastAsia"/>
                <w:sz w:val="22"/>
              </w:rPr>
              <w:t>置交易性金融资产产生的损益</w:t>
            </w:r>
          </w:p>
        </w:tc>
        <w:tc>
          <w:tcPr>
            <w:cnfStyle w:val="000001000000"/>
            <w:tcW w:w="2737" w:type="dxa"/>
            <w:noWrap/>
          </w:tcPr>
          <w:p w:rsidR="007E2691" w:rsidRDefault="007E2691" w:rsidP="007E2691">
            <w:pPr>
              <w:overflowPunct w:val="0"/>
              <w:autoSpaceDE w:val="0"/>
              <w:autoSpaceDN w:val="0"/>
              <w:snapToGrid w:val="0"/>
              <w:jc w:val="right"/>
              <w:rPr>
                <w:rFonts w:ascii="宋体" w:eastAsia="宋体" w:hAnsi="宋体" w:cs="Arial"/>
                <w:sz w:val="24"/>
              </w:rPr>
            </w:pPr>
            <w:r w:rsidRPr="00D63B9E">
              <w:rPr>
                <w:rFonts w:ascii="黑体" w:eastAsia="黑体" w:hAnsi="黑体" w:cs="Arial"/>
                <w:sz w:val="24"/>
              </w:rPr>
              <w:t>(519.10)</w:t>
            </w:r>
          </w:p>
        </w:tc>
      </w:tr>
      <w:tr w:rsidR="007E2691" w:rsidRPr="007656AB" w:rsidTr="007656AB">
        <w:trPr>
          <w:cnfStyle w:val="000000100000"/>
          <w:trHeight w:val="80"/>
        </w:trPr>
        <w:tc>
          <w:tcPr>
            <w:cnfStyle w:val="000010000000"/>
            <w:tcW w:w="5739" w:type="dxa"/>
            <w:noWrap/>
          </w:tcPr>
          <w:p w:rsidR="007E2691" w:rsidRPr="007656AB" w:rsidRDefault="007E2691" w:rsidP="007656AB">
            <w:pPr>
              <w:numPr>
                <w:ilvl w:val="0"/>
                <w:numId w:val="4"/>
              </w:numPr>
              <w:overflowPunct w:val="0"/>
              <w:autoSpaceDE w:val="0"/>
              <w:autoSpaceDN w:val="0"/>
              <w:snapToGrid w:val="0"/>
              <w:jc w:val="left"/>
              <w:rPr>
                <w:rFonts w:ascii="宋体" w:eastAsia="宋体" w:hAnsi="宋体" w:cs="Arial"/>
                <w:sz w:val="22"/>
              </w:rPr>
            </w:pPr>
            <w:r>
              <w:rPr>
                <w:rFonts w:ascii="宋体" w:eastAsia="宋体" w:hAnsi="宋体" w:cs="Arial" w:hint="eastAsia"/>
                <w:sz w:val="22"/>
              </w:rPr>
              <w:t>其他收入</w:t>
            </w:r>
          </w:p>
        </w:tc>
        <w:tc>
          <w:tcPr>
            <w:cnfStyle w:val="000001000000"/>
            <w:tcW w:w="2737" w:type="dxa"/>
            <w:noWrap/>
          </w:tcPr>
          <w:p w:rsidR="007E2691" w:rsidRDefault="007E2691" w:rsidP="00D417F0">
            <w:pPr>
              <w:overflowPunct w:val="0"/>
              <w:autoSpaceDE w:val="0"/>
              <w:autoSpaceDN w:val="0"/>
              <w:snapToGrid w:val="0"/>
              <w:jc w:val="right"/>
              <w:rPr>
                <w:rFonts w:ascii="宋体" w:eastAsia="宋体" w:hAnsi="宋体" w:cs="Arial"/>
                <w:sz w:val="24"/>
              </w:rPr>
            </w:pPr>
            <w:r>
              <w:rPr>
                <w:rFonts w:ascii="宋体" w:eastAsia="宋体" w:hAnsi="宋体" w:cs="Arial" w:hint="eastAsia"/>
                <w:sz w:val="24"/>
              </w:rPr>
              <w:t>-</w:t>
            </w:r>
          </w:p>
        </w:tc>
      </w:tr>
      <w:tr w:rsidR="007656AB" w:rsidRPr="007656AB" w:rsidTr="007656AB">
        <w:trPr>
          <w:trHeight w:val="80"/>
        </w:trPr>
        <w:tc>
          <w:tcPr>
            <w:cnfStyle w:val="000010000000"/>
            <w:tcW w:w="5739" w:type="dxa"/>
            <w:noWrap/>
          </w:tcPr>
          <w:p w:rsidR="007656AB" w:rsidRPr="007656AB" w:rsidRDefault="007656AB" w:rsidP="000A1292">
            <w:pPr>
              <w:overflowPunct w:val="0"/>
              <w:autoSpaceDE w:val="0"/>
              <w:autoSpaceDN w:val="0"/>
              <w:snapToGrid w:val="0"/>
              <w:ind w:left="459"/>
              <w:jc w:val="left"/>
              <w:rPr>
                <w:rFonts w:ascii="宋体" w:eastAsia="宋体" w:hAnsi="宋体" w:cs="Arial"/>
                <w:sz w:val="22"/>
              </w:rPr>
            </w:pPr>
            <w:r w:rsidRPr="007656AB">
              <w:rPr>
                <w:rFonts w:ascii="宋体" w:eastAsia="宋体" w:hAnsi="宋体" w:cs="Arial" w:hint="eastAsia"/>
                <w:sz w:val="22"/>
              </w:rPr>
              <w:t>收益小计</w:t>
            </w:r>
          </w:p>
        </w:tc>
        <w:tc>
          <w:tcPr>
            <w:cnfStyle w:val="000001000000"/>
            <w:tcW w:w="2737" w:type="dxa"/>
            <w:noWrap/>
          </w:tcPr>
          <w:p w:rsidR="007656AB" w:rsidRPr="007656AB" w:rsidRDefault="007E2691" w:rsidP="000A1292">
            <w:pPr>
              <w:pBdr>
                <w:bottom w:val="single" w:sz="4" w:space="1" w:color="auto"/>
              </w:pBdr>
              <w:overflowPunct w:val="0"/>
              <w:autoSpaceDE w:val="0"/>
              <w:autoSpaceDN w:val="0"/>
              <w:snapToGrid w:val="0"/>
              <w:ind w:left="1026" w:right="4"/>
              <w:jc w:val="right"/>
              <w:rPr>
                <w:rFonts w:ascii="宋体" w:eastAsia="宋体" w:hAnsi="宋体" w:cs="Arial"/>
                <w:sz w:val="24"/>
              </w:rPr>
            </w:pPr>
            <w:r w:rsidRPr="00D63B9E">
              <w:rPr>
                <w:rFonts w:ascii="黑体" w:eastAsia="黑体" w:hAnsi="黑体" w:cs="Arial"/>
                <w:sz w:val="24"/>
              </w:rPr>
              <w:t>74.64</w:t>
            </w:r>
          </w:p>
        </w:tc>
      </w:tr>
      <w:tr w:rsidR="007656AB" w:rsidRPr="007656AB" w:rsidTr="007656AB">
        <w:trPr>
          <w:cnfStyle w:val="000000100000"/>
          <w:trHeight w:val="80"/>
        </w:trPr>
        <w:tc>
          <w:tcPr>
            <w:cnfStyle w:val="000010000000"/>
            <w:tcW w:w="5739" w:type="dxa"/>
            <w:noWrap/>
          </w:tcPr>
          <w:p w:rsidR="007656AB" w:rsidRPr="007656AB" w:rsidRDefault="007656AB" w:rsidP="000A1292">
            <w:pPr>
              <w:overflowPunct w:val="0"/>
              <w:autoSpaceDE w:val="0"/>
              <w:autoSpaceDN w:val="0"/>
              <w:snapToGrid w:val="0"/>
              <w:jc w:val="left"/>
              <w:rPr>
                <w:rFonts w:ascii="宋体" w:eastAsia="宋体" w:hAnsi="宋体" w:cs="Arial"/>
                <w:sz w:val="22"/>
              </w:rPr>
            </w:pPr>
          </w:p>
        </w:tc>
        <w:tc>
          <w:tcPr>
            <w:cnfStyle w:val="000001000000"/>
            <w:tcW w:w="2737" w:type="dxa"/>
            <w:noWrap/>
          </w:tcPr>
          <w:p w:rsidR="007656AB" w:rsidRPr="007656AB" w:rsidRDefault="007656AB" w:rsidP="000A1292">
            <w:pPr>
              <w:overflowPunct w:val="0"/>
              <w:autoSpaceDE w:val="0"/>
              <w:autoSpaceDN w:val="0"/>
              <w:snapToGrid w:val="0"/>
              <w:ind w:left="1026"/>
              <w:jc w:val="right"/>
              <w:rPr>
                <w:rFonts w:ascii="宋体" w:eastAsia="宋体" w:hAnsi="宋体" w:cs="Arial"/>
                <w:sz w:val="22"/>
                <w:u w:val="single"/>
              </w:rPr>
            </w:pPr>
          </w:p>
        </w:tc>
      </w:tr>
      <w:tr w:rsidR="007656AB" w:rsidRPr="007656AB" w:rsidTr="007656AB">
        <w:trPr>
          <w:trHeight w:val="80"/>
        </w:trPr>
        <w:tc>
          <w:tcPr>
            <w:cnfStyle w:val="000010000000"/>
            <w:tcW w:w="5739" w:type="dxa"/>
            <w:noWrap/>
          </w:tcPr>
          <w:p w:rsidR="007656AB" w:rsidRPr="007656AB" w:rsidRDefault="007656AB" w:rsidP="000A1292">
            <w:pPr>
              <w:overflowPunct w:val="0"/>
              <w:autoSpaceDE w:val="0"/>
              <w:autoSpaceDN w:val="0"/>
              <w:snapToGrid w:val="0"/>
              <w:ind w:left="34"/>
              <w:jc w:val="left"/>
              <w:rPr>
                <w:rFonts w:ascii="宋体" w:eastAsia="宋体" w:hAnsi="宋体" w:cs="Arial"/>
                <w:sz w:val="22"/>
              </w:rPr>
            </w:pPr>
            <w:r w:rsidRPr="007656AB">
              <w:rPr>
                <w:rFonts w:ascii="宋体" w:eastAsia="宋体" w:hAnsi="宋体" w:cs="Arial" w:hint="eastAsia"/>
                <w:sz w:val="22"/>
              </w:rPr>
              <w:t>二、费用</w:t>
            </w:r>
          </w:p>
        </w:tc>
        <w:tc>
          <w:tcPr>
            <w:cnfStyle w:val="000001000000"/>
            <w:tcW w:w="2737" w:type="dxa"/>
            <w:noWrap/>
          </w:tcPr>
          <w:p w:rsidR="007656AB" w:rsidRPr="007656AB" w:rsidRDefault="007656AB" w:rsidP="000A1292">
            <w:pPr>
              <w:overflowPunct w:val="0"/>
              <w:autoSpaceDE w:val="0"/>
              <w:autoSpaceDN w:val="0"/>
              <w:snapToGrid w:val="0"/>
              <w:ind w:left="1026"/>
              <w:jc w:val="right"/>
              <w:rPr>
                <w:rFonts w:ascii="宋体" w:eastAsia="宋体" w:hAnsi="宋体" w:cs="Arial"/>
                <w:sz w:val="22"/>
              </w:rPr>
            </w:pPr>
          </w:p>
        </w:tc>
      </w:tr>
      <w:tr w:rsidR="007E2691" w:rsidRPr="007656AB" w:rsidTr="007656AB">
        <w:trPr>
          <w:cnfStyle w:val="000000100000"/>
          <w:trHeight w:val="80"/>
        </w:trPr>
        <w:tc>
          <w:tcPr>
            <w:cnfStyle w:val="000010000000"/>
            <w:tcW w:w="5739" w:type="dxa"/>
            <w:noWrap/>
          </w:tcPr>
          <w:p w:rsidR="007E2691" w:rsidRPr="007656AB" w:rsidRDefault="007E2691" w:rsidP="007E2691">
            <w:pPr>
              <w:overflowPunct w:val="0"/>
              <w:autoSpaceDE w:val="0"/>
              <w:autoSpaceDN w:val="0"/>
              <w:snapToGrid w:val="0"/>
              <w:ind w:left="459"/>
              <w:jc w:val="left"/>
              <w:rPr>
                <w:rFonts w:ascii="宋体" w:eastAsia="宋体" w:hAnsi="宋体" w:cs="Arial"/>
                <w:sz w:val="22"/>
              </w:rPr>
            </w:pPr>
            <w:r>
              <w:rPr>
                <w:rFonts w:ascii="宋体" w:eastAsia="宋体" w:hAnsi="宋体" w:cs="Arial"/>
                <w:sz w:val="22"/>
              </w:rPr>
              <w:t>4</w:t>
            </w:r>
            <w:r w:rsidRPr="007656AB">
              <w:rPr>
                <w:rFonts w:ascii="宋体" w:eastAsia="宋体" w:hAnsi="宋体" w:cs="Arial" w:hint="eastAsia"/>
                <w:sz w:val="22"/>
              </w:rPr>
              <w:t>、银行汇划费</w:t>
            </w:r>
          </w:p>
        </w:tc>
        <w:tc>
          <w:tcPr>
            <w:cnfStyle w:val="000001000000"/>
            <w:tcW w:w="2737" w:type="dxa"/>
            <w:noWrap/>
          </w:tcPr>
          <w:p w:rsidR="007E2691" w:rsidRPr="007656AB" w:rsidRDefault="007E2691" w:rsidP="007E2691">
            <w:pPr>
              <w:overflowPunct w:val="0"/>
              <w:autoSpaceDE w:val="0"/>
              <w:autoSpaceDN w:val="0"/>
              <w:snapToGrid w:val="0"/>
              <w:jc w:val="right"/>
              <w:rPr>
                <w:rFonts w:ascii="宋体" w:eastAsia="宋体" w:hAnsi="宋体" w:cs="Arial"/>
                <w:sz w:val="24"/>
              </w:rPr>
            </w:pPr>
            <w:r w:rsidRPr="00D63B9E">
              <w:rPr>
                <w:rFonts w:ascii="黑体" w:eastAsia="黑体" w:hAnsi="黑体" w:cs="Arial"/>
                <w:sz w:val="24"/>
              </w:rPr>
              <w:t>23.00</w:t>
            </w:r>
          </w:p>
        </w:tc>
      </w:tr>
      <w:tr w:rsidR="007E2691" w:rsidRPr="007656AB" w:rsidTr="007656AB">
        <w:trPr>
          <w:trHeight w:val="80"/>
        </w:trPr>
        <w:tc>
          <w:tcPr>
            <w:cnfStyle w:val="000010000000"/>
            <w:tcW w:w="5739" w:type="dxa"/>
            <w:noWrap/>
          </w:tcPr>
          <w:p w:rsidR="007E2691" w:rsidRPr="007656AB" w:rsidRDefault="007E2691" w:rsidP="007E2691">
            <w:pPr>
              <w:overflowPunct w:val="0"/>
              <w:autoSpaceDE w:val="0"/>
              <w:autoSpaceDN w:val="0"/>
              <w:snapToGrid w:val="0"/>
              <w:ind w:left="459"/>
              <w:jc w:val="left"/>
              <w:rPr>
                <w:rFonts w:ascii="宋体" w:eastAsia="宋体" w:hAnsi="宋体" w:cs="Arial"/>
                <w:sz w:val="22"/>
              </w:rPr>
            </w:pPr>
            <w:r>
              <w:rPr>
                <w:rFonts w:ascii="宋体" w:eastAsia="宋体" w:hAnsi="宋体" w:cs="Arial"/>
                <w:sz w:val="22"/>
              </w:rPr>
              <w:t>5</w:t>
            </w:r>
            <w:r w:rsidRPr="00D417F0">
              <w:rPr>
                <w:rFonts w:ascii="宋体" w:eastAsia="宋体" w:hAnsi="宋体" w:cs="Arial" w:hint="eastAsia"/>
                <w:sz w:val="22"/>
              </w:rPr>
              <w:t>、</w:t>
            </w:r>
            <w:r>
              <w:rPr>
                <w:rFonts w:ascii="宋体" w:eastAsia="宋体" w:hAnsi="宋体" w:cs="Arial" w:hint="eastAsia"/>
                <w:sz w:val="22"/>
              </w:rPr>
              <w:t>交易费用</w:t>
            </w:r>
          </w:p>
        </w:tc>
        <w:tc>
          <w:tcPr>
            <w:cnfStyle w:val="000001000000"/>
            <w:tcW w:w="2737" w:type="dxa"/>
            <w:noWrap/>
          </w:tcPr>
          <w:p w:rsidR="007E2691" w:rsidRPr="007656AB" w:rsidRDefault="007E2691" w:rsidP="007E2691">
            <w:pPr>
              <w:overflowPunct w:val="0"/>
              <w:autoSpaceDE w:val="0"/>
              <w:autoSpaceDN w:val="0"/>
              <w:snapToGrid w:val="0"/>
              <w:jc w:val="right"/>
              <w:rPr>
                <w:rFonts w:ascii="宋体" w:eastAsia="宋体" w:hAnsi="宋体" w:cs="Arial"/>
                <w:sz w:val="24"/>
              </w:rPr>
            </w:pPr>
            <w:r w:rsidRPr="00D63B9E">
              <w:rPr>
                <w:rFonts w:ascii="黑体" w:eastAsia="黑体" w:hAnsi="黑体" w:cs="Arial"/>
                <w:sz w:val="24"/>
              </w:rPr>
              <w:t>1.02</w:t>
            </w:r>
          </w:p>
        </w:tc>
      </w:tr>
      <w:tr w:rsidR="007656AB" w:rsidRPr="007656AB" w:rsidTr="007656AB">
        <w:trPr>
          <w:cnfStyle w:val="000000100000"/>
          <w:trHeight w:val="80"/>
        </w:trPr>
        <w:tc>
          <w:tcPr>
            <w:cnfStyle w:val="000010000000"/>
            <w:tcW w:w="5739" w:type="dxa"/>
            <w:tcBorders>
              <w:bottom w:val="single" w:sz="4" w:space="0" w:color="auto"/>
            </w:tcBorders>
            <w:noWrap/>
          </w:tcPr>
          <w:p w:rsidR="007656AB" w:rsidRPr="007656AB" w:rsidRDefault="007656AB" w:rsidP="000A1292">
            <w:pPr>
              <w:overflowPunct w:val="0"/>
              <w:autoSpaceDE w:val="0"/>
              <w:autoSpaceDN w:val="0"/>
              <w:snapToGrid w:val="0"/>
              <w:ind w:left="459"/>
              <w:jc w:val="left"/>
              <w:rPr>
                <w:rFonts w:ascii="宋体" w:eastAsia="宋体" w:hAnsi="宋体" w:cs="Arial"/>
                <w:sz w:val="22"/>
              </w:rPr>
            </w:pPr>
            <w:r w:rsidRPr="007656AB">
              <w:rPr>
                <w:rFonts w:ascii="宋体" w:eastAsia="宋体" w:hAnsi="宋体" w:cs="Arial" w:hint="eastAsia"/>
                <w:sz w:val="22"/>
              </w:rPr>
              <w:t>费用小计</w:t>
            </w:r>
          </w:p>
        </w:tc>
        <w:tc>
          <w:tcPr>
            <w:cnfStyle w:val="000001000000"/>
            <w:tcW w:w="2737" w:type="dxa"/>
            <w:tcBorders>
              <w:bottom w:val="single" w:sz="4" w:space="0" w:color="auto"/>
            </w:tcBorders>
            <w:noWrap/>
          </w:tcPr>
          <w:p w:rsidR="007656AB" w:rsidRPr="007656AB" w:rsidRDefault="007E2691" w:rsidP="000A1292">
            <w:pPr>
              <w:pBdr>
                <w:bottom w:val="single" w:sz="4" w:space="1" w:color="auto"/>
              </w:pBdr>
              <w:overflowPunct w:val="0"/>
              <w:autoSpaceDE w:val="0"/>
              <w:autoSpaceDN w:val="0"/>
              <w:snapToGrid w:val="0"/>
              <w:ind w:left="1026" w:right="4"/>
              <w:jc w:val="right"/>
              <w:rPr>
                <w:rFonts w:ascii="宋体" w:eastAsia="宋体" w:hAnsi="宋体" w:cs="Arial"/>
                <w:sz w:val="24"/>
              </w:rPr>
            </w:pPr>
            <w:r>
              <w:rPr>
                <w:rFonts w:ascii="宋体" w:eastAsia="宋体" w:hAnsi="宋体" w:cs="Arial"/>
                <w:sz w:val="24"/>
              </w:rPr>
              <w:t>24.02</w:t>
            </w:r>
          </w:p>
        </w:tc>
      </w:tr>
      <w:tr w:rsidR="007656AB" w:rsidRPr="007656AB" w:rsidTr="007656AB">
        <w:trPr>
          <w:trHeight w:val="80"/>
        </w:trPr>
        <w:tc>
          <w:tcPr>
            <w:cnfStyle w:val="000010000000"/>
            <w:tcW w:w="5739" w:type="dxa"/>
            <w:tcBorders>
              <w:top w:val="single" w:sz="4" w:space="0" w:color="auto"/>
              <w:left w:val="single" w:sz="4" w:space="0" w:color="auto"/>
              <w:bottom w:val="single" w:sz="4" w:space="0" w:color="auto"/>
              <w:right w:val="single" w:sz="4" w:space="0" w:color="auto"/>
            </w:tcBorders>
            <w:noWrap/>
          </w:tcPr>
          <w:p w:rsidR="007656AB" w:rsidRPr="007656AB" w:rsidRDefault="007656AB" w:rsidP="000A1292">
            <w:pPr>
              <w:overflowPunct w:val="0"/>
              <w:autoSpaceDE w:val="0"/>
              <w:autoSpaceDN w:val="0"/>
              <w:snapToGrid w:val="0"/>
              <w:ind w:left="459"/>
              <w:jc w:val="left"/>
              <w:rPr>
                <w:rFonts w:ascii="宋体" w:eastAsia="宋体" w:hAnsi="宋体" w:cs="Arial"/>
                <w:sz w:val="22"/>
              </w:rPr>
            </w:pPr>
          </w:p>
        </w:tc>
        <w:tc>
          <w:tcPr>
            <w:cnfStyle w:val="000001000000"/>
            <w:tcW w:w="2737" w:type="dxa"/>
            <w:tcBorders>
              <w:top w:val="single" w:sz="4" w:space="0" w:color="auto"/>
              <w:left w:val="single" w:sz="4" w:space="0" w:color="auto"/>
              <w:bottom w:val="single" w:sz="4" w:space="0" w:color="auto"/>
              <w:right w:val="single" w:sz="4" w:space="0" w:color="auto"/>
            </w:tcBorders>
            <w:noWrap/>
          </w:tcPr>
          <w:p w:rsidR="007656AB" w:rsidRPr="007656AB" w:rsidRDefault="007656AB" w:rsidP="007656AB"/>
        </w:tc>
      </w:tr>
      <w:tr w:rsidR="007656AB" w:rsidRPr="007656AB" w:rsidTr="007656AB">
        <w:trPr>
          <w:cnfStyle w:val="000000100000"/>
          <w:trHeight w:val="80"/>
        </w:trPr>
        <w:tc>
          <w:tcPr>
            <w:cnfStyle w:val="000010000000"/>
            <w:tcW w:w="5739" w:type="dxa"/>
            <w:tcBorders>
              <w:top w:val="single" w:sz="4" w:space="0" w:color="auto"/>
              <w:left w:val="single" w:sz="4" w:space="0" w:color="auto"/>
              <w:bottom w:val="single" w:sz="4" w:space="0" w:color="auto"/>
              <w:right w:val="single" w:sz="4" w:space="0" w:color="auto"/>
            </w:tcBorders>
            <w:noWrap/>
          </w:tcPr>
          <w:p w:rsidR="007656AB" w:rsidRPr="007656AB" w:rsidRDefault="007656AB" w:rsidP="007656AB">
            <w:pPr>
              <w:overflowPunct w:val="0"/>
              <w:autoSpaceDE w:val="0"/>
              <w:autoSpaceDN w:val="0"/>
              <w:snapToGrid w:val="0"/>
              <w:jc w:val="left"/>
              <w:rPr>
                <w:rFonts w:ascii="宋体" w:eastAsia="宋体" w:hAnsi="宋体" w:cs="Arial"/>
                <w:sz w:val="22"/>
              </w:rPr>
            </w:pPr>
            <w:r w:rsidRPr="007656AB">
              <w:rPr>
                <w:rFonts w:ascii="宋体" w:eastAsia="宋体" w:hAnsi="宋体" w:cs="Arial" w:hint="eastAsia"/>
                <w:sz w:val="22"/>
              </w:rPr>
              <w:t>三、清算期间净收益</w:t>
            </w:r>
          </w:p>
        </w:tc>
        <w:tc>
          <w:tcPr>
            <w:cnfStyle w:val="000001000000"/>
            <w:tcW w:w="2737" w:type="dxa"/>
            <w:tcBorders>
              <w:top w:val="single" w:sz="4" w:space="0" w:color="auto"/>
              <w:left w:val="single" w:sz="4" w:space="0" w:color="auto"/>
              <w:bottom w:val="single" w:sz="4" w:space="0" w:color="auto"/>
              <w:right w:val="single" w:sz="4" w:space="0" w:color="auto"/>
            </w:tcBorders>
            <w:noWrap/>
          </w:tcPr>
          <w:p w:rsidR="007656AB" w:rsidRPr="007656AB" w:rsidRDefault="007E2691" w:rsidP="000A1292">
            <w:pPr>
              <w:overflowPunct w:val="0"/>
              <w:autoSpaceDE w:val="0"/>
              <w:autoSpaceDN w:val="0"/>
              <w:snapToGrid w:val="0"/>
              <w:ind w:left="1026"/>
              <w:jc w:val="right"/>
              <w:rPr>
                <w:rFonts w:ascii="宋体" w:eastAsia="宋体" w:hAnsi="宋体" w:cs="Arial"/>
                <w:sz w:val="22"/>
              </w:rPr>
            </w:pPr>
            <w:r>
              <w:rPr>
                <w:rFonts w:ascii="宋体" w:eastAsia="宋体" w:hAnsi="宋体" w:cs="Arial"/>
                <w:sz w:val="24"/>
                <w:u w:val="double"/>
              </w:rPr>
              <w:t>50.62</w:t>
            </w:r>
          </w:p>
        </w:tc>
      </w:tr>
    </w:tbl>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sidRPr="007656AB">
        <w:rPr>
          <w:rFonts w:hint="eastAsia"/>
          <w:color w:val="000000"/>
        </w:rPr>
        <w:t>注1：</w:t>
      </w:r>
      <w:r w:rsidR="007E2691" w:rsidRPr="007E2691">
        <w:rPr>
          <w:rFonts w:hint="eastAsia"/>
          <w:color w:val="000000"/>
        </w:rPr>
        <w:t>利息收入系以当前适用的利率预估计提的自2018年10月31日至2018年11月22日止清算期间的银行存款利息、存出保证金利息及债券利息收入。</w:t>
      </w:r>
    </w:p>
    <w:p w:rsidR="007656AB" w:rsidRPr="007656AB" w:rsidRDefault="007656AB" w:rsidP="007656AB">
      <w:pPr>
        <w:pStyle w:val="a3"/>
        <w:adjustRightInd w:val="0"/>
        <w:snapToGrid w:val="0"/>
        <w:spacing w:before="0" w:beforeAutospacing="0" w:after="0" w:afterAutospacing="0" w:line="360" w:lineRule="auto"/>
        <w:ind w:firstLineChars="200" w:firstLine="480"/>
        <w:rPr>
          <w:color w:val="000000"/>
        </w:rPr>
      </w:pPr>
      <w:r w:rsidRPr="007656AB">
        <w:rPr>
          <w:rFonts w:hint="eastAsia"/>
          <w:color w:val="000000"/>
        </w:rPr>
        <w:t>5、资产处置及负债清偿后的剩余资产分配情况</w:t>
      </w:r>
    </w:p>
    <w:p w:rsidR="007656AB" w:rsidRPr="007656AB" w:rsidRDefault="007656AB" w:rsidP="007656AB">
      <w:pPr>
        <w:overflowPunct w:val="0"/>
        <w:autoSpaceDE w:val="0"/>
        <w:autoSpaceDN w:val="0"/>
        <w:snapToGrid w:val="0"/>
        <w:ind w:left="6480"/>
        <w:rPr>
          <w:rFonts w:ascii="宋体" w:eastAsia="宋体" w:hAnsi="宋体" w:cs="Arial"/>
          <w:b/>
          <w:sz w:val="22"/>
        </w:rPr>
      </w:pPr>
      <w:r w:rsidRPr="007656AB">
        <w:rPr>
          <w:rFonts w:ascii="宋体" w:eastAsia="宋体" w:hAnsi="宋体" w:hint="eastAsia"/>
          <w:sz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0"/>
        <w:gridCol w:w="2317"/>
      </w:tblGrid>
      <w:tr w:rsidR="007E2691" w:rsidRPr="003707CD" w:rsidTr="00374C83">
        <w:tc>
          <w:tcPr>
            <w:tcW w:w="6096" w:type="dxa"/>
            <w:shd w:val="clear" w:color="auto" w:fill="auto"/>
          </w:tcPr>
          <w:p w:rsidR="007E2691" w:rsidRPr="003707CD" w:rsidRDefault="007E2691" w:rsidP="00374C83">
            <w:pPr>
              <w:overflowPunct w:val="0"/>
              <w:autoSpaceDE w:val="0"/>
              <w:autoSpaceDN w:val="0"/>
              <w:snapToGrid w:val="0"/>
              <w:jc w:val="left"/>
              <w:rPr>
                <w:rFonts w:ascii="黑体" w:eastAsia="黑体" w:hAnsi="黑体" w:cs="Arial"/>
                <w:sz w:val="22"/>
              </w:rPr>
            </w:pPr>
            <w:r w:rsidRPr="003707CD">
              <w:rPr>
                <w:rFonts w:ascii="黑体" w:eastAsia="黑体" w:hAnsi="黑体" w:cs="Arial" w:hint="eastAsia"/>
                <w:sz w:val="22"/>
              </w:rPr>
              <w:t>项目</w:t>
            </w:r>
          </w:p>
        </w:tc>
        <w:tc>
          <w:tcPr>
            <w:tcW w:w="2408" w:type="dxa"/>
            <w:shd w:val="clear" w:color="auto" w:fill="auto"/>
          </w:tcPr>
          <w:p w:rsidR="007E2691" w:rsidRPr="003707CD" w:rsidRDefault="007E2691" w:rsidP="00374C83">
            <w:pPr>
              <w:overflowPunct w:val="0"/>
              <w:autoSpaceDE w:val="0"/>
              <w:autoSpaceDN w:val="0"/>
              <w:snapToGrid w:val="0"/>
              <w:jc w:val="right"/>
              <w:rPr>
                <w:rFonts w:ascii="黑体" w:eastAsia="黑体" w:hAnsi="黑体" w:cs="Arial"/>
                <w:sz w:val="22"/>
              </w:rPr>
            </w:pPr>
            <w:r w:rsidRPr="003707CD">
              <w:rPr>
                <w:rFonts w:ascii="黑体" w:eastAsia="黑体" w:hAnsi="黑体" w:cs="Arial" w:hint="eastAsia"/>
                <w:sz w:val="22"/>
              </w:rPr>
              <w:t>金额</w:t>
            </w:r>
          </w:p>
        </w:tc>
      </w:tr>
      <w:tr w:rsidR="007E2691" w:rsidRPr="003707CD" w:rsidTr="00374C83">
        <w:tc>
          <w:tcPr>
            <w:tcW w:w="6096" w:type="dxa"/>
            <w:shd w:val="clear" w:color="auto" w:fill="auto"/>
          </w:tcPr>
          <w:p w:rsidR="007E2691" w:rsidRPr="003707CD" w:rsidRDefault="007E2691" w:rsidP="00374C83">
            <w:pPr>
              <w:overflowPunct w:val="0"/>
              <w:autoSpaceDE w:val="0"/>
              <w:autoSpaceDN w:val="0"/>
              <w:snapToGrid w:val="0"/>
              <w:rPr>
                <w:rFonts w:ascii="黑体" w:eastAsia="黑体" w:hAnsi="黑体" w:cs="Arial"/>
                <w:sz w:val="22"/>
              </w:rPr>
            </w:pPr>
            <w:r w:rsidRPr="003707CD">
              <w:rPr>
                <w:rFonts w:ascii="黑体" w:eastAsia="黑体" w:hAnsi="黑体" w:cs="Arial" w:hint="eastAsia"/>
                <w:sz w:val="22"/>
              </w:rPr>
              <w:t>一、最后运作日2018年</w:t>
            </w:r>
            <w:r w:rsidRPr="003707CD">
              <w:rPr>
                <w:rFonts w:ascii="黑体" w:eastAsia="黑体" w:hAnsi="黑体" w:cs="Arial"/>
                <w:sz w:val="22"/>
              </w:rPr>
              <w:t>10</w:t>
            </w:r>
            <w:r w:rsidRPr="003707CD">
              <w:rPr>
                <w:rFonts w:ascii="黑体" w:eastAsia="黑体" w:hAnsi="黑体" w:cs="Arial" w:hint="eastAsia"/>
                <w:sz w:val="22"/>
              </w:rPr>
              <w:t>月</w:t>
            </w:r>
            <w:r w:rsidRPr="003707CD">
              <w:rPr>
                <w:rFonts w:ascii="黑体" w:eastAsia="黑体" w:hAnsi="黑体" w:cs="Arial"/>
                <w:sz w:val="22"/>
              </w:rPr>
              <w:t>30</w:t>
            </w:r>
            <w:r w:rsidRPr="003707CD">
              <w:rPr>
                <w:rFonts w:ascii="黑体" w:eastAsia="黑体" w:hAnsi="黑体" w:cs="Arial" w:hint="eastAsia"/>
                <w:sz w:val="22"/>
              </w:rPr>
              <w:t>日基金净资产</w:t>
            </w:r>
          </w:p>
        </w:tc>
        <w:tc>
          <w:tcPr>
            <w:tcW w:w="2408" w:type="dxa"/>
            <w:shd w:val="clear" w:color="auto" w:fill="auto"/>
            <w:vAlign w:val="center"/>
          </w:tcPr>
          <w:p w:rsidR="007E2691" w:rsidRPr="003707CD" w:rsidRDefault="007E2691" w:rsidP="00374C83">
            <w:pPr>
              <w:overflowPunct w:val="0"/>
              <w:autoSpaceDE w:val="0"/>
              <w:autoSpaceDN w:val="0"/>
              <w:snapToGrid w:val="0"/>
              <w:jc w:val="right"/>
              <w:rPr>
                <w:rFonts w:ascii="黑体" w:eastAsia="黑体" w:hAnsi="黑体" w:cs="Arial"/>
                <w:sz w:val="22"/>
              </w:rPr>
            </w:pPr>
            <w:r w:rsidRPr="003707CD">
              <w:rPr>
                <w:rFonts w:ascii="黑体" w:eastAsia="黑体" w:hAnsi="黑体"/>
                <w:sz w:val="22"/>
              </w:rPr>
              <w:t>1,039,444.35</w:t>
            </w:r>
          </w:p>
        </w:tc>
      </w:tr>
      <w:tr w:rsidR="007E2691" w:rsidRPr="003707CD" w:rsidTr="00374C83">
        <w:tc>
          <w:tcPr>
            <w:tcW w:w="6096" w:type="dxa"/>
            <w:shd w:val="clear" w:color="auto" w:fill="auto"/>
          </w:tcPr>
          <w:p w:rsidR="007E2691" w:rsidRPr="003707CD" w:rsidRDefault="007E2691" w:rsidP="00374C83">
            <w:pPr>
              <w:overflowPunct w:val="0"/>
              <w:autoSpaceDE w:val="0"/>
              <w:autoSpaceDN w:val="0"/>
              <w:snapToGrid w:val="0"/>
              <w:rPr>
                <w:rFonts w:ascii="黑体" w:eastAsia="黑体" w:hAnsi="黑体" w:cs="Arial"/>
                <w:sz w:val="22"/>
              </w:rPr>
            </w:pPr>
            <w:r w:rsidRPr="003707CD">
              <w:rPr>
                <w:rFonts w:ascii="黑体" w:eastAsia="黑体" w:hAnsi="黑体" w:cs="Arial" w:hint="eastAsia"/>
                <w:sz w:val="22"/>
              </w:rPr>
              <w:t>加：自2018年</w:t>
            </w:r>
            <w:r w:rsidRPr="003707CD">
              <w:rPr>
                <w:rFonts w:ascii="黑体" w:eastAsia="黑体" w:hAnsi="黑体" w:cs="Arial"/>
                <w:sz w:val="22"/>
              </w:rPr>
              <w:t>10</w:t>
            </w:r>
            <w:r w:rsidRPr="003707CD">
              <w:rPr>
                <w:rFonts w:ascii="黑体" w:eastAsia="黑体" w:hAnsi="黑体" w:cs="Arial" w:hint="eastAsia"/>
                <w:sz w:val="22"/>
              </w:rPr>
              <w:t>月</w:t>
            </w:r>
            <w:r w:rsidRPr="003707CD">
              <w:rPr>
                <w:rFonts w:ascii="黑体" w:eastAsia="黑体" w:hAnsi="黑体" w:cs="Arial"/>
                <w:sz w:val="22"/>
              </w:rPr>
              <w:t>31</w:t>
            </w:r>
            <w:r w:rsidRPr="003707CD">
              <w:rPr>
                <w:rFonts w:ascii="黑体" w:eastAsia="黑体" w:hAnsi="黑体" w:cs="Arial" w:hint="eastAsia"/>
                <w:sz w:val="22"/>
              </w:rPr>
              <w:t>日至2018年</w:t>
            </w:r>
            <w:r w:rsidRPr="003707CD">
              <w:rPr>
                <w:rFonts w:ascii="黑体" w:eastAsia="黑体" w:hAnsi="黑体" w:cs="Arial"/>
                <w:sz w:val="22"/>
              </w:rPr>
              <w:t>11</w:t>
            </w:r>
            <w:r w:rsidRPr="003707CD">
              <w:rPr>
                <w:rFonts w:ascii="黑体" w:eastAsia="黑体" w:hAnsi="黑体" w:cs="Arial" w:hint="eastAsia"/>
                <w:sz w:val="22"/>
              </w:rPr>
              <w:t>月</w:t>
            </w:r>
            <w:r w:rsidRPr="003707CD">
              <w:rPr>
                <w:rFonts w:ascii="黑体" w:eastAsia="黑体" w:hAnsi="黑体" w:cs="Arial"/>
                <w:sz w:val="22"/>
              </w:rPr>
              <w:t>22</w:t>
            </w:r>
            <w:r w:rsidRPr="003707CD">
              <w:rPr>
                <w:rFonts w:ascii="黑体" w:eastAsia="黑体" w:hAnsi="黑体" w:cs="Arial" w:hint="eastAsia"/>
                <w:sz w:val="22"/>
              </w:rPr>
              <w:t>日止清算期间净收益</w:t>
            </w:r>
          </w:p>
        </w:tc>
        <w:tc>
          <w:tcPr>
            <w:tcW w:w="2408" w:type="dxa"/>
            <w:shd w:val="clear" w:color="auto" w:fill="auto"/>
            <w:vAlign w:val="center"/>
          </w:tcPr>
          <w:p w:rsidR="007E2691" w:rsidRPr="003707CD" w:rsidRDefault="007E2691" w:rsidP="00374C83">
            <w:pPr>
              <w:overflowPunct w:val="0"/>
              <w:autoSpaceDE w:val="0"/>
              <w:autoSpaceDN w:val="0"/>
              <w:snapToGrid w:val="0"/>
              <w:jc w:val="right"/>
              <w:rPr>
                <w:rFonts w:ascii="黑体" w:eastAsia="黑体" w:hAnsi="黑体" w:cs="Arial"/>
                <w:sz w:val="22"/>
              </w:rPr>
            </w:pPr>
            <w:r w:rsidRPr="003707CD">
              <w:rPr>
                <w:rFonts w:ascii="黑体" w:eastAsia="黑体" w:hAnsi="黑体" w:cs="Arial"/>
                <w:sz w:val="22"/>
              </w:rPr>
              <w:t>50.62</w:t>
            </w:r>
          </w:p>
        </w:tc>
      </w:tr>
      <w:tr w:rsidR="007E2691" w:rsidRPr="003707CD" w:rsidTr="00374C83">
        <w:tc>
          <w:tcPr>
            <w:tcW w:w="6096" w:type="dxa"/>
            <w:shd w:val="clear" w:color="auto" w:fill="auto"/>
          </w:tcPr>
          <w:p w:rsidR="007E2691" w:rsidRPr="003707CD" w:rsidRDefault="007E2691" w:rsidP="00374C83">
            <w:pPr>
              <w:overflowPunct w:val="0"/>
              <w:autoSpaceDE w:val="0"/>
              <w:autoSpaceDN w:val="0"/>
              <w:snapToGrid w:val="0"/>
              <w:rPr>
                <w:rFonts w:ascii="黑体" w:eastAsia="黑体" w:hAnsi="黑体" w:cs="Arial"/>
                <w:sz w:val="22"/>
              </w:rPr>
            </w:pPr>
            <w:r w:rsidRPr="003707CD">
              <w:rPr>
                <w:rFonts w:ascii="黑体" w:eastAsia="黑体" w:hAnsi="黑体" w:cs="Arial" w:hint="eastAsia"/>
                <w:sz w:val="22"/>
              </w:rPr>
              <w:t>减：2018年</w:t>
            </w:r>
            <w:r w:rsidRPr="003707CD">
              <w:rPr>
                <w:rFonts w:ascii="黑体" w:eastAsia="黑体" w:hAnsi="黑体" w:cs="Arial"/>
                <w:sz w:val="22"/>
              </w:rPr>
              <w:t>10</w:t>
            </w:r>
            <w:r w:rsidRPr="003707CD">
              <w:rPr>
                <w:rFonts w:ascii="黑体" w:eastAsia="黑体" w:hAnsi="黑体" w:cs="Arial" w:hint="eastAsia"/>
                <w:sz w:val="22"/>
              </w:rPr>
              <w:t>月</w:t>
            </w:r>
            <w:r w:rsidRPr="003707CD">
              <w:rPr>
                <w:rFonts w:ascii="黑体" w:eastAsia="黑体" w:hAnsi="黑体" w:cs="Arial"/>
                <w:sz w:val="22"/>
              </w:rPr>
              <w:t>31</w:t>
            </w:r>
            <w:r w:rsidRPr="003707CD">
              <w:rPr>
                <w:rFonts w:ascii="黑体" w:eastAsia="黑体" w:hAnsi="黑体" w:cs="Arial" w:hint="eastAsia"/>
                <w:sz w:val="22"/>
              </w:rPr>
              <w:t>日确认支付的净赎回款</w:t>
            </w:r>
          </w:p>
        </w:tc>
        <w:tc>
          <w:tcPr>
            <w:tcW w:w="2408" w:type="dxa"/>
            <w:shd w:val="clear" w:color="auto" w:fill="auto"/>
            <w:vAlign w:val="center"/>
          </w:tcPr>
          <w:p w:rsidR="007E2691" w:rsidRPr="003707CD" w:rsidRDefault="007E2691" w:rsidP="00374C83">
            <w:pPr>
              <w:overflowPunct w:val="0"/>
              <w:autoSpaceDE w:val="0"/>
              <w:autoSpaceDN w:val="0"/>
              <w:snapToGrid w:val="0"/>
              <w:jc w:val="right"/>
              <w:rPr>
                <w:rFonts w:ascii="黑体" w:eastAsia="黑体" w:hAnsi="黑体" w:cs="Arial"/>
                <w:sz w:val="22"/>
              </w:rPr>
            </w:pPr>
            <w:r w:rsidRPr="003707CD">
              <w:rPr>
                <w:rFonts w:ascii="黑体" w:eastAsia="黑体" w:hAnsi="黑体" w:cs="Arial"/>
                <w:sz w:val="22"/>
              </w:rPr>
              <w:t>274,634.49</w:t>
            </w:r>
          </w:p>
        </w:tc>
      </w:tr>
      <w:tr w:rsidR="007E2691" w:rsidRPr="003707CD" w:rsidTr="00374C83">
        <w:trPr>
          <w:trHeight w:val="101"/>
        </w:trPr>
        <w:tc>
          <w:tcPr>
            <w:tcW w:w="6096" w:type="dxa"/>
            <w:shd w:val="clear" w:color="auto" w:fill="auto"/>
          </w:tcPr>
          <w:p w:rsidR="007E2691" w:rsidRPr="003707CD" w:rsidRDefault="007E2691" w:rsidP="00374C83">
            <w:pPr>
              <w:overflowPunct w:val="0"/>
              <w:autoSpaceDE w:val="0"/>
              <w:autoSpaceDN w:val="0"/>
              <w:snapToGrid w:val="0"/>
              <w:rPr>
                <w:rFonts w:ascii="黑体" w:eastAsia="黑体" w:hAnsi="黑体" w:cs="Arial"/>
                <w:sz w:val="22"/>
              </w:rPr>
            </w:pPr>
            <w:r w:rsidRPr="003707CD">
              <w:rPr>
                <w:rFonts w:ascii="黑体" w:eastAsia="黑体" w:hAnsi="黑体" w:cs="Arial" w:hint="eastAsia"/>
                <w:sz w:val="22"/>
              </w:rPr>
              <w:t>二、2018年</w:t>
            </w:r>
            <w:r w:rsidRPr="003707CD">
              <w:rPr>
                <w:rFonts w:ascii="黑体" w:eastAsia="黑体" w:hAnsi="黑体" w:cs="Arial"/>
                <w:sz w:val="22"/>
              </w:rPr>
              <w:t>11</w:t>
            </w:r>
            <w:r w:rsidRPr="003707CD">
              <w:rPr>
                <w:rFonts w:ascii="黑体" w:eastAsia="黑体" w:hAnsi="黑体" w:cs="Arial" w:hint="eastAsia"/>
                <w:sz w:val="22"/>
              </w:rPr>
              <w:t>月</w:t>
            </w:r>
            <w:r w:rsidRPr="003707CD">
              <w:rPr>
                <w:rFonts w:ascii="黑体" w:eastAsia="黑体" w:hAnsi="黑体" w:cs="Arial"/>
                <w:sz w:val="22"/>
              </w:rPr>
              <w:t>22</w:t>
            </w:r>
            <w:r w:rsidRPr="003707CD">
              <w:rPr>
                <w:rFonts w:ascii="黑体" w:eastAsia="黑体" w:hAnsi="黑体" w:cs="Arial" w:hint="eastAsia"/>
                <w:sz w:val="22"/>
              </w:rPr>
              <w:t>日基金净资产</w:t>
            </w:r>
          </w:p>
        </w:tc>
        <w:tc>
          <w:tcPr>
            <w:tcW w:w="2408" w:type="dxa"/>
            <w:shd w:val="clear" w:color="auto" w:fill="auto"/>
            <w:vAlign w:val="center"/>
          </w:tcPr>
          <w:p w:rsidR="007E2691" w:rsidRPr="003707CD" w:rsidRDefault="007E2691" w:rsidP="00374C83">
            <w:pPr>
              <w:overflowPunct w:val="0"/>
              <w:autoSpaceDE w:val="0"/>
              <w:autoSpaceDN w:val="0"/>
              <w:snapToGrid w:val="0"/>
              <w:jc w:val="right"/>
              <w:rPr>
                <w:rFonts w:ascii="黑体" w:eastAsia="黑体" w:hAnsi="黑体" w:cs="Arial"/>
                <w:sz w:val="22"/>
              </w:rPr>
            </w:pPr>
            <w:r w:rsidRPr="003707CD">
              <w:rPr>
                <w:rFonts w:ascii="黑体" w:eastAsia="黑体" w:hAnsi="黑体" w:cs="Arial"/>
                <w:sz w:val="22"/>
              </w:rPr>
              <w:t>764,860.48</w:t>
            </w:r>
          </w:p>
        </w:tc>
      </w:tr>
    </w:tbl>
    <w:p w:rsidR="007E2691" w:rsidRPr="007E2691" w:rsidRDefault="007E2691" w:rsidP="007E2691">
      <w:pPr>
        <w:pStyle w:val="a3"/>
        <w:adjustRightInd w:val="0"/>
        <w:snapToGrid w:val="0"/>
        <w:spacing w:before="0" w:beforeAutospacing="0" w:after="0" w:afterAutospacing="0" w:line="360" w:lineRule="auto"/>
        <w:ind w:firstLineChars="200" w:firstLine="480"/>
        <w:rPr>
          <w:color w:val="000000"/>
        </w:rPr>
      </w:pPr>
      <w:r w:rsidRPr="007E2691">
        <w:rPr>
          <w:rFonts w:hint="eastAsia"/>
          <w:color w:val="000000"/>
        </w:rPr>
        <w:t>资产处置及负债清偿后，于2018年11月22日本基金剩余财产为人民币764,860.48元，根据本基金的基金合同约定，依据基金财产清算的分配方案，将基金财产清算后的全部剩余资产扣除基金财产清算费用、交纳所欠税款并清偿基金债务后，按基金份额持有人持有的基金份额比例进行分配。</w:t>
      </w:r>
    </w:p>
    <w:p w:rsidR="007656AB" w:rsidRDefault="007E2691" w:rsidP="007E2691">
      <w:pPr>
        <w:pStyle w:val="a3"/>
        <w:adjustRightInd w:val="0"/>
        <w:snapToGrid w:val="0"/>
        <w:spacing w:before="0" w:beforeAutospacing="0" w:after="0" w:afterAutospacing="0" w:line="360" w:lineRule="auto"/>
        <w:ind w:firstLineChars="200" w:firstLine="480"/>
        <w:rPr>
          <w:color w:val="000000"/>
        </w:rPr>
      </w:pPr>
      <w:r w:rsidRPr="007E2691">
        <w:rPr>
          <w:rFonts w:hint="eastAsia"/>
          <w:color w:val="000000"/>
        </w:rPr>
        <w:t>清算起始日2018年10月31日至清算款划出日前一日的存款利息亦属基金份额持有人所有，该部分利息将由基金管理人以自有资金先行垫付，实际结息金额与垫付金额的尾差由基金管理人承担，基金管理人垫付资金到账日起孳生的利息归基金管理人所有。</w:t>
      </w:r>
    </w:p>
    <w:p w:rsidR="007656AB" w:rsidRPr="002A0146" w:rsidRDefault="007656AB"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六、</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1</w:t>
      </w:r>
      <w:r w:rsidRPr="002A0146">
        <w:rPr>
          <w:rFonts w:hint="eastAsia"/>
          <w:color w:val="000000"/>
        </w:rPr>
        <w:t>、</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（1）</w:t>
      </w:r>
      <w:r w:rsidR="00AD5C40" w:rsidRPr="002A0146">
        <w:rPr>
          <w:rFonts w:hint="eastAsia"/>
          <w:color w:val="000000"/>
        </w:rPr>
        <w:t>《</w:t>
      </w:r>
      <w:r w:rsidR="00F42B91" w:rsidRPr="002A0146">
        <w:rPr>
          <w:rFonts w:hint="eastAsia"/>
          <w:color w:val="000000"/>
        </w:rPr>
        <w:t>中欧</w:t>
      </w:r>
      <w:r w:rsidR="007E2691">
        <w:rPr>
          <w:rFonts w:hint="eastAsia"/>
          <w:color w:val="000000"/>
        </w:rPr>
        <w:t>强势多策略定期开放</w:t>
      </w:r>
      <w:r w:rsidR="007E2691">
        <w:rPr>
          <w:color w:val="000000"/>
        </w:rPr>
        <w:t>债券</w:t>
      </w:r>
      <w:r w:rsidR="007656AB">
        <w:rPr>
          <w:rFonts w:hint="eastAsia"/>
          <w:color w:val="000000"/>
        </w:rPr>
        <w:t>型证券投资基金</w:t>
      </w:r>
      <w:r w:rsidR="00AD5C40" w:rsidRPr="002A0146">
        <w:rPr>
          <w:rFonts w:hint="eastAsia"/>
          <w:color w:val="000000"/>
        </w:rPr>
        <w:t>201</w:t>
      </w:r>
      <w:r w:rsidRPr="002A0146">
        <w:rPr>
          <w:color w:val="000000"/>
        </w:rPr>
        <w:t>8</w:t>
      </w:r>
      <w:r w:rsidR="00AD5C40" w:rsidRPr="002A0146">
        <w:rPr>
          <w:rFonts w:hint="eastAsia"/>
          <w:color w:val="000000"/>
        </w:rPr>
        <w:t>年1月1日至201</w:t>
      </w:r>
      <w:r w:rsidRPr="002A0146">
        <w:rPr>
          <w:color w:val="000000"/>
        </w:rPr>
        <w:t>8</w:t>
      </w:r>
      <w:r w:rsidR="00AD5C40" w:rsidRPr="002A0146">
        <w:rPr>
          <w:rFonts w:hint="eastAsia"/>
          <w:color w:val="000000"/>
        </w:rPr>
        <w:t>年</w:t>
      </w:r>
      <w:r w:rsidR="007E2691">
        <w:rPr>
          <w:color w:val="000000"/>
        </w:rPr>
        <w:t>10</w:t>
      </w:r>
      <w:r w:rsidR="00AD5C40" w:rsidRPr="002A0146">
        <w:rPr>
          <w:rFonts w:hint="eastAsia"/>
          <w:color w:val="000000"/>
        </w:rPr>
        <w:t>月</w:t>
      </w:r>
      <w:r w:rsidR="007E2691">
        <w:rPr>
          <w:color w:val="000000"/>
        </w:rPr>
        <w:t>30</w:t>
      </w:r>
      <w:r w:rsidR="00AD5C40" w:rsidRPr="002A0146">
        <w:rPr>
          <w:rFonts w:hint="eastAsia"/>
          <w:color w:val="000000"/>
        </w:rPr>
        <w:t>日（基金最后运作日）止期间的财务报表及审计报告》</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（2）</w:t>
      </w:r>
      <w:r w:rsidR="00AD5C40" w:rsidRPr="002A0146">
        <w:rPr>
          <w:rFonts w:hint="eastAsia"/>
          <w:color w:val="000000"/>
        </w:rPr>
        <w:t>通力律师事务所关于《</w:t>
      </w:r>
      <w:r w:rsidR="007E2691" w:rsidRPr="002A0146">
        <w:rPr>
          <w:rFonts w:hint="eastAsia"/>
          <w:color w:val="000000"/>
        </w:rPr>
        <w:t>中欧</w:t>
      </w:r>
      <w:r w:rsidR="007E2691">
        <w:rPr>
          <w:rFonts w:hint="eastAsia"/>
          <w:color w:val="000000"/>
        </w:rPr>
        <w:t>强势多策略定期开放</w:t>
      </w:r>
      <w:r w:rsidR="007E2691">
        <w:rPr>
          <w:color w:val="000000"/>
        </w:rPr>
        <w:t>债券</w:t>
      </w:r>
      <w:r w:rsidR="007E2691">
        <w:rPr>
          <w:rFonts w:hint="eastAsia"/>
          <w:color w:val="000000"/>
        </w:rPr>
        <w:t>型证券投资基金</w:t>
      </w:r>
      <w:r w:rsidR="00AD5C40" w:rsidRPr="002A0146">
        <w:rPr>
          <w:rFonts w:hint="eastAsia"/>
          <w:color w:val="000000"/>
        </w:rPr>
        <w:t>清算报告》的法律意见</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2</w:t>
      </w:r>
      <w:r w:rsidRPr="002A0146">
        <w:rPr>
          <w:rFonts w:hint="eastAsia"/>
          <w:color w:val="000000"/>
        </w:rPr>
        <w:t>、</w:t>
      </w:r>
      <w:r w:rsidR="00AD5C40" w:rsidRPr="002A0146">
        <w:rPr>
          <w:rFonts w:hint="eastAsia"/>
          <w:color w:val="000000"/>
        </w:rPr>
        <w:t>存放地点</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本基金管理人</w:t>
      </w:r>
      <w:r w:rsidR="00A53F81" w:rsidRPr="002A0146">
        <w:rPr>
          <w:rFonts w:hint="eastAsia"/>
          <w:color w:val="000000"/>
        </w:rPr>
        <w:t>中欧</w:t>
      </w:r>
      <w:r w:rsidRPr="002A0146">
        <w:rPr>
          <w:rFonts w:hint="eastAsia"/>
          <w:color w:val="000000"/>
        </w:rPr>
        <w:t>基金管理有限公司办公地点——</w:t>
      </w:r>
      <w:r w:rsidR="00A53F81" w:rsidRPr="002A0146">
        <w:rPr>
          <w:rFonts w:hint="eastAsia"/>
          <w:color w:val="000000"/>
        </w:rPr>
        <w:t>中国（上海）自由贸易试验区陆家嘴环路333号东方汇经大厦5层</w:t>
      </w:r>
      <w:r w:rsidRPr="002A0146">
        <w:rPr>
          <w:rFonts w:hint="eastAsia"/>
          <w:color w:val="000000"/>
        </w:rPr>
        <w:t>。</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3</w:t>
      </w:r>
      <w:r w:rsidRPr="002A0146">
        <w:rPr>
          <w:rFonts w:hint="eastAsia"/>
          <w:color w:val="000000"/>
        </w:rPr>
        <w:t>、</w:t>
      </w:r>
      <w:r w:rsidR="00AD5C40" w:rsidRPr="002A0146">
        <w:rPr>
          <w:rFonts w:hint="eastAsia"/>
          <w:color w:val="000000"/>
        </w:rPr>
        <w:t>查阅方式</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投资者可在营业时间内至基金管理人的办公场所免费查阅。</w:t>
      </w:r>
    </w:p>
    <w:p w:rsidR="00B325F0" w:rsidRDefault="00B325F0" w:rsidP="002A0146">
      <w:pPr>
        <w:pStyle w:val="a3"/>
        <w:adjustRightInd w:val="0"/>
        <w:snapToGrid w:val="0"/>
        <w:spacing w:before="0" w:beforeAutospacing="0" w:after="0" w:afterAutospacing="0" w:line="360" w:lineRule="auto"/>
        <w:ind w:firstLineChars="200" w:firstLine="480"/>
        <w:rPr>
          <w:color w:val="000000"/>
        </w:rPr>
      </w:pP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B325F0" w:rsidRPr="002A0146" w:rsidRDefault="00B325F0"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w:t>
      </w:r>
      <w:r w:rsidR="00D417F0" w:rsidRPr="002A0146">
        <w:rPr>
          <w:rFonts w:hint="eastAsia"/>
          <w:color w:val="000000"/>
        </w:rPr>
        <w:t>中欧</w:t>
      </w:r>
      <w:r w:rsidR="009C4EFE">
        <w:rPr>
          <w:rFonts w:hint="eastAsia"/>
          <w:color w:val="000000"/>
        </w:rPr>
        <w:t>强势多策略定期开放债券型</w:t>
      </w:r>
      <w:r w:rsidR="00D417F0">
        <w:rPr>
          <w:rFonts w:hint="eastAsia"/>
          <w:color w:val="000000"/>
        </w:rPr>
        <w:t>证券投资基金</w:t>
      </w:r>
      <w:r w:rsidRPr="002A0146">
        <w:rPr>
          <w:rFonts w:hint="eastAsia"/>
          <w:color w:val="000000"/>
        </w:rPr>
        <w:t>财产清算小组</w:t>
      </w:r>
    </w:p>
    <w:p w:rsidR="00B168D9"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二〇一八年</w:t>
      </w:r>
      <w:r w:rsidR="007E2691">
        <w:rPr>
          <w:rFonts w:hint="eastAsia"/>
          <w:color w:val="000000"/>
        </w:rPr>
        <w:t>十一</w:t>
      </w:r>
      <w:r w:rsidRPr="002A0146">
        <w:rPr>
          <w:rFonts w:hint="eastAsia"/>
          <w:color w:val="000000"/>
        </w:rPr>
        <w:t>月</w:t>
      </w:r>
      <w:r w:rsidR="007E2691">
        <w:rPr>
          <w:rFonts w:hint="eastAsia"/>
          <w:color w:val="000000"/>
        </w:rPr>
        <w:t>三十</w:t>
      </w:r>
      <w:r w:rsidRPr="002A0146">
        <w:rPr>
          <w:rFonts w:hint="eastAsia"/>
          <w:color w:val="000000"/>
        </w:rPr>
        <w:t>日</w:t>
      </w:r>
    </w:p>
    <w:sectPr w:rsidR="00B168D9" w:rsidRPr="002A0146" w:rsidSect="00FF4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22" w:rsidRDefault="001C2922" w:rsidP="00BF3BD3">
      <w:r>
        <w:separator/>
      </w:r>
    </w:p>
  </w:endnote>
  <w:endnote w:type="continuationSeparator" w:id="1">
    <w:p w:rsidR="001C2922" w:rsidRDefault="001C2922" w:rsidP="00BF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22" w:rsidRDefault="001C2922" w:rsidP="00BF3BD3">
      <w:r>
        <w:separator/>
      </w:r>
    </w:p>
  </w:footnote>
  <w:footnote w:type="continuationSeparator" w:id="1">
    <w:p w:rsidR="001C2922" w:rsidRDefault="001C2922" w:rsidP="00BF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F147E"/>
    <w:multiLevelType w:val="hybridMultilevel"/>
    <w:tmpl w:val="1637B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A81C55"/>
    <w:multiLevelType w:val="hybridMultilevel"/>
    <w:tmpl w:val="4E626E80"/>
    <w:lvl w:ilvl="0" w:tplc="B6B491A0">
      <w:start w:val="1"/>
      <w:numFmt w:val="decimal"/>
      <w:lvlText w:val="%1、"/>
      <w:lvlJc w:val="left"/>
      <w:pPr>
        <w:ind w:left="819" w:hanging="360"/>
      </w:pPr>
      <w:rPr>
        <w:rFonts w:hint="default"/>
      </w:rPr>
    </w:lvl>
    <w:lvl w:ilvl="1" w:tplc="04090019" w:tentative="1">
      <w:start w:val="1"/>
      <w:numFmt w:val="lowerLetter"/>
      <w:lvlText w:val="%2)"/>
      <w:lvlJc w:val="left"/>
      <w:pPr>
        <w:ind w:left="1299" w:hanging="420"/>
      </w:pPr>
    </w:lvl>
    <w:lvl w:ilvl="2" w:tplc="0409001B" w:tentative="1">
      <w:start w:val="1"/>
      <w:numFmt w:val="lowerRoman"/>
      <w:lvlText w:val="%3."/>
      <w:lvlJc w:val="right"/>
      <w:pPr>
        <w:ind w:left="1719" w:hanging="420"/>
      </w:pPr>
    </w:lvl>
    <w:lvl w:ilvl="3" w:tplc="0409000F" w:tentative="1">
      <w:start w:val="1"/>
      <w:numFmt w:val="decimal"/>
      <w:lvlText w:val="%4."/>
      <w:lvlJc w:val="left"/>
      <w:pPr>
        <w:ind w:left="2139" w:hanging="420"/>
      </w:pPr>
    </w:lvl>
    <w:lvl w:ilvl="4" w:tplc="04090019" w:tentative="1">
      <w:start w:val="1"/>
      <w:numFmt w:val="lowerLetter"/>
      <w:lvlText w:val="%5)"/>
      <w:lvlJc w:val="left"/>
      <w:pPr>
        <w:ind w:left="2559" w:hanging="420"/>
      </w:pPr>
    </w:lvl>
    <w:lvl w:ilvl="5" w:tplc="0409001B" w:tentative="1">
      <w:start w:val="1"/>
      <w:numFmt w:val="lowerRoman"/>
      <w:lvlText w:val="%6."/>
      <w:lvlJc w:val="right"/>
      <w:pPr>
        <w:ind w:left="2979" w:hanging="420"/>
      </w:pPr>
    </w:lvl>
    <w:lvl w:ilvl="6" w:tplc="0409000F" w:tentative="1">
      <w:start w:val="1"/>
      <w:numFmt w:val="decimal"/>
      <w:lvlText w:val="%7."/>
      <w:lvlJc w:val="left"/>
      <w:pPr>
        <w:ind w:left="3399" w:hanging="420"/>
      </w:pPr>
    </w:lvl>
    <w:lvl w:ilvl="7" w:tplc="04090019" w:tentative="1">
      <w:start w:val="1"/>
      <w:numFmt w:val="lowerLetter"/>
      <w:lvlText w:val="%8)"/>
      <w:lvlJc w:val="left"/>
      <w:pPr>
        <w:ind w:left="3819" w:hanging="420"/>
      </w:pPr>
    </w:lvl>
    <w:lvl w:ilvl="8" w:tplc="0409001B" w:tentative="1">
      <w:start w:val="1"/>
      <w:numFmt w:val="lowerRoman"/>
      <w:lvlText w:val="%9."/>
      <w:lvlJc w:val="right"/>
      <w:pPr>
        <w:ind w:left="4239" w:hanging="420"/>
      </w:pPr>
    </w:lvl>
  </w:abstractNum>
  <w:abstractNum w:abstractNumId="2">
    <w:nsid w:val="50743A8B"/>
    <w:multiLevelType w:val="hybridMultilevel"/>
    <w:tmpl w:val="09682F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C40"/>
    <w:rsid w:val="000049C9"/>
    <w:rsid w:val="00015C47"/>
    <w:rsid w:val="00041EE7"/>
    <w:rsid w:val="00042E31"/>
    <w:rsid w:val="0007703F"/>
    <w:rsid w:val="00097400"/>
    <w:rsid w:val="000B425B"/>
    <w:rsid w:val="000E3EBF"/>
    <w:rsid w:val="000F4390"/>
    <w:rsid w:val="000F7E09"/>
    <w:rsid w:val="00137835"/>
    <w:rsid w:val="00145A4E"/>
    <w:rsid w:val="0015064E"/>
    <w:rsid w:val="001550BB"/>
    <w:rsid w:val="00183DBF"/>
    <w:rsid w:val="001C2922"/>
    <w:rsid w:val="001E3A7F"/>
    <w:rsid w:val="001E3F96"/>
    <w:rsid w:val="002340C1"/>
    <w:rsid w:val="002434D1"/>
    <w:rsid w:val="002549E5"/>
    <w:rsid w:val="002751B8"/>
    <w:rsid w:val="002814F1"/>
    <w:rsid w:val="00285FDD"/>
    <w:rsid w:val="00286660"/>
    <w:rsid w:val="002A0146"/>
    <w:rsid w:val="002A6E20"/>
    <w:rsid w:val="002D7E53"/>
    <w:rsid w:val="002E6604"/>
    <w:rsid w:val="002F4352"/>
    <w:rsid w:val="0032186D"/>
    <w:rsid w:val="00326435"/>
    <w:rsid w:val="00336E29"/>
    <w:rsid w:val="0035483F"/>
    <w:rsid w:val="00392F36"/>
    <w:rsid w:val="00393CB5"/>
    <w:rsid w:val="003D4CB5"/>
    <w:rsid w:val="004075EE"/>
    <w:rsid w:val="00430C14"/>
    <w:rsid w:val="004773CA"/>
    <w:rsid w:val="004C71E2"/>
    <w:rsid w:val="005416D5"/>
    <w:rsid w:val="00541F93"/>
    <w:rsid w:val="00567BD5"/>
    <w:rsid w:val="00576A20"/>
    <w:rsid w:val="005D3C87"/>
    <w:rsid w:val="005D7737"/>
    <w:rsid w:val="005E43EF"/>
    <w:rsid w:val="005F3F6A"/>
    <w:rsid w:val="00601496"/>
    <w:rsid w:val="0061672E"/>
    <w:rsid w:val="006229DD"/>
    <w:rsid w:val="00642815"/>
    <w:rsid w:val="00654D6F"/>
    <w:rsid w:val="006628C0"/>
    <w:rsid w:val="006745A2"/>
    <w:rsid w:val="00677AEB"/>
    <w:rsid w:val="006A78C4"/>
    <w:rsid w:val="00702C55"/>
    <w:rsid w:val="00725F8B"/>
    <w:rsid w:val="007656AB"/>
    <w:rsid w:val="007837F1"/>
    <w:rsid w:val="007A5158"/>
    <w:rsid w:val="007C14B4"/>
    <w:rsid w:val="007D0F37"/>
    <w:rsid w:val="007E2691"/>
    <w:rsid w:val="00851235"/>
    <w:rsid w:val="00865E3C"/>
    <w:rsid w:val="00865FA1"/>
    <w:rsid w:val="008730F0"/>
    <w:rsid w:val="00886515"/>
    <w:rsid w:val="00897A1F"/>
    <w:rsid w:val="008C2088"/>
    <w:rsid w:val="008C2CCB"/>
    <w:rsid w:val="00905C2E"/>
    <w:rsid w:val="0091314C"/>
    <w:rsid w:val="009206AF"/>
    <w:rsid w:val="00942E06"/>
    <w:rsid w:val="00962535"/>
    <w:rsid w:val="009A34A8"/>
    <w:rsid w:val="009C4EFE"/>
    <w:rsid w:val="009F08B2"/>
    <w:rsid w:val="00A11A23"/>
    <w:rsid w:val="00A257B6"/>
    <w:rsid w:val="00A31386"/>
    <w:rsid w:val="00A4215E"/>
    <w:rsid w:val="00A53F81"/>
    <w:rsid w:val="00A64FFE"/>
    <w:rsid w:val="00A66CC5"/>
    <w:rsid w:val="00A96031"/>
    <w:rsid w:val="00AB06AA"/>
    <w:rsid w:val="00AC2825"/>
    <w:rsid w:val="00AC2C75"/>
    <w:rsid w:val="00AD571A"/>
    <w:rsid w:val="00AD5C40"/>
    <w:rsid w:val="00AD6581"/>
    <w:rsid w:val="00AF5710"/>
    <w:rsid w:val="00B13412"/>
    <w:rsid w:val="00B14139"/>
    <w:rsid w:val="00B168D9"/>
    <w:rsid w:val="00B23E2F"/>
    <w:rsid w:val="00B325F0"/>
    <w:rsid w:val="00B46532"/>
    <w:rsid w:val="00B62EC5"/>
    <w:rsid w:val="00B80013"/>
    <w:rsid w:val="00BF3BD3"/>
    <w:rsid w:val="00BF7EEA"/>
    <w:rsid w:val="00C17079"/>
    <w:rsid w:val="00C20542"/>
    <w:rsid w:val="00C53056"/>
    <w:rsid w:val="00C715FD"/>
    <w:rsid w:val="00CC60A2"/>
    <w:rsid w:val="00CD5B5D"/>
    <w:rsid w:val="00D02A4D"/>
    <w:rsid w:val="00D11FAC"/>
    <w:rsid w:val="00D417F0"/>
    <w:rsid w:val="00D511BE"/>
    <w:rsid w:val="00D655D7"/>
    <w:rsid w:val="00D74A1A"/>
    <w:rsid w:val="00D87841"/>
    <w:rsid w:val="00DC006E"/>
    <w:rsid w:val="00DF3718"/>
    <w:rsid w:val="00E024A6"/>
    <w:rsid w:val="00E377DD"/>
    <w:rsid w:val="00E42336"/>
    <w:rsid w:val="00E70D64"/>
    <w:rsid w:val="00E74F09"/>
    <w:rsid w:val="00F058EB"/>
    <w:rsid w:val="00F06C98"/>
    <w:rsid w:val="00F15095"/>
    <w:rsid w:val="00F22CE9"/>
    <w:rsid w:val="00F378A0"/>
    <w:rsid w:val="00F42B91"/>
    <w:rsid w:val="00F47DBC"/>
    <w:rsid w:val="00F55014"/>
    <w:rsid w:val="00F9769D"/>
    <w:rsid w:val="00FA5A88"/>
    <w:rsid w:val="00FC4660"/>
    <w:rsid w:val="00FF4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99"/>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2751B8"/>
    <w:pPr>
      <w:widowControl w:val="0"/>
      <w:autoSpaceDE w:val="0"/>
      <w:autoSpaceDN w:val="0"/>
      <w:adjustRightInd w:val="0"/>
    </w:pPr>
    <w:rPr>
      <w:rFonts w:ascii="黑体" w:eastAsia="黑体" w:cs="黑体"/>
      <w:color w:val="000000"/>
      <w:kern w:val="0"/>
      <w:sz w:val="24"/>
      <w:szCs w:val="24"/>
    </w:rPr>
  </w:style>
  <w:style w:type="table" w:customStyle="1" w:styleId="21">
    <w:name w:val="无格式表格 21"/>
    <w:basedOn w:val="a1"/>
    <w:uiPriority w:val="42"/>
    <w:rsid w:val="007656A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86261221">
      <w:bodyDiv w:val="1"/>
      <w:marLeft w:val="0"/>
      <w:marRight w:val="0"/>
      <w:marTop w:val="0"/>
      <w:marBottom w:val="0"/>
      <w:divBdr>
        <w:top w:val="none" w:sz="0" w:space="0" w:color="auto"/>
        <w:left w:val="none" w:sz="0" w:space="0" w:color="auto"/>
        <w:bottom w:val="none" w:sz="0" w:space="0" w:color="auto"/>
        <w:right w:val="none" w:sz="0" w:space="0" w:color="auto"/>
      </w:divBdr>
    </w:div>
    <w:div w:id="558321782">
      <w:bodyDiv w:val="1"/>
      <w:marLeft w:val="0"/>
      <w:marRight w:val="0"/>
      <w:marTop w:val="0"/>
      <w:marBottom w:val="0"/>
      <w:divBdr>
        <w:top w:val="none" w:sz="0" w:space="0" w:color="auto"/>
        <w:left w:val="none" w:sz="0" w:space="0" w:color="auto"/>
        <w:bottom w:val="none" w:sz="0" w:space="0" w:color="auto"/>
        <w:right w:val="none" w:sz="0" w:space="0" w:color="auto"/>
      </w:divBdr>
    </w:div>
    <w:div w:id="990523240">
      <w:bodyDiv w:val="1"/>
      <w:marLeft w:val="0"/>
      <w:marRight w:val="0"/>
      <w:marTop w:val="0"/>
      <w:marBottom w:val="0"/>
      <w:divBdr>
        <w:top w:val="none" w:sz="0" w:space="0" w:color="auto"/>
        <w:left w:val="none" w:sz="0" w:space="0" w:color="auto"/>
        <w:bottom w:val="none" w:sz="0" w:space="0" w:color="auto"/>
        <w:right w:val="none" w:sz="0" w:space="0" w:color="auto"/>
      </w:divBdr>
    </w:div>
    <w:div w:id="1990206677">
      <w:bodyDiv w:val="1"/>
      <w:marLeft w:val="0"/>
      <w:marRight w:val="0"/>
      <w:marTop w:val="0"/>
      <w:marBottom w:val="0"/>
      <w:divBdr>
        <w:top w:val="none" w:sz="0" w:space="0" w:color="auto"/>
        <w:left w:val="none" w:sz="0" w:space="0" w:color="auto"/>
        <w:bottom w:val="none" w:sz="0" w:space="0" w:color="auto"/>
        <w:right w:val="none" w:sz="0" w:space="0" w:color="auto"/>
      </w:divBdr>
      <w:divsChild>
        <w:div w:id="655761690">
          <w:marLeft w:val="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
          </w:divsChild>
        </w:div>
        <w:div w:id="1428384278">
          <w:marLeft w:val="0"/>
          <w:marRight w:val="0"/>
          <w:marTop w:val="0"/>
          <w:marBottom w:val="0"/>
          <w:divBdr>
            <w:top w:val="none" w:sz="0" w:space="0" w:color="auto"/>
            <w:left w:val="none" w:sz="0" w:space="0" w:color="auto"/>
            <w:bottom w:val="none" w:sz="0" w:space="0" w:color="auto"/>
            <w:right w:val="none" w:sz="0" w:space="0" w:color="auto"/>
          </w:divBdr>
          <w:divsChild>
            <w:div w:id="1812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5382</Characters>
  <Application>Microsoft Office Word</Application>
  <DocSecurity>4</DocSecurity>
  <Lines>44</Lines>
  <Paragraphs>12</Paragraphs>
  <ScaleCrop>false</ScaleCrop>
  <Company>Microsoft</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dcterms:created xsi:type="dcterms:W3CDTF">2019-05-31T16:01:00Z</dcterms:created>
  <dcterms:modified xsi:type="dcterms:W3CDTF">2019-05-31T16:01:00Z</dcterms:modified>
</cp:coreProperties>
</file>