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5E" w:rsidRDefault="00CB515E">
      <w:pPr>
        <w:rPr>
          <w:sz w:val="32"/>
        </w:rPr>
      </w:pPr>
    </w:p>
    <w:p w:rsidR="00CB515E" w:rsidRDefault="00CB515E">
      <w:pPr>
        <w:rPr>
          <w:sz w:val="32"/>
        </w:rPr>
      </w:pPr>
    </w:p>
    <w:p w:rsidR="00CB515E" w:rsidRDefault="00CB515E">
      <w:pPr>
        <w:rPr>
          <w:sz w:val="32"/>
        </w:rPr>
      </w:pPr>
    </w:p>
    <w:p w:rsidR="00CB515E" w:rsidRDefault="00CB515E">
      <w:pPr>
        <w:rPr>
          <w:sz w:val="32"/>
        </w:rPr>
      </w:pPr>
    </w:p>
    <w:p w:rsidR="00CB515E" w:rsidRDefault="00CB515E">
      <w:pPr>
        <w:rPr>
          <w:sz w:val="32"/>
        </w:rPr>
      </w:pPr>
    </w:p>
    <w:p w:rsidR="00CB515E" w:rsidRDefault="005F186E">
      <w:pPr>
        <w:jc w:val="center"/>
        <w:rPr>
          <w:rFonts w:hAnsi="Arial Unicode MS"/>
          <w:b/>
          <w:sz w:val="48"/>
          <w:szCs w:val="48"/>
        </w:rPr>
      </w:pPr>
      <w:r>
        <w:rPr>
          <w:rFonts w:hAnsi="Arial Unicode MS"/>
          <w:b/>
          <w:sz w:val="48"/>
          <w:szCs w:val="48"/>
        </w:rPr>
        <w:t>山西证券</w:t>
      </w:r>
      <w:r>
        <w:rPr>
          <w:rFonts w:hAnsi="Arial Unicode MS" w:hint="eastAsia"/>
          <w:b/>
          <w:sz w:val="48"/>
          <w:szCs w:val="48"/>
        </w:rPr>
        <w:t>裕泰</w:t>
      </w:r>
      <w:r>
        <w:rPr>
          <w:rFonts w:hAnsi="Arial Unicode MS" w:hint="eastAsia"/>
          <w:b/>
          <w:sz w:val="48"/>
          <w:szCs w:val="48"/>
        </w:rPr>
        <w:t>3</w:t>
      </w:r>
      <w:r>
        <w:rPr>
          <w:rFonts w:hAnsi="Arial Unicode MS" w:hint="eastAsia"/>
          <w:b/>
          <w:sz w:val="48"/>
          <w:szCs w:val="48"/>
        </w:rPr>
        <w:t>个月定期开放</w:t>
      </w:r>
      <w:r>
        <w:rPr>
          <w:rFonts w:hAnsi="Arial Unicode MS"/>
          <w:b/>
          <w:sz w:val="48"/>
          <w:szCs w:val="48"/>
        </w:rPr>
        <w:t>债券型</w:t>
      </w:r>
    </w:p>
    <w:p w:rsidR="00CB515E" w:rsidRDefault="005F186E">
      <w:pPr>
        <w:jc w:val="center"/>
        <w:rPr>
          <w:b/>
          <w:sz w:val="48"/>
          <w:szCs w:val="48"/>
        </w:rPr>
      </w:pPr>
      <w:r>
        <w:rPr>
          <w:rFonts w:hAnsi="Arial Unicode MS"/>
          <w:b/>
          <w:sz w:val="48"/>
          <w:szCs w:val="48"/>
        </w:rPr>
        <w:t>发起式证券投资基金</w:t>
      </w:r>
    </w:p>
    <w:p w:rsidR="00CB515E" w:rsidRDefault="005F186E">
      <w:pPr>
        <w:jc w:val="center"/>
        <w:rPr>
          <w:sz w:val="36"/>
          <w:szCs w:val="36"/>
        </w:rPr>
      </w:pPr>
      <w:r>
        <w:rPr>
          <w:rFonts w:hAnsi="Arial Unicode MS"/>
          <w:b/>
          <w:sz w:val="48"/>
          <w:szCs w:val="48"/>
        </w:rPr>
        <w:t>招募说明书</w:t>
      </w:r>
    </w:p>
    <w:p w:rsidR="00CB515E" w:rsidRDefault="00CB515E">
      <w:pPr>
        <w:jc w:val="center"/>
        <w:rPr>
          <w:sz w:val="36"/>
          <w:szCs w:val="36"/>
        </w:rPr>
      </w:pPr>
    </w:p>
    <w:p w:rsidR="00CB515E" w:rsidRDefault="00CB515E">
      <w:pPr>
        <w:jc w:val="center"/>
        <w:rPr>
          <w:sz w:val="36"/>
          <w:szCs w:val="36"/>
        </w:rPr>
      </w:pPr>
    </w:p>
    <w:p w:rsidR="00CB515E" w:rsidRDefault="00CB515E">
      <w:pPr>
        <w:jc w:val="center"/>
        <w:rPr>
          <w:sz w:val="36"/>
          <w:szCs w:val="36"/>
        </w:rPr>
      </w:pPr>
    </w:p>
    <w:p w:rsidR="00CB515E" w:rsidRDefault="00CB515E">
      <w:pPr>
        <w:jc w:val="center"/>
        <w:rPr>
          <w:sz w:val="36"/>
          <w:szCs w:val="36"/>
        </w:rPr>
      </w:pPr>
    </w:p>
    <w:p w:rsidR="00CB515E" w:rsidRDefault="00CB515E">
      <w:pPr>
        <w:jc w:val="center"/>
        <w:rPr>
          <w:sz w:val="36"/>
          <w:szCs w:val="36"/>
        </w:rPr>
      </w:pPr>
    </w:p>
    <w:p w:rsidR="00CB515E" w:rsidRDefault="00CB515E">
      <w:pPr>
        <w:jc w:val="center"/>
        <w:rPr>
          <w:sz w:val="36"/>
          <w:szCs w:val="36"/>
        </w:rPr>
      </w:pPr>
    </w:p>
    <w:p w:rsidR="00CB515E" w:rsidRDefault="005F186E">
      <w:pPr>
        <w:jc w:val="center"/>
        <w:rPr>
          <w:b/>
          <w:sz w:val="36"/>
          <w:szCs w:val="36"/>
        </w:rPr>
      </w:pPr>
      <w:r>
        <w:rPr>
          <w:rFonts w:hAnsi="Arial Unicode MS"/>
          <w:b/>
          <w:sz w:val="36"/>
          <w:szCs w:val="36"/>
        </w:rPr>
        <w:t>基金管理人：山西证券股份有限公司</w:t>
      </w:r>
    </w:p>
    <w:p w:rsidR="00CB515E" w:rsidRDefault="005F186E">
      <w:pPr>
        <w:jc w:val="center"/>
        <w:rPr>
          <w:b/>
          <w:sz w:val="36"/>
        </w:rPr>
      </w:pPr>
      <w:r>
        <w:rPr>
          <w:rFonts w:hAnsi="Arial Unicode MS"/>
          <w:b/>
          <w:sz w:val="36"/>
          <w:szCs w:val="36"/>
        </w:rPr>
        <w:t>基金托管人：</w:t>
      </w:r>
      <w:r>
        <w:rPr>
          <w:rFonts w:hint="eastAsia"/>
          <w:b/>
          <w:sz w:val="36"/>
        </w:rPr>
        <w:t>招商</w:t>
      </w:r>
      <w:r>
        <w:rPr>
          <w:b/>
          <w:sz w:val="36"/>
        </w:rPr>
        <w:t>银行股份有限公司</w:t>
      </w:r>
    </w:p>
    <w:p w:rsidR="00CB515E" w:rsidRDefault="00CB515E">
      <w:pPr>
        <w:jc w:val="center"/>
        <w:rPr>
          <w:b/>
          <w:sz w:val="36"/>
        </w:rPr>
      </w:pPr>
    </w:p>
    <w:p w:rsidR="00CB515E" w:rsidRDefault="005F186E">
      <w:pPr>
        <w:jc w:val="center"/>
        <w:rPr>
          <w:bCs/>
          <w:sz w:val="28"/>
        </w:rPr>
        <w:sectPr w:rsidR="00CB515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b/>
          <w:bCs/>
          <w:sz w:val="30"/>
        </w:rPr>
        <w:t>二</w:t>
      </w:r>
      <w:r>
        <w:rPr>
          <w:rFonts w:hint="eastAsia"/>
          <w:b/>
          <w:bCs/>
          <w:sz w:val="30"/>
        </w:rPr>
        <w:t>零</w:t>
      </w:r>
      <w:r>
        <w:rPr>
          <w:b/>
          <w:bCs/>
          <w:sz w:val="30"/>
        </w:rPr>
        <w:t>一</w:t>
      </w:r>
      <w:r>
        <w:rPr>
          <w:rFonts w:hint="eastAsia"/>
          <w:b/>
          <w:bCs/>
          <w:sz w:val="30"/>
        </w:rPr>
        <w:t>九</w:t>
      </w:r>
      <w:r>
        <w:rPr>
          <w:b/>
          <w:bCs/>
          <w:sz w:val="30"/>
        </w:rPr>
        <w:t>年</w:t>
      </w:r>
      <w:r w:rsidR="006028DF">
        <w:rPr>
          <w:rFonts w:hint="eastAsia"/>
          <w:b/>
          <w:bCs/>
          <w:sz w:val="32"/>
          <w:szCs w:val="32"/>
        </w:rPr>
        <w:t>五</w:t>
      </w:r>
      <w:r>
        <w:rPr>
          <w:b/>
          <w:bCs/>
          <w:sz w:val="30"/>
        </w:rPr>
        <w:t>月</w:t>
      </w:r>
    </w:p>
    <w:p w:rsidR="00CB515E" w:rsidRDefault="005F186E">
      <w:pPr>
        <w:pStyle w:val="1"/>
        <w:snapToGrid w:val="0"/>
        <w:spacing w:before="0" w:after="0" w:line="360" w:lineRule="auto"/>
        <w:ind w:firstLineChars="50" w:firstLine="141"/>
        <w:rPr>
          <w:rFonts w:ascii="Times New Roman" w:eastAsia="宋体"/>
          <w:b/>
          <w:bCs/>
          <w:sz w:val="28"/>
          <w:szCs w:val="28"/>
        </w:rPr>
      </w:pPr>
      <w:bookmarkStart w:id="0" w:name="_Toc2174604"/>
      <w:r>
        <w:rPr>
          <w:rFonts w:ascii="Times New Roman" w:eastAsia="宋体" w:hAnsi="Arial Unicode MS"/>
          <w:b/>
          <w:bCs/>
          <w:sz w:val="28"/>
          <w:szCs w:val="28"/>
        </w:rPr>
        <w:lastRenderedPageBreak/>
        <w:t>【重要提示】</w:t>
      </w:r>
      <w:bookmarkEnd w:id="0"/>
    </w:p>
    <w:p w:rsidR="00CB515E" w:rsidRDefault="00CB515E">
      <w:pPr>
        <w:autoSpaceDE w:val="0"/>
        <w:autoSpaceDN w:val="0"/>
        <w:adjustRightInd w:val="0"/>
        <w:snapToGrid w:val="0"/>
        <w:spacing w:line="360" w:lineRule="auto"/>
        <w:jc w:val="center"/>
        <w:rPr>
          <w:b/>
          <w:bCs/>
          <w:szCs w:val="21"/>
        </w:rPr>
      </w:pP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本基金由山西证券证券股份有限公司（以下简称</w:t>
      </w:r>
      <w:r>
        <w:rPr>
          <w:rFonts w:eastAsiaTheme="minorEastAsia"/>
          <w:kern w:val="0"/>
          <w:sz w:val="24"/>
        </w:rPr>
        <w:t>“</w:t>
      </w:r>
      <w:r>
        <w:rPr>
          <w:rFonts w:eastAsiaTheme="minorEastAsia" w:hint="eastAsia"/>
          <w:kern w:val="0"/>
          <w:sz w:val="24"/>
        </w:rPr>
        <w:t>基金管理人</w:t>
      </w:r>
      <w:r>
        <w:rPr>
          <w:rFonts w:eastAsiaTheme="minorEastAsia"/>
          <w:kern w:val="0"/>
          <w:sz w:val="24"/>
        </w:rPr>
        <w:t>”</w:t>
      </w:r>
      <w:r>
        <w:rPr>
          <w:rFonts w:eastAsiaTheme="minorEastAsia" w:hint="eastAsia"/>
          <w:kern w:val="0"/>
          <w:sz w:val="24"/>
        </w:rPr>
        <w:t>）依照有关法律法规及约定发起，并经中国证券监督管理委员会</w:t>
      </w:r>
      <w:r>
        <w:rPr>
          <w:rFonts w:eastAsiaTheme="minorEastAsia"/>
          <w:kern w:val="0"/>
          <w:sz w:val="24"/>
        </w:rPr>
        <w:t>201</w:t>
      </w:r>
      <w:r w:rsidR="000C38A4">
        <w:rPr>
          <w:rFonts w:eastAsiaTheme="minorEastAsia" w:hint="eastAsia"/>
          <w:kern w:val="0"/>
          <w:sz w:val="24"/>
        </w:rPr>
        <w:t>9</w:t>
      </w:r>
      <w:r>
        <w:rPr>
          <w:rFonts w:eastAsiaTheme="minorEastAsia" w:hint="eastAsia"/>
          <w:kern w:val="0"/>
          <w:sz w:val="24"/>
        </w:rPr>
        <w:t>年</w:t>
      </w:r>
      <w:r w:rsidR="000C38A4">
        <w:rPr>
          <w:rFonts w:eastAsiaTheme="minorEastAsia" w:hint="eastAsia"/>
          <w:kern w:val="0"/>
          <w:sz w:val="24"/>
        </w:rPr>
        <w:t>3</w:t>
      </w:r>
      <w:r>
        <w:rPr>
          <w:rFonts w:eastAsiaTheme="minorEastAsia" w:hint="eastAsia"/>
          <w:kern w:val="0"/>
          <w:sz w:val="24"/>
        </w:rPr>
        <w:t>月</w:t>
      </w:r>
      <w:r w:rsidR="000C38A4">
        <w:rPr>
          <w:rFonts w:eastAsiaTheme="minorEastAsia" w:hint="eastAsia"/>
          <w:kern w:val="0"/>
          <w:sz w:val="24"/>
        </w:rPr>
        <w:t>19</w:t>
      </w:r>
      <w:r>
        <w:rPr>
          <w:rFonts w:eastAsiaTheme="minorEastAsia" w:hint="eastAsia"/>
          <w:kern w:val="0"/>
          <w:sz w:val="24"/>
        </w:rPr>
        <w:t>日证监许可</w:t>
      </w:r>
      <w:r>
        <w:rPr>
          <w:rFonts w:eastAsiaTheme="minorEastAsia"/>
          <w:kern w:val="0"/>
          <w:sz w:val="24"/>
        </w:rPr>
        <w:t>[201</w:t>
      </w:r>
      <w:r w:rsidR="006D2C61">
        <w:rPr>
          <w:rFonts w:eastAsiaTheme="minorEastAsia" w:hint="eastAsia"/>
          <w:kern w:val="0"/>
          <w:sz w:val="24"/>
        </w:rPr>
        <w:t>9</w:t>
      </w:r>
      <w:r>
        <w:rPr>
          <w:rFonts w:eastAsiaTheme="minorEastAsia"/>
          <w:kern w:val="0"/>
          <w:sz w:val="24"/>
        </w:rPr>
        <w:t>]</w:t>
      </w:r>
      <w:r w:rsidR="006D2C61">
        <w:rPr>
          <w:rFonts w:eastAsiaTheme="minorEastAsia" w:hint="eastAsia"/>
          <w:kern w:val="0"/>
          <w:sz w:val="24"/>
        </w:rPr>
        <w:t>449</w:t>
      </w:r>
      <w:r>
        <w:rPr>
          <w:rFonts w:eastAsiaTheme="minorEastAsia" w:hint="eastAsia"/>
          <w:kern w:val="0"/>
          <w:sz w:val="24"/>
        </w:rPr>
        <w:t>号文准予注册。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基金管理人保证本招募说明书的内容真实、准确、完整。本招募说明书经中国证券监督管理委员会（以下简称</w:t>
      </w:r>
      <w:r>
        <w:rPr>
          <w:rFonts w:eastAsiaTheme="minorEastAsia"/>
          <w:kern w:val="0"/>
          <w:sz w:val="24"/>
        </w:rPr>
        <w:t>“</w:t>
      </w:r>
      <w:r>
        <w:rPr>
          <w:rFonts w:eastAsiaTheme="minorEastAsia" w:hint="eastAsia"/>
          <w:kern w:val="0"/>
          <w:sz w:val="24"/>
        </w:rPr>
        <w:t>中国证监会</w:t>
      </w:r>
      <w:r>
        <w:rPr>
          <w:rFonts w:eastAsiaTheme="minorEastAsia"/>
          <w:kern w:val="0"/>
          <w:sz w:val="24"/>
        </w:rPr>
        <w:t>”</w:t>
      </w:r>
      <w:r>
        <w:rPr>
          <w:rFonts w:eastAsiaTheme="minorEastAsia" w:hint="eastAsia"/>
          <w:kern w:val="0"/>
          <w:sz w:val="24"/>
        </w:rPr>
        <w:t>）注册，但中国证监会对本基金募集申请的注册，并不表明其对本基金的价值和收益做出实质性判断或保证，也不表明投资于本基金没有风险。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基金管理人依照恪尽职守、诚实信用、谨慎勤勉的原则管理和运用基金财产，但不保证基金一定盈利，也不保证最低收益。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投资于证券市场，基金净值会因为证券市场波动等因素产生波动，投资人根据所持有份额享受基金的收益，但同时承担相应的投资风险。投资人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基金投资中的风险包括：市场风险、管理风险、技术风险等，也包括本基金的特定风险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rsidR="00CB515E" w:rsidRDefault="005F186E">
      <w:pPr>
        <w:adjustRightInd w:val="0"/>
        <w:snapToGrid w:val="0"/>
        <w:spacing w:line="360" w:lineRule="auto"/>
        <w:ind w:firstLineChars="200" w:firstLine="480"/>
        <w:rPr>
          <w:rFonts w:eastAsiaTheme="minorEastAsia"/>
          <w:bCs/>
          <w:kern w:val="0"/>
          <w:sz w:val="24"/>
        </w:rPr>
      </w:pPr>
      <w:r>
        <w:rPr>
          <w:rFonts w:eastAsiaTheme="minorEastAsia" w:hint="eastAsia"/>
          <w:kern w:val="0"/>
          <w:sz w:val="24"/>
        </w:rPr>
        <w:t>本基金为发起式证券</w:t>
      </w:r>
      <w:r>
        <w:rPr>
          <w:rFonts w:eastAsiaTheme="minorEastAsia"/>
          <w:kern w:val="0"/>
          <w:sz w:val="24"/>
        </w:rPr>
        <w:t>投资</w:t>
      </w:r>
      <w:r>
        <w:rPr>
          <w:rFonts w:eastAsiaTheme="minorEastAsia" w:hint="eastAsia"/>
          <w:kern w:val="0"/>
          <w:sz w:val="24"/>
        </w:rPr>
        <w:t>基金，《</w:t>
      </w:r>
      <w:r>
        <w:rPr>
          <w:rFonts w:eastAsiaTheme="minorEastAsia" w:hint="eastAsia"/>
          <w:bCs/>
          <w:kern w:val="0"/>
          <w:sz w:val="24"/>
        </w:rPr>
        <w:t>基金合同》生效之日起三年后的对应日</w:t>
      </w:r>
      <w:r>
        <w:rPr>
          <w:rFonts w:eastAsiaTheme="minorEastAsia"/>
          <w:bCs/>
          <w:kern w:val="0"/>
          <w:sz w:val="24"/>
        </w:rPr>
        <w:t>，</w:t>
      </w:r>
      <w:r>
        <w:rPr>
          <w:rFonts w:eastAsiaTheme="minorEastAsia" w:hint="eastAsia"/>
          <w:bCs/>
          <w:kern w:val="0"/>
          <w:sz w:val="24"/>
        </w:rPr>
        <w:t>若基金资产净值低于</w:t>
      </w:r>
      <w:r>
        <w:rPr>
          <w:rFonts w:eastAsiaTheme="minorEastAsia"/>
          <w:bCs/>
          <w:kern w:val="0"/>
          <w:sz w:val="24"/>
        </w:rPr>
        <w:t>2</w:t>
      </w:r>
      <w:r>
        <w:rPr>
          <w:rFonts w:eastAsiaTheme="minorEastAsia"/>
          <w:bCs/>
          <w:kern w:val="0"/>
          <w:sz w:val="24"/>
        </w:rPr>
        <w:t>亿元，</w:t>
      </w:r>
      <w:r>
        <w:rPr>
          <w:rFonts w:eastAsiaTheme="minorEastAsia" w:hint="eastAsia"/>
          <w:bCs/>
          <w:kern w:val="0"/>
          <w:sz w:val="24"/>
        </w:rPr>
        <w:t>基金合同自动终止，且不得通过召开基金份额持有人大会延续基金合同期限。若届时的法律法规或中国证监会规定发生变化，上述终止规定被取消、更改或补充，则本基金可以参照届时有效的法律法规或中国证监会规定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本基金为债券型基金，其预期收益和预期风险低于股票型及混合型基金，高于货币市场基金。</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lastRenderedPageBreak/>
        <w:t>投资有风险，投资人认购（申购）基金时应认真阅读本基金的招募说明书及基金合同。基金管理人提醒投资人基金投资的</w:t>
      </w:r>
      <w:r>
        <w:rPr>
          <w:rFonts w:eastAsiaTheme="minorEastAsia"/>
          <w:kern w:val="0"/>
          <w:sz w:val="24"/>
        </w:rPr>
        <w:t>“</w:t>
      </w:r>
      <w:r>
        <w:rPr>
          <w:rFonts w:eastAsiaTheme="minorEastAsia" w:hint="eastAsia"/>
          <w:kern w:val="0"/>
          <w:sz w:val="24"/>
        </w:rPr>
        <w:t>买者自负</w:t>
      </w:r>
      <w:r>
        <w:rPr>
          <w:rFonts w:eastAsiaTheme="minorEastAsia"/>
          <w:kern w:val="0"/>
          <w:sz w:val="24"/>
        </w:rPr>
        <w:t>”</w:t>
      </w:r>
      <w:r>
        <w:rPr>
          <w:rFonts w:eastAsiaTheme="minorEastAsia" w:hint="eastAsia"/>
          <w:kern w:val="0"/>
          <w:sz w:val="24"/>
        </w:rPr>
        <w:t>原则，在投资人作出投资决策后，基金运营状况与基金净值变化引致的投资风险，由投资人自行负责。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基金的过往业绩并不预示其未来表现。基金管理人管理的其他基金的业绩也不构成对本基金业绩表现的保证。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本基金单一投资者持有的基金份额或者构成一致行动人的多个投资者持有的基金份额可达到或超过</w:t>
      </w:r>
      <w:r>
        <w:rPr>
          <w:rFonts w:eastAsiaTheme="minorEastAsia"/>
          <w:kern w:val="0"/>
          <w:sz w:val="24"/>
        </w:rPr>
        <w:t>50%</w:t>
      </w:r>
      <w:r>
        <w:rPr>
          <w:rFonts w:eastAsiaTheme="minorEastAsia" w:hint="eastAsia"/>
          <w:kern w:val="0"/>
          <w:sz w:val="24"/>
        </w:rPr>
        <w:t>，基金不向个人投资者销售。</w:t>
      </w:r>
      <w:r>
        <w:rPr>
          <w:rFonts w:asciiTheme="minorEastAsia" w:eastAsiaTheme="minorEastAsia" w:hAnsiTheme="minorEastAsia" w:hint="eastAsia"/>
          <w:sz w:val="24"/>
        </w:rPr>
        <w:t>法律法规或监管机构另有规定的除外。</w:t>
      </w: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asciiTheme="minorEastAsia" w:eastAsiaTheme="minorEastAsia" w:hAnsiTheme="minorEastAsia"/>
          <w:sz w:val="24"/>
        </w:rPr>
      </w:pPr>
    </w:p>
    <w:p w:rsidR="00CB515E" w:rsidRDefault="005F186E">
      <w:pPr>
        <w:pStyle w:val="1"/>
        <w:snapToGrid w:val="0"/>
        <w:spacing w:before="0" w:after="0" w:line="360" w:lineRule="auto"/>
        <w:ind w:firstLineChars="50" w:firstLine="240"/>
        <w:rPr>
          <w:rFonts w:ascii="Times New Roman" w:eastAsia="宋体" w:hAnsi="Arial Unicode MS"/>
          <w:b/>
          <w:bCs/>
          <w:sz w:val="32"/>
          <w:szCs w:val="32"/>
        </w:rPr>
      </w:pPr>
      <w:r>
        <w:rPr>
          <w:rFonts w:ascii="Times New Roman"/>
          <w:bCs/>
          <w:spacing w:val="120"/>
          <w:szCs w:val="21"/>
        </w:rPr>
        <w:br w:type="page"/>
      </w:r>
      <w:bookmarkStart w:id="1" w:name="_Toc2174605"/>
      <w:r>
        <w:rPr>
          <w:rFonts w:ascii="Times New Roman" w:eastAsia="宋体" w:hAnsi="Arial Unicode MS"/>
          <w:b/>
          <w:bCs/>
          <w:sz w:val="32"/>
          <w:szCs w:val="32"/>
        </w:rPr>
        <w:t>目录</w:t>
      </w:r>
      <w:bookmarkEnd w:id="1"/>
    </w:p>
    <w:p w:rsidR="00CB515E" w:rsidRDefault="00CB515E"/>
    <w:p w:rsidR="00CB515E" w:rsidRDefault="003C29EE">
      <w:pPr>
        <w:pStyle w:val="10"/>
        <w:rPr>
          <w:rFonts w:asciiTheme="minorHAnsi" w:eastAsiaTheme="minorEastAsia" w:hAnsiTheme="minorHAnsi" w:cstheme="minorBidi"/>
          <w:caps w:val="0"/>
          <w:noProof/>
          <w:sz w:val="21"/>
          <w:szCs w:val="22"/>
        </w:rPr>
      </w:pPr>
      <w:r w:rsidRPr="003C29EE">
        <w:rPr>
          <w:rFonts w:ascii="Times New Roman" w:hAnsi="Times New Roman"/>
          <w:bCs/>
          <w:spacing w:val="120"/>
          <w:sz w:val="21"/>
          <w:szCs w:val="21"/>
        </w:rPr>
        <w:fldChar w:fldCharType="begin"/>
      </w:r>
      <w:r w:rsidR="005F186E">
        <w:rPr>
          <w:rFonts w:ascii="Times New Roman" w:hAnsi="Times New Roman"/>
          <w:bCs/>
          <w:spacing w:val="120"/>
          <w:sz w:val="21"/>
          <w:szCs w:val="21"/>
        </w:rPr>
        <w:instrText xml:space="preserve"> TOC \o "1-1" \h \z </w:instrText>
      </w:r>
      <w:r w:rsidRPr="003C29EE">
        <w:rPr>
          <w:rFonts w:ascii="Times New Roman" w:hAnsi="Times New Roman"/>
          <w:bCs/>
          <w:spacing w:val="120"/>
          <w:sz w:val="21"/>
          <w:szCs w:val="21"/>
        </w:rPr>
        <w:fldChar w:fldCharType="separate"/>
      </w:r>
      <w:hyperlink w:anchor="_Toc2174604" w:history="1">
        <w:r w:rsidR="005F186E">
          <w:rPr>
            <w:rStyle w:val="afc"/>
            <w:rFonts w:ascii="Times New Roman" w:hAnsi="Arial Unicode MS" w:hint="eastAsia"/>
            <w:b/>
            <w:bCs/>
            <w:noProof/>
          </w:rPr>
          <w:t>【重要提示】</w:t>
        </w:r>
        <w:r w:rsidR="005F186E">
          <w:rPr>
            <w:noProof/>
          </w:rPr>
          <w:tab/>
        </w:r>
        <w:r>
          <w:rPr>
            <w:noProof/>
          </w:rPr>
          <w:fldChar w:fldCharType="begin"/>
        </w:r>
        <w:r w:rsidR="005F186E">
          <w:rPr>
            <w:noProof/>
          </w:rPr>
          <w:instrText xml:space="preserve"> PAGEREF _Toc2174604 \h </w:instrText>
        </w:r>
        <w:r>
          <w:rPr>
            <w:noProof/>
          </w:rPr>
        </w:r>
        <w:r>
          <w:rPr>
            <w:noProof/>
          </w:rPr>
          <w:fldChar w:fldCharType="separate"/>
        </w:r>
        <w:r w:rsidR="00080066">
          <w:rPr>
            <w:noProof/>
          </w:rPr>
          <w:t>1</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05" w:history="1">
        <w:r w:rsidR="005F186E">
          <w:rPr>
            <w:rStyle w:val="afc"/>
            <w:rFonts w:ascii="Times New Roman" w:hAnsi="Arial Unicode MS" w:hint="eastAsia"/>
            <w:b/>
            <w:bCs/>
            <w:noProof/>
          </w:rPr>
          <w:t>目录</w:t>
        </w:r>
        <w:r w:rsidR="005F186E">
          <w:rPr>
            <w:noProof/>
          </w:rPr>
          <w:tab/>
        </w:r>
        <w:r>
          <w:rPr>
            <w:noProof/>
          </w:rPr>
          <w:fldChar w:fldCharType="begin"/>
        </w:r>
        <w:r w:rsidR="005F186E">
          <w:rPr>
            <w:noProof/>
          </w:rPr>
          <w:instrText xml:space="preserve"> PAGEREF _Toc2174605 \h </w:instrText>
        </w:r>
        <w:r>
          <w:rPr>
            <w:noProof/>
          </w:rPr>
        </w:r>
        <w:r>
          <w:rPr>
            <w:noProof/>
          </w:rPr>
          <w:fldChar w:fldCharType="separate"/>
        </w:r>
        <w:r w:rsidR="00080066">
          <w:rPr>
            <w:noProof/>
          </w:rPr>
          <w:t>3</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06" w:history="1">
        <w:r w:rsidR="005F186E">
          <w:rPr>
            <w:rStyle w:val="afc"/>
            <w:rFonts w:ascii="Times New Roman" w:hAnsi="Arial Unicode MS" w:hint="eastAsia"/>
            <w:b/>
            <w:bCs/>
            <w:noProof/>
          </w:rPr>
          <w:t>第一部分绪言</w:t>
        </w:r>
        <w:r w:rsidR="005F186E">
          <w:rPr>
            <w:noProof/>
          </w:rPr>
          <w:tab/>
        </w:r>
        <w:r>
          <w:rPr>
            <w:noProof/>
          </w:rPr>
          <w:fldChar w:fldCharType="begin"/>
        </w:r>
        <w:r w:rsidR="005F186E">
          <w:rPr>
            <w:noProof/>
          </w:rPr>
          <w:instrText xml:space="preserve"> PAGEREF _Toc2174606 \h </w:instrText>
        </w:r>
        <w:r>
          <w:rPr>
            <w:noProof/>
          </w:rPr>
        </w:r>
        <w:r>
          <w:rPr>
            <w:noProof/>
          </w:rPr>
          <w:fldChar w:fldCharType="separate"/>
        </w:r>
        <w:r w:rsidR="00080066">
          <w:rPr>
            <w:noProof/>
          </w:rPr>
          <w:t>4</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07" w:history="1">
        <w:r w:rsidR="005F186E">
          <w:rPr>
            <w:rStyle w:val="afc"/>
            <w:rFonts w:ascii="Times New Roman" w:hAnsi="Arial Unicode MS" w:hint="eastAsia"/>
            <w:b/>
            <w:bCs/>
            <w:noProof/>
          </w:rPr>
          <w:t>第二部分释义</w:t>
        </w:r>
        <w:r w:rsidR="005F186E">
          <w:rPr>
            <w:noProof/>
          </w:rPr>
          <w:tab/>
        </w:r>
        <w:r>
          <w:rPr>
            <w:noProof/>
          </w:rPr>
          <w:fldChar w:fldCharType="begin"/>
        </w:r>
        <w:r w:rsidR="005F186E">
          <w:rPr>
            <w:noProof/>
          </w:rPr>
          <w:instrText xml:space="preserve"> PAGEREF _Toc2174607 \h </w:instrText>
        </w:r>
        <w:r>
          <w:rPr>
            <w:noProof/>
          </w:rPr>
        </w:r>
        <w:r>
          <w:rPr>
            <w:noProof/>
          </w:rPr>
          <w:fldChar w:fldCharType="separate"/>
        </w:r>
        <w:r w:rsidR="00080066">
          <w:rPr>
            <w:noProof/>
          </w:rPr>
          <w:t>5</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08" w:history="1">
        <w:r w:rsidR="005F186E">
          <w:rPr>
            <w:rStyle w:val="afc"/>
            <w:rFonts w:ascii="Times New Roman" w:hAnsi="Arial Unicode MS" w:hint="eastAsia"/>
            <w:b/>
            <w:bCs/>
            <w:noProof/>
          </w:rPr>
          <w:t>第三部分基金管理人</w:t>
        </w:r>
        <w:r w:rsidR="005F186E">
          <w:rPr>
            <w:noProof/>
          </w:rPr>
          <w:tab/>
        </w:r>
        <w:r>
          <w:rPr>
            <w:noProof/>
          </w:rPr>
          <w:fldChar w:fldCharType="begin"/>
        </w:r>
        <w:r w:rsidR="005F186E">
          <w:rPr>
            <w:noProof/>
          </w:rPr>
          <w:instrText xml:space="preserve"> PAGEREF _Toc2174608 \h </w:instrText>
        </w:r>
        <w:r>
          <w:rPr>
            <w:noProof/>
          </w:rPr>
        </w:r>
        <w:r>
          <w:rPr>
            <w:noProof/>
          </w:rPr>
          <w:fldChar w:fldCharType="separate"/>
        </w:r>
        <w:r w:rsidR="00080066">
          <w:rPr>
            <w:noProof/>
          </w:rPr>
          <w:t>10</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09" w:history="1">
        <w:r w:rsidR="005F186E">
          <w:rPr>
            <w:rStyle w:val="afc"/>
            <w:rFonts w:ascii="Times New Roman" w:hAnsi="Arial Unicode MS" w:hint="eastAsia"/>
            <w:b/>
            <w:bCs/>
            <w:noProof/>
          </w:rPr>
          <w:t>第四部分基金托管人</w:t>
        </w:r>
        <w:r w:rsidR="005F186E">
          <w:rPr>
            <w:noProof/>
          </w:rPr>
          <w:tab/>
        </w:r>
        <w:r>
          <w:rPr>
            <w:noProof/>
          </w:rPr>
          <w:fldChar w:fldCharType="begin"/>
        </w:r>
        <w:r w:rsidR="005F186E">
          <w:rPr>
            <w:noProof/>
          </w:rPr>
          <w:instrText xml:space="preserve"> PAGEREF _Toc2174609 \h </w:instrText>
        </w:r>
        <w:r>
          <w:rPr>
            <w:noProof/>
          </w:rPr>
        </w:r>
        <w:r>
          <w:rPr>
            <w:noProof/>
          </w:rPr>
          <w:fldChar w:fldCharType="separate"/>
        </w:r>
        <w:r w:rsidR="00080066">
          <w:rPr>
            <w:noProof/>
          </w:rPr>
          <w:t>25</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0" w:history="1">
        <w:r w:rsidR="005F186E">
          <w:rPr>
            <w:rStyle w:val="afc"/>
            <w:rFonts w:ascii="Times New Roman" w:hAnsi="Arial Unicode MS" w:hint="eastAsia"/>
            <w:b/>
            <w:bCs/>
            <w:noProof/>
          </w:rPr>
          <w:t>第五部分相关服务机构</w:t>
        </w:r>
        <w:r w:rsidR="005F186E">
          <w:rPr>
            <w:noProof/>
          </w:rPr>
          <w:tab/>
        </w:r>
        <w:r>
          <w:rPr>
            <w:noProof/>
          </w:rPr>
          <w:fldChar w:fldCharType="begin"/>
        </w:r>
        <w:r w:rsidR="005F186E">
          <w:rPr>
            <w:noProof/>
          </w:rPr>
          <w:instrText xml:space="preserve"> PAGEREF _Toc2174610 \h </w:instrText>
        </w:r>
        <w:r>
          <w:rPr>
            <w:noProof/>
          </w:rPr>
        </w:r>
        <w:r>
          <w:rPr>
            <w:noProof/>
          </w:rPr>
          <w:fldChar w:fldCharType="separate"/>
        </w:r>
        <w:r w:rsidR="00080066">
          <w:rPr>
            <w:noProof/>
          </w:rPr>
          <w:t>31</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1" w:history="1">
        <w:r w:rsidR="005F186E">
          <w:rPr>
            <w:rStyle w:val="afc"/>
            <w:rFonts w:ascii="Times New Roman" w:hAnsi="Arial Unicode MS" w:hint="eastAsia"/>
            <w:b/>
            <w:bCs/>
            <w:noProof/>
          </w:rPr>
          <w:t>第六部分基金的募集</w:t>
        </w:r>
        <w:r w:rsidR="005F186E">
          <w:rPr>
            <w:noProof/>
          </w:rPr>
          <w:tab/>
        </w:r>
        <w:r>
          <w:rPr>
            <w:noProof/>
          </w:rPr>
          <w:fldChar w:fldCharType="begin"/>
        </w:r>
        <w:r w:rsidR="005F186E">
          <w:rPr>
            <w:noProof/>
          </w:rPr>
          <w:instrText xml:space="preserve"> PAGEREF _Toc2174611 \h </w:instrText>
        </w:r>
        <w:r>
          <w:rPr>
            <w:noProof/>
          </w:rPr>
        </w:r>
        <w:r>
          <w:rPr>
            <w:noProof/>
          </w:rPr>
          <w:fldChar w:fldCharType="separate"/>
        </w:r>
        <w:r w:rsidR="00080066">
          <w:rPr>
            <w:noProof/>
          </w:rPr>
          <w:t>33</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2" w:history="1">
        <w:r w:rsidR="005F186E">
          <w:rPr>
            <w:rStyle w:val="afc"/>
            <w:rFonts w:ascii="Times New Roman" w:hAnsi="Arial Unicode MS" w:hint="eastAsia"/>
            <w:b/>
            <w:bCs/>
            <w:noProof/>
          </w:rPr>
          <w:t>第七部分基金合同的生效</w:t>
        </w:r>
        <w:r w:rsidR="005F186E">
          <w:rPr>
            <w:noProof/>
          </w:rPr>
          <w:tab/>
        </w:r>
        <w:r>
          <w:rPr>
            <w:noProof/>
          </w:rPr>
          <w:fldChar w:fldCharType="begin"/>
        </w:r>
        <w:r w:rsidR="005F186E">
          <w:rPr>
            <w:noProof/>
          </w:rPr>
          <w:instrText xml:space="preserve"> PAGEREF _Toc2174612 \h </w:instrText>
        </w:r>
        <w:r>
          <w:rPr>
            <w:noProof/>
          </w:rPr>
        </w:r>
        <w:r>
          <w:rPr>
            <w:noProof/>
          </w:rPr>
          <w:fldChar w:fldCharType="separate"/>
        </w:r>
        <w:r w:rsidR="00080066">
          <w:rPr>
            <w:noProof/>
          </w:rPr>
          <w:t>37</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3" w:history="1">
        <w:r w:rsidR="005F186E">
          <w:rPr>
            <w:rStyle w:val="afc"/>
            <w:rFonts w:ascii="Times New Roman" w:hAnsi="Arial Unicode MS" w:hint="eastAsia"/>
            <w:b/>
            <w:bCs/>
            <w:noProof/>
          </w:rPr>
          <w:t>第八部分基金份额的申购与赎回</w:t>
        </w:r>
        <w:r w:rsidR="005F186E">
          <w:rPr>
            <w:noProof/>
          </w:rPr>
          <w:tab/>
        </w:r>
        <w:r>
          <w:rPr>
            <w:noProof/>
          </w:rPr>
          <w:fldChar w:fldCharType="begin"/>
        </w:r>
        <w:r w:rsidR="005F186E">
          <w:rPr>
            <w:noProof/>
          </w:rPr>
          <w:instrText xml:space="preserve"> PAGEREF _Toc2174613 \h </w:instrText>
        </w:r>
        <w:r>
          <w:rPr>
            <w:noProof/>
          </w:rPr>
        </w:r>
        <w:r>
          <w:rPr>
            <w:noProof/>
          </w:rPr>
          <w:fldChar w:fldCharType="separate"/>
        </w:r>
        <w:r w:rsidR="00080066">
          <w:rPr>
            <w:noProof/>
          </w:rPr>
          <w:t>39</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4" w:history="1">
        <w:r w:rsidR="005F186E">
          <w:rPr>
            <w:rStyle w:val="afc"/>
            <w:rFonts w:ascii="Times New Roman" w:hAnsi="Arial Unicode MS" w:hint="eastAsia"/>
            <w:b/>
            <w:bCs/>
            <w:noProof/>
          </w:rPr>
          <w:t>第九部分基金的投资</w:t>
        </w:r>
        <w:r w:rsidR="005F186E">
          <w:rPr>
            <w:noProof/>
          </w:rPr>
          <w:tab/>
        </w:r>
        <w:r>
          <w:rPr>
            <w:noProof/>
          </w:rPr>
          <w:fldChar w:fldCharType="begin"/>
        </w:r>
        <w:r w:rsidR="005F186E">
          <w:rPr>
            <w:noProof/>
          </w:rPr>
          <w:instrText xml:space="preserve"> PAGEREF _Toc2174614 \h </w:instrText>
        </w:r>
        <w:r>
          <w:rPr>
            <w:noProof/>
          </w:rPr>
        </w:r>
        <w:r>
          <w:rPr>
            <w:noProof/>
          </w:rPr>
          <w:fldChar w:fldCharType="separate"/>
        </w:r>
        <w:r w:rsidR="00080066">
          <w:rPr>
            <w:noProof/>
          </w:rPr>
          <w:t>50</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5" w:history="1">
        <w:r w:rsidR="005F186E">
          <w:rPr>
            <w:rStyle w:val="afc"/>
            <w:rFonts w:ascii="Times New Roman" w:hAnsi="Arial Unicode MS" w:hint="eastAsia"/>
            <w:b/>
            <w:bCs/>
            <w:noProof/>
          </w:rPr>
          <w:t>第十部分基金的财产</w:t>
        </w:r>
        <w:r w:rsidR="005F186E">
          <w:rPr>
            <w:noProof/>
          </w:rPr>
          <w:tab/>
        </w:r>
        <w:r>
          <w:rPr>
            <w:noProof/>
          </w:rPr>
          <w:fldChar w:fldCharType="begin"/>
        </w:r>
        <w:r w:rsidR="005F186E">
          <w:rPr>
            <w:noProof/>
          </w:rPr>
          <w:instrText xml:space="preserve"> PAGEREF _Toc2174615 \h </w:instrText>
        </w:r>
        <w:r>
          <w:rPr>
            <w:noProof/>
          </w:rPr>
        </w:r>
        <w:r>
          <w:rPr>
            <w:noProof/>
          </w:rPr>
          <w:fldChar w:fldCharType="separate"/>
        </w:r>
        <w:r w:rsidR="00080066">
          <w:rPr>
            <w:noProof/>
          </w:rPr>
          <w:t>56</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6" w:history="1">
        <w:r w:rsidR="005F186E">
          <w:rPr>
            <w:rStyle w:val="afc"/>
            <w:rFonts w:ascii="Times New Roman" w:hAnsi="Arial Unicode MS" w:hint="eastAsia"/>
            <w:b/>
            <w:bCs/>
            <w:noProof/>
          </w:rPr>
          <w:t>第十一部分基金资产的估值</w:t>
        </w:r>
        <w:r w:rsidR="005F186E">
          <w:rPr>
            <w:noProof/>
          </w:rPr>
          <w:tab/>
        </w:r>
        <w:r>
          <w:rPr>
            <w:noProof/>
          </w:rPr>
          <w:fldChar w:fldCharType="begin"/>
        </w:r>
        <w:r w:rsidR="005F186E">
          <w:rPr>
            <w:noProof/>
          </w:rPr>
          <w:instrText xml:space="preserve"> PAGEREF _Toc2174616 \h </w:instrText>
        </w:r>
        <w:r>
          <w:rPr>
            <w:noProof/>
          </w:rPr>
        </w:r>
        <w:r>
          <w:rPr>
            <w:noProof/>
          </w:rPr>
          <w:fldChar w:fldCharType="separate"/>
        </w:r>
        <w:r w:rsidR="00080066">
          <w:rPr>
            <w:noProof/>
          </w:rPr>
          <w:t>57</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7" w:history="1">
        <w:r w:rsidR="005F186E">
          <w:rPr>
            <w:rStyle w:val="afc"/>
            <w:rFonts w:ascii="Times New Roman" w:hAnsi="Arial Unicode MS" w:hint="eastAsia"/>
            <w:b/>
            <w:bCs/>
            <w:noProof/>
          </w:rPr>
          <w:t>第十二部分基金的收益与分配</w:t>
        </w:r>
        <w:r w:rsidR="005F186E">
          <w:rPr>
            <w:noProof/>
          </w:rPr>
          <w:tab/>
        </w:r>
        <w:r>
          <w:rPr>
            <w:noProof/>
          </w:rPr>
          <w:fldChar w:fldCharType="begin"/>
        </w:r>
        <w:r w:rsidR="005F186E">
          <w:rPr>
            <w:noProof/>
          </w:rPr>
          <w:instrText xml:space="preserve"> PAGEREF _Toc2174617 \h </w:instrText>
        </w:r>
        <w:r>
          <w:rPr>
            <w:noProof/>
          </w:rPr>
        </w:r>
        <w:r>
          <w:rPr>
            <w:noProof/>
          </w:rPr>
          <w:fldChar w:fldCharType="separate"/>
        </w:r>
        <w:r w:rsidR="00080066">
          <w:rPr>
            <w:noProof/>
          </w:rPr>
          <w:t>63</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8" w:history="1">
        <w:r w:rsidR="005F186E">
          <w:rPr>
            <w:rStyle w:val="afc"/>
            <w:rFonts w:ascii="Times New Roman" w:hAnsi="Arial Unicode MS" w:hint="eastAsia"/>
            <w:b/>
            <w:bCs/>
            <w:noProof/>
          </w:rPr>
          <w:t>第十三部分基金费用与税收</w:t>
        </w:r>
        <w:r w:rsidR="005F186E">
          <w:rPr>
            <w:noProof/>
          </w:rPr>
          <w:tab/>
        </w:r>
        <w:r>
          <w:rPr>
            <w:noProof/>
          </w:rPr>
          <w:fldChar w:fldCharType="begin"/>
        </w:r>
        <w:r w:rsidR="005F186E">
          <w:rPr>
            <w:noProof/>
          </w:rPr>
          <w:instrText xml:space="preserve"> PAGEREF _Toc2174618 \h </w:instrText>
        </w:r>
        <w:r>
          <w:rPr>
            <w:noProof/>
          </w:rPr>
        </w:r>
        <w:r>
          <w:rPr>
            <w:noProof/>
          </w:rPr>
          <w:fldChar w:fldCharType="separate"/>
        </w:r>
        <w:r w:rsidR="00080066">
          <w:rPr>
            <w:noProof/>
          </w:rPr>
          <w:t>65</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19" w:history="1">
        <w:r w:rsidR="005F186E">
          <w:rPr>
            <w:rStyle w:val="afc"/>
            <w:rFonts w:ascii="Times New Roman" w:hAnsi="Arial Unicode MS" w:hint="eastAsia"/>
            <w:b/>
            <w:bCs/>
            <w:noProof/>
          </w:rPr>
          <w:t>第十四部分基金的会计与审计</w:t>
        </w:r>
        <w:r w:rsidR="005F186E">
          <w:rPr>
            <w:noProof/>
          </w:rPr>
          <w:tab/>
        </w:r>
        <w:r>
          <w:rPr>
            <w:noProof/>
          </w:rPr>
          <w:fldChar w:fldCharType="begin"/>
        </w:r>
        <w:r w:rsidR="005F186E">
          <w:rPr>
            <w:noProof/>
          </w:rPr>
          <w:instrText xml:space="preserve"> PAGEREF _Toc2174619 \h </w:instrText>
        </w:r>
        <w:r>
          <w:rPr>
            <w:noProof/>
          </w:rPr>
        </w:r>
        <w:r>
          <w:rPr>
            <w:noProof/>
          </w:rPr>
          <w:fldChar w:fldCharType="separate"/>
        </w:r>
        <w:r w:rsidR="00080066">
          <w:rPr>
            <w:noProof/>
          </w:rPr>
          <w:t>67</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0" w:history="1">
        <w:r w:rsidR="005F186E">
          <w:rPr>
            <w:rStyle w:val="afc"/>
            <w:rFonts w:ascii="Times New Roman" w:hAnsi="Arial Unicode MS" w:hint="eastAsia"/>
            <w:b/>
            <w:bCs/>
            <w:noProof/>
          </w:rPr>
          <w:t>第十五部分基金的信息披露</w:t>
        </w:r>
        <w:r w:rsidR="005F186E">
          <w:rPr>
            <w:noProof/>
          </w:rPr>
          <w:tab/>
        </w:r>
        <w:r>
          <w:rPr>
            <w:noProof/>
          </w:rPr>
          <w:fldChar w:fldCharType="begin"/>
        </w:r>
        <w:r w:rsidR="005F186E">
          <w:rPr>
            <w:noProof/>
          </w:rPr>
          <w:instrText xml:space="preserve"> PAGEREF _Toc2174620 \h </w:instrText>
        </w:r>
        <w:r>
          <w:rPr>
            <w:noProof/>
          </w:rPr>
        </w:r>
        <w:r>
          <w:rPr>
            <w:noProof/>
          </w:rPr>
          <w:fldChar w:fldCharType="separate"/>
        </w:r>
        <w:r w:rsidR="00080066">
          <w:rPr>
            <w:noProof/>
          </w:rPr>
          <w:t>68</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1" w:history="1">
        <w:r w:rsidR="005F186E">
          <w:rPr>
            <w:rStyle w:val="afc"/>
            <w:rFonts w:ascii="Times New Roman" w:hAnsi="Arial Unicode MS" w:hint="eastAsia"/>
            <w:b/>
            <w:bCs/>
            <w:noProof/>
          </w:rPr>
          <w:t>第十六部分风险揭示</w:t>
        </w:r>
        <w:r w:rsidR="005F186E">
          <w:rPr>
            <w:noProof/>
          </w:rPr>
          <w:tab/>
        </w:r>
        <w:r>
          <w:rPr>
            <w:noProof/>
          </w:rPr>
          <w:fldChar w:fldCharType="begin"/>
        </w:r>
        <w:r w:rsidR="005F186E">
          <w:rPr>
            <w:noProof/>
          </w:rPr>
          <w:instrText xml:space="preserve"> PAGEREF _Toc2174621 \h </w:instrText>
        </w:r>
        <w:r>
          <w:rPr>
            <w:noProof/>
          </w:rPr>
        </w:r>
        <w:r>
          <w:rPr>
            <w:noProof/>
          </w:rPr>
          <w:fldChar w:fldCharType="separate"/>
        </w:r>
        <w:r w:rsidR="00080066">
          <w:rPr>
            <w:noProof/>
          </w:rPr>
          <w:t>74</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2" w:history="1">
        <w:r w:rsidR="005F186E">
          <w:rPr>
            <w:rStyle w:val="afc"/>
            <w:rFonts w:ascii="Times New Roman" w:hAnsi="Arial Unicode MS" w:hint="eastAsia"/>
            <w:b/>
            <w:bCs/>
            <w:noProof/>
          </w:rPr>
          <w:t>第十七部分基金合同的变更、终止与基金财产的清算</w:t>
        </w:r>
        <w:r w:rsidR="005F186E">
          <w:rPr>
            <w:noProof/>
          </w:rPr>
          <w:tab/>
        </w:r>
        <w:r>
          <w:rPr>
            <w:noProof/>
          </w:rPr>
          <w:fldChar w:fldCharType="begin"/>
        </w:r>
        <w:r w:rsidR="005F186E">
          <w:rPr>
            <w:noProof/>
          </w:rPr>
          <w:instrText xml:space="preserve"> PAGEREF _Toc2174622 \h </w:instrText>
        </w:r>
        <w:r>
          <w:rPr>
            <w:noProof/>
          </w:rPr>
        </w:r>
        <w:r>
          <w:rPr>
            <w:noProof/>
          </w:rPr>
          <w:fldChar w:fldCharType="separate"/>
        </w:r>
        <w:r w:rsidR="00080066">
          <w:rPr>
            <w:noProof/>
          </w:rPr>
          <w:t>77</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3" w:history="1">
        <w:r w:rsidR="005F186E">
          <w:rPr>
            <w:rStyle w:val="afc"/>
            <w:rFonts w:ascii="Times New Roman" w:hAnsi="Arial Unicode MS" w:hint="eastAsia"/>
            <w:b/>
            <w:bCs/>
            <w:noProof/>
          </w:rPr>
          <w:t>第十八部分基金合同的内容摘要</w:t>
        </w:r>
        <w:r w:rsidR="005F186E">
          <w:rPr>
            <w:noProof/>
          </w:rPr>
          <w:tab/>
        </w:r>
        <w:r>
          <w:rPr>
            <w:noProof/>
          </w:rPr>
          <w:fldChar w:fldCharType="begin"/>
        </w:r>
        <w:r w:rsidR="005F186E">
          <w:rPr>
            <w:noProof/>
          </w:rPr>
          <w:instrText xml:space="preserve"> PAGEREF _Toc2174623 \h </w:instrText>
        </w:r>
        <w:r>
          <w:rPr>
            <w:noProof/>
          </w:rPr>
        </w:r>
        <w:r>
          <w:rPr>
            <w:noProof/>
          </w:rPr>
          <w:fldChar w:fldCharType="separate"/>
        </w:r>
        <w:r w:rsidR="00080066">
          <w:rPr>
            <w:noProof/>
          </w:rPr>
          <w:t>79</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4" w:history="1">
        <w:r w:rsidR="005F186E">
          <w:rPr>
            <w:rStyle w:val="afc"/>
            <w:rFonts w:ascii="Times New Roman" w:hAnsi="Arial Unicode MS" w:hint="eastAsia"/>
            <w:b/>
            <w:bCs/>
            <w:noProof/>
          </w:rPr>
          <w:t>第十九部分基金托管协议的内容摘要</w:t>
        </w:r>
        <w:r w:rsidR="005F186E">
          <w:rPr>
            <w:noProof/>
          </w:rPr>
          <w:tab/>
        </w:r>
        <w:r>
          <w:rPr>
            <w:noProof/>
          </w:rPr>
          <w:fldChar w:fldCharType="begin"/>
        </w:r>
        <w:r w:rsidR="005F186E">
          <w:rPr>
            <w:noProof/>
          </w:rPr>
          <w:instrText xml:space="preserve"> PAGEREF _Toc2174624 \h </w:instrText>
        </w:r>
        <w:r>
          <w:rPr>
            <w:noProof/>
          </w:rPr>
        </w:r>
        <w:r>
          <w:rPr>
            <w:noProof/>
          </w:rPr>
          <w:fldChar w:fldCharType="separate"/>
        </w:r>
        <w:r w:rsidR="00080066">
          <w:rPr>
            <w:noProof/>
          </w:rPr>
          <w:t>95</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5" w:history="1">
        <w:r w:rsidR="005F186E">
          <w:rPr>
            <w:rStyle w:val="afc"/>
            <w:rFonts w:ascii="Times New Roman" w:hAnsi="Arial Unicode MS" w:hint="eastAsia"/>
            <w:b/>
            <w:bCs/>
            <w:noProof/>
          </w:rPr>
          <w:t>第二十部分对基金份额持有人的服务</w:t>
        </w:r>
        <w:r w:rsidR="005F186E">
          <w:rPr>
            <w:noProof/>
          </w:rPr>
          <w:tab/>
        </w:r>
        <w:r>
          <w:rPr>
            <w:noProof/>
          </w:rPr>
          <w:fldChar w:fldCharType="begin"/>
        </w:r>
        <w:r w:rsidR="005F186E">
          <w:rPr>
            <w:noProof/>
          </w:rPr>
          <w:instrText xml:space="preserve"> PAGEREF _Toc2174625 \h </w:instrText>
        </w:r>
        <w:r>
          <w:rPr>
            <w:noProof/>
          </w:rPr>
        </w:r>
        <w:r>
          <w:rPr>
            <w:noProof/>
          </w:rPr>
          <w:fldChar w:fldCharType="separate"/>
        </w:r>
        <w:r w:rsidR="00080066">
          <w:rPr>
            <w:noProof/>
          </w:rPr>
          <w:t>112</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6" w:history="1">
        <w:r w:rsidR="005F186E">
          <w:rPr>
            <w:rStyle w:val="afc"/>
            <w:rFonts w:ascii="Times New Roman" w:hAnsi="Arial Unicode MS" w:hint="eastAsia"/>
            <w:b/>
            <w:bCs/>
            <w:noProof/>
          </w:rPr>
          <w:t>第二十一部分招募说明书的存放及查阅方式</w:t>
        </w:r>
        <w:r w:rsidR="005F186E">
          <w:rPr>
            <w:noProof/>
          </w:rPr>
          <w:tab/>
        </w:r>
        <w:r>
          <w:rPr>
            <w:noProof/>
          </w:rPr>
          <w:fldChar w:fldCharType="begin"/>
        </w:r>
        <w:r w:rsidR="005F186E">
          <w:rPr>
            <w:noProof/>
          </w:rPr>
          <w:instrText xml:space="preserve"> PAGEREF _Toc2174626 \h </w:instrText>
        </w:r>
        <w:r>
          <w:rPr>
            <w:noProof/>
          </w:rPr>
        </w:r>
        <w:r>
          <w:rPr>
            <w:noProof/>
          </w:rPr>
          <w:fldChar w:fldCharType="separate"/>
        </w:r>
        <w:r w:rsidR="00080066">
          <w:rPr>
            <w:noProof/>
          </w:rPr>
          <w:t>114</w:t>
        </w:r>
        <w:r>
          <w:rPr>
            <w:noProof/>
          </w:rPr>
          <w:fldChar w:fldCharType="end"/>
        </w:r>
      </w:hyperlink>
    </w:p>
    <w:p w:rsidR="00CB515E" w:rsidRDefault="003C29EE">
      <w:pPr>
        <w:pStyle w:val="10"/>
        <w:rPr>
          <w:rFonts w:asciiTheme="minorHAnsi" w:eastAsiaTheme="minorEastAsia" w:hAnsiTheme="minorHAnsi" w:cstheme="minorBidi"/>
          <w:caps w:val="0"/>
          <w:noProof/>
          <w:sz w:val="21"/>
          <w:szCs w:val="22"/>
        </w:rPr>
      </w:pPr>
      <w:hyperlink w:anchor="_Toc2174627" w:history="1">
        <w:r w:rsidR="005F186E">
          <w:rPr>
            <w:rStyle w:val="afc"/>
            <w:rFonts w:ascii="Times New Roman" w:hAnsi="Arial Unicode MS" w:hint="eastAsia"/>
            <w:b/>
            <w:bCs/>
            <w:noProof/>
          </w:rPr>
          <w:t>第二十二部分备查文件</w:t>
        </w:r>
        <w:r w:rsidR="005F186E">
          <w:rPr>
            <w:noProof/>
          </w:rPr>
          <w:tab/>
        </w:r>
        <w:r>
          <w:rPr>
            <w:noProof/>
          </w:rPr>
          <w:fldChar w:fldCharType="begin"/>
        </w:r>
        <w:r w:rsidR="005F186E">
          <w:rPr>
            <w:noProof/>
          </w:rPr>
          <w:instrText xml:space="preserve"> PAGEREF _Toc2174627 \h </w:instrText>
        </w:r>
        <w:r>
          <w:rPr>
            <w:noProof/>
          </w:rPr>
        </w:r>
        <w:r>
          <w:rPr>
            <w:noProof/>
          </w:rPr>
          <w:fldChar w:fldCharType="separate"/>
        </w:r>
        <w:r w:rsidR="00080066">
          <w:rPr>
            <w:noProof/>
          </w:rPr>
          <w:t>115</w:t>
        </w:r>
        <w:r>
          <w:rPr>
            <w:noProof/>
          </w:rPr>
          <w:fldChar w:fldCharType="end"/>
        </w:r>
      </w:hyperlink>
    </w:p>
    <w:p w:rsidR="00CB515E" w:rsidRDefault="003C29EE">
      <w:pPr>
        <w:adjustRightInd w:val="0"/>
        <w:snapToGrid w:val="0"/>
        <w:spacing w:line="360" w:lineRule="auto"/>
        <w:rPr>
          <w:bCs/>
          <w:spacing w:val="120"/>
          <w:szCs w:val="21"/>
        </w:rPr>
        <w:sectPr w:rsidR="00CB515E">
          <w:footerReference w:type="default" r:id="rId15"/>
          <w:headerReference w:type="first" r:id="rId16"/>
          <w:footerReference w:type="first" r:id="rId17"/>
          <w:pgSz w:w="11906" w:h="16838"/>
          <w:pgMar w:top="1440" w:right="1800" w:bottom="1440" w:left="1800" w:header="851" w:footer="992" w:gutter="0"/>
          <w:pgNumType w:start="1"/>
          <w:cols w:space="720"/>
          <w:titlePg/>
          <w:docGrid w:linePitch="312"/>
        </w:sectPr>
      </w:pPr>
      <w:r>
        <w:rPr>
          <w:bCs/>
          <w:spacing w:val="120"/>
          <w:szCs w:val="21"/>
        </w:rPr>
        <w:fldChar w:fldCharType="end"/>
      </w:r>
    </w:p>
    <w:p w:rsidR="00CB515E" w:rsidRDefault="00CB515E">
      <w:pPr>
        <w:rPr>
          <w:b/>
          <w:bCs/>
          <w:sz w:val="28"/>
          <w:szCs w:val="28"/>
        </w:rPr>
      </w:pPr>
    </w:p>
    <w:p w:rsidR="00CB515E" w:rsidRDefault="00CB515E">
      <w:pPr>
        <w:ind w:firstLine="120"/>
      </w:pPr>
    </w:p>
    <w:p w:rsidR="00CB515E" w:rsidRDefault="00CB515E">
      <w:pPr>
        <w:ind w:firstLine="105"/>
        <w:sectPr w:rsidR="00CB515E">
          <w:footerReference w:type="default" r:id="rId18"/>
          <w:footerReference w:type="first" r:id="rId19"/>
          <w:type w:val="continuous"/>
          <w:pgSz w:w="11906" w:h="16838"/>
          <w:pgMar w:top="1440" w:right="1800" w:bottom="1440" w:left="1800" w:header="851" w:footer="992" w:gutter="0"/>
          <w:cols w:space="720"/>
          <w:titlePg/>
          <w:docGrid w:linePitch="312"/>
        </w:sectPr>
      </w:pPr>
    </w:p>
    <w:p w:rsidR="00CB515E" w:rsidRDefault="005F186E">
      <w:pPr>
        <w:pStyle w:val="1"/>
        <w:snapToGrid w:val="0"/>
        <w:spacing w:before="0" w:after="0" w:line="360" w:lineRule="auto"/>
        <w:ind w:firstLineChars="50" w:firstLine="161"/>
        <w:rPr>
          <w:rFonts w:ascii="Times New Roman" w:eastAsia="宋体" w:hAnsi="Arial Unicode MS"/>
          <w:b/>
          <w:bCs/>
          <w:sz w:val="32"/>
          <w:szCs w:val="32"/>
        </w:rPr>
      </w:pPr>
      <w:bookmarkStart w:id="2" w:name="_Toc335232691"/>
      <w:bookmarkStart w:id="3" w:name="_Toc2174606"/>
      <w:r>
        <w:rPr>
          <w:rFonts w:ascii="Times New Roman" w:eastAsia="宋体" w:hAnsi="Arial Unicode MS"/>
          <w:b/>
          <w:bCs/>
          <w:sz w:val="32"/>
          <w:szCs w:val="32"/>
        </w:rPr>
        <w:t>第一部分绪言</w:t>
      </w:r>
      <w:bookmarkEnd w:id="2"/>
      <w:bookmarkEnd w:id="3"/>
    </w:p>
    <w:p w:rsidR="00CB515E" w:rsidRDefault="00CB515E">
      <w:pPr>
        <w:autoSpaceDE w:val="0"/>
        <w:autoSpaceDN w:val="0"/>
        <w:adjustRightInd w:val="0"/>
        <w:snapToGrid w:val="0"/>
        <w:spacing w:line="360" w:lineRule="auto"/>
        <w:ind w:firstLineChars="200" w:firstLine="420"/>
        <w:rPr>
          <w:szCs w:val="21"/>
        </w:rPr>
      </w:pP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《山西证券</w:t>
      </w:r>
      <w:r>
        <w:rPr>
          <w:rFonts w:eastAsiaTheme="minorEastAsia" w:hAnsiTheme="minorEastAsia" w:hint="eastAsia"/>
          <w:kern w:val="0"/>
          <w:sz w:val="24"/>
        </w:rPr>
        <w:t>裕泰</w:t>
      </w:r>
      <w:r>
        <w:rPr>
          <w:rFonts w:eastAsiaTheme="minorEastAsia" w:hint="eastAsia"/>
          <w:kern w:val="0"/>
          <w:sz w:val="24"/>
        </w:rPr>
        <w:t>3</w:t>
      </w:r>
      <w:r>
        <w:rPr>
          <w:rFonts w:eastAsiaTheme="minorEastAsia" w:hint="eastAsia"/>
          <w:kern w:val="0"/>
          <w:sz w:val="24"/>
        </w:rPr>
        <w:t>个月</w:t>
      </w:r>
      <w:r>
        <w:rPr>
          <w:rFonts w:eastAsiaTheme="minorEastAsia" w:hAnsiTheme="minorEastAsia" w:hint="eastAsia"/>
          <w:kern w:val="0"/>
          <w:sz w:val="24"/>
        </w:rPr>
        <w:t>定期开放</w:t>
      </w:r>
      <w:r>
        <w:rPr>
          <w:rFonts w:eastAsiaTheme="minorEastAsia" w:hAnsiTheme="minorEastAsia"/>
          <w:kern w:val="0"/>
          <w:sz w:val="24"/>
        </w:rPr>
        <w:t>债券型</w:t>
      </w:r>
      <w:r>
        <w:rPr>
          <w:rFonts w:eastAsiaTheme="minorEastAsia" w:hAnsiTheme="minorEastAsia" w:hint="eastAsia"/>
          <w:kern w:val="0"/>
          <w:sz w:val="24"/>
        </w:rPr>
        <w:t>发起式</w:t>
      </w:r>
      <w:r>
        <w:rPr>
          <w:rFonts w:eastAsiaTheme="minorEastAsia" w:hAnsiTheme="minorEastAsia"/>
          <w:kern w:val="0"/>
          <w:sz w:val="24"/>
        </w:rPr>
        <w:t>证券投资基金招募说明书》（以下简称</w:t>
      </w:r>
      <w:r>
        <w:rPr>
          <w:rFonts w:eastAsiaTheme="minorEastAsia" w:hint="eastAsia"/>
          <w:kern w:val="0"/>
          <w:sz w:val="24"/>
        </w:rPr>
        <w:t>“</w:t>
      </w:r>
      <w:r>
        <w:rPr>
          <w:rFonts w:eastAsiaTheme="minorEastAsia" w:hAnsiTheme="minorEastAsia"/>
          <w:kern w:val="0"/>
          <w:sz w:val="24"/>
        </w:rPr>
        <w:t>招募说明书</w:t>
      </w:r>
      <w:r>
        <w:rPr>
          <w:rFonts w:eastAsiaTheme="minorEastAsia" w:hint="eastAsia"/>
          <w:kern w:val="0"/>
          <w:sz w:val="24"/>
        </w:rPr>
        <w:t>”</w:t>
      </w:r>
      <w:r>
        <w:rPr>
          <w:rFonts w:eastAsiaTheme="minorEastAsia" w:hAnsiTheme="minorEastAsia"/>
          <w:kern w:val="0"/>
          <w:sz w:val="24"/>
        </w:rPr>
        <w:t>或</w:t>
      </w:r>
      <w:r>
        <w:rPr>
          <w:rFonts w:eastAsiaTheme="minorEastAsia"/>
          <w:kern w:val="0"/>
          <w:sz w:val="24"/>
        </w:rPr>
        <w:t>“</w:t>
      </w:r>
      <w:r>
        <w:rPr>
          <w:rFonts w:eastAsiaTheme="minorEastAsia" w:hAnsiTheme="minorEastAsia"/>
          <w:kern w:val="0"/>
          <w:sz w:val="24"/>
        </w:rPr>
        <w:t>本招募说明书</w:t>
      </w:r>
      <w:r>
        <w:rPr>
          <w:rFonts w:eastAsiaTheme="minorEastAsia" w:hint="eastAsia"/>
          <w:kern w:val="0"/>
          <w:sz w:val="24"/>
        </w:rPr>
        <w:t>”</w:t>
      </w:r>
      <w:r>
        <w:rPr>
          <w:rFonts w:eastAsiaTheme="minorEastAsia" w:hAnsiTheme="minorEastAsia"/>
          <w:kern w:val="0"/>
          <w:sz w:val="24"/>
        </w:rPr>
        <w:t>）依照《中华人民共和国证券投资基金法》（以下简称</w:t>
      </w:r>
      <w:r>
        <w:rPr>
          <w:rFonts w:eastAsiaTheme="minorEastAsia" w:hint="eastAsia"/>
          <w:kern w:val="0"/>
          <w:sz w:val="24"/>
        </w:rPr>
        <w:t>“</w:t>
      </w:r>
      <w:r>
        <w:rPr>
          <w:rFonts w:eastAsiaTheme="minorEastAsia" w:hAnsiTheme="minorEastAsia"/>
          <w:kern w:val="0"/>
          <w:sz w:val="24"/>
        </w:rPr>
        <w:t>《基金法》</w:t>
      </w:r>
      <w:r>
        <w:rPr>
          <w:rFonts w:eastAsiaTheme="minorEastAsia" w:hint="eastAsia"/>
          <w:kern w:val="0"/>
          <w:sz w:val="24"/>
        </w:rPr>
        <w:t>”</w:t>
      </w:r>
      <w:r>
        <w:rPr>
          <w:rFonts w:eastAsiaTheme="minorEastAsia" w:hAnsiTheme="minorEastAsia"/>
          <w:kern w:val="0"/>
          <w:sz w:val="24"/>
        </w:rPr>
        <w:t>）、《公开募集证券投资基金运作管理办法》（以下简称</w:t>
      </w:r>
      <w:r>
        <w:rPr>
          <w:rFonts w:eastAsiaTheme="minorEastAsia" w:hint="eastAsia"/>
          <w:kern w:val="0"/>
          <w:sz w:val="24"/>
        </w:rPr>
        <w:t>“</w:t>
      </w:r>
      <w:r>
        <w:rPr>
          <w:rFonts w:eastAsiaTheme="minorEastAsia" w:hAnsiTheme="minorEastAsia"/>
          <w:kern w:val="0"/>
          <w:sz w:val="24"/>
        </w:rPr>
        <w:t>《运作办法》</w:t>
      </w:r>
      <w:r>
        <w:rPr>
          <w:rFonts w:eastAsiaTheme="minorEastAsia" w:hint="eastAsia"/>
          <w:kern w:val="0"/>
          <w:sz w:val="24"/>
        </w:rPr>
        <w:t>”</w:t>
      </w:r>
      <w:r>
        <w:rPr>
          <w:rFonts w:eastAsiaTheme="minorEastAsia" w:hAnsiTheme="minorEastAsia"/>
          <w:kern w:val="0"/>
          <w:sz w:val="24"/>
        </w:rPr>
        <w:t>）、《证券投资基金销售管理办法》（以下简称</w:t>
      </w:r>
      <w:r>
        <w:rPr>
          <w:rFonts w:eastAsiaTheme="minorEastAsia" w:hint="eastAsia"/>
          <w:kern w:val="0"/>
          <w:sz w:val="24"/>
        </w:rPr>
        <w:t>“</w:t>
      </w:r>
      <w:r>
        <w:rPr>
          <w:rFonts w:eastAsiaTheme="minorEastAsia" w:hAnsiTheme="minorEastAsia"/>
          <w:kern w:val="0"/>
          <w:sz w:val="24"/>
        </w:rPr>
        <w:t>《销售办法》</w:t>
      </w:r>
      <w:r>
        <w:rPr>
          <w:rFonts w:eastAsiaTheme="minorEastAsia" w:hint="eastAsia"/>
          <w:kern w:val="0"/>
          <w:sz w:val="24"/>
        </w:rPr>
        <w:t>”</w:t>
      </w:r>
      <w:r>
        <w:rPr>
          <w:rFonts w:eastAsiaTheme="minorEastAsia" w:hAnsiTheme="minorEastAsia"/>
          <w:kern w:val="0"/>
          <w:sz w:val="24"/>
        </w:rPr>
        <w:t>）、《证券投资基金信息披露管理办法》（以下简称</w:t>
      </w:r>
      <w:r>
        <w:rPr>
          <w:rFonts w:eastAsiaTheme="minorEastAsia" w:hint="eastAsia"/>
          <w:kern w:val="0"/>
          <w:sz w:val="24"/>
        </w:rPr>
        <w:t>“</w:t>
      </w:r>
      <w:r>
        <w:rPr>
          <w:rFonts w:eastAsiaTheme="minorEastAsia" w:hAnsiTheme="minorEastAsia"/>
          <w:kern w:val="0"/>
          <w:sz w:val="24"/>
        </w:rPr>
        <w:t>《信息披露办法》</w:t>
      </w:r>
      <w:r>
        <w:rPr>
          <w:rFonts w:eastAsiaTheme="minorEastAsia" w:hint="eastAsia"/>
          <w:kern w:val="0"/>
          <w:sz w:val="24"/>
        </w:rPr>
        <w:t>”</w:t>
      </w:r>
      <w:r>
        <w:rPr>
          <w:rFonts w:eastAsiaTheme="minorEastAsia" w:hAnsiTheme="minorEastAsia"/>
          <w:kern w:val="0"/>
          <w:sz w:val="24"/>
        </w:rPr>
        <w:t>）</w:t>
      </w:r>
      <w:r>
        <w:rPr>
          <w:rFonts w:eastAsiaTheme="minorEastAsia" w:hAnsiTheme="minorEastAsia" w:hint="eastAsia"/>
          <w:kern w:val="0"/>
          <w:sz w:val="24"/>
        </w:rPr>
        <w:t>、《公开募集开放式证券投资基金流动性风险管理规定》（以下简称“《流动性风险管理规定》”）</w:t>
      </w:r>
      <w:r>
        <w:rPr>
          <w:rFonts w:eastAsiaTheme="minorEastAsia" w:hAnsiTheme="minorEastAsia"/>
          <w:kern w:val="0"/>
          <w:sz w:val="24"/>
        </w:rPr>
        <w:t>和其他有关法律法规以及《山西证券</w:t>
      </w:r>
      <w:r>
        <w:rPr>
          <w:rFonts w:eastAsiaTheme="minorEastAsia" w:hAnsiTheme="minorEastAsia" w:hint="eastAsia"/>
          <w:kern w:val="0"/>
          <w:sz w:val="24"/>
        </w:rPr>
        <w:t>裕泰</w:t>
      </w:r>
      <w:r>
        <w:rPr>
          <w:rFonts w:eastAsiaTheme="minorEastAsia" w:hAnsiTheme="minorEastAsia" w:hint="eastAsia"/>
          <w:kern w:val="0"/>
          <w:sz w:val="24"/>
        </w:rPr>
        <w:t>3</w:t>
      </w:r>
      <w:r>
        <w:rPr>
          <w:rFonts w:eastAsiaTheme="minorEastAsia" w:hAnsiTheme="minorEastAsia" w:hint="eastAsia"/>
          <w:kern w:val="0"/>
          <w:sz w:val="24"/>
        </w:rPr>
        <w:t>个月定期开放</w:t>
      </w:r>
      <w:r>
        <w:rPr>
          <w:rFonts w:eastAsiaTheme="minorEastAsia" w:hAnsiTheme="minorEastAsia"/>
          <w:kern w:val="0"/>
          <w:sz w:val="24"/>
        </w:rPr>
        <w:t>债券型</w:t>
      </w:r>
      <w:r>
        <w:rPr>
          <w:rFonts w:eastAsiaTheme="minorEastAsia" w:hAnsiTheme="minorEastAsia" w:hint="eastAsia"/>
          <w:kern w:val="0"/>
          <w:sz w:val="24"/>
        </w:rPr>
        <w:t>发起式</w:t>
      </w:r>
      <w:r>
        <w:rPr>
          <w:rFonts w:eastAsiaTheme="minorEastAsia" w:hAnsiTheme="minorEastAsia"/>
          <w:kern w:val="0"/>
          <w:sz w:val="24"/>
        </w:rPr>
        <w:t>证券投资基金基金合同》（以下简称</w:t>
      </w:r>
      <w:r>
        <w:rPr>
          <w:rFonts w:eastAsiaTheme="minorEastAsia" w:hAnsiTheme="minorEastAsia" w:hint="eastAsia"/>
          <w:kern w:val="0"/>
          <w:sz w:val="24"/>
        </w:rPr>
        <w:t>“</w:t>
      </w:r>
      <w:r>
        <w:rPr>
          <w:rFonts w:eastAsiaTheme="minorEastAsia" w:hAnsiTheme="minorEastAsia"/>
          <w:kern w:val="0"/>
          <w:sz w:val="24"/>
        </w:rPr>
        <w:t>基金合同</w:t>
      </w:r>
      <w:r>
        <w:rPr>
          <w:rFonts w:eastAsiaTheme="minorEastAsia" w:hAnsiTheme="minorEastAsia" w:hint="eastAsia"/>
          <w:kern w:val="0"/>
          <w:sz w:val="24"/>
        </w:rPr>
        <w:t>”</w:t>
      </w:r>
      <w:r>
        <w:rPr>
          <w:rFonts w:eastAsiaTheme="minorEastAsia" w:hAnsiTheme="minorEastAsia"/>
          <w:kern w:val="0"/>
          <w:sz w:val="24"/>
        </w:rPr>
        <w:t>）编写。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本招募说明书阐述了山西证券</w:t>
      </w:r>
      <w:r>
        <w:rPr>
          <w:rFonts w:eastAsiaTheme="minorEastAsia" w:hAnsiTheme="minorEastAsia" w:hint="eastAsia"/>
          <w:kern w:val="0"/>
          <w:sz w:val="24"/>
        </w:rPr>
        <w:t>裕泰</w:t>
      </w:r>
      <w:r>
        <w:rPr>
          <w:rFonts w:eastAsiaTheme="minorEastAsia" w:hint="eastAsia"/>
          <w:kern w:val="0"/>
          <w:sz w:val="24"/>
        </w:rPr>
        <w:t>3</w:t>
      </w:r>
      <w:r>
        <w:rPr>
          <w:rFonts w:eastAsiaTheme="minorEastAsia" w:hint="eastAsia"/>
          <w:kern w:val="0"/>
          <w:sz w:val="24"/>
        </w:rPr>
        <w:t>个月</w:t>
      </w:r>
      <w:r>
        <w:rPr>
          <w:rFonts w:eastAsiaTheme="minorEastAsia" w:hAnsiTheme="minorEastAsia" w:hint="eastAsia"/>
          <w:kern w:val="0"/>
          <w:sz w:val="24"/>
        </w:rPr>
        <w:t>定期开放</w:t>
      </w:r>
      <w:r>
        <w:rPr>
          <w:rFonts w:eastAsiaTheme="minorEastAsia" w:hAnsiTheme="minorEastAsia"/>
          <w:kern w:val="0"/>
          <w:sz w:val="24"/>
        </w:rPr>
        <w:t>债券型</w:t>
      </w:r>
      <w:r>
        <w:rPr>
          <w:rFonts w:eastAsiaTheme="minorEastAsia" w:hAnsiTheme="minorEastAsia" w:hint="eastAsia"/>
          <w:kern w:val="0"/>
          <w:sz w:val="24"/>
        </w:rPr>
        <w:t>发起式</w:t>
      </w:r>
      <w:r>
        <w:rPr>
          <w:rFonts w:eastAsiaTheme="minorEastAsia" w:hAnsiTheme="minorEastAsia"/>
          <w:kern w:val="0"/>
          <w:sz w:val="24"/>
        </w:rPr>
        <w:t>证券投资基金的投资目标、策略、风险、费率等与投资人投资决策有关的必要事项，投资人在作出投资决策前应仔细阅读本招募说明书。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基金管理人承诺本招募说明书不存在任何虚假记载、误导性陈述或重大遗漏，并对其真实性、准确性、完整性承担法律责任。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山西证券</w:t>
      </w:r>
      <w:r>
        <w:rPr>
          <w:rFonts w:eastAsiaTheme="minorEastAsia" w:hAnsiTheme="minorEastAsia" w:hint="eastAsia"/>
          <w:kern w:val="0"/>
          <w:sz w:val="24"/>
        </w:rPr>
        <w:t>裕泰</w:t>
      </w:r>
      <w:r>
        <w:rPr>
          <w:rFonts w:eastAsiaTheme="minorEastAsia" w:hint="eastAsia"/>
          <w:kern w:val="0"/>
          <w:sz w:val="24"/>
        </w:rPr>
        <w:t>3</w:t>
      </w:r>
      <w:r>
        <w:rPr>
          <w:rFonts w:eastAsiaTheme="minorEastAsia" w:hint="eastAsia"/>
          <w:kern w:val="0"/>
          <w:sz w:val="24"/>
        </w:rPr>
        <w:t>个月</w:t>
      </w:r>
      <w:r>
        <w:rPr>
          <w:rFonts w:eastAsiaTheme="minorEastAsia" w:hAnsiTheme="minorEastAsia" w:hint="eastAsia"/>
          <w:kern w:val="0"/>
          <w:sz w:val="24"/>
        </w:rPr>
        <w:t>定期开放</w:t>
      </w:r>
      <w:r>
        <w:rPr>
          <w:rFonts w:eastAsiaTheme="minorEastAsia" w:hAnsiTheme="minorEastAsia"/>
          <w:kern w:val="0"/>
          <w:sz w:val="24"/>
        </w:rPr>
        <w:t>债券型</w:t>
      </w:r>
      <w:r>
        <w:rPr>
          <w:rFonts w:eastAsiaTheme="minorEastAsia" w:hAnsiTheme="minorEastAsia" w:hint="eastAsia"/>
          <w:kern w:val="0"/>
          <w:sz w:val="24"/>
        </w:rPr>
        <w:t>发起式</w:t>
      </w:r>
      <w:r>
        <w:rPr>
          <w:rFonts w:eastAsiaTheme="minorEastAsia" w:hAnsiTheme="minorEastAsia"/>
          <w:kern w:val="0"/>
          <w:sz w:val="24"/>
        </w:rPr>
        <w:t>证券投资基金（以下简称</w:t>
      </w:r>
      <w:r>
        <w:rPr>
          <w:rFonts w:eastAsiaTheme="minorEastAsia"/>
          <w:kern w:val="0"/>
          <w:sz w:val="24"/>
        </w:rPr>
        <w:t>“</w:t>
      </w:r>
      <w:r>
        <w:rPr>
          <w:rFonts w:eastAsiaTheme="minorEastAsia" w:hAnsiTheme="minorEastAsia"/>
          <w:kern w:val="0"/>
          <w:sz w:val="24"/>
        </w:rPr>
        <w:t>基金</w:t>
      </w:r>
      <w:r>
        <w:rPr>
          <w:rFonts w:eastAsiaTheme="minorEastAsia"/>
          <w:kern w:val="0"/>
          <w:sz w:val="24"/>
        </w:rPr>
        <w:t>”</w:t>
      </w:r>
      <w:r>
        <w:rPr>
          <w:rFonts w:eastAsiaTheme="minorEastAsia" w:hAnsiTheme="minorEastAsia"/>
          <w:kern w:val="0"/>
          <w:sz w:val="24"/>
        </w:rPr>
        <w:t>或</w:t>
      </w:r>
      <w:r>
        <w:rPr>
          <w:rFonts w:eastAsiaTheme="minorEastAsia"/>
          <w:kern w:val="0"/>
          <w:sz w:val="24"/>
        </w:rPr>
        <w:t>“</w:t>
      </w:r>
      <w:r>
        <w:rPr>
          <w:rFonts w:eastAsiaTheme="minorEastAsia" w:hAnsiTheme="minorEastAsia"/>
          <w:kern w:val="0"/>
          <w:sz w:val="24"/>
        </w:rPr>
        <w:t>本基金</w:t>
      </w:r>
      <w:r>
        <w:rPr>
          <w:rFonts w:eastAsiaTheme="minorEastAsia"/>
          <w:kern w:val="0"/>
          <w:sz w:val="24"/>
        </w:rPr>
        <w:t>”</w:t>
      </w:r>
      <w:r>
        <w:rPr>
          <w:rFonts w:eastAsiaTheme="minorEastAsia" w:hAnsiTheme="minorEastAsia"/>
          <w:kern w:val="0"/>
          <w:sz w:val="24"/>
        </w:rPr>
        <w:t>）是根据本招募说明书所载明的资料申请</w:t>
      </w:r>
      <w:r>
        <w:rPr>
          <w:rFonts w:eastAsiaTheme="minorEastAsia" w:hAnsiTheme="minorEastAsia" w:hint="eastAsia"/>
          <w:kern w:val="0"/>
          <w:sz w:val="24"/>
        </w:rPr>
        <w:t>销售</w:t>
      </w:r>
      <w:r>
        <w:rPr>
          <w:rFonts w:eastAsiaTheme="minorEastAsia" w:hAnsiTheme="minorEastAsia"/>
          <w:kern w:val="0"/>
          <w:sz w:val="24"/>
        </w:rPr>
        <w:t>的。本基金管理人没有委托或授权任何其他人提供未在本招募说明书中载明的信息，或对本招募说明书作任何解释或者说明。</w:t>
      </w:r>
    </w:p>
    <w:p w:rsidR="00CB515E" w:rsidRDefault="005F186E">
      <w:pPr>
        <w:adjustRightInd w:val="0"/>
        <w:snapToGrid w:val="0"/>
        <w:spacing w:line="360" w:lineRule="auto"/>
        <w:ind w:firstLineChars="200" w:firstLine="480"/>
        <w:rPr>
          <w:kern w:val="0"/>
          <w:sz w:val="24"/>
        </w:rPr>
      </w:pPr>
      <w:r>
        <w:rPr>
          <w:rFonts w:eastAsiaTheme="minorEastAsia" w:hAnsiTheme="minorEastAsia"/>
          <w:kern w:val="0"/>
          <w:sz w:val="24"/>
        </w:rPr>
        <w:t>本招募说明书根据本基金的基金合同编写，并经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CB515E" w:rsidRDefault="005F186E">
      <w:pPr>
        <w:pStyle w:val="1"/>
        <w:snapToGrid w:val="0"/>
        <w:spacing w:before="0" w:after="0" w:line="360" w:lineRule="auto"/>
        <w:ind w:firstLineChars="50" w:firstLine="120"/>
        <w:rPr>
          <w:rFonts w:ascii="Times New Roman" w:eastAsia="宋体"/>
          <w:b/>
          <w:bCs/>
          <w:sz w:val="32"/>
          <w:szCs w:val="32"/>
        </w:rPr>
      </w:pPr>
      <w:r>
        <w:rPr>
          <w:rFonts w:ascii="Times New Roman"/>
          <w:szCs w:val="21"/>
        </w:rPr>
        <w:br w:type="page"/>
      </w:r>
      <w:bookmarkStart w:id="4" w:name="_Toc214873591"/>
      <w:bookmarkStart w:id="5" w:name="_Toc335232692"/>
      <w:bookmarkStart w:id="6" w:name="_Toc2174607"/>
      <w:r>
        <w:rPr>
          <w:rFonts w:ascii="Times New Roman" w:eastAsia="宋体" w:hAnsi="Arial Unicode MS"/>
          <w:b/>
          <w:bCs/>
          <w:sz w:val="32"/>
          <w:szCs w:val="32"/>
        </w:rPr>
        <w:t>第二部分释义</w:t>
      </w:r>
      <w:bookmarkEnd w:id="4"/>
      <w:bookmarkEnd w:id="5"/>
      <w:bookmarkEnd w:id="6"/>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AnsiTheme="minorEastAsia"/>
          <w:kern w:val="0"/>
          <w:sz w:val="24"/>
        </w:rPr>
        <w:t>在本招募说明书中，除非文义另有所指，下列词语具有以下含义：</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、基金或本基金：指山西证券裕泰</w:t>
      </w:r>
      <w:r>
        <w:rPr>
          <w:rFonts w:eastAsiaTheme="minorEastAsia" w:hint="eastAsia"/>
          <w:kern w:val="0"/>
          <w:sz w:val="24"/>
        </w:rPr>
        <w:t>3</w:t>
      </w:r>
      <w:r>
        <w:rPr>
          <w:rFonts w:eastAsiaTheme="minorEastAsia" w:hint="eastAsia"/>
          <w:kern w:val="0"/>
          <w:sz w:val="24"/>
        </w:rPr>
        <w:t>个月定期开放债券型发起式证券投资基金</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、基金管理人：指山西证券股份有限公司</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、基金托管人：指招商银行股份有限公司</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、基金合同：指《山西证券裕泰</w:t>
      </w:r>
      <w:r>
        <w:rPr>
          <w:rFonts w:eastAsiaTheme="minorEastAsia" w:hint="eastAsia"/>
          <w:kern w:val="0"/>
          <w:sz w:val="24"/>
        </w:rPr>
        <w:t>3</w:t>
      </w:r>
      <w:r>
        <w:rPr>
          <w:rFonts w:eastAsiaTheme="minorEastAsia" w:hint="eastAsia"/>
          <w:kern w:val="0"/>
          <w:sz w:val="24"/>
        </w:rPr>
        <w:t>个月定期开放债券型发起式证券投资基金基金合同》及对基金合同的任何有效修订和补充</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、托管协议：指基金管理人与基金托管人就本基金签订之《山西证券裕泰</w:t>
      </w:r>
      <w:r>
        <w:rPr>
          <w:rFonts w:eastAsiaTheme="minorEastAsia" w:hint="eastAsia"/>
          <w:kern w:val="0"/>
          <w:sz w:val="24"/>
        </w:rPr>
        <w:t>3</w:t>
      </w:r>
      <w:r>
        <w:rPr>
          <w:rFonts w:eastAsiaTheme="minorEastAsia" w:hint="eastAsia"/>
          <w:kern w:val="0"/>
          <w:sz w:val="24"/>
        </w:rPr>
        <w:t>个月定期开放债券型发起式证券投资基金托管协议》及对该托管协议的任何有效修订和补充</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6</w:t>
      </w:r>
      <w:r>
        <w:rPr>
          <w:rFonts w:eastAsiaTheme="minorEastAsia" w:hint="eastAsia"/>
          <w:kern w:val="0"/>
          <w:sz w:val="24"/>
        </w:rPr>
        <w:t>、招募说明书：指《山西证券裕泰</w:t>
      </w:r>
      <w:r>
        <w:rPr>
          <w:rFonts w:eastAsiaTheme="minorEastAsia" w:hint="eastAsia"/>
          <w:kern w:val="0"/>
          <w:sz w:val="24"/>
        </w:rPr>
        <w:t>3</w:t>
      </w:r>
      <w:r>
        <w:rPr>
          <w:rFonts w:eastAsiaTheme="minorEastAsia" w:hint="eastAsia"/>
          <w:kern w:val="0"/>
          <w:sz w:val="24"/>
        </w:rPr>
        <w:t>个月定期开放债券型发起式证券投资基金招募说明书》及其定期的更新</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、基金份额发售公告：指《山西证券裕泰</w:t>
      </w:r>
      <w:r>
        <w:rPr>
          <w:rFonts w:eastAsiaTheme="minorEastAsia" w:hint="eastAsia"/>
          <w:kern w:val="0"/>
          <w:sz w:val="24"/>
        </w:rPr>
        <w:t>3</w:t>
      </w:r>
      <w:r>
        <w:rPr>
          <w:rFonts w:eastAsiaTheme="minorEastAsia" w:hint="eastAsia"/>
          <w:kern w:val="0"/>
          <w:sz w:val="24"/>
        </w:rPr>
        <w:t>个月定期开放债券型发起式证券投资基金基金份额发售公告》</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8</w:t>
      </w:r>
      <w:r>
        <w:rPr>
          <w:rFonts w:eastAsiaTheme="minorEastAsia" w:hint="eastAsia"/>
          <w:kern w:val="0"/>
          <w:sz w:val="24"/>
        </w:rPr>
        <w:t>、法律法规：指中国现行有效并公布实施的法律、行政法规、规范性文件、司法解释、行政规章以及其他对基金合同当事人有约束力的决定、决议、通知等</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9</w:t>
      </w:r>
      <w:r>
        <w:rPr>
          <w:rFonts w:eastAsiaTheme="minorEastAsia" w:hint="eastAsia"/>
          <w:kern w:val="0"/>
          <w:sz w:val="24"/>
        </w:rPr>
        <w:t>、《基金法》：指</w:t>
      </w:r>
      <w:r>
        <w:rPr>
          <w:rFonts w:eastAsiaTheme="minorEastAsia" w:hint="eastAsia"/>
          <w:kern w:val="0"/>
          <w:sz w:val="24"/>
        </w:rPr>
        <w:t>2003</w:t>
      </w:r>
      <w:r>
        <w:rPr>
          <w:rFonts w:eastAsiaTheme="minorEastAsia" w:hint="eastAsia"/>
          <w:kern w:val="0"/>
          <w:sz w:val="24"/>
        </w:rPr>
        <w:t>年</w:t>
      </w:r>
      <w:r>
        <w:rPr>
          <w:rFonts w:eastAsiaTheme="minorEastAsia" w:hint="eastAsia"/>
          <w:kern w:val="0"/>
          <w:sz w:val="24"/>
        </w:rPr>
        <w:t>10</w:t>
      </w:r>
      <w:r>
        <w:rPr>
          <w:rFonts w:eastAsiaTheme="minorEastAsia" w:hint="eastAsia"/>
          <w:kern w:val="0"/>
          <w:sz w:val="24"/>
        </w:rPr>
        <w:t>月</w:t>
      </w:r>
      <w:r>
        <w:rPr>
          <w:rFonts w:eastAsiaTheme="minorEastAsia" w:hint="eastAsia"/>
          <w:kern w:val="0"/>
          <w:sz w:val="24"/>
        </w:rPr>
        <w:t>28</w:t>
      </w:r>
      <w:r>
        <w:rPr>
          <w:rFonts w:eastAsiaTheme="minorEastAsia" w:hint="eastAsia"/>
          <w:kern w:val="0"/>
          <w:sz w:val="24"/>
        </w:rPr>
        <w:t>日经第十届全国人民代表大会常务委员会第五次会议通过，经</w:t>
      </w:r>
      <w:r>
        <w:rPr>
          <w:rFonts w:eastAsiaTheme="minorEastAsia" w:hint="eastAsia"/>
          <w:kern w:val="0"/>
          <w:sz w:val="24"/>
        </w:rPr>
        <w:t>2012</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28</w:t>
      </w:r>
      <w:r>
        <w:rPr>
          <w:rFonts w:eastAsiaTheme="minorEastAsia" w:hint="eastAsia"/>
          <w:kern w:val="0"/>
          <w:sz w:val="24"/>
        </w:rPr>
        <w:t>日第十一届全国人民代表大会常务委员会第三十次会议修订，自</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6</w:t>
      </w:r>
      <w:r>
        <w:rPr>
          <w:rFonts w:eastAsiaTheme="minorEastAsia" w:hint="eastAsia"/>
          <w:kern w:val="0"/>
          <w:sz w:val="24"/>
        </w:rPr>
        <w:t>月</w:t>
      </w:r>
      <w:r>
        <w:rPr>
          <w:rFonts w:eastAsiaTheme="minorEastAsia" w:hint="eastAsia"/>
          <w:kern w:val="0"/>
          <w:sz w:val="24"/>
        </w:rPr>
        <w:t>1</w:t>
      </w:r>
      <w:r>
        <w:rPr>
          <w:rFonts w:eastAsiaTheme="minorEastAsia" w:hint="eastAsia"/>
          <w:kern w:val="0"/>
          <w:sz w:val="24"/>
        </w:rPr>
        <w:t>日起实施，并经</w:t>
      </w:r>
      <w:r>
        <w:rPr>
          <w:rFonts w:eastAsiaTheme="minorEastAsia" w:hint="eastAsia"/>
          <w:kern w:val="0"/>
          <w:sz w:val="24"/>
        </w:rPr>
        <w:t>2015</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24</w:t>
      </w:r>
      <w:r>
        <w:rPr>
          <w:rFonts w:eastAsiaTheme="minorEastAsia" w:hint="eastAsia"/>
          <w:kern w:val="0"/>
          <w:sz w:val="24"/>
        </w:rPr>
        <w:t>日第十二届全国人民代表大会常务委员会第十四次会议《全国人民代表大会常务委员会关于修改</w:t>
      </w:r>
      <w:r>
        <w:rPr>
          <w:rFonts w:eastAsiaTheme="minorEastAsia" w:hint="eastAsia"/>
          <w:kern w:val="0"/>
          <w:sz w:val="24"/>
        </w:rPr>
        <w:t>&lt;</w:t>
      </w:r>
      <w:r>
        <w:rPr>
          <w:rFonts w:eastAsiaTheme="minorEastAsia" w:hint="eastAsia"/>
          <w:kern w:val="0"/>
          <w:sz w:val="24"/>
        </w:rPr>
        <w:t>中华人民共和国港口法</w:t>
      </w:r>
      <w:r>
        <w:rPr>
          <w:rFonts w:eastAsiaTheme="minorEastAsia" w:hint="eastAsia"/>
          <w:kern w:val="0"/>
          <w:sz w:val="24"/>
        </w:rPr>
        <w:t>&gt;</w:t>
      </w:r>
      <w:r>
        <w:rPr>
          <w:rFonts w:eastAsiaTheme="minorEastAsia" w:hint="eastAsia"/>
          <w:kern w:val="0"/>
          <w:sz w:val="24"/>
        </w:rPr>
        <w:t>等七部法律的决定》修正的《中华人民共和国证券投资基金法》及颁布机关对其不时做出的修订</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10</w:t>
      </w:r>
      <w:r>
        <w:rPr>
          <w:rFonts w:eastAsiaTheme="minorEastAsia" w:hint="eastAsia"/>
          <w:kern w:val="0"/>
          <w:sz w:val="24"/>
        </w:rPr>
        <w:t>、《销售办法》：指中国证监会</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3</w:t>
      </w:r>
      <w:r>
        <w:rPr>
          <w:rFonts w:eastAsiaTheme="minorEastAsia" w:hint="eastAsia"/>
          <w:kern w:val="0"/>
          <w:sz w:val="24"/>
        </w:rPr>
        <w:t>月</w:t>
      </w:r>
      <w:r>
        <w:rPr>
          <w:rFonts w:eastAsiaTheme="minorEastAsia" w:hint="eastAsia"/>
          <w:kern w:val="0"/>
          <w:sz w:val="24"/>
        </w:rPr>
        <w:t>15</w:t>
      </w:r>
      <w:r>
        <w:rPr>
          <w:rFonts w:eastAsiaTheme="minorEastAsia" w:hint="eastAsia"/>
          <w:kern w:val="0"/>
          <w:sz w:val="24"/>
        </w:rPr>
        <w:t>日颁布、同年</w:t>
      </w:r>
      <w:r>
        <w:rPr>
          <w:rFonts w:eastAsiaTheme="minorEastAsia" w:hint="eastAsia"/>
          <w:kern w:val="0"/>
          <w:sz w:val="24"/>
        </w:rPr>
        <w:t>6</w:t>
      </w:r>
      <w:r>
        <w:rPr>
          <w:rFonts w:eastAsiaTheme="minorEastAsia" w:hint="eastAsia"/>
          <w:kern w:val="0"/>
          <w:sz w:val="24"/>
        </w:rPr>
        <w:t>月</w:t>
      </w:r>
      <w:r>
        <w:rPr>
          <w:rFonts w:eastAsiaTheme="minorEastAsia" w:hint="eastAsia"/>
          <w:kern w:val="0"/>
          <w:sz w:val="24"/>
        </w:rPr>
        <w:t>1</w:t>
      </w:r>
      <w:r>
        <w:rPr>
          <w:rFonts w:eastAsiaTheme="minorEastAsia" w:hint="eastAsia"/>
          <w:kern w:val="0"/>
          <w:sz w:val="24"/>
        </w:rPr>
        <w:t>日实施的《证券投资基金销售管理办法》及颁布机关对其不时做出的修订</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11</w:t>
      </w:r>
      <w:r>
        <w:rPr>
          <w:rFonts w:eastAsiaTheme="minorEastAsia" w:hint="eastAsia"/>
          <w:kern w:val="0"/>
          <w:sz w:val="24"/>
        </w:rPr>
        <w:t>、《信息披露办法》：指中国证监会</w:t>
      </w:r>
      <w:r>
        <w:rPr>
          <w:rFonts w:eastAsiaTheme="minorEastAsia" w:hint="eastAsia"/>
          <w:kern w:val="0"/>
          <w:sz w:val="24"/>
        </w:rPr>
        <w:t>2004</w:t>
      </w:r>
      <w:r>
        <w:rPr>
          <w:rFonts w:eastAsiaTheme="minorEastAsia" w:hint="eastAsia"/>
          <w:kern w:val="0"/>
          <w:sz w:val="24"/>
        </w:rPr>
        <w:t>年</w:t>
      </w:r>
      <w:r>
        <w:rPr>
          <w:rFonts w:eastAsiaTheme="minorEastAsia" w:hint="eastAsia"/>
          <w:kern w:val="0"/>
          <w:sz w:val="24"/>
        </w:rPr>
        <w:t>6</w:t>
      </w:r>
      <w:r>
        <w:rPr>
          <w:rFonts w:eastAsiaTheme="minorEastAsia" w:hint="eastAsia"/>
          <w:kern w:val="0"/>
          <w:sz w:val="24"/>
        </w:rPr>
        <w:t>月</w:t>
      </w:r>
      <w:r>
        <w:rPr>
          <w:rFonts w:eastAsiaTheme="minorEastAsia" w:hint="eastAsia"/>
          <w:kern w:val="0"/>
          <w:sz w:val="24"/>
        </w:rPr>
        <w:t>8</w:t>
      </w:r>
      <w:r>
        <w:rPr>
          <w:rFonts w:eastAsiaTheme="minorEastAsia" w:hint="eastAsia"/>
          <w:kern w:val="0"/>
          <w:sz w:val="24"/>
        </w:rPr>
        <w:t>日颁布、同年</w:t>
      </w:r>
      <w:r>
        <w:rPr>
          <w:rFonts w:eastAsiaTheme="minorEastAsia" w:hint="eastAsia"/>
          <w:kern w:val="0"/>
          <w:sz w:val="24"/>
        </w:rPr>
        <w:t>7</w:t>
      </w:r>
      <w:r>
        <w:rPr>
          <w:rFonts w:eastAsiaTheme="minorEastAsia" w:hint="eastAsia"/>
          <w:kern w:val="0"/>
          <w:sz w:val="24"/>
        </w:rPr>
        <w:t>月</w:t>
      </w:r>
      <w:r>
        <w:rPr>
          <w:rFonts w:eastAsiaTheme="minorEastAsia" w:hint="eastAsia"/>
          <w:kern w:val="0"/>
          <w:sz w:val="24"/>
        </w:rPr>
        <w:t>1</w:t>
      </w:r>
      <w:r>
        <w:rPr>
          <w:rFonts w:eastAsiaTheme="minorEastAsia" w:hint="eastAsia"/>
          <w:kern w:val="0"/>
          <w:sz w:val="24"/>
        </w:rPr>
        <w:t>日实施的《证券投资基金信息披露管理办法》及颁布机关对其不时做出的修订</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12</w:t>
      </w:r>
      <w:r>
        <w:rPr>
          <w:rFonts w:eastAsiaTheme="minorEastAsia" w:hint="eastAsia"/>
          <w:kern w:val="0"/>
          <w:sz w:val="24"/>
        </w:rPr>
        <w:t>、《运作办法》：指中国证监会</w:t>
      </w:r>
      <w:r>
        <w:rPr>
          <w:rFonts w:eastAsiaTheme="minorEastAsia" w:hint="eastAsia"/>
          <w:kern w:val="0"/>
          <w:sz w:val="24"/>
        </w:rPr>
        <w:t>2014</w:t>
      </w:r>
      <w:r>
        <w:rPr>
          <w:rFonts w:eastAsiaTheme="minorEastAsia" w:hint="eastAsia"/>
          <w:kern w:val="0"/>
          <w:sz w:val="24"/>
        </w:rPr>
        <w:t>年</w:t>
      </w:r>
      <w:r>
        <w:rPr>
          <w:rFonts w:eastAsiaTheme="minorEastAsia" w:hint="eastAsia"/>
          <w:kern w:val="0"/>
          <w:sz w:val="24"/>
        </w:rPr>
        <w:t>7</w:t>
      </w:r>
      <w:r>
        <w:rPr>
          <w:rFonts w:eastAsiaTheme="minorEastAsia" w:hint="eastAsia"/>
          <w:kern w:val="0"/>
          <w:sz w:val="24"/>
        </w:rPr>
        <w:t>月</w:t>
      </w:r>
      <w:r>
        <w:rPr>
          <w:rFonts w:eastAsiaTheme="minorEastAsia" w:hint="eastAsia"/>
          <w:kern w:val="0"/>
          <w:sz w:val="24"/>
        </w:rPr>
        <w:t>7</w:t>
      </w:r>
      <w:r>
        <w:rPr>
          <w:rFonts w:eastAsiaTheme="minorEastAsia" w:hint="eastAsia"/>
          <w:kern w:val="0"/>
          <w:sz w:val="24"/>
        </w:rPr>
        <w:t>日颁布、同年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8</w:t>
      </w:r>
      <w:r>
        <w:rPr>
          <w:rFonts w:eastAsiaTheme="minorEastAsia" w:hint="eastAsia"/>
          <w:kern w:val="0"/>
          <w:sz w:val="24"/>
        </w:rPr>
        <w:t>日实施的《公开募集证券投资基金运作管理办法》及颁布机关对其不时做出的修订</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13</w:t>
      </w:r>
      <w:r>
        <w:rPr>
          <w:rFonts w:eastAsiaTheme="minorEastAsia" w:hint="eastAsia"/>
          <w:kern w:val="0"/>
          <w:sz w:val="24"/>
        </w:rPr>
        <w:t>、《流动性风险管理规定》：指中国证监会</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日颁布、同年</w:t>
      </w:r>
      <w:r>
        <w:rPr>
          <w:rFonts w:eastAsiaTheme="minorEastAsia" w:hint="eastAsia"/>
          <w:kern w:val="0"/>
          <w:sz w:val="24"/>
        </w:rPr>
        <w:t>10</w:t>
      </w:r>
      <w:r>
        <w:rPr>
          <w:rFonts w:eastAsiaTheme="minorEastAsia" w:hint="eastAsia"/>
          <w:kern w:val="0"/>
          <w:sz w:val="24"/>
        </w:rPr>
        <w:t>月</w:t>
      </w:r>
      <w:r>
        <w:rPr>
          <w:rFonts w:eastAsiaTheme="minorEastAsia" w:hint="eastAsia"/>
          <w:kern w:val="0"/>
          <w:sz w:val="24"/>
        </w:rPr>
        <w:t>1</w:t>
      </w:r>
      <w:r>
        <w:rPr>
          <w:rFonts w:eastAsiaTheme="minorEastAsia" w:hint="eastAsia"/>
          <w:kern w:val="0"/>
          <w:sz w:val="24"/>
        </w:rPr>
        <w:t>日实施的《公开募集开放式证券投资基金流动性风险管理规定》及颁布机关对其不时做出的修订</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14</w:t>
      </w:r>
      <w:r>
        <w:rPr>
          <w:rFonts w:eastAsiaTheme="minorEastAsia" w:hint="eastAsia"/>
          <w:kern w:val="0"/>
          <w:sz w:val="24"/>
        </w:rPr>
        <w:t>、中国证监会：指中国证券监督管理委员会</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15</w:t>
      </w:r>
      <w:r>
        <w:rPr>
          <w:rFonts w:eastAsiaTheme="minorEastAsia" w:hint="eastAsia"/>
          <w:kern w:val="0"/>
          <w:sz w:val="24"/>
        </w:rPr>
        <w:t>、银行业监督管理机构：指中国人民银行和</w:t>
      </w:r>
      <w:r>
        <w:rPr>
          <w:rFonts w:eastAsiaTheme="minorEastAsia" w:hint="eastAsia"/>
          <w:kern w:val="0"/>
          <w:sz w:val="24"/>
        </w:rPr>
        <w:t>/</w:t>
      </w:r>
      <w:r>
        <w:rPr>
          <w:rFonts w:eastAsiaTheme="minorEastAsia" w:hint="eastAsia"/>
          <w:kern w:val="0"/>
          <w:sz w:val="24"/>
        </w:rPr>
        <w:t>或中国银行保险监督管理委员会</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16</w:t>
      </w:r>
      <w:r>
        <w:rPr>
          <w:rFonts w:eastAsiaTheme="minorEastAsia" w:hint="eastAsia"/>
          <w:kern w:val="0"/>
          <w:sz w:val="24"/>
        </w:rPr>
        <w:t>、基金合同当事人：指受基金合同约束，根据基金合同享有权利并承担义务的法律主体，包括基金管理人、基金托管人和基金份额持有人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17</w:t>
      </w:r>
      <w:r>
        <w:rPr>
          <w:rFonts w:eastAsiaTheme="minorEastAsia" w:hint="eastAsia"/>
          <w:kern w:val="0"/>
          <w:sz w:val="24"/>
        </w:rPr>
        <w:t>、个人投资者：指依据有关法律法规规定可投资于证券投资基金的自然人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18</w:t>
      </w:r>
      <w:r>
        <w:rPr>
          <w:rFonts w:eastAsiaTheme="minorEastAsia" w:hint="eastAsia"/>
          <w:kern w:val="0"/>
          <w:sz w:val="24"/>
        </w:rPr>
        <w:t>、机构投资者：指依法可以投资证券投资基金的、在中华人民共和国境内合法登记并存续或经有关政府部门批准设立并存续的企业法人、事业法人、社会团体或其他组织</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19</w:t>
      </w:r>
      <w:r>
        <w:rPr>
          <w:rFonts w:eastAsiaTheme="minorEastAsia" w:hint="eastAsia"/>
          <w:kern w:val="0"/>
          <w:sz w:val="24"/>
        </w:rPr>
        <w:t>、合格境外机构投资者：指符合相关法律法规规定可以投资于在中国境内依法募集的证券投资基金的中国境外的机构投资者</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20</w:t>
      </w:r>
      <w:r>
        <w:rPr>
          <w:rFonts w:eastAsiaTheme="minorEastAsia" w:hint="eastAsia"/>
          <w:kern w:val="0"/>
          <w:sz w:val="24"/>
        </w:rPr>
        <w:t>、人民币合格境外机构投资者：指按照《人民币合格境外机构投资者境内证券投资试点办法》及相关法律法规规定，运用来自境外的人民币资金进行境内证券投资的境外法人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21</w:t>
      </w:r>
      <w:r>
        <w:rPr>
          <w:rFonts w:eastAsiaTheme="minorEastAsia" w:hint="eastAsia"/>
          <w:kern w:val="0"/>
          <w:sz w:val="24"/>
        </w:rPr>
        <w:t>、投资人、投资者：指个人投资者、机构投资者、合格境外机构投资者和人民币合格境外机构投资者以及法律法规或中国证监会允许购买证券投资基金的其他投资人的合称，本基金不向个人投资者公开销售，法律法规或监管机构另有规定的除外</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22</w:t>
      </w:r>
      <w:r>
        <w:rPr>
          <w:rFonts w:eastAsiaTheme="minorEastAsia" w:hint="eastAsia"/>
          <w:kern w:val="0"/>
          <w:sz w:val="24"/>
        </w:rPr>
        <w:t>、基金份额持有人：指依基金合同和招募说明书合法取得基金份额的投资人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23</w:t>
      </w:r>
      <w:r>
        <w:rPr>
          <w:rFonts w:eastAsiaTheme="minorEastAsia" w:hint="eastAsia"/>
          <w:kern w:val="0"/>
          <w:sz w:val="24"/>
        </w:rPr>
        <w:t>、发起资金：指用于认购本基金且来源于基金管理人的股东资金、基金管理人固有资金、基金管理人高级管理人员或基金经理（指基金管理人员工中依法具有基金经理资格者，包括但不限于本基金的基金经理，同时也包括基金经理之外公司投研人员，下同）等人员的资金</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24</w:t>
      </w:r>
      <w:r>
        <w:rPr>
          <w:rFonts w:eastAsiaTheme="minorEastAsia" w:hint="eastAsia"/>
          <w:kern w:val="0"/>
          <w:sz w:val="24"/>
        </w:rPr>
        <w:t>、发起资金提供方：指以发起资金认购且承诺以发起资金认购的基金份额持有期限不少于</w:t>
      </w:r>
      <w:r>
        <w:rPr>
          <w:rFonts w:eastAsiaTheme="minorEastAsia" w:hint="eastAsia"/>
          <w:kern w:val="0"/>
          <w:sz w:val="24"/>
        </w:rPr>
        <w:t>3</w:t>
      </w:r>
      <w:r>
        <w:rPr>
          <w:rFonts w:eastAsiaTheme="minorEastAsia" w:hint="eastAsia"/>
          <w:kern w:val="0"/>
          <w:sz w:val="24"/>
        </w:rPr>
        <w:t>年的基金管理人的股东、基金管理人、基金管理人高级管理人员或基金经理等人员</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25</w:t>
      </w:r>
      <w:r>
        <w:rPr>
          <w:rFonts w:eastAsiaTheme="minorEastAsia" w:hint="eastAsia"/>
          <w:kern w:val="0"/>
          <w:sz w:val="24"/>
        </w:rPr>
        <w:t>、基金销售业务：指基金管理人或销售机构宣传推介基金，发售基金份额，办理基金份额的申购、赎回、转换、转托管及定期定额投资等业务</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26</w:t>
      </w:r>
      <w:r>
        <w:rPr>
          <w:rFonts w:eastAsiaTheme="minorEastAsia" w:hint="eastAsia"/>
          <w:kern w:val="0"/>
          <w:sz w:val="24"/>
        </w:rPr>
        <w:t>、销售机构：指山西证券股份有限公司以及符合《销售办法》和中国证监会规定的其他条件，取得基金销售业务资格并与基金管理人签订了基金销售服务协议，办理基金销售业务的机构</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27</w:t>
      </w:r>
      <w:r>
        <w:rPr>
          <w:rFonts w:eastAsiaTheme="minorEastAsia" w:hint="eastAsia"/>
          <w:kern w:val="0"/>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28</w:t>
      </w:r>
      <w:r>
        <w:rPr>
          <w:rFonts w:eastAsiaTheme="minorEastAsia" w:hint="eastAsia"/>
          <w:kern w:val="0"/>
          <w:sz w:val="24"/>
        </w:rPr>
        <w:t>、登记机构：指办理登记业务的机构。基金的登记机构为山西证券股份有限公司或接受山西证券股份有限公司委托代为办理登记业务的机构</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29</w:t>
      </w:r>
      <w:r>
        <w:rPr>
          <w:rFonts w:eastAsiaTheme="minorEastAsia" w:hint="eastAsia"/>
          <w:kern w:val="0"/>
          <w:sz w:val="24"/>
        </w:rPr>
        <w:t>、基金账户：指登记机构为投资人开立的、记录其持有的、基金管理人所管理的基金份额余额及其变动情况的账户</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30</w:t>
      </w:r>
      <w:r>
        <w:rPr>
          <w:rFonts w:eastAsiaTheme="minorEastAsia" w:hint="eastAsia"/>
          <w:kern w:val="0"/>
          <w:sz w:val="24"/>
        </w:rPr>
        <w:t>、基金交易账户：指销售机构为投资人开立的、记录投资人通过该销售机构办理认购、申购、赎回、转换、转托管及定期定额投资等业务而引起的基金份额变动及结余情况的账户</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31</w:t>
      </w:r>
      <w:r>
        <w:rPr>
          <w:rFonts w:eastAsiaTheme="minorEastAsia" w:hint="eastAsia"/>
          <w:kern w:val="0"/>
          <w:sz w:val="24"/>
        </w:rPr>
        <w:t>、基金合同生效日：指基金募集达到法律法规规定及基金合同规定的条件，基金管理人向中国证监会办理基金备案手续完毕，并获得中国证监会书面确认的日期</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32</w:t>
      </w:r>
      <w:r>
        <w:rPr>
          <w:rFonts w:eastAsiaTheme="minorEastAsia" w:hint="eastAsia"/>
          <w:kern w:val="0"/>
          <w:sz w:val="24"/>
        </w:rPr>
        <w:t>、基金合同终止日：指基金合同规定的基金合同终止事由出现后，基金财产清算完毕，清算结果报中国证监会备案并予以公告的日期</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33</w:t>
      </w:r>
      <w:r>
        <w:rPr>
          <w:rFonts w:eastAsiaTheme="minorEastAsia" w:hint="eastAsia"/>
          <w:kern w:val="0"/>
          <w:sz w:val="24"/>
        </w:rPr>
        <w:t>、基金募集期：指自基金份额发售之日起至发售结束之日止的期间，最长不得超过</w:t>
      </w:r>
      <w:r>
        <w:rPr>
          <w:rFonts w:eastAsiaTheme="minorEastAsia" w:hint="eastAsia"/>
          <w:kern w:val="0"/>
          <w:sz w:val="24"/>
        </w:rPr>
        <w:t>3</w:t>
      </w:r>
      <w:r>
        <w:rPr>
          <w:rFonts w:eastAsiaTheme="minorEastAsia" w:hint="eastAsia"/>
          <w:kern w:val="0"/>
          <w:sz w:val="24"/>
        </w:rPr>
        <w:t>个月</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34</w:t>
      </w:r>
      <w:r>
        <w:rPr>
          <w:rFonts w:eastAsiaTheme="minorEastAsia" w:hint="eastAsia"/>
          <w:kern w:val="0"/>
          <w:sz w:val="24"/>
        </w:rPr>
        <w:t>、定期开放：指本基金采取的在封闭期内封闭运作、封闭期与封闭期之间定期开放的运作模式</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35</w:t>
      </w:r>
      <w:r>
        <w:rPr>
          <w:rFonts w:eastAsiaTheme="minorEastAsia" w:hint="eastAsia"/>
          <w:kern w:val="0"/>
          <w:sz w:val="24"/>
        </w:rPr>
        <w:t>、封闭期：本基金的封闭期为自基金合同生效之日起（包括基金合同生效之日）或自每一开放期结束之日次日起（包括该日）</w:t>
      </w:r>
      <w:r>
        <w:rPr>
          <w:rFonts w:eastAsiaTheme="minorEastAsia" w:hint="eastAsia"/>
          <w:kern w:val="0"/>
          <w:sz w:val="24"/>
        </w:rPr>
        <w:t>3</w:t>
      </w:r>
      <w:r>
        <w:rPr>
          <w:rFonts w:eastAsiaTheme="minorEastAsia" w:hint="eastAsia"/>
          <w:kern w:val="0"/>
          <w:sz w:val="24"/>
        </w:rPr>
        <w:t>个月的期间。本基金的首个封闭期为自基金合同生效之日起（包括基金合同生效之日）</w:t>
      </w:r>
      <w:r>
        <w:rPr>
          <w:rFonts w:eastAsiaTheme="minorEastAsia" w:hint="eastAsia"/>
          <w:kern w:val="0"/>
          <w:sz w:val="24"/>
        </w:rPr>
        <w:t>3</w:t>
      </w:r>
      <w:r>
        <w:rPr>
          <w:rFonts w:eastAsiaTheme="minorEastAsia" w:hint="eastAsia"/>
          <w:kern w:val="0"/>
          <w:sz w:val="24"/>
        </w:rPr>
        <w:t>个月的期间，如果封闭期到期日的次日为非工作日的，封闭期相应顺延。首个封闭期结束之后第一个工作日起（包括该日）进入首个开放期，第二个封闭期为首个开放期结束之日次日起（包括该日）</w:t>
      </w:r>
      <w:r>
        <w:rPr>
          <w:rFonts w:eastAsiaTheme="minorEastAsia" w:hint="eastAsia"/>
          <w:kern w:val="0"/>
          <w:sz w:val="24"/>
        </w:rPr>
        <w:t>3</w:t>
      </w:r>
      <w:r>
        <w:rPr>
          <w:rFonts w:eastAsiaTheme="minorEastAsia" w:hint="eastAsia"/>
          <w:kern w:val="0"/>
          <w:sz w:val="24"/>
        </w:rPr>
        <w:t>个月的期间，如果封闭期到期日的次日为非工作日的，封闭期相应顺延，以此类推。本基金封闭期内不办理申购与赎回业务，也不上市交易</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36</w:t>
      </w:r>
      <w:r>
        <w:rPr>
          <w:rFonts w:eastAsiaTheme="minorEastAsia" w:hint="eastAsia"/>
          <w:kern w:val="0"/>
          <w:sz w:val="24"/>
        </w:rPr>
        <w:t>、开放期：本基金自每个封闭期结束之后第一个工作日起（包括该日）进入开放期，期间可以办理申购与赎回业务。本基金每个开放期最短不少于</w:t>
      </w:r>
      <w:r>
        <w:rPr>
          <w:rFonts w:eastAsiaTheme="minorEastAsia" w:hint="eastAsia"/>
          <w:kern w:val="0"/>
          <w:sz w:val="24"/>
        </w:rPr>
        <w:t>5</w:t>
      </w:r>
      <w:r>
        <w:rPr>
          <w:rFonts w:eastAsiaTheme="minorEastAsia" w:hint="eastAsia"/>
          <w:kern w:val="0"/>
          <w:sz w:val="24"/>
        </w:rPr>
        <w:t>个工作日、最长不超过</w:t>
      </w:r>
      <w:r>
        <w:rPr>
          <w:rFonts w:eastAsiaTheme="minorEastAsia" w:hint="eastAsia"/>
          <w:kern w:val="0"/>
          <w:sz w:val="24"/>
        </w:rPr>
        <w:t>10</w:t>
      </w:r>
      <w:r>
        <w:rPr>
          <w:rFonts w:eastAsiaTheme="minorEastAsia" w:hint="eastAsia"/>
          <w:kern w:val="0"/>
          <w:sz w:val="24"/>
        </w:rPr>
        <w:t>个工作日，开放期的具体时间以基金管理人届时公告为准，且基金管理人最迟应于开放期前</w:t>
      </w:r>
      <w:r>
        <w:rPr>
          <w:rFonts w:eastAsiaTheme="minorEastAsia" w:hint="eastAsia"/>
          <w:kern w:val="0"/>
          <w:sz w:val="24"/>
        </w:rPr>
        <w:t>2</w:t>
      </w:r>
      <w:r>
        <w:rPr>
          <w:rFonts w:eastAsiaTheme="minorEastAsia" w:hint="eastAsia"/>
          <w:kern w:val="0"/>
          <w:sz w:val="24"/>
        </w:rPr>
        <w:t>日进行公告</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37</w:t>
      </w:r>
      <w:r>
        <w:rPr>
          <w:rFonts w:eastAsiaTheme="minorEastAsia" w:hint="eastAsia"/>
          <w:kern w:val="0"/>
          <w:sz w:val="24"/>
        </w:rPr>
        <w:t>、存续期：指基金合同生效至终止之间的不定期期限</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38</w:t>
      </w:r>
      <w:r>
        <w:rPr>
          <w:rFonts w:eastAsiaTheme="minorEastAsia" w:hint="eastAsia"/>
          <w:kern w:val="0"/>
          <w:sz w:val="24"/>
        </w:rPr>
        <w:t>、工作日：指上海证券交易所、深圳证券交易所的正常交易日</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39</w:t>
      </w:r>
      <w:r>
        <w:rPr>
          <w:rFonts w:eastAsiaTheme="minorEastAsia" w:hint="eastAsia"/>
          <w:kern w:val="0"/>
          <w:sz w:val="24"/>
        </w:rPr>
        <w:t>、</w:t>
      </w:r>
      <w:r>
        <w:rPr>
          <w:rFonts w:eastAsiaTheme="minorEastAsia" w:hint="eastAsia"/>
          <w:kern w:val="0"/>
          <w:sz w:val="24"/>
        </w:rPr>
        <w:t>T</w:t>
      </w:r>
      <w:r>
        <w:rPr>
          <w:rFonts w:eastAsiaTheme="minorEastAsia" w:hint="eastAsia"/>
          <w:kern w:val="0"/>
          <w:sz w:val="24"/>
        </w:rPr>
        <w:t>日：指销售机构在规定时间受理投资人申购、赎回或其他业务申请的工作日</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40</w:t>
      </w:r>
      <w:r>
        <w:rPr>
          <w:rFonts w:eastAsiaTheme="minorEastAsia" w:hint="eastAsia"/>
          <w:kern w:val="0"/>
          <w:sz w:val="24"/>
        </w:rPr>
        <w:t>、</w:t>
      </w:r>
      <w:r>
        <w:rPr>
          <w:rFonts w:eastAsiaTheme="minorEastAsia" w:hint="eastAsia"/>
          <w:kern w:val="0"/>
          <w:sz w:val="24"/>
        </w:rPr>
        <w:t>T+n</w:t>
      </w:r>
      <w:r>
        <w:rPr>
          <w:rFonts w:eastAsiaTheme="minorEastAsia" w:hint="eastAsia"/>
          <w:kern w:val="0"/>
          <w:sz w:val="24"/>
        </w:rPr>
        <w:t>日：指自</w:t>
      </w:r>
      <w:r>
        <w:rPr>
          <w:rFonts w:eastAsiaTheme="minorEastAsia" w:hint="eastAsia"/>
          <w:kern w:val="0"/>
          <w:sz w:val="24"/>
        </w:rPr>
        <w:t>T</w:t>
      </w:r>
      <w:r>
        <w:rPr>
          <w:rFonts w:eastAsiaTheme="minorEastAsia" w:hint="eastAsia"/>
          <w:kern w:val="0"/>
          <w:sz w:val="24"/>
        </w:rPr>
        <w:t>日起第</w:t>
      </w:r>
      <w:r>
        <w:rPr>
          <w:rFonts w:eastAsiaTheme="minorEastAsia" w:hint="eastAsia"/>
          <w:kern w:val="0"/>
          <w:sz w:val="24"/>
        </w:rPr>
        <w:t>n</w:t>
      </w:r>
      <w:r>
        <w:rPr>
          <w:rFonts w:eastAsiaTheme="minorEastAsia" w:hint="eastAsia"/>
          <w:kern w:val="0"/>
          <w:sz w:val="24"/>
        </w:rPr>
        <w:t>个工作日</w:t>
      </w:r>
      <w:r>
        <w:rPr>
          <w:rFonts w:eastAsiaTheme="minorEastAsia" w:hint="eastAsia"/>
          <w:kern w:val="0"/>
          <w:sz w:val="24"/>
        </w:rPr>
        <w:t>(</w:t>
      </w:r>
      <w:r>
        <w:rPr>
          <w:rFonts w:eastAsiaTheme="minorEastAsia" w:hint="eastAsia"/>
          <w:kern w:val="0"/>
          <w:sz w:val="24"/>
        </w:rPr>
        <w:t>不包含</w:t>
      </w:r>
      <w:r>
        <w:rPr>
          <w:rFonts w:eastAsiaTheme="minorEastAsia" w:hint="eastAsia"/>
          <w:kern w:val="0"/>
          <w:sz w:val="24"/>
        </w:rPr>
        <w:t>T</w:t>
      </w:r>
      <w:r>
        <w:rPr>
          <w:rFonts w:eastAsiaTheme="minorEastAsia" w:hint="eastAsia"/>
          <w:kern w:val="0"/>
          <w:sz w:val="24"/>
        </w:rPr>
        <w:t>日</w:t>
      </w:r>
      <w:r>
        <w:rPr>
          <w:rFonts w:eastAsiaTheme="minorEastAsia" w:hint="eastAsia"/>
          <w:kern w:val="0"/>
          <w:sz w:val="24"/>
        </w:rPr>
        <w:t>)</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41</w:t>
      </w:r>
      <w:r>
        <w:rPr>
          <w:rFonts w:eastAsiaTheme="minorEastAsia" w:hint="eastAsia"/>
          <w:kern w:val="0"/>
          <w:sz w:val="24"/>
        </w:rPr>
        <w:t>、开放日：指为投资人办理基金份额申购、赎回或其他业务的开放日</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42</w:t>
      </w:r>
      <w:r>
        <w:rPr>
          <w:rFonts w:eastAsiaTheme="minorEastAsia" w:hint="eastAsia"/>
          <w:kern w:val="0"/>
          <w:sz w:val="24"/>
        </w:rPr>
        <w:t>、开放时间：指开放日基金接受申购、赎回或其他交易的时间段</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43</w:t>
      </w:r>
      <w:r>
        <w:rPr>
          <w:rFonts w:eastAsiaTheme="minorEastAsia" w:hint="eastAsia"/>
          <w:kern w:val="0"/>
          <w:sz w:val="24"/>
        </w:rPr>
        <w:t>、《业务规则》：指《山西证券股份有限公司公募基金管理业务注册登记管理细则》，是规范基金管理人所管理的开放式证券投资基金登记方面的业务规则，由基金管理人和投资人共同遵守</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44</w:t>
      </w:r>
      <w:r>
        <w:rPr>
          <w:rFonts w:eastAsiaTheme="minorEastAsia" w:hint="eastAsia"/>
          <w:kern w:val="0"/>
          <w:sz w:val="24"/>
        </w:rPr>
        <w:t>、认购：指在基金募集期内，投资人根据基金合同及招募说明书的规定申请购买基金份额的行为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45</w:t>
      </w:r>
      <w:r>
        <w:rPr>
          <w:rFonts w:eastAsiaTheme="minorEastAsia" w:hint="eastAsia"/>
          <w:kern w:val="0"/>
          <w:sz w:val="24"/>
        </w:rPr>
        <w:t>、申购：指基金合同生效后，投资人根据基金合同和招募说明书的规定申请购买基金份额的行为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46</w:t>
      </w:r>
      <w:r>
        <w:rPr>
          <w:rFonts w:eastAsiaTheme="minorEastAsia" w:hint="eastAsia"/>
          <w:kern w:val="0"/>
          <w:sz w:val="24"/>
        </w:rPr>
        <w:t>、赎回：指基金合同生效后，基金份额持有人按基金合同和招募说明书规定的条件要求将基金份额兑换为现金的行为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47</w:t>
      </w:r>
      <w:r>
        <w:rPr>
          <w:rFonts w:eastAsiaTheme="minorEastAsia" w:hint="eastAsia"/>
          <w:kern w:val="0"/>
          <w:sz w:val="24"/>
        </w:rPr>
        <w:t>、基金转换：指基金份额持有人按照基金合同和基金管理人届时有效公告规定的条件，申请将其持有基金管理人管理的、某一基金的基金份额转换为基金管理人管理的其他基金基金份额的行为</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48</w:t>
      </w:r>
      <w:r>
        <w:rPr>
          <w:rFonts w:eastAsiaTheme="minorEastAsia" w:hint="eastAsia"/>
          <w:kern w:val="0"/>
          <w:sz w:val="24"/>
        </w:rPr>
        <w:t>、转托管：指基金份额持有人在本基金的不同销售机构之间实施的变更所持基金份额销售机构的操作</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49</w:t>
      </w:r>
      <w:r>
        <w:rPr>
          <w:rFonts w:eastAsiaTheme="minorEastAsia" w:hint="eastAsia"/>
          <w:kern w:val="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50</w:t>
      </w:r>
      <w:r>
        <w:rPr>
          <w:rFonts w:eastAsiaTheme="minorEastAsia" w:hint="eastAsia"/>
          <w:kern w:val="0"/>
          <w:sz w:val="24"/>
        </w:rPr>
        <w:t>、巨额赎回：指本基金单个开放日，基金净赎回申请</w:t>
      </w:r>
      <w:r>
        <w:rPr>
          <w:rFonts w:eastAsiaTheme="minorEastAsia" w:hint="eastAsia"/>
          <w:kern w:val="0"/>
          <w:sz w:val="24"/>
        </w:rPr>
        <w:t>(</w:t>
      </w:r>
      <w:r>
        <w:rPr>
          <w:rFonts w:eastAsiaTheme="minorEastAsia" w:hint="eastAsia"/>
          <w:kern w:val="0"/>
          <w:sz w:val="24"/>
        </w:rPr>
        <w:t>赎回申请份额总数加上基金转换中转出申请份额总数后扣除申购申请份额总数及基金转换中转入申请份额总数后的余额</w:t>
      </w:r>
      <w:r>
        <w:rPr>
          <w:rFonts w:eastAsiaTheme="minorEastAsia" w:hint="eastAsia"/>
          <w:kern w:val="0"/>
          <w:sz w:val="24"/>
        </w:rPr>
        <w:t>)</w:t>
      </w:r>
      <w:r>
        <w:rPr>
          <w:rFonts w:eastAsiaTheme="minorEastAsia" w:hint="eastAsia"/>
          <w:kern w:val="0"/>
          <w:sz w:val="24"/>
        </w:rPr>
        <w:t>超过上一开放日基金总份额的</w:t>
      </w:r>
      <w:r>
        <w:rPr>
          <w:rFonts w:eastAsiaTheme="minorEastAsia" w:hint="eastAsia"/>
          <w:kern w:val="0"/>
          <w:sz w:val="24"/>
        </w:rPr>
        <w:t>20%</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51</w:t>
      </w:r>
      <w:r>
        <w:rPr>
          <w:rFonts w:eastAsiaTheme="minorEastAsia" w:hint="eastAsia"/>
          <w:kern w:val="0"/>
          <w:sz w:val="24"/>
        </w:rPr>
        <w:t>、元：指人民币元</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52</w:t>
      </w:r>
      <w:r>
        <w:rPr>
          <w:rFonts w:eastAsiaTheme="minorEastAsia" w:hint="eastAsia"/>
          <w:kern w:val="0"/>
          <w:sz w:val="24"/>
        </w:rPr>
        <w:t>、基金收益：指基金投资所得债券利息、买卖证券价差、银行存款利息、已实现的其他合法收入及因运用基金财产带来的成本和费用的节约</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53</w:t>
      </w:r>
      <w:r>
        <w:rPr>
          <w:rFonts w:eastAsiaTheme="minorEastAsia" w:hint="eastAsia"/>
          <w:kern w:val="0"/>
          <w:sz w:val="24"/>
        </w:rPr>
        <w:t>、基金资产总值：指基金拥有的各类有价证券、银行存款本息、基金应收款项及其他资产的价值总和</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54</w:t>
      </w:r>
      <w:r>
        <w:rPr>
          <w:rFonts w:eastAsiaTheme="minorEastAsia" w:hint="eastAsia"/>
          <w:kern w:val="0"/>
          <w:sz w:val="24"/>
        </w:rPr>
        <w:t>、基金资产净值：指基金资产总值减去基金负债后的价值</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55</w:t>
      </w:r>
      <w:r>
        <w:rPr>
          <w:rFonts w:eastAsiaTheme="minorEastAsia" w:hint="eastAsia"/>
          <w:kern w:val="0"/>
          <w:sz w:val="24"/>
        </w:rPr>
        <w:t>、基金份额净值：指计算日基金资产净值除以计算日基金份额总数</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56</w:t>
      </w:r>
      <w:r>
        <w:rPr>
          <w:rFonts w:eastAsiaTheme="minorEastAsia" w:hint="eastAsia"/>
          <w:kern w:val="0"/>
          <w:sz w:val="24"/>
        </w:rPr>
        <w:t>、基金资产估值：指计算评估基金资产和负债的价值，以确定基金资产净值和基金份额净值的过程</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57</w:t>
      </w:r>
      <w:r>
        <w:rPr>
          <w:rFonts w:eastAsiaTheme="minorEastAsia" w:hint="eastAsia"/>
          <w:kern w:val="0"/>
          <w:sz w:val="24"/>
        </w:rPr>
        <w:t>、流动性受限资产：指由于法律法规、监管、合同或操作障碍等原因无法以合理价格予以变现的资产，包括但不限于到期日在</w:t>
      </w:r>
      <w:r>
        <w:rPr>
          <w:rFonts w:eastAsiaTheme="minorEastAsia" w:hint="eastAsia"/>
          <w:kern w:val="0"/>
          <w:sz w:val="24"/>
        </w:rPr>
        <w:t>10</w:t>
      </w:r>
      <w:r>
        <w:rPr>
          <w:rFonts w:eastAsiaTheme="minorEastAsia" w:hint="eastAsia"/>
          <w:kern w:val="0"/>
          <w:sz w:val="24"/>
        </w:rPr>
        <w:t>个交易日以上的逆回购与银行定期存款（含协议约定有条件提前支取的银行存款）、资产支持证券、因发行人债务违约无法进行转让或交易的债券等</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58</w:t>
      </w:r>
      <w:r>
        <w:rPr>
          <w:rFonts w:eastAsiaTheme="minorEastAsia" w:hint="eastAsia"/>
          <w:kern w:val="0"/>
          <w:sz w:val="24"/>
        </w:rPr>
        <w:t>、摆动定价机制：指当本基金遭遇大额申购或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CB515E" w:rsidRDefault="005F186E">
      <w:pPr>
        <w:adjustRightInd w:val="0"/>
        <w:snapToGrid w:val="0"/>
        <w:spacing w:line="436" w:lineRule="exact"/>
        <w:ind w:firstLineChars="200" w:firstLine="480"/>
        <w:rPr>
          <w:rFonts w:eastAsiaTheme="minorEastAsia"/>
          <w:kern w:val="0"/>
          <w:sz w:val="24"/>
        </w:rPr>
      </w:pPr>
      <w:r>
        <w:rPr>
          <w:rFonts w:eastAsiaTheme="minorEastAsia" w:hint="eastAsia"/>
          <w:kern w:val="0"/>
          <w:sz w:val="24"/>
        </w:rPr>
        <w:t>59</w:t>
      </w:r>
      <w:r>
        <w:rPr>
          <w:rFonts w:eastAsiaTheme="minorEastAsia" w:hint="eastAsia"/>
          <w:kern w:val="0"/>
          <w:sz w:val="24"/>
        </w:rPr>
        <w:t>、指定媒介：指中国证监会指定的用以进行信息披露的报刊、互联网网站及其他媒介</w:t>
      </w:r>
    </w:p>
    <w:p w:rsidR="00CB515E" w:rsidRDefault="005F186E">
      <w:pPr>
        <w:adjustRightInd w:val="0"/>
        <w:snapToGrid w:val="0"/>
        <w:spacing w:line="436" w:lineRule="exact"/>
        <w:ind w:firstLineChars="200" w:firstLine="480"/>
        <w:rPr>
          <w:rFonts w:eastAsiaTheme="minorEastAsia"/>
          <w:kern w:val="0"/>
          <w:szCs w:val="21"/>
        </w:rPr>
      </w:pPr>
      <w:r>
        <w:rPr>
          <w:rFonts w:eastAsiaTheme="minorEastAsia" w:hint="eastAsia"/>
          <w:kern w:val="0"/>
          <w:sz w:val="24"/>
        </w:rPr>
        <w:t>60</w:t>
      </w:r>
      <w:r>
        <w:rPr>
          <w:rFonts w:eastAsiaTheme="minorEastAsia" w:hint="eastAsia"/>
          <w:kern w:val="0"/>
          <w:sz w:val="24"/>
        </w:rPr>
        <w:t>、不可抗力：指基金合同当事人不能预见、不能避免且不能克服的客观事件</w:t>
      </w:r>
    </w:p>
    <w:p w:rsidR="00CB515E" w:rsidRDefault="005F186E">
      <w:pPr>
        <w:pStyle w:val="1"/>
        <w:snapToGrid w:val="0"/>
        <w:spacing w:before="0" w:after="0" w:line="360" w:lineRule="auto"/>
        <w:ind w:firstLineChars="50" w:firstLine="120"/>
        <w:rPr>
          <w:rFonts w:ascii="Times New Roman" w:eastAsia="宋体"/>
          <w:b/>
          <w:bCs/>
          <w:sz w:val="28"/>
          <w:szCs w:val="28"/>
        </w:rPr>
      </w:pPr>
      <w:r>
        <w:rPr>
          <w:rFonts w:ascii="Times New Roman"/>
          <w:szCs w:val="21"/>
        </w:rPr>
        <w:br w:type="page"/>
      </w:r>
      <w:bookmarkStart w:id="7" w:name="_Toc214873592"/>
      <w:bookmarkStart w:id="8" w:name="_Toc147463120"/>
      <w:bookmarkStart w:id="9" w:name="_Toc12357173"/>
      <w:bookmarkStart w:id="10" w:name="_Toc21073393"/>
      <w:bookmarkStart w:id="11" w:name="_Toc2174608"/>
      <w:r>
        <w:rPr>
          <w:rFonts w:ascii="Times New Roman" w:eastAsia="宋体" w:hAnsi="Arial Unicode MS"/>
          <w:b/>
          <w:bCs/>
          <w:sz w:val="32"/>
          <w:szCs w:val="32"/>
        </w:rPr>
        <w:t>第三部分基金管理人</w:t>
      </w:r>
      <w:bookmarkEnd w:id="7"/>
      <w:bookmarkEnd w:id="8"/>
      <w:bookmarkEnd w:id="9"/>
      <w:bookmarkEnd w:id="10"/>
      <w:bookmarkEnd w:id="11"/>
    </w:p>
    <w:p w:rsidR="00CB515E" w:rsidRDefault="005F186E">
      <w:pPr>
        <w:tabs>
          <w:tab w:val="left" w:pos="3780"/>
        </w:tabs>
        <w:autoSpaceDE w:val="0"/>
        <w:autoSpaceDN w:val="0"/>
        <w:adjustRightInd w:val="0"/>
        <w:snapToGrid w:val="0"/>
        <w:spacing w:line="360" w:lineRule="auto"/>
        <w:ind w:firstLineChars="200" w:firstLine="482"/>
        <w:textAlignment w:val="bottom"/>
        <w:rPr>
          <w:rFonts w:hAnsi="Arial Unicode MS"/>
          <w:b/>
          <w:sz w:val="24"/>
        </w:rPr>
      </w:pPr>
      <w:bookmarkStart w:id="12" w:name="_Toc524923215"/>
      <w:bookmarkStart w:id="13" w:name="_Toc214873593"/>
      <w:r>
        <w:rPr>
          <w:rFonts w:hAnsi="Arial Unicode MS" w:hint="eastAsia"/>
          <w:b/>
          <w:sz w:val="24"/>
        </w:rPr>
        <w:t>一</w:t>
      </w:r>
      <w:r>
        <w:rPr>
          <w:rFonts w:hAnsi="Arial Unicode MS"/>
          <w:b/>
          <w:sz w:val="24"/>
        </w:rPr>
        <w:t>、基金管理人</w:t>
      </w:r>
      <w:r>
        <w:rPr>
          <w:rFonts w:hAnsi="Arial Unicode MS" w:hint="eastAsia"/>
          <w:b/>
          <w:sz w:val="24"/>
        </w:rPr>
        <w:t>基本</w:t>
      </w:r>
      <w:r>
        <w:rPr>
          <w:rFonts w:hAnsi="Arial Unicode MS"/>
          <w:b/>
          <w:sz w:val="24"/>
        </w:rPr>
        <w:t>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名称：山西证券股份有限公司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住所：山西省太原市府西街</w:t>
      </w:r>
      <w:r>
        <w:rPr>
          <w:rFonts w:eastAsiaTheme="minorEastAsia"/>
          <w:kern w:val="0"/>
          <w:sz w:val="24"/>
        </w:rPr>
        <w:t>69</w:t>
      </w:r>
      <w:r>
        <w:rPr>
          <w:rFonts w:eastAsiaTheme="minorEastAsia" w:hAnsiTheme="minor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成立日期：</w:t>
      </w:r>
      <w:r>
        <w:rPr>
          <w:rFonts w:eastAsiaTheme="minorEastAsia"/>
          <w:kern w:val="0"/>
          <w:sz w:val="24"/>
        </w:rPr>
        <w:t>1988</w:t>
      </w:r>
      <w:r>
        <w:rPr>
          <w:rFonts w:eastAsiaTheme="minorEastAsia" w:hAnsiTheme="minorEastAsia"/>
          <w:kern w:val="0"/>
          <w:sz w:val="24"/>
        </w:rPr>
        <w:t>年</w:t>
      </w:r>
      <w:r>
        <w:rPr>
          <w:rFonts w:eastAsiaTheme="minorEastAsia"/>
          <w:kern w:val="0"/>
          <w:sz w:val="24"/>
        </w:rPr>
        <w:t>7</w:t>
      </w:r>
      <w:r>
        <w:rPr>
          <w:rFonts w:eastAsiaTheme="minorEastAsia" w:hAnsiTheme="minorEastAsia"/>
          <w:kern w:val="0"/>
          <w:sz w:val="24"/>
        </w:rPr>
        <w:t>月</w:t>
      </w:r>
      <w:r>
        <w:rPr>
          <w:rFonts w:eastAsiaTheme="minorEastAsia"/>
          <w:kern w:val="0"/>
          <w:sz w:val="24"/>
        </w:rPr>
        <w:t>28</w:t>
      </w:r>
      <w:r>
        <w:rPr>
          <w:rFonts w:eastAsiaTheme="minorEastAsia" w:hAnsiTheme="minorEastAsia"/>
          <w:kern w:val="0"/>
          <w:sz w:val="24"/>
        </w:rPr>
        <w:t>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批准设立机关及批准设立文号：中国人民银行复</w:t>
      </w:r>
      <w:r>
        <w:rPr>
          <w:rFonts w:eastAsiaTheme="minorEastAsia"/>
          <w:kern w:val="0"/>
          <w:sz w:val="24"/>
        </w:rPr>
        <w:t>[1988]315</w:t>
      </w:r>
      <w:r>
        <w:rPr>
          <w:rFonts w:eastAsiaTheme="minorEastAsia" w:hAnsiTheme="minorEastAsia"/>
          <w:kern w:val="0"/>
          <w:sz w:val="24"/>
        </w:rPr>
        <w:t>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组织形式：股份有限公司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存续期限：持续经营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注册资本：人民币</w:t>
      </w:r>
      <w:r>
        <w:rPr>
          <w:rFonts w:eastAsiaTheme="minorEastAsia"/>
          <w:kern w:val="0"/>
          <w:sz w:val="24"/>
        </w:rPr>
        <w:t>28.2873</w:t>
      </w:r>
      <w:r>
        <w:rPr>
          <w:rFonts w:eastAsiaTheme="minorEastAsia" w:hAnsiTheme="minorEastAsia"/>
          <w:kern w:val="0"/>
          <w:sz w:val="24"/>
        </w:rPr>
        <w:t>亿元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 xml:space="preserve">8686966    </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kern w:val="0"/>
          <w:sz w:val="24"/>
        </w:rPr>
        <w:t>股权结构：</w:t>
      </w:r>
    </w:p>
    <w:tbl>
      <w:tblPr>
        <w:tblW w:w="7371" w:type="dxa"/>
        <w:tblInd w:w="28" w:type="dxa"/>
        <w:tblLayout w:type="fixed"/>
        <w:tblCellMar>
          <w:left w:w="28" w:type="dxa"/>
          <w:right w:w="28" w:type="dxa"/>
        </w:tblCellMar>
        <w:tblLook w:val="04A0"/>
      </w:tblPr>
      <w:tblGrid>
        <w:gridCol w:w="3544"/>
        <w:gridCol w:w="1985"/>
        <w:gridCol w:w="1842"/>
      </w:tblGrid>
      <w:tr w:rsidR="00CB515E">
        <w:trPr>
          <w:trHeight w:val="794"/>
        </w:trPr>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CB515E" w:rsidRDefault="005F186E">
            <w:pPr>
              <w:jc w:val="center"/>
              <w:rPr>
                <w:szCs w:val="21"/>
              </w:rPr>
            </w:pPr>
            <w:r>
              <w:rPr>
                <w:rFonts w:hint="eastAsia"/>
              </w:rPr>
              <w:t>股东名称</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CB515E" w:rsidRDefault="005F186E">
            <w:pPr>
              <w:jc w:val="center"/>
              <w:rPr>
                <w:szCs w:val="21"/>
              </w:rPr>
            </w:pPr>
            <w:r>
              <w:rPr>
                <w:rFonts w:hint="eastAsia"/>
              </w:rPr>
              <w:t>持股数量（股）</w:t>
            </w:r>
          </w:p>
        </w:tc>
        <w:tc>
          <w:tcPr>
            <w:tcW w:w="1842" w:type="dxa"/>
            <w:tcBorders>
              <w:top w:val="single" w:sz="4" w:space="0" w:color="auto"/>
              <w:left w:val="single" w:sz="4" w:space="0" w:color="auto"/>
              <w:right w:val="single" w:sz="4" w:space="0" w:color="auto"/>
            </w:tcBorders>
            <w:shd w:val="clear" w:color="auto" w:fill="D3D3D3"/>
            <w:vAlign w:val="center"/>
          </w:tcPr>
          <w:p w:rsidR="00CB515E" w:rsidRDefault="005F186E">
            <w:pPr>
              <w:jc w:val="center"/>
              <w:rPr>
                <w:szCs w:val="21"/>
              </w:rPr>
            </w:pPr>
            <w:r>
              <w:rPr>
                <w:rFonts w:hint="eastAsia"/>
              </w:rPr>
              <w:t>持股比例</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山西金融投资控股集团有限公司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autoSpaceDE w:val="0"/>
              <w:autoSpaceDN w:val="0"/>
              <w:adjustRightInd w:val="0"/>
              <w:jc w:val="center"/>
              <w:rPr>
                <w:kern w:val="0"/>
                <w:szCs w:val="21"/>
              </w:rPr>
            </w:pPr>
            <w:r>
              <w:rPr>
                <w:rFonts w:hint="eastAsia"/>
              </w:rPr>
              <w:t>8.65</w:t>
            </w:r>
            <w:r>
              <w:rPr>
                <w:rFonts w:hint="eastAsia"/>
              </w:rPr>
              <w:t>亿</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30.59%</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太原钢铁（集团）有限公司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2.83</w:t>
            </w:r>
            <w:r>
              <w:rPr>
                <w:rFonts w:hint="eastAsia"/>
              </w:rPr>
              <w:t>亿</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9.99%</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山西国际电力集团有限公司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1.99</w:t>
            </w:r>
            <w:r>
              <w:rPr>
                <w:rFonts w:hint="eastAsia"/>
              </w:rPr>
              <w:t>亿</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7.04%</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北京中吉金投资产管理有限公司</w:t>
            </w:r>
            <w:r>
              <w:rPr>
                <w:rFonts w:hint="eastAsia"/>
              </w:rPr>
              <w:t>-</w:t>
            </w:r>
            <w:r>
              <w:rPr>
                <w:rFonts w:hint="eastAsia"/>
              </w:rPr>
              <w:t>中吉金投</w:t>
            </w:r>
            <w:r>
              <w:rPr>
                <w:rFonts w:hint="eastAsia"/>
              </w:rPr>
              <w:t>-</w:t>
            </w:r>
            <w:r>
              <w:rPr>
                <w:rFonts w:hint="eastAsia"/>
              </w:rPr>
              <w:t>稳赢</w:t>
            </w:r>
            <w:r>
              <w:rPr>
                <w:rFonts w:hint="eastAsia"/>
              </w:rPr>
              <w:t>2</w:t>
            </w:r>
            <w:r>
              <w:rPr>
                <w:rFonts w:hint="eastAsia"/>
              </w:rPr>
              <w:t>号投资基金</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4869.35</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1.72%</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中央汇金资产管理有限责任公司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4061.94</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1.44%</w:t>
            </w:r>
          </w:p>
        </w:tc>
      </w:tr>
      <w:tr w:rsidR="00CB515E">
        <w:trPr>
          <w:trHeight w:val="383"/>
        </w:trPr>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河南省安融房地产开发有限公司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autoSpaceDE w:val="0"/>
              <w:autoSpaceDN w:val="0"/>
              <w:adjustRightInd w:val="0"/>
              <w:jc w:val="center"/>
              <w:rPr>
                <w:kern w:val="0"/>
                <w:szCs w:val="21"/>
              </w:rPr>
            </w:pPr>
            <w:r>
              <w:rPr>
                <w:rFonts w:hint="eastAsia"/>
              </w:rPr>
              <w:t>3334.04</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1.18%</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郑州市热力总公司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2640.13</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0.93%</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山西省科技基金发展有限公司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1700.00</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0.60%</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西藏鹏华投资管理有限公司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1458.00</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0.52%</w:t>
            </w:r>
          </w:p>
        </w:tc>
      </w:tr>
      <w:tr w:rsidR="00CB515E">
        <w:tc>
          <w:tcPr>
            <w:tcW w:w="3544"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rFonts w:asciiTheme="minorEastAsia" w:eastAsiaTheme="minorEastAsia" w:hAnsiTheme="minorEastAsia"/>
                <w:szCs w:val="21"/>
              </w:rPr>
            </w:pPr>
            <w:r>
              <w:rPr>
                <w:rFonts w:hint="eastAsia"/>
              </w:rPr>
              <w:t>山西杏花村汾酒集团有限责任公司</w:t>
            </w:r>
          </w:p>
        </w:tc>
        <w:tc>
          <w:tcPr>
            <w:tcW w:w="1985" w:type="dxa"/>
            <w:tcBorders>
              <w:top w:val="single" w:sz="4" w:space="0" w:color="auto"/>
              <w:left w:val="single" w:sz="4" w:space="0" w:color="auto"/>
              <w:bottom w:val="single" w:sz="4" w:space="0" w:color="auto"/>
              <w:right w:val="single" w:sz="4" w:space="0" w:color="auto"/>
            </w:tcBorders>
            <w:vAlign w:val="center"/>
          </w:tcPr>
          <w:p w:rsidR="00CB515E" w:rsidRDefault="005F186E">
            <w:pPr>
              <w:autoSpaceDE w:val="0"/>
              <w:autoSpaceDN w:val="0"/>
              <w:adjustRightInd w:val="0"/>
              <w:jc w:val="center"/>
              <w:rPr>
                <w:kern w:val="0"/>
                <w:szCs w:val="21"/>
              </w:rPr>
            </w:pPr>
            <w:r>
              <w:rPr>
                <w:rFonts w:hint="eastAsia"/>
              </w:rPr>
              <w:t>1237.62</w:t>
            </w:r>
            <w:r>
              <w:rPr>
                <w:rFonts w:hint="eastAsia"/>
              </w:rPr>
              <w:t>万</w:t>
            </w:r>
          </w:p>
        </w:tc>
        <w:tc>
          <w:tcPr>
            <w:tcW w:w="1842" w:type="dxa"/>
            <w:tcBorders>
              <w:top w:val="single" w:sz="4" w:space="0" w:color="auto"/>
              <w:left w:val="single" w:sz="4" w:space="0" w:color="auto"/>
              <w:bottom w:val="single" w:sz="4" w:space="0" w:color="auto"/>
              <w:right w:val="single" w:sz="4" w:space="0" w:color="auto"/>
            </w:tcBorders>
            <w:vAlign w:val="center"/>
          </w:tcPr>
          <w:p w:rsidR="00CB515E" w:rsidRDefault="005F186E">
            <w:pPr>
              <w:jc w:val="center"/>
              <w:rPr>
                <w:szCs w:val="21"/>
              </w:rPr>
            </w:pPr>
            <w:r>
              <w:rPr>
                <w:rFonts w:hint="eastAsia"/>
              </w:rPr>
              <w:t>0.44%</w:t>
            </w:r>
          </w:p>
        </w:tc>
      </w:tr>
    </w:tbl>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注：截止到</w:t>
      </w:r>
      <w:r>
        <w:rPr>
          <w:rFonts w:eastAsiaTheme="minorEastAsia"/>
          <w:kern w:val="0"/>
          <w:sz w:val="24"/>
        </w:rPr>
        <w:t>201</w:t>
      </w:r>
      <w:r>
        <w:rPr>
          <w:rFonts w:eastAsiaTheme="minorEastAsia" w:hint="eastAsia"/>
          <w:kern w:val="0"/>
          <w:sz w:val="24"/>
        </w:rPr>
        <w:t>8</w:t>
      </w:r>
      <w:r>
        <w:rPr>
          <w:rFonts w:eastAsiaTheme="minorEastAsia"/>
          <w:kern w:val="0"/>
          <w:sz w:val="24"/>
        </w:rPr>
        <w:t>.</w:t>
      </w:r>
      <w:r>
        <w:rPr>
          <w:rFonts w:eastAsiaTheme="minorEastAsia" w:hint="eastAsia"/>
          <w:kern w:val="0"/>
          <w:sz w:val="24"/>
        </w:rPr>
        <w:t>09</w:t>
      </w:r>
      <w:r>
        <w:rPr>
          <w:rFonts w:eastAsiaTheme="minorEastAsia"/>
          <w:kern w:val="0"/>
          <w:sz w:val="24"/>
        </w:rPr>
        <w:t>.3</w:t>
      </w:r>
      <w:r>
        <w:rPr>
          <w:rFonts w:eastAsiaTheme="minorEastAsia" w:hint="eastAsia"/>
          <w:kern w:val="0"/>
          <w:sz w:val="24"/>
        </w:rPr>
        <w:t>0</w:t>
      </w:r>
      <w:r>
        <w:rPr>
          <w:rFonts w:eastAsiaTheme="minorEastAsia" w:hAnsiTheme="minorEastAsia"/>
          <w:kern w:val="0"/>
          <w:sz w:val="24"/>
        </w:rPr>
        <w:t>前十大股东持股情况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经营范围：证券经纪；证券自营；证券资产管理；证券投资咨询；与证券交易、证券投资活动有关的财务顾问；证券投资基金代销；为期货公司提供中间介绍业务；融资融券；代销金融产品；公开募集证券投资基金管理业务。</w:t>
      </w:r>
    </w:p>
    <w:p w:rsidR="00CB515E" w:rsidRDefault="005F186E">
      <w:pPr>
        <w:tabs>
          <w:tab w:val="left" w:pos="3780"/>
        </w:tabs>
        <w:autoSpaceDE w:val="0"/>
        <w:autoSpaceDN w:val="0"/>
        <w:adjustRightInd w:val="0"/>
        <w:snapToGrid w:val="0"/>
        <w:spacing w:line="360" w:lineRule="auto"/>
        <w:ind w:firstLineChars="200" w:firstLine="482"/>
        <w:textAlignment w:val="bottom"/>
        <w:rPr>
          <w:b/>
          <w:sz w:val="24"/>
        </w:rPr>
      </w:pPr>
      <w:r>
        <w:rPr>
          <w:rFonts w:hAnsi="Arial Unicode MS"/>
          <w:b/>
          <w:sz w:val="24"/>
        </w:rPr>
        <w:t>二、主要人员情况</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1</w:t>
      </w:r>
      <w:r>
        <w:rPr>
          <w:rFonts w:eastAsiaTheme="minorEastAsia" w:hAnsiTheme="minorEastAsia"/>
          <w:kern w:val="0"/>
          <w:sz w:val="24"/>
        </w:rPr>
        <w:t>、董事会成员基本情况</w:t>
      </w:r>
    </w:p>
    <w:p w:rsidR="00CB515E" w:rsidRDefault="005F186E">
      <w:pPr>
        <w:spacing w:line="460" w:lineRule="exact"/>
        <w:ind w:firstLineChars="200" w:firstLine="480"/>
        <w:rPr>
          <w:sz w:val="24"/>
        </w:rPr>
      </w:pPr>
      <w:r>
        <w:rPr>
          <w:rFonts w:hint="eastAsia"/>
          <w:sz w:val="24"/>
        </w:rPr>
        <w:t>侯巍先生，</w:t>
      </w:r>
      <w:r>
        <w:rPr>
          <w:rFonts w:hint="eastAsia"/>
          <w:sz w:val="24"/>
        </w:rPr>
        <w:t>1972</w:t>
      </w:r>
      <w:r>
        <w:rPr>
          <w:rFonts w:hint="eastAsia"/>
          <w:sz w:val="24"/>
        </w:rPr>
        <w:t>年</w:t>
      </w:r>
      <w:r>
        <w:rPr>
          <w:rFonts w:hint="eastAsia"/>
          <w:sz w:val="24"/>
        </w:rPr>
        <w:t>8</w:t>
      </w:r>
      <w:r>
        <w:rPr>
          <w:rFonts w:hint="eastAsia"/>
          <w:sz w:val="24"/>
        </w:rPr>
        <w:t>月出生，汉族，中共党员，硕士学位。</w:t>
      </w:r>
      <w:r>
        <w:rPr>
          <w:rFonts w:hint="eastAsia"/>
          <w:sz w:val="24"/>
        </w:rPr>
        <w:t>2007</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月任山西证券有限责任公司党委委员、董事、总经理；</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2015</w:t>
      </w:r>
      <w:r>
        <w:rPr>
          <w:rFonts w:hint="eastAsia"/>
          <w:sz w:val="24"/>
        </w:rPr>
        <w:t>年</w:t>
      </w:r>
      <w:r>
        <w:rPr>
          <w:rFonts w:hint="eastAsia"/>
          <w:sz w:val="24"/>
        </w:rPr>
        <w:t>2</w:t>
      </w:r>
      <w:r>
        <w:rPr>
          <w:rFonts w:hint="eastAsia"/>
          <w:sz w:val="24"/>
        </w:rPr>
        <w:t>月任公司董事、总经理；</w:t>
      </w:r>
      <w:r>
        <w:rPr>
          <w:rFonts w:hint="eastAsia"/>
          <w:sz w:val="24"/>
        </w:rPr>
        <w:t>2008</w:t>
      </w:r>
      <w:r>
        <w:rPr>
          <w:rFonts w:hint="eastAsia"/>
          <w:sz w:val="24"/>
        </w:rPr>
        <w:t>年</w:t>
      </w:r>
      <w:r>
        <w:rPr>
          <w:rFonts w:hint="eastAsia"/>
          <w:sz w:val="24"/>
        </w:rPr>
        <w:t>4</w:t>
      </w:r>
      <w:r>
        <w:rPr>
          <w:rFonts w:hint="eastAsia"/>
          <w:sz w:val="24"/>
        </w:rPr>
        <w:t>月至</w:t>
      </w:r>
      <w:r>
        <w:rPr>
          <w:rFonts w:hint="eastAsia"/>
          <w:sz w:val="24"/>
        </w:rPr>
        <w:t>2010</w:t>
      </w:r>
      <w:r>
        <w:rPr>
          <w:rFonts w:hint="eastAsia"/>
          <w:sz w:val="24"/>
        </w:rPr>
        <w:t>年</w:t>
      </w:r>
      <w:r>
        <w:rPr>
          <w:rFonts w:hint="eastAsia"/>
          <w:sz w:val="24"/>
        </w:rPr>
        <w:t>9</w:t>
      </w:r>
      <w:r>
        <w:rPr>
          <w:rFonts w:hint="eastAsia"/>
          <w:sz w:val="24"/>
        </w:rPr>
        <w:t>月任大华期货有限公司董事；</w:t>
      </w:r>
      <w:r>
        <w:rPr>
          <w:rFonts w:hint="eastAsia"/>
          <w:sz w:val="24"/>
        </w:rPr>
        <w:t>2009</w:t>
      </w:r>
      <w:r>
        <w:rPr>
          <w:rFonts w:hint="eastAsia"/>
          <w:sz w:val="24"/>
        </w:rPr>
        <w:t>年</w:t>
      </w:r>
      <w:r>
        <w:rPr>
          <w:rFonts w:hint="eastAsia"/>
          <w:sz w:val="24"/>
        </w:rPr>
        <w:t>4</w:t>
      </w:r>
      <w:r>
        <w:rPr>
          <w:rFonts w:hint="eastAsia"/>
          <w:sz w:val="24"/>
        </w:rPr>
        <w:t>月至今任中德证券有限责任公司董事长；</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2014</w:t>
      </w:r>
      <w:r>
        <w:rPr>
          <w:rFonts w:hint="eastAsia"/>
          <w:sz w:val="24"/>
        </w:rPr>
        <w:t>年</w:t>
      </w:r>
      <w:r>
        <w:rPr>
          <w:rFonts w:hint="eastAsia"/>
          <w:sz w:val="24"/>
        </w:rPr>
        <w:t>12</w:t>
      </w:r>
      <w:r>
        <w:rPr>
          <w:rFonts w:hint="eastAsia"/>
          <w:sz w:val="24"/>
        </w:rPr>
        <w:t>月历任公司党委委员、党委副书记；</w:t>
      </w:r>
      <w:r>
        <w:rPr>
          <w:rFonts w:hint="eastAsia"/>
          <w:sz w:val="24"/>
        </w:rPr>
        <w:t>2014</w:t>
      </w:r>
      <w:r>
        <w:rPr>
          <w:rFonts w:hint="eastAsia"/>
          <w:sz w:val="24"/>
        </w:rPr>
        <w:t>年</w:t>
      </w:r>
      <w:r>
        <w:rPr>
          <w:rFonts w:hint="eastAsia"/>
          <w:sz w:val="24"/>
        </w:rPr>
        <w:t>12</w:t>
      </w:r>
      <w:r>
        <w:rPr>
          <w:rFonts w:hint="eastAsia"/>
          <w:sz w:val="24"/>
        </w:rPr>
        <w:t>月至今任公司党委书记；</w:t>
      </w:r>
      <w:r>
        <w:rPr>
          <w:rFonts w:hint="eastAsia"/>
          <w:sz w:val="24"/>
        </w:rPr>
        <w:t>2015</w:t>
      </w:r>
      <w:r>
        <w:rPr>
          <w:rFonts w:hint="eastAsia"/>
          <w:sz w:val="24"/>
        </w:rPr>
        <w:t>年</w:t>
      </w:r>
      <w:r>
        <w:rPr>
          <w:rFonts w:hint="eastAsia"/>
          <w:sz w:val="24"/>
        </w:rPr>
        <w:t>2</w:t>
      </w:r>
      <w:r>
        <w:rPr>
          <w:rFonts w:hint="eastAsia"/>
          <w:sz w:val="24"/>
        </w:rPr>
        <w:t>月至今任公司董事长、总经理；</w:t>
      </w:r>
      <w:r>
        <w:rPr>
          <w:rFonts w:hint="eastAsia"/>
          <w:sz w:val="24"/>
        </w:rPr>
        <w:t>2016</w:t>
      </w:r>
      <w:r>
        <w:rPr>
          <w:rFonts w:hint="eastAsia"/>
          <w:sz w:val="24"/>
        </w:rPr>
        <w:t>年</w:t>
      </w:r>
      <w:r>
        <w:rPr>
          <w:rFonts w:hint="eastAsia"/>
          <w:sz w:val="24"/>
        </w:rPr>
        <w:t>11</w:t>
      </w:r>
      <w:r>
        <w:rPr>
          <w:rFonts w:hint="eastAsia"/>
          <w:sz w:val="24"/>
        </w:rPr>
        <w:t>月至今任山西股权交易中心有限公司董事长。</w:t>
      </w:r>
    </w:p>
    <w:p w:rsidR="00CB515E" w:rsidRDefault="005F186E">
      <w:pPr>
        <w:spacing w:line="460" w:lineRule="exact"/>
        <w:ind w:firstLineChars="200" w:firstLine="480"/>
        <w:rPr>
          <w:sz w:val="24"/>
        </w:rPr>
      </w:pPr>
      <w:r>
        <w:rPr>
          <w:rFonts w:hint="eastAsia"/>
          <w:sz w:val="24"/>
        </w:rPr>
        <w:t>杨增军，男，</w:t>
      </w:r>
      <w:r>
        <w:rPr>
          <w:rFonts w:hint="eastAsia"/>
          <w:sz w:val="24"/>
        </w:rPr>
        <w:t>1966</w:t>
      </w:r>
      <w:r>
        <w:rPr>
          <w:rFonts w:hint="eastAsia"/>
          <w:sz w:val="24"/>
        </w:rPr>
        <w:t>年</w:t>
      </w:r>
      <w:r>
        <w:rPr>
          <w:rFonts w:hint="eastAsia"/>
          <w:sz w:val="24"/>
        </w:rPr>
        <w:t>3</w:t>
      </w:r>
      <w:r>
        <w:rPr>
          <w:rFonts w:hint="eastAsia"/>
          <w:sz w:val="24"/>
        </w:rPr>
        <w:t>月出生，本科学历，高级会计师。</w:t>
      </w:r>
      <w:r>
        <w:rPr>
          <w:rFonts w:hint="eastAsia"/>
          <w:sz w:val="24"/>
        </w:rPr>
        <w:t>2009</w:t>
      </w:r>
      <w:r>
        <w:rPr>
          <w:rFonts w:hint="eastAsia"/>
          <w:sz w:val="24"/>
        </w:rPr>
        <w:t>年</w:t>
      </w:r>
      <w:r>
        <w:rPr>
          <w:rFonts w:hint="eastAsia"/>
          <w:sz w:val="24"/>
        </w:rPr>
        <w:t>3</w:t>
      </w:r>
      <w:r>
        <w:rPr>
          <w:rFonts w:hint="eastAsia"/>
          <w:sz w:val="24"/>
        </w:rPr>
        <w:t>月至</w:t>
      </w:r>
      <w:r>
        <w:rPr>
          <w:rFonts w:hint="eastAsia"/>
          <w:sz w:val="24"/>
        </w:rPr>
        <w:t>2015</w:t>
      </w:r>
      <w:r>
        <w:rPr>
          <w:rFonts w:hint="eastAsia"/>
          <w:sz w:val="24"/>
        </w:rPr>
        <w:t>年</w:t>
      </w:r>
      <w:r>
        <w:rPr>
          <w:rFonts w:hint="eastAsia"/>
          <w:sz w:val="24"/>
        </w:rPr>
        <w:t>5</w:t>
      </w:r>
      <w:r>
        <w:rPr>
          <w:rFonts w:hint="eastAsia"/>
          <w:sz w:val="24"/>
        </w:rPr>
        <w:t>月，在晋商银行股份有限公司工作，历任财务总监、首席财务官；</w:t>
      </w:r>
      <w:r>
        <w:rPr>
          <w:rFonts w:hint="eastAsia"/>
          <w:sz w:val="24"/>
        </w:rPr>
        <w:t>2015</w:t>
      </w:r>
      <w:r>
        <w:rPr>
          <w:rFonts w:hint="eastAsia"/>
          <w:sz w:val="24"/>
        </w:rPr>
        <w:t>年</w:t>
      </w:r>
      <w:r>
        <w:rPr>
          <w:rFonts w:hint="eastAsia"/>
          <w:sz w:val="24"/>
        </w:rPr>
        <w:t>5</w:t>
      </w:r>
      <w:r>
        <w:rPr>
          <w:rFonts w:hint="eastAsia"/>
          <w:sz w:val="24"/>
        </w:rPr>
        <w:t>月至</w:t>
      </w:r>
      <w:r>
        <w:rPr>
          <w:rFonts w:hint="eastAsia"/>
          <w:sz w:val="24"/>
        </w:rPr>
        <w:t>2016</w:t>
      </w:r>
      <w:r>
        <w:rPr>
          <w:rFonts w:hint="eastAsia"/>
          <w:sz w:val="24"/>
        </w:rPr>
        <w:t>年</w:t>
      </w:r>
      <w:r>
        <w:rPr>
          <w:rFonts w:hint="eastAsia"/>
          <w:sz w:val="24"/>
        </w:rPr>
        <w:t>7</w:t>
      </w:r>
      <w:r>
        <w:rPr>
          <w:rFonts w:hint="eastAsia"/>
          <w:sz w:val="24"/>
        </w:rPr>
        <w:t>月，在山西国信投资集团有限公司工作，任财务总监兼计划财务部总经理、科技信息部总经理（兼）、投资决策委员会委员、财务审查委员会副主任；</w:t>
      </w:r>
      <w:r>
        <w:rPr>
          <w:rFonts w:hint="eastAsia"/>
          <w:sz w:val="24"/>
        </w:rPr>
        <w:t>2016</w:t>
      </w:r>
      <w:r>
        <w:rPr>
          <w:rFonts w:hint="eastAsia"/>
          <w:sz w:val="24"/>
        </w:rPr>
        <w:t>年</w:t>
      </w:r>
      <w:r>
        <w:rPr>
          <w:rFonts w:hint="eastAsia"/>
          <w:sz w:val="24"/>
        </w:rPr>
        <w:t>7</w:t>
      </w:r>
      <w:r>
        <w:rPr>
          <w:rFonts w:hint="eastAsia"/>
          <w:sz w:val="24"/>
        </w:rPr>
        <w:t>月至今在山西金融投资控股集团有限公司工作，任财务总监兼财务管理部总经理；</w:t>
      </w:r>
      <w:r>
        <w:rPr>
          <w:rFonts w:hint="eastAsia"/>
          <w:sz w:val="24"/>
        </w:rPr>
        <w:t>2017</w:t>
      </w:r>
      <w:r>
        <w:rPr>
          <w:rFonts w:hint="eastAsia"/>
          <w:sz w:val="24"/>
        </w:rPr>
        <w:t>年</w:t>
      </w:r>
      <w:r>
        <w:rPr>
          <w:rFonts w:hint="eastAsia"/>
          <w:sz w:val="24"/>
        </w:rPr>
        <w:t>2</w:t>
      </w:r>
      <w:r>
        <w:rPr>
          <w:rFonts w:hint="eastAsia"/>
          <w:sz w:val="24"/>
        </w:rPr>
        <w:t>月至今兼任山西省产权交易中心股份有限公司监事、监事会主席，山西省农业信贷融资担保有限公司监事；</w:t>
      </w:r>
      <w:r>
        <w:rPr>
          <w:rFonts w:hint="eastAsia"/>
          <w:sz w:val="24"/>
        </w:rPr>
        <w:t>2018</w:t>
      </w:r>
      <w:r>
        <w:rPr>
          <w:rFonts w:hint="eastAsia"/>
          <w:sz w:val="24"/>
        </w:rPr>
        <w:t>年</w:t>
      </w:r>
      <w:r>
        <w:rPr>
          <w:rFonts w:hint="eastAsia"/>
          <w:sz w:val="24"/>
        </w:rPr>
        <w:t>2</w:t>
      </w:r>
      <w:r>
        <w:rPr>
          <w:rFonts w:hint="eastAsia"/>
          <w:sz w:val="24"/>
        </w:rPr>
        <w:t>月至今任公司董事。</w:t>
      </w:r>
    </w:p>
    <w:p w:rsidR="00CB515E" w:rsidRDefault="005F186E">
      <w:pPr>
        <w:spacing w:line="460" w:lineRule="exact"/>
        <w:ind w:firstLineChars="200" w:firstLine="480"/>
        <w:rPr>
          <w:sz w:val="24"/>
        </w:rPr>
      </w:pPr>
      <w:r>
        <w:rPr>
          <w:rFonts w:hint="eastAsia"/>
          <w:sz w:val="24"/>
        </w:rPr>
        <w:t>李华先生，男，</w:t>
      </w:r>
      <w:r>
        <w:rPr>
          <w:rFonts w:hint="eastAsia"/>
          <w:sz w:val="24"/>
        </w:rPr>
        <w:t>1970</w:t>
      </w:r>
      <w:r>
        <w:rPr>
          <w:rFonts w:hint="eastAsia"/>
          <w:sz w:val="24"/>
        </w:rPr>
        <w:t>年</w:t>
      </w:r>
      <w:r>
        <w:rPr>
          <w:rFonts w:hint="eastAsia"/>
          <w:sz w:val="24"/>
        </w:rPr>
        <w:t>3</w:t>
      </w:r>
      <w:r>
        <w:rPr>
          <w:rFonts w:hint="eastAsia"/>
          <w:sz w:val="24"/>
        </w:rPr>
        <w:t>月出生，中共党员，大学学历，会计师。</w:t>
      </w:r>
      <w:r>
        <w:rPr>
          <w:rFonts w:hint="eastAsia"/>
          <w:sz w:val="24"/>
        </w:rPr>
        <w:t>1995</w:t>
      </w:r>
      <w:r>
        <w:rPr>
          <w:rFonts w:hint="eastAsia"/>
          <w:sz w:val="24"/>
        </w:rPr>
        <w:t>年</w:t>
      </w:r>
      <w:r>
        <w:rPr>
          <w:rFonts w:hint="eastAsia"/>
          <w:sz w:val="24"/>
        </w:rPr>
        <w:t>7</w:t>
      </w:r>
      <w:r>
        <w:rPr>
          <w:rFonts w:hint="eastAsia"/>
          <w:sz w:val="24"/>
        </w:rPr>
        <w:t>月至</w:t>
      </w:r>
      <w:r>
        <w:rPr>
          <w:rFonts w:hint="eastAsia"/>
          <w:sz w:val="24"/>
        </w:rPr>
        <w:t>2002</w:t>
      </w:r>
      <w:r>
        <w:rPr>
          <w:rFonts w:hint="eastAsia"/>
          <w:sz w:val="24"/>
        </w:rPr>
        <w:t>年</w:t>
      </w:r>
      <w:r>
        <w:rPr>
          <w:rFonts w:hint="eastAsia"/>
          <w:sz w:val="24"/>
        </w:rPr>
        <w:t>3</w:t>
      </w:r>
      <w:r>
        <w:rPr>
          <w:rFonts w:hint="eastAsia"/>
          <w:sz w:val="24"/>
        </w:rPr>
        <w:t>月在太钢财务处成本科从事会计工作；</w:t>
      </w:r>
      <w:r>
        <w:rPr>
          <w:rFonts w:hint="eastAsia"/>
          <w:sz w:val="24"/>
        </w:rPr>
        <w:t>2002</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6</w:t>
      </w:r>
      <w:r>
        <w:rPr>
          <w:rFonts w:hint="eastAsia"/>
          <w:sz w:val="24"/>
        </w:rPr>
        <w:t>月担任太钢计财部成本管理室科长；</w:t>
      </w:r>
      <w:r>
        <w:rPr>
          <w:rFonts w:hint="eastAsia"/>
          <w:sz w:val="24"/>
        </w:rPr>
        <w:t>2008</w:t>
      </w:r>
      <w:r>
        <w:rPr>
          <w:rFonts w:hint="eastAsia"/>
          <w:sz w:val="24"/>
        </w:rPr>
        <w:t>年</w:t>
      </w:r>
      <w:r>
        <w:rPr>
          <w:rFonts w:hint="eastAsia"/>
          <w:sz w:val="24"/>
        </w:rPr>
        <w:t>7</w:t>
      </w:r>
      <w:r>
        <w:rPr>
          <w:rFonts w:hint="eastAsia"/>
          <w:sz w:val="24"/>
        </w:rPr>
        <w:t>月至</w:t>
      </w:r>
      <w:r>
        <w:rPr>
          <w:rFonts w:hint="eastAsia"/>
          <w:sz w:val="24"/>
        </w:rPr>
        <w:t>2011</w:t>
      </w:r>
      <w:r>
        <w:rPr>
          <w:rFonts w:hint="eastAsia"/>
          <w:sz w:val="24"/>
        </w:rPr>
        <w:t>年</w:t>
      </w:r>
      <w:r>
        <w:rPr>
          <w:rFonts w:hint="eastAsia"/>
          <w:sz w:val="24"/>
        </w:rPr>
        <w:t>9</w:t>
      </w:r>
      <w:r>
        <w:rPr>
          <w:rFonts w:hint="eastAsia"/>
          <w:sz w:val="24"/>
        </w:rPr>
        <w:t>月担任山西太钢不锈钢股份有限公司计财部副部长；</w:t>
      </w:r>
      <w:r>
        <w:rPr>
          <w:rFonts w:hint="eastAsia"/>
          <w:sz w:val="24"/>
        </w:rPr>
        <w:t>2011</w:t>
      </w:r>
      <w:r>
        <w:rPr>
          <w:rFonts w:hint="eastAsia"/>
          <w:sz w:val="24"/>
        </w:rPr>
        <w:t>年</w:t>
      </w:r>
      <w:r>
        <w:rPr>
          <w:rFonts w:hint="eastAsia"/>
          <w:sz w:val="24"/>
        </w:rPr>
        <w:t>10</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月担任山西太钢不锈钢股份有限公司计财部部长；</w:t>
      </w:r>
      <w:r>
        <w:rPr>
          <w:rFonts w:hint="eastAsia"/>
          <w:sz w:val="24"/>
        </w:rPr>
        <w:t>2016</w:t>
      </w:r>
      <w:r>
        <w:rPr>
          <w:rFonts w:hint="eastAsia"/>
          <w:sz w:val="24"/>
        </w:rPr>
        <w:t>年</w:t>
      </w:r>
      <w:r>
        <w:rPr>
          <w:rFonts w:hint="eastAsia"/>
          <w:sz w:val="24"/>
        </w:rPr>
        <w:t>4</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月担任山西太钢不锈钢股份有限公司财务总监；</w:t>
      </w:r>
      <w:r>
        <w:rPr>
          <w:rFonts w:hint="eastAsia"/>
          <w:sz w:val="24"/>
        </w:rPr>
        <w:t>2016</w:t>
      </w:r>
      <w:r>
        <w:rPr>
          <w:rFonts w:hint="eastAsia"/>
          <w:sz w:val="24"/>
        </w:rPr>
        <w:t>年</w:t>
      </w:r>
      <w:r>
        <w:rPr>
          <w:rFonts w:hint="eastAsia"/>
          <w:sz w:val="24"/>
        </w:rPr>
        <w:t>11</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月担任山西太钢不锈钢股份有限公司董事会秘书；</w:t>
      </w:r>
      <w:r>
        <w:rPr>
          <w:rFonts w:hint="eastAsia"/>
          <w:sz w:val="24"/>
        </w:rPr>
        <w:t>2016</w:t>
      </w:r>
      <w:r>
        <w:rPr>
          <w:rFonts w:hint="eastAsia"/>
          <w:sz w:val="24"/>
        </w:rPr>
        <w:t>年</w:t>
      </w:r>
      <w:r>
        <w:rPr>
          <w:rFonts w:hint="eastAsia"/>
          <w:sz w:val="24"/>
        </w:rPr>
        <w:t>10</w:t>
      </w:r>
      <w:r>
        <w:rPr>
          <w:rFonts w:hint="eastAsia"/>
          <w:sz w:val="24"/>
        </w:rPr>
        <w:t>月至今担任山西太钢不锈钢股份有限公司董事；</w:t>
      </w:r>
      <w:r>
        <w:rPr>
          <w:rFonts w:hint="eastAsia"/>
          <w:sz w:val="24"/>
        </w:rPr>
        <w:t>2017</w:t>
      </w:r>
      <w:r>
        <w:rPr>
          <w:rFonts w:hint="eastAsia"/>
          <w:sz w:val="24"/>
        </w:rPr>
        <w:t>年</w:t>
      </w:r>
      <w:r>
        <w:rPr>
          <w:rFonts w:hint="eastAsia"/>
          <w:sz w:val="24"/>
        </w:rPr>
        <w:t>8</w:t>
      </w:r>
      <w:r>
        <w:rPr>
          <w:rFonts w:hint="eastAsia"/>
          <w:sz w:val="24"/>
        </w:rPr>
        <w:t>月至今担任太原钢铁（集团）有限公司副总经理，兼任太原钢铁（集团）国际经济贸易有限公司、山西太钢投资有限公司、山西太钢能源有限公司、太钢进出口（香港）有限公司、太钢集团财务有限公司董事长，太钢（天津）融资租赁有限公司、太钢（天津）商业保理有限公司董事长、总经理，山西晋煤太钢能源有限责任公司、太钢集团临汾钢铁有限公司董事；</w:t>
      </w:r>
      <w:r>
        <w:rPr>
          <w:rFonts w:hint="eastAsia"/>
          <w:sz w:val="24"/>
        </w:rPr>
        <w:t>2017</w:t>
      </w:r>
      <w:r>
        <w:rPr>
          <w:rFonts w:hint="eastAsia"/>
          <w:sz w:val="24"/>
        </w:rPr>
        <w:t>年</w:t>
      </w:r>
      <w:r>
        <w:rPr>
          <w:rFonts w:hint="eastAsia"/>
          <w:sz w:val="24"/>
        </w:rPr>
        <w:t>12</w:t>
      </w:r>
      <w:r>
        <w:rPr>
          <w:rFonts w:hint="eastAsia"/>
          <w:sz w:val="24"/>
        </w:rPr>
        <w:t>月至今担任山西太钢保险代理有限公司董事长；</w:t>
      </w:r>
      <w:r>
        <w:rPr>
          <w:rFonts w:hint="eastAsia"/>
          <w:sz w:val="24"/>
        </w:rPr>
        <w:t>2018</w:t>
      </w:r>
      <w:r>
        <w:rPr>
          <w:rFonts w:hint="eastAsia"/>
          <w:sz w:val="24"/>
        </w:rPr>
        <w:t>年</w:t>
      </w:r>
      <w:r>
        <w:rPr>
          <w:rFonts w:hint="eastAsia"/>
          <w:sz w:val="24"/>
        </w:rPr>
        <w:t>8</w:t>
      </w:r>
      <w:r>
        <w:rPr>
          <w:rFonts w:hint="eastAsia"/>
          <w:sz w:val="24"/>
        </w:rPr>
        <w:t>月至今任公司董事。</w:t>
      </w:r>
    </w:p>
    <w:p w:rsidR="00CB515E" w:rsidRDefault="005F186E">
      <w:pPr>
        <w:spacing w:line="460" w:lineRule="exact"/>
        <w:ind w:firstLineChars="200" w:firstLine="480"/>
        <w:rPr>
          <w:sz w:val="24"/>
        </w:rPr>
      </w:pPr>
      <w:r>
        <w:rPr>
          <w:rFonts w:hint="eastAsia"/>
          <w:sz w:val="24"/>
        </w:rPr>
        <w:t>夏贵所先生，男，</w:t>
      </w:r>
      <w:r>
        <w:rPr>
          <w:rFonts w:hint="eastAsia"/>
          <w:sz w:val="24"/>
        </w:rPr>
        <w:t>1963</w:t>
      </w:r>
      <w:r>
        <w:rPr>
          <w:rFonts w:hint="eastAsia"/>
          <w:sz w:val="24"/>
        </w:rPr>
        <w:t>年</w:t>
      </w:r>
      <w:r>
        <w:rPr>
          <w:rFonts w:hint="eastAsia"/>
          <w:sz w:val="24"/>
        </w:rPr>
        <w:t>3</w:t>
      </w:r>
      <w:r>
        <w:rPr>
          <w:rFonts w:hint="eastAsia"/>
          <w:sz w:val="24"/>
        </w:rPr>
        <w:t>月出生，中共党员，大学学历。</w:t>
      </w:r>
      <w:r>
        <w:rPr>
          <w:rFonts w:hint="eastAsia"/>
          <w:sz w:val="24"/>
        </w:rPr>
        <w:t>1996</w:t>
      </w:r>
      <w:r>
        <w:rPr>
          <w:rFonts w:hint="eastAsia"/>
          <w:sz w:val="24"/>
        </w:rPr>
        <w:t>年</w:t>
      </w:r>
      <w:r>
        <w:rPr>
          <w:rFonts w:hint="eastAsia"/>
          <w:sz w:val="24"/>
        </w:rPr>
        <w:t>11</w:t>
      </w:r>
      <w:r>
        <w:rPr>
          <w:rFonts w:hint="eastAsia"/>
          <w:sz w:val="24"/>
        </w:rPr>
        <w:t>月至</w:t>
      </w:r>
      <w:r>
        <w:rPr>
          <w:rFonts w:hint="eastAsia"/>
          <w:sz w:val="24"/>
        </w:rPr>
        <w:t>1998</w:t>
      </w:r>
      <w:r>
        <w:rPr>
          <w:rFonts w:hint="eastAsia"/>
          <w:sz w:val="24"/>
        </w:rPr>
        <w:t>年</w:t>
      </w:r>
      <w:r>
        <w:rPr>
          <w:rFonts w:hint="eastAsia"/>
          <w:sz w:val="24"/>
        </w:rPr>
        <w:t>1</w:t>
      </w:r>
      <w:r>
        <w:rPr>
          <w:rFonts w:hint="eastAsia"/>
          <w:sz w:val="24"/>
        </w:rPr>
        <w:t>月任山西通宝能源股份有限公司财务部副经理；</w:t>
      </w:r>
      <w:r>
        <w:rPr>
          <w:rFonts w:hint="eastAsia"/>
          <w:sz w:val="24"/>
        </w:rPr>
        <w:t>1998</w:t>
      </w:r>
      <w:r>
        <w:rPr>
          <w:rFonts w:hint="eastAsia"/>
          <w:sz w:val="24"/>
        </w:rPr>
        <w:t>年</w:t>
      </w:r>
      <w:r>
        <w:rPr>
          <w:rFonts w:hint="eastAsia"/>
          <w:sz w:val="24"/>
        </w:rPr>
        <w:t>1</w:t>
      </w:r>
      <w:r>
        <w:rPr>
          <w:rFonts w:hint="eastAsia"/>
          <w:sz w:val="24"/>
        </w:rPr>
        <w:t>月至</w:t>
      </w:r>
      <w:r>
        <w:rPr>
          <w:rFonts w:hint="eastAsia"/>
          <w:sz w:val="24"/>
        </w:rPr>
        <w:t>2000</w:t>
      </w:r>
      <w:r>
        <w:rPr>
          <w:rFonts w:hint="eastAsia"/>
          <w:sz w:val="24"/>
        </w:rPr>
        <w:t>年</w:t>
      </w:r>
      <w:r>
        <w:rPr>
          <w:rFonts w:hint="eastAsia"/>
          <w:sz w:val="24"/>
        </w:rPr>
        <w:t>8</w:t>
      </w:r>
      <w:r>
        <w:rPr>
          <w:rFonts w:hint="eastAsia"/>
          <w:sz w:val="24"/>
        </w:rPr>
        <w:t>月任山西通宝能源股份有限公司总经理助理、财务部经理；</w:t>
      </w:r>
      <w:r>
        <w:rPr>
          <w:rFonts w:hint="eastAsia"/>
          <w:sz w:val="24"/>
        </w:rPr>
        <w:t>2001</w:t>
      </w:r>
      <w:r>
        <w:rPr>
          <w:rFonts w:hint="eastAsia"/>
          <w:sz w:val="24"/>
        </w:rPr>
        <w:t>年</w:t>
      </w:r>
      <w:r>
        <w:rPr>
          <w:rFonts w:hint="eastAsia"/>
          <w:sz w:val="24"/>
        </w:rPr>
        <w:t>11</w:t>
      </w:r>
      <w:r>
        <w:rPr>
          <w:rFonts w:hint="eastAsia"/>
          <w:sz w:val="24"/>
        </w:rPr>
        <w:t>月至</w:t>
      </w:r>
      <w:r>
        <w:rPr>
          <w:rFonts w:hint="eastAsia"/>
          <w:sz w:val="24"/>
        </w:rPr>
        <w:t>2004</w:t>
      </w:r>
      <w:r>
        <w:rPr>
          <w:rFonts w:hint="eastAsia"/>
          <w:sz w:val="24"/>
        </w:rPr>
        <w:t>年</w:t>
      </w:r>
      <w:r>
        <w:rPr>
          <w:rFonts w:hint="eastAsia"/>
          <w:sz w:val="24"/>
        </w:rPr>
        <w:t>3</w:t>
      </w:r>
      <w:r>
        <w:rPr>
          <w:rFonts w:hint="eastAsia"/>
          <w:sz w:val="24"/>
        </w:rPr>
        <w:t>月任山西通宝能源股份有限公司总会计师；</w:t>
      </w:r>
      <w:r>
        <w:rPr>
          <w:rFonts w:hint="eastAsia"/>
          <w:sz w:val="24"/>
        </w:rPr>
        <w:t>2004</w:t>
      </w:r>
      <w:r>
        <w:rPr>
          <w:rFonts w:hint="eastAsia"/>
          <w:sz w:val="24"/>
        </w:rPr>
        <w:t>年</w:t>
      </w:r>
      <w:r>
        <w:rPr>
          <w:rFonts w:hint="eastAsia"/>
          <w:sz w:val="24"/>
        </w:rPr>
        <w:t>3</w:t>
      </w:r>
      <w:r>
        <w:rPr>
          <w:rFonts w:hint="eastAsia"/>
          <w:sz w:val="24"/>
        </w:rPr>
        <w:t>月至</w:t>
      </w:r>
      <w:r>
        <w:rPr>
          <w:rFonts w:hint="eastAsia"/>
          <w:sz w:val="24"/>
        </w:rPr>
        <w:t>2008</w:t>
      </w:r>
      <w:r>
        <w:rPr>
          <w:rFonts w:hint="eastAsia"/>
          <w:sz w:val="24"/>
        </w:rPr>
        <w:t>年</w:t>
      </w:r>
      <w:r>
        <w:rPr>
          <w:rFonts w:hint="eastAsia"/>
          <w:sz w:val="24"/>
        </w:rPr>
        <w:t>2</w:t>
      </w:r>
      <w:r>
        <w:rPr>
          <w:rFonts w:hint="eastAsia"/>
          <w:sz w:val="24"/>
        </w:rPr>
        <w:t>月任山西通宝能源股份有限公司副总经理兼会计师；</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2010</w:t>
      </w:r>
      <w:r>
        <w:rPr>
          <w:rFonts w:hint="eastAsia"/>
          <w:sz w:val="24"/>
        </w:rPr>
        <w:t>年</w:t>
      </w:r>
      <w:r>
        <w:rPr>
          <w:rFonts w:hint="eastAsia"/>
          <w:sz w:val="24"/>
        </w:rPr>
        <w:t>7</w:t>
      </w:r>
      <w:r>
        <w:rPr>
          <w:rFonts w:hint="eastAsia"/>
          <w:sz w:val="24"/>
        </w:rPr>
        <w:t>月任山西国际电力配电管理公司总会计师、党委委员；</w:t>
      </w:r>
      <w:r>
        <w:rPr>
          <w:rFonts w:hint="eastAsia"/>
          <w:sz w:val="24"/>
        </w:rPr>
        <w:t>2010</w:t>
      </w:r>
      <w:r>
        <w:rPr>
          <w:rFonts w:hint="eastAsia"/>
          <w:sz w:val="24"/>
        </w:rPr>
        <w:t>年</w:t>
      </w:r>
      <w:r>
        <w:rPr>
          <w:rFonts w:hint="eastAsia"/>
          <w:sz w:val="24"/>
        </w:rPr>
        <w:t>7</w:t>
      </w:r>
      <w:r>
        <w:rPr>
          <w:rFonts w:hint="eastAsia"/>
          <w:sz w:val="24"/>
        </w:rPr>
        <w:t>月至今任山西国际电力集团有限公司财务部经理（期间：</w:t>
      </w:r>
      <w:r>
        <w:rPr>
          <w:rFonts w:hint="eastAsia"/>
          <w:sz w:val="24"/>
        </w:rPr>
        <w:t>2014</w:t>
      </w:r>
      <w:r>
        <w:rPr>
          <w:rFonts w:hint="eastAsia"/>
          <w:sz w:val="24"/>
        </w:rPr>
        <w:t>年</w:t>
      </w:r>
      <w:r>
        <w:rPr>
          <w:rFonts w:hint="eastAsia"/>
          <w:sz w:val="24"/>
        </w:rPr>
        <w:t>2</w:t>
      </w:r>
      <w:r>
        <w:rPr>
          <w:rFonts w:hint="eastAsia"/>
          <w:sz w:val="24"/>
        </w:rPr>
        <w:t>月至</w:t>
      </w:r>
      <w:r>
        <w:rPr>
          <w:rFonts w:hint="eastAsia"/>
          <w:sz w:val="24"/>
        </w:rPr>
        <w:t>2017</w:t>
      </w:r>
      <w:r>
        <w:rPr>
          <w:rFonts w:hint="eastAsia"/>
          <w:sz w:val="24"/>
        </w:rPr>
        <w:t>年</w:t>
      </w:r>
      <w:r>
        <w:rPr>
          <w:rFonts w:hint="eastAsia"/>
          <w:sz w:val="24"/>
        </w:rPr>
        <w:t>3</w:t>
      </w:r>
      <w:r>
        <w:rPr>
          <w:rFonts w:hint="eastAsia"/>
          <w:sz w:val="24"/>
        </w:rPr>
        <w:t>月任晋能电力集团有限公司总会计师、党委委员职务）；</w:t>
      </w:r>
      <w:r>
        <w:rPr>
          <w:rFonts w:hint="eastAsia"/>
          <w:sz w:val="24"/>
        </w:rPr>
        <w:t>2016</w:t>
      </w:r>
      <w:r>
        <w:rPr>
          <w:rFonts w:hint="eastAsia"/>
          <w:sz w:val="24"/>
        </w:rPr>
        <w:t>年</w:t>
      </w:r>
      <w:r>
        <w:rPr>
          <w:rFonts w:hint="eastAsia"/>
          <w:sz w:val="24"/>
        </w:rPr>
        <w:t>5</w:t>
      </w:r>
      <w:r>
        <w:rPr>
          <w:rFonts w:hint="eastAsia"/>
          <w:sz w:val="24"/>
        </w:rPr>
        <w:t>月至今任山西通宝能源股份有限公司董事；</w:t>
      </w:r>
      <w:r>
        <w:rPr>
          <w:rFonts w:hint="eastAsia"/>
          <w:sz w:val="24"/>
        </w:rPr>
        <w:t>2018</w:t>
      </w:r>
      <w:r>
        <w:rPr>
          <w:rFonts w:hint="eastAsia"/>
          <w:sz w:val="24"/>
        </w:rPr>
        <w:t>年</w:t>
      </w:r>
      <w:r>
        <w:rPr>
          <w:rFonts w:hint="eastAsia"/>
          <w:sz w:val="24"/>
        </w:rPr>
        <w:t>8</w:t>
      </w:r>
      <w:r>
        <w:rPr>
          <w:rFonts w:hint="eastAsia"/>
          <w:sz w:val="24"/>
        </w:rPr>
        <w:t>月至今任公司董事。</w:t>
      </w:r>
    </w:p>
    <w:p w:rsidR="00CB515E" w:rsidRDefault="005F186E">
      <w:pPr>
        <w:spacing w:line="460" w:lineRule="exact"/>
        <w:ind w:firstLineChars="200" w:firstLine="480"/>
        <w:rPr>
          <w:sz w:val="24"/>
        </w:rPr>
      </w:pPr>
      <w:r>
        <w:rPr>
          <w:rFonts w:hint="eastAsia"/>
          <w:sz w:val="24"/>
        </w:rPr>
        <w:t>朱海武先生，</w:t>
      </w:r>
      <w:r>
        <w:rPr>
          <w:rFonts w:hint="eastAsia"/>
          <w:sz w:val="24"/>
        </w:rPr>
        <w:t>1966</w:t>
      </w:r>
      <w:r>
        <w:rPr>
          <w:rFonts w:hint="eastAsia"/>
          <w:sz w:val="24"/>
        </w:rPr>
        <w:t>年</w:t>
      </w:r>
      <w:r>
        <w:rPr>
          <w:rFonts w:hint="eastAsia"/>
          <w:sz w:val="24"/>
        </w:rPr>
        <w:t>3</w:t>
      </w:r>
      <w:r>
        <w:rPr>
          <w:rFonts w:hint="eastAsia"/>
          <w:sz w:val="24"/>
        </w:rPr>
        <w:t>月出生，硕士学位，中国注册会计师、高级会计师、中国注册税务师、澳洲资深会计师。</w:t>
      </w:r>
      <w:r>
        <w:rPr>
          <w:rFonts w:hint="eastAsia"/>
          <w:sz w:val="24"/>
        </w:rPr>
        <w:t>2000</w:t>
      </w:r>
      <w:r>
        <w:rPr>
          <w:rFonts w:hint="eastAsia"/>
          <w:sz w:val="24"/>
        </w:rPr>
        <w:t>年</w:t>
      </w:r>
      <w:r>
        <w:rPr>
          <w:rFonts w:hint="eastAsia"/>
          <w:sz w:val="24"/>
        </w:rPr>
        <w:t>1</w:t>
      </w:r>
      <w:r>
        <w:rPr>
          <w:rFonts w:hint="eastAsia"/>
          <w:sz w:val="24"/>
        </w:rPr>
        <w:t>月至今，在瑞华会计师事务所工作，担任合伙人；</w:t>
      </w:r>
      <w:r>
        <w:rPr>
          <w:rFonts w:hint="eastAsia"/>
          <w:sz w:val="24"/>
        </w:rPr>
        <w:t>2014</w:t>
      </w:r>
      <w:r>
        <w:rPr>
          <w:rFonts w:hint="eastAsia"/>
          <w:sz w:val="24"/>
        </w:rPr>
        <w:t>年</w:t>
      </w:r>
      <w:r>
        <w:rPr>
          <w:rFonts w:hint="eastAsia"/>
          <w:sz w:val="24"/>
        </w:rPr>
        <w:t>10</w:t>
      </w:r>
      <w:r>
        <w:rPr>
          <w:rFonts w:hint="eastAsia"/>
          <w:sz w:val="24"/>
        </w:rPr>
        <w:t>月至今，任华远地产股份有限公司独立董事；</w:t>
      </w:r>
      <w:r>
        <w:rPr>
          <w:rFonts w:hint="eastAsia"/>
          <w:sz w:val="24"/>
        </w:rPr>
        <w:t>2015</w:t>
      </w:r>
      <w:r>
        <w:rPr>
          <w:rFonts w:hint="eastAsia"/>
          <w:sz w:val="24"/>
        </w:rPr>
        <w:t>年</w:t>
      </w:r>
      <w:r>
        <w:rPr>
          <w:rFonts w:hint="eastAsia"/>
          <w:sz w:val="24"/>
        </w:rPr>
        <w:t>5</w:t>
      </w:r>
      <w:r>
        <w:rPr>
          <w:rFonts w:hint="eastAsia"/>
          <w:sz w:val="24"/>
        </w:rPr>
        <w:t>月至今任公司独立董事。</w:t>
      </w:r>
    </w:p>
    <w:p w:rsidR="00CB515E" w:rsidRDefault="005F186E">
      <w:pPr>
        <w:spacing w:line="460" w:lineRule="exact"/>
        <w:ind w:firstLineChars="200" w:firstLine="480"/>
        <w:rPr>
          <w:sz w:val="24"/>
        </w:rPr>
      </w:pPr>
      <w:r>
        <w:rPr>
          <w:rFonts w:hint="eastAsia"/>
          <w:sz w:val="24"/>
        </w:rPr>
        <w:t>容和平先生，</w:t>
      </w:r>
      <w:r>
        <w:rPr>
          <w:rFonts w:hint="eastAsia"/>
          <w:sz w:val="24"/>
        </w:rPr>
        <w:t>1953</w:t>
      </w:r>
      <w:r>
        <w:rPr>
          <w:rFonts w:hint="eastAsia"/>
          <w:sz w:val="24"/>
        </w:rPr>
        <w:t>年</w:t>
      </w:r>
      <w:r>
        <w:rPr>
          <w:rFonts w:hint="eastAsia"/>
          <w:sz w:val="24"/>
        </w:rPr>
        <w:t>1</w:t>
      </w:r>
      <w:r>
        <w:rPr>
          <w:rFonts w:hint="eastAsia"/>
          <w:sz w:val="24"/>
        </w:rPr>
        <w:t>月出生，汉族，中共党员，本科毕业。</w:t>
      </w:r>
      <w:r>
        <w:rPr>
          <w:rFonts w:hint="eastAsia"/>
          <w:sz w:val="24"/>
        </w:rPr>
        <w:t>2001</w:t>
      </w:r>
      <w:r>
        <w:rPr>
          <w:rFonts w:hint="eastAsia"/>
          <w:sz w:val="24"/>
        </w:rPr>
        <w:t>年</w:t>
      </w:r>
      <w:r>
        <w:rPr>
          <w:rFonts w:hint="eastAsia"/>
          <w:sz w:val="24"/>
        </w:rPr>
        <w:t>6</w:t>
      </w:r>
      <w:r>
        <w:rPr>
          <w:rFonts w:hint="eastAsia"/>
          <w:sz w:val="24"/>
        </w:rPr>
        <w:t>月至</w:t>
      </w:r>
      <w:r>
        <w:rPr>
          <w:rFonts w:hint="eastAsia"/>
          <w:sz w:val="24"/>
        </w:rPr>
        <w:t>2010</w:t>
      </w:r>
      <w:r>
        <w:rPr>
          <w:rFonts w:hint="eastAsia"/>
          <w:sz w:val="24"/>
        </w:rPr>
        <w:t>年</w:t>
      </w:r>
      <w:r>
        <w:rPr>
          <w:rFonts w:hint="eastAsia"/>
          <w:sz w:val="24"/>
        </w:rPr>
        <w:t>6</w:t>
      </w:r>
      <w:r>
        <w:rPr>
          <w:rFonts w:hint="eastAsia"/>
          <w:sz w:val="24"/>
        </w:rPr>
        <w:t>月任山西大学商务学院副院长、教授；</w:t>
      </w:r>
      <w:r>
        <w:rPr>
          <w:rFonts w:hint="eastAsia"/>
          <w:sz w:val="24"/>
        </w:rPr>
        <w:t>2011</w:t>
      </w:r>
      <w:r>
        <w:rPr>
          <w:rFonts w:hint="eastAsia"/>
          <w:sz w:val="24"/>
        </w:rPr>
        <w:t>年</w:t>
      </w:r>
      <w:r>
        <w:rPr>
          <w:rFonts w:hint="eastAsia"/>
          <w:sz w:val="24"/>
        </w:rPr>
        <w:t>5</w:t>
      </w:r>
      <w:r>
        <w:rPr>
          <w:rFonts w:hint="eastAsia"/>
          <w:sz w:val="24"/>
        </w:rPr>
        <w:t>月至今任山西工商学院副院长、教授；</w:t>
      </w:r>
      <w:r>
        <w:rPr>
          <w:rFonts w:hint="eastAsia"/>
          <w:sz w:val="24"/>
        </w:rPr>
        <w:t>2013</w:t>
      </w:r>
      <w:r>
        <w:rPr>
          <w:rFonts w:hint="eastAsia"/>
          <w:sz w:val="24"/>
        </w:rPr>
        <w:t>年</w:t>
      </w:r>
      <w:r>
        <w:rPr>
          <w:rFonts w:hint="eastAsia"/>
          <w:sz w:val="24"/>
        </w:rPr>
        <w:t>6</w:t>
      </w:r>
      <w:r>
        <w:rPr>
          <w:rFonts w:hint="eastAsia"/>
          <w:sz w:val="24"/>
        </w:rPr>
        <w:t>月至今任太原化工股份有限公司独立董事；</w:t>
      </w:r>
      <w:r>
        <w:rPr>
          <w:rFonts w:hint="eastAsia"/>
          <w:sz w:val="24"/>
        </w:rPr>
        <w:t>2011</w:t>
      </w:r>
      <w:r>
        <w:rPr>
          <w:rFonts w:hint="eastAsia"/>
          <w:sz w:val="24"/>
        </w:rPr>
        <w:t>年</w:t>
      </w:r>
      <w:r>
        <w:rPr>
          <w:rFonts w:hint="eastAsia"/>
          <w:sz w:val="24"/>
        </w:rPr>
        <w:t>5</w:t>
      </w:r>
      <w:r>
        <w:rPr>
          <w:rFonts w:hint="eastAsia"/>
          <w:sz w:val="24"/>
        </w:rPr>
        <w:t>月至今任公司独立董事。</w:t>
      </w:r>
    </w:p>
    <w:p w:rsidR="00CB515E" w:rsidRDefault="005F186E">
      <w:pPr>
        <w:spacing w:line="460" w:lineRule="exact"/>
        <w:ind w:firstLineChars="200" w:firstLine="480"/>
        <w:rPr>
          <w:sz w:val="24"/>
        </w:rPr>
      </w:pPr>
      <w:r>
        <w:rPr>
          <w:rFonts w:hint="eastAsia"/>
          <w:sz w:val="24"/>
        </w:rPr>
        <w:t>王卫国先生，</w:t>
      </w:r>
      <w:r>
        <w:rPr>
          <w:rFonts w:hint="eastAsia"/>
          <w:sz w:val="24"/>
        </w:rPr>
        <w:t>1951</w:t>
      </w:r>
      <w:r>
        <w:rPr>
          <w:rFonts w:hint="eastAsia"/>
          <w:sz w:val="24"/>
        </w:rPr>
        <w:t>年</w:t>
      </w:r>
      <w:r>
        <w:rPr>
          <w:rFonts w:hint="eastAsia"/>
          <w:sz w:val="24"/>
        </w:rPr>
        <w:t>5</w:t>
      </w:r>
      <w:r>
        <w:rPr>
          <w:rFonts w:hint="eastAsia"/>
          <w:sz w:val="24"/>
        </w:rPr>
        <w:t>月出生，汉族，中共党员，硕士研究生。</w:t>
      </w:r>
      <w:r>
        <w:rPr>
          <w:rFonts w:hint="eastAsia"/>
          <w:sz w:val="24"/>
        </w:rPr>
        <w:t>1994</w:t>
      </w:r>
      <w:r>
        <w:rPr>
          <w:rFonts w:hint="eastAsia"/>
          <w:sz w:val="24"/>
        </w:rPr>
        <w:t>年</w:t>
      </w:r>
      <w:r>
        <w:rPr>
          <w:rFonts w:hint="eastAsia"/>
          <w:sz w:val="24"/>
        </w:rPr>
        <w:t>4</w:t>
      </w:r>
      <w:r>
        <w:rPr>
          <w:rFonts w:hint="eastAsia"/>
          <w:sz w:val="24"/>
        </w:rPr>
        <w:t>月起任中国政法大学教授；</w:t>
      </w:r>
      <w:r>
        <w:rPr>
          <w:rFonts w:hint="eastAsia"/>
          <w:sz w:val="24"/>
        </w:rPr>
        <w:t>2008</w:t>
      </w:r>
      <w:r>
        <w:rPr>
          <w:rFonts w:hint="eastAsia"/>
          <w:sz w:val="24"/>
        </w:rPr>
        <w:t>年</w:t>
      </w:r>
      <w:r>
        <w:rPr>
          <w:rFonts w:hint="eastAsia"/>
          <w:sz w:val="24"/>
        </w:rPr>
        <w:t>9</w:t>
      </w:r>
      <w:r>
        <w:rPr>
          <w:rFonts w:hint="eastAsia"/>
          <w:sz w:val="24"/>
        </w:rPr>
        <w:t>月至今兼职中国银行法学研究会，现任会长；</w:t>
      </w:r>
      <w:r>
        <w:rPr>
          <w:rFonts w:hint="eastAsia"/>
          <w:sz w:val="24"/>
        </w:rPr>
        <w:t>2014</w:t>
      </w:r>
      <w:r>
        <w:rPr>
          <w:rFonts w:hint="eastAsia"/>
          <w:sz w:val="24"/>
        </w:rPr>
        <w:t>年</w:t>
      </w:r>
      <w:r>
        <w:rPr>
          <w:rFonts w:hint="eastAsia"/>
          <w:sz w:val="24"/>
        </w:rPr>
        <w:t>10</w:t>
      </w:r>
      <w:r>
        <w:rPr>
          <w:rFonts w:hint="eastAsia"/>
          <w:sz w:val="24"/>
        </w:rPr>
        <w:t>月至今任藏格控股股份有限公司独立董事；</w:t>
      </w:r>
      <w:r>
        <w:rPr>
          <w:rFonts w:hint="eastAsia"/>
          <w:sz w:val="24"/>
        </w:rPr>
        <w:t>2016</w:t>
      </w:r>
      <w:r>
        <w:rPr>
          <w:rFonts w:hint="eastAsia"/>
          <w:sz w:val="24"/>
        </w:rPr>
        <w:t>年</w:t>
      </w:r>
      <w:r>
        <w:rPr>
          <w:rFonts w:hint="eastAsia"/>
          <w:sz w:val="24"/>
        </w:rPr>
        <w:t>11</w:t>
      </w:r>
      <w:r>
        <w:rPr>
          <w:rFonts w:hint="eastAsia"/>
          <w:sz w:val="24"/>
        </w:rPr>
        <w:t>月至今任陕西宝光真空电器股份有限公司董事；</w:t>
      </w:r>
      <w:r>
        <w:rPr>
          <w:rFonts w:hint="eastAsia"/>
          <w:sz w:val="24"/>
        </w:rPr>
        <w:t>2011</w:t>
      </w:r>
      <w:r>
        <w:rPr>
          <w:rFonts w:hint="eastAsia"/>
          <w:sz w:val="24"/>
        </w:rPr>
        <w:t>年</w:t>
      </w:r>
      <w:r>
        <w:rPr>
          <w:rFonts w:hint="eastAsia"/>
          <w:sz w:val="24"/>
        </w:rPr>
        <w:t>5</w:t>
      </w:r>
      <w:r>
        <w:rPr>
          <w:rFonts w:hint="eastAsia"/>
          <w:sz w:val="24"/>
        </w:rPr>
        <w:t>月至今任公司独立董事。</w:t>
      </w:r>
    </w:p>
    <w:p w:rsidR="00CB515E" w:rsidRDefault="005F186E">
      <w:pPr>
        <w:spacing w:line="460" w:lineRule="exact"/>
        <w:ind w:firstLineChars="200" w:firstLine="480"/>
        <w:rPr>
          <w:sz w:val="24"/>
        </w:rPr>
      </w:pPr>
      <w:r>
        <w:rPr>
          <w:rFonts w:hint="eastAsia"/>
          <w:sz w:val="24"/>
        </w:rPr>
        <w:t>蒋岳祥先生，</w:t>
      </w:r>
      <w:r>
        <w:rPr>
          <w:rFonts w:hint="eastAsia"/>
          <w:sz w:val="24"/>
        </w:rPr>
        <w:t>1964</w:t>
      </w:r>
      <w:r>
        <w:rPr>
          <w:rFonts w:hint="eastAsia"/>
          <w:sz w:val="24"/>
        </w:rPr>
        <w:t>年</w:t>
      </w:r>
      <w:r>
        <w:rPr>
          <w:rFonts w:hint="eastAsia"/>
          <w:sz w:val="24"/>
        </w:rPr>
        <w:t>12</w:t>
      </w:r>
      <w:r>
        <w:rPr>
          <w:rFonts w:hint="eastAsia"/>
          <w:sz w:val="24"/>
        </w:rPr>
        <w:t>月出生，汉族，中共党员，硕士研究生。</w:t>
      </w:r>
      <w:r>
        <w:rPr>
          <w:rFonts w:hint="eastAsia"/>
          <w:sz w:val="24"/>
        </w:rPr>
        <w:t>2005</w:t>
      </w:r>
      <w:r>
        <w:rPr>
          <w:rFonts w:hint="eastAsia"/>
          <w:sz w:val="24"/>
        </w:rPr>
        <w:t>年</w:t>
      </w:r>
      <w:r>
        <w:rPr>
          <w:rFonts w:hint="eastAsia"/>
          <w:sz w:val="24"/>
        </w:rPr>
        <w:t>12</w:t>
      </w:r>
      <w:r>
        <w:rPr>
          <w:rFonts w:hint="eastAsia"/>
          <w:sz w:val="24"/>
        </w:rPr>
        <w:t>月至</w:t>
      </w:r>
      <w:r>
        <w:rPr>
          <w:rFonts w:hint="eastAsia"/>
          <w:sz w:val="24"/>
        </w:rPr>
        <w:t>2009</w:t>
      </w:r>
      <w:r>
        <w:rPr>
          <w:rFonts w:hint="eastAsia"/>
          <w:sz w:val="24"/>
        </w:rPr>
        <w:t>年</w:t>
      </w:r>
      <w:r>
        <w:rPr>
          <w:rFonts w:hint="eastAsia"/>
          <w:sz w:val="24"/>
        </w:rPr>
        <w:t>3</w:t>
      </w:r>
      <w:r>
        <w:rPr>
          <w:rFonts w:hint="eastAsia"/>
          <w:sz w:val="24"/>
        </w:rPr>
        <w:t>月任浙江大学经济学院金融系教授、博导、系主任、院长助理；</w:t>
      </w:r>
      <w:r>
        <w:rPr>
          <w:rFonts w:hint="eastAsia"/>
          <w:sz w:val="24"/>
        </w:rPr>
        <w:t>2009</w:t>
      </w:r>
      <w:r>
        <w:rPr>
          <w:rFonts w:hint="eastAsia"/>
          <w:sz w:val="24"/>
        </w:rPr>
        <w:t>年</w:t>
      </w:r>
      <w:r>
        <w:rPr>
          <w:rFonts w:hint="eastAsia"/>
          <w:sz w:val="24"/>
        </w:rPr>
        <w:t>4</w:t>
      </w:r>
      <w:r>
        <w:rPr>
          <w:rFonts w:hint="eastAsia"/>
          <w:sz w:val="24"/>
        </w:rPr>
        <w:t>月至</w:t>
      </w:r>
      <w:r>
        <w:rPr>
          <w:rFonts w:hint="eastAsia"/>
          <w:sz w:val="24"/>
        </w:rPr>
        <w:t>2013</w:t>
      </w:r>
      <w:r>
        <w:rPr>
          <w:rFonts w:hint="eastAsia"/>
          <w:sz w:val="24"/>
        </w:rPr>
        <w:t>年</w:t>
      </w:r>
      <w:r>
        <w:rPr>
          <w:rFonts w:hint="eastAsia"/>
          <w:sz w:val="24"/>
        </w:rPr>
        <w:t>7</w:t>
      </w:r>
      <w:r>
        <w:rPr>
          <w:rFonts w:hint="eastAsia"/>
          <w:sz w:val="24"/>
        </w:rPr>
        <w:t>月，任浙江大学经济学院党委书记、副院长；</w:t>
      </w:r>
      <w:r>
        <w:rPr>
          <w:rFonts w:hint="eastAsia"/>
          <w:sz w:val="24"/>
        </w:rPr>
        <w:t>2009</w:t>
      </w:r>
      <w:r>
        <w:rPr>
          <w:rFonts w:hint="eastAsia"/>
          <w:sz w:val="24"/>
        </w:rPr>
        <w:t>年</w:t>
      </w:r>
      <w:r>
        <w:rPr>
          <w:rFonts w:hint="eastAsia"/>
          <w:sz w:val="24"/>
        </w:rPr>
        <w:t>4</w:t>
      </w:r>
      <w:r>
        <w:rPr>
          <w:rFonts w:hint="eastAsia"/>
          <w:sz w:val="24"/>
        </w:rPr>
        <w:t>月至今任浙江大学经济学院教授、博导；</w:t>
      </w:r>
      <w:r>
        <w:rPr>
          <w:rFonts w:hint="eastAsia"/>
          <w:sz w:val="24"/>
        </w:rPr>
        <w:t>2014</w:t>
      </w:r>
      <w:r>
        <w:rPr>
          <w:rFonts w:hint="eastAsia"/>
          <w:sz w:val="24"/>
        </w:rPr>
        <w:t>年</w:t>
      </w:r>
      <w:r>
        <w:rPr>
          <w:rFonts w:hint="eastAsia"/>
          <w:sz w:val="24"/>
        </w:rPr>
        <w:t>7</w:t>
      </w:r>
      <w:r>
        <w:rPr>
          <w:rFonts w:hint="eastAsia"/>
          <w:sz w:val="24"/>
        </w:rPr>
        <w:t>月至今任国信证券股份有限公司独立董事；</w:t>
      </w:r>
      <w:r>
        <w:rPr>
          <w:rFonts w:hint="eastAsia"/>
          <w:sz w:val="24"/>
        </w:rPr>
        <w:t>2015</w:t>
      </w:r>
      <w:r>
        <w:rPr>
          <w:rFonts w:hint="eastAsia"/>
          <w:sz w:val="24"/>
        </w:rPr>
        <w:t>年</w:t>
      </w:r>
      <w:r>
        <w:rPr>
          <w:rFonts w:hint="eastAsia"/>
          <w:sz w:val="24"/>
        </w:rPr>
        <w:t>8</w:t>
      </w:r>
      <w:r>
        <w:rPr>
          <w:rFonts w:hint="eastAsia"/>
          <w:sz w:val="24"/>
        </w:rPr>
        <w:t>月至今任英洛华科技股份有限公司独立董事；</w:t>
      </w:r>
      <w:r>
        <w:rPr>
          <w:rFonts w:hint="eastAsia"/>
          <w:sz w:val="24"/>
        </w:rPr>
        <w:t>2016</w:t>
      </w:r>
      <w:r>
        <w:rPr>
          <w:rFonts w:hint="eastAsia"/>
          <w:sz w:val="24"/>
        </w:rPr>
        <w:t>年</w:t>
      </w:r>
      <w:r>
        <w:rPr>
          <w:rFonts w:hint="eastAsia"/>
          <w:sz w:val="24"/>
        </w:rPr>
        <w:t>7</w:t>
      </w:r>
      <w:r>
        <w:rPr>
          <w:rFonts w:hint="eastAsia"/>
          <w:sz w:val="24"/>
        </w:rPr>
        <w:t>月至今任荣安地产股份有限公司独立董事；</w:t>
      </w:r>
      <w:r>
        <w:rPr>
          <w:rFonts w:hint="eastAsia"/>
          <w:sz w:val="24"/>
        </w:rPr>
        <w:t>2011</w:t>
      </w:r>
      <w:r>
        <w:rPr>
          <w:rFonts w:hint="eastAsia"/>
          <w:sz w:val="24"/>
        </w:rPr>
        <w:t>年</w:t>
      </w:r>
      <w:r>
        <w:rPr>
          <w:rFonts w:hint="eastAsia"/>
          <w:sz w:val="24"/>
        </w:rPr>
        <w:t>5</w:t>
      </w:r>
      <w:r>
        <w:rPr>
          <w:rFonts w:hint="eastAsia"/>
          <w:sz w:val="24"/>
        </w:rPr>
        <w:t>月至今任公司独立董事。</w:t>
      </w:r>
    </w:p>
    <w:p w:rsidR="00CB515E" w:rsidRDefault="005F186E">
      <w:pPr>
        <w:spacing w:line="460" w:lineRule="exact"/>
        <w:ind w:firstLineChars="200" w:firstLine="480"/>
        <w:rPr>
          <w:sz w:val="24"/>
        </w:rPr>
      </w:pPr>
      <w:r>
        <w:rPr>
          <w:rFonts w:hint="eastAsia"/>
          <w:sz w:val="24"/>
        </w:rPr>
        <w:t>王怡里先生，</w:t>
      </w:r>
      <w:r>
        <w:rPr>
          <w:rFonts w:hint="eastAsia"/>
          <w:sz w:val="24"/>
        </w:rPr>
        <w:t>1973</w:t>
      </w:r>
      <w:r>
        <w:rPr>
          <w:rFonts w:hint="eastAsia"/>
          <w:sz w:val="24"/>
        </w:rPr>
        <w:t>年</w:t>
      </w:r>
      <w:r>
        <w:rPr>
          <w:rFonts w:hint="eastAsia"/>
          <w:sz w:val="24"/>
        </w:rPr>
        <w:t>6</w:t>
      </w:r>
      <w:r>
        <w:rPr>
          <w:rFonts w:hint="eastAsia"/>
          <w:sz w:val="24"/>
        </w:rPr>
        <w:t>月出生，汉族，中共党员，学士学位。</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2013</w:t>
      </w:r>
      <w:r>
        <w:rPr>
          <w:rFonts w:hint="eastAsia"/>
          <w:sz w:val="24"/>
        </w:rPr>
        <w:t>年</w:t>
      </w:r>
      <w:r>
        <w:rPr>
          <w:rFonts w:hint="eastAsia"/>
          <w:sz w:val="24"/>
        </w:rPr>
        <w:t>3</w:t>
      </w:r>
      <w:r>
        <w:rPr>
          <w:rFonts w:hint="eastAsia"/>
          <w:sz w:val="24"/>
        </w:rPr>
        <w:t>月任山西证券董事会办公室总经理；</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2016</w:t>
      </w:r>
      <w:r>
        <w:rPr>
          <w:rFonts w:hint="eastAsia"/>
          <w:sz w:val="24"/>
        </w:rPr>
        <w:t>年</w:t>
      </w:r>
      <w:r>
        <w:rPr>
          <w:rFonts w:hint="eastAsia"/>
          <w:sz w:val="24"/>
        </w:rPr>
        <w:t>5</w:t>
      </w:r>
      <w:r>
        <w:rPr>
          <w:rFonts w:hint="eastAsia"/>
          <w:sz w:val="24"/>
        </w:rPr>
        <w:t>月任山西证券综合管理部总经理；</w:t>
      </w:r>
      <w:r>
        <w:rPr>
          <w:rFonts w:hint="eastAsia"/>
          <w:sz w:val="24"/>
        </w:rPr>
        <w:t>2010</w:t>
      </w:r>
      <w:r>
        <w:rPr>
          <w:rFonts w:hint="eastAsia"/>
          <w:sz w:val="24"/>
        </w:rPr>
        <w:t>年</w:t>
      </w:r>
      <w:r>
        <w:rPr>
          <w:rFonts w:hint="eastAsia"/>
          <w:sz w:val="24"/>
        </w:rPr>
        <w:t>2</w:t>
      </w:r>
      <w:r>
        <w:rPr>
          <w:rFonts w:hint="eastAsia"/>
          <w:sz w:val="24"/>
        </w:rPr>
        <w:t>月至今担任山西证券党委委员；</w:t>
      </w:r>
      <w:r>
        <w:rPr>
          <w:rFonts w:hint="eastAsia"/>
          <w:sz w:val="24"/>
        </w:rPr>
        <w:t>2010</w:t>
      </w:r>
      <w:r>
        <w:rPr>
          <w:rFonts w:hint="eastAsia"/>
          <w:sz w:val="24"/>
        </w:rPr>
        <w:t>年</w:t>
      </w:r>
      <w:r>
        <w:rPr>
          <w:rFonts w:hint="eastAsia"/>
          <w:sz w:val="24"/>
        </w:rPr>
        <w:t>4</w:t>
      </w:r>
      <w:r>
        <w:rPr>
          <w:rFonts w:hint="eastAsia"/>
          <w:sz w:val="24"/>
        </w:rPr>
        <w:t>月至今任山西证券董事会秘书；</w:t>
      </w:r>
      <w:r>
        <w:rPr>
          <w:rFonts w:hint="eastAsia"/>
          <w:sz w:val="24"/>
        </w:rPr>
        <w:t>2011</w:t>
      </w:r>
      <w:r>
        <w:rPr>
          <w:rFonts w:hint="eastAsia"/>
          <w:sz w:val="24"/>
        </w:rPr>
        <w:t>年</w:t>
      </w:r>
      <w:r>
        <w:rPr>
          <w:rFonts w:hint="eastAsia"/>
          <w:sz w:val="24"/>
        </w:rPr>
        <w:t>8</w:t>
      </w:r>
      <w:r>
        <w:rPr>
          <w:rFonts w:hint="eastAsia"/>
          <w:sz w:val="24"/>
        </w:rPr>
        <w:t>月至今任山西证券副总经理；</w:t>
      </w:r>
      <w:r>
        <w:rPr>
          <w:rFonts w:hint="eastAsia"/>
          <w:sz w:val="24"/>
        </w:rPr>
        <w:t>2013</w:t>
      </w:r>
      <w:r>
        <w:rPr>
          <w:rFonts w:hint="eastAsia"/>
          <w:sz w:val="24"/>
        </w:rPr>
        <w:t>年</w:t>
      </w:r>
      <w:r>
        <w:rPr>
          <w:rFonts w:hint="eastAsia"/>
          <w:sz w:val="24"/>
        </w:rPr>
        <w:t>6</w:t>
      </w:r>
      <w:r>
        <w:rPr>
          <w:rFonts w:hint="eastAsia"/>
          <w:sz w:val="24"/>
        </w:rPr>
        <w:t>月至今任山西中小企业创业投资基金（有限合伙）执行合伙人、山证基金管理有限公司董事长；</w:t>
      </w:r>
      <w:r>
        <w:rPr>
          <w:rFonts w:hint="eastAsia"/>
          <w:sz w:val="24"/>
        </w:rPr>
        <w:t>2014</w:t>
      </w:r>
      <w:r>
        <w:rPr>
          <w:rFonts w:hint="eastAsia"/>
          <w:sz w:val="24"/>
        </w:rPr>
        <w:t>年</w:t>
      </w:r>
      <w:r>
        <w:rPr>
          <w:rFonts w:hint="eastAsia"/>
          <w:sz w:val="24"/>
        </w:rPr>
        <w:t>6</w:t>
      </w:r>
      <w:r>
        <w:rPr>
          <w:rFonts w:hint="eastAsia"/>
          <w:sz w:val="24"/>
        </w:rPr>
        <w:t>月至今任山证资本管理（北京）有限公司董事长；</w:t>
      </w:r>
      <w:r>
        <w:rPr>
          <w:rFonts w:hint="eastAsia"/>
          <w:sz w:val="24"/>
        </w:rPr>
        <w:t>2014</w:t>
      </w:r>
      <w:r>
        <w:rPr>
          <w:rFonts w:hint="eastAsia"/>
          <w:sz w:val="24"/>
        </w:rPr>
        <w:t>年</w:t>
      </w:r>
      <w:r>
        <w:rPr>
          <w:rFonts w:hint="eastAsia"/>
          <w:sz w:val="24"/>
        </w:rPr>
        <w:t>10</w:t>
      </w:r>
      <w:r>
        <w:rPr>
          <w:rFonts w:hint="eastAsia"/>
          <w:sz w:val="24"/>
        </w:rPr>
        <w:t>月至今任龙华启富（深圳）股权投资基金管理有限公司董事长、北京山证并购资本投资合伙企业执行合伙人；</w:t>
      </w:r>
      <w:r>
        <w:rPr>
          <w:rFonts w:hint="eastAsia"/>
          <w:sz w:val="24"/>
        </w:rPr>
        <w:t>2015</w:t>
      </w:r>
      <w:r>
        <w:rPr>
          <w:rFonts w:hint="eastAsia"/>
          <w:sz w:val="24"/>
        </w:rPr>
        <w:t>年</w:t>
      </w:r>
      <w:r>
        <w:rPr>
          <w:rFonts w:hint="eastAsia"/>
          <w:sz w:val="24"/>
        </w:rPr>
        <w:t>2</w:t>
      </w:r>
      <w:r>
        <w:rPr>
          <w:rFonts w:hint="eastAsia"/>
          <w:sz w:val="24"/>
        </w:rPr>
        <w:t>月至今任龙华启富投资有限责任公司董事长；</w:t>
      </w:r>
      <w:r>
        <w:rPr>
          <w:rFonts w:hint="eastAsia"/>
          <w:sz w:val="24"/>
        </w:rPr>
        <w:t>2016</w:t>
      </w:r>
      <w:r>
        <w:rPr>
          <w:rFonts w:hint="eastAsia"/>
          <w:sz w:val="24"/>
        </w:rPr>
        <w:t>年</w:t>
      </w:r>
      <w:r>
        <w:rPr>
          <w:rFonts w:hint="eastAsia"/>
          <w:sz w:val="24"/>
        </w:rPr>
        <w:t>11</w:t>
      </w:r>
      <w:r>
        <w:rPr>
          <w:rFonts w:hint="eastAsia"/>
          <w:sz w:val="24"/>
        </w:rPr>
        <w:t>月至今担任中德证券有限责任公司董事；</w:t>
      </w:r>
      <w:r>
        <w:rPr>
          <w:rFonts w:hint="eastAsia"/>
          <w:sz w:val="24"/>
        </w:rPr>
        <w:t>2018</w:t>
      </w:r>
      <w:r>
        <w:rPr>
          <w:rFonts w:hint="eastAsia"/>
          <w:sz w:val="24"/>
        </w:rPr>
        <w:t>年</w:t>
      </w:r>
      <w:r>
        <w:rPr>
          <w:rFonts w:hint="eastAsia"/>
          <w:sz w:val="24"/>
        </w:rPr>
        <w:t>3</w:t>
      </w:r>
      <w:r>
        <w:rPr>
          <w:rFonts w:hint="eastAsia"/>
          <w:sz w:val="24"/>
        </w:rPr>
        <w:t>月至今任公司职工董事。</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、监事会成员基本情况</w:t>
      </w:r>
    </w:p>
    <w:p w:rsidR="00CB515E" w:rsidRDefault="005F186E">
      <w:pPr>
        <w:autoSpaceDE w:val="0"/>
        <w:autoSpaceDN w:val="0"/>
        <w:adjustRightInd w:val="0"/>
        <w:spacing w:line="460" w:lineRule="exact"/>
        <w:ind w:firstLineChars="200" w:firstLine="480"/>
        <w:rPr>
          <w:sz w:val="24"/>
        </w:rPr>
      </w:pPr>
      <w:r>
        <w:rPr>
          <w:rFonts w:hint="eastAsia"/>
          <w:sz w:val="24"/>
        </w:rPr>
        <w:t>焦杨先生，</w:t>
      </w:r>
      <w:r>
        <w:rPr>
          <w:rFonts w:hint="eastAsia"/>
          <w:sz w:val="24"/>
        </w:rPr>
        <w:t>1966</w:t>
      </w:r>
      <w:r>
        <w:rPr>
          <w:rFonts w:hint="eastAsia"/>
          <w:sz w:val="24"/>
        </w:rPr>
        <w:t>年</w:t>
      </w:r>
      <w:r>
        <w:rPr>
          <w:rFonts w:hint="eastAsia"/>
          <w:sz w:val="24"/>
        </w:rPr>
        <w:t>11</w:t>
      </w:r>
      <w:r>
        <w:rPr>
          <w:rFonts w:hint="eastAsia"/>
          <w:sz w:val="24"/>
        </w:rPr>
        <w:t>月出生，汉族，中共党员，本科学历，硕士学位。</w:t>
      </w:r>
      <w:r>
        <w:rPr>
          <w:rFonts w:hint="eastAsia"/>
          <w:sz w:val="24"/>
        </w:rPr>
        <w:t>2010</w:t>
      </w:r>
      <w:r>
        <w:rPr>
          <w:rFonts w:hint="eastAsia"/>
          <w:sz w:val="24"/>
        </w:rPr>
        <w:t>年</w:t>
      </w:r>
      <w:r>
        <w:rPr>
          <w:rFonts w:hint="eastAsia"/>
          <w:sz w:val="24"/>
        </w:rPr>
        <w:t>2</w:t>
      </w:r>
      <w:r>
        <w:rPr>
          <w:rFonts w:hint="eastAsia"/>
          <w:sz w:val="24"/>
        </w:rPr>
        <w:t>月至</w:t>
      </w:r>
      <w:r>
        <w:rPr>
          <w:rFonts w:hint="eastAsia"/>
          <w:sz w:val="24"/>
        </w:rPr>
        <w:t>2014</w:t>
      </w:r>
      <w:r>
        <w:rPr>
          <w:rFonts w:hint="eastAsia"/>
          <w:sz w:val="24"/>
        </w:rPr>
        <w:t>年</w:t>
      </w:r>
      <w:r>
        <w:rPr>
          <w:rFonts w:hint="eastAsia"/>
          <w:sz w:val="24"/>
        </w:rPr>
        <w:t>12</w:t>
      </w:r>
      <w:r>
        <w:rPr>
          <w:rFonts w:hint="eastAsia"/>
          <w:sz w:val="24"/>
        </w:rPr>
        <w:t>月任山西信托股份有限公司常务副总经理；</w:t>
      </w:r>
      <w:r>
        <w:rPr>
          <w:rFonts w:hint="eastAsia"/>
          <w:sz w:val="24"/>
        </w:rPr>
        <w:t>2014</w:t>
      </w:r>
      <w:r>
        <w:rPr>
          <w:rFonts w:hint="eastAsia"/>
          <w:sz w:val="24"/>
        </w:rPr>
        <w:t>年</w:t>
      </w:r>
      <w:r>
        <w:rPr>
          <w:rFonts w:hint="eastAsia"/>
          <w:sz w:val="24"/>
        </w:rPr>
        <w:t>12</w:t>
      </w:r>
      <w:r>
        <w:rPr>
          <w:rFonts w:hint="eastAsia"/>
          <w:sz w:val="24"/>
        </w:rPr>
        <w:t>月至</w:t>
      </w:r>
      <w:r>
        <w:rPr>
          <w:rFonts w:hint="eastAsia"/>
          <w:sz w:val="24"/>
        </w:rPr>
        <w:t>2016</w:t>
      </w:r>
      <w:r>
        <w:rPr>
          <w:rFonts w:hint="eastAsia"/>
          <w:sz w:val="24"/>
        </w:rPr>
        <w:t>年</w:t>
      </w:r>
      <w:r>
        <w:rPr>
          <w:rFonts w:hint="eastAsia"/>
          <w:sz w:val="24"/>
        </w:rPr>
        <w:t>6</w:t>
      </w:r>
      <w:r>
        <w:rPr>
          <w:rFonts w:hint="eastAsia"/>
          <w:sz w:val="24"/>
        </w:rPr>
        <w:t>月任山西国信投资集团有限公司风控总监兼审计风控部总经理；</w:t>
      </w:r>
      <w:r>
        <w:rPr>
          <w:rFonts w:hint="eastAsia"/>
          <w:sz w:val="24"/>
        </w:rPr>
        <w:t>2016</w:t>
      </w:r>
      <w:r>
        <w:rPr>
          <w:rFonts w:hint="eastAsia"/>
          <w:sz w:val="24"/>
        </w:rPr>
        <w:t>年</w:t>
      </w:r>
      <w:r>
        <w:rPr>
          <w:rFonts w:hint="eastAsia"/>
          <w:sz w:val="24"/>
        </w:rPr>
        <w:t>6</w:t>
      </w:r>
      <w:r>
        <w:rPr>
          <w:rFonts w:hint="eastAsia"/>
          <w:sz w:val="24"/>
        </w:rPr>
        <w:t>月至</w:t>
      </w:r>
      <w:r>
        <w:rPr>
          <w:rFonts w:hint="eastAsia"/>
          <w:sz w:val="24"/>
        </w:rPr>
        <w:t>2018</w:t>
      </w:r>
      <w:r>
        <w:rPr>
          <w:rFonts w:hint="eastAsia"/>
          <w:sz w:val="24"/>
        </w:rPr>
        <w:t>年</w:t>
      </w:r>
      <w:r>
        <w:rPr>
          <w:rFonts w:hint="eastAsia"/>
          <w:sz w:val="24"/>
        </w:rPr>
        <w:t>2</w:t>
      </w:r>
      <w:r>
        <w:rPr>
          <w:rFonts w:hint="eastAsia"/>
          <w:sz w:val="24"/>
        </w:rPr>
        <w:t>月任山西金融投资控股集团有限公司运营总监、资本运营部总经理；</w:t>
      </w:r>
      <w:r>
        <w:rPr>
          <w:rFonts w:hint="eastAsia"/>
          <w:sz w:val="24"/>
        </w:rPr>
        <w:t>2018</w:t>
      </w:r>
      <w:r>
        <w:rPr>
          <w:rFonts w:hint="eastAsia"/>
          <w:sz w:val="24"/>
        </w:rPr>
        <w:t>年</w:t>
      </w:r>
      <w:r>
        <w:rPr>
          <w:rFonts w:hint="eastAsia"/>
          <w:sz w:val="24"/>
        </w:rPr>
        <w:t>2</w:t>
      </w:r>
      <w:r>
        <w:rPr>
          <w:rFonts w:hint="eastAsia"/>
          <w:sz w:val="24"/>
        </w:rPr>
        <w:t>月至今任山西金融投资控股集团有限公司投资管理部总经理；</w:t>
      </w:r>
      <w:r>
        <w:rPr>
          <w:rFonts w:hint="eastAsia"/>
          <w:sz w:val="24"/>
        </w:rPr>
        <w:t xml:space="preserve"> 2015</w:t>
      </w:r>
      <w:r>
        <w:rPr>
          <w:rFonts w:hint="eastAsia"/>
          <w:sz w:val="24"/>
        </w:rPr>
        <w:t>年</w:t>
      </w:r>
      <w:r>
        <w:rPr>
          <w:rFonts w:hint="eastAsia"/>
          <w:sz w:val="24"/>
        </w:rPr>
        <w:t>1</w:t>
      </w:r>
      <w:r>
        <w:rPr>
          <w:rFonts w:hint="eastAsia"/>
          <w:sz w:val="24"/>
        </w:rPr>
        <w:t>月至今任山西股权交易中心有限公司监事、汇丰晋信基金管理有限公司监事会主席；</w:t>
      </w:r>
      <w:r>
        <w:rPr>
          <w:rFonts w:hint="eastAsia"/>
          <w:sz w:val="24"/>
        </w:rPr>
        <w:t>2016</w:t>
      </w:r>
      <w:r>
        <w:rPr>
          <w:rFonts w:hint="eastAsia"/>
          <w:sz w:val="24"/>
        </w:rPr>
        <w:t>年</w:t>
      </w:r>
      <w:r>
        <w:rPr>
          <w:rFonts w:hint="eastAsia"/>
          <w:sz w:val="24"/>
        </w:rPr>
        <w:t>12</w:t>
      </w:r>
      <w:r>
        <w:rPr>
          <w:rFonts w:hint="eastAsia"/>
          <w:sz w:val="24"/>
        </w:rPr>
        <w:t>月至今，任山西股权交易中心有限公司监事长；</w:t>
      </w:r>
      <w:r>
        <w:rPr>
          <w:rFonts w:hint="eastAsia"/>
          <w:sz w:val="24"/>
        </w:rPr>
        <w:t>2010</w:t>
      </w:r>
      <w:r>
        <w:rPr>
          <w:rFonts w:hint="eastAsia"/>
          <w:sz w:val="24"/>
        </w:rPr>
        <w:t>年</w:t>
      </w:r>
      <w:r>
        <w:rPr>
          <w:rFonts w:hint="eastAsia"/>
          <w:sz w:val="24"/>
        </w:rPr>
        <w:t>10</w:t>
      </w:r>
      <w:r>
        <w:rPr>
          <w:rFonts w:hint="eastAsia"/>
          <w:sz w:val="24"/>
        </w:rPr>
        <w:t>月至今任公司监事；</w:t>
      </w:r>
      <w:r>
        <w:rPr>
          <w:rFonts w:hint="eastAsia"/>
          <w:sz w:val="24"/>
        </w:rPr>
        <w:t>2011</w:t>
      </w:r>
      <w:r>
        <w:rPr>
          <w:rFonts w:hint="eastAsia"/>
          <w:sz w:val="24"/>
        </w:rPr>
        <w:t>年</w:t>
      </w:r>
      <w:r>
        <w:rPr>
          <w:rFonts w:hint="eastAsia"/>
          <w:sz w:val="24"/>
        </w:rPr>
        <w:t>5</w:t>
      </w:r>
      <w:r>
        <w:rPr>
          <w:rFonts w:hint="eastAsia"/>
          <w:sz w:val="24"/>
        </w:rPr>
        <w:t>月至今任公司监事会主席。</w:t>
      </w:r>
    </w:p>
    <w:p w:rsidR="00CB515E" w:rsidRDefault="005F186E">
      <w:pPr>
        <w:autoSpaceDE w:val="0"/>
        <w:autoSpaceDN w:val="0"/>
        <w:adjustRightInd w:val="0"/>
        <w:spacing w:line="460" w:lineRule="exact"/>
        <w:ind w:firstLineChars="200" w:firstLine="480"/>
        <w:rPr>
          <w:sz w:val="24"/>
        </w:rPr>
      </w:pPr>
      <w:r>
        <w:rPr>
          <w:rFonts w:hint="eastAsia"/>
          <w:sz w:val="24"/>
        </w:rPr>
        <w:t>郭志宏先生，</w:t>
      </w:r>
      <w:r>
        <w:rPr>
          <w:rFonts w:hint="eastAsia"/>
          <w:sz w:val="24"/>
        </w:rPr>
        <w:t>1966</w:t>
      </w:r>
      <w:r>
        <w:rPr>
          <w:rFonts w:hint="eastAsia"/>
          <w:sz w:val="24"/>
        </w:rPr>
        <w:t>年</w:t>
      </w:r>
      <w:r>
        <w:rPr>
          <w:rFonts w:hint="eastAsia"/>
          <w:sz w:val="24"/>
        </w:rPr>
        <w:t>5</w:t>
      </w:r>
      <w:r>
        <w:rPr>
          <w:rFonts w:hint="eastAsia"/>
          <w:sz w:val="24"/>
        </w:rPr>
        <w:t>月出生，中共党员，本科学历，</w:t>
      </w:r>
      <w:r>
        <w:rPr>
          <w:rFonts w:hint="eastAsia"/>
          <w:sz w:val="24"/>
        </w:rPr>
        <w:t>EMBA</w:t>
      </w:r>
      <w:r>
        <w:rPr>
          <w:rFonts w:hint="eastAsia"/>
          <w:sz w:val="24"/>
        </w:rPr>
        <w:t>高级工商管理硕士学位，高级经济师。</w:t>
      </w:r>
      <w:r>
        <w:rPr>
          <w:rFonts w:hint="eastAsia"/>
          <w:sz w:val="24"/>
        </w:rPr>
        <w:t>2012</w:t>
      </w:r>
      <w:r>
        <w:rPr>
          <w:rFonts w:hint="eastAsia"/>
          <w:sz w:val="24"/>
        </w:rPr>
        <w:t>年</w:t>
      </w:r>
      <w:r>
        <w:rPr>
          <w:rFonts w:hint="eastAsia"/>
          <w:sz w:val="24"/>
        </w:rPr>
        <w:t>5</w:t>
      </w:r>
      <w:r>
        <w:rPr>
          <w:rFonts w:hint="eastAsia"/>
          <w:sz w:val="24"/>
        </w:rPr>
        <w:t>月至</w:t>
      </w:r>
      <w:r>
        <w:rPr>
          <w:rFonts w:hint="eastAsia"/>
          <w:sz w:val="24"/>
        </w:rPr>
        <w:t>2015</w:t>
      </w:r>
      <w:r>
        <w:rPr>
          <w:rFonts w:hint="eastAsia"/>
          <w:sz w:val="24"/>
        </w:rPr>
        <w:t>年</w:t>
      </w:r>
      <w:r>
        <w:rPr>
          <w:rFonts w:hint="eastAsia"/>
          <w:sz w:val="24"/>
        </w:rPr>
        <w:t>3</w:t>
      </w:r>
      <w:r>
        <w:rPr>
          <w:rFonts w:hint="eastAsia"/>
          <w:sz w:val="24"/>
        </w:rPr>
        <w:t>月，任山西信托股份有限公司监事、监事会主席；</w:t>
      </w:r>
      <w:r>
        <w:rPr>
          <w:rFonts w:hint="eastAsia"/>
          <w:sz w:val="24"/>
        </w:rPr>
        <w:t>2015</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1</w:t>
      </w:r>
      <w:r>
        <w:rPr>
          <w:rFonts w:hint="eastAsia"/>
          <w:sz w:val="24"/>
        </w:rPr>
        <w:t>月任山西信托股份有限公司党委委员；</w:t>
      </w:r>
      <w:r>
        <w:rPr>
          <w:rFonts w:hint="eastAsia"/>
          <w:sz w:val="24"/>
        </w:rPr>
        <w:t>2017</w:t>
      </w:r>
      <w:r>
        <w:rPr>
          <w:rFonts w:hint="eastAsia"/>
          <w:sz w:val="24"/>
        </w:rPr>
        <w:t>年</w:t>
      </w:r>
      <w:r>
        <w:rPr>
          <w:rFonts w:hint="eastAsia"/>
          <w:sz w:val="24"/>
        </w:rPr>
        <w:t>1</w:t>
      </w:r>
      <w:r>
        <w:rPr>
          <w:rFonts w:hint="eastAsia"/>
          <w:sz w:val="24"/>
        </w:rPr>
        <w:t>月至今任山西省融资再担保有限公司党委书记、董事长；</w:t>
      </w:r>
      <w:r>
        <w:rPr>
          <w:rFonts w:hint="eastAsia"/>
          <w:sz w:val="24"/>
        </w:rPr>
        <w:t>2015</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王国峰先生，</w:t>
      </w:r>
      <w:r>
        <w:rPr>
          <w:rFonts w:hint="eastAsia"/>
          <w:sz w:val="24"/>
        </w:rPr>
        <w:t>1964</w:t>
      </w:r>
      <w:r>
        <w:rPr>
          <w:rFonts w:hint="eastAsia"/>
          <w:sz w:val="24"/>
        </w:rPr>
        <w:t>年</w:t>
      </w:r>
      <w:r>
        <w:rPr>
          <w:rFonts w:hint="eastAsia"/>
          <w:sz w:val="24"/>
        </w:rPr>
        <w:t>8</w:t>
      </w:r>
      <w:r>
        <w:rPr>
          <w:rFonts w:hint="eastAsia"/>
          <w:sz w:val="24"/>
        </w:rPr>
        <w:t>月出生，汉族，中共党员，本科学历。</w:t>
      </w:r>
      <w:r>
        <w:rPr>
          <w:rFonts w:hint="eastAsia"/>
          <w:sz w:val="24"/>
        </w:rPr>
        <w:t>2005</w:t>
      </w:r>
      <w:r>
        <w:rPr>
          <w:rFonts w:hint="eastAsia"/>
          <w:sz w:val="24"/>
        </w:rPr>
        <w:t>年</w:t>
      </w:r>
      <w:r>
        <w:rPr>
          <w:rFonts w:hint="eastAsia"/>
          <w:sz w:val="24"/>
        </w:rPr>
        <w:t>3</w:t>
      </w:r>
      <w:r>
        <w:rPr>
          <w:rFonts w:hint="eastAsia"/>
          <w:sz w:val="24"/>
        </w:rPr>
        <w:t>月至</w:t>
      </w:r>
      <w:r>
        <w:rPr>
          <w:rFonts w:hint="eastAsia"/>
          <w:sz w:val="24"/>
        </w:rPr>
        <w:t>2015</w:t>
      </w:r>
      <w:r>
        <w:rPr>
          <w:rFonts w:hint="eastAsia"/>
          <w:sz w:val="24"/>
        </w:rPr>
        <w:t>年</w:t>
      </w:r>
      <w:r>
        <w:rPr>
          <w:rFonts w:hint="eastAsia"/>
          <w:sz w:val="24"/>
        </w:rPr>
        <w:t>3</w:t>
      </w:r>
      <w:r>
        <w:rPr>
          <w:rFonts w:hint="eastAsia"/>
          <w:sz w:val="24"/>
        </w:rPr>
        <w:t>月，任长治市行政事业单位国有资产管理中心副主任；</w:t>
      </w:r>
      <w:r>
        <w:rPr>
          <w:rFonts w:hint="eastAsia"/>
          <w:sz w:val="24"/>
        </w:rPr>
        <w:t>2015</w:t>
      </w:r>
      <w:r>
        <w:rPr>
          <w:rFonts w:hint="eastAsia"/>
          <w:sz w:val="24"/>
        </w:rPr>
        <w:t>年</w:t>
      </w:r>
      <w:r>
        <w:rPr>
          <w:rFonts w:hint="eastAsia"/>
          <w:sz w:val="24"/>
        </w:rPr>
        <w:t>9</w:t>
      </w:r>
      <w:r>
        <w:rPr>
          <w:rFonts w:hint="eastAsia"/>
          <w:sz w:val="24"/>
        </w:rPr>
        <w:t>月至</w:t>
      </w:r>
      <w:r>
        <w:rPr>
          <w:rFonts w:hint="eastAsia"/>
          <w:sz w:val="24"/>
        </w:rPr>
        <w:t>2017</w:t>
      </w:r>
      <w:r>
        <w:rPr>
          <w:rFonts w:hint="eastAsia"/>
          <w:sz w:val="24"/>
        </w:rPr>
        <w:t>年</w:t>
      </w:r>
      <w:r>
        <w:rPr>
          <w:rFonts w:hint="eastAsia"/>
          <w:sz w:val="24"/>
        </w:rPr>
        <w:t>10</w:t>
      </w:r>
      <w:r>
        <w:rPr>
          <w:rFonts w:hint="eastAsia"/>
          <w:sz w:val="24"/>
        </w:rPr>
        <w:t>月任长治市行政事业单位国有资产管理中心主任；</w:t>
      </w:r>
      <w:r>
        <w:rPr>
          <w:rFonts w:hint="eastAsia"/>
          <w:sz w:val="24"/>
        </w:rPr>
        <w:t>2015</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高明先生，</w:t>
      </w:r>
      <w:r>
        <w:rPr>
          <w:rFonts w:hint="eastAsia"/>
          <w:sz w:val="24"/>
        </w:rPr>
        <w:t>1963</w:t>
      </w:r>
      <w:r>
        <w:rPr>
          <w:rFonts w:hint="eastAsia"/>
          <w:sz w:val="24"/>
        </w:rPr>
        <w:t>年</w:t>
      </w:r>
      <w:r>
        <w:rPr>
          <w:rFonts w:hint="eastAsia"/>
          <w:sz w:val="24"/>
        </w:rPr>
        <w:t>8</w:t>
      </w:r>
      <w:r>
        <w:rPr>
          <w:rFonts w:hint="eastAsia"/>
          <w:sz w:val="24"/>
        </w:rPr>
        <w:t>月出生，汉族，中共党员，大专学历。</w:t>
      </w:r>
      <w:r>
        <w:rPr>
          <w:rFonts w:hint="eastAsia"/>
          <w:sz w:val="24"/>
        </w:rPr>
        <w:t>1984</w:t>
      </w:r>
      <w:r>
        <w:rPr>
          <w:rFonts w:hint="eastAsia"/>
          <w:sz w:val="24"/>
        </w:rPr>
        <w:t>年</w:t>
      </w:r>
      <w:r>
        <w:rPr>
          <w:rFonts w:hint="eastAsia"/>
          <w:sz w:val="24"/>
        </w:rPr>
        <w:t>9</w:t>
      </w:r>
      <w:r>
        <w:rPr>
          <w:rFonts w:hint="eastAsia"/>
          <w:sz w:val="24"/>
        </w:rPr>
        <w:t>月至今历任汾酒集团有限责任公司基建出纳、会计、财务科副科长、科长、审计部副主任、主任、山西杏花村汾酒厂股份有限公司财务处处长、汾酒集团有限责任公司财务部主任、副总会计师；</w:t>
      </w:r>
      <w:r>
        <w:rPr>
          <w:rFonts w:hint="eastAsia"/>
          <w:sz w:val="24"/>
        </w:rPr>
        <w:t>2013</w:t>
      </w:r>
      <w:r>
        <w:rPr>
          <w:rFonts w:hint="eastAsia"/>
          <w:sz w:val="24"/>
        </w:rPr>
        <w:t>年</w:t>
      </w:r>
      <w:r>
        <w:rPr>
          <w:rFonts w:hint="eastAsia"/>
          <w:sz w:val="24"/>
        </w:rPr>
        <w:t>8</w:t>
      </w:r>
      <w:r>
        <w:rPr>
          <w:rFonts w:hint="eastAsia"/>
          <w:sz w:val="24"/>
        </w:rPr>
        <w:t>月至今任山西杏花村汾酒集团有限责任公司总会计师；</w:t>
      </w:r>
      <w:r>
        <w:rPr>
          <w:rFonts w:hint="eastAsia"/>
          <w:sz w:val="24"/>
        </w:rPr>
        <w:t>2007</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月任山西证券有限责任公司董事；</w:t>
      </w:r>
      <w:r>
        <w:rPr>
          <w:rFonts w:hint="eastAsia"/>
          <w:sz w:val="24"/>
        </w:rPr>
        <w:t>2008</w:t>
      </w:r>
      <w:r>
        <w:rPr>
          <w:rFonts w:hint="eastAsia"/>
          <w:sz w:val="24"/>
        </w:rPr>
        <w:t>年</w:t>
      </w:r>
      <w:r>
        <w:rPr>
          <w:rFonts w:hint="eastAsia"/>
          <w:sz w:val="24"/>
        </w:rPr>
        <w:t>2</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关峰先生，</w:t>
      </w:r>
      <w:r>
        <w:rPr>
          <w:rFonts w:hint="eastAsia"/>
          <w:sz w:val="24"/>
        </w:rPr>
        <w:t>1963</w:t>
      </w:r>
      <w:r>
        <w:rPr>
          <w:rFonts w:hint="eastAsia"/>
          <w:sz w:val="24"/>
        </w:rPr>
        <w:t>年</w:t>
      </w:r>
      <w:r>
        <w:rPr>
          <w:rFonts w:hint="eastAsia"/>
          <w:sz w:val="24"/>
        </w:rPr>
        <w:t>7</w:t>
      </w:r>
      <w:r>
        <w:rPr>
          <w:rFonts w:hint="eastAsia"/>
          <w:sz w:val="24"/>
        </w:rPr>
        <w:t>月出生，汉族，中共党员，本科学历。</w:t>
      </w:r>
      <w:r>
        <w:rPr>
          <w:rFonts w:hint="eastAsia"/>
          <w:sz w:val="24"/>
        </w:rPr>
        <w:t>2001</w:t>
      </w:r>
      <w:r>
        <w:rPr>
          <w:rFonts w:hint="eastAsia"/>
          <w:sz w:val="24"/>
        </w:rPr>
        <w:t>年</w:t>
      </w:r>
      <w:r>
        <w:rPr>
          <w:rFonts w:hint="eastAsia"/>
          <w:sz w:val="24"/>
        </w:rPr>
        <w:t>6</w:t>
      </w:r>
      <w:r>
        <w:rPr>
          <w:rFonts w:hint="eastAsia"/>
          <w:sz w:val="24"/>
        </w:rPr>
        <w:t>月至</w:t>
      </w:r>
      <w:r>
        <w:rPr>
          <w:rFonts w:hint="eastAsia"/>
          <w:sz w:val="24"/>
        </w:rPr>
        <w:t>2013</w:t>
      </w:r>
      <w:r>
        <w:rPr>
          <w:rFonts w:hint="eastAsia"/>
          <w:sz w:val="24"/>
        </w:rPr>
        <w:t>年</w:t>
      </w:r>
      <w:r>
        <w:rPr>
          <w:rFonts w:hint="eastAsia"/>
          <w:sz w:val="24"/>
        </w:rPr>
        <w:t>6</w:t>
      </w:r>
      <w:r>
        <w:rPr>
          <w:rFonts w:hint="eastAsia"/>
          <w:sz w:val="24"/>
        </w:rPr>
        <w:t>月，历任山西焦化集团有限公司审计处副处长、处长；</w:t>
      </w:r>
      <w:r>
        <w:rPr>
          <w:rFonts w:hint="eastAsia"/>
          <w:sz w:val="24"/>
        </w:rPr>
        <w:t>2013</w:t>
      </w:r>
      <w:r>
        <w:rPr>
          <w:rFonts w:hint="eastAsia"/>
          <w:sz w:val="24"/>
        </w:rPr>
        <w:t>年</w:t>
      </w:r>
      <w:r>
        <w:rPr>
          <w:rFonts w:hint="eastAsia"/>
          <w:sz w:val="24"/>
        </w:rPr>
        <w:t>6</w:t>
      </w:r>
      <w:r>
        <w:rPr>
          <w:rFonts w:hint="eastAsia"/>
          <w:sz w:val="24"/>
        </w:rPr>
        <w:t>月至</w:t>
      </w:r>
      <w:r>
        <w:rPr>
          <w:rFonts w:hint="eastAsia"/>
          <w:sz w:val="24"/>
        </w:rPr>
        <w:t>2014</w:t>
      </w:r>
      <w:r>
        <w:rPr>
          <w:rFonts w:hint="eastAsia"/>
          <w:sz w:val="24"/>
        </w:rPr>
        <w:t>年</w:t>
      </w:r>
      <w:r>
        <w:rPr>
          <w:rFonts w:hint="eastAsia"/>
          <w:sz w:val="24"/>
        </w:rPr>
        <w:t>4</w:t>
      </w:r>
      <w:r>
        <w:rPr>
          <w:rFonts w:hint="eastAsia"/>
          <w:sz w:val="24"/>
        </w:rPr>
        <w:t>月，任山西焦化集团有限公司财务处处长；</w:t>
      </w:r>
      <w:r>
        <w:rPr>
          <w:rFonts w:hint="eastAsia"/>
          <w:sz w:val="24"/>
        </w:rPr>
        <w:t>2014</w:t>
      </w:r>
      <w:r>
        <w:rPr>
          <w:rFonts w:hint="eastAsia"/>
          <w:sz w:val="24"/>
        </w:rPr>
        <w:t>年</w:t>
      </w:r>
      <w:r>
        <w:rPr>
          <w:rFonts w:hint="eastAsia"/>
          <w:sz w:val="24"/>
        </w:rPr>
        <w:t>5</w:t>
      </w:r>
      <w:r>
        <w:rPr>
          <w:rFonts w:hint="eastAsia"/>
          <w:sz w:val="24"/>
        </w:rPr>
        <w:t>月至</w:t>
      </w:r>
      <w:r>
        <w:rPr>
          <w:rFonts w:hint="eastAsia"/>
          <w:sz w:val="24"/>
        </w:rPr>
        <w:t>2017</w:t>
      </w:r>
      <w:r>
        <w:rPr>
          <w:rFonts w:hint="eastAsia"/>
          <w:sz w:val="24"/>
        </w:rPr>
        <w:t>年</w:t>
      </w:r>
      <w:r>
        <w:rPr>
          <w:rFonts w:hint="eastAsia"/>
          <w:sz w:val="24"/>
        </w:rPr>
        <w:t>5</w:t>
      </w:r>
      <w:r>
        <w:rPr>
          <w:rFonts w:hint="eastAsia"/>
          <w:sz w:val="24"/>
        </w:rPr>
        <w:t>月任山西焦化集团有限公司集团副总会计师兼财务处处长；</w:t>
      </w:r>
      <w:r>
        <w:rPr>
          <w:rFonts w:hint="eastAsia"/>
          <w:sz w:val="24"/>
        </w:rPr>
        <w:t>2017</w:t>
      </w:r>
      <w:r>
        <w:rPr>
          <w:rFonts w:hint="eastAsia"/>
          <w:sz w:val="24"/>
        </w:rPr>
        <w:t>年</w:t>
      </w:r>
      <w:r>
        <w:rPr>
          <w:rFonts w:hint="eastAsia"/>
          <w:sz w:val="24"/>
        </w:rPr>
        <w:t>2</w:t>
      </w:r>
      <w:r>
        <w:rPr>
          <w:rFonts w:hint="eastAsia"/>
          <w:sz w:val="24"/>
        </w:rPr>
        <w:t>月至今任山西焦煤集团飞虹化工股份有限公司总经理助理、财务部部长；</w:t>
      </w:r>
      <w:r>
        <w:rPr>
          <w:rFonts w:hint="eastAsia"/>
          <w:sz w:val="24"/>
        </w:rPr>
        <w:t>2015</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罗爱民先生，</w:t>
      </w:r>
      <w:r>
        <w:rPr>
          <w:rFonts w:hint="eastAsia"/>
          <w:sz w:val="24"/>
        </w:rPr>
        <w:t>1974</w:t>
      </w:r>
      <w:r>
        <w:rPr>
          <w:rFonts w:hint="eastAsia"/>
          <w:sz w:val="24"/>
        </w:rPr>
        <w:t>年</w:t>
      </w:r>
      <w:r>
        <w:rPr>
          <w:rFonts w:hint="eastAsia"/>
          <w:sz w:val="24"/>
        </w:rPr>
        <w:t>9</w:t>
      </w:r>
      <w:r>
        <w:rPr>
          <w:rFonts w:hint="eastAsia"/>
          <w:sz w:val="24"/>
        </w:rPr>
        <w:t>月出生，汉族，中共党员，本科学历。</w:t>
      </w:r>
      <w:r>
        <w:rPr>
          <w:rFonts w:hint="eastAsia"/>
          <w:sz w:val="24"/>
        </w:rPr>
        <w:t>2005</w:t>
      </w:r>
      <w:r>
        <w:rPr>
          <w:rFonts w:hint="eastAsia"/>
          <w:sz w:val="24"/>
        </w:rPr>
        <w:t>年</w:t>
      </w:r>
      <w:r>
        <w:rPr>
          <w:rFonts w:hint="eastAsia"/>
          <w:sz w:val="24"/>
        </w:rPr>
        <w:t>3</w:t>
      </w:r>
      <w:r>
        <w:rPr>
          <w:rFonts w:hint="eastAsia"/>
          <w:sz w:val="24"/>
        </w:rPr>
        <w:t>月至</w:t>
      </w:r>
      <w:r>
        <w:rPr>
          <w:rFonts w:hint="eastAsia"/>
          <w:sz w:val="24"/>
        </w:rPr>
        <w:t>2010</w:t>
      </w:r>
      <w:r>
        <w:rPr>
          <w:rFonts w:hint="eastAsia"/>
          <w:sz w:val="24"/>
        </w:rPr>
        <w:t>年</w:t>
      </w:r>
      <w:r>
        <w:rPr>
          <w:rFonts w:hint="eastAsia"/>
          <w:sz w:val="24"/>
        </w:rPr>
        <w:t>3</w:t>
      </w:r>
      <w:r>
        <w:rPr>
          <w:rFonts w:hint="eastAsia"/>
          <w:sz w:val="24"/>
        </w:rPr>
        <w:t>月任山西省经贸资产经营有限责任公司处长；</w:t>
      </w:r>
      <w:r>
        <w:rPr>
          <w:rFonts w:hint="eastAsia"/>
          <w:sz w:val="24"/>
        </w:rPr>
        <w:t>2010</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5</w:t>
      </w:r>
      <w:r>
        <w:rPr>
          <w:rFonts w:hint="eastAsia"/>
          <w:sz w:val="24"/>
        </w:rPr>
        <w:t>月任山西经贸集团技改投资有限公司总经理；</w:t>
      </w:r>
      <w:r>
        <w:rPr>
          <w:rFonts w:hint="eastAsia"/>
          <w:sz w:val="24"/>
        </w:rPr>
        <w:t>2017</w:t>
      </w:r>
      <w:r>
        <w:rPr>
          <w:rFonts w:hint="eastAsia"/>
          <w:sz w:val="24"/>
        </w:rPr>
        <w:t>年</w:t>
      </w:r>
      <w:r>
        <w:rPr>
          <w:rFonts w:hint="eastAsia"/>
          <w:sz w:val="24"/>
        </w:rPr>
        <w:t>5</w:t>
      </w:r>
      <w:r>
        <w:rPr>
          <w:rFonts w:hint="eastAsia"/>
          <w:sz w:val="24"/>
        </w:rPr>
        <w:t>月至今任山西经贸集团技改投资有限公司执行董事；</w:t>
      </w:r>
      <w:r>
        <w:rPr>
          <w:rFonts w:hint="eastAsia"/>
          <w:sz w:val="24"/>
        </w:rPr>
        <w:t>2007</w:t>
      </w:r>
      <w:r>
        <w:rPr>
          <w:rFonts w:hint="eastAsia"/>
          <w:sz w:val="24"/>
        </w:rPr>
        <w:t>年</w:t>
      </w:r>
      <w:r>
        <w:rPr>
          <w:rFonts w:hint="eastAsia"/>
          <w:sz w:val="24"/>
        </w:rPr>
        <w:t>6</w:t>
      </w:r>
      <w:r>
        <w:rPr>
          <w:rFonts w:hint="eastAsia"/>
          <w:sz w:val="24"/>
        </w:rPr>
        <w:t>月至今，任太原重工股份有限公司监事；</w:t>
      </w:r>
      <w:r>
        <w:rPr>
          <w:rFonts w:hint="eastAsia"/>
          <w:sz w:val="24"/>
        </w:rPr>
        <w:t>2011</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李国林先生，</w:t>
      </w:r>
      <w:r>
        <w:rPr>
          <w:rFonts w:hint="eastAsia"/>
          <w:sz w:val="24"/>
        </w:rPr>
        <w:t>1972</w:t>
      </w:r>
      <w:r>
        <w:rPr>
          <w:rFonts w:hint="eastAsia"/>
          <w:sz w:val="24"/>
        </w:rPr>
        <w:t>年</w:t>
      </w:r>
      <w:r>
        <w:rPr>
          <w:rFonts w:hint="eastAsia"/>
          <w:sz w:val="24"/>
        </w:rPr>
        <w:t>8</w:t>
      </w:r>
      <w:r>
        <w:rPr>
          <w:rFonts w:hint="eastAsia"/>
          <w:sz w:val="24"/>
        </w:rPr>
        <w:t>月出生，汉族，中共党员，本科学历，学士学位。</w:t>
      </w:r>
      <w:r>
        <w:rPr>
          <w:rFonts w:hint="eastAsia"/>
          <w:sz w:val="24"/>
        </w:rPr>
        <w:t>2012</w:t>
      </w:r>
      <w:r>
        <w:rPr>
          <w:rFonts w:hint="eastAsia"/>
          <w:sz w:val="24"/>
        </w:rPr>
        <w:t>年</w:t>
      </w:r>
      <w:r>
        <w:rPr>
          <w:rFonts w:hint="eastAsia"/>
          <w:sz w:val="24"/>
        </w:rPr>
        <w:t>4</w:t>
      </w:r>
      <w:r>
        <w:rPr>
          <w:rFonts w:hint="eastAsia"/>
          <w:sz w:val="24"/>
        </w:rPr>
        <w:t>月至</w:t>
      </w:r>
      <w:r>
        <w:rPr>
          <w:rFonts w:hint="eastAsia"/>
          <w:sz w:val="24"/>
        </w:rPr>
        <w:t>2016</w:t>
      </w:r>
      <w:r>
        <w:rPr>
          <w:rFonts w:hint="eastAsia"/>
          <w:sz w:val="24"/>
        </w:rPr>
        <w:t>年</w:t>
      </w:r>
      <w:r>
        <w:rPr>
          <w:rFonts w:hint="eastAsia"/>
          <w:sz w:val="24"/>
        </w:rPr>
        <w:t>5</w:t>
      </w:r>
      <w:r>
        <w:rPr>
          <w:rFonts w:hint="eastAsia"/>
          <w:sz w:val="24"/>
        </w:rPr>
        <w:t>月任山西省科技基金发展总公司副总经理；</w:t>
      </w:r>
      <w:r>
        <w:rPr>
          <w:rFonts w:hint="eastAsia"/>
          <w:sz w:val="24"/>
        </w:rPr>
        <w:t>2016</w:t>
      </w:r>
      <w:r>
        <w:rPr>
          <w:rFonts w:hint="eastAsia"/>
          <w:sz w:val="24"/>
        </w:rPr>
        <w:t>年</w:t>
      </w:r>
      <w:r>
        <w:rPr>
          <w:rFonts w:hint="eastAsia"/>
          <w:sz w:val="24"/>
        </w:rPr>
        <w:t>5</w:t>
      </w:r>
      <w:r>
        <w:rPr>
          <w:rFonts w:hint="eastAsia"/>
          <w:sz w:val="24"/>
        </w:rPr>
        <w:t>月至</w:t>
      </w:r>
      <w:r>
        <w:rPr>
          <w:rFonts w:hint="eastAsia"/>
          <w:sz w:val="24"/>
        </w:rPr>
        <w:t>2016</w:t>
      </w:r>
      <w:r>
        <w:rPr>
          <w:rFonts w:hint="eastAsia"/>
          <w:sz w:val="24"/>
        </w:rPr>
        <w:t>年</w:t>
      </w:r>
      <w:r>
        <w:rPr>
          <w:rFonts w:hint="eastAsia"/>
          <w:sz w:val="24"/>
        </w:rPr>
        <w:t>8</w:t>
      </w:r>
      <w:r>
        <w:rPr>
          <w:rFonts w:hint="eastAsia"/>
          <w:sz w:val="24"/>
        </w:rPr>
        <w:t>月，任山西省科技基金发展总公司常务副总经理；</w:t>
      </w:r>
      <w:r>
        <w:rPr>
          <w:rFonts w:hint="eastAsia"/>
          <w:sz w:val="24"/>
        </w:rPr>
        <w:t>2016</w:t>
      </w:r>
      <w:r>
        <w:rPr>
          <w:rFonts w:hint="eastAsia"/>
          <w:sz w:val="24"/>
        </w:rPr>
        <w:t>年</w:t>
      </w:r>
      <w:r>
        <w:rPr>
          <w:rFonts w:hint="eastAsia"/>
          <w:sz w:val="24"/>
        </w:rPr>
        <w:t>8</w:t>
      </w:r>
      <w:r>
        <w:rPr>
          <w:rFonts w:hint="eastAsia"/>
          <w:sz w:val="24"/>
        </w:rPr>
        <w:t>月至</w:t>
      </w:r>
      <w:r>
        <w:rPr>
          <w:rFonts w:hint="eastAsia"/>
          <w:sz w:val="24"/>
        </w:rPr>
        <w:t>2017</w:t>
      </w:r>
      <w:r>
        <w:rPr>
          <w:rFonts w:hint="eastAsia"/>
          <w:sz w:val="24"/>
        </w:rPr>
        <w:t>年</w:t>
      </w:r>
      <w:r>
        <w:rPr>
          <w:rFonts w:hint="eastAsia"/>
          <w:sz w:val="24"/>
        </w:rPr>
        <w:t>12</w:t>
      </w:r>
      <w:r>
        <w:rPr>
          <w:rFonts w:hint="eastAsia"/>
          <w:sz w:val="24"/>
        </w:rPr>
        <w:t>月任山西省科技基金发展总公司总经理；</w:t>
      </w:r>
      <w:r>
        <w:rPr>
          <w:rFonts w:hint="eastAsia"/>
          <w:sz w:val="24"/>
        </w:rPr>
        <w:t>2016</w:t>
      </w:r>
      <w:r>
        <w:rPr>
          <w:rFonts w:hint="eastAsia"/>
          <w:sz w:val="24"/>
        </w:rPr>
        <w:t>年</w:t>
      </w:r>
      <w:r>
        <w:rPr>
          <w:rFonts w:hint="eastAsia"/>
          <w:sz w:val="24"/>
        </w:rPr>
        <w:t>9</w:t>
      </w:r>
      <w:r>
        <w:rPr>
          <w:rFonts w:hint="eastAsia"/>
          <w:sz w:val="24"/>
        </w:rPr>
        <w:t>月至</w:t>
      </w:r>
      <w:r>
        <w:rPr>
          <w:rFonts w:hint="eastAsia"/>
          <w:sz w:val="24"/>
        </w:rPr>
        <w:t>2017</w:t>
      </w:r>
      <w:r>
        <w:rPr>
          <w:rFonts w:hint="eastAsia"/>
          <w:sz w:val="24"/>
        </w:rPr>
        <w:t>年</w:t>
      </w:r>
      <w:r>
        <w:rPr>
          <w:rFonts w:hint="eastAsia"/>
          <w:sz w:val="24"/>
        </w:rPr>
        <w:t>12</w:t>
      </w:r>
      <w:r>
        <w:rPr>
          <w:rFonts w:hint="eastAsia"/>
          <w:sz w:val="24"/>
        </w:rPr>
        <w:t>月任山西省科技基金发展总公司党支部书记；</w:t>
      </w:r>
      <w:r>
        <w:rPr>
          <w:rFonts w:hint="eastAsia"/>
          <w:sz w:val="24"/>
        </w:rPr>
        <w:t>2017</w:t>
      </w:r>
      <w:r>
        <w:rPr>
          <w:rFonts w:hint="eastAsia"/>
          <w:sz w:val="24"/>
        </w:rPr>
        <w:t>年</w:t>
      </w:r>
      <w:r>
        <w:rPr>
          <w:rFonts w:hint="eastAsia"/>
          <w:sz w:val="24"/>
        </w:rPr>
        <w:t>12</w:t>
      </w:r>
      <w:r>
        <w:rPr>
          <w:rFonts w:hint="eastAsia"/>
          <w:sz w:val="24"/>
        </w:rPr>
        <w:t>月至今任山西省科技基金发展有限公司</w:t>
      </w:r>
      <w:r>
        <w:rPr>
          <w:rFonts w:hint="eastAsia"/>
          <w:sz w:val="24"/>
        </w:rPr>
        <w:t>(</w:t>
      </w:r>
      <w:r>
        <w:rPr>
          <w:rFonts w:hint="eastAsia"/>
          <w:sz w:val="24"/>
        </w:rPr>
        <w:t>原山西省科技基金发展总公司</w:t>
      </w:r>
      <w:r>
        <w:rPr>
          <w:rFonts w:hint="eastAsia"/>
          <w:sz w:val="24"/>
        </w:rPr>
        <w:t>)</w:t>
      </w:r>
      <w:r>
        <w:rPr>
          <w:rFonts w:hint="eastAsia"/>
          <w:sz w:val="24"/>
        </w:rPr>
        <w:t>党支部书记、执行董事、总经理；</w:t>
      </w:r>
      <w:r>
        <w:rPr>
          <w:rFonts w:hint="eastAsia"/>
          <w:sz w:val="24"/>
        </w:rPr>
        <w:t>2014</w:t>
      </w:r>
      <w:r>
        <w:rPr>
          <w:rFonts w:hint="eastAsia"/>
          <w:sz w:val="24"/>
        </w:rPr>
        <w:t>年</w:t>
      </w:r>
      <w:r>
        <w:rPr>
          <w:rFonts w:hint="eastAsia"/>
          <w:sz w:val="24"/>
        </w:rPr>
        <w:t>9</w:t>
      </w:r>
      <w:r>
        <w:rPr>
          <w:rFonts w:hint="eastAsia"/>
          <w:sz w:val="24"/>
        </w:rPr>
        <w:t>月至今，任山西久晖股权投资管理有限公司执行董事；</w:t>
      </w:r>
      <w:r>
        <w:rPr>
          <w:rFonts w:hint="eastAsia"/>
          <w:sz w:val="24"/>
        </w:rPr>
        <w:t>2014</w:t>
      </w:r>
      <w:r>
        <w:rPr>
          <w:rFonts w:hint="eastAsia"/>
          <w:sz w:val="24"/>
        </w:rPr>
        <w:t>年</w:t>
      </w:r>
      <w:r>
        <w:rPr>
          <w:rFonts w:hint="eastAsia"/>
          <w:sz w:val="24"/>
        </w:rPr>
        <w:t>6</w:t>
      </w:r>
      <w:r>
        <w:rPr>
          <w:rFonts w:hint="eastAsia"/>
          <w:sz w:val="24"/>
        </w:rPr>
        <w:t>月至今，任山西澳坤生物农业股份有限公司董事；</w:t>
      </w:r>
      <w:r>
        <w:rPr>
          <w:rFonts w:hint="eastAsia"/>
          <w:sz w:val="24"/>
        </w:rPr>
        <w:t>2014</w:t>
      </w:r>
      <w:r>
        <w:rPr>
          <w:rFonts w:hint="eastAsia"/>
          <w:sz w:val="24"/>
        </w:rPr>
        <w:t>年</w:t>
      </w:r>
      <w:r>
        <w:rPr>
          <w:rFonts w:hint="eastAsia"/>
          <w:sz w:val="24"/>
        </w:rPr>
        <w:t>4</w:t>
      </w:r>
      <w:r>
        <w:rPr>
          <w:rFonts w:hint="eastAsia"/>
          <w:sz w:val="24"/>
        </w:rPr>
        <w:t>月至今，任太原风华信息装备股份有限公司董事；</w:t>
      </w:r>
      <w:r>
        <w:rPr>
          <w:rFonts w:hint="eastAsia"/>
          <w:sz w:val="24"/>
        </w:rPr>
        <w:t>2015</w:t>
      </w:r>
      <w:r>
        <w:rPr>
          <w:rFonts w:hint="eastAsia"/>
          <w:sz w:val="24"/>
        </w:rPr>
        <w:t>年</w:t>
      </w:r>
      <w:r>
        <w:rPr>
          <w:rFonts w:hint="eastAsia"/>
          <w:sz w:val="24"/>
        </w:rPr>
        <w:t>5</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月，任山西中电科新能源技术有限公司董事；</w:t>
      </w:r>
      <w:r>
        <w:rPr>
          <w:rFonts w:hint="eastAsia"/>
          <w:sz w:val="24"/>
        </w:rPr>
        <w:t>2012</w:t>
      </w:r>
      <w:r>
        <w:rPr>
          <w:rFonts w:hint="eastAsia"/>
          <w:sz w:val="24"/>
        </w:rPr>
        <w:t>年</w:t>
      </w:r>
      <w:r>
        <w:rPr>
          <w:rFonts w:hint="eastAsia"/>
          <w:sz w:val="24"/>
        </w:rPr>
        <w:t>3</w:t>
      </w:r>
      <w:r>
        <w:rPr>
          <w:rFonts w:hint="eastAsia"/>
          <w:sz w:val="24"/>
        </w:rPr>
        <w:t>月至今，任晋城市富基新材料有限公司董事；</w:t>
      </w:r>
      <w:r>
        <w:rPr>
          <w:rFonts w:hint="eastAsia"/>
          <w:sz w:val="24"/>
        </w:rPr>
        <w:t>2014</w:t>
      </w:r>
      <w:r>
        <w:rPr>
          <w:rFonts w:hint="eastAsia"/>
          <w:sz w:val="24"/>
        </w:rPr>
        <w:t>年</w:t>
      </w:r>
      <w:r>
        <w:rPr>
          <w:rFonts w:hint="eastAsia"/>
          <w:sz w:val="24"/>
        </w:rPr>
        <w:t>12</w:t>
      </w:r>
      <w:r>
        <w:rPr>
          <w:rFonts w:hint="eastAsia"/>
          <w:sz w:val="24"/>
        </w:rPr>
        <w:t>月至今，任山西诺亚信创业投资有限公司董事；</w:t>
      </w:r>
      <w:r>
        <w:rPr>
          <w:rFonts w:hint="eastAsia"/>
          <w:sz w:val="24"/>
        </w:rPr>
        <w:t>2012</w:t>
      </w:r>
      <w:r>
        <w:rPr>
          <w:rFonts w:hint="eastAsia"/>
          <w:sz w:val="24"/>
        </w:rPr>
        <w:t>年</w:t>
      </w:r>
      <w:r>
        <w:rPr>
          <w:rFonts w:hint="eastAsia"/>
          <w:sz w:val="24"/>
        </w:rPr>
        <w:t>12</w:t>
      </w:r>
      <w:r>
        <w:rPr>
          <w:rFonts w:hint="eastAsia"/>
          <w:sz w:val="24"/>
        </w:rPr>
        <w:t>月至今，任运城市奥新纳米新技术有限公司董事；</w:t>
      </w:r>
      <w:r>
        <w:rPr>
          <w:rFonts w:hint="eastAsia"/>
          <w:sz w:val="24"/>
        </w:rPr>
        <w:t>2015</w:t>
      </w:r>
      <w:r>
        <w:rPr>
          <w:rFonts w:hint="eastAsia"/>
          <w:sz w:val="24"/>
        </w:rPr>
        <w:t>年</w:t>
      </w:r>
      <w:r>
        <w:rPr>
          <w:rFonts w:hint="eastAsia"/>
          <w:sz w:val="24"/>
        </w:rPr>
        <w:t>1</w:t>
      </w:r>
      <w:r>
        <w:rPr>
          <w:rFonts w:hint="eastAsia"/>
          <w:sz w:val="24"/>
        </w:rPr>
        <w:t>月至今任山西青山化工有限公司董事；</w:t>
      </w:r>
      <w:r>
        <w:rPr>
          <w:rFonts w:hint="eastAsia"/>
          <w:sz w:val="24"/>
        </w:rPr>
        <w:t>2015</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刘奇旺先生，</w:t>
      </w:r>
      <w:r>
        <w:rPr>
          <w:rFonts w:hint="eastAsia"/>
          <w:sz w:val="24"/>
        </w:rPr>
        <w:t>1963</w:t>
      </w:r>
      <w:r>
        <w:rPr>
          <w:rFonts w:hint="eastAsia"/>
          <w:sz w:val="24"/>
        </w:rPr>
        <w:t>年</w:t>
      </w:r>
      <w:r>
        <w:rPr>
          <w:rFonts w:hint="eastAsia"/>
          <w:sz w:val="24"/>
        </w:rPr>
        <w:t>3</w:t>
      </w:r>
      <w:r>
        <w:rPr>
          <w:rFonts w:hint="eastAsia"/>
          <w:sz w:val="24"/>
        </w:rPr>
        <w:t>月出生，汉族，中共党员，本科学历。</w:t>
      </w:r>
      <w:r>
        <w:rPr>
          <w:rFonts w:hint="eastAsia"/>
          <w:sz w:val="24"/>
        </w:rPr>
        <w:t>1992</w:t>
      </w:r>
      <w:r>
        <w:rPr>
          <w:rFonts w:hint="eastAsia"/>
          <w:sz w:val="24"/>
        </w:rPr>
        <w:t>年</w:t>
      </w:r>
      <w:r>
        <w:rPr>
          <w:rFonts w:hint="eastAsia"/>
          <w:sz w:val="24"/>
        </w:rPr>
        <w:t>10</w:t>
      </w:r>
      <w:r>
        <w:rPr>
          <w:rFonts w:hint="eastAsia"/>
          <w:sz w:val="24"/>
        </w:rPr>
        <w:t>月至</w:t>
      </w:r>
      <w:r>
        <w:rPr>
          <w:rFonts w:hint="eastAsia"/>
          <w:sz w:val="24"/>
        </w:rPr>
        <w:t>2017</w:t>
      </w:r>
      <w:r>
        <w:rPr>
          <w:rFonts w:hint="eastAsia"/>
          <w:sz w:val="24"/>
        </w:rPr>
        <w:t>年</w:t>
      </w:r>
      <w:r>
        <w:rPr>
          <w:rFonts w:hint="eastAsia"/>
          <w:sz w:val="24"/>
        </w:rPr>
        <w:t>12</w:t>
      </w:r>
      <w:r>
        <w:rPr>
          <w:rFonts w:hint="eastAsia"/>
          <w:sz w:val="24"/>
        </w:rPr>
        <w:t>月，历任吕梁市国有资产投资集团公司（原吕梁地区信托投资公司）办公室副主任、办公室主任、总会计师；</w:t>
      </w:r>
      <w:r>
        <w:rPr>
          <w:rFonts w:hint="eastAsia"/>
          <w:sz w:val="24"/>
        </w:rPr>
        <w:t>2017</w:t>
      </w:r>
      <w:r>
        <w:rPr>
          <w:rFonts w:hint="eastAsia"/>
          <w:sz w:val="24"/>
        </w:rPr>
        <w:t>年</w:t>
      </w:r>
      <w:r>
        <w:rPr>
          <w:rFonts w:hint="eastAsia"/>
          <w:sz w:val="24"/>
        </w:rPr>
        <w:t>12</w:t>
      </w:r>
      <w:r>
        <w:rPr>
          <w:rFonts w:hint="eastAsia"/>
          <w:sz w:val="24"/>
        </w:rPr>
        <w:t>月至今任吕梁国投集团有限公司（原吕梁市国有资产投资集团公司）总会计师；</w:t>
      </w:r>
      <w:r>
        <w:rPr>
          <w:rFonts w:hint="eastAsia"/>
          <w:sz w:val="24"/>
        </w:rPr>
        <w:t>2015</w:t>
      </w:r>
      <w:r>
        <w:rPr>
          <w:rFonts w:hint="eastAsia"/>
          <w:sz w:val="24"/>
        </w:rPr>
        <w:t>年</w:t>
      </w:r>
      <w:r>
        <w:rPr>
          <w:rFonts w:hint="eastAsia"/>
          <w:sz w:val="24"/>
        </w:rPr>
        <w:t>5</w:t>
      </w:r>
      <w:r>
        <w:rPr>
          <w:rFonts w:hint="eastAsia"/>
          <w:sz w:val="24"/>
        </w:rPr>
        <w:t>月至今任公司监事。</w:t>
      </w:r>
    </w:p>
    <w:p w:rsidR="00CB515E" w:rsidRDefault="005F186E">
      <w:pPr>
        <w:autoSpaceDE w:val="0"/>
        <w:autoSpaceDN w:val="0"/>
        <w:adjustRightInd w:val="0"/>
        <w:spacing w:line="460" w:lineRule="exact"/>
        <w:ind w:firstLineChars="200" w:firstLine="480"/>
        <w:rPr>
          <w:sz w:val="24"/>
        </w:rPr>
      </w:pPr>
      <w:r>
        <w:rPr>
          <w:rFonts w:hint="eastAsia"/>
          <w:sz w:val="24"/>
        </w:rPr>
        <w:t>胡朝晖先生，</w:t>
      </w:r>
      <w:r>
        <w:rPr>
          <w:rFonts w:hint="eastAsia"/>
          <w:sz w:val="24"/>
        </w:rPr>
        <w:t>1969</w:t>
      </w:r>
      <w:r>
        <w:rPr>
          <w:rFonts w:hint="eastAsia"/>
          <w:sz w:val="24"/>
        </w:rPr>
        <w:t>年</w:t>
      </w:r>
      <w:r>
        <w:rPr>
          <w:rFonts w:hint="eastAsia"/>
          <w:sz w:val="24"/>
        </w:rPr>
        <w:t>6</w:t>
      </w:r>
      <w:r>
        <w:rPr>
          <w:rFonts w:hint="eastAsia"/>
          <w:sz w:val="24"/>
        </w:rPr>
        <w:t>月出生，汉族，中共党员，学士学位。</w:t>
      </w:r>
      <w:r>
        <w:rPr>
          <w:rFonts w:hint="eastAsia"/>
          <w:sz w:val="24"/>
        </w:rPr>
        <w:t>2008</w:t>
      </w:r>
      <w:r>
        <w:rPr>
          <w:rFonts w:hint="eastAsia"/>
          <w:sz w:val="24"/>
        </w:rPr>
        <w:t>年</w:t>
      </w:r>
      <w:r>
        <w:rPr>
          <w:rFonts w:hint="eastAsia"/>
          <w:sz w:val="24"/>
        </w:rPr>
        <w:t>2</w:t>
      </w:r>
      <w:r>
        <w:rPr>
          <w:rFonts w:hint="eastAsia"/>
          <w:sz w:val="24"/>
        </w:rPr>
        <w:t>月至今任公司职工监事；</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2016</w:t>
      </w:r>
      <w:r>
        <w:rPr>
          <w:rFonts w:hint="eastAsia"/>
          <w:sz w:val="24"/>
        </w:rPr>
        <w:t>年</w:t>
      </w:r>
      <w:r>
        <w:rPr>
          <w:rFonts w:hint="eastAsia"/>
          <w:sz w:val="24"/>
        </w:rPr>
        <w:t>5</w:t>
      </w:r>
      <w:r>
        <w:rPr>
          <w:rFonts w:hint="eastAsia"/>
          <w:sz w:val="24"/>
        </w:rPr>
        <w:t>月任公司风险控制部总经理；</w:t>
      </w:r>
      <w:r>
        <w:rPr>
          <w:rFonts w:hint="eastAsia"/>
          <w:sz w:val="24"/>
        </w:rPr>
        <w:t>2016</w:t>
      </w:r>
      <w:r>
        <w:rPr>
          <w:rFonts w:hint="eastAsia"/>
          <w:sz w:val="24"/>
        </w:rPr>
        <w:t>年</w:t>
      </w:r>
      <w:r>
        <w:rPr>
          <w:rFonts w:hint="eastAsia"/>
          <w:sz w:val="24"/>
        </w:rPr>
        <w:t>5</w:t>
      </w:r>
      <w:r>
        <w:rPr>
          <w:rFonts w:hint="eastAsia"/>
          <w:sz w:val="24"/>
        </w:rPr>
        <w:t>月至今任公司稽核考核部总经理；</w:t>
      </w:r>
      <w:r>
        <w:rPr>
          <w:rFonts w:hint="eastAsia"/>
          <w:sz w:val="24"/>
        </w:rPr>
        <w:t>2009</w:t>
      </w:r>
      <w:r>
        <w:rPr>
          <w:rFonts w:hint="eastAsia"/>
          <w:sz w:val="24"/>
        </w:rPr>
        <w:t>年</w:t>
      </w:r>
      <w:r>
        <w:rPr>
          <w:rFonts w:hint="eastAsia"/>
          <w:sz w:val="24"/>
        </w:rPr>
        <w:t>1</w:t>
      </w:r>
      <w:r>
        <w:rPr>
          <w:rFonts w:hint="eastAsia"/>
          <w:sz w:val="24"/>
        </w:rPr>
        <w:t>月起任公司监事会副主席；</w:t>
      </w:r>
      <w:r>
        <w:rPr>
          <w:rFonts w:hint="eastAsia"/>
          <w:sz w:val="24"/>
        </w:rPr>
        <w:t>2011</w:t>
      </w:r>
      <w:r>
        <w:rPr>
          <w:rFonts w:hint="eastAsia"/>
          <w:sz w:val="24"/>
        </w:rPr>
        <w:t>年</w:t>
      </w:r>
      <w:r>
        <w:rPr>
          <w:rFonts w:hint="eastAsia"/>
          <w:sz w:val="24"/>
        </w:rPr>
        <w:t>7</w:t>
      </w:r>
      <w:r>
        <w:rPr>
          <w:rFonts w:hint="eastAsia"/>
          <w:sz w:val="24"/>
        </w:rPr>
        <w:t>月至今任龙华启富投资有限责任公司监事；</w:t>
      </w:r>
      <w:r>
        <w:rPr>
          <w:rFonts w:hint="eastAsia"/>
          <w:sz w:val="24"/>
        </w:rPr>
        <w:t>2014</w:t>
      </w:r>
      <w:r>
        <w:rPr>
          <w:rFonts w:hint="eastAsia"/>
          <w:sz w:val="24"/>
        </w:rPr>
        <w:t>年</w:t>
      </w:r>
      <w:r>
        <w:rPr>
          <w:rFonts w:hint="eastAsia"/>
          <w:sz w:val="24"/>
        </w:rPr>
        <w:t>6</w:t>
      </w:r>
      <w:r>
        <w:rPr>
          <w:rFonts w:hint="eastAsia"/>
          <w:sz w:val="24"/>
        </w:rPr>
        <w:t>月任山证资本管理（北京）有限公司监事。</w:t>
      </w:r>
    </w:p>
    <w:p w:rsidR="00CB515E" w:rsidRDefault="005F186E">
      <w:pPr>
        <w:autoSpaceDE w:val="0"/>
        <w:autoSpaceDN w:val="0"/>
        <w:adjustRightInd w:val="0"/>
        <w:spacing w:line="460" w:lineRule="exact"/>
        <w:ind w:firstLineChars="200" w:firstLine="480"/>
        <w:rPr>
          <w:sz w:val="24"/>
        </w:rPr>
      </w:pPr>
      <w:r>
        <w:rPr>
          <w:rFonts w:hint="eastAsia"/>
          <w:sz w:val="24"/>
        </w:rPr>
        <w:t>翟太煌先生，</w:t>
      </w:r>
      <w:r>
        <w:rPr>
          <w:rFonts w:hint="eastAsia"/>
          <w:sz w:val="24"/>
        </w:rPr>
        <w:t>1964</w:t>
      </w:r>
      <w:r>
        <w:rPr>
          <w:rFonts w:hint="eastAsia"/>
          <w:sz w:val="24"/>
        </w:rPr>
        <w:t>年</w:t>
      </w:r>
      <w:r>
        <w:rPr>
          <w:rFonts w:hint="eastAsia"/>
          <w:sz w:val="24"/>
        </w:rPr>
        <w:t>12</w:t>
      </w:r>
      <w:r>
        <w:rPr>
          <w:rFonts w:hint="eastAsia"/>
          <w:sz w:val="24"/>
        </w:rPr>
        <w:t>月出生，汉族，中共党员，硕士学位。</w:t>
      </w:r>
      <w:r>
        <w:rPr>
          <w:rFonts w:hint="eastAsia"/>
          <w:sz w:val="24"/>
        </w:rPr>
        <w:t>2008</w:t>
      </w:r>
      <w:r>
        <w:rPr>
          <w:rFonts w:hint="eastAsia"/>
          <w:sz w:val="24"/>
        </w:rPr>
        <w:t>年</w:t>
      </w:r>
      <w:r>
        <w:rPr>
          <w:rFonts w:hint="eastAsia"/>
          <w:sz w:val="24"/>
        </w:rPr>
        <w:t>2</w:t>
      </w:r>
      <w:r>
        <w:rPr>
          <w:rFonts w:hint="eastAsia"/>
          <w:sz w:val="24"/>
        </w:rPr>
        <w:t>月至今任公司研究所所长、职工监事；</w:t>
      </w:r>
      <w:r>
        <w:rPr>
          <w:rFonts w:hint="eastAsia"/>
          <w:sz w:val="24"/>
        </w:rPr>
        <w:t>2011</w:t>
      </w:r>
      <w:r>
        <w:rPr>
          <w:rFonts w:hint="eastAsia"/>
          <w:sz w:val="24"/>
        </w:rPr>
        <w:t>年</w:t>
      </w:r>
      <w:r>
        <w:rPr>
          <w:rFonts w:hint="eastAsia"/>
          <w:sz w:val="24"/>
        </w:rPr>
        <w:t>7</w:t>
      </w:r>
      <w:r>
        <w:rPr>
          <w:rFonts w:hint="eastAsia"/>
          <w:sz w:val="24"/>
        </w:rPr>
        <w:t>月至今任龙华启富投资有限责任公司董事；</w:t>
      </w:r>
      <w:r>
        <w:rPr>
          <w:rFonts w:hint="eastAsia"/>
          <w:sz w:val="24"/>
        </w:rPr>
        <w:t>2014</w:t>
      </w:r>
      <w:r>
        <w:rPr>
          <w:rFonts w:hint="eastAsia"/>
          <w:sz w:val="24"/>
        </w:rPr>
        <w:t>年</w:t>
      </w:r>
      <w:r>
        <w:rPr>
          <w:rFonts w:hint="eastAsia"/>
          <w:sz w:val="24"/>
        </w:rPr>
        <w:t>6</w:t>
      </w:r>
      <w:r>
        <w:rPr>
          <w:rFonts w:hint="eastAsia"/>
          <w:sz w:val="24"/>
        </w:rPr>
        <w:t>月任山证资本管理（北京）有限公司董事。</w:t>
      </w:r>
    </w:p>
    <w:p w:rsidR="00CB515E" w:rsidRDefault="005F186E">
      <w:pPr>
        <w:autoSpaceDE w:val="0"/>
        <w:autoSpaceDN w:val="0"/>
        <w:adjustRightInd w:val="0"/>
        <w:spacing w:line="460" w:lineRule="exact"/>
        <w:ind w:firstLineChars="200" w:firstLine="480"/>
        <w:rPr>
          <w:sz w:val="24"/>
        </w:rPr>
      </w:pPr>
      <w:r>
        <w:rPr>
          <w:rFonts w:hint="eastAsia"/>
          <w:sz w:val="24"/>
        </w:rPr>
        <w:t>尤济敏女士，</w:t>
      </w:r>
      <w:r>
        <w:rPr>
          <w:rFonts w:hint="eastAsia"/>
          <w:sz w:val="24"/>
        </w:rPr>
        <w:t>1971</w:t>
      </w:r>
      <w:r>
        <w:rPr>
          <w:rFonts w:hint="eastAsia"/>
          <w:sz w:val="24"/>
        </w:rPr>
        <w:t>年</w:t>
      </w:r>
      <w:r>
        <w:rPr>
          <w:rFonts w:hint="eastAsia"/>
          <w:sz w:val="24"/>
        </w:rPr>
        <w:t>1</w:t>
      </w:r>
      <w:r>
        <w:rPr>
          <w:rFonts w:hint="eastAsia"/>
          <w:sz w:val="24"/>
        </w:rPr>
        <w:t>月出生，汉族，中共党员，硕士学位。</w:t>
      </w:r>
      <w:r>
        <w:rPr>
          <w:rFonts w:hint="eastAsia"/>
          <w:sz w:val="24"/>
        </w:rPr>
        <w:t>2006</w:t>
      </w:r>
      <w:r>
        <w:rPr>
          <w:rFonts w:hint="eastAsia"/>
          <w:sz w:val="24"/>
        </w:rPr>
        <w:t>年</w:t>
      </w:r>
      <w:r>
        <w:rPr>
          <w:rFonts w:hint="eastAsia"/>
          <w:sz w:val="24"/>
        </w:rPr>
        <w:t>4</w:t>
      </w:r>
      <w:r>
        <w:rPr>
          <w:rFonts w:hint="eastAsia"/>
          <w:sz w:val="24"/>
        </w:rPr>
        <w:t>月至</w:t>
      </w:r>
      <w:r>
        <w:rPr>
          <w:rFonts w:hint="eastAsia"/>
          <w:sz w:val="24"/>
        </w:rPr>
        <w:t>2016</w:t>
      </w:r>
      <w:r>
        <w:rPr>
          <w:rFonts w:hint="eastAsia"/>
          <w:sz w:val="24"/>
        </w:rPr>
        <w:t>年</w:t>
      </w:r>
      <w:r>
        <w:rPr>
          <w:rFonts w:hint="eastAsia"/>
          <w:sz w:val="24"/>
        </w:rPr>
        <w:t>5</w:t>
      </w:r>
      <w:r>
        <w:rPr>
          <w:rFonts w:hint="eastAsia"/>
          <w:sz w:val="24"/>
        </w:rPr>
        <w:t>月任公司人力资源部总经理；</w:t>
      </w:r>
      <w:r>
        <w:rPr>
          <w:rFonts w:hint="eastAsia"/>
          <w:sz w:val="24"/>
        </w:rPr>
        <w:t>2006</w:t>
      </w:r>
      <w:r>
        <w:rPr>
          <w:rFonts w:hint="eastAsia"/>
          <w:sz w:val="24"/>
        </w:rPr>
        <w:t>年</w:t>
      </w:r>
      <w:r>
        <w:rPr>
          <w:rFonts w:hint="eastAsia"/>
          <w:sz w:val="24"/>
        </w:rPr>
        <w:t>4</w:t>
      </w:r>
      <w:r>
        <w:rPr>
          <w:rFonts w:hint="eastAsia"/>
          <w:sz w:val="24"/>
        </w:rPr>
        <w:t>月至</w:t>
      </w:r>
      <w:r>
        <w:rPr>
          <w:rFonts w:hint="eastAsia"/>
          <w:sz w:val="24"/>
        </w:rPr>
        <w:t>2011</w:t>
      </w:r>
      <w:r>
        <w:rPr>
          <w:rFonts w:hint="eastAsia"/>
          <w:sz w:val="24"/>
        </w:rPr>
        <w:t>年</w:t>
      </w:r>
      <w:r>
        <w:rPr>
          <w:rFonts w:hint="eastAsia"/>
          <w:sz w:val="24"/>
        </w:rPr>
        <w:t>8</w:t>
      </w:r>
      <w:r>
        <w:rPr>
          <w:rFonts w:hint="eastAsia"/>
          <w:sz w:val="24"/>
        </w:rPr>
        <w:t>月，任公司党委办公室主任；</w:t>
      </w:r>
      <w:r>
        <w:rPr>
          <w:rFonts w:hint="eastAsia"/>
          <w:sz w:val="24"/>
        </w:rPr>
        <w:t>2008</w:t>
      </w:r>
      <w:r>
        <w:rPr>
          <w:rFonts w:hint="eastAsia"/>
          <w:sz w:val="24"/>
        </w:rPr>
        <w:t>年</w:t>
      </w:r>
      <w:r>
        <w:rPr>
          <w:rFonts w:hint="eastAsia"/>
          <w:sz w:val="24"/>
        </w:rPr>
        <w:t>2</w:t>
      </w:r>
      <w:r>
        <w:rPr>
          <w:rFonts w:hint="eastAsia"/>
          <w:sz w:val="24"/>
        </w:rPr>
        <w:t>月至今任公司职工监事；</w:t>
      </w:r>
      <w:r>
        <w:rPr>
          <w:rFonts w:hint="eastAsia"/>
          <w:sz w:val="24"/>
        </w:rPr>
        <w:t>2011</w:t>
      </w:r>
      <w:r>
        <w:rPr>
          <w:rFonts w:hint="eastAsia"/>
          <w:sz w:val="24"/>
        </w:rPr>
        <w:t>年</w:t>
      </w:r>
      <w:r>
        <w:rPr>
          <w:rFonts w:hint="eastAsia"/>
          <w:sz w:val="24"/>
        </w:rPr>
        <w:t>7</w:t>
      </w:r>
      <w:r>
        <w:rPr>
          <w:rFonts w:hint="eastAsia"/>
          <w:sz w:val="24"/>
        </w:rPr>
        <w:t>月至今任龙华启富投资有限责任公司董事；</w:t>
      </w:r>
      <w:r>
        <w:rPr>
          <w:rFonts w:hint="eastAsia"/>
          <w:sz w:val="24"/>
        </w:rPr>
        <w:t>2013</w:t>
      </w:r>
      <w:r>
        <w:rPr>
          <w:rFonts w:hint="eastAsia"/>
          <w:sz w:val="24"/>
        </w:rPr>
        <w:t>年</w:t>
      </w:r>
      <w:r>
        <w:rPr>
          <w:rFonts w:hint="eastAsia"/>
          <w:sz w:val="24"/>
        </w:rPr>
        <w:t>6</w:t>
      </w:r>
      <w:r>
        <w:rPr>
          <w:rFonts w:hint="eastAsia"/>
          <w:sz w:val="24"/>
        </w:rPr>
        <w:t>月至今任山证基金管理有限公司董事；</w:t>
      </w:r>
      <w:r>
        <w:rPr>
          <w:rFonts w:hint="eastAsia"/>
          <w:sz w:val="24"/>
        </w:rPr>
        <w:t>2016</w:t>
      </w:r>
      <w:r>
        <w:rPr>
          <w:rFonts w:hint="eastAsia"/>
          <w:sz w:val="24"/>
        </w:rPr>
        <w:t>年</w:t>
      </w:r>
      <w:r>
        <w:rPr>
          <w:rFonts w:hint="eastAsia"/>
          <w:sz w:val="24"/>
        </w:rPr>
        <w:t>6</w:t>
      </w:r>
      <w:r>
        <w:rPr>
          <w:rFonts w:hint="eastAsia"/>
          <w:sz w:val="24"/>
        </w:rPr>
        <w:t>月至今任龙华启富投资有限责任公司专职副董事长。</w:t>
      </w:r>
    </w:p>
    <w:p w:rsidR="00CB515E" w:rsidRDefault="005F186E">
      <w:pPr>
        <w:autoSpaceDE w:val="0"/>
        <w:autoSpaceDN w:val="0"/>
        <w:adjustRightInd w:val="0"/>
        <w:spacing w:line="460" w:lineRule="exact"/>
        <w:ind w:firstLineChars="200" w:firstLine="480"/>
        <w:rPr>
          <w:sz w:val="24"/>
        </w:rPr>
      </w:pPr>
      <w:r>
        <w:rPr>
          <w:rFonts w:hint="eastAsia"/>
          <w:sz w:val="24"/>
        </w:rPr>
        <w:t>闫晓华女士，</w:t>
      </w:r>
      <w:r>
        <w:rPr>
          <w:rFonts w:hint="eastAsia"/>
          <w:sz w:val="24"/>
        </w:rPr>
        <w:t>1971</w:t>
      </w:r>
      <w:r>
        <w:rPr>
          <w:rFonts w:hint="eastAsia"/>
          <w:sz w:val="24"/>
        </w:rPr>
        <w:t>年</w:t>
      </w:r>
      <w:r>
        <w:rPr>
          <w:rFonts w:hint="eastAsia"/>
          <w:sz w:val="24"/>
        </w:rPr>
        <w:t>10</w:t>
      </w:r>
      <w:r>
        <w:rPr>
          <w:rFonts w:hint="eastAsia"/>
          <w:sz w:val="24"/>
        </w:rPr>
        <w:t>月出生，汉族，中共党员，学士学位。</w:t>
      </w:r>
      <w:r>
        <w:rPr>
          <w:rFonts w:hint="eastAsia"/>
          <w:sz w:val="24"/>
        </w:rPr>
        <w:t>2006</w:t>
      </w:r>
      <w:r>
        <w:rPr>
          <w:rFonts w:hint="eastAsia"/>
          <w:sz w:val="24"/>
        </w:rPr>
        <w:t>年</w:t>
      </w:r>
      <w:r>
        <w:rPr>
          <w:rFonts w:hint="eastAsia"/>
          <w:sz w:val="24"/>
        </w:rPr>
        <w:t>7</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月任公司稽核考核部总经理；</w:t>
      </w:r>
      <w:r>
        <w:rPr>
          <w:rFonts w:hint="eastAsia"/>
          <w:sz w:val="24"/>
        </w:rPr>
        <w:t>2007</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月任山西证券有限责任公司职工监事；</w:t>
      </w:r>
      <w:r>
        <w:rPr>
          <w:rFonts w:hint="eastAsia"/>
          <w:sz w:val="24"/>
        </w:rPr>
        <w:t>2008</w:t>
      </w:r>
      <w:r>
        <w:rPr>
          <w:rFonts w:hint="eastAsia"/>
          <w:sz w:val="24"/>
        </w:rPr>
        <w:t>年</w:t>
      </w:r>
      <w:r>
        <w:rPr>
          <w:rFonts w:hint="eastAsia"/>
          <w:sz w:val="24"/>
        </w:rPr>
        <w:t>2</w:t>
      </w:r>
      <w:r>
        <w:rPr>
          <w:rFonts w:hint="eastAsia"/>
          <w:sz w:val="24"/>
        </w:rPr>
        <w:t>月至今任公司职工监事；</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2016</w:t>
      </w:r>
      <w:r>
        <w:rPr>
          <w:rFonts w:hint="eastAsia"/>
          <w:sz w:val="24"/>
        </w:rPr>
        <w:t>年</w:t>
      </w:r>
      <w:r>
        <w:rPr>
          <w:rFonts w:hint="eastAsia"/>
          <w:sz w:val="24"/>
        </w:rPr>
        <w:t>5</w:t>
      </w:r>
      <w:r>
        <w:rPr>
          <w:rFonts w:hint="eastAsia"/>
          <w:sz w:val="24"/>
        </w:rPr>
        <w:t>月任公司稽核考核部总经理；</w:t>
      </w:r>
      <w:r>
        <w:rPr>
          <w:rFonts w:hint="eastAsia"/>
          <w:sz w:val="24"/>
        </w:rPr>
        <w:t>2016</w:t>
      </w:r>
      <w:r>
        <w:rPr>
          <w:rFonts w:hint="eastAsia"/>
          <w:sz w:val="24"/>
        </w:rPr>
        <w:t>年</w:t>
      </w:r>
      <w:r>
        <w:rPr>
          <w:rFonts w:hint="eastAsia"/>
          <w:sz w:val="24"/>
        </w:rPr>
        <w:t>5</w:t>
      </w:r>
      <w:r>
        <w:rPr>
          <w:rFonts w:hint="eastAsia"/>
          <w:sz w:val="24"/>
        </w:rPr>
        <w:t>月至今任公司合规管理部总经理；</w:t>
      </w:r>
      <w:r>
        <w:rPr>
          <w:rFonts w:hint="eastAsia"/>
          <w:sz w:val="24"/>
        </w:rPr>
        <w:t>2017</w:t>
      </w:r>
      <w:r>
        <w:rPr>
          <w:rFonts w:hint="eastAsia"/>
          <w:sz w:val="24"/>
        </w:rPr>
        <w:t>年</w:t>
      </w:r>
      <w:r>
        <w:rPr>
          <w:rFonts w:hint="eastAsia"/>
          <w:sz w:val="24"/>
        </w:rPr>
        <w:t>2</w:t>
      </w:r>
      <w:r>
        <w:rPr>
          <w:rFonts w:hint="eastAsia"/>
          <w:sz w:val="24"/>
        </w:rPr>
        <w:t>月至今任公司总裁助理。</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、高级管理人员基本情况</w:t>
      </w:r>
    </w:p>
    <w:p w:rsidR="00CB515E" w:rsidRDefault="005F186E">
      <w:pPr>
        <w:spacing w:line="460" w:lineRule="exact"/>
        <w:ind w:firstLineChars="200" w:firstLine="480"/>
        <w:rPr>
          <w:sz w:val="24"/>
        </w:rPr>
      </w:pPr>
      <w:r>
        <w:rPr>
          <w:rFonts w:hint="eastAsia"/>
          <w:sz w:val="24"/>
        </w:rPr>
        <w:t>侯巍先生：请参见本节“董事工作经历及任职情况”。</w:t>
      </w:r>
    </w:p>
    <w:p w:rsidR="00CB515E" w:rsidRDefault="005F186E">
      <w:pPr>
        <w:spacing w:line="460" w:lineRule="exact"/>
        <w:ind w:firstLineChars="200" w:firstLine="480"/>
        <w:rPr>
          <w:sz w:val="24"/>
        </w:rPr>
      </w:pPr>
      <w:r>
        <w:rPr>
          <w:rFonts w:hint="eastAsia"/>
          <w:sz w:val="24"/>
        </w:rPr>
        <w:t>乔俊峰先生：</w:t>
      </w:r>
      <w:r>
        <w:rPr>
          <w:rFonts w:hint="eastAsia"/>
          <w:sz w:val="24"/>
        </w:rPr>
        <w:t>1965</w:t>
      </w:r>
      <w:r>
        <w:rPr>
          <w:rFonts w:hint="eastAsia"/>
          <w:sz w:val="24"/>
        </w:rPr>
        <w:t>年</w:t>
      </w:r>
      <w:r>
        <w:rPr>
          <w:rFonts w:hint="eastAsia"/>
          <w:sz w:val="24"/>
        </w:rPr>
        <w:t>12</w:t>
      </w:r>
      <w:r>
        <w:rPr>
          <w:rFonts w:hint="eastAsia"/>
          <w:sz w:val="24"/>
        </w:rPr>
        <w:t>月出生，汉族，中共党员，硕士学位。</w:t>
      </w:r>
      <w:r>
        <w:rPr>
          <w:rFonts w:hint="eastAsia"/>
          <w:sz w:val="24"/>
        </w:rPr>
        <w:t>2007</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月任山西证券有限责任公司职工董事；</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2015</w:t>
      </w:r>
      <w:r>
        <w:rPr>
          <w:rFonts w:hint="eastAsia"/>
          <w:sz w:val="24"/>
        </w:rPr>
        <w:t>年</w:t>
      </w:r>
      <w:r>
        <w:rPr>
          <w:rFonts w:hint="eastAsia"/>
          <w:sz w:val="24"/>
        </w:rPr>
        <w:t>5</w:t>
      </w:r>
      <w:r>
        <w:rPr>
          <w:rFonts w:hint="eastAsia"/>
          <w:sz w:val="24"/>
        </w:rPr>
        <w:t>月任公司职工董事；</w:t>
      </w:r>
      <w:r>
        <w:rPr>
          <w:rFonts w:hint="eastAsia"/>
          <w:sz w:val="24"/>
        </w:rPr>
        <w:t>2008</w:t>
      </w:r>
      <w:r>
        <w:rPr>
          <w:rFonts w:hint="eastAsia"/>
          <w:sz w:val="24"/>
        </w:rPr>
        <w:t>年</w:t>
      </w:r>
      <w:r>
        <w:rPr>
          <w:rFonts w:hint="eastAsia"/>
          <w:sz w:val="24"/>
        </w:rPr>
        <w:t>10</w:t>
      </w:r>
      <w:r>
        <w:rPr>
          <w:rFonts w:hint="eastAsia"/>
          <w:sz w:val="24"/>
        </w:rPr>
        <w:t>月至</w:t>
      </w:r>
      <w:r>
        <w:rPr>
          <w:rFonts w:hint="eastAsia"/>
          <w:sz w:val="24"/>
        </w:rPr>
        <w:t>2010</w:t>
      </w:r>
      <w:r>
        <w:rPr>
          <w:rFonts w:hint="eastAsia"/>
          <w:sz w:val="24"/>
        </w:rPr>
        <w:t>年</w:t>
      </w:r>
      <w:r>
        <w:rPr>
          <w:rFonts w:hint="eastAsia"/>
          <w:sz w:val="24"/>
        </w:rPr>
        <w:t>9</w:t>
      </w:r>
      <w:r>
        <w:rPr>
          <w:rFonts w:hint="eastAsia"/>
          <w:sz w:val="24"/>
        </w:rPr>
        <w:t>月任大华期货有限公司总经理；</w:t>
      </w:r>
      <w:r>
        <w:rPr>
          <w:rFonts w:hint="eastAsia"/>
          <w:sz w:val="24"/>
        </w:rPr>
        <w:t>2010</w:t>
      </w:r>
      <w:r>
        <w:rPr>
          <w:rFonts w:hint="eastAsia"/>
          <w:sz w:val="24"/>
        </w:rPr>
        <w:t>年</w:t>
      </w:r>
      <w:r>
        <w:rPr>
          <w:rFonts w:hint="eastAsia"/>
          <w:sz w:val="24"/>
        </w:rPr>
        <w:t>9</w:t>
      </w:r>
      <w:r>
        <w:rPr>
          <w:rFonts w:hint="eastAsia"/>
          <w:sz w:val="24"/>
        </w:rPr>
        <w:t>月至</w:t>
      </w:r>
      <w:r>
        <w:rPr>
          <w:rFonts w:hint="eastAsia"/>
          <w:sz w:val="24"/>
        </w:rPr>
        <w:t>2013</w:t>
      </w:r>
      <w:r>
        <w:rPr>
          <w:rFonts w:hint="eastAsia"/>
          <w:sz w:val="24"/>
        </w:rPr>
        <w:t>年</w:t>
      </w:r>
      <w:r>
        <w:rPr>
          <w:rFonts w:hint="eastAsia"/>
          <w:sz w:val="24"/>
        </w:rPr>
        <w:t>9</w:t>
      </w:r>
      <w:r>
        <w:rPr>
          <w:rFonts w:hint="eastAsia"/>
          <w:sz w:val="24"/>
        </w:rPr>
        <w:t>月任大华期货有限公司董事长；</w:t>
      </w:r>
      <w:r>
        <w:rPr>
          <w:rFonts w:hint="eastAsia"/>
          <w:sz w:val="24"/>
        </w:rPr>
        <w:t>2010</w:t>
      </w:r>
      <w:r>
        <w:rPr>
          <w:rFonts w:hint="eastAsia"/>
          <w:sz w:val="24"/>
        </w:rPr>
        <w:t>年</w:t>
      </w:r>
      <w:r>
        <w:rPr>
          <w:rFonts w:hint="eastAsia"/>
          <w:sz w:val="24"/>
        </w:rPr>
        <w:t>2</w:t>
      </w:r>
      <w:r>
        <w:rPr>
          <w:rFonts w:hint="eastAsia"/>
          <w:sz w:val="24"/>
        </w:rPr>
        <w:t>月至今担任公司党委委员。</w:t>
      </w:r>
      <w:r>
        <w:rPr>
          <w:rFonts w:hint="eastAsia"/>
          <w:sz w:val="24"/>
        </w:rPr>
        <w:t>2010</w:t>
      </w:r>
      <w:r>
        <w:rPr>
          <w:rFonts w:hint="eastAsia"/>
          <w:sz w:val="24"/>
        </w:rPr>
        <w:t>年</w:t>
      </w:r>
      <w:r>
        <w:rPr>
          <w:rFonts w:hint="eastAsia"/>
          <w:sz w:val="24"/>
        </w:rPr>
        <w:t>12</w:t>
      </w:r>
      <w:r>
        <w:rPr>
          <w:rFonts w:hint="eastAsia"/>
          <w:sz w:val="24"/>
        </w:rPr>
        <w:t>月至今任公司副总经理；</w:t>
      </w:r>
      <w:r>
        <w:rPr>
          <w:rFonts w:hint="eastAsia"/>
          <w:sz w:val="24"/>
        </w:rPr>
        <w:t>2013</w:t>
      </w:r>
      <w:r>
        <w:rPr>
          <w:rFonts w:hint="eastAsia"/>
          <w:sz w:val="24"/>
        </w:rPr>
        <w:t>年</w:t>
      </w:r>
      <w:r>
        <w:rPr>
          <w:rFonts w:hint="eastAsia"/>
          <w:sz w:val="24"/>
        </w:rPr>
        <w:t>9</w:t>
      </w:r>
      <w:r>
        <w:rPr>
          <w:rFonts w:hint="eastAsia"/>
          <w:sz w:val="24"/>
        </w:rPr>
        <w:t>月至</w:t>
      </w:r>
      <w:r>
        <w:rPr>
          <w:rFonts w:hint="eastAsia"/>
          <w:sz w:val="24"/>
        </w:rPr>
        <w:t>2017</w:t>
      </w:r>
      <w:r>
        <w:rPr>
          <w:rFonts w:hint="eastAsia"/>
          <w:sz w:val="24"/>
        </w:rPr>
        <w:t>年</w:t>
      </w:r>
      <w:r>
        <w:rPr>
          <w:rFonts w:hint="eastAsia"/>
          <w:sz w:val="24"/>
        </w:rPr>
        <w:t>1</w:t>
      </w:r>
      <w:r>
        <w:rPr>
          <w:rFonts w:hint="eastAsia"/>
          <w:sz w:val="24"/>
        </w:rPr>
        <w:t>月任格林大华期货有限公司董事长；</w:t>
      </w:r>
      <w:r>
        <w:rPr>
          <w:rFonts w:hint="eastAsia"/>
          <w:sz w:val="24"/>
        </w:rPr>
        <w:t>2016</w:t>
      </w:r>
      <w:r>
        <w:rPr>
          <w:rFonts w:hint="eastAsia"/>
          <w:sz w:val="24"/>
        </w:rPr>
        <w:t>年</w:t>
      </w:r>
      <w:r>
        <w:rPr>
          <w:rFonts w:hint="eastAsia"/>
          <w:sz w:val="24"/>
        </w:rPr>
        <w:t>1</w:t>
      </w:r>
      <w:r>
        <w:rPr>
          <w:rFonts w:hint="eastAsia"/>
          <w:sz w:val="24"/>
        </w:rPr>
        <w:t>月至今任山证国际金融控股有限公司董事长；</w:t>
      </w:r>
      <w:r>
        <w:rPr>
          <w:rFonts w:hint="eastAsia"/>
          <w:sz w:val="24"/>
        </w:rPr>
        <w:t>2017</w:t>
      </w:r>
      <w:r>
        <w:rPr>
          <w:rFonts w:hint="eastAsia"/>
          <w:sz w:val="24"/>
        </w:rPr>
        <w:t>年</w:t>
      </w:r>
      <w:r>
        <w:rPr>
          <w:rFonts w:hint="eastAsia"/>
          <w:sz w:val="24"/>
        </w:rPr>
        <w:t>6</w:t>
      </w:r>
      <w:r>
        <w:rPr>
          <w:rFonts w:hint="eastAsia"/>
          <w:sz w:val="24"/>
        </w:rPr>
        <w:t>月至今任公司上海资产管理分公司总经理。</w:t>
      </w:r>
    </w:p>
    <w:p w:rsidR="00CB515E" w:rsidRDefault="005F186E">
      <w:pPr>
        <w:spacing w:line="460" w:lineRule="exact"/>
        <w:ind w:firstLineChars="200" w:firstLine="480"/>
        <w:rPr>
          <w:sz w:val="24"/>
        </w:rPr>
      </w:pPr>
      <w:r>
        <w:rPr>
          <w:rFonts w:hint="eastAsia"/>
          <w:sz w:val="24"/>
        </w:rPr>
        <w:t>孟有军先生：</w:t>
      </w:r>
      <w:r>
        <w:rPr>
          <w:rFonts w:hint="eastAsia"/>
          <w:sz w:val="24"/>
        </w:rPr>
        <w:t>1964</w:t>
      </w:r>
      <w:r>
        <w:rPr>
          <w:rFonts w:hint="eastAsia"/>
          <w:sz w:val="24"/>
        </w:rPr>
        <w:t>年</w:t>
      </w:r>
      <w:r>
        <w:rPr>
          <w:rFonts w:hint="eastAsia"/>
          <w:sz w:val="24"/>
        </w:rPr>
        <w:t>10</w:t>
      </w:r>
      <w:r>
        <w:rPr>
          <w:rFonts w:hint="eastAsia"/>
          <w:sz w:val="24"/>
        </w:rPr>
        <w:t>月出生，汉族，中共党员，本科学历。</w:t>
      </w:r>
      <w:r>
        <w:rPr>
          <w:rFonts w:hint="eastAsia"/>
          <w:sz w:val="24"/>
        </w:rPr>
        <w:t>2007</w:t>
      </w:r>
      <w:r>
        <w:rPr>
          <w:rFonts w:hint="eastAsia"/>
          <w:sz w:val="24"/>
        </w:rPr>
        <w:t>年</w:t>
      </w:r>
      <w:r>
        <w:rPr>
          <w:rFonts w:hint="eastAsia"/>
          <w:sz w:val="24"/>
        </w:rPr>
        <w:t>4</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月任山西证券有限责任公司党委委员；</w:t>
      </w:r>
      <w:r>
        <w:rPr>
          <w:rFonts w:hint="eastAsia"/>
          <w:sz w:val="24"/>
        </w:rPr>
        <w:t>2007</w:t>
      </w:r>
      <w:r>
        <w:rPr>
          <w:rFonts w:hint="eastAsia"/>
          <w:sz w:val="24"/>
        </w:rPr>
        <w:t>年</w:t>
      </w:r>
      <w:r>
        <w:rPr>
          <w:rFonts w:hint="eastAsia"/>
          <w:sz w:val="24"/>
        </w:rPr>
        <w:t>8</w:t>
      </w:r>
      <w:r>
        <w:rPr>
          <w:rFonts w:hint="eastAsia"/>
          <w:sz w:val="24"/>
        </w:rPr>
        <w:t>月至</w:t>
      </w:r>
      <w:r>
        <w:rPr>
          <w:rFonts w:hint="eastAsia"/>
          <w:sz w:val="24"/>
        </w:rPr>
        <w:t>2008</w:t>
      </w:r>
      <w:r>
        <w:rPr>
          <w:rFonts w:hint="eastAsia"/>
          <w:sz w:val="24"/>
        </w:rPr>
        <w:t>年</w:t>
      </w:r>
      <w:r>
        <w:rPr>
          <w:rFonts w:hint="eastAsia"/>
          <w:sz w:val="24"/>
        </w:rPr>
        <w:t>1</w:t>
      </w:r>
      <w:r>
        <w:rPr>
          <w:rFonts w:hint="eastAsia"/>
          <w:sz w:val="24"/>
        </w:rPr>
        <w:t>月任山西证券有限责任公司副总经理；</w:t>
      </w:r>
      <w:r>
        <w:rPr>
          <w:rFonts w:hint="eastAsia"/>
          <w:sz w:val="24"/>
        </w:rPr>
        <w:t>2008</w:t>
      </w:r>
      <w:r>
        <w:rPr>
          <w:rFonts w:hint="eastAsia"/>
          <w:sz w:val="24"/>
        </w:rPr>
        <w:t>年</w:t>
      </w:r>
      <w:r>
        <w:rPr>
          <w:rFonts w:hint="eastAsia"/>
          <w:sz w:val="24"/>
        </w:rPr>
        <w:t>2</w:t>
      </w:r>
      <w:r>
        <w:rPr>
          <w:rFonts w:hint="eastAsia"/>
          <w:sz w:val="24"/>
        </w:rPr>
        <w:t>月至今任公司党委委员、副总经理；</w:t>
      </w:r>
      <w:r>
        <w:rPr>
          <w:rFonts w:hint="eastAsia"/>
          <w:sz w:val="24"/>
        </w:rPr>
        <w:t>2008</w:t>
      </w:r>
      <w:r>
        <w:rPr>
          <w:rFonts w:hint="eastAsia"/>
          <w:sz w:val="24"/>
        </w:rPr>
        <w:t>年</w:t>
      </w:r>
      <w:r>
        <w:rPr>
          <w:rFonts w:hint="eastAsia"/>
          <w:sz w:val="24"/>
        </w:rPr>
        <w:t>11</w:t>
      </w:r>
      <w:r>
        <w:rPr>
          <w:rFonts w:hint="eastAsia"/>
          <w:sz w:val="24"/>
        </w:rPr>
        <w:t>月至</w:t>
      </w:r>
      <w:r>
        <w:rPr>
          <w:rFonts w:hint="eastAsia"/>
          <w:sz w:val="24"/>
        </w:rPr>
        <w:t>2015</w:t>
      </w:r>
      <w:r>
        <w:rPr>
          <w:rFonts w:hint="eastAsia"/>
          <w:sz w:val="24"/>
        </w:rPr>
        <w:t>年</w:t>
      </w:r>
      <w:r>
        <w:rPr>
          <w:rFonts w:hint="eastAsia"/>
          <w:sz w:val="24"/>
        </w:rPr>
        <w:t>2</w:t>
      </w:r>
      <w:r>
        <w:rPr>
          <w:rFonts w:hint="eastAsia"/>
          <w:sz w:val="24"/>
        </w:rPr>
        <w:t>月任公司合规总监；</w:t>
      </w:r>
      <w:r>
        <w:rPr>
          <w:rFonts w:hint="eastAsia"/>
          <w:sz w:val="24"/>
        </w:rPr>
        <w:t>2017</w:t>
      </w:r>
      <w:r>
        <w:rPr>
          <w:rFonts w:hint="eastAsia"/>
          <w:sz w:val="24"/>
        </w:rPr>
        <w:t>年</w:t>
      </w:r>
      <w:r>
        <w:rPr>
          <w:rFonts w:hint="eastAsia"/>
          <w:sz w:val="24"/>
        </w:rPr>
        <w:t>1</w:t>
      </w:r>
      <w:r>
        <w:rPr>
          <w:rFonts w:hint="eastAsia"/>
          <w:sz w:val="24"/>
        </w:rPr>
        <w:t>月至今，任格林大华期货有限公司董事长。</w:t>
      </w:r>
    </w:p>
    <w:p w:rsidR="00CB515E" w:rsidRDefault="005F186E">
      <w:pPr>
        <w:spacing w:line="460" w:lineRule="exact"/>
        <w:ind w:firstLineChars="200" w:firstLine="480"/>
        <w:rPr>
          <w:sz w:val="24"/>
        </w:rPr>
      </w:pPr>
      <w:r>
        <w:rPr>
          <w:rFonts w:hint="eastAsia"/>
          <w:sz w:val="24"/>
        </w:rPr>
        <w:t>汤建雄先生：</w:t>
      </w:r>
      <w:r>
        <w:rPr>
          <w:rFonts w:hint="eastAsia"/>
          <w:sz w:val="24"/>
        </w:rPr>
        <w:t>1968</w:t>
      </w:r>
      <w:r>
        <w:rPr>
          <w:rFonts w:hint="eastAsia"/>
          <w:sz w:val="24"/>
        </w:rPr>
        <w:t>年</w:t>
      </w:r>
      <w:r>
        <w:rPr>
          <w:rFonts w:hint="eastAsia"/>
          <w:sz w:val="24"/>
        </w:rPr>
        <w:t>12</w:t>
      </w:r>
      <w:r>
        <w:rPr>
          <w:rFonts w:hint="eastAsia"/>
          <w:sz w:val="24"/>
        </w:rPr>
        <w:t>月出生，汉族，学士学位。</w:t>
      </w:r>
      <w:r>
        <w:rPr>
          <w:rFonts w:hint="eastAsia"/>
          <w:sz w:val="24"/>
        </w:rPr>
        <w:t>2008</w:t>
      </w:r>
      <w:r>
        <w:rPr>
          <w:rFonts w:hint="eastAsia"/>
          <w:sz w:val="24"/>
        </w:rPr>
        <w:t>年</w:t>
      </w:r>
      <w:r>
        <w:rPr>
          <w:rFonts w:hint="eastAsia"/>
          <w:sz w:val="24"/>
        </w:rPr>
        <w:t>2</w:t>
      </w:r>
      <w:r>
        <w:rPr>
          <w:rFonts w:hint="eastAsia"/>
          <w:sz w:val="24"/>
        </w:rPr>
        <w:t>月至</w:t>
      </w:r>
      <w:r>
        <w:rPr>
          <w:rFonts w:hint="eastAsia"/>
          <w:sz w:val="24"/>
        </w:rPr>
        <w:t>2013</w:t>
      </w:r>
      <w:r>
        <w:rPr>
          <w:rFonts w:hint="eastAsia"/>
          <w:sz w:val="24"/>
        </w:rPr>
        <w:t>年</w:t>
      </w:r>
      <w:r>
        <w:rPr>
          <w:rFonts w:hint="eastAsia"/>
          <w:sz w:val="24"/>
        </w:rPr>
        <w:t>3</w:t>
      </w:r>
      <w:r>
        <w:rPr>
          <w:rFonts w:hint="eastAsia"/>
          <w:sz w:val="24"/>
        </w:rPr>
        <w:t>月任公司计划财务部总经理；</w:t>
      </w:r>
      <w:r>
        <w:rPr>
          <w:rFonts w:hint="eastAsia"/>
          <w:sz w:val="24"/>
        </w:rPr>
        <w:t>2007</w:t>
      </w:r>
      <w:r>
        <w:rPr>
          <w:rFonts w:hint="eastAsia"/>
          <w:sz w:val="24"/>
        </w:rPr>
        <w:t>年</w:t>
      </w:r>
      <w:r>
        <w:rPr>
          <w:rFonts w:hint="eastAsia"/>
          <w:sz w:val="24"/>
        </w:rPr>
        <w:t>11</w:t>
      </w:r>
      <w:r>
        <w:rPr>
          <w:rFonts w:hint="eastAsia"/>
          <w:sz w:val="24"/>
        </w:rPr>
        <w:t>月至</w:t>
      </w:r>
      <w:r>
        <w:rPr>
          <w:rFonts w:hint="eastAsia"/>
          <w:sz w:val="24"/>
        </w:rPr>
        <w:t>2013</w:t>
      </w:r>
      <w:r>
        <w:rPr>
          <w:rFonts w:hint="eastAsia"/>
          <w:sz w:val="24"/>
        </w:rPr>
        <w:t>年</w:t>
      </w:r>
      <w:r>
        <w:rPr>
          <w:rFonts w:hint="eastAsia"/>
          <w:sz w:val="24"/>
        </w:rPr>
        <w:t>10</w:t>
      </w:r>
      <w:r>
        <w:rPr>
          <w:rFonts w:hint="eastAsia"/>
          <w:sz w:val="24"/>
        </w:rPr>
        <w:t>月任大华期货有限公司董事；</w:t>
      </w:r>
      <w:r>
        <w:rPr>
          <w:rFonts w:hint="eastAsia"/>
          <w:sz w:val="24"/>
        </w:rPr>
        <w:t>2009</w:t>
      </w:r>
      <w:r>
        <w:rPr>
          <w:rFonts w:hint="eastAsia"/>
          <w:sz w:val="24"/>
        </w:rPr>
        <w:t>年</w:t>
      </w:r>
      <w:r>
        <w:rPr>
          <w:rFonts w:hint="eastAsia"/>
          <w:sz w:val="24"/>
        </w:rPr>
        <w:t>4</w:t>
      </w:r>
      <w:r>
        <w:rPr>
          <w:rFonts w:hint="eastAsia"/>
          <w:sz w:val="24"/>
        </w:rPr>
        <w:t>月至今担任中德证券有限责任公司董事；</w:t>
      </w:r>
      <w:r>
        <w:rPr>
          <w:rFonts w:hint="eastAsia"/>
          <w:sz w:val="24"/>
        </w:rPr>
        <w:t>2010</w:t>
      </w:r>
      <w:r>
        <w:rPr>
          <w:rFonts w:hint="eastAsia"/>
          <w:sz w:val="24"/>
        </w:rPr>
        <w:t>年</w:t>
      </w:r>
      <w:r>
        <w:rPr>
          <w:rFonts w:hint="eastAsia"/>
          <w:sz w:val="24"/>
        </w:rPr>
        <w:t>4</w:t>
      </w:r>
      <w:r>
        <w:rPr>
          <w:rFonts w:hint="eastAsia"/>
          <w:sz w:val="24"/>
        </w:rPr>
        <w:t>月至</w:t>
      </w:r>
      <w:r>
        <w:rPr>
          <w:rFonts w:hint="eastAsia"/>
          <w:sz w:val="24"/>
        </w:rPr>
        <w:t>2015</w:t>
      </w:r>
      <w:r>
        <w:rPr>
          <w:rFonts w:hint="eastAsia"/>
          <w:sz w:val="24"/>
        </w:rPr>
        <w:t>年</w:t>
      </w:r>
      <w:r>
        <w:rPr>
          <w:rFonts w:hint="eastAsia"/>
          <w:sz w:val="24"/>
        </w:rPr>
        <w:t>12</w:t>
      </w:r>
      <w:r>
        <w:rPr>
          <w:rFonts w:hint="eastAsia"/>
          <w:sz w:val="24"/>
        </w:rPr>
        <w:t>月任公司财务总监；</w:t>
      </w:r>
      <w:r>
        <w:rPr>
          <w:rFonts w:hint="eastAsia"/>
          <w:sz w:val="24"/>
        </w:rPr>
        <w:t>2011</w:t>
      </w:r>
      <w:r>
        <w:rPr>
          <w:rFonts w:hint="eastAsia"/>
          <w:sz w:val="24"/>
        </w:rPr>
        <w:t>年</w:t>
      </w:r>
      <w:r>
        <w:rPr>
          <w:rFonts w:hint="eastAsia"/>
          <w:sz w:val="24"/>
        </w:rPr>
        <w:t>8</w:t>
      </w:r>
      <w:r>
        <w:rPr>
          <w:rFonts w:hint="eastAsia"/>
          <w:sz w:val="24"/>
        </w:rPr>
        <w:t>月至今任公司副总经理；</w:t>
      </w:r>
      <w:r>
        <w:rPr>
          <w:rFonts w:hint="eastAsia"/>
          <w:sz w:val="24"/>
        </w:rPr>
        <w:t>2011</w:t>
      </w:r>
      <w:r>
        <w:rPr>
          <w:rFonts w:hint="eastAsia"/>
          <w:sz w:val="24"/>
        </w:rPr>
        <w:t>年</w:t>
      </w:r>
      <w:r>
        <w:rPr>
          <w:rFonts w:hint="eastAsia"/>
          <w:sz w:val="24"/>
        </w:rPr>
        <w:t>7</w:t>
      </w:r>
      <w:r>
        <w:rPr>
          <w:rFonts w:hint="eastAsia"/>
          <w:sz w:val="24"/>
        </w:rPr>
        <w:t>月至今任龙华启富投资有限责任公司董事；</w:t>
      </w:r>
      <w:r>
        <w:rPr>
          <w:rFonts w:hint="eastAsia"/>
          <w:sz w:val="24"/>
        </w:rPr>
        <w:t>2013</w:t>
      </w:r>
      <w:r>
        <w:rPr>
          <w:rFonts w:hint="eastAsia"/>
          <w:sz w:val="24"/>
        </w:rPr>
        <w:t>年</w:t>
      </w:r>
      <w:r>
        <w:rPr>
          <w:rFonts w:hint="eastAsia"/>
          <w:sz w:val="24"/>
        </w:rPr>
        <w:t>10</w:t>
      </w:r>
      <w:r>
        <w:rPr>
          <w:rFonts w:hint="eastAsia"/>
          <w:sz w:val="24"/>
        </w:rPr>
        <w:t>月至今任格林大华期货有限公司董事；</w:t>
      </w:r>
      <w:r>
        <w:rPr>
          <w:rFonts w:hint="eastAsia"/>
          <w:sz w:val="24"/>
        </w:rPr>
        <w:t>2015</w:t>
      </w:r>
      <w:r>
        <w:rPr>
          <w:rFonts w:hint="eastAsia"/>
          <w:sz w:val="24"/>
        </w:rPr>
        <w:t>年</w:t>
      </w:r>
      <w:r>
        <w:rPr>
          <w:rFonts w:hint="eastAsia"/>
          <w:sz w:val="24"/>
        </w:rPr>
        <w:t>2</w:t>
      </w:r>
      <w:r>
        <w:rPr>
          <w:rFonts w:hint="eastAsia"/>
          <w:sz w:val="24"/>
        </w:rPr>
        <w:t>月至</w:t>
      </w:r>
      <w:r>
        <w:rPr>
          <w:rFonts w:hint="eastAsia"/>
          <w:sz w:val="24"/>
        </w:rPr>
        <w:t>2016</w:t>
      </w:r>
      <w:r>
        <w:rPr>
          <w:rFonts w:hint="eastAsia"/>
          <w:sz w:val="24"/>
        </w:rPr>
        <w:t>年</w:t>
      </w:r>
      <w:r>
        <w:rPr>
          <w:rFonts w:hint="eastAsia"/>
          <w:sz w:val="24"/>
        </w:rPr>
        <w:t>1</w:t>
      </w:r>
      <w:r>
        <w:rPr>
          <w:rFonts w:hint="eastAsia"/>
          <w:sz w:val="24"/>
        </w:rPr>
        <w:t>月代为履行合规总监职责；</w:t>
      </w:r>
      <w:r>
        <w:rPr>
          <w:rFonts w:hint="eastAsia"/>
          <w:sz w:val="24"/>
        </w:rPr>
        <w:t>2016</w:t>
      </w:r>
      <w:r>
        <w:rPr>
          <w:rFonts w:hint="eastAsia"/>
          <w:sz w:val="24"/>
        </w:rPr>
        <w:t>年</w:t>
      </w:r>
      <w:r>
        <w:rPr>
          <w:rFonts w:hint="eastAsia"/>
          <w:sz w:val="24"/>
        </w:rPr>
        <w:t>1</w:t>
      </w:r>
      <w:r>
        <w:rPr>
          <w:rFonts w:hint="eastAsia"/>
          <w:sz w:val="24"/>
        </w:rPr>
        <w:t>月至</w:t>
      </w:r>
      <w:r>
        <w:rPr>
          <w:rFonts w:hint="eastAsia"/>
          <w:sz w:val="24"/>
        </w:rPr>
        <w:t>2017</w:t>
      </w:r>
      <w:r>
        <w:rPr>
          <w:rFonts w:hint="eastAsia"/>
          <w:sz w:val="24"/>
        </w:rPr>
        <w:t>年</w:t>
      </w:r>
      <w:r>
        <w:rPr>
          <w:rFonts w:hint="eastAsia"/>
          <w:sz w:val="24"/>
        </w:rPr>
        <w:t>6</w:t>
      </w:r>
      <w:r>
        <w:rPr>
          <w:rFonts w:hint="eastAsia"/>
          <w:sz w:val="24"/>
        </w:rPr>
        <w:t>月任公司合规总监；</w:t>
      </w:r>
      <w:r>
        <w:rPr>
          <w:rFonts w:hint="eastAsia"/>
          <w:sz w:val="24"/>
        </w:rPr>
        <w:t>2017</w:t>
      </w:r>
      <w:r>
        <w:rPr>
          <w:rFonts w:hint="eastAsia"/>
          <w:sz w:val="24"/>
        </w:rPr>
        <w:t>年</w:t>
      </w:r>
      <w:r>
        <w:rPr>
          <w:rFonts w:hint="eastAsia"/>
          <w:sz w:val="24"/>
        </w:rPr>
        <w:t>7</w:t>
      </w:r>
      <w:r>
        <w:rPr>
          <w:rFonts w:hint="eastAsia"/>
          <w:sz w:val="24"/>
        </w:rPr>
        <w:t>月至今任公司首席风险官。</w:t>
      </w:r>
    </w:p>
    <w:p w:rsidR="00CB515E" w:rsidRDefault="005F186E">
      <w:pPr>
        <w:spacing w:line="460" w:lineRule="exact"/>
        <w:ind w:firstLineChars="200" w:firstLine="480"/>
        <w:rPr>
          <w:sz w:val="24"/>
        </w:rPr>
      </w:pPr>
      <w:r>
        <w:rPr>
          <w:rFonts w:hint="eastAsia"/>
          <w:sz w:val="24"/>
        </w:rPr>
        <w:t>王怡里先生：请参见本节“董事会成员基本情况”。</w:t>
      </w:r>
    </w:p>
    <w:p w:rsidR="00CB515E" w:rsidRDefault="005F186E">
      <w:pPr>
        <w:spacing w:line="460" w:lineRule="exact"/>
        <w:ind w:firstLineChars="200" w:firstLine="480"/>
        <w:rPr>
          <w:sz w:val="24"/>
        </w:rPr>
      </w:pPr>
      <w:r>
        <w:rPr>
          <w:rFonts w:hint="eastAsia"/>
          <w:sz w:val="24"/>
        </w:rPr>
        <w:t>高晓峰先生，</w:t>
      </w:r>
      <w:r>
        <w:rPr>
          <w:rFonts w:hint="eastAsia"/>
          <w:sz w:val="24"/>
        </w:rPr>
        <w:t>1975</w:t>
      </w:r>
      <w:r>
        <w:rPr>
          <w:rFonts w:hint="eastAsia"/>
          <w:sz w:val="24"/>
        </w:rPr>
        <w:t>年</w:t>
      </w:r>
      <w:r>
        <w:rPr>
          <w:rFonts w:hint="eastAsia"/>
          <w:sz w:val="24"/>
        </w:rPr>
        <w:t>1</w:t>
      </w:r>
      <w:r>
        <w:rPr>
          <w:rFonts w:hint="eastAsia"/>
          <w:sz w:val="24"/>
        </w:rPr>
        <w:t>月出生，汉族，学士学位。</w:t>
      </w:r>
      <w:r>
        <w:rPr>
          <w:rFonts w:hint="eastAsia"/>
          <w:sz w:val="24"/>
        </w:rPr>
        <w:t>1996</w:t>
      </w:r>
      <w:r>
        <w:rPr>
          <w:rFonts w:hint="eastAsia"/>
          <w:sz w:val="24"/>
        </w:rPr>
        <w:t>年</w:t>
      </w:r>
      <w:r>
        <w:rPr>
          <w:rFonts w:hint="eastAsia"/>
          <w:sz w:val="24"/>
        </w:rPr>
        <w:t>8</w:t>
      </w:r>
      <w:r>
        <w:rPr>
          <w:rFonts w:hint="eastAsia"/>
          <w:sz w:val="24"/>
        </w:rPr>
        <w:t>月至</w:t>
      </w:r>
      <w:r>
        <w:rPr>
          <w:rFonts w:hint="eastAsia"/>
          <w:sz w:val="24"/>
        </w:rPr>
        <w:t>1999</w:t>
      </w:r>
      <w:r>
        <w:rPr>
          <w:rFonts w:hint="eastAsia"/>
          <w:sz w:val="24"/>
        </w:rPr>
        <w:t>年</w:t>
      </w:r>
      <w:r>
        <w:rPr>
          <w:rFonts w:hint="eastAsia"/>
          <w:sz w:val="24"/>
        </w:rPr>
        <w:t>8</w:t>
      </w:r>
      <w:r>
        <w:rPr>
          <w:rFonts w:hint="eastAsia"/>
          <w:sz w:val="24"/>
        </w:rPr>
        <w:t>月任职于山西省证券管理办公室证信证券培训中心；</w:t>
      </w:r>
      <w:r>
        <w:rPr>
          <w:rFonts w:hint="eastAsia"/>
          <w:sz w:val="24"/>
        </w:rPr>
        <w:t>1999</w:t>
      </w:r>
      <w:r>
        <w:rPr>
          <w:rFonts w:hint="eastAsia"/>
          <w:sz w:val="24"/>
        </w:rPr>
        <w:t>年</w:t>
      </w:r>
      <w:r>
        <w:rPr>
          <w:rFonts w:hint="eastAsia"/>
          <w:sz w:val="24"/>
        </w:rPr>
        <w:t>8</w:t>
      </w:r>
      <w:r>
        <w:rPr>
          <w:rFonts w:hint="eastAsia"/>
          <w:sz w:val="24"/>
        </w:rPr>
        <w:t>月至</w:t>
      </w:r>
      <w:r>
        <w:rPr>
          <w:rFonts w:hint="eastAsia"/>
          <w:sz w:val="24"/>
        </w:rPr>
        <w:t>2010</w:t>
      </w:r>
      <w:r>
        <w:rPr>
          <w:rFonts w:hint="eastAsia"/>
          <w:sz w:val="24"/>
        </w:rPr>
        <w:t>年</w:t>
      </w:r>
      <w:r>
        <w:rPr>
          <w:rFonts w:hint="eastAsia"/>
          <w:sz w:val="24"/>
        </w:rPr>
        <w:t>3</w:t>
      </w:r>
      <w:r>
        <w:rPr>
          <w:rFonts w:hint="eastAsia"/>
          <w:sz w:val="24"/>
        </w:rPr>
        <w:t>月先后任职于中国证监会山西监管局机构处、期货处和上市处；</w:t>
      </w:r>
      <w:r>
        <w:rPr>
          <w:rFonts w:hint="eastAsia"/>
          <w:sz w:val="24"/>
        </w:rPr>
        <w:t>2010</w:t>
      </w:r>
      <w:r>
        <w:rPr>
          <w:rFonts w:hint="eastAsia"/>
          <w:sz w:val="24"/>
        </w:rPr>
        <w:t>年</w:t>
      </w:r>
      <w:r>
        <w:rPr>
          <w:rFonts w:hint="eastAsia"/>
          <w:sz w:val="24"/>
        </w:rPr>
        <w:t>3</w:t>
      </w:r>
      <w:r>
        <w:rPr>
          <w:rFonts w:hint="eastAsia"/>
          <w:sz w:val="24"/>
        </w:rPr>
        <w:t>月至</w:t>
      </w:r>
      <w:r>
        <w:rPr>
          <w:rFonts w:hint="eastAsia"/>
          <w:sz w:val="24"/>
        </w:rPr>
        <w:t>2014</w:t>
      </w:r>
      <w:r>
        <w:rPr>
          <w:rFonts w:hint="eastAsia"/>
          <w:sz w:val="24"/>
        </w:rPr>
        <w:t>年</w:t>
      </w:r>
      <w:r>
        <w:rPr>
          <w:rFonts w:hint="eastAsia"/>
          <w:sz w:val="24"/>
        </w:rPr>
        <w:t>8</w:t>
      </w:r>
      <w:r>
        <w:rPr>
          <w:rFonts w:hint="eastAsia"/>
          <w:sz w:val="24"/>
        </w:rPr>
        <w:t>月先后任中国证监会山西监管局办公室副主任（主持工作）、主任；</w:t>
      </w:r>
      <w:r>
        <w:rPr>
          <w:rFonts w:hint="eastAsia"/>
          <w:sz w:val="24"/>
        </w:rPr>
        <w:t>2014</w:t>
      </w:r>
      <w:r>
        <w:rPr>
          <w:rFonts w:hint="eastAsia"/>
          <w:sz w:val="24"/>
        </w:rPr>
        <w:t>年</w:t>
      </w:r>
      <w:r>
        <w:rPr>
          <w:rFonts w:hint="eastAsia"/>
          <w:sz w:val="24"/>
        </w:rPr>
        <w:t>8</w:t>
      </w:r>
      <w:r>
        <w:rPr>
          <w:rFonts w:hint="eastAsia"/>
          <w:sz w:val="24"/>
        </w:rPr>
        <w:t>月至</w:t>
      </w:r>
      <w:r>
        <w:rPr>
          <w:rFonts w:hint="eastAsia"/>
          <w:sz w:val="24"/>
        </w:rPr>
        <w:t>2015</w:t>
      </w:r>
      <w:r>
        <w:rPr>
          <w:rFonts w:hint="eastAsia"/>
          <w:sz w:val="24"/>
        </w:rPr>
        <w:t>年</w:t>
      </w:r>
      <w:r>
        <w:rPr>
          <w:rFonts w:hint="eastAsia"/>
          <w:sz w:val="24"/>
        </w:rPr>
        <w:t>11</w:t>
      </w:r>
      <w:r>
        <w:rPr>
          <w:rFonts w:hint="eastAsia"/>
          <w:sz w:val="24"/>
        </w:rPr>
        <w:t>月任中国证监会山西监管局期货处处长；</w:t>
      </w:r>
      <w:r>
        <w:rPr>
          <w:rFonts w:hint="eastAsia"/>
          <w:sz w:val="24"/>
        </w:rPr>
        <w:t>2015</w:t>
      </w:r>
      <w:r>
        <w:rPr>
          <w:rFonts w:hint="eastAsia"/>
          <w:sz w:val="24"/>
        </w:rPr>
        <w:t>年</w:t>
      </w:r>
      <w:r>
        <w:rPr>
          <w:rFonts w:hint="eastAsia"/>
          <w:sz w:val="24"/>
        </w:rPr>
        <w:t>11</w:t>
      </w:r>
      <w:r>
        <w:rPr>
          <w:rFonts w:hint="eastAsia"/>
          <w:sz w:val="24"/>
        </w:rPr>
        <w:t>月至</w:t>
      </w:r>
      <w:r>
        <w:rPr>
          <w:rFonts w:hint="eastAsia"/>
          <w:sz w:val="24"/>
        </w:rPr>
        <w:t>2017</w:t>
      </w:r>
      <w:r>
        <w:rPr>
          <w:rFonts w:hint="eastAsia"/>
          <w:sz w:val="24"/>
        </w:rPr>
        <w:t>年</w:t>
      </w:r>
      <w:r>
        <w:rPr>
          <w:rFonts w:hint="eastAsia"/>
          <w:sz w:val="24"/>
        </w:rPr>
        <w:t>3</w:t>
      </w:r>
      <w:r>
        <w:rPr>
          <w:rFonts w:hint="eastAsia"/>
          <w:sz w:val="24"/>
        </w:rPr>
        <w:t>月任中国证监会山西监管局法制处处长（期间，</w:t>
      </w:r>
      <w:r>
        <w:rPr>
          <w:rFonts w:hint="eastAsia"/>
          <w:sz w:val="24"/>
        </w:rPr>
        <w:t>2016</w:t>
      </w:r>
      <w:r>
        <w:rPr>
          <w:rFonts w:hint="eastAsia"/>
          <w:sz w:val="24"/>
        </w:rPr>
        <w:t>年</w:t>
      </w:r>
      <w:r>
        <w:rPr>
          <w:rFonts w:hint="eastAsia"/>
          <w:sz w:val="24"/>
        </w:rPr>
        <w:t>8</w:t>
      </w:r>
      <w:r>
        <w:rPr>
          <w:rFonts w:hint="eastAsia"/>
          <w:sz w:val="24"/>
        </w:rPr>
        <w:t>月至</w:t>
      </w:r>
      <w:r>
        <w:rPr>
          <w:rFonts w:hint="eastAsia"/>
          <w:sz w:val="24"/>
        </w:rPr>
        <w:t>2017</w:t>
      </w:r>
      <w:r>
        <w:rPr>
          <w:rFonts w:hint="eastAsia"/>
          <w:sz w:val="24"/>
        </w:rPr>
        <w:t>年</w:t>
      </w:r>
      <w:r>
        <w:rPr>
          <w:rFonts w:hint="eastAsia"/>
          <w:sz w:val="24"/>
        </w:rPr>
        <w:t>1</w:t>
      </w:r>
      <w:r>
        <w:rPr>
          <w:rFonts w:hint="eastAsia"/>
          <w:sz w:val="24"/>
        </w:rPr>
        <w:t>月挂职山西金控集团投资管理部副总经理）；</w:t>
      </w:r>
      <w:r>
        <w:rPr>
          <w:rFonts w:hint="eastAsia"/>
          <w:sz w:val="24"/>
        </w:rPr>
        <w:t>2017</w:t>
      </w:r>
      <w:r>
        <w:rPr>
          <w:rFonts w:hint="eastAsia"/>
          <w:sz w:val="24"/>
        </w:rPr>
        <w:t>年</w:t>
      </w:r>
      <w:r>
        <w:rPr>
          <w:rFonts w:hint="eastAsia"/>
          <w:sz w:val="24"/>
        </w:rPr>
        <w:t>6</w:t>
      </w:r>
      <w:r>
        <w:rPr>
          <w:rFonts w:hint="eastAsia"/>
          <w:sz w:val="24"/>
        </w:rPr>
        <w:t>月至今任山西证券副总经理、合规总监。</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w:t>
      </w:r>
      <w:r>
        <w:rPr>
          <w:rFonts w:eastAsiaTheme="minorEastAsia" w:hAnsiTheme="minorEastAsia" w:hint="eastAsia"/>
          <w:kern w:val="0"/>
          <w:sz w:val="24"/>
        </w:rPr>
        <w:t>拟任</w:t>
      </w:r>
      <w:r>
        <w:rPr>
          <w:rFonts w:eastAsiaTheme="minorEastAsia" w:hAnsiTheme="minorEastAsia"/>
          <w:kern w:val="0"/>
          <w:sz w:val="24"/>
        </w:rPr>
        <w:t>基金经理</w:t>
      </w:r>
    </w:p>
    <w:p w:rsidR="00CB515E" w:rsidRDefault="005F186E">
      <w:pPr>
        <w:adjustRightInd w:val="0"/>
        <w:snapToGrid w:val="0"/>
        <w:spacing w:line="460" w:lineRule="exact"/>
        <w:ind w:firstLineChars="200" w:firstLine="480"/>
        <w:rPr>
          <w:rFonts w:eastAsiaTheme="minorEastAsia" w:hAnsiTheme="minorEastAsia"/>
          <w:kern w:val="0"/>
          <w:sz w:val="24"/>
        </w:rPr>
      </w:pPr>
      <w:r>
        <w:rPr>
          <w:rFonts w:eastAsiaTheme="minorEastAsia" w:hAnsiTheme="minorEastAsia" w:hint="eastAsia"/>
          <w:kern w:val="0"/>
          <w:sz w:val="24"/>
        </w:rPr>
        <w:t>华志贵先生，复旦大学经济学硕士。</w:t>
      </w:r>
      <w:r>
        <w:rPr>
          <w:rFonts w:eastAsiaTheme="minorEastAsia" w:hAnsiTheme="minorEastAsia" w:hint="eastAsia"/>
          <w:kern w:val="0"/>
          <w:sz w:val="24"/>
        </w:rPr>
        <w:t>2004</w:t>
      </w:r>
      <w:r>
        <w:rPr>
          <w:rFonts w:eastAsiaTheme="minorEastAsia" w:hAnsiTheme="minorEastAsia" w:hint="eastAsia"/>
          <w:kern w:val="0"/>
          <w:sz w:val="24"/>
        </w:rPr>
        <w:t>年</w:t>
      </w:r>
      <w:r>
        <w:rPr>
          <w:rFonts w:eastAsiaTheme="minorEastAsia" w:hAnsiTheme="minorEastAsia" w:hint="eastAsia"/>
          <w:kern w:val="0"/>
          <w:sz w:val="24"/>
        </w:rPr>
        <w:t>5</w:t>
      </w:r>
      <w:r>
        <w:rPr>
          <w:rFonts w:eastAsiaTheme="minorEastAsia" w:hAnsiTheme="minorEastAsia" w:hint="eastAsia"/>
          <w:kern w:val="0"/>
          <w:sz w:val="24"/>
        </w:rPr>
        <w:t>月至</w:t>
      </w:r>
      <w:r>
        <w:rPr>
          <w:rFonts w:eastAsiaTheme="minorEastAsia" w:hAnsiTheme="minorEastAsia" w:hint="eastAsia"/>
          <w:kern w:val="0"/>
          <w:sz w:val="24"/>
        </w:rPr>
        <w:t>2008</w:t>
      </w:r>
      <w:r>
        <w:rPr>
          <w:rFonts w:eastAsiaTheme="minorEastAsia" w:hAnsiTheme="minorEastAsia" w:hint="eastAsia"/>
          <w:kern w:val="0"/>
          <w:sz w:val="24"/>
        </w:rPr>
        <w:t>年</w:t>
      </w:r>
      <w:r>
        <w:rPr>
          <w:rFonts w:eastAsiaTheme="minorEastAsia" w:hAnsiTheme="minorEastAsia" w:hint="eastAsia"/>
          <w:kern w:val="0"/>
          <w:sz w:val="24"/>
        </w:rPr>
        <w:t>8</w:t>
      </w:r>
      <w:r>
        <w:rPr>
          <w:rFonts w:eastAsiaTheme="minorEastAsia" w:hAnsiTheme="minorEastAsia" w:hint="eastAsia"/>
          <w:kern w:val="0"/>
          <w:sz w:val="24"/>
        </w:rPr>
        <w:t>月，在东方证券股份有限公司固定收益业务总部任高级投资经理；</w:t>
      </w:r>
      <w:r>
        <w:rPr>
          <w:rFonts w:eastAsiaTheme="minorEastAsia" w:hAnsiTheme="minorEastAsia" w:hint="eastAsia"/>
          <w:kern w:val="0"/>
          <w:sz w:val="24"/>
        </w:rPr>
        <w:t>2008</w:t>
      </w:r>
      <w:r>
        <w:rPr>
          <w:rFonts w:eastAsiaTheme="minorEastAsia" w:hAnsiTheme="minorEastAsia" w:hint="eastAsia"/>
          <w:kern w:val="0"/>
          <w:sz w:val="24"/>
        </w:rPr>
        <w:t>年</w:t>
      </w:r>
      <w:r>
        <w:rPr>
          <w:rFonts w:eastAsiaTheme="minorEastAsia" w:hAnsiTheme="minorEastAsia" w:hint="eastAsia"/>
          <w:kern w:val="0"/>
          <w:sz w:val="24"/>
        </w:rPr>
        <w:t>9</w:t>
      </w:r>
      <w:r>
        <w:rPr>
          <w:rFonts w:eastAsiaTheme="minorEastAsia" w:hAnsiTheme="minorEastAsia" w:hint="eastAsia"/>
          <w:kern w:val="0"/>
          <w:sz w:val="24"/>
        </w:rPr>
        <w:t>月至</w:t>
      </w:r>
      <w:r>
        <w:rPr>
          <w:rFonts w:eastAsiaTheme="minorEastAsia" w:hAnsiTheme="minorEastAsia" w:hint="eastAsia"/>
          <w:kern w:val="0"/>
          <w:sz w:val="24"/>
        </w:rPr>
        <w:t>2009</w:t>
      </w:r>
      <w:r>
        <w:rPr>
          <w:rFonts w:eastAsiaTheme="minorEastAsia" w:hAnsiTheme="minorEastAsia" w:hint="eastAsia"/>
          <w:kern w:val="0"/>
          <w:sz w:val="24"/>
        </w:rPr>
        <w:t>年</w:t>
      </w:r>
      <w:r>
        <w:rPr>
          <w:rFonts w:eastAsiaTheme="minorEastAsia" w:hAnsiTheme="minorEastAsia" w:hint="eastAsia"/>
          <w:kern w:val="0"/>
          <w:sz w:val="24"/>
        </w:rPr>
        <w:t>8</w:t>
      </w:r>
      <w:r>
        <w:rPr>
          <w:rFonts w:eastAsiaTheme="minorEastAsia" w:hAnsiTheme="minorEastAsia" w:hint="eastAsia"/>
          <w:kern w:val="0"/>
          <w:sz w:val="24"/>
        </w:rPr>
        <w:t>月，在中欧基金管理有限公司，从事研究、投资工作；</w:t>
      </w:r>
      <w:r>
        <w:rPr>
          <w:rFonts w:eastAsiaTheme="minorEastAsia" w:hAnsiTheme="minorEastAsia" w:hint="eastAsia"/>
          <w:kern w:val="0"/>
          <w:sz w:val="24"/>
        </w:rPr>
        <w:t>2009</w:t>
      </w:r>
      <w:r>
        <w:rPr>
          <w:rFonts w:eastAsiaTheme="minorEastAsia" w:hAnsiTheme="minorEastAsia" w:hint="eastAsia"/>
          <w:kern w:val="0"/>
          <w:sz w:val="24"/>
        </w:rPr>
        <w:t>年</w:t>
      </w:r>
      <w:r>
        <w:rPr>
          <w:rFonts w:eastAsiaTheme="minorEastAsia" w:hAnsiTheme="minorEastAsia" w:hint="eastAsia"/>
          <w:kern w:val="0"/>
          <w:sz w:val="24"/>
        </w:rPr>
        <w:t>9</w:t>
      </w:r>
      <w:r>
        <w:rPr>
          <w:rFonts w:eastAsiaTheme="minorEastAsia" w:hAnsiTheme="minorEastAsia" w:hint="eastAsia"/>
          <w:kern w:val="0"/>
          <w:sz w:val="24"/>
        </w:rPr>
        <w:t>月，加入华宝兴业基金管理有限公司，</w:t>
      </w:r>
      <w:r>
        <w:rPr>
          <w:rFonts w:eastAsiaTheme="minorEastAsia" w:hAnsiTheme="minorEastAsia" w:hint="eastAsia"/>
          <w:kern w:val="0"/>
          <w:sz w:val="24"/>
        </w:rPr>
        <w:t>2010</w:t>
      </w:r>
      <w:r>
        <w:rPr>
          <w:rFonts w:eastAsiaTheme="minorEastAsia" w:hAnsiTheme="minorEastAsia" w:hint="eastAsia"/>
          <w:kern w:val="0"/>
          <w:sz w:val="24"/>
        </w:rPr>
        <w:t>年</w:t>
      </w:r>
      <w:r>
        <w:rPr>
          <w:rFonts w:eastAsiaTheme="minorEastAsia" w:hAnsiTheme="minorEastAsia" w:hint="eastAsia"/>
          <w:kern w:val="0"/>
          <w:sz w:val="24"/>
        </w:rPr>
        <w:t>6</w:t>
      </w:r>
      <w:r>
        <w:rPr>
          <w:rFonts w:eastAsiaTheme="minorEastAsia" w:hAnsiTheme="minorEastAsia" w:hint="eastAsia"/>
          <w:kern w:val="0"/>
          <w:sz w:val="24"/>
        </w:rPr>
        <w:t>月至</w:t>
      </w:r>
      <w:r>
        <w:rPr>
          <w:rFonts w:eastAsiaTheme="minorEastAsia" w:hAnsiTheme="minorEastAsia" w:hint="eastAsia"/>
          <w:kern w:val="0"/>
          <w:sz w:val="24"/>
        </w:rPr>
        <w:t>2011</w:t>
      </w:r>
      <w:r>
        <w:rPr>
          <w:rFonts w:eastAsiaTheme="minorEastAsia" w:hAnsiTheme="minorEastAsia" w:hint="eastAsia"/>
          <w:kern w:val="0"/>
          <w:sz w:val="24"/>
        </w:rPr>
        <w:t>年</w:t>
      </w:r>
      <w:r>
        <w:rPr>
          <w:rFonts w:eastAsiaTheme="minorEastAsia" w:hAnsiTheme="minorEastAsia" w:hint="eastAsia"/>
          <w:kern w:val="0"/>
          <w:sz w:val="24"/>
        </w:rPr>
        <w:t>9</w:t>
      </w:r>
      <w:r>
        <w:rPr>
          <w:rFonts w:eastAsiaTheme="minorEastAsia" w:hAnsiTheme="minorEastAsia" w:hint="eastAsia"/>
          <w:kern w:val="0"/>
          <w:sz w:val="24"/>
        </w:rPr>
        <w:t>月担任华宝兴业现金宝货币市场基金基金经理，</w:t>
      </w:r>
      <w:r>
        <w:rPr>
          <w:rFonts w:eastAsiaTheme="minorEastAsia" w:hAnsiTheme="minorEastAsia" w:hint="eastAsia"/>
          <w:kern w:val="0"/>
          <w:sz w:val="24"/>
        </w:rPr>
        <w:t>2010</w:t>
      </w:r>
      <w:r>
        <w:rPr>
          <w:rFonts w:eastAsiaTheme="minorEastAsia" w:hAnsiTheme="minorEastAsia" w:hint="eastAsia"/>
          <w:kern w:val="0"/>
          <w:sz w:val="24"/>
        </w:rPr>
        <w:t>年</w:t>
      </w:r>
      <w:r>
        <w:rPr>
          <w:rFonts w:eastAsiaTheme="minorEastAsia" w:hAnsiTheme="minorEastAsia" w:hint="eastAsia"/>
          <w:kern w:val="0"/>
          <w:sz w:val="24"/>
        </w:rPr>
        <w:t>6</w:t>
      </w:r>
      <w:r>
        <w:rPr>
          <w:rFonts w:eastAsiaTheme="minorEastAsia" w:hAnsiTheme="minorEastAsia" w:hint="eastAsia"/>
          <w:kern w:val="0"/>
          <w:sz w:val="24"/>
        </w:rPr>
        <w:t>月至</w:t>
      </w:r>
      <w:r>
        <w:rPr>
          <w:rFonts w:eastAsiaTheme="minorEastAsia" w:hAnsiTheme="minorEastAsia" w:hint="eastAsia"/>
          <w:kern w:val="0"/>
          <w:sz w:val="24"/>
        </w:rPr>
        <w:t>2013</w:t>
      </w:r>
      <w:r>
        <w:rPr>
          <w:rFonts w:eastAsiaTheme="minorEastAsia" w:hAnsiTheme="minorEastAsia" w:hint="eastAsia"/>
          <w:kern w:val="0"/>
          <w:sz w:val="24"/>
        </w:rPr>
        <w:t>年</w:t>
      </w:r>
      <w:r>
        <w:rPr>
          <w:rFonts w:eastAsiaTheme="minorEastAsia" w:hAnsiTheme="minorEastAsia" w:hint="eastAsia"/>
          <w:kern w:val="0"/>
          <w:sz w:val="24"/>
        </w:rPr>
        <w:t>4</w:t>
      </w:r>
      <w:r>
        <w:rPr>
          <w:rFonts w:eastAsiaTheme="minorEastAsia" w:hAnsiTheme="minorEastAsia" w:hint="eastAsia"/>
          <w:kern w:val="0"/>
          <w:sz w:val="24"/>
        </w:rPr>
        <w:t>月担任华宝兴业增强收益债券型投资基金基金经理，</w:t>
      </w:r>
      <w:r>
        <w:rPr>
          <w:rFonts w:eastAsiaTheme="minorEastAsia" w:hAnsiTheme="minorEastAsia" w:hint="eastAsia"/>
          <w:kern w:val="0"/>
          <w:sz w:val="24"/>
        </w:rPr>
        <w:t>2011</w:t>
      </w:r>
      <w:r>
        <w:rPr>
          <w:rFonts w:eastAsiaTheme="minorEastAsia" w:hAnsiTheme="minorEastAsia" w:hint="eastAsia"/>
          <w:kern w:val="0"/>
          <w:sz w:val="24"/>
        </w:rPr>
        <w:t>年</w:t>
      </w:r>
      <w:r>
        <w:rPr>
          <w:rFonts w:eastAsiaTheme="minorEastAsia" w:hAnsiTheme="minorEastAsia" w:hint="eastAsia"/>
          <w:kern w:val="0"/>
          <w:sz w:val="24"/>
        </w:rPr>
        <w:t>4</w:t>
      </w:r>
      <w:r>
        <w:rPr>
          <w:rFonts w:eastAsiaTheme="minorEastAsia" w:hAnsiTheme="minorEastAsia" w:hint="eastAsia"/>
          <w:kern w:val="0"/>
          <w:sz w:val="24"/>
        </w:rPr>
        <w:t>月至</w:t>
      </w:r>
      <w:r>
        <w:rPr>
          <w:rFonts w:eastAsiaTheme="minorEastAsia" w:hAnsiTheme="minorEastAsia" w:hint="eastAsia"/>
          <w:kern w:val="0"/>
          <w:sz w:val="24"/>
        </w:rPr>
        <w:t>2014</w:t>
      </w:r>
      <w:r>
        <w:rPr>
          <w:rFonts w:eastAsiaTheme="minorEastAsia" w:hAnsiTheme="minorEastAsia" w:hint="eastAsia"/>
          <w:kern w:val="0"/>
          <w:sz w:val="24"/>
        </w:rPr>
        <w:t>年</w:t>
      </w:r>
      <w:r>
        <w:rPr>
          <w:rFonts w:eastAsiaTheme="minorEastAsia" w:hAnsiTheme="minorEastAsia" w:hint="eastAsia"/>
          <w:kern w:val="0"/>
          <w:sz w:val="24"/>
        </w:rPr>
        <w:t>5</w:t>
      </w:r>
      <w:r>
        <w:rPr>
          <w:rFonts w:eastAsiaTheme="minorEastAsia" w:hAnsiTheme="minorEastAsia" w:hint="eastAsia"/>
          <w:kern w:val="0"/>
          <w:sz w:val="24"/>
        </w:rPr>
        <w:t>月担任华宝兴业可转债基金基金经理。</w:t>
      </w:r>
      <w:r>
        <w:rPr>
          <w:rFonts w:eastAsiaTheme="minorEastAsia" w:hAnsiTheme="minorEastAsia" w:hint="eastAsia"/>
          <w:kern w:val="0"/>
          <w:sz w:val="24"/>
        </w:rPr>
        <w:t>2014</w:t>
      </w:r>
      <w:r>
        <w:rPr>
          <w:rFonts w:eastAsiaTheme="minorEastAsia" w:hAnsiTheme="minorEastAsia" w:hint="eastAsia"/>
          <w:kern w:val="0"/>
          <w:sz w:val="24"/>
        </w:rPr>
        <w:t>年</w:t>
      </w:r>
      <w:r>
        <w:rPr>
          <w:rFonts w:eastAsiaTheme="minorEastAsia" w:hAnsiTheme="minorEastAsia" w:hint="eastAsia"/>
          <w:kern w:val="0"/>
          <w:sz w:val="24"/>
        </w:rPr>
        <w:t>11</w:t>
      </w:r>
      <w:r>
        <w:rPr>
          <w:rFonts w:eastAsiaTheme="minorEastAsia" w:hAnsiTheme="minorEastAsia" w:hint="eastAsia"/>
          <w:kern w:val="0"/>
          <w:sz w:val="24"/>
        </w:rPr>
        <w:t>月加盟本公司公募基金部</w:t>
      </w:r>
      <w:r>
        <w:rPr>
          <w:rFonts w:eastAsiaTheme="minorEastAsia" w:hAnsiTheme="minorEastAsia" w:hint="eastAsia"/>
          <w:kern w:val="0"/>
          <w:sz w:val="24"/>
        </w:rPr>
        <w:t>, 2015</w:t>
      </w:r>
      <w:r>
        <w:rPr>
          <w:rFonts w:eastAsiaTheme="minorEastAsia" w:hAnsiTheme="minorEastAsia" w:hint="eastAsia"/>
          <w:kern w:val="0"/>
          <w:sz w:val="24"/>
        </w:rPr>
        <w:t>年</w:t>
      </w:r>
      <w:r>
        <w:rPr>
          <w:rFonts w:eastAsiaTheme="minorEastAsia" w:hAnsiTheme="minorEastAsia" w:hint="eastAsia"/>
          <w:kern w:val="0"/>
          <w:sz w:val="24"/>
        </w:rPr>
        <w:t>5</w:t>
      </w:r>
      <w:r>
        <w:rPr>
          <w:rFonts w:eastAsiaTheme="minorEastAsia" w:hAnsiTheme="minorEastAsia" w:hint="eastAsia"/>
          <w:kern w:val="0"/>
          <w:sz w:val="24"/>
        </w:rPr>
        <w:t>月起任山西证券日日添利货币市场基金基金经理，</w:t>
      </w:r>
      <w:r>
        <w:rPr>
          <w:rFonts w:eastAsiaTheme="minorEastAsia" w:hAnsiTheme="minorEastAsia" w:hint="eastAsia"/>
          <w:kern w:val="0"/>
          <w:sz w:val="24"/>
        </w:rPr>
        <w:t>2016</w:t>
      </w:r>
      <w:r>
        <w:rPr>
          <w:rFonts w:eastAsiaTheme="minorEastAsia" w:hAnsiTheme="minorEastAsia" w:hint="eastAsia"/>
          <w:kern w:val="0"/>
          <w:sz w:val="24"/>
        </w:rPr>
        <w:t>年</w:t>
      </w:r>
      <w:r>
        <w:rPr>
          <w:rFonts w:eastAsiaTheme="minorEastAsia" w:hAnsiTheme="minorEastAsia" w:hint="eastAsia"/>
          <w:kern w:val="0"/>
          <w:sz w:val="24"/>
        </w:rPr>
        <w:t>5</w:t>
      </w:r>
      <w:r>
        <w:rPr>
          <w:rFonts w:eastAsiaTheme="minorEastAsia" w:hAnsiTheme="minorEastAsia" w:hint="eastAsia"/>
          <w:kern w:val="0"/>
          <w:sz w:val="24"/>
        </w:rPr>
        <w:t>月至</w:t>
      </w:r>
      <w:r>
        <w:rPr>
          <w:rFonts w:eastAsiaTheme="minorEastAsia" w:hAnsiTheme="minorEastAsia" w:hint="eastAsia"/>
          <w:kern w:val="0"/>
          <w:sz w:val="24"/>
        </w:rPr>
        <w:t>2018</w:t>
      </w:r>
      <w:r>
        <w:rPr>
          <w:rFonts w:eastAsiaTheme="minorEastAsia" w:hAnsiTheme="minorEastAsia" w:hint="eastAsia"/>
          <w:kern w:val="0"/>
          <w:sz w:val="24"/>
        </w:rPr>
        <w:t>年</w:t>
      </w:r>
      <w:r>
        <w:rPr>
          <w:rFonts w:eastAsiaTheme="minorEastAsia" w:hAnsiTheme="minorEastAsia" w:hint="eastAsia"/>
          <w:kern w:val="0"/>
          <w:sz w:val="24"/>
        </w:rPr>
        <w:t>5</w:t>
      </w:r>
      <w:r>
        <w:rPr>
          <w:rFonts w:eastAsiaTheme="minorEastAsia" w:hAnsiTheme="minorEastAsia" w:hint="eastAsia"/>
          <w:kern w:val="0"/>
          <w:sz w:val="24"/>
        </w:rPr>
        <w:t>月担任山西证券保本混合型证券投资基金基金经理，</w:t>
      </w:r>
      <w:r>
        <w:rPr>
          <w:rFonts w:eastAsiaTheme="minorEastAsia" w:hAnsiTheme="minorEastAsia" w:hint="eastAsia"/>
          <w:kern w:val="0"/>
          <w:sz w:val="24"/>
        </w:rPr>
        <w:t>2016</w:t>
      </w:r>
      <w:r>
        <w:rPr>
          <w:rFonts w:eastAsiaTheme="minorEastAsia" w:hAnsiTheme="minorEastAsia" w:hint="eastAsia"/>
          <w:kern w:val="0"/>
          <w:sz w:val="24"/>
        </w:rPr>
        <w:t>年</w:t>
      </w:r>
      <w:r>
        <w:rPr>
          <w:rFonts w:eastAsiaTheme="minorEastAsia" w:hAnsiTheme="minorEastAsia" w:hint="eastAsia"/>
          <w:kern w:val="0"/>
          <w:sz w:val="24"/>
        </w:rPr>
        <w:t>8</w:t>
      </w:r>
      <w:r>
        <w:rPr>
          <w:rFonts w:eastAsiaTheme="minorEastAsia" w:hAnsiTheme="minorEastAsia" w:hint="eastAsia"/>
          <w:kern w:val="0"/>
          <w:sz w:val="24"/>
        </w:rPr>
        <w:t>月至</w:t>
      </w:r>
      <w:r>
        <w:rPr>
          <w:rFonts w:eastAsiaTheme="minorEastAsia" w:hAnsiTheme="minorEastAsia" w:hint="eastAsia"/>
          <w:kern w:val="0"/>
          <w:sz w:val="24"/>
        </w:rPr>
        <w:t>2018</w:t>
      </w:r>
      <w:r>
        <w:rPr>
          <w:rFonts w:eastAsiaTheme="minorEastAsia" w:hAnsiTheme="minorEastAsia" w:hint="eastAsia"/>
          <w:kern w:val="0"/>
          <w:sz w:val="24"/>
        </w:rPr>
        <w:t>年</w:t>
      </w:r>
      <w:r>
        <w:rPr>
          <w:rFonts w:eastAsiaTheme="minorEastAsia" w:hAnsiTheme="minorEastAsia" w:hint="eastAsia"/>
          <w:kern w:val="0"/>
          <w:sz w:val="24"/>
        </w:rPr>
        <w:t>8</w:t>
      </w:r>
      <w:r>
        <w:rPr>
          <w:rFonts w:eastAsiaTheme="minorEastAsia" w:hAnsiTheme="minorEastAsia" w:hint="eastAsia"/>
          <w:kern w:val="0"/>
          <w:sz w:val="24"/>
        </w:rPr>
        <w:t>月担任山西证券裕利债券型证券投资基金基金经理，</w:t>
      </w:r>
      <w:r>
        <w:rPr>
          <w:rFonts w:eastAsiaTheme="minorEastAsia" w:hAnsiTheme="minorEastAsia" w:hint="eastAsia"/>
          <w:kern w:val="0"/>
          <w:sz w:val="24"/>
        </w:rPr>
        <w:t>2018</w:t>
      </w:r>
      <w:r>
        <w:rPr>
          <w:rFonts w:eastAsiaTheme="minorEastAsia" w:hAnsiTheme="minorEastAsia" w:hint="eastAsia"/>
          <w:kern w:val="0"/>
          <w:sz w:val="24"/>
        </w:rPr>
        <w:t>年</w:t>
      </w:r>
      <w:r>
        <w:rPr>
          <w:rFonts w:eastAsiaTheme="minorEastAsia" w:hAnsiTheme="minorEastAsia" w:hint="eastAsia"/>
          <w:kern w:val="0"/>
          <w:sz w:val="24"/>
        </w:rPr>
        <w:t>8</w:t>
      </w:r>
      <w:r>
        <w:rPr>
          <w:rFonts w:eastAsiaTheme="minorEastAsia" w:hAnsiTheme="minorEastAsia" w:hint="eastAsia"/>
          <w:kern w:val="0"/>
          <w:sz w:val="24"/>
        </w:rPr>
        <w:t>月起担任山西证券裕利定期开放债券型发起式证券投资基金基金经理，</w:t>
      </w:r>
      <w:r>
        <w:rPr>
          <w:rFonts w:eastAsiaTheme="minorEastAsia" w:hAnsiTheme="minorEastAsia" w:hint="eastAsia"/>
          <w:kern w:val="0"/>
          <w:sz w:val="24"/>
        </w:rPr>
        <w:t>2019</w:t>
      </w:r>
      <w:r>
        <w:rPr>
          <w:rFonts w:eastAsiaTheme="minorEastAsia" w:hAnsiTheme="minorEastAsia" w:hint="eastAsia"/>
          <w:kern w:val="0"/>
          <w:sz w:val="24"/>
        </w:rPr>
        <w:t>年</w:t>
      </w:r>
      <w:r>
        <w:rPr>
          <w:rFonts w:eastAsiaTheme="minorEastAsia" w:hAnsiTheme="minorEastAsia" w:hint="eastAsia"/>
          <w:kern w:val="0"/>
          <w:sz w:val="24"/>
        </w:rPr>
        <w:t>1</w:t>
      </w:r>
      <w:r>
        <w:rPr>
          <w:rFonts w:eastAsiaTheme="minorEastAsia" w:hAnsiTheme="minorEastAsia" w:hint="eastAsia"/>
          <w:kern w:val="0"/>
          <w:sz w:val="24"/>
        </w:rPr>
        <w:t>月起担任山西证券超短债债券型证券投资基金基金经理。华志贵先生具备基金从业资格。</w:t>
      </w:r>
    </w:p>
    <w:p w:rsidR="00CB515E" w:rsidRDefault="005F186E">
      <w:pPr>
        <w:adjustRightInd w:val="0"/>
        <w:snapToGrid w:val="0"/>
        <w:spacing w:line="460" w:lineRule="exact"/>
        <w:ind w:firstLineChars="200" w:firstLine="480"/>
        <w:rPr>
          <w:rFonts w:hAnsi="宋体"/>
          <w:kern w:val="0"/>
          <w:sz w:val="24"/>
        </w:rPr>
      </w:pPr>
      <w:r>
        <w:rPr>
          <w:rFonts w:hAnsi="宋体" w:hint="eastAsia"/>
          <w:kern w:val="0"/>
          <w:sz w:val="24"/>
        </w:rPr>
        <w:t>刘相鹏先生，上海财经大学金融硕士。</w:t>
      </w:r>
      <w:r>
        <w:rPr>
          <w:rFonts w:ascii="宋体" w:cs="宋体"/>
          <w:color w:val="000000"/>
          <w:kern w:val="0"/>
          <w:sz w:val="24"/>
        </w:rPr>
        <w:t>2012</w:t>
      </w:r>
      <w:r>
        <w:rPr>
          <w:rFonts w:ascii="宋体" w:cs="宋体" w:hint="eastAsia"/>
          <w:color w:val="000000"/>
          <w:kern w:val="0"/>
          <w:sz w:val="24"/>
        </w:rPr>
        <w:t>年</w:t>
      </w:r>
      <w:r>
        <w:rPr>
          <w:rFonts w:ascii="宋体" w:cs="宋体"/>
          <w:color w:val="000000"/>
          <w:kern w:val="0"/>
          <w:sz w:val="24"/>
        </w:rPr>
        <w:t>1</w:t>
      </w:r>
      <w:r>
        <w:rPr>
          <w:rFonts w:ascii="宋体" w:cs="宋体" w:hint="eastAsia"/>
          <w:color w:val="000000"/>
          <w:kern w:val="0"/>
          <w:sz w:val="24"/>
        </w:rPr>
        <w:t>月至</w:t>
      </w:r>
      <w:r>
        <w:rPr>
          <w:rFonts w:ascii="宋体" w:cs="宋体"/>
          <w:color w:val="000000"/>
          <w:kern w:val="0"/>
          <w:sz w:val="24"/>
        </w:rPr>
        <w:t>2013</w:t>
      </w:r>
      <w:r>
        <w:rPr>
          <w:rFonts w:ascii="宋体" w:cs="宋体" w:hint="eastAsia"/>
          <w:color w:val="000000"/>
          <w:kern w:val="0"/>
          <w:sz w:val="24"/>
        </w:rPr>
        <w:t>年</w:t>
      </w:r>
      <w:r>
        <w:rPr>
          <w:rFonts w:ascii="宋体" w:cs="宋体"/>
          <w:color w:val="000000"/>
          <w:kern w:val="0"/>
          <w:sz w:val="24"/>
        </w:rPr>
        <w:t>9</w:t>
      </w:r>
      <w:r>
        <w:rPr>
          <w:rFonts w:ascii="宋体" w:cs="宋体" w:hint="eastAsia"/>
          <w:color w:val="000000"/>
          <w:kern w:val="0"/>
          <w:sz w:val="24"/>
        </w:rPr>
        <w:t>月任上海易序资产管理有限公司债券交易员；</w:t>
      </w:r>
      <w:r>
        <w:rPr>
          <w:rFonts w:ascii="宋体" w:cs="宋体"/>
          <w:color w:val="000000"/>
          <w:kern w:val="0"/>
          <w:sz w:val="24"/>
        </w:rPr>
        <w:t>2013</w:t>
      </w:r>
      <w:r>
        <w:rPr>
          <w:rFonts w:ascii="宋体" w:cs="宋体" w:hint="eastAsia"/>
          <w:color w:val="000000"/>
          <w:kern w:val="0"/>
          <w:sz w:val="24"/>
        </w:rPr>
        <w:t>年</w:t>
      </w:r>
      <w:r>
        <w:rPr>
          <w:rFonts w:ascii="宋体" w:cs="宋体"/>
          <w:color w:val="000000"/>
          <w:kern w:val="0"/>
          <w:sz w:val="24"/>
        </w:rPr>
        <w:t>10</w:t>
      </w:r>
      <w:r>
        <w:rPr>
          <w:rFonts w:ascii="宋体" w:cs="宋体" w:hint="eastAsia"/>
          <w:color w:val="000000"/>
          <w:kern w:val="0"/>
          <w:sz w:val="24"/>
        </w:rPr>
        <w:t>月至</w:t>
      </w:r>
      <w:r>
        <w:rPr>
          <w:rFonts w:ascii="宋体" w:cs="宋体"/>
          <w:color w:val="000000"/>
          <w:kern w:val="0"/>
          <w:sz w:val="24"/>
        </w:rPr>
        <w:t>2015</w:t>
      </w:r>
      <w:r>
        <w:rPr>
          <w:rFonts w:ascii="宋体" w:cs="宋体" w:hint="eastAsia"/>
          <w:color w:val="000000"/>
          <w:kern w:val="0"/>
          <w:sz w:val="24"/>
        </w:rPr>
        <w:t>年</w:t>
      </w:r>
      <w:r>
        <w:rPr>
          <w:rFonts w:ascii="宋体" w:cs="宋体"/>
          <w:color w:val="000000"/>
          <w:kern w:val="0"/>
          <w:sz w:val="24"/>
        </w:rPr>
        <w:t>2</w:t>
      </w:r>
      <w:r>
        <w:rPr>
          <w:rFonts w:ascii="宋体" w:cs="宋体" w:hint="eastAsia"/>
          <w:color w:val="000000"/>
          <w:kern w:val="0"/>
          <w:sz w:val="24"/>
        </w:rPr>
        <w:t>月任江苏大丰农商行债券交易员；</w:t>
      </w:r>
      <w:r>
        <w:rPr>
          <w:rFonts w:ascii="宋体" w:cs="宋体"/>
          <w:color w:val="000000"/>
          <w:kern w:val="0"/>
          <w:sz w:val="24"/>
        </w:rPr>
        <w:t>2015</w:t>
      </w:r>
      <w:r>
        <w:rPr>
          <w:rFonts w:ascii="宋体" w:cs="宋体" w:hint="eastAsia"/>
          <w:color w:val="000000"/>
          <w:kern w:val="0"/>
          <w:sz w:val="24"/>
        </w:rPr>
        <w:t>年</w:t>
      </w:r>
      <w:r>
        <w:rPr>
          <w:rFonts w:ascii="宋体" w:cs="宋体"/>
          <w:color w:val="000000"/>
          <w:kern w:val="0"/>
          <w:sz w:val="24"/>
        </w:rPr>
        <w:t>4</w:t>
      </w:r>
      <w:r>
        <w:rPr>
          <w:rFonts w:ascii="宋体" w:cs="宋体" w:hint="eastAsia"/>
          <w:color w:val="000000"/>
          <w:kern w:val="0"/>
          <w:sz w:val="24"/>
        </w:rPr>
        <w:t>月加入山西证券公募基金部，从事债券交易工作。</w:t>
      </w:r>
      <w:r>
        <w:rPr>
          <w:rFonts w:hAnsi="宋体" w:hint="eastAsia"/>
          <w:kern w:val="0"/>
          <w:sz w:val="24"/>
        </w:rPr>
        <w:t>2018</w:t>
      </w:r>
      <w:r>
        <w:rPr>
          <w:rFonts w:hAnsi="宋体" w:hint="eastAsia"/>
          <w:kern w:val="0"/>
          <w:sz w:val="24"/>
        </w:rPr>
        <w:t>年</w:t>
      </w:r>
      <w:r>
        <w:rPr>
          <w:rFonts w:hAnsi="宋体" w:hint="eastAsia"/>
          <w:kern w:val="0"/>
          <w:sz w:val="24"/>
        </w:rPr>
        <w:t>5</w:t>
      </w:r>
      <w:r>
        <w:rPr>
          <w:rFonts w:hAnsi="宋体" w:hint="eastAsia"/>
          <w:kern w:val="0"/>
          <w:sz w:val="24"/>
        </w:rPr>
        <w:t>月担任山西证券日日添利货币市场基金基金经理</w:t>
      </w:r>
      <w:r>
        <w:rPr>
          <w:rFonts w:hint="eastAsia"/>
          <w:sz w:val="24"/>
        </w:rPr>
        <w:t>。</w:t>
      </w:r>
      <w:r>
        <w:rPr>
          <w:rFonts w:hAnsi="宋体" w:hint="eastAsia"/>
          <w:kern w:val="0"/>
          <w:sz w:val="24"/>
        </w:rPr>
        <w:t>刘相鹏先生具备基金从业资格。</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kern w:val="0"/>
          <w:sz w:val="24"/>
        </w:rPr>
        <w:t>5</w:t>
      </w:r>
      <w:r>
        <w:rPr>
          <w:rFonts w:eastAsiaTheme="minorEastAsia" w:hAnsiTheme="minorEastAsia"/>
          <w:kern w:val="0"/>
          <w:sz w:val="24"/>
        </w:rPr>
        <w:t>、投资决策委员会成员</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AnsiTheme="minorEastAsia"/>
          <w:kern w:val="0"/>
          <w:sz w:val="24"/>
        </w:rPr>
        <w:t>主任委员</w:t>
      </w:r>
      <w:r>
        <w:rPr>
          <w:rFonts w:eastAsiaTheme="minorEastAsia" w:hint="eastAsia"/>
          <w:kern w:val="0"/>
          <w:sz w:val="24"/>
        </w:rPr>
        <w:t>：</w:t>
      </w:r>
    </w:p>
    <w:p w:rsidR="00CB515E" w:rsidRDefault="005F186E">
      <w:pPr>
        <w:autoSpaceDE w:val="0"/>
        <w:autoSpaceDN w:val="0"/>
        <w:adjustRightInd w:val="0"/>
        <w:spacing w:line="460" w:lineRule="exact"/>
        <w:ind w:firstLineChars="200" w:firstLine="480"/>
        <w:jc w:val="left"/>
        <w:rPr>
          <w:rFonts w:ascii="宋体" w:hAnsi="宋体"/>
          <w:sz w:val="24"/>
        </w:rPr>
      </w:pPr>
      <w:r>
        <w:rPr>
          <w:rFonts w:ascii="宋体" w:hAnsi="宋体" w:hint="eastAsia"/>
          <w:sz w:val="24"/>
        </w:rPr>
        <w:t>乔俊峰，公司副总裁</w:t>
      </w:r>
    </w:p>
    <w:p w:rsidR="00CB515E" w:rsidRDefault="005F186E">
      <w:pPr>
        <w:autoSpaceDE w:val="0"/>
        <w:autoSpaceDN w:val="0"/>
        <w:adjustRightInd w:val="0"/>
        <w:spacing w:line="460" w:lineRule="exact"/>
        <w:ind w:firstLineChars="200" w:firstLine="480"/>
        <w:jc w:val="left"/>
        <w:rPr>
          <w:rFonts w:ascii="宋体" w:hAnsi="宋体"/>
          <w:sz w:val="24"/>
        </w:rPr>
      </w:pPr>
      <w:r>
        <w:rPr>
          <w:rFonts w:ascii="宋体" w:hAnsi="宋体" w:hint="eastAsia"/>
          <w:sz w:val="24"/>
        </w:rPr>
        <w:t>委员：</w:t>
      </w:r>
    </w:p>
    <w:p w:rsidR="00CB515E" w:rsidRDefault="005F186E">
      <w:pPr>
        <w:autoSpaceDE w:val="0"/>
        <w:autoSpaceDN w:val="0"/>
        <w:adjustRightInd w:val="0"/>
        <w:spacing w:line="460" w:lineRule="exact"/>
        <w:ind w:firstLineChars="200" w:firstLine="480"/>
        <w:jc w:val="left"/>
        <w:rPr>
          <w:rFonts w:ascii="宋体" w:hAnsi="宋体"/>
          <w:sz w:val="24"/>
        </w:rPr>
      </w:pPr>
      <w:r>
        <w:rPr>
          <w:rFonts w:ascii="宋体" w:hAnsi="宋体" w:hint="eastAsia"/>
          <w:sz w:val="24"/>
        </w:rPr>
        <w:t>薛永红，公募基金部总经理</w:t>
      </w:r>
      <w:r>
        <w:rPr>
          <w:rFonts w:ascii="宋体" w:hAnsi="宋体"/>
          <w:sz w:val="24"/>
        </w:rPr>
        <w:t>；</w:t>
      </w:r>
    </w:p>
    <w:p w:rsidR="00CB515E" w:rsidRDefault="005F186E">
      <w:pPr>
        <w:autoSpaceDE w:val="0"/>
        <w:autoSpaceDN w:val="0"/>
        <w:adjustRightInd w:val="0"/>
        <w:spacing w:line="460" w:lineRule="exact"/>
        <w:ind w:firstLineChars="200" w:firstLine="480"/>
        <w:jc w:val="left"/>
        <w:rPr>
          <w:rFonts w:ascii="宋体" w:hAnsi="宋体"/>
          <w:sz w:val="24"/>
        </w:rPr>
      </w:pPr>
      <w:r>
        <w:rPr>
          <w:rFonts w:ascii="宋体" w:hAnsi="宋体" w:hint="eastAsia"/>
          <w:sz w:val="24"/>
        </w:rPr>
        <w:t>张立德，计划财务部副总经理</w:t>
      </w:r>
      <w:r>
        <w:rPr>
          <w:rFonts w:ascii="宋体" w:hAnsi="宋体"/>
          <w:sz w:val="24"/>
        </w:rPr>
        <w:t>；</w:t>
      </w:r>
    </w:p>
    <w:p w:rsidR="00CB515E" w:rsidRDefault="005F186E">
      <w:pPr>
        <w:pStyle w:val="Default"/>
        <w:spacing w:line="460" w:lineRule="exact"/>
        <w:ind w:firstLine="460"/>
        <w:rPr>
          <w:rFonts w:hAnsi="宋体"/>
          <w:color w:val="auto"/>
          <w:kern w:val="2"/>
        </w:rPr>
      </w:pPr>
      <w:r>
        <w:rPr>
          <w:rFonts w:hAnsi="宋体" w:hint="eastAsia"/>
          <w:color w:val="auto"/>
          <w:kern w:val="2"/>
        </w:rPr>
        <w:t>王忠宁</w:t>
      </w:r>
      <w:r>
        <w:rPr>
          <w:rFonts w:hAnsi="宋体" w:hint="eastAsia"/>
          <w:color w:val="auto"/>
        </w:rPr>
        <w:t>，</w:t>
      </w:r>
      <w:r>
        <w:rPr>
          <w:rFonts w:hAnsi="宋体" w:hint="eastAsia"/>
          <w:color w:val="auto"/>
          <w:kern w:val="2"/>
        </w:rPr>
        <w:t>运营管理部副总经理</w:t>
      </w:r>
      <w:r>
        <w:rPr>
          <w:rFonts w:hAnsi="宋体"/>
          <w:color w:val="auto"/>
          <w:kern w:val="2"/>
        </w:rPr>
        <w:t>；</w:t>
      </w:r>
    </w:p>
    <w:p w:rsidR="00CB515E" w:rsidRDefault="005F186E">
      <w:pPr>
        <w:pStyle w:val="Default"/>
        <w:spacing w:line="460" w:lineRule="exact"/>
        <w:ind w:firstLine="460"/>
        <w:rPr>
          <w:rFonts w:hAnsi="宋体"/>
          <w:color w:val="auto"/>
          <w:kern w:val="2"/>
        </w:rPr>
      </w:pPr>
      <w:r>
        <w:rPr>
          <w:rFonts w:hAnsi="宋体" w:hint="eastAsia"/>
          <w:color w:val="auto"/>
          <w:kern w:val="2"/>
        </w:rPr>
        <w:t>华志贵</w:t>
      </w:r>
      <w:r>
        <w:rPr>
          <w:rFonts w:hAnsi="宋体" w:hint="eastAsia"/>
          <w:color w:val="auto"/>
        </w:rPr>
        <w:t>，</w:t>
      </w:r>
      <w:r>
        <w:rPr>
          <w:rFonts w:hAnsi="宋体" w:hint="eastAsia"/>
          <w:color w:val="auto"/>
          <w:kern w:val="2"/>
        </w:rPr>
        <w:t>基金经理；</w:t>
      </w:r>
    </w:p>
    <w:p w:rsidR="00CB515E" w:rsidRDefault="005F186E">
      <w:pPr>
        <w:autoSpaceDE w:val="0"/>
        <w:autoSpaceDN w:val="0"/>
        <w:adjustRightInd w:val="0"/>
        <w:spacing w:line="460" w:lineRule="exact"/>
        <w:ind w:firstLineChars="200" w:firstLine="480"/>
        <w:jc w:val="left"/>
        <w:rPr>
          <w:rFonts w:ascii="宋体" w:hAnsi="宋体"/>
          <w:sz w:val="24"/>
        </w:rPr>
      </w:pPr>
      <w:r>
        <w:rPr>
          <w:rFonts w:ascii="宋体" w:hAnsi="宋体" w:hint="eastAsia"/>
          <w:sz w:val="24"/>
        </w:rPr>
        <w:t>郭熠，财富管理部副总经理；</w:t>
      </w:r>
    </w:p>
    <w:p w:rsidR="00CB515E" w:rsidRDefault="005F186E">
      <w:pPr>
        <w:spacing w:line="460" w:lineRule="exact"/>
        <w:ind w:firstLineChars="200" w:firstLine="480"/>
        <w:rPr>
          <w:rFonts w:ascii="宋体" w:hAnsi="宋体"/>
          <w:sz w:val="24"/>
        </w:rPr>
      </w:pPr>
      <w:r>
        <w:rPr>
          <w:rFonts w:ascii="宋体" w:hAnsi="宋体" w:hint="eastAsia"/>
          <w:sz w:val="24"/>
        </w:rPr>
        <w:t>蔡文，基金经理；</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AnsiTheme="minorEastAsia"/>
          <w:kern w:val="0"/>
          <w:sz w:val="24"/>
        </w:rPr>
        <w:t>上述人员之间不存在近亲属关系。</w:t>
      </w:r>
    </w:p>
    <w:p w:rsidR="00CB515E" w:rsidRDefault="005F186E">
      <w:pPr>
        <w:tabs>
          <w:tab w:val="left" w:pos="3780"/>
        </w:tabs>
        <w:autoSpaceDE w:val="0"/>
        <w:autoSpaceDN w:val="0"/>
        <w:adjustRightInd w:val="0"/>
        <w:snapToGrid w:val="0"/>
        <w:spacing w:line="460" w:lineRule="exact"/>
        <w:ind w:firstLineChars="200" w:firstLine="482"/>
        <w:textAlignment w:val="bottom"/>
        <w:rPr>
          <w:b/>
          <w:bCs/>
          <w:sz w:val="24"/>
        </w:rPr>
      </w:pPr>
      <w:r>
        <w:rPr>
          <w:rFonts w:hAnsi="Arial Unicode MS"/>
          <w:b/>
          <w:bCs/>
          <w:sz w:val="24"/>
        </w:rPr>
        <w:t>三、基金管理人的职责</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、依法募集资金，办理或者委托经中国证监会认定的其他机构代为办理基金份额的发售、申购、赎回和登记事宜；</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、办理基金备案手续；</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、自《基金合同》生效之日起，以诚实信用、谨慎勤勉的原则管理和运用基金财产；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、配备足够的具有专业资格的人员进行基金投资分析、决策，以专业化的经营方式管理和运作基金财产；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、建立健全内部风险控制、监察与稽核、财务管理及人事管理等制度，保证所管理的基金财产和基金管理人的财产相互独立，对所管理的不同基金分别管理，分别记账，进行证券投资；</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6</w:t>
      </w:r>
      <w:r>
        <w:rPr>
          <w:rFonts w:eastAsiaTheme="minorEastAsia" w:hint="eastAsia"/>
          <w:kern w:val="0"/>
          <w:sz w:val="24"/>
        </w:rPr>
        <w:t>、除依据《基金法》、《基金合同》及其他有关规定外，不得利用基金财产为自己及任何第三人谋取利益，不得委托第三人运作基金财产；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、依法接受基金托管人的监督；</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8</w:t>
      </w:r>
      <w:r>
        <w:rPr>
          <w:rFonts w:eastAsiaTheme="minorEastAsia" w:hint="eastAsia"/>
          <w:kern w:val="0"/>
          <w:sz w:val="24"/>
        </w:rPr>
        <w:t>、采取适当合理的措施使计算基金份额认购、申购、赎回和注销价格的方法符合《基金合同》等法律文件的规定，按有关规定计算并公告基金资产净值，确定基金份额申购、赎回的价格；</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9</w:t>
      </w:r>
      <w:r>
        <w:rPr>
          <w:rFonts w:eastAsiaTheme="minorEastAsia" w:hint="eastAsia"/>
          <w:kern w:val="0"/>
          <w:sz w:val="24"/>
        </w:rPr>
        <w:t>、进行基金会计核算并编制基金财务会计报告；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10</w:t>
      </w:r>
      <w:r>
        <w:rPr>
          <w:rFonts w:eastAsiaTheme="minorEastAsia" w:hint="eastAsia"/>
          <w:kern w:val="0"/>
          <w:sz w:val="24"/>
        </w:rPr>
        <w:t>、编制季度、半年度和年度基金报告；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11</w:t>
      </w:r>
      <w:r>
        <w:rPr>
          <w:rFonts w:eastAsiaTheme="minorEastAsia" w:hint="eastAsia"/>
          <w:kern w:val="0"/>
          <w:sz w:val="24"/>
        </w:rPr>
        <w:t>、严格按照《基金法》、《基金合同》及其他有关规定，履行信息披露及报告义务；</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12</w:t>
      </w:r>
      <w:r>
        <w:rPr>
          <w:rFonts w:eastAsiaTheme="minorEastAsia" w:hint="eastAsia"/>
          <w:kern w:val="0"/>
          <w:sz w:val="24"/>
        </w:rPr>
        <w:t>、保守基金商业秘密，不泄露基金投资计划、投资意向等。除《基金法》、《基金合同》及其他有关规定另有规定外，在基金信息公开披露前应予保密，不向他人泄露；</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13</w:t>
      </w:r>
      <w:r>
        <w:rPr>
          <w:rFonts w:eastAsiaTheme="minorEastAsia" w:hint="eastAsia"/>
          <w:kern w:val="0"/>
          <w:sz w:val="24"/>
        </w:rPr>
        <w:t>、按《基金合同》的约定确定基金收益分配方案，及时向基金份额持有人分配基金收益；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14</w:t>
      </w:r>
      <w:r>
        <w:rPr>
          <w:rFonts w:eastAsiaTheme="minorEastAsia" w:hint="eastAsia"/>
          <w:kern w:val="0"/>
          <w:sz w:val="24"/>
        </w:rPr>
        <w:t>、按规定受理申购与赎回申请，及时、足额支付赎回款项；</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15</w:t>
      </w:r>
      <w:r>
        <w:rPr>
          <w:rFonts w:eastAsiaTheme="minorEastAsia" w:hint="eastAsia"/>
          <w:kern w:val="0"/>
          <w:sz w:val="24"/>
        </w:rPr>
        <w:t>、依据《基金法》、《基金合同》及其他有关规定召集基金份额持有人大会或配合基金托管人、基金份额持有人依法召集基金份额持有人大会；</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16</w:t>
      </w:r>
      <w:r>
        <w:rPr>
          <w:rFonts w:eastAsiaTheme="minorEastAsia" w:hint="eastAsia"/>
          <w:kern w:val="0"/>
          <w:sz w:val="24"/>
        </w:rPr>
        <w:t>、按规定保存基金财产管理业务活动的会计账册、报表、记录和其他相关资料</w:t>
      </w:r>
      <w:r>
        <w:rPr>
          <w:rFonts w:eastAsiaTheme="minorEastAsia" w:hint="eastAsia"/>
          <w:kern w:val="0"/>
          <w:sz w:val="24"/>
        </w:rPr>
        <w:t>15</w:t>
      </w:r>
      <w:r>
        <w:rPr>
          <w:rFonts w:eastAsiaTheme="minorEastAsia" w:hint="eastAsia"/>
          <w:kern w:val="0"/>
          <w:sz w:val="24"/>
        </w:rPr>
        <w:t>年以上；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17</w:t>
      </w:r>
      <w:r>
        <w:rPr>
          <w:rFonts w:eastAsiaTheme="minorEastAsia" w:hint="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18</w:t>
      </w:r>
      <w:r>
        <w:rPr>
          <w:rFonts w:eastAsiaTheme="minorEastAsia" w:hint="eastAsia"/>
          <w:kern w:val="0"/>
          <w:sz w:val="24"/>
        </w:rPr>
        <w:t>、组织并参加基金财产清算小组，参与基金财产的保管、清理、估价、变现和分配；</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19</w:t>
      </w:r>
      <w:r>
        <w:rPr>
          <w:rFonts w:eastAsiaTheme="minorEastAsia" w:hint="eastAsia"/>
          <w:kern w:val="0"/>
          <w:sz w:val="24"/>
        </w:rPr>
        <w:t>、面临解散、依法被撤销或者被依法宣告破产时，及时报告中国证监会并通知基金托管人；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20</w:t>
      </w:r>
      <w:r>
        <w:rPr>
          <w:rFonts w:eastAsiaTheme="minorEastAsia" w:hint="eastAsia"/>
          <w:kern w:val="0"/>
          <w:sz w:val="24"/>
        </w:rPr>
        <w:t>、因违反《基金合同》导致基金财产的损失或损害基金份额持有人合法权益时，应当承担赔偿责任，其赔偿责任不因其退任而免除；</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21</w:t>
      </w:r>
      <w:r>
        <w:rPr>
          <w:rFonts w:eastAsiaTheme="minorEastAsia" w:hint="eastAsia"/>
          <w:kern w:val="0"/>
          <w:sz w:val="24"/>
        </w:rPr>
        <w:t>、监督基金托管人按法律法规和《基金合同》规定履行自己的义务，基金托管人违反《基金合同》造成基金财产损失时，基金管理人应为基金份额持有人利益向基金托管人追偿；</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22</w:t>
      </w:r>
      <w:r>
        <w:rPr>
          <w:rFonts w:eastAsiaTheme="minorEastAsia" w:hint="eastAsia"/>
          <w:kern w:val="0"/>
          <w:sz w:val="24"/>
        </w:rPr>
        <w:t>、当基金管理人将其义务委托第三方处理时，应当对第三方处理有关基金事务的行为承担责任；</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23</w:t>
      </w:r>
      <w:r>
        <w:rPr>
          <w:rFonts w:eastAsiaTheme="minorEastAsia" w:hint="eastAsia"/>
          <w:kern w:val="0"/>
          <w:sz w:val="24"/>
        </w:rPr>
        <w:t>、以基金管理人名义，代表基金份额持有人利益行使诉讼权利或实施其他法律行为；</w:t>
      </w:r>
      <w:r>
        <w:rPr>
          <w:rFonts w:eastAsiaTheme="minorEastAsia" w:hint="eastAsia"/>
          <w:kern w:val="0"/>
          <w:sz w:val="24"/>
        </w:rPr>
        <w:tab/>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24</w:t>
      </w:r>
      <w:r>
        <w:rPr>
          <w:rFonts w:eastAsiaTheme="minorEastAsia" w:hint="eastAsia"/>
          <w:kern w:val="0"/>
          <w:sz w:val="24"/>
        </w:rPr>
        <w:t>、基金管理人在募集期间未能达到基金的备案条件，《基金合同》不能生效，基金管理人承担全部募集费用，将已募集资金并加计银行同期存款利息在基金募集期结束后</w:t>
      </w:r>
      <w:r>
        <w:rPr>
          <w:rFonts w:eastAsiaTheme="minorEastAsia" w:hint="eastAsia"/>
          <w:kern w:val="0"/>
          <w:sz w:val="24"/>
        </w:rPr>
        <w:t>30</w:t>
      </w:r>
      <w:r>
        <w:rPr>
          <w:rFonts w:eastAsiaTheme="minorEastAsia" w:hint="eastAsia"/>
          <w:kern w:val="0"/>
          <w:sz w:val="24"/>
        </w:rPr>
        <w:t>日内退还基金认购人；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25</w:t>
      </w:r>
      <w:r>
        <w:rPr>
          <w:rFonts w:eastAsiaTheme="minorEastAsia" w:hint="eastAsia"/>
          <w:kern w:val="0"/>
          <w:sz w:val="24"/>
        </w:rPr>
        <w:t>、执行生效的基金份额持有人大会的决议；</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26</w:t>
      </w:r>
      <w:r>
        <w:rPr>
          <w:rFonts w:eastAsiaTheme="minorEastAsia" w:hint="eastAsia"/>
          <w:kern w:val="0"/>
          <w:sz w:val="24"/>
        </w:rPr>
        <w:t>、建立并保存基金份额持有人名册；</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27</w:t>
      </w:r>
      <w:r>
        <w:rPr>
          <w:rFonts w:eastAsiaTheme="minorEastAsia" w:hint="eastAsia"/>
          <w:kern w:val="0"/>
          <w:sz w:val="24"/>
        </w:rPr>
        <w:t>、法律法规及中国证监会规定的和《基金合同》约定的其他义务。</w:t>
      </w:r>
    </w:p>
    <w:p w:rsidR="00CB515E" w:rsidRDefault="005F186E">
      <w:pPr>
        <w:tabs>
          <w:tab w:val="left" w:pos="3780"/>
        </w:tabs>
        <w:autoSpaceDE w:val="0"/>
        <w:autoSpaceDN w:val="0"/>
        <w:adjustRightInd w:val="0"/>
        <w:snapToGrid w:val="0"/>
        <w:spacing w:line="460" w:lineRule="exact"/>
        <w:ind w:firstLineChars="200" w:firstLine="482"/>
        <w:textAlignment w:val="bottom"/>
        <w:rPr>
          <w:rFonts w:hAnsi="Arial Unicode MS"/>
          <w:b/>
          <w:bCs/>
          <w:sz w:val="24"/>
        </w:rPr>
      </w:pPr>
      <w:r>
        <w:rPr>
          <w:rFonts w:hAnsi="Arial Unicode MS" w:hint="eastAsia"/>
          <w:b/>
          <w:bCs/>
          <w:sz w:val="24"/>
        </w:rPr>
        <w:t>四、基金管理人关于遵守法律法规的承诺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、基金管理人承诺不从事违反《中华人民共和国证券法》的行为，并承诺建立健全的内部控制制度，采取有效措施，防止违反《中华人民共和国证券法》行为的发生；</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、基金管理人承诺不从事以下违反《基金法》的行为，并承诺建立健全的内部风险控制制度，采取有效措施，防止下列行为的发生：</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）将基金管理人固有财产或者他人财产混同于基金财产从事证券投资；</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）不公平地对待管理的不同基金财产；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）利用基金财产或者职务之便为基金份额持有人以外的第三人牟取利益；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）向基金份额持有人违规承诺收益或者承担损失；</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）侵占、挪用基金财产；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）泄露因职务便利获取的未公开信息、利用该信息从事或者明示、暗示他人从事相关的交易活动；</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）玩忽职守，不按照规定履行职责；</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）法律、行政法规和中国证监会规定禁止的其他行为。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、基金管理人承诺严格遵守基金合同，并承诺建立健全内部控制制度，采取有效措施，防止违反基金合同行为的发生；</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、基金管理人承诺加强人员管理，强化职业操守，督促和约束员工遵守国家有关法律、法规及行业规范，诚实信用、勤勉尽责；</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、基金管理人承诺不从事其他法规规定禁止从事的行为。</w:t>
      </w:r>
    </w:p>
    <w:p w:rsidR="00CB515E" w:rsidRDefault="005F186E">
      <w:pPr>
        <w:tabs>
          <w:tab w:val="left" w:pos="3780"/>
        </w:tabs>
        <w:autoSpaceDE w:val="0"/>
        <w:autoSpaceDN w:val="0"/>
        <w:adjustRightInd w:val="0"/>
        <w:snapToGrid w:val="0"/>
        <w:spacing w:line="460" w:lineRule="exact"/>
        <w:ind w:firstLineChars="200" w:firstLine="482"/>
        <w:textAlignment w:val="bottom"/>
        <w:rPr>
          <w:b/>
          <w:bCs/>
          <w:sz w:val="24"/>
        </w:rPr>
      </w:pPr>
      <w:r>
        <w:rPr>
          <w:rFonts w:hAnsi="Arial Unicode MS"/>
          <w:b/>
          <w:bCs/>
          <w:sz w:val="24"/>
        </w:rPr>
        <w:t>五、基金管理人关于禁止性行为的承诺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为维护基金份额持有人的合法权益，本基金禁止从事下列行为：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、承销证券；</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、违反规定向他人贷款或者提供担保；</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、从事承担无限责任的投资；</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、买卖其他基金份额，但是中国证监会另有规定的除外；</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、向其基金管理人、基金托管人出资；</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6</w:t>
      </w:r>
      <w:r>
        <w:rPr>
          <w:rFonts w:eastAsiaTheme="minorEastAsia" w:hint="eastAsia"/>
          <w:kern w:val="0"/>
          <w:sz w:val="24"/>
        </w:rPr>
        <w:t>、从事内幕交易、操纵证券交易价格及其他不正当的证券交易活动；</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、法律、行政法规和中国证监会规定禁止的其他活动。</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B515E" w:rsidRDefault="005F186E">
      <w:pPr>
        <w:adjustRightInd w:val="0"/>
        <w:snapToGrid w:val="0"/>
        <w:spacing w:line="460" w:lineRule="exact"/>
        <w:ind w:firstLineChars="200" w:firstLine="480"/>
        <w:rPr>
          <w:kern w:val="0"/>
          <w:sz w:val="24"/>
        </w:rPr>
      </w:pPr>
      <w:r>
        <w:rPr>
          <w:rFonts w:eastAsiaTheme="minorEastAsia" w:hint="eastAsia"/>
          <w:kern w:val="0"/>
          <w:sz w:val="24"/>
        </w:rPr>
        <w:t>法律、行政法规或监管部门取消或调整上述限制，如适用于本基金，基金管理人在履行适当程序后，则本基金投资不再受相关限制或按调整后的规定执行，无需经基金份额持有人大会审议。</w:t>
      </w:r>
    </w:p>
    <w:p w:rsidR="00CB515E" w:rsidRDefault="005F186E">
      <w:pPr>
        <w:tabs>
          <w:tab w:val="left" w:pos="3780"/>
        </w:tabs>
        <w:autoSpaceDE w:val="0"/>
        <w:autoSpaceDN w:val="0"/>
        <w:adjustRightInd w:val="0"/>
        <w:snapToGrid w:val="0"/>
        <w:spacing w:line="460" w:lineRule="exact"/>
        <w:ind w:firstLineChars="200" w:firstLine="482"/>
        <w:textAlignment w:val="bottom"/>
        <w:rPr>
          <w:b/>
          <w:sz w:val="24"/>
        </w:rPr>
      </w:pPr>
      <w:r>
        <w:rPr>
          <w:rFonts w:hAnsi="Arial Unicode MS"/>
          <w:b/>
          <w:sz w:val="24"/>
        </w:rPr>
        <w:t>六、基金经理承诺</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、依照有关法律、法规和基金合同的规定，本着谨慎的原则为基金份额持有人谋取最大利益；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、不能利用职务之便为自己、受雇人或任何第三者谋取利益；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、不泄露在任职期间知悉的有关证券、基金的商业秘密，尚未依法公开的基金投资内容、基金投资计划等信息；</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、不以任何形式为其他组织或个人进行证券交易。</w:t>
      </w:r>
    </w:p>
    <w:p w:rsidR="00CB515E" w:rsidRDefault="005F186E">
      <w:pPr>
        <w:adjustRightInd w:val="0"/>
        <w:snapToGrid w:val="0"/>
        <w:spacing w:line="460" w:lineRule="exact"/>
        <w:ind w:firstLineChars="200" w:firstLine="482"/>
        <w:rPr>
          <w:rFonts w:eastAsiaTheme="minorEastAsia"/>
          <w:b/>
          <w:kern w:val="0"/>
          <w:sz w:val="24"/>
        </w:rPr>
      </w:pPr>
      <w:r>
        <w:rPr>
          <w:rFonts w:eastAsiaTheme="minorEastAsia" w:hint="eastAsia"/>
          <w:b/>
          <w:kern w:val="0"/>
          <w:sz w:val="24"/>
        </w:rPr>
        <w:t>七、基金管理人的风险管理与内部控制制度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、内部控制原则</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）全面性原则：公司风险管理必须覆盖公司的所有部门和岗位，渗透各项业务过程和业务环节；</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）独立性原则：公司设立独立的监察稽核部，监察稽核部保持高度的独立性和权威性，负责对公司各部门风险控制工作进行稽核和检查；</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）相互制约原则：公司及各部门在内部组织结构的设计上要形成一种相互制约的机制，建立不同岗位之间的制衡体系；</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）定性和定量相结合原则：建立完备的风险管理指标体系，使风险管理更具客观性和操作性；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）重要性原则：公司的发展必须建立在风险控制完善和稳固的基础上，内部风险控制与公司业务发展同等重要。</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、风险管理和内部风险控制体系结构</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公司的风险管理体系结构是一个分工明确、相互牵制的组织结构，由最高管理层对风险管理负最终责任，各个业务部门负责本部门的风险评估和监控，监察稽核部门负责监察公司的风险管理措施的执行。具体而言，包括如下组成部分：</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）董事会</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负责监督检查公司的合法合规运营、内部控制、风险管理，从而控制公司的整体运营风险。</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）合规总监</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独立行使督察权利，直接对董事会负责，及时向审计与风险控制委员会提交有关公司规范运作和风险控制方面的工作报告。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）首席风险官</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负责组织、协调、落实全面风险管理工作。</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）风险管理执行委员会</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根据公司总体风险控制目标，将交易、运营风险控制目标和要求分配到各部门；讨论、协调各部门之间的风险管理过程；听取各部门风险管理工作方面的汇报，确定未来一段时间各部门应重点关注的风险点，并调整与改进相关的风险处理和控制策略；讨论向公司高级管理层提交的基金运作风险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）投资决策委员会</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负责指导基金财产的运作、制定本基金的资产配置方案和基本的投资策略。</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合规管理部：负责对公募基金管理业务相关制度、合同和流程进行合规性审核；按照监管机构的要求和公司的规定定期、不定期地进行合规检查，组织落实公募基金管理业务的业务隔离和反洗钱工作；负责处理公募基金管理业务相关法律诉讼事务；</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风险管理部：负责对整体业务进行全程监控，拟定和完善公募基金管理业务风险管理制度和风险控制流程；建立和完善公募基金管理业务风险监控指标体系；监控和检查公募基金管理业务运行情况；分析、评估公募基金管理业务的风险状况，并向公司总经理办公会及相关部门提交风险评估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）稽核审计部：负责对公募基金管理业务进行全面的审计与监察、稽核，检查各部门对公募基金管理业务相关制度的执行情况，并出具监察稽核报告；</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）业务部门</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风险管理是每一个业务部门最首要的责任。各部门的部门经理对本部门的风险负全部责任，负责履行公司的风险管理程序，负责本部门的风险管理系统的开发、执行和维护，用于识别、监控和降低风险。</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、内部控制制度综述</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）风险控制制度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公司风险控制的目标为严格遵守国家法律法规、行业自律规定和公司各项规章制度，自觉形成守法经营、规范运作的经营思想和经营风格；不断提高经营管理水平，在风险最小化的前提下，确保基金份额持有人利益最大化；建立行之有效的风险控制机制和制度，确保各项经营管理活动的健康运行与公司财产的安全完整；维护公司信誉，保持公司的良好形象。针对公司面临的各种风险，包括政策和市场风险，管理风险和职业道德风险，分别制定严格防范措施，并制定岗位分离制度、空间分离制度、集中交易制度、信息披露制度、资料保全制度、保密制度和独立的监察稽核制度等相关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）监察稽核制度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监察稽核工作是公司内部风险控制的重要环节。公司设合规总监、合规管理部和稽核审计部。合规总监全面负责公司的监察稽核工作，可在授权范围内列席任何会议，调阅公司任何档案材料，对基金资产运作、内部管理、制度执行及遵规守法情况进行内部监察、稽核，出具监察稽核报告，报公司董事会和中国证监会。如发现公司有重大违规行为，应立即向公司董事会和中国证监会报告。合规管理部、稽核审计部具体执行合规管理与稽核审计工作，并协助合规总监工作。合规管理部、稽核审计部具有独立的检查权、独立的报告权、知晓权和建议权。具体负责对公司内部风险控制制度提出修改意见，并提交风险管理执行委员会；检查公司各部门执行内部管理制度的情况；监督公司资产运作、财务收支的合法性、合规性、合理性；监督基金财产运作的合法性、合规性、合理性；调查公司内部的违规事件；协助监管机关调查处理相关事项；负责员工的离任审计；协调外部审计事宜等。</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）内部会计控制制度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建立了基金会计的工作制度及相应的操作控制规程，确保会计业务有章可循；按照相互制约原则，建立了基金会计业务的复核制度以及与托管行相关业务的相互核查监督机制；为了防范基金会计在资金头寸管理上出现透支风险，制定了资金头寸管理制度；为了确保基金资产的安全，公司严格规范基金清算交割工作，并在授权范围内，及时准确地完成基金清算；强化会计的事前、事中、事后监督和考核制度；为了防止会计数据的毁损、散失和泄密，制定了完善的档案保管和财务交接制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、风险管理和内部风险控制的措施</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建立、健全内控体系，完善内控制度。公司建立、健全了内控结构，高管人员关于内控有明确的分工，确保各项业务活动有恰当的组织和授权，确保监察稽核工作是独立的，并得到高管人员的支持，同时置备操作手册，并定期更新；</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）建立相互分离、相互制衡的内控机制。公司建立、健全了各项制度，做到基金经理分开、投资决策分开、基金交易集中，形成不同部门、不同岗位之间的制衡机制，从制度上减少和防范风险；</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）建立、健全岗位责任制。公司建立、健全了岗位责任制，使每个员工都明确自己的任务、职责，并及时将各自工作领域中的风险隐患上报，以防范和减少风险；</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建立风险分类、识别、评估、报告、提示程序。公司建立了风险管理执行委员会，使用适合的程序，确认和评估与公司运作有关的风险；公司建立了自下而上的风险报告程序，对风险隐患进行层层汇报，使各个层次的人员及时掌握风险状况，从而以最快速度做出决策；</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）建立内部监控系统。公司建立了有效的内部监控系统，如电脑预警系统、投资监控系统，能对可能出现的各种风险进行全面和实时的监控；</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使用数量化的风险管理手段。采取数量化、技术化的风险控制手段，建立数量化的风险管理模型，用以提示市场趋势、行业及个股的风险，以便公司及时采取有效的措施，对风险进行分散、控制和规避，尽可能地减少损失；</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）提供足够的培训。公司制定了完整的培训计划，为所有员工提供足够和适当的培训，使员工明确其职责所在，控制风险。</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、基金管理人关于内部合规控制声明书</w:t>
      </w:r>
    </w:p>
    <w:p w:rsidR="00CB515E" w:rsidRDefault="005F186E">
      <w:pPr>
        <w:adjustRightInd w:val="0"/>
        <w:snapToGrid w:val="0"/>
        <w:spacing w:line="460" w:lineRule="exact"/>
        <w:ind w:firstLineChars="200" w:firstLine="480"/>
        <w:rPr>
          <w:rFonts w:eastAsiaTheme="minorEastAsia"/>
          <w:kern w:val="0"/>
          <w:sz w:val="24"/>
        </w:rPr>
      </w:pPr>
      <w:r>
        <w:rPr>
          <w:rFonts w:eastAsiaTheme="minorEastAsia" w:hint="eastAsia"/>
          <w:kern w:val="0"/>
          <w:sz w:val="24"/>
        </w:rPr>
        <w:t>本公司确知建立、维护、维持和完善内部控制制度是本公司董事会及管理层的责任。本公司特别声明以上关于内部控制的披露真实、准确，并承诺将根据市场变化和公司业务发展不断完善内部控制制度。</w:t>
      </w:r>
    </w:p>
    <w:p w:rsidR="00CB515E" w:rsidRDefault="00CB515E"/>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r>
        <w:rPr>
          <w:rFonts w:ascii="Times New Roman" w:eastAsia="宋体" w:hAnsi="Arial Unicode MS"/>
          <w:b/>
          <w:bCs/>
          <w:sz w:val="30"/>
          <w:szCs w:val="30"/>
        </w:rPr>
        <w:br w:type="page"/>
      </w:r>
    </w:p>
    <w:p w:rsidR="00CB515E" w:rsidRDefault="005F186E">
      <w:pPr>
        <w:pStyle w:val="1"/>
        <w:snapToGrid w:val="0"/>
        <w:spacing w:before="0" w:after="0" w:line="360" w:lineRule="auto"/>
        <w:ind w:firstLineChars="150" w:firstLine="452"/>
        <w:rPr>
          <w:rFonts w:ascii="Times New Roman"/>
          <w:b/>
          <w:bCs/>
          <w:sz w:val="30"/>
          <w:szCs w:val="30"/>
        </w:rPr>
      </w:pPr>
      <w:bookmarkStart w:id="14" w:name="_Toc2174609"/>
      <w:r>
        <w:rPr>
          <w:rFonts w:ascii="Times New Roman" w:eastAsia="宋体" w:hAnsi="Arial Unicode MS"/>
          <w:b/>
          <w:bCs/>
          <w:sz w:val="30"/>
          <w:szCs w:val="30"/>
        </w:rPr>
        <w:t>第四部分基金托管人</w:t>
      </w:r>
      <w:bookmarkEnd w:id="12"/>
      <w:bookmarkEnd w:id="13"/>
      <w:bookmarkEnd w:id="14"/>
    </w:p>
    <w:p w:rsidR="00CB515E" w:rsidRDefault="00CB515E">
      <w:pPr>
        <w:spacing w:line="360" w:lineRule="auto"/>
        <w:jc w:val="center"/>
        <w:rPr>
          <w:sz w:val="24"/>
        </w:rPr>
      </w:pPr>
    </w:p>
    <w:p w:rsidR="00CB515E" w:rsidRDefault="005F186E">
      <w:pPr>
        <w:spacing w:line="360" w:lineRule="auto"/>
        <w:ind w:firstLineChars="200" w:firstLine="482"/>
        <w:rPr>
          <w:rFonts w:ascii="宋体" w:hAnsi="宋体"/>
          <w:b/>
          <w:sz w:val="24"/>
        </w:rPr>
      </w:pPr>
      <w:r>
        <w:rPr>
          <w:rFonts w:ascii="宋体" w:hAnsi="宋体" w:hint="eastAsia"/>
          <w:b/>
          <w:sz w:val="24"/>
        </w:rPr>
        <w:t>一、基金托管人概况</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1、基本情况</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名称：招商银行股份有限公司（以下简称“招商银行”）</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设立日期：1987年4月8日</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注册地址：深圳市深南大道7088号招商银行大厦</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办公地址：深圳市深南大道7088号招商银行大厦</w:t>
      </w:r>
    </w:p>
    <w:p w:rsidR="00CB515E" w:rsidRPr="00EF017D" w:rsidRDefault="005F186E">
      <w:pPr>
        <w:spacing w:line="360" w:lineRule="auto"/>
        <w:ind w:firstLineChars="200" w:firstLine="480"/>
        <w:rPr>
          <w:rFonts w:asciiTheme="minorEastAsia" w:eastAsiaTheme="minorEastAsia" w:hAnsiTheme="minorEastAsia"/>
          <w:bCs/>
          <w:sz w:val="24"/>
        </w:rPr>
      </w:pPr>
      <w:r w:rsidRPr="00EF017D">
        <w:rPr>
          <w:rFonts w:asciiTheme="minorEastAsia" w:eastAsiaTheme="minorEastAsia" w:hAnsiTheme="minorEastAsia" w:hint="eastAsia"/>
          <w:bCs/>
          <w:sz w:val="24"/>
        </w:rPr>
        <w:t>注册资本：252.20亿元</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法定代表人：李建红</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行长：田惠宇</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资产托管业务批准文号：证监基金字[2002]83号</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电话：0755—83199084</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传真：0755—83195201</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资产托管部信息披露负责人：张燕</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2、发展概况</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止2018年9月30日，本集团总资产65,086.81亿元，高级法下资本充足率15.46%，权重法下资本充足率12.80%。</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20</w:t>
      </w:r>
      <w:r w:rsidRPr="00EF017D">
        <w:rPr>
          <w:rFonts w:asciiTheme="minorEastAsia" w:eastAsiaTheme="minorEastAsia" w:hAnsiTheme="minorEastAsia"/>
          <w:sz w:val="24"/>
        </w:rPr>
        <w:t>02</w:t>
      </w:r>
      <w:r w:rsidRPr="00EF017D">
        <w:rPr>
          <w:rFonts w:asciiTheme="minorEastAsia" w:eastAsiaTheme="minorEastAsia" w:hAnsiTheme="minorEastAsia" w:hint="eastAsia"/>
          <w:sz w:val="24"/>
        </w:rPr>
        <w:t>年</w:t>
      </w:r>
      <w:r w:rsidRPr="00EF017D">
        <w:rPr>
          <w:rFonts w:asciiTheme="minorEastAsia" w:eastAsiaTheme="minorEastAsia" w:hAnsiTheme="minorEastAsia"/>
          <w:sz w:val="24"/>
        </w:rPr>
        <w:t>8</w:t>
      </w:r>
      <w:r w:rsidRPr="00EF017D">
        <w:rPr>
          <w:rFonts w:asciiTheme="minorEastAsia" w:eastAsiaTheme="minorEastAsia" w:hAnsiTheme="minorEastAsia" w:hint="eastAsia"/>
          <w:sz w:val="24"/>
        </w:rPr>
        <w:t>月，招商银行成立基金托管部；</w:t>
      </w:r>
      <w:r w:rsidRPr="00EF017D">
        <w:rPr>
          <w:rFonts w:asciiTheme="minorEastAsia" w:eastAsiaTheme="minorEastAsia" w:hAnsiTheme="minorEastAsia"/>
          <w:sz w:val="24"/>
        </w:rPr>
        <w:t>2005</w:t>
      </w:r>
      <w:r w:rsidRPr="00EF017D">
        <w:rPr>
          <w:rFonts w:asciiTheme="minorEastAsia" w:eastAsiaTheme="minorEastAsia" w:hAnsiTheme="minorEastAsia" w:hint="eastAsia"/>
          <w:sz w:val="24"/>
        </w:rPr>
        <w:t>年</w:t>
      </w:r>
      <w:r w:rsidRPr="00EF017D">
        <w:rPr>
          <w:rFonts w:asciiTheme="minorEastAsia" w:eastAsiaTheme="minorEastAsia" w:hAnsiTheme="minorEastAsia"/>
          <w:sz w:val="24"/>
        </w:rPr>
        <w:t>8</w:t>
      </w:r>
      <w:r w:rsidRPr="00EF017D">
        <w:rPr>
          <w:rFonts w:asciiTheme="minorEastAsia" w:eastAsiaTheme="minorEastAsia" w:hAnsiTheme="minorEastAsia" w:hint="eastAsia"/>
          <w:sz w:val="24"/>
        </w:rPr>
        <w:t>月，经报中国证监会同意，更名为资产托管部，下设业务管理室、产品管理室、业务营运室、稽核监察室、基金外包业务室5个职能处室，现有员工80人。</w:t>
      </w:r>
      <w:r w:rsidRPr="00EF017D">
        <w:rPr>
          <w:rFonts w:asciiTheme="minorEastAsia" w:eastAsiaTheme="minorEastAsia" w:hAnsiTheme="minorEastAsia"/>
          <w:sz w:val="24"/>
        </w:rPr>
        <w:t>2002</w:t>
      </w:r>
      <w:r w:rsidRPr="00EF017D">
        <w:rPr>
          <w:rFonts w:asciiTheme="minorEastAsia" w:eastAsiaTheme="minorEastAsia" w:hAnsiTheme="minorEastAsia" w:hint="eastAsia"/>
          <w:sz w:val="24"/>
        </w:rPr>
        <w:t>年</w:t>
      </w:r>
      <w:r w:rsidRPr="00EF017D">
        <w:rPr>
          <w:rFonts w:asciiTheme="minorEastAsia" w:eastAsiaTheme="minorEastAsia" w:hAnsiTheme="minorEastAsia"/>
          <w:sz w:val="24"/>
        </w:rPr>
        <w:t>11</w:t>
      </w:r>
      <w:r w:rsidRPr="00EF017D">
        <w:rPr>
          <w:rFonts w:asciiTheme="minorEastAsia" w:eastAsiaTheme="minorEastAsia" w:hAnsiTheme="minorEastAsia" w:hint="eastAsia"/>
          <w:sz w:val="24"/>
        </w:rPr>
        <w:t>月，经中国人民银行和中国证监会批准获得证券投资基金托管业务资格，成为国内第一家获得该项业务资格上市银行；</w:t>
      </w:r>
      <w:r w:rsidRPr="00EF017D">
        <w:rPr>
          <w:rFonts w:asciiTheme="minorEastAsia" w:eastAsiaTheme="minorEastAsia" w:hAnsiTheme="minorEastAsia"/>
          <w:sz w:val="24"/>
        </w:rPr>
        <w:t>2003</w:t>
      </w:r>
      <w:r w:rsidRPr="00EF017D">
        <w:rPr>
          <w:rFonts w:asciiTheme="minorEastAsia" w:eastAsiaTheme="minorEastAsia" w:hAnsiTheme="minorEastAsia" w:hint="eastAsia"/>
          <w:sz w:val="24"/>
        </w:rPr>
        <w:t>年</w:t>
      </w:r>
      <w:r w:rsidRPr="00EF017D">
        <w:rPr>
          <w:rFonts w:asciiTheme="minorEastAsia" w:eastAsiaTheme="minorEastAsia" w:hAnsiTheme="minorEastAsia"/>
          <w:sz w:val="24"/>
        </w:rPr>
        <w:t>4</w:t>
      </w:r>
      <w:r w:rsidRPr="00EF017D">
        <w:rPr>
          <w:rFonts w:asciiTheme="minorEastAsia" w:eastAsiaTheme="minorEastAsia" w:hAnsiTheme="minorEastAsia" w:hint="eastAsia"/>
          <w:sz w:val="24"/>
        </w:rPr>
        <w:t>月，正式办理基金托管业务。</w:t>
      </w:r>
      <w:bookmarkStart w:id="15" w:name="OLE_LINK1"/>
      <w:r w:rsidRPr="00EF017D">
        <w:rPr>
          <w:rFonts w:asciiTheme="minorEastAsia" w:eastAsiaTheme="minorEastAsia" w:hAnsiTheme="minorEastAsia" w:hint="eastAsia"/>
          <w:sz w:val="24"/>
        </w:rPr>
        <w:t>招商银行作为托管业务资质最全的商业银行，拥有证券投资基金托管、受托投资管理托管、合格境外机构投资者托管（</w:t>
      </w:r>
      <w:r w:rsidRPr="00EF017D">
        <w:rPr>
          <w:rFonts w:asciiTheme="minorEastAsia" w:eastAsiaTheme="minorEastAsia" w:hAnsiTheme="minorEastAsia"/>
          <w:sz w:val="24"/>
        </w:rPr>
        <w:t>QFII</w:t>
      </w:r>
      <w:r w:rsidRPr="00EF017D">
        <w:rPr>
          <w:rFonts w:asciiTheme="minorEastAsia" w:eastAsiaTheme="minorEastAsia" w:hAnsiTheme="minorEastAsia" w:hint="eastAsia"/>
          <w:sz w:val="24"/>
        </w:rPr>
        <w:t>）、合格境内机构投资者（QDII）、全国社会保障基金托管、保险资金托管、企业年金基金托管等业务资格。</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EF017D">
        <w:rPr>
          <w:rFonts w:asciiTheme="minorEastAsia" w:eastAsiaTheme="minorEastAsia" w:hAnsiTheme="minorEastAsia"/>
          <w:sz w:val="24"/>
        </w:rPr>
        <w:t>第一只信托资金计划</w:t>
      </w:r>
      <w:r w:rsidRPr="00EF017D">
        <w:rPr>
          <w:rFonts w:asciiTheme="minorEastAsia" w:eastAsiaTheme="minorEastAsia" w:hAnsiTheme="minorEastAsia" w:hint="eastAsia"/>
          <w:sz w:val="24"/>
        </w:rPr>
        <w:t>、第一只股权私募基金、第一家实现货币市场基金赎回资金T+1到账、</w:t>
      </w:r>
      <w:r w:rsidRPr="00EF017D">
        <w:rPr>
          <w:rFonts w:asciiTheme="minorEastAsia" w:eastAsiaTheme="minorEastAsia" w:hAnsiTheme="minorEastAsia"/>
          <w:sz w:val="24"/>
        </w:rPr>
        <w:t>第一只境外银行QDII</w:t>
      </w:r>
      <w:r w:rsidRPr="00EF017D">
        <w:rPr>
          <w:rFonts w:asciiTheme="minorEastAsia" w:eastAsiaTheme="minorEastAsia" w:hAnsiTheme="minorEastAsia" w:hint="eastAsia"/>
          <w:sz w:val="24"/>
        </w:rPr>
        <w:t>基金、</w:t>
      </w:r>
      <w:r w:rsidRPr="00EF017D">
        <w:rPr>
          <w:rFonts w:asciiTheme="minorEastAsia" w:eastAsiaTheme="minorEastAsia" w:hAnsiTheme="minorEastAsia"/>
          <w:sz w:val="24"/>
        </w:rPr>
        <w:t>第一只红利ETF基金</w:t>
      </w:r>
      <w:r w:rsidRPr="00EF017D">
        <w:rPr>
          <w:rFonts w:asciiTheme="minorEastAsia" w:eastAsiaTheme="minorEastAsia" w:hAnsiTheme="minorEastAsia" w:hint="eastAsia"/>
          <w:sz w:val="24"/>
        </w:rPr>
        <w:t>、第一只“1+N”基金专户理财、第一家大小非解禁资产、第一</w:t>
      </w:r>
      <w:r w:rsidRPr="00EF017D">
        <w:rPr>
          <w:rFonts w:asciiTheme="minorEastAsia" w:eastAsiaTheme="minorEastAsia" w:hAnsiTheme="minorEastAsia"/>
          <w:sz w:val="24"/>
        </w:rPr>
        <w:t>单TOT保管</w:t>
      </w:r>
      <w:r w:rsidRPr="00EF017D">
        <w:rPr>
          <w:rFonts w:asciiTheme="minorEastAsia" w:eastAsiaTheme="minorEastAsia" w:hAnsiTheme="minorEastAsia" w:hint="eastAsia"/>
          <w:sz w:val="24"/>
        </w:rPr>
        <w:t>，实现从单一托管服务商向全面投资者服务机构的转变，得到了同业认可。</w:t>
      </w:r>
    </w:p>
    <w:bookmarkEnd w:id="15"/>
    <w:p w:rsidR="00CB515E" w:rsidRDefault="005F186E">
      <w:pPr>
        <w:spacing w:line="360" w:lineRule="auto"/>
        <w:ind w:firstLineChars="200" w:firstLine="480"/>
        <w:rPr>
          <w:rFonts w:ascii="宋体" w:hAnsi="宋体"/>
          <w:sz w:val="24"/>
        </w:rPr>
      </w:pPr>
      <w:r w:rsidRPr="00EF017D">
        <w:rPr>
          <w:rFonts w:asciiTheme="minorEastAsia" w:eastAsiaTheme="minorEastAsia" w:hAnsiTheme="minorEastAsia"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再度荣膺《财资》“中国最佳托管银行奖”, “全功能网上托管银行2.0”荣获《银行家》2017中国金融创新“十佳金融产品创新奖”；8月荣膺国际财经权威媒体《亚洲银行家》“中国年度托管银行奖”，2018年1月获得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招商银行荣获公募基金20年“最佳基金托管银行”奖，5月荣膺国际财经权威媒体《亚洲银行家》“中国年度托管银行奖”。</w:t>
      </w:r>
    </w:p>
    <w:p w:rsidR="00CB515E" w:rsidRDefault="005F186E">
      <w:pPr>
        <w:spacing w:line="360" w:lineRule="auto"/>
        <w:ind w:firstLineChars="200" w:firstLine="482"/>
        <w:rPr>
          <w:rFonts w:ascii="宋体" w:hAnsi="宋体"/>
          <w:b/>
          <w:sz w:val="24"/>
        </w:rPr>
      </w:pPr>
      <w:r>
        <w:rPr>
          <w:rFonts w:ascii="宋体" w:hAnsi="宋体" w:hint="eastAsia"/>
          <w:b/>
          <w:sz w:val="24"/>
        </w:rPr>
        <w:t>二、主要人员情况</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CB515E" w:rsidRDefault="005F186E">
      <w:pPr>
        <w:spacing w:line="360" w:lineRule="auto"/>
        <w:ind w:firstLineChars="200" w:firstLine="480"/>
        <w:rPr>
          <w:rFonts w:ascii="宋体" w:hAnsi="宋体"/>
          <w:sz w:val="24"/>
        </w:rPr>
      </w:pPr>
      <w:r w:rsidRPr="00EF017D">
        <w:rPr>
          <w:rFonts w:asciiTheme="minorEastAsia" w:eastAsiaTheme="minorEastAsia" w:hAnsiTheme="minorEastAsia" w:hint="eastAsia"/>
          <w:sz w:val="24"/>
        </w:rPr>
        <w:t>姜然女士，招商银行资产托管部总经理，大学本科毕业，具有基金托管人高级管理人员任职资格。先后供职于</w:t>
      </w:r>
      <w:r w:rsidRPr="00EF017D">
        <w:rPr>
          <w:rFonts w:asciiTheme="minorEastAsia" w:eastAsiaTheme="minorEastAsia" w:hAnsiTheme="minorEastAsia"/>
          <w:sz w:val="24"/>
        </w:rPr>
        <w:t>中国</w:t>
      </w:r>
      <w:r w:rsidRPr="00EF017D">
        <w:rPr>
          <w:rFonts w:asciiTheme="minorEastAsia" w:eastAsiaTheme="minorEastAsia" w:hAnsiTheme="minorEastAsia" w:hint="eastAsia"/>
          <w:sz w:val="24"/>
        </w:rPr>
        <w:t>农业</w:t>
      </w:r>
      <w:r w:rsidRPr="00EF017D">
        <w:rPr>
          <w:rFonts w:asciiTheme="minorEastAsia" w:eastAsiaTheme="minorEastAsia" w:hAnsiTheme="minorEastAsia"/>
          <w:sz w:val="24"/>
        </w:rPr>
        <w:t>银行</w:t>
      </w:r>
      <w:r w:rsidRPr="00EF017D">
        <w:rPr>
          <w:rFonts w:asciiTheme="minorEastAsia" w:eastAsiaTheme="minorEastAsia" w:hAnsiTheme="minorEastAsia" w:hint="eastAsia"/>
          <w:sz w:val="24"/>
        </w:rPr>
        <w:t>黑龙江省</w:t>
      </w:r>
      <w:r w:rsidRPr="00EF017D">
        <w:rPr>
          <w:rFonts w:asciiTheme="minorEastAsia" w:eastAsiaTheme="minorEastAsia" w:hAnsiTheme="minorEastAsia"/>
          <w:sz w:val="24"/>
        </w:rPr>
        <w:t>分行，</w:t>
      </w:r>
      <w:r w:rsidRPr="00EF017D">
        <w:rPr>
          <w:rFonts w:asciiTheme="minorEastAsia" w:eastAsiaTheme="minorEastAsia" w:hAnsiTheme="minorEastAsia" w:hint="eastAsia"/>
          <w:sz w:val="24"/>
        </w:rPr>
        <w:t>华</w:t>
      </w:r>
      <w:r w:rsidRPr="00EF017D">
        <w:rPr>
          <w:rFonts w:asciiTheme="minorEastAsia" w:eastAsiaTheme="minorEastAsia" w:hAnsiTheme="minorEastAsia"/>
          <w:sz w:val="24"/>
        </w:rPr>
        <w:t>商银行，中国</w:t>
      </w:r>
      <w:r w:rsidRPr="00EF017D">
        <w:rPr>
          <w:rFonts w:asciiTheme="minorEastAsia" w:eastAsiaTheme="minorEastAsia" w:hAnsiTheme="minorEastAsia" w:hint="eastAsia"/>
          <w:sz w:val="24"/>
        </w:rPr>
        <w:t>农业</w:t>
      </w:r>
      <w:r w:rsidRPr="00EF017D">
        <w:rPr>
          <w:rFonts w:asciiTheme="minorEastAsia" w:eastAsiaTheme="minorEastAsia" w:hAnsiTheme="minorEastAsia"/>
          <w:sz w:val="24"/>
        </w:rPr>
        <w:t>银行</w:t>
      </w:r>
      <w:r w:rsidRPr="00EF017D">
        <w:rPr>
          <w:rFonts w:asciiTheme="minorEastAsia" w:eastAsiaTheme="minorEastAsia" w:hAnsiTheme="minorEastAsia" w:hint="eastAsia"/>
          <w:sz w:val="24"/>
        </w:rPr>
        <w:t>深圳市</w:t>
      </w:r>
      <w:r w:rsidRPr="00EF017D">
        <w:rPr>
          <w:rFonts w:asciiTheme="minorEastAsia" w:eastAsiaTheme="minorEastAsia" w:hAnsiTheme="minorEastAsia"/>
          <w:sz w:val="24"/>
        </w:rPr>
        <w:t>分行</w:t>
      </w:r>
      <w:r w:rsidRPr="00EF017D">
        <w:rPr>
          <w:rFonts w:asciiTheme="minorEastAsia" w:eastAsiaTheme="minorEastAsia" w:hAnsiTheme="minorEastAsia" w:hint="eastAsia"/>
          <w:sz w:val="24"/>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EF017D">
        <w:rPr>
          <w:rFonts w:asciiTheme="minorEastAsia" w:eastAsiaTheme="minorEastAsia" w:hAnsiTheme="minorEastAsia"/>
          <w:sz w:val="24"/>
        </w:rPr>
        <w:t>和丰富的实务经验</w:t>
      </w:r>
      <w:r w:rsidRPr="00EF017D">
        <w:rPr>
          <w:rFonts w:asciiTheme="minorEastAsia" w:eastAsiaTheme="minorEastAsia" w:hAnsiTheme="minorEastAsia" w:hint="eastAsia"/>
          <w:sz w:val="24"/>
        </w:rPr>
        <w:t>。</w:t>
      </w:r>
    </w:p>
    <w:p w:rsidR="00CB515E" w:rsidRDefault="005F186E">
      <w:pPr>
        <w:spacing w:line="360" w:lineRule="auto"/>
        <w:ind w:firstLineChars="200" w:firstLine="482"/>
        <w:rPr>
          <w:rFonts w:ascii="宋体" w:hAnsi="宋体"/>
          <w:b/>
          <w:sz w:val="24"/>
        </w:rPr>
      </w:pPr>
      <w:r>
        <w:rPr>
          <w:rFonts w:ascii="宋体" w:hAnsi="宋体" w:hint="eastAsia"/>
          <w:b/>
          <w:sz w:val="24"/>
        </w:rPr>
        <w:t>三、基金托管业务经营情况</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截至2018年</w:t>
      </w:r>
      <w:r w:rsidR="0087232B">
        <w:rPr>
          <w:rFonts w:asciiTheme="minorEastAsia" w:eastAsiaTheme="minorEastAsia" w:hAnsiTheme="minorEastAsia" w:hint="eastAsia"/>
          <w:sz w:val="24"/>
        </w:rPr>
        <w:t>9</w:t>
      </w:r>
      <w:r w:rsidRPr="00EF017D">
        <w:rPr>
          <w:rFonts w:asciiTheme="minorEastAsia" w:eastAsiaTheme="minorEastAsia" w:hAnsiTheme="minorEastAsia" w:hint="eastAsia"/>
          <w:sz w:val="24"/>
        </w:rPr>
        <w:t>月30日，招商银行股份有限公司累计托管401只开放式基金。</w:t>
      </w:r>
    </w:p>
    <w:p w:rsidR="00CB515E" w:rsidRDefault="005F186E">
      <w:pPr>
        <w:pStyle w:val="aff3"/>
        <w:numPr>
          <w:ilvl w:val="0"/>
          <w:numId w:val="1"/>
        </w:numPr>
        <w:ind w:firstLineChars="0"/>
        <w:rPr>
          <w:b/>
          <w:sz w:val="24"/>
        </w:rPr>
      </w:pPr>
      <w:r>
        <w:rPr>
          <w:rFonts w:hint="eastAsia"/>
          <w:b/>
          <w:sz w:val="24"/>
        </w:rPr>
        <w:t>托管人的内部控制制度</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1、内部控制目标</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2、内部控制组织结构</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招商银行资产托管业务建立三级内控风险防范体系：</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一级风险防范是在招商银行总行风险管控层面对风险进行预防和控制。</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二级风险防范是招商银行资产托管部设立稽核监察室，负责部门内部风险预防和控制；</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三级风险防范是招商银行资产托管部在设置专业岗位时，遵循内控制衡原则，视业务的风险程度制定相应监督制衡机制。</w:t>
      </w:r>
    </w:p>
    <w:p w:rsidR="00CB515E" w:rsidRPr="00EF017D" w:rsidRDefault="005F186E">
      <w:pPr>
        <w:tabs>
          <w:tab w:val="left" w:pos="426"/>
        </w:tabs>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3、内部控制原则</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（1）全面性原则。内部控制覆盖各项业务过程和操作环节、覆盖所有室和岗位。</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（2）审慎性原则。托管组织体系的构成、内部管理制度的建立均以防范风险、审慎经营为出发点，以有效防范各种风险作为内部控制的核心，体现“内控优先”的要求。</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（3）独立性原则。招商银行资产托管部各室、各岗位职责保持相对独立，不同托管资产之间、托管资产和自有资产之间相互分离。内部控制的检查、评价部门独立于内部控制的建立和执行部门。</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（4）有效性原则。内部控制具有高度的权威性，任何人不得拥有不受内部控制约束的权利，内部控制存在的问题能够得到及时的反馈和纠正。</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（6）防火墙原则。招商银行资产托管部配备独立的托管业务技术系统，包括网络系统、应用系统、安全防护系统、数据备份系统。</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（7）重要性原则。内部控制在实现全面控制的基础上，关注重要托管业务事项和高风险领域。</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（8）制衡性原则。内部控制能够实现在托管组织体系、机构设置及权责分配、业务流程等方面形成相互制约、相互监督，同时兼顾运营效率。</w:t>
      </w:r>
    </w:p>
    <w:p w:rsidR="00CB515E" w:rsidRPr="00EF017D" w:rsidRDefault="005F186E">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4、内部控制措施</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1）完善的制度建设。招商银行资产托管部从资产托管业务内控管理、产品受理、会计核算、资金清算、岗位管理、档案管理和信息管理等方面制定一系列规章制度，保证资产托管业务科学化、制度化、规范化运作。</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（2）经营风险控制。招商银行资产托管部制定托管项目审批、资金清算与会计核算双人双岗、大额资金专人跟踪、凭证管理等一系列完整的操作规程，有效地控制业务运作过程中的风险。</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（3）业务信息风险控制。招商银行资产托管部在数据传输和保存方面有严格的加密和备份措施，采用加密、直连方式传输数据，数据执行异地实时备份，所有的业务信息须经过严格的授权方能进行访问。</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（4）客户资料风险控制。招商银行资产托管部对业务办理过程中形成的客户资料，视同会计资料保管。客户资料不得泄露，有关人员如需调用，须经总经理室成员审批，并做好调用登记。</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（6）人力资源控制。招商银行资产托管部通过建立良好的企业文化和员工培训、激励机制、加强人力资源管理及建立人才梯级队伍及人才储备机制，有效的进行人力资源管理。</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（五）基金托管人对基金管理人运作基金进行监督的方法和程序</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CB515E" w:rsidRPr="00EF017D" w:rsidRDefault="005F186E">
      <w:pPr>
        <w:spacing w:line="360" w:lineRule="auto"/>
        <w:ind w:firstLine="480"/>
        <w:rPr>
          <w:rFonts w:asciiTheme="minorEastAsia" w:eastAsiaTheme="minorEastAsia" w:hAnsiTheme="minorEastAsia"/>
          <w:sz w:val="24"/>
        </w:rPr>
      </w:pPr>
      <w:r w:rsidRPr="00EF017D">
        <w:rPr>
          <w:rFonts w:asciiTheme="minorEastAsia" w:eastAsiaTheme="minorEastAsia" w:hAnsiTheme="minorEastAsia"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CB515E" w:rsidRDefault="005F186E">
      <w:pPr>
        <w:spacing w:line="360" w:lineRule="auto"/>
        <w:ind w:firstLine="480"/>
        <w:rPr>
          <w:rFonts w:ascii="宋体" w:hAnsi="宋体"/>
          <w:sz w:val="24"/>
        </w:rPr>
      </w:pPr>
      <w:r w:rsidRPr="00EF017D">
        <w:rPr>
          <w:rFonts w:asciiTheme="minorEastAsia" w:eastAsiaTheme="minorEastAsia" w:hAnsiTheme="minorEastAsia"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CB515E" w:rsidRDefault="005F186E">
      <w:pPr>
        <w:pStyle w:val="1"/>
        <w:snapToGrid w:val="0"/>
        <w:spacing w:before="0" w:after="0" w:line="360" w:lineRule="auto"/>
        <w:ind w:firstLineChars="150" w:firstLine="315"/>
        <w:rPr>
          <w:rFonts w:ascii="Times New Roman" w:eastAsia="宋体"/>
          <w:b/>
          <w:bCs/>
          <w:sz w:val="28"/>
          <w:szCs w:val="28"/>
        </w:rPr>
      </w:pPr>
      <w:r>
        <w:rPr>
          <w:rFonts w:ascii="Times New Roman" w:eastAsia="宋体"/>
          <w:sz w:val="21"/>
          <w:szCs w:val="21"/>
        </w:rPr>
        <w:br w:type="page"/>
      </w:r>
      <w:bookmarkStart w:id="16" w:name="_Toc320887644"/>
      <w:bookmarkStart w:id="17" w:name="_Toc317088539"/>
      <w:bookmarkStart w:id="18" w:name="_Toc317088142"/>
      <w:bookmarkStart w:id="19" w:name="_Toc2174610"/>
      <w:bookmarkStart w:id="20" w:name="_Toc335232693"/>
      <w:bookmarkStart w:id="21" w:name="_Toc214873594"/>
      <w:r>
        <w:rPr>
          <w:rFonts w:ascii="Times New Roman" w:eastAsia="宋体" w:hAnsi="Arial Unicode MS"/>
          <w:b/>
          <w:bCs/>
          <w:sz w:val="30"/>
          <w:szCs w:val="30"/>
        </w:rPr>
        <w:t>第五部分相关服务机构</w:t>
      </w:r>
      <w:bookmarkEnd w:id="16"/>
      <w:bookmarkEnd w:id="17"/>
      <w:bookmarkEnd w:id="18"/>
      <w:bookmarkEnd w:id="19"/>
      <w:bookmarkEnd w:id="20"/>
      <w:bookmarkEnd w:id="21"/>
    </w:p>
    <w:p w:rsidR="00CB515E" w:rsidRDefault="00CB515E"/>
    <w:p w:rsidR="00CB515E" w:rsidRDefault="005F186E">
      <w:pPr>
        <w:snapToGrid w:val="0"/>
        <w:spacing w:line="360" w:lineRule="auto"/>
        <w:ind w:firstLineChars="200" w:firstLine="482"/>
        <w:rPr>
          <w:b/>
          <w:sz w:val="24"/>
        </w:rPr>
      </w:pPr>
      <w:r>
        <w:rPr>
          <w:rFonts w:hAnsi="Arial Unicode MS"/>
          <w:b/>
          <w:sz w:val="24"/>
        </w:rPr>
        <w:t>一、基金份额</w:t>
      </w:r>
      <w:r>
        <w:rPr>
          <w:rFonts w:hAnsi="Arial Unicode MS" w:hint="eastAsia"/>
          <w:b/>
          <w:sz w:val="24"/>
        </w:rPr>
        <w:t>销</w:t>
      </w:r>
      <w:r>
        <w:rPr>
          <w:rFonts w:hAnsi="Arial Unicode MS"/>
          <w:b/>
          <w:sz w:val="24"/>
        </w:rPr>
        <w:t>售机构</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1</w:t>
      </w:r>
      <w:r>
        <w:rPr>
          <w:rFonts w:eastAsiaTheme="minorEastAsia" w:hAnsiTheme="minorEastAsia"/>
          <w:kern w:val="0"/>
          <w:sz w:val="24"/>
        </w:rPr>
        <w:t>、直销机构：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w:t>
      </w:r>
      <w:r>
        <w:rPr>
          <w:rFonts w:eastAsiaTheme="minorEastAsia" w:hAnsiTheme="minorEastAsia"/>
          <w:kern w:val="0"/>
          <w:sz w:val="24"/>
        </w:rPr>
        <w:t>山西证券股份有限公司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董秘：王怡里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8686966</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客服电话：</w:t>
      </w:r>
      <w:r>
        <w:rPr>
          <w:rFonts w:eastAsiaTheme="minorEastAsia"/>
          <w:kern w:val="0"/>
          <w:sz w:val="24"/>
        </w:rPr>
        <w:t>95573</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网址：</w:t>
      </w:r>
      <w:r>
        <w:rPr>
          <w:rFonts w:eastAsiaTheme="minorEastAsia"/>
          <w:kern w:val="0"/>
          <w:sz w:val="24"/>
        </w:rPr>
        <w:t>www.i618.com.cn</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2</w:t>
      </w:r>
      <w:r>
        <w:rPr>
          <w:rFonts w:eastAsiaTheme="minorEastAsia" w:hAnsiTheme="minorEastAsia"/>
          <w:kern w:val="0"/>
          <w:sz w:val="24"/>
        </w:rPr>
        <w:t>、代销机构：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基金管理人可根据有关法律法规的要求，选择其他符合要求的机构新增为本基金的发售机构，并及时公告。</w:t>
      </w:r>
    </w:p>
    <w:p w:rsidR="00CB515E" w:rsidRDefault="005F186E">
      <w:pPr>
        <w:snapToGrid w:val="0"/>
        <w:spacing w:line="360" w:lineRule="auto"/>
        <w:ind w:firstLineChars="200" w:firstLine="482"/>
        <w:rPr>
          <w:b/>
          <w:color w:val="000000"/>
          <w:sz w:val="24"/>
        </w:rPr>
      </w:pPr>
      <w:r>
        <w:rPr>
          <w:rFonts w:hAnsi="Arial Unicode MS"/>
          <w:b/>
          <w:color w:val="000000"/>
          <w:sz w:val="24"/>
        </w:rPr>
        <w:t>二、登记机构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名称：山西证券股份有限公司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董秘：王怡里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8686966</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客服电话：</w:t>
      </w:r>
      <w:r>
        <w:rPr>
          <w:rFonts w:eastAsiaTheme="minorEastAsia"/>
          <w:kern w:val="0"/>
          <w:sz w:val="24"/>
        </w:rPr>
        <w:t>95573</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网址：</w:t>
      </w:r>
      <w:r>
        <w:rPr>
          <w:rFonts w:eastAsiaTheme="minorEastAsia"/>
          <w:kern w:val="0"/>
          <w:sz w:val="24"/>
        </w:rPr>
        <w:t>www.i618.com.cn</w:t>
      </w:r>
    </w:p>
    <w:p w:rsidR="00CB515E" w:rsidRDefault="005F186E">
      <w:pPr>
        <w:snapToGrid w:val="0"/>
        <w:spacing w:line="360" w:lineRule="auto"/>
        <w:ind w:firstLineChars="200" w:firstLine="482"/>
        <w:rPr>
          <w:b/>
          <w:sz w:val="24"/>
        </w:rPr>
      </w:pPr>
      <w:r>
        <w:rPr>
          <w:rFonts w:hAnsi="Arial Unicode MS"/>
          <w:b/>
          <w:sz w:val="24"/>
        </w:rPr>
        <w:t>三、</w:t>
      </w:r>
      <w:r>
        <w:rPr>
          <w:rFonts w:hAnsi="Arial Unicode MS"/>
          <w:b/>
          <w:bCs/>
          <w:sz w:val="24"/>
        </w:rPr>
        <w:t>出具法律意见书的律师事务所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上海源泰</w:t>
      </w:r>
      <w:r>
        <w:rPr>
          <w:rFonts w:eastAsiaTheme="minorEastAsia" w:hAnsiTheme="minorEastAsia"/>
          <w:kern w:val="0"/>
          <w:sz w:val="24"/>
        </w:rPr>
        <w:t>律师事务所</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住所</w:t>
      </w:r>
      <w:r>
        <w:rPr>
          <w:rFonts w:eastAsiaTheme="minorEastAsia" w:hAnsiTheme="minorEastAsia"/>
          <w:kern w:val="0"/>
          <w:sz w:val="24"/>
        </w:rPr>
        <w:t>：</w:t>
      </w:r>
      <w:r>
        <w:rPr>
          <w:rFonts w:eastAsiaTheme="minorEastAsia" w:hAnsiTheme="minorEastAsia" w:hint="eastAsia"/>
          <w:kern w:val="0"/>
          <w:sz w:val="24"/>
        </w:rPr>
        <w:t>上海市浦东新区浦东南路</w:t>
      </w:r>
      <w:r>
        <w:rPr>
          <w:rFonts w:eastAsiaTheme="minorEastAsia" w:hAnsiTheme="minorEastAsia" w:hint="eastAsia"/>
          <w:kern w:val="0"/>
          <w:sz w:val="24"/>
        </w:rPr>
        <w:t>256</w:t>
      </w:r>
      <w:r>
        <w:rPr>
          <w:rFonts w:eastAsiaTheme="minorEastAsia" w:hAnsiTheme="minorEastAsia" w:hint="eastAsia"/>
          <w:kern w:val="0"/>
          <w:sz w:val="24"/>
        </w:rPr>
        <w:t>号华夏银行大厦</w:t>
      </w:r>
      <w:r>
        <w:rPr>
          <w:rFonts w:eastAsiaTheme="minorEastAsia" w:hAnsiTheme="minorEastAsia" w:hint="eastAsia"/>
          <w:kern w:val="0"/>
          <w:sz w:val="24"/>
        </w:rPr>
        <w:t>14</w:t>
      </w:r>
      <w:r>
        <w:rPr>
          <w:rFonts w:eastAsiaTheme="minorEastAsia" w:hAnsiTheme="minorEastAsia" w:hint="eastAsia"/>
          <w:kern w:val="0"/>
          <w:sz w:val="24"/>
        </w:rPr>
        <w:t>楼</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负责人：廖海</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电话：（</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51150298</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传真：（</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51150398</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经办律师：刘佳、</w:t>
      </w:r>
      <w:r>
        <w:rPr>
          <w:rFonts w:eastAsiaTheme="minorEastAsia" w:hAnsiTheme="minorEastAsia"/>
          <w:kern w:val="0"/>
          <w:sz w:val="24"/>
        </w:rPr>
        <w:t>姜亚萍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联系人：刘佳</w:t>
      </w:r>
    </w:p>
    <w:p w:rsidR="00CB515E" w:rsidRDefault="005F186E">
      <w:pPr>
        <w:adjustRightInd w:val="0"/>
        <w:snapToGrid w:val="0"/>
        <w:spacing w:line="360" w:lineRule="auto"/>
        <w:ind w:firstLineChars="200" w:firstLine="482"/>
        <w:rPr>
          <w:b/>
          <w:sz w:val="24"/>
        </w:rPr>
      </w:pPr>
      <w:r>
        <w:rPr>
          <w:rFonts w:hAnsi="Arial Unicode MS"/>
          <w:b/>
          <w:sz w:val="24"/>
        </w:rPr>
        <w:t>四、</w:t>
      </w:r>
      <w:r>
        <w:rPr>
          <w:rFonts w:hAnsi="Arial Unicode MS"/>
          <w:b/>
          <w:bCs/>
          <w:sz w:val="24"/>
        </w:rPr>
        <w:t>审计基金财产的会计师事务所</w:t>
      </w:r>
    </w:p>
    <w:p w:rsidR="00CB515E" w:rsidRDefault="005F186E">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名称：中喜会计师事务所（特殊普通合伙）</w:t>
      </w:r>
      <w:r>
        <w:rPr>
          <w:rFonts w:eastAsiaTheme="minorEastAsia"/>
          <w:kern w:val="0"/>
          <w:sz w:val="24"/>
        </w:rPr>
        <w:t> </w:t>
      </w:r>
    </w:p>
    <w:p w:rsidR="00CB515E" w:rsidRDefault="005F186E">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住所：北京市崇文区崇文门外大街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CB515E" w:rsidRDefault="005F186E">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办公地址：北京市崇文区崇文门外大街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CB515E" w:rsidRDefault="005F186E">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法定代表人：张增刚 </w:t>
      </w:r>
    </w:p>
    <w:p w:rsidR="00CB515E" w:rsidRDefault="005F186E">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电话：</w:t>
      </w:r>
      <w:r>
        <w:rPr>
          <w:rFonts w:eastAsiaTheme="minorEastAsia" w:hAnsiTheme="minorEastAsia"/>
          <w:kern w:val="0"/>
          <w:sz w:val="24"/>
        </w:rPr>
        <w:t>010-68085873</w:t>
      </w:r>
      <w:r>
        <w:rPr>
          <w:rFonts w:eastAsiaTheme="minorEastAsia" w:hAnsiTheme="minorEastAsia"/>
          <w:kern w:val="0"/>
          <w:sz w:val="24"/>
        </w:rPr>
        <w:t> </w:t>
      </w:r>
    </w:p>
    <w:p w:rsidR="00CB515E" w:rsidRDefault="005F186E">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经办注册会计师：白银泉、</w:t>
      </w:r>
      <w:r>
        <w:rPr>
          <w:rFonts w:eastAsiaTheme="minorEastAsia" w:hAnsiTheme="minorEastAsia" w:hint="eastAsia"/>
          <w:kern w:val="0"/>
          <w:sz w:val="24"/>
        </w:rPr>
        <w:t>武丹</w:t>
      </w:r>
      <w:r>
        <w:rPr>
          <w:rFonts w:eastAsiaTheme="minorEastAsia"/>
          <w:kern w:val="0"/>
          <w:sz w:val="24"/>
        </w:rPr>
        <w:br/>
      </w:r>
      <w:r>
        <w:rPr>
          <w:rFonts w:eastAsiaTheme="minorEastAsia" w:hAnsiTheme="minorEastAsia"/>
          <w:kern w:val="0"/>
          <w:sz w:val="24"/>
        </w:rPr>
        <w:t>联系人：</w:t>
      </w:r>
      <w:r>
        <w:rPr>
          <w:rFonts w:eastAsiaTheme="minorEastAsia" w:hAnsiTheme="minorEastAsia" w:hint="eastAsia"/>
          <w:kern w:val="0"/>
          <w:sz w:val="24"/>
        </w:rPr>
        <w:t>武丹</w:t>
      </w:r>
    </w:p>
    <w:p w:rsidR="00CB515E" w:rsidRDefault="005F186E">
      <w:pPr>
        <w:pStyle w:val="1"/>
        <w:snapToGrid w:val="0"/>
        <w:spacing w:before="0" w:after="0" w:line="360" w:lineRule="auto"/>
        <w:ind w:firstLineChars="150" w:firstLine="360"/>
        <w:rPr>
          <w:b/>
          <w:bCs/>
          <w:sz w:val="28"/>
          <w:szCs w:val="28"/>
        </w:rPr>
      </w:pPr>
      <w:r>
        <w:rPr>
          <w:szCs w:val="24"/>
        </w:rPr>
        <w:br w:type="page"/>
      </w:r>
      <w:bookmarkStart w:id="22" w:name="_Toc21073389"/>
      <w:bookmarkStart w:id="23" w:name="_Toc147463116"/>
      <w:bookmarkStart w:id="24" w:name="_Toc12357169"/>
      <w:bookmarkStart w:id="25" w:name="_Toc320887645"/>
      <w:bookmarkStart w:id="26" w:name="_Toc335232694"/>
      <w:bookmarkStart w:id="27" w:name="_Toc317088540"/>
      <w:bookmarkStart w:id="28" w:name="_Toc317088143"/>
      <w:bookmarkStart w:id="29" w:name="_Toc214873595"/>
      <w:bookmarkStart w:id="30" w:name="_Toc2174611"/>
      <w:r>
        <w:rPr>
          <w:rFonts w:ascii="Times New Roman" w:eastAsia="宋体" w:hAnsi="Arial Unicode MS" w:hint="eastAsia"/>
          <w:b/>
          <w:bCs/>
          <w:sz w:val="30"/>
          <w:szCs w:val="30"/>
        </w:rPr>
        <w:t>第六部分</w:t>
      </w:r>
      <w:bookmarkEnd w:id="22"/>
      <w:bookmarkEnd w:id="23"/>
      <w:bookmarkEnd w:id="24"/>
      <w:r>
        <w:rPr>
          <w:rFonts w:ascii="Times New Roman" w:eastAsia="宋体" w:hAnsi="Arial Unicode MS" w:hint="eastAsia"/>
          <w:b/>
          <w:bCs/>
          <w:sz w:val="30"/>
          <w:szCs w:val="30"/>
        </w:rPr>
        <w:t>基金的</w:t>
      </w:r>
      <w:bookmarkEnd w:id="25"/>
      <w:bookmarkEnd w:id="26"/>
      <w:bookmarkEnd w:id="27"/>
      <w:bookmarkEnd w:id="28"/>
      <w:bookmarkEnd w:id="29"/>
      <w:r>
        <w:rPr>
          <w:rFonts w:ascii="Times New Roman" w:eastAsia="宋体" w:hAnsi="Arial Unicode MS" w:hint="eastAsia"/>
          <w:b/>
          <w:bCs/>
          <w:sz w:val="30"/>
          <w:szCs w:val="30"/>
        </w:rPr>
        <w:t>募集</w:t>
      </w:r>
      <w:bookmarkEnd w:id="30"/>
    </w:p>
    <w:p w:rsidR="00CB515E" w:rsidRDefault="00CB515E"/>
    <w:p w:rsidR="00CB515E" w:rsidRDefault="005F186E">
      <w:pPr>
        <w:spacing w:line="360" w:lineRule="auto"/>
        <w:ind w:firstLineChars="200" w:firstLine="480"/>
        <w:rPr>
          <w:color w:val="000000"/>
          <w:sz w:val="24"/>
        </w:rPr>
      </w:pPr>
      <w:bookmarkStart w:id="31" w:name="_Toc12357170"/>
      <w:bookmarkStart w:id="32" w:name="_Toc21073390"/>
      <w:bookmarkStart w:id="33" w:name="_Toc147463117"/>
      <w:r>
        <w:rPr>
          <w:rFonts w:hint="eastAsia"/>
          <w:color w:val="000000"/>
          <w:sz w:val="24"/>
        </w:rPr>
        <w:t>本基金由基金管理人依照《基金法》、《运作办法》、《销售办法》、《信息披露办法》等有关法律法规及基金合同，经</w:t>
      </w:r>
      <w:r>
        <w:rPr>
          <w:color w:val="000000"/>
          <w:sz w:val="24"/>
        </w:rPr>
        <w:t>201</w:t>
      </w:r>
      <w:r w:rsidR="005C27AF">
        <w:rPr>
          <w:rFonts w:hint="eastAsia"/>
          <w:color w:val="000000"/>
          <w:sz w:val="24"/>
        </w:rPr>
        <w:t>9</w:t>
      </w:r>
      <w:r>
        <w:rPr>
          <w:rFonts w:hint="eastAsia"/>
          <w:color w:val="000000"/>
          <w:sz w:val="24"/>
        </w:rPr>
        <w:t>年</w:t>
      </w:r>
      <w:r w:rsidR="005C27AF">
        <w:rPr>
          <w:rFonts w:hint="eastAsia"/>
          <w:color w:val="000000"/>
          <w:sz w:val="24"/>
        </w:rPr>
        <w:t>3</w:t>
      </w:r>
      <w:r>
        <w:rPr>
          <w:rFonts w:hint="eastAsia"/>
          <w:color w:val="000000"/>
          <w:sz w:val="24"/>
        </w:rPr>
        <w:t>月</w:t>
      </w:r>
      <w:r w:rsidR="005C27AF">
        <w:rPr>
          <w:rFonts w:hint="eastAsia"/>
          <w:color w:val="000000"/>
          <w:sz w:val="24"/>
        </w:rPr>
        <w:t>19</w:t>
      </w:r>
      <w:r>
        <w:rPr>
          <w:rFonts w:hint="eastAsia"/>
          <w:color w:val="000000"/>
          <w:sz w:val="24"/>
        </w:rPr>
        <w:t>日中国证监会证监许可【</w:t>
      </w:r>
      <w:r>
        <w:rPr>
          <w:color w:val="000000"/>
          <w:sz w:val="24"/>
        </w:rPr>
        <w:t>201</w:t>
      </w:r>
      <w:r w:rsidR="005C27AF">
        <w:rPr>
          <w:rFonts w:hint="eastAsia"/>
          <w:color w:val="000000"/>
          <w:sz w:val="24"/>
        </w:rPr>
        <w:t>9</w:t>
      </w:r>
      <w:r>
        <w:rPr>
          <w:rFonts w:hint="eastAsia"/>
          <w:color w:val="000000"/>
          <w:sz w:val="24"/>
        </w:rPr>
        <w:t>】</w:t>
      </w:r>
      <w:r w:rsidR="005C27AF">
        <w:rPr>
          <w:rFonts w:hint="eastAsia"/>
          <w:color w:val="000000"/>
          <w:sz w:val="24"/>
        </w:rPr>
        <w:t>449</w:t>
      </w:r>
      <w:r>
        <w:rPr>
          <w:rFonts w:hint="eastAsia"/>
          <w:color w:val="000000"/>
          <w:sz w:val="24"/>
        </w:rPr>
        <w:t>号文件注册募集。</w:t>
      </w:r>
    </w:p>
    <w:p w:rsidR="00CB515E" w:rsidRDefault="005F186E">
      <w:pPr>
        <w:spacing w:line="360" w:lineRule="auto"/>
        <w:ind w:firstLineChars="200" w:firstLine="482"/>
        <w:rPr>
          <w:b/>
          <w:color w:val="000000"/>
          <w:sz w:val="24"/>
        </w:rPr>
      </w:pPr>
      <w:r>
        <w:rPr>
          <w:rFonts w:hint="eastAsia"/>
          <w:b/>
          <w:color w:val="000000"/>
          <w:sz w:val="24"/>
        </w:rPr>
        <w:t>一、基金类型、运作方式和存续期间</w:t>
      </w:r>
    </w:p>
    <w:p w:rsidR="00CB515E" w:rsidRDefault="005F186E">
      <w:pPr>
        <w:spacing w:line="360" w:lineRule="auto"/>
        <w:ind w:firstLineChars="200" w:firstLine="480"/>
        <w:rPr>
          <w:color w:val="000000"/>
          <w:sz w:val="24"/>
        </w:rPr>
      </w:pPr>
      <w:r>
        <w:rPr>
          <w:rFonts w:hint="eastAsia"/>
          <w:color w:val="000000"/>
          <w:sz w:val="24"/>
        </w:rPr>
        <w:t>基金类型：债券型发起式证券投资基金</w:t>
      </w:r>
    </w:p>
    <w:p w:rsidR="00CB515E" w:rsidRDefault="005F186E">
      <w:pPr>
        <w:spacing w:line="360" w:lineRule="auto"/>
        <w:ind w:firstLineChars="200" w:firstLine="480"/>
        <w:rPr>
          <w:color w:val="000000"/>
          <w:sz w:val="24"/>
        </w:rPr>
      </w:pPr>
      <w:r>
        <w:rPr>
          <w:rFonts w:hint="eastAsia"/>
          <w:color w:val="000000"/>
          <w:sz w:val="24"/>
        </w:rPr>
        <w:t>基金运作方式：契约型、定期开放式</w:t>
      </w:r>
    </w:p>
    <w:p w:rsidR="00CB515E" w:rsidRDefault="005F186E">
      <w:pPr>
        <w:spacing w:line="360" w:lineRule="auto"/>
        <w:ind w:firstLineChars="200" w:firstLine="480"/>
        <w:rPr>
          <w:color w:val="000000"/>
          <w:sz w:val="24"/>
        </w:rPr>
      </w:pPr>
      <w:r>
        <w:rPr>
          <w:rFonts w:hint="eastAsia"/>
          <w:color w:val="000000"/>
          <w:sz w:val="24"/>
        </w:rPr>
        <w:t>本基金以封闭期和开放期滚动的方式运作。</w:t>
      </w:r>
    </w:p>
    <w:p w:rsidR="00CB515E" w:rsidRDefault="005F186E">
      <w:pPr>
        <w:spacing w:line="360" w:lineRule="auto"/>
        <w:ind w:firstLineChars="200" w:firstLine="480"/>
        <w:rPr>
          <w:color w:val="000000"/>
          <w:sz w:val="24"/>
        </w:rPr>
      </w:pPr>
      <w:r>
        <w:rPr>
          <w:rFonts w:hint="eastAsia"/>
          <w:color w:val="000000"/>
          <w:sz w:val="24"/>
        </w:rPr>
        <w:t>本基金的封闭期为自基金合同生效之日起（包括基金合同生效之日）或自每一开放期结束之日次日起（包括该日）</w:t>
      </w:r>
      <w:r>
        <w:rPr>
          <w:rFonts w:hint="eastAsia"/>
          <w:color w:val="000000"/>
          <w:sz w:val="24"/>
        </w:rPr>
        <w:t>3</w:t>
      </w:r>
      <w:r>
        <w:rPr>
          <w:rFonts w:hint="eastAsia"/>
          <w:color w:val="000000"/>
          <w:sz w:val="24"/>
        </w:rPr>
        <w:t>个月的期间。本基金的首个封闭期为自基金合同生效之日起（包括基金合同生效之日）</w:t>
      </w:r>
      <w:r>
        <w:rPr>
          <w:rFonts w:hint="eastAsia"/>
          <w:color w:val="000000"/>
          <w:sz w:val="24"/>
        </w:rPr>
        <w:t>3</w:t>
      </w:r>
      <w:r>
        <w:rPr>
          <w:rFonts w:hint="eastAsia"/>
          <w:color w:val="000000"/>
          <w:sz w:val="24"/>
        </w:rPr>
        <w:t>个月的期间，如果封闭期到期日的次日为非工作日的，封闭期相应顺延。首个封闭期结束之后第一个工作日起（包括该日）进入首个开放期，第二个封闭期为首个开放期结束之日次日起（包括该日）</w:t>
      </w:r>
      <w:r>
        <w:rPr>
          <w:rFonts w:hint="eastAsia"/>
          <w:color w:val="000000"/>
          <w:sz w:val="24"/>
        </w:rPr>
        <w:t>3</w:t>
      </w:r>
      <w:r>
        <w:rPr>
          <w:rFonts w:hint="eastAsia"/>
          <w:color w:val="000000"/>
          <w:sz w:val="24"/>
        </w:rPr>
        <w:t>个月的期间，如果封闭期到期日的次日为非工作日的，封闭期相应顺延，以此类推。本基金封闭期内不办理申购与赎回业务，也不上市交易。</w:t>
      </w:r>
    </w:p>
    <w:p w:rsidR="00CB515E" w:rsidRDefault="005F186E">
      <w:pPr>
        <w:spacing w:line="360" w:lineRule="auto"/>
        <w:ind w:firstLineChars="200" w:firstLine="480"/>
        <w:rPr>
          <w:color w:val="000000"/>
          <w:sz w:val="24"/>
        </w:rPr>
      </w:pPr>
      <w:r>
        <w:rPr>
          <w:rFonts w:hint="eastAsia"/>
          <w:color w:val="000000"/>
          <w:sz w:val="24"/>
        </w:rPr>
        <w:t>本基金自每个封闭期结束之后第一个工作日起（包括该日）进入开放期，期间可以办理申购与赎回业务。本基金每个开放期最短不少于</w:t>
      </w:r>
      <w:r>
        <w:rPr>
          <w:rFonts w:hint="eastAsia"/>
          <w:color w:val="000000"/>
          <w:sz w:val="24"/>
        </w:rPr>
        <w:t>5</w:t>
      </w:r>
      <w:r>
        <w:rPr>
          <w:rFonts w:hint="eastAsia"/>
          <w:color w:val="000000"/>
          <w:sz w:val="24"/>
        </w:rPr>
        <w:t>个工作日、最长不超过</w:t>
      </w:r>
      <w:r>
        <w:rPr>
          <w:rFonts w:hint="eastAsia"/>
          <w:color w:val="000000"/>
          <w:sz w:val="24"/>
        </w:rPr>
        <w:t>10</w:t>
      </w:r>
      <w:r>
        <w:rPr>
          <w:rFonts w:hint="eastAsia"/>
          <w:color w:val="000000"/>
          <w:sz w:val="24"/>
        </w:rPr>
        <w:t>个工作日，开放期的具体时间以基金管理人届时公告为准，且基金管理人最迟应于开放期前</w:t>
      </w:r>
      <w:r>
        <w:rPr>
          <w:rFonts w:hint="eastAsia"/>
          <w:color w:val="000000"/>
          <w:sz w:val="24"/>
        </w:rPr>
        <w:t>2</w:t>
      </w:r>
      <w:r>
        <w:rPr>
          <w:rFonts w:hint="eastAsia"/>
          <w:color w:val="000000"/>
          <w:sz w:val="24"/>
        </w:rPr>
        <w:t>日进行公告。</w:t>
      </w:r>
    </w:p>
    <w:p w:rsidR="00CB515E" w:rsidRDefault="005F186E">
      <w:pPr>
        <w:spacing w:line="360" w:lineRule="auto"/>
        <w:ind w:firstLineChars="200" w:firstLine="480"/>
        <w:rPr>
          <w:color w:val="000000"/>
          <w:sz w:val="24"/>
        </w:rPr>
      </w:pPr>
      <w:r>
        <w:rPr>
          <w:rFonts w:hint="eastAsia"/>
          <w:color w:val="000000"/>
          <w:sz w:val="24"/>
        </w:rPr>
        <w:t>若由于不可抗力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在此情形下，开放期以管理人届时公告（如有）为准。</w:t>
      </w:r>
    </w:p>
    <w:p w:rsidR="00CB515E" w:rsidRDefault="005F186E" w:rsidP="005B3A87">
      <w:pPr>
        <w:spacing w:beforeLines="50" w:afterLines="50" w:line="360" w:lineRule="auto"/>
        <w:ind w:firstLineChars="200" w:firstLine="480"/>
        <w:rPr>
          <w:color w:val="000000"/>
          <w:sz w:val="24"/>
        </w:rPr>
      </w:pPr>
      <w:r>
        <w:rPr>
          <w:rFonts w:hint="eastAsia"/>
          <w:color w:val="000000"/>
          <w:sz w:val="24"/>
        </w:rPr>
        <w:t>存续期限：不定期</w:t>
      </w:r>
    </w:p>
    <w:p w:rsidR="00CB515E" w:rsidRDefault="005F186E" w:rsidP="005B3A87">
      <w:pPr>
        <w:spacing w:beforeLines="50" w:afterLines="50" w:line="360" w:lineRule="auto"/>
        <w:ind w:firstLineChars="200" w:firstLine="482"/>
        <w:rPr>
          <w:b/>
          <w:color w:val="000000"/>
          <w:sz w:val="24"/>
        </w:rPr>
      </w:pPr>
      <w:r>
        <w:rPr>
          <w:rFonts w:hint="eastAsia"/>
          <w:b/>
          <w:color w:val="000000"/>
          <w:sz w:val="24"/>
        </w:rPr>
        <w:t>二、募集方式</w:t>
      </w:r>
    </w:p>
    <w:p w:rsidR="00CB515E" w:rsidRDefault="005F186E">
      <w:pPr>
        <w:spacing w:line="360" w:lineRule="auto"/>
        <w:ind w:firstLineChars="200" w:firstLine="480"/>
        <w:rPr>
          <w:color w:val="000000"/>
          <w:sz w:val="24"/>
        </w:rPr>
      </w:pPr>
      <w:r>
        <w:rPr>
          <w:rFonts w:hint="eastAsia"/>
          <w:color w:val="000000"/>
          <w:sz w:val="24"/>
        </w:rPr>
        <w:t>本基金通过各销售机构的基金销售网点公开发售，各销售机构的具体名单见基金份额发售公告以及基金管理人届时发布的调整销售机构的相关公告。</w:t>
      </w:r>
    </w:p>
    <w:p w:rsidR="00CB515E" w:rsidRDefault="005F186E">
      <w:pPr>
        <w:spacing w:line="360" w:lineRule="auto"/>
        <w:ind w:firstLineChars="200" w:firstLine="482"/>
        <w:rPr>
          <w:b/>
          <w:color w:val="000000"/>
          <w:sz w:val="24"/>
        </w:rPr>
      </w:pPr>
      <w:r>
        <w:rPr>
          <w:rFonts w:hint="eastAsia"/>
          <w:b/>
          <w:color w:val="000000"/>
          <w:sz w:val="24"/>
        </w:rPr>
        <w:t>三、募集期限</w:t>
      </w:r>
    </w:p>
    <w:p w:rsidR="00CB515E" w:rsidRDefault="005F186E">
      <w:pPr>
        <w:spacing w:line="360" w:lineRule="auto"/>
        <w:ind w:firstLineChars="200" w:firstLine="480"/>
        <w:rPr>
          <w:color w:val="000000"/>
          <w:sz w:val="24"/>
        </w:rPr>
      </w:pPr>
      <w:r>
        <w:rPr>
          <w:rFonts w:hint="eastAsia"/>
          <w:color w:val="000000"/>
          <w:sz w:val="24"/>
        </w:rPr>
        <w:t>本基金的募集期限自基金份额发售之日起不超过</w:t>
      </w:r>
      <w:r>
        <w:rPr>
          <w:color w:val="000000"/>
          <w:sz w:val="24"/>
        </w:rPr>
        <w:t>3</w:t>
      </w:r>
      <w:r>
        <w:rPr>
          <w:rFonts w:hint="eastAsia"/>
          <w:color w:val="000000"/>
          <w:sz w:val="24"/>
        </w:rPr>
        <w:t>个月，具体发售时间见基金份额发售公告。</w:t>
      </w:r>
    </w:p>
    <w:p w:rsidR="00CB515E" w:rsidRDefault="005F186E">
      <w:pPr>
        <w:spacing w:line="360" w:lineRule="auto"/>
        <w:ind w:firstLineChars="200" w:firstLine="480"/>
        <w:rPr>
          <w:color w:val="000000"/>
          <w:sz w:val="24"/>
        </w:rPr>
      </w:pPr>
      <w:r>
        <w:rPr>
          <w:rFonts w:hint="eastAsia"/>
          <w:color w:val="000000"/>
          <w:sz w:val="24"/>
        </w:rPr>
        <w:t>具体募集方案以基金份额发售公告为准，请投资者就发售和认购事宜仔细阅读本基金的份额发售公告。</w:t>
      </w:r>
    </w:p>
    <w:p w:rsidR="00CB515E" w:rsidRDefault="005F186E">
      <w:pPr>
        <w:spacing w:line="360" w:lineRule="auto"/>
        <w:ind w:firstLineChars="200" w:firstLine="482"/>
        <w:rPr>
          <w:b/>
          <w:color w:val="000000"/>
          <w:sz w:val="24"/>
        </w:rPr>
      </w:pPr>
      <w:r>
        <w:rPr>
          <w:rFonts w:hint="eastAsia"/>
          <w:b/>
          <w:color w:val="000000"/>
          <w:sz w:val="24"/>
        </w:rPr>
        <w:t>四、募集对象</w:t>
      </w:r>
    </w:p>
    <w:p w:rsidR="00CB515E" w:rsidRDefault="005F186E">
      <w:pPr>
        <w:spacing w:line="360" w:lineRule="auto"/>
        <w:ind w:firstLineChars="200" w:firstLine="480"/>
        <w:rPr>
          <w:color w:val="000000"/>
          <w:sz w:val="24"/>
        </w:rPr>
      </w:pPr>
      <w:r>
        <w:rPr>
          <w:rFonts w:hint="eastAsia"/>
          <w:color w:val="000000"/>
          <w:sz w:val="24"/>
        </w:rPr>
        <w:t>符合法律法规规定的可投资于证券投资基金的机构投资者、合格境外机构投资者和人民币合格境外机构投资者以及法律法规或中国证监会允许购买证券投资基金的其他投资者。</w:t>
      </w:r>
    </w:p>
    <w:p w:rsidR="00CB515E" w:rsidRDefault="005F186E">
      <w:pPr>
        <w:spacing w:line="360" w:lineRule="auto"/>
        <w:ind w:firstLineChars="200" w:firstLine="482"/>
        <w:rPr>
          <w:b/>
          <w:color w:val="000000"/>
          <w:sz w:val="24"/>
        </w:rPr>
      </w:pPr>
      <w:r>
        <w:rPr>
          <w:rFonts w:hint="eastAsia"/>
          <w:b/>
          <w:color w:val="000000"/>
          <w:sz w:val="24"/>
        </w:rPr>
        <w:t>五、基金份额初始面值</w:t>
      </w:r>
    </w:p>
    <w:p w:rsidR="00CB515E" w:rsidRDefault="005F186E">
      <w:pPr>
        <w:spacing w:line="360" w:lineRule="auto"/>
        <w:ind w:firstLineChars="200" w:firstLine="480"/>
        <w:rPr>
          <w:color w:val="000000"/>
          <w:sz w:val="24"/>
        </w:rPr>
      </w:pPr>
      <w:r>
        <w:rPr>
          <w:rFonts w:hint="eastAsia"/>
          <w:color w:val="000000"/>
          <w:sz w:val="24"/>
        </w:rPr>
        <w:t>本基金基金份额初始面值为人民币</w:t>
      </w:r>
      <w:r>
        <w:rPr>
          <w:color w:val="000000"/>
          <w:sz w:val="24"/>
        </w:rPr>
        <w:t>1.00</w:t>
      </w:r>
      <w:r>
        <w:rPr>
          <w:rFonts w:hint="eastAsia"/>
          <w:color w:val="000000"/>
          <w:sz w:val="24"/>
        </w:rPr>
        <w:t>元，按初始面值发售。</w:t>
      </w:r>
    </w:p>
    <w:p w:rsidR="00CB515E" w:rsidRDefault="005F186E">
      <w:pPr>
        <w:spacing w:line="360" w:lineRule="auto"/>
        <w:ind w:firstLineChars="200" w:firstLine="482"/>
        <w:rPr>
          <w:b/>
          <w:color w:val="000000"/>
          <w:sz w:val="24"/>
        </w:rPr>
      </w:pPr>
      <w:r>
        <w:rPr>
          <w:rFonts w:hint="eastAsia"/>
          <w:b/>
          <w:color w:val="000000"/>
          <w:sz w:val="24"/>
        </w:rPr>
        <w:t>六、发起资金的认购金额下限、持有期限下限</w:t>
      </w:r>
    </w:p>
    <w:p w:rsidR="00CB515E" w:rsidRDefault="005F186E">
      <w:pPr>
        <w:spacing w:line="360" w:lineRule="auto"/>
        <w:ind w:firstLineChars="200" w:firstLine="480"/>
        <w:rPr>
          <w:color w:val="000000"/>
          <w:sz w:val="24"/>
        </w:rPr>
      </w:pPr>
      <w:r>
        <w:rPr>
          <w:rFonts w:hint="eastAsia"/>
          <w:color w:val="000000"/>
          <w:sz w:val="24"/>
        </w:rPr>
        <w:t>认购本基金的发起资金金额不少于</w:t>
      </w:r>
      <w:r>
        <w:rPr>
          <w:rFonts w:hint="eastAsia"/>
          <w:color w:val="000000"/>
          <w:sz w:val="24"/>
        </w:rPr>
        <w:t>1000</w:t>
      </w:r>
      <w:r>
        <w:rPr>
          <w:rFonts w:hint="eastAsia"/>
          <w:color w:val="000000"/>
          <w:sz w:val="24"/>
        </w:rPr>
        <w:t>万元，且发起资金认购的基金份额持有期限不少于</w:t>
      </w:r>
      <w:r>
        <w:rPr>
          <w:rFonts w:hint="eastAsia"/>
          <w:color w:val="000000"/>
          <w:sz w:val="24"/>
        </w:rPr>
        <w:t xml:space="preserve">3 </w:t>
      </w:r>
      <w:r>
        <w:rPr>
          <w:rFonts w:hint="eastAsia"/>
          <w:color w:val="000000"/>
          <w:sz w:val="24"/>
        </w:rPr>
        <w:t>年，法律法规或中国证监会另有规定的除外。</w:t>
      </w:r>
    </w:p>
    <w:p w:rsidR="00CB515E" w:rsidRDefault="005F186E">
      <w:pPr>
        <w:spacing w:line="360" w:lineRule="auto"/>
        <w:ind w:firstLineChars="200" w:firstLine="480"/>
        <w:rPr>
          <w:color w:val="000000"/>
          <w:sz w:val="24"/>
        </w:rPr>
      </w:pPr>
      <w:r>
        <w:rPr>
          <w:rFonts w:hint="eastAsia"/>
          <w:color w:val="000000"/>
          <w:sz w:val="24"/>
        </w:rPr>
        <w:t>本基金发起资金的认购情况见基金管理人届时发布的公告。</w:t>
      </w:r>
    </w:p>
    <w:p w:rsidR="00CB515E" w:rsidRDefault="005F186E">
      <w:pPr>
        <w:spacing w:line="360" w:lineRule="auto"/>
        <w:ind w:firstLineChars="200" w:firstLine="482"/>
        <w:rPr>
          <w:b/>
          <w:color w:val="000000"/>
          <w:sz w:val="24"/>
        </w:rPr>
      </w:pPr>
      <w:r>
        <w:rPr>
          <w:rFonts w:hint="eastAsia"/>
          <w:b/>
          <w:color w:val="000000"/>
          <w:sz w:val="24"/>
        </w:rPr>
        <w:t>七、认购安排</w:t>
      </w:r>
    </w:p>
    <w:p w:rsidR="00CB515E" w:rsidRDefault="005F186E">
      <w:pPr>
        <w:spacing w:line="360" w:lineRule="auto"/>
        <w:ind w:firstLineChars="200" w:firstLine="480"/>
        <w:rPr>
          <w:color w:val="000000"/>
          <w:sz w:val="24"/>
        </w:rPr>
      </w:pPr>
      <w:r>
        <w:rPr>
          <w:color w:val="000000"/>
          <w:sz w:val="24"/>
        </w:rPr>
        <w:t>1</w:t>
      </w:r>
      <w:r>
        <w:rPr>
          <w:rFonts w:hint="eastAsia"/>
          <w:color w:val="000000"/>
          <w:sz w:val="24"/>
        </w:rPr>
        <w:t>、认购时间</w:t>
      </w:r>
    </w:p>
    <w:p w:rsidR="00CB515E" w:rsidRDefault="005F186E">
      <w:pPr>
        <w:spacing w:line="360" w:lineRule="auto"/>
        <w:ind w:firstLineChars="200" w:firstLine="480"/>
        <w:rPr>
          <w:color w:val="000000"/>
          <w:sz w:val="24"/>
        </w:rPr>
      </w:pPr>
      <w:r>
        <w:rPr>
          <w:rFonts w:hint="eastAsia"/>
          <w:color w:val="000000"/>
          <w:sz w:val="24"/>
        </w:rPr>
        <w:t>本基金向机构投资者和合格境外机构投资者以及法律法规或中国证监会允许购买证券投资基金的其他投资人同时发售，具体发售时间由基金管理人根据相关法律法规及本基金基金合同，在基金份额发售公告中确定并披露。</w:t>
      </w:r>
    </w:p>
    <w:p w:rsidR="00CB515E" w:rsidRDefault="005F186E">
      <w:pPr>
        <w:spacing w:line="360" w:lineRule="auto"/>
        <w:ind w:firstLineChars="200" w:firstLine="480"/>
        <w:rPr>
          <w:color w:val="000000"/>
          <w:sz w:val="24"/>
        </w:rPr>
      </w:pPr>
      <w:r>
        <w:rPr>
          <w:color w:val="000000"/>
          <w:sz w:val="24"/>
        </w:rPr>
        <w:t>2</w:t>
      </w:r>
      <w:r>
        <w:rPr>
          <w:rFonts w:hint="eastAsia"/>
          <w:color w:val="000000"/>
          <w:sz w:val="24"/>
        </w:rPr>
        <w:t>、认购程序</w:t>
      </w:r>
    </w:p>
    <w:p w:rsidR="00CB515E" w:rsidRDefault="005F186E">
      <w:pPr>
        <w:spacing w:line="360" w:lineRule="auto"/>
        <w:ind w:firstLineChars="200" w:firstLine="480"/>
        <w:rPr>
          <w:color w:val="000000"/>
          <w:sz w:val="24"/>
        </w:rPr>
      </w:pPr>
      <w:r>
        <w:rPr>
          <w:rFonts w:hint="eastAsia"/>
          <w:color w:val="000000"/>
          <w:sz w:val="24"/>
        </w:rPr>
        <w:t>详见基金份额发售公告。</w:t>
      </w:r>
    </w:p>
    <w:p w:rsidR="00CB515E" w:rsidRDefault="005F186E">
      <w:pPr>
        <w:spacing w:line="360" w:lineRule="auto"/>
        <w:ind w:firstLineChars="200" w:firstLine="480"/>
        <w:rPr>
          <w:color w:val="000000"/>
          <w:sz w:val="24"/>
        </w:rPr>
      </w:pPr>
      <w:r>
        <w:rPr>
          <w:color w:val="000000"/>
          <w:sz w:val="24"/>
        </w:rPr>
        <w:t>3</w:t>
      </w:r>
      <w:r>
        <w:rPr>
          <w:rFonts w:hint="eastAsia"/>
          <w:color w:val="000000"/>
          <w:sz w:val="24"/>
        </w:rPr>
        <w:t>、认购方式及确认</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）本基金认购以金额申请。</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）本基金采取全额缴款认购的方式。投资人认购基金份额时，需按销售机构规定的方式全额交付认购款项。</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）基金销售机构对认购申请的受理并不代表该申请一定成功，而仅代表销售机构确实接收到认购申请，申请是否有效应以登记机构的确认结果为准。对于</w:t>
      </w:r>
      <w:r>
        <w:rPr>
          <w:color w:val="000000"/>
          <w:sz w:val="24"/>
        </w:rPr>
        <w:t>T</w:t>
      </w:r>
      <w:r>
        <w:rPr>
          <w:rFonts w:hint="eastAsia"/>
          <w:color w:val="000000"/>
          <w:sz w:val="24"/>
        </w:rPr>
        <w:t>日交易时间内受理的认购申请，登记机构将在</w:t>
      </w:r>
      <w:r>
        <w:rPr>
          <w:color w:val="000000"/>
          <w:sz w:val="24"/>
        </w:rPr>
        <w:t>T+1</w:t>
      </w:r>
      <w:r>
        <w:rPr>
          <w:rFonts w:hint="eastAsia"/>
          <w:color w:val="000000"/>
          <w:sz w:val="24"/>
        </w:rPr>
        <w:t>日内就申请的有效性进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）投资人在募集期内可以多次认购，但认购申请一经登记机构有效性确认，不得撤销。认购费按每笔认购申请单独计算。</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）若认购申请被确认为无效，基金管理人应当将投资人已支付的认购金额本金退还投资人。</w:t>
      </w:r>
    </w:p>
    <w:p w:rsidR="00CB515E" w:rsidRDefault="005F186E">
      <w:pPr>
        <w:spacing w:line="360" w:lineRule="auto"/>
        <w:ind w:firstLineChars="200" w:firstLine="480"/>
        <w:rPr>
          <w:color w:val="000000"/>
          <w:sz w:val="24"/>
        </w:rPr>
      </w:pPr>
      <w:r>
        <w:rPr>
          <w:color w:val="000000"/>
          <w:sz w:val="24"/>
        </w:rPr>
        <w:t>4</w:t>
      </w:r>
      <w:r>
        <w:rPr>
          <w:rFonts w:hint="eastAsia"/>
          <w:color w:val="000000"/>
          <w:sz w:val="24"/>
        </w:rPr>
        <w:t>、基金份额认购金额的限制</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）本基金对单一投资人在认购期间累计认购金额不设上限。</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）认购最低限额：在基金募集期内，投资者通过直销机构认购单笔最低限额为人民币</w:t>
      </w:r>
      <w:r>
        <w:rPr>
          <w:color w:val="000000"/>
          <w:sz w:val="24"/>
        </w:rPr>
        <w:t>1,000,000</w:t>
      </w:r>
      <w:r>
        <w:rPr>
          <w:rFonts w:hint="eastAsia"/>
          <w:color w:val="000000"/>
          <w:sz w:val="24"/>
        </w:rPr>
        <w:t>元（含认购费）</w:t>
      </w:r>
      <w:r>
        <w:rPr>
          <w:color w:val="000000"/>
          <w:sz w:val="24"/>
        </w:rPr>
        <w:t>,</w:t>
      </w:r>
      <w:r>
        <w:rPr>
          <w:rFonts w:hint="eastAsia"/>
          <w:color w:val="000000"/>
          <w:sz w:val="24"/>
        </w:rPr>
        <w:t>追加认购最低金额为人民币</w:t>
      </w:r>
      <w:r>
        <w:rPr>
          <w:color w:val="000000"/>
          <w:sz w:val="24"/>
        </w:rPr>
        <w:t>100,000</w:t>
      </w:r>
      <w:r>
        <w:rPr>
          <w:rFonts w:hint="eastAsia"/>
          <w:color w:val="000000"/>
          <w:sz w:val="24"/>
        </w:rPr>
        <w:t>元（含认购费）。各代销机构对最低认购限额及交易级差有其他规定的，以各代销机构的业务规定为准。</w:t>
      </w:r>
    </w:p>
    <w:p w:rsidR="00CB515E" w:rsidRDefault="005F186E">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）基金管理人可根据市场情况，在法律法规允许的情况下，调整上述对认购的金额限制，基金管理人必须在调整实施前依照《信息披露办法》的有关规定在指定媒介公告并报中国证监会备案。</w:t>
      </w:r>
    </w:p>
    <w:p w:rsidR="00CB515E" w:rsidRDefault="005F186E">
      <w:pPr>
        <w:spacing w:line="360" w:lineRule="auto"/>
        <w:ind w:firstLineChars="200" w:firstLine="482"/>
        <w:rPr>
          <w:b/>
          <w:color w:val="000000"/>
          <w:sz w:val="24"/>
        </w:rPr>
      </w:pPr>
      <w:r>
        <w:rPr>
          <w:rFonts w:hint="eastAsia"/>
          <w:b/>
          <w:color w:val="000000"/>
          <w:sz w:val="24"/>
        </w:rPr>
        <w:t>八、基金份额认购价格及认购费用</w:t>
      </w:r>
    </w:p>
    <w:p w:rsidR="00CB515E" w:rsidRDefault="005F186E">
      <w:pPr>
        <w:spacing w:line="360" w:lineRule="auto"/>
        <w:ind w:firstLineChars="200" w:firstLine="480"/>
        <w:rPr>
          <w:color w:val="000000"/>
          <w:sz w:val="24"/>
        </w:rPr>
      </w:pPr>
      <w:r>
        <w:rPr>
          <w:color w:val="000000"/>
          <w:sz w:val="24"/>
        </w:rPr>
        <w:t>本基金认购费率见下表：</w:t>
      </w:r>
    </w:p>
    <w:p w:rsidR="00CB515E" w:rsidRDefault="00CB515E">
      <w:pPr>
        <w:spacing w:line="360" w:lineRule="auto"/>
        <w:ind w:firstLineChars="200" w:firstLine="480"/>
        <w:rPr>
          <w:color w:val="000000"/>
          <w:sz w:val="24"/>
        </w:rPr>
      </w:pPr>
    </w:p>
    <w:tbl>
      <w:tblPr>
        <w:tblpPr w:leftFromText="180" w:rightFromText="180" w:vertAnchor="text" w:horzAnchor="margin" w:tblpY="-19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2"/>
        <w:gridCol w:w="4430"/>
      </w:tblGrid>
      <w:tr w:rsidR="00CB515E">
        <w:trPr>
          <w:trHeight w:val="190"/>
        </w:trPr>
        <w:tc>
          <w:tcPr>
            <w:tcW w:w="4092" w:type="dxa"/>
          </w:tcPr>
          <w:p w:rsidR="00CB515E" w:rsidRDefault="005F186E">
            <w:pPr>
              <w:spacing w:line="360" w:lineRule="auto"/>
              <w:ind w:firstLineChars="200" w:firstLine="480"/>
              <w:rPr>
                <w:color w:val="000000"/>
                <w:sz w:val="24"/>
              </w:rPr>
            </w:pPr>
            <w:r>
              <w:rPr>
                <w:rFonts w:hint="eastAsia"/>
                <w:color w:val="000000"/>
                <w:sz w:val="24"/>
              </w:rPr>
              <w:t>认购</w:t>
            </w:r>
            <w:r>
              <w:rPr>
                <w:color w:val="000000"/>
                <w:sz w:val="24"/>
              </w:rPr>
              <w:t>金额（</w:t>
            </w:r>
            <w:r>
              <w:rPr>
                <w:color w:val="000000"/>
                <w:sz w:val="24"/>
              </w:rPr>
              <w:t>M</w:t>
            </w:r>
            <w:r>
              <w:rPr>
                <w:color w:val="000000"/>
                <w:sz w:val="24"/>
              </w:rPr>
              <w:t>）</w:t>
            </w:r>
          </w:p>
        </w:tc>
        <w:tc>
          <w:tcPr>
            <w:tcW w:w="4430" w:type="dxa"/>
          </w:tcPr>
          <w:p w:rsidR="00CB515E" w:rsidRDefault="005F186E">
            <w:pPr>
              <w:spacing w:line="360" w:lineRule="auto"/>
              <w:ind w:firstLineChars="200" w:firstLine="480"/>
              <w:rPr>
                <w:color w:val="000000"/>
                <w:sz w:val="24"/>
              </w:rPr>
            </w:pPr>
            <w:r>
              <w:rPr>
                <w:color w:val="000000"/>
                <w:sz w:val="24"/>
              </w:rPr>
              <w:t>认购费率</w:t>
            </w:r>
          </w:p>
        </w:tc>
      </w:tr>
      <w:tr w:rsidR="00CB515E">
        <w:trPr>
          <w:trHeight w:val="190"/>
        </w:trPr>
        <w:tc>
          <w:tcPr>
            <w:tcW w:w="4092" w:type="dxa"/>
          </w:tcPr>
          <w:p w:rsidR="00CB515E" w:rsidRDefault="005F186E">
            <w:pPr>
              <w:spacing w:line="360" w:lineRule="auto"/>
              <w:ind w:firstLineChars="200" w:firstLine="480"/>
              <w:rPr>
                <w:color w:val="000000"/>
                <w:sz w:val="24"/>
              </w:rPr>
            </w:pPr>
            <w:r>
              <w:rPr>
                <w:color w:val="000000"/>
                <w:sz w:val="24"/>
              </w:rPr>
              <w:t>M</w:t>
            </w:r>
            <w:r>
              <w:rPr>
                <w:color w:val="000000"/>
                <w:sz w:val="24"/>
              </w:rPr>
              <w:t>＜</w:t>
            </w:r>
            <w:r>
              <w:rPr>
                <w:color w:val="000000"/>
                <w:sz w:val="24"/>
              </w:rPr>
              <w:t>100</w:t>
            </w:r>
            <w:r>
              <w:rPr>
                <w:color w:val="000000"/>
                <w:sz w:val="24"/>
              </w:rPr>
              <w:t>万</w:t>
            </w:r>
          </w:p>
        </w:tc>
        <w:tc>
          <w:tcPr>
            <w:tcW w:w="4430" w:type="dxa"/>
          </w:tcPr>
          <w:p w:rsidR="00CB515E" w:rsidRDefault="005F186E">
            <w:pPr>
              <w:spacing w:line="360" w:lineRule="auto"/>
              <w:ind w:firstLineChars="200" w:firstLine="480"/>
              <w:rPr>
                <w:color w:val="000000"/>
                <w:sz w:val="24"/>
              </w:rPr>
            </w:pPr>
            <w:r>
              <w:rPr>
                <w:color w:val="000000"/>
                <w:sz w:val="24"/>
              </w:rPr>
              <w:t>0.</w:t>
            </w:r>
            <w:r>
              <w:rPr>
                <w:rFonts w:hint="eastAsia"/>
                <w:color w:val="000000"/>
                <w:sz w:val="24"/>
              </w:rPr>
              <w:t>6</w:t>
            </w:r>
            <w:r>
              <w:rPr>
                <w:color w:val="000000"/>
                <w:sz w:val="24"/>
              </w:rPr>
              <w:t>0%</w:t>
            </w:r>
          </w:p>
        </w:tc>
      </w:tr>
      <w:tr w:rsidR="00CB515E">
        <w:trPr>
          <w:trHeight w:val="190"/>
        </w:trPr>
        <w:tc>
          <w:tcPr>
            <w:tcW w:w="4092" w:type="dxa"/>
          </w:tcPr>
          <w:p w:rsidR="00CB515E" w:rsidRDefault="005F186E">
            <w:pPr>
              <w:spacing w:line="360" w:lineRule="auto"/>
              <w:ind w:firstLineChars="200" w:firstLine="480"/>
              <w:rPr>
                <w:color w:val="000000"/>
                <w:sz w:val="24"/>
              </w:rPr>
            </w:pPr>
            <w:r>
              <w:rPr>
                <w:color w:val="000000"/>
                <w:sz w:val="24"/>
              </w:rPr>
              <w:t>100</w:t>
            </w:r>
            <w:r>
              <w:rPr>
                <w:color w:val="000000"/>
                <w:sz w:val="24"/>
              </w:rPr>
              <w:t>万</w:t>
            </w:r>
            <w:r>
              <w:rPr>
                <w:rFonts w:ascii="宋体" w:hAnsi="宋体" w:hint="eastAsia"/>
                <w:color w:val="000000"/>
                <w:sz w:val="24"/>
              </w:rPr>
              <w:t>≤</w:t>
            </w:r>
            <w:r>
              <w:rPr>
                <w:color w:val="000000"/>
                <w:sz w:val="24"/>
              </w:rPr>
              <w:t>M</w:t>
            </w:r>
            <w:r>
              <w:rPr>
                <w:color w:val="000000"/>
                <w:sz w:val="24"/>
              </w:rPr>
              <w:t>＜</w:t>
            </w:r>
            <w:r>
              <w:rPr>
                <w:color w:val="000000"/>
                <w:sz w:val="24"/>
              </w:rPr>
              <w:t>300</w:t>
            </w:r>
            <w:r>
              <w:rPr>
                <w:color w:val="000000"/>
                <w:sz w:val="24"/>
              </w:rPr>
              <w:t>万</w:t>
            </w:r>
          </w:p>
        </w:tc>
        <w:tc>
          <w:tcPr>
            <w:tcW w:w="4430" w:type="dxa"/>
          </w:tcPr>
          <w:p w:rsidR="00CB515E" w:rsidRDefault="005F186E">
            <w:pPr>
              <w:spacing w:line="360" w:lineRule="auto"/>
              <w:ind w:firstLineChars="200" w:firstLine="480"/>
              <w:rPr>
                <w:color w:val="000000"/>
                <w:sz w:val="24"/>
              </w:rPr>
            </w:pPr>
            <w:r>
              <w:rPr>
                <w:color w:val="000000"/>
                <w:sz w:val="24"/>
              </w:rPr>
              <w:t>0.</w:t>
            </w:r>
            <w:r>
              <w:rPr>
                <w:rFonts w:hint="eastAsia"/>
                <w:color w:val="000000"/>
                <w:sz w:val="24"/>
              </w:rPr>
              <w:t>4</w:t>
            </w:r>
            <w:r>
              <w:rPr>
                <w:color w:val="000000"/>
                <w:sz w:val="24"/>
              </w:rPr>
              <w:t>0%</w:t>
            </w:r>
          </w:p>
        </w:tc>
      </w:tr>
      <w:tr w:rsidR="00CB515E">
        <w:trPr>
          <w:trHeight w:val="190"/>
        </w:trPr>
        <w:tc>
          <w:tcPr>
            <w:tcW w:w="4092" w:type="dxa"/>
          </w:tcPr>
          <w:p w:rsidR="00CB515E" w:rsidRDefault="005F186E">
            <w:pPr>
              <w:spacing w:line="360" w:lineRule="auto"/>
              <w:ind w:firstLineChars="200" w:firstLine="480"/>
              <w:rPr>
                <w:color w:val="000000"/>
                <w:sz w:val="24"/>
              </w:rPr>
            </w:pPr>
            <w:r>
              <w:rPr>
                <w:color w:val="000000"/>
                <w:sz w:val="24"/>
              </w:rPr>
              <w:t>300</w:t>
            </w:r>
            <w:r>
              <w:rPr>
                <w:color w:val="000000"/>
                <w:sz w:val="24"/>
              </w:rPr>
              <w:t>万</w:t>
            </w:r>
            <w:r>
              <w:rPr>
                <w:rFonts w:ascii="宋体" w:hAnsi="宋体" w:hint="eastAsia"/>
                <w:color w:val="000000"/>
                <w:sz w:val="24"/>
              </w:rPr>
              <w:t>≤</w:t>
            </w:r>
            <w:r>
              <w:rPr>
                <w:color w:val="000000"/>
                <w:sz w:val="24"/>
              </w:rPr>
              <w:t>M</w:t>
            </w:r>
            <w:r>
              <w:rPr>
                <w:color w:val="000000"/>
                <w:sz w:val="24"/>
              </w:rPr>
              <w:t>＜</w:t>
            </w:r>
            <w:r>
              <w:rPr>
                <w:color w:val="000000"/>
                <w:sz w:val="24"/>
              </w:rPr>
              <w:t>500</w:t>
            </w:r>
            <w:r>
              <w:rPr>
                <w:color w:val="000000"/>
                <w:sz w:val="24"/>
              </w:rPr>
              <w:t>万</w:t>
            </w:r>
          </w:p>
        </w:tc>
        <w:tc>
          <w:tcPr>
            <w:tcW w:w="4430" w:type="dxa"/>
          </w:tcPr>
          <w:p w:rsidR="00CB515E" w:rsidRDefault="005F186E">
            <w:pPr>
              <w:spacing w:line="360" w:lineRule="auto"/>
              <w:ind w:firstLineChars="200" w:firstLine="480"/>
              <w:rPr>
                <w:color w:val="000000"/>
                <w:sz w:val="24"/>
              </w:rPr>
            </w:pPr>
            <w:r>
              <w:rPr>
                <w:color w:val="000000"/>
                <w:sz w:val="24"/>
              </w:rPr>
              <w:t>0.</w:t>
            </w:r>
            <w:r>
              <w:rPr>
                <w:rFonts w:hint="eastAsia"/>
                <w:color w:val="000000"/>
                <w:sz w:val="24"/>
              </w:rPr>
              <w:t>2</w:t>
            </w:r>
            <w:r>
              <w:rPr>
                <w:color w:val="000000"/>
                <w:sz w:val="24"/>
              </w:rPr>
              <w:t>0%</w:t>
            </w:r>
          </w:p>
        </w:tc>
      </w:tr>
      <w:tr w:rsidR="00CB515E">
        <w:trPr>
          <w:trHeight w:val="190"/>
        </w:trPr>
        <w:tc>
          <w:tcPr>
            <w:tcW w:w="4092" w:type="dxa"/>
          </w:tcPr>
          <w:p w:rsidR="00CB515E" w:rsidRDefault="005F186E">
            <w:pPr>
              <w:spacing w:line="360" w:lineRule="auto"/>
              <w:ind w:firstLineChars="200" w:firstLine="480"/>
              <w:rPr>
                <w:color w:val="000000"/>
                <w:sz w:val="24"/>
              </w:rPr>
            </w:pPr>
            <w:r>
              <w:rPr>
                <w:color w:val="000000"/>
                <w:sz w:val="24"/>
              </w:rPr>
              <w:t>M</w:t>
            </w:r>
            <w:r>
              <w:rPr>
                <w:rFonts w:ascii="宋体" w:hAnsi="宋体" w:hint="eastAsia"/>
                <w:color w:val="000000"/>
                <w:sz w:val="24"/>
              </w:rPr>
              <w:t>≥</w:t>
            </w:r>
            <w:r>
              <w:rPr>
                <w:color w:val="000000"/>
                <w:sz w:val="24"/>
              </w:rPr>
              <w:t>500</w:t>
            </w:r>
            <w:r>
              <w:rPr>
                <w:color w:val="000000"/>
                <w:sz w:val="24"/>
              </w:rPr>
              <w:t>万</w:t>
            </w:r>
          </w:p>
        </w:tc>
        <w:tc>
          <w:tcPr>
            <w:tcW w:w="4430" w:type="dxa"/>
          </w:tcPr>
          <w:p w:rsidR="00CB515E" w:rsidRDefault="005F186E">
            <w:pPr>
              <w:spacing w:line="360" w:lineRule="auto"/>
              <w:ind w:firstLineChars="200" w:firstLine="480"/>
              <w:rPr>
                <w:color w:val="000000"/>
                <w:sz w:val="24"/>
              </w:rPr>
            </w:pPr>
            <w:r>
              <w:rPr>
                <w:color w:val="000000"/>
                <w:sz w:val="24"/>
              </w:rPr>
              <w:t>按笔收取，</w:t>
            </w:r>
            <w:r>
              <w:rPr>
                <w:color w:val="000000"/>
                <w:sz w:val="24"/>
              </w:rPr>
              <w:t>1000</w:t>
            </w:r>
            <w:r>
              <w:rPr>
                <w:color w:val="000000"/>
                <w:sz w:val="24"/>
              </w:rPr>
              <w:t>元</w:t>
            </w:r>
            <w:r>
              <w:rPr>
                <w:rFonts w:hint="eastAsia"/>
                <w:color w:val="000000"/>
                <w:sz w:val="24"/>
              </w:rPr>
              <w:t>/</w:t>
            </w:r>
            <w:r>
              <w:rPr>
                <w:rFonts w:hint="eastAsia"/>
                <w:color w:val="000000"/>
                <w:sz w:val="24"/>
              </w:rPr>
              <w:t>笔</w:t>
            </w:r>
          </w:p>
        </w:tc>
      </w:tr>
    </w:tbl>
    <w:p w:rsidR="00CB515E" w:rsidRDefault="005F186E">
      <w:pPr>
        <w:spacing w:line="360" w:lineRule="auto"/>
        <w:ind w:firstLineChars="200" w:firstLine="480"/>
        <w:rPr>
          <w:color w:val="000000"/>
          <w:sz w:val="24"/>
        </w:rPr>
      </w:pPr>
      <w:r>
        <w:rPr>
          <w:color w:val="000000"/>
          <w:sz w:val="24"/>
        </w:rPr>
        <w:t>基金认购费用不列入基金财产，主要用于基金的市场推广、销售、注册登记等募集期间发生的各项费用。</w:t>
      </w:r>
    </w:p>
    <w:p w:rsidR="00CB515E" w:rsidRDefault="005F186E">
      <w:pPr>
        <w:spacing w:line="360" w:lineRule="auto"/>
        <w:ind w:firstLineChars="200" w:firstLine="480"/>
        <w:rPr>
          <w:color w:val="000000"/>
          <w:sz w:val="24"/>
        </w:rPr>
      </w:pPr>
      <w:r>
        <w:rPr>
          <w:rFonts w:hint="eastAsia"/>
          <w:color w:val="000000"/>
          <w:sz w:val="24"/>
        </w:rPr>
        <w:t>投资者重复认购时，需按单笔认购金额对应的费率分别计算认购费用。</w:t>
      </w:r>
    </w:p>
    <w:p w:rsidR="00CB515E" w:rsidRDefault="005F186E">
      <w:pPr>
        <w:spacing w:line="360" w:lineRule="auto"/>
        <w:ind w:firstLineChars="200" w:firstLine="482"/>
        <w:rPr>
          <w:b/>
          <w:color w:val="000000"/>
          <w:sz w:val="24"/>
        </w:rPr>
      </w:pPr>
      <w:r>
        <w:rPr>
          <w:rFonts w:hint="eastAsia"/>
          <w:b/>
          <w:color w:val="000000"/>
          <w:sz w:val="24"/>
        </w:rPr>
        <w:t>九</w:t>
      </w:r>
      <w:r>
        <w:rPr>
          <w:b/>
          <w:color w:val="000000"/>
          <w:sz w:val="24"/>
        </w:rPr>
        <w:t>、募集资金利息的处理方式</w:t>
      </w:r>
    </w:p>
    <w:p w:rsidR="00CB515E" w:rsidRDefault="005F186E">
      <w:pPr>
        <w:spacing w:line="360" w:lineRule="auto"/>
        <w:ind w:firstLineChars="200" w:firstLine="480"/>
        <w:rPr>
          <w:color w:val="000000"/>
          <w:sz w:val="24"/>
        </w:rPr>
      </w:pPr>
      <w:r>
        <w:rPr>
          <w:color w:val="000000"/>
          <w:sz w:val="24"/>
        </w:rPr>
        <w:t>有效认购款项在募集期间产生的利息在《基金合同》生效后将折算为基金份额归基金份额持有人所有，其中利息转份额的数额以基金登记机构的记录为准。</w:t>
      </w:r>
    </w:p>
    <w:p w:rsidR="00CB515E" w:rsidRDefault="005F186E">
      <w:pPr>
        <w:spacing w:line="360" w:lineRule="auto"/>
        <w:ind w:firstLineChars="200" w:firstLine="482"/>
        <w:rPr>
          <w:b/>
          <w:color w:val="000000"/>
          <w:sz w:val="24"/>
        </w:rPr>
      </w:pPr>
      <w:r>
        <w:rPr>
          <w:b/>
          <w:color w:val="000000"/>
          <w:sz w:val="24"/>
        </w:rPr>
        <w:t>十、基金认购份额的计算</w:t>
      </w:r>
    </w:p>
    <w:p w:rsidR="00CB515E" w:rsidRDefault="005F186E">
      <w:pPr>
        <w:spacing w:line="360" w:lineRule="auto"/>
        <w:ind w:firstLineChars="200" w:firstLine="480"/>
        <w:rPr>
          <w:color w:val="000000"/>
          <w:sz w:val="24"/>
        </w:rPr>
      </w:pPr>
      <w:r>
        <w:rPr>
          <w:color w:val="000000"/>
          <w:sz w:val="24"/>
        </w:rPr>
        <w:t>本基金认购采用金额认购方式，投资人认购时所交纳的认购金额包括认购费用和净认购金额。</w:t>
      </w:r>
    </w:p>
    <w:p w:rsidR="00CB515E" w:rsidRDefault="005F186E">
      <w:pPr>
        <w:spacing w:line="360" w:lineRule="auto"/>
        <w:ind w:firstLineChars="200" w:firstLine="480"/>
        <w:rPr>
          <w:color w:val="000000"/>
          <w:sz w:val="24"/>
        </w:rPr>
      </w:pPr>
      <w:r>
        <w:rPr>
          <w:color w:val="000000"/>
          <w:sz w:val="24"/>
        </w:rPr>
        <w:t>认购份额的计算方法如下：</w:t>
      </w:r>
    </w:p>
    <w:p w:rsidR="00CB515E" w:rsidRDefault="005F186E">
      <w:pPr>
        <w:spacing w:line="360" w:lineRule="auto"/>
        <w:ind w:firstLineChars="200" w:firstLine="480"/>
        <w:rPr>
          <w:color w:val="000000"/>
          <w:sz w:val="24"/>
        </w:rPr>
      </w:pPr>
      <w:r>
        <w:rPr>
          <w:color w:val="000000"/>
          <w:sz w:val="24"/>
        </w:rPr>
        <w:t>当认购费适用比例费率时：</w:t>
      </w:r>
    </w:p>
    <w:p w:rsidR="00CB515E" w:rsidRDefault="005F186E">
      <w:pPr>
        <w:spacing w:line="360" w:lineRule="auto"/>
        <w:ind w:firstLineChars="200" w:firstLine="480"/>
        <w:rPr>
          <w:color w:val="000000"/>
          <w:sz w:val="24"/>
        </w:rPr>
      </w:pPr>
      <w:r>
        <w:rPr>
          <w:color w:val="000000"/>
          <w:sz w:val="24"/>
        </w:rPr>
        <w:t>净认购金额＝认购金额</w:t>
      </w:r>
      <w:r>
        <w:rPr>
          <w:color w:val="000000"/>
          <w:sz w:val="24"/>
        </w:rPr>
        <w:t>/</w:t>
      </w:r>
      <w:r>
        <w:rPr>
          <w:color w:val="000000"/>
          <w:sz w:val="24"/>
        </w:rPr>
        <w:t>（</w:t>
      </w:r>
      <w:r>
        <w:rPr>
          <w:color w:val="000000"/>
          <w:sz w:val="24"/>
        </w:rPr>
        <w:t>1</w:t>
      </w:r>
      <w:r>
        <w:rPr>
          <w:color w:val="000000"/>
          <w:sz w:val="24"/>
        </w:rPr>
        <w:t>＋认购费率）</w:t>
      </w:r>
    </w:p>
    <w:p w:rsidR="00CB515E" w:rsidRDefault="005F186E">
      <w:pPr>
        <w:spacing w:line="360" w:lineRule="auto"/>
        <w:ind w:firstLineChars="200" w:firstLine="480"/>
        <w:rPr>
          <w:color w:val="000000"/>
          <w:sz w:val="24"/>
        </w:rPr>
      </w:pPr>
      <w:r>
        <w:rPr>
          <w:color w:val="000000"/>
          <w:sz w:val="24"/>
        </w:rPr>
        <w:t>认购费用＝认购金额－净认购金额</w:t>
      </w:r>
    </w:p>
    <w:p w:rsidR="00CB515E" w:rsidRDefault="005F186E">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CB515E" w:rsidRDefault="005F186E">
      <w:pPr>
        <w:spacing w:line="360" w:lineRule="auto"/>
        <w:ind w:firstLineChars="200" w:firstLine="480"/>
        <w:rPr>
          <w:color w:val="000000"/>
          <w:sz w:val="24"/>
        </w:rPr>
      </w:pPr>
      <w:r>
        <w:rPr>
          <w:color w:val="000000"/>
          <w:sz w:val="24"/>
        </w:rPr>
        <w:t>对于适用固定金额认购费的认购：</w:t>
      </w:r>
    </w:p>
    <w:p w:rsidR="00CB515E" w:rsidRDefault="005F186E">
      <w:pPr>
        <w:spacing w:line="360" w:lineRule="auto"/>
        <w:ind w:firstLineChars="200" w:firstLine="480"/>
        <w:rPr>
          <w:color w:val="000000"/>
          <w:sz w:val="24"/>
        </w:rPr>
      </w:pPr>
      <w:r>
        <w:rPr>
          <w:color w:val="000000"/>
          <w:sz w:val="24"/>
        </w:rPr>
        <w:t>认购费用＝固定金额</w:t>
      </w:r>
    </w:p>
    <w:p w:rsidR="00CB515E" w:rsidRDefault="005F186E">
      <w:pPr>
        <w:spacing w:line="360" w:lineRule="auto"/>
        <w:ind w:firstLineChars="200" w:firstLine="480"/>
        <w:rPr>
          <w:color w:val="000000"/>
          <w:sz w:val="24"/>
        </w:rPr>
      </w:pPr>
      <w:r>
        <w:rPr>
          <w:color w:val="000000"/>
          <w:sz w:val="24"/>
        </w:rPr>
        <w:t>净认购金额＝认购金额－认购费用</w:t>
      </w:r>
    </w:p>
    <w:p w:rsidR="00CB515E" w:rsidRDefault="005F186E">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CB515E" w:rsidRDefault="005F186E">
      <w:pPr>
        <w:spacing w:line="360" w:lineRule="auto"/>
        <w:ind w:firstLineChars="200" w:firstLine="480"/>
        <w:rPr>
          <w:color w:val="000000"/>
          <w:sz w:val="24"/>
        </w:rPr>
      </w:pPr>
      <w:r>
        <w:rPr>
          <w:color w:val="000000"/>
          <w:sz w:val="24"/>
        </w:rPr>
        <w:t>认购份额计算结果保留到小数点后</w:t>
      </w:r>
      <w:r>
        <w:rPr>
          <w:color w:val="000000"/>
          <w:sz w:val="24"/>
        </w:rPr>
        <w:t>2</w:t>
      </w:r>
      <w:r>
        <w:rPr>
          <w:color w:val="000000"/>
          <w:sz w:val="24"/>
        </w:rPr>
        <w:t>位，小数点后</w:t>
      </w:r>
      <w:r>
        <w:rPr>
          <w:color w:val="000000"/>
          <w:sz w:val="24"/>
        </w:rPr>
        <w:t>2</w:t>
      </w:r>
      <w:r>
        <w:rPr>
          <w:color w:val="000000"/>
          <w:sz w:val="24"/>
        </w:rPr>
        <w:t>位以后的部分四舍五入，由此误差产生的收益或损失由基金财产承担。</w:t>
      </w:r>
    </w:p>
    <w:p w:rsidR="00CB515E" w:rsidRDefault="005F186E">
      <w:pPr>
        <w:spacing w:line="360" w:lineRule="auto"/>
        <w:ind w:firstLineChars="200" w:firstLine="480"/>
        <w:rPr>
          <w:color w:val="000000"/>
          <w:sz w:val="24"/>
        </w:rPr>
      </w:pPr>
      <w:r>
        <w:rPr>
          <w:color w:val="000000"/>
          <w:sz w:val="24"/>
        </w:rPr>
        <w:t>例一：某投资人投资</w:t>
      </w:r>
      <w:r>
        <w:rPr>
          <w:color w:val="000000"/>
          <w:sz w:val="24"/>
        </w:rPr>
        <w:t>10</w:t>
      </w:r>
      <w:r>
        <w:rPr>
          <w:color w:val="000000"/>
          <w:sz w:val="24"/>
        </w:rPr>
        <w:t>万元认购本基金基金份额，适用的认购费率为</w:t>
      </w:r>
      <w:r>
        <w:rPr>
          <w:color w:val="000000"/>
          <w:sz w:val="24"/>
        </w:rPr>
        <w:t>0.60%</w:t>
      </w:r>
      <w:r>
        <w:rPr>
          <w:color w:val="000000"/>
          <w:sz w:val="24"/>
        </w:rPr>
        <w:t>，认购利息为</w:t>
      </w:r>
      <w:r>
        <w:rPr>
          <w:color w:val="000000"/>
          <w:sz w:val="24"/>
        </w:rPr>
        <w:t>20</w:t>
      </w:r>
      <w:r>
        <w:rPr>
          <w:color w:val="000000"/>
          <w:sz w:val="24"/>
        </w:rPr>
        <w:t>元，则其可得到的基金份额计算如下：</w:t>
      </w:r>
    </w:p>
    <w:p w:rsidR="00CB515E" w:rsidRDefault="005F186E">
      <w:pPr>
        <w:spacing w:line="360" w:lineRule="auto"/>
        <w:ind w:firstLineChars="200" w:firstLine="480"/>
        <w:rPr>
          <w:color w:val="000000"/>
          <w:sz w:val="24"/>
        </w:rPr>
      </w:pPr>
      <w:r>
        <w:rPr>
          <w:color w:val="000000"/>
          <w:sz w:val="24"/>
        </w:rPr>
        <w:t>净认购金额＝</w:t>
      </w:r>
      <w:r>
        <w:rPr>
          <w:color w:val="000000"/>
          <w:sz w:val="24"/>
        </w:rPr>
        <w:t>100,000.00/</w:t>
      </w:r>
      <w:r>
        <w:rPr>
          <w:color w:val="000000"/>
          <w:sz w:val="24"/>
        </w:rPr>
        <w:t>（</w:t>
      </w:r>
      <w:r>
        <w:rPr>
          <w:color w:val="000000"/>
          <w:sz w:val="24"/>
        </w:rPr>
        <w:t>1+0.60%</w:t>
      </w:r>
      <w:r>
        <w:rPr>
          <w:color w:val="000000"/>
          <w:sz w:val="24"/>
        </w:rPr>
        <w:t>）＝</w:t>
      </w:r>
      <w:r>
        <w:rPr>
          <w:color w:val="000000"/>
          <w:sz w:val="24"/>
        </w:rPr>
        <w:t>99,403.58</w:t>
      </w:r>
      <w:r>
        <w:rPr>
          <w:color w:val="000000"/>
          <w:sz w:val="24"/>
        </w:rPr>
        <w:t>元</w:t>
      </w:r>
    </w:p>
    <w:p w:rsidR="00CB515E" w:rsidRDefault="005F186E">
      <w:pPr>
        <w:spacing w:line="360" w:lineRule="auto"/>
        <w:ind w:firstLineChars="200" w:firstLine="480"/>
        <w:rPr>
          <w:color w:val="000000"/>
          <w:sz w:val="24"/>
        </w:rPr>
      </w:pPr>
      <w:r>
        <w:rPr>
          <w:color w:val="000000"/>
          <w:sz w:val="24"/>
        </w:rPr>
        <w:t>认购费用</w:t>
      </w:r>
      <w:r>
        <w:rPr>
          <w:color w:val="000000"/>
          <w:sz w:val="24"/>
        </w:rPr>
        <w:t>=100,000.00-99,403.58</w:t>
      </w:r>
      <w:r>
        <w:rPr>
          <w:color w:val="000000"/>
          <w:sz w:val="24"/>
        </w:rPr>
        <w:t>＝</w:t>
      </w:r>
      <w:r>
        <w:rPr>
          <w:color w:val="000000"/>
          <w:sz w:val="24"/>
        </w:rPr>
        <w:t>596.42</w:t>
      </w:r>
      <w:r>
        <w:rPr>
          <w:color w:val="000000"/>
          <w:sz w:val="24"/>
        </w:rPr>
        <w:t>元</w:t>
      </w:r>
    </w:p>
    <w:p w:rsidR="00CB515E" w:rsidRDefault="005F186E">
      <w:pPr>
        <w:spacing w:line="360" w:lineRule="auto"/>
        <w:ind w:firstLineChars="200" w:firstLine="480"/>
        <w:rPr>
          <w:color w:val="000000"/>
          <w:sz w:val="24"/>
        </w:rPr>
      </w:pPr>
      <w:r>
        <w:rPr>
          <w:color w:val="000000"/>
          <w:sz w:val="24"/>
        </w:rPr>
        <w:t>认购份额＝（</w:t>
      </w:r>
      <w:r>
        <w:rPr>
          <w:color w:val="000000"/>
          <w:sz w:val="24"/>
        </w:rPr>
        <w:t>99,403.58+20.00</w:t>
      </w:r>
      <w:r>
        <w:rPr>
          <w:color w:val="000000"/>
          <w:sz w:val="24"/>
        </w:rPr>
        <w:t>）</w:t>
      </w:r>
      <w:r>
        <w:rPr>
          <w:color w:val="000000"/>
          <w:sz w:val="24"/>
        </w:rPr>
        <w:t>/1.00</w:t>
      </w:r>
      <w:r>
        <w:rPr>
          <w:color w:val="000000"/>
          <w:sz w:val="24"/>
        </w:rPr>
        <w:t>＝</w:t>
      </w:r>
      <w:r>
        <w:rPr>
          <w:color w:val="000000"/>
          <w:sz w:val="24"/>
        </w:rPr>
        <w:t>99,423.58</w:t>
      </w:r>
      <w:r>
        <w:rPr>
          <w:color w:val="000000"/>
          <w:sz w:val="24"/>
        </w:rPr>
        <w:t>份</w:t>
      </w:r>
    </w:p>
    <w:p w:rsidR="00CB515E" w:rsidRDefault="005F186E">
      <w:pPr>
        <w:spacing w:line="360" w:lineRule="auto"/>
        <w:ind w:firstLineChars="200" w:firstLine="480"/>
        <w:rPr>
          <w:color w:val="000000"/>
          <w:sz w:val="24"/>
        </w:rPr>
      </w:pPr>
      <w:r>
        <w:rPr>
          <w:color w:val="000000"/>
          <w:sz w:val="24"/>
        </w:rPr>
        <w:t>例二：某投资人投资</w:t>
      </w:r>
      <w:r>
        <w:rPr>
          <w:color w:val="000000"/>
          <w:sz w:val="24"/>
        </w:rPr>
        <w:t>500</w:t>
      </w:r>
      <w:r>
        <w:rPr>
          <w:color w:val="000000"/>
          <w:sz w:val="24"/>
        </w:rPr>
        <w:t>万元认购本基金，其认购费用为</w:t>
      </w:r>
      <w:r>
        <w:rPr>
          <w:color w:val="000000"/>
          <w:sz w:val="24"/>
        </w:rPr>
        <w:t>1000</w:t>
      </w:r>
      <w:r>
        <w:rPr>
          <w:color w:val="000000"/>
          <w:sz w:val="24"/>
        </w:rPr>
        <w:t>元，若认购金额在认购期间产生的利息为</w:t>
      </w:r>
      <w:r>
        <w:rPr>
          <w:color w:val="000000"/>
          <w:sz w:val="24"/>
        </w:rPr>
        <w:t>900</w:t>
      </w:r>
      <w:r>
        <w:rPr>
          <w:color w:val="000000"/>
          <w:sz w:val="24"/>
        </w:rPr>
        <w:t>元，则其可得到的认购份额计算如下：</w:t>
      </w:r>
    </w:p>
    <w:p w:rsidR="00CB515E" w:rsidRDefault="005F186E">
      <w:pPr>
        <w:spacing w:line="360" w:lineRule="auto"/>
        <w:ind w:firstLineChars="200" w:firstLine="480"/>
        <w:rPr>
          <w:color w:val="000000"/>
          <w:sz w:val="24"/>
        </w:rPr>
      </w:pPr>
      <w:r>
        <w:rPr>
          <w:color w:val="000000"/>
          <w:sz w:val="24"/>
        </w:rPr>
        <w:t>净认购金额＝</w:t>
      </w:r>
      <w:r>
        <w:rPr>
          <w:color w:val="000000"/>
          <w:sz w:val="24"/>
        </w:rPr>
        <w:t>5,000,000.00-1,000.00</w:t>
      </w:r>
      <w:r>
        <w:rPr>
          <w:color w:val="000000"/>
          <w:sz w:val="24"/>
        </w:rPr>
        <w:t>＝</w:t>
      </w:r>
      <w:r>
        <w:rPr>
          <w:color w:val="000000"/>
          <w:sz w:val="24"/>
        </w:rPr>
        <w:t>4,999,000.00</w:t>
      </w:r>
      <w:r>
        <w:rPr>
          <w:color w:val="000000"/>
          <w:sz w:val="24"/>
        </w:rPr>
        <w:t>元</w:t>
      </w:r>
    </w:p>
    <w:p w:rsidR="00CB515E" w:rsidRDefault="005F186E">
      <w:pPr>
        <w:spacing w:line="360" w:lineRule="auto"/>
        <w:ind w:firstLineChars="200" w:firstLine="480"/>
        <w:rPr>
          <w:color w:val="000000"/>
          <w:sz w:val="24"/>
        </w:rPr>
      </w:pPr>
      <w:r>
        <w:rPr>
          <w:color w:val="000000"/>
          <w:sz w:val="24"/>
        </w:rPr>
        <w:t>认购份额＝（</w:t>
      </w:r>
      <w:r>
        <w:rPr>
          <w:color w:val="000000"/>
          <w:sz w:val="24"/>
        </w:rPr>
        <w:t>4,999,000.00</w:t>
      </w:r>
      <w:r>
        <w:rPr>
          <w:color w:val="000000"/>
          <w:sz w:val="24"/>
        </w:rPr>
        <w:t>＋</w:t>
      </w:r>
      <w:r>
        <w:rPr>
          <w:color w:val="000000"/>
          <w:sz w:val="24"/>
        </w:rPr>
        <w:t>900.00</w:t>
      </w:r>
      <w:r>
        <w:rPr>
          <w:color w:val="000000"/>
          <w:sz w:val="24"/>
        </w:rPr>
        <w:t>）</w:t>
      </w:r>
      <w:r>
        <w:rPr>
          <w:color w:val="000000"/>
          <w:sz w:val="24"/>
        </w:rPr>
        <w:t>/1.00</w:t>
      </w:r>
      <w:r>
        <w:rPr>
          <w:color w:val="000000"/>
          <w:sz w:val="24"/>
        </w:rPr>
        <w:t>＝</w:t>
      </w:r>
      <w:r>
        <w:rPr>
          <w:color w:val="000000"/>
          <w:sz w:val="24"/>
        </w:rPr>
        <w:t>4,999,900.00</w:t>
      </w:r>
      <w:r>
        <w:rPr>
          <w:color w:val="000000"/>
          <w:sz w:val="24"/>
        </w:rPr>
        <w:t>份</w:t>
      </w:r>
    </w:p>
    <w:p w:rsidR="00CB515E" w:rsidRDefault="005F186E">
      <w:pPr>
        <w:spacing w:line="360" w:lineRule="auto"/>
        <w:ind w:firstLineChars="200" w:firstLine="482"/>
        <w:rPr>
          <w:b/>
          <w:color w:val="000000"/>
          <w:sz w:val="24"/>
        </w:rPr>
      </w:pPr>
      <w:r>
        <w:rPr>
          <w:b/>
          <w:color w:val="000000"/>
          <w:sz w:val="24"/>
        </w:rPr>
        <w:t>十</w:t>
      </w:r>
      <w:r>
        <w:rPr>
          <w:rFonts w:hint="eastAsia"/>
          <w:b/>
          <w:color w:val="000000"/>
          <w:sz w:val="24"/>
        </w:rPr>
        <w:t>一</w:t>
      </w:r>
      <w:r>
        <w:rPr>
          <w:b/>
          <w:color w:val="000000"/>
          <w:sz w:val="24"/>
        </w:rPr>
        <w:t>、募集资金的保管</w:t>
      </w:r>
    </w:p>
    <w:p w:rsidR="00CB515E" w:rsidRDefault="005F186E">
      <w:pPr>
        <w:spacing w:line="360" w:lineRule="auto"/>
        <w:ind w:firstLineChars="200" w:firstLine="480"/>
        <w:rPr>
          <w:color w:val="000000"/>
          <w:sz w:val="24"/>
        </w:rPr>
      </w:pPr>
      <w:r>
        <w:rPr>
          <w:color w:val="000000"/>
          <w:sz w:val="24"/>
        </w:rPr>
        <w:t>基金募集期间募集的资金存入募集验资账户，在基金募集行为结束前，任何人不得动用。</w:t>
      </w:r>
    </w:p>
    <w:p w:rsidR="00CB515E" w:rsidRDefault="005F186E">
      <w:pPr>
        <w:spacing w:line="360" w:lineRule="auto"/>
        <w:ind w:firstLineChars="200" w:firstLine="480"/>
        <w:rPr>
          <w:color w:val="000000"/>
          <w:sz w:val="24"/>
        </w:rPr>
      </w:pPr>
      <w:r>
        <w:rPr>
          <w:rFonts w:hint="eastAsia"/>
          <w:color w:val="000000"/>
          <w:sz w:val="24"/>
        </w:rPr>
        <w:t>基金募集期间的信息披露费、会计师费、律师费以及其他费用，不得从基金财产中列支。</w:t>
      </w:r>
    </w:p>
    <w:p w:rsidR="00CB515E" w:rsidRDefault="005F186E">
      <w:pPr>
        <w:pStyle w:val="1"/>
        <w:snapToGrid w:val="0"/>
        <w:spacing w:before="0" w:after="0" w:line="360" w:lineRule="auto"/>
        <w:ind w:firstLineChars="150" w:firstLine="360"/>
        <w:rPr>
          <w:rFonts w:ascii="Times New Roman" w:eastAsia="宋体"/>
          <w:b/>
          <w:bCs/>
          <w:sz w:val="28"/>
          <w:szCs w:val="28"/>
        </w:rPr>
      </w:pPr>
      <w:bookmarkStart w:id="34" w:name="_Toc214873596"/>
      <w:r>
        <w:rPr>
          <w:rFonts w:ascii="Times New Roman"/>
          <w:szCs w:val="24"/>
        </w:rPr>
        <w:br w:type="page"/>
      </w:r>
      <w:bookmarkStart w:id="35" w:name="_Toc317088541"/>
      <w:bookmarkStart w:id="36" w:name="_Toc317088144"/>
      <w:bookmarkStart w:id="37" w:name="_Toc320887646"/>
      <w:bookmarkStart w:id="38" w:name="_Toc2174612"/>
      <w:bookmarkStart w:id="39" w:name="_Toc335232695"/>
      <w:r>
        <w:rPr>
          <w:rFonts w:ascii="Times New Roman" w:eastAsia="宋体" w:hAnsi="Arial Unicode MS"/>
          <w:b/>
          <w:bCs/>
          <w:sz w:val="30"/>
          <w:szCs w:val="30"/>
        </w:rPr>
        <w:t>第七部分基金</w:t>
      </w:r>
      <w:bookmarkEnd w:id="31"/>
      <w:bookmarkEnd w:id="32"/>
      <w:bookmarkEnd w:id="33"/>
      <w:bookmarkEnd w:id="34"/>
      <w:bookmarkEnd w:id="35"/>
      <w:bookmarkEnd w:id="36"/>
      <w:r>
        <w:rPr>
          <w:rFonts w:ascii="Times New Roman" w:eastAsia="宋体" w:hAnsi="Arial Unicode MS"/>
          <w:b/>
          <w:bCs/>
          <w:sz w:val="30"/>
          <w:szCs w:val="30"/>
        </w:rPr>
        <w:t>合同</w:t>
      </w:r>
      <w:r>
        <w:rPr>
          <w:rFonts w:ascii="Times New Roman" w:eastAsia="宋体" w:hAnsi="Arial Unicode MS" w:hint="eastAsia"/>
          <w:b/>
          <w:bCs/>
          <w:sz w:val="30"/>
          <w:szCs w:val="30"/>
        </w:rPr>
        <w:t>的生效</w:t>
      </w:r>
      <w:bookmarkEnd w:id="37"/>
      <w:bookmarkEnd w:id="38"/>
      <w:bookmarkEnd w:id="39"/>
    </w:p>
    <w:p w:rsidR="00CB515E" w:rsidRDefault="00CB515E"/>
    <w:p w:rsidR="00CB515E" w:rsidRDefault="005F186E">
      <w:pPr>
        <w:spacing w:line="360" w:lineRule="auto"/>
        <w:ind w:firstLineChars="200" w:firstLine="482"/>
        <w:rPr>
          <w:b/>
          <w:color w:val="000000"/>
          <w:sz w:val="24"/>
        </w:rPr>
      </w:pPr>
      <w:r>
        <w:rPr>
          <w:rFonts w:hint="eastAsia"/>
          <w:b/>
          <w:color w:val="000000"/>
          <w:sz w:val="24"/>
        </w:rPr>
        <w:t>一、基金备案的条件</w:t>
      </w:r>
    </w:p>
    <w:p w:rsidR="00CB515E" w:rsidRDefault="005F186E">
      <w:pPr>
        <w:spacing w:line="360" w:lineRule="auto"/>
        <w:ind w:firstLineChars="200" w:firstLine="480"/>
        <w:rPr>
          <w:color w:val="000000"/>
          <w:sz w:val="24"/>
        </w:rPr>
      </w:pPr>
      <w:r>
        <w:rPr>
          <w:rFonts w:hint="eastAsia"/>
          <w:color w:val="000000"/>
          <w:sz w:val="24"/>
        </w:rPr>
        <w:t>本基金自基金份额发售之日起</w:t>
      </w:r>
      <w:r>
        <w:rPr>
          <w:color w:val="000000"/>
          <w:sz w:val="24"/>
        </w:rPr>
        <w:t>3</w:t>
      </w:r>
      <w:r>
        <w:rPr>
          <w:rFonts w:hint="eastAsia"/>
          <w:color w:val="000000"/>
          <w:sz w:val="24"/>
        </w:rPr>
        <w:t>个月内，使用发起资金认购本基金的金额不少于</w:t>
      </w:r>
      <w:r>
        <w:rPr>
          <w:color w:val="000000"/>
          <w:sz w:val="24"/>
        </w:rPr>
        <w:t>1000</w:t>
      </w:r>
      <w:r>
        <w:rPr>
          <w:rFonts w:hint="eastAsia"/>
          <w:color w:val="000000"/>
          <w:sz w:val="24"/>
        </w:rPr>
        <w:t>万元，且发起资金提供方承诺认购的基金份额持有期限不少于</w:t>
      </w:r>
      <w:r>
        <w:rPr>
          <w:color w:val="000000"/>
          <w:sz w:val="24"/>
        </w:rPr>
        <w:t xml:space="preserve">3 </w:t>
      </w:r>
      <w:r>
        <w:rPr>
          <w:rFonts w:hint="eastAsia"/>
          <w:color w:val="000000"/>
          <w:sz w:val="24"/>
        </w:rPr>
        <w:t>年的条件下，基金募集期届满或基金管理人依据法律法规及招募说明书可以决定停止基金发售，并在</w:t>
      </w:r>
      <w:r>
        <w:rPr>
          <w:color w:val="000000"/>
          <w:sz w:val="24"/>
        </w:rPr>
        <w:t>10</w:t>
      </w:r>
      <w:r>
        <w:rPr>
          <w:rFonts w:hint="eastAsia"/>
          <w:color w:val="000000"/>
          <w:sz w:val="24"/>
        </w:rPr>
        <w:t>日内聘请法定验资机构验资，验资报告需对发起资金的持有人及其持有份额进行专门说明，自收到验资报告之日起</w:t>
      </w:r>
      <w:r>
        <w:rPr>
          <w:color w:val="000000"/>
          <w:sz w:val="24"/>
        </w:rPr>
        <w:t>10</w:t>
      </w:r>
      <w:r>
        <w:rPr>
          <w:rFonts w:hint="eastAsia"/>
          <w:color w:val="000000"/>
          <w:sz w:val="24"/>
        </w:rPr>
        <w:t>日内，向中国证监会办理基金备案手续。</w:t>
      </w:r>
    </w:p>
    <w:p w:rsidR="00CB515E" w:rsidRDefault="005F186E">
      <w:pPr>
        <w:spacing w:line="360" w:lineRule="auto"/>
        <w:ind w:firstLineChars="200" w:firstLine="480"/>
        <w:rPr>
          <w:color w:val="000000"/>
          <w:sz w:val="24"/>
        </w:rPr>
      </w:pPr>
      <w:r>
        <w:rPr>
          <w:rFonts w:hint="eastAsia"/>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B515E" w:rsidRDefault="005F186E">
      <w:pPr>
        <w:spacing w:line="360" w:lineRule="auto"/>
        <w:ind w:firstLineChars="200" w:firstLine="482"/>
        <w:rPr>
          <w:b/>
          <w:color w:val="000000"/>
          <w:sz w:val="24"/>
        </w:rPr>
      </w:pPr>
      <w:r>
        <w:rPr>
          <w:rFonts w:hint="eastAsia"/>
          <w:b/>
          <w:color w:val="000000"/>
          <w:sz w:val="24"/>
        </w:rPr>
        <w:t>二、基金合同不能生效时募集资金的处理方式</w:t>
      </w:r>
    </w:p>
    <w:p w:rsidR="00CB515E" w:rsidRDefault="005F186E">
      <w:pPr>
        <w:spacing w:line="360" w:lineRule="auto"/>
        <w:ind w:firstLineChars="200" w:firstLine="480"/>
        <w:rPr>
          <w:color w:val="000000"/>
          <w:sz w:val="24"/>
        </w:rPr>
      </w:pPr>
      <w:r>
        <w:rPr>
          <w:rFonts w:hint="eastAsia"/>
          <w:color w:val="000000"/>
          <w:sz w:val="24"/>
        </w:rPr>
        <w:t>如果募集期限届满，未满足基金备案条件，基金管理人应当承担下列责任：</w:t>
      </w:r>
    </w:p>
    <w:p w:rsidR="00CB515E" w:rsidRDefault="005F186E">
      <w:pPr>
        <w:spacing w:line="360" w:lineRule="auto"/>
        <w:ind w:firstLineChars="200" w:firstLine="480"/>
        <w:rPr>
          <w:color w:val="000000"/>
          <w:sz w:val="24"/>
        </w:rPr>
      </w:pPr>
      <w:r>
        <w:rPr>
          <w:color w:val="000000"/>
          <w:sz w:val="24"/>
        </w:rPr>
        <w:t>1</w:t>
      </w:r>
      <w:r>
        <w:rPr>
          <w:rFonts w:hint="eastAsia"/>
          <w:color w:val="000000"/>
          <w:sz w:val="24"/>
        </w:rPr>
        <w:t>、以其固有财产承担因募集行为而产生的债务和费用；</w:t>
      </w:r>
    </w:p>
    <w:p w:rsidR="00CB515E" w:rsidRDefault="005F186E">
      <w:pPr>
        <w:spacing w:line="360" w:lineRule="auto"/>
        <w:ind w:firstLineChars="200" w:firstLine="480"/>
        <w:rPr>
          <w:color w:val="000000"/>
          <w:sz w:val="24"/>
        </w:rPr>
      </w:pPr>
      <w:r>
        <w:rPr>
          <w:color w:val="000000"/>
          <w:sz w:val="24"/>
        </w:rPr>
        <w:t>2</w:t>
      </w:r>
      <w:r>
        <w:rPr>
          <w:rFonts w:hint="eastAsia"/>
          <w:color w:val="000000"/>
          <w:sz w:val="24"/>
        </w:rPr>
        <w:t>、在基金募集期限届满后</w:t>
      </w:r>
      <w:r>
        <w:rPr>
          <w:color w:val="000000"/>
          <w:sz w:val="24"/>
        </w:rPr>
        <w:t>30</w:t>
      </w:r>
      <w:r>
        <w:rPr>
          <w:rFonts w:hint="eastAsia"/>
          <w:color w:val="000000"/>
          <w:sz w:val="24"/>
        </w:rPr>
        <w:t>日内返还投资者已缴纳的款项，并加计银行同期存款利息；</w:t>
      </w:r>
    </w:p>
    <w:p w:rsidR="00CB515E" w:rsidRDefault="005F186E">
      <w:pPr>
        <w:spacing w:line="360" w:lineRule="auto"/>
        <w:ind w:firstLineChars="200" w:firstLine="480"/>
        <w:rPr>
          <w:color w:val="000000"/>
          <w:sz w:val="24"/>
        </w:rPr>
      </w:pPr>
      <w:r>
        <w:rPr>
          <w:color w:val="000000"/>
          <w:sz w:val="24"/>
        </w:rPr>
        <w:t>3</w:t>
      </w:r>
      <w:r>
        <w:rPr>
          <w:rFonts w:hint="eastAsia"/>
          <w:color w:val="000000"/>
          <w:sz w:val="24"/>
        </w:rPr>
        <w:t>、如基金募集失败，基金管理人、基金托管人及销售机构不得请求报酬。基金管理人、基金托管人和销售机构为基金募集支付之一切费用应由各方各自承担。</w:t>
      </w:r>
    </w:p>
    <w:p w:rsidR="00CB515E" w:rsidRDefault="005F186E">
      <w:pPr>
        <w:spacing w:line="360" w:lineRule="auto"/>
        <w:ind w:firstLineChars="200" w:firstLine="482"/>
        <w:rPr>
          <w:b/>
          <w:color w:val="000000"/>
          <w:sz w:val="24"/>
        </w:rPr>
      </w:pPr>
      <w:r>
        <w:rPr>
          <w:rFonts w:hint="eastAsia"/>
          <w:b/>
          <w:color w:val="000000"/>
          <w:sz w:val="24"/>
        </w:rPr>
        <w:t>三、基金存续期内的基金份额持有人数量和资产规模</w:t>
      </w:r>
    </w:p>
    <w:p w:rsidR="00CB515E" w:rsidRDefault="005F186E">
      <w:pPr>
        <w:spacing w:line="360" w:lineRule="auto"/>
        <w:ind w:firstLineChars="200" w:firstLine="480"/>
        <w:rPr>
          <w:color w:val="000000"/>
          <w:sz w:val="24"/>
        </w:rPr>
      </w:pPr>
      <w:r>
        <w:rPr>
          <w:rFonts w:hint="eastAsia"/>
          <w:color w:val="000000"/>
          <w:sz w:val="24"/>
        </w:rPr>
        <w:t>《基金合同》生效之日起三年后的对应日，若基金资产净值低于</w:t>
      </w:r>
      <w:r>
        <w:rPr>
          <w:color w:val="000000"/>
          <w:sz w:val="24"/>
        </w:rPr>
        <w:t>2</w:t>
      </w:r>
      <w:r>
        <w:rPr>
          <w:rFonts w:hint="eastAsia"/>
          <w:color w:val="000000"/>
          <w:sz w:val="24"/>
        </w:rPr>
        <w:t>亿元，基金合同自动终止，且不得通过召开基金份额持有人大会延续基金合同期限。若届时的法律法规或中国证监会规定发生变化，上述终止规定被取消、更改或补充，则本基金在履行适当程序后可以参照届时有效的法律法规或中国证监会规定执行。</w:t>
      </w:r>
    </w:p>
    <w:p w:rsidR="00CB515E" w:rsidRDefault="005F186E">
      <w:pPr>
        <w:spacing w:line="360" w:lineRule="auto"/>
        <w:ind w:firstLineChars="200" w:firstLine="480"/>
        <w:rPr>
          <w:color w:val="000000"/>
          <w:sz w:val="24"/>
        </w:rPr>
      </w:pPr>
      <w:r>
        <w:rPr>
          <w:rFonts w:hint="eastAsia"/>
          <w:color w:val="000000"/>
          <w:sz w:val="24"/>
        </w:rPr>
        <w:t>《基金合同》生效满三年后继续存续的，连续</w:t>
      </w:r>
      <w:r>
        <w:rPr>
          <w:rFonts w:hint="eastAsia"/>
          <w:color w:val="000000"/>
          <w:sz w:val="24"/>
        </w:rPr>
        <w:t>20</w:t>
      </w:r>
      <w:r>
        <w:rPr>
          <w:rFonts w:hint="eastAsia"/>
          <w:color w:val="000000"/>
          <w:sz w:val="24"/>
        </w:rPr>
        <w:t>个工作日出现基金资产净值低于</w:t>
      </w:r>
      <w:r>
        <w:rPr>
          <w:rFonts w:hint="eastAsia"/>
          <w:color w:val="000000"/>
          <w:sz w:val="24"/>
        </w:rPr>
        <w:t>5000</w:t>
      </w:r>
      <w:r>
        <w:rPr>
          <w:rFonts w:hint="eastAsia"/>
          <w:color w:val="000000"/>
          <w:sz w:val="24"/>
        </w:rPr>
        <w:t>万元情形或基金份额持有人数量不满</w:t>
      </w:r>
      <w:r>
        <w:rPr>
          <w:rFonts w:hint="eastAsia"/>
          <w:color w:val="000000"/>
          <w:sz w:val="24"/>
        </w:rPr>
        <w:t>200</w:t>
      </w:r>
      <w:r>
        <w:rPr>
          <w:rFonts w:hint="eastAsia"/>
          <w:color w:val="000000"/>
          <w:sz w:val="24"/>
        </w:rPr>
        <w:t>人的，基金管理人应当在定期报告中予以披露；连续</w:t>
      </w:r>
      <w:r>
        <w:rPr>
          <w:rFonts w:hint="eastAsia"/>
          <w:color w:val="000000"/>
          <w:sz w:val="24"/>
        </w:rPr>
        <w:t>60</w:t>
      </w:r>
      <w:r>
        <w:rPr>
          <w:rFonts w:hint="eastAsia"/>
          <w:color w:val="000000"/>
          <w:sz w:val="24"/>
        </w:rPr>
        <w:t>个工作日出现前述情形的，基金管理人应当向中国证监会报告并提出解决方案，如转换运作方式、与其他基金合并或者终止基金合同等，并召开基金份额持有人大会进行表决。</w:t>
      </w:r>
    </w:p>
    <w:p w:rsidR="00CB515E" w:rsidRDefault="005F186E">
      <w:pPr>
        <w:spacing w:line="360" w:lineRule="auto"/>
        <w:ind w:firstLineChars="200" w:firstLine="480"/>
        <w:rPr>
          <w:rFonts w:eastAsiaTheme="minorEastAsia" w:hAnsiTheme="minorEastAsia"/>
          <w:kern w:val="0"/>
          <w:sz w:val="24"/>
        </w:rPr>
      </w:pPr>
      <w:r>
        <w:rPr>
          <w:rFonts w:hint="eastAsia"/>
          <w:color w:val="000000"/>
          <w:sz w:val="24"/>
        </w:rPr>
        <w:t>法律法规或监管机构另有规定时，从其规定。</w:t>
      </w:r>
      <w:r>
        <w:rPr>
          <w:rFonts w:eastAsiaTheme="minorEastAsia" w:hAnsiTheme="minorEastAsia"/>
          <w:kern w:val="0"/>
          <w:sz w:val="24"/>
        </w:rPr>
        <w:br w:type="page"/>
      </w:r>
      <w:bookmarkStart w:id="40" w:name="_Toc21073391"/>
      <w:bookmarkStart w:id="41" w:name="_Toc147463118"/>
      <w:bookmarkStart w:id="42" w:name="_Toc12357171"/>
      <w:bookmarkStart w:id="43" w:name="_Toc214873597"/>
    </w:p>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bookmarkStart w:id="44" w:name="_Toc320887647"/>
      <w:bookmarkStart w:id="45" w:name="_Toc2174613"/>
      <w:bookmarkStart w:id="46" w:name="_Toc317088542"/>
      <w:bookmarkStart w:id="47" w:name="_Toc335232696"/>
      <w:bookmarkStart w:id="48" w:name="_Toc317088145"/>
      <w:r>
        <w:rPr>
          <w:rFonts w:ascii="Times New Roman" w:eastAsia="宋体" w:hAnsi="Arial Unicode MS"/>
          <w:b/>
          <w:bCs/>
          <w:sz w:val="30"/>
          <w:szCs w:val="30"/>
        </w:rPr>
        <w:t>第</w:t>
      </w:r>
      <w:r>
        <w:rPr>
          <w:rFonts w:ascii="Times New Roman" w:eastAsia="宋体" w:hAnsi="Arial Unicode MS" w:hint="eastAsia"/>
          <w:b/>
          <w:bCs/>
          <w:sz w:val="30"/>
          <w:szCs w:val="30"/>
        </w:rPr>
        <w:t>八</w:t>
      </w:r>
      <w:r>
        <w:rPr>
          <w:rFonts w:ascii="Times New Roman" w:eastAsia="宋体" w:hAnsi="Arial Unicode MS"/>
          <w:b/>
          <w:bCs/>
          <w:sz w:val="30"/>
          <w:szCs w:val="30"/>
        </w:rPr>
        <w:t>部分基金份额的申购与赎回</w:t>
      </w:r>
      <w:bookmarkEnd w:id="40"/>
      <w:bookmarkEnd w:id="41"/>
      <w:bookmarkEnd w:id="42"/>
      <w:bookmarkEnd w:id="43"/>
      <w:bookmarkEnd w:id="44"/>
      <w:bookmarkEnd w:id="45"/>
      <w:bookmarkEnd w:id="46"/>
      <w:bookmarkEnd w:id="47"/>
      <w:bookmarkEnd w:id="48"/>
    </w:p>
    <w:p w:rsidR="00CB515E" w:rsidRDefault="00CB515E"/>
    <w:p w:rsidR="00CB515E" w:rsidRDefault="005F186E">
      <w:pPr>
        <w:adjustRightInd w:val="0"/>
        <w:snapToGrid w:val="0"/>
        <w:spacing w:line="360" w:lineRule="auto"/>
        <w:ind w:firstLineChars="200" w:firstLine="482"/>
        <w:rPr>
          <w:b/>
          <w:bCs/>
          <w:kern w:val="0"/>
          <w:sz w:val="24"/>
        </w:rPr>
      </w:pPr>
      <w:r>
        <w:rPr>
          <w:rFonts w:hAnsi="Arial Unicode MS"/>
          <w:b/>
          <w:bCs/>
          <w:kern w:val="0"/>
          <w:sz w:val="24"/>
        </w:rPr>
        <w:t>一、申购与赎回的场所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本基金的申购与赎回将通过销售机构进行。本基金的销售机构包括基金管理人和基金管理人委托的其他销售机构。基金管理人可根据情况变更或增减销售机构，并予以公告。基金投资者应当在销售机构办理基金销售业务的营业场所或按销售机构提供的其他方式办理基金份额的申购与赎回。</w:t>
      </w:r>
    </w:p>
    <w:p w:rsidR="00CB515E" w:rsidRDefault="005F186E">
      <w:pPr>
        <w:spacing w:line="360" w:lineRule="auto"/>
        <w:ind w:firstLineChars="200" w:firstLine="482"/>
        <w:rPr>
          <w:b/>
          <w:bCs/>
          <w:sz w:val="24"/>
        </w:rPr>
      </w:pPr>
      <w:r>
        <w:rPr>
          <w:rFonts w:hAnsi="Arial Unicode MS"/>
          <w:b/>
          <w:bCs/>
          <w:sz w:val="24"/>
        </w:rPr>
        <w:t>二、</w:t>
      </w:r>
      <w:r>
        <w:rPr>
          <w:rFonts w:hAnsi="Arial Unicode MS"/>
          <w:b/>
          <w:kern w:val="0"/>
          <w:sz w:val="24"/>
        </w:rPr>
        <w:t>申购与赎回办理的开放日及时间</w:t>
      </w:r>
    </w:p>
    <w:p w:rsidR="00CB515E" w:rsidRDefault="005F186E">
      <w:pPr>
        <w:adjustRightInd w:val="0"/>
        <w:snapToGrid w:val="0"/>
        <w:spacing w:line="360" w:lineRule="auto"/>
        <w:ind w:firstLineChars="200" w:firstLine="480"/>
        <w:rPr>
          <w:rFonts w:eastAsiaTheme="minorEastAsia"/>
          <w:kern w:val="0"/>
          <w:sz w:val="24"/>
        </w:rPr>
      </w:pPr>
      <w:bookmarkStart w:id="49" w:name="_Toc510842719"/>
      <w:r>
        <w:rPr>
          <w:rFonts w:eastAsiaTheme="minorEastAsia" w:hint="eastAsia"/>
          <w:kern w:val="0"/>
          <w:sz w:val="24"/>
        </w:rPr>
        <w:t>1</w:t>
      </w:r>
      <w:r>
        <w:rPr>
          <w:rFonts w:eastAsiaTheme="minorEastAsia" w:hint="eastAsia"/>
          <w:kern w:val="0"/>
          <w:sz w:val="24"/>
        </w:rPr>
        <w:t>、基金的封闭期和开放期</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本基金的封闭期为自基金合同生效之日起（包括基金合同生效之日）或自每一开放期结束之日次日起（包括该日）</w:t>
      </w:r>
      <w:r>
        <w:rPr>
          <w:rFonts w:eastAsiaTheme="minorEastAsia" w:hint="eastAsia"/>
          <w:kern w:val="0"/>
          <w:sz w:val="24"/>
        </w:rPr>
        <w:t>3</w:t>
      </w:r>
      <w:r>
        <w:rPr>
          <w:rFonts w:eastAsiaTheme="minorEastAsia" w:hint="eastAsia"/>
          <w:kern w:val="0"/>
          <w:sz w:val="24"/>
        </w:rPr>
        <w:t>个月的期间。本基金的首个封闭期为自基金合同生效之日起（包括基金合同生效之日）</w:t>
      </w:r>
      <w:r>
        <w:rPr>
          <w:rFonts w:eastAsiaTheme="minorEastAsia" w:hint="eastAsia"/>
          <w:kern w:val="0"/>
          <w:sz w:val="24"/>
        </w:rPr>
        <w:t>3</w:t>
      </w:r>
      <w:r>
        <w:rPr>
          <w:rFonts w:eastAsiaTheme="minorEastAsia" w:hint="eastAsia"/>
          <w:kern w:val="0"/>
          <w:sz w:val="24"/>
        </w:rPr>
        <w:t>个月的期间，如果封闭期到期日的次日为非工作日的，封闭期相应顺延。首个封闭期结束之后第一个工作日起（包括该日）进入首个开放期，第二个封闭期为首个开放期结束之日次日起（包括该日）</w:t>
      </w:r>
      <w:r>
        <w:rPr>
          <w:rFonts w:eastAsiaTheme="minorEastAsia" w:hint="eastAsia"/>
          <w:kern w:val="0"/>
          <w:sz w:val="24"/>
        </w:rPr>
        <w:t>3</w:t>
      </w:r>
      <w:r>
        <w:rPr>
          <w:rFonts w:eastAsiaTheme="minorEastAsia" w:hint="eastAsia"/>
          <w:kern w:val="0"/>
          <w:sz w:val="24"/>
        </w:rPr>
        <w:t>个月的期间，如果封闭期到期日的次日为非工作日的，封闭期相应顺延，以此类推。本基金封闭期内不办理申购与赎回业务，也不上市交易。</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本基金自每个封闭期结束之后第一个工作日起（包括该日）进入开放期，期间可以办理申购与赎回业务。本基金每个开放期最短不少于</w:t>
      </w:r>
      <w:r>
        <w:rPr>
          <w:rFonts w:eastAsiaTheme="minorEastAsia" w:hint="eastAsia"/>
          <w:kern w:val="0"/>
          <w:sz w:val="24"/>
        </w:rPr>
        <w:t>5</w:t>
      </w:r>
      <w:r>
        <w:rPr>
          <w:rFonts w:eastAsiaTheme="minorEastAsia" w:hint="eastAsia"/>
          <w:kern w:val="0"/>
          <w:sz w:val="24"/>
        </w:rPr>
        <w:t>个工作日、最长不超过</w:t>
      </w:r>
      <w:r>
        <w:rPr>
          <w:rFonts w:eastAsiaTheme="minorEastAsia" w:hint="eastAsia"/>
          <w:kern w:val="0"/>
          <w:sz w:val="24"/>
        </w:rPr>
        <w:t>10</w:t>
      </w:r>
      <w:r>
        <w:rPr>
          <w:rFonts w:eastAsiaTheme="minorEastAsia" w:hint="eastAsia"/>
          <w:kern w:val="0"/>
          <w:sz w:val="24"/>
        </w:rPr>
        <w:t>个工作日，开放期的具体时间以基金管理人届时公告为准，且基金管理人最迟应于开放期前</w:t>
      </w:r>
      <w:r>
        <w:rPr>
          <w:rFonts w:eastAsiaTheme="minorEastAsia" w:hint="eastAsia"/>
          <w:kern w:val="0"/>
          <w:sz w:val="24"/>
        </w:rPr>
        <w:t>2</w:t>
      </w:r>
      <w:r>
        <w:rPr>
          <w:rFonts w:eastAsiaTheme="minorEastAsia" w:hint="eastAsia"/>
          <w:kern w:val="0"/>
          <w:sz w:val="24"/>
        </w:rPr>
        <w:t>日进行公告。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若由于不可抗力导致原定开放期起始日不能办理基金的申购与赎回，则开放期起始日顺延至不可抗力或本基金合同约定的其他情形的影响因素消除之日起的下一个工作日。如在开放期内发生不可抗力或本基金合同约定的其他情形致使基金无法按时开放申购与赎回业务的，开放期间中止计算，在不可抗力或本基金合同约定的其他情形影响因素消除之日起的下一个工作日继续计算该开放期时间，直至满足开放期的时间要求。在此情形下，开放期以管理人届时公告（如有）为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AnsiTheme="minorEastAsia"/>
          <w:kern w:val="0"/>
          <w:sz w:val="24"/>
        </w:rPr>
        <w:t>、开放日及开放时间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本基金的开放日为开放期内的每个工作日。</w:t>
      </w:r>
      <w:r>
        <w:rPr>
          <w:rFonts w:eastAsiaTheme="minorEastAsia" w:hAnsiTheme="minorEastAsia"/>
          <w:kern w:val="0"/>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基金合同生效后，若出现新的证券交易市场</w:t>
      </w:r>
      <w:r>
        <w:rPr>
          <w:rFonts w:eastAsiaTheme="minorEastAsia" w:hAnsiTheme="minorEastAsia" w:hint="eastAsia"/>
          <w:kern w:val="0"/>
          <w:sz w:val="24"/>
        </w:rPr>
        <w:t>、</w:t>
      </w:r>
      <w:r>
        <w:rPr>
          <w:rFonts w:eastAsiaTheme="minorEastAsia" w:hAnsiTheme="minorEastAsia"/>
          <w:kern w:val="0"/>
          <w:sz w:val="24"/>
        </w:rPr>
        <w:t>证券交易所交易时间变更或其他特殊情况，基金管理人将视情况对前述开放日及开放时间进行相应的调整，但应在实施日前依照《信息披露办法》的有关规定</w:t>
      </w:r>
      <w:r>
        <w:rPr>
          <w:rFonts w:eastAsiaTheme="minorEastAsia" w:hAnsiTheme="minorEastAsia" w:hint="eastAsia"/>
          <w:kern w:val="0"/>
          <w:sz w:val="24"/>
        </w:rPr>
        <w:t>在</w:t>
      </w:r>
      <w:r>
        <w:rPr>
          <w:rFonts w:eastAsiaTheme="minorEastAsia" w:hAnsiTheme="minorEastAsia"/>
          <w:kern w:val="0"/>
          <w:sz w:val="24"/>
        </w:rPr>
        <w:t>指定媒介上公告。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AnsiTheme="minorEastAsia"/>
          <w:kern w:val="0"/>
          <w:sz w:val="24"/>
        </w:rPr>
        <w:t>、申购、赎回开始日及业务办理时间</w:t>
      </w:r>
    </w:p>
    <w:p w:rsidR="00CB515E" w:rsidRDefault="005F186E">
      <w:pPr>
        <w:adjustRightInd w:val="0"/>
        <w:snapToGrid w:val="0"/>
        <w:spacing w:line="360" w:lineRule="auto"/>
        <w:ind w:firstLineChars="200" w:firstLine="480"/>
        <w:rPr>
          <w:color w:val="000000"/>
          <w:sz w:val="24"/>
        </w:rPr>
      </w:pPr>
      <w:r>
        <w:rPr>
          <w:rFonts w:hint="eastAsia"/>
          <w:color w:val="000000"/>
          <w:sz w:val="24"/>
        </w:rPr>
        <w:t>本基金的封闭期为自基金合同生效之日起（包括基金合同生效之日）或自每一开放期结束之日次日起（包括该日）</w:t>
      </w:r>
      <w:r>
        <w:rPr>
          <w:rFonts w:hint="eastAsia"/>
          <w:color w:val="000000"/>
          <w:sz w:val="24"/>
        </w:rPr>
        <w:t>3</w:t>
      </w:r>
      <w:r>
        <w:rPr>
          <w:rFonts w:hint="eastAsia"/>
          <w:color w:val="000000"/>
          <w:sz w:val="24"/>
        </w:rPr>
        <w:t>个月的期间。本基金封闭期内不办理申购与赎回业务，也不上市交易。</w:t>
      </w:r>
    </w:p>
    <w:p w:rsidR="00CB515E" w:rsidRDefault="005F186E">
      <w:pPr>
        <w:spacing w:line="360" w:lineRule="auto"/>
        <w:ind w:firstLineChars="200" w:firstLine="480"/>
        <w:rPr>
          <w:color w:val="000000"/>
          <w:sz w:val="24"/>
        </w:rPr>
      </w:pPr>
      <w:r>
        <w:rPr>
          <w:rFonts w:hint="eastAsia"/>
          <w:color w:val="000000"/>
          <w:sz w:val="24"/>
        </w:rPr>
        <w:t>本基金自每个封闭期结束之后第一个工作日起（包括该日）进入开放期，期间可以办理申购与赎回业务。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在确定申购开始与赎回开始时间后，基金管理人应在申购、赎回开放日前依照《信息披露办法》的有关规定</w:t>
      </w:r>
      <w:r>
        <w:rPr>
          <w:rFonts w:eastAsiaTheme="minorEastAsia" w:hAnsiTheme="minorEastAsia" w:hint="eastAsia"/>
          <w:kern w:val="0"/>
          <w:sz w:val="24"/>
        </w:rPr>
        <w:t>在</w:t>
      </w:r>
      <w:r>
        <w:rPr>
          <w:rFonts w:eastAsiaTheme="minorEastAsia" w:hAnsiTheme="minorEastAsia"/>
          <w:kern w:val="0"/>
          <w:sz w:val="24"/>
        </w:rPr>
        <w:t>指定媒介上公告申购与赎回的开始时间。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基金管理人不得在基金合同约定之外的日期或者时间办理基金份额的申购、赎回或者转换。</w:t>
      </w:r>
      <w:r>
        <w:rPr>
          <w:rFonts w:hint="eastAsia"/>
          <w:bCs/>
          <w:color w:val="000000"/>
          <w:sz w:val="24"/>
        </w:rPr>
        <w:t>在开放期内，</w:t>
      </w:r>
      <w:r>
        <w:rPr>
          <w:rFonts w:eastAsiaTheme="minorEastAsia" w:hAnsiTheme="minorEastAsia"/>
          <w:kern w:val="0"/>
          <w:sz w:val="24"/>
        </w:rPr>
        <w:t>投资人在基金合同约定之外的日期和时间提出申购、赎回、转换申请且登记机构确认接受的，其基金份额申购、赎回价格为</w:t>
      </w:r>
      <w:r>
        <w:rPr>
          <w:rFonts w:hint="eastAsia"/>
          <w:bCs/>
          <w:sz w:val="24"/>
        </w:rPr>
        <w:t>该开放期内</w:t>
      </w:r>
      <w:r>
        <w:rPr>
          <w:rFonts w:eastAsiaTheme="minorEastAsia" w:hAnsiTheme="minorEastAsia"/>
          <w:kern w:val="0"/>
          <w:sz w:val="24"/>
        </w:rPr>
        <w:t>下一开放日基金份额申购、赎回的价格</w:t>
      </w:r>
      <w:r>
        <w:rPr>
          <w:rFonts w:eastAsiaTheme="minorEastAsia" w:hAnsiTheme="minorEastAsia" w:hint="eastAsia"/>
          <w:kern w:val="0"/>
          <w:sz w:val="24"/>
        </w:rPr>
        <w:t>；</w:t>
      </w:r>
      <w:r>
        <w:rPr>
          <w:rFonts w:hint="eastAsia"/>
          <w:bCs/>
          <w:color w:val="000000"/>
          <w:sz w:val="24"/>
        </w:rPr>
        <w:t>但若投资人在开放期最后一日业务办理时间结束之后提出申购、赎回或者转换申请的，视为无效申请。</w:t>
      </w:r>
      <w:r>
        <w:rPr>
          <w:rFonts w:ascii="宋体" w:hAnsi="宋体" w:hint="eastAsia"/>
          <w:color w:val="000000"/>
          <w:kern w:val="0"/>
          <w:sz w:val="24"/>
        </w:rPr>
        <w:t>开放期以及开放期办理申购与赎回业务的具体事宜见招募说明书及基金管理人届时发布的相关公告</w:t>
      </w:r>
      <w:r>
        <w:rPr>
          <w:rFonts w:eastAsiaTheme="minorEastAsia" w:hAnsiTheme="minorEastAsia"/>
          <w:kern w:val="0"/>
          <w:sz w:val="24"/>
        </w:rPr>
        <w:t>。</w:t>
      </w:r>
    </w:p>
    <w:bookmarkEnd w:id="49"/>
    <w:p w:rsidR="00CB515E" w:rsidRDefault="005F186E">
      <w:pPr>
        <w:autoSpaceDE w:val="0"/>
        <w:autoSpaceDN w:val="0"/>
        <w:adjustRightInd w:val="0"/>
        <w:snapToGrid w:val="0"/>
        <w:spacing w:line="360" w:lineRule="auto"/>
        <w:ind w:firstLineChars="200" w:firstLine="482"/>
        <w:rPr>
          <w:b/>
          <w:sz w:val="24"/>
        </w:rPr>
      </w:pPr>
      <w:r>
        <w:rPr>
          <w:rFonts w:hAnsi="Arial Unicode MS"/>
          <w:b/>
          <w:sz w:val="24"/>
        </w:rPr>
        <w:t>三、申购与赎回的原则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w:t>
      </w:r>
      <w:r>
        <w:rPr>
          <w:rFonts w:eastAsiaTheme="minorEastAsia"/>
          <w:kern w:val="0"/>
          <w:sz w:val="24"/>
        </w:rPr>
        <w:t>“</w:t>
      </w:r>
      <w:r>
        <w:rPr>
          <w:rFonts w:eastAsiaTheme="minorEastAsia" w:hAnsiTheme="minorEastAsia"/>
          <w:kern w:val="0"/>
          <w:sz w:val="24"/>
        </w:rPr>
        <w:t>未知价</w:t>
      </w:r>
      <w:r>
        <w:rPr>
          <w:rFonts w:eastAsiaTheme="minorEastAsia"/>
          <w:kern w:val="0"/>
          <w:sz w:val="24"/>
        </w:rPr>
        <w:t>”</w:t>
      </w:r>
      <w:r>
        <w:rPr>
          <w:rFonts w:eastAsiaTheme="minorEastAsia" w:hAnsiTheme="minorEastAsia"/>
          <w:kern w:val="0"/>
          <w:sz w:val="24"/>
        </w:rPr>
        <w:t>原则，即申购、赎回价格以申请当日收市后计算的基金份额净值为基准进行计算；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w:t>
      </w:r>
      <w:r>
        <w:rPr>
          <w:rFonts w:eastAsiaTheme="minorEastAsia"/>
          <w:kern w:val="0"/>
          <w:sz w:val="24"/>
        </w:rPr>
        <w:t>“</w:t>
      </w:r>
      <w:r>
        <w:rPr>
          <w:rFonts w:eastAsiaTheme="minorEastAsia" w:hAnsiTheme="minorEastAsia"/>
          <w:kern w:val="0"/>
          <w:sz w:val="24"/>
        </w:rPr>
        <w:t>金额申购、份额赎回</w:t>
      </w:r>
      <w:r>
        <w:rPr>
          <w:rFonts w:eastAsiaTheme="minorEastAsia"/>
          <w:kern w:val="0"/>
          <w:sz w:val="24"/>
        </w:rPr>
        <w:t>”</w:t>
      </w:r>
      <w:r>
        <w:rPr>
          <w:rFonts w:eastAsiaTheme="minorEastAsia" w:hAnsiTheme="minorEastAsia"/>
          <w:kern w:val="0"/>
          <w:sz w:val="24"/>
        </w:rPr>
        <w:t>原则，即申购以金额申请，赎回以份额申请；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、当日的申购与赎回申请可以在基金管理人规定的时间以内撤销；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、赎回遵循</w:t>
      </w:r>
      <w:r>
        <w:rPr>
          <w:rFonts w:eastAsiaTheme="minorEastAsia"/>
          <w:kern w:val="0"/>
          <w:sz w:val="24"/>
        </w:rPr>
        <w:t>“</w:t>
      </w:r>
      <w:r>
        <w:rPr>
          <w:rFonts w:eastAsiaTheme="minorEastAsia" w:hAnsiTheme="minorEastAsia"/>
          <w:kern w:val="0"/>
          <w:sz w:val="24"/>
        </w:rPr>
        <w:t>先进先出</w:t>
      </w:r>
      <w:r>
        <w:rPr>
          <w:rFonts w:eastAsiaTheme="minorEastAsia"/>
          <w:kern w:val="0"/>
          <w:sz w:val="24"/>
        </w:rPr>
        <w:t>”</w:t>
      </w:r>
      <w:r>
        <w:rPr>
          <w:rFonts w:eastAsiaTheme="minorEastAsia" w:hAnsiTheme="minorEastAsia"/>
          <w:kern w:val="0"/>
          <w:sz w:val="24"/>
        </w:rPr>
        <w:t>原则，即按照投资人认购、申购的先后次序进行顺序赎回；</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hAnsiTheme="minorEastAsia"/>
          <w:kern w:val="0"/>
          <w:sz w:val="24"/>
        </w:rPr>
        <w:t>、办理申购、赎回业务时，应当遵循基金份额持有人利益优先原则</w:t>
      </w:r>
      <w:r>
        <w:rPr>
          <w:rFonts w:eastAsiaTheme="minorEastAsia" w:hAnsiTheme="minorEastAsia" w:hint="eastAsia"/>
          <w:kern w:val="0"/>
          <w:sz w:val="24"/>
        </w:rPr>
        <w:t>，确保投资者的合法权益不受损害并得到公平对待</w:t>
      </w:r>
      <w:r>
        <w:rPr>
          <w:rFonts w:eastAsiaTheme="minorEastAsia" w:hAnsi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基金管理人可在法律法规允许的情况下，对上述原则进行调整。基金管理人必须在新规则开始实施前依照《信息披露办法》的有关规定</w:t>
      </w:r>
      <w:r>
        <w:rPr>
          <w:rFonts w:eastAsiaTheme="minorEastAsia" w:hAnsiTheme="minorEastAsia" w:hint="eastAsia"/>
          <w:kern w:val="0"/>
          <w:sz w:val="24"/>
        </w:rPr>
        <w:t>在</w:t>
      </w:r>
      <w:r>
        <w:rPr>
          <w:rFonts w:eastAsiaTheme="minorEastAsia" w:hAnsiTheme="minorEastAsia"/>
          <w:kern w:val="0"/>
          <w:sz w:val="24"/>
        </w:rPr>
        <w:t>指定媒介上公告。</w:t>
      </w:r>
    </w:p>
    <w:p w:rsidR="00CB515E" w:rsidRDefault="005F186E">
      <w:pPr>
        <w:autoSpaceDE w:val="0"/>
        <w:autoSpaceDN w:val="0"/>
        <w:adjustRightInd w:val="0"/>
        <w:snapToGrid w:val="0"/>
        <w:spacing w:line="360" w:lineRule="auto"/>
        <w:ind w:firstLineChars="200" w:firstLine="482"/>
        <w:rPr>
          <w:b/>
          <w:bCs/>
          <w:sz w:val="24"/>
        </w:rPr>
      </w:pPr>
      <w:r>
        <w:rPr>
          <w:rFonts w:hAnsi="Arial Unicode MS"/>
          <w:b/>
          <w:bCs/>
          <w:sz w:val="24"/>
        </w:rPr>
        <w:t>四、申购与赎回的数额限制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、首次</w:t>
      </w:r>
      <w:r>
        <w:rPr>
          <w:rFonts w:eastAsiaTheme="minorEastAsia" w:hAnsiTheme="minorEastAsia" w:hint="eastAsia"/>
          <w:kern w:val="0"/>
          <w:sz w:val="24"/>
        </w:rPr>
        <w:t>申购</w:t>
      </w:r>
      <w:r>
        <w:rPr>
          <w:rFonts w:eastAsiaTheme="minorEastAsia" w:hAnsiTheme="minorEastAsia"/>
          <w:kern w:val="0"/>
          <w:sz w:val="24"/>
        </w:rPr>
        <w:t>基金份额的最低金额为</w:t>
      </w:r>
      <w:r>
        <w:rPr>
          <w:rFonts w:eastAsiaTheme="minorEastAsia"/>
          <w:kern w:val="0"/>
          <w:sz w:val="24"/>
        </w:rPr>
        <w:t>1.00</w:t>
      </w:r>
      <w:r>
        <w:rPr>
          <w:rFonts w:eastAsiaTheme="minorEastAsia" w:hAnsiTheme="minorEastAsia"/>
          <w:kern w:val="0"/>
          <w:sz w:val="24"/>
        </w:rPr>
        <w:t>元</w:t>
      </w:r>
      <w:r>
        <w:rPr>
          <w:rFonts w:eastAsiaTheme="minorEastAsia" w:hAnsiTheme="minorEastAsia" w:hint="eastAsia"/>
          <w:kern w:val="0"/>
          <w:sz w:val="24"/>
        </w:rPr>
        <w:t>（含</w:t>
      </w:r>
      <w:r>
        <w:rPr>
          <w:rFonts w:eastAsiaTheme="minorEastAsia" w:hAnsiTheme="minorEastAsia"/>
          <w:kern w:val="0"/>
          <w:sz w:val="24"/>
        </w:rPr>
        <w:t>申购费</w:t>
      </w:r>
      <w:r>
        <w:rPr>
          <w:rFonts w:eastAsiaTheme="minorEastAsia" w:hAnsiTheme="minorEastAsia" w:hint="eastAsia"/>
          <w:kern w:val="0"/>
          <w:sz w:val="24"/>
        </w:rPr>
        <w:t>）</w:t>
      </w:r>
      <w:r>
        <w:rPr>
          <w:rFonts w:eastAsiaTheme="minorEastAsia" w:hAnsiTheme="minorEastAsia"/>
          <w:kern w:val="0"/>
          <w:sz w:val="24"/>
        </w:rPr>
        <w:t>，追加</w:t>
      </w:r>
      <w:r>
        <w:rPr>
          <w:rFonts w:eastAsiaTheme="minorEastAsia" w:hAnsiTheme="minorEastAsia" w:hint="eastAsia"/>
          <w:kern w:val="0"/>
          <w:sz w:val="24"/>
        </w:rPr>
        <w:t>申购</w:t>
      </w:r>
      <w:r>
        <w:rPr>
          <w:rFonts w:eastAsiaTheme="minorEastAsia" w:hAnsiTheme="minorEastAsia"/>
          <w:kern w:val="0"/>
          <w:sz w:val="24"/>
        </w:rPr>
        <w:t>最低金额为</w:t>
      </w:r>
      <w:r>
        <w:rPr>
          <w:rFonts w:eastAsiaTheme="minorEastAsia"/>
          <w:kern w:val="0"/>
          <w:sz w:val="24"/>
        </w:rPr>
        <w:t>1.00</w:t>
      </w:r>
      <w:r>
        <w:rPr>
          <w:rFonts w:eastAsiaTheme="minorEastAsia" w:hAnsiTheme="minorEastAsia"/>
          <w:kern w:val="0"/>
          <w:sz w:val="24"/>
        </w:rPr>
        <w:t>元</w:t>
      </w:r>
      <w:r>
        <w:rPr>
          <w:rFonts w:eastAsiaTheme="minorEastAsia" w:hAnsiTheme="minorEastAsia" w:hint="eastAsia"/>
          <w:kern w:val="0"/>
          <w:sz w:val="24"/>
        </w:rPr>
        <w:t>（含申购费）</w:t>
      </w:r>
      <w:r>
        <w:rPr>
          <w:rFonts w:eastAsiaTheme="minorEastAsia" w:hAnsiTheme="minorEastAsia"/>
          <w:kern w:val="0"/>
          <w:sz w:val="24"/>
        </w:rPr>
        <w:t>；详情请见当地销售机构公告</w:t>
      </w:r>
      <w:r>
        <w:rPr>
          <w:rFonts w:eastAsiaTheme="minorEastAsia" w:hAnsi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、每个交易账户最低持有基金份额余额为</w:t>
      </w:r>
      <w:r>
        <w:rPr>
          <w:rFonts w:eastAsiaTheme="minorEastAsia"/>
          <w:kern w:val="0"/>
          <w:sz w:val="24"/>
        </w:rPr>
        <w:t>1</w:t>
      </w:r>
      <w:r>
        <w:rPr>
          <w:rFonts w:eastAsiaTheme="minorEastAsia" w:hAnsiTheme="minorEastAsia"/>
          <w:kern w:val="0"/>
          <w:sz w:val="24"/>
        </w:rPr>
        <w:t>份，若某笔赎回导致单个交易账户的基金份额余额少于</w:t>
      </w:r>
      <w:r>
        <w:rPr>
          <w:rFonts w:eastAsiaTheme="minorEastAsia"/>
          <w:kern w:val="0"/>
          <w:sz w:val="24"/>
        </w:rPr>
        <w:t>1</w:t>
      </w:r>
      <w:r>
        <w:rPr>
          <w:rFonts w:eastAsiaTheme="minorEastAsia" w:hAnsiTheme="minorEastAsia"/>
          <w:kern w:val="0"/>
          <w:sz w:val="24"/>
        </w:rPr>
        <w:t>份时，余额部分基金份额必须一同赎回</w:t>
      </w:r>
      <w:r>
        <w:rPr>
          <w:rFonts w:eastAsiaTheme="minorEastAsia" w:hAnsi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、本基金目前对单个投资人累计持有份额不设上限限制，基金管理人可以规定单个投资者累计持有的基金份额数量限制，具体规定见定期更新的招募说明书或相关公告</w:t>
      </w:r>
      <w:r>
        <w:rPr>
          <w:rFonts w:eastAsiaTheme="minorEastAsia" w:hAnsiTheme="minorEastAsia" w:hint="eastAsia"/>
          <w:kern w:val="0"/>
          <w:sz w:val="24"/>
        </w:rPr>
        <w:t>。</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4</w:t>
      </w:r>
      <w:r>
        <w:rPr>
          <w:rFonts w:eastAsiaTheme="minorEastAsia" w:hAnsiTheme="minorEastAsia"/>
          <w:kern w:val="0"/>
          <w:sz w:val="24"/>
        </w:rPr>
        <w:t>、</w:t>
      </w:r>
      <w:r>
        <w:rPr>
          <w:rFonts w:eastAsiaTheme="minorEastAsia" w:hAnsiTheme="minorEastAsia"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5</w:t>
      </w:r>
      <w:r>
        <w:rPr>
          <w:rFonts w:eastAsiaTheme="minorEastAsia" w:hAnsiTheme="minorEastAsia" w:hint="eastAsia"/>
          <w:kern w:val="0"/>
          <w:sz w:val="24"/>
        </w:rPr>
        <w:t>、</w:t>
      </w:r>
      <w:r>
        <w:rPr>
          <w:rFonts w:eastAsiaTheme="minorEastAsia" w:hAnsiTheme="minorEastAsia"/>
          <w:kern w:val="0"/>
          <w:sz w:val="24"/>
        </w:rPr>
        <w:t>基金管理人可在法律法规允许的情况下，调整上述规定申购金额和赎回份额等数量限制。基金管理人必须在调整实施前依照《信息披露办法》的有关规定进行公告并报中国证监会备案。</w:t>
      </w:r>
    </w:p>
    <w:p w:rsidR="00CB515E" w:rsidRDefault="005F186E">
      <w:pPr>
        <w:autoSpaceDE w:val="0"/>
        <w:autoSpaceDN w:val="0"/>
        <w:adjustRightInd w:val="0"/>
        <w:snapToGrid w:val="0"/>
        <w:spacing w:line="360" w:lineRule="auto"/>
        <w:ind w:firstLineChars="200" w:firstLine="482"/>
        <w:rPr>
          <w:b/>
          <w:sz w:val="24"/>
        </w:rPr>
      </w:pPr>
      <w:r>
        <w:rPr>
          <w:rFonts w:hAnsi="Arial Unicode MS"/>
          <w:b/>
          <w:sz w:val="24"/>
        </w:rPr>
        <w:t>五、申购与赎回的程序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、申购和赎回的申请方式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投资人必须根据销售机构规定的程序，在开放日的具体业务办理时间内提出申购或赎回的申请。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、申购和赎回的款项支付</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投资人申购基金份额时，必须全额交付申购款项，投资人全额交付申购款项，申购申请成立；登记机构确认基金份额时，申购生效。</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基金份额持有人递交赎回申请，赎回成立；登记机构确认赎回时，赎回生效。投资人赎回申请生效后，基金管理人将在</w:t>
      </w:r>
      <w:r>
        <w:rPr>
          <w:rFonts w:eastAsiaTheme="minorEastAsia"/>
          <w:kern w:val="0"/>
          <w:sz w:val="24"/>
        </w:rPr>
        <w:t>T</w:t>
      </w:r>
      <w:r>
        <w:rPr>
          <w:rFonts w:eastAsiaTheme="minorEastAsia" w:hAnsiTheme="minorEastAsia"/>
          <w:kern w:val="0"/>
          <w:sz w:val="24"/>
        </w:rPr>
        <w:t>＋</w:t>
      </w:r>
      <w:r>
        <w:rPr>
          <w:rFonts w:eastAsiaTheme="minorEastAsia"/>
          <w:kern w:val="0"/>
          <w:sz w:val="24"/>
        </w:rPr>
        <w:t>7</w:t>
      </w:r>
      <w:r>
        <w:rPr>
          <w:rFonts w:eastAsiaTheme="minorEastAsia" w:hAnsiTheme="minorEastAsia"/>
          <w:kern w:val="0"/>
          <w:sz w:val="24"/>
        </w:rPr>
        <w:t>日（包括该日）内支付赎回款项。在发生巨额赎回或基金合同约定的其他暂停赎回或延缓支付赎回款项的情形时，款项的支付办法参照基金合同有关条款处理。</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遇交易所或交易市场数据传输延迟、通讯系统故障、银行数据交换系统故障或其他非基金管理人及基金托管人所能控制的因素影响业务处理流程，则赎回款项划付时间相应顺延</w:t>
      </w:r>
      <w:r>
        <w:rPr>
          <w:rFonts w:eastAsiaTheme="minorEastAsia" w:hAnsiTheme="minorEastAsia"/>
          <w:bCs/>
          <w:kern w:val="0"/>
          <w:sz w:val="24"/>
        </w:rPr>
        <w:t>至该影响因素消除的最近一个工作日</w:t>
      </w:r>
      <w:r>
        <w:rPr>
          <w:rFonts w:eastAsiaTheme="minorEastAsia" w:hAnsiTheme="minorEastAsia"/>
          <w:kern w:val="0"/>
          <w:sz w:val="24"/>
        </w:rPr>
        <w:t>。</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、申购和赎回申请的确认</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基金管理人应以交易时间结束前受理有效申购和赎回申请的当天作为申购或赎回申请日（</w:t>
      </w:r>
      <w:r>
        <w:rPr>
          <w:rFonts w:eastAsiaTheme="minorEastAsia"/>
          <w:kern w:val="0"/>
          <w:sz w:val="24"/>
        </w:rPr>
        <w:t>T</w:t>
      </w:r>
      <w:r>
        <w:rPr>
          <w:rFonts w:eastAsiaTheme="minorEastAsia" w:hAnsiTheme="minorEastAsia"/>
          <w:kern w:val="0"/>
          <w:sz w:val="24"/>
        </w:rPr>
        <w:t>日），在正常情况下，本基金登记机构在</w:t>
      </w:r>
      <w:r>
        <w:rPr>
          <w:rFonts w:eastAsiaTheme="minorEastAsia"/>
          <w:kern w:val="0"/>
          <w:sz w:val="24"/>
        </w:rPr>
        <w:t>T+1</w:t>
      </w:r>
      <w:r>
        <w:rPr>
          <w:rFonts w:eastAsiaTheme="minorEastAsia" w:hAnsiTheme="minorEastAsia"/>
          <w:kern w:val="0"/>
          <w:sz w:val="24"/>
        </w:rPr>
        <w:t>日内对该交易的有效性进行确认。</w:t>
      </w:r>
      <w:r>
        <w:rPr>
          <w:rFonts w:eastAsiaTheme="minorEastAsia"/>
          <w:kern w:val="0"/>
          <w:sz w:val="24"/>
        </w:rPr>
        <w:t>T</w:t>
      </w:r>
      <w:r>
        <w:rPr>
          <w:rFonts w:eastAsiaTheme="minorEastAsia" w:hAnsiTheme="minorEastAsia"/>
          <w:kern w:val="0"/>
          <w:sz w:val="24"/>
        </w:rPr>
        <w:t>日提交的有效申请，投资人</w:t>
      </w:r>
      <w:r>
        <w:rPr>
          <w:rFonts w:eastAsiaTheme="minorEastAsia" w:hAnsiTheme="minorEastAsia" w:hint="eastAsia"/>
          <w:kern w:val="0"/>
          <w:sz w:val="24"/>
        </w:rPr>
        <w:t>可</w:t>
      </w:r>
      <w:r>
        <w:rPr>
          <w:rFonts w:eastAsiaTheme="minorEastAsia" w:hAnsiTheme="minorEastAsia"/>
          <w:kern w:val="0"/>
          <w:sz w:val="24"/>
        </w:rPr>
        <w:t>在</w:t>
      </w:r>
      <w:r>
        <w:rPr>
          <w:rFonts w:eastAsiaTheme="minorEastAsia"/>
          <w:kern w:val="0"/>
          <w:sz w:val="24"/>
        </w:rPr>
        <w:t>T+2</w:t>
      </w:r>
      <w:r>
        <w:rPr>
          <w:rFonts w:eastAsiaTheme="minorEastAsia" w:hAnsiTheme="minorEastAsia"/>
          <w:kern w:val="0"/>
          <w:sz w:val="24"/>
        </w:rPr>
        <w:t>日后（包括该日）及时到销售网点柜台或以销售机构规定的其他方式查询申请的确认情况。若申购不成功或无效，则申购款项本金退还给投资人。</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基金销售机构对申购、赎回申请的受理并不代表申请一定成功，而仅代表销售机构确实接收到申请。申购、赎回申请的确认以登记机构的确认结果为准。对于申请的确认情况，投资者应及时查询。</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基金管理人可以在法律法规和基金合同允许的范围内，对上述业务办理时间进行调整，并在调整实施前依照《信息披露办法》的有关规定在指定媒介上公告。</w:t>
      </w:r>
    </w:p>
    <w:p w:rsidR="00CB515E" w:rsidRDefault="005F186E">
      <w:pPr>
        <w:autoSpaceDE w:val="0"/>
        <w:autoSpaceDN w:val="0"/>
        <w:adjustRightInd w:val="0"/>
        <w:snapToGrid w:val="0"/>
        <w:spacing w:line="500" w:lineRule="exact"/>
        <w:ind w:firstLineChars="200" w:firstLine="482"/>
        <w:rPr>
          <w:b/>
          <w:bCs/>
          <w:sz w:val="24"/>
        </w:rPr>
      </w:pPr>
      <w:r>
        <w:rPr>
          <w:rFonts w:hAnsi="Arial Unicode MS"/>
          <w:b/>
          <w:kern w:val="0"/>
          <w:sz w:val="24"/>
        </w:rPr>
        <w:t>六</w:t>
      </w:r>
      <w:r>
        <w:rPr>
          <w:rFonts w:hAnsi="Arial Unicode MS"/>
          <w:b/>
          <w:bCs/>
          <w:sz w:val="24"/>
        </w:rPr>
        <w:t>、申购费率、赎回费率</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、投资者可以多次申购本基金，申购费率按每笔申购申请单独计算。</w:t>
      </w:r>
    </w:p>
    <w:p w:rsidR="00CB515E" w:rsidRDefault="005F186E">
      <w:pPr>
        <w:adjustRightInd w:val="0"/>
        <w:snapToGrid w:val="0"/>
        <w:spacing w:line="500" w:lineRule="exact"/>
        <w:ind w:firstLineChars="200" w:firstLine="480"/>
        <w:rPr>
          <w:rFonts w:eastAsiaTheme="minorEastAsia"/>
          <w:kern w:val="0"/>
          <w:sz w:val="24"/>
        </w:rPr>
      </w:pPr>
      <w:r>
        <w:rPr>
          <w:rFonts w:eastAsiaTheme="minorEastAsia" w:hAnsiTheme="minorEastAsia"/>
          <w:kern w:val="0"/>
          <w:sz w:val="24"/>
        </w:rPr>
        <w:t>本基金基金份额采用前端收费模式收取基金申购费用。投资者的申购费用如下：</w:t>
      </w:r>
    </w:p>
    <w:p w:rsidR="00CB515E" w:rsidRDefault="005F186E">
      <w:pPr>
        <w:snapToGrid w:val="0"/>
        <w:jc w:val="center"/>
        <w:rPr>
          <w:rFonts w:hAnsi="Arial Unicode MS"/>
          <w:sz w:val="24"/>
        </w:rPr>
      </w:pPr>
      <w:r>
        <w:rPr>
          <w:rFonts w:hAnsi="Arial Unicode MS"/>
          <w:sz w:val="24"/>
        </w:rPr>
        <w:t>表</w:t>
      </w:r>
      <w:r>
        <w:rPr>
          <w:rFonts w:hAnsi="Arial Unicode MS" w:hint="eastAsia"/>
          <w:sz w:val="24"/>
        </w:rPr>
        <w:t>1</w:t>
      </w:r>
      <w:r>
        <w:rPr>
          <w:rFonts w:hAnsi="Arial Unicode MS"/>
          <w:sz w:val="24"/>
        </w:rPr>
        <w:t>：本基金份额的申购费率</w:t>
      </w:r>
    </w:p>
    <w:p w:rsidR="00CB515E" w:rsidRDefault="00CB515E">
      <w:pPr>
        <w:snapToGrid w:val="0"/>
        <w:spacing w:line="360" w:lineRule="auto"/>
        <w:jc w:val="center"/>
        <w:rPr>
          <w:rFonts w:hAnsi="Arial Unicode MS"/>
          <w:sz w:val="24"/>
        </w:rPr>
      </w:pPr>
    </w:p>
    <w:tbl>
      <w:tblPr>
        <w:tblpPr w:leftFromText="180" w:rightFromText="180" w:vertAnchor="text" w:horzAnchor="margin" w:tblpY="-15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1"/>
        <w:gridCol w:w="4431"/>
      </w:tblGrid>
      <w:tr w:rsidR="00CB515E">
        <w:trPr>
          <w:trHeight w:val="190"/>
        </w:trPr>
        <w:tc>
          <w:tcPr>
            <w:tcW w:w="4091" w:type="dxa"/>
          </w:tcPr>
          <w:p w:rsidR="00CB515E" w:rsidRDefault="005F186E">
            <w:pPr>
              <w:snapToGrid w:val="0"/>
              <w:jc w:val="center"/>
              <w:rPr>
                <w:rFonts w:hAnsi="Arial Unicode MS"/>
                <w:sz w:val="24"/>
              </w:rPr>
            </w:pPr>
            <w:r>
              <w:rPr>
                <w:rFonts w:hAnsi="Arial Unicode MS" w:hint="eastAsia"/>
                <w:sz w:val="24"/>
              </w:rPr>
              <w:t>申购</w:t>
            </w:r>
            <w:r>
              <w:rPr>
                <w:rFonts w:hAnsi="Arial Unicode MS"/>
                <w:sz w:val="24"/>
              </w:rPr>
              <w:t>金额（</w:t>
            </w:r>
            <w:r>
              <w:rPr>
                <w:rFonts w:hAnsi="Arial Unicode MS"/>
                <w:sz w:val="24"/>
              </w:rPr>
              <w:t>M</w:t>
            </w:r>
            <w:r>
              <w:rPr>
                <w:rFonts w:hAnsi="Arial Unicode MS"/>
                <w:sz w:val="24"/>
              </w:rPr>
              <w:t>）</w:t>
            </w:r>
          </w:p>
        </w:tc>
        <w:tc>
          <w:tcPr>
            <w:tcW w:w="4431" w:type="dxa"/>
          </w:tcPr>
          <w:p w:rsidR="00CB515E" w:rsidRDefault="005F186E">
            <w:pPr>
              <w:snapToGrid w:val="0"/>
              <w:jc w:val="center"/>
              <w:rPr>
                <w:rFonts w:hAnsi="Arial Unicode MS"/>
                <w:sz w:val="24"/>
              </w:rPr>
            </w:pPr>
            <w:r>
              <w:rPr>
                <w:rFonts w:hAnsi="Arial Unicode MS"/>
                <w:sz w:val="24"/>
              </w:rPr>
              <w:t>申购费率</w:t>
            </w:r>
          </w:p>
        </w:tc>
      </w:tr>
      <w:tr w:rsidR="00CB515E">
        <w:trPr>
          <w:trHeight w:val="190"/>
        </w:trPr>
        <w:tc>
          <w:tcPr>
            <w:tcW w:w="4091" w:type="dxa"/>
          </w:tcPr>
          <w:p w:rsidR="00CB515E" w:rsidRDefault="005F186E">
            <w:pPr>
              <w:snapToGrid w:val="0"/>
              <w:jc w:val="center"/>
              <w:rPr>
                <w:rFonts w:hAnsi="Arial Unicode MS"/>
                <w:sz w:val="24"/>
              </w:rPr>
            </w:pPr>
            <w:r>
              <w:rPr>
                <w:rFonts w:hAnsi="Arial Unicode MS"/>
                <w:sz w:val="24"/>
              </w:rPr>
              <w:t>M</w:t>
            </w:r>
            <w:r>
              <w:rPr>
                <w:rFonts w:hAnsi="Arial Unicode MS"/>
                <w:sz w:val="24"/>
              </w:rPr>
              <w:t>＜</w:t>
            </w:r>
            <w:r>
              <w:rPr>
                <w:rFonts w:hAnsi="Arial Unicode MS"/>
                <w:sz w:val="24"/>
              </w:rPr>
              <w:t>100</w:t>
            </w:r>
            <w:r>
              <w:rPr>
                <w:rFonts w:hAnsi="Arial Unicode MS"/>
                <w:sz w:val="24"/>
              </w:rPr>
              <w:t>万</w:t>
            </w:r>
          </w:p>
        </w:tc>
        <w:tc>
          <w:tcPr>
            <w:tcW w:w="4431" w:type="dxa"/>
          </w:tcPr>
          <w:p w:rsidR="00CB515E" w:rsidRDefault="005F186E">
            <w:pPr>
              <w:snapToGrid w:val="0"/>
              <w:jc w:val="center"/>
              <w:rPr>
                <w:rFonts w:hAnsi="Arial Unicode MS"/>
                <w:sz w:val="24"/>
              </w:rPr>
            </w:pPr>
            <w:r>
              <w:rPr>
                <w:rFonts w:hAnsi="Arial Unicode MS"/>
                <w:sz w:val="24"/>
              </w:rPr>
              <w:t>0.80%</w:t>
            </w:r>
          </w:p>
        </w:tc>
      </w:tr>
      <w:tr w:rsidR="00CB515E">
        <w:trPr>
          <w:trHeight w:val="190"/>
        </w:trPr>
        <w:tc>
          <w:tcPr>
            <w:tcW w:w="4091" w:type="dxa"/>
          </w:tcPr>
          <w:p w:rsidR="00CB515E" w:rsidRDefault="005F186E">
            <w:pPr>
              <w:snapToGrid w:val="0"/>
              <w:jc w:val="center"/>
              <w:rPr>
                <w:rFonts w:hAnsi="Arial Unicode MS"/>
                <w:sz w:val="24"/>
              </w:rPr>
            </w:pPr>
            <w:r>
              <w:rPr>
                <w:rFonts w:hAnsi="Arial Unicode MS"/>
                <w:sz w:val="24"/>
              </w:rPr>
              <w:t>100</w:t>
            </w:r>
            <w:r>
              <w:rPr>
                <w:rFonts w:hAnsi="Arial Unicode MS"/>
                <w:sz w:val="24"/>
              </w:rPr>
              <w:t>万</w:t>
            </w:r>
            <w:r>
              <w:rPr>
                <w:rFonts w:eastAsiaTheme="minorEastAsia" w:hAnsiTheme="minorEastAsia"/>
                <w:kern w:val="0"/>
                <w:sz w:val="24"/>
              </w:rPr>
              <w:t>≤</w:t>
            </w:r>
            <w:r>
              <w:rPr>
                <w:rFonts w:hAnsi="Arial Unicode MS"/>
                <w:sz w:val="24"/>
              </w:rPr>
              <w:t>M</w:t>
            </w:r>
            <w:r>
              <w:rPr>
                <w:rFonts w:hAnsi="Arial Unicode MS"/>
                <w:sz w:val="24"/>
              </w:rPr>
              <w:t>＜</w:t>
            </w:r>
            <w:r>
              <w:rPr>
                <w:rFonts w:hAnsi="Arial Unicode MS"/>
                <w:sz w:val="24"/>
              </w:rPr>
              <w:t>300</w:t>
            </w:r>
            <w:r>
              <w:rPr>
                <w:rFonts w:hAnsi="Arial Unicode MS"/>
                <w:sz w:val="24"/>
              </w:rPr>
              <w:t>万</w:t>
            </w:r>
          </w:p>
        </w:tc>
        <w:tc>
          <w:tcPr>
            <w:tcW w:w="4431" w:type="dxa"/>
          </w:tcPr>
          <w:p w:rsidR="00CB515E" w:rsidRDefault="005F186E">
            <w:pPr>
              <w:snapToGrid w:val="0"/>
              <w:jc w:val="center"/>
              <w:rPr>
                <w:rFonts w:hAnsi="Arial Unicode MS"/>
                <w:sz w:val="24"/>
              </w:rPr>
            </w:pPr>
            <w:r>
              <w:rPr>
                <w:rFonts w:hAnsi="Arial Unicode MS"/>
                <w:sz w:val="24"/>
              </w:rPr>
              <w:t>0.50%</w:t>
            </w:r>
          </w:p>
        </w:tc>
      </w:tr>
      <w:tr w:rsidR="00CB515E">
        <w:trPr>
          <w:trHeight w:val="190"/>
        </w:trPr>
        <w:tc>
          <w:tcPr>
            <w:tcW w:w="4091" w:type="dxa"/>
          </w:tcPr>
          <w:p w:rsidR="00CB515E" w:rsidRDefault="005F186E">
            <w:pPr>
              <w:snapToGrid w:val="0"/>
              <w:jc w:val="center"/>
              <w:rPr>
                <w:rFonts w:hAnsi="Arial Unicode MS"/>
                <w:sz w:val="24"/>
              </w:rPr>
            </w:pPr>
            <w:r>
              <w:rPr>
                <w:rFonts w:hAnsi="Arial Unicode MS"/>
                <w:sz w:val="24"/>
              </w:rPr>
              <w:t>300</w:t>
            </w:r>
            <w:r>
              <w:rPr>
                <w:rFonts w:hAnsi="Arial Unicode MS"/>
                <w:sz w:val="24"/>
              </w:rPr>
              <w:t>万</w:t>
            </w:r>
            <w:r>
              <w:rPr>
                <w:rFonts w:eastAsiaTheme="minorEastAsia" w:hAnsiTheme="minorEastAsia"/>
                <w:kern w:val="0"/>
                <w:sz w:val="24"/>
              </w:rPr>
              <w:t>≤</w:t>
            </w:r>
            <w:r>
              <w:rPr>
                <w:rFonts w:hAnsi="Arial Unicode MS"/>
                <w:sz w:val="24"/>
              </w:rPr>
              <w:t>M</w:t>
            </w:r>
            <w:r>
              <w:rPr>
                <w:rFonts w:hAnsi="Arial Unicode MS"/>
                <w:sz w:val="24"/>
              </w:rPr>
              <w:t>＜</w:t>
            </w:r>
            <w:r>
              <w:rPr>
                <w:rFonts w:hAnsi="Arial Unicode MS"/>
                <w:sz w:val="24"/>
              </w:rPr>
              <w:t>500</w:t>
            </w:r>
            <w:r>
              <w:rPr>
                <w:rFonts w:hAnsi="Arial Unicode MS"/>
                <w:sz w:val="24"/>
              </w:rPr>
              <w:t>万</w:t>
            </w:r>
          </w:p>
        </w:tc>
        <w:tc>
          <w:tcPr>
            <w:tcW w:w="4431" w:type="dxa"/>
          </w:tcPr>
          <w:p w:rsidR="00CB515E" w:rsidRDefault="005F186E">
            <w:pPr>
              <w:snapToGrid w:val="0"/>
              <w:jc w:val="center"/>
              <w:rPr>
                <w:rFonts w:hAnsi="Arial Unicode MS"/>
                <w:sz w:val="24"/>
              </w:rPr>
            </w:pPr>
            <w:r>
              <w:rPr>
                <w:rFonts w:hAnsi="Arial Unicode MS"/>
                <w:sz w:val="24"/>
              </w:rPr>
              <w:t>0.30%</w:t>
            </w:r>
          </w:p>
        </w:tc>
      </w:tr>
      <w:tr w:rsidR="00CB515E">
        <w:trPr>
          <w:trHeight w:val="190"/>
        </w:trPr>
        <w:tc>
          <w:tcPr>
            <w:tcW w:w="4091" w:type="dxa"/>
          </w:tcPr>
          <w:p w:rsidR="00CB515E" w:rsidRDefault="005F186E">
            <w:pPr>
              <w:snapToGrid w:val="0"/>
              <w:jc w:val="center"/>
              <w:rPr>
                <w:rFonts w:hAnsi="Arial Unicode MS"/>
                <w:sz w:val="24"/>
              </w:rPr>
            </w:pPr>
            <w:r>
              <w:rPr>
                <w:rFonts w:hAnsi="Arial Unicode MS"/>
                <w:sz w:val="24"/>
              </w:rPr>
              <w:t>M</w:t>
            </w:r>
            <w:r>
              <w:rPr>
                <w:rFonts w:eastAsiaTheme="minorEastAsia" w:hAnsiTheme="minorEastAsia"/>
                <w:kern w:val="0"/>
                <w:sz w:val="24"/>
              </w:rPr>
              <w:t>≥</w:t>
            </w:r>
            <w:r>
              <w:rPr>
                <w:rFonts w:hAnsi="Arial Unicode MS"/>
                <w:sz w:val="24"/>
              </w:rPr>
              <w:t>500</w:t>
            </w:r>
            <w:r>
              <w:rPr>
                <w:rFonts w:hAnsi="Arial Unicode MS"/>
                <w:sz w:val="24"/>
              </w:rPr>
              <w:t>万</w:t>
            </w:r>
          </w:p>
        </w:tc>
        <w:tc>
          <w:tcPr>
            <w:tcW w:w="4431" w:type="dxa"/>
          </w:tcPr>
          <w:p w:rsidR="00CB515E" w:rsidRDefault="005F186E">
            <w:pPr>
              <w:snapToGrid w:val="0"/>
              <w:jc w:val="center"/>
              <w:rPr>
                <w:rFonts w:hAnsi="Arial Unicode MS"/>
                <w:sz w:val="24"/>
              </w:rPr>
            </w:pPr>
            <w:r>
              <w:rPr>
                <w:rFonts w:hAnsi="Arial Unicode MS"/>
                <w:sz w:val="24"/>
              </w:rPr>
              <w:t>每笔</w:t>
            </w:r>
            <w:r>
              <w:rPr>
                <w:rFonts w:hAnsi="Arial Unicode MS"/>
                <w:sz w:val="24"/>
              </w:rPr>
              <w:t>1000</w:t>
            </w:r>
            <w:r>
              <w:rPr>
                <w:rFonts w:hAnsi="Arial Unicode MS"/>
                <w:sz w:val="24"/>
              </w:rPr>
              <w:t>元</w:t>
            </w:r>
          </w:p>
        </w:tc>
      </w:tr>
    </w:tbl>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本基金的申购费用由投资人承担，主要用于本基金的市场推广、销售、登记等各项费用，不列入基金财产。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、赎回费率见下表：</w:t>
      </w:r>
    </w:p>
    <w:p w:rsidR="00CB515E" w:rsidRDefault="005F186E">
      <w:pPr>
        <w:adjustRightInd w:val="0"/>
        <w:snapToGrid w:val="0"/>
        <w:ind w:firstLineChars="200" w:firstLine="480"/>
        <w:jc w:val="center"/>
        <w:rPr>
          <w:rFonts w:eastAsiaTheme="minorEastAsia" w:hAnsiTheme="minorEastAsia"/>
          <w:kern w:val="0"/>
          <w:sz w:val="24"/>
        </w:rPr>
      </w:pPr>
      <w:r>
        <w:rPr>
          <w:rFonts w:eastAsiaTheme="minorEastAsia" w:hAnsiTheme="minorEastAsia"/>
          <w:kern w:val="0"/>
          <w:sz w:val="24"/>
        </w:rPr>
        <w:t>表</w:t>
      </w:r>
      <w:r>
        <w:rPr>
          <w:rFonts w:eastAsiaTheme="minorEastAsia"/>
          <w:kern w:val="0"/>
          <w:sz w:val="24"/>
        </w:rPr>
        <w:t>2</w:t>
      </w:r>
      <w:r>
        <w:rPr>
          <w:rFonts w:eastAsiaTheme="minorEastAsia" w:hAnsiTheme="minorEastAsia"/>
          <w:kern w:val="0"/>
          <w:sz w:val="24"/>
        </w:rPr>
        <w:t>：本基金的赎回费率表</w:t>
      </w:r>
      <w:r>
        <w:rPr>
          <w:rFonts w:eastAsiaTheme="minorEastAsia" w:hAnsiTheme="minorEastAsia" w:hint="eastAsia"/>
          <w:kern w:val="0"/>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4"/>
        <w:gridCol w:w="4338"/>
      </w:tblGrid>
      <w:tr w:rsidR="00CB515E">
        <w:trPr>
          <w:cantSplit/>
          <w:trHeight w:val="272"/>
          <w:jc w:val="center"/>
        </w:trPr>
        <w:tc>
          <w:tcPr>
            <w:tcW w:w="4184" w:type="dxa"/>
            <w:vAlign w:val="center"/>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持有期间（</w:t>
            </w:r>
            <w:r>
              <w:rPr>
                <w:rFonts w:eastAsiaTheme="minorEastAsia" w:hAnsiTheme="minorEastAsia"/>
                <w:kern w:val="0"/>
                <w:sz w:val="24"/>
              </w:rPr>
              <w:t>Y</w:t>
            </w:r>
            <w:r>
              <w:rPr>
                <w:rFonts w:eastAsiaTheme="minorEastAsia" w:hAnsiTheme="minorEastAsia"/>
                <w:kern w:val="0"/>
                <w:sz w:val="24"/>
              </w:rPr>
              <w:t>）</w:t>
            </w:r>
          </w:p>
        </w:tc>
        <w:tc>
          <w:tcPr>
            <w:tcW w:w="4338" w:type="dxa"/>
            <w:vAlign w:val="center"/>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费率</w:t>
            </w:r>
          </w:p>
        </w:tc>
      </w:tr>
      <w:tr w:rsidR="00CB515E">
        <w:trPr>
          <w:cantSplit/>
          <w:trHeight w:val="272"/>
          <w:jc w:val="center"/>
        </w:trPr>
        <w:tc>
          <w:tcPr>
            <w:tcW w:w="4184" w:type="dxa"/>
            <w:vAlign w:val="center"/>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0</w:t>
            </w:r>
            <w:r>
              <w:rPr>
                <w:rFonts w:eastAsiaTheme="minorEastAsia" w:hAnsiTheme="minorEastAsia"/>
                <w:kern w:val="0"/>
                <w:sz w:val="24"/>
              </w:rPr>
              <w:t>≤</w:t>
            </w:r>
            <w:r>
              <w:rPr>
                <w:rFonts w:eastAsiaTheme="minorEastAsia" w:hAnsiTheme="minorEastAsia"/>
                <w:kern w:val="0"/>
                <w:sz w:val="24"/>
              </w:rPr>
              <w:t>Y</w:t>
            </w:r>
            <w:r>
              <w:rPr>
                <w:rFonts w:eastAsiaTheme="minorEastAsia" w:hAnsiTheme="minorEastAsia"/>
                <w:kern w:val="0"/>
                <w:sz w:val="24"/>
              </w:rPr>
              <w:t>＜</w:t>
            </w:r>
            <w:r>
              <w:rPr>
                <w:rFonts w:eastAsiaTheme="minorEastAsia" w:hAnsiTheme="minorEastAsia" w:hint="eastAsia"/>
                <w:kern w:val="0"/>
                <w:sz w:val="24"/>
              </w:rPr>
              <w:t>7</w:t>
            </w:r>
            <w:r>
              <w:rPr>
                <w:rFonts w:eastAsiaTheme="minorEastAsia" w:hAnsiTheme="minorEastAsia" w:hint="eastAsia"/>
                <w:kern w:val="0"/>
                <w:sz w:val="24"/>
              </w:rPr>
              <w:t>天</w:t>
            </w:r>
          </w:p>
        </w:tc>
        <w:tc>
          <w:tcPr>
            <w:tcW w:w="4338" w:type="dxa"/>
            <w:vAlign w:val="center"/>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hint="eastAsia"/>
                <w:kern w:val="0"/>
                <w:sz w:val="24"/>
              </w:rPr>
              <w:t>1.5%</w:t>
            </w:r>
          </w:p>
        </w:tc>
      </w:tr>
      <w:tr w:rsidR="00CB515E">
        <w:trPr>
          <w:cantSplit/>
          <w:trHeight w:val="272"/>
          <w:jc w:val="center"/>
        </w:trPr>
        <w:tc>
          <w:tcPr>
            <w:tcW w:w="4184" w:type="dxa"/>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hint="eastAsia"/>
                <w:kern w:val="0"/>
                <w:sz w:val="24"/>
              </w:rPr>
              <w:t>7</w:t>
            </w:r>
            <w:r>
              <w:rPr>
                <w:rFonts w:eastAsiaTheme="minorEastAsia" w:hAnsiTheme="minorEastAsia"/>
                <w:kern w:val="0"/>
                <w:sz w:val="24"/>
              </w:rPr>
              <w:t>≤</w:t>
            </w:r>
            <w:r>
              <w:rPr>
                <w:rFonts w:eastAsiaTheme="minorEastAsia" w:hAnsiTheme="minorEastAsia"/>
                <w:kern w:val="0"/>
                <w:sz w:val="24"/>
              </w:rPr>
              <w:t>Y</w:t>
            </w:r>
            <w:r>
              <w:rPr>
                <w:rFonts w:eastAsiaTheme="minorEastAsia" w:hAnsiTheme="minorEastAsia"/>
                <w:kern w:val="0"/>
                <w:sz w:val="24"/>
              </w:rPr>
              <w:t>＜</w:t>
            </w:r>
            <w:r>
              <w:rPr>
                <w:rFonts w:eastAsiaTheme="minorEastAsia" w:hAnsiTheme="minorEastAsia"/>
                <w:kern w:val="0"/>
                <w:sz w:val="24"/>
              </w:rPr>
              <w:t>3</w:t>
            </w:r>
            <w:r>
              <w:rPr>
                <w:rFonts w:eastAsiaTheme="minorEastAsia" w:hAnsiTheme="minorEastAsia"/>
                <w:kern w:val="0"/>
                <w:sz w:val="24"/>
              </w:rPr>
              <w:t>个月</w:t>
            </w:r>
          </w:p>
        </w:tc>
        <w:tc>
          <w:tcPr>
            <w:tcW w:w="4338" w:type="dxa"/>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0.10%</w:t>
            </w:r>
          </w:p>
        </w:tc>
      </w:tr>
      <w:tr w:rsidR="00CB515E">
        <w:trPr>
          <w:cantSplit/>
          <w:trHeight w:val="272"/>
          <w:jc w:val="center"/>
        </w:trPr>
        <w:tc>
          <w:tcPr>
            <w:tcW w:w="4184" w:type="dxa"/>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Y</w:t>
            </w:r>
            <w:r>
              <w:rPr>
                <w:rFonts w:eastAsiaTheme="minorEastAsia" w:hAnsiTheme="minorEastAsia"/>
                <w:kern w:val="0"/>
                <w:sz w:val="24"/>
              </w:rPr>
              <w:t>≥</w:t>
            </w:r>
            <w:r>
              <w:rPr>
                <w:rFonts w:eastAsiaTheme="minorEastAsia" w:hAnsiTheme="minorEastAsia"/>
                <w:kern w:val="0"/>
                <w:sz w:val="24"/>
              </w:rPr>
              <w:t>3</w:t>
            </w:r>
            <w:r>
              <w:rPr>
                <w:rFonts w:eastAsiaTheme="minorEastAsia" w:hAnsiTheme="minorEastAsia"/>
                <w:kern w:val="0"/>
                <w:sz w:val="24"/>
              </w:rPr>
              <w:t>个月</w:t>
            </w:r>
          </w:p>
        </w:tc>
        <w:tc>
          <w:tcPr>
            <w:tcW w:w="4338" w:type="dxa"/>
          </w:tcPr>
          <w:p w:rsidR="00CB515E" w:rsidRDefault="005F186E">
            <w:pPr>
              <w:adjustRightInd w:val="0"/>
              <w:snapToGrid w:val="0"/>
              <w:spacing w:line="360" w:lineRule="auto"/>
              <w:ind w:firstLineChars="200" w:firstLine="480"/>
              <w:jc w:val="center"/>
              <w:rPr>
                <w:rFonts w:eastAsiaTheme="minorEastAsia" w:hAnsiTheme="minorEastAsia"/>
                <w:kern w:val="0"/>
                <w:sz w:val="24"/>
              </w:rPr>
            </w:pPr>
            <w:r>
              <w:rPr>
                <w:rFonts w:eastAsiaTheme="minorEastAsia" w:hAnsiTheme="minorEastAsia"/>
                <w:kern w:val="0"/>
                <w:sz w:val="24"/>
              </w:rPr>
              <w:t>0%</w:t>
            </w:r>
          </w:p>
        </w:tc>
      </w:tr>
    </w:tbl>
    <w:p w:rsidR="00CB515E" w:rsidRDefault="00CB515E">
      <w:pPr>
        <w:adjustRightInd w:val="0"/>
        <w:snapToGrid w:val="0"/>
        <w:spacing w:line="360" w:lineRule="auto"/>
        <w:rPr>
          <w:rFonts w:eastAsiaTheme="minorEastAsia"/>
          <w:kern w:val="0"/>
          <w:sz w:val="24"/>
        </w:rPr>
      </w:pP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本基金的赎回费用由基金份额持有人承担，赎回费</w:t>
      </w:r>
      <w:r>
        <w:rPr>
          <w:rFonts w:eastAsiaTheme="minorEastAsia"/>
          <w:kern w:val="0"/>
          <w:sz w:val="24"/>
        </w:rPr>
        <w:t>100%</w:t>
      </w:r>
      <w:r>
        <w:rPr>
          <w:rFonts w:eastAsiaTheme="minorEastAsia" w:hAnsiTheme="minorEastAsia"/>
          <w:kern w:val="0"/>
          <w:sz w:val="24"/>
        </w:rPr>
        <w:t>计入基金财产。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、基金管理人可以在基金合同约定的范围内调整费率或收费方式，并</w:t>
      </w:r>
      <w:r>
        <w:rPr>
          <w:rFonts w:eastAsiaTheme="minorEastAsia" w:hAnsiTheme="minorEastAsia" w:hint="eastAsia"/>
          <w:kern w:val="0"/>
          <w:sz w:val="24"/>
        </w:rPr>
        <w:t>最迟应于新的费率或收费方式实施日前</w:t>
      </w:r>
      <w:r>
        <w:rPr>
          <w:rFonts w:eastAsiaTheme="minorEastAsia" w:hAnsiTheme="minorEastAsia"/>
          <w:kern w:val="0"/>
          <w:sz w:val="24"/>
        </w:rPr>
        <w:t>依照《信息披露办法》的有关规定</w:t>
      </w:r>
      <w:r>
        <w:rPr>
          <w:rFonts w:eastAsiaTheme="minorEastAsia" w:hAnsiTheme="minorEastAsia" w:hint="eastAsia"/>
          <w:kern w:val="0"/>
          <w:sz w:val="24"/>
        </w:rPr>
        <w:t>在</w:t>
      </w:r>
      <w:r>
        <w:rPr>
          <w:rFonts w:eastAsiaTheme="minorEastAsia" w:hAnsiTheme="minorEastAsia"/>
          <w:kern w:val="0"/>
          <w:sz w:val="24"/>
        </w:rPr>
        <w:t>指定媒介上公告。</w:t>
      </w:r>
    </w:p>
    <w:p w:rsidR="00CB515E" w:rsidRDefault="005F186E">
      <w:pPr>
        <w:tabs>
          <w:tab w:val="left" w:pos="1110"/>
        </w:tabs>
        <w:adjustRightInd w:val="0"/>
        <w:snapToGrid w:val="0"/>
        <w:spacing w:line="360" w:lineRule="auto"/>
        <w:ind w:firstLineChars="200" w:firstLine="482"/>
        <w:rPr>
          <w:b/>
          <w:bCs/>
          <w:sz w:val="24"/>
        </w:rPr>
      </w:pPr>
      <w:r>
        <w:rPr>
          <w:rFonts w:hAnsi="Arial Unicode MS"/>
          <w:b/>
          <w:bCs/>
          <w:sz w:val="24"/>
        </w:rPr>
        <w:t>七、申购份额与赎回金额的计算方式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、申购金额的计算方式：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）申购费用适用比例费率的情形下：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净申购金额</w:t>
      </w:r>
      <w:r>
        <w:rPr>
          <w:rFonts w:eastAsiaTheme="minorEastAsia"/>
          <w:kern w:val="0"/>
          <w:sz w:val="24"/>
        </w:rPr>
        <w:t>=</w:t>
      </w:r>
      <w:r>
        <w:rPr>
          <w:rFonts w:eastAsiaTheme="minorEastAsia" w:hAnsiTheme="minorEastAsia"/>
          <w:kern w:val="0"/>
          <w:sz w:val="24"/>
        </w:rPr>
        <w:t>申购金额</w:t>
      </w:r>
      <w:r>
        <w:rPr>
          <w:rFonts w:eastAsiaTheme="minorEastAsia"/>
          <w:kern w:val="0"/>
          <w:sz w:val="24"/>
        </w:rPr>
        <w:t>/</w:t>
      </w: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申购费率）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申购费用</w:t>
      </w:r>
      <w:r>
        <w:rPr>
          <w:rFonts w:eastAsiaTheme="minorEastAsia"/>
          <w:kern w:val="0"/>
          <w:sz w:val="24"/>
        </w:rPr>
        <w:t>=</w:t>
      </w:r>
      <w:r>
        <w:rPr>
          <w:rFonts w:eastAsiaTheme="minorEastAsia" w:hAnsiTheme="minorEastAsia"/>
          <w:kern w:val="0"/>
          <w:sz w:val="24"/>
        </w:rPr>
        <w:t>申购金额</w:t>
      </w:r>
      <w:r>
        <w:rPr>
          <w:rFonts w:eastAsiaTheme="minorEastAsia"/>
          <w:kern w:val="0"/>
          <w:sz w:val="24"/>
        </w:rPr>
        <w:t>-</w:t>
      </w:r>
      <w:r>
        <w:rPr>
          <w:rFonts w:eastAsiaTheme="minorEastAsia" w:hAnsiTheme="minorEastAsia"/>
          <w:kern w:val="0"/>
          <w:sz w:val="24"/>
        </w:rPr>
        <w:t>净申购金额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申购份额</w:t>
      </w:r>
      <w:r>
        <w:rPr>
          <w:rFonts w:eastAsiaTheme="minorEastAsia"/>
          <w:kern w:val="0"/>
          <w:sz w:val="24"/>
        </w:rPr>
        <w:t>=</w:t>
      </w:r>
      <w:r>
        <w:rPr>
          <w:rFonts w:eastAsiaTheme="minorEastAsia" w:hAnsiTheme="minorEastAsia"/>
          <w:kern w:val="0"/>
          <w:sz w:val="24"/>
        </w:rPr>
        <w:t>净申购金额</w:t>
      </w:r>
      <w:r>
        <w:rPr>
          <w:rFonts w:eastAsiaTheme="minorEastAsia"/>
          <w:kern w:val="0"/>
          <w:sz w:val="24"/>
        </w:rPr>
        <w:t>/T</w:t>
      </w:r>
      <w:r>
        <w:rPr>
          <w:rFonts w:eastAsiaTheme="minorEastAsia" w:hAnsiTheme="minorEastAsia"/>
          <w:kern w:val="0"/>
          <w:sz w:val="24"/>
        </w:rPr>
        <w:t>日基金份额净值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2</w:t>
      </w:r>
      <w:r>
        <w:rPr>
          <w:rFonts w:eastAsiaTheme="minorEastAsia" w:hAnsiTheme="minorEastAsia"/>
          <w:kern w:val="0"/>
          <w:sz w:val="24"/>
        </w:rPr>
        <w:t>）申购费用适用固定金额的情形下：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申购费用</w:t>
      </w:r>
      <w:r>
        <w:rPr>
          <w:rFonts w:eastAsiaTheme="minorEastAsia"/>
          <w:kern w:val="0"/>
          <w:sz w:val="24"/>
        </w:rPr>
        <w:t>=</w:t>
      </w:r>
      <w:r>
        <w:rPr>
          <w:rFonts w:eastAsiaTheme="minorEastAsia" w:hAnsiTheme="minorEastAsia"/>
          <w:kern w:val="0"/>
          <w:sz w:val="24"/>
        </w:rPr>
        <w:t>固定金额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净申购金额</w:t>
      </w:r>
      <w:r>
        <w:rPr>
          <w:rFonts w:eastAsiaTheme="minorEastAsia"/>
          <w:kern w:val="0"/>
          <w:sz w:val="24"/>
        </w:rPr>
        <w:t>=</w:t>
      </w:r>
      <w:r>
        <w:rPr>
          <w:rFonts w:eastAsiaTheme="minorEastAsia" w:hAnsiTheme="minorEastAsia"/>
          <w:kern w:val="0"/>
          <w:sz w:val="24"/>
        </w:rPr>
        <w:t>申购金额</w:t>
      </w:r>
      <w:r>
        <w:rPr>
          <w:rFonts w:eastAsiaTheme="minorEastAsia"/>
          <w:kern w:val="0"/>
          <w:sz w:val="24"/>
        </w:rPr>
        <w:t>-</w:t>
      </w:r>
      <w:r>
        <w:rPr>
          <w:rFonts w:eastAsiaTheme="minorEastAsia" w:hAnsiTheme="minorEastAsia"/>
          <w:kern w:val="0"/>
          <w:sz w:val="24"/>
        </w:rPr>
        <w:t>固定金额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申购份额</w:t>
      </w:r>
      <w:r>
        <w:rPr>
          <w:rFonts w:eastAsiaTheme="minorEastAsia"/>
          <w:kern w:val="0"/>
          <w:sz w:val="24"/>
        </w:rPr>
        <w:t>=</w:t>
      </w:r>
      <w:r>
        <w:rPr>
          <w:rFonts w:eastAsiaTheme="minorEastAsia" w:hAnsiTheme="minorEastAsia"/>
          <w:kern w:val="0"/>
          <w:sz w:val="24"/>
        </w:rPr>
        <w:t>净申购金额</w:t>
      </w:r>
      <w:r>
        <w:rPr>
          <w:rFonts w:eastAsiaTheme="minorEastAsia"/>
          <w:kern w:val="0"/>
          <w:sz w:val="24"/>
        </w:rPr>
        <w:t>/T</w:t>
      </w:r>
      <w:r>
        <w:rPr>
          <w:rFonts w:eastAsiaTheme="minorEastAsia" w:hAnsiTheme="minorEastAsia"/>
          <w:kern w:val="0"/>
          <w:sz w:val="24"/>
        </w:rPr>
        <w:t>日基金份额净值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上述计算结果均按四舍五入方法，保留到小数点后</w:t>
      </w:r>
      <w:r>
        <w:rPr>
          <w:rFonts w:eastAsiaTheme="minorEastAsia"/>
          <w:kern w:val="0"/>
          <w:sz w:val="24"/>
        </w:rPr>
        <w:t>2</w:t>
      </w:r>
      <w:r>
        <w:rPr>
          <w:rFonts w:eastAsiaTheme="minorEastAsia" w:hAnsiTheme="minorEastAsia"/>
          <w:kern w:val="0"/>
          <w:sz w:val="24"/>
        </w:rPr>
        <w:t>位，由此产生的收益或损失由基金财产承担。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例：假定</w:t>
      </w:r>
      <w:r>
        <w:rPr>
          <w:rFonts w:eastAsiaTheme="minorEastAsia"/>
          <w:kern w:val="0"/>
          <w:sz w:val="24"/>
        </w:rPr>
        <w:t>T</w:t>
      </w:r>
      <w:r>
        <w:rPr>
          <w:rFonts w:eastAsiaTheme="minorEastAsia" w:hAnsiTheme="minorEastAsia"/>
          <w:kern w:val="0"/>
          <w:sz w:val="24"/>
        </w:rPr>
        <w:t>日基金份额净值为</w:t>
      </w:r>
      <w:r>
        <w:rPr>
          <w:rFonts w:eastAsiaTheme="minorEastAsia"/>
          <w:kern w:val="0"/>
          <w:sz w:val="24"/>
        </w:rPr>
        <w:t>1.0560</w:t>
      </w:r>
      <w:r>
        <w:rPr>
          <w:rFonts w:eastAsiaTheme="minorEastAsia" w:hAnsiTheme="minorEastAsia"/>
          <w:kern w:val="0"/>
          <w:sz w:val="24"/>
        </w:rPr>
        <w:t>元，某投资人本次申购本基金</w:t>
      </w:r>
      <w:r>
        <w:rPr>
          <w:rFonts w:eastAsiaTheme="minorEastAsia"/>
          <w:kern w:val="0"/>
          <w:sz w:val="24"/>
        </w:rPr>
        <w:t>40</w:t>
      </w:r>
      <w:r>
        <w:rPr>
          <w:rFonts w:eastAsiaTheme="minorEastAsia" w:hAnsiTheme="minorEastAsia"/>
          <w:kern w:val="0"/>
          <w:sz w:val="24"/>
        </w:rPr>
        <w:t>万元，对应的本次申购费率为</w:t>
      </w:r>
      <w:r>
        <w:rPr>
          <w:rFonts w:eastAsiaTheme="minorEastAsia"/>
          <w:kern w:val="0"/>
          <w:sz w:val="24"/>
        </w:rPr>
        <w:t>0.80%</w:t>
      </w:r>
      <w:r>
        <w:rPr>
          <w:rFonts w:eastAsiaTheme="minorEastAsia" w:hAnsiTheme="minorEastAsia"/>
          <w:kern w:val="0"/>
          <w:sz w:val="24"/>
        </w:rPr>
        <w:t>，该投资人可得到的基金份额为：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净申购金额</w:t>
      </w:r>
      <w:r>
        <w:rPr>
          <w:rFonts w:eastAsiaTheme="minorEastAsia"/>
          <w:kern w:val="0"/>
          <w:sz w:val="24"/>
        </w:rPr>
        <w:t>=400,000/</w:t>
      </w:r>
      <w:r>
        <w:rPr>
          <w:rFonts w:eastAsiaTheme="minorEastAsia" w:hAnsiTheme="minorEastAsia"/>
          <w:kern w:val="0"/>
          <w:sz w:val="24"/>
        </w:rPr>
        <w:t>（</w:t>
      </w:r>
      <w:r>
        <w:rPr>
          <w:rFonts w:eastAsiaTheme="minorEastAsia"/>
          <w:kern w:val="0"/>
          <w:sz w:val="24"/>
        </w:rPr>
        <w:t>1+0.80%</w:t>
      </w:r>
      <w:r>
        <w:rPr>
          <w:rFonts w:eastAsiaTheme="minorEastAsia" w:hAnsiTheme="minorEastAsia"/>
          <w:kern w:val="0"/>
          <w:sz w:val="24"/>
        </w:rPr>
        <w:t>）＝</w:t>
      </w:r>
      <w:r>
        <w:rPr>
          <w:rFonts w:eastAsiaTheme="minorEastAsia"/>
          <w:kern w:val="0"/>
          <w:sz w:val="24"/>
        </w:rPr>
        <w:t>396,825.40</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申购费用</w:t>
      </w:r>
      <w:r>
        <w:rPr>
          <w:rFonts w:eastAsiaTheme="minorEastAsia"/>
          <w:kern w:val="0"/>
          <w:sz w:val="24"/>
        </w:rPr>
        <w:t>=400,000-396,825.40</w:t>
      </w:r>
      <w:r>
        <w:rPr>
          <w:rFonts w:eastAsiaTheme="minorEastAsia" w:hAnsiTheme="minorEastAsia"/>
          <w:kern w:val="0"/>
          <w:sz w:val="24"/>
        </w:rPr>
        <w:t>＝</w:t>
      </w:r>
      <w:r>
        <w:rPr>
          <w:rFonts w:eastAsiaTheme="minorEastAsia"/>
          <w:kern w:val="0"/>
          <w:sz w:val="24"/>
        </w:rPr>
        <w:t>3,174.60</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申购份额</w:t>
      </w:r>
      <w:r>
        <w:rPr>
          <w:rFonts w:eastAsiaTheme="minorEastAsia"/>
          <w:kern w:val="0"/>
          <w:sz w:val="24"/>
        </w:rPr>
        <w:t>=396,825.40/1.0560</w:t>
      </w:r>
      <w:r>
        <w:rPr>
          <w:rFonts w:eastAsiaTheme="minorEastAsia" w:hAnsiTheme="minorEastAsia"/>
          <w:kern w:val="0"/>
          <w:sz w:val="24"/>
        </w:rPr>
        <w:t>＝</w:t>
      </w:r>
      <w:r>
        <w:rPr>
          <w:rFonts w:eastAsiaTheme="minorEastAsia"/>
          <w:kern w:val="0"/>
          <w:sz w:val="24"/>
        </w:rPr>
        <w:t>375,781.63</w:t>
      </w:r>
      <w:r>
        <w:rPr>
          <w:rFonts w:eastAsiaTheme="minorEastAsia" w:hAnsiTheme="minorEastAsia"/>
          <w:kern w:val="0"/>
          <w:sz w:val="24"/>
        </w:rPr>
        <w:t>份</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即：投资人投资</w:t>
      </w:r>
      <w:r>
        <w:rPr>
          <w:rFonts w:eastAsiaTheme="minorEastAsia"/>
          <w:kern w:val="0"/>
          <w:sz w:val="24"/>
        </w:rPr>
        <w:t>40</w:t>
      </w:r>
      <w:r>
        <w:rPr>
          <w:rFonts w:eastAsiaTheme="minorEastAsia" w:hAnsiTheme="minorEastAsia"/>
          <w:kern w:val="0"/>
          <w:sz w:val="24"/>
        </w:rPr>
        <w:t>万元申购本基金，假定申购当日基金份额净值为</w:t>
      </w:r>
      <w:r>
        <w:rPr>
          <w:rFonts w:eastAsiaTheme="minorEastAsia"/>
          <w:kern w:val="0"/>
          <w:sz w:val="24"/>
        </w:rPr>
        <w:t>1.0560</w:t>
      </w:r>
      <w:r>
        <w:rPr>
          <w:rFonts w:eastAsiaTheme="minorEastAsia" w:hAnsiTheme="minorEastAsia"/>
          <w:kern w:val="0"/>
          <w:sz w:val="24"/>
        </w:rPr>
        <w:t>元，可得到</w:t>
      </w:r>
      <w:r>
        <w:rPr>
          <w:rFonts w:eastAsiaTheme="minorEastAsia"/>
          <w:kern w:val="0"/>
          <w:sz w:val="24"/>
        </w:rPr>
        <w:t>375,781.63</w:t>
      </w:r>
      <w:r>
        <w:rPr>
          <w:rFonts w:eastAsiaTheme="minorEastAsia" w:hAnsiTheme="minorEastAsia"/>
          <w:kern w:val="0"/>
          <w:sz w:val="24"/>
        </w:rPr>
        <w:t>份基金份额。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例：假定</w:t>
      </w:r>
      <w:r>
        <w:rPr>
          <w:rFonts w:eastAsiaTheme="minorEastAsia"/>
          <w:kern w:val="0"/>
          <w:sz w:val="24"/>
        </w:rPr>
        <w:t>T</w:t>
      </w:r>
      <w:r>
        <w:rPr>
          <w:rFonts w:eastAsiaTheme="minorEastAsia" w:hAnsiTheme="minorEastAsia"/>
          <w:kern w:val="0"/>
          <w:sz w:val="24"/>
        </w:rPr>
        <w:t>日基金份额净值为</w:t>
      </w:r>
      <w:r>
        <w:rPr>
          <w:rFonts w:eastAsiaTheme="minorEastAsia"/>
          <w:kern w:val="0"/>
          <w:sz w:val="24"/>
        </w:rPr>
        <w:t>1.0560</w:t>
      </w:r>
      <w:r>
        <w:rPr>
          <w:rFonts w:eastAsiaTheme="minorEastAsia" w:hAnsiTheme="minorEastAsia"/>
          <w:kern w:val="0"/>
          <w:sz w:val="24"/>
        </w:rPr>
        <w:t>元，某投资人投资</w:t>
      </w:r>
      <w:r>
        <w:rPr>
          <w:rFonts w:eastAsiaTheme="minorEastAsia"/>
          <w:kern w:val="0"/>
          <w:sz w:val="24"/>
        </w:rPr>
        <w:t>600</w:t>
      </w:r>
      <w:r>
        <w:rPr>
          <w:rFonts w:eastAsiaTheme="minorEastAsia" w:hAnsiTheme="minorEastAsia"/>
          <w:kern w:val="0"/>
          <w:sz w:val="24"/>
        </w:rPr>
        <w:t>万元申购本基金，其对应的申购费用为</w:t>
      </w:r>
      <w:r>
        <w:rPr>
          <w:rFonts w:eastAsiaTheme="minorEastAsia"/>
          <w:kern w:val="0"/>
          <w:sz w:val="24"/>
        </w:rPr>
        <w:t>1000</w:t>
      </w:r>
      <w:r>
        <w:rPr>
          <w:rFonts w:eastAsiaTheme="minorEastAsia" w:hAnsiTheme="minorEastAsia"/>
          <w:kern w:val="0"/>
          <w:sz w:val="24"/>
        </w:rPr>
        <w:t>元，则其可得到的申购份额为：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申购费用＝</w:t>
      </w:r>
      <w:r>
        <w:rPr>
          <w:rFonts w:eastAsiaTheme="minorEastAsia"/>
          <w:kern w:val="0"/>
          <w:sz w:val="24"/>
        </w:rPr>
        <w:t>1000.00</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净申购金额＝</w:t>
      </w:r>
      <w:r>
        <w:rPr>
          <w:rFonts w:eastAsiaTheme="minorEastAsia"/>
          <w:kern w:val="0"/>
          <w:sz w:val="24"/>
        </w:rPr>
        <w:t>6,000,000</w:t>
      </w:r>
      <w:r>
        <w:rPr>
          <w:rFonts w:eastAsiaTheme="minorEastAsia" w:hAnsiTheme="minorEastAsia"/>
          <w:kern w:val="0"/>
          <w:sz w:val="24"/>
        </w:rPr>
        <w:t>－</w:t>
      </w:r>
      <w:r>
        <w:rPr>
          <w:rFonts w:eastAsiaTheme="minorEastAsia"/>
          <w:kern w:val="0"/>
          <w:sz w:val="24"/>
        </w:rPr>
        <w:t>1000</w:t>
      </w:r>
      <w:r>
        <w:rPr>
          <w:rFonts w:eastAsiaTheme="minorEastAsia" w:hAnsiTheme="minorEastAsia"/>
          <w:kern w:val="0"/>
          <w:sz w:val="24"/>
        </w:rPr>
        <w:t>＝</w:t>
      </w:r>
      <w:r>
        <w:rPr>
          <w:rFonts w:eastAsiaTheme="minorEastAsia"/>
          <w:kern w:val="0"/>
          <w:sz w:val="24"/>
        </w:rPr>
        <w:t>5,999,000.00</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申购份额＝</w:t>
      </w:r>
      <w:r>
        <w:rPr>
          <w:rFonts w:eastAsiaTheme="minorEastAsia"/>
          <w:kern w:val="0"/>
          <w:sz w:val="24"/>
        </w:rPr>
        <w:t>5,999,000/1.0560</w:t>
      </w:r>
      <w:r>
        <w:rPr>
          <w:rFonts w:eastAsiaTheme="minorEastAsia" w:hAnsiTheme="minorEastAsia"/>
          <w:kern w:val="0"/>
          <w:sz w:val="24"/>
        </w:rPr>
        <w:t>＝</w:t>
      </w:r>
      <w:r>
        <w:rPr>
          <w:rFonts w:eastAsiaTheme="minorEastAsia"/>
          <w:kern w:val="0"/>
          <w:sz w:val="24"/>
        </w:rPr>
        <w:t>5,680,871.21</w:t>
      </w:r>
      <w:r>
        <w:rPr>
          <w:rFonts w:eastAsiaTheme="minorEastAsia" w:hAnsiTheme="minorEastAsia"/>
          <w:kern w:val="0"/>
          <w:sz w:val="24"/>
        </w:rPr>
        <w:t>份</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即，投资人投资</w:t>
      </w:r>
      <w:r>
        <w:rPr>
          <w:rFonts w:eastAsiaTheme="minorEastAsia"/>
          <w:kern w:val="0"/>
          <w:sz w:val="24"/>
        </w:rPr>
        <w:t>600</w:t>
      </w:r>
      <w:r>
        <w:rPr>
          <w:rFonts w:eastAsiaTheme="minorEastAsia" w:hAnsiTheme="minorEastAsia"/>
          <w:kern w:val="0"/>
          <w:sz w:val="24"/>
        </w:rPr>
        <w:t>万元申购本基金，假定申购当日基金份额净值为</w:t>
      </w:r>
      <w:r>
        <w:rPr>
          <w:rFonts w:eastAsiaTheme="minorEastAsia"/>
          <w:kern w:val="0"/>
          <w:sz w:val="24"/>
        </w:rPr>
        <w:t>1.0560</w:t>
      </w:r>
      <w:r>
        <w:rPr>
          <w:rFonts w:eastAsiaTheme="minorEastAsia" w:hAnsiTheme="minorEastAsia"/>
          <w:kern w:val="0"/>
          <w:sz w:val="24"/>
        </w:rPr>
        <w:t>元，可得到</w:t>
      </w:r>
      <w:r>
        <w:rPr>
          <w:rFonts w:eastAsiaTheme="minorEastAsia"/>
          <w:kern w:val="0"/>
          <w:sz w:val="24"/>
        </w:rPr>
        <w:t>5,680,871.21</w:t>
      </w:r>
      <w:r>
        <w:rPr>
          <w:rFonts w:eastAsiaTheme="minorEastAsia" w:hAnsiTheme="minorEastAsia"/>
          <w:kern w:val="0"/>
          <w:sz w:val="24"/>
        </w:rPr>
        <w:t>份基金份额。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、赎回金额的计算方式：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赎回总金额</w:t>
      </w:r>
      <w:r>
        <w:rPr>
          <w:rFonts w:eastAsiaTheme="minorEastAsia"/>
          <w:kern w:val="0"/>
          <w:sz w:val="24"/>
        </w:rPr>
        <w:t>=</w:t>
      </w:r>
      <w:r>
        <w:rPr>
          <w:rFonts w:eastAsiaTheme="minorEastAsia" w:hAnsiTheme="minorEastAsia"/>
          <w:kern w:val="0"/>
          <w:sz w:val="24"/>
        </w:rPr>
        <w:t>赎回份额</w:t>
      </w:r>
      <w:r>
        <w:rPr>
          <w:rFonts w:eastAsiaTheme="minorEastAsia"/>
          <w:kern w:val="0"/>
          <w:sz w:val="24"/>
        </w:rPr>
        <w:t>×T</w:t>
      </w:r>
      <w:r>
        <w:rPr>
          <w:rFonts w:eastAsiaTheme="minorEastAsia" w:hAnsiTheme="minorEastAsia"/>
          <w:kern w:val="0"/>
          <w:sz w:val="24"/>
        </w:rPr>
        <w:t>日基金份额净值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赎回费用</w:t>
      </w:r>
      <w:r>
        <w:rPr>
          <w:rFonts w:eastAsiaTheme="minorEastAsia"/>
          <w:kern w:val="0"/>
          <w:sz w:val="24"/>
        </w:rPr>
        <w:t>=</w:t>
      </w:r>
      <w:r>
        <w:rPr>
          <w:rFonts w:eastAsiaTheme="minorEastAsia" w:hAnsiTheme="minorEastAsia"/>
          <w:kern w:val="0"/>
          <w:sz w:val="24"/>
        </w:rPr>
        <w:t>赎回总金额</w:t>
      </w:r>
      <w:r>
        <w:rPr>
          <w:rFonts w:eastAsiaTheme="minorEastAsia"/>
          <w:kern w:val="0"/>
          <w:sz w:val="24"/>
        </w:rPr>
        <w:t>×</w:t>
      </w:r>
      <w:r>
        <w:rPr>
          <w:rFonts w:eastAsiaTheme="minorEastAsia" w:hAnsiTheme="minorEastAsia"/>
          <w:kern w:val="0"/>
          <w:sz w:val="24"/>
        </w:rPr>
        <w:t>赎回费率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净赎回金额</w:t>
      </w:r>
      <w:r>
        <w:rPr>
          <w:rFonts w:eastAsiaTheme="minorEastAsia"/>
          <w:kern w:val="0"/>
          <w:sz w:val="24"/>
        </w:rPr>
        <w:t>=</w:t>
      </w:r>
      <w:r>
        <w:rPr>
          <w:rFonts w:eastAsiaTheme="minorEastAsia" w:hAnsiTheme="minorEastAsia"/>
          <w:kern w:val="0"/>
          <w:sz w:val="24"/>
        </w:rPr>
        <w:t>赎回总金额</w:t>
      </w:r>
      <w:r>
        <w:rPr>
          <w:rFonts w:eastAsiaTheme="minorEastAsia"/>
          <w:kern w:val="0"/>
          <w:sz w:val="24"/>
        </w:rPr>
        <w:t>—</w:t>
      </w:r>
      <w:r>
        <w:rPr>
          <w:rFonts w:eastAsiaTheme="minorEastAsia" w:hAnsiTheme="minorEastAsia"/>
          <w:kern w:val="0"/>
          <w:sz w:val="24"/>
        </w:rPr>
        <w:t>赎回费用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上述计算结果均按四舍五入方法，保留到小数点后</w:t>
      </w:r>
      <w:r>
        <w:rPr>
          <w:rFonts w:eastAsiaTheme="minorEastAsia"/>
          <w:kern w:val="0"/>
          <w:sz w:val="24"/>
        </w:rPr>
        <w:t>2</w:t>
      </w:r>
      <w:r>
        <w:rPr>
          <w:rFonts w:eastAsiaTheme="minorEastAsia" w:hAnsiTheme="minorEastAsia"/>
          <w:kern w:val="0"/>
          <w:sz w:val="24"/>
        </w:rPr>
        <w:t>位，由此产生的收益或损失由基金财产承担。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例：某投资者赎回本基金</w:t>
      </w:r>
      <w:r>
        <w:rPr>
          <w:rFonts w:eastAsiaTheme="minorEastAsia"/>
          <w:kern w:val="0"/>
          <w:sz w:val="24"/>
        </w:rPr>
        <w:t>1</w:t>
      </w:r>
      <w:r>
        <w:rPr>
          <w:rFonts w:eastAsiaTheme="minorEastAsia" w:hAnsiTheme="minorEastAsia"/>
          <w:kern w:val="0"/>
          <w:sz w:val="24"/>
        </w:rPr>
        <w:t>万份基金份额，持有时间为三年，对应的赎回费率为</w:t>
      </w:r>
      <w:r>
        <w:rPr>
          <w:rFonts w:eastAsiaTheme="minorEastAsia"/>
          <w:kern w:val="0"/>
          <w:sz w:val="24"/>
        </w:rPr>
        <w:t>0%</w:t>
      </w:r>
      <w:r>
        <w:rPr>
          <w:rFonts w:eastAsiaTheme="minorEastAsia" w:hAnsiTheme="minorEastAsia"/>
          <w:kern w:val="0"/>
          <w:sz w:val="24"/>
        </w:rPr>
        <w:t>，假设赎回当日基金份额净值是</w:t>
      </w:r>
      <w:r>
        <w:rPr>
          <w:rFonts w:eastAsiaTheme="minorEastAsia"/>
          <w:kern w:val="0"/>
          <w:sz w:val="24"/>
        </w:rPr>
        <w:t>1.2500</w:t>
      </w:r>
      <w:r>
        <w:rPr>
          <w:rFonts w:eastAsiaTheme="minorEastAsia" w:hAnsiTheme="minorEastAsia"/>
          <w:kern w:val="0"/>
          <w:sz w:val="24"/>
        </w:rPr>
        <w:t>元，则其可得到的赎回金额为：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赎回总金额</w:t>
      </w:r>
      <w:r>
        <w:rPr>
          <w:rFonts w:eastAsiaTheme="minorEastAsia"/>
          <w:kern w:val="0"/>
          <w:sz w:val="24"/>
        </w:rPr>
        <w:t xml:space="preserve">=10,000×1.250=12,500.00 </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赎回费用</w:t>
      </w:r>
      <w:r>
        <w:rPr>
          <w:rFonts w:eastAsiaTheme="minorEastAsia"/>
          <w:kern w:val="0"/>
          <w:sz w:val="24"/>
        </w:rPr>
        <w:t xml:space="preserve">=12,500×0%=0.00 </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净赎回金额</w:t>
      </w:r>
      <w:r>
        <w:rPr>
          <w:rFonts w:eastAsiaTheme="minorEastAsia"/>
          <w:kern w:val="0"/>
          <w:sz w:val="24"/>
        </w:rPr>
        <w:t xml:space="preserve">=12,500-0=12,500.00 </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即：投资者赎回本基金</w:t>
      </w:r>
      <w:r>
        <w:rPr>
          <w:rFonts w:eastAsiaTheme="minorEastAsia"/>
          <w:kern w:val="0"/>
          <w:sz w:val="24"/>
        </w:rPr>
        <w:t>1</w:t>
      </w:r>
      <w:r>
        <w:rPr>
          <w:rFonts w:eastAsiaTheme="minorEastAsia" w:hAnsiTheme="minorEastAsia"/>
          <w:kern w:val="0"/>
          <w:sz w:val="24"/>
        </w:rPr>
        <w:t>万份基金份额，持有时间为三年，假设赎回当日基金份额净值是</w:t>
      </w:r>
      <w:r>
        <w:rPr>
          <w:rFonts w:eastAsiaTheme="minorEastAsia"/>
          <w:kern w:val="0"/>
          <w:sz w:val="24"/>
        </w:rPr>
        <w:t>1.2500</w:t>
      </w:r>
      <w:r>
        <w:rPr>
          <w:rFonts w:eastAsiaTheme="minorEastAsia" w:hAnsiTheme="minorEastAsia"/>
          <w:kern w:val="0"/>
          <w:sz w:val="24"/>
        </w:rPr>
        <w:t>元，则其可得到的赎回金额为</w:t>
      </w:r>
      <w:r>
        <w:rPr>
          <w:rFonts w:eastAsiaTheme="minorEastAsia"/>
          <w:kern w:val="0"/>
          <w:sz w:val="24"/>
        </w:rPr>
        <w:t>12,500.00</w:t>
      </w:r>
      <w:r>
        <w:rPr>
          <w:rFonts w:eastAsiaTheme="minorEastAsia" w:hAnsiTheme="minorEastAsia"/>
          <w:kern w:val="0"/>
          <w:sz w:val="24"/>
        </w:rPr>
        <w:t>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、本基金份额净值的计算，保留到小数点后</w:t>
      </w:r>
      <w:r>
        <w:rPr>
          <w:rFonts w:eastAsiaTheme="minorEastAsia" w:hint="eastAsia"/>
          <w:kern w:val="0"/>
          <w:sz w:val="24"/>
        </w:rPr>
        <w:t>4</w:t>
      </w:r>
      <w:r>
        <w:rPr>
          <w:rFonts w:eastAsiaTheme="minorEastAsia" w:hAnsiTheme="minorEastAsia"/>
          <w:kern w:val="0"/>
          <w:sz w:val="24"/>
        </w:rPr>
        <w:t>位，小数点后第</w:t>
      </w:r>
      <w:r>
        <w:rPr>
          <w:rFonts w:eastAsiaTheme="minorEastAsia" w:hint="eastAsia"/>
          <w:kern w:val="0"/>
          <w:sz w:val="24"/>
        </w:rPr>
        <w:t>5</w:t>
      </w:r>
      <w:r>
        <w:rPr>
          <w:rFonts w:eastAsiaTheme="minorEastAsia" w:hAnsiTheme="minorEastAsia"/>
          <w:kern w:val="0"/>
          <w:sz w:val="24"/>
        </w:rPr>
        <w:t>位四舍五入，由此产生的收益或损失由基金财产承担。</w:t>
      </w:r>
      <w:r>
        <w:rPr>
          <w:rFonts w:eastAsiaTheme="minorEastAsia" w:hAnsiTheme="minorEastAsia" w:hint="eastAsia"/>
          <w:kern w:val="0"/>
          <w:sz w:val="24"/>
        </w:rPr>
        <w:t>《基金合同》生效后，</w:t>
      </w:r>
      <w:r>
        <w:rPr>
          <w:rFonts w:hint="eastAsia"/>
          <w:bCs/>
          <w:color w:val="000000"/>
          <w:sz w:val="24"/>
        </w:rPr>
        <w:t>在封闭期内，基金管理人应当至少每周公告一次基金资产净值和基金份额净值。在开放期内，基金管理人应当在每个开放日的次日，通过其网站、基金份额销售网点以及其他媒介，披露开放日的基金份额净值和基金份额累计净值。</w:t>
      </w:r>
      <w:r>
        <w:rPr>
          <w:rFonts w:eastAsiaTheme="minorEastAsia" w:hAnsiTheme="minorEastAsia"/>
          <w:kern w:val="0"/>
          <w:sz w:val="24"/>
        </w:rPr>
        <w:t>遇特殊情况，经履行适当程序，可以适当延迟计算或公告。</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4</w:t>
      </w:r>
      <w:r>
        <w:rPr>
          <w:rFonts w:eastAsiaTheme="minorEastAsia" w:hAnsiTheme="minorEastAsia"/>
          <w:kern w:val="0"/>
          <w:sz w:val="24"/>
        </w:rPr>
        <w:t>、基金管理人可以在不违</w:t>
      </w:r>
      <w:r>
        <w:rPr>
          <w:rFonts w:eastAsiaTheme="minorEastAsia" w:hAnsiTheme="minorEastAsia" w:hint="eastAsia"/>
          <w:kern w:val="0"/>
          <w:sz w:val="24"/>
        </w:rPr>
        <w:t>反</w:t>
      </w:r>
      <w:r>
        <w:rPr>
          <w:rFonts w:eastAsiaTheme="minorEastAsia" w:hAnsiTheme="minorEastAsia"/>
          <w:kern w:val="0"/>
          <w:sz w:val="24"/>
        </w:rPr>
        <w:t>法律法规规定及基金合同约定</w:t>
      </w:r>
      <w:r>
        <w:rPr>
          <w:rFonts w:eastAsiaTheme="minorEastAsia" w:hAnsiTheme="minorEastAsia" w:hint="eastAsia"/>
          <w:kern w:val="0"/>
          <w:sz w:val="24"/>
        </w:rPr>
        <w:t>、对份额持有人无实质不利影响的前提下，</w:t>
      </w:r>
      <w:r>
        <w:rPr>
          <w:rFonts w:eastAsiaTheme="minorEastAsia" w:hAnsiTheme="minorEastAsia"/>
          <w:kern w:val="0"/>
          <w:sz w:val="24"/>
        </w:rPr>
        <w:t>根据市场情况制定基金促销计划，定期或不定期地开展基金促销活动。在基金促销活动期间，按相关监管部门要求履行必要手续后，基金管理人可以适当调低基金申购费率和基金赎回费率，并进行公告。</w:t>
      </w:r>
    </w:p>
    <w:p w:rsidR="00CB515E" w:rsidRDefault="005F186E">
      <w:pPr>
        <w:adjustRightInd w:val="0"/>
        <w:snapToGrid w:val="0"/>
        <w:spacing w:line="360" w:lineRule="auto"/>
        <w:ind w:firstLineChars="200" w:firstLine="480"/>
        <w:rPr>
          <w:kern w:val="0"/>
          <w:sz w:val="24"/>
        </w:rPr>
      </w:pPr>
      <w:r>
        <w:rPr>
          <w:rFonts w:hint="eastAsia"/>
          <w:kern w:val="0"/>
          <w:sz w:val="24"/>
        </w:rPr>
        <w:t>5</w:t>
      </w:r>
      <w:r>
        <w:rPr>
          <w:rFonts w:hint="eastAsia"/>
          <w:kern w:val="0"/>
          <w:sz w:val="24"/>
        </w:rPr>
        <w:t>、当发生大额申购或赎回情形时，基金管理人可以采用摆动定价机制以确保基金估值的公平性。具体处理原则与操作规范遵循相关法律法规以及监管部门、自律规则的规定。</w:t>
      </w:r>
    </w:p>
    <w:p w:rsidR="00CB515E" w:rsidRDefault="005F186E">
      <w:pPr>
        <w:autoSpaceDE w:val="0"/>
        <w:autoSpaceDN w:val="0"/>
        <w:adjustRightInd w:val="0"/>
        <w:snapToGrid w:val="0"/>
        <w:spacing w:line="360" w:lineRule="auto"/>
        <w:ind w:firstLineChars="200" w:firstLine="482"/>
        <w:rPr>
          <w:b/>
          <w:sz w:val="24"/>
        </w:rPr>
      </w:pPr>
      <w:r>
        <w:rPr>
          <w:rFonts w:hAnsi="Arial Unicode MS"/>
          <w:b/>
          <w:sz w:val="24"/>
        </w:rPr>
        <w:t>八、申购与赎回的登记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、经基金销售机构同意，基金投资者提出的申购和赎回申请，在基金管理人规定的时间之前可以撤销。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、投资者</w:t>
      </w:r>
      <w:r>
        <w:rPr>
          <w:rFonts w:eastAsiaTheme="minorEastAsia" w:hAnsiTheme="minorEastAsia" w:hint="eastAsia"/>
          <w:kern w:val="0"/>
          <w:sz w:val="24"/>
        </w:rPr>
        <w:t>提交</w:t>
      </w:r>
      <w:r>
        <w:rPr>
          <w:rFonts w:eastAsiaTheme="minorEastAsia" w:hAnsiTheme="minorEastAsia"/>
          <w:kern w:val="0"/>
          <w:sz w:val="24"/>
        </w:rPr>
        <w:t>有效申购基金</w:t>
      </w:r>
      <w:r>
        <w:rPr>
          <w:rFonts w:eastAsiaTheme="minorEastAsia" w:hAnsiTheme="minorEastAsia" w:hint="eastAsia"/>
          <w:kern w:val="0"/>
          <w:sz w:val="24"/>
        </w:rPr>
        <w:t>申请</w:t>
      </w:r>
      <w:r>
        <w:rPr>
          <w:rFonts w:eastAsiaTheme="minorEastAsia" w:hAnsiTheme="minorEastAsia"/>
          <w:kern w:val="0"/>
          <w:sz w:val="24"/>
        </w:rPr>
        <w:t>后，登记机构在</w:t>
      </w:r>
      <w:r>
        <w:rPr>
          <w:rFonts w:eastAsiaTheme="minorEastAsia"/>
          <w:kern w:val="0"/>
          <w:sz w:val="24"/>
        </w:rPr>
        <w:t>T+1</w:t>
      </w:r>
      <w:r>
        <w:rPr>
          <w:rFonts w:eastAsiaTheme="minorEastAsia" w:hAnsiTheme="minorEastAsia"/>
          <w:kern w:val="0"/>
          <w:sz w:val="24"/>
        </w:rPr>
        <w:t>日为投资者登记权益并办理登记手续，投资人自</w:t>
      </w:r>
      <w:r>
        <w:rPr>
          <w:rFonts w:eastAsiaTheme="minorEastAsia"/>
          <w:kern w:val="0"/>
          <w:sz w:val="24"/>
        </w:rPr>
        <w:t>T+2</w:t>
      </w:r>
      <w:r>
        <w:rPr>
          <w:rFonts w:eastAsiaTheme="minorEastAsia" w:hAnsiTheme="minorEastAsia"/>
          <w:kern w:val="0"/>
          <w:sz w:val="24"/>
        </w:rPr>
        <w:t>日（含该日）后有权赎回该部分基金份额。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、投资人</w:t>
      </w:r>
      <w:r>
        <w:rPr>
          <w:rFonts w:eastAsiaTheme="minorEastAsia" w:hAnsiTheme="minorEastAsia" w:hint="eastAsia"/>
          <w:kern w:val="0"/>
          <w:sz w:val="24"/>
        </w:rPr>
        <w:t>提交有效</w:t>
      </w:r>
      <w:r>
        <w:rPr>
          <w:rFonts w:eastAsiaTheme="minorEastAsia" w:hAnsiTheme="minorEastAsia"/>
          <w:kern w:val="0"/>
          <w:sz w:val="24"/>
        </w:rPr>
        <w:t>赎回基金</w:t>
      </w:r>
      <w:r>
        <w:rPr>
          <w:rFonts w:eastAsiaTheme="minorEastAsia" w:hAnsiTheme="minorEastAsia" w:hint="eastAsia"/>
          <w:kern w:val="0"/>
          <w:sz w:val="24"/>
        </w:rPr>
        <w:t>申请</w:t>
      </w:r>
      <w:r>
        <w:rPr>
          <w:rFonts w:eastAsiaTheme="minorEastAsia" w:hAnsiTheme="minorEastAsia"/>
          <w:kern w:val="0"/>
          <w:sz w:val="24"/>
        </w:rPr>
        <w:t>后，登记机构在</w:t>
      </w:r>
      <w:r>
        <w:rPr>
          <w:rFonts w:eastAsiaTheme="minorEastAsia"/>
          <w:kern w:val="0"/>
          <w:sz w:val="24"/>
        </w:rPr>
        <w:t>T+1</w:t>
      </w:r>
      <w:r>
        <w:rPr>
          <w:rFonts w:eastAsiaTheme="minorEastAsia" w:hAnsiTheme="minorEastAsia"/>
          <w:kern w:val="0"/>
          <w:sz w:val="24"/>
        </w:rPr>
        <w:t>日为投资者办理扣除权益的登记手续。</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、基金管理人可以在法律法规允许的范围内，对上述登记办理时间进行调整，但不得实质影响投资者的合法权益，并最迟于开始实施前依照《信息披露办法》的有关规定进行公告。</w:t>
      </w:r>
    </w:p>
    <w:p w:rsidR="00CB515E" w:rsidRDefault="005F186E">
      <w:pPr>
        <w:adjustRightInd w:val="0"/>
        <w:snapToGrid w:val="0"/>
        <w:spacing w:line="360" w:lineRule="auto"/>
        <w:ind w:firstLineChars="200" w:firstLine="482"/>
        <w:rPr>
          <w:b/>
          <w:bCs/>
          <w:sz w:val="24"/>
        </w:rPr>
      </w:pPr>
      <w:r>
        <w:rPr>
          <w:rFonts w:hAnsi="Arial Unicode MS"/>
          <w:b/>
          <w:bCs/>
          <w:sz w:val="24"/>
        </w:rPr>
        <w:t>九、拒绝或暂停申购的情形及处理</w:t>
      </w:r>
    </w:p>
    <w:p w:rsidR="00CB515E" w:rsidRDefault="005F186E">
      <w:pPr>
        <w:adjustRightInd w:val="0"/>
        <w:snapToGrid w:val="0"/>
        <w:spacing w:line="360" w:lineRule="auto"/>
        <w:ind w:firstLineChars="200" w:firstLine="480"/>
        <w:rPr>
          <w:rFonts w:eastAsiaTheme="minorEastAsia"/>
          <w:kern w:val="0"/>
          <w:sz w:val="24"/>
        </w:rPr>
      </w:pPr>
      <w:r>
        <w:rPr>
          <w:rFonts w:hint="eastAsia"/>
          <w:bCs/>
          <w:color w:val="000000"/>
          <w:sz w:val="24"/>
        </w:rPr>
        <w:t>在开放期内</w:t>
      </w:r>
      <w:r>
        <w:rPr>
          <w:rFonts w:eastAsiaTheme="minorEastAsia" w:hAnsiTheme="minorEastAsia"/>
          <w:kern w:val="0"/>
          <w:sz w:val="24"/>
        </w:rPr>
        <w:t>发生下列情况时，基金管理人可拒绝或暂停接受投资人的申购申请：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、因不可抗力导致基金无法正常运作。</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、发生基金合同规定的暂停基金资产估值情况。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、证券交易所交易时间非正常停市，导致基金管理人无法计算当日基金资产净值。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、基金管理人接受某笔或某些申购申请可能会影响或损害现有基金份额持有人利益时。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hAnsiTheme="minorEastAsia"/>
          <w:kern w:val="0"/>
          <w:sz w:val="24"/>
        </w:rPr>
        <w:t>、基金资产规模过大，使基金管理人无法找到合适的投资品种，或其他可能对基金业绩产生负面影响，或发生其他损害现有基金份额持有人利益的情形。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hAnsiTheme="minorEastAsia"/>
          <w:kern w:val="0"/>
          <w:sz w:val="24"/>
        </w:rPr>
        <w:t>、基金管理人、基金托管人、基金销售机构或登记机构的异常情况导致基金销售系统、基金登记系统或基金会计系统无法正常运行。</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7</w:t>
      </w:r>
      <w:r>
        <w:rPr>
          <w:rFonts w:eastAsiaTheme="minorEastAsia" w:hAnsiTheme="minorEastAsia"/>
          <w:kern w:val="0"/>
          <w:sz w:val="24"/>
        </w:rPr>
        <w:t>、</w:t>
      </w:r>
      <w:r>
        <w:rPr>
          <w:rFonts w:eastAsiaTheme="minorEastAsia" w:hAnsiTheme="minorEastAsia" w:hint="eastAsia"/>
          <w:kern w:val="0"/>
          <w:sz w:val="24"/>
        </w:rPr>
        <w:t>个人投资者申购。</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8</w:t>
      </w:r>
      <w:r>
        <w:rPr>
          <w:rFonts w:eastAsiaTheme="minorEastAsia" w:hAnsiTheme="minorEastAsia" w:hint="eastAsia"/>
          <w:kern w:val="0"/>
          <w:sz w:val="24"/>
        </w:rPr>
        <w:t>、当前一估值日基金资产净值</w:t>
      </w:r>
      <w:r>
        <w:rPr>
          <w:rFonts w:eastAsiaTheme="minorEastAsia" w:hAnsiTheme="minorEastAsia" w:hint="eastAsia"/>
          <w:kern w:val="0"/>
          <w:sz w:val="24"/>
        </w:rPr>
        <w:t>50%</w:t>
      </w:r>
      <w:r>
        <w:rPr>
          <w:rFonts w:eastAsiaTheme="minorEastAsia" w:hAnsiTheme="minorEastAsia" w:hint="eastAsia"/>
          <w:kern w:val="0"/>
          <w:sz w:val="24"/>
        </w:rPr>
        <w:t>以上的资产出现无可参考的活跃市场价格且采用估值技术仍导致公允价值存在重大不确定性时，经与基金托管人协商确认后，基金管理人应当暂停接受基金申购申请。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9</w:t>
      </w:r>
      <w:r>
        <w:rPr>
          <w:rFonts w:eastAsiaTheme="minorEastAsia" w:hAnsiTheme="minorEastAsia" w:hint="eastAsia"/>
          <w:kern w:val="0"/>
          <w:sz w:val="24"/>
        </w:rPr>
        <w:t>、</w:t>
      </w:r>
      <w:r>
        <w:rPr>
          <w:rFonts w:eastAsiaTheme="minorEastAsia" w:hAnsiTheme="minorEastAsia"/>
          <w:kern w:val="0"/>
          <w:sz w:val="24"/>
        </w:rPr>
        <w:t>法律法规规定或中国证监会认定的其他情形。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发生上述第</w:t>
      </w:r>
      <w:r>
        <w:rPr>
          <w:rFonts w:eastAsiaTheme="minorEastAsia"/>
          <w:kern w:val="0"/>
          <w:sz w:val="24"/>
        </w:rPr>
        <w:t>1</w:t>
      </w:r>
      <w:r>
        <w:rPr>
          <w:rFonts w:eastAsiaTheme="minorEastAsia" w:hAnsiTheme="minorEastAsia"/>
          <w:kern w:val="0"/>
          <w:sz w:val="24"/>
        </w:rPr>
        <w:t>、</w:t>
      </w:r>
      <w:r>
        <w:rPr>
          <w:rFonts w:eastAsiaTheme="minorEastAsia"/>
          <w:kern w:val="0"/>
          <w:sz w:val="24"/>
        </w:rPr>
        <w:t>2</w:t>
      </w:r>
      <w:r>
        <w:rPr>
          <w:rFonts w:eastAsiaTheme="minorEastAsia" w:hAnsiTheme="minorEastAsia"/>
          <w:kern w:val="0"/>
          <w:sz w:val="24"/>
        </w:rPr>
        <w:t>、</w:t>
      </w:r>
      <w:r>
        <w:rPr>
          <w:rFonts w:eastAsiaTheme="minorEastAsia"/>
          <w:kern w:val="0"/>
          <w:sz w:val="24"/>
        </w:rPr>
        <w:t>3</w:t>
      </w:r>
      <w:r>
        <w:rPr>
          <w:rFonts w:eastAsiaTheme="minorEastAsia" w:hAnsiTheme="minorEastAsia"/>
          <w:kern w:val="0"/>
          <w:sz w:val="24"/>
        </w:rPr>
        <w:t>、</w:t>
      </w:r>
      <w:r>
        <w:rPr>
          <w:rFonts w:eastAsiaTheme="minorEastAsia"/>
          <w:kern w:val="0"/>
          <w:sz w:val="24"/>
        </w:rPr>
        <w:t>5</w:t>
      </w:r>
      <w:r>
        <w:rPr>
          <w:rFonts w:eastAsiaTheme="minorEastAsia" w:hAnsiTheme="minorEastAsia"/>
          <w:kern w:val="0"/>
          <w:sz w:val="24"/>
        </w:rPr>
        <w:t>、</w:t>
      </w:r>
      <w:r>
        <w:rPr>
          <w:rFonts w:eastAsiaTheme="minorEastAsia"/>
          <w:kern w:val="0"/>
          <w:sz w:val="24"/>
        </w:rPr>
        <w:t>6</w:t>
      </w:r>
      <w:r>
        <w:rPr>
          <w:rFonts w:eastAsiaTheme="minorEastAsia" w:hAnsiTheme="minorEastAsia"/>
          <w:kern w:val="0"/>
          <w:sz w:val="24"/>
        </w:rPr>
        <w:t>、</w:t>
      </w:r>
      <w:r>
        <w:rPr>
          <w:rFonts w:eastAsiaTheme="minorEastAsia" w:hint="eastAsia"/>
          <w:kern w:val="0"/>
          <w:sz w:val="24"/>
        </w:rPr>
        <w:t>8</w:t>
      </w:r>
      <w:r>
        <w:rPr>
          <w:rFonts w:eastAsiaTheme="minorEastAsia" w:hint="eastAsia"/>
          <w:kern w:val="0"/>
          <w:sz w:val="24"/>
        </w:rPr>
        <w:t>、</w:t>
      </w:r>
      <w:r>
        <w:rPr>
          <w:rFonts w:eastAsiaTheme="minorEastAsia" w:hint="eastAsia"/>
          <w:kern w:val="0"/>
          <w:sz w:val="24"/>
        </w:rPr>
        <w:t>9</w:t>
      </w:r>
      <w:r>
        <w:rPr>
          <w:rFonts w:eastAsiaTheme="minorEastAsia" w:hAnsiTheme="minorEastAsia"/>
          <w:kern w:val="0"/>
          <w:sz w:val="24"/>
        </w:rPr>
        <w:t>项暂停申购情形之一且基金管理人决定暂停申购申请时，基金管理人应当根据有关规定</w:t>
      </w:r>
      <w:r>
        <w:rPr>
          <w:rFonts w:eastAsiaTheme="minorEastAsia" w:hAnsiTheme="minorEastAsia" w:hint="eastAsia"/>
          <w:kern w:val="0"/>
          <w:sz w:val="24"/>
        </w:rPr>
        <w:t>在</w:t>
      </w:r>
      <w:r>
        <w:rPr>
          <w:rFonts w:eastAsiaTheme="minorEastAsia" w:hAnsiTheme="minorEastAsia"/>
          <w:kern w:val="0"/>
          <w:sz w:val="24"/>
        </w:rPr>
        <w:t>指定媒介上公告。如果投资人的申购申请被拒绝，被拒绝的申购款项本金将退还给投资人。在暂停申购的情况消除时，基金管理人应及时恢复申购业务的办理</w:t>
      </w:r>
      <w:r>
        <w:rPr>
          <w:rFonts w:hint="eastAsia"/>
          <w:bCs/>
          <w:sz w:val="24"/>
        </w:rPr>
        <w:t>，</w:t>
      </w:r>
      <w:r>
        <w:rPr>
          <w:rFonts w:hint="eastAsia"/>
          <w:bCs/>
          <w:color w:val="000000"/>
          <w:sz w:val="24"/>
        </w:rPr>
        <w:t>且开放期按暂停申购的期间相应顺延</w:t>
      </w:r>
      <w:r>
        <w:rPr>
          <w:rFonts w:eastAsiaTheme="minorEastAsia" w:hAnsiTheme="minorEastAsia"/>
          <w:kern w:val="0"/>
          <w:sz w:val="24"/>
        </w:rPr>
        <w:t>。</w:t>
      </w:r>
    </w:p>
    <w:p w:rsidR="00CB515E" w:rsidRDefault="005F186E">
      <w:pPr>
        <w:adjustRightInd w:val="0"/>
        <w:snapToGrid w:val="0"/>
        <w:spacing w:line="360" w:lineRule="auto"/>
        <w:ind w:firstLineChars="200" w:firstLine="482"/>
        <w:rPr>
          <w:b/>
          <w:bCs/>
          <w:sz w:val="24"/>
        </w:rPr>
      </w:pPr>
      <w:bookmarkStart w:id="50" w:name="_Hlt70481650"/>
      <w:bookmarkEnd w:id="50"/>
      <w:r>
        <w:rPr>
          <w:rFonts w:hAnsi="Arial Unicode MS"/>
          <w:b/>
          <w:bCs/>
          <w:sz w:val="24"/>
        </w:rPr>
        <w:t>十、暂停赎回或延缓支付赎回款项的情形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在开放期内</w:t>
      </w:r>
      <w:r>
        <w:rPr>
          <w:rFonts w:eastAsiaTheme="minorEastAsia" w:hAnsiTheme="minorEastAsia"/>
          <w:kern w:val="0"/>
          <w:sz w:val="24"/>
        </w:rPr>
        <w:t>发生下列情形时，基金管理人可暂停接受投资人的赎回申请或延缓支付赎回款项：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、因不可抗力导致基金管理人不能支付赎回款项。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、发生基金合同规定的暂停基金资产估值情况。</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3</w:t>
      </w:r>
      <w:r>
        <w:rPr>
          <w:rFonts w:eastAsiaTheme="minorEastAsia" w:hAnsiTheme="minorEastAsia"/>
          <w:kern w:val="0"/>
          <w:sz w:val="24"/>
        </w:rPr>
        <w:t>、证券交易所交易时间非正常停市，导致基金管理人无法计算当日基金资产净值。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、连续两个或两个以上开放日发生巨额赎回。</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int="eastAsia"/>
          <w:kern w:val="0"/>
          <w:sz w:val="24"/>
        </w:rPr>
        <w:t>5</w:t>
      </w:r>
      <w:r>
        <w:rPr>
          <w:rFonts w:eastAsiaTheme="minorEastAsia" w:hAnsiTheme="minorEastAsia"/>
          <w:kern w:val="0"/>
          <w:sz w:val="24"/>
        </w:rPr>
        <w:t>、发生继续接受赎回申请将损害现有基金份额持有人利益的情形。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6</w:t>
      </w:r>
      <w:r>
        <w:rPr>
          <w:rFonts w:eastAsiaTheme="minorEastAsia" w:hint="eastAsia"/>
          <w:kern w:val="0"/>
          <w:sz w:val="24"/>
        </w:rPr>
        <w:t>、当前一估值日基金资产净值</w:t>
      </w:r>
      <w:r>
        <w:rPr>
          <w:rFonts w:eastAsiaTheme="minorEastAsia" w:hint="eastAsia"/>
          <w:kern w:val="0"/>
          <w:sz w:val="24"/>
        </w:rPr>
        <w:t>50%</w:t>
      </w:r>
      <w:r>
        <w:rPr>
          <w:rFonts w:eastAsiaTheme="minorEastAsia" w:hint="eastAsia"/>
          <w:kern w:val="0"/>
          <w:sz w:val="24"/>
        </w:rPr>
        <w:t>以上的资产出现无可参考的活跃市场价格且采用估值技术仍导致公允价值存在重大不确定性时，经与基金托管人协商确认后，基金管理人应当延缓支付赎回款项或暂停接受基金赎回申请。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7</w:t>
      </w:r>
      <w:r>
        <w:rPr>
          <w:rFonts w:eastAsiaTheme="minorEastAsia" w:hAnsiTheme="minorEastAsia"/>
          <w:kern w:val="0"/>
          <w:sz w:val="24"/>
        </w:rPr>
        <w:t>、法律法规规定或中国证监会认定的其他情形。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发生上述情形之一且基金管理人决定暂停接受基金份额持有人的赎回申请或延缓支付赎回款项时，基金管理人应</w:t>
      </w:r>
      <w:r>
        <w:rPr>
          <w:rFonts w:eastAsiaTheme="minorEastAsia" w:hAnsiTheme="minorEastAsia" w:hint="eastAsia"/>
          <w:kern w:val="0"/>
          <w:sz w:val="24"/>
        </w:rPr>
        <w:t>按规定</w:t>
      </w:r>
      <w:r>
        <w:rPr>
          <w:rFonts w:eastAsiaTheme="minorEastAsia" w:hAnsiTheme="minorEastAsia"/>
          <w:kern w:val="0"/>
          <w:sz w:val="24"/>
        </w:rPr>
        <w:t>报中国证监会备案，已确认的赎回申请，基金管理人应足额支付；如暂时不能足额支付，</w:t>
      </w:r>
      <w:r>
        <w:rPr>
          <w:rFonts w:eastAsiaTheme="minorEastAsia" w:hAnsiTheme="minorEastAsia" w:hint="eastAsia"/>
          <w:kern w:val="0"/>
          <w:sz w:val="24"/>
        </w:rPr>
        <w:t>应将可支付部分按单个账户申请量占申请总量的比例分配给赎回申请人，</w:t>
      </w:r>
      <w:r>
        <w:rPr>
          <w:rFonts w:eastAsiaTheme="minorEastAsia" w:hAnsiTheme="minorEastAsia"/>
          <w:kern w:val="0"/>
          <w:sz w:val="24"/>
        </w:rPr>
        <w:t>未支付部分可延期支付。</w:t>
      </w:r>
      <w:r>
        <w:rPr>
          <w:rFonts w:ascii="宋体" w:cs="宋体" w:hint="eastAsia"/>
          <w:kern w:val="0"/>
          <w:sz w:val="24"/>
          <w:szCs w:val="22"/>
          <w:lang w:val="zh-CN"/>
        </w:rPr>
        <w:t>若出现上述第</w:t>
      </w:r>
      <w:r>
        <w:rPr>
          <w:rFonts w:ascii="宋体" w:cs="宋体"/>
          <w:kern w:val="0"/>
          <w:sz w:val="24"/>
          <w:szCs w:val="22"/>
          <w:lang w:val="zh-CN"/>
        </w:rPr>
        <w:t>4</w:t>
      </w:r>
      <w:r>
        <w:rPr>
          <w:rFonts w:ascii="宋体" w:cs="宋体" w:hint="eastAsia"/>
          <w:kern w:val="0"/>
          <w:sz w:val="24"/>
          <w:szCs w:val="22"/>
          <w:lang w:val="zh-CN"/>
        </w:rPr>
        <w:t>项所述情形，按基金合同的相关条款处理。</w:t>
      </w:r>
      <w:r>
        <w:rPr>
          <w:rFonts w:eastAsiaTheme="minorEastAsia" w:hAnsiTheme="minorEastAsia"/>
          <w:kern w:val="0"/>
          <w:sz w:val="24"/>
        </w:rPr>
        <w:t>基金份额持有人在申请赎回时可事先选择将当日可能未获受理部分予以撤销。在暂停赎回的情况消除时，基金管理人应及时恢复赎回业务的办理并公告</w:t>
      </w:r>
      <w:r>
        <w:rPr>
          <w:rFonts w:eastAsiaTheme="minorEastAsia" w:hAnsiTheme="minorEastAsia" w:hint="eastAsia"/>
          <w:kern w:val="0"/>
          <w:sz w:val="24"/>
        </w:rPr>
        <w:t>，且开放期按暂停赎回的期间相应顺延</w:t>
      </w:r>
      <w:r>
        <w:rPr>
          <w:rFonts w:eastAsiaTheme="minorEastAsia" w:hAnsiTheme="minorEastAsia"/>
          <w:kern w:val="0"/>
          <w:sz w:val="24"/>
        </w:rPr>
        <w:t>。</w:t>
      </w:r>
    </w:p>
    <w:p w:rsidR="00CB515E" w:rsidRDefault="005F186E">
      <w:pPr>
        <w:autoSpaceDE w:val="0"/>
        <w:autoSpaceDN w:val="0"/>
        <w:adjustRightInd w:val="0"/>
        <w:spacing w:line="360" w:lineRule="auto"/>
        <w:ind w:firstLine="420"/>
        <w:jc w:val="left"/>
        <w:rPr>
          <w:b/>
          <w:bCs/>
          <w:sz w:val="24"/>
        </w:rPr>
      </w:pPr>
      <w:r>
        <w:rPr>
          <w:rFonts w:hAnsi="Arial Unicode MS"/>
          <w:b/>
          <w:bCs/>
          <w:sz w:val="24"/>
        </w:rPr>
        <w:t>十一、巨额赎回的情形及处理方式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、巨额赎回的认定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若本基金</w:t>
      </w:r>
      <w:r>
        <w:rPr>
          <w:rFonts w:hint="eastAsia"/>
          <w:bCs/>
          <w:color w:val="000000"/>
          <w:sz w:val="24"/>
        </w:rPr>
        <w:t>开放期内</w:t>
      </w:r>
      <w:r>
        <w:rPr>
          <w:rFonts w:eastAsiaTheme="minorEastAsia" w:hAnsiTheme="minorEastAsia"/>
          <w:kern w:val="0"/>
          <w:sz w:val="24"/>
        </w:rPr>
        <w:t>单个开放日内的基金份额净赎回申请（赎回申请份额总数加上基金转换中转出申请份额总数后扣除申购申请份额总数及基金转换中转入申请份额总数后的余额）超过前一</w:t>
      </w:r>
      <w:r>
        <w:rPr>
          <w:rFonts w:eastAsiaTheme="minorEastAsia" w:hAnsiTheme="minorEastAsia" w:hint="eastAsia"/>
          <w:kern w:val="0"/>
          <w:sz w:val="24"/>
        </w:rPr>
        <w:t>工作</w:t>
      </w:r>
      <w:r>
        <w:rPr>
          <w:rFonts w:eastAsiaTheme="minorEastAsia" w:hAnsiTheme="minorEastAsia"/>
          <w:kern w:val="0"/>
          <w:sz w:val="24"/>
        </w:rPr>
        <w:t>日的基金总份额的</w:t>
      </w:r>
      <w:r>
        <w:rPr>
          <w:rFonts w:eastAsiaTheme="minorEastAsia"/>
          <w:kern w:val="0"/>
          <w:sz w:val="24"/>
        </w:rPr>
        <w:t>20%</w:t>
      </w:r>
      <w:r>
        <w:rPr>
          <w:rFonts w:eastAsiaTheme="minorEastAsia" w:hAnsiTheme="minorEastAsia"/>
          <w:kern w:val="0"/>
          <w:sz w:val="24"/>
        </w:rPr>
        <w:t>，即认为是发生了巨额赎回。</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、巨额赎回的处理方式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当基金出现巨额赎回时，基金管理人可以根据基金当时的资产组合状况决定全额赎回</w:t>
      </w:r>
      <w:r>
        <w:rPr>
          <w:rFonts w:eastAsiaTheme="minorEastAsia" w:hAnsiTheme="minorEastAsia" w:hint="eastAsia"/>
          <w:kern w:val="0"/>
          <w:sz w:val="24"/>
        </w:rPr>
        <w:t>、延缓支付赎回款项或延期办理赎回申请</w:t>
      </w:r>
      <w:r>
        <w:rPr>
          <w:rFonts w:eastAsiaTheme="minorEastAsia" w:hAnsi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）全额赎回：当基金管理人认为有能力支付投资人的全部赎回申请时，按正常赎回程序执行。</w:t>
      </w:r>
    </w:p>
    <w:p w:rsidR="00CB515E" w:rsidRDefault="005F186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w:t>
      </w:r>
      <w:r>
        <w:rPr>
          <w:rFonts w:eastAsiaTheme="minorEastAsia" w:hAnsiTheme="minorEastAsia" w:hint="eastAsia"/>
          <w:kern w:val="0"/>
          <w:sz w:val="24"/>
        </w:rPr>
        <w:t>2</w:t>
      </w:r>
      <w:r>
        <w:rPr>
          <w:rFonts w:eastAsiaTheme="minorEastAsia" w:hAnsiTheme="minorEastAsia" w:hint="eastAsia"/>
          <w:kern w:val="0"/>
          <w:sz w:val="24"/>
        </w:rPr>
        <w:t>）延缓支付赎回款项：</w:t>
      </w:r>
      <w:r>
        <w:rPr>
          <w:rFonts w:eastAsiaTheme="minorEastAsia" w:hAnsiTheme="minorEastAsia" w:hint="eastAsia"/>
          <w:bCs/>
          <w:kern w:val="0"/>
          <w:sz w:val="24"/>
        </w:rPr>
        <w:t>当基金管理人认为支付投资人的全部赎回申请有困难或认为因支付投资人的全部赎回申请而进行的财产变现可能会对基金资产净值造成较大波动时，在当日按比例办理支付的赎回份额不低于前一工作日基金总份额的</w:t>
      </w:r>
      <w:r>
        <w:rPr>
          <w:rFonts w:eastAsiaTheme="minorEastAsia" w:hAnsiTheme="minorEastAsia" w:hint="eastAsia"/>
          <w:bCs/>
          <w:kern w:val="0"/>
          <w:sz w:val="24"/>
        </w:rPr>
        <w:t>20%</w:t>
      </w:r>
      <w:r>
        <w:rPr>
          <w:rFonts w:eastAsiaTheme="minorEastAsia" w:hAnsiTheme="minorEastAsia" w:hint="eastAsia"/>
          <w:bCs/>
          <w:kern w:val="0"/>
          <w:sz w:val="24"/>
        </w:rPr>
        <w:t>的前提下，可延缓支付其余赎回申请的款项，但延缓支付的期限不得超过</w:t>
      </w:r>
      <w:r>
        <w:rPr>
          <w:rFonts w:eastAsiaTheme="minorEastAsia" w:hAnsiTheme="minorEastAsia" w:hint="eastAsia"/>
          <w:bCs/>
          <w:kern w:val="0"/>
          <w:sz w:val="24"/>
        </w:rPr>
        <w:t>20</w:t>
      </w:r>
      <w:r>
        <w:rPr>
          <w:rFonts w:eastAsiaTheme="minorEastAsia" w:hAnsiTheme="minorEastAsia" w:hint="eastAsia"/>
          <w:bCs/>
          <w:kern w:val="0"/>
          <w:sz w:val="24"/>
        </w:rPr>
        <w:t>个工作日，延缓支付的赎回申请以赎回申请确认当日的基金份额净值为基础计算赎回金额，并应当在指定媒介上进行公告。</w:t>
      </w:r>
    </w:p>
    <w:p w:rsidR="00CB515E" w:rsidRDefault="005F186E">
      <w:pPr>
        <w:adjustRightInd w:val="0"/>
        <w:snapToGrid w:val="0"/>
        <w:spacing w:line="360" w:lineRule="auto"/>
        <w:ind w:firstLineChars="200" w:firstLine="480"/>
        <w:rPr>
          <w:rFonts w:eastAsiaTheme="minorEastAsia" w:hAnsiTheme="minorEastAsia"/>
          <w:bCs/>
          <w:kern w:val="0"/>
          <w:sz w:val="24"/>
        </w:rPr>
      </w:pPr>
      <w:r>
        <w:rPr>
          <w:rFonts w:eastAsiaTheme="minorEastAsia" w:hAnsiTheme="minorEastAsia" w:hint="eastAsia"/>
          <w:kern w:val="0"/>
          <w:sz w:val="24"/>
        </w:rPr>
        <w:t>（</w:t>
      </w:r>
      <w:r>
        <w:rPr>
          <w:rFonts w:eastAsiaTheme="minorEastAsia" w:hAnsiTheme="minorEastAsia" w:hint="eastAsia"/>
          <w:kern w:val="0"/>
          <w:sz w:val="24"/>
        </w:rPr>
        <w:t>3</w:t>
      </w:r>
      <w:r>
        <w:rPr>
          <w:rFonts w:eastAsiaTheme="minorEastAsia" w:hAnsiTheme="minorEastAsia" w:hint="eastAsia"/>
          <w:kern w:val="0"/>
          <w:sz w:val="24"/>
        </w:rPr>
        <w:t>）延期办理赎回申请：</w:t>
      </w:r>
      <w:r>
        <w:rPr>
          <w:rFonts w:eastAsiaTheme="minorEastAsia" w:hAnsiTheme="minorEastAsia" w:hint="eastAsia"/>
          <w:bCs/>
          <w:kern w:val="0"/>
          <w:sz w:val="24"/>
        </w:rPr>
        <w:t>在开放期内，若本基金发生巨额赎回，且单个基金份额持有人的赎回申请超过上一工作日基金总份额</w:t>
      </w:r>
      <w:r>
        <w:rPr>
          <w:rFonts w:eastAsiaTheme="minorEastAsia" w:hAnsiTheme="minorEastAsia" w:hint="eastAsia"/>
          <w:bCs/>
          <w:kern w:val="0"/>
          <w:sz w:val="24"/>
        </w:rPr>
        <w:t>20%</w:t>
      </w:r>
      <w:r>
        <w:rPr>
          <w:rFonts w:eastAsiaTheme="minorEastAsia" w:hAnsiTheme="minorEastAsia" w:hint="eastAsia"/>
          <w:bCs/>
          <w:kern w:val="0"/>
          <w:sz w:val="24"/>
        </w:rPr>
        <w:t>的，基金管理人可以延期办理赎回申请。若基金管理人认为支付该基金份额持有人的全部赎回申请有困难或者因支付该基金份额持有人的全部赎回申请而进行的财产变现可能会对基金资产净值造成较大波动，在当日接受该基金份额持有人的全部赎回比例不低于前一工作日基金总份额</w:t>
      </w:r>
      <w:r>
        <w:rPr>
          <w:rFonts w:eastAsiaTheme="minorEastAsia" w:hAnsiTheme="minorEastAsia"/>
          <w:bCs/>
          <w:kern w:val="0"/>
          <w:sz w:val="24"/>
        </w:rPr>
        <w:t>20%</w:t>
      </w:r>
      <w:r>
        <w:rPr>
          <w:rFonts w:eastAsiaTheme="minorEastAsia" w:hAnsiTheme="minorEastAsia" w:hint="eastAsia"/>
          <w:bCs/>
          <w:kern w:val="0"/>
          <w:sz w:val="24"/>
        </w:rPr>
        <w:t>的前提下，其余赎回申请可以延期办理，对于延期办理的部分，如该基金份额持有人在提交赎回申请时选择取消赎回，则其当日未获受理的部分赎回</w:t>
      </w:r>
      <w:r>
        <w:rPr>
          <w:rFonts w:eastAsiaTheme="minorEastAsia" w:hAnsiTheme="minorEastAsia"/>
          <w:bCs/>
          <w:kern w:val="0"/>
          <w:sz w:val="24"/>
        </w:rPr>
        <w:t>申请将被撤销；选择延期赎回的，将自动转入下一个开放日继续赎回，无优先权并以下一开放日的基金份额净值为基础计算赎回金额，以此类推，直到本开放期结束为止。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bCs/>
          <w:kern w:val="0"/>
          <w:sz w:val="24"/>
        </w:rPr>
        <w:t>如延期办理期限超过开放期的，开放期相应延长，延长的开放期不超过二十个工作日</w:t>
      </w:r>
      <w:r>
        <w:rPr>
          <w:rFonts w:eastAsiaTheme="minorEastAsia" w:hAnsiTheme="minorEastAsia" w:hint="eastAsia"/>
          <w:bCs/>
          <w:kern w:val="0"/>
          <w:sz w:val="24"/>
        </w:rPr>
        <w:t>，</w:t>
      </w:r>
      <w:r>
        <w:rPr>
          <w:rFonts w:eastAsiaTheme="minorEastAsia" w:hAnsiTheme="minorEastAsia"/>
          <w:bCs/>
          <w:kern w:val="0"/>
          <w:sz w:val="24"/>
        </w:rPr>
        <w:t>延长的开放期内不办理申购，亦不接受新的赎回申请，即基金管理人仅为原开放期内因提交赎回申请超过基金总份额</w:t>
      </w:r>
      <w:r>
        <w:rPr>
          <w:rFonts w:eastAsiaTheme="minorEastAsia" w:hAnsiTheme="minorEastAsia"/>
          <w:bCs/>
          <w:kern w:val="0"/>
          <w:sz w:val="24"/>
        </w:rPr>
        <w:t>20%</w:t>
      </w:r>
      <w:r>
        <w:rPr>
          <w:rFonts w:eastAsiaTheme="minorEastAsia" w:hAnsiTheme="minorEastAsia"/>
          <w:bCs/>
          <w:kern w:val="0"/>
          <w:sz w:val="24"/>
        </w:rPr>
        <w:t>以上而被延期办理赎回的单个基金份额持有人办理赎回业务。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、巨额赎回的公告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当发生上述巨额赎回并</w:t>
      </w:r>
      <w:r>
        <w:rPr>
          <w:rFonts w:eastAsiaTheme="minorEastAsia" w:hAnsiTheme="minorEastAsia" w:hint="eastAsia"/>
          <w:kern w:val="0"/>
          <w:sz w:val="24"/>
        </w:rPr>
        <w:t>延缓支付赎回款项</w:t>
      </w:r>
      <w:r>
        <w:rPr>
          <w:rFonts w:eastAsiaTheme="minorEastAsia" w:hAnsiTheme="minorEastAsia"/>
          <w:kern w:val="0"/>
          <w:sz w:val="24"/>
        </w:rPr>
        <w:t>时，基金管理人应当通过邮寄、传真或者招募说明书规定的其他方式在</w:t>
      </w:r>
      <w:r>
        <w:rPr>
          <w:rFonts w:eastAsiaTheme="minorEastAsia"/>
          <w:kern w:val="0"/>
          <w:sz w:val="24"/>
        </w:rPr>
        <w:t>3</w:t>
      </w:r>
      <w:r>
        <w:rPr>
          <w:rFonts w:eastAsiaTheme="minorEastAsia" w:hAnsiTheme="minorEastAsia"/>
          <w:kern w:val="0"/>
          <w:sz w:val="24"/>
        </w:rPr>
        <w:t>个交易日内通知基金份额持有人，说明有关处理方法，同时依据相关规定进行公告。</w:t>
      </w:r>
    </w:p>
    <w:p w:rsidR="00CB515E" w:rsidRDefault="005F186E">
      <w:pPr>
        <w:autoSpaceDE w:val="0"/>
        <w:autoSpaceDN w:val="0"/>
        <w:adjustRightInd w:val="0"/>
        <w:spacing w:line="360" w:lineRule="auto"/>
        <w:ind w:firstLine="420"/>
        <w:jc w:val="left"/>
        <w:rPr>
          <w:b/>
          <w:bCs/>
          <w:sz w:val="24"/>
        </w:rPr>
      </w:pPr>
      <w:r>
        <w:rPr>
          <w:rFonts w:hAnsi="Arial Unicode MS"/>
          <w:b/>
          <w:bCs/>
          <w:sz w:val="24"/>
        </w:rPr>
        <w:t>十二、暂停申购或赎回的公告和重新开放申购或赎回的公告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、发生上述暂停申购或赎回情况的，基金管理人</w:t>
      </w:r>
      <w:r>
        <w:rPr>
          <w:rFonts w:eastAsiaTheme="minorEastAsia" w:hint="eastAsia"/>
          <w:kern w:val="0"/>
          <w:sz w:val="24"/>
        </w:rPr>
        <w:t>应按规定</w:t>
      </w:r>
      <w:r>
        <w:rPr>
          <w:rFonts w:eastAsiaTheme="minorEastAsia"/>
          <w:kern w:val="0"/>
          <w:sz w:val="24"/>
        </w:rPr>
        <w:t>向中国证监会备案，并依据相关规定进行公告。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、如发生暂停的时间为</w:t>
      </w:r>
      <w:r>
        <w:rPr>
          <w:rFonts w:eastAsiaTheme="minorEastAsia"/>
          <w:kern w:val="0"/>
          <w:sz w:val="24"/>
        </w:rPr>
        <w:t>1</w:t>
      </w:r>
      <w:r>
        <w:rPr>
          <w:rFonts w:eastAsiaTheme="minorEastAsia"/>
          <w:kern w:val="0"/>
          <w:sz w:val="24"/>
        </w:rPr>
        <w:t>日，基金管理人应于重新开放日，在指定媒介上刊登基金重新开放申购或赎回公告，并公布最近</w:t>
      </w:r>
      <w:r>
        <w:rPr>
          <w:rFonts w:eastAsiaTheme="minorEastAsia"/>
          <w:kern w:val="0"/>
          <w:sz w:val="24"/>
        </w:rPr>
        <w:t>1</w:t>
      </w:r>
      <w:r>
        <w:rPr>
          <w:rFonts w:eastAsiaTheme="minorEastAsia"/>
          <w:kern w:val="0"/>
          <w:sz w:val="24"/>
        </w:rPr>
        <w:t>个开放日的基金份额净值。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、如发生暂停的时间超过</w:t>
      </w:r>
      <w:r>
        <w:rPr>
          <w:rFonts w:eastAsiaTheme="minorEastAsia"/>
          <w:kern w:val="0"/>
          <w:sz w:val="24"/>
        </w:rPr>
        <w:t>1</w:t>
      </w:r>
      <w:r>
        <w:rPr>
          <w:rFonts w:eastAsiaTheme="minorEastAsia"/>
          <w:kern w:val="0"/>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B515E" w:rsidRDefault="005F186E">
      <w:pPr>
        <w:adjustRightInd w:val="0"/>
        <w:snapToGrid w:val="0"/>
        <w:spacing w:line="360" w:lineRule="auto"/>
        <w:ind w:firstLineChars="200" w:firstLine="480"/>
        <w:rPr>
          <w:kern w:val="0"/>
          <w:sz w:val="24"/>
        </w:rPr>
      </w:pPr>
      <w:r>
        <w:rPr>
          <w:rFonts w:hint="eastAsia"/>
          <w:kern w:val="0"/>
          <w:sz w:val="24"/>
        </w:rPr>
        <w:t>4</w:t>
      </w:r>
      <w:r>
        <w:rPr>
          <w:rFonts w:hint="eastAsia"/>
          <w:kern w:val="0"/>
          <w:sz w:val="24"/>
        </w:rPr>
        <w:t>、以上暂停及恢复基金申购与赎回的公告规定，不适用于基金合同约定的开放期与封闭期基金运作方式转换引起的暂停或恢复申购与赎回的情形。</w:t>
      </w:r>
    </w:p>
    <w:p w:rsidR="00CB515E" w:rsidRDefault="005F186E">
      <w:pPr>
        <w:autoSpaceDE w:val="0"/>
        <w:autoSpaceDN w:val="0"/>
        <w:adjustRightInd w:val="0"/>
        <w:spacing w:line="360" w:lineRule="auto"/>
        <w:ind w:firstLine="420"/>
        <w:jc w:val="left"/>
        <w:rPr>
          <w:b/>
          <w:bCs/>
          <w:sz w:val="24"/>
        </w:rPr>
      </w:pPr>
      <w:r>
        <w:rPr>
          <w:b/>
          <w:bCs/>
          <w:sz w:val="24"/>
        </w:rPr>
        <w:t>十三、基金转换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CB515E" w:rsidRDefault="005F186E">
      <w:pPr>
        <w:autoSpaceDE w:val="0"/>
        <w:autoSpaceDN w:val="0"/>
        <w:adjustRightInd w:val="0"/>
        <w:spacing w:line="360" w:lineRule="auto"/>
        <w:ind w:firstLine="422"/>
        <w:jc w:val="left"/>
        <w:rPr>
          <w:b/>
          <w:bCs/>
          <w:sz w:val="24"/>
        </w:rPr>
      </w:pPr>
      <w:r>
        <w:rPr>
          <w:b/>
          <w:bCs/>
          <w:sz w:val="24"/>
        </w:rPr>
        <w:t>十四、基金份额的转让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在法律法规允许且条件具备的情况下，基金管理人在履行相应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CB515E" w:rsidRDefault="005F186E">
      <w:pPr>
        <w:autoSpaceDE w:val="0"/>
        <w:autoSpaceDN w:val="0"/>
        <w:adjustRightInd w:val="0"/>
        <w:spacing w:line="360" w:lineRule="auto"/>
        <w:ind w:firstLine="420"/>
        <w:jc w:val="left"/>
        <w:rPr>
          <w:b/>
          <w:bCs/>
          <w:sz w:val="24"/>
        </w:rPr>
      </w:pPr>
      <w:r>
        <w:rPr>
          <w:b/>
          <w:bCs/>
          <w:sz w:val="24"/>
        </w:rPr>
        <w:t>十五、基金的非交易过户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B515E" w:rsidRDefault="005F186E">
      <w:pPr>
        <w:autoSpaceDE w:val="0"/>
        <w:autoSpaceDN w:val="0"/>
        <w:adjustRightInd w:val="0"/>
        <w:spacing w:line="360" w:lineRule="auto"/>
        <w:ind w:firstLine="420"/>
        <w:jc w:val="left"/>
        <w:rPr>
          <w:b/>
          <w:bCs/>
          <w:sz w:val="24"/>
        </w:rPr>
      </w:pPr>
      <w:r>
        <w:rPr>
          <w:b/>
          <w:bCs/>
          <w:sz w:val="24"/>
        </w:rPr>
        <w:t>十六、基金的转托管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基金份额持有人可办理已持有基金份额在不同销售机构之间的转托管，基金销售机构可以按照规定的标准收取转托管费。</w:t>
      </w:r>
    </w:p>
    <w:p w:rsidR="00CB515E" w:rsidRDefault="005F186E">
      <w:pPr>
        <w:autoSpaceDE w:val="0"/>
        <w:autoSpaceDN w:val="0"/>
        <w:adjustRightInd w:val="0"/>
        <w:spacing w:line="360" w:lineRule="auto"/>
        <w:ind w:firstLine="420"/>
        <w:jc w:val="left"/>
        <w:rPr>
          <w:b/>
          <w:bCs/>
          <w:sz w:val="24"/>
        </w:rPr>
      </w:pPr>
      <w:r>
        <w:rPr>
          <w:b/>
          <w:bCs/>
          <w:sz w:val="24"/>
        </w:rPr>
        <w:t>十七、定期定额投资计划</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基金管理人可以为投资人办理定期定额投资计划，具体规则由基金管理人另行规定。投资人在办理定期定额投资计划时可自行约定每期</w:t>
      </w:r>
      <w:r>
        <w:rPr>
          <w:rFonts w:eastAsiaTheme="minorEastAsia" w:hint="eastAsia"/>
          <w:kern w:val="0"/>
          <w:sz w:val="24"/>
        </w:rPr>
        <w:t>扣款</w:t>
      </w:r>
      <w:r>
        <w:rPr>
          <w:rFonts w:eastAsiaTheme="minorEastAsia"/>
          <w:kern w:val="0"/>
          <w:sz w:val="24"/>
        </w:rPr>
        <w:t>金额，每期</w:t>
      </w:r>
      <w:r>
        <w:rPr>
          <w:rFonts w:eastAsiaTheme="minorEastAsia" w:hint="eastAsia"/>
          <w:kern w:val="0"/>
          <w:sz w:val="24"/>
        </w:rPr>
        <w:t>扣款</w:t>
      </w:r>
      <w:r>
        <w:rPr>
          <w:rFonts w:eastAsiaTheme="minorEastAsia"/>
          <w:kern w:val="0"/>
          <w:sz w:val="24"/>
        </w:rPr>
        <w:t>金额必须不低于基金管理人在相关公告或更新的招募说明书中所规定的定期定额投资计划最低申购金额。</w:t>
      </w:r>
    </w:p>
    <w:p w:rsidR="00CB515E" w:rsidRDefault="005F186E">
      <w:pPr>
        <w:autoSpaceDE w:val="0"/>
        <w:autoSpaceDN w:val="0"/>
        <w:adjustRightInd w:val="0"/>
        <w:spacing w:line="360" w:lineRule="auto"/>
        <w:ind w:firstLine="420"/>
        <w:jc w:val="left"/>
        <w:rPr>
          <w:b/>
          <w:bCs/>
          <w:sz w:val="24"/>
        </w:rPr>
      </w:pPr>
      <w:r>
        <w:rPr>
          <w:b/>
          <w:bCs/>
          <w:sz w:val="24"/>
        </w:rPr>
        <w:t>十八、基金份额的冻结、解冻和质押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rsidR="00CB515E" w:rsidRDefault="005F186E">
      <w:pPr>
        <w:adjustRightInd w:val="0"/>
        <w:snapToGrid w:val="0"/>
        <w:spacing w:line="360" w:lineRule="auto"/>
        <w:ind w:firstLineChars="200" w:firstLine="480"/>
        <w:rPr>
          <w:kern w:val="0"/>
          <w:sz w:val="24"/>
        </w:rPr>
      </w:pPr>
      <w:r>
        <w:rPr>
          <w:rFonts w:eastAsiaTheme="minorEastAsia"/>
          <w:kern w:val="0"/>
          <w:sz w:val="24"/>
        </w:rPr>
        <w:t>如相关法律法规允许</w:t>
      </w:r>
      <w:r>
        <w:rPr>
          <w:rFonts w:eastAsiaTheme="minorEastAsia" w:hint="eastAsia"/>
          <w:kern w:val="0"/>
          <w:sz w:val="24"/>
        </w:rPr>
        <w:t>，</w:t>
      </w:r>
      <w:r>
        <w:rPr>
          <w:rFonts w:eastAsiaTheme="minorEastAsia"/>
          <w:kern w:val="0"/>
          <w:sz w:val="24"/>
        </w:rPr>
        <w:t>基金管理人履行相应程序后办理基金份额的质押业务或其他基金业务，基金管理人将制定和实施相应的业务规则</w:t>
      </w:r>
      <w:r>
        <w:rPr>
          <w:kern w:val="0"/>
          <w:sz w:val="24"/>
        </w:rPr>
        <w:t>。</w:t>
      </w:r>
    </w:p>
    <w:p w:rsidR="00CB515E" w:rsidRDefault="005F186E">
      <w:pPr>
        <w:widowControl/>
        <w:jc w:val="left"/>
        <w:rPr>
          <w:kern w:val="0"/>
          <w:sz w:val="24"/>
        </w:rPr>
      </w:pPr>
      <w:r>
        <w:rPr>
          <w:kern w:val="0"/>
          <w:sz w:val="24"/>
        </w:rPr>
        <w:br w:type="page"/>
      </w:r>
    </w:p>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bookmarkStart w:id="51" w:name="_Toc2174614"/>
      <w:r>
        <w:rPr>
          <w:rFonts w:ascii="Times New Roman" w:eastAsia="宋体" w:hAnsi="Arial Unicode MS"/>
          <w:b/>
          <w:bCs/>
          <w:sz w:val="30"/>
          <w:szCs w:val="30"/>
        </w:rPr>
        <w:t>第</w:t>
      </w:r>
      <w:r>
        <w:rPr>
          <w:rFonts w:ascii="Times New Roman" w:eastAsia="宋体" w:hAnsi="Arial Unicode MS" w:hint="eastAsia"/>
          <w:b/>
          <w:bCs/>
          <w:sz w:val="30"/>
          <w:szCs w:val="30"/>
        </w:rPr>
        <w:t>九</w:t>
      </w:r>
      <w:r>
        <w:rPr>
          <w:rFonts w:ascii="Times New Roman" w:eastAsia="宋体" w:hAnsi="Arial Unicode MS"/>
          <w:b/>
          <w:bCs/>
          <w:sz w:val="30"/>
          <w:szCs w:val="30"/>
        </w:rPr>
        <w:t>部分基金的投资</w:t>
      </w:r>
      <w:bookmarkEnd w:id="51"/>
    </w:p>
    <w:p w:rsidR="00CB515E" w:rsidRDefault="00CB515E"/>
    <w:p w:rsidR="00CB515E" w:rsidRDefault="005F186E">
      <w:pPr>
        <w:adjustRightInd w:val="0"/>
        <w:snapToGrid w:val="0"/>
        <w:spacing w:line="360" w:lineRule="auto"/>
        <w:ind w:firstLineChars="200" w:firstLine="482"/>
        <w:rPr>
          <w:b/>
          <w:bCs/>
          <w:sz w:val="24"/>
        </w:rPr>
      </w:pPr>
      <w:r>
        <w:rPr>
          <w:b/>
          <w:bCs/>
          <w:sz w:val="24"/>
        </w:rPr>
        <w:t>一、投资目标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在一定程度上控制组合净值波动率的前提下，力争长期内实现超越业绩比较基准的投资回报。</w:t>
      </w:r>
    </w:p>
    <w:p w:rsidR="00CB515E" w:rsidRDefault="005F186E">
      <w:pPr>
        <w:adjustRightInd w:val="0"/>
        <w:snapToGrid w:val="0"/>
        <w:spacing w:line="360" w:lineRule="auto"/>
        <w:ind w:firstLineChars="200" w:firstLine="482"/>
        <w:rPr>
          <w:b/>
          <w:bCs/>
          <w:sz w:val="24"/>
        </w:rPr>
      </w:pPr>
      <w:r>
        <w:rPr>
          <w:b/>
          <w:bCs/>
          <w:sz w:val="24"/>
        </w:rPr>
        <w:t>二、投资范围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本基金的投资范围主要为具有良好流动性的</w:t>
      </w:r>
      <w:r>
        <w:rPr>
          <w:rFonts w:eastAsiaTheme="minorEastAsia" w:hint="eastAsia"/>
          <w:kern w:val="0"/>
          <w:sz w:val="24"/>
        </w:rPr>
        <w:t>投资</w:t>
      </w:r>
      <w:r>
        <w:rPr>
          <w:rFonts w:eastAsiaTheme="minorEastAsia"/>
          <w:kern w:val="0"/>
          <w:sz w:val="24"/>
        </w:rPr>
        <w:t>品种，包括国债、金融债、地方政府债、企业债、公司债、央行票据、中期票据、短期融资券及超短期融资券、资产支持证券、</w:t>
      </w:r>
      <w:r>
        <w:rPr>
          <w:rFonts w:eastAsiaTheme="minorEastAsia" w:hint="eastAsia"/>
          <w:kern w:val="0"/>
          <w:sz w:val="24"/>
        </w:rPr>
        <w:t>公开发行的</w:t>
      </w:r>
      <w:r>
        <w:rPr>
          <w:rFonts w:eastAsiaTheme="minorEastAsia"/>
          <w:kern w:val="0"/>
          <w:sz w:val="24"/>
        </w:rPr>
        <w:t>次级债、债券回购、银行存款</w:t>
      </w:r>
      <w:r>
        <w:rPr>
          <w:rFonts w:eastAsiaTheme="minorEastAsia" w:hint="eastAsia"/>
          <w:kern w:val="0"/>
          <w:sz w:val="24"/>
        </w:rPr>
        <w:t>、</w:t>
      </w:r>
      <w:r>
        <w:rPr>
          <w:rFonts w:eastAsiaTheme="minorEastAsia"/>
          <w:kern w:val="0"/>
          <w:sz w:val="24"/>
        </w:rPr>
        <w:t>同业存单等法律法规或中国证监会允许基金投资的其他金融工具（但须符合中国证监会的相关规定）。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本基金不投资于股票、权证等资产，也不投资于可转换债券、可交换债券。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如法律法规或监管机构以后允许基金投资其他品种，基金管理人在履行适当程序后，可以将其纳入投资范围。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基金的投资组合比例为：本基金对债券的投资比例不低于基金资产的</w:t>
      </w:r>
      <w:r>
        <w:rPr>
          <w:rFonts w:eastAsiaTheme="minorEastAsia"/>
          <w:kern w:val="0"/>
          <w:sz w:val="24"/>
        </w:rPr>
        <w:t>80</w:t>
      </w:r>
      <w:r>
        <w:rPr>
          <w:rFonts w:eastAsiaTheme="minorEastAsia" w:hint="eastAsia"/>
          <w:kern w:val="0"/>
          <w:sz w:val="24"/>
        </w:rPr>
        <w:t>%</w:t>
      </w:r>
      <w:r>
        <w:rPr>
          <w:rFonts w:eastAsiaTheme="minorEastAsia" w:hint="eastAsia"/>
          <w:kern w:val="0"/>
          <w:sz w:val="24"/>
        </w:rPr>
        <w:t>，但应开放期流动性需要，为保护基金份额持有人利益，在每次开放期开始前</w:t>
      </w:r>
      <w:r>
        <w:rPr>
          <w:rFonts w:eastAsiaTheme="minorEastAsia" w:hint="eastAsia"/>
          <w:kern w:val="0"/>
          <w:sz w:val="24"/>
        </w:rPr>
        <w:t>10</w:t>
      </w:r>
      <w:r>
        <w:rPr>
          <w:rFonts w:eastAsiaTheme="minorEastAsia" w:hint="eastAsia"/>
          <w:kern w:val="0"/>
          <w:sz w:val="24"/>
        </w:rPr>
        <w:t>个工作日、开放期及开放期结束后</w:t>
      </w:r>
      <w:r>
        <w:rPr>
          <w:rFonts w:eastAsiaTheme="minorEastAsia" w:hint="eastAsia"/>
          <w:kern w:val="0"/>
          <w:sz w:val="24"/>
        </w:rPr>
        <w:t>10</w:t>
      </w:r>
      <w:r>
        <w:rPr>
          <w:rFonts w:eastAsiaTheme="minorEastAsia" w:hint="eastAsia"/>
          <w:kern w:val="0"/>
          <w:sz w:val="24"/>
        </w:rPr>
        <w:t>个工作日的期间内，基金投资不受上述比例限制</w:t>
      </w:r>
      <w:r>
        <w:rPr>
          <w:rFonts w:eastAsiaTheme="minorEastAsia"/>
          <w:kern w:val="0"/>
          <w:sz w:val="24"/>
        </w:rPr>
        <w:t>；</w:t>
      </w:r>
      <w:r>
        <w:rPr>
          <w:rFonts w:hint="eastAsia"/>
          <w:bCs/>
          <w:sz w:val="24"/>
        </w:rPr>
        <w:t>开放期内，</w:t>
      </w:r>
      <w:r>
        <w:rPr>
          <w:rFonts w:eastAsiaTheme="minorEastAsia"/>
          <w:kern w:val="0"/>
          <w:sz w:val="24"/>
        </w:rPr>
        <w:t>本基金持有现金或者到期日在一年以内的政府债券投资比例不低于基金资产净值的</w:t>
      </w:r>
      <w:r>
        <w:rPr>
          <w:rFonts w:eastAsiaTheme="minorEastAsia"/>
          <w:kern w:val="0"/>
          <w:sz w:val="24"/>
        </w:rPr>
        <w:t>5%</w:t>
      </w:r>
      <w:r>
        <w:rPr>
          <w:rFonts w:hint="eastAsia"/>
          <w:bCs/>
          <w:sz w:val="24"/>
        </w:rPr>
        <w:t>，封闭期内，</w:t>
      </w:r>
      <w:r>
        <w:rPr>
          <w:rFonts w:hint="eastAsia"/>
          <w:bCs/>
          <w:color w:val="000000"/>
          <w:sz w:val="24"/>
        </w:rPr>
        <w:t>本基金不受上述</w:t>
      </w:r>
      <w:r>
        <w:rPr>
          <w:rFonts w:hint="eastAsia"/>
          <w:bCs/>
          <w:color w:val="000000"/>
          <w:sz w:val="24"/>
        </w:rPr>
        <w:t>5%</w:t>
      </w:r>
      <w:r>
        <w:rPr>
          <w:rFonts w:hint="eastAsia"/>
          <w:bCs/>
          <w:color w:val="000000"/>
          <w:sz w:val="24"/>
        </w:rPr>
        <w:t>的限制，其中，现金不包括结算备付金、存出保证金、应收申购款等</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bCs/>
          <w:kern w:val="0"/>
          <w:sz w:val="24"/>
        </w:rPr>
      </w:pPr>
      <w:r>
        <w:rPr>
          <w:rFonts w:eastAsiaTheme="minorEastAsia"/>
          <w:bCs/>
          <w:kern w:val="0"/>
          <w:sz w:val="24"/>
        </w:rPr>
        <w:t>如果法律法规或中国证监会变更投资品种的投资比例限制，基金管理人在履行适当程序后，可以调整上述投资品种的投资比例。</w:t>
      </w:r>
    </w:p>
    <w:p w:rsidR="00CB515E" w:rsidRDefault="005F186E">
      <w:pPr>
        <w:adjustRightInd w:val="0"/>
        <w:snapToGrid w:val="0"/>
        <w:spacing w:line="360" w:lineRule="auto"/>
        <w:ind w:firstLineChars="200" w:firstLine="482"/>
        <w:rPr>
          <w:b/>
          <w:bCs/>
          <w:sz w:val="24"/>
        </w:rPr>
      </w:pPr>
      <w:r>
        <w:rPr>
          <w:b/>
          <w:bCs/>
          <w:sz w:val="24"/>
        </w:rPr>
        <w:t>三、投资策略</w:t>
      </w:r>
    </w:p>
    <w:p w:rsidR="00CB515E" w:rsidRDefault="005F186E">
      <w:pPr>
        <w:spacing w:line="360" w:lineRule="auto"/>
        <w:ind w:firstLineChars="200" w:firstLine="480"/>
        <w:rPr>
          <w:bCs/>
          <w:sz w:val="24"/>
        </w:rPr>
      </w:pPr>
      <w:r>
        <w:rPr>
          <w:rFonts w:hint="eastAsia"/>
          <w:bCs/>
          <w:sz w:val="24"/>
        </w:rPr>
        <w:t>（一）封闭期投资策略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首先，本组合宏观周期研究的基础上，决定整体组合的久期、杠杆率策略。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一方面，本基金将分析众多的宏观经济变量（包括</w:t>
      </w:r>
      <w:r>
        <w:rPr>
          <w:rFonts w:eastAsiaTheme="minorEastAsia"/>
          <w:kern w:val="0"/>
          <w:sz w:val="24"/>
        </w:rPr>
        <w:t>GDP</w:t>
      </w:r>
      <w:r>
        <w:rPr>
          <w:rFonts w:eastAsiaTheme="minorEastAsia"/>
          <w:kern w:val="0"/>
          <w:sz w:val="24"/>
        </w:rPr>
        <w:t>增长率、</w:t>
      </w:r>
      <w:r>
        <w:rPr>
          <w:rFonts w:eastAsiaTheme="minorEastAsia"/>
          <w:kern w:val="0"/>
          <w:sz w:val="24"/>
        </w:rPr>
        <w:t>CPI</w:t>
      </w:r>
      <w:r>
        <w:rPr>
          <w:rFonts w:eastAsiaTheme="minorEastAsia"/>
          <w:kern w:val="0"/>
          <w:sz w:val="24"/>
        </w:rPr>
        <w:t>走势、</w:t>
      </w:r>
      <w:r>
        <w:rPr>
          <w:rFonts w:eastAsiaTheme="minorEastAsia"/>
          <w:kern w:val="0"/>
          <w:sz w:val="24"/>
        </w:rPr>
        <w:t>M2</w:t>
      </w:r>
      <w:r>
        <w:rPr>
          <w:rFonts w:eastAsiaTheme="minorEastAsia"/>
          <w:kern w:val="0"/>
          <w:sz w:val="24"/>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w:t>
      </w:r>
      <w:bookmarkStart w:id="52" w:name="_Toc148867251"/>
      <w:bookmarkStart w:id="53" w:name="_Toc212891567"/>
      <w:bookmarkStart w:id="54" w:name="_Toc149105517"/>
      <w:r>
        <w:rPr>
          <w:rFonts w:eastAsiaTheme="minorEastAsia"/>
          <w:kern w:val="0"/>
          <w:sz w:val="24"/>
        </w:rPr>
        <w:t>用类固定收益类证券之间的配置比例，整体组合的久期范围以及杠杆率水平。</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其次，本组合将在期限结构策略、行业轮动策略的基础上获得债券市场整体回报率，通过息差策略、个券挖掘策略获得超额收益。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）骑乘策略是当收益率曲线比较陡峭时，也即相邻期限利差较大时，买入期限位于收益率曲线陡峭处的债券，通过债券的收益率的下滑，进而获得资本利得收益。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、行业配置策略。债券市场所涉及行业众多，同样宏观周期背景下不同行业的景气度的发生，本基金分别采用以下的分析策略：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）分散化投资：发行人涉及众多行业，本组合将保持在各行业配置比例上的分散化结构，避免过度集中配置在产业链高度相关的上中下游行业。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）行业投资：本组合将依据对下一阶段各行业景气度特征的研判，确定在下一阶段在各行业的配置比例，卖出景气度降低行业的债券，提前布局景气度提升行业的债券。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、息差策略。通过正回购，融资买入收益率高于回购成本的债券，从而获得杠杆放大收益。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本组合将采取低杠杆、高流动性策略，适当运用杠杆息差方式来获取主动管理回报，选取具有较好流动性的债券作为杠杆买入品种，灵活控制杠杆组合仓位，降低组合波动率。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、个券挖掘策略。本部分策略强调公司价值挖掘的重要性，在行业周期特征、公司基本面风险特征基础上制定</w:t>
      </w:r>
      <w:r>
        <w:rPr>
          <w:rFonts w:eastAsiaTheme="minorEastAsia" w:hint="eastAsia"/>
          <w:kern w:val="0"/>
          <w:sz w:val="24"/>
        </w:rPr>
        <w:t>投资</w:t>
      </w:r>
      <w:r>
        <w:rPr>
          <w:rFonts w:eastAsiaTheme="minorEastAsia"/>
          <w:kern w:val="0"/>
          <w:sz w:val="24"/>
        </w:rPr>
        <w:t>策略，甄别具有估值优势、基本面改善的公司，采取高度分散策略，重点布局优势债券，争取提高组合超额收益空间。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资产支持证券投资策略。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rsidR="00CB515E" w:rsidRDefault="005F186E">
      <w:pPr>
        <w:spacing w:line="360" w:lineRule="auto"/>
        <w:ind w:firstLineChars="200" w:firstLine="480"/>
        <w:rPr>
          <w:bCs/>
          <w:color w:val="000000"/>
          <w:sz w:val="24"/>
        </w:rPr>
      </w:pPr>
      <w:r>
        <w:rPr>
          <w:rFonts w:hint="eastAsia"/>
          <w:bCs/>
          <w:color w:val="000000"/>
          <w:sz w:val="24"/>
        </w:rPr>
        <w:t>（二）开放期投资策略</w:t>
      </w:r>
    </w:p>
    <w:p w:rsidR="00CB515E" w:rsidRDefault="005F186E">
      <w:pPr>
        <w:spacing w:line="360" w:lineRule="auto"/>
        <w:ind w:firstLineChars="200" w:firstLine="480"/>
        <w:rPr>
          <w:bCs/>
          <w:color w:val="000000"/>
          <w:sz w:val="24"/>
        </w:rPr>
      </w:pPr>
      <w:r>
        <w:rPr>
          <w:rFonts w:hint="eastAsia"/>
          <w:bCs/>
          <w:color w:val="000000"/>
          <w:sz w:val="24"/>
        </w:rPr>
        <w:t>开放期内，本基金为保持较高的组合流动性，方便投资人安排投资，在遵守本基金有关投资限制与投资比例的前提下，将主要投资于高流动性的投资品种，减小基金净值的波动。</w:t>
      </w:r>
    </w:p>
    <w:bookmarkEnd w:id="52"/>
    <w:bookmarkEnd w:id="53"/>
    <w:bookmarkEnd w:id="54"/>
    <w:p w:rsidR="00CB515E" w:rsidRDefault="005F186E">
      <w:pPr>
        <w:adjustRightInd w:val="0"/>
        <w:snapToGrid w:val="0"/>
        <w:spacing w:line="360" w:lineRule="auto"/>
        <w:ind w:firstLineChars="200" w:firstLine="482"/>
        <w:rPr>
          <w:b/>
          <w:bCs/>
          <w:sz w:val="24"/>
        </w:rPr>
      </w:pPr>
      <w:r>
        <w:rPr>
          <w:rFonts w:hint="eastAsia"/>
          <w:b/>
          <w:bCs/>
          <w:sz w:val="24"/>
        </w:rPr>
        <w:t>四</w:t>
      </w:r>
      <w:r>
        <w:rPr>
          <w:b/>
          <w:bCs/>
          <w:sz w:val="24"/>
        </w:rPr>
        <w:t>、投资限制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、组合限制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基金的投资组合应遵循以下限制：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）本基金对债券的投资比例不低于基金资产的</w:t>
      </w:r>
      <w:r>
        <w:rPr>
          <w:rFonts w:eastAsiaTheme="minorEastAsia"/>
          <w:kern w:val="0"/>
          <w:sz w:val="24"/>
        </w:rPr>
        <w:t>80%</w:t>
      </w:r>
      <w:r>
        <w:rPr>
          <w:rFonts w:hint="eastAsia"/>
          <w:sz w:val="24"/>
        </w:rPr>
        <w:t>，</w:t>
      </w:r>
      <w:r>
        <w:rPr>
          <w:rFonts w:hint="eastAsia"/>
          <w:bCs/>
          <w:color w:val="000000"/>
          <w:sz w:val="24"/>
        </w:rPr>
        <w:t>但应开放期流动性需要，为保护基金份额持有人利益，在每次开放期开始前</w:t>
      </w:r>
      <w:r>
        <w:rPr>
          <w:rFonts w:hint="eastAsia"/>
          <w:bCs/>
          <w:color w:val="000000"/>
          <w:sz w:val="24"/>
        </w:rPr>
        <w:t>10</w:t>
      </w:r>
      <w:r>
        <w:rPr>
          <w:rFonts w:hint="eastAsia"/>
          <w:bCs/>
          <w:color w:val="000000"/>
          <w:sz w:val="24"/>
        </w:rPr>
        <w:t>个工作日、开放期及开放期结束后</w:t>
      </w:r>
      <w:r>
        <w:rPr>
          <w:rFonts w:hint="eastAsia"/>
          <w:bCs/>
          <w:color w:val="000000"/>
          <w:sz w:val="24"/>
        </w:rPr>
        <w:t>10</w:t>
      </w:r>
      <w:r>
        <w:rPr>
          <w:rFonts w:hint="eastAsia"/>
          <w:bCs/>
          <w:color w:val="000000"/>
          <w:sz w:val="24"/>
        </w:rPr>
        <w:t>个工作日的期间内，基金投资不受上述比例限制</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w:t>
      </w:r>
      <w:r>
        <w:rPr>
          <w:rFonts w:hint="eastAsia"/>
          <w:bCs/>
          <w:color w:val="000000"/>
          <w:sz w:val="24"/>
        </w:rPr>
        <w:t>开放期内，</w:t>
      </w:r>
      <w:r>
        <w:rPr>
          <w:rFonts w:eastAsiaTheme="minorEastAsia"/>
          <w:kern w:val="0"/>
          <w:sz w:val="24"/>
        </w:rPr>
        <w:t>本基金持有现金或者到期日在一年以内的政府债券投资比例合计不低于基金资产净值的</w:t>
      </w:r>
      <w:r>
        <w:rPr>
          <w:rFonts w:eastAsiaTheme="minorEastAsia"/>
          <w:kern w:val="0"/>
          <w:sz w:val="24"/>
        </w:rPr>
        <w:t>5%</w:t>
      </w:r>
      <w:r>
        <w:rPr>
          <w:rFonts w:hint="eastAsia"/>
          <w:bCs/>
          <w:sz w:val="24"/>
        </w:rPr>
        <w:t>，</w:t>
      </w:r>
      <w:r>
        <w:rPr>
          <w:rFonts w:hint="eastAsia"/>
          <w:bCs/>
          <w:color w:val="000000"/>
          <w:sz w:val="24"/>
        </w:rPr>
        <w:t>在封闭期内，本基金不受上述</w:t>
      </w:r>
      <w:r>
        <w:rPr>
          <w:rFonts w:hint="eastAsia"/>
          <w:bCs/>
          <w:color w:val="000000"/>
          <w:sz w:val="24"/>
        </w:rPr>
        <w:t>5%</w:t>
      </w:r>
      <w:r>
        <w:rPr>
          <w:rFonts w:hint="eastAsia"/>
          <w:bCs/>
          <w:color w:val="000000"/>
          <w:sz w:val="24"/>
        </w:rPr>
        <w:t>的限制</w:t>
      </w:r>
      <w:r>
        <w:rPr>
          <w:rFonts w:eastAsiaTheme="minorEastAsia" w:hint="eastAsia"/>
          <w:kern w:val="0"/>
          <w:sz w:val="24"/>
        </w:rPr>
        <w:t>；其中，现金不包括结算备付金、存出保证金、应收申购款等；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）本基金持有一家公司发行的证券，其市值不超过基金资产净值的</w:t>
      </w:r>
      <w:r>
        <w:rPr>
          <w:rFonts w:eastAsiaTheme="minorEastAsia"/>
          <w:kern w:val="0"/>
          <w:sz w:val="24"/>
        </w:rPr>
        <w:t>10%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）本基金管理人管理的全部基金持有一家公司发行的证券，不超过该证券的</w:t>
      </w:r>
      <w:r>
        <w:rPr>
          <w:rFonts w:eastAsiaTheme="minorEastAsia"/>
          <w:kern w:val="0"/>
          <w:sz w:val="24"/>
        </w:rPr>
        <w:t>10%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5</w:t>
      </w:r>
      <w:r>
        <w:rPr>
          <w:rFonts w:eastAsiaTheme="minorEastAsia"/>
          <w:kern w:val="0"/>
          <w:sz w:val="24"/>
        </w:rPr>
        <w:t>）本基金进入全国银行间同业市场进行债券回购的资金余额不得超过基金资产净值的</w:t>
      </w:r>
      <w:r>
        <w:rPr>
          <w:rFonts w:eastAsiaTheme="minorEastAsia"/>
          <w:kern w:val="0"/>
          <w:sz w:val="24"/>
        </w:rPr>
        <w:t>40%</w:t>
      </w:r>
      <w:r>
        <w:rPr>
          <w:rFonts w:eastAsiaTheme="minorEastAsia" w:hint="eastAsia"/>
          <w:kern w:val="0"/>
          <w:sz w:val="24"/>
        </w:rPr>
        <w:t>；</w:t>
      </w:r>
      <w:r>
        <w:rPr>
          <w:rFonts w:eastAsiaTheme="minorEastAsia"/>
          <w:kern w:val="0"/>
          <w:sz w:val="24"/>
        </w:rPr>
        <w:t>在全国银行间同业市场中的债券回购最长期限为</w:t>
      </w:r>
      <w:r>
        <w:rPr>
          <w:rFonts w:eastAsiaTheme="minorEastAsia"/>
          <w:kern w:val="0"/>
          <w:sz w:val="24"/>
        </w:rPr>
        <w:t>1</w:t>
      </w:r>
      <w:r>
        <w:rPr>
          <w:rFonts w:eastAsiaTheme="minorEastAsia"/>
          <w:kern w:val="0"/>
          <w:sz w:val="24"/>
        </w:rPr>
        <w:t>年，债券回购到期后不展期；</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6</w:t>
      </w:r>
      <w:r>
        <w:rPr>
          <w:rFonts w:eastAsiaTheme="minorEastAsia"/>
          <w:kern w:val="0"/>
          <w:sz w:val="24"/>
        </w:rPr>
        <w:t>）本基金投资于同一原始权益人的各类资产支持证券的比例，不得超过基金资产净值的</w:t>
      </w:r>
      <w:r>
        <w:rPr>
          <w:rFonts w:eastAsiaTheme="minorEastAsia"/>
          <w:kern w:val="0"/>
          <w:sz w:val="24"/>
        </w:rPr>
        <w:t>10%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7</w:t>
      </w:r>
      <w:r>
        <w:rPr>
          <w:rFonts w:eastAsiaTheme="minorEastAsia"/>
          <w:kern w:val="0"/>
          <w:sz w:val="24"/>
        </w:rPr>
        <w:t>）本基金持有的全部资产支持证券，其市值不得超过基金资产净值的</w:t>
      </w:r>
      <w:r>
        <w:rPr>
          <w:rFonts w:eastAsiaTheme="minorEastAsia"/>
          <w:kern w:val="0"/>
          <w:sz w:val="24"/>
        </w:rPr>
        <w:t>20%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8</w:t>
      </w:r>
      <w:r>
        <w:rPr>
          <w:rFonts w:eastAsiaTheme="minorEastAsia"/>
          <w:kern w:val="0"/>
          <w:sz w:val="24"/>
        </w:rPr>
        <w:t>）本基金持有的同一（指同一信用级别）资产支持证券的比例，不得超过该资产支持证券规模的</w:t>
      </w:r>
      <w:r>
        <w:rPr>
          <w:rFonts w:eastAsiaTheme="minorEastAsia"/>
          <w:kern w:val="0"/>
          <w:sz w:val="24"/>
        </w:rPr>
        <w:t>10%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9</w:t>
      </w:r>
      <w:r>
        <w:rPr>
          <w:rFonts w:eastAsiaTheme="minorEastAsia"/>
          <w:kern w:val="0"/>
          <w:sz w:val="24"/>
        </w:rPr>
        <w:t>）本基金管理人管理的全部基金投资于同一原始权益人的各类资产支持证券，不得超过其各类资产支持证券合计规模的</w:t>
      </w:r>
      <w:r>
        <w:rPr>
          <w:rFonts w:eastAsiaTheme="minorEastAsia"/>
          <w:kern w:val="0"/>
          <w:sz w:val="24"/>
        </w:rPr>
        <w:t>10</w:t>
      </w:r>
      <w:r>
        <w:rPr>
          <w:rFonts w:eastAsiaTheme="minorEastAsia" w:hint="eastAsia"/>
          <w:kern w:val="0"/>
          <w:sz w:val="24"/>
        </w:rPr>
        <w:t>%</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10</w:t>
      </w:r>
      <w:r>
        <w:rPr>
          <w:rFonts w:eastAsiaTheme="minorEastAsia"/>
          <w:kern w:val="0"/>
          <w:sz w:val="24"/>
        </w:rPr>
        <w:t>）本基金应投资于信用级别评级为</w:t>
      </w:r>
      <w:r>
        <w:rPr>
          <w:rFonts w:eastAsiaTheme="minorEastAsia" w:hint="eastAsia"/>
          <w:kern w:val="0"/>
          <w:sz w:val="24"/>
        </w:rPr>
        <w:t>BBB</w:t>
      </w:r>
      <w:r>
        <w:rPr>
          <w:rFonts w:eastAsiaTheme="minorEastAsia"/>
          <w:kern w:val="0"/>
          <w:sz w:val="24"/>
        </w:rPr>
        <w:t>以上</w:t>
      </w:r>
      <w:r>
        <w:rPr>
          <w:rFonts w:eastAsiaTheme="minorEastAsia"/>
          <w:kern w:val="0"/>
          <w:sz w:val="24"/>
        </w:rPr>
        <w:t>(</w:t>
      </w:r>
      <w:r>
        <w:rPr>
          <w:rFonts w:eastAsiaTheme="minorEastAsia"/>
          <w:kern w:val="0"/>
          <w:sz w:val="24"/>
        </w:rPr>
        <w:t>含</w:t>
      </w:r>
      <w:r>
        <w:rPr>
          <w:rFonts w:eastAsiaTheme="minorEastAsia"/>
          <w:kern w:val="0"/>
          <w:sz w:val="24"/>
        </w:rPr>
        <w:t>BBB)</w:t>
      </w:r>
      <w:r>
        <w:rPr>
          <w:rFonts w:eastAsiaTheme="minorEastAsia"/>
          <w:kern w:val="0"/>
          <w:sz w:val="24"/>
        </w:rPr>
        <w:t>的资产支持证券。基金持有资产支持证券期间，如果其信用等级下降、不再符合投资标准，应在评级报告发布之日起</w:t>
      </w:r>
      <w:r>
        <w:rPr>
          <w:rFonts w:eastAsiaTheme="minorEastAsia"/>
          <w:kern w:val="0"/>
          <w:sz w:val="24"/>
        </w:rPr>
        <w:t>3</w:t>
      </w:r>
      <w:r>
        <w:rPr>
          <w:rFonts w:eastAsiaTheme="minorEastAsia"/>
          <w:kern w:val="0"/>
          <w:sz w:val="24"/>
        </w:rPr>
        <w:t>个月内予以全部卖出；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11</w:t>
      </w:r>
      <w:r>
        <w:rPr>
          <w:rFonts w:eastAsiaTheme="minorEastAsia"/>
          <w:kern w:val="0"/>
          <w:sz w:val="24"/>
        </w:rPr>
        <w:t>）</w:t>
      </w:r>
      <w:r>
        <w:rPr>
          <w:rFonts w:hint="eastAsia"/>
          <w:bCs/>
          <w:color w:val="000000"/>
          <w:sz w:val="24"/>
        </w:rPr>
        <w:t>封闭运作期间，</w:t>
      </w:r>
      <w:r>
        <w:rPr>
          <w:rFonts w:ascii="宋体" w:hAnsi="宋体" w:hint="eastAsia"/>
          <w:bCs/>
          <w:color w:val="000000"/>
          <w:sz w:val="24"/>
        </w:rPr>
        <w:t>基金总资产不得超过净资产的</w:t>
      </w:r>
      <w:r>
        <w:rPr>
          <w:rFonts w:eastAsiaTheme="minorEastAsia"/>
          <w:kern w:val="0"/>
          <w:sz w:val="24"/>
        </w:rPr>
        <w:t>200%</w:t>
      </w:r>
      <w:r>
        <w:rPr>
          <w:rFonts w:ascii="宋体" w:hAnsi="宋体" w:hint="eastAsia"/>
          <w:bCs/>
          <w:color w:val="000000"/>
          <w:sz w:val="24"/>
        </w:rPr>
        <w:t>；开放期内，</w:t>
      </w:r>
      <w:r>
        <w:rPr>
          <w:rFonts w:eastAsiaTheme="minorEastAsia"/>
          <w:kern w:val="0"/>
          <w:sz w:val="24"/>
        </w:rPr>
        <w:t>基金资产总值不得超过基金资产净值的</w:t>
      </w:r>
      <w:r>
        <w:rPr>
          <w:rFonts w:eastAsiaTheme="minorEastAsia"/>
          <w:kern w:val="0"/>
          <w:sz w:val="24"/>
        </w:rPr>
        <w:t>140%</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kern w:val="0"/>
          <w:sz w:val="24"/>
        </w:rPr>
        <w:t>2</w:t>
      </w:r>
      <w:r>
        <w:rPr>
          <w:rFonts w:eastAsiaTheme="minorEastAsia" w:hint="eastAsia"/>
          <w:kern w:val="0"/>
          <w:sz w:val="24"/>
        </w:rPr>
        <w:t>）在开放期内，本基金主动投资于流动性受限资产的市值合计不得超过本基金资产净值的</w:t>
      </w:r>
      <w:r>
        <w:rPr>
          <w:rFonts w:eastAsiaTheme="minorEastAsia" w:hint="eastAsia"/>
          <w:kern w:val="0"/>
          <w:sz w:val="24"/>
        </w:rPr>
        <w:t>15%</w:t>
      </w:r>
      <w:r>
        <w:rPr>
          <w:rFonts w:eastAsiaTheme="minorEastAsia" w:hint="eastAsia"/>
          <w:kern w:val="0"/>
          <w:sz w:val="24"/>
        </w:rPr>
        <w:t>，封闭期内不受此限；因证券市场波动、证券停牌、基金规模变动等基金管理人之外的因素致使基金不符合本款所规定比例限制的，基金管理人不得主动新增流动性受限资产的投资；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kern w:val="0"/>
          <w:sz w:val="24"/>
        </w:rPr>
        <w:t>3</w:t>
      </w:r>
      <w:r>
        <w:rPr>
          <w:rFonts w:eastAsiaTheme="minorEastAsia" w:hint="eastAsia"/>
          <w:kern w:val="0"/>
          <w:sz w:val="24"/>
        </w:rPr>
        <w:t>）在开放期内，本基金与私募类证券资管产品及中国证监会认定的其他主体为交易对手开展逆回购交易的，可接受质押品的资质要求应当与基金合同约定的投资范围保持一致；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14</w:t>
      </w:r>
      <w:r>
        <w:rPr>
          <w:rFonts w:eastAsiaTheme="minorEastAsia"/>
          <w:kern w:val="0"/>
          <w:sz w:val="24"/>
        </w:rPr>
        <w:t>）法律法规及中国证监会规定的和《基金合同》约定的其他投资限制。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除上述第（</w:t>
      </w:r>
      <w:r>
        <w:rPr>
          <w:rFonts w:eastAsiaTheme="minorEastAsia" w:hint="eastAsia"/>
          <w:kern w:val="0"/>
          <w:sz w:val="24"/>
        </w:rPr>
        <w:t>2</w:t>
      </w: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w:t>
      </w:r>
      <w:r>
        <w:rPr>
          <w:rFonts w:eastAsiaTheme="minorEastAsia" w:hint="eastAsia"/>
          <w:kern w:val="0"/>
          <w:sz w:val="24"/>
        </w:rPr>
        <w:t>1</w:t>
      </w:r>
      <w:r>
        <w:rPr>
          <w:rFonts w:eastAsiaTheme="minorEastAsia"/>
          <w:kern w:val="0"/>
          <w:sz w:val="24"/>
        </w:rPr>
        <w:t>2</w:t>
      </w: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）项以外，</w:t>
      </w:r>
      <w:r>
        <w:rPr>
          <w:rFonts w:eastAsiaTheme="minorEastAsia"/>
          <w:kern w:val="0"/>
          <w:sz w:val="24"/>
        </w:rPr>
        <w:t>因证券市场波动、证券发行人合并、基金规模变动等基金管理人之外的因素致使基金投资比例不符合上述规定投资比例的，基金管理人应当在</w:t>
      </w:r>
      <w:r>
        <w:rPr>
          <w:rFonts w:eastAsiaTheme="minorEastAsia"/>
          <w:kern w:val="0"/>
          <w:sz w:val="24"/>
        </w:rPr>
        <w:t>10</w:t>
      </w:r>
      <w:r>
        <w:rPr>
          <w:rFonts w:eastAsiaTheme="minorEastAsia"/>
          <w:kern w:val="0"/>
          <w:sz w:val="24"/>
        </w:rPr>
        <w:t>个交易日内进行调整，但法律法规或中国证监会规定的特殊情形除外。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基金管理人应当自基金合同生效之日起</w:t>
      </w:r>
      <w:r>
        <w:rPr>
          <w:rFonts w:eastAsiaTheme="minorEastAsia"/>
          <w:kern w:val="0"/>
          <w:sz w:val="24"/>
        </w:rPr>
        <w:t>6</w:t>
      </w:r>
      <w:r>
        <w:rPr>
          <w:rFonts w:eastAsiaTheme="minor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法律法规或监管部门取消或调整上述限制，如适用于本基金，基金管理人在履行适当程序后，则本基金投资不再受相关限制或按调整后的规定执行，但须提前公告，不需要经基金份额持有人大会审议。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、禁止行为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为维护基金份额持有人的合法权益，基金财产不得用于下列投资或者活动：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）承销证券；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）违反规定向他人贷款或者提供担保；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）从事承担无限责任的投资；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）买卖其他基金份额，但是中国证监会另有规定的除外；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5</w:t>
      </w:r>
      <w:r>
        <w:rPr>
          <w:rFonts w:eastAsiaTheme="minorEastAsia"/>
          <w:kern w:val="0"/>
          <w:sz w:val="24"/>
        </w:rPr>
        <w:t>）向其基金管理人、基金托管人出资；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6</w:t>
      </w:r>
      <w:r>
        <w:rPr>
          <w:rFonts w:eastAsiaTheme="minorEastAsia"/>
          <w:kern w:val="0"/>
          <w:sz w:val="24"/>
        </w:rPr>
        <w:t>）从事内幕交易、操纵证券交易价格及其他不正当的证券交易活动；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7</w:t>
      </w:r>
      <w:r>
        <w:rPr>
          <w:rFonts w:eastAsiaTheme="minorEastAsia"/>
          <w:kern w:val="0"/>
          <w:sz w:val="24"/>
        </w:rPr>
        <w:t>）法律、行政法规和中国证监会规定禁止的其他活动。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基金管理人运用基金财产买卖基金管理人、基金托管人及其控股股东、实际控制人或者与其有重大利害关系的公司发行的证券或者</w:t>
      </w:r>
      <w:r>
        <w:rPr>
          <w:rFonts w:eastAsiaTheme="minorEastAsia" w:hint="eastAsia"/>
          <w:kern w:val="0"/>
          <w:sz w:val="24"/>
        </w:rPr>
        <w:t>承销期内</w:t>
      </w:r>
      <w:r>
        <w:rPr>
          <w:rFonts w:eastAsiaTheme="minorEastAsia"/>
          <w:kern w:val="0"/>
          <w:sz w:val="24"/>
        </w:rPr>
        <w:t>承销的证券，或者从事其他重大关联交易的，应当符合基金的投资目标和投资策略，遵循基金份额持有人利益优先的原则，防范利益冲突，建立健全内部审批机制和评估机制，按照市场公平合理价格执行。相关交易</w:t>
      </w:r>
      <w:r>
        <w:rPr>
          <w:rFonts w:eastAsiaTheme="minorEastAsia" w:hint="eastAsia"/>
          <w:kern w:val="0"/>
          <w:sz w:val="24"/>
        </w:rPr>
        <w:t>必</w:t>
      </w:r>
      <w:r>
        <w:rPr>
          <w:rFonts w:eastAsiaTheme="minorEastAsia"/>
          <w:kern w:val="0"/>
          <w:sz w:val="24"/>
        </w:rPr>
        <w:t>须事先得到基金托管人的同意，并按法律法规予以披露。重大关联交易应提交基金管理人董事会审议，并经过三分之二以上的独立董事通过。基金管理人董事会应至少每半年对关联交易事项进行审查。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法律、行政法规或监管部门取消或变更上述禁止性规定</w:t>
      </w:r>
      <w:r>
        <w:rPr>
          <w:rFonts w:eastAsiaTheme="minorEastAsia" w:hint="eastAsia"/>
          <w:kern w:val="0"/>
          <w:sz w:val="24"/>
        </w:rPr>
        <w:t>或</w:t>
      </w:r>
      <w:r>
        <w:rPr>
          <w:rFonts w:eastAsiaTheme="minorEastAsia"/>
          <w:kern w:val="0"/>
          <w:sz w:val="24"/>
        </w:rPr>
        <w:t>限制，如适用于本基金，基金管理人在履行适当程序后，则本基金投资不再受相关限制或按变更后的规定执行。</w:t>
      </w:r>
    </w:p>
    <w:p w:rsidR="00CB515E" w:rsidRDefault="005F186E">
      <w:pPr>
        <w:spacing w:line="360" w:lineRule="auto"/>
        <w:ind w:firstLineChars="200" w:firstLine="482"/>
        <w:rPr>
          <w:b/>
          <w:sz w:val="24"/>
        </w:rPr>
      </w:pPr>
      <w:r>
        <w:rPr>
          <w:rFonts w:hint="eastAsia"/>
          <w:b/>
          <w:sz w:val="24"/>
        </w:rPr>
        <w:t>五</w:t>
      </w:r>
      <w:r>
        <w:rPr>
          <w:b/>
          <w:sz w:val="24"/>
        </w:rPr>
        <w:t>、业绩比较基准</w:t>
      </w:r>
    </w:p>
    <w:p w:rsidR="00CB515E" w:rsidRDefault="005F186E">
      <w:pPr>
        <w:spacing w:line="360" w:lineRule="auto"/>
        <w:ind w:firstLineChars="200" w:firstLine="480"/>
        <w:rPr>
          <w:rFonts w:eastAsiaTheme="minorEastAsia"/>
          <w:kern w:val="0"/>
          <w:sz w:val="24"/>
        </w:rPr>
      </w:pPr>
      <w:r>
        <w:rPr>
          <w:rFonts w:eastAsiaTheme="minorEastAsia"/>
          <w:kern w:val="0"/>
          <w:sz w:val="24"/>
        </w:rPr>
        <w:t>本基金的业绩比较基准为：</w:t>
      </w:r>
      <w:r>
        <w:rPr>
          <w:rFonts w:eastAsiaTheme="minorEastAsia" w:hint="eastAsia"/>
          <w:kern w:val="0"/>
          <w:sz w:val="24"/>
        </w:rPr>
        <w:t>中债综合指数（总财富）收益率×</w:t>
      </w:r>
      <w:r>
        <w:rPr>
          <w:rFonts w:eastAsiaTheme="minorEastAsia" w:hint="eastAsia"/>
          <w:kern w:val="0"/>
          <w:sz w:val="24"/>
        </w:rPr>
        <w:t>90%+1</w:t>
      </w:r>
      <w:r>
        <w:rPr>
          <w:rFonts w:eastAsiaTheme="minorEastAsia" w:hint="eastAsia"/>
          <w:kern w:val="0"/>
          <w:sz w:val="24"/>
        </w:rPr>
        <w:t>年期定期存款利率（税后）×</w:t>
      </w:r>
      <w:r>
        <w:rPr>
          <w:rFonts w:eastAsiaTheme="minorEastAsia" w:hint="eastAsia"/>
          <w:kern w:val="0"/>
          <w:sz w:val="24"/>
        </w:rPr>
        <w:t>10%</w:t>
      </w:r>
    </w:p>
    <w:p w:rsidR="00CB515E" w:rsidRDefault="005F186E">
      <w:pPr>
        <w:spacing w:line="360" w:lineRule="auto"/>
        <w:ind w:firstLineChars="200" w:firstLine="480"/>
        <w:rPr>
          <w:rFonts w:eastAsiaTheme="minorEastAsia"/>
          <w:kern w:val="0"/>
          <w:sz w:val="24"/>
        </w:rPr>
      </w:pPr>
      <w:r>
        <w:rPr>
          <w:rFonts w:eastAsiaTheme="minorEastAsia"/>
          <w:kern w:val="0"/>
          <w:sz w:val="24"/>
        </w:rPr>
        <w:t>本基金选择上述业绩比较基准的原因为本基金主要是通过银行间市场各类债券的票息和资本利得来获取收益</w:t>
      </w:r>
      <w:r>
        <w:rPr>
          <w:rFonts w:eastAsiaTheme="minorEastAsia" w:hint="eastAsia"/>
          <w:kern w:val="0"/>
          <w:sz w:val="24"/>
        </w:rPr>
        <w:t>。</w:t>
      </w:r>
    </w:p>
    <w:p w:rsidR="00CB515E" w:rsidRDefault="005F186E">
      <w:pPr>
        <w:spacing w:line="360" w:lineRule="auto"/>
        <w:ind w:firstLineChars="200" w:firstLine="480"/>
        <w:rPr>
          <w:sz w:val="24"/>
        </w:rPr>
      </w:pPr>
      <w:r>
        <w:rPr>
          <w:bCs/>
          <w:sz w:val="24"/>
        </w:rPr>
        <w:t>若</w:t>
      </w:r>
      <w:r>
        <w:rPr>
          <w:rFonts w:hint="eastAsia"/>
          <w:bCs/>
          <w:sz w:val="24"/>
        </w:rPr>
        <w:t>指数编制单位更改指数名称，或者</w:t>
      </w:r>
      <w:r>
        <w:rPr>
          <w:bCs/>
          <w:sz w:val="24"/>
        </w:rPr>
        <w:t>未来法律法规发生变化，或者有更权威的、更能为市场普遍接受的业绩比较基准推出，或者市场发生变化导致本业绩比较基准不再适用或本业绩比较基准停止发布，本基金管理人可以依据维护投资者合法权益的原则，在与</w:t>
      </w:r>
      <w:r>
        <w:rPr>
          <w:sz w:val="24"/>
        </w:rPr>
        <w:t>基金托管人</w:t>
      </w:r>
      <w:r>
        <w:rPr>
          <w:bCs/>
          <w:sz w:val="24"/>
        </w:rPr>
        <w:t>协商一致并报中国证监会备案后，适当调整业绩比较基准并及时公告，而无需召开基金份额持有人大会。</w:t>
      </w:r>
    </w:p>
    <w:p w:rsidR="00CB515E" w:rsidRDefault="005F186E">
      <w:pPr>
        <w:widowControl/>
        <w:adjustRightInd w:val="0"/>
        <w:snapToGrid w:val="0"/>
        <w:spacing w:line="360" w:lineRule="auto"/>
        <w:ind w:firstLineChars="200" w:firstLine="482"/>
        <w:rPr>
          <w:b/>
          <w:sz w:val="24"/>
        </w:rPr>
      </w:pPr>
      <w:r>
        <w:rPr>
          <w:rFonts w:hint="eastAsia"/>
          <w:b/>
          <w:sz w:val="24"/>
        </w:rPr>
        <w:t>六</w:t>
      </w:r>
      <w:r>
        <w:rPr>
          <w:b/>
          <w:sz w:val="24"/>
        </w:rPr>
        <w:t>、风险收益特征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本基金为债券型基金，预期收益和预期风险高于货币市场基金，但低于混合型基金、股票型基金。</w:t>
      </w:r>
    </w:p>
    <w:p w:rsidR="00CB515E" w:rsidRDefault="005F186E">
      <w:pPr>
        <w:spacing w:line="360" w:lineRule="auto"/>
        <w:ind w:firstLineChars="200" w:firstLine="482"/>
        <w:rPr>
          <w:b/>
          <w:bCs/>
          <w:sz w:val="24"/>
        </w:rPr>
      </w:pPr>
      <w:bookmarkStart w:id="55" w:name="_Toc79392634"/>
      <w:r>
        <w:rPr>
          <w:rFonts w:hint="eastAsia"/>
          <w:b/>
          <w:bCs/>
          <w:sz w:val="24"/>
        </w:rPr>
        <w:t>七</w:t>
      </w:r>
      <w:r>
        <w:rPr>
          <w:b/>
          <w:bCs/>
          <w:sz w:val="24"/>
        </w:rPr>
        <w:t>、基金管理人代表基金行使相关权利的处理原则及方法</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、基金管理人按照国家有关规定代表基金独立行使相关权利，保护基金份额持有人的利益；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、不谋求对上市公司的控股；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kern w:val="0"/>
          <w:sz w:val="24"/>
        </w:rPr>
        <w:t>、有利于基金</w:t>
      </w:r>
      <w:r>
        <w:rPr>
          <w:rFonts w:eastAsiaTheme="minorEastAsia" w:hint="eastAsia"/>
          <w:kern w:val="0"/>
          <w:sz w:val="24"/>
        </w:rPr>
        <w:t>财</w:t>
      </w:r>
      <w:r>
        <w:rPr>
          <w:rFonts w:eastAsiaTheme="minorEastAsia"/>
          <w:kern w:val="0"/>
          <w:sz w:val="24"/>
        </w:rPr>
        <w:t>产的安全与增值；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kern w:val="0"/>
          <w:sz w:val="24"/>
        </w:rPr>
        <w:t>、不通过关联交易为自身、雇员、授权代理人或任何存在利害关系的第三人牟取任何不当利益。</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szCs w:val="24"/>
        </w:rPr>
        <w:br w:type="page"/>
      </w:r>
      <w:bookmarkStart w:id="56" w:name="_Toc214873599"/>
      <w:bookmarkStart w:id="57" w:name="_Toc320887649"/>
      <w:bookmarkStart w:id="58" w:name="_Toc317088544"/>
      <w:bookmarkStart w:id="59" w:name="_Toc317088147"/>
      <w:bookmarkStart w:id="60" w:name="_Toc335232698"/>
      <w:bookmarkStart w:id="61" w:name="_Toc2174615"/>
      <w:bookmarkEnd w:id="55"/>
      <w:r>
        <w:rPr>
          <w:rFonts w:ascii="Times New Roman" w:eastAsia="宋体" w:hAnsi="Arial Unicode MS"/>
          <w:b/>
          <w:bCs/>
          <w:sz w:val="30"/>
          <w:szCs w:val="30"/>
        </w:rPr>
        <w:t>第</w:t>
      </w:r>
      <w:r>
        <w:rPr>
          <w:rFonts w:ascii="Times New Roman" w:eastAsia="宋体" w:hAnsi="Arial Unicode MS" w:hint="eastAsia"/>
          <w:b/>
          <w:bCs/>
          <w:sz w:val="30"/>
          <w:szCs w:val="30"/>
        </w:rPr>
        <w:t>十</w:t>
      </w:r>
      <w:r>
        <w:rPr>
          <w:rFonts w:ascii="Times New Roman" w:eastAsia="宋体" w:hAnsi="Arial Unicode MS"/>
          <w:b/>
          <w:bCs/>
          <w:sz w:val="30"/>
          <w:szCs w:val="30"/>
        </w:rPr>
        <w:t>部分基金的财产</w:t>
      </w:r>
      <w:bookmarkEnd w:id="56"/>
      <w:bookmarkEnd w:id="57"/>
      <w:bookmarkEnd w:id="58"/>
      <w:bookmarkEnd w:id="59"/>
      <w:bookmarkEnd w:id="60"/>
      <w:bookmarkEnd w:id="61"/>
    </w:p>
    <w:p w:rsidR="00CB515E" w:rsidRDefault="00CB515E">
      <w:pPr>
        <w:rPr>
          <w:sz w:val="24"/>
        </w:rPr>
      </w:pPr>
    </w:p>
    <w:p w:rsidR="00CB515E" w:rsidRDefault="005F186E">
      <w:pPr>
        <w:spacing w:line="360" w:lineRule="auto"/>
        <w:ind w:firstLineChars="200" w:firstLine="482"/>
        <w:rPr>
          <w:b/>
          <w:sz w:val="24"/>
        </w:rPr>
      </w:pPr>
      <w:r>
        <w:rPr>
          <w:b/>
          <w:sz w:val="24"/>
        </w:rPr>
        <w:t>一、基金资产总值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基金资产总值是指</w:t>
      </w:r>
      <w:r>
        <w:rPr>
          <w:rFonts w:eastAsiaTheme="minorEastAsia" w:hint="eastAsia"/>
          <w:kern w:val="0"/>
          <w:sz w:val="24"/>
        </w:rPr>
        <w:t>购买</w:t>
      </w:r>
      <w:r>
        <w:rPr>
          <w:rFonts w:eastAsiaTheme="minorEastAsia"/>
          <w:kern w:val="0"/>
          <w:sz w:val="24"/>
        </w:rPr>
        <w:t>的各类有价证券、银行存款本息和基金应收款项以及其他资产的价值总和。</w:t>
      </w:r>
    </w:p>
    <w:p w:rsidR="00CB515E" w:rsidRDefault="005F186E">
      <w:pPr>
        <w:spacing w:line="360" w:lineRule="auto"/>
        <w:ind w:firstLineChars="200" w:firstLine="482"/>
        <w:rPr>
          <w:b/>
          <w:sz w:val="24"/>
        </w:rPr>
      </w:pPr>
      <w:r>
        <w:rPr>
          <w:b/>
          <w:sz w:val="24"/>
        </w:rPr>
        <w:t>二、基金资产净值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基金资产净值是指基金资产总值减去基金负债后的价值。</w:t>
      </w:r>
    </w:p>
    <w:p w:rsidR="00CB515E" w:rsidRDefault="005F186E">
      <w:pPr>
        <w:spacing w:line="360" w:lineRule="auto"/>
        <w:ind w:firstLineChars="200" w:firstLine="482"/>
        <w:rPr>
          <w:b/>
          <w:sz w:val="24"/>
        </w:rPr>
      </w:pPr>
      <w:r>
        <w:rPr>
          <w:b/>
          <w:sz w:val="24"/>
        </w:rPr>
        <w:t>三、基金财产的账户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B515E" w:rsidRDefault="005F186E">
      <w:pPr>
        <w:spacing w:line="360" w:lineRule="auto"/>
        <w:ind w:firstLineChars="200" w:firstLine="482"/>
        <w:rPr>
          <w:b/>
          <w:sz w:val="24"/>
        </w:rPr>
      </w:pPr>
      <w:r>
        <w:rPr>
          <w:b/>
          <w:sz w:val="24"/>
        </w:rPr>
        <w:t>四、基金财产的保管和处分</w:t>
      </w:r>
    </w:p>
    <w:p w:rsidR="00CB515E" w:rsidRDefault="005F186E">
      <w:pPr>
        <w:adjustRightInd w:val="0"/>
        <w:snapToGrid w:val="0"/>
        <w:spacing w:line="360" w:lineRule="auto"/>
        <w:ind w:firstLineChars="200" w:firstLine="480"/>
        <w:rPr>
          <w:rFonts w:eastAsiaTheme="minorEastAsia"/>
          <w:kern w:val="0"/>
          <w:sz w:val="24"/>
        </w:rPr>
      </w:pPr>
      <w:bookmarkStart w:id="62" w:name="_Hlt88900062"/>
      <w:bookmarkStart w:id="63" w:name="_Hlt88841837"/>
      <w:bookmarkEnd w:id="62"/>
      <w:bookmarkEnd w:id="63"/>
      <w:r>
        <w:rPr>
          <w:rFonts w:eastAsiaTheme="minorEastAsia"/>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eastAsiaTheme="minorEastAsia" w:hint="eastAsia"/>
          <w:kern w:val="0"/>
          <w:sz w:val="24"/>
        </w:rPr>
        <w:t>非因基金财产本身承担的债务，不得对基金财产强制执行。</w:t>
      </w:r>
      <w:bookmarkStart w:id="64" w:name="_Toc2174616"/>
      <w:bookmarkStart w:id="65" w:name="_Toc214873600"/>
      <w:bookmarkStart w:id="66" w:name="_Toc317088148"/>
      <w:bookmarkStart w:id="67" w:name="_Toc317088545"/>
      <w:bookmarkStart w:id="68" w:name="_Toc320887650"/>
      <w:bookmarkStart w:id="69" w:name="_Toc335232699"/>
      <w:r>
        <w:rPr>
          <w:rFonts w:eastAsiaTheme="minorEastAsia"/>
          <w:kern w:val="0"/>
          <w:sz w:val="24"/>
        </w:rPr>
        <w:br w:type="page"/>
      </w:r>
    </w:p>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r>
        <w:rPr>
          <w:rFonts w:ascii="Times New Roman" w:eastAsia="宋体" w:hAnsi="Arial Unicode MS"/>
          <w:b/>
          <w:bCs/>
          <w:sz w:val="30"/>
          <w:szCs w:val="30"/>
        </w:rPr>
        <w:t>第</w:t>
      </w:r>
      <w:r>
        <w:rPr>
          <w:rFonts w:ascii="Times New Roman" w:eastAsia="宋体" w:hAnsi="Arial Unicode MS" w:hint="eastAsia"/>
          <w:b/>
          <w:bCs/>
          <w:sz w:val="30"/>
          <w:szCs w:val="30"/>
        </w:rPr>
        <w:t>十一</w:t>
      </w:r>
      <w:r>
        <w:rPr>
          <w:rFonts w:ascii="Times New Roman" w:eastAsia="宋体" w:hAnsi="Arial Unicode MS"/>
          <w:b/>
          <w:bCs/>
          <w:sz w:val="30"/>
          <w:szCs w:val="30"/>
        </w:rPr>
        <w:t>部分基金资产的估值</w:t>
      </w:r>
      <w:bookmarkEnd w:id="64"/>
      <w:bookmarkEnd w:id="65"/>
      <w:bookmarkEnd w:id="66"/>
      <w:bookmarkEnd w:id="67"/>
      <w:bookmarkEnd w:id="68"/>
      <w:bookmarkEnd w:id="69"/>
    </w:p>
    <w:p w:rsidR="00CB515E" w:rsidRDefault="00CB515E">
      <w:pPr>
        <w:rPr>
          <w:sz w:val="24"/>
        </w:rPr>
      </w:pPr>
    </w:p>
    <w:p w:rsidR="00CB515E" w:rsidRDefault="005F186E">
      <w:pPr>
        <w:spacing w:line="360" w:lineRule="auto"/>
        <w:ind w:firstLineChars="200" w:firstLine="482"/>
        <w:rPr>
          <w:b/>
          <w:bCs/>
          <w:sz w:val="24"/>
        </w:rPr>
      </w:pPr>
      <w:bookmarkStart w:id="70" w:name="_Toc530223193"/>
      <w:bookmarkStart w:id="71" w:name="_Toc214873601"/>
      <w:r>
        <w:rPr>
          <w:b/>
          <w:bCs/>
          <w:sz w:val="24"/>
        </w:rPr>
        <w:t>一、估值日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本基金的估值日为本基金相关的证券交易场所的交易日以及国家法律法规规定需要对外披露基金净值的非交易日。</w:t>
      </w:r>
    </w:p>
    <w:p w:rsidR="00CB515E" w:rsidRDefault="005F186E">
      <w:pPr>
        <w:spacing w:line="360" w:lineRule="auto"/>
        <w:ind w:firstLineChars="200" w:firstLine="482"/>
        <w:rPr>
          <w:b/>
          <w:bCs/>
          <w:sz w:val="24"/>
        </w:rPr>
      </w:pPr>
      <w:r>
        <w:rPr>
          <w:b/>
          <w:bCs/>
          <w:sz w:val="24"/>
        </w:rPr>
        <w:t>二、估值对象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基金所拥有的债券和银行存款本息、应收款项、其它投资等资产及负债。</w:t>
      </w:r>
    </w:p>
    <w:p w:rsidR="00CB515E" w:rsidRDefault="005F186E">
      <w:pPr>
        <w:spacing w:line="360" w:lineRule="auto"/>
        <w:ind w:firstLineChars="200" w:firstLine="482"/>
        <w:rPr>
          <w:rFonts w:ascii="宋体" w:hAnsi="宋体"/>
          <w:b/>
          <w:bCs/>
          <w:sz w:val="24"/>
        </w:rPr>
      </w:pPr>
      <w:r>
        <w:rPr>
          <w:rFonts w:ascii="宋体" w:hAnsi="宋体" w:hint="eastAsia"/>
          <w:b/>
          <w:bCs/>
          <w:sz w:val="24"/>
        </w:rPr>
        <w:t>三、估值原则</w:t>
      </w:r>
    </w:p>
    <w:p w:rsidR="00CB515E" w:rsidRDefault="005F186E">
      <w:pPr>
        <w:spacing w:line="360" w:lineRule="auto"/>
        <w:ind w:firstLineChars="200" w:firstLine="480"/>
        <w:rPr>
          <w:rFonts w:ascii="宋体" w:hAnsi="宋体"/>
          <w:bCs/>
          <w:sz w:val="24"/>
        </w:rPr>
      </w:pPr>
      <w:r>
        <w:rPr>
          <w:rFonts w:ascii="宋体" w:hAnsi="宋体" w:hint="eastAsia"/>
          <w:bCs/>
          <w:sz w:val="24"/>
        </w:rPr>
        <w:t>基金管理人在确定相关金融资产和金融负债的公允价值时，应符合《企业会计准则》、监管部门有关规定。</w:t>
      </w:r>
    </w:p>
    <w:p w:rsidR="00CB515E" w:rsidRDefault="005F186E">
      <w:pPr>
        <w:spacing w:line="360" w:lineRule="auto"/>
        <w:ind w:firstLineChars="200" w:firstLine="480"/>
        <w:rPr>
          <w:rFonts w:ascii="宋体" w:hAnsi="宋体"/>
          <w:bCs/>
          <w:sz w:val="24"/>
        </w:rPr>
      </w:pPr>
      <w:r>
        <w:rPr>
          <w:rFonts w:ascii="宋体" w:hAnsi="宋体"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B515E" w:rsidRDefault="005F186E">
      <w:pPr>
        <w:spacing w:line="360" w:lineRule="auto"/>
        <w:ind w:firstLineChars="200" w:firstLine="480"/>
        <w:rPr>
          <w:rFonts w:ascii="宋体" w:hAnsi="宋体"/>
          <w:bCs/>
          <w:sz w:val="24"/>
        </w:rPr>
      </w:pPr>
      <w:r>
        <w:rPr>
          <w:rFonts w:ascii="宋体" w:hAnsi="宋体"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B515E" w:rsidRDefault="005F186E">
      <w:pPr>
        <w:spacing w:line="360" w:lineRule="auto"/>
        <w:ind w:firstLineChars="200" w:firstLine="480"/>
        <w:rPr>
          <w:rFonts w:ascii="宋体" w:hAnsi="宋体"/>
          <w:bCs/>
          <w:sz w:val="24"/>
        </w:rPr>
      </w:pPr>
      <w:r>
        <w:rPr>
          <w:rFonts w:ascii="宋体" w:hAnsi="宋体"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B515E" w:rsidRDefault="005F186E">
      <w:pPr>
        <w:adjustRightInd w:val="0"/>
        <w:snapToGrid w:val="0"/>
        <w:spacing w:line="360" w:lineRule="auto"/>
        <w:ind w:firstLineChars="200" w:firstLine="480"/>
        <w:rPr>
          <w:rFonts w:eastAsiaTheme="minorEastAsia"/>
          <w:kern w:val="0"/>
          <w:sz w:val="24"/>
        </w:rPr>
      </w:pPr>
      <w:r>
        <w:rPr>
          <w:rFonts w:ascii="宋体" w:hAnsi="宋体" w:hint="eastAsia"/>
          <w:bCs/>
          <w:sz w:val="24"/>
        </w:rPr>
        <w:t>（三）如经济环境发生重大变化或证券发行人发生影响证券价格的重大事件，使潜在估值调整对前一估值日的基金资产净值的影响在0.25%以上的，应对估值进行调整并确定公允价值。</w:t>
      </w:r>
    </w:p>
    <w:p w:rsidR="00CB515E" w:rsidRDefault="005F186E">
      <w:pPr>
        <w:spacing w:line="360" w:lineRule="auto"/>
        <w:ind w:firstLineChars="200" w:firstLine="482"/>
        <w:rPr>
          <w:b/>
          <w:bCs/>
          <w:sz w:val="24"/>
        </w:rPr>
      </w:pPr>
      <w:r>
        <w:rPr>
          <w:rFonts w:hint="eastAsia"/>
          <w:b/>
          <w:bCs/>
          <w:sz w:val="24"/>
        </w:rPr>
        <w:t>四</w:t>
      </w:r>
      <w:r>
        <w:rPr>
          <w:b/>
          <w:bCs/>
          <w:sz w:val="24"/>
        </w:rPr>
        <w:t>、估值方法</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、证券交易所上市的有价证券的估值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除本部分另有约定的品种外，交易所上市的有价证券（包括股票、权证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）交易所上市交易或挂牌转让的固定收益品种（另有规定的除外），选取估值日第三方估值机构提供的相应品种对应的估值净价估值；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）对在交易所市场挂牌转让的资产支持证券，采用估值技术确定公允价值，在估值技术难以可靠计量公允价值的情况下，按成本估值；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）对在交易所市场发行未上市或未挂牌转让的固定收益品种，采用估值技术确定公允价值，在估值技术难以可靠计量公允价值的情况下，按成本估值。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w:t>
      </w:r>
      <w:r>
        <w:rPr>
          <w:rFonts w:eastAsiaTheme="minorEastAsia" w:hint="eastAsia"/>
          <w:kern w:val="0"/>
          <w:sz w:val="24"/>
        </w:rPr>
        <w:t>银行间市场交易的固定收益品种的估值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）银行间市场交易的固定收益品种，选取第三方估值机构提供的相应品种当日的估值净价进行估值。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）对银行间市场未上市，且第三方估值机构未提供估值价格的固定收益品种，按成本估值。</w:t>
      </w:r>
    </w:p>
    <w:p w:rsidR="00CB515E" w:rsidRDefault="005F186E">
      <w:pPr>
        <w:pStyle w:val="aff"/>
        <w:ind w:firstLine="480"/>
        <w:rPr>
          <w:rFonts w:ascii="宋体" w:hAnsi="宋体"/>
          <w:color w:val="000000"/>
          <w:szCs w:val="24"/>
        </w:rPr>
      </w:pPr>
      <w:r>
        <w:rPr>
          <w:rFonts w:ascii="宋体" w:hAnsi="宋体" w:hint="eastAsia"/>
          <w:color w:val="000000"/>
          <w:szCs w:val="24"/>
        </w:rPr>
        <w:t>3、同一债券同时在两个或两个以上市场交易的，按债券所处的市场分别估值。</w:t>
      </w:r>
    </w:p>
    <w:p w:rsidR="00CB515E" w:rsidRDefault="005F186E">
      <w:pPr>
        <w:adjustRightInd w:val="0"/>
        <w:snapToGrid w:val="0"/>
        <w:spacing w:line="360" w:lineRule="auto"/>
        <w:ind w:firstLineChars="200" w:firstLine="420"/>
        <w:rPr>
          <w:rFonts w:eastAsiaTheme="minorEastAsia"/>
          <w:kern w:val="0"/>
          <w:sz w:val="24"/>
        </w:rPr>
      </w:pPr>
      <w:r>
        <w:rPr>
          <w:rFonts w:ascii="宋体" w:hAnsi="宋体" w:hint="eastAsia"/>
          <w:color w:val="000000"/>
        </w:rPr>
        <w:t>4、同业存单按估值日第三方估值机构提供的估值净价估值；选定的第三方估值机构未提供估值价格的，按成本估值。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、如有确凿证据表明按上述方法进行估值不能客观反映其公允价值的，基金管理人可根据具体情况与基金托管人商定后，按最能反映公允价值的价格估值。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、相关法律法规以及监管部门有强制规定的，从其规定。如有新增事项，按国家最新规定估值。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、当发生大额申购或赎回情形时，基金管理人可以采用摆动定价机制，以确保基金估值的公平性。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B515E" w:rsidRDefault="005F186E">
      <w:pPr>
        <w:spacing w:line="360" w:lineRule="auto"/>
        <w:ind w:firstLineChars="200" w:firstLine="482"/>
        <w:rPr>
          <w:b/>
          <w:bCs/>
          <w:sz w:val="24"/>
        </w:rPr>
      </w:pPr>
      <w:r>
        <w:rPr>
          <w:rFonts w:hint="eastAsia"/>
          <w:b/>
          <w:bCs/>
          <w:sz w:val="24"/>
        </w:rPr>
        <w:t>五</w:t>
      </w:r>
      <w:r>
        <w:rPr>
          <w:b/>
          <w:bCs/>
          <w:sz w:val="24"/>
        </w:rPr>
        <w:t>、估值程序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、基金份额净值是按照每个工作日闭市后，基金资产净值除以当日基金份额的余额数量计算，精确到</w:t>
      </w:r>
      <w:r>
        <w:rPr>
          <w:rFonts w:eastAsiaTheme="minorEastAsia"/>
          <w:kern w:val="0"/>
          <w:sz w:val="24"/>
        </w:rPr>
        <w:t>0.00</w:t>
      </w:r>
      <w:r>
        <w:rPr>
          <w:rFonts w:eastAsiaTheme="minorEastAsia" w:hint="eastAsia"/>
          <w:kern w:val="0"/>
          <w:sz w:val="24"/>
        </w:rPr>
        <w:t>0</w:t>
      </w:r>
      <w:r>
        <w:rPr>
          <w:rFonts w:eastAsiaTheme="minorEastAsia"/>
          <w:kern w:val="0"/>
          <w:sz w:val="24"/>
        </w:rPr>
        <w:t>1</w:t>
      </w:r>
      <w:r>
        <w:rPr>
          <w:rFonts w:eastAsiaTheme="minorEastAsia"/>
          <w:kern w:val="0"/>
          <w:sz w:val="24"/>
        </w:rPr>
        <w:t>元，小数点后第</w:t>
      </w:r>
      <w:r>
        <w:rPr>
          <w:rFonts w:eastAsiaTheme="minorEastAsia" w:hint="eastAsia"/>
          <w:kern w:val="0"/>
          <w:sz w:val="24"/>
        </w:rPr>
        <w:t>5</w:t>
      </w:r>
      <w:r>
        <w:rPr>
          <w:rFonts w:eastAsiaTheme="minorEastAsia"/>
          <w:kern w:val="0"/>
          <w:sz w:val="24"/>
        </w:rPr>
        <w:t>位四舍五入。</w:t>
      </w:r>
      <w:r>
        <w:rPr>
          <w:rFonts w:eastAsiaTheme="minorEastAsia" w:hint="eastAsia"/>
          <w:kern w:val="0"/>
          <w:sz w:val="24"/>
        </w:rPr>
        <w:t>基金管理人可以设立大额赎回情形下的净值精度应急调整机制。</w:t>
      </w:r>
      <w:r>
        <w:rPr>
          <w:rFonts w:eastAsiaTheme="minorEastAsia"/>
          <w:kern w:val="0"/>
          <w:sz w:val="24"/>
        </w:rPr>
        <w:t>国家另有规定的，从其规定。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基金管理人应每个工作日计算基金资产净值及基金份额净值，并按规定进行公告。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w:t>
      </w:r>
      <w:r>
        <w:rPr>
          <w:rFonts w:eastAsiaTheme="minorEastAsia" w:hint="eastAsia"/>
          <w:kern w:val="0"/>
          <w:sz w:val="24"/>
        </w:rPr>
        <w:t>规定</w:t>
      </w:r>
      <w:r>
        <w:rPr>
          <w:rFonts w:eastAsiaTheme="minorEastAsia"/>
          <w:kern w:val="0"/>
          <w:sz w:val="24"/>
        </w:rPr>
        <w:t>对外公布。</w:t>
      </w:r>
    </w:p>
    <w:p w:rsidR="00CB515E" w:rsidRDefault="005F186E">
      <w:pPr>
        <w:spacing w:line="360" w:lineRule="auto"/>
        <w:ind w:firstLineChars="200" w:firstLine="482"/>
        <w:rPr>
          <w:b/>
          <w:bCs/>
          <w:sz w:val="24"/>
        </w:rPr>
      </w:pPr>
      <w:r>
        <w:rPr>
          <w:rFonts w:hint="eastAsia"/>
          <w:b/>
          <w:bCs/>
          <w:sz w:val="24"/>
        </w:rPr>
        <w:t>六</w:t>
      </w:r>
      <w:r>
        <w:rPr>
          <w:b/>
          <w:bCs/>
          <w:sz w:val="24"/>
        </w:rPr>
        <w:t>、估值错误的处理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基金管理人和基金托管人将采取必要、适当、合理的措施确保基金资产估值的准确性、及时性。当基金份额净值小数点后</w:t>
      </w:r>
      <w:r>
        <w:rPr>
          <w:rFonts w:eastAsiaTheme="minorEastAsia" w:hint="eastAsia"/>
          <w:kern w:val="0"/>
          <w:sz w:val="24"/>
        </w:rPr>
        <w:t>4</w:t>
      </w:r>
      <w:r>
        <w:rPr>
          <w:rFonts w:eastAsiaTheme="minorEastAsia"/>
          <w:kern w:val="0"/>
          <w:sz w:val="24"/>
        </w:rPr>
        <w:t>位以内（含第</w:t>
      </w:r>
      <w:r>
        <w:rPr>
          <w:rFonts w:eastAsiaTheme="minorEastAsia" w:hint="eastAsia"/>
          <w:kern w:val="0"/>
          <w:sz w:val="24"/>
        </w:rPr>
        <w:t>4</w:t>
      </w:r>
      <w:r>
        <w:rPr>
          <w:rFonts w:eastAsiaTheme="minorEastAsia"/>
          <w:kern w:val="0"/>
          <w:sz w:val="24"/>
        </w:rPr>
        <w:t>位）发生估值错误时，视为基金份额净值错误。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基金合同的当事人应按照以下约定处理：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、估值错误类型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eastAsiaTheme="minorEastAsia"/>
          <w:kern w:val="0"/>
          <w:sz w:val="24"/>
        </w:rPr>
        <w:t>“</w:t>
      </w:r>
      <w:r>
        <w:rPr>
          <w:rFonts w:eastAsiaTheme="minorEastAsia"/>
          <w:kern w:val="0"/>
          <w:sz w:val="24"/>
        </w:rPr>
        <w:t>受损方</w:t>
      </w:r>
      <w:r>
        <w:rPr>
          <w:rFonts w:eastAsiaTheme="minorEastAsia"/>
          <w:kern w:val="0"/>
          <w:sz w:val="24"/>
        </w:rPr>
        <w:t>”</w:t>
      </w:r>
      <w:r>
        <w:rPr>
          <w:rFonts w:eastAsiaTheme="minorEastAsia"/>
          <w:kern w:val="0"/>
          <w:sz w:val="24"/>
        </w:rPr>
        <w:t>）的直接损失按下述</w:t>
      </w:r>
      <w:r>
        <w:rPr>
          <w:rFonts w:eastAsiaTheme="minorEastAsia"/>
          <w:kern w:val="0"/>
          <w:sz w:val="24"/>
        </w:rPr>
        <w:t>“</w:t>
      </w:r>
      <w:r>
        <w:rPr>
          <w:rFonts w:eastAsiaTheme="minorEastAsia"/>
          <w:kern w:val="0"/>
          <w:sz w:val="24"/>
        </w:rPr>
        <w:t>估值错误处理原则</w:t>
      </w:r>
      <w:r>
        <w:rPr>
          <w:rFonts w:eastAsiaTheme="minorEastAsia"/>
          <w:kern w:val="0"/>
          <w:sz w:val="24"/>
        </w:rPr>
        <w:t>”</w:t>
      </w:r>
      <w:r>
        <w:rPr>
          <w:rFonts w:eastAsiaTheme="minorEastAsia"/>
          <w:kern w:val="0"/>
          <w:sz w:val="24"/>
        </w:rPr>
        <w:t>给予赔偿，承担赔偿责任。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上述估值错误的主要类型包括但不限于：资料申报差错、数据传输差错、数据计算差错、系统故障差错、下达指令差错等。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、估值错误处理原则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eastAsiaTheme="minorEastAsia"/>
          <w:bCs/>
          <w:kern w:val="0"/>
          <w:sz w:val="24"/>
        </w:rPr>
        <w:t>有协助义务的当事人</w:t>
      </w:r>
      <w:r>
        <w:rPr>
          <w:rFonts w:eastAsiaTheme="minorEastAsia"/>
          <w:kern w:val="0"/>
          <w:sz w:val="24"/>
        </w:rPr>
        <w:t>应当承担相应赔偿责任。估值错误责任方应对更正的情况向有关当事人进行确认，确保估值错误已得到更正。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）估值错误的责任方对有关当事人的直接损失负责，不对间接损失负责，并且仅对估值错误的有关直接当事人负责，不对第三方负责。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eastAsiaTheme="minorEastAsia"/>
          <w:kern w:val="0"/>
          <w:sz w:val="24"/>
        </w:rPr>
        <w:t>“</w:t>
      </w:r>
      <w:r>
        <w:rPr>
          <w:rFonts w:eastAsiaTheme="minorEastAsia"/>
          <w:kern w:val="0"/>
          <w:sz w:val="24"/>
        </w:rPr>
        <w:t>受损方</w:t>
      </w:r>
      <w:r>
        <w:rPr>
          <w:rFonts w:eastAsiaTheme="minorEastAsia"/>
          <w:kern w:val="0"/>
          <w:sz w:val="24"/>
        </w:rPr>
        <w:t>”</w:t>
      </w:r>
      <w:r>
        <w:rPr>
          <w:rFonts w:eastAsiaTheme="minorEastAsia"/>
          <w:kern w:val="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）估值错误调整采用尽量恢复至假设未发生估值错误的正确情形的方式。</w:t>
      </w:r>
    </w:p>
    <w:p w:rsidR="00CB515E" w:rsidRDefault="005F186E">
      <w:pPr>
        <w:adjustRightInd w:val="0"/>
        <w:snapToGrid w:val="0"/>
        <w:spacing w:line="360" w:lineRule="auto"/>
        <w:ind w:firstLineChars="200" w:firstLine="480"/>
        <w:rPr>
          <w:rFonts w:eastAsiaTheme="minorEastAsia"/>
          <w:kern w:val="0"/>
          <w:sz w:val="24"/>
        </w:rPr>
      </w:pPr>
      <w:r>
        <w:rPr>
          <w:rFonts w:ascii="宋体" w:hAnsi="宋体" w:hint="eastAsia"/>
          <w:bCs/>
          <w:sz w:val="24"/>
        </w:rPr>
        <w:t>（5）按法律法规规定的其他原则处理估值错误。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、估值错误处理程序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估值错误被发现后，有关的当事人应当及时进行处理，处理的程序如下：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）查明估值错误发生的原因，列明所有的当事人，并根据估值错误发生的原因确定估值错误的责任方；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）根据估值错误处理原则或当事人协商的方法对因估值错误造成的损失进行评估；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）根据估值错误处理原则或当事人协商的方法由估值错误的责任方进行更正和赔偿损失；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）根据估值错误处理的方法，需要修改基金登记机构交易数据的，由基金登记机构进行更正，并就估值错误的更正向有关当事人进行确认。</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、基金份额净值估值错误处理的方法如下：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）基金份额净值计算出现错误时，基金管理人应当立即予以纠正，通报基金托管人，并采取合理的措施防止损失进一步扩大。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）错误偏差达到基金份额净值的</w:t>
      </w:r>
      <w:r>
        <w:rPr>
          <w:rFonts w:eastAsiaTheme="minorEastAsia"/>
          <w:kern w:val="0"/>
          <w:sz w:val="24"/>
        </w:rPr>
        <w:t>0.25%</w:t>
      </w:r>
      <w:r>
        <w:rPr>
          <w:rFonts w:eastAsiaTheme="minorEastAsia"/>
          <w:kern w:val="0"/>
          <w:sz w:val="24"/>
        </w:rPr>
        <w:t>时，基金管理人应当通报基金托管人并报中国证监会备案；错误偏差达到基金份额净值的</w:t>
      </w:r>
      <w:r>
        <w:rPr>
          <w:rFonts w:eastAsiaTheme="minorEastAsia"/>
          <w:kern w:val="0"/>
          <w:sz w:val="24"/>
        </w:rPr>
        <w:t>0.5%</w:t>
      </w:r>
      <w:r>
        <w:rPr>
          <w:rFonts w:eastAsiaTheme="minorEastAsia"/>
          <w:kern w:val="0"/>
          <w:sz w:val="24"/>
        </w:rPr>
        <w:t>时，基金管理人应当公告。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）当基金份额净值计算差错给基金和基金份额持有人造成损失需要进行赔偿时，基金管理人和基金托管人应根据实际情况界定双方承担的责任，经确认后按以下条款进行赔偿：</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①</w:t>
      </w:r>
      <w:r>
        <w:rPr>
          <w:rFonts w:eastAsiaTheme="minorEastAsia"/>
          <w:kern w:val="0"/>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②</w:t>
      </w:r>
      <w:r>
        <w:rPr>
          <w:rFonts w:eastAsiaTheme="minorEastAsia"/>
          <w:kern w:val="0"/>
          <w:sz w:val="24"/>
        </w:rPr>
        <w:t>若基金管理人计算的基金份额净值已由基金托管人复核确认后公告，</w:t>
      </w:r>
      <w:r>
        <w:rPr>
          <w:rFonts w:ascii="宋体" w:hAnsi="宋体" w:hint="eastAsia"/>
          <w:bCs/>
          <w:sz w:val="24"/>
        </w:rPr>
        <w:t>而且基金托管人未对计算过程提出疑义或要求基金管理人书面说明，基金份额净值出错且</w:t>
      </w:r>
      <w:r>
        <w:rPr>
          <w:rFonts w:eastAsiaTheme="minorEastAsia" w:hint="eastAsia"/>
          <w:kern w:val="0"/>
          <w:sz w:val="24"/>
        </w:rPr>
        <w:t>给</w:t>
      </w:r>
      <w:r>
        <w:rPr>
          <w:rFonts w:eastAsiaTheme="minorEastAsia"/>
          <w:kern w:val="0"/>
          <w:sz w:val="24"/>
        </w:rPr>
        <w:t>基金份额持有人</w:t>
      </w:r>
      <w:r>
        <w:rPr>
          <w:rFonts w:eastAsiaTheme="minorEastAsia" w:hint="eastAsia"/>
          <w:kern w:val="0"/>
          <w:sz w:val="24"/>
        </w:rPr>
        <w:t>造成</w:t>
      </w:r>
      <w:r>
        <w:rPr>
          <w:rFonts w:eastAsiaTheme="minorEastAsia"/>
          <w:kern w:val="0"/>
          <w:sz w:val="24"/>
        </w:rPr>
        <w:t>损失的，应根据法律法规的规定对投资者或基金支付赔偿金，就实际向投资者或基金支付的赔偿金额，基金管理人与基金托管人按照过错程度各自承担相应的责任。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③</w:t>
      </w:r>
      <w:r>
        <w:rPr>
          <w:rFonts w:eastAsiaTheme="minorEastAsia"/>
          <w:kern w:val="0"/>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④</w:t>
      </w:r>
      <w:r>
        <w:rPr>
          <w:rFonts w:eastAsiaTheme="minorEastAsia"/>
          <w:kern w:val="0"/>
          <w:sz w:val="24"/>
        </w:rPr>
        <w:t>由于基金管理人提供的信息错误（包括但不限于基金申购或赎回金额等），进而导致基金份额净值计算错误而引起的基金份额持有人和基金财产的损失，由基金管理人负责赔付。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）基金管理人和基金托管人由于各自技术系统设置而产生的净值计算尾差，以基金管理人计算结果为准。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5</w:t>
      </w:r>
      <w:r>
        <w:rPr>
          <w:rFonts w:eastAsiaTheme="minorEastAsia"/>
          <w:kern w:val="0"/>
          <w:sz w:val="24"/>
        </w:rPr>
        <w:t>）前述内容如法律法规或监管机关另有规定的，从其规定处理。如果行业另有通行做法，双方当事人应本着平等和保护基金份额持有人利益的原则进行协商。</w:t>
      </w:r>
    </w:p>
    <w:p w:rsidR="00CB515E" w:rsidRDefault="005F186E">
      <w:pPr>
        <w:spacing w:line="360" w:lineRule="auto"/>
        <w:ind w:firstLineChars="200" w:firstLine="482"/>
        <w:rPr>
          <w:b/>
          <w:bCs/>
          <w:sz w:val="24"/>
        </w:rPr>
      </w:pPr>
      <w:r>
        <w:rPr>
          <w:b/>
          <w:bCs/>
          <w:sz w:val="24"/>
        </w:rPr>
        <w:t>六、暂停估值的情形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、基金投资所涉及的证券交易市场遇法定节假日或因其他原因暂停营业时；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、因不可抗力或其他情形致使基金管理人、基金托管人无法准确评估基金资产价值时；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kern w:val="0"/>
          <w:sz w:val="24"/>
        </w:rPr>
        <w:t>、</w:t>
      </w:r>
      <w:r>
        <w:rPr>
          <w:rFonts w:eastAsiaTheme="minorEastAsia" w:hint="eastAsia"/>
          <w:kern w:val="0"/>
          <w:sz w:val="24"/>
        </w:rPr>
        <w:t>当前一估值日基金资产净值</w:t>
      </w:r>
      <w:r>
        <w:rPr>
          <w:rFonts w:eastAsiaTheme="minorEastAsia" w:hint="eastAsia"/>
          <w:kern w:val="0"/>
          <w:sz w:val="24"/>
        </w:rPr>
        <w:t xml:space="preserve"> 50%</w:t>
      </w:r>
      <w:r>
        <w:rPr>
          <w:rFonts w:eastAsiaTheme="minorEastAsia" w:hint="eastAsia"/>
          <w:kern w:val="0"/>
          <w:sz w:val="24"/>
        </w:rPr>
        <w:t>以上的资产出现无可参考的活跃市场价格且采用估值技术仍导致公允价值存在重大不确定性时，经与基金托管人协商确认后，基金管理人应当暂停估值；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w:t>
      </w:r>
      <w:r>
        <w:rPr>
          <w:rFonts w:eastAsiaTheme="minorEastAsia"/>
          <w:kern w:val="0"/>
          <w:sz w:val="24"/>
        </w:rPr>
        <w:t>中国证监会和基金合同认定的其它情形。</w:t>
      </w:r>
    </w:p>
    <w:p w:rsidR="00CB515E" w:rsidRDefault="005F186E">
      <w:pPr>
        <w:spacing w:line="360" w:lineRule="auto"/>
        <w:ind w:firstLineChars="200" w:firstLine="482"/>
        <w:rPr>
          <w:b/>
          <w:bCs/>
          <w:sz w:val="24"/>
        </w:rPr>
      </w:pPr>
      <w:r>
        <w:rPr>
          <w:b/>
          <w:bCs/>
          <w:sz w:val="24"/>
        </w:rPr>
        <w:t>七、基金净值的确认</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rsidR="00CB515E" w:rsidRDefault="005F186E">
      <w:pPr>
        <w:spacing w:line="360" w:lineRule="auto"/>
        <w:ind w:firstLineChars="200" w:firstLine="482"/>
        <w:rPr>
          <w:b/>
          <w:bCs/>
          <w:sz w:val="24"/>
        </w:rPr>
      </w:pPr>
      <w:r>
        <w:rPr>
          <w:b/>
          <w:bCs/>
          <w:sz w:val="24"/>
        </w:rPr>
        <w:t>八、特殊情况的处理方法</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、基金管理人或基金托管人按估值方法的第</w:t>
      </w:r>
      <w:r>
        <w:rPr>
          <w:rFonts w:eastAsiaTheme="minorEastAsia"/>
          <w:kern w:val="0"/>
          <w:sz w:val="24"/>
        </w:rPr>
        <w:t>5</w:t>
      </w:r>
      <w:r>
        <w:rPr>
          <w:rFonts w:eastAsiaTheme="minorEastAsia"/>
          <w:kern w:val="0"/>
          <w:sz w:val="24"/>
        </w:rPr>
        <w:t>项进行估值时，所造成的误差不作为基金资产估值错误处理。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72" w:name="_Toc317088149"/>
      <w:bookmarkStart w:id="73" w:name="_Toc317088546"/>
      <w:bookmarkStart w:id="74" w:name="_Toc320887651"/>
      <w:bookmarkStart w:id="75" w:name="_Toc335232700"/>
    </w:p>
    <w:p w:rsidR="00CB515E" w:rsidRDefault="005F186E">
      <w:pPr>
        <w:pStyle w:val="1"/>
        <w:snapToGrid w:val="0"/>
        <w:spacing w:before="0" w:after="0" w:line="360" w:lineRule="auto"/>
        <w:ind w:firstLineChars="150" w:firstLine="360"/>
        <w:rPr>
          <w:b/>
          <w:bCs/>
          <w:sz w:val="28"/>
          <w:szCs w:val="28"/>
        </w:rPr>
      </w:pPr>
      <w:r>
        <w:rPr>
          <w:szCs w:val="24"/>
        </w:rPr>
        <w:br w:type="page"/>
      </w:r>
      <w:bookmarkStart w:id="76" w:name="_Toc2174617"/>
      <w:r>
        <w:rPr>
          <w:rFonts w:ascii="Times New Roman" w:eastAsia="宋体" w:hAnsi="Arial Unicode MS" w:hint="eastAsia"/>
          <w:b/>
          <w:bCs/>
          <w:sz w:val="30"/>
          <w:szCs w:val="30"/>
        </w:rPr>
        <w:t>第十二部分</w:t>
      </w:r>
      <w:bookmarkEnd w:id="70"/>
      <w:r>
        <w:rPr>
          <w:rFonts w:ascii="Times New Roman" w:eastAsia="宋体" w:hAnsi="Arial Unicode MS" w:hint="eastAsia"/>
          <w:b/>
          <w:bCs/>
          <w:sz w:val="30"/>
          <w:szCs w:val="30"/>
        </w:rPr>
        <w:t>基金的收益与分配</w:t>
      </w:r>
      <w:bookmarkEnd w:id="71"/>
      <w:bookmarkEnd w:id="72"/>
      <w:bookmarkEnd w:id="73"/>
      <w:bookmarkEnd w:id="74"/>
      <w:bookmarkEnd w:id="75"/>
      <w:bookmarkEnd w:id="76"/>
    </w:p>
    <w:p w:rsidR="00CB515E" w:rsidRDefault="00CB515E">
      <w:pPr>
        <w:snapToGrid w:val="0"/>
        <w:spacing w:line="360" w:lineRule="auto"/>
        <w:ind w:firstLineChars="200" w:firstLine="420"/>
        <w:rPr>
          <w:szCs w:val="21"/>
        </w:rPr>
      </w:pPr>
    </w:p>
    <w:p w:rsidR="00CB515E" w:rsidRDefault="005F186E">
      <w:pPr>
        <w:spacing w:line="360" w:lineRule="auto"/>
        <w:ind w:firstLineChars="200" w:firstLine="482"/>
        <w:rPr>
          <w:b/>
          <w:bCs/>
          <w:sz w:val="24"/>
        </w:rPr>
      </w:pPr>
      <w:r>
        <w:rPr>
          <w:b/>
          <w:bCs/>
          <w:sz w:val="24"/>
        </w:rPr>
        <w:t>一、基金利润的构成</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基金利润指基金利息收入、投资收益、公允价值变动收益和其他收入扣除相关费用后的余额，基金已实现收益指基金利润减去公允价值变动收益后的余额。</w:t>
      </w:r>
    </w:p>
    <w:p w:rsidR="00CB515E" w:rsidRDefault="005F186E">
      <w:pPr>
        <w:spacing w:line="360" w:lineRule="auto"/>
        <w:ind w:firstLineChars="200" w:firstLine="482"/>
        <w:rPr>
          <w:b/>
          <w:bCs/>
          <w:sz w:val="24"/>
        </w:rPr>
      </w:pPr>
      <w:r>
        <w:rPr>
          <w:b/>
          <w:bCs/>
          <w:sz w:val="24"/>
        </w:rPr>
        <w:t>二、基金可供分配利润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基金可供分配利润指截至收益分配基准日基金未分配利润与未分配利润中已实现收益的孰低数。</w:t>
      </w:r>
    </w:p>
    <w:p w:rsidR="00CB515E" w:rsidRDefault="005F186E">
      <w:pPr>
        <w:spacing w:line="360" w:lineRule="auto"/>
        <w:ind w:firstLineChars="200" w:firstLine="482"/>
        <w:rPr>
          <w:b/>
          <w:bCs/>
          <w:sz w:val="24"/>
        </w:rPr>
      </w:pPr>
      <w:r>
        <w:rPr>
          <w:b/>
          <w:bCs/>
          <w:sz w:val="24"/>
        </w:rPr>
        <w:t>三、基金收益分配原则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、本基金收益分配方式分两种：现金分红与红利再投资，投资者可选择现金红利或将现金红利自动转为基金份额进行再投资；若投资者不选择，本基金默认的收益分配方式是现金分红；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、基金收益分配后基金份额净值不能低于面值，即基金收益分配基准日的基金份额净值减去每单位基金份额收益分配金额后不能低于面值；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、每一基金份额享有同等分配权；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、法律法规或监管机关另有规定的，从其规定。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在符合法律法规及基金合同约定，并对基金份额持有人利益无实质不利影响的前提下，基金管理人可对基金收益分配原则和支付方式进行调整，不需召开基金份额持有人大会。</w:t>
      </w:r>
    </w:p>
    <w:p w:rsidR="00CB515E" w:rsidRDefault="005F186E">
      <w:pPr>
        <w:spacing w:line="360" w:lineRule="auto"/>
        <w:ind w:firstLineChars="200" w:firstLine="482"/>
        <w:rPr>
          <w:b/>
          <w:bCs/>
          <w:sz w:val="24"/>
        </w:rPr>
      </w:pPr>
      <w:r>
        <w:rPr>
          <w:b/>
          <w:bCs/>
          <w:sz w:val="24"/>
        </w:rPr>
        <w:t>四、收益分配方案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基金收益分配方案中应载明截止收益分配基准日的可供分配利润、基金收益分配对象、分配时间、分配数额及比例、分配方式等内容。</w:t>
      </w:r>
    </w:p>
    <w:p w:rsidR="00CB515E" w:rsidRDefault="005F186E">
      <w:pPr>
        <w:spacing w:line="360" w:lineRule="auto"/>
        <w:ind w:firstLineChars="200" w:firstLine="482"/>
        <w:rPr>
          <w:b/>
          <w:bCs/>
          <w:sz w:val="24"/>
        </w:rPr>
      </w:pPr>
      <w:r>
        <w:rPr>
          <w:b/>
          <w:bCs/>
          <w:sz w:val="24"/>
        </w:rPr>
        <w:t>五、收益分配方案的确定、公告与实施</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本基金收益分配方案由基金管理人拟定，并由基金托管人复核，依据相关规定进行公告并报中国证监会备案。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基金红利发放日距离收益分配基准日（即可供分配利润计算截止日）的时间不得超过</w:t>
      </w:r>
      <w:r>
        <w:rPr>
          <w:rFonts w:eastAsiaTheme="minorEastAsia"/>
          <w:kern w:val="0"/>
          <w:sz w:val="24"/>
        </w:rPr>
        <w:t>15</w:t>
      </w:r>
      <w:r>
        <w:rPr>
          <w:rFonts w:eastAsiaTheme="minorEastAsia"/>
          <w:kern w:val="0"/>
          <w:sz w:val="24"/>
        </w:rPr>
        <w:t>个工作日。</w:t>
      </w:r>
    </w:p>
    <w:p w:rsidR="00CB515E" w:rsidRDefault="005F186E">
      <w:pPr>
        <w:spacing w:line="360" w:lineRule="auto"/>
        <w:ind w:firstLineChars="200" w:firstLine="482"/>
        <w:rPr>
          <w:b/>
          <w:bCs/>
          <w:sz w:val="24"/>
        </w:rPr>
      </w:pPr>
      <w:r>
        <w:rPr>
          <w:b/>
          <w:bCs/>
          <w:sz w:val="24"/>
        </w:rPr>
        <w:t>六、基金收益分配中发生的费用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基金收益分配时所发生的银行转账或其他手续费用由投资者自行承担。当投资者的现金红利小于一定金额，不足</w:t>
      </w:r>
      <w:r>
        <w:rPr>
          <w:rFonts w:eastAsiaTheme="minorEastAsia" w:hint="eastAsia"/>
          <w:kern w:val="0"/>
          <w:sz w:val="24"/>
        </w:rPr>
        <w:t>以</w:t>
      </w:r>
      <w:r>
        <w:rPr>
          <w:rFonts w:eastAsiaTheme="minorEastAsia"/>
          <w:kern w:val="0"/>
          <w:sz w:val="24"/>
        </w:rPr>
        <w:t>支付银行转账或其他手续费用时，基金登记机构可将基金份额持有人的现金红利自动转为基金份额。红利再投资的计算方法，依照《业务规则》执行。</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szCs w:val="21"/>
        </w:rPr>
        <w:br w:type="page"/>
      </w:r>
      <w:bookmarkStart w:id="77" w:name="_Toc317088547"/>
      <w:bookmarkStart w:id="78" w:name="_Toc335232701"/>
      <w:bookmarkStart w:id="79" w:name="_Toc12357181"/>
      <w:bookmarkStart w:id="80" w:name="_Toc2174618"/>
      <w:bookmarkStart w:id="81" w:name="_Toc317088150"/>
      <w:bookmarkStart w:id="82" w:name="_Toc214873602"/>
      <w:bookmarkStart w:id="83" w:name="_Toc147463128"/>
      <w:bookmarkStart w:id="84" w:name="_Toc21073401"/>
      <w:bookmarkStart w:id="85" w:name="_Toc320887652"/>
      <w:r>
        <w:rPr>
          <w:rFonts w:ascii="Times New Roman" w:eastAsia="宋体" w:hAnsi="Arial Unicode MS"/>
          <w:b/>
          <w:bCs/>
          <w:sz w:val="30"/>
          <w:szCs w:val="30"/>
        </w:rPr>
        <w:t>第</w:t>
      </w:r>
      <w:r>
        <w:rPr>
          <w:rFonts w:ascii="Times New Roman" w:eastAsia="宋体" w:hAnsi="Arial Unicode MS" w:hint="eastAsia"/>
          <w:b/>
          <w:bCs/>
          <w:sz w:val="30"/>
          <w:szCs w:val="30"/>
        </w:rPr>
        <w:t>十三</w:t>
      </w:r>
      <w:r>
        <w:rPr>
          <w:rFonts w:ascii="Times New Roman" w:eastAsia="宋体" w:hAnsi="Arial Unicode MS"/>
          <w:b/>
          <w:bCs/>
          <w:sz w:val="30"/>
          <w:szCs w:val="30"/>
        </w:rPr>
        <w:t>部分基金费用与税收</w:t>
      </w:r>
      <w:bookmarkEnd w:id="77"/>
      <w:bookmarkEnd w:id="78"/>
      <w:bookmarkEnd w:id="79"/>
      <w:bookmarkEnd w:id="80"/>
      <w:bookmarkEnd w:id="81"/>
      <w:bookmarkEnd w:id="82"/>
      <w:bookmarkEnd w:id="83"/>
      <w:bookmarkEnd w:id="84"/>
      <w:bookmarkEnd w:id="85"/>
    </w:p>
    <w:p w:rsidR="00CB515E" w:rsidRDefault="00CB515E">
      <w:pPr>
        <w:snapToGrid w:val="0"/>
        <w:spacing w:line="360" w:lineRule="auto"/>
        <w:ind w:firstLineChars="200" w:firstLine="482"/>
        <w:rPr>
          <w:b/>
          <w:sz w:val="24"/>
        </w:rPr>
      </w:pPr>
    </w:p>
    <w:p w:rsidR="00CB515E" w:rsidRDefault="005F186E">
      <w:pPr>
        <w:spacing w:line="360" w:lineRule="auto"/>
        <w:ind w:firstLineChars="200" w:firstLine="482"/>
        <w:rPr>
          <w:b/>
          <w:bCs/>
          <w:sz w:val="24"/>
        </w:rPr>
      </w:pPr>
      <w:r>
        <w:rPr>
          <w:b/>
          <w:bCs/>
          <w:sz w:val="24"/>
        </w:rPr>
        <w:t>一、基金费用的种类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、基金管理人的管理费；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、基金托管人的托管费；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、《基金合同》生效后与基金相关的信息披露费用；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、《基金合同》生效后与基金相关的会计师费、律师费、诉讼费和仲裁费；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、基金份额持有人大会费用；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、基金的证券交易费用；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7</w:t>
      </w:r>
      <w:r>
        <w:rPr>
          <w:rFonts w:eastAsiaTheme="minorEastAsia"/>
          <w:kern w:val="0"/>
          <w:sz w:val="24"/>
        </w:rPr>
        <w:t>、基金的银行汇划费用；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8</w:t>
      </w:r>
      <w:r>
        <w:rPr>
          <w:rFonts w:eastAsiaTheme="minorEastAsia"/>
          <w:kern w:val="0"/>
          <w:sz w:val="24"/>
        </w:rPr>
        <w:t>、基金的账户开户费用、账户维护费用；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9</w:t>
      </w:r>
      <w:r>
        <w:rPr>
          <w:rFonts w:eastAsiaTheme="minorEastAsia"/>
          <w:kern w:val="0"/>
          <w:sz w:val="24"/>
        </w:rPr>
        <w:t>、按照国家有关规定和《基金合同》约定，可以在基金财产中列支的其他费用。</w:t>
      </w:r>
    </w:p>
    <w:p w:rsidR="00CB515E" w:rsidRDefault="005F186E">
      <w:pPr>
        <w:spacing w:line="360" w:lineRule="auto"/>
        <w:ind w:firstLineChars="200" w:firstLine="482"/>
        <w:rPr>
          <w:b/>
          <w:bCs/>
          <w:sz w:val="24"/>
        </w:rPr>
      </w:pPr>
      <w:r>
        <w:rPr>
          <w:b/>
          <w:bCs/>
          <w:sz w:val="24"/>
        </w:rPr>
        <w:t>二、基金费用计提方法、计提标准和支付方式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、基金管理人的管理费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本基金的管理费按前一日基金资产净值的</w:t>
      </w:r>
      <w:r>
        <w:rPr>
          <w:rFonts w:eastAsiaTheme="minorEastAsia"/>
          <w:kern w:val="0"/>
          <w:sz w:val="24"/>
        </w:rPr>
        <w:t>0.</w:t>
      </w:r>
      <w:r>
        <w:rPr>
          <w:rFonts w:eastAsiaTheme="minorEastAsia" w:hint="eastAsia"/>
          <w:kern w:val="0"/>
          <w:sz w:val="24"/>
        </w:rPr>
        <w:t>30</w:t>
      </w:r>
      <w:r>
        <w:rPr>
          <w:rFonts w:eastAsiaTheme="minorEastAsia"/>
          <w:kern w:val="0"/>
          <w:sz w:val="24"/>
        </w:rPr>
        <w:t>%</w:t>
      </w:r>
      <w:r>
        <w:rPr>
          <w:rFonts w:eastAsiaTheme="minorEastAsia"/>
          <w:kern w:val="0"/>
          <w:sz w:val="24"/>
        </w:rPr>
        <w:t>年费率计提。管理费的计算方法如下：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H</w:t>
      </w:r>
      <w:r>
        <w:rPr>
          <w:rFonts w:eastAsiaTheme="minorEastAsia"/>
          <w:kern w:val="0"/>
          <w:sz w:val="24"/>
        </w:rPr>
        <w:t>＝</w:t>
      </w:r>
      <w:r>
        <w:rPr>
          <w:rFonts w:eastAsiaTheme="minorEastAsia"/>
          <w:kern w:val="0"/>
          <w:sz w:val="24"/>
        </w:rPr>
        <w:t>E×0.</w:t>
      </w:r>
      <w:r>
        <w:rPr>
          <w:rFonts w:eastAsiaTheme="minorEastAsia" w:hint="eastAsia"/>
          <w:kern w:val="0"/>
          <w:sz w:val="24"/>
        </w:rPr>
        <w:t>3</w:t>
      </w:r>
      <w:r>
        <w:rPr>
          <w:rFonts w:eastAsiaTheme="minorEastAsia"/>
          <w:kern w:val="0"/>
          <w:sz w:val="24"/>
        </w:rPr>
        <w:t>0%÷</w:t>
      </w:r>
      <w:r>
        <w:rPr>
          <w:rFonts w:eastAsiaTheme="minorEastAsia"/>
          <w:kern w:val="0"/>
          <w:sz w:val="24"/>
        </w:rPr>
        <w:t>当年天数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H</w:t>
      </w:r>
      <w:r>
        <w:rPr>
          <w:rFonts w:eastAsiaTheme="minorEastAsia"/>
          <w:kern w:val="0"/>
          <w:sz w:val="24"/>
        </w:rPr>
        <w:t>为每日应计提的基金管理费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E</w:t>
      </w:r>
      <w:r>
        <w:rPr>
          <w:rFonts w:eastAsiaTheme="minorEastAsia"/>
          <w:kern w:val="0"/>
          <w:sz w:val="24"/>
        </w:rPr>
        <w:t>为前一日的基金资产净值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基金管理费每日计算，逐日累计至每月月末，按月支付。经基金管理人与基金托管人双方核对无误后，基金托管人按照与基金管理人协商一致的方式于次月前</w:t>
      </w:r>
      <w:r>
        <w:rPr>
          <w:rFonts w:eastAsiaTheme="minorEastAsia" w:hint="eastAsia"/>
          <w:kern w:val="0"/>
          <w:sz w:val="24"/>
        </w:rPr>
        <w:t>5</w:t>
      </w:r>
      <w:r>
        <w:rPr>
          <w:rFonts w:eastAsiaTheme="minorEastAsia" w:hint="eastAsia"/>
          <w:kern w:val="0"/>
          <w:sz w:val="24"/>
        </w:rPr>
        <w:t>个工作日内从基金财产中一次性支付给基金管理人。若遇法定节假日、公休假或不可抗力等，支付日期顺延</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、基金托管人的托管费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本基金的托管费按前一日基金资产净值的</w:t>
      </w:r>
      <w:r>
        <w:rPr>
          <w:rFonts w:eastAsiaTheme="minorEastAsia"/>
          <w:kern w:val="0"/>
          <w:sz w:val="24"/>
        </w:rPr>
        <w:t>0.10%</w:t>
      </w:r>
      <w:r>
        <w:rPr>
          <w:rFonts w:eastAsiaTheme="minorEastAsia"/>
          <w:kern w:val="0"/>
          <w:sz w:val="24"/>
        </w:rPr>
        <w:t>的年费率计提。托管费的计算方法如下：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H</w:t>
      </w:r>
      <w:r>
        <w:rPr>
          <w:rFonts w:eastAsiaTheme="minorEastAsia"/>
          <w:kern w:val="0"/>
          <w:sz w:val="24"/>
        </w:rPr>
        <w:t>＝</w:t>
      </w:r>
      <w:r>
        <w:rPr>
          <w:rFonts w:eastAsiaTheme="minorEastAsia"/>
          <w:kern w:val="0"/>
          <w:sz w:val="24"/>
        </w:rPr>
        <w:t>E×0.10%÷</w:t>
      </w:r>
      <w:r>
        <w:rPr>
          <w:rFonts w:eastAsiaTheme="minorEastAsia"/>
          <w:kern w:val="0"/>
          <w:sz w:val="24"/>
        </w:rPr>
        <w:t>当年天数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H</w:t>
      </w:r>
      <w:r>
        <w:rPr>
          <w:rFonts w:eastAsiaTheme="minorEastAsia"/>
          <w:kern w:val="0"/>
          <w:sz w:val="24"/>
        </w:rPr>
        <w:t>为每日应计提的基金托管费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E</w:t>
      </w:r>
      <w:r>
        <w:rPr>
          <w:rFonts w:eastAsiaTheme="minorEastAsia"/>
          <w:kern w:val="0"/>
          <w:sz w:val="24"/>
        </w:rPr>
        <w:t>为前一日的基金资产净值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基金托管费每日计算，逐日累计至每月月末，按月支付。经基金管理人与基金托管人双方核对无误后，基金托管人按照与基金管理人协商一致的方式于次月前</w:t>
      </w:r>
      <w:r>
        <w:rPr>
          <w:rFonts w:eastAsiaTheme="minorEastAsia" w:hint="eastAsia"/>
          <w:kern w:val="0"/>
          <w:sz w:val="24"/>
        </w:rPr>
        <w:t>5</w:t>
      </w:r>
      <w:r>
        <w:rPr>
          <w:rFonts w:eastAsiaTheme="minorEastAsia" w:hint="eastAsia"/>
          <w:kern w:val="0"/>
          <w:sz w:val="24"/>
        </w:rPr>
        <w:t>个工作日内从基金财产中一次性支取。若遇法定节假日、公休假或不可抗力等，支付日期顺延</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上述</w:t>
      </w:r>
      <w:r>
        <w:rPr>
          <w:rFonts w:eastAsiaTheme="minorEastAsia"/>
          <w:kern w:val="0"/>
          <w:sz w:val="24"/>
        </w:rPr>
        <w:t>“</w:t>
      </w:r>
      <w:r>
        <w:rPr>
          <w:rFonts w:eastAsiaTheme="minorEastAsia"/>
          <w:kern w:val="0"/>
          <w:sz w:val="24"/>
        </w:rPr>
        <w:t>一、基金费用的种类</w:t>
      </w:r>
      <w:r>
        <w:rPr>
          <w:rFonts w:eastAsiaTheme="minorEastAsia"/>
          <w:kern w:val="0"/>
          <w:sz w:val="24"/>
        </w:rPr>
        <w:t>”</w:t>
      </w:r>
      <w:r>
        <w:rPr>
          <w:rFonts w:eastAsiaTheme="minorEastAsia"/>
          <w:kern w:val="0"/>
          <w:sz w:val="24"/>
        </w:rPr>
        <w:t>中第</w:t>
      </w:r>
      <w:r>
        <w:rPr>
          <w:rFonts w:eastAsiaTheme="minorEastAsia"/>
          <w:kern w:val="0"/>
          <w:sz w:val="24"/>
        </w:rPr>
        <w:t>3</w:t>
      </w:r>
      <w:r>
        <w:rPr>
          <w:rFonts w:eastAsiaTheme="minorEastAsia"/>
          <w:kern w:val="0"/>
          <w:sz w:val="24"/>
        </w:rPr>
        <w:t>－</w:t>
      </w:r>
      <w:r>
        <w:rPr>
          <w:rFonts w:eastAsiaTheme="minorEastAsia"/>
          <w:kern w:val="0"/>
          <w:sz w:val="24"/>
        </w:rPr>
        <w:t>9</w:t>
      </w:r>
      <w:r>
        <w:rPr>
          <w:rFonts w:eastAsiaTheme="minorEastAsia"/>
          <w:kern w:val="0"/>
          <w:sz w:val="24"/>
        </w:rPr>
        <w:t>项费用，根据有关法规及相应协议规定，按费用实际支出金额列入当期费用，由基金托管人</w:t>
      </w:r>
      <w:r>
        <w:rPr>
          <w:rFonts w:eastAsiaTheme="minorEastAsia" w:hint="eastAsia"/>
          <w:kern w:val="0"/>
          <w:sz w:val="24"/>
        </w:rPr>
        <w:t>根据基金管理人指令并参照行业惯例</w:t>
      </w:r>
      <w:r>
        <w:rPr>
          <w:rFonts w:eastAsiaTheme="minorEastAsia"/>
          <w:kern w:val="0"/>
          <w:sz w:val="24"/>
        </w:rPr>
        <w:t>从基金财产中支付。</w:t>
      </w:r>
    </w:p>
    <w:p w:rsidR="00CB515E" w:rsidRDefault="005F186E">
      <w:pPr>
        <w:spacing w:line="360" w:lineRule="auto"/>
        <w:ind w:firstLineChars="200" w:firstLine="482"/>
        <w:rPr>
          <w:b/>
          <w:bCs/>
          <w:sz w:val="24"/>
        </w:rPr>
      </w:pPr>
      <w:r>
        <w:rPr>
          <w:b/>
          <w:bCs/>
          <w:sz w:val="24"/>
        </w:rPr>
        <w:t>三、不列入基金费用的项目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下列费用不列入基金费用：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、基金管理人和基金托管人因未履行或未完全履行义务导致的费用支出或基金财产的损失；</w:t>
      </w:r>
    </w:p>
    <w:p w:rsidR="00CB515E" w:rsidRDefault="005F186E">
      <w:pPr>
        <w:spacing w:line="360" w:lineRule="auto"/>
        <w:ind w:firstLineChars="200" w:firstLine="480"/>
        <w:rPr>
          <w:color w:val="000000"/>
          <w:sz w:val="24"/>
        </w:rPr>
      </w:pPr>
      <w:r>
        <w:rPr>
          <w:rFonts w:eastAsiaTheme="minorEastAsia"/>
          <w:kern w:val="0"/>
          <w:sz w:val="24"/>
        </w:rPr>
        <w:t>2</w:t>
      </w:r>
      <w:r>
        <w:rPr>
          <w:rFonts w:eastAsiaTheme="minorEastAsia"/>
          <w:kern w:val="0"/>
          <w:sz w:val="24"/>
        </w:rPr>
        <w:t>、基金管理人和基金托管人处理与基金运作无关的事项发生的费用；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、《基金合同》生效前的相关费用；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、其他根据相关法律法规及中国证监会的有关规定不得列入基金费用的项目。</w:t>
      </w:r>
    </w:p>
    <w:p w:rsidR="00CB515E" w:rsidRDefault="005F186E">
      <w:pPr>
        <w:spacing w:line="360" w:lineRule="auto"/>
        <w:ind w:firstLineChars="200" w:firstLine="482"/>
        <w:rPr>
          <w:b/>
          <w:bCs/>
          <w:sz w:val="24"/>
        </w:rPr>
      </w:pPr>
      <w:r>
        <w:rPr>
          <w:b/>
          <w:bCs/>
          <w:sz w:val="24"/>
        </w:rPr>
        <w:t>四、基金税收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本基金运作过程中涉及的各纳税主体，其纳税义务按国家税收法律、法规执行。</w:t>
      </w:r>
      <w:r>
        <w:rPr>
          <w:rFonts w:eastAsiaTheme="minorEastAsia" w:hint="eastAsia"/>
          <w:kern w:val="0"/>
          <w:sz w:val="24"/>
        </w:rPr>
        <w:t>基金财产投资的相关税收，由基金份额持有人承担，基金管理人或者其他扣缴义务人按照国家有关税收征收的规定代扣代缴。</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szCs w:val="24"/>
        </w:rPr>
        <w:br w:type="page"/>
      </w:r>
      <w:bookmarkStart w:id="86" w:name="_Hlt88827255"/>
      <w:bookmarkStart w:id="87" w:name="_Toc317088548"/>
      <w:bookmarkStart w:id="88" w:name="_Toc335232702"/>
      <w:bookmarkStart w:id="89" w:name="_Toc2174619"/>
      <w:bookmarkStart w:id="90" w:name="_Toc214873603"/>
      <w:bookmarkStart w:id="91" w:name="_Toc317088151"/>
      <w:bookmarkStart w:id="92" w:name="_Toc320887653"/>
      <w:bookmarkEnd w:id="86"/>
      <w:r>
        <w:rPr>
          <w:rFonts w:ascii="Times New Roman" w:eastAsia="宋体" w:hAnsi="Arial Unicode MS"/>
          <w:b/>
          <w:bCs/>
          <w:sz w:val="30"/>
          <w:szCs w:val="30"/>
        </w:rPr>
        <w:t>第</w:t>
      </w:r>
      <w:r>
        <w:rPr>
          <w:rFonts w:ascii="Times New Roman" w:eastAsia="宋体" w:hAnsi="Arial Unicode MS" w:hint="eastAsia"/>
          <w:b/>
          <w:bCs/>
          <w:sz w:val="30"/>
          <w:szCs w:val="30"/>
        </w:rPr>
        <w:t>十四</w:t>
      </w:r>
      <w:r>
        <w:rPr>
          <w:rFonts w:ascii="Times New Roman" w:eastAsia="宋体" w:hAnsi="Arial Unicode MS"/>
          <w:b/>
          <w:bCs/>
          <w:sz w:val="30"/>
          <w:szCs w:val="30"/>
        </w:rPr>
        <w:t>部分基金的会计与审计</w:t>
      </w:r>
      <w:bookmarkEnd w:id="87"/>
      <w:bookmarkEnd w:id="88"/>
      <w:bookmarkEnd w:id="89"/>
      <w:bookmarkEnd w:id="90"/>
      <w:bookmarkEnd w:id="91"/>
      <w:bookmarkEnd w:id="92"/>
    </w:p>
    <w:p w:rsidR="00CB515E" w:rsidRDefault="00CB515E">
      <w:pPr>
        <w:rPr>
          <w:sz w:val="24"/>
        </w:rPr>
      </w:pPr>
    </w:p>
    <w:p w:rsidR="00CB515E" w:rsidRDefault="005F186E">
      <w:pPr>
        <w:spacing w:line="360" w:lineRule="auto"/>
        <w:ind w:firstLineChars="200" w:firstLine="482"/>
        <w:rPr>
          <w:b/>
          <w:bCs/>
          <w:sz w:val="24"/>
        </w:rPr>
      </w:pPr>
      <w:bookmarkStart w:id="93" w:name="_Toc214873604"/>
      <w:bookmarkStart w:id="94" w:name="_Toc79978642"/>
      <w:r>
        <w:rPr>
          <w:b/>
          <w:bCs/>
          <w:sz w:val="24"/>
        </w:rPr>
        <w:t>一、基金会计政策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、基金管理人为本基金的基金会计责任方；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、基金的会计年度为公历年度的</w:t>
      </w:r>
      <w:r>
        <w:rPr>
          <w:rFonts w:eastAsiaTheme="minorEastAsia"/>
          <w:kern w:val="0"/>
          <w:sz w:val="24"/>
        </w:rPr>
        <w:t>1</w:t>
      </w:r>
      <w:r>
        <w:rPr>
          <w:rFonts w:eastAsiaTheme="minorEastAsia"/>
          <w:kern w:val="0"/>
          <w:sz w:val="24"/>
        </w:rPr>
        <w:t>月</w:t>
      </w:r>
      <w:r>
        <w:rPr>
          <w:rFonts w:eastAsiaTheme="minorEastAsia"/>
          <w:kern w:val="0"/>
          <w:sz w:val="24"/>
        </w:rPr>
        <w:t>1</w:t>
      </w:r>
      <w:r>
        <w:rPr>
          <w:rFonts w:eastAsiaTheme="minorEastAsia"/>
          <w:kern w:val="0"/>
          <w:sz w:val="24"/>
        </w:rPr>
        <w:t>日至</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w:t>
      </w:r>
      <w:r>
        <w:rPr>
          <w:rFonts w:eastAsiaTheme="minorEastAsia" w:hint="eastAsia"/>
          <w:kern w:val="0"/>
          <w:sz w:val="24"/>
        </w:rPr>
        <w:t>基金首次募集的会计年度按如下原则：如果基金合同生效少于</w:t>
      </w:r>
      <w:r>
        <w:rPr>
          <w:rFonts w:eastAsiaTheme="minorEastAsia" w:hint="eastAsia"/>
          <w:kern w:val="0"/>
          <w:sz w:val="24"/>
        </w:rPr>
        <w:t>2</w:t>
      </w:r>
      <w:r>
        <w:rPr>
          <w:rFonts w:eastAsiaTheme="minorEastAsia" w:hint="eastAsia"/>
          <w:kern w:val="0"/>
          <w:sz w:val="24"/>
        </w:rPr>
        <w:t>个月，可以并入下一个会计年度披露；</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、基金核算以人民币为记账本位币，以人民币元为记账单位；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、会计制度执行国家有关会计制度；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、本基金独立建账、独立核算；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、基金管理人及基金托管人各自保留完整的会计账目、凭证并进行日常的会计核算，按照有关规定编制基金会计报表；</w:t>
      </w:r>
    </w:p>
    <w:p w:rsidR="00CB515E" w:rsidRDefault="005F186E">
      <w:pPr>
        <w:adjustRightInd w:val="0"/>
        <w:snapToGrid w:val="0"/>
        <w:spacing w:line="360" w:lineRule="auto"/>
        <w:ind w:firstLineChars="200" w:firstLine="480"/>
        <w:rPr>
          <w:kern w:val="0"/>
          <w:sz w:val="24"/>
        </w:rPr>
      </w:pPr>
      <w:r>
        <w:rPr>
          <w:rFonts w:eastAsiaTheme="minorEastAsia"/>
          <w:kern w:val="0"/>
          <w:sz w:val="24"/>
        </w:rPr>
        <w:t>7</w:t>
      </w:r>
      <w:r>
        <w:rPr>
          <w:rFonts w:eastAsiaTheme="minorEastAsia"/>
          <w:kern w:val="0"/>
          <w:sz w:val="24"/>
        </w:rPr>
        <w:t>、基金托管人每月与基金管理人就基金的会计核算、报表编制等进行核对并以书面</w:t>
      </w:r>
      <w:r>
        <w:rPr>
          <w:rFonts w:eastAsiaTheme="minorEastAsia" w:hint="eastAsia"/>
          <w:kern w:val="0"/>
          <w:sz w:val="24"/>
        </w:rPr>
        <w:t>或双方约定的其他</w:t>
      </w:r>
      <w:r>
        <w:rPr>
          <w:rFonts w:eastAsiaTheme="minorEastAsia"/>
          <w:kern w:val="0"/>
          <w:sz w:val="24"/>
        </w:rPr>
        <w:t>方式确认。</w:t>
      </w:r>
    </w:p>
    <w:p w:rsidR="00CB515E" w:rsidRDefault="005F186E">
      <w:pPr>
        <w:spacing w:line="360" w:lineRule="auto"/>
        <w:ind w:firstLineChars="200" w:firstLine="482"/>
        <w:rPr>
          <w:b/>
          <w:bCs/>
          <w:sz w:val="24"/>
        </w:rPr>
      </w:pPr>
      <w:r>
        <w:rPr>
          <w:b/>
          <w:bCs/>
          <w:sz w:val="24"/>
        </w:rPr>
        <w:t>二、基金的年度审计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、基金管理人聘请与基金管理人、基金托管人相互独立的具有证券从业资格的会计师事务所及其注册会计师对本基金的年度财务报表进行审计。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、会计师事务所更换经办注册会计师，应事先征得基金管理人同意。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w:t>
      </w:r>
      <w:bookmarkStart w:id="95" w:name="_Hlt4221115"/>
      <w:bookmarkEnd w:id="95"/>
      <w:r>
        <w:rPr>
          <w:rFonts w:eastAsiaTheme="minorEastAsia"/>
          <w:kern w:val="0"/>
          <w:sz w:val="24"/>
        </w:rPr>
        <w:t>基金管理人认为有充足理由更换会计师事务所，须通报基金托管人。更换会计师事务所需在</w:t>
      </w:r>
      <w:r>
        <w:rPr>
          <w:rFonts w:eastAsiaTheme="minorEastAsia"/>
          <w:kern w:val="0"/>
          <w:sz w:val="24"/>
        </w:rPr>
        <w:t>2</w:t>
      </w:r>
      <w:r>
        <w:rPr>
          <w:rFonts w:eastAsiaTheme="minorEastAsia"/>
          <w:kern w:val="0"/>
          <w:sz w:val="24"/>
        </w:rPr>
        <w:t>日内在指定媒介公告并报中国证监会备案。</w:t>
      </w:r>
    </w:p>
    <w:p w:rsidR="00CB515E" w:rsidRDefault="005F186E">
      <w:pPr>
        <w:pStyle w:val="1"/>
        <w:snapToGrid w:val="0"/>
        <w:spacing w:before="0" w:after="0" w:line="360" w:lineRule="auto"/>
        <w:ind w:firstLineChars="150" w:firstLine="361"/>
        <w:rPr>
          <w:rFonts w:ascii="Times New Roman" w:eastAsia="宋体"/>
          <w:b/>
          <w:sz w:val="28"/>
          <w:szCs w:val="28"/>
        </w:rPr>
      </w:pPr>
      <w:r>
        <w:rPr>
          <w:rFonts w:ascii="Times New Roman" w:eastAsia="宋体"/>
          <w:b/>
          <w:bCs/>
          <w:szCs w:val="24"/>
        </w:rPr>
        <w:br w:type="page"/>
      </w:r>
      <w:bookmarkStart w:id="96" w:name="_Toc317088549"/>
      <w:bookmarkStart w:id="97" w:name="_Toc320887654"/>
      <w:bookmarkStart w:id="98" w:name="_Toc317088152"/>
      <w:bookmarkStart w:id="99" w:name="_Toc335232703"/>
      <w:bookmarkStart w:id="100" w:name="_Toc2174620"/>
      <w:r>
        <w:rPr>
          <w:rFonts w:ascii="Times New Roman" w:eastAsia="宋体" w:hAnsi="Arial Unicode MS"/>
          <w:b/>
          <w:bCs/>
          <w:sz w:val="30"/>
          <w:szCs w:val="30"/>
        </w:rPr>
        <w:t>第</w:t>
      </w:r>
      <w:r>
        <w:rPr>
          <w:rFonts w:ascii="Times New Roman" w:eastAsia="宋体" w:hAnsi="Arial Unicode MS" w:hint="eastAsia"/>
          <w:b/>
          <w:bCs/>
          <w:sz w:val="30"/>
          <w:szCs w:val="30"/>
        </w:rPr>
        <w:t>十五</w:t>
      </w:r>
      <w:r>
        <w:rPr>
          <w:rFonts w:ascii="Times New Roman" w:eastAsia="宋体" w:hAnsi="Arial Unicode MS"/>
          <w:b/>
          <w:bCs/>
          <w:sz w:val="30"/>
          <w:szCs w:val="30"/>
        </w:rPr>
        <w:t>部分基金的信息披露</w:t>
      </w:r>
      <w:bookmarkEnd w:id="96"/>
      <w:bookmarkEnd w:id="97"/>
      <w:bookmarkEnd w:id="98"/>
      <w:bookmarkEnd w:id="99"/>
      <w:bookmarkEnd w:id="100"/>
    </w:p>
    <w:p w:rsidR="00CB515E" w:rsidRDefault="00CB515E"/>
    <w:p w:rsidR="00CB515E" w:rsidRDefault="005F186E">
      <w:pPr>
        <w:snapToGrid w:val="0"/>
        <w:spacing w:line="360" w:lineRule="auto"/>
        <w:ind w:firstLineChars="200" w:firstLine="482"/>
        <w:rPr>
          <w:b/>
          <w:bCs/>
          <w:sz w:val="24"/>
        </w:rPr>
      </w:pPr>
      <w:r>
        <w:rPr>
          <w:b/>
          <w:bCs/>
          <w:sz w:val="24"/>
        </w:rPr>
        <w:t>一、</w:t>
      </w:r>
      <w:r>
        <w:rPr>
          <w:bCs/>
          <w:sz w:val="24"/>
        </w:rPr>
        <w:t>本基金的信息披露应符合《基金法》、《运作办法》、《信息披露办法》、</w:t>
      </w:r>
      <w:r>
        <w:rPr>
          <w:rFonts w:hint="eastAsia"/>
          <w:bCs/>
          <w:sz w:val="24"/>
        </w:rPr>
        <w:t>《流动性风险管理规定》、</w:t>
      </w:r>
      <w:r>
        <w:rPr>
          <w:bCs/>
          <w:sz w:val="24"/>
        </w:rPr>
        <w:t>《基金合同》及其他有关规定。相关法律法规关于信息披露的规定发生变化时，本基金从其最新规定。</w:t>
      </w:r>
    </w:p>
    <w:p w:rsidR="00CB515E" w:rsidRDefault="005F186E">
      <w:pPr>
        <w:snapToGrid w:val="0"/>
        <w:spacing w:line="360" w:lineRule="auto"/>
        <w:ind w:firstLineChars="200" w:firstLine="482"/>
        <w:rPr>
          <w:b/>
          <w:bCs/>
          <w:sz w:val="24"/>
        </w:rPr>
      </w:pPr>
      <w:r>
        <w:rPr>
          <w:b/>
          <w:bCs/>
          <w:sz w:val="24"/>
        </w:rPr>
        <w:t>二、信息披露义务人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本基金信息披露义务人包括基金管理人、基金托管人、召集基金份额持有人大会的基金份额持有人等法律法规和中国证监会规定的自然人、法人和其他组织。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本基金信息披露义务人按照法律法规和中国证监会的规定披露基金信息，并保证所披露信息的真实性、准确性和完整性。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本基金信息披露义务人应当在中国证监会规定时间内，将应予披露的基金信息通过中国证监会指定的媒介和基金管理人、基金托管人的互联网网站（以下简称</w:t>
      </w:r>
      <w:r>
        <w:rPr>
          <w:rFonts w:eastAsiaTheme="minorEastAsia"/>
          <w:kern w:val="0"/>
          <w:sz w:val="24"/>
        </w:rPr>
        <w:t>“</w:t>
      </w:r>
      <w:r>
        <w:rPr>
          <w:rFonts w:eastAsiaTheme="minorEastAsia"/>
          <w:kern w:val="0"/>
          <w:sz w:val="24"/>
        </w:rPr>
        <w:t>网站</w:t>
      </w:r>
      <w:r>
        <w:rPr>
          <w:rFonts w:eastAsiaTheme="minorEastAsia"/>
          <w:kern w:val="0"/>
          <w:sz w:val="24"/>
        </w:rPr>
        <w:t>”</w:t>
      </w:r>
      <w:r>
        <w:rPr>
          <w:rFonts w:eastAsiaTheme="minorEastAsia"/>
          <w:kern w:val="0"/>
          <w:sz w:val="24"/>
        </w:rPr>
        <w:t>）等媒介披露，并保证基金投资者能够按照《基金合同》约定的时间和方式查阅或者复制公开披露的信息资料。</w:t>
      </w:r>
    </w:p>
    <w:p w:rsidR="00CB515E" w:rsidRDefault="005F186E">
      <w:pPr>
        <w:snapToGrid w:val="0"/>
        <w:spacing w:line="360" w:lineRule="auto"/>
        <w:ind w:firstLineChars="200" w:firstLine="482"/>
        <w:rPr>
          <w:b/>
          <w:bCs/>
          <w:sz w:val="24"/>
        </w:rPr>
      </w:pPr>
      <w:r>
        <w:rPr>
          <w:b/>
          <w:bCs/>
          <w:sz w:val="24"/>
        </w:rPr>
        <w:t>三、本基金信息披露义务人承诺公开披露的基金信息，不得有下列行为：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、虚假记载、误导性陈述或者重大遗漏；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、对证券投资业绩进行预测；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、违规承诺收益或者承担损失；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、诋毁其他基金管理人、基金托管人或者基金销售机构；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、登载任何自然人、法人或者其他组织的祝贺性、恭维性或推荐性的文字；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、中国证监会禁止的其他行为。</w:t>
      </w:r>
    </w:p>
    <w:p w:rsidR="00CB515E" w:rsidRDefault="005F186E">
      <w:pPr>
        <w:snapToGrid w:val="0"/>
        <w:spacing w:line="360" w:lineRule="auto"/>
        <w:ind w:firstLineChars="200" w:firstLine="482"/>
        <w:rPr>
          <w:b/>
          <w:bCs/>
          <w:sz w:val="24"/>
        </w:rPr>
      </w:pPr>
      <w:r>
        <w:rPr>
          <w:b/>
          <w:bCs/>
          <w:sz w:val="24"/>
        </w:rPr>
        <w:t>四、</w:t>
      </w:r>
      <w:r>
        <w:rPr>
          <w:bCs/>
          <w:sz w:val="24"/>
        </w:rPr>
        <w:t>本基金公开披露的信息应采用中文文本。如同时采用外文文本的，基金信息披露义务人应保证两种文本的内容一致。两种文本发生歧义的，以中文文本为准。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本基金公开披露的信息采用阿拉伯数字；除特别说明外，货币单位为人民币元。</w:t>
      </w:r>
    </w:p>
    <w:p w:rsidR="00CB515E" w:rsidRDefault="005F186E">
      <w:pPr>
        <w:snapToGrid w:val="0"/>
        <w:spacing w:line="360" w:lineRule="auto"/>
        <w:ind w:firstLineChars="200" w:firstLine="482"/>
        <w:rPr>
          <w:b/>
          <w:bCs/>
          <w:sz w:val="24"/>
        </w:rPr>
      </w:pPr>
      <w:r>
        <w:rPr>
          <w:b/>
          <w:bCs/>
          <w:sz w:val="24"/>
        </w:rPr>
        <w:t>五、公开披露的基金信息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公开披露的基金信息包括：</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（一）基金招募说明书、《基金合同》、基金托管协议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、《基金合同》是界定《基金合同》当事人的各项权利、义务关系，明确基金份额持有人大会召开的规则及具体程序，说明基金产品的特性等涉及基金投资者重大利益的事项的法律文件。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、基金招募说明书应当最大限度地披露影响基金投资者决策的全部事项，说明基金</w:t>
      </w:r>
      <w:r>
        <w:rPr>
          <w:rFonts w:eastAsiaTheme="minorEastAsia" w:hint="eastAsia"/>
          <w:kern w:val="0"/>
          <w:sz w:val="24"/>
        </w:rPr>
        <w:t>认购、</w:t>
      </w:r>
      <w:r>
        <w:rPr>
          <w:rFonts w:eastAsiaTheme="minorEastAsia"/>
          <w:kern w:val="0"/>
          <w:sz w:val="24"/>
        </w:rPr>
        <w:t>申购和赎回安排、基金投资、基金产品特性、风险揭示、信息披露及基金份额持有人服务等内容。《基金合同》生效后，基金管理人在每</w:t>
      </w:r>
      <w:r>
        <w:rPr>
          <w:rFonts w:eastAsiaTheme="minorEastAsia"/>
          <w:kern w:val="0"/>
          <w:sz w:val="24"/>
        </w:rPr>
        <w:t>6</w:t>
      </w:r>
      <w:r>
        <w:rPr>
          <w:rFonts w:eastAsiaTheme="minorEastAsia"/>
          <w:kern w:val="0"/>
          <w:sz w:val="24"/>
        </w:rPr>
        <w:t>个月结束之日起</w:t>
      </w:r>
      <w:r>
        <w:rPr>
          <w:rFonts w:eastAsiaTheme="minorEastAsia"/>
          <w:kern w:val="0"/>
          <w:sz w:val="24"/>
        </w:rPr>
        <w:t>45</w:t>
      </w:r>
      <w:r>
        <w:rPr>
          <w:rFonts w:eastAsiaTheme="minorEastAsia"/>
          <w:kern w:val="0"/>
          <w:sz w:val="24"/>
        </w:rPr>
        <w:t>日内，更新招募说明书并登载在网站上，将更新后的招募说明书摘要登载在指定媒介上；基金管理人在公告的</w:t>
      </w:r>
      <w:r>
        <w:rPr>
          <w:rFonts w:eastAsiaTheme="minorEastAsia"/>
          <w:kern w:val="0"/>
          <w:sz w:val="24"/>
        </w:rPr>
        <w:t>15</w:t>
      </w:r>
      <w:r>
        <w:rPr>
          <w:rFonts w:eastAsiaTheme="minorEastAsia"/>
          <w:kern w:val="0"/>
          <w:sz w:val="24"/>
        </w:rPr>
        <w:t>日前向主要办公场所所在地的中国证监会派出机构报送更新的招募说明书，并就有关更新内容提供书面说明。</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、基金托管协议是界定基金托管人和基金管理人在基金财产保管及基金运作监督等活动中的权利、义务关系的法律文件。</w:t>
      </w:r>
    </w:p>
    <w:p w:rsidR="00CB515E" w:rsidRDefault="005F186E">
      <w:pPr>
        <w:spacing w:line="360" w:lineRule="auto"/>
        <w:ind w:firstLineChars="200" w:firstLine="480"/>
      </w:pPr>
      <w:r>
        <w:rPr>
          <w:rFonts w:hint="eastAsia"/>
          <w:color w:val="000000"/>
          <w:sz w:val="24"/>
        </w:rPr>
        <w:t>基金募集申请经中国证监会注册后，基金管理人在基金份额发售的</w:t>
      </w:r>
      <w:r>
        <w:rPr>
          <w:rFonts w:hint="eastAsia"/>
          <w:color w:val="000000"/>
          <w:sz w:val="24"/>
        </w:rPr>
        <w:t>3</w:t>
      </w:r>
      <w:r>
        <w:rPr>
          <w:rFonts w:hint="eastAsia"/>
          <w:color w:val="000000"/>
          <w:sz w:val="24"/>
        </w:rPr>
        <w:t>日前，将基金招募说明书、《基金合同》摘要登载在指定媒介上；基金管理人、基金托管人应当将《基金合同》、基金托管协议登载在网站上</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（二）基金份额发售公告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基金管理人应当就基金份额发售的具体事宜编制基金份额发售公告，并在披露招募说明书的当日登载于指定媒介上。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（三）《基金合同》生效公告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基金管理人应当在收到中国证监会确认文件的次日在指定媒介上登载《基金合同》生效公告。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四</w:t>
      </w:r>
      <w:r>
        <w:rPr>
          <w:rFonts w:eastAsiaTheme="minorEastAsia"/>
          <w:kern w:val="0"/>
          <w:sz w:val="24"/>
        </w:rPr>
        <w:t>）基金资产净值、基金份额净值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《基金合同》生效后，</w:t>
      </w:r>
      <w:r>
        <w:rPr>
          <w:rFonts w:hint="eastAsia"/>
          <w:bCs/>
          <w:color w:val="000000"/>
          <w:sz w:val="24"/>
        </w:rPr>
        <w:t>在本基金的封闭期内</w:t>
      </w:r>
      <w:r>
        <w:rPr>
          <w:rFonts w:eastAsiaTheme="minorEastAsia"/>
          <w:kern w:val="0"/>
          <w:sz w:val="24"/>
        </w:rPr>
        <w:t>，基金管理人应当至少每周公告一次基金资产净值和基金份额净值。</w:t>
      </w:r>
    </w:p>
    <w:p w:rsidR="00CB515E" w:rsidRDefault="005F186E">
      <w:pPr>
        <w:adjustRightInd w:val="0"/>
        <w:snapToGrid w:val="0"/>
        <w:spacing w:line="360" w:lineRule="auto"/>
        <w:ind w:firstLineChars="200" w:firstLine="480"/>
        <w:rPr>
          <w:rFonts w:eastAsiaTheme="minorEastAsia"/>
          <w:kern w:val="0"/>
          <w:sz w:val="24"/>
        </w:rPr>
      </w:pPr>
      <w:r>
        <w:rPr>
          <w:rFonts w:hint="eastAsia"/>
          <w:bCs/>
          <w:color w:val="000000"/>
          <w:sz w:val="24"/>
        </w:rPr>
        <w:t>在本基金的开放期内</w:t>
      </w:r>
      <w:r>
        <w:rPr>
          <w:rFonts w:eastAsiaTheme="minorEastAsia"/>
          <w:kern w:val="0"/>
          <w:sz w:val="24"/>
        </w:rPr>
        <w:t>，基金管理人应当在每个开放日的次日，通过网站、基金份额</w:t>
      </w:r>
      <w:r>
        <w:rPr>
          <w:rFonts w:eastAsiaTheme="minorEastAsia" w:hint="eastAsia"/>
          <w:kern w:val="0"/>
          <w:sz w:val="24"/>
        </w:rPr>
        <w:t>销售</w:t>
      </w:r>
      <w:r>
        <w:rPr>
          <w:rFonts w:eastAsiaTheme="minorEastAsia"/>
          <w:kern w:val="0"/>
          <w:sz w:val="24"/>
        </w:rPr>
        <w:t>网点以及其他媒介，披露开放日的基金份额净值和基金份额累计净值。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五</w:t>
      </w:r>
      <w:r>
        <w:rPr>
          <w:rFonts w:eastAsiaTheme="minorEastAsia"/>
          <w:kern w:val="0"/>
          <w:sz w:val="24"/>
        </w:rPr>
        <w:t>）基金份额申购、赎回价格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基金管理人应当在《基金合同》、招募说明书等信息披露文件上载明基金份额申购、赎回价格的计算方式及有关申购、赎回费率，并保证投资者能够在基金份额</w:t>
      </w:r>
      <w:r>
        <w:rPr>
          <w:rFonts w:eastAsiaTheme="minorEastAsia" w:hint="eastAsia"/>
          <w:kern w:val="0"/>
          <w:sz w:val="24"/>
        </w:rPr>
        <w:t>销售</w:t>
      </w:r>
      <w:r>
        <w:rPr>
          <w:rFonts w:eastAsiaTheme="minorEastAsia"/>
          <w:kern w:val="0"/>
          <w:sz w:val="24"/>
        </w:rPr>
        <w:t>网点查阅或者复制前述信息资料。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六</w:t>
      </w:r>
      <w:r>
        <w:rPr>
          <w:rFonts w:eastAsiaTheme="minorEastAsia"/>
          <w:kern w:val="0"/>
          <w:sz w:val="24"/>
        </w:rPr>
        <w:t>）基金定期报告，包括基金年度报告、基金半年度报告和基金季度报告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基金管理人应当在每年结束之日起</w:t>
      </w:r>
      <w:r>
        <w:rPr>
          <w:rFonts w:eastAsiaTheme="minorEastAsia"/>
          <w:kern w:val="0"/>
          <w:sz w:val="24"/>
        </w:rPr>
        <w:t>90</w:t>
      </w:r>
      <w:r>
        <w:rPr>
          <w:rFonts w:eastAsiaTheme="minorEastAsia"/>
          <w:kern w:val="0"/>
          <w:sz w:val="24"/>
        </w:rPr>
        <w:t>日内，编制完成基金年度报告，并将年度报告正文登载于网站上，将年度报告摘要登载在指定媒介上。基金年度报告的财务会计报告应当经过审计。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基金管理人应当在上半年结束之日起</w:t>
      </w:r>
      <w:r>
        <w:rPr>
          <w:rFonts w:eastAsiaTheme="minorEastAsia"/>
          <w:kern w:val="0"/>
          <w:sz w:val="24"/>
        </w:rPr>
        <w:t>60</w:t>
      </w:r>
      <w:r>
        <w:rPr>
          <w:rFonts w:eastAsiaTheme="minorEastAsia"/>
          <w:kern w:val="0"/>
          <w:sz w:val="24"/>
        </w:rPr>
        <w:t>日内，编制完成基金半年度报告，并将半年度报告正文登载在网站上，将半年度报告摘要登载在指定媒介上。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基金管理人应当在每个季度结束之日起</w:t>
      </w:r>
      <w:r>
        <w:rPr>
          <w:rFonts w:eastAsiaTheme="minorEastAsia"/>
          <w:kern w:val="0"/>
          <w:sz w:val="24"/>
        </w:rPr>
        <w:t>15</w:t>
      </w:r>
      <w:r>
        <w:rPr>
          <w:rFonts w:eastAsiaTheme="minorEastAsia"/>
          <w:kern w:val="0"/>
          <w:sz w:val="24"/>
        </w:rPr>
        <w:t>个工作日内，编制完成基金季度报告，并将季度报告登载在指定媒介上。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基金合同生效不足</w:t>
      </w:r>
      <w:r>
        <w:rPr>
          <w:rFonts w:eastAsiaTheme="minorEastAsia" w:hint="eastAsia"/>
          <w:kern w:val="0"/>
          <w:sz w:val="24"/>
        </w:rPr>
        <w:t>2</w:t>
      </w:r>
      <w:r>
        <w:rPr>
          <w:rFonts w:eastAsiaTheme="minorEastAsia" w:hint="eastAsia"/>
          <w:kern w:val="0"/>
          <w:sz w:val="24"/>
        </w:rPr>
        <w:t>个月的，基金管理人可以不编制当期季度报告、半年度报告或者年度报告。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基金定期报告在公开披露的第</w:t>
      </w:r>
      <w:r>
        <w:rPr>
          <w:rFonts w:eastAsiaTheme="minorEastAsia" w:hint="eastAsia"/>
          <w:kern w:val="0"/>
          <w:sz w:val="24"/>
        </w:rPr>
        <w:t>2</w:t>
      </w:r>
      <w:r>
        <w:rPr>
          <w:rFonts w:eastAsiaTheme="minorEastAsia" w:hint="eastAsia"/>
          <w:kern w:val="0"/>
          <w:sz w:val="24"/>
        </w:rPr>
        <w:t>个工作日，分别报中国证监会和基金管理人主要办公场所所在地中国证监会派出机构备案。报备应当采用电子文本或书面报告方式。</w:t>
      </w:r>
    </w:p>
    <w:p w:rsidR="00CB515E" w:rsidRDefault="005F186E">
      <w:pPr>
        <w:spacing w:line="360" w:lineRule="auto"/>
        <w:ind w:firstLineChars="200" w:firstLine="480"/>
      </w:pPr>
      <w:r>
        <w:rPr>
          <w:rFonts w:hint="eastAsia"/>
          <w:sz w:val="24"/>
        </w:rPr>
        <w:t>基金管理人应在年度报告、半年度报告、季度报告中分别披露基金管理人、基金管理人高级管理人员、基金经理等人员以及基金管理人股东持有基金的份额、期限及期间的变动情况。</w:t>
      </w:r>
    </w:p>
    <w:p w:rsidR="00CB515E" w:rsidRDefault="005F186E">
      <w:pPr>
        <w:adjustRightInd w:val="0"/>
        <w:snapToGrid w:val="0"/>
        <w:spacing w:line="360" w:lineRule="auto"/>
        <w:ind w:firstLineChars="200" w:firstLine="480"/>
        <w:rPr>
          <w:rFonts w:eastAsiaTheme="minorEastAsia"/>
          <w:bCs/>
          <w:kern w:val="0"/>
          <w:sz w:val="24"/>
        </w:rPr>
      </w:pPr>
      <w:r>
        <w:rPr>
          <w:rFonts w:eastAsiaTheme="minorEastAsia" w:hint="eastAsia"/>
          <w:bCs/>
          <w:kern w:val="0"/>
          <w:sz w:val="24"/>
        </w:rPr>
        <w:t>如报告期内出现单一投资者持有基金份额达到或超过基金总份额</w:t>
      </w:r>
      <w:r>
        <w:rPr>
          <w:rFonts w:eastAsiaTheme="minorEastAsia"/>
          <w:bCs/>
          <w:kern w:val="0"/>
          <w:sz w:val="24"/>
        </w:rPr>
        <w:t>20%</w:t>
      </w:r>
      <w:r>
        <w:rPr>
          <w:rFonts w:eastAsiaTheme="minorEastAsia" w:hint="eastAsia"/>
          <w:bCs/>
          <w:kern w:val="0"/>
          <w:sz w:val="24"/>
        </w:rPr>
        <w:t>的情形，为保障其他投资者的权益，基金管理人至少应当在基金定期报告</w:t>
      </w:r>
      <w:r>
        <w:rPr>
          <w:rFonts w:eastAsiaTheme="minorEastAsia"/>
          <w:bCs/>
          <w:kern w:val="0"/>
          <w:sz w:val="24"/>
        </w:rPr>
        <w:t>“</w:t>
      </w:r>
      <w:r>
        <w:rPr>
          <w:rFonts w:eastAsiaTheme="minorEastAsia" w:hint="eastAsia"/>
          <w:bCs/>
          <w:kern w:val="0"/>
          <w:sz w:val="24"/>
        </w:rPr>
        <w:t>影响投资者决策的其他重要信息</w:t>
      </w:r>
      <w:r>
        <w:rPr>
          <w:rFonts w:eastAsiaTheme="minorEastAsia"/>
          <w:bCs/>
          <w:kern w:val="0"/>
          <w:sz w:val="24"/>
        </w:rPr>
        <w:t>”</w:t>
      </w:r>
      <w:r>
        <w:rPr>
          <w:rFonts w:eastAsiaTheme="minorEastAsia" w:hint="eastAsia"/>
          <w:bCs/>
          <w:kern w:val="0"/>
          <w:sz w:val="24"/>
        </w:rPr>
        <w:t>项下披露该投资者的类别、报告期末持有份额及占比、报告期内持有份额变化情况及产品的特有风险，中国证监会认定的特殊情形除外。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本基金持续运作过程中，基金管理人应当在基金年度报告和半年度报告中披露基金组合资产情况及其流动性风险分析等。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七</w:t>
      </w:r>
      <w:r>
        <w:rPr>
          <w:rFonts w:eastAsiaTheme="minorEastAsia"/>
          <w:kern w:val="0"/>
          <w:sz w:val="24"/>
        </w:rPr>
        <w:t>）临时报告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本基金发生重大事件，有关信息披露义务人应当</w:t>
      </w:r>
      <w:r>
        <w:rPr>
          <w:rFonts w:eastAsiaTheme="minorEastAsia" w:hint="eastAsia"/>
          <w:kern w:val="0"/>
          <w:sz w:val="24"/>
        </w:rPr>
        <w:t>按规定</w:t>
      </w:r>
      <w:r>
        <w:rPr>
          <w:rFonts w:eastAsiaTheme="minorEastAsia"/>
          <w:kern w:val="0"/>
          <w:sz w:val="24"/>
        </w:rPr>
        <w:t>编制临时报告书，予以公告，并在公开披露日分别报中国证监会和基金管理人主要办公场所所在地的中国证监会派出机构备案。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前款所称重大事件，是指可能对基金份额持有人权益或者基金份额的价格产生重大影响的下列事件：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、基金份额持有人大会的召开；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、终止基金合同；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、转换基金运作方式；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、更换基金管理人、基金托管人；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、基金管理人、基金托管人的法定名称、住所发生变更；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、基金管理人股东及其出资比例发生变更；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、基金募集期延长；</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8</w:t>
      </w:r>
      <w:r>
        <w:rPr>
          <w:rFonts w:eastAsiaTheme="minorEastAsia"/>
          <w:kern w:val="0"/>
          <w:sz w:val="24"/>
        </w:rPr>
        <w:t>、基金管理人的董事长、总经理及其他高级管理人员、基金经理和基金托管人基金托管部门负责人发生变动；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9</w:t>
      </w:r>
      <w:r>
        <w:rPr>
          <w:rFonts w:eastAsiaTheme="minorEastAsia"/>
          <w:kern w:val="0"/>
          <w:sz w:val="24"/>
        </w:rPr>
        <w:t>、基金管理人的董事在一年内变更超过百分之五十；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10</w:t>
      </w:r>
      <w:r>
        <w:rPr>
          <w:rFonts w:eastAsiaTheme="minorEastAsia"/>
          <w:kern w:val="0"/>
          <w:sz w:val="24"/>
        </w:rPr>
        <w:t>、基金管理人、基金托管人基金托管部门的主要业务人员在一年内变动超过百分之三十；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1</w:t>
      </w:r>
      <w:r>
        <w:rPr>
          <w:rFonts w:eastAsiaTheme="minorEastAsia"/>
          <w:kern w:val="0"/>
          <w:sz w:val="24"/>
        </w:rPr>
        <w:t>、涉及基金管理</w:t>
      </w:r>
      <w:r>
        <w:rPr>
          <w:rFonts w:eastAsiaTheme="minorEastAsia" w:hint="eastAsia"/>
          <w:kern w:val="0"/>
          <w:sz w:val="24"/>
        </w:rPr>
        <w:t>人</w:t>
      </w:r>
      <w:r>
        <w:rPr>
          <w:rFonts w:eastAsiaTheme="minorEastAsia"/>
          <w:kern w:val="0"/>
          <w:sz w:val="24"/>
        </w:rPr>
        <w:t>、基金财产、基金托管业务的诉讼或仲裁；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2</w:t>
      </w:r>
      <w:r>
        <w:rPr>
          <w:rFonts w:eastAsiaTheme="minorEastAsia"/>
          <w:kern w:val="0"/>
          <w:sz w:val="24"/>
        </w:rPr>
        <w:t>、基金管理人、基金托管人受到监管部门的调查；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3</w:t>
      </w:r>
      <w:r>
        <w:rPr>
          <w:rFonts w:eastAsiaTheme="minorEastAsia"/>
          <w:kern w:val="0"/>
          <w:sz w:val="24"/>
        </w:rPr>
        <w:t>、基金管理人及其董事、总经理及其他高级管理人员、基金经理受到严重行政处罚，基金托管人及其基金托管部门负责人受到严重行政处罚；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4</w:t>
      </w:r>
      <w:r>
        <w:rPr>
          <w:rFonts w:eastAsiaTheme="minorEastAsia"/>
          <w:kern w:val="0"/>
          <w:sz w:val="24"/>
        </w:rPr>
        <w:t>、重大关联交易事项；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5</w:t>
      </w:r>
      <w:r>
        <w:rPr>
          <w:rFonts w:eastAsiaTheme="minorEastAsia"/>
          <w:kern w:val="0"/>
          <w:sz w:val="24"/>
        </w:rPr>
        <w:t>、基金收益分配事项；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6</w:t>
      </w:r>
      <w:r>
        <w:rPr>
          <w:rFonts w:eastAsiaTheme="minorEastAsia"/>
          <w:kern w:val="0"/>
          <w:sz w:val="24"/>
        </w:rPr>
        <w:t>、管理费、托管费等费用计提标准、计提方式和费率发生变更；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7</w:t>
      </w:r>
      <w:r>
        <w:rPr>
          <w:rFonts w:eastAsiaTheme="minorEastAsia"/>
          <w:kern w:val="0"/>
          <w:sz w:val="24"/>
        </w:rPr>
        <w:t>、基金份额净值</w:t>
      </w:r>
      <w:r>
        <w:rPr>
          <w:rFonts w:eastAsiaTheme="minorEastAsia" w:hint="eastAsia"/>
          <w:kern w:val="0"/>
          <w:sz w:val="24"/>
        </w:rPr>
        <w:t>计价</w:t>
      </w:r>
      <w:r>
        <w:rPr>
          <w:rFonts w:eastAsiaTheme="minorEastAsia"/>
          <w:kern w:val="0"/>
          <w:sz w:val="24"/>
        </w:rPr>
        <w:t>错误达基金份额净值百分之零点五；</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8</w:t>
      </w:r>
      <w:r>
        <w:rPr>
          <w:rFonts w:eastAsiaTheme="minorEastAsia"/>
          <w:kern w:val="0"/>
          <w:sz w:val="24"/>
        </w:rPr>
        <w:t>、基金改聘会计师事务所；</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kern w:val="0"/>
          <w:sz w:val="24"/>
        </w:rPr>
        <w:t>9</w:t>
      </w:r>
      <w:r>
        <w:rPr>
          <w:rFonts w:eastAsiaTheme="minorEastAsia"/>
          <w:kern w:val="0"/>
          <w:sz w:val="24"/>
        </w:rPr>
        <w:t>、变更基金销售机构；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20</w:t>
      </w:r>
      <w:r>
        <w:rPr>
          <w:rFonts w:eastAsiaTheme="minorEastAsia"/>
          <w:kern w:val="0"/>
          <w:sz w:val="24"/>
        </w:rPr>
        <w:t>、更换基金登记机构；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kern w:val="0"/>
          <w:sz w:val="24"/>
        </w:rPr>
        <w:t>1</w:t>
      </w:r>
      <w:r>
        <w:rPr>
          <w:rFonts w:eastAsiaTheme="minorEastAsia"/>
          <w:kern w:val="0"/>
          <w:sz w:val="24"/>
        </w:rPr>
        <w:t>、本基金</w:t>
      </w:r>
      <w:r>
        <w:rPr>
          <w:rFonts w:eastAsiaTheme="minorEastAsia" w:hint="eastAsia"/>
          <w:kern w:val="0"/>
          <w:sz w:val="24"/>
        </w:rPr>
        <w:t>进入开放期</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kern w:val="0"/>
          <w:sz w:val="24"/>
        </w:rPr>
        <w:t>2</w:t>
      </w:r>
      <w:r>
        <w:rPr>
          <w:rFonts w:eastAsiaTheme="minorEastAsia"/>
          <w:kern w:val="0"/>
          <w:sz w:val="24"/>
        </w:rPr>
        <w:t>、本基金申购、赎回费率及其收费方式发生变更；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kern w:val="0"/>
          <w:sz w:val="24"/>
        </w:rPr>
        <w:t>3</w:t>
      </w:r>
      <w:r>
        <w:rPr>
          <w:rFonts w:eastAsiaTheme="minorEastAsia"/>
          <w:kern w:val="0"/>
          <w:sz w:val="24"/>
        </w:rPr>
        <w:t>、本基金发生巨额赎回并</w:t>
      </w:r>
      <w:r>
        <w:rPr>
          <w:rFonts w:eastAsiaTheme="minorEastAsia" w:hint="eastAsia"/>
          <w:kern w:val="0"/>
          <w:sz w:val="24"/>
        </w:rPr>
        <w:t>延缓支付赎回款项</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24</w:t>
      </w:r>
      <w:r>
        <w:rPr>
          <w:rFonts w:eastAsiaTheme="minorEastAsia" w:hint="eastAsia"/>
          <w:kern w:val="0"/>
          <w:sz w:val="24"/>
        </w:rPr>
        <w:t>、本基金连续发生巨额赎回并暂停接受赎回申请；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25</w:t>
      </w:r>
      <w:r>
        <w:rPr>
          <w:rFonts w:eastAsiaTheme="minorEastAsia"/>
          <w:kern w:val="0"/>
          <w:sz w:val="24"/>
        </w:rPr>
        <w:t>、本基金暂停接受申购、赎回申请后重新接受申购、赎回；</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26</w:t>
      </w:r>
      <w:r>
        <w:rPr>
          <w:rFonts w:eastAsiaTheme="minorEastAsia"/>
          <w:kern w:val="0"/>
          <w:sz w:val="24"/>
        </w:rPr>
        <w:t>、调整基金份额类别的设置；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27</w:t>
      </w:r>
      <w:r>
        <w:rPr>
          <w:rFonts w:eastAsiaTheme="minorEastAsia"/>
          <w:kern w:val="0"/>
          <w:sz w:val="24"/>
        </w:rPr>
        <w:t>、基金推出新业务或服务；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28</w:t>
      </w:r>
      <w:r>
        <w:rPr>
          <w:rFonts w:eastAsiaTheme="minorEastAsia" w:hint="eastAsia"/>
          <w:kern w:val="0"/>
          <w:sz w:val="24"/>
        </w:rPr>
        <w:t>、发生涉及基金申购、赎回事项调整或潜在影响投资者赎回等重大事项时；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29</w:t>
      </w:r>
      <w:r>
        <w:rPr>
          <w:rFonts w:eastAsiaTheme="minorEastAsia" w:hint="eastAsia"/>
          <w:kern w:val="0"/>
          <w:sz w:val="24"/>
        </w:rPr>
        <w:t>、基金管理人采用摆动定价机制进行估值时；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30</w:t>
      </w:r>
      <w:r>
        <w:rPr>
          <w:rFonts w:eastAsiaTheme="minorEastAsia"/>
          <w:kern w:val="0"/>
          <w:sz w:val="24"/>
        </w:rPr>
        <w:t>、中国证监会规定的其他事项。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八</w:t>
      </w:r>
      <w:r>
        <w:rPr>
          <w:rFonts w:eastAsiaTheme="minorEastAsia"/>
          <w:kern w:val="0"/>
          <w:sz w:val="24"/>
        </w:rPr>
        <w:t>）澄清公告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九</w:t>
      </w:r>
      <w:r>
        <w:rPr>
          <w:rFonts w:eastAsiaTheme="minorEastAsia"/>
          <w:kern w:val="0"/>
          <w:sz w:val="24"/>
        </w:rPr>
        <w:t>）基金份额持有人大会决议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基金份额持有人大会决定的事项，应当依法报中国证监会备案，并予以公告。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十</w:t>
      </w:r>
      <w:r>
        <w:rPr>
          <w:rFonts w:eastAsiaTheme="minorEastAsia"/>
          <w:kern w:val="0"/>
          <w:sz w:val="24"/>
        </w:rPr>
        <w:t>）资产支持证券的投资情况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eastAsiaTheme="minorEastAsia"/>
          <w:kern w:val="0"/>
          <w:sz w:val="24"/>
        </w:rPr>
        <w:t>10</w:t>
      </w:r>
      <w:r>
        <w:rPr>
          <w:rFonts w:eastAsiaTheme="minorEastAsia"/>
          <w:kern w:val="0"/>
          <w:sz w:val="24"/>
        </w:rPr>
        <w:t>名资产支持证券明细。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hint="eastAsia"/>
          <w:kern w:val="0"/>
          <w:sz w:val="24"/>
        </w:rPr>
        <w:t>十一</w:t>
      </w:r>
      <w:r>
        <w:rPr>
          <w:rFonts w:eastAsiaTheme="minorEastAsia"/>
          <w:kern w:val="0"/>
          <w:sz w:val="24"/>
        </w:rPr>
        <w:t>）中国证监会规定的其他信息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当在季度报告、半年度报告、年度报告等定期报告和招募说明书（更新）中充分披露基金的相关情况并揭示相关风险，说明本基金单一投资者持有的基金份额或者构成一致行动人的多个投资者持有的基金份额可达到或者超过</w:t>
      </w:r>
      <w:r>
        <w:rPr>
          <w:rFonts w:eastAsiaTheme="minorEastAsia" w:hint="eastAsia"/>
          <w:kern w:val="0"/>
          <w:sz w:val="24"/>
        </w:rPr>
        <w:t>50%</w:t>
      </w:r>
      <w:r>
        <w:rPr>
          <w:rFonts w:eastAsiaTheme="minorEastAsia" w:hint="eastAsia"/>
          <w:kern w:val="0"/>
          <w:sz w:val="24"/>
        </w:rPr>
        <w:t>，本基金不向个人投资者公开销售。</w:t>
      </w:r>
    </w:p>
    <w:p w:rsidR="00CB515E" w:rsidRDefault="005F186E">
      <w:pPr>
        <w:snapToGrid w:val="0"/>
        <w:spacing w:line="360" w:lineRule="auto"/>
        <w:ind w:firstLineChars="200" w:firstLine="482"/>
        <w:rPr>
          <w:b/>
          <w:bCs/>
          <w:sz w:val="24"/>
        </w:rPr>
      </w:pPr>
      <w:r>
        <w:rPr>
          <w:b/>
          <w:bCs/>
          <w:sz w:val="24"/>
        </w:rPr>
        <w:t>六、信息披露事务管理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基金管理人、基金托管人应当建立健全信息披露管理制度，指定专人负责管理信息披露事务。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基金信息披露义务人公开披露基金信息，应当符合中国证监会相关基金信息披露内容与格式准则的规定。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Pr>
          <w:rFonts w:eastAsiaTheme="minorEastAsia" w:hint="eastAsia"/>
          <w:kern w:val="0"/>
          <w:sz w:val="24"/>
        </w:rPr>
        <w:t>或者以</w:t>
      </w:r>
      <w:r>
        <w:rPr>
          <w:rFonts w:eastAsiaTheme="minorEastAsia" w:hint="eastAsia"/>
          <w:kern w:val="0"/>
          <w:sz w:val="24"/>
        </w:rPr>
        <w:t>XBRL</w:t>
      </w:r>
      <w:r>
        <w:rPr>
          <w:rFonts w:eastAsiaTheme="minorEastAsia" w:hint="eastAsia"/>
          <w:kern w:val="0"/>
          <w:sz w:val="24"/>
        </w:rPr>
        <w:t>电子方式复核审查并</w:t>
      </w:r>
      <w:r>
        <w:rPr>
          <w:rFonts w:eastAsiaTheme="minorEastAsia"/>
          <w:kern w:val="0"/>
          <w:sz w:val="24"/>
        </w:rPr>
        <w:t>确认。</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基金管理人、基金托管人应当在指定媒介中选择披露信息的报刊。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为基金信息披露义务人公开披露的基金信息出具审计报告、法律意见书的专业机构，应当制作工作底稿，并将相关档案至少保存到《基金合同》终止后</w:t>
      </w:r>
      <w:r>
        <w:rPr>
          <w:rFonts w:eastAsiaTheme="minorEastAsia"/>
          <w:kern w:val="0"/>
          <w:sz w:val="24"/>
        </w:rPr>
        <w:t>10</w:t>
      </w:r>
      <w:r>
        <w:rPr>
          <w:rFonts w:eastAsiaTheme="minorEastAsia"/>
          <w:kern w:val="0"/>
          <w:sz w:val="24"/>
        </w:rPr>
        <w:t>年。</w:t>
      </w:r>
    </w:p>
    <w:p w:rsidR="00CB515E" w:rsidRDefault="005F186E">
      <w:pPr>
        <w:snapToGrid w:val="0"/>
        <w:spacing w:line="360" w:lineRule="auto"/>
        <w:ind w:firstLineChars="200" w:firstLine="482"/>
        <w:rPr>
          <w:b/>
          <w:bCs/>
          <w:sz w:val="24"/>
        </w:rPr>
      </w:pPr>
      <w:r>
        <w:rPr>
          <w:b/>
          <w:bCs/>
          <w:sz w:val="24"/>
        </w:rPr>
        <w:t>七、信息披露文件的存放与查阅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招募说明书公布后，应当分别置备于基金管理人、基金托管人和基金销售机构的住所，供公众查阅、复制。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基金定期报告公布后，应当分别置备于基金管理人和基金托管人的住所，以供公众查阅、复制。</w:t>
      </w:r>
    </w:p>
    <w:p w:rsidR="00CB515E" w:rsidRDefault="005F186E">
      <w:pPr>
        <w:snapToGrid w:val="0"/>
        <w:spacing w:line="360" w:lineRule="auto"/>
        <w:ind w:firstLineChars="200" w:firstLine="482"/>
        <w:rPr>
          <w:b/>
          <w:bCs/>
          <w:sz w:val="24"/>
        </w:rPr>
      </w:pPr>
      <w:r>
        <w:rPr>
          <w:b/>
          <w:bCs/>
          <w:sz w:val="24"/>
        </w:rPr>
        <w:t>八、当出现下述情况时，基金管理人和基金托管人可暂停或延迟披露基金</w:t>
      </w:r>
      <w:r>
        <w:rPr>
          <w:rFonts w:hint="eastAsia"/>
          <w:b/>
          <w:bCs/>
          <w:sz w:val="24"/>
        </w:rPr>
        <w:t>相关</w:t>
      </w:r>
      <w:r>
        <w:rPr>
          <w:b/>
          <w:bCs/>
          <w:sz w:val="24"/>
        </w:rPr>
        <w:t>信息：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w:t>
      </w:r>
      <w:r>
        <w:rPr>
          <w:rFonts w:eastAsiaTheme="minorEastAsia"/>
          <w:kern w:val="0"/>
          <w:sz w:val="24"/>
        </w:rPr>
        <w:t>不可抗力；</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int="eastAsia"/>
          <w:kern w:val="0"/>
          <w:sz w:val="24"/>
        </w:rPr>
        <w:t>、</w:t>
      </w:r>
      <w:r>
        <w:rPr>
          <w:rFonts w:eastAsiaTheme="minorEastAsia"/>
          <w:kern w:val="0"/>
          <w:sz w:val="24"/>
        </w:rPr>
        <w:t>基金投资所涉及的证券交易市场遇法定节假日或因其他原因暂停营业时；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w:t>
      </w:r>
      <w:r>
        <w:rPr>
          <w:rFonts w:eastAsiaTheme="minorEastAsia"/>
          <w:kern w:val="0"/>
          <w:sz w:val="24"/>
        </w:rPr>
        <w:t>法律法规、基金合同或中国证监会规定的情况。</w:t>
      </w:r>
    </w:p>
    <w:p w:rsidR="00CB515E" w:rsidRDefault="005F186E">
      <w:pPr>
        <w:pStyle w:val="1"/>
        <w:snapToGrid w:val="0"/>
        <w:spacing w:before="0" w:after="0" w:line="360" w:lineRule="auto"/>
        <w:ind w:firstLineChars="150" w:firstLine="361"/>
        <w:rPr>
          <w:rFonts w:ascii="Times New Roman" w:eastAsia="宋体"/>
          <w:b/>
          <w:bCs/>
          <w:sz w:val="28"/>
          <w:szCs w:val="28"/>
        </w:rPr>
      </w:pPr>
      <w:r>
        <w:rPr>
          <w:rFonts w:ascii="Times New Roman"/>
          <w:b/>
          <w:bCs/>
          <w:szCs w:val="24"/>
        </w:rPr>
        <w:br w:type="page"/>
      </w:r>
      <w:bookmarkStart w:id="101" w:name="_Toc12357178"/>
      <w:bookmarkStart w:id="102" w:name="_Toc21073398"/>
      <w:bookmarkStart w:id="103" w:name="_Toc2174621"/>
      <w:bookmarkStart w:id="104" w:name="_Toc214873605"/>
      <w:bookmarkStart w:id="105" w:name="_Toc317088550"/>
      <w:bookmarkStart w:id="106" w:name="_Toc320887655"/>
      <w:bookmarkStart w:id="107" w:name="_Toc147463125"/>
      <w:bookmarkStart w:id="108" w:name="_Toc317088153"/>
      <w:bookmarkStart w:id="109" w:name="_Toc335232704"/>
      <w:bookmarkEnd w:id="93"/>
      <w:bookmarkEnd w:id="94"/>
      <w:r>
        <w:rPr>
          <w:rFonts w:ascii="Times New Roman" w:eastAsia="宋体" w:hAnsi="Arial Unicode MS"/>
          <w:b/>
          <w:bCs/>
          <w:sz w:val="30"/>
          <w:szCs w:val="30"/>
        </w:rPr>
        <w:t>第</w:t>
      </w:r>
      <w:r>
        <w:rPr>
          <w:rFonts w:ascii="Times New Roman" w:eastAsia="宋体" w:hAnsi="Arial Unicode MS" w:hint="eastAsia"/>
          <w:b/>
          <w:bCs/>
          <w:sz w:val="30"/>
          <w:szCs w:val="30"/>
        </w:rPr>
        <w:t>十六</w:t>
      </w:r>
      <w:r>
        <w:rPr>
          <w:rFonts w:ascii="Times New Roman" w:eastAsia="宋体" w:hAnsi="Arial Unicode MS"/>
          <w:b/>
          <w:bCs/>
          <w:sz w:val="30"/>
          <w:szCs w:val="30"/>
        </w:rPr>
        <w:t>部分风险揭示</w:t>
      </w:r>
      <w:bookmarkEnd w:id="101"/>
      <w:bookmarkEnd w:id="102"/>
      <w:bookmarkEnd w:id="103"/>
      <w:bookmarkEnd w:id="104"/>
      <w:bookmarkEnd w:id="105"/>
      <w:bookmarkEnd w:id="106"/>
      <w:bookmarkEnd w:id="107"/>
      <w:bookmarkEnd w:id="108"/>
      <w:bookmarkEnd w:id="109"/>
    </w:p>
    <w:p w:rsidR="00CB515E" w:rsidRDefault="00CB515E"/>
    <w:p w:rsidR="00CB515E" w:rsidRDefault="005F186E">
      <w:pPr>
        <w:adjustRightInd w:val="0"/>
        <w:snapToGrid w:val="0"/>
        <w:spacing w:line="360" w:lineRule="auto"/>
        <w:ind w:firstLineChars="200" w:firstLine="482"/>
        <w:rPr>
          <w:b/>
          <w:bCs/>
          <w:sz w:val="24"/>
        </w:rPr>
      </w:pPr>
      <w:r>
        <w:rPr>
          <w:b/>
          <w:bCs/>
          <w:sz w:val="24"/>
        </w:rPr>
        <w:t>一、投资于本基金的主要风险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投资于本基金的主要风险有：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、市场风险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证券市场价格受到各种因素的影响，导致基金收益水平变化而产生风险，主要包括：</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）政策风险。因国家宏观政策（如货币政策、财政政策、行业政策、地区发展政策等）发生变化，导致市场价格波动而产生风险。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）经济周期风险。随着经济运行的周期性变化，证券市场的收益水平也呈周期性变化。本基金主要投资于债券，收益水平也会随之变化，从而产生风险。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）利率风险。金融市场利率的波动会导致证券市场价格和收益率的变动。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）通货膨胀风险。如果发生通货膨胀，基金投资于证券所获得的收益可能会被通货膨胀抵消，从而影响基金资产的保值增值。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5</w:t>
      </w:r>
      <w:r>
        <w:rPr>
          <w:rFonts w:eastAsiaTheme="minorEastAsia"/>
          <w:kern w:val="0"/>
          <w:sz w:val="24"/>
        </w:rPr>
        <w:t>）再投资风险。再投资风险反映了利率下降对固定收益证券利息收入再投资收益的影响，这与利率上升所带来的价格风险（即利率风险）互为消长。</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、信用风险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信用风险主要指债券、资产支持证券等信用证券发行主体信用状况恶化，导致信用评级下降甚至到期不能履行合约进行兑付的风险，另外，信用风险也包括证券交易对手因违约而产生的证券交割风险。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、流动性风险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流动性风险是指因证券市场交易量不足，导致证券不能迅速、低成本地变现的风险。流动性风险还包括基金出现巨额赎回，致使没有足够的现金应付赎回支付所引致的风险。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）本基金的</w:t>
      </w:r>
      <w:r>
        <w:rPr>
          <w:rFonts w:eastAsiaTheme="minorEastAsia"/>
          <w:kern w:val="0"/>
          <w:sz w:val="24"/>
        </w:rPr>
        <w:t>申购、赎回安排</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w:t>
      </w:r>
      <w:r>
        <w:rPr>
          <w:rFonts w:eastAsiaTheme="minorEastAsia"/>
          <w:kern w:val="0"/>
          <w:sz w:val="24"/>
        </w:rPr>
        <w:t>的申购、赎回安排详见本招募说明书</w:t>
      </w:r>
      <w:r>
        <w:rPr>
          <w:rFonts w:eastAsiaTheme="minorEastAsia" w:hint="eastAsia"/>
          <w:kern w:val="0"/>
          <w:sz w:val="24"/>
        </w:rPr>
        <w:t>“第九部分基金份额的申购与赎回”章节</w:t>
      </w:r>
      <w:r>
        <w:rPr>
          <w:rFonts w:eastAsiaTheme="minor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kern w:val="0"/>
          <w:sz w:val="24"/>
        </w:rPr>
        <w:t>2</w:t>
      </w:r>
      <w:r>
        <w:rPr>
          <w:rFonts w:eastAsiaTheme="minorEastAsia" w:hint="eastAsia"/>
          <w:kern w:val="0"/>
          <w:sz w:val="24"/>
        </w:rPr>
        <w:t>）本基金拟投资市场、行业及资产的流动性风险评估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的投资市场主要为证券交易所、全国银行间债券市场等流动性较好的规范型交易场所，主要投资对象为具有良好流动性的金融工具（包括国内依法发行的债券和货币市场工具等），同时本基金基于分散投资的原则在行业和个券方面未有高集中度的特征，综合评估在正常市场环境下本基金的流动性风险适中。</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kern w:val="0"/>
          <w:sz w:val="24"/>
        </w:rPr>
        <w:t>3</w:t>
      </w:r>
      <w:r>
        <w:rPr>
          <w:rFonts w:eastAsiaTheme="minorEastAsia" w:hint="eastAsia"/>
          <w:kern w:val="0"/>
          <w:sz w:val="24"/>
        </w:rPr>
        <w:t>）巨额赎回情形下的流动性风险管理措施</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在本基金出现巨额赎回情形下，基金管理人可以根据基金当时的资产组合状况或巨额赎回份额占比情况决定全额赎回或延缓支付赎回款项。同时，如本基金单个基金份额持有人在单个开放日申请赎回基金份额超过基金总份额一定比例以上的，基金管理人有权对其采取延期办理赎回申请的措施。</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kern w:val="0"/>
          <w:sz w:val="24"/>
        </w:rPr>
        <w:t>4</w:t>
      </w:r>
      <w:r>
        <w:rPr>
          <w:rFonts w:eastAsiaTheme="minorEastAsia" w:hint="eastAsia"/>
          <w:kern w:val="0"/>
          <w:sz w:val="24"/>
        </w:rPr>
        <w:t>）实施备用的流动性风险管理工具的情形、程序及对投资者的潜在影响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可能实施备用的流动性风险管理工具，以更好地应对流动性风险。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r>
        <w:rPr>
          <w:rFonts w:eastAsiaTheme="minorEastAsia" w:hint="eastAsia"/>
          <w:kern w:val="0"/>
          <w:sz w:val="24"/>
        </w:rPr>
        <w:t>1</w:t>
      </w:r>
      <w:r>
        <w:rPr>
          <w:rFonts w:eastAsiaTheme="minorEastAsia" w:hint="eastAsia"/>
          <w:kern w:val="0"/>
          <w:sz w:val="24"/>
        </w:rPr>
        <w:t>）延期办理巨额赎回申请；</w:t>
      </w:r>
      <w:r>
        <w:rPr>
          <w:rFonts w:eastAsiaTheme="minorEastAsia" w:hint="eastAsia"/>
          <w:kern w:val="0"/>
          <w:sz w:val="24"/>
        </w:rPr>
        <w:t>2</w:t>
      </w:r>
      <w:r>
        <w:rPr>
          <w:rFonts w:eastAsiaTheme="minorEastAsia" w:hint="eastAsia"/>
          <w:kern w:val="0"/>
          <w:sz w:val="24"/>
        </w:rPr>
        <w:t>）暂停接受赎回申请；</w:t>
      </w:r>
      <w:r>
        <w:rPr>
          <w:rFonts w:eastAsiaTheme="minorEastAsia" w:hint="eastAsia"/>
          <w:kern w:val="0"/>
          <w:sz w:val="24"/>
        </w:rPr>
        <w:t>3</w:t>
      </w:r>
      <w:r>
        <w:rPr>
          <w:rFonts w:eastAsiaTheme="minorEastAsia" w:hint="eastAsia"/>
          <w:kern w:val="0"/>
          <w:sz w:val="24"/>
        </w:rPr>
        <w:t>）延缓支付赎回款项；</w:t>
      </w:r>
      <w:r>
        <w:rPr>
          <w:rFonts w:eastAsiaTheme="minorEastAsia" w:hint="eastAsia"/>
          <w:kern w:val="0"/>
          <w:sz w:val="24"/>
        </w:rPr>
        <w:t>4</w:t>
      </w:r>
      <w:r>
        <w:rPr>
          <w:rFonts w:eastAsiaTheme="minorEastAsia" w:hint="eastAsia"/>
          <w:kern w:val="0"/>
          <w:sz w:val="24"/>
        </w:rPr>
        <w:t>）收取短期赎回费；</w:t>
      </w:r>
      <w:r>
        <w:rPr>
          <w:rFonts w:eastAsiaTheme="minorEastAsia" w:hint="eastAsia"/>
          <w:kern w:val="0"/>
          <w:sz w:val="24"/>
        </w:rPr>
        <w:t>5</w:t>
      </w:r>
      <w:r>
        <w:rPr>
          <w:rFonts w:eastAsiaTheme="minorEastAsia" w:hint="eastAsia"/>
          <w:kern w:val="0"/>
          <w:sz w:val="24"/>
        </w:rPr>
        <w:t>）暂停基金估值；</w:t>
      </w:r>
      <w:r>
        <w:rPr>
          <w:rFonts w:eastAsiaTheme="minorEastAsia"/>
          <w:kern w:val="0"/>
          <w:sz w:val="24"/>
        </w:rPr>
        <w:t>6</w:t>
      </w:r>
      <w:r>
        <w:rPr>
          <w:rFonts w:eastAsiaTheme="minorEastAsia"/>
          <w:kern w:val="0"/>
          <w:sz w:val="24"/>
        </w:rPr>
        <w:t>）</w:t>
      </w:r>
      <w:r>
        <w:rPr>
          <w:rFonts w:eastAsiaTheme="minorEastAsia" w:hint="eastAsia"/>
          <w:kern w:val="0"/>
          <w:sz w:val="24"/>
        </w:rPr>
        <w:t>摆动</w:t>
      </w:r>
      <w:r>
        <w:rPr>
          <w:rFonts w:eastAsiaTheme="minorEastAsia"/>
          <w:kern w:val="0"/>
          <w:sz w:val="24"/>
        </w:rPr>
        <w:t>定价</w:t>
      </w:r>
      <w:r>
        <w:rPr>
          <w:rFonts w:eastAsiaTheme="minorEastAsia" w:hint="eastAsia"/>
          <w:kern w:val="0"/>
          <w:sz w:val="24"/>
        </w:rPr>
        <w:t>等；</w:t>
      </w:r>
      <w:r>
        <w:rPr>
          <w:rFonts w:eastAsiaTheme="minorEastAsia" w:hint="eastAsia"/>
          <w:kern w:val="0"/>
          <w:sz w:val="24"/>
        </w:rPr>
        <w:t>7</w:t>
      </w:r>
      <w:r>
        <w:rPr>
          <w:rFonts w:eastAsiaTheme="minorEastAsia" w:hint="eastAsia"/>
          <w:kern w:val="0"/>
          <w:sz w:val="24"/>
        </w:rPr>
        <w:t>）中国</w:t>
      </w:r>
      <w:r>
        <w:rPr>
          <w:rFonts w:eastAsiaTheme="minorEastAsia"/>
          <w:kern w:val="0"/>
          <w:sz w:val="24"/>
        </w:rPr>
        <w:t>证监会认定的其他措施。</w:t>
      </w:r>
      <w:r>
        <w:rPr>
          <w:rFonts w:eastAsiaTheme="minorEastAsia" w:hint="eastAsia"/>
          <w:kern w:val="0"/>
          <w:sz w:val="24"/>
        </w:rPr>
        <w:t>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、操作风险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操作风险是指基金运作过程中，因内部控制存在缺陷或者人为因素造成操作失误或违反操作规程等引致的风险，例如，越权违规交易、会计部门欺诈、交易错误、</w:t>
      </w:r>
      <w:r>
        <w:rPr>
          <w:rFonts w:eastAsiaTheme="minorEastAsia"/>
          <w:kern w:val="0"/>
          <w:sz w:val="24"/>
        </w:rPr>
        <w:t>IT</w:t>
      </w:r>
      <w:r>
        <w:rPr>
          <w:rFonts w:eastAsiaTheme="minorEastAsia"/>
          <w:kern w:val="0"/>
          <w:sz w:val="24"/>
        </w:rPr>
        <w:t>系统故障等风险。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、管理风险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kern w:val="0"/>
          <w:sz w:val="24"/>
        </w:rPr>
        <w:t>、合规风险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合规风险指基金管理或运作过程中，违反国家法律、法规的规定，或者违反《基金合同》有关规定的风险。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7</w:t>
      </w:r>
      <w:r>
        <w:rPr>
          <w:rFonts w:eastAsiaTheme="minorEastAsia"/>
          <w:kern w:val="0"/>
          <w:sz w:val="24"/>
        </w:rPr>
        <w:t>、本基金的特有风险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w:t>
      </w:r>
      <w:r>
        <w:rPr>
          <w:rFonts w:eastAsiaTheme="minorEastAsia"/>
          <w:kern w:val="0"/>
          <w:sz w:val="24"/>
        </w:rPr>
        <w:t>本基金为债券型基金，债券的投资比例不低于基金资产的</w:t>
      </w:r>
      <w:r>
        <w:rPr>
          <w:rFonts w:eastAsiaTheme="minorEastAsia"/>
          <w:kern w:val="0"/>
          <w:sz w:val="24"/>
        </w:rPr>
        <w:t>80%</w:t>
      </w:r>
      <w:r>
        <w:rPr>
          <w:rFonts w:eastAsiaTheme="minorEastAsia"/>
          <w:kern w:val="0"/>
          <w:sz w:val="24"/>
        </w:rPr>
        <w:t>，该类债券的特定风险即成为本基金及投资者主要面对的特定投资风险</w:t>
      </w:r>
      <w:r>
        <w:rPr>
          <w:rFonts w:eastAsiaTheme="minorEastAsia" w:hint="eastAsia"/>
          <w:kern w:val="0"/>
          <w:sz w:val="24"/>
        </w:rPr>
        <w:t>，但应开放期流动性需要，为保护基金份额持有人利益，在每次开放期开始前</w:t>
      </w:r>
      <w:r>
        <w:rPr>
          <w:rFonts w:eastAsiaTheme="minorEastAsia" w:hint="eastAsia"/>
          <w:kern w:val="0"/>
          <w:sz w:val="24"/>
        </w:rPr>
        <w:t>10</w:t>
      </w:r>
      <w:r>
        <w:rPr>
          <w:rFonts w:eastAsiaTheme="minorEastAsia" w:hint="eastAsia"/>
          <w:kern w:val="0"/>
          <w:sz w:val="24"/>
        </w:rPr>
        <w:t>个工作日、开放期及开放期结束后</w:t>
      </w:r>
      <w:r>
        <w:rPr>
          <w:rFonts w:eastAsiaTheme="minorEastAsia" w:hint="eastAsia"/>
          <w:kern w:val="0"/>
          <w:sz w:val="24"/>
        </w:rPr>
        <w:t>10</w:t>
      </w:r>
      <w:r>
        <w:rPr>
          <w:rFonts w:eastAsiaTheme="minorEastAsia" w:hint="eastAsia"/>
          <w:kern w:val="0"/>
          <w:sz w:val="24"/>
        </w:rPr>
        <w:t>个工作日的期间内，基金投资不受上述比例限制</w:t>
      </w:r>
      <w:r>
        <w:rPr>
          <w:rFonts w:eastAsiaTheme="minorEastAsia"/>
          <w:kern w:val="0"/>
          <w:sz w:val="24"/>
        </w:rPr>
        <w:t>。债券的投资收益会受到宏观经济、政府产业政策、货币政策、市场需求变化、行业波动等因素的影响，可能存在所选投资标的的成长性与市场一致预期不符而造成个券价格表现低于预期的风险。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）本基金以定期开放方式运作，在封闭期内，本基金不办理申购、赎回业务，也不上市交易。在本基金的封闭期，基金份额持有人面临不能赎回基金份额的风险。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）本基金是发起式基金，《基金合同》生效之日起满</w:t>
      </w:r>
      <w:r>
        <w:rPr>
          <w:rFonts w:eastAsiaTheme="minorEastAsia" w:hint="eastAsia"/>
          <w:kern w:val="0"/>
          <w:sz w:val="24"/>
        </w:rPr>
        <w:t>3</w:t>
      </w:r>
      <w:r>
        <w:rPr>
          <w:rFonts w:eastAsiaTheme="minorEastAsia" w:hint="eastAsia"/>
          <w:kern w:val="0"/>
          <w:sz w:val="24"/>
        </w:rPr>
        <w:t>年之日，若基金资产净值低于</w:t>
      </w:r>
      <w:r>
        <w:rPr>
          <w:rFonts w:eastAsiaTheme="minorEastAsia" w:hint="eastAsia"/>
          <w:kern w:val="0"/>
          <w:sz w:val="24"/>
        </w:rPr>
        <w:t>2</w:t>
      </w:r>
      <w:r>
        <w:rPr>
          <w:rFonts w:eastAsiaTheme="minorEastAsia" w:hint="eastAsia"/>
          <w:kern w:val="0"/>
          <w:sz w:val="24"/>
        </w:rPr>
        <w:t>亿元，本基金应当按照基金合同约定的程序进行清算并终止，且不得通过召开基金份额持有人大会的方式延续，投资者将面临基金合同可能终止的不确定性风险。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）本基金允许单一投资者持有的基金份额达到或者超过</w:t>
      </w:r>
      <w:r>
        <w:rPr>
          <w:rFonts w:eastAsiaTheme="minorEastAsia" w:hint="eastAsia"/>
          <w:kern w:val="0"/>
          <w:sz w:val="24"/>
        </w:rPr>
        <w:t>50%</w:t>
      </w:r>
      <w:r>
        <w:rPr>
          <w:rFonts w:eastAsiaTheme="minorEastAsia" w:hint="eastAsia"/>
          <w:kern w:val="0"/>
          <w:sz w:val="24"/>
        </w:rPr>
        <w:t>，且本基金不向个人投资者公开销售，法律法规或监管机构另有规定约定的除外。本基金特定机构投资者赎回可能会给现有的中小基金份额持有人造成损失。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rsidR="00CB515E" w:rsidRDefault="005F186E">
      <w:pPr>
        <w:adjustRightInd w:val="0"/>
        <w:snapToGrid w:val="0"/>
        <w:spacing w:line="360" w:lineRule="auto"/>
        <w:ind w:firstLineChars="200" w:firstLine="482"/>
        <w:rPr>
          <w:b/>
          <w:bCs/>
          <w:sz w:val="24"/>
        </w:rPr>
      </w:pPr>
      <w:r>
        <w:rPr>
          <w:b/>
          <w:bCs/>
          <w:sz w:val="24"/>
        </w:rPr>
        <w:t>二、声明</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、投资者投资于本基金，须自行承担投资风险；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、除基金管理人直接办理本基金的销售外，本基金还通过基金代销机构代理销售，基金管理人与基金代销机构都不能保证其收益或本金安全。</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szCs w:val="24"/>
        </w:rPr>
        <w:br w:type="page"/>
      </w:r>
      <w:bookmarkStart w:id="110" w:name="_Toc520693901"/>
      <w:bookmarkStart w:id="111" w:name="_Toc454717524"/>
      <w:bookmarkStart w:id="112" w:name="_Toc520693803"/>
      <w:bookmarkStart w:id="113" w:name="_Toc524923235"/>
      <w:bookmarkStart w:id="114" w:name="_Toc317088154"/>
      <w:bookmarkStart w:id="115" w:name="_Toc317088551"/>
      <w:bookmarkStart w:id="116" w:name="_Toc320887656"/>
      <w:bookmarkStart w:id="117" w:name="_Toc214873606"/>
      <w:bookmarkStart w:id="118" w:name="_Toc2174622"/>
      <w:bookmarkStart w:id="119" w:name="_Toc335232705"/>
      <w:r>
        <w:rPr>
          <w:rFonts w:ascii="Times New Roman" w:eastAsia="宋体" w:hAnsi="Arial Unicode MS"/>
          <w:b/>
          <w:bCs/>
          <w:sz w:val="30"/>
          <w:szCs w:val="30"/>
        </w:rPr>
        <w:t>第</w:t>
      </w:r>
      <w:r>
        <w:rPr>
          <w:rFonts w:ascii="Times New Roman" w:eastAsia="宋体" w:hAnsi="Arial Unicode MS" w:hint="eastAsia"/>
          <w:b/>
          <w:bCs/>
          <w:sz w:val="30"/>
          <w:szCs w:val="30"/>
        </w:rPr>
        <w:t>十七</w:t>
      </w:r>
      <w:r>
        <w:rPr>
          <w:rFonts w:ascii="Times New Roman" w:eastAsia="宋体" w:hAnsi="Arial Unicode MS"/>
          <w:b/>
          <w:bCs/>
          <w:sz w:val="30"/>
          <w:szCs w:val="30"/>
        </w:rPr>
        <w:t>部分</w:t>
      </w:r>
      <w:bookmarkEnd w:id="110"/>
      <w:bookmarkEnd w:id="111"/>
      <w:bookmarkEnd w:id="112"/>
      <w:bookmarkEnd w:id="113"/>
      <w:r>
        <w:rPr>
          <w:rFonts w:ascii="Times New Roman" w:eastAsia="宋体" w:hAnsi="Arial Unicode MS"/>
          <w:b/>
          <w:bCs/>
          <w:sz w:val="30"/>
          <w:szCs w:val="30"/>
        </w:rPr>
        <w:t>基金合同的变更、终止与基金财产的清算</w:t>
      </w:r>
      <w:bookmarkEnd w:id="114"/>
      <w:bookmarkEnd w:id="115"/>
      <w:bookmarkEnd w:id="116"/>
      <w:bookmarkEnd w:id="117"/>
      <w:bookmarkEnd w:id="118"/>
      <w:bookmarkEnd w:id="119"/>
    </w:p>
    <w:p w:rsidR="00CB515E" w:rsidRDefault="00CB515E"/>
    <w:p w:rsidR="00CB515E" w:rsidRDefault="005F186E">
      <w:pPr>
        <w:snapToGrid w:val="0"/>
        <w:spacing w:line="360" w:lineRule="auto"/>
        <w:ind w:firstLineChars="200" w:firstLine="482"/>
        <w:rPr>
          <w:b/>
          <w:sz w:val="24"/>
        </w:rPr>
      </w:pPr>
      <w:bookmarkStart w:id="120" w:name="_Toc79392639"/>
      <w:r>
        <w:rPr>
          <w:b/>
          <w:sz w:val="24"/>
        </w:rPr>
        <w:t>一、《基金合同》的变更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、关于《基金合同》变更的基金份额持有人大会决议须报中国证监会备案，自表决通过之日起生效，并自决议生效后两个工作日内在指定媒介公告。</w:t>
      </w:r>
    </w:p>
    <w:p w:rsidR="00CB515E" w:rsidRDefault="005F186E">
      <w:pPr>
        <w:snapToGrid w:val="0"/>
        <w:spacing w:line="360" w:lineRule="auto"/>
        <w:ind w:firstLineChars="200" w:firstLine="482"/>
        <w:rPr>
          <w:b/>
          <w:sz w:val="24"/>
        </w:rPr>
      </w:pPr>
      <w:r>
        <w:rPr>
          <w:b/>
          <w:sz w:val="24"/>
        </w:rPr>
        <w:t>二、《基金合同》的终止事由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有下列情形之一的，</w:t>
      </w:r>
      <w:r>
        <w:rPr>
          <w:rFonts w:eastAsiaTheme="minorEastAsia" w:hint="eastAsia"/>
          <w:kern w:val="0"/>
          <w:sz w:val="24"/>
        </w:rPr>
        <w:t>经履行相关程序后，</w:t>
      </w:r>
      <w:r>
        <w:rPr>
          <w:rFonts w:eastAsiaTheme="minorEastAsia"/>
          <w:kern w:val="0"/>
          <w:sz w:val="24"/>
        </w:rPr>
        <w:t>《基金合同》应当终止：</w:t>
      </w:r>
    </w:p>
    <w:p w:rsidR="00CB515E" w:rsidRDefault="005F186E">
      <w:pPr>
        <w:adjustRightInd w:val="0"/>
        <w:snapToGrid w:val="0"/>
        <w:spacing w:line="360" w:lineRule="auto"/>
        <w:ind w:firstLineChars="200" w:firstLine="480"/>
        <w:rPr>
          <w:color w:val="000000"/>
          <w:sz w:val="24"/>
        </w:rPr>
      </w:pPr>
      <w:r>
        <w:rPr>
          <w:rFonts w:hint="eastAsia"/>
          <w:color w:val="000000"/>
          <w:sz w:val="24"/>
        </w:rPr>
        <w:t>1</w:t>
      </w:r>
      <w:r>
        <w:rPr>
          <w:rFonts w:hint="eastAsia"/>
          <w:color w:val="000000"/>
          <w:sz w:val="24"/>
        </w:rPr>
        <w:t>、《基金合同》生效满三年之日，若基金资产净值低于</w:t>
      </w:r>
      <w:r>
        <w:rPr>
          <w:rFonts w:hint="eastAsia"/>
          <w:color w:val="000000"/>
          <w:sz w:val="24"/>
        </w:rPr>
        <w:t>2</w:t>
      </w:r>
      <w:r>
        <w:rPr>
          <w:rFonts w:hint="eastAsia"/>
          <w:color w:val="000000"/>
          <w:sz w:val="24"/>
        </w:rPr>
        <w:t>亿元的；</w:t>
      </w:r>
    </w:p>
    <w:p w:rsidR="00CB515E" w:rsidRDefault="005F186E">
      <w:pPr>
        <w:adjustRightInd w:val="0"/>
        <w:snapToGrid w:val="0"/>
        <w:spacing w:line="360" w:lineRule="auto"/>
        <w:ind w:firstLineChars="200" w:firstLine="480"/>
        <w:rPr>
          <w:color w:val="000000"/>
          <w:sz w:val="24"/>
        </w:rPr>
      </w:pPr>
      <w:r>
        <w:rPr>
          <w:rFonts w:hint="eastAsia"/>
          <w:color w:val="000000"/>
          <w:sz w:val="24"/>
        </w:rPr>
        <w:t>2</w:t>
      </w:r>
      <w:r>
        <w:rPr>
          <w:rFonts w:hint="eastAsia"/>
          <w:color w:val="000000"/>
          <w:sz w:val="24"/>
        </w:rPr>
        <w:t>、基金份额持有人大会决定终止的；</w:t>
      </w:r>
    </w:p>
    <w:p w:rsidR="00CB515E" w:rsidRDefault="005F186E">
      <w:pPr>
        <w:adjustRightInd w:val="0"/>
        <w:snapToGrid w:val="0"/>
        <w:spacing w:line="360" w:lineRule="auto"/>
        <w:ind w:firstLineChars="200" w:firstLine="480"/>
        <w:rPr>
          <w:color w:val="000000"/>
          <w:sz w:val="24"/>
        </w:rPr>
      </w:pPr>
      <w:r>
        <w:rPr>
          <w:rFonts w:hint="eastAsia"/>
          <w:color w:val="000000"/>
          <w:sz w:val="24"/>
        </w:rPr>
        <w:t>3</w:t>
      </w:r>
      <w:r>
        <w:rPr>
          <w:rFonts w:hint="eastAsia"/>
          <w:color w:val="000000"/>
          <w:sz w:val="24"/>
        </w:rPr>
        <w:t>、基金管理人、基金托管人职责终止，在</w:t>
      </w:r>
      <w:r>
        <w:rPr>
          <w:rFonts w:hint="eastAsia"/>
          <w:color w:val="000000"/>
          <w:sz w:val="24"/>
        </w:rPr>
        <w:t>6</w:t>
      </w:r>
      <w:r>
        <w:rPr>
          <w:rFonts w:hint="eastAsia"/>
          <w:color w:val="000000"/>
          <w:sz w:val="24"/>
        </w:rPr>
        <w:t>个月内没有新基金管理人、新基金托管人承接的；</w:t>
      </w:r>
    </w:p>
    <w:p w:rsidR="00CB515E" w:rsidRDefault="005F186E">
      <w:pPr>
        <w:adjustRightInd w:val="0"/>
        <w:snapToGrid w:val="0"/>
        <w:spacing w:line="360" w:lineRule="auto"/>
        <w:ind w:firstLineChars="200" w:firstLine="480"/>
        <w:rPr>
          <w:color w:val="000000"/>
          <w:sz w:val="24"/>
        </w:rPr>
      </w:pPr>
      <w:r>
        <w:rPr>
          <w:rFonts w:hint="eastAsia"/>
          <w:color w:val="000000"/>
          <w:sz w:val="24"/>
        </w:rPr>
        <w:t>4</w:t>
      </w:r>
      <w:r>
        <w:rPr>
          <w:rFonts w:hint="eastAsia"/>
          <w:color w:val="000000"/>
          <w:sz w:val="24"/>
        </w:rPr>
        <w:t>、《基金合同》约定的其他情形；</w:t>
      </w:r>
    </w:p>
    <w:p w:rsidR="00CB515E" w:rsidRDefault="005F186E">
      <w:pPr>
        <w:adjustRightInd w:val="0"/>
        <w:snapToGrid w:val="0"/>
        <w:spacing w:line="360" w:lineRule="auto"/>
        <w:ind w:firstLineChars="200" w:firstLine="480"/>
        <w:rPr>
          <w:rFonts w:eastAsiaTheme="minorEastAsia"/>
          <w:kern w:val="0"/>
          <w:sz w:val="24"/>
        </w:rPr>
      </w:pPr>
      <w:r>
        <w:rPr>
          <w:rFonts w:hint="eastAsia"/>
          <w:color w:val="000000"/>
          <w:sz w:val="24"/>
        </w:rPr>
        <w:t>5</w:t>
      </w:r>
      <w:r>
        <w:rPr>
          <w:rFonts w:hint="eastAsia"/>
          <w:color w:val="000000"/>
          <w:sz w:val="24"/>
        </w:rPr>
        <w:t>、相关法律法规和中国证监会规定的其他情况。</w:t>
      </w:r>
    </w:p>
    <w:p w:rsidR="00CB515E" w:rsidRDefault="005F186E">
      <w:pPr>
        <w:snapToGrid w:val="0"/>
        <w:spacing w:line="360" w:lineRule="auto"/>
        <w:ind w:firstLineChars="200" w:firstLine="482"/>
        <w:rPr>
          <w:b/>
          <w:sz w:val="24"/>
        </w:rPr>
      </w:pPr>
      <w:r>
        <w:rPr>
          <w:b/>
          <w:sz w:val="24"/>
        </w:rPr>
        <w:t>三、基金财产的清算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、基金财产清算小组：自出现基金合同终止事由之日起</w:t>
      </w:r>
      <w:r>
        <w:rPr>
          <w:rFonts w:eastAsiaTheme="minorEastAsia"/>
          <w:kern w:val="0"/>
          <w:sz w:val="24"/>
        </w:rPr>
        <w:t>30</w:t>
      </w:r>
      <w:r>
        <w:rPr>
          <w:rFonts w:eastAsiaTheme="minorEastAsia"/>
          <w:kern w:val="0"/>
          <w:sz w:val="24"/>
        </w:rPr>
        <w:t>个工作日内成立基金财产清算小组，基金管理人组织基金财产清算小组并在中国证监会的监督下进行基金清算。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、基金财产清算小组职责：基金财产清算小组负责基金财产的保管、清理、估价、变现和分配。基金财产清算小组可以依法进行必要的民事活动。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、基金财产清算程序：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）《基金合同》终止情形出现时，由基金财产清算小组统一接管基金；</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）对基金财产和债权债务进行清理和确认；</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）对基金财产进行估值和变现；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）制作清算报告；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5</w:t>
      </w:r>
      <w:r>
        <w:rPr>
          <w:rFonts w:eastAsiaTheme="minorEastAsia"/>
          <w:kern w:val="0"/>
          <w:sz w:val="24"/>
        </w:rPr>
        <w:t>）聘请会计师事务所对清算报告进行外部审计，聘请律师事务所对清算报告出具法律意见书；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6</w:t>
      </w:r>
      <w:r>
        <w:rPr>
          <w:rFonts w:eastAsiaTheme="minorEastAsia"/>
          <w:kern w:val="0"/>
          <w:sz w:val="24"/>
        </w:rPr>
        <w:t>）将清算报告报中国证监会备案并公告；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7</w:t>
      </w:r>
      <w:r>
        <w:rPr>
          <w:rFonts w:eastAsiaTheme="minorEastAsia"/>
          <w:kern w:val="0"/>
          <w:sz w:val="24"/>
        </w:rPr>
        <w:t>）对基金剩余财产进行分配。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、基金财产清算的期限为</w:t>
      </w:r>
      <w:r>
        <w:rPr>
          <w:rFonts w:eastAsiaTheme="minorEastAsia"/>
          <w:kern w:val="0"/>
          <w:sz w:val="24"/>
        </w:rPr>
        <w:t>6</w:t>
      </w:r>
      <w:r>
        <w:rPr>
          <w:rFonts w:eastAsiaTheme="minorEastAsia"/>
          <w:kern w:val="0"/>
          <w:sz w:val="24"/>
        </w:rPr>
        <w:t>个月，但因本基金所持证券的流动性受到限制而不能及时变现的，清算期限相应顺延。</w:t>
      </w:r>
    </w:p>
    <w:p w:rsidR="00CB515E" w:rsidRDefault="005F186E">
      <w:pPr>
        <w:snapToGrid w:val="0"/>
        <w:spacing w:line="360" w:lineRule="auto"/>
        <w:ind w:firstLineChars="200" w:firstLine="482"/>
        <w:rPr>
          <w:b/>
          <w:sz w:val="24"/>
        </w:rPr>
      </w:pPr>
      <w:r>
        <w:rPr>
          <w:b/>
          <w:sz w:val="24"/>
        </w:rPr>
        <w:t>四、清算费用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清算费用是指基金财产清算小组在进行基金清算过程中发生的所有合理费用，清算费用由基金财产清算小组优先从基金剩余财产中支付。</w:t>
      </w:r>
    </w:p>
    <w:p w:rsidR="00CB515E" w:rsidRDefault="005F186E">
      <w:pPr>
        <w:snapToGrid w:val="0"/>
        <w:spacing w:line="360" w:lineRule="auto"/>
        <w:ind w:firstLineChars="200" w:firstLine="482"/>
        <w:rPr>
          <w:b/>
          <w:sz w:val="24"/>
        </w:rPr>
      </w:pPr>
      <w:r>
        <w:rPr>
          <w:b/>
          <w:sz w:val="24"/>
        </w:rPr>
        <w:t>五、基金财产清算剩余资产的分配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依据基金财产清算的分配方案，将基金财产清算后的全部剩余资产扣除基金财产清算费用、交纳所欠税款并清偿基金债务后，按基金份额持有人持有的基金份额比例进行分配。</w:t>
      </w:r>
    </w:p>
    <w:p w:rsidR="00CB515E" w:rsidRDefault="005F186E">
      <w:pPr>
        <w:snapToGrid w:val="0"/>
        <w:spacing w:line="360" w:lineRule="auto"/>
        <w:ind w:firstLineChars="200" w:firstLine="482"/>
        <w:rPr>
          <w:b/>
          <w:sz w:val="24"/>
        </w:rPr>
      </w:pPr>
      <w:r>
        <w:rPr>
          <w:b/>
          <w:sz w:val="24"/>
        </w:rPr>
        <w:t>六、基金财产清算的公告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eastAsiaTheme="minorEastAsia"/>
          <w:kern w:val="0"/>
          <w:sz w:val="24"/>
        </w:rPr>
        <w:t>5</w:t>
      </w:r>
      <w:r>
        <w:rPr>
          <w:rFonts w:eastAsiaTheme="minorEastAsia"/>
          <w:kern w:val="0"/>
          <w:sz w:val="24"/>
        </w:rPr>
        <w:t>个工作日内由基金财产清算小组进行公告。</w:t>
      </w:r>
    </w:p>
    <w:p w:rsidR="00CB515E" w:rsidRDefault="005F186E">
      <w:pPr>
        <w:snapToGrid w:val="0"/>
        <w:spacing w:line="360" w:lineRule="auto"/>
        <w:ind w:firstLineChars="200" w:firstLine="482"/>
        <w:rPr>
          <w:b/>
          <w:sz w:val="24"/>
        </w:rPr>
      </w:pPr>
      <w:r>
        <w:rPr>
          <w:b/>
          <w:sz w:val="24"/>
        </w:rPr>
        <w:t>七、基金财产清算账册及文件的保存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基金财产清算账册及有关文件由基金托管人保存</w:t>
      </w:r>
      <w:r>
        <w:rPr>
          <w:rFonts w:eastAsiaTheme="minorEastAsia"/>
          <w:kern w:val="0"/>
          <w:sz w:val="24"/>
        </w:rPr>
        <w:t>15</w:t>
      </w:r>
      <w:r>
        <w:rPr>
          <w:rFonts w:eastAsiaTheme="minorEastAsia"/>
          <w:kern w:val="0"/>
          <w:sz w:val="24"/>
        </w:rPr>
        <w:t>年以上。</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szCs w:val="24"/>
        </w:rPr>
        <w:br w:type="page"/>
      </w:r>
      <w:bookmarkStart w:id="121" w:name="_Toc335232706"/>
      <w:bookmarkStart w:id="122" w:name="_Toc317088155"/>
      <w:bookmarkStart w:id="123" w:name="_Toc2174623"/>
      <w:bookmarkStart w:id="124" w:name="_Toc320887657"/>
      <w:bookmarkStart w:id="125" w:name="_Toc317088552"/>
      <w:bookmarkStart w:id="126" w:name="_Toc214873607"/>
      <w:bookmarkEnd w:id="120"/>
      <w:r>
        <w:rPr>
          <w:rFonts w:ascii="Times New Roman" w:eastAsia="宋体" w:hAnsi="Arial Unicode MS"/>
          <w:b/>
          <w:bCs/>
          <w:sz w:val="30"/>
          <w:szCs w:val="30"/>
        </w:rPr>
        <w:t>第</w:t>
      </w:r>
      <w:r>
        <w:rPr>
          <w:rFonts w:ascii="Times New Roman" w:eastAsia="宋体" w:hAnsi="Arial Unicode MS" w:hint="eastAsia"/>
          <w:b/>
          <w:bCs/>
          <w:sz w:val="30"/>
          <w:szCs w:val="30"/>
        </w:rPr>
        <w:t>十八</w:t>
      </w:r>
      <w:r>
        <w:rPr>
          <w:rFonts w:ascii="Times New Roman" w:eastAsia="宋体" w:hAnsi="Arial Unicode MS"/>
          <w:b/>
          <w:bCs/>
          <w:sz w:val="30"/>
          <w:szCs w:val="30"/>
        </w:rPr>
        <w:t>部分基金合同的内容摘要</w:t>
      </w:r>
      <w:bookmarkEnd w:id="121"/>
      <w:bookmarkEnd w:id="122"/>
      <w:bookmarkEnd w:id="123"/>
      <w:bookmarkEnd w:id="124"/>
      <w:bookmarkEnd w:id="125"/>
      <w:bookmarkEnd w:id="126"/>
    </w:p>
    <w:p w:rsidR="00CB515E" w:rsidRDefault="00CB515E">
      <w:pPr>
        <w:autoSpaceDE w:val="0"/>
        <w:autoSpaceDN w:val="0"/>
        <w:adjustRightInd w:val="0"/>
        <w:spacing w:line="360" w:lineRule="auto"/>
        <w:ind w:firstLineChars="200" w:firstLine="422"/>
        <w:jc w:val="left"/>
        <w:rPr>
          <w:b/>
          <w:bCs/>
          <w:szCs w:val="21"/>
        </w:rPr>
      </w:pPr>
    </w:p>
    <w:p w:rsidR="00CB515E" w:rsidRDefault="005F186E">
      <w:pPr>
        <w:autoSpaceDE w:val="0"/>
        <w:autoSpaceDN w:val="0"/>
        <w:adjustRightInd w:val="0"/>
        <w:spacing w:line="360" w:lineRule="auto"/>
        <w:ind w:firstLineChars="200" w:firstLine="482"/>
        <w:jc w:val="left"/>
        <w:rPr>
          <w:b/>
          <w:bCs/>
          <w:sz w:val="24"/>
        </w:rPr>
      </w:pPr>
      <w:r>
        <w:rPr>
          <w:b/>
          <w:bCs/>
          <w:sz w:val="24"/>
        </w:rPr>
        <w:t>一、基金份额持有人、基金管理人和基金托管人的权利、义务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（一）基金管理人的权利与义务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、根据《基金法》、《运作办法》及其他有关规定，基金管理人的权利包括但不限于：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）依法募集资金；</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）自《基金合同》生效之日起，根据法律法规和《基金合同》独立运用并管理基金财产；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）依照《基金合同》收取基金管理费以及法律法规规定或中国证监会批准的其他费用；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）销售基金份额；</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）按照规定召集基金份额持有人大会；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）依据《基金合同》及有关法律规定监督基金托管人，如认为基金托管人违反了《基金合同》及国家有关法律规定，应呈报中国证监会和其他监管部门，并采取必要措施保护基金投资者的利益；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）在基金托管人更换时，提名新的基金托管人；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）选择、更换基金销售机构，对基金销售机构的相关行为进行监督和处理；</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）担任或委托其他符合条件的机构担任基金登记机构办理基金登记业务并获得《基金合同》规定的费用；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）依据《基金合同》及有关法律规定决定基金收益的分配方案；</w:t>
      </w:r>
      <w:r>
        <w:rPr>
          <w:rFonts w:eastAsiaTheme="minorEastAsia" w:hint="eastAsia"/>
          <w:kern w:val="0"/>
          <w:sz w:val="24"/>
        </w:rPr>
        <w:tab/>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11</w:t>
      </w:r>
      <w:r>
        <w:rPr>
          <w:rFonts w:eastAsiaTheme="minorEastAsia" w:hint="eastAsia"/>
          <w:kern w:val="0"/>
          <w:sz w:val="24"/>
        </w:rPr>
        <w:t>）在《基金合同》约定的范围内，拒绝或暂停受理申购、赎回与转换申请；</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）依照法律法规为基金的利益对被投资公司行使股东权利，为基金的利益行使因基金财产投资于证券所产生的权利；</w:t>
      </w:r>
      <w:r>
        <w:rPr>
          <w:rFonts w:eastAsiaTheme="minorEastAsia" w:hint="eastAsia"/>
          <w:kern w:val="0"/>
          <w:sz w:val="24"/>
        </w:rPr>
        <w:tab/>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）以基金管理人的名义，代表基金份额持有人的利益行使诉讼权利或者实施其他法律行为；</w:t>
      </w:r>
      <w:r>
        <w:rPr>
          <w:rFonts w:eastAsiaTheme="minorEastAsia" w:hint="eastAsia"/>
          <w:kern w:val="0"/>
          <w:sz w:val="24"/>
        </w:rPr>
        <w:tab/>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14</w:t>
      </w:r>
      <w:r>
        <w:rPr>
          <w:rFonts w:eastAsiaTheme="minorEastAsia" w:hint="eastAsia"/>
          <w:kern w:val="0"/>
          <w:sz w:val="24"/>
        </w:rPr>
        <w:t>）选择、更换律师事务所、会计师事务所、证券经纪商或其他为基金提供服务的外部机构；</w:t>
      </w:r>
      <w:r>
        <w:rPr>
          <w:rFonts w:eastAsiaTheme="minorEastAsia" w:hint="eastAsia"/>
          <w:kern w:val="0"/>
          <w:sz w:val="24"/>
        </w:rPr>
        <w:tab/>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15</w:t>
      </w:r>
      <w:r>
        <w:rPr>
          <w:rFonts w:eastAsiaTheme="minorEastAsia" w:hint="eastAsia"/>
          <w:kern w:val="0"/>
          <w:sz w:val="24"/>
        </w:rPr>
        <w:t>）在符合有关法律、法规的前提下，制订和调整有关基金认购、申购、赎回、转换、定期定额投资和非交易过户等业务规则；</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16</w:t>
      </w:r>
      <w:r>
        <w:rPr>
          <w:rFonts w:eastAsiaTheme="minorEastAsia" w:hint="eastAsia"/>
          <w:kern w:val="0"/>
          <w:sz w:val="24"/>
        </w:rPr>
        <w:t>）法律法规及中国证监会规定的和《基金合同》约定的其他权利。</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、根据《基金法》、《运作办法》及其他有关规定，基金管理人的义务包括但不限于：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）依法募集资金，办理或者委托经中国证监会认定的其他机构代为办理基金份额的发售、申购、赎回和登记事宜；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）办理基金备案手续；</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）自《基金合同》生效之日起，以诚实信用、谨慎勤勉的原则管理和运用基金财产；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）配备足够的具有专业资格的人员进行基金投资分析、决策，以专业化的经营方式管理和运作基金财产；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）建立健全内部风险控制、监察与稽核、财务管理及人事管理等制度，保证所管理的基金财产和基金管理人的财产相互独立，对所管理的不同基金分别管理，分别记账，进行证券投资；</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）除依据《基金法》、《基金合同》及其他有关规定外，不得利用基金财产为自己及任何第三人谋取利益，不得委托第三人运作基金财产；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）依法接受基金托管人的监督；</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）采取适当合理的措施使计算基金份额认购、申购、赎回和注销价格的方法符合《基金合同》等法律文件的规定，按有关规定计算并公告基金资产净值，确定基金份额申购、赎回的价格；</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）进行基金会计核算并编制基金财务会计报告；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）编制季度、半年度和年度基金报告；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11</w:t>
      </w:r>
      <w:r>
        <w:rPr>
          <w:rFonts w:eastAsiaTheme="minorEastAsia" w:hint="eastAsia"/>
          <w:kern w:val="0"/>
          <w:sz w:val="24"/>
        </w:rPr>
        <w:t>）严格按照《基金法》、《基金合同》及其他有关规定，履行信息披露及报告义务；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）保守基金商业秘密，不泄露基金投资计划、投资意向等。除《基金法》、《基金合同》及其他有关规定另有规定外，在基金信息公开披露前应予保密，不向他人泄露；</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）按《基金合同》的约定确定基金收益分配方案，及时向基金份额持有人分配基金收益；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14</w:t>
      </w:r>
      <w:r>
        <w:rPr>
          <w:rFonts w:eastAsiaTheme="minorEastAsia" w:hint="eastAsia"/>
          <w:kern w:val="0"/>
          <w:sz w:val="24"/>
        </w:rPr>
        <w:t>）按规定受理申购与赎回申请，及时、足额支付赎回款项；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15</w:t>
      </w:r>
      <w:r>
        <w:rPr>
          <w:rFonts w:eastAsiaTheme="minorEastAsia" w:hint="eastAsia"/>
          <w:kern w:val="0"/>
          <w:sz w:val="24"/>
        </w:rPr>
        <w:t>）依据《基金法》、《基金合同》及其他有关规定召集基金份额持有人大会或配合基金托管人、基金份额持有人依法召集基金份额持有人大会；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16</w:t>
      </w:r>
      <w:r>
        <w:rPr>
          <w:rFonts w:eastAsiaTheme="minorEastAsia" w:hint="eastAsia"/>
          <w:kern w:val="0"/>
          <w:sz w:val="24"/>
        </w:rPr>
        <w:t>）按规定保存基金财产管理业务活动的会计账册、报表、记录和其他相关资料</w:t>
      </w:r>
      <w:r>
        <w:rPr>
          <w:rFonts w:eastAsiaTheme="minorEastAsia" w:hint="eastAsia"/>
          <w:kern w:val="0"/>
          <w:sz w:val="24"/>
        </w:rPr>
        <w:t>15</w:t>
      </w:r>
      <w:r>
        <w:rPr>
          <w:rFonts w:eastAsiaTheme="minorEastAsia" w:hint="eastAsia"/>
          <w:kern w:val="0"/>
          <w:sz w:val="24"/>
        </w:rPr>
        <w:t>年以上；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17</w:t>
      </w:r>
      <w:r>
        <w:rPr>
          <w:rFonts w:eastAsiaTheme="minorEastAsia" w:hint="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18</w:t>
      </w:r>
      <w:r>
        <w:rPr>
          <w:rFonts w:eastAsiaTheme="minorEastAsia" w:hint="eastAsia"/>
          <w:kern w:val="0"/>
          <w:sz w:val="24"/>
        </w:rPr>
        <w:t>）组织并参加基金财产清算小组，参与基金财产的保管、清理、估价、变现和分配；</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19</w:t>
      </w:r>
      <w:r>
        <w:rPr>
          <w:rFonts w:eastAsiaTheme="minorEastAsia" w:hint="eastAsia"/>
          <w:kern w:val="0"/>
          <w:sz w:val="24"/>
        </w:rPr>
        <w:t>）面临解散、依法被撤销或者被依法宣告破产时，及时报告中国证监会并通知基金托管人；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20</w:t>
      </w:r>
      <w:r>
        <w:rPr>
          <w:rFonts w:eastAsiaTheme="minorEastAsia" w:hint="eastAsia"/>
          <w:kern w:val="0"/>
          <w:sz w:val="24"/>
        </w:rPr>
        <w:t>）因违反《基金合同》导致基金财产的损失或损害基金份额持有人合法权益时，应当承担赔偿责任，其赔偿责任不因其退任而免除；</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21</w:t>
      </w:r>
      <w:r>
        <w:rPr>
          <w:rFonts w:eastAsiaTheme="minorEastAsia" w:hint="eastAsia"/>
          <w:kern w:val="0"/>
          <w:sz w:val="24"/>
        </w:rPr>
        <w:t>）监督基金托管人按法律法规和《基金合同》规定履行自己的义务，基金托管人违反《基金合同》造成基金财产损失时，基金管理人应为基金份额持有人利益向基金托管人追偿；</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22</w:t>
      </w:r>
      <w:r>
        <w:rPr>
          <w:rFonts w:eastAsiaTheme="minorEastAsia" w:hint="eastAsia"/>
          <w:kern w:val="0"/>
          <w:sz w:val="24"/>
        </w:rPr>
        <w:t>）当基金管理人将其义务委托第三方处理时，应当对第三方处理有关基金事务的行为承担责任；</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23</w:t>
      </w:r>
      <w:r>
        <w:rPr>
          <w:rFonts w:eastAsiaTheme="minorEastAsia" w:hint="eastAsia"/>
          <w:kern w:val="0"/>
          <w:sz w:val="24"/>
        </w:rPr>
        <w:t>）以基金管理人名义，代表基金份额持有人利益行使诉讼权利或实施其他法律行为；</w:t>
      </w:r>
      <w:r>
        <w:rPr>
          <w:rFonts w:eastAsiaTheme="minorEastAsia" w:hint="eastAsia"/>
          <w:kern w:val="0"/>
          <w:sz w:val="24"/>
        </w:rPr>
        <w:tab/>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24</w:t>
      </w:r>
      <w:r>
        <w:rPr>
          <w:rFonts w:eastAsiaTheme="minorEastAsia" w:hint="eastAsia"/>
          <w:kern w:val="0"/>
          <w:sz w:val="24"/>
        </w:rPr>
        <w:t>）基金管理人在募集期间未能达到基金的备案条件，《基金合同》不能生效，基金管理人承担全部募集费用，将已募集资金并加计银行同期存款利息在基金募集期结束后</w:t>
      </w:r>
      <w:r>
        <w:rPr>
          <w:rFonts w:eastAsiaTheme="minorEastAsia" w:hint="eastAsia"/>
          <w:kern w:val="0"/>
          <w:sz w:val="24"/>
        </w:rPr>
        <w:t>30</w:t>
      </w:r>
      <w:r>
        <w:rPr>
          <w:rFonts w:eastAsiaTheme="minorEastAsia" w:hint="eastAsia"/>
          <w:kern w:val="0"/>
          <w:sz w:val="24"/>
        </w:rPr>
        <w:t>日内退还基金认购人；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25</w:t>
      </w:r>
      <w:r>
        <w:rPr>
          <w:rFonts w:eastAsiaTheme="minorEastAsia" w:hint="eastAsia"/>
          <w:kern w:val="0"/>
          <w:sz w:val="24"/>
        </w:rPr>
        <w:t>）执行生效的基金份额持有人大会的决议；</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26</w:t>
      </w:r>
      <w:r>
        <w:rPr>
          <w:rFonts w:eastAsiaTheme="minorEastAsia" w:hint="eastAsia"/>
          <w:kern w:val="0"/>
          <w:sz w:val="24"/>
        </w:rPr>
        <w:t>）建立并保存基金份额持有人名册；</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27</w:t>
      </w:r>
      <w:r>
        <w:rPr>
          <w:rFonts w:eastAsiaTheme="minorEastAsia" w:hint="eastAsia"/>
          <w:kern w:val="0"/>
          <w:sz w:val="24"/>
        </w:rPr>
        <w:t>）法律法规及中国证监会规定的和《基金合同》约定的其他义务。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（二）</w:t>
      </w:r>
      <w:r>
        <w:rPr>
          <w:rFonts w:eastAsiaTheme="minorEastAsia" w:hint="eastAsia"/>
          <w:kern w:val="0"/>
          <w:sz w:val="24"/>
        </w:rPr>
        <w:tab/>
      </w:r>
      <w:r>
        <w:rPr>
          <w:rFonts w:eastAsiaTheme="minorEastAsia" w:hint="eastAsia"/>
          <w:kern w:val="0"/>
          <w:sz w:val="24"/>
        </w:rPr>
        <w:t>基金托管人的权利与义务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、根据《基金法》、《运作办法》及其他有关规定，基金托管人的权利包括但不限于：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）自《基金合同》生效之日起，依法律法规和《基金合同》的规定安全保管基金财产；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）依《基金合同》约定获得基金托管费以及法律法规规定或监管部门批准的其他费用；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）根据相关市场规则，为基金开设资金账户、证券账户等投资所需的其他账户，为基金办理证券交易资金清算；</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）提议召开或召集基金份额持有人大会；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）在基金管理人更换时，提名新的基金管理人；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）法律法规及中国证监会规定的和《基金合同》约定的其他权利。</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、根据《基金法》、《运作办法》及其他有关规定，基金托管人的义务包括但不限于：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）以诚实信用、勤勉尽责的原则持有并安全保管基金财产；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）设立专门的基金托管部门，具有符合要求的营业场所，配备足够的、合格的熟悉基金托管业务的专职人员，负责基金财产托管事宜；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）除依据《基金法》、《基金合同》及其他有关规定外，不得利用基金财产为自己及任何第三人谋取利益，不得委托第三人托管基金财产；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）保管由基金管理人代表基金签订的与基金有关的重大合同及有关凭证；</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）按规定开设基金财产的资金账户、证券账户等投资所需的其他账户，按照《基金合同》的约定，根据基金管理人的投资指令，及时办理清算、交割事宜；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）保守基金商业秘密，除《基金法》、《基金合同》及其他有关规定另有规定外，在基金信息公开披露前予以保密，不得向他人泄露；</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）复核、审查基金管理人计算的基金资产净值、基金份额申购、赎回价格；</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）办理与基金托管业务活动有关的信息披露事项；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11</w:t>
      </w:r>
      <w:r>
        <w:rPr>
          <w:rFonts w:eastAsiaTheme="minorEastAsia" w:hint="eastAsia"/>
          <w:kern w:val="0"/>
          <w:sz w:val="24"/>
        </w:rPr>
        <w:t>）保存基金托管业务活动的记录、账册、报表和其他相关资料</w:t>
      </w:r>
      <w:r>
        <w:rPr>
          <w:rFonts w:eastAsiaTheme="minorEastAsia" w:hint="eastAsia"/>
          <w:kern w:val="0"/>
          <w:sz w:val="24"/>
        </w:rPr>
        <w:t>15</w:t>
      </w:r>
      <w:r>
        <w:rPr>
          <w:rFonts w:eastAsiaTheme="minorEastAsia" w:hint="eastAsia"/>
          <w:kern w:val="0"/>
          <w:sz w:val="24"/>
        </w:rPr>
        <w:t>年以上；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）从基金管理人或其委托的登记机构处接收并保存基金份额持有人名册；</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）按规定制作相关账册并与基金管理人核对；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14</w:t>
      </w:r>
      <w:r>
        <w:rPr>
          <w:rFonts w:eastAsiaTheme="minorEastAsia" w:hint="eastAsia"/>
          <w:kern w:val="0"/>
          <w:sz w:val="24"/>
        </w:rPr>
        <w:t>）依据基金管理人的指令或有关规定向基金份额持有人支付基金收益和赎回款项；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15</w:t>
      </w:r>
      <w:r>
        <w:rPr>
          <w:rFonts w:eastAsiaTheme="minorEastAsia" w:hint="eastAsia"/>
          <w:kern w:val="0"/>
          <w:sz w:val="24"/>
        </w:rPr>
        <w:t>）依据《基金法》、《基金合同》及其他有关规定，召集基金份额持有人大会或配合基金管理人、基金份额持有人依法召集基金份额持有人大会；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16</w:t>
      </w:r>
      <w:r>
        <w:rPr>
          <w:rFonts w:eastAsiaTheme="minorEastAsia" w:hint="eastAsia"/>
          <w:kern w:val="0"/>
          <w:sz w:val="24"/>
        </w:rPr>
        <w:t>）按照法律法规和《基金合同》的规定监督基金管理人的投资运作；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17</w:t>
      </w:r>
      <w:r>
        <w:rPr>
          <w:rFonts w:eastAsiaTheme="minorEastAsia" w:hint="eastAsia"/>
          <w:kern w:val="0"/>
          <w:sz w:val="24"/>
        </w:rPr>
        <w:t>）参加基金财产清算小组，参与基金财产的保管、清理、估价、变现和分配；</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18</w:t>
      </w:r>
      <w:r>
        <w:rPr>
          <w:rFonts w:eastAsiaTheme="minorEastAsia" w:hint="eastAsia"/>
          <w:kern w:val="0"/>
          <w:sz w:val="24"/>
        </w:rPr>
        <w:t>）面临解散、依法被撤销或者被依法宣告破产时，及时报告中国证监会和银行监管机构，并通知基金管理人；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19</w:t>
      </w:r>
      <w:r>
        <w:rPr>
          <w:rFonts w:eastAsiaTheme="minorEastAsia" w:hint="eastAsia"/>
          <w:kern w:val="0"/>
          <w:sz w:val="24"/>
        </w:rPr>
        <w:t>）因违反《基金合同》导致基金财产损失时，应承担赔偿责任，其赔偿责任不因其退任而免除；</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20</w:t>
      </w:r>
      <w:r>
        <w:rPr>
          <w:rFonts w:eastAsiaTheme="minorEastAsia" w:hint="eastAsia"/>
          <w:kern w:val="0"/>
          <w:sz w:val="24"/>
        </w:rPr>
        <w:t>）按规定监督基金管理人按法律法规和《基金合同》规定履行自己的义务，基金管理人因违反《基金合同》造成基金财产损失时，应为基金份额持有人利益向基金管理人追偿；</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21</w:t>
      </w:r>
      <w:r>
        <w:rPr>
          <w:rFonts w:eastAsiaTheme="minorEastAsia" w:hint="eastAsia"/>
          <w:kern w:val="0"/>
          <w:sz w:val="24"/>
        </w:rPr>
        <w:t>）执行生效的基金份额持有人大会的决议；</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22</w:t>
      </w:r>
      <w:r>
        <w:rPr>
          <w:rFonts w:eastAsiaTheme="minorEastAsia" w:hint="eastAsia"/>
          <w:kern w:val="0"/>
          <w:sz w:val="24"/>
        </w:rPr>
        <w:t>）法律法规及中国证监会规定的和《基金合同》约定的其他义务。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（三）基金份额持有人的权利和义务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每份基金份额具有同等的合法权益。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、根据《基金法》、《运作办法》及其他有关规定，基金份额持有人的权利包括但不限于：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）分享基金财产收益；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）参与分配清算后的剩余基金财产；</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）依法转让或者申请赎回其持有的基金份额，发起资金认购的基金份额的赎回应符合本基金合同的规定；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）按照规定要求召开基金份额持有人大会或者召集基金份额持有人大会；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）出席或者委派代表出席基金份额持有人大会，对基金份额持有人大会审议事项行使表决权；</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）查阅或者复制公开披露的基金信息资料；</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）监督基金管理人的投资运作；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）对基金管理人、基金托管人、基金服务机构损害其合法权益的行为依法提起诉讼或仲裁；</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）法律法规及中国证监会规定的和《基金合同》约定的其他权利。</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、根据《基金法》、《运作办法》及其他有关规定，基金份额持有人的义务包括但不限于：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）认真阅读并遵守《基金合同》、招募说明书等信息披露文件；</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）了解所投资基金产品，了解自身风险承受能力，自主判断基金的投资价值，自主做出投资决策，自行承担投资风险；</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）关注基金信息披露，及时行使权利和履行义务；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）缴纳基金认购、申购款项及法律法规和《基金合同》所规定的费用；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）在其持有的基金份额范围内，承担基金亏损或者《基金合同》终止的有限责任；</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）不从事任何有损基金及其他《基金合同》当事人合法权益的活动；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）执行生效的基金份额持有人大会的决议；</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）返还在基金交易过程中因任何原因获得的不当得利；</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）发起资金提供方申购的基金份额持有期限不少于</w:t>
      </w:r>
      <w:r>
        <w:rPr>
          <w:rFonts w:eastAsiaTheme="minorEastAsia" w:hint="eastAsia"/>
          <w:kern w:val="0"/>
          <w:sz w:val="24"/>
        </w:rPr>
        <w:t>3</w:t>
      </w:r>
      <w:r>
        <w:rPr>
          <w:rFonts w:eastAsiaTheme="minorEastAsia" w:hint="eastAsia"/>
          <w:kern w:val="0"/>
          <w:sz w:val="24"/>
        </w:rPr>
        <w:t>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）法律法规及中国证监会规定的和《基金合同》约定的其他义务。</w:t>
      </w:r>
    </w:p>
    <w:p w:rsidR="00CB515E" w:rsidRDefault="005F186E">
      <w:pPr>
        <w:autoSpaceDE w:val="0"/>
        <w:autoSpaceDN w:val="0"/>
        <w:adjustRightInd w:val="0"/>
        <w:spacing w:line="360" w:lineRule="auto"/>
        <w:ind w:firstLineChars="200" w:firstLine="482"/>
        <w:jc w:val="left"/>
        <w:rPr>
          <w:b/>
          <w:bCs/>
          <w:sz w:val="24"/>
        </w:rPr>
      </w:pPr>
      <w:r>
        <w:rPr>
          <w:b/>
          <w:bCs/>
          <w:sz w:val="24"/>
        </w:rPr>
        <w:t>二、基金份额持有人大会召集、议事及表决的程序和规则</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本基金份额持有人大会不设日常机构。</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（一）召开事由</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、除法律法规和中国证监会另有规定或《基金合同》另有约定外，当出现或需要决定下列事由之一的，应当召开基金份额持有人大会：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）终止《基金合同》；</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）更换基金管理人；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）更换基金托管人；</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）转换基金运作方式；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）调整基金管理人、基金托管人的报酬标准；</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）变更基金类别；</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）本基金与其他基金的合并；</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）变更基金投资目标、范围或策略；</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）变更基金份额持有人大会程序；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）基金管理人或基金托管人要求召开基金份额持有人大会；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11</w:t>
      </w:r>
      <w:r>
        <w:rPr>
          <w:rFonts w:eastAsiaTheme="minorEastAsia" w:hint="eastAsia"/>
          <w:kern w:val="0"/>
          <w:sz w:val="24"/>
        </w:rPr>
        <w:t>）单独或合计持有本基金总份额</w:t>
      </w:r>
      <w:r>
        <w:rPr>
          <w:rFonts w:eastAsiaTheme="minorEastAsia" w:hint="eastAsia"/>
          <w:kern w:val="0"/>
          <w:sz w:val="24"/>
        </w:rPr>
        <w:t>10%</w:t>
      </w:r>
      <w:r>
        <w:rPr>
          <w:rFonts w:eastAsiaTheme="minorEastAsia" w:hint="eastAsia"/>
          <w:kern w:val="0"/>
          <w:sz w:val="24"/>
        </w:rPr>
        <w:t>以上（含</w:t>
      </w:r>
      <w:r>
        <w:rPr>
          <w:rFonts w:eastAsiaTheme="minorEastAsia" w:hint="eastAsia"/>
          <w:kern w:val="0"/>
          <w:sz w:val="24"/>
        </w:rPr>
        <w:t>10%</w:t>
      </w:r>
      <w:r>
        <w:rPr>
          <w:rFonts w:eastAsiaTheme="minorEastAsia" w:hint="eastAsia"/>
          <w:kern w:val="0"/>
          <w:sz w:val="24"/>
        </w:rPr>
        <w:t>）基金份额的基金份额持有人（以基金管理人收到提议当日的基金份额计算，下同）就同一事项书面要求召开基金份额持有人大会；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）对基金合同当事人权利和义务产生重大影响的其他事项；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）法律法规、《基金合同》或中国证监会规定的其他应当召开基金份额持有人大会的事项。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、以下情况可由基金管理人和基金托管人协商后修改，不需召开基金份额持有人大会：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）法律法规要求增加的基金费用的收取；</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在法律法规和《基金合同》规定的范围内调整本基金的申购费率、调低赎回费率或在对现有基金份额持有人利益无实质性不利影响的前提下变更收费方式或调整基金份额类别设置、对基金份额分类办法及规则进行调整；</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）因相应的法律法规发生变动而应当对《基金合同》进行修改；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）对《基金合同》的修改对基金份额持有人利益无实质性不利影响或修改不涉及《基金合同》当事人权利义务关系发生重大变化；</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在不违反法律法规、基金合同以及在不损害已有基金份额持有人权益的前提下，基金管理人、登记机构、基金销售机构在法律法规规定或中国证监会许可的范围内调整有关申购、赎回、转换、基金交易、非交易过户、转托管等业务规则；</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）在不违反法律法规、基金合同以及在不损害已有基金份额持有人权益的前提下，履行相关程序后基金推出新业务或服务；</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）按照法律法规和《基金合同》规定不需召开基金份额持有人大会的其他情形。</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（二）会议召集人及召集方式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、除法律法规规定或《基金合同》另有约定外，基金份额持有人大会由基金管理人召集。</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、基金管理人未按规定召集或不能召集时，由基金托管人召集。</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3</w:t>
      </w:r>
      <w:r>
        <w:rPr>
          <w:rFonts w:eastAsiaTheme="minorEastAsia" w:hint="eastAsia"/>
          <w:kern w:val="0"/>
          <w:sz w:val="24"/>
        </w:rPr>
        <w:t>、基金托管人认为有必要召开基金份额持有人大会的，应当向基金管理人提出书面提议。基金管理人应当自收到书面提议之日起</w:t>
      </w:r>
      <w:r>
        <w:rPr>
          <w:rFonts w:eastAsiaTheme="minorEastAsia" w:hint="eastAsia"/>
          <w:kern w:val="0"/>
          <w:sz w:val="24"/>
        </w:rPr>
        <w:t>10</w:t>
      </w:r>
      <w:r>
        <w:rPr>
          <w:rFonts w:eastAsiaTheme="minorEastAsia" w:hint="eastAsia"/>
          <w:kern w:val="0"/>
          <w:sz w:val="24"/>
        </w:rPr>
        <w:t>日内决定是否召集，并书面告知基金托管人。基金管理人决定召集的，应当自出具书面决定之日起</w:t>
      </w:r>
      <w:r>
        <w:rPr>
          <w:rFonts w:eastAsiaTheme="minorEastAsia" w:hint="eastAsia"/>
          <w:kern w:val="0"/>
          <w:sz w:val="24"/>
        </w:rPr>
        <w:t>60</w:t>
      </w:r>
      <w:r>
        <w:rPr>
          <w:rFonts w:eastAsiaTheme="minorEastAsia" w:hint="eastAsia"/>
          <w:kern w:val="0"/>
          <w:sz w:val="24"/>
        </w:rPr>
        <w:t>日内召开；基金管理人决定不召集，基金托管人仍认为有必要召开的，应当由基金托管人自行召集，并自出具书面决定之日起</w:t>
      </w:r>
      <w:r>
        <w:rPr>
          <w:rFonts w:eastAsiaTheme="minorEastAsia" w:hint="eastAsia"/>
          <w:kern w:val="0"/>
          <w:sz w:val="24"/>
        </w:rPr>
        <w:t>60</w:t>
      </w:r>
      <w:r>
        <w:rPr>
          <w:rFonts w:eastAsiaTheme="minorEastAsia" w:hint="eastAsia"/>
          <w:kern w:val="0"/>
          <w:sz w:val="24"/>
        </w:rPr>
        <w:t>日内召开并告知基金管理人，基金管理人应当配合。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4</w:t>
      </w:r>
      <w:r>
        <w:rPr>
          <w:rFonts w:eastAsiaTheme="minorEastAsia" w:hint="eastAsia"/>
          <w:kern w:val="0"/>
          <w:sz w:val="24"/>
        </w:rPr>
        <w:t>、代表基金份额</w:t>
      </w:r>
      <w:r>
        <w:rPr>
          <w:rFonts w:eastAsiaTheme="minorEastAsia" w:hint="eastAsia"/>
          <w:kern w:val="0"/>
          <w:sz w:val="24"/>
        </w:rPr>
        <w:t>10%</w:t>
      </w:r>
      <w:r>
        <w:rPr>
          <w:rFonts w:eastAsiaTheme="minorEastAsia" w:hint="eastAsia"/>
          <w:kern w:val="0"/>
          <w:sz w:val="24"/>
        </w:rPr>
        <w:t>以上（含</w:t>
      </w:r>
      <w:r>
        <w:rPr>
          <w:rFonts w:eastAsiaTheme="minorEastAsia" w:hint="eastAsia"/>
          <w:kern w:val="0"/>
          <w:sz w:val="24"/>
        </w:rPr>
        <w:t>10%</w:t>
      </w:r>
      <w:r>
        <w:rPr>
          <w:rFonts w:eastAsiaTheme="minorEastAsia" w:hint="eastAsia"/>
          <w:kern w:val="0"/>
          <w:sz w:val="24"/>
        </w:rPr>
        <w:t>）的基金份额持有人就同一事项书面要求召开基金份额持有人大会，应当向基金管理人提出书面提议。基金管理人应当自收到书面提议之日起</w:t>
      </w:r>
      <w:r>
        <w:rPr>
          <w:rFonts w:eastAsiaTheme="minorEastAsia" w:hint="eastAsia"/>
          <w:kern w:val="0"/>
          <w:sz w:val="24"/>
        </w:rPr>
        <w:t>10</w:t>
      </w:r>
      <w:r>
        <w:rPr>
          <w:rFonts w:eastAsiaTheme="minorEastAsia" w:hint="eastAsia"/>
          <w:kern w:val="0"/>
          <w:sz w:val="24"/>
        </w:rPr>
        <w:t>日内决定是否召集，并书面告知提出提议的基金份额持有人代表和基金托管人。基金管理人决定召集的，应当自出具书面决定之日起</w:t>
      </w:r>
      <w:r>
        <w:rPr>
          <w:rFonts w:eastAsiaTheme="minorEastAsia" w:hint="eastAsia"/>
          <w:kern w:val="0"/>
          <w:sz w:val="24"/>
        </w:rPr>
        <w:t>60</w:t>
      </w:r>
      <w:r>
        <w:rPr>
          <w:rFonts w:eastAsiaTheme="minorEastAsia" w:hint="eastAsia"/>
          <w:kern w:val="0"/>
          <w:sz w:val="24"/>
        </w:rPr>
        <w:t>日内召开；基金管理人决定不召集，代表基金份额</w:t>
      </w:r>
      <w:r>
        <w:rPr>
          <w:rFonts w:eastAsiaTheme="minorEastAsia" w:hint="eastAsia"/>
          <w:kern w:val="0"/>
          <w:sz w:val="24"/>
        </w:rPr>
        <w:t>10%</w:t>
      </w:r>
      <w:r>
        <w:rPr>
          <w:rFonts w:eastAsiaTheme="minorEastAsia" w:hint="eastAsia"/>
          <w:kern w:val="0"/>
          <w:sz w:val="24"/>
        </w:rPr>
        <w:t>以上（含</w:t>
      </w:r>
      <w:r>
        <w:rPr>
          <w:rFonts w:eastAsiaTheme="minorEastAsia" w:hint="eastAsia"/>
          <w:kern w:val="0"/>
          <w:sz w:val="24"/>
        </w:rPr>
        <w:t>10%</w:t>
      </w:r>
      <w:r>
        <w:rPr>
          <w:rFonts w:eastAsiaTheme="minorEastAsia" w:hint="eastAsia"/>
          <w:kern w:val="0"/>
          <w:sz w:val="24"/>
        </w:rPr>
        <w:t>）的基金份额持有人仍认为有必要召开的，应当向基金托管人提出书面提议。基金托管人应当自收到书面提议之日起</w:t>
      </w:r>
      <w:r>
        <w:rPr>
          <w:rFonts w:eastAsiaTheme="minorEastAsia" w:hint="eastAsia"/>
          <w:kern w:val="0"/>
          <w:sz w:val="24"/>
        </w:rPr>
        <w:t>10</w:t>
      </w:r>
      <w:r>
        <w:rPr>
          <w:rFonts w:eastAsiaTheme="minorEastAsia" w:hint="eastAsia"/>
          <w:kern w:val="0"/>
          <w:sz w:val="24"/>
        </w:rPr>
        <w:t>日内决定是否召集，并书面告知提出提议的基金份额持有人代表和基金管理人；基金托管人决定召集的，应当自出具书面决定之日起</w:t>
      </w:r>
      <w:r>
        <w:rPr>
          <w:rFonts w:eastAsiaTheme="minorEastAsia" w:hint="eastAsia"/>
          <w:kern w:val="0"/>
          <w:sz w:val="24"/>
        </w:rPr>
        <w:t>60</w:t>
      </w:r>
      <w:r>
        <w:rPr>
          <w:rFonts w:eastAsiaTheme="minorEastAsia" w:hint="eastAsia"/>
          <w:kern w:val="0"/>
          <w:sz w:val="24"/>
        </w:rPr>
        <w:t>日内召开并告知基金管理人，基金管理人应当配合。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5</w:t>
      </w:r>
      <w:r>
        <w:rPr>
          <w:rFonts w:eastAsiaTheme="minorEastAsia" w:hint="eastAsia"/>
          <w:kern w:val="0"/>
          <w:sz w:val="24"/>
        </w:rPr>
        <w:t>、代表基金份额</w:t>
      </w:r>
      <w:r>
        <w:rPr>
          <w:rFonts w:eastAsiaTheme="minorEastAsia" w:hint="eastAsia"/>
          <w:kern w:val="0"/>
          <w:sz w:val="24"/>
        </w:rPr>
        <w:t>10%</w:t>
      </w:r>
      <w:r>
        <w:rPr>
          <w:rFonts w:eastAsiaTheme="minorEastAsia" w:hint="eastAsia"/>
          <w:kern w:val="0"/>
          <w:sz w:val="24"/>
        </w:rPr>
        <w:t>以上（含</w:t>
      </w:r>
      <w:r>
        <w:rPr>
          <w:rFonts w:eastAsiaTheme="minorEastAsia" w:hint="eastAsia"/>
          <w:kern w:val="0"/>
          <w:sz w:val="24"/>
        </w:rPr>
        <w:t>10%</w:t>
      </w:r>
      <w:r>
        <w:rPr>
          <w:rFonts w:eastAsiaTheme="minorEastAsia" w:hint="eastAsia"/>
          <w:kern w:val="0"/>
          <w:sz w:val="24"/>
        </w:rPr>
        <w:t>）的基金份额持有人就同一事项要求召开基金份额持有人大会，而基金管理人、基金托管人都不召集的，单独或合计代表基金份额</w:t>
      </w:r>
      <w:r>
        <w:rPr>
          <w:rFonts w:eastAsiaTheme="minorEastAsia" w:hint="eastAsia"/>
          <w:kern w:val="0"/>
          <w:sz w:val="24"/>
        </w:rPr>
        <w:t>10%</w:t>
      </w:r>
      <w:r>
        <w:rPr>
          <w:rFonts w:eastAsiaTheme="minorEastAsia" w:hint="eastAsia"/>
          <w:kern w:val="0"/>
          <w:sz w:val="24"/>
        </w:rPr>
        <w:t>以上（含</w:t>
      </w:r>
      <w:r>
        <w:rPr>
          <w:rFonts w:eastAsiaTheme="minorEastAsia" w:hint="eastAsia"/>
          <w:kern w:val="0"/>
          <w:sz w:val="24"/>
        </w:rPr>
        <w:t>10%</w:t>
      </w:r>
      <w:r>
        <w:rPr>
          <w:rFonts w:eastAsiaTheme="minorEastAsia" w:hint="eastAsia"/>
          <w:kern w:val="0"/>
          <w:sz w:val="24"/>
        </w:rPr>
        <w:t>）的基金份额持有人有权自行召集，并至少提前</w:t>
      </w:r>
      <w:r>
        <w:rPr>
          <w:rFonts w:eastAsiaTheme="minorEastAsia" w:hint="eastAsia"/>
          <w:kern w:val="0"/>
          <w:sz w:val="24"/>
        </w:rPr>
        <w:t>30</w:t>
      </w:r>
      <w:r>
        <w:rPr>
          <w:rFonts w:eastAsiaTheme="minorEastAsia" w:hint="eastAsia"/>
          <w:kern w:val="0"/>
          <w:sz w:val="24"/>
        </w:rPr>
        <w:t>日报中国证监会备案。基金份额持有人依法自行召集基金份额持有人大会的，基金管理人、基金托管人应当配合，不得阻碍、干扰。</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6</w:t>
      </w:r>
      <w:r>
        <w:rPr>
          <w:rFonts w:eastAsiaTheme="minorEastAsia" w:hint="eastAsia"/>
          <w:kern w:val="0"/>
          <w:sz w:val="24"/>
        </w:rPr>
        <w:t>、基金份额持有人会议的召集人负责选择确定开会时间、地点、方式和权益登记日。</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（三）召开基金份额持有人大会的通知时间、通知内容、通知方式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、召开基金份额持有人大会，召集人应于会议召开前</w:t>
      </w:r>
      <w:r>
        <w:rPr>
          <w:rFonts w:eastAsiaTheme="minorEastAsia" w:hint="eastAsia"/>
          <w:kern w:val="0"/>
          <w:sz w:val="24"/>
        </w:rPr>
        <w:t>30</w:t>
      </w:r>
      <w:r>
        <w:rPr>
          <w:rFonts w:eastAsiaTheme="minorEastAsia" w:hint="eastAsia"/>
          <w:kern w:val="0"/>
          <w:sz w:val="24"/>
        </w:rPr>
        <w:t>日，依据有关规定进行公告。基金份额持有人大会通知应至少载明以下内容：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）会议召开的时间、地点和会议形式；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）会议拟审议的事项、议事程序和表决方式；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）有权出席基金份额持有人大会的基金份额持有人的权益登记日；</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）授权委托证明的内容要求（包括但不限于代理人身份，代理权限和代理有效期限等）、送达时间和地点；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）会务常设联系人姓名及联系电话；</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）出席会议者必须准备的文件和必须履行的手续；</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）召集人需要通知的其他事项。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3</w:t>
      </w:r>
      <w:r>
        <w:rPr>
          <w:rFonts w:eastAsiaTheme="minorEastAsia" w:hint="eastAsia"/>
          <w:kern w:val="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（四）基金份额持有人出席会议的方式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基金份额持有人大会可通过现场开会方式、通讯开会方式或法律法规及监管机关允许的其他方式召开，会议的召开方式由会议召集人确定。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eastAsiaTheme="minorEastAsia" w:hint="eastAsia"/>
          <w:kern w:val="0"/>
          <w:sz w:val="24"/>
        </w:rPr>
        <w:t>3</w:t>
      </w:r>
      <w:r>
        <w:rPr>
          <w:rFonts w:eastAsiaTheme="minorEastAsia" w:hint="eastAsia"/>
          <w:kern w:val="0"/>
          <w:sz w:val="24"/>
        </w:rPr>
        <w:t>个月以后、</w:t>
      </w:r>
      <w:r>
        <w:rPr>
          <w:rFonts w:eastAsiaTheme="minorEastAsia" w:hint="eastAsia"/>
          <w:kern w:val="0"/>
          <w:sz w:val="24"/>
        </w:rPr>
        <w:t>6</w:t>
      </w:r>
      <w:r>
        <w:rPr>
          <w:rFonts w:eastAsiaTheme="minorEastAsia" w:hint="eastAsia"/>
          <w:kern w:val="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在同时符合以下条件时，通讯开会的方式视为有效：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）会议召集人按《基金合同》约定公布会议通知后，在</w:t>
      </w:r>
      <w:r>
        <w:rPr>
          <w:rFonts w:eastAsiaTheme="minorEastAsia" w:hint="eastAsia"/>
          <w:kern w:val="0"/>
          <w:sz w:val="24"/>
        </w:rPr>
        <w:t>2</w:t>
      </w:r>
      <w:r>
        <w:rPr>
          <w:rFonts w:eastAsiaTheme="minorEastAsia" w:hint="eastAsia"/>
          <w:kern w:val="0"/>
          <w:sz w:val="24"/>
        </w:rPr>
        <w:t>个工作日内连续公布相关提示性公告；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eastAsiaTheme="minorEastAsia" w:hint="eastAsia"/>
          <w:kern w:val="0"/>
          <w:sz w:val="24"/>
        </w:rPr>
        <w:t>3</w:t>
      </w:r>
      <w:r>
        <w:rPr>
          <w:rFonts w:eastAsiaTheme="minorEastAsia" w:hint="eastAsia"/>
          <w:kern w:val="0"/>
          <w:sz w:val="24"/>
        </w:rPr>
        <w:t>个月以后、</w:t>
      </w:r>
      <w:r>
        <w:rPr>
          <w:rFonts w:eastAsiaTheme="minorEastAsia" w:hint="eastAsia"/>
          <w:kern w:val="0"/>
          <w:sz w:val="24"/>
        </w:rPr>
        <w:t>6</w:t>
      </w:r>
      <w:r>
        <w:rPr>
          <w:rFonts w:eastAsiaTheme="minorEastAsia" w:hint="eastAsia"/>
          <w:kern w:val="0"/>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）上述第（</w:t>
      </w:r>
      <w:r>
        <w:rPr>
          <w:rFonts w:eastAsiaTheme="minorEastAsia" w:hint="eastAsia"/>
          <w:kern w:val="0"/>
          <w:sz w:val="24"/>
        </w:rPr>
        <w:t>3</w:t>
      </w:r>
      <w:r>
        <w:rPr>
          <w:rFonts w:eastAsiaTheme="minorEastAsia" w:hint="eastAsia"/>
          <w:kern w:val="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3</w:t>
      </w:r>
      <w:r>
        <w:rPr>
          <w:rFonts w:eastAsiaTheme="minorEastAsia" w:hint="eastAsia"/>
          <w:kern w:val="0"/>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（五）议事内容与程序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、议事内容及提案权</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基金份额持有人大会的召集人发出召集会议的通知后，对原有提案的修改应当在基金份额持有人大会召开前及时公告。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基金份额持有人大会不得对未事先公告的议事内容进行表决。</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、议事程序</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）现场开会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会议召集人应当制作出席会议人员的签名册。签名册载明参加会议人员姓名（或单位名称）、身份证明文件号码、持有或代表有表决权的基金份额、委托人姓名（或单位名称）和联系方式等事项。</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）通讯开会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在通讯开会的情况下，首先由召集人提前</w:t>
      </w:r>
      <w:r>
        <w:rPr>
          <w:rFonts w:eastAsiaTheme="minorEastAsia" w:hint="eastAsia"/>
          <w:kern w:val="0"/>
          <w:sz w:val="24"/>
        </w:rPr>
        <w:t>30</w:t>
      </w:r>
      <w:r>
        <w:rPr>
          <w:rFonts w:eastAsiaTheme="minorEastAsia" w:hint="eastAsia"/>
          <w:kern w:val="0"/>
          <w:sz w:val="24"/>
        </w:rPr>
        <w:t>日公布提案，在所通知的表决截止日期后</w:t>
      </w:r>
      <w:r>
        <w:rPr>
          <w:rFonts w:eastAsiaTheme="minorEastAsia" w:hint="eastAsia"/>
          <w:kern w:val="0"/>
          <w:sz w:val="24"/>
        </w:rPr>
        <w:t>2</w:t>
      </w:r>
      <w:r>
        <w:rPr>
          <w:rFonts w:eastAsiaTheme="minorEastAsia" w:hint="eastAsia"/>
          <w:kern w:val="0"/>
          <w:sz w:val="24"/>
        </w:rPr>
        <w:t>个工作日内在公证机关监督下由召集人统计全部有效表决，在公证机关监督下形成决议。</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（六）表决</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基金份额持有人所持每份基金份额有一票表决权。</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基金份额持有人大会决议分为一般决议和特别决议：</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、一般决议，一般决议须经参加大会的基金份额持有人或其代理人所持表决权的二分之一以上（含二分之一）通过方为有效；除下列第</w:t>
      </w:r>
      <w:r>
        <w:rPr>
          <w:rFonts w:eastAsiaTheme="minorEastAsia" w:hint="eastAsia"/>
          <w:kern w:val="0"/>
          <w:sz w:val="24"/>
        </w:rPr>
        <w:t>2</w:t>
      </w:r>
      <w:r>
        <w:rPr>
          <w:rFonts w:eastAsiaTheme="minorEastAsia" w:hint="eastAsia"/>
          <w:kern w:val="0"/>
          <w:sz w:val="24"/>
        </w:rPr>
        <w:t>项所规定的须以特别决议通过事项以外的其他事项均以一般决议的方式通过。</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基金份额持有人大会采取记名方式进行投票表决。</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基金份额持有人大会的各项提案或同一项提案内并列的各项议题应当分开审议、逐项表决。</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（七）计票</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1</w:t>
      </w:r>
      <w:r>
        <w:rPr>
          <w:rFonts w:eastAsiaTheme="minorEastAsia" w:hint="eastAsia"/>
          <w:kern w:val="0"/>
          <w:sz w:val="24"/>
        </w:rPr>
        <w:t>、现场开会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）监票人应当在基金份额持有人表决后立即进行清点并由大会主持人当场公布计票结果。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）计票过程应由公证机关予以公证，基金管理人或基金托管人拒不出席大会的，不影响计票的效力。</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2</w:t>
      </w:r>
      <w:r>
        <w:rPr>
          <w:rFonts w:eastAsiaTheme="minorEastAsia" w:hint="eastAsia"/>
          <w:kern w:val="0"/>
          <w:sz w:val="24"/>
        </w:rPr>
        <w:t>、通讯开会</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（八）生效与公告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基金份额持有人大会的决议，召集人应当自通过之日起</w:t>
      </w:r>
      <w:r>
        <w:rPr>
          <w:rFonts w:eastAsiaTheme="minorEastAsia" w:hint="eastAsia"/>
          <w:kern w:val="0"/>
          <w:sz w:val="24"/>
        </w:rPr>
        <w:t>5</w:t>
      </w:r>
      <w:r>
        <w:rPr>
          <w:rFonts w:eastAsiaTheme="minorEastAsia" w:hint="eastAsia"/>
          <w:kern w:val="0"/>
          <w:sz w:val="24"/>
        </w:rPr>
        <w:t>日内报中国证监会备案。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基金份额持有人大会的决议自表决通过之日起生效。</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基金份额持有人大会决议自生效之日起</w:t>
      </w:r>
      <w:r>
        <w:rPr>
          <w:rFonts w:eastAsiaTheme="minorEastAsia" w:hint="eastAsia"/>
          <w:kern w:val="0"/>
          <w:sz w:val="24"/>
        </w:rPr>
        <w:t>2</w:t>
      </w:r>
      <w:r>
        <w:rPr>
          <w:rFonts w:eastAsiaTheme="minorEastAsia" w:hint="eastAsia"/>
          <w:kern w:val="0"/>
          <w:sz w:val="24"/>
        </w:rPr>
        <w:t>个工作日内在指定媒介上公告。如果采用通讯方式进行表决，在公告基金份额持有人大会决议时，必须将公证书全文、公证机构、公证员姓名等一同公告。</w:t>
      </w:r>
    </w:p>
    <w:p w:rsidR="00CB515E" w:rsidRDefault="005F186E">
      <w:pPr>
        <w:autoSpaceDE w:val="0"/>
        <w:autoSpaceDN w:val="0"/>
        <w:adjustRightInd w:val="0"/>
        <w:spacing w:line="360" w:lineRule="auto"/>
        <w:ind w:firstLineChars="200" w:firstLine="480"/>
        <w:jc w:val="left"/>
        <w:rPr>
          <w:rFonts w:eastAsiaTheme="minorEastAsia"/>
          <w:kern w:val="0"/>
          <w:sz w:val="24"/>
        </w:rPr>
      </w:pPr>
      <w:r>
        <w:rPr>
          <w:rFonts w:eastAsiaTheme="minorEastAsia" w:hint="eastAsia"/>
          <w:kern w:val="0"/>
          <w:sz w:val="24"/>
        </w:rPr>
        <w:t>基金管理人、基金托管人和基金份额持有人应当执行生效的基金份额持有人大会的决议。生效的基金份额持有人大会决议对全体基金份额持有人、基金管理人、基金托管人均有约束力。</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（九）本部分关于基金份额持有人大会召开事由、召开条件、议事程序、表决条件等规定，凡是直接引用法律法规或监管规则的部分，如将来法律法规或监管规则修改导致相关内容被取消或变更的，基金管理人</w:t>
      </w:r>
      <w:r>
        <w:rPr>
          <w:rFonts w:ascii="宋体" w:hAnsi="宋体"/>
          <w:bCs/>
          <w:sz w:val="24"/>
        </w:rPr>
        <w:t>与基金托管人协商一致</w:t>
      </w:r>
      <w:r>
        <w:rPr>
          <w:rFonts w:eastAsiaTheme="minorEastAsia" w:hint="eastAsia"/>
          <w:kern w:val="0"/>
          <w:sz w:val="24"/>
        </w:rPr>
        <w:t>提前公告后，可直接对本部分内容进行修改和调整，无需召开基金份额持有人大会审议。</w:t>
      </w:r>
    </w:p>
    <w:p w:rsidR="00CB515E" w:rsidRDefault="005F186E">
      <w:pPr>
        <w:adjustRightInd w:val="0"/>
        <w:snapToGrid w:val="0"/>
        <w:spacing w:line="360" w:lineRule="auto"/>
        <w:ind w:firstLineChars="200" w:firstLine="482"/>
        <w:rPr>
          <w:b/>
          <w:bCs/>
          <w:sz w:val="24"/>
        </w:rPr>
      </w:pPr>
      <w:r>
        <w:rPr>
          <w:b/>
          <w:kern w:val="0"/>
          <w:sz w:val="24"/>
        </w:rPr>
        <w:t>三、</w:t>
      </w:r>
      <w:r>
        <w:rPr>
          <w:b/>
          <w:bCs/>
          <w:sz w:val="24"/>
        </w:rPr>
        <w:t>基金合同解除和终止的事由、程序以及基金财产清算方式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（一）《基金合同》的变更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、关于《基金合同》变更的基金份额持有人大会决议须报中国证监会备案，自表决通过之日起生效，并自决议生效后两个工作日内在指定媒介公告。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（二）《基金合同》的终止事由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有下列情形之一的，</w:t>
      </w:r>
      <w:r>
        <w:rPr>
          <w:rFonts w:eastAsiaTheme="minorEastAsia" w:hint="eastAsia"/>
          <w:kern w:val="0"/>
          <w:sz w:val="24"/>
        </w:rPr>
        <w:t>经履行相关程序后，</w:t>
      </w:r>
      <w:r>
        <w:rPr>
          <w:rFonts w:eastAsiaTheme="minorEastAsia"/>
          <w:kern w:val="0"/>
          <w:sz w:val="24"/>
        </w:rPr>
        <w:t>《基金合同》应当终止：</w:t>
      </w:r>
    </w:p>
    <w:p w:rsidR="00CB515E" w:rsidRDefault="005F186E">
      <w:pPr>
        <w:adjustRightInd w:val="0"/>
        <w:snapToGrid w:val="0"/>
        <w:spacing w:line="360" w:lineRule="auto"/>
        <w:ind w:firstLineChars="200" w:firstLine="480"/>
        <w:rPr>
          <w:color w:val="000000"/>
          <w:sz w:val="24"/>
        </w:rPr>
      </w:pPr>
      <w:r>
        <w:rPr>
          <w:rFonts w:hint="eastAsia"/>
          <w:color w:val="000000"/>
          <w:sz w:val="24"/>
        </w:rPr>
        <w:t>1</w:t>
      </w:r>
      <w:r>
        <w:rPr>
          <w:rFonts w:hint="eastAsia"/>
          <w:color w:val="000000"/>
          <w:sz w:val="24"/>
        </w:rPr>
        <w:t>、《基金合同》生效满三年之日，若基金资产净值低于</w:t>
      </w:r>
      <w:r>
        <w:rPr>
          <w:rFonts w:hint="eastAsia"/>
          <w:color w:val="000000"/>
          <w:sz w:val="24"/>
        </w:rPr>
        <w:t>2</w:t>
      </w:r>
      <w:r>
        <w:rPr>
          <w:rFonts w:hint="eastAsia"/>
          <w:color w:val="000000"/>
          <w:sz w:val="24"/>
        </w:rPr>
        <w:t>亿元的；</w:t>
      </w:r>
    </w:p>
    <w:p w:rsidR="00CB515E" w:rsidRDefault="005F186E">
      <w:pPr>
        <w:adjustRightInd w:val="0"/>
        <w:snapToGrid w:val="0"/>
        <w:spacing w:line="360" w:lineRule="auto"/>
        <w:ind w:firstLineChars="200" w:firstLine="480"/>
        <w:rPr>
          <w:color w:val="000000"/>
          <w:sz w:val="24"/>
        </w:rPr>
      </w:pPr>
      <w:r>
        <w:rPr>
          <w:rFonts w:hint="eastAsia"/>
          <w:color w:val="000000"/>
          <w:sz w:val="24"/>
        </w:rPr>
        <w:t>2</w:t>
      </w:r>
      <w:r>
        <w:rPr>
          <w:rFonts w:hint="eastAsia"/>
          <w:color w:val="000000"/>
          <w:sz w:val="24"/>
        </w:rPr>
        <w:t>、基金份额持有人大会决定终止的；</w:t>
      </w:r>
    </w:p>
    <w:p w:rsidR="00CB515E" w:rsidRDefault="005F186E">
      <w:pPr>
        <w:adjustRightInd w:val="0"/>
        <w:snapToGrid w:val="0"/>
        <w:spacing w:line="360" w:lineRule="auto"/>
        <w:ind w:firstLineChars="200" w:firstLine="480"/>
        <w:rPr>
          <w:color w:val="000000"/>
          <w:sz w:val="24"/>
        </w:rPr>
      </w:pPr>
      <w:r>
        <w:rPr>
          <w:rFonts w:hint="eastAsia"/>
          <w:color w:val="000000"/>
          <w:sz w:val="24"/>
        </w:rPr>
        <w:t>3</w:t>
      </w:r>
      <w:r>
        <w:rPr>
          <w:rFonts w:hint="eastAsia"/>
          <w:color w:val="000000"/>
          <w:sz w:val="24"/>
        </w:rPr>
        <w:t>、基金管理人、基金托管人职责终止，在</w:t>
      </w:r>
      <w:r>
        <w:rPr>
          <w:rFonts w:hint="eastAsia"/>
          <w:color w:val="000000"/>
          <w:sz w:val="24"/>
        </w:rPr>
        <w:t>6</w:t>
      </w:r>
      <w:r>
        <w:rPr>
          <w:rFonts w:hint="eastAsia"/>
          <w:color w:val="000000"/>
          <w:sz w:val="24"/>
        </w:rPr>
        <w:t>个月内没有新基金管理人、新基金托管人承接的；</w:t>
      </w:r>
    </w:p>
    <w:p w:rsidR="00CB515E" w:rsidRDefault="005F186E">
      <w:pPr>
        <w:adjustRightInd w:val="0"/>
        <w:snapToGrid w:val="0"/>
        <w:spacing w:line="360" w:lineRule="auto"/>
        <w:ind w:firstLineChars="200" w:firstLine="480"/>
        <w:rPr>
          <w:color w:val="000000"/>
          <w:sz w:val="24"/>
        </w:rPr>
      </w:pPr>
      <w:r>
        <w:rPr>
          <w:rFonts w:hint="eastAsia"/>
          <w:color w:val="000000"/>
          <w:sz w:val="24"/>
        </w:rPr>
        <w:t>4</w:t>
      </w:r>
      <w:r>
        <w:rPr>
          <w:rFonts w:hint="eastAsia"/>
          <w:color w:val="000000"/>
          <w:sz w:val="24"/>
        </w:rPr>
        <w:t>、《基金合同》约定的其他情形；</w:t>
      </w:r>
    </w:p>
    <w:p w:rsidR="00CB515E" w:rsidRDefault="005F186E">
      <w:pPr>
        <w:adjustRightInd w:val="0"/>
        <w:snapToGrid w:val="0"/>
        <w:spacing w:line="360" w:lineRule="auto"/>
        <w:ind w:firstLineChars="200" w:firstLine="480"/>
        <w:rPr>
          <w:rFonts w:eastAsiaTheme="minorEastAsia"/>
          <w:kern w:val="0"/>
          <w:sz w:val="24"/>
        </w:rPr>
      </w:pPr>
      <w:r>
        <w:rPr>
          <w:rFonts w:hint="eastAsia"/>
          <w:color w:val="000000"/>
          <w:sz w:val="24"/>
        </w:rPr>
        <w:t>5</w:t>
      </w:r>
      <w:r>
        <w:rPr>
          <w:rFonts w:hint="eastAsia"/>
          <w:color w:val="000000"/>
          <w:sz w:val="24"/>
        </w:rPr>
        <w:t>、相关法律法规和中国证监会规定的其他情况。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（三）基金财产的清算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kern w:val="0"/>
          <w:sz w:val="24"/>
        </w:rPr>
        <w:t>、基金财产清算小组：自出现基金合同终止事由之日起</w:t>
      </w:r>
      <w:r>
        <w:rPr>
          <w:rFonts w:eastAsiaTheme="minorEastAsia"/>
          <w:kern w:val="0"/>
          <w:sz w:val="24"/>
        </w:rPr>
        <w:t>30</w:t>
      </w:r>
      <w:r>
        <w:rPr>
          <w:rFonts w:eastAsiaTheme="minorEastAsia"/>
          <w:kern w:val="0"/>
          <w:sz w:val="24"/>
        </w:rPr>
        <w:t>个工作日内成立基金财产清算小组，基金管理人组织基金财产清算小组并在中国证监会的监督下进行基金清算。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kern w:val="0"/>
          <w:sz w:val="24"/>
        </w:rPr>
        <w:t>、基金财产清算小组职责：基金财产清算小组负责基金财产的保管、清理、估价、变现和分配。基金财产清算小组可以依法进行必要的民事活动。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kern w:val="0"/>
          <w:sz w:val="24"/>
        </w:rPr>
        <w:t>、基金财产清算程序：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1</w:t>
      </w:r>
      <w:r>
        <w:rPr>
          <w:rFonts w:eastAsiaTheme="minorEastAsia"/>
          <w:kern w:val="0"/>
          <w:sz w:val="24"/>
        </w:rPr>
        <w:t>）《基金合同》终止情形出现时，由基金财产清算小组统一接管基金；</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2</w:t>
      </w:r>
      <w:r>
        <w:rPr>
          <w:rFonts w:eastAsiaTheme="minorEastAsia"/>
          <w:kern w:val="0"/>
          <w:sz w:val="24"/>
        </w:rPr>
        <w:t>）对基金财产和债权债务进行清理和确认；</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3</w:t>
      </w:r>
      <w:r>
        <w:rPr>
          <w:rFonts w:eastAsiaTheme="minorEastAsia"/>
          <w:kern w:val="0"/>
          <w:sz w:val="24"/>
        </w:rPr>
        <w:t>）对基金财产进行估值和变现；</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4</w:t>
      </w:r>
      <w:r>
        <w:rPr>
          <w:rFonts w:eastAsiaTheme="minorEastAsia"/>
          <w:kern w:val="0"/>
          <w:sz w:val="24"/>
        </w:rPr>
        <w:t>）制作清算报告；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5</w:t>
      </w:r>
      <w:r>
        <w:rPr>
          <w:rFonts w:eastAsiaTheme="minorEastAsia"/>
          <w:kern w:val="0"/>
          <w:sz w:val="24"/>
        </w:rPr>
        <w:t>）聘请会计师事务所对清算报告进行外部审计，聘请律师事务所对清算报告出具法律意见书；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6</w:t>
      </w:r>
      <w:r>
        <w:rPr>
          <w:rFonts w:eastAsiaTheme="minorEastAsia"/>
          <w:kern w:val="0"/>
          <w:sz w:val="24"/>
        </w:rPr>
        <w:t>）将清算报告报中国证监会备案并公告；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w:t>
      </w:r>
      <w:r>
        <w:rPr>
          <w:rFonts w:eastAsiaTheme="minorEastAsia"/>
          <w:kern w:val="0"/>
          <w:sz w:val="24"/>
        </w:rPr>
        <w:t>7</w:t>
      </w:r>
      <w:r>
        <w:rPr>
          <w:rFonts w:eastAsiaTheme="minorEastAsia"/>
          <w:kern w:val="0"/>
          <w:sz w:val="24"/>
        </w:rPr>
        <w:t>）对基金剩余财产进行分配。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kern w:val="0"/>
          <w:sz w:val="24"/>
        </w:rPr>
        <w:t>、基金财产清算的期限为</w:t>
      </w:r>
      <w:r>
        <w:rPr>
          <w:rFonts w:eastAsiaTheme="minorEastAsia"/>
          <w:kern w:val="0"/>
          <w:sz w:val="24"/>
        </w:rPr>
        <w:t>6</w:t>
      </w:r>
      <w:r>
        <w:rPr>
          <w:rFonts w:eastAsiaTheme="minorEastAsia"/>
          <w:kern w:val="0"/>
          <w:sz w:val="24"/>
        </w:rPr>
        <w:t>个月，但因本基金所持证券的流动性受到限制而不能及时变现的，清算期限相应顺延。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（四）清算费用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清算费用是指基金财产清算小组在进行基金清算过程中发生的所有合理费用，清算费用由基金财产清算小组优先从基金剩余财产中支付。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（五）基金财产清算剩余资产的分配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依据基金财产清算的分配方案，将基金财产清算后的全部剩余资产扣除基金财产清算费用、交纳所欠税款并清偿基金债务后，按基金份额持有人持有的基金份额比例进行分配。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（六）基金财产清算的公告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eastAsiaTheme="minorEastAsia"/>
          <w:kern w:val="0"/>
          <w:sz w:val="24"/>
        </w:rPr>
        <w:t>5</w:t>
      </w:r>
      <w:r>
        <w:rPr>
          <w:rFonts w:eastAsiaTheme="minorEastAsia"/>
          <w:kern w:val="0"/>
          <w:sz w:val="24"/>
        </w:rPr>
        <w:t>个工作日内由基金财产清算小组进行公告。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（七）基金财产清算账册及文件的保存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基金财产清算账册及有关文件由基金托管人保存</w:t>
      </w:r>
      <w:r>
        <w:rPr>
          <w:rFonts w:eastAsiaTheme="minorEastAsia"/>
          <w:kern w:val="0"/>
          <w:sz w:val="24"/>
        </w:rPr>
        <w:t>15</w:t>
      </w:r>
      <w:r>
        <w:rPr>
          <w:rFonts w:eastAsiaTheme="minorEastAsia"/>
          <w:kern w:val="0"/>
          <w:sz w:val="24"/>
        </w:rPr>
        <w:t>年以上。</w:t>
      </w:r>
    </w:p>
    <w:p w:rsidR="00CB515E" w:rsidRDefault="005F186E">
      <w:pPr>
        <w:autoSpaceDE w:val="0"/>
        <w:autoSpaceDN w:val="0"/>
        <w:adjustRightInd w:val="0"/>
        <w:spacing w:line="360" w:lineRule="auto"/>
        <w:ind w:firstLineChars="200" w:firstLine="482"/>
        <w:jc w:val="left"/>
        <w:rPr>
          <w:b/>
          <w:bCs/>
          <w:sz w:val="24"/>
        </w:rPr>
      </w:pPr>
      <w:r>
        <w:rPr>
          <w:rFonts w:hint="eastAsia"/>
          <w:b/>
          <w:bCs/>
          <w:sz w:val="24"/>
        </w:rPr>
        <w:t>四</w:t>
      </w:r>
      <w:r>
        <w:rPr>
          <w:b/>
          <w:bCs/>
          <w:sz w:val="24"/>
        </w:rPr>
        <w:t>、争议解决方式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各方当事人同意，因基金合同而产生的或与基金合同有关的一切争议，如经友好协商未能解决的，应提交中国国际经济贸易仲裁委员会，根据该会</w:t>
      </w:r>
      <w:r>
        <w:rPr>
          <w:rFonts w:eastAsiaTheme="minorEastAsia" w:hint="eastAsia"/>
          <w:kern w:val="0"/>
          <w:sz w:val="24"/>
        </w:rPr>
        <w:t>届</w:t>
      </w:r>
      <w:r>
        <w:rPr>
          <w:rFonts w:eastAsiaTheme="minorEastAsia"/>
          <w:kern w:val="0"/>
          <w:sz w:val="24"/>
        </w:rPr>
        <w:t>时有效的仲裁规则进行仲裁。仲裁地点为</w:t>
      </w:r>
      <w:r>
        <w:rPr>
          <w:rFonts w:eastAsiaTheme="minorEastAsia" w:hint="eastAsia"/>
          <w:kern w:val="0"/>
          <w:sz w:val="24"/>
        </w:rPr>
        <w:t>深圳</w:t>
      </w:r>
      <w:r>
        <w:rPr>
          <w:rFonts w:eastAsiaTheme="minorEastAsia"/>
          <w:kern w:val="0"/>
          <w:sz w:val="24"/>
        </w:rPr>
        <w:t>市</w:t>
      </w:r>
      <w:r>
        <w:rPr>
          <w:rFonts w:eastAsiaTheme="minorEastAsia" w:hint="eastAsia"/>
          <w:kern w:val="0"/>
          <w:sz w:val="24"/>
        </w:rPr>
        <w:t>。</w:t>
      </w:r>
      <w:r>
        <w:rPr>
          <w:rFonts w:eastAsiaTheme="minorEastAsia"/>
          <w:kern w:val="0"/>
          <w:sz w:val="24"/>
        </w:rPr>
        <w:t>仲裁裁决是终局性的并对各方当事人具有约束力，除非仲裁裁决另有规定，仲裁费、律师费由败诉方承担。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争议处理期间，基金合同当事人应恪守各自的职责，继续忠实、勤勉、尽责地履行基金合同规定的义务，维护基金份额持有人的合法权益。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基金合同受中国法律</w:t>
      </w:r>
      <w:r>
        <w:rPr>
          <w:rFonts w:eastAsiaTheme="minorEastAsia" w:hint="eastAsia"/>
          <w:kern w:val="0"/>
          <w:sz w:val="24"/>
        </w:rPr>
        <w:t>（不含港澳台立法）</w:t>
      </w:r>
      <w:r>
        <w:rPr>
          <w:rFonts w:eastAsiaTheme="minorEastAsia"/>
          <w:kern w:val="0"/>
          <w:sz w:val="24"/>
        </w:rPr>
        <w:t>管辖。</w:t>
      </w:r>
    </w:p>
    <w:p w:rsidR="00CB515E" w:rsidRDefault="005F186E">
      <w:pPr>
        <w:autoSpaceDE w:val="0"/>
        <w:autoSpaceDN w:val="0"/>
        <w:adjustRightInd w:val="0"/>
        <w:spacing w:line="360" w:lineRule="auto"/>
        <w:ind w:firstLineChars="200" w:firstLine="482"/>
        <w:jc w:val="left"/>
        <w:rPr>
          <w:b/>
          <w:bCs/>
          <w:sz w:val="24"/>
        </w:rPr>
      </w:pPr>
      <w:r>
        <w:rPr>
          <w:rFonts w:hint="eastAsia"/>
          <w:b/>
          <w:bCs/>
          <w:sz w:val="24"/>
        </w:rPr>
        <w:t>五</w:t>
      </w:r>
      <w:r>
        <w:rPr>
          <w:b/>
          <w:bCs/>
          <w:sz w:val="24"/>
        </w:rPr>
        <w:t>、基金合同存放地和投资人取得基金合同的方式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《基金合同》可印制成册，供投资者在基金管理人、基金托管人、销售机构的办公场所和营业场所查阅。</w:t>
      </w:r>
    </w:p>
    <w:p w:rsidR="00CB515E" w:rsidRDefault="005F186E">
      <w:pPr>
        <w:pStyle w:val="1"/>
        <w:snapToGrid w:val="0"/>
        <w:spacing w:before="0" w:after="0" w:line="360" w:lineRule="auto"/>
        <w:ind w:firstLineChars="150" w:firstLine="360"/>
        <w:rPr>
          <w:rFonts w:ascii="Times New Roman" w:eastAsia="宋体"/>
          <w:b/>
          <w:bCs/>
          <w:sz w:val="28"/>
          <w:szCs w:val="28"/>
        </w:rPr>
      </w:pPr>
      <w:r>
        <w:rPr>
          <w:rFonts w:ascii="Times New Roman"/>
          <w:bCs/>
          <w:szCs w:val="24"/>
        </w:rPr>
        <w:br w:type="page"/>
      </w:r>
      <w:bookmarkStart w:id="127" w:name="_Toc317088553"/>
      <w:bookmarkStart w:id="128" w:name="_Toc317088156"/>
      <w:bookmarkStart w:id="129" w:name="_Toc214873614"/>
      <w:bookmarkStart w:id="130" w:name="_Toc335232707"/>
      <w:bookmarkStart w:id="131" w:name="_Toc2174624"/>
      <w:bookmarkStart w:id="132" w:name="_Toc320887658"/>
      <w:r>
        <w:rPr>
          <w:rFonts w:ascii="Times New Roman" w:eastAsia="宋体" w:hAnsi="Arial Unicode MS"/>
          <w:b/>
          <w:bCs/>
          <w:sz w:val="30"/>
          <w:szCs w:val="30"/>
        </w:rPr>
        <w:t>第</w:t>
      </w:r>
      <w:r>
        <w:rPr>
          <w:rFonts w:ascii="Times New Roman" w:eastAsia="宋体" w:hAnsi="Arial Unicode MS" w:hint="eastAsia"/>
          <w:b/>
          <w:bCs/>
          <w:sz w:val="30"/>
          <w:szCs w:val="30"/>
        </w:rPr>
        <w:t>十九</w:t>
      </w:r>
      <w:r>
        <w:rPr>
          <w:rFonts w:ascii="Times New Roman" w:eastAsia="宋体" w:hAnsi="Arial Unicode MS"/>
          <w:b/>
          <w:bCs/>
          <w:sz w:val="30"/>
          <w:szCs w:val="30"/>
        </w:rPr>
        <w:t>部分基金托管协议的内容摘要</w:t>
      </w:r>
      <w:bookmarkEnd w:id="127"/>
      <w:bookmarkEnd w:id="128"/>
      <w:bookmarkEnd w:id="129"/>
      <w:bookmarkEnd w:id="130"/>
      <w:bookmarkEnd w:id="131"/>
      <w:bookmarkEnd w:id="132"/>
    </w:p>
    <w:p w:rsidR="00CB515E" w:rsidRDefault="00CB515E">
      <w:pPr>
        <w:adjustRightInd w:val="0"/>
        <w:snapToGrid w:val="0"/>
        <w:spacing w:line="360" w:lineRule="auto"/>
        <w:ind w:firstLineChars="200" w:firstLine="480"/>
        <w:rPr>
          <w:rFonts w:eastAsiaTheme="minorEastAsia"/>
          <w:kern w:val="0"/>
          <w:sz w:val="24"/>
        </w:rPr>
      </w:pP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一、托管协议当事人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（一）基金管理人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名称：山西证券股份有限公司（简称：山西证券）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住所：山西省太原市府西街</w:t>
      </w:r>
      <w:r>
        <w:rPr>
          <w:rFonts w:eastAsiaTheme="minorEastAsia" w:hint="eastAsia"/>
          <w:kern w:val="0"/>
          <w:sz w:val="24"/>
        </w:rPr>
        <w:t>69</w:t>
      </w:r>
      <w:r>
        <w:rPr>
          <w:rFonts w:eastAsiaTheme="minorEastAsia" w:hint="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办公地址：山西省太原市府西街</w:t>
      </w:r>
      <w:r>
        <w:rPr>
          <w:rFonts w:eastAsiaTheme="minorEastAsia" w:hint="eastAsia"/>
          <w:kern w:val="0"/>
          <w:sz w:val="24"/>
        </w:rPr>
        <w:t>69</w:t>
      </w:r>
      <w:r>
        <w:rPr>
          <w:rFonts w:eastAsiaTheme="minorEastAsia" w:hint="eastAsia"/>
          <w:kern w:val="0"/>
          <w:sz w:val="24"/>
        </w:rPr>
        <w:t>号山西国际贸易中心东塔楼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法定代表人：侯巍</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成立时间：</w:t>
      </w:r>
      <w:r>
        <w:rPr>
          <w:rFonts w:eastAsiaTheme="minorEastAsia" w:hint="eastAsia"/>
          <w:kern w:val="0"/>
          <w:sz w:val="24"/>
        </w:rPr>
        <w:t>1988</w:t>
      </w:r>
      <w:r>
        <w:rPr>
          <w:rFonts w:eastAsiaTheme="minorEastAsia" w:hint="eastAsia"/>
          <w:kern w:val="0"/>
          <w:sz w:val="24"/>
        </w:rPr>
        <w:t>年</w:t>
      </w:r>
      <w:r>
        <w:rPr>
          <w:rFonts w:eastAsiaTheme="minorEastAsia" w:hint="eastAsia"/>
          <w:kern w:val="0"/>
          <w:sz w:val="24"/>
        </w:rPr>
        <w:t>7</w:t>
      </w:r>
      <w:r>
        <w:rPr>
          <w:rFonts w:eastAsiaTheme="minorEastAsia" w:hint="eastAsia"/>
          <w:kern w:val="0"/>
          <w:sz w:val="24"/>
        </w:rPr>
        <w:t>月</w:t>
      </w:r>
      <w:r>
        <w:rPr>
          <w:rFonts w:eastAsiaTheme="minorEastAsia" w:hint="eastAsia"/>
          <w:kern w:val="0"/>
          <w:sz w:val="24"/>
        </w:rPr>
        <w:t>28</w:t>
      </w:r>
      <w:r>
        <w:rPr>
          <w:rFonts w:eastAsiaTheme="minorEastAsia" w:hint="eastAsia"/>
          <w:kern w:val="0"/>
          <w:sz w:val="24"/>
        </w:rPr>
        <w:t>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批准设立机关及批准设立文号：中国人民银行银复【</w:t>
      </w:r>
      <w:r>
        <w:rPr>
          <w:rFonts w:eastAsiaTheme="minorEastAsia" w:hint="eastAsia"/>
          <w:kern w:val="0"/>
          <w:sz w:val="24"/>
        </w:rPr>
        <w:t>1988</w:t>
      </w:r>
      <w:r>
        <w:rPr>
          <w:rFonts w:eastAsiaTheme="minorEastAsia" w:hint="eastAsia"/>
          <w:kern w:val="0"/>
          <w:sz w:val="24"/>
        </w:rPr>
        <w:t>】</w:t>
      </w:r>
      <w:r>
        <w:rPr>
          <w:rFonts w:eastAsiaTheme="minorEastAsia" w:hint="eastAsia"/>
          <w:kern w:val="0"/>
          <w:sz w:val="24"/>
        </w:rPr>
        <w:t>315</w:t>
      </w:r>
      <w:r>
        <w:rPr>
          <w:rFonts w:eastAsiaTheme="minorEastAsia" w:hint="eastAsia"/>
          <w:kern w:val="0"/>
          <w:sz w:val="24"/>
        </w:rPr>
        <w:t>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基金管理业务批准文号：证监许可</w:t>
      </w:r>
      <w:r>
        <w:rPr>
          <w:rFonts w:eastAsiaTheme="minorEastAsia" w:hint="eastAsia"/>
          <w:kern w:val="0"/>
          <w:sz w:val="24"/>
        </w:rPr>
        <w:t>[2014]319</w:t>
      </w:r>
      <w:r>
        <w:rPr>
          <w:rFonts w:eastAsiaTheme="minorEastAsia" w:hint="eastAsia"/>
          <w:kern w:val="0"/>
          <w:sz w:val="24"/>
        </w:rPr>
        <w:t>号文</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经营范围：证券经纪；证券自营；证券资产管理；证券投资咨询；与证券交易、证券投资活动有关的财务顾问；证券投资基金代销；为期货公司提供中间介绍业务；融资融券；代销金融产品；公开募集证券投资基金管理业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注册资本：人民币</w:t>
      </w:r>
      <w:r>
        <w:rPr>
          <w:rFonts w:eastAsiaTheme="minorEastAsia" w:hint="eastAsia"/>
          <w:kern w:val="0"/>
          <w:sz w:val="24"/>
        </w:rPr>
        <w:t>28.287</w:t>
      </w:r>
      <w:r>
        <w:rPr>
          <w:rFonts w:eastAsiaTheme="minorEastAsia" w:hint="eastAsia"/>
          <w:kern w:val="0"/>
          <w:sz w:val="24"/>
        </w:rPr>
        <w:t>亿元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组织形式：股份有限公司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存续期间：持续经营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（二）基金托管人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名称：招商银行股份有限公司</w:t>
      </w:r>
      <w:r>
        <w:rPr>
          <w:rFonts w:eastAsiaTheme="minorEastAsia" w:hint="eastAsia"/>
          <w:kern w:val="0"/>
          <w:sz w:val="24"/>
        </w:rPr>
        <w:t>(</w:t>
      </w:r>
      <w:r>
        <w:rPr>
          <w:rFonts w:eastAsiaTheme="minorEastAsia" w:hint="eastAsia"/>
          <w:kern w:val="0"/>
          <w:sz w:val="24"/>
        </w:rPr>
        <w:t>简称：招商银行</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住所：深圳市福田区深南大道</w:t>
      </w:r>
      <w:r>
        <w:rPr>
          <w:rFonts w:eastAsiaTheme="minorEastAsia" w:hint="eastAsia"/>
          <w:kern w:val="0"/>
          <w:sz w:val="24"/>
        </w:rPr>
        <w:t xml:space="preserve"> 7088 </w:t>
      </w:r>
      <w:r>
        <w:rPr>
          <w:rFonts w:eastAsiaTheme="minorEastAsia" w:hint="eastAsia"/>
          <w:kern w:val="0"/>
          <w:sz w:val="24"/>
        </w:rPr>
        <w:t>号招商银行大厦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办公地址：深圳市福田区深南大道</w:t>
      </w:r>
      <w:r>
        <w:rPr>
          <w:rFonts w:eastAsiaTheme="minorEastAsia" w:hint="eastAsia"/>
          <w:kern w:val="0"/>
          <w:sz w:val="24"/>
        </w:rPr>
        <w:t xml:space="preserve"> 7088 </w:t>
      </w:r>
      <w:r>
        <w:rPr>
          <w:rFonts w:eastAsiaTheme="minorEastAsia" w:hint="eastAsia"/>
          <w:kern w:val="0"/>
          <w:sz w:val="24"/>
        </w:rPr>
        <w:t>号招商银行大厦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邮政编码：</w:t>
      </w:r>
      <w:r>
        <w:rPr>
          <w:rFonts w:eastAsiaTheme="minorEastAsia" w:hint="eastAsia"/>
          <w:kern w:val="0"/>
          <w:sz w:val="24"/>
        </w:rPr>
        <w:t>518040</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法定代表人：李建红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成立时间：</w:t>
      </w:r>
      <w:r>
        <w:rPr>
          <w:rFonts w:eastAsiaTheme="minorEastAsia" w:hint="eastAsia"/>
          <w:kern w:val="0"/>
          <w:sz w:val="24"/>
        </w:rPr>
        <w:t>1987</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8</w:t>
      </w:r>
      <w:r>
        <w:rPr>
          <w:rFonts w:eastAsiaTheme="minorEastAsia" w:hint="eastAsia"/>
          <w:kern w:val="0"/>
          <w:sz w:val="24"/>
        </w:rPr>
        <w:t>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基金托管业务批准文号：证监基金字</w:t>
      </w:r>
      <w:r>
        <w:rPr>
          <w:rFonts w:eastAsiaTheme="minorEastAsia" w:hint="eastAsia"/>
          <w:kern w:val="0"/>
          <w:sz w:val="24"/>
        </w:rPr>
        <w:t>[2002]83</w:t>
      </w:r>
      <w:r>
        <w:rPr>
          <w:rFonts w:eastAsiaTheme="minorEastAsia" w:hint="eastAsia"/>
          <w:kern w:val="0"/>
          <w:sz w:val="24"/>
        </w:rPr>
        <w:t>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组织形式：股份有限公司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注册资本：人民币</w:t>
      </w:r>
      <w:r>
        <w:rPr>
          <w:rFonts w:eastAsiaTheme="minorEastAsia" w:hint="eastAsia"/>
          <w:kern w:val="0"/>
          <w:sz w:val="24"/>
        </w:rPr>
        <w:t xml:space="preserve"> 252.20 </w:t>
      </w:r>
      <w:r>
        <w:rPr>
          <w:rFonts w:eastAsiaTheme="minorEastAsia" w:hint="eastAsia"/>
          <w:kern w:val="0"/>
          <w:sz w:val="24"/>
        </w:rPr>
        <w:t>亿元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存续期间：持续经营</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二、基金托管人对基金管理人的业务监督和核查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、本基金的投资范围：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的投资范围主要为具有良好流动性的投资品种，包括国债、金融债、地方政府债、企业债、公司债、央行票据、中期票据、短期融资券及超短期融资券、资产支持证券、公开发行的次级债、债券回购、银行存款、同业存单等法律法规或中国证监会允许基金投资的其他金融工具（但须符合中国证监会的相关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本基金不投资于股票、权证等资产，也不投资于可转换债券、可交换债券。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如法律法规或监管机构以后允许基金投资其他品种，基金管理人在履行适当程序后，可以将其纳入投资范围。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、本基金各类品种的投资比例、投资限制为：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基金的投资组合比例为：本基金对债券的投资比例不低于基金资产的</w:t>
      </w:r>
      <w:r>
        <w:rPr>
          <w:rFonts w:eastAsiaTheme="minorEastAsia" w:hint="eastAsia"/>
          <w:kern w:val="0"/>
          <w:sz w:val="24"/>
        </w:rPr>
        <w:t>80%</w:t>
      </w:r>
      <w:r>
        <w:rPr>
          <w:rFonts w:eastAsiaTheme="minorEastAsia" w:hint="eastAsia"/>
          <w:kern w:val="0"/>
          <w:sz w:val="24"/>
        </w:rPr>
        <w:t>，但应开放期流动性需要，为保护基金份额持有人利益，在每次开放期开始前</w:t>
      </w:r>
      <w:r>
        <w:rPr>
          <w:rFonts w:eastAsiaTheme="minorEastAsia" w:hint="eastAsia"/>
          <w:kern w:val="0"/>
          <w:sz w:val="24"/>
        </w:rPr>
        <w:t xml:space="preserve">10 </w:t>
      </w:r>
      <w:r>
        <w:rPr>
          <w:rFonts w:eastAsiaTheme="minorEastAsia" w:hint="eastAsia"/>
          <w:kern w:val="0"/>
          <w:sz w:val="24"/>
        </w:rPr>
        <w:t>个工作日、开放期及开放期结束后</w:t>
      </w:r>
      <w:r>
        <w:rPr>
          <w:rFonts w:eastAsiaTheme="minorEastAsia" w:hint="eastAsia"/>
          <w:kern w:val="0"/>
          <w:sz w:val="24"/>
        </w:rPr>
        <w:t>10</w:t>
      </w:r>
      <w:r>
        <w:rPr>
          <w:rFonts w:eastAsiaTheme="minorEastAsia" w:hint="eastAsia"/>
          <w:kern w:val="0"/>
          <w:sz w:val="24"/>
        </w:rPr>
        <w:t>个工作日的期间内，基金投资不受上述比例限制。开放期内，本基金持有现金或者到期日在一年以内的政府债券投资比例不低于基金资产净值的</w:t>
      </w:r>
      <w:r>
        <w:rPr>
          <w:rFonts w:eastAsiaTheme="minorEastAsia" w:hint="eastAsia"/>
          <w:kern w:val="0"/>
          <w:sz w:val="24"/>
        </w:rPr>
        <w:t>5%</w:t>
      </w:r>
      <w:r>
        <w:rPr>
          <w:rFonts w:eastAsiaTheme="minorEastAsia" w:hint="eastAsia"/>
          <w:kern w:val="0"/>
          <w:sz w:val="24"/>
        </w:rPr>
        <w:t>，封闭期内，本基金不受上述</w:t>
      </w:r>
      <w:r>
        <w:rPr>
          <w:rFonts w:eastAsiaTheme="minorEastAsia" w:hint="eastAsia"/>
          <w:kern w:val="0"/>
          <w:sz w:val="24"/>
        </w:rPr>
        <w:t xml:space="preserve"> 5%</w:t>
      </w:r>
      <w:r>
        <w:rPr>
          <w:rFonts w:eastAsiaTheme="minorEastAsia" w:hint="eastAsia"/>
          <w:kern w:val="0"/>
          <w:sz w:val="24"/>
        </w:rPr>
        <w:t>的限制，其中，现金不包括结算备付金、存出保证金、应收申购款等。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如果法律法规或中国证监会变更投资品种的投资比例限制，基金管理人在履行适当程序后，可以调整上述投资品种的投资比例。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基金的投资组合应遵循以下限制：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）本基金对债券的投资比例不低于基金资产的</w:t>
      </w:r>
      <w:r>
        <w:rPr>
          <w:rFonts w:eastAsiaTheme="minorEastAsia" w:hint="eastAsia"/>
          <w:kern w:val="0"/>
          <w:sz w:val="24"/>
        </w:rPr>
        <w:t>80%</w:t>
      </w:r>
      <w:r>
        <w:rPr>
          <w:rFonts w:eastAsiaTheme="minorEastAsia" w:hint="eastAsia"/>
          <w:kern w:val="0"/>
          <w:sz w:val="24"/>
        </w:rPr>
        <w:t>，但应开放期流动性需要，为保护基金份额持有人利益，在每次开放期开始前</w:t>
      </w:r>
      <w:r>
        <w:rPr>
          <w:rFonts w:eastAsiaTheme="minorEastAsia" w:hint="eastAsia"/>
          <w:kern w:val="0"/>
          <w:sz w:val="24"/>
        </w:rPr>
        <w:t>10</w:t>
      </w:r>
      <w:r>
        <w:rPr>
          <w:rFonts w:eastAsiaTheme="minorEastAsia" w:hint="eastAsia"/>
          <w:kern w:val="0"/>
          <w:sz w:val="24"/>
        </w:rPr>
        <w:t>个工作日、开放期及开放期结束后</w:t>
      </w:r>
      <w:r>
        <w:rPr>
          <w:rFonts w:eastAsiaTheme="minorEastAsia" w:hint="eastAsia"/>
          <w:kern w:val="0"/>
          <w:sz w:val="24"/>
        </w:rPr>
        <w:t>10</w:t>
      </w:r>
      <w:r>
        <w:rPr>
          <w:rFonts w:eastAsiaTheme="minorEastAsia" w:hint="eastAsia"/>
          <w:kern w:val="0"/>
          <w:sz w:val="24"/>
        </w:rPr>
        <w:t>个工作日的期间内，基金投资不受上述比例限制；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）开放期内，本基金持有现金或者到期日在一年以内的政府债券投资比例合计不低于基金资产净值的</w:t>
      </w:r>
      <w:r>
        <w:rPr>
          <w:rFonts w:eastAsiaTheme="minorEastAsia" w:hint="eastAsia"/>
          <w:kern w:val="0"/>
          <w:sz w:val="24"/>
        </w:rPr>
        <w:t>5%</w:t>
      </w:r>
      <w:r>
        <w:rPr>
          <w:rFonts w:eastAsiaTheme="minorEastAsia" w:hint="eastAsia"/>
          <w:kern w:val="0"/>
          <w:sz w:val="24"/>
        </w:rPr>
        <w:t>，在封闭期内，本基金不受上述</w:t>
      </w:r>
      <w:r>
        <w:rPr>
          <w:rFonts w:eastAsiaTheme="minorEastAsia" w:hint="eastAsia"/>
          <w:kern w:val="0"/>
          <w:sz w:val="24"/>
        </w:rPr>
        <w:t>5%</w:t>
      </w:r>
      <w:r>
        <w:rPr>
          <w:rFonts w:eastAsiaTheme="minorEastAsia" w:hint="eastAsia"/>
          <w:kern w:val="0"/>
          <w:sz w:val="24"/>
        </w:rPr>
        <w:t>的限制；其中，现金不包括结算备付金、存出保证金、应收申购款等；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）本基金持有一家公司发行的证券，其市值不超过基金资产净值的</w:t>
      </w:r>
      <w:r>
        <w:rPr>
          <w:rFonts w:eastAsiaTheme="minorEastAsia" w:hint="eastAsia"/>
          <w:kern w:val="0"/>
          <w:sz w:val="24"/>
        </w:rPr>
        <w:t>10%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）本基金管理人管理的全部基金持有一家公司发行的证券，不超过该证券的</w:t>
      </w:r>
      <w:r>
        <w:rPr>
          <w:rFonts w:eastAsiaTheme="minorEastAsia" w:hint="eastAsia"/>
          <w:kern w:val="0"/>
          <w:sz w:val="24"/>
        </w:rPr>
        <w:t>10%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）本基金进入全国银行间同业市场进行债券回购的资金余额不得超过基金资产净值的</w:t>
      </w:r>
      <w:r>
        <w:rPr>
          <w:rFonts w:eastAsiaTheme="minorEastAsia" w:hint="eastAsia"/>
          <w:kern w:val="0"/>
          <w:sz w:val="24"/>
        </w:rPr>
        <w:t>40%</w:t>
      </w:r>
      <w:r>
        <w:rPr>
          <w:rFonts w:eastAsiaTheme="minorEastAsia" w:hint="eastAsia"/>
          <w:kern w:val="0"/>
          <w:sz w:val="24"/>
        </w:rPr>
        <w:t>；在全国银行间同业市场中的债券回购最长期限为</w:t>
      </w:r>
      <w:r>
        <w:rPr>
          <w:rFonts w:eastAsiaTheme="minorEastAsia" w:hint="eastAsia"/>
          <w:kern w:val="0"/>
          <w:sz w:val="24"/>
        </w:rPr>
        <w:t>1</w:t>
      </w:r>
      <w:r>
        <w:rPr>
          <w:rFonts w:eastAsiaTheme="minorEastAsia" w:hint="eastAsia"/>
          <w:kern w:val="0"/>
          <w:sz w:val="24"/>
        </w:rPr>
        <w:t>年，债券回购到期后不展期；</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）本基金投资于同一原始权益人的各类资产支持证券的比例，不得超过基金资产净值的</w:t>
      </w:r>
      <w:r>
        <w:rPr>
          <w:rFonts w:eastAsiaTheme="minorEastAsia" w:hint="eastAsia"/>
          <w:kern w:val="0"/>
          <w:sz w:val="24"/>
        </w:rPr>
        <w:t>10%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）本基金持有的全部资产支持证券，其市值不得超过基金资产净值的</w:t>
      </w:r>
      <w:r>
        <w:rPr>
          <w:rFonts w:eastAsiaTheme="minorEastAsia" w:hint="eastAsia"/>
          <w:kern w:val="0"/>
          <w:sz w:val="24"/>
        </w:rPr>
        <w:t xml:space="preserve"> 20%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8</w:t>
      </w:r>
      <w:r>
        <w:rPr>
          <w:rFonts w:eastAsiaTheme="minorEastAsia" w:hint="eastAsia"/>
          <w:kern w:val="0"/>
          <w:sz w:val="24"/>
        </w:rPr>
        <w:t>）本基金持有的同一（指同一信用级别）资产支持证券的比例，不得超过该资产支持证券规模的</w:t>
      </w:r>
      <w:r>
        <w:rPr>
          <w:rFonts w:eastAsiaTheme="minorEastAsia" w:hint="eastAsia"/>
          <w:kern w:val="0"/>
          <w:sz w:val="24"/>
        </w:rPr>
        <w:t>10%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9</w:t>
      </w:r>
      <w:r>
        <w:rPr>
          <w:rFonts w:eastAsiaTheme="minorEastAsia" w:hint="eastAsia"/>
          <w:kern w:val="0"/>
          <w:sz w:val="24"/>
        </w:rPr>
        <w:t>）本基金管理人管理的全部基金投资于同一原始权益人的各类资产支持证券，不得超过其各类资产支持证券合计规模的</w:t>
      </w:r>
      <w:r>
        <w:rPr>
          <w:rFonts w:eastAsiaTheme="minorEastAsia" w:hint="eastAsia"/>
          <w:kern w:val="0"/>
          <w:sz w:val="24"/>
        </w:rPr>
        <w:t>10%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）本基金应投资于信用级别评级为</w:t>
      </w:r>
      <w:r>
        <w:rPr>
          <w:rFonts w:eastAsiaTheme="minorEastAsia" w:hint="eastAsia"/>
          <w:kern w:val="0"/>
          <w:sz w:val="24"/>
        </w:rPr>
        <w:t>BBB</w:t>
      </w:r>
      <w:r>
        <w:rPr>
          <w:rFonts w:eastAsiaTheme="minorEastAsia" w:hint="eastAsia"/>
          <w:kern w:val="0"/>
          <w:sz w:val="24"/>
        </w:rPr>
        <w:t>以上</w:t>
      </w:r>
      <w:r>
        <w:rPr>
          <w:rFonts w:eastAsiaTheme="minorEastAsia" w:hint="eastAsia"/>
          <w:kern w:val="0"/>
          <w:sz w:val="24"/>
        </w:rPr>
        <w:t>(</w:t>
      </w:r>
      <w:r>
        <w:rPr>
          <w:rFonts w:eastAsiaTheme="minorEastAsia" w:hint="eastAsia"/>
          <w:kern w:val="0"/>
          <w:sz w:val="24"/>
        </w:rPr>
        <w:t>含</w:t>
      </w:r>
      <w:r>
        <w:rPr>
          <w:rFonts w:eastAsiaTheme="minorEastAsia" w:hint="eastAsia"/>
          <w:kern w:val="0"/>
          <w:sz w:val="24"/>
        </w:rPr>
        <w:t>BBB)</w:t>
      </w:r>
      <w:r>
        <w:rPr>
          <w:rFonts w:eastAsiaTheme="minorEastAsia" w:hint="eastAsia"/>
          <w:kern w:val="0"/>
          <w:sz w:val="24"/>
        </w:rPr>
        <w:t>的资产支持证券。基金持有资产支持证券期间，如果其信用等级下降、不再符合投资标准，应在评级报告发布之日起</w:t>
      </w:r>
      <w:r>
        <w:rPr>
          <w:rFonts w:eastAsiaTheme="minorEastAsia" w:hint="eastAsia"/>
          <w:kern w:val="0"/>
          <w:sz w:val="24"/>
        </w:rPr>
        <w:t>3</w:t>
      </w:r>
      <w:r>
        <w:rPr>
          <w:rFonts w:eastAsiaTheme="minorEastAsia" w:hint="eastAsia"/>
          <w:kern w:val="0"/>
          <w:sz w:val="24"/>
        </w:rPr>
        <w:t>个月内予以全部卖出；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11</w:t>
      </w:r>
      <w:r>
        <w:rPr>
          <w:rFonts w:eastAsiaTheme="minorEastAsia" w:hint="eastAsia"/>
          <w:kern w:val="0"/>
          <w:sz w:val="24"/>
        </w:rPr>
        <w:t>）封闭运作期间，基金总资产不得超过净资产的</w:t>
      </w:r>
      <w:r>
        <w:rPr>
          <w:rFonts w:eastAsiaTheme="minorEastAsia" w:hint="eastAsia"/>
          <w:kern w:val="0"/>
          <w:sz w:val="24"/>
        </w:rPr>
        <w:t>200%</w:t>
      </w:r>
      <w:r>
        <w:rPr>
          <w:rFonts w:eastAsiaTheme="minorEastAsia" w:hint="eastAsia"/>
          <w:kern w:val="0"/>
          <w:sz w:val="24"/>
        </w:rPr>
        <w:t>；开放期内，基金资产总值不得超过基金资产净值的</w:t>
      </w:r>
      <w:r>
        <w:rPr>
          <w:rFonts w:eastAsiaTheme="minorEastAsia" w:hint="eastAsia"/>
          <w:kern w:val="0"/>
          <w:sz w:val="24"/>
        </w:rPr>
        <w:t>140%</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）在开放期内，本基金主动投资于流动性受限资产的市值合计不得超过本基金资产净值的</w:t>
      </w:r>
      <w:r>
        <w:rPr>
          <w:rFonts w:eastAsiaTheme="minorEastAsia" w:hint="eastAsia"/>
          <w:kern w:val="0"/>
          <w:sz w:val="24"/>
        </w:rPr>
        <w:t>15%</w:t>
      </w:r>
      <w:r>
        <w:rPr>
          <w:rFonts w:eastAsiaTheme="minorEastAsia" w:hint="eastAsia"/>
          <w:kern w:val="0"/>
          <w:sz w:val="24"/>
        </w:rPr>
        <w:t>，封闭期内不受此限；因证券市场波动、证券停牌、基金规模变动等基金管理人之外的因素致使基金不符合本款所规定比例限制的，基金管理人不得主动新增流动性受限资产的投资；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）在开放期内，本基金与私募类证券资管产品及中国证监会认定的其他主体为交易对手开展逆回购交易的，可接受质押品的资质要求应当与基金合同约定的投资范围保持一致；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14</w:t>
      </w:r>
      <w:r>
        <w:rPr>
          <w:rFonts w:eastAsiaTheme="minorEastAsia" w:hint="eastAsia"/>
          <w:kern w:val="0"/>
          <w:sz w:val="24"/>
        </w:rPr>
        <w:t>）法律法规及中国证监会规定的和《基金合同》约定的其他投资限制。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除上述第（</w:t>
      </w:r>
      <w:r>
        <w:rPr>
          <w:rFonts w:eastAsiaTheme="minorEastAsia" w:hint="eastAsia"/>
          <w:kern w:val="0"/>
          <w:sz w:val="24"/>
        </w:rPr>
        <w:t>2</w:t>
      </w:r>
      <w:r>
        <w:rPr>
          <w:rFonts w:eastAsiaTheme="minorEastAsia" w:hint="eastAsia"/>
          <w:kern w:val="0"/>
          <w:sz w:val="24"/>
        </w:rPr>
        <w:t>）、（</w:t>
      </w:r>
      <w:r>
        <w:rPr>
          <w:rFonts w:eastAsiaTheme="minorEastAsia" w:hint="eastAsia"/>
          <w:kern w:val="0"/>
          <w:sz w:val="24"/>
        </w:rPr>
        <w:t>10</w:t>
      </w:r>
      <w:r>
        <w:rPr>
          <w:rFonts w:eastAsiaTheme="minorEastAsia" w:hint="eastAsia"/>
          <w:kern w:val="0"/>
          <w:sz w:val="24"/>
        </w:rPr>
        <w:t>）、（</w:t>
      </w:r>
      <w:r>
        <w:rPr>
          <w:rFonts w:eastAsiaTheme="minorEastAsia" w:hint="eastAsia"/>
          <w:kern w:val="0"/>
          <w:sz w:val="24"/>
        </w:rPr>
        <w:t>12</w:t>
      </w:r>
      <w:r>
        <w:rPr>
          <w:rFonts w:eastAsiaTheme="minorEastAsia" w:hint="eastAsia"/>
          <w:kern w:val="0"/>
          <w:sz w:val="24"/>
        </w:rPr>
        <w:t>）、（</w:t>
      </w:r>
      <w:r>
        <w:rPr>
          <w:rFonts w:eastAsiaTheme="minorEastAsia" w:hint="eastAsia"/>
          <w:kern w:val="0"/>
          <w:sz w:val="24"/>
        </w:rPr>
        <w:t>13</w:t>
      </w:r>
      <w:r>
        <w:rPr>
          <w:rFonts w:eastAsiaTheme="minorEastAsia" w:hint="eastAsia"/>
          <w:kern w:val="0"/>
          <w:sz w:val="24"/>
        </w:rPr>
        <w:t>）项以外，因证券市场波动、证券发行人合并、基金规模变动等基金管理人之外的因素致使基金投资比例不符合上述规定投资比例的，基金管理人应当在</w:t>
      </w:r>
      <w:r>
        <w:rPr>
          <w:rFonts w:eastAsiaTheme="minorEastAsia" w:hint="eastAsia"/>
          <w:kern w:val="0"/>
          <w:sz w:val="24"/>
        </w:rPr>
        <w:t>10</w:t>
      </w:r>
      <w:r>
        <w:rPr>
          <w:rFonts w:eastAsiaTheme="minorEastAsia" w:hint="eastAsia"/>
          <w:kern w:val="0"/>
          <w:sz w:val="24"/>
        </w:rPr>
        <w:t>个交易日内进行调整，但法律法规或中国证监会规定的特殊情形除外。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基金管理人应当自基金合同生效之日起</w:t>
      </w:r>
      <w:r>
        <w:rPr>
          <w:rFonts w:eastAsiaTheme="minorEastAsia" w:hint="eastAsia"/>
          <w:kern w:val="0"/>
          <w:sz w:val="24"/>
        </w:rPr>
        <w:t>6</w:t>
      </w:r>
      <w:r>
        <w:rPr>
          <w:rFonts w:eastAsiaTheme="minorEastAsia" w:hint="eastAsia"/>
          <w:kern w:val="0"/>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法律法规或监管部门取消或调整上述限制，如适用于本基金，基金管理人在履行适当程序后，则本基金投资不再受相关限制或按调整后的规定执行，但须提前公告，不需要经基金份额持有人大会审议。</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本基金财产不得用于以下投资或者活动：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）承销证券；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）违反规定向他人贷款或者提供担保；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）从事承担无限责任的投资；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）买卖其他基金份额，但是中国证监会另有规定的除外；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）向其基金管理人、基金托管人出资；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）从事内幕交易、操纵证券交易价格及其他不正当的证券交易活动；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）法律、行政法规和中国证监会规定禁止的其他活动。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 xml:space="preserve">5. </w:t>
      </w:r>
      <w:r>
        <w:rPr>
          <w:rFonts w:eastAsiaTheme="minorEastAsia" w:hint="eastAsia"/>
          <w:kern w:val="0"/>
          <w:sz w:val="24"/>
        </w:rPr>
        <w:t>法律、行政法规或监管部门取消或变更上述禁止性规定或限制，如适用于本基金，基金管理人在履行适当程序后，则本基金投资不再受相关限制或按变更后的规定执行。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本基金投资银行存款应符合如下规定：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本基金投资于有固定期限银行存款的比例，不得超过基金资产净值的</w:t>
      </w:r>
      <w:r>
        <w:rPr>
          <w:rFonts w:eastAsiaTheme="minorEastAsia" w:hint="eastAsia"/>
          <w:kern w:val="0"/>
          <w:sz w:val="24"/>
        </w:rPr>
        <w:t>30%</w:t>
      </w:r>
      <w:r>
        <w:rPr>
          <w:rFonts w:eastAsiaTheme="minorEastAsia" w:hint="eastAsia"/>
          <w:kern w:val="0"/>
          <w:sz w:val="24"/>
        </w:rPr>
        <w:t>，但投资于有存款期限，根据协议可提前支取的银行存款不受上述比例限制；投资于具有基金托管人资格的同一商业银行的银行存款、同业存单占基金资产净值的比例合计不得超过</w:t>
      </w:r>
      <w:r>
        <w:rPr>
          <w:rFonts w:eastAsiaTheme="minorEastAsia" w:hint="eastAsia"/>
          <w:kern w:val="0"/>
          <w:sz w:val="24"/>
        </w:rPr>
        <w:t>20%</w:t>
      </w:r>
      <w:r>
        <w:rPr>
          <w:rFonts w:eastAsiaTheme="minorEastAsia" w:hint="eastAsia"/>
          <w:kern w:val="0"/>
          <w:sz w:val="24"/>
        </w:rPr>
        <w:t>，投资于不具有基金托管人资格的同一商业银行的银行存款、同业存单占基金资产净值的比例合计不得超过</w:t>
      </w:r>
      <w:r>
        <w:rPr>
          <w:rFonts w:eastAsiaTheme="minorEastAsia" w:hint="eastAsia"/>
          <w:kern w:val="0"/>
          <w:sz w:val="24"/>
        </w:rPr>
        <w:t>5%</w:t>
      </w:r>
      <w:r>
        <w:rPr>
          <w:rFonts w:eastAsiaTheme="minorEastAsia" w:hint="eastAsia"/>
          <w:kern w:val="0"/>
          <w:sz w:val="24"/>
        </w:rPr>
        <w:t>。</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有关法律法规或监管部门制定或修改新的定期存款投资政策，基金管理人履行适当程序后，可相应调整投资组合限制的规定。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）基金管理人负责控制信用风险。信用风险主要包括存款银行的信用等级、存款银行的支付能力等涉及到存款银行选择方面的风险。因选择存款银行不当造成基金财产损失的，由基金管理人承担责任。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）基金管理人须加强内部风险控制制度的建设。如因基金管理人员工职务行为导致基金财产受到损失的，需由基金管理人承担由此造成的损失。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）基金管理人与基金托管人在开展基金存款业务时，应严格遵守《基金法》、《运作办法》等有关法律法规，以及国家有关账户管理、利率管理、支付结算等的各项规定。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（三）基金投资银行存款协议的签订、账户开设与管理、投资指令与资金划付、账目核对、到期兑付、提前支取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基金投资银行存款协议的签订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）基金托管人依据相关法规对《总体合作协议》和《存款协议书》的内容进行复核，审查存款银行资格等。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）基金管理人应在《存款协议书》中明确存款证实书或其他有效存款凭证的办理方式、邮寄地址、联系人和联系电话，以及存款证实书或其他有效凭证在邮寄过程中遗失后，存款余额的确认及兑付办法等。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5</w:t>
      </w:r>
      <w:r>
        <w:rPr>
          <w:rFonts w:eastAsiaTheme="minorEastAsia" w:hint="eastAsia"/>
          <w:kern w:val="0"/>
          <w:sz w:val="24"/>
        </w:rPr>
        <w:t>）基金管理人应在《存款协议书》中规定，基金存放到期或提前兑付的资金应全部划转到指定的基金托管账户，并在《存款协议书》写明账户名称和账号，未划入指定账户的，由存款银行承担一切责任。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6</w:t>
      </w:r>
      <w:r>
        <w:rPr>
          <w:rFonts w:eastAsiaTheme="minorEastAsia" w:hint="eastAsia"/>
          <w:kern w:val="0"/>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7</w:t>
      </w:r>
      <w:r>
        <w:rPr>
          <w:rFonts w:eastAsiaTheme="minorEastAsia" w:hint="eastAsia"/>
          <w:kern w:val="0"/>
          <w:sz w:val="24"/>
        </w:rPr>
        <w:t>）基金管理人应在《存款协议书》中规定，因定期存款产生的存单不得被质押或以任何方式被抵押，不得用于转让和背书。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基金投资银行存款时的账户开设与管理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）基金投资于银行存款时，基金管理人应当依据基金管理人与存款银行签订的《总体合作协议》、《存款协议书》等，以基金的名义在存款银行总行或授权分行指定的分支机构开立银行账户。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）基金投资于银行存款时的预留印鉴由基金托管人保管和使用。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存款凭证传递、账目核对及到期兑付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1</w:t>
      </w:r>
      <w:r>
        <w:rPr>
          <w:rFonts w:eastAsiaTheme="minorEastAsia" w:hint="eastAsia"/>
          <w:kern w:val="0"/>
          <w:sz w:val="24"/>
        </w:rPr>
        <w:t>）存款证实书等存款凭证传递</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2</w:t>
      </w:r>
      <w:r>
        <w:rPr>
          <w:rFonts w:eastAsiaTheme="minorEastAsia" w:hint="eastAsia"/>
          <w:kern w:val="0"/>
          <w:sz w:val="24"/>
        </w:rPr>
        <w:t>）存款凭证的遗失补办</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存款凭证在邮寄过程中遗失的，由基金管理人向存款银行提出补办申请，基金管理人应督促存款银行尽快补办存款凭证，并按以上（</w:t>
      </w:r>
      <w:r>
        <w:rPr>
          <w:rFonts w:eastAsiaTheme="minorEastAsia" w:hint="eastAsia"/>
          <w:kern w:val="0"/>
          <w:sz w:val="24"/>
        </w:rPr>
        <w:t>1</w:t>
      </w:r>
      <w:r>
        <w:rPr>
          <w:rFonts w:eastAsiaTheme="minorEastAsia" w:hint="eastAsia"/>
          <w:kern w:val="0"/>
          <w:sz w:val="24"/>
        </w:rPr>
        <w:t>）的方式快递或上门交付至托管人，原存款凭证自动作废。</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3</w:t>
      </w:r>
      <w:r>
        <w:rPr>
          <w:rFonts w:eastAsiaTheme="minorEastAsia" w:hint="eastAsia"/>
          <w:kern w:val="0"/>
          <w:sz w:val="24"/>
        </w:rPr>
        <w:t>）账目核对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每个工作日，基金管理人应与基金托管人核对各项银行存款投资余额及应计利息。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基金管理人应在《存款协议书》中规定，对于存期超过</w:t>
      </w:r>
      <w:r>
        <w:rPr>
          <w:rFonts w:eastAsiaTheme="minorEastAsia" w:hint="eastAsia"/>
          <w:kern w:val="0"/>
          <w:sz w:val="24"/>
        </w:rPr>
        <w:t>3</w:t>
      </w:r>
      <w:r>
        <w:rPr>
          <w:rFonts w:eastAsiaTheme="minorEastAsia" w:hint="eastAsia"/>
          <w:kern w:val="0"/>
          <w:sz w:val="24"/>
        </w:rPr>
        <w:t>个月的定期存款，存款银行应于每季末后</w:t>
      </w:r>
      <w:r>
        <w:rPr>
          <w:rFonts w:eastAsiaTheme="minorEastAsia" w:hint="eastAsia"/>
          <w:kern w:val="0"/>
          <w:sz w:val="24"/>
        </w:rPr>
        <w:t>5</w:t>
      </w:r>
      <w:r>
        <w:rPr>
          <w:rFonts w:eastAsiaTheme="minorEastAsia" w:hint="eastAsia"/>
          <w:kern w:val="0"/>
          <w:sz w:val="24"/>
        </w:rPr>
        <w:t>个工作日内向基金托管人指定人员寄送对账单。因存款银行未寄送对账单造成的资金被挪用、盗取的责任由存款银行承担。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存款银行应配合基金托管人对存款凭证的询证，并在询证函上加盖存款银行公章寄送至基金托管人指定联系人。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hint="eastAsia"/>
          <w:kern w:val="0"/>
          <w:sz w:val="24"/>
        </w:rPr>
        <w:t>4</w:t>
      </w:r>
      <w:r>
        <w:rPr>
          <w:rFonts w:eastAsiaTheme="minorEastAsia" w:hint="eastAsia"/>
          <w:kern w:val="0"/>
          <w:sz w:val="24"/>
        </w:rPr>
        <w:t>）到期兑付</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提前支取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如果在存款期限内，由于基金规模发生缩减的原因或者出于流动性管理的需要等原因，基金管理人可以提前支取全部或部分资金。</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提前支取的具体事项按照基金管理人与存款银行签订的《存款协议书》执行。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基金投资银行存款的监督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基金托管人发现基金管理人在进行存款投资时有违反有关法律法规的规定及《基金合同》的约定的行为，应及时以书面形式通知基金管理人在</w:t>
      </w:r>
      <w:r>
        <w:rPr>
          <w:rFonts w:eastAsiaTheme="minorEastAsia" w:hint="eastAsia"/>
          <w:kern w:val="0"/>
          <w:sz w:val="24"/>
        </w:rPr>
        <w:t xml:space="preserve">10 </w:t>
      </w:r>
      <w:r>
        <w:rPr>
          <w:rFonts w:eastAsiaTheme="minorEastAsia" w:hint="eastAsia"/>
          <w:kern w:val="0"/>
          <w:sz w:val="24"/>
        </w:rPr>
        <w:t>个工作日内纠正。基金管理人对基金托管人通知的违规事项未能在</w:t>
      </w:r>
      <w:r>
        <w:rPr>
          <w:rFonts w:eastAsiaTheme="minorEastAsia" w:hint="eastAsia"/>
          <w:kern w:val="0"/>
          <w:sz w:val="24"/>
        </w:rPr>
        <w:t xml:space="preserve">10 </w:t>
      </w:r>
      <w:r>
        <w:rPr>
          <w:rFonts w:eastAsiaTheme="minorEastAsia" w:hint="eastAsia"/>
          <w:kern w:val="0"/>
          <w:sz w:val="24"/>
        </w:rPr>
        <w:t>个工作日内纠正的，基金托管人应报告中国证监会。基金托管人发现基金管理人有重大违规行为，应立即报告中国证监会，同时通知基金管理人在</w:t>
      </w:r>
      <w:r>
        <w:rPr>
          <w:rFonts w:eastAsiaTheme="minorEastAsia" w:hint="eastAsia"/>
          <w:kern w:val="0"/>
          <w:sz w:val="24"/>
        </w:rPr>
        <w:t xml:space="preserve">10 </w:t>
      </w:r>
      <w:r>
        <w:rPr>
          <w:rFonts w:eastAsiaTheme="minorEastAsia" w:hint="eastAsia"/>
          <w:kern w:val="0"/>
          <w:sz w:val="24"/>
        </w:rPr>
        <w:t>个工作日内纠正或拒绝结算，若因基金管理人拒不执行造成基金财产损失的，相关损失由基金管理人承担，基金托管人不承担任何责任。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Pr>
          <w:rFonts w:eastAsiaTheme="minorEastAsia" w:hint="eastAsia"/>
          <w:kern w:val="0"/>
          <w:sz w:val="24"/>
        </w:rPr>
        <w:t>3</w:t>
      </w:r>
      <w:r>
        <w:rPr>
          <w:rFonts w:eastAsiaTheme="minorEastAsia" w:hint="eastAsia"/>
          <w:kern w:val="0"/>
          <w:sz w:val="24"/>
        </w:rPr>
        <w:t>个交易日内与基金托管人协商解决。</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（五）本基金投资流通受限证券，应遵守《关于基金投资非公开发行股票等流通受限证券有关问题的通知》等有关监管规定。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本基金不得投资未经中国证监会批准的非公开发行证券。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本基金参与非公开发行证券的认购，不得预付任何形式的保证金，法律法规或中国证监会另有规定的除外。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本基金不得投资有锁定期但锁定期不明确的证券，但法律法规另有规定的除外。</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 xml:space="preserve">2. </w:t>
      </w:r>
      <w:r>
        <w:rPr>
          <w:rFonts w:eastAsiaTheme="minorEastAsia" w:hint="eastAsia"/>
          <w:kern w:val="0"/>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由于基金管理人未及时提供有关证券的具体的必要的信息，致使托管人无法审核认购指令而影响认购款项划拨的，基金托管人免于承担责任。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 xml:space="preserve">5. </w:t>
      </w:r>
      <w:r>
        <w:rPr>
          <w:rFonts w:eastAsiaTheme="minorEastAsia" w:hint="eastAsia"/>
          <w:kern w:val="0"/>
          <w:sz w:val="24"/>
        </w:rPr>
        <w:t>基金管理人应在基金投资非公开发行股票后两个交易日内</w:t>
      </w:r>
      <w:r>
        <w:rPr>
          <w:rFonts w:eastAsiaTheme="minorEastAsia" w:hint="eastAsia"/>
          <w:kern w:val="0"/>
          <w:sz w:val="24"/>
        </w:rPr>
        <w:t>,</w:t>
      </w:r>
      <w:r>
        <w:rPr>
          <w:rFonts w:eastAsiaTheme="minorEastAsia" w:hint="eastAsia"/>
          <w:kern w:val="0"/>
          <w:sz w:val="24"/>
        </w:rPr>
        <w:t>在中国证监会指定媒介披露所投资非公开发行股票的名称、数量、总成本、账面价值</w:t>
      </w:r>
      <w:r>
        <w:rPr>
          <w:rFonts w:eastAsiaTheme="minorEastAsia" w:hint="eastAsia"/>
          <w:kern w:val="0"/>
          <w:sz w:val="24"/>
        </w:rPr>
        <w:t>,</w:t>
      </w:r>
      <w:r>
        <w:rPr>
          <w:rFonts w:eastAsiaTheme="minorEastAsia" w:hint="eastAsia"/>
          <w:kern w:val="0"/>
          <w:sz w:val="24"/>
        </w:rPr>
        <w:t>以及总成本和账面价值占基金资产净值的比例、锁定期等信息。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（六）基金管理人应当对投资中期票据业务进行研究，认真评估中期票据投资业务的风险，本着审慎、勤勉尽责的原则进行中期票据的投资业务，并应符合法律法规及监管机构的相关规定。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（十一）基金托管人发现基金管理人有重大违规行为，应及时报告中国证监会，同时通知基金管理人限期纠正。</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三、基金管理人对基金托管人的业务核查</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（四）基金管理人发现基金托管人有重大违规行为，应及时报告中国证监会，同时通知基金托管人限期纠正，并将纠正结果报告中国证监会。</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四、基金财产的保管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（一）基金财产保管的原则</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基金财产应独立于基金管理人、基金托管人的固有财产。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基金托管人应安全保管基金财产。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基金托管人按照规定开设基金财产投资所需的相关账户。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基金托管人对所托管的不同基金财产分别设置账户，确保基金财产的完整与独立。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6.</w:t>
      </w:r>
      <w:r>
        <w:rPr>
          <w:rFonts w:eastAsiaTheme="minorEastAsia" w:hint="eastAsia"/>
          <w:kern w:val="0"/>
          <w:sz w:val="24"/>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7.</w:t>
      </w:r>
      <w:r>
        <w:rPr>
          <w:rFonts w:eastAsiaTheme="minorEastAsia" w:hint="eastAsia"/>
          <w:kern w:val="0"/>
          <w:sz w:val="24"/>
        </w:rPr>
        <w:t>基金托管人对因为基金管理人投资产生的存放或存管在基金托管人以外机构的基金资产及其收益，由于该等机构或该机构会员单位等本协议当事人外第三方的欺诈、疏忽、过失或破产等原因给基金资产造成的损失等不承担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8.</w:t>
      </w:r>
      <w:r>
        <w:rPr>
          <w:rFonts w:eastAsiaTheme="minorEastAsia" w:hint="eastAsia"/>
          <w:kern w:val="0"/>
          <w:sz w:val="24"/>
        </w:rPr>
        <w:t>除依据法律法规和基金合同的规定外，基金托管人不得委托第三人托管基金财产。</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（二）基金募集期间及募集资金的验资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基金募集期间募集的资金应开立“基金募集专户”。该账户由基金管理人开立并管理。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验资报告需对发起资金的持有人及其持有份额进行专门说明。出具的验资报告由参加验资的</w:t>
      </w:r>
      <w:r>
        <w:rPr>
          <w:rFonts w:eastAsiaTheme="minorEastAsia" w:hint="eastAsia"/>
          <w:kern w:val="0"/>
          <w:sz w:val="24"/>
        </w:rPr>
        <w:t>2</w:t>
      </w:r>
      <w:r>
        <w:rPr>
          <w:rFonts w:eastAsiaTheme="minorEastAsia" w:hint="eastAsia"/>
          <w:kern w:val="0"/>
          <w:sz w:val="24"/>
        </w:rPr>
        <w:t>名或</w:t>
      </w:r>
      <w:r>
        <w:rPr>
          <w:rFonts w:eastAsiaTheme="minorEastAsia" w:hint="eastAsia"/>
          <w:kern w:val="0"/>
          <w:sz w:val="24"/>
        </w:rPr>
        <w:t>2</w:t>
      </w:r>
      <w:r>
        <w:rPr>
          <w:rFonts w:eastAsiaTheme="minorEastAsia" w:hint="eastAsia"/>
          <w:kern w:val="0"/>
          <w:sz w:val="24"/>
        </w:rPr>
        <w:t>名以上中国注册会计师签字方为有效。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若基金募集期限届满，未能达到基金合同生效的条件，由基金管理人按规定办理退款等事宜。</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（三）基金资金账户的开立和管理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基金托管人以本基金的名义在其营业机构开立基金的资金账户（也可称为“托管账户”），保管基金的银行存款，并根据基金管理人的指令办理资金收付。托管账户名称应为“山西证券裕泰</w:t>
      </w:r>
      <w:r>
        <w:rPr>
          <w:rFonts w:eastAsiaTheme="minorEastAsia" w:hint="eastAsia"/>
          <w:kern w:val="0"/>
          <w:sz w:val="24"/>
        </w:rPr>
        <w:t>3</w:t>
      </w:r>
      <w:r>
        <w:rPr>
          <w:rFonts w:eastAsiaTheme="minorEastAsia" w:hint="eastAsia"/>
          <w:kern w:val="0"/>
          <w:sz w:val="24"/>
        </w:rPr>
        <w:t>个月定期开放债券型发起式证券投资基金”，预留印鉴为基金托管人印章。</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基金资金账户的开立和使用，限于满足开展本基金业务的需要。基金托管人和基金管理人不得假借本基金的名义开立任何其他银行账户；亦不得使用基金的任何账户进行本基金业务以外的活动。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基金资金账户的开立和管理应符合法律法规及银行业监督管理机构的有关规定。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（四）基金证券账户和结算备付金账户的开立和管理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基金托管人在中国证券登记结算有限责任公司上海分公司、深圳分公司为基金开立基金托管人与基金联名的证券账户。</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基金证券账户的开立和证券账户卡的保管由基金托管人负责，账户资产的管理和运用由基金管理人负责。</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5.</w:t>
      </w:r>
      <w:r>
        <w:rPr>
          <w:rFonts w:eastAsiaTheme="minorEastAsia" w:hint="eastAsia"/>
          <w:kern w:val="0"/>
          <w:sz w:val="24"/>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（五）债券托管专户账户的开设和管理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合同生效后，基金托管人根据中国人民银行、中央国债登记结算有限责任公司和银行间市场清算所股份有限公司的有关规定，以基金的名义在银行间市场登记结算机构中央国债登记结算有限责任公司和银行间市场清算所股份有限公司，开立债券托管账户，并代表基金进行银行间市场债券的结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（六）其他账户的开立和管理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 xml:space="preserve">1. </w:t>
      </w:r>
      <w:r>
        <w:rPr>
          <w:rFonts w:eastAsiaTheme="minorEastAsia" w:hint="eastAsia"/>
          <w:kern w:val="0"/>
          <w:sz w:val="24"/>
        </w:rPr>
        <w:t>基金托管人和基金管理人应当在开户过程中相互配合，并提供所需资料。基金管理人保证所提供的账户开户材料的真实性和有效性，且在相关资料变更后及时将变更的资料提供给基金托管人。</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因业务发展需要而开立的其他账户，可以根据法律法规和基金合同的规定，由基金管理人协助基金托管人按照有关法律法规和本协议的约定协商后开立。新账户按有关规定使用并管理。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法律法规等有关规定对相关账户的开立和管理另有规定的，从其规定办理。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（七）基金财产投资的有关有价凭证等的保管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（八）与基金财产有关的重大合同的保管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Pr>
          <w:rFonts w:eastAsiaTheme="minorEastAsia" w:hint="eastAsia"/>
          <w:kern w:val="0"/>
          <w:sz w:val="24"/>
        </w:rPr>
        <w:t>15</w:t>
      </w:r>
      <w:r>
        <w:rPr>
          <w:rFonts w:eastAsiaTheme="minorEastAsia" w:hint="eastAsia"/>
          <w:kern w:val="0"/>
          <w:sz w:val="24"/>
        </w:rPr>
        <w:t>年，法律法规或监管部门另有规定的，从其规定。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五、基金资产净值计算和会计核算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（一）基金资产净值的计算、复核与完成的时间及程序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基金资产净值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基金资产净值是指基金资产总值减去基金负债后的价值。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基金份额净值是指估值日基金资产净值除以估值日基金份额总数，基金份额净值的计算，精确到</w:t>
      </w:r>
      <w:r>
        <w:rPr>
          <w:rFonts w:eastAsiaTheme="minorEastAsia" w:hint="eastAsia"/>
          <w:kern w:val="0"/>
          <w:sz w:val="24"/>
        </w:rPr>
        <w:t>0.0001</w:t>
      </w:r>
      <w:r>
        <w:rPr>
          <w:rFonts w:eastAsiaTheme="minorEastAsia" w:hint="eastAsia"/>
          <w:kern w:val="0"/>
          <w:sz w:val="24"/>
        </w:rPr>
        <w:t>元，小数点后第五位四舍五入，国家另有规定的，从其规定。</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基金管理人每个工作日计算基金资产净值、基金份额净值，经基金托管人复核，按规定公告。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复核程序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基金管理人每个工作日对基金资产进行估值后，将基金资产净值、基金份额净值发送基金托管人，经基金托管人复核无误后，由基金管理人对外公布。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（二）基金资产的估值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基金管理人及基金托管人应当按照《基金合同》的约定进行估值。</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（三）基金份额净值错误的处理方式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基金管理人及基金托管人应当按照《基金合同》的约定处理份额净值错误。</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（四）基金会计制度</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按国家有关部门规定的会计制度执行。</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（五）基金账册的建立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（六）基金财务报表与报告的编制和复核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财务报表的编制</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基金财务报表由基金管理人编制，基金托管人复核。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报表复核</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基金托管人在收到基金管理人编制的基金财务报表后，进行独立的复核。核对不符时，应及时通知基金管理人共同查出原因，进行调整，直至双方数据完全一致。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财务报表的编制与复核时间安排</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基金管理人、基金托管人应当在每月结束后</w:t>
      </w:r>
      <w:r>
        <w:rPr>
          <w:rFonts w:eastAsiaTheme="minorEastAsia" w:hint="eastAsia"/>
          <w:kern w:val="0"/>
          <w:sz w:val="24"/>
        </w:rPr>
        <w:t>5</w:t>
      </w:r>
      <w:r>
        <w:rPr>
          <w:rFonts w:eastAsiaTheme="minorEastAsia" w:hint="eastAsia"/>
          <w:kern w:val="0"/>
          <w:sz w:val="24"/>
        </w:rPr>
        <w:t>个工作日内完成月度报表的编制及复核；在每个季度结束之日起</w:t>
      </w:r>
      <w:r>
        <w:rPr>
          <w:rFonts w:eastAsiaTheme="minorEastAsia" w:hint="eastAsia"/>
          <w:kern w:val="0"/>
          <w:sz w:val="24"/>
        </w:rPr>
        <w:t>15</w:t>
      </w:r>
      <w:r>
        <w:rPr>
          <w:rFonts w:eastAsiaTheme="minorEastAsia" w:hint="eastAsia"/>
          <w:kern w:val="0"/>
          <w:sz w:val="24"/>
        </w:rPr>
        <w:t>个工作日内完成基金季度报告的编制及复核；在上半年结束之日起</w:t>
      </w:r>
      <w:r>
        <w:rPr>
          <w:rFonts w:eastAsiaTheme="minorEastAsia" w:hint="eastAsia"/>
          <w:kern w:val="0"/>
          <w:sz w:val="24"/>
        </w:rPr>
        <w:t>60</w:t>
      </w:r>
      <w:r>
        <w:rPr>
          <w:rFonts w:eastAsiaTheme="minorEastAsia" w:hint="eastAsia"/>
          <w:kern w:val="0"/>
          <w:sz w:val="24"/>
        </w:rPr>
        <w:t>日内完成基金半年度报告的编制及复核；在每年结束之日起</w:t>
      </w:r>
      <w:r>
        <w:rPr>
          <w:rFonts w:eastAsiaTheme="minorEastAsia" w:hint="eastAsia"/>
          <w:kern w:val="0"/>
          <w:sz w:val="24"/>
        </w:rPr>
        <w:t>90</w:t>
      </w:r>
      <w:r>
        <w:rPr>
          <w:rFonts w:eastAsiaTheme="minorEastAsia" w:hint="eastAsia"/>
          <w:kern w:val="0"/>
          <w:sz w:val="24"/>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（七）在有需要时，基金管理人应每季度向基金托管人提供基金业绩比较基准的基础数据和编制结果。</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六、基金份额持有人名册的保管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Pr>
          <w:rFonts w:eastAsiaTheme="minorEastAsia" w:hint="eastAsia"/>
          <w:kern w:val="0"/>
          <w:sz w:val="24"/>
        </w:rPr>
        <w:t>15</w:t>
      </w:r>
      <w:r>
        <w:rPr>
          <w:rFonts w:eastAsiaTheme="minorEastAsia" w:hint="eastAsia"/>
          <w:kern w:val="0"/>
          <w:sz w:val="24"/>
        </w:rPr>
        <w:t>年。如不能妥善保管，则按相关法律法规承担责任。</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法律法规或监管机构另有规定的，从其规定。</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七、争议解决方式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各方当事人同意，因本协议而产生的或与本协议有关的一切争议，如经友好协商未能解决的，任何一方均有权将争议提交中国国际经济贸易仲裁委员会，按照中国国际经济贸易仲裁委员会会届时有效的仲裁规则进行仲裁。仲裁地点为深圳市。仲裁裁决是终局的，对各方当事人均有约束力，除非仲裁裁决另有规定，仲裁费用、律师费用由败诉方承担。</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争议处理期间，双方当事人应恪守基金管理人和基金托管人职责，各自继续忠实、勤勉、尽责地履行基金合同和本托管协议规定的义务，维护基金份额持有人的合法权益。</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本协议受中华人民共和国法律（不含港澳台立法）管辖。</w:t>
      </w:r>
    </w:p>
    <w:p w:rsidR="00CB515E" w:rsidRDefault="005F186E">
      <w:pPr>
        <w:adjustRightInd w:val="0"/>
        <w:snapToGrid w:val="0"/>
        <w:spacing w:line="360" w:lineRule="auto"/>
        <w:ind w:firstLineChars="200" w:firstLine="482"/>
        <w:rPr>
          <w:rFonts w:eastAsiaTheme="minorEastAsia"/>
          <w:b/>
          <w:kern w:val="0"/>
          <w:sz w:val="24"/>
        </w:rPr>
      </w:pPr>
      <w:r>
        <w:rPr>
          <w:rFonts w:eastAsiaTheme="minorEastAsia"/>
          <w:b/>
          <w:kern w:val="0"/>
          <w:sz w:val="24"/>
        </w:rPr>
        <w:t>八、托管协议的变更、终止与基金财产的清算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（一）托管协议的变更程序</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本协议双方当事人经协商一致，可以对协议进行修改。修改后的新协议，其内容不得与基金合同的规定有任何冲突。基金托管协议的变更应报中国证监会备案。</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（二）基金托管协议终止的情形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、《基金合同》终止；</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2</w:t>
      </w:r>
      <w:r>
        <w:rPr>
          <w:rFonts w:eastAsiaTheme="minorEastAsia" w:hint="eastAsia"/>
          <w:kern w:val="0"/>
          <w:sz w:val="24"/>
        </w:rPr>
        <w:t>、基金托管人因解散、破产、撤销等事由，不能继续担任基金托管人的职务，而在</w:t>
      </w:r>
      <w:r>
        <w:rPr>
          <w:rFonts w:eastAsiaTheme="minorEastAsia" w:hint="eastAsia"/>
          <w:kern w:val="0"/>
          <w:sz w:val="24"/>
        </w:rPr>
        <w:t>6</w:t>
      </w:r>
      <w:r>
        <w:rPr>
          <w:rFonts w:eastAsiaTheme="minorEastAsia" w:hint="eastAsia"/>
          <w:kern w:val="0"/>
          <w:sz w:val="24"/>
        </w:rPr>
        <w:t>个月内无其他适当的托管机构承接其原有权利义务；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3</w:t>
      </w:r>
      <w:r>
        <w:rPr>
          <w:rFonts w:eastAsiaTheme="minorEastAsia" w:hint="eastAsia"/>
          <w:kern w:val="0"/>
          <w:sz w:val="24"/>
        </w:rPr>
        <w:t>、基金管理人因解散、破产、撤销等事由，不能继续担任基金管理人的职务，而在</w:t>
      </w:r>
      <w:r>
        <w:rPr>
          <w:rFonts w:eastAsiaTheme="minorEastAsia" w:hint="eastAsia"/>
          <w:kern w:val="0"/>
          <w:sz w:val="24"/>
        </w:rPr>
        <w:t>6</w:t>
      </w:r>
      <w:r>
        <w:rPr>
          <w:rFonts w:eastAsiaTheme="minorEastAsia" w:hint="eastAsia"/>
          <w:kern w:val="0"/>
          <w:sz w:val="24"/>
        </w:rPr>
        <w:t>个月内无其他适当的基金管理公司承接其原有权利义务；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4</w:t>
      </w:r>
      <w:r>
        <w:rPr>
          <w:rFonts w:eastAsiaTheme="minorEastAsia" w:hint="eastAsia"/>
          <w:kern w:val="0"/>
          <w:sz w:val="24"/>
        </w:rPr>
        <w:t>、发生法律法规或《基金合同》规定的其他终止事项。</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（三）基金财产的清算</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基金管理人与基金托管人按照《基金合同》的约定处理基金财产的清算。</w:t>
      </w:r>
    </w:p>
    <w:p w:rsidR="00CB515E" w:rsidRDefault="005F186E">
      <w:pPr>
        <w:widowControl/>
        <w:jc w:val="left"/>
        <w:rPr>
          <w:rFonts w:ascii="宋体" w:eastAsia="黑体"/>
          <w:kern w:val="0"/>
          <w:sz w:val="24"/>
        </w:rPr>
      </w:pPr>
      <w:r>
        <w:rPr>
          <w:sz w:val="24"/>
        </w:rPr>
        <w:br w:type="page"/>
      </w:r>
    </w:p>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bookmarkStart w:id="133" w:name="_Toc12357176"/>
      <w:bookmarkStart w:id="134" w:name="_Toc147463123"/>
      <w:bookmarkStart w:id="135" w:name="_Toc21073396"/>
      <w:bookmarkStart w:id="136" w:name="_Toc317088165"/>
      <w:bookmarkStart w:id="137" w:name="_Toc317088554"/>
      <w:bookmarkStart w:id="138" w:name="_Toc214873621"/>
      <w:bookmarkStart w:id="139" w:name="_Toc335232708"/>
      <w:bookmarkStart w:id="140" w:name="_Toc2174625"/>
      <w:bookmarkStart w:id="141" w:name="_Toc320887659"/>
      <w:r>
        <w:rPr>
          <w:rFonts w:ascii="Times New Roman" w:eastAsia="宋体" w:hAnsi="Arial Unicode MS"/>
          <w:b/>
          <w:bCs/>
          <w:sz w:val="30"/>
          <w:szCs w:val="30"/>
        </w:rPr>
        <w:t>第</w:t>
      </w:r>
      <w:r>
        <w:rPr>
          <w:rFonts w:ascii="Times New Roman" w:eastAsia="宋体" w:hAnsi="Arial Unicode MS" w:hint="eastAsia"/>
          <w:b/>
          <w:bCs/>
          <w:sz w:val="30"/>
          <w:szCs w:val="30"/>
        </w:rPr>
        <w:t>二十</w:t>
      </w:r>
      <w:r>
        <w:rPr>
          <w:rFonts w:ascii="Times New Roman" w:eastAsia="宋体" w:hAnsi="Arial Unicode MS"/>
          <w:b/>
          <w:bCs/>
          <w:sz w:val="30"/>
          <w:szCs w:val="30"/>
        </w:rPr>
        <w:t>部分</w:t>
      </w:r>
      <w:bookmarkEnd w:id="133"/>
      <w:bookmarkEnd w:id="134"/>
      <w:bookmarkEnd w:id="135"/>
      <w:r>
        <w:rPr>
          <w:rFonts w:ascii="Times New Roman" w:eastAsia="宋体" w:hAnsi="Arial Unicode MS"/>
          <w:b/>
          <w:bCs/>
          <w:sz w:val="30"/>
          <w:szCs w:val="30"/>
        </w:rPr>
        <w:t>对基金份额持有人的服务</w:t>
      </w:r>
      <w:bookmarkEnd w:id="136"/>
      <w:bookmarkEnd w:id="137"/>
      <w:bookmarkEnd w:id="138"/>
      <w:bookmarkEnd w:id="139"/>
      <w:bookmarkEnd w:id="140"/>
      <w:bookmarkEnd w:id="141"/>
    </w:p>
    <w:p w:rsidR="00CB515E" w:rsidRDefault="00CB515E"/>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基金管理人承诺为基金份额持有人提供一系列的服务。基金管理人将根据基金份额持有人的需要和市场的变化，增加或变更服务项目。主要服务内容如下：</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（一）电子对账单寄送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投资者可以通过本公司客服电话、电子邮件、短信等通道定制对账单服务。本公司在获得准确手机号码、电子邮箱的前提下，为已定制账单服务的投资者提供电子对账单。</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基金管理人为季度内有要交易的基金份额持有人提供季度电子对账单。投资者登记个人电子邮箱信息后，可定制季度、半年度和年度电子账单。电子对账单在每季、半年、年度结束后</w:t>
      </w:r>
      <w:r>
        <w:rPr>
          <w:rFonts w:eastAsiaTheme="minorEastAsia" w:hint="eastAsia"/>
          <w:kern w:val="0"/>
          <w:sz w:val="24"/>
        </w:rPr>
        <w:t>15</w:t>
      </w:r>
      <w:r>
        <w:rPr>
          <w:rFonts w:eastAsiaTheme="minorEastAsia" w:hint="eastAsia"/>
          <w:kern w:val="0"/>
          <w:sz w:val="24"/>
        </w:rPr>
        <w:t>个工作日内向基金持有人指定电子信箱发送。</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由于投资者提供的电子邮箱不详等原因，造成对账单无法按时准确送达，请及时到原基金销售网点或致电本公司客服中心办理相关信息变更。如需补发对账单，敬请拨打客服热线。</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（二）基金间转换服务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本基金暂不支持基金转换业务，但是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（三）信息定制服务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在技术条件成熟时，基金管理人可为基金投资者提供通过基金管理人网站、客户服务中心提交信息定制申请，基金管理人通过手机短信（因相关方技术系统原因，小灵通用户暂不享有短信服务，待技术系统开发运行成功后，基金管理人将及时向小灵通用户提供上述服务）、</w:t>
      </w:r>
      <w:r>
        <w:rPr>
          <w:rFonts w:eastAsiaTheme="minorEastAsia" w:hint="eastAsia"/>
          <w:kern w:val="0"/>
          <w:sz w:val="24"/>
        </w:rPr>
        <w:t>EMAIL</w:t>
      </w:r>
      <w:r>
        <w:rPr>
          <w:rFonts w:eastAsiaTheme="minorEastAsia" w:hint="eastAsia"/>
          <w:kern w:val="0"/>
          <w:sz w:val="24"/>
        </w:rPr>
        <w:t>等方式为基金投资者发送所订制的信息，内容包括：交易确认信息、公告信息、投资理财刊物邮件等。</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（四）资讯服务</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1</w:t>
      </w:r>
      <w:r>
        <w:rPr>
          <w:rFonts w:eastAsiaTheme="minorEastAsia" w:hint="eastAsia"/>
          <w:kern w:val="0"/>
          <w:sz w:val="24"/>
        </w:rPr>
        <w:t>、客户服务电话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投资者如果想了解申购与赎回的交易情况、基金账户余额、基金产品与服务等信息，可拨打本公司客户服务中心电话。</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客户服务电话：</w:t>
      </w:r>
      <w:r>
        <w:rPr>
          <w:rFonts w:eastAsiaTheme="minorEastAsia" w:hint="eastAsia"/>
          <w:kern w:val="0"/>
          <w:sz w:val="24"/>
        </w:rPr>
        <w:t xml:space="preserve">95573 </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公司网址：</w:t>
      </w:r>
      <w:r>
        <w:rPr>
          <w:rFonts w:eastAsiaTheme="minorEastAsia" w:hint="eastAsia"/>
          <w:kern w:val="0"/>
          <w:sz w:val="24"/>
        </w:rPr>
        <w:t>www.i618.com.cn</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公募基金业务网址：</w:t>
      </w:r>
      <w:r>
        <w:rPr>
          <w:rFonts w:eastAsiaTheme="minorEastAsia" w:hint="eastAsia"/>
          <w:kern w:val="0"/>
          <w:sz w:val="24"/>
        </w:rPr>
        <w:t>http://publiclyfund.sxzq.com:8000/</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（五）客户投诉处理</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hint="eastAsia"/>
          <w:kern w:val="0"/>
          <w:sz w:val="24"/>
        </w:rPr>
        <w:t>投资者可以拨打代销机构和本公司客户服务中心电话投诉代销机构或直销机构的人员和服务。</w:t>
      </w: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bookmarkStart w:id="142" w:name="_Toc530223198"/>
      <w:bookmarkStart w:id="143" w:name="_Toc335232709"/>
      <w:bookmarkStart w:id="144" w:name="_Toc214873622"/>
      <w:bookmarkStart w:id="145" w:name="_Toc320887660"/>
      <w:bookmarkStart w:id="146" w:name="_Toc317088166"/>
      <w:bookmarkStart w:id="147" w:name="_Toc317088555"/>
      <w:bookmarkStart w:id="148" w:name="_Toc484165614"/>
    </w:p>
    <w:p w:rsidR="00CB515E" w:rsidRDefault="005F186E">
      <w:pPr>
        <w:widowControl/>
        <w:jc w:val="left"/>
      </w:pPr>
      <w:r>
        <w:br w:type="page"/>
      </w:r>
    </w:p>
    <w:p w:rsidR="00CB515E" w:rsidRDefault="005F186E">
      <w:pPr>
        <w:pStyle w:val="1"/>
        <w:snapToGrid w:val="0"/>
        <w:spacing w:before="0" w:after="0" w:line="360" w:lineRule="auto"/>
        <w:ind w:firstLineChars="150" w:firstLine="452"/>
        <w:rPr>
          <w:rFonts w:ascii="Times New Roman" w:eastAsia="宋体" w:hAnsi="Arial Unicode MS"/>
          <w:b/>
          <w:bCs/>
          <w:sz w:val="30"/>
          <w:szCs w:val="30"/>
        </w:rPr>
      </w:pPr>
      <w:bookmarkStart w:id="149" w:name="_Toc2174626"/>
      <w:r>
        <w:rPr>
          <w:rFonts w:ascii="Times New Roman" w:eastAsia="宋体" w:hAnsi="Arial Unicode MS" w:hint="eastAsia"/>
          <w:b/>
          <w:bCs/>
          <w:sz w:val="30"/>
          <w:szCs w:val="30"/>
        </w:rPr>
        <w:t>第二十一部分招募说明书的存放及查阅方式</w:t>
      </w:r>
      <w:bookmarkEnd w:id="142"/>
      <w:bookmarkEnd w:id="143"/>
      <w:bookmarkEnd w:id="144"/>
      <w:bookmarkEnd w:id="145"/>
      <w:bookmarkEnd w:id="146"/>
      <w:bookmarkEnd w:id="147"/>
      <w:bookmarkEnd w:id="149"/>
    </w:p>
    <w:p w:rsidR="00CB515E" w:rsidRDefault="00CB515E">
      <w:pPr>
        <w:rPr>
          <w:sz w:val="24"/>
        </w:rPr>
      </w:pP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rsidR="00CB515E" w:rsidRDefault="005F186E">
      <w:pPr>
        <w:adjustRightInd w:val="0"/>
        <w:snapToGrid w:val="0"/>
        <w:spacing w:line="360" w:lineRule="auto"/>
        <w:ind w:firstLineChars="200" w:firstLine="480"/>
        <w:rPr>
          <w:rFonts w:eastAsiaTheme="minorEastAsia"/>
          <w:kern w:val="0"/>
          <w:sz w:val="24"/>
        </w:rPr>
      </w:pPr>
      <w:r>
        <w:rPr>
          <w:rFonts w:eastAsiaTheme="minorEastAsia"/>
          <w:kern w:val="0"/>
          <w:sz w:val="24"/>
        </w:rPr>
        <w:t>投资人还可以直接登录基金管理人的网站（</w:t>
      </w:r>
      <w:r>
        <w:rPr>
          <w:rFonts w:eastAsiaTheme="minorEastAsia"/>
          <w:kern w:val="0"/>
          <w:sz w:val="24"/>
        </w:rPr>
        <w:t>http://www.i618.com.cn</w:t>
      </w:r>
      <w:r>
        <w:rPr>
          <w:rFonts w:eastAsiaTheme="minorEastAsia"/>
          <w:kern w:val="0"/>
          <w:sz w:val="24"/>
        </w:rPr>
        <w:t>）查阅和下载招募说明书。</w:t>
      </w: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CB515E">
      <w:pPr>
        <w:adjustRightInd w:val="0"/>
        <w:snapToGrid w:val="0"/>
        <w:spacing w:line="360" w:lineRule="auto"/>
        <w:ind w:firstLineChars="200" w:firstLine="480"/>
        <w:rPr>
          <w:rFonts w:eastAsiaTheme="minorEastAsia"/>
          <w:kern w:val="0"/>
          <w:sz w:val="24"/>
        </w:rPr>
      </w:pPr>
    </w:p>
    <w:p w:rsidR="00CB515E" w:rsidRDefault="005F186E">
      <w:pPr>
        <w:adjustRightInd w:val="0"/>
        <w:snapToGrid w:val="0"/>
        <w:spacing w:line="360" w:lineRule="auto"/>
        <w:ind w:firstLineChars="200" w:firstLine="602"/>
        <w:rPr>
          <w:rFonts w:eastAsiaTheme="minorEastAsia"/>
          <w:kern w:val="0"/>
          <w:sz w:val="24"/>
        </w:rPr>
      </w:pPr>
      <w:r>
        <w:rPr>
          <w:rFonts w:hAnsi="Arial Unicode MS" w:hint="eastAsia"/>
          <w:b/>
          <w:bCs/>
          <w:noProof/>
          <w:sz w:val="30"/>
          <w:szCs w:val="30"/>
        </w:rPr>
        <w:drawing>
          <wp:anchor distT="0" distB="0" distL="114300" distR="114300" simplePos="0" relativeHeight="251658240" behindDoc="0" locked="0" layoutInCell="1" allowOverlap="1">
            <wp:simplePos x="0" y="0"/>
            <wp:positionH relativeFrom="column">
              <wp:posOffset>-8753475</wp:posOffset>
            </wp:positionH>
            <wp:positionV relativeFrom="paragraph">
              <wp:posOffset>-842010</wp:posOffset>
            </wp:positionV>
            <wp:extent cx="7505700" cy="106203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5700" cy="10620375"/>
                    </a:xfrm>
                    <a:prstGeom prst="rect">
                      <a:avLst/>
                    </a:prstGeom>
                  </pic:spPr>
                </pic:pic>
              </a:graphicData>
            </a:graphic>
          </wp:anchor>
        </w:drawing>
      </w:r>
    </w:p>
    <w:p w:rsidR="00CB515E" w:rsidRDefault="005F186E">
      <w:pPr>
        <w:pStyle w:val="1"/>
        <w:snapToGrid w:val="0"/>
        <w:spacing w:before="0" w:after="0" w:line="360" w:lineRule="auto"/>
        <w:ind w:firstLineChars="450" w:firstLine="1355"/>
        <w:rPr>
          <w:b/>
          <w:bCs/>
        </w:rPr>
      </w:pPr>
      <w:bookmarkStart w:id="150" w:name="_Toc2174627"/>
      <w:r>
        <w:rPr>
          <w:rFonts w:ascii="Times New Roman" w:eastAsia="宋体" w:hAnsi="Arial Unicode MS" w:hint="eastAsia"/>
          <w:b/>
          <w:bCs/>
          <w:sz w:val="30"/>
          <w:szCs w:val="30"/>
        </w:rPr>
        <w:t>第二十二部分备查文件</w:t>
      </w:r>
      <w:bookmarkEnd w:id="150"/>
    </w:p>
    <w:p w:rsidR="008E4BD7" w:rsidRDefault="008E4BD7">
      <w:pPr>
        <w:spacing w:line="360" w:lineRule="auto"/>
        <w:ind w:firstLineChars="200" w:firstLine="480"/>
        <w:rPr>
          <w:rFonts w:asciiTheme="minorEastAsia" w:eastAsiaTheme="minorEastAsia" w:hAnsiTheme="minorEastAsia"/>
          <w:sz w:val="24"/>
        </w:rPr>
      </w:pPr>
    </w:p>
    <w:p w:rsidR="00CB515E" w:rsidRDefault="005F186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（一）本基金备查文件包括下列文件：</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中国证监会准予山西证券裕泰3个月定期开放债券型发起式证券投资基金注册的文件；</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《山西证券裕泰3个月定期开放债券型发起式证券投资基金基金合同》；</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《山西证券裕泰3个月定期开放债券型发起式证券投资基金托管协议》；</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法律意见书；</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基金管理人业务资格批件、营业执照；</w:t>
      </w:r>
    </w:p>
    <w:p w:rsidR="00CB515E" w:rsidRDefault="005F186E">
      <w:pPr>
        <w:widowControl/>
        <w:numPr>
          <w:ilvl w:val="0"/>
          <w:numId w:val="2"/>
        </w:numPr>
        <w:spacing w:line="360" w:lineRule="auto"/>
        <w:ind w:left="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基金托管人业务资格批件、营业执照；</w:t>
      </w:r>
    </w:p>
    <w:p w:rsidR="00CB515E" w:rsidRDefault="005F186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Arial"/>
          <w:sz w:val="24"/>
        </w:rPr>
        <w:t>7</w:t>
      </w:r>
      <w:r>
        <w:rPr>
          <w:rFonts w:asciiTheme="minorEastAsia" w:eastAsiaTheme="minorEastAsia" w:hAnsiTheme="minorEastAsia" w:hint="eastAsia"/>
          <w:sz w:val="24"/>
        </w:rPr>
        <w:t>、中国证监会要求的其他文件。</w:t>
      </w:r>
    </w:p>
    <w:p w:rsidR="00CB515E" w:rsidRDefault="005F186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（二）备查文件的存放地点和投资者查阅方式：</w:t>
      </w:r>
    </w:p>
    <w:p w:rsidR="00CB515E" w:rsidRDefault="005F186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以上备查文件存放在基金管理人、基金托管人所在地，供公众查阅。投资人在支付工本费后，可在合理时间内取得上述文件复制件或复印件。</w:t>
      </w:r>
    </w:p>
    <w:p w:rsidR="00CB515E" w:rsidRDefault="00CB515E">
      <w:pPr>
        <w:spacing w:after="170"/>
        <w:rPr>
          <w:rFonts w:ascii="Arial" w:hAnsi="Arial" w:cs="Arial"/>
          <w:sz w:val="24"/>
        </w:rPr>
      </w:pPr>
    </w:p>
    <w:p w:rsidR="00CB515E" w:rsidRDefault="00CB515E">
      <w:pPr>
        <w:spacing w:after="170"/>
        <w:rPr>
          <w:rFonts w:ascii="Arial" w:hAnsi="Arial" w:cs="Arial"/>
          <w:sz w:val="24"/>
        </w:rPr>
      </w:pPr>
    </w:p>
    <w:p w:rsidR="00CB515E" w:rsidRDefault="00CB515E">
      <w:pPr>
        <w:spacing w:after="170"/>
        <w:rPr>
          <w:rFonts w:ascii="Arial" w:hAnsi="Arial" w:cs="Arial"/>
          <w:sz w:val="24"/>
        </w:rPr>
      </w:pPr>
    </w:p>
    <w:p w:rsidR="00CB515E" w:rsidRDefault="005F186E">
      <w:pPr>
        <w:spacing w:before="240" w:after="170" w:line="360" w:lineRule="auto"/>
        <w:ind w:firstLineChars="2400" w:firstLine="5760"/>
        <w:rPr>
          <w:sz w:val="24"/>
        </w:rPr>
      </w:pPr>
      <w:r>
        <w:rPr>
          <w:rFonts w:hint="eastAsia"/>
          <w:sz w:val="24"/>
        </w:rPr>
        <w:t>山西证券股份有限公司</w:t>
      </w:r>
    </w:p>
    <w:p w:rsidR="00CB515E" w:rsidRDefault="005F186E">
      <w:pPr>
        <w:wordWrap w:val="0"/>
        <w:adjustRightInd w:val="0"/>
        <w:snapToGrid w:val="0"/>
        <w:spacing w:line="360" w:lineRule="auto"/>
        <w:ind w:firstLineChars="100" w:firstLine="240"/>
        <w:jc w:val="right"/>
        <w:rPr>
          <w:rFonts w:eastAsiaTheme="minorEastAsia"/>
          <w:kern w:val="0"/>
          <w:sz w:val="24"/>
        </w:rPr>
      </w:pPr>
      <w:r>
        <w:rPr>
          <w:rFonts w:ascii="Arial" w:hAnsi="Arial" w:cs="Arial"/>
          <w:sz w:val="24"/>
        </w:rPr>
        <w:t>201</w:t>
      </w:r>
      <w:r>
        <w:rPr>
          <w:rFonts w:ascii="Arial" w:hAnsi="Arial" w:cs="Arial" w:hint="eastAsia"/>
          <w:sz w:val="24"/>
        </w:rPr>
        <w:t>9</w:t>
      </w:r>
      <w:r>
        <w:rPr>
          <w:rFonts w:hint="eastAsia"/>
          <w:sz w:val="24"/>
        </w:rPr>
        <w:t>年</w:t>
      </w:r>
      <w:r w:rsidR="006028DF">
        <w:rPr>
          <w:rFonts w:ascii="Arial" w:hAnsi="Arial" w:cs="Arial" w:hint="eastAsia"/>
          <w:sz w:val="24"/>
        </w:rPr>
        <w:t>5</w:t>
      </w:r>
      <w:r>
        <w:rPr>
          <w:rFonts w:hint="eastAsia"/>
          <w:sz w:val="24"/>
        </w:rPr>
        <w:t>月</w:t>
      </w:r>
      <w:r w:rsidR="006028DF">
        <w:rPr>
          <w:rFonts w:ascii="Arial" w:hAnsi="Arial" w:cs="Arial" w:hint="eastAsia"/>
          <w:sz w:val="24"/>
        </w:rPr>
        <w:t>23</w:t>
      </w:r>
      <w:bookmarkStart w:id="151" w:name="_GoBack"/>
      <w:bookmarkEnd w:id="151"/>
      <w:r>
        <w:rPr>
          <w:rFonts w:hint="eastAsia"/>
          <w:sz w:val="24"/>
        </w:rPr>
        <w:t>日</w:t>
      </w:r>
      <w:bookmarkEnd w:id="148"/>
    </w:p>
    <w:sectPr w:rsidR="00CB515E" w:rsidSect="003C29EE">
      <w:headerReference w:type="first" r:id="rId21"/>
      <w:pgSz w:w="11906" w:h="16838"/>
      <w:pgMar w:top="1440" w:right="1800" w:bottom="1440" w:left="180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85" w:rsidRDefault="00362B85">
      <w:r>
        <w:separator/>
      </w:r>
    </w:p>
  </w:endnote>
  <w:endnote w:type="continuationSeparator" w:id="1">
    <w:p w:rsidR="00362B85" w:rsidRDefault="00362B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7" w:rsidRDefault="005B3A8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e"/>
      <w:framePr w:wrap="around" w:vAnchor="text" w:hAnchor="margin" w:xAlign="center" w:yAlign="top"/>
    </w:pPr>
    <w:r>
      <w:rPr>
        <w:rFonts w:hint="eastAsia"/>
      </w:rPr>
      <w:t>3-</w:t>
    </w:r>
    <w:r w:rsidR="003C29EE">
      <w:rPr>
        <w:rFonts w:hint="eastAsia"/>
      </w:rPr>
      <w:fldChar w:fldCharType="begin"/>
    </w:r>
    <w:r>
      <w:rPr>
        <w:rStyle w:val="af9"/>
        <w:rFonts w:hint="eastAsia"/>
      </w:rPr>
      <w:instrText xml:space="preserve"> PAGE  </w:instrText>
    </w:r>
    <w:r w:rsidR="003C29EE">
      <w:rPr>
        <w:rFonts w:hint="eastAsia"/>
      </w:rPr>
      <w:fldChar w:fldCharType="separate"/>
    </w:r>
    <w:r>
      <w:rPr>
        <w:rStyle w:val="af9"/>
      </w:rPr>
      <w:t>2</w:t>
    </w:r>
    <w:r w:rsidR="003C29EE">
      <w:rPr>
        <w:rFonts w:hint="eastAsia"/>
      </w:rPr>
      <w:fldChar w:fldCharType="end"/>
    </w:r>
  </w:p>
  <w:p w:rsidR="00CB515E" w:rsidRDefault="00CB515E">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7" w:rsidRDefault="005B3A8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e"/>
      <w:jc w:val="center"/>
    </w:pPr>
    <w:r>
      <w:rPr>
        <w:rFonts w:hint="eastAsia"/>
      </w:rPr>
      <w:t>5-</w:t>
    </w:r>
    <w:r w:rsidR="003C29EE" w:rsidRPr="003C29EE">
      <w:fldChar w:fldCharType="begin"/>
    </w:r>
    <w:r>
      <w:instrText xml:space="preserve"> PAGE   \* MERGEFORMAT </w:instrText>
    </w:r>
    <w:r w:rsidR="003C29EE" w:rsidRPr="003C29EE">
      <w:fldChar w:fldCharType="separate"/>
    </w:r>
    <w:r w:rsidR="006028DF" w:rsidRPr="006028DF">
      <w:rPr>
        <w:noProof/>
        <w:lang w:val="zh-CN"/>
      </w:rPr>
      <w:t>2</w:t>
    </w:r>
    <w:r w:rsidR="003C29EE">
      <w:rPr>
        <w:lang w:val="zh-CN"/>
      </w:rPr>
      <w:fldChar w:fldCharType="end"/>
    </w:r>
  </w:p>
  <w:p w:rsidR="00CB515E" w:rsidRDefault="00CB515E">
    <w:pPr>
      <w:pStyle w:val="ae"/>
      <w:jc w:val="center"/>
      <w:rPr>
        <w:rFonts w:ascii="Arial" w:hAnsi="Arial" w:cs="Arial"/>
        <w:sz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e"/>
      <w:jc w:val="center"/>
    </w:pPr>
    <w:r>
      <w:rPr>
        <w:rFonts w:hint="eastAsia"/>
      </w:rPr>
      <w:t>5-</w:t>
    </w:r>
    <w:r w:rsidR="003C29EE" w:rsidRPr="003C29EE">
      <w:fldChar w:fldCharType="begin"/>
    </w:r>
    <w:r>
      <w:instrText xml:space="preserve"> PAGE   \* MERGEFORMAT </w:instrText>
    </w:r>
    <w:r w:rsidR="003C29EE" w:rsidRPr="003C29EE">
      <w:fldChar w:fldCharType="separate"/>
    </w:r>
    <w:r w:rsidR="005B3A87" w:rsidRPr="005B3A87">
      <w:rPr>
        <w:noProof/>
        <w:lang w:val="zh-CN"/>
      </w:rPr>
      <w:t>1</w:t>
    </w:r>
    <w:r w:rsidR="003C29EE">
      <w:rPr>
        <w:lang w:val="zh-CN"/>
      </w:rPr>
      <w:fldChar w:fldCharType="end"/>
    </w:r>
  </w:p>
  <w:p w:rsidR="00CB515E" w:rsidRDefault="00CB515E">
    <w:pPr>
      <w:pStyle w:val="ae"/>
      <w:jc w:val="center"/>
      <w:rPr>
        <w:rFonts w:ascii="Arial" w:hAnsi="Arial" w:cs="Arial"/>
        <w:sz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e"/>
      <w:jc w:val="center"/>
    </w:pPr>
    <w:r>
      <w:rPr>
        <w:rFonts w:hint="eastAsia"/>
      </w:rPr>
      <w:t>5-</w:t>
    </w:r>
    <w:r w:rsidR="003C29EE" w:rsidRPr="003C29EE">
      <w:fldChar w:fldCharType="begin"/>
    </w:r>
    <w:r>
      <w:instrText xml:space="preserve"> PAGE   \* MERGEFORMAT </w:instrText>
    </w:r>
    <w:r w:rsidR="003C29EE" w:rsidRPr="003C29EE">
      <w:fldChar w:fldCharType="separate"/>
    </w:r>
    <w:r w:rsidR="006028DF" w:rsidRPr="006028DF">
      <w:rPr>
        <w:noProof/>
        <w:lang w:val="zh-CN"/>
      </w:rPr>
      <w:t>115</w:t>
    </w:r>
    <w:r w:rsidR="003C29EE">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3C29EE">
    <w:pPr>
      <w:pStyle w:val="ae"/>
      <w:jc w:val="center"/>
      <w:rPr>
        <w:rFonts w:ascii="Arial" w:hAnsi="Arial" w:cs="Arial"/>
        <w:sz w:val="21"/>
        <w:szCs w:val="21"/>
      </w:rPr>
    </w:pPr>
    <w:r>
      <w:rPr>
        <w:rFonts w:ascii="Arial" w:hAnsi="Arial" w:cs="Arial"/>
        <w:sz w:val="21"/>
        <w:szCs w:val="21"/>
      </w:rPr>
      <w:fldChar w:fldCharType="begin"/>
    </w:r>
    <w:r w:rsidR="005F186E">
      <w:rPr>
        <w:rStyle w:val="af9"/>
        <w:rFonts w:ascii="Arial" w:hAnsi="Arial" w:cs="Arial"/>
        <w:sz w:val="21"/>
        <w:szCs w:val="21"/>
      </w:rPr>
      <w:instrText xml:space="preserve"> PAGE </w:instrText>
    </w:r>
    <w:r>
      <w:rPr>
        <w:rFonts w:ascii="Arial" w:hAnsi="Arial" w:cs="Arial"/>
        <w:sz w:val="21"/>
        <w:szCs w:val="21"/>
      </w:rPr>
      <w:fldChar w:fldCharType="separate"/>
    </w:r>
    <w:r w:rsidR="006028DF">
      <w:rPr>
        <w:rStyle w:val="af9"/>
        <w:rFonts w:ascii="Arial" w:hAnsi="Arial" w:cs="Arial"/>
        <w:noProof/>
        <w:sz w:val="21"/>
        <w:szCs w:val="21"/>
      </w:rPr>
      <w:t>4</w:t>
    </w:r>
    <w:r>
      <w:rPr>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85" w:rsidRDefault="00362B85">
      <w:r>
        <w:separator/>
      </w:r>
    </w:p>
  </w:footnote>
  <w:footnote w:type="continuationSeparator" w:id="1">
    <w:p w:rsidR="00362B85" w:rsidRDefault="0036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7" w:rsidRDefault="005B3A8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f"/>
      <w:pBdr>
        <w:bottom w:val="thickThinLargeGap" w:sz="24" w:space="10" w:color="auto"/>
      </w:pBdr>
      <w:tabs>
        <w:tab w:val="right" w:pos="8280"/>
      </w:tabs>
      <w:wordWrap w:val="0"/>
      <w:adjustRightInd w:val="0"/>
      <w:jc w:val="both"/>
    </w:pPr>
    <w:r>
      <w:t>山西证券</w:t>
    </w:r>
    <w:r>
      <w:rPr>
        <w:rFonts w:hint="eastAsia"/>
      </w:rPr>
      <w:t>裕泰</w:t>
    </w:r>
    <w:r>
      <w:rPr>
        <w:rFonts w:hint="eastAsia"/>
      </w:rPr>
      <w:t>3</w:t>
    </w:r>
    <w:r>
      <w:rPr>
        <w:rFonts w:hint="eastAsia"/>
      </w:rPr>
      <w:t>个月定期开放</w:t>
    </w:r>
    <w:r>
      <w:t>债券型</w:t>
    </w:r>
    <w:r>
      <w:rPr>
        <w:rFonts w:hint="eastAsia"/>
      </w:rPr>
      <w:t>发起式证券投资基金招募说明书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87" w:rsidRDefault="005B3A8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f"/>
      <w:pBdr>
        <w:bottom w:val="thickThinLargeGap" w:sz="24" w:space="10" w:color="auto"/>
      </w:pBdr>
      <w:tabs>
        <w:tab w:val="right" w:pos="8280"/>
      </w:tabs>
      <w:wordWrap w:val="0"/>
      <w:adjustRightInd w:val="0"/>
      <w:jc w:val="both"/>
    </w:pPr>
    <w:r>
      <w:t>山西证券</w:t>
    </w:r>
    <w:r>
      <w:rPr>
        <w:rFonts w:hint="eastAsia"/>
      </w:rPr>
      <w:t>裕泰</w:t>
    </w:r>
    <w:r>
      <w:rPr>
        <w:rFonts w:hint="eastAsia"/>
      </w:rPr>
      <w:t>3</w:t>
    </w:r>
    <w:r>
      <w:rPr>
        <w:rFonts w:hint="eastAsia"/>
      </w:rPr>
      <w:t>个月定期开放</w:t>
    </w:r>
    <w:r>
      <w:t>债券型</w:t>
    </w:r>
    <w:r>
      <w:rPr>
        <w:rFonts w:hint="eastAsia"/>
      </w:rPr>
      <w:t>发起式证券投资基金招募说明书</w:t>
    </w:r>
  </w:p>
  <w:p w:rsidR="00CB515E" w:rsidRDefault="00CB515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E" w:rsidRDefault="005F186E">
    <w:pPr>
      <w:pStyle w:val="af"/>
      <w:pBdr>
        <w:bottom w:val="thickThinLargeGap" w:sz="24" w:space="10" w:color="auto"/>
      </w:pBdr>
      <w:tabs>
        <w:tab w:val="right" w:pos="8280"/>
      </w:tabs>
      <w:wordWrap w:val="0"/>
      <w:adjustRightInd w:val="0"/>
      <w:jc w:val="both"/>
    </w:pPr>
    <w:r>
      <w:t>山西证券</w:t>
    </w:r>
    <w:r>
      <w:rPr>
        <w:rFonts w:hint="eastAsia"/>
      </w:rPr>
      <w:t>裕泰</w:t>
    </w:r>
    <w:r>
      <w:rPr>
        <w:rFonts w:hint="eastAsia"/>
      </w:rPr>
      <w:t>3</w:t>
    </w:r>
    <w:r>
      <w:rPr>
        <w:rFonts w:hint="eastAsia"/>
      </w:rPr>
      <w:t>个月定期开放</w:t>
    </w:r>
    <w:r>
      <w:t>债券型发起式</w:t>
    </w:r>
    <w:r>
      <w:rPr>
        <w:rFonts w:hint="eastAsia"/>
      </w:rPr>
      <w:t>证券投资基金招募说明书</w:t>
    </w:r>
  </w:p>
  <w:p w:rsidR="00CB515E" w:rsidRDefault="00CB5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9E5"/>
    <w:multiLevelType w:val="multilevel"/>
    <w:tmpl w:val="225849E5"/>
    <w:lvl w:ilvl="0">
      <w:start w:val="1"/>
      <w:numFmt w:val="decimal"/>
      <w:lvlText w:val="%1、"/>
      <w:lvlJc w:val="left"/>
      <w:pPr>
        <w:ind w:left="1986" w:firstLine="0"/>
      </w:pPr>
      <w:rPr>
        <w:rFonts w:ascii="Arial" w:hAnsi="Arial" w:cs="Arial" w:hint="default"/>
        <w:b w:val="0"/>
        <w:bCs w:val="0"/>
        <w:i w:val="0"/>
        <w:iCs w:val="0"/>
        <w:color w:val="000000"/>
        <w:sz w:val="21"/>
        <w:szCs w:val="21"/>
        <w:u w:color="000000"/>
      </w:rPr>
    </w:lvl>
    <w:lvl w:ilvl="1">
      <w:start w:val="1"/>
      <w:numFmt w:val="lowerLetter"/>
      <w:lvlText w:val="%2"/>
      <w:lvlJc w:val="left"/>
      <w:pPr>
        <w:ind w:left="1500" w:firstLine="0"/>
      </w:pPr>
      <w:rPr>
        <w:rFonts w:ascii="Arial" w:hAnsi="Arial" w:cs="Arial" w:hint="default"/>
        <w:b w:val="0"/>
        <w:bCs w:val="0"/>
        <w:i w:val="0"/>
        <w:iCs w:val="0"/>
        <w:color w:val="000000"/>
        <w:sz w:val="21"/>
        <w:szCs w:val="21"/>
        <w:u w:color="000000"/>
      </w:rPr>
    </w:lvl>
    <w:lvl w:ilvl="2">
      <w:start w:val="1"/>
      <w:numFmt w:val="lowerRoman"/>
      <w:lvlText w:val="%3"/>
      <w:lvlJc w:val="left"/>
      <w:pPr>
        <w:ind w:left="2220" w:firstLine="0"/>
      </w:pPr>
      <w:rPr>
        <w:rFonts w:ascii="Arial" w:hAnsi="Arial" w:cs="Arial" w:hint="default"/>
        <w:b w:val="0"/>
        <w:bCs w:val="0"/>
        <w:i w:val="0"/>
        <w:iCs w:val="0"/>
        <w:color w:val="000000"/>
        <w:sz w:val="21"/>
        <w:szCs w:val="21"/>
        <w:u w:color="000000"/>
      </w:rPr>
    </w:lvl>
    <w:lvl w:ilvl="3">
      <w:start w:val="1"/>
      <w:numFmt w:val="decimal"/>
      <w:lvlText w:val="%4"/>
      <w:lvlJc w:val="left"/>
      <w:pPr>
        <w:ind w:left="2940" w:firstLine="0"/>
      </w:pPr>
      <w:rPr>
        <w:rFonts w:ascii="Arial" w:hAnsi="Arial" w:cs="Arial" w:hint="default"/>
        <w:b w:val="0"/>
        <w:bCs w:val="0"/>
        <w:i w:val="0"/>
        <w:iCs w:val="0"/>
        <w:color w:val="000000"/>
        <w:sz w:val="21"/>
        <w:szCs w:val="21"/>
        <w:u w:color="000000"/>
      </w:rPr>
    </w:lvl>
    <w:lvl w:ilvl="4">
      <w:start w:val="1"/>
      <w:numFmt w:val="lowerLetter"/>
      <w:lvlText w:val="%5"/>
      <w:lvlJc w:val="left"/>
      <w:pPr>
        <w:ind w:left="3660" w:firstLine="0"/>
      </w:pPr>
      <w:rPr>
        <w:rFonts w:ascii="Arial" w:hAnsi="Arial" w:cs="Arial" w:hint="default"/>
        <w:b w:val="0"/>
        <w:bCs w:val="0"/>
        <w:i w:val="0"/>
        <w:iCs w:val="0"/>
        <w:color w:val="000000"/>
        <w:sz w:val="21"/>
        <w:szCs w:val="21"/>
        <w:u w:color="000000"/>
      </w:rPr>
    </w:lvl>
    <w:lvl w:ilvl="5">
      <w:start w:val="1"/>
      <w:numFmt w:val="lowerRoman"/>
      <w:lvlText w:val="%6"/>
      <w:lvlJc w:val="left"/>
      <w:pPr>
        <w:ind w:left="4380" w:firstLine="0"/>
      </w:pPr>
      <w:rPr>
        <w:rFonts w:ascii="Arial" w:hAnsi="Arial" w:cs="Arial" w:hint="default"/>
        <w:b w:val="0"/>
        <w:bCs w:val="0"/>
        <w:i w:val="0"/>
        <w:iCs w:val="0"/>
        <w:color w:val="000000"/>
        <w:sz w:val="21"/>
        <w:szCs w:val="21"/>
        <w:u w:color="000000"/>
      </w:rPr>
    </w:lvl>
    <w:lvl w:ilvl="6">
      <w:start w:val="1"/>
      <w:numFmt w:val="decimal"/>
      <w:lvlText w:val="%7"/>
      <w:lvlJc w:val="left"/>
      <w:pPr>
        <w:ind w:left="5100" w:firstLine="0"/>
      </w:pPr>
      <w:rPr>
        <w:rFonts w:ascii="Arial" w:hAnsi="Arial" w:cs="Arial" w:hint="default"/>
        <w:b w:val="0"/>
        <w:bCs w:val="0"/>
        <w:i w:val="0"/>
        <w:iCs w:val="0"/>
        <w:color w:val="000000"/>
        <w:sz w:val="21"/>
        <w:szCs w:val="21"/>
        <w:u w:color="000000"/>
      </w:rPr>
    </w:lvl>
    <w:lvl w:ilvl="7">
      <w:start w:val="1"/>
      <w:numFmt w:val="lowerLetter"/>
      <w:lvlText w:val="%8"/>
      <w:lvlJc w:val="left"/>
      <w:pPr>
        <w:ind w:left="5820" w:firstLine="0"/>
      </w:pPr>
      <w:rPr>
        <w:rFonts w:ascii="Arial" w:hAnsi="Arial" w:cs="Arial" w:hint="default"/>
        <w:b w:val="0"/>
        <w:bCs w:val="0"/>
        <w:i w:val="0"/>
        <w:iCs w:val="0"/>
        <w:color w:val="000000"/>
        <w:sz w:val="21"/>
        <w:szCs w:val="21"/>
        <w:u w:color="000000"/>
      </w:rPr>
    </w:lvl>
    <w:lvl w:ilvl="8">
      <w:start w:val="1"/>
      <w:numFmt w:val="lowerRoman"/>
      <w:lvlText w:val="%9"/>
      <w:lvlJc w:val="left"/>
      <w:pPr>
        <w:ind w:left="6540" w:firstLine="0"/>
      </w:pPr>
      <w:rPr>
        <w:rFonts w:ascii="Arial" w:hAnsi="Arial" w:cs="Arial" w:hint="default"/>
        <w:b w:val="0"/>
        <w:bCs w:val="0"/>
        <w:i w:val="0"/>
        <w:iCs w:val="0"/>
        <w:color w:val="000000"/>
        <w:sz w:val="21"/>
        <w:szCs w:val="21"/>
        <w:u w:color="000000"/>
      </w:rPr>
    </w:lvl>
  </w:abstractNum>
  <w:abstractNum w:abstractNumId="1">
    <w:nsid w:val="488A18BC"/>
    <w:multiLevelType w:val="multilevel"/>
    <w:tmpl w:val="488A18BC"/>
    <w:lvl w:ilvl="0">
      <w:start w:val="4"/>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BE9"/>
    <w:rsid w:val="00001115"/>
    <w:rsid w:val="000011E4"/>
    <w:rsid w:val="0000586D"/>
    <w:rsid w:val="0000670B"/>
    <w:rsid w:val="000079A3"/>
    <w:rsid w:val="0001086E"/>
    <w:rsid w:val="00011286"/>
    <w:rsid w:val="000118B7"/>
    <w:rsid w:val="000119BA"/>
    <w:rsid w:val="00011DCA"/>
    <w:rsid w:val="00012F8D"/>
    <w:rsid w:val="0001440F"/>
    <w:rsid w:val="00014B1E"/>
    <w:rsid w:val="00017120"/>
    <w:rsid w:val="000177F3"/>
    <w:rsid w:val="00017A0C"/>
    <w:rsid w:val="000206BA"/>
    <w:rsid w:val="0002234A"/>
    <w:rsid w:val="00022BC5"/>
    <w:rsid w:val="000239AF"/>
    <w:rsid w:val="00024112"/>
    <w:rsid w:val="000241E6"/>
    <w:rsid w:val="000248F5"/>
    <w:rsid w:val="0002508B"/>
    <w:rsid w:val="00025B1A"/>
    <w:rsid w:val="00027072"/>
    <w:rsid w:val="000271AB"/>
    <w:rsid w:val="000275A0"/>
    <w:rsid w:val="00034BDA"/>
    <w:rsid w:val="00035090"/>
    <w:rsid w:val="00035318"/>
    <w:rsid w:val="00037F0A"/>
    <w:rsid w:val="0004048E"/>
    <w:rsid w:val="00040A73"/>
    <w:rsid w:val="00041294"/>
    <w:rsid w:val="00042582"/>
    <w:rsid w:val="00044F2F"/>
    <w:rsid w:val="00047255"/>
    <w:rsid w:val="00047BCA"/>
    <w:rsid w:val="000511DA"/>
    <w:rsid w:val="00053989"/>
    <w:rsid w:val="00057908"/>
    <w:rsid w:val="00057FFA"/>
    <w:rsid w:val="00061060"/>
    <w:rsid w:val="000613B4"/>
    <w:rsid w:val="00061786"/>
    <w:rsid w:val="00061B01"/>
    <w:rsid w:val="00062602"/>
    <w:rsid w:val="000635C2"/>
    <w:rsid w:val="000639DD"/>
    <w:rsid w:val="000664B5"/>
    <w:rsid w:val="00066685"/>
    <w:rsid w:val="00066D4B"/>
    <w:rsid w:val="00070220"/>
    <w:rsid w:val="00071D4E"/>
    <w:rsid w:val="000724FF"/>
    <w:rsid w:val="00073045"/>
    <w:rsid w:val="00073225"/>
    <w:rsid w:val="00073589"/>
    <w:rsid w:val="000741F8"/>
    <w:rsid w:val="00074F1E"/>
    <w:rsid w:val="00075859"/>
    <w:rsid w:val="00075D0B"/>
    <w:rsid w:val="00076289"/>
    <w:rsid w:val="00076FB8"/>
    <w:rsid w:val="00080066"/>
    <w:rsid w:val="00081796"/>
    <w:rsid w:val="0008195C"/>
    <w:rsid w:val="00082203"/>
    <w:rsid w:val="000823B6"/>
    <w:rsid w:val="00082A99"/>
    <w:rsid w:val="00082F38"/>
    <w:rsid w:val="00083028"/>
    <w:rsid w:val="0008309A"/>
    <w:rsid w:val="00086A01"/>
    <w:rsid w:val="00086A37"/>
    <w:rsid w:val="00087541"/>
    <w:rsid w:val="00087BFF"/>
    <w:rsid w:val="00087D6B"/>
    <w:rsid w:val="00087E38"/>
    <w:rsid w:val="00090DEF"/>
    <w:rsid w:val="00091065"/>
    <w:rsid w:val="0009161B"/>
    <w:rsid w:val="0009175C"/>
    <w:rsid w:val="000945FF"/>
    <w:rsid w:val="000959CB"/>
    <w:rsid w:val="00095B79"/>
    <w:rsid w:val="00096093"/>
    <w:rsid w:val="00096227"/>
    <w:rsid w:val="0009664E"/>
    <w:rsid w:val="00097DFC"/>
    <w:rsid w:val="000A11E3"/>
    <w:rsid w:val="000A19F0"/>
    <w:rsid w:val="000A2281"/>
    <w:rsid w:val="000A33B9"/>
    <w:rsid w:val="000A62A4"/>
    <w:rsid w:val="000A6BD6"/>
    <w:rsid w:val="000A6D2A"/>
    <w:rsid w:val="000A6EDE"/>
    <w:rsid w:val="000A7748"/>
    <w:rsid w:val="000B0134"/>
    <w:rsid w:val="000B1150"/>
    <w:rsid w:val="000B1D0F"/>
    <w:rsid w:val="000B1ED2"/>
    <w:rsid w:val="000B2274"/>
    <w:rsid w:val="000B2769"/>
    <w:rsid w:val="000B4896"/>
    <w:rsid w:val="000B5BAA"/>
    <w:rsid w:val="000B6941"/>
    <w:rsid w:val="000B699E"/>
    <w:rsid w:val="000B743E"/>
    <w:rsid w:val="000B75DD"/>
    <w:rsid w:val="000C00AA"/>
    <w:rsid w:val="000C083B"/>
    <w:rsid w:val="000C3479"/>
    <w:rsid w:val="000C35FD"/>
    <w:rsid w:val="000C38A4"/>
    <w:rsid w:val="000C46DF"/>
    <w:rsid w:val="000C4BFD"/>
    <w:rsid w:val="000C5118"/>
    <w:rsid w:val="000C55A4"/>
    <w:rsid w:val="000C59F0"/>
    <w:rsid w:val="000C7152"/>
    <w:rsid w:val="000C78B5"/>
    <w:rsid w:val="000C7A58"/>
    <w:rsid w:val="000C7A9E"/>
    <w:rsid w:val="000D087F"/>
    <w:rsid w:val="000D0CF9"/>
    <w:rsid w:val="000D1F2C"/>
    <w:rsid w:val="000D21D8"/>
    <w:rsid w:val="000D27C6"/>
    <w:rsid w:val="000D3394"/>
    <w:rsid w:val="000D3B3C"/>
    <w:rsid w:val="000D4D36"/>
    <w:rsid w:val="000D53EF"/>
    <w:rsid w:val="000D5DC2"/>
    <w:rsid w:val="000D71DD"/>
    <w:rsid w:val="000E0060"/>
    <w:rsid w:val="000E1483"/>
    <w:rsid w:val="000E1DDF"/>
    <w:rsid w:val="000E1FDF"/>
    <w:rsid w:val="000E2A1B"/>
    <w:rsid w:val="000E3816"/>
    <w:rsid w:val="000E447B"/>
    <w:rsid w:val="000E4DEF"/>
    <w:rsid w:val="000E5258"/>
    <w:rsid w:val="000E5C8A"/>
    <w:rsid w:val="000E6C8E"/>
    <w:rsid w:val="000E77F9"/>
    <w:rsid w:val="000F0451"/>
    <w:rsid w:val="000F160B"/>
    <w:rsid w:val="000F1A33"/>
    <w:rsid w:val="000F1AB6"/>
    <w:rsid w:val="000F30B7"/>
    <w:rsid w:val="000F56D9"/>
    <w:rsid w:val="000F5AB5"/>
    <w:rsid w:val="000F5EC0"/>
    <w:rsid w:val="000F7114"/>
    <w:rsid w:val="000F734A"/>
    <w:rsid w:val="00100BA9"/>
    <w:rsid w:val="001013DC"/>
    <w:rsid w:val="00101F97"/>
    <w:rsid w:val="001034FE"/>
    <w:rsid w:val="001044B8"/>
    <w:rsid w:val="00105ACE"/>
    <w:rsid w:val="00105E5F"/>
    <w:rsid w:val="00105EA2"/>
    <w:rsid w:val="001060DE"/>
    <w:rsid w:val="00107608"/>
    <w:rsid w:val="00107A5D"/>
    <w:rsid w:val="00110203"/>
    <w:rsid w:val="001105D1"/>
    <w:rsid w:val="00111654"/>
    <w:rsid w:val="00111C83"/>
    <w:rsid w:val="00112A94"/>
    <w:rsid w:val="00112AD9"/>
    <w:rsid w:val="001135F3"/>
    <w:rsid w:val="001145B4"/>
    <w:rsid w:val="00115896"/>
    <w:rsid w:val="001159F7"/>
    <w:rsid w:val="00120893"/>
    <w:rsid w:val="001250EA"/>
    <w:rsid w:val="00125CDD"/>
    <w:rsid w:val="00125CEE"/>
    <w:rsid w:val="00125CF1"/>
    <w:rsid w:val="001278E3"/>
    <w:rsid w:val="00130A79"/>
    <w:rsid w:val="00131672"/>
    <w:rsid w:val="0013242A"/>
    <w:rsid w:val="00132A60"/>
    <w:rsid w:val="00136194"/>
    <w:rsid w:val="00136938"/>
    <w:rsid w:val="00136EF7"/>
    <w:rsid w:val="0013731C"/>
    <w:rsid w:val="00137EC8"/>
    <w:rsid w:val="001400DB"/>
    <w:rsid w:val="00140CDB"/>
    <w:rsid w:val="001412CA"/>
    <w:rsid w:val="001413B0"/>
    <w:rsid w:val="0014529A"/>
    <w:rsid w:val="0014591D"/>
    <w:rsid w:val="00145BD4"/>
    <w:rsid w:val="00147090"/>
    <w:rsid w:val="00147C7B"/>
    <w:rsid w:val="001500AE"/>
    <w:rsid w:val="001502DE"/>
    <w:rsid w:val="0015038D"/>
    <w:rsid w:val="0015142D"/>
    <w:rsid w:val="00151CBF"/>
    <w:rsid w:val="00152669"/>
    <w:rsid w:val="00152D78"/>
    <w:rsid w:val="0015364F"/>
    <w:rsid w:val="00154735"/>
    <w:rsid w:val="00154E5B"/>
    <w:rsid w:val="00155E3A"/>
    <w:rsid w:val="00155F23"/>
    <w:rsid w:val="00157188"/>
    <w:rsid w:val="00162F00"/>
    <w:rsid w:val="001648B4"/>
    <w:rsid w:val="001665C7"/>
    <w:rsid w:val="00167621"/>
    <w:rsid w:val="00167E1B"/>
    <w:rsid w:val="00170A4E"/>
    <w:rsid w:val="00170CE8"/>
    <w:rsid w:val="00172158"/>
    <w:rsid w:val="0017297B"/>
    <w:rsid w:val="00172AAE"/>
    <w:rsid w:val="001737A0"/>
    <w:rsid w:val="00173F90"/>
    <w:rsid w:val="00174B87"/>
    <w:rsid w:val="00175282"/>
    <w:rsid w:val="001754BD"/>
    <w:rsid w:val="00176083"/>
    <w:rsid w:val="00176AED"/>
    <w:rsid w:val="00176EA2"/>
    <w:rsid w:val="00180D41"/>
    <w:rsid w:val="00180E22"/>
    <w:rsid w:val="00180EA6"/>
    <w:rsid w:val="00183063"/>
    <w:rsid w:val="0018336E"/>
    <w:rsid w:val="00183E84"/>
    <w:rsid w:val="001847AC"/>
    <w:rsid w:val="0018578C"/>
    <w:rsid w:val="00185B77"/>
    <w:rsid w:val="0018608E"/>
    <w:rsid w:val="0018658A"/>
    <w:rsid w:val="001913E3"/>
    <w:rsid w:val="0019160C"/>
    <w:rsid w:val="00192B7E"/>
    <w:rsid w:val="0019397A"/>
    <w:rsid w:val="001944FF"/>
    <w:rsid w:val="00194577"/>
    <w:rsid w:val="0019671E"/>
    <w:rsid w:val="00196FBE"/>
    <w:rsid w:val="00197064"/>
    <w:rsid w:val="0019792C"/>
    <w:rsid w:val="001A0310"/>
    <w:rsid w:val="001A0A48"/>
    <w:rsid w:val="001A158D"/>
    <w:rsid w:val="001A2C46"/>
    <w:rsid w:val="001A5BF5"/>
    <w:rsid w:val="001A5D8E"/>
    <w:rsid w:val="001A728B"/>
    <w:rsid w:val="001B02DC"/>
    <w:rsid w:val="001B0569"/>
    <w:rsid w:val="001B18A6"/>
    <w:rsid w:val="001B2BE1"/>
    <w:rsid w:val="001B2CB8"/>
    <w:rsid w:val="001B4541"/>
    <w:rsid w:val="001B4FAD"/>
    <w:rsid w:val="001B5013"/>
    <w:rsid w:val="001B69D6"/>
    <w:rsid w:val="001B6CB3"/>
    <w:rsid w:val="001B6E47"/>
    <w:rsid w:val="001C06F0"/>
    <w:rsid w:val="001C1E97"/>
    <w:rsid w:val="001C2E5E"/>
    <w:rsid w:val="001C36A8"/>
    <w:rsid w:val="001C3BD3"/>
    <w:rsid w:val="001C44FC"/>
    <w:rsid w:val="001C4B8E"/>
    <w:rsid w:val="001C4D51"/>
    <w:rsid w:val="001C4DAF"/>
    <w:rsid w:val="001C6AF3"/>
    <w:rsid w:val="001C6E29"/>
    <w:rsid w:val="001C71C9"/>
    <w:rsid w:val="001C7C42"/>
    <w:rsid w:val="001C7E36"/>
    <w:rsid w:val="001D0651"/>
    <w:rsid w:val="001D0B03"/>
    <w:rsid w:val="001D0FEB"/>
    <w:rsid w:val="001D1997"/>
    <w:rsid w:val="001D1D1E"/>
    <w:rsid w:val="001D2FAD"/>
    <w:rsid w:val="001D4A12"/>
    <w:rsid w:val="001D4C4A"/>
    <w:rsid w:val="001D5539"/>
    <w:rsid w:val="001D6CE2"/>
    <w:rsid w:val="001E089E"/>
    <w:rsid w:val="001E1153"/>
    <w:rsid w:val="001E32C3"/>
    <w:rsid w:val="001E360D"/>
    <w:rsid w:val="001E684F"/>
    <w:rsid w:val="001F141C"/>
    <w:rsid w:val="001F1F9A"/>
    <w:rsid w:val="001F205F"/>
    <w:rsid w:val="001F283F"/>
    <w:rsid w:val="001F2D4F"/>
    <w:rsid w:val="001F53AA"/>
    <w:rsid w:val="001F56C7"/>
    <w:rsid w:val="001F6342"/>
    <w:rsid w:val="001F714A"/>
    <w:rsid w:val="001F7266"/>
    <w:rsid w:val="001F7E62"/>
    <w:rsid w:val="002009EC"/>
    <w:rsid w:val="00200B5D"/>
    <w:rsid w:val="00200EC8"/>
    <w:rsid w:val="00201CEC"/>
    <w:rsid w:val="002020EF"/>
    <w:rsid w:val="00202942"/>
    <w:rsid w:val="00202F67"/>
    <w:rsid w:val="0020492A"/>
    <w:rsid w:val="00207AC0"/>
    <w:rsid w:val="00210160"/>
    <w:rsid w:val="00210D10"/>
    <w:rsid w:val="00210E04"/>
    <w:rsid w:val="00211D69"/>
    <w:rsid w:val="0021267F"/>
    <w:rsid w:val="00212BCA"/>
    <w:rsid w:val="0021351B"/>
    <w:rsid w:val="00213977"/>
    <w:rsid w:val="00214325"/>
    <w:rsid w:val="0021500E"/>
    <w:rsid w:val="00215434"/>
    <w:rsid w:val="002167CD"/>
    <w:rsid w:val="002207DC"/>
    <w:rsid w:val="00220DC5"/>
    <w:rsid w:val="002214FF"/>
    <w:rsid w:val="0022163A"/>
    <w:rsid w:val="00221B33"/>
    <w:rsid w:val="00222AB7"/>
    <w:rsid w:val="00222CFF"/>
    <w:rsid w:val="00224E6D"/>
    <w:rsid w:val="002252CF"/>
    <w:rsid w:val="00225865"/>
    <w:rsid w:val="00225E76"/>
    <w:rsid w:val="00226D37"/>
    <w:rsid w:val="00226DBA"/>
    <w:rsid w:val="00231CAF"/>
    <w:rsid w:val="00232621"/>
    <w:rsid w:val="002330BB"/>
    <w:rsid w:val="002349D9"/>
    <w:rsid w:val="00235475"/>
    <w:rsid w:val="00235796"/>
    <w:rsid w:val="00237009"/>
    <w:rsid w:val="002376B3"/>
    <w:rsid w:val="00240373"/>
    <w:rsid w:val="00240428"/>
    <w:rsid w:val="00240BF6"/>
    <w:rsid w:val="00240D4C"/>
    <w:rsid w:val="00241335"/>
    <w:rsid w:val="00242BD9"/>
    <w:rsid w:val="00243BD9"/>
    <w:rsid w:val="00243E77"/>
    <w:rsid w:val="00245246"/>
    <w:rsid w:val="0024541D"/>
    <w:rsid w:val="00245B8E"/>
    <w:rsid w:val="002463A3"/>
    <w:rsid w:val="00247785"/>
    <w:rsid w:val="00250A4F"/>
    <w:rsid w:val="00251C22"/>
    <w:rsid w:val="00251D29"/>
    <w:rsid w:val="00253A25"/>
    <w:rsid w:val="00253DBB"/>
    <w:rsid w:val="00253FB9"/>
    <w:rsid w:val="00254671"/>
    <w:rsid w:val="00256CE7"/>
    <w:rsid w:val="00257798"/>
    <w:rsid w:val="00257E9A"/>
    <w:rsid w:val="002602C8"/>
    <w:rsid w:val="0026104F"/>
    <w:rsid w:val="00262D8E"/>
    <w:rsid w:val="00263479"/>
    <w:rsid w:val="002642F6"/>
    <w:rsid w:val="00264CE3"/>
    <w:rsid w:val="00265A52"/>
    <w:rsid w:val="00265E3D"/>
    <w:rsid w:val="0026685F"/>
    <w:rsid w:val="0026714D"/>
    <w:rsid w:val="00267198"/>
    <w:rsid w:val="0027331C"/>
    <w:rsid w:val="0027449D"/>
    <w:rsid w:val="00274B0E"/>
    <w:rsid w:val="002769E4"/>
    <w:rsid w:val="0028018C"/>
    <w:rsid w:val="002803F7"/>
    <w:rsid w:val="00282864"/>
    <w:rsid w:val="00283202"/>
    <w:rsid w:val="002835D2"/>
    <w:rsid w:val="00284369"/>
    <w:rsid w:val="00284680"/>
    <w:rsid w:val="00284C14"/>
    <w:rsid w:val="00287B75"/>
    <w:rsid w:val="00290FAA"/>
    <w:rsid w:val="002923A0"/>
    <w:rsid w:val="002932A0"/>
    <w:rsid w:val="002935D0"/>
    <w:rsid w:val="002950D6"/>
    <w:rsid w:val="0029529E"/>
    <w:rsid w:val="00295DCD"/>
    <w:rsid w:val="00295E9E"/>
    <w:rsid w:val="00296C22"/>
    <w:rsid w:val="002978B9"/>
    <w:rsid w:val="00297916"/>
    <w:rsid w:val="002A04A0"/>
    <w:rsid w:val="002A39A3"/>
    <w:rsid w:val="002A39CE"/>
    <w:rsid w:val="002A5D53"/>
    <w:rsid w:val="002A6570"/>
    <w:rsid w:val="002B0244"/>
    <w:rsid w:val="002B0463"/>
    <w:rsid w:val="002B08A3"/>
    <w:rsid w:val="002B258E"/>
    <w:rsid w:val="002B2A6D"/>
    <w:rsid w:val="002B3777"/>
    <w:rsid w:val="002B3E37"/>
    <w:rsid w:val="002B4178"/>
    <w:rsid w:val="002B4D2F"/>
    <w:rsid w:val="002C03ED"/>
    <w:rsid w:val="002C0710"/>
    <w:rsid w:val="002C0FD2"/>
    <w:rsid w:val="002C2B2E"/>
    <w:rsid w:val="002C2CF9"/>
    <w:rsid w:val="002C303F"/>
    <w:rsid w:val="002C36F4"/>
    <w:rsid w:val="002C3977"/>
    <w:rsid w:val="002C5822"/>
    <w:rsid w:val="002C63C9"/>
    <w:rsid w:val="002D11EA"/>
    <w:rsid w:val="002D125F"/>
    <w:rsid w:val="002D1F8B"/>
    <w:rsid w:val="002D2F74"/>
    <w:rsid w:val="002D534E"/>
    <w:rsid w:val="002D53B4"/>
    <w:rsid w:val="002D53E4"/>
    <w:rsid w:val="002D553A"/>
    <w:rsid w:val="002D5FD2"/>
    <w:rsid w:val="002D66A0"/>
    <w:rsid w:val="002D78DD"/>
    <w:rsid w:val="002E0549"/>
    <w:rsid w:val="002E0856"/>
    <w:rsid w:val="002E15D7"/>
    <w:rsid w:val="002E1A0E"/>
    <w:rsid w:val="002E1C33"/>
    <w:rsid w:val="002E53F9"/>
    <w:rsid w:val="002E5BE6"/>
    <w:rsid w:val="002E6960"/>
    <w:rsid w:val="002E7CCD"/>
    <w:rsid w:val="002F07FE"/>
    <w:rsid w:val="002F207D"/>
    <w:rsid w:val="002F27B6"/>
    <w:rsid w:val="002F2827"/>
    <w:rsid w:val="002F2B8D"/>
    <w:rsid w:val="002F38F8"/>
    <w:rsid w:val="002F4014"/>
    <w:rsid w:val="002F404F"/>
    <w:rsid w:val="002F46BA"/>
    <w:rsid w:val="002F5CC3"/>
    <w:rsid w:val="002F6BAD"/>
    <w:rsid w:val="002F6CD1"/>
    <w:rsid w:val="002F7487"/>
    <w:rsid w:val="00301604"/>
    <w:rsid w:val="00302C06"/>
    <w:rsid w:val="00302D86"/>
    <w:rsid w:val="00304633"/>
    <w:rsid w:val="00304999"/>
    <w:rsid w:val="00305B3A"/>
    <w:rsid w:val="003070EF"/>
    <w:rsid w:val="00307EF6"/>
    <w:rsid w:val="003103A0"/>
    <w:rsid w:val="00310572"/>
    <w:rsid w:val="003105BD"/>
    <w:rsid w:val="0031223B"/>
    <w:rsid w:val="0031578C"/>
    <w:rsid w:val="00316E94"/>
    <w:rsid w:val="00316FB0"/>
    <w:rsid w:val="0031716C"/>
    <w:rsid w:val="00317B96"/>
    <w:rsid w:val="00317E5A"/>
    <w:rsid w:val="0032102A"/>
    <w:rsid w:val="003211FC"/>
    <w:rsid w:val="00321B3D"/>
    <w:rsid w:val="0032218B"/>
    <w:rsid w:val="00323478"/>
    <w:rsid w:val="00324305"/>
    <w:rsid w:val="003244D4"/>
    <w:rsid w:val="003245C1"/>
    <w:rsid w:val="00324A5E"/>
    <w:rsid w:val="00326E24"/>
    <w:rsid w:val="003275E6"/>
    <w:rsid w:val="00327EE7"/>
    <w:rsid w:val="0033116B"/>
    <w:rsid w:val="0033359F"/>
    <w:rsid w:val="003339E1"/>
    <w:rsid w:val="00334A5A"/>
    <w:rsid w:val="00335D49"/>
    <w:rsid w:val="00337985"/>
    <w:rsid w:val="003405A7"/>
    <w:rsid w:val="003407D1"/>
    <w:rsid w:val="00341806"/>
    <w:rsid w:val="0034415C"/>
    <w:rsid w:val="003455CF"/>
    <w:rsid w:val="003469A9"/>
    <w:rsid w:val="00347330"/>
    <w:rsid w:val="00347498"/>
    <w:rsid w:val="00347BC6"/>
    <w:rsid w:val="00353168"/>
    <w:rsid w:val="003544D3"/>
    <w:rsid w:val="00355B11"/>
    <w:rsid w:val="00355C05"/>
    <w:rsid w:val="00355C6B"/>
    <w:rsid w:val="003569EB"/>
    <w:rsid w:val="00357388"/>
    <w:rsid w:val="003578C4"/>
    <w:rsid w:val="003606BC"/>
    <w:rsid w:val="00360A1D"/>
    <w:rsid w:val="00360E8F"/>
    <w:rsid w:val="00361BE5"/>
    <w:rsid w:val="00361F1C"/>
    <w:rsid w:val="00362599"/>
    <w:rsid w:val="00362B85"/>
    <w:rsid w:val="00363733"/>
    <w:rsid w:val="00364072"/>
    <w:rsid w:val="003642C0"/>
    <w:rsid w:val="00364572"/>
    <w:rsid w:val="00364DE9"/>
    <w:rsid w:val="00366290"/>
    <w:rsid w:val="00366B8B"/>
    <w:rsid w:val="00367F07"/>
    <w:rsid w:val="00372397"/>
    <w:rsid w:val="003727FC"/>
    <w:rsid w:val="0037453F"/>
    <w:rsid w:val="003748E6"/>
    <w:rsid w:val="00377F3F"/>
    <w:rsid w:val="00380A78"/>
    <w:rsid w:val="00381328"/>
    <w:rsid w:val="00382EEF"/>
    <w:rsid w:val="00383165"/>
    <w:rsid w:val="00383BB1"/>
    <w:rsid w:val="00384A5F"/>
    <w:rsid w:val="003851B3"/>
    <w:rsid w:val="00390C99"/>
    <w:rsid w:val="00391F3B"/>
    <w:rsid w:val="0039268C"/>
    <w:rsid w:val="0039278F"/>
    <w:rsid w:val="00393395"/>
    <w:rsid w:val="003933EA"/>
    <w:rsid w:val="00393F8E"/>
    <w:rsid w:val="003945A2"/>
    <w:rsid w:val="003946D2"/>
    <w:rsid w:val="003948F4"/>
    <w:rsid w:val="00395DCF"/>
    <w:rsid w:val="00396A4E"/>
    <w:rsid w:val="00397477"/>
    <w:rsid w:val="003A0B02"/>
    <w:rsid w:val="003A11B8"/>
    <w:rsid w:val="003A29B3"/>
    <w:rsid w:val="003A2D38"/>
    <w:rsid w:val="003A3395"/>
    <w:rsid w:val="003A4942"/>
    <w:rsid w:val="003A51F6"/>
    <w:rsid w:val="003A564C"/>
    <w:rsid w:val="003A6E76"/>
    <w:rsid w:val="003A72E2"/>
    <w:rsid w:val="003B0A24"/>
    <w:rsid w:val="003B166B"/>
    <w:rsid w:val="003B1E02"/>
    <w:rsid w:val="003B3A90"/>
    <w:rsid w:val="003B5571"/>
    <w:rsid w:val="003B5B6A"/>
    <w:rsid w:val="003B67E5"/>
    <w:rsid w:val="003B748B"/>
    <w:rsid w:val="003B75A5"/>
    <w:rsid w:val="003C04C0"/>
    <w:rsid w:val="003C0526"/>
    <w:rsid w:val="003C07D1"/>
    <w:rsid w:val="003C0C7C"/>
    <w:rsid w:val="003C101C"/>
    <w:rsid w:val="003C29EE"/>
    <w:rsid w:val="003C2B51"/>
    <w:rsid w:val="003C3DE8"/>
    <w:rsid w:val="003C41CC"/>
    <w:rsid w:val="003C4743"/>
    <w:rsid w:val="003C735C"/>
    <w:rsid w:val="003D059F"/>
    <w:rsid w:val="003D06F8"/>
    <w:rsid w:val="003D089B"/>
    <w:rsid w:val="003D1301"/>
    <w:rsid w:val="003D185D"/>
    <w:rsid w:val="003D45A3"/>
    <w:rsid w:val="003D4C20"/>
    <w:rsid w:val="003D4E52"/>
    <w:rsid w:val="003D768C"/>
    <w:rsid w:val="003E0A8F"/>
    <w:rsid w:val="003E2609"/>
    <w:rsid w:val="003E2C28"/>
    <w:rsid w:val="003E2D8F"/>
    <w:rsid w:val="003E395F"/>
    <w:rsid w:val="003E3A93"/>
    <w:rsid w:val="003E3B54"/>
    <w:rsid w:val="003E46FA"/>
    <w:rsid w:val="003E655A"/>
    <w:rsid w:val="003E6F70"/>
    <w:rsid w:val="003E7C2D"/>
    <w:rsid w:val="003F0F2C"/>
    <w:rsid w:val="003F1292"/>
    <w:rsid w:val="003F190E"/>
    <w:rsid w:val="003F2B13"/>
    <w:rsid w:val="003F40E0"/>
    <w:rsid w:val="003F4D2D"/>
    <w:rsid w:val="003F4DC2"/>
    <w:rsid w:val="003F57A1"/>
    <w:rsid w:val="003F63FB"/>
    <w:rsid w:val="003F7B71"/>
    <w:rsid w:val="004014F5"/>
    <w:rsid w:val="004029A1"/>
    <w:rsid w:val="0040348F"/>
    <w:rsid w:val="00403B84"/>
    <w:rsid w:val="004040D5"/>
    <w:rsid w:val="00406414"/>
    <w:rsid w:val="004070D4"/>
    <w:rsid w:val="004072D6"/>
    <w:rsid w:val="00407A0E"/>
    <w:rsid w:val="00410A23"/>
    <w:rsid w:val="00411A60"/>
    <w:rsid w:val="004120C0"/>
    <w:rsid w:val="004124B8"/>
    <w:rsid w:val="0041303E"/>
    <w:rsid w:val="00413245"/>
    <w:rsid w:val="004147C4"/>
    <w:rsid w:val="004155D6"/>
    <w:rsid w:val="0041566D"/>
    <w:rsid w:val="004158F4"/>
    <w:rsid w:val="00415907"/>
    <w:rsid w:val="00415A43"/>
    <w:rsid w:val="0041786D"/>
    <w:rsid w:val="00417C29"/>
    <w:rsid w:val="00417E91"/>
    <w:rsid w:val="0042072A"/>
    <w:rsid w:val="0042095D"/>
    <w:rsid w:val="004225D1"/>
    <w:rsid w:val="00423361"/>
    <w:rsid w:val="004238EB"/>
    <w:rsid w:val="0042553C"/>
    <w:rsid w:val="00425B70"/>
    <w:rsid w:val="00425E89"/>
    <w:rsid w:val="004273BD"/>
    <w:rsid w:val="004304EC"/>
    <w:rsid w:val="00431424"/>
    <w:rsid w:val="00431A32"/>
    <w:rsid w:val="00431AF5"/>
    <w:rsid w:val="00432EBB"/>
    <w:rsid w:val="004343B3"/>
    <w:rsid w:val="00435368"/>
    <w:rsid w:val="00441661"/>
    <w:rsid w:val="00443538"/>
    <w:rsid w:val="00443EF7"/>
    <w:rsid w:val="0044730D"/>
    <w:rsid w:val="00447A4C"/>
    <w:rsid w:val="004508AF"/>
    <w:rsid w:val="00451309"/>
    <w:rsid w:val="00453113"/>
    <w:rsid w:val="00455280"/>
    <w:rsid w:val="00456225"/>
    <w:rsid w:val="004578EE"/>
    <w:rsid w:val="0046021F"/>
    <w:rsid w:val="004628CF"/>
    <w:rsid w:val="00462C61"/>
    <w:rsid w:val="00463E5F"/>
    <w:rsid w:val="00471DFE"/>
    <w:rsid w:val="0047221B"/>
    <w:rsid w:val="00472D1D"/>
    <w:rsid w:val="004772D0"/>
    <w:rsid w:val="0047733A"/>
    <w:rsid w:val="00477381"/>
    <w:rsid w:val="004773CB"/>
    <w:rsid w:val="00477523"/>
    <w:rsid w:val="00481D46"/>
    <w:rsid w:val="004824BE"/>
    <w:rsid w:val="00484811"/>
    <w:rsid w:val="00484DEE"/>
    <w:rsid w:val="00485C4F"/>
    <w:rsid w:val="004861B4"/>
    <w:rsid w:val="0048627D"/>
    <w:rsid w:val="00486BC3"/>
    <w:rsid w:val="00487B59"/>
    <w:rsid w:val="00487C0F"/>
    <w:rsid w:val="00491F2E"/>
    <w:rsid w:val="00492091"/>
    <w:rsid w:val="00492608"/>
    <w:rsid w:val="00492D29"/>
    <w:rsid w:val="00493122"/>
    <w:rsid w:val="0049369C"/>
    <w:rsid w:val="00494834"/>
    <w:rsid w:val="0049502D"/>
    <w:rsid w:val="004950AA"/>
    <w:rsid w:val="00496C01"/>
    <w:rsid w:val="004A04FD"/>
    <w:rsid w:val="004A37D9"/>
    <w:rsid w:val="004A4092"/>
    <w:rsid w:val="004A47D3"/>
    <w:rsid w:val="004A4EB2"/>
    <w:rsid w:val="004A54C0"/>
    <w:rsid w:val="004A591A"/>
    <w:rsid w:val="004A7090"/>
    <w:rsid w:val="004A7D07"/>
    <w:rsid w:val="004B27AE"/>
    <w:rsid w:val="004B4490"/>
    <w:rsid w:val="004B5154"/>
    <w:rsid w:val="004B52F9"/>
    <w:rsid w:val="004B5BB5"/>
    <w:rsid w:val="004B6D03"/>
    <w:rsid w:val="004B72C5"/>
    <w:rsid w:val="004B7549"/>
    <w:rsid w:val="004B7E6C"/>
    <w:rsid w:val="004B7EC2"/>
    <w:rsid w:val="004B7FC8"/>
    <w:rsid w:val="004C147B"/>
    <w:rsid w:val="004C1873"/>
    <w:rsid w:val="004C5082"/>
    <w:rsid w:val="004C6474"/>
    <w:rsid w:val="004C70C9"/>
    <w:rsid w:val="004C71F7"/>
    <w:rsid w:val="004C7C8A"/>
    <w:rsid w:val="004D0F81"/>
    <w:rsid w:val="004D101D"/>
    <w:rsid w:val="004D236C"/>
    <w:rsid w:val="004D378B"/>
    <w:rsid w:val="004D6520"/>
    <w:rsid w:val="004D76D2"/>
    <w:rsid w:val="004E0905"/>
    <w:rsid w:val="004E0A8B"/>
    <w:rsid w:val="004E1275"/>
    <w:rsid w:val="004E202D"/>
    <w:rsid w:val="004E2840"/>
    <w:rsid w:val="004E2F46"/>
    <w:rsid w:val="004E32A4"/>
    <w:rsid w:val="004E35D6"/>
    <w:rsid w:val="004E4ADE"/>
    <w:rsid w:val="004E5D54"/>
    <w:rsid w:val="004E5E83"/>
    <w:rsid w:val="004E5EB1"/>
    <w:rsid w:val="004E6779"/>
    <w:rsid w:val="004E6C04"/>
    <w:rsid w:val="004E7D6D"/>
    <w:rsid w:val="004F058D"/>
    <w:rsid w:val="004F05E2"/>
    <w:rsid w:val="004F1885"/>
    <w:rsid w:val="004F1D8D"/>
    <w:rsid w:val="004F2450"/>
    <w:rsid w:val="004F2C0B"/>
    <w:rsid w:val="004F3C21"/>
    <w:rsid w:val="004F432D"/>
    <w:rsid w:val="004F43E5"/>
    <w:rsid w:val="004F5102"/>
    <w:rsid w:val="004F5EFA"/>
    <w:rsid w:val="004F6180"/>
    <w:rsid w:val="004F6EBB"/>
    <w:rsid w:val="004F768E"/>
    <w:rsid w:val="005015E3"/>
    <w:rsid w:val="005023B5"/>
    <w:rsid w:val="00502F3F"/>
    <w:rsid w:val="00505440"/>
    <w:rsid w:val="0050592E"/>
    <w:rsid w:val="00506028"/>
    <w:rsid w:val="00506353"/>
    <w:rsid w:val="005078EF"/>
    <w:rsid w:val="00510F8F"/>
    <w:rsid w:val="00512653"/>
    <w:rsid w:val="00512C47"/>
    <w:rsid w:val="00512E0E"/>
    <w:rsid w:val="0051350C"/>
    <w:rsid w:val="00513DA1"/>
    <w:rsid w:val="00514515"/>
    <w:rsid w:val="00515307"/>
    <w:rsid w:val="00515D3D"/>
    <w:rsid w:val="00515F2D"/>
    <w:rsid w:val="00516122"/>
    <w:rsid w:val="00516CF5"/>
    <w:rsid w:val="00517897"/>
    <w:rsid w:val="00520241"/>
    <w:rsid w:val="00520684"/>
    <w:rsid w:val="005210FD"/>
    <w:rsid w:val="00522BBC"/>
    <w:rsid w:val="0052367D"/>
    <w:rsid w:val="00524015"/>
    <w:rsid w:val="0052461E"/>
    <w:rsid w:val="00525F31"/>
    <w:rsid w:val="0052674B"/>
    <w:rsid w:val="005268DB"/>
    <w:rsid w:val="00527261"/>
    <w:rsid w:val="00527350"/>
    <w:rsid w:val="00530A3C"/>
    <w:rsid w:val="0053183F"/>
    <w:rsid w:val="005327A5"/>
    <w:rsid w:val="00532E9B"/>
    <w:rsid w:val="00533C7B"/>
    <w:rsid w:val="005343DF"/>
    <w:rsid w:val="0054176B"/>
    <w:rsid w:val="00543D73"/>
    <w:rsid w:val="00543D8A"/>
    <w:rsid w:val="00545203"/>
    <w:rsid w:val="00546B4F"/>
    <w:rsid w:val="005505B9"/>
    <w:rsid w:val="0055142E"/>
    <w:rsid w:val="00551B90"/>
    <w:rsid w:val="005520FE"/>
    <w:rsid w:val="005529CC"/>
    <w:rsid w:val="00554727"/>
    <w:rsid w:val="00555301"/>
    <w:rsid w:val="00555AE3"/>
    <w:rsid w:val="00556AB4"/>
    <w:rsid w:val="00556F24"/>
    <w:rsid w:val="00560746"/>
    <w:rsid w:val="0056079F"/>
    <w:rsid w:val="00560E93"/>
    <w:rsid w:val="0056148E"/>
    <w:rsid w:val="005617DF"/>
    <w:rsid w:val="00561CBE"/>
    <w:rsid w:val="00563B8C"/>
    <w:rsid w:val="00564379"/>
    <w:rsid w:val="00564445"/>
    <w:rsid w:val="00564D8C"/>
    <w:rsid w:val="00566FBA"/>
    <w:rsid w:val="005706C1"/>
    <w:rsid w:val="00570AA4"/>
    <w:rsid w:val="0057125F"/>
    <w:rsid w:val="00572116"/>
    <w:rsid w:val="00574CD1"/>
    <w:rsid w:val="0057565A"/>
    <w:rsid w:val="00575AB2"/>
    <w:rsid w:val="0057731C"/>
    <w:rsid w:val="00577A88"/>
    <w:rsid w:val="00580E4D"/>
    <w:rsid w:val="00582714"/>
    <w:rsid w:val="0058368D"/>
    <w:rsid w:val="00583AF0"/>
    <w:rsid w:val="00585297"/>
    <w:rsid w:val="005852CE"/>
    <w:rsid w:val="0058784C"/>
    <w:rsid w:val="00587B1B"/>
    <w:rsid w:val="00590470"/>
    <w:rsid w:val="005906BA"/>
    <w:rsid w:val="00590901"/>
    <w:rsid w:val="00591268"/>
    <w:rsid w:val="0059251D"/>
    <w:rsid w:val="005926DC"/>
    <w:rsid w:val="005928A4"/>
    <w:rsid w:val="00592CBE"/>
    <w:rsid w:val="00593ED8"/>
    <w:rsid w:val="005945E9"/>
    <w:rsid w:val="005947EF"/>
    <w:rsid w:val="005958E6"/>
    <w:rsid w:val="00596F98"/>
    <w:rsid w:val="00597F8A"/>
    <w:rsid w:val="005A01BC"/>
    <w:rsid w:val="005A0BD1"/>
    <w:rsid w:val="005A15F7"/>
    <w:rsid w:val="005A2872"/>
    <w:rsid w:val="005A2DBF"/>
    <w:rsid w:val="005A4801"/>
    <w:rsid w:val="005A5746"/>
    <w:rsid w:val="005A6969"/>
    <w:rsid w:val="005A6C81"/>
    <w:rsid w:val="005A7648"/>
    <w:rsid w:val="005A77E9"/>
    <w:rsid w:val="005A7918"/>
    <w:rsid w:val="005B00E6"/>
    <w:rsid w:val="005B1971"/>
    <w:rsid w:val="005B1CCC"/>
    <w:rsid w:val="005B2501"/>
    <w:rsid w:val="005B3596"/>
    <w:rsid w:val="005B36B5"/>
    <w:rsid w:val="005B3A87"/>
    <w:rsid w:val="005B55B6"/>
    <w:rsid w:val="005B585C"/>
    <w:rsid w:val="005B5BA1"/>
    <w:rsid w:val="005B6603"/>
    <w:rsid w:val="005B714A"/>
    <w:rsid w:val="005B7730"/>
    <w:rsid w:val="005B79E3"/>
    <w:rsid w:val="005C0338"/>
    <w:rsid w:val="005C1985"/>
    <w:rsid w:val="005C27AF"/>
    <w:rsid w:val="005C2A9A"/>
    <w:rsid w:val="005C2EF6"/>
    <w:rsid w:val="005C3CC7"/>
    <w:rsid w:val="005C4D83"/>
    <w:rsid w:val="005C6730"/>
    <w:rsid w:val="005C7637"/>
    <w:rsid w:val="005C78ED"/>
    <w:rsid w:val="005C7CD8"/>
    <w:rsid w:val="005D1600"/>
    <w:rsid w:val="005D250A"/>
    <w:rsid w:val="005D4114"/>
    <w:rsid w:val="005D5A95"/>
    <w:rsid w:val="005D5B94"/>
    <w:rsid w:val="005D6DD6"/>
    <w:rsid w:val="005D6F4C"/>
    <w:rsid w:val="005E3972"/>
    <w:rsid w:val="005E3B93"/>
    <w:rsid w:val="005E43CE"/>
    <w:rsid w:val="005E52CE"/>
    <w:rsid w:val="005E7DBF"/>
    <w:rsid w:val="005E7F35"/>
    <w:rsid w:val="005F0847"/>
    <w:rsid w:val="005F186E"/>
    <w:rsid w:val="005F1E96"/>
    <w:rsid w:val="005F20A0"/>
    <w:rsid w:val="005F335F"/>
    <w:rsid w:val="005F4903"/>
    <w:rsid w:val="005F585D"/>
    <w:rsid w:val="005F6C8B"/>
    <w:rsid w:val="006028DF"/>
    <w:rsid w:val="00603486"/>
    <w:rsid w:val="00606F94"/>
    <w:rsid w:val="006071C2"/>
    <w:rsid w:val="006079C0"/>
    <w:rsid w:val="006100F9"/>
    <w:rsid w:val="00610687"/>
    <w:rsid w:val="00610A2B"/>
    <w:rsid w:val="00611504"/>
    <w:rsid w:val="00611FF7"/>
    <w:rsid w:val="00613600"/>
    <w:rsid w:val="00613C83"/>
    <w:rsid w:val="00614308"/>
    <w:rsid w:val="00616063"/>
    <w:rsid w:val="00616226"/>
    <w:rsid w:val="00616D38"/>
    <w:rsid w:val="00617907"/>
    <w:rsid w:val="006203DE"/>
    <w:rsid w:val="006223D7"/>
    <w:rsid w:val="00622A51"/>
    <w:rsid w:val="00623DF0"/>
    <w:rsid w:val="006245EA"/>
    <w:rsid w:val="00627020"/>
    <w:rsid w:val="00627278"/>
    <w:rsid w:val="006300FB"/>
    <w:rsid w:val="00630E1B"/>
    <w:rsid w:val="006326A7"/>
    <w:rsid w:val="00632B7E"/>
    <w:rsid w:val="00633CD7"/>
    <w:rsid w:val="0063466F"/>
    <w:rsid w:val="00634EBE"/>
    <w:rsid w:val="00635B20"/>
    <w:rsid w:val="00636906"/>
    <w:rsid w:val="00636919"/>
    <w:rsid w:val="00637590"/>
    <w:rsid w:val="00637644"/>
    <w:rsid w:val="00637925"/>
    <w:rsid w:val="006429FE"/>
    <w:rsid w:val="006446B6"/>
    <w:rsid w:val="006477C6"/>
    <w:rsid w:val="00647F4B"/>
    <w:rsid w:val="00650C6A"/>
    <w:rsid w:val="00651534"/>
    <w:rsid w:val="00651788"/>
    <w:rsid w:val="0065445E"/>
    <w:rsid w:val="006547F6"/>
    <w:rsid w:val="00654A27"/>
    <w:rsid w:val="00655C59"/>
    <w:rsid w:val="00655D42"/>
    <w:rsid w:val="006560A9"/>
    <w:rsid w:val="006573A1"/>
    <w:rsid w:val="00661080"/>
    <w:rsid w:val="0066148F"/>
    <w:rsid w:val="0066252B"/>
    <w:rsid w:val="00662940"/>
    <w:rsid w:val="00662CDA"/>
    <w:rsid w:val="006637FB"/>
    <w:rsid w:val="006640C7"/>
    <w:rsid w:val="006650DC"/>
    <w:rsid w:val="006664D8"/>
    <w:rsid w:val="00666EF9"/>
    <w:rsid w:val="00667995"/>
    <w:rsid w:val="00667FA0"/>
    <w:rsid w:val="00670566"/>
    <w:rsid w:val="00670BDB"/>
    <w:rsid w:val="00672497"/>
    <w:rsid w:val="0067258D"/>
    <w:rsid w:val="00672D0A"/>
    <w:rsid w:val="00673694"/>
    <w:rsid w:val="006737FD"/>
    <w:rsid w:val="00673F17"/>
    <w:rsid w:val="00674843"/>
    <w:rsid w:val="00674DE7"/>
    <w:rsid w:val="00675206"/>
    <w:rsid w:val="00675232"/>
    <w:rsid w:val="00675743"/>
    <w:rsid w:val="006757E1"/>
    <w:rsid w:val="00675B64"/>
    <w:rsid w:val="00676461"/>
    <w:rsid w:val="00677190"/>
    <w:rsid w:val="00682367"/>
    <w:rsid w:val="00683722"/>
    <w:rsid w:val="00684283"/>
    <w:rsid w:val="00684A96"/>
    <w:rsid w:val="0068558F"/>
    <w:rsid w:val="00685AA5"/>
    <w:rsid w:val="00686D94"/>
    <w:rsid w:val="00687454"/>
    <w:rsid w:val="00687915"/>
    <w:rsid w:val="00687E87"/>
    <w:rsid w:val="006900E5"/>
    <w:rsid w:val="00690FFA"/>
    <w:rsid w:val="0069163D"/>
    <w:rsid w:val="00692D56"/>
    <w:rsid w:val="0069394C"/>
    <w:rsid w:val="00693F84"/>
    <w:rsid w:val="0069415F"/>
    <w:rsid w:val="006949AE"/>
    <w:rsid w:val="006954C0"/>
    <w:rsid w:val="00695754"/>
    <w:rsid w:val="00696816"/>
    <w:rsid w:val="0069694C"/>
    <w:rsid w:val="006A173D"/>
    <w:rsid w:val="006A2360"/>
    <w:rsid w:val="006A2367"/>
    <w:rsid w:val="006A3294"/>
    <w:rsid w:val="006A42DC"/>
    <w:rsid w:val="006A457C"/>
    <w:rsid w:val="006A4D7E"/>
    <w:rsid w:val="006A4E3D"/>
    <w:rsid w:val="006A6FC2"/>
    <w:rsid w:val="006A75BF"/>
    <w:rsid w:val="006A7809"/>
    <w:rsid w:val="006B2629"/>
    <w:rsid w:val="006B2E9C"/>
    <w:rsid w:val="006B43DD"/>
    <w:rsid w:val="006B7087"/>
    <w:rsid w:val="006B7210"/>
    <w:rsid w:val="006B7907"/>
    <w:rsid w:val="006C0490"/>
    <w:rsid w:val="006C1C9C"/>
    <w:rsid w:val="006C23DC"/>
    <w:rsid w:val="006C2CA0"/>
    <w:rsid w:val="006C43FE"/>
    <w:rsid w:val="006C54DF"/>
    <w:rsid w:val="006C5E7C"/>
    <w:rsid w:val="006C606A"/>
    <w:rsid w:val="006C676D"/>
    <w:rsid w:val="006C6BD9"/>
    <w:rsid w:val="006D0E57"/>
    <w:rsid w:val="006D236F"/>
    <w:rsid w:val="006D25C9"/>
    <w:rsid w:val="006D2C61"/>
    <w:rsid w:val="006D3043"/>
    <w:rsid w:val="006D4505"/>
    <w:rsid w:val="006D4554"/>
    <w:rsid w:val="006D56A2"/>
    <w:rsid w:val="006D7EF4"/>
    <w:rsid w:val="006E0F70"/>
    <w:rsid w:val="006E14F5"/>
    <w:rsid w:val="006E1DCB"/>
    <w:rsid w:val="006E39EB"/>
    <w:rsid w:val="006E3E3D"/>
    <w:rsid w:val="006E3E3E"/>
    <w:rsid w:val="006E4832"/>
    <w:rsid w:val="006E4CA3"/>
    <w:rsid w:val="006E57B2"/>
    <w:rsid w:val="006E5BBC"/>
    <w:rsid w:val="006E6711"/>
    <w:rsid w:val="006E7177"/>
    <w:rsid w:val="006E766F"/>
    <w:rsid w:val="006F0391"/>
    <w:rsid w:val="006F179D"/>
    <w:rsid w:val="006F1B5E"/>
    <w:rsid w:val="006F64D5"/>
    <w:rsid w:val="006F6F0B"/>
    <w:rsid w:val="006F77A1"/>
    <w:rsid w:val="006F7F3B"/>
    <w:rsid w:val="007002E9"/>
    <w:rsid w:val="00700BFB"/>
    <w:rsid w:val="00703343"/>
    <w:rsid w:val="007036BC"/>
    <w:rsid w:val="00703730"/>
    <w:rsid w:val="00704D5C"/>
    <w:rsid w:val="007052F6"/>
    <w:rsid w:val="00705FD4"/>
    <w:rsid w:val="00706E86"/>
    <w:rsid w:val="0071003F"/>
    <w:rsid w:val="007115B0"/>
    <w:rsid w:val="007117B6"/>
    <w:rsid w:val="00711BD9"/>
    <w:rsid w:val="00711F19"/>
    <w:rsid w:val="00712D5B"/>
    <w:rsid w:val="00713B5A"/>
    <w:rsid w:val="007144E3"/>
    <w:rsid w:val="00714D72"/>
    <w:rsid w:val="00716F4F"/>
    <w:rsid w:val="00717627"/>
    <w:rsid w:val="00720C76"/>
    <w:rsid w:val="00720CBE"/>
    <w:rsid w:val="00722C4E"/>
    <w:rsid w:val="007257EE"/>
    <w:rsid w:val="00726199"/>
    <w:rsid w:val="007264F9"/>
    <w:rsid w:val="00727A67"/>
    <w:rsid w:val="00727B38"/>
    <w:rsid w:val="0073116A"/>
    <w:rsid w:val="007314EC"/>
    <w:rsid w:val="00732D9A"/>
    <w:rsid w:val="007347C0"/>
    <w:rsid w:val="00735E81"/>
    <w:rsid w:val="00736365"/>
    <w:rsid w:val="00736C96"/>
    <w:rsid w:val="00737A2F"/>
    <w:rsid w:val="00741079"/>
    <w:rsid w:val="00741DAC"/>
    <w:rsid w:val="00741EFE"/>
    <w:rsid w:val="007420C3"/>
    <w:rsid w:val="007430E4"/>
    <w:rsid w:val="00743494"/>
    <w:rsid w:val="00744BBC"/>
    <w:rsid w:val="007452CF"/>
    <w:rsid w:val="00745771"/>
    <w:rsid w:val="007460DD"/>
    <w:rsid w:val="00746633"/>
    <w:rsid w:val="007477F0"/>
    <w:rsid w:val="0075017C"/>
    <w:rsid w:val="0075018D"/>
    <w:rsid w:val="007503B1"/>
    <w:rsid w:val="00750C91"/>
    <w:rsid w:val="00751656"/>
    <w:rsid w:val="00751CD4"/>
    <w:rsid w:val="00751D96"/>
    <w:rsid w:val="00752997"/>
    <w:rsid w:val="00753774"/>
    <w:rsid w:val="00753778"/>
    <w:rsid w:val="00753EF3"/>
    <w:rsid w:val="00756648"/>
    <w:rsid w:val="0075777E"/>
    <w:rsid w:val="007618B7"/>
    <w:rsid w:val="00763F0E"/>
    <w:rsid w:val="00765CEC"/>
    <w:rsid w:val="00766295"/>
    <w:rsid w:val="00772E25"/>
    <w:rsid w:val="0077379D"/>
    <w:rsid w:val="00774564"/>
    <w:rsid w:val="00774A7C"/>
    <w:rsid w:val="00774B11"/>
    <w:rsid w:val="00776C92"/>
    <w:rsid w:val="00780AF1"/>
    <w:rsid w:val="007815B9"/>
    <w:rsid w:val="007825A3"/>
    <w:rsid w:val="00782AC1"/>
    <w:rsid w:val="00782D06"/>
    <w:rsid w:val="0078301C"/>
    <w:rsid w:val="0078461A"/>
    <w:rsid w:val="00785111"/>
    <w:rsid w:val="0078565F"/>
    <w:rsid w:val="00785BD4"/>
    <w:rsid w:val="00785CF5"/>
    <w:rsid w:val="00786E30"/>
    <w:rsid w:val="00787740"/>
    <w:rsid w:val="00790724"/>
    <w:rsid w:val="007908E9"/>
    <w:rsid w:val="00790F6A"/>
    <w:rsid w:val="00792AF1"/>
    <w:rsid w:val="00793899"/>
    <w:rsid w:val="007939C4"/>
    <w:rsid w:val="00794EF0"/>
    <w:rsid w:val="0079506A"/>
    <w:rsid w:val="0079693A"/>
    <w:rsid w:val="00796CB0"/>
    <w:rsid w:val="00796D36"/>
    <w:rsid w:val="00797894"/>
    <w:rsid w:val="007A1C46"/>
    <w:rsid w:val="007A27B1"/>
    <w:rsid w:val="007A2BE9"/>
    <w:rsid w:val="007A33FC"/>
    <w:rsid w:val="007A3F97"/>
    <w:rsid w:val="007A413E"/>
    <w:rsid w:val="007A4AC6"/>
    <w:rsid w:val="007A4DC9"/>
    <w:rsid w:val="007A4EA6"/>
    <w:rsid w:val="007A54EE"/>
    <w:rsid w:val="007A5A96"/>
    <w:rsid w:val="007A6DEE"/>
    <w:rsid w:val="007B06DC"/>
    <w:rsid w:val="007B09C0"/>
    <w:rsid w:val="007B0F93"/>
    <w:rsid w:val="007B175A"/>
    <w:rsid w:val="007B1B26"/>
    <w:rsid w:val="007B2913"/>
    <w:rsid w:val="007B2C58"/>
    <w:rsid w:val="007B2E49"/>
    <w:rsid w:val="007B31EB"/>
    <w:rsid w:val="007B4526"/>
    <w:rsid w:val="007B6A02"/>
    <w:rsid w:val="007C1232"/>
    <w:rsid w:val="007C47AD"/>
    <w:rsid w:val="007C49F4"/>
    <w:rsid w:val="007C642F"/>
    <w:rsid w:val="007C6448"/>
    <w:rsid w:val="007C664F"/>
    <w:rsid w:val="007C7AF5"/>
    <w:rsid w:val="007D0085"/>
    <w:rsid w:val="007D0270"/>
    <w:rsid w:val="007D206A"/>
    <w:rsid w:val="007D2D90"/>
    <w:rsid w:val="007D30E8"/>
    <w:rsid w:val="007D428C"/>
    <w:rsid w:val="007D5A94"/>
    <w:rsid w:val="007D607F"/>
    <w:rsid w:val="007D6C8C"/>
    <w:rsid w:val="007D73DD"/>
    <w:rsid w:val="007E1220"/>
    <w:rsid w:val="007E16DF"/>
    <w:rsid w:val="007E3D6A"/>
    <w:rsid w:val="007E4A40"/>
    <w:rsid w:val="007E542D"/>
    <w:rsid w:val="007E5AFF"/>
    <w:rsid w:val="007E6B98"/>
    <w:rsid w:val="007F0055"/>
    <w:rsid w:val="007F0E57"/>
    <w:rsid w:val="007F15FD"/>
    <w:rsid w:val="007F35E5"/>
    <w:rsid w:val="007F3C43"/>
    <w:rsid w:val="007F3CED"/>
    <w:rsid w:val="007F413D"/>
    <w:rsid w:val="007F50BF"/>
    <w:rsid w:val="007F51D6"/>
    <w:rsid w:val="007F58D6"/>
    <w:rsid w:val="007F766D"/>
    <w:rsid w:val="007F7C2A"/>
    <w:rsid w:val="00800277"/>
    <w:rsid w:val="00800754"/>
    <w:rsid w:val="00800C75"/>
    <w:rsid w:val="008017F6"/>
    <w:rsid w:val="008020EE"/>
    <w:rsid w:val="00802588"/>
    <w:rsid w:val="00802869"/>
    <w:rsid w:val="00802EF3"/>
    <w:rsid w:val="0080417B"/>
    <w:rsid w:val="00806759"/>
    <w:rsid w:val="00807548"/>
    <w:rsid w:val="008076C9"/>
    <w:rsid w:val="00810AA3"/>
    <w:rsid w:val="008111E8"/>
    <w:rsid w:val="0081131C"/>
    <w:rsid w:val="00812613"/>
    <w:rsid w:val="008126A0"/>
    <w:rsid w:val="0081515A"/>
    <w:rsid w:val="008161E1"/>
    <w:rsid w:val="008166F2"/>
    <w:rsid w:val="008169DF"/>
    <w:rsid w:val="0082108E"/>
    <w:rsid w:val="008219B1"/>
    <w:rsid w:val="00821BC0"/>
    <w:rsid w:val="00823EFF"/>
    <w:rsid w:val="00823F24"/>
    <w:rsid w:val="008240A8"/>
    <w:rsid w:val="00824432"/>
    <w:rsid w:val="00824C32"/>
    <w:rsid w:val="008262B9"/>
    <w:rsid w:val="00826467"/>
    <w:rsid w:val="008272E7"/>
    <w:rsid w:val="00827930"/>
    <w:rsid w:val="0083480D"/>
    <w:rsid w:val="00834AD1"/>
    <w:rsid w:val="00835A55"/>
    <w:rsid w:val="00836B17"/>
    <w:rsid w:val="00837E91"/>
    <w:rsid w:val="008407DA"/>
    <w:rsid w:val="00840DFA"/>
    <w:rsid w:val="00842CCF"/>
    <w:rsid w:val="00844C0D"/>
    <w:rsid w:val="00845BEC"/>
    <w:rsid w:val="008463ED"/>
    <w:rsid w:val="008466B8"/>
    <w:rsid w:val="00846713"/>
    <w:rsid w:val="00846A44"/>
    <w:rsid w:val="00846B97"/>
    <w:rsid w:val="00846E3A"/>
    <w:rsid w:val="00855848"/>
    <w:rsid w:val="00855CCF"/>
    <w:rsid w:val="008561FC"/>
    <w:rsid w:val="00857A66"/>
    <w:rsid w:val="00857B6B"/>
    <w:rsid w:val="0086002D"/>
    <w:rsid w:val="00861801"/>
    <w:rsid w:val="00861F94"/>
    <w:rsid w:val="0086359C"/>
    <w:rsid w:val="00863D80"/>
    <w:rsid w:val="00863E7D"/>
    <w:rsid w:val="008648A8"/>
    <w:rsid w:val="00864967"/>
    <w:rsid w:val="0086761C"/>
    <w:rsid w:val="008679A0"/>
    <w:rsid w:val="00871600"/>
    <w:rsid w:val="00871BE5"/>
    <w:rsid w:val="00871FDA"/>
    <w:rsid w:val="0087232B"/>
    <w:rsid w:val="00872B7D"/>
    <w:rsid w:val="0087368E"/>
    <w:rsid w:val="0087420F"/>
    <w:rsid w:val="00874B94"/>
    <w:rsid w:val="00874E7F"/>
    <w:rsid w:val="00876B28"/>
    <w:rsid w:val="00877127"/>
    <w:rsid w:val="008772F7"/>
    <w:rsid w:val="0088109E"/>
    <w:rsid w:val="00881E1F"/>
    <w:rsid w:val="008824B2"/>
    <w:rsid w:val="00882F12"/>
    <w:rsid w:val="00883215"/>
    <w:rsid w:val="00883B57"/>
    <w:rsid w:val="008841B8"/>
    <w:rsid w:val="00886B73"/>
    <w:rsid w:val="00886EE1"/>
    <w:rsid w:val="00886F91"/>
    <w:rsid w:val="00890807"/>
    <w:rsid w:val="00893604"/>
    <w:rsid w:val="008943CD"/>
    <w:rsid w:val="0089481A"/>
    <w:rsid w:val="008950E5"/>
    <w:rsid w:val="00895A2D"/>
    <w:rsid w:val="008974FB"/>
    <w:rsid w:val="0089775D"/>
    <w:rsid w:val="008979BF"/>
    <w:rsid w:val="00897D29"/>
    <w:rsid w:val="008A0242"/>
    <w:rsid w:val="008A0D71"/>
    <w:rsid w:val="008A13A6"/>
    <w:rsid w:val="008A30BC"/>
    <w:rsid w:val="008A33AB"/>
    <w:rsid w:val="008A4C89"/>
    <w:rsid w:val="008A57BC"/>
    <w:rsid w:val="008A59B8"/>
    <w:rsid w:val="008A5D93"/>
    <w:rsid w:val="008A5E9B"/>
    <w:rsid w:val="008A6289"/>
    <w:rsid w:val="008A7021"/>
    <w:rsid w:val="008A7681"/>
    <w:rsid w:val="008B0BF0"/>
    <w:rsid w:val="008B118E"/>
    <w:rsid w:val="008B1447"/>
    <w:rsid w:val="008B347C"/>
    <w:rsid w:val="008B3C62"/>
    <w:rsid w:val="008B4208"/>
    <w:rsid w:val="008B577A"/>
    <w:rsid w:val="008B6047"/>
    <w:rsid w:val="008B7A0D"/>
    <w:rsid w:val="008C0E38"/>
    <w:rsid w:val="008C1C5E"/>
    <w:rsid w:val="008C1E53"/>
    <w:rsid w:val="008C33C2"/>
    <w:rsid w:val="008C35BF"/>
    <w:rsid w:val="008C36D6"/>
    <w:rsid w:val="008C3A41"/>
    <w:rsid w:val="008C4C11"/>
    <w:rsid w:val="008C5348"/>
    <w:rsid w:val="008C6195"/>
    <w:rsid w:val="008C7734"/>
    <w:rsid w:val="008C786B"/>
    <w:rsid w:val="008D0399"/>
    <w:rsid w:val="008D0877"/>
    <w:rsid w:val="008D0A33"/>
    <w:rsid w:val="008D17D9"/>
    <w:rsid w:val="008D1A99"/>
    <w:rsid w:val="008D23A2"/>
    <w:rsid w:val="008D3435"/>
    <w:rsid w:val="008D58EF"/>
    <w:rsid w:val="008D5931"/>
    <w:rsid w:val="008D6407"/>
    <w:rsid w:val="008D682D"/>
    <w:rsid w:val="008D6EBC"/>
    <w:rsid w:val="008D760E"/>
    <w:rsid w:val="008E14E0"/>
    <w:rsid w:val="008E2200"/>
    <w:rsid w:val="008E278D"/>
    <w:rsid w:val="008E2B73"/>
    <w:rsid w:val="008E335F"/>
    <w:rsid w:val="008E3737"/>
    <w:rsid w:val="008E491E"/>
    <w:rsid w:val="008E4BD7"/>
    <w:rsid w:val="008E527A"/>
    <w:rsid w:val="008E5B64"/>
    <w:rsid w:val="008E5BE8"/>
    <w:rsid w:val="008E7839"/>
    <w:rsid w:val="008E7CA1"/>
    <w:rsid w:val="008F1255"/>
    <w:rsid w:val="008F1433"/>
    <w:rsid w:val="008F1BD4"/>
    <w:rsid w:val="008F25C3"/>
    <w:rsid w:val="008F2CC3"/>
    <w:rsid w:val="008F2EBF"/>
    <w:rsid w:val="008F3C26"/>
    <w:rsid w:val="008F425C"/>
    <w:rsid w:val="008F557A"/>
    <w:rsid w:val="008F57EC"/>
    <w:rsid w:val="008F6511"/>
    <w:rsid w:val="008F6FDA"/>
    <w:rsid w:val="008F7C8E"/>
    <w:rsid w:val="00900BE0"/>
    <w:rsid w:val="00901244"/>
    <w:rsid w:val="00902B02"/>
    <w:rsid w:val="00902B70"/>
    <w:rsid w:val="009040D0"/>
    <w:rsid w:val="00904849"/>
    <w:rsid w:val="009060AB"/>
    <w:rsid w:val="0090649B"/>
    <w:rsid w:val="0090675C"/>
    <w:rsid w:val="00906D5B"/>
    <w:rsid w:val="00906EC5"/>
    <w:rsid w:val="00907434"/>
    <w:rsid w:val="009076E3"/>
    <w:rsid w:val="00910886"/>
    <w:rsid w:val="00910A53"/>
    <w:rsid w:val="00910EAB"/>
    <w:rsid w:val="00911789"/>
    <w:rsid w:val="009137F7"/>
    <w:rsid w:val="0091383B"/>
    <w:rsid w:val="00913F6D"/>
    <w:rsid w:val="009144C4"/>
    <w:rsid w:val="00914F22"/>
    <w:rsid w:val="00914F83"/>
    <w:rsid w:val="00915246"/>
    <w:rsid w:val="00920C7B"/>
    <w:rsid w:val="00921355"/>
    <w:rsid w:val="009215FD"/>
    <w:rsid w:val="009222B2"/>
    <w:rsid w:val="0092268D"/>
    <w:rsid w:val="009226FB"/>
    <w:rsid w:val="00922B67"/>
    <w:rsid w:val="00923943"/>
    <w:rsid w:val="00923D16"/>
    <w:rsid w:val="00923E73"/>
    <w:rsid w:val="0092551C"/>
    <w:rsid w:val="00926A8F"/>
    <w:rsid w:val="00927760"/>
    <w:rsid w:val="00930634"/>
    <w:rsid w:val="00932612"/>
    <w:rsid w:val="0093341A"/>
    <w:rsid w:val="0093501B"/>
    <w:rsid w:val="00937AD9"/>
    <w:rsid w:val="009415F3"/>
    <w:rsid w:val="00943973"/>
    <w:rsid w:val="00943FD1"/>
    <w:rsid w:val="00944ACA"/>
    <w:rsid w:val="00944DB6"/>
    <w:rsid w:val="009464F5"/>
    <w:rsid w:val="009465EB"/>
    <w:rsid w:val="0094663D"/>
    <w:rsid w:val="00946A71"/>
    <w:rsid w:val="0094747A"/>
    <w:rsid w:val="00951220"/>
    <w:rsid w:val="009518F8"/>
    <w:rsid w:val="00951A3A"/>
    <w:rsid w:val="0095295E"/>
    <w:rsid w:val="00952995"/>
    <w:rsid w:val="009546D1"/>
    <w:rsid w:val="00955621"/>
    <w:rsid w:val="00955C6C"/>
    <w:rsid w:val="00957658"/>
    <w:rsid w:val="00960125"/>
    <w:rsid w:val="0096052A"/>
    <w:rsid w:val="00962658"/>
    <w:rsid w:val="009629A2"/>
    <w:rsid w:val="00962BE8"/>
    <w:rsid w:val="00964604"/>
    <w:rsid w:val="0096791A"/>
    <w:rsid w:val="00967E97"/>
    <w:rsid w:val="00970C42"/>
    <w:rsid w:val="00971660"/>
    <w:rsid w:val="00971B99"/>
    <w:rsid w:val="00972A7A"/>
    <w:rsid w:val="00972EA3"/>
    <w:rsid w:val="009755AD"/>
    <w:rsid w:val="009759E7"/>
    <w:rsid w:val="00975A0D"/>
    <w:rsid w:val="00980698"/>
    <w:rsid w:val="00981B98"/>
    <w:rsid w:val="00981E7A"/>
    <w:rsid w:val="0098201B"/>
    <w:rsid w:val="009830B4"/>
    <w:rsid w:val="00983FD2"/>
    <w:rsid w:val="00984A20"/>
    <w:rsid w:val="00984A3A"/>
    <w:rsid w:val="0098749D"/>
    <w:rsid w:val="00990F7B"/>
    <w:rsid w:val="00990F95"/>
    <w:rsid w:val="0099134E"/>
    <w:rsid w:val="00992154"/>
    <w:rsid w:val="00993F74"/>
    <w:rsid w:val="0099432D"/>
    <w:rsid w:val="00994CDE"/>
    <w:rsid w:val="00995F8C"/>
    <w:rsid w:val="00996413"/>
    <w:rsid w:val="009969AD"/>
    <w:rsid w:val="00997D1D"/>
    <w:rsid w:val="00997E4E"/>
    <w:rsid w:val="009A0B9C"/>
    <w:rsid w:val="009A26E4"/>
    <w:rsid w:val="009A2F4A"/>
    <w:rsid w:val="009A30B1"/>
    <w:rsid w:val="009A349F"/>
    <w:rsid w:val="009A3CC8"/>
    <w:rsid w:val="009A46D4"/>
    <w:rsid w:val="009A4E46"/>
    <w:rsid w:val="009A5192"/>
    <w:rsid w:val="009A549A"/>
    <w:rsid w:val="009A5CFE"/>
    <w:rsid w:val="009A5FEF"/>
    <w:rsid w:val="009A63D9"/>
    <w:rsid w:val="009B106D"/>
    <w:rsid w:val="009B1812"/>
    <w:rsid w:val="009B1CA4"/>
    <w:rsid w:val="009B2463"/>
    <w:rsid w:val="009B2724"/>
    <w:rsid w:val="009B3B51"/>
    <w:rsid w:val="009B57D4"/>
    <w:rsid w:val="009B7143"/>
    <w:rsid w:val="009B79AA"/>
    <w:rsid w:val="009C16B6"/>
    <w:rsid w:val="009C18C1"/>
    <w:rsid w:val="009C2E68"/>
    <w:rsid w:val="009C337C"/>
    <w:rsid w:val="009C3853"/>
    <w:rsid w:val="009C5E60"/>
    <w:rsid w:val="009C5EF6"/>
    <w:rsid w:val="009C7C39"/>
    <w:rsid w:val="009D0044"/>
    <w:rsid w:val="009D0CE5"/>
    <w:rsid w:val="009D0D39"/>
    <w:rsid w:val="009D1098"/>
    <w:rsid w:val="009D1D2A"/>
    <w:rsid w:val="009D205E"/>
    <w:rsid w:val="009D3ACC"/>
    <w:rsid w:val="009D3AE8"/>
    <w:rsid w:val="009D51E5"/>
    <w:rsid w:val="009D5DF4"/>
    <w:rsid w:val="009D6EC0"/>
    <w:rsid w:val="009D7218"/>
    <w:rsid w:val="009E1B31"/>
    <w:rsid w:val="009E2EAB"/>
    <w:rsid w:val="009E4360"/>
    <w:rsid w:val="009E52E0"/>
    <w:rsid w:val="009E5944"/>
    <w:rsid w:val="009E5ADF"/>
    <w:rsid w:val="009E64D1"/>
    <w:rsid w:val="009E7892"/>
    <w:rsid w:val="009F033C"/>
    <w:rsid w:val="009F17D3"/>
    <w:rsid w:val="009F1DA1"/>
    <w:rsid w:val="009F4CF1"/>
    <w:rsid w:val="009F6138"/>
    <w:rsid w:val="009F677C"/>
    <w:rsid w:val="009F76C0"/>
    <w:rsid w:val="009F7CD6"/>
    <w:rsid w:val="00A00098"/>
    <w:rsid w:val="00A00E22"/>
    <w:rsid w:val="00A00FEB"/>
    <w:rsid w:val="00A0166C"/>
    <w:rsid w:val="00A03175"/>
    <w:rsid w:val="00A05310"/>
    <w:rsid w:val="00A06006"/>
    <w:rsid w:val="00A06211"/>
    <w:rsid w:val="00A06EFA"/>
    <w:rsid w:val="00A070A4"/>
    <w:rsid w:val="00A1072F"/>
    <w:rsid w:val="00A1218B"/>
    <w:rsid w:val="00A12521"/>
    <w:rsid w:val="00A12A29"/>
    <w:rsid w:val="00A12DB8"/>
    <w:rsid w:val="00A13B8F"/>
    <w:rsid w:val="00A1613B"/>
    <w:rsid w:val="00A166E6"/>
    <w:rsid w:val="00A200E6"/>
    <w:rsid w:val="00A21418"/>
    <w:rsid w:val="00A21490"/>
    <w:rsid w:val="00A23D7E"/>
    <w:rsid w:val="00A309AC"/>
    <w:rsid w:val="00A30F48"/>
    <w:rsid w:val="00A310A3"/>
    <w:rsid w:val="00A32A7B"/>
    <w:rsid w:val="00A34482"/>
    <w:rsid w:val="00A34AAD"/>
    <w:rsid w:val="00A355BC"/>
    <w:rsid w:val="00A355FD"/>
    <w:rsid w:val="00A35D56"/>
    <w:rsid w:val="00A36592"/>
    <w:rsid w:val="00A417E3"/>
    <w:rsid w:val="00A41C22"/>
    <w:rsid w:val="00A41E59"/>
    <w:rsid w:val="00A43C98"/>
    <w:rsid w:val="00A43F68"/>
    <w:rsid w:val="00A45294"/>
    <w:rsid w:val="00A47350"/>
    <w:rsid w:val="00A47DDC"/>
    <w:rsid w:val="00A51CAF"/>
    <w:rsid w:val="00A51F43"/>
    <w:rsid w:val="00A52084"/>
    <w:rsid w:val="00A52480"/>
    <w:rsid w:val="00A56AB9"/>
    <w:rsid w:val="00A61161"/>
    <w:rsid w:val="00A63A93"/>
    <w:rsid w:val="00A63BC5"/>
    <w:rsid w:val="00A64012"/>
    <w:rsid w:val="00A64BBB"/>
    <w:rsid w:val="00A64F64"/>
    <w:rsid w:val="00A64F7C"/>
    <w:rsid w:val="00A67312"/>
    <w:rsid w:val="00A71CD5"/>
    <w:rsid w:val="00A725C1"/>
    <w:rsid w:val="00A7264B"/>
    <w:rsid w:val="00A73760"/>
    <w:rsid w:val="00A75CEC"/>
    <w:rsid w:val="00A7606E"/>
    <w:rsid w:val="00A761CE"/>
    <w:rsid w:val="00A76B6D"/>
    <w:rsid w:val="00A77228"/>
    <w:rsid w:val="00A77272"/>
    <w:rsid w:val="00A77C50"/>
    <w:rsid w:val="00A80B5A"/>
    <w:rsid w:val="00A80F8C"/>
    <w:rsid w:val="00A81F8E"/>
    <w:rsid w:val="00A83B38"/>
    <w:rsid w:val="00A85495"/>
    <w:rsid w:val="00A859AF"/>
    <w:rsid w:val="00A86DE3"/>
    <w:rsid w:val="00A870DD"/>
    <w:rsid w:val="00A9029A"/>
    <w:rsid w:val="00A91B0D"/>
    <w:rsid w:val="00A92D8C"/>
    <w:rsid w:val="00A92F1B"/>
    <w:rsid w:val="00A93CA3"/>
    <w:rsid w:val="00A95573"/>
    <w:rsid w:val="00A95D72"/>
    <w:rsid w:val="00A96767"/>
    <w:rsid w:val="00A9680F"/>
    <w:rsid w:val="00A96BC5"/>
    <w:rsid w:val="00A96BD9"/>
    <w:rsid w:val="00A9745C"/>
    <w:rsid w:val="00A97ED3"/>
    <w:rsid w:val="00AA0B2B"/>
    <w:rsid w:val="00AA1774"/>
    <w:rsid w:val="00AA208C"/>
    <w:rsid w:val="00AA2462"/>
    <w:rsid w:val="00AA25E7"/>
    <w:rsid w:val="00AA2EFF"/>
    <w:rsid w:val="00AA3296"/>
    <w:rsid w:val="00AA3694"/>
    <w:rsid w:val="00AA3F28"/>
    <w:rsid w:val="00AA41F3"/>
    <w:rsid w:val="00AA51CC"/>
    <w:rsid w:val="00AA5FE0"/>
    <w:rsid w:val="00AA6C33"/>
    <w:rsid w:val="00AA6DE0"/>
    <w:rsid w:val="00AA7603"/>
    <w:rsid w:val="00AB0391"/>
    <w:rsid w:val="00AB0663"/>
    <w:rsid w:val="00AB0928"/>
    <w:rsid w:val="00AB127D"/>
    <w:rsid w:val="00AB2458"/>
    <w:rsid w:val="00AB2863"/>
    <w:rsid w:val="00AB3DAE"/>
    <w:rsid w:val="00AB4BB3"/>
    <w:rsid w:val="00AB5748"/>
    <w:rsid w:val="00AB63A4"/>
    <w:rsid w:val="00AB7BA9"/>
    <w:rsid w:val="00AB7C3D"/>
    <w:rsid w:val="00AC0C60"/>
    <w:rsid w:val="00AC225F"/>
    <w:rsid w:val="00AC2A19"/>
    <w:rsid w:val="00AC37EF"/>
    <w:rsid w:val="00AC4729"/>
    <w:rsid w:val="00AC51BF"/>
    <w:rsid w:val="00AC5278"/>
    <w:rsid w:val="00AC7D3E"/>
    <w:rsid w:val="00AD0931"/>
    <w:rsid w:val="00AD0D78"/>
    <w:rsid w:val="00AD17BA"/>
    <w:rsid w:val="00AD18D1"/>
    <w:rsid w:val="00AD4794"/>
    <w:rsid w:val="00AD5485"/>
    <w:rsid w:val="00AD591D"/>
    <w:rsid w:val="00AD5D81"/>
    <w:rsid w:val="00AD5F74"/>
    <w:rsid w:val="00AD6D6F"/>
    <w:rsid w:val="00AE13B1"/>
    <w:rsid w:val="00AE4C2A"/>
    <w:rsid w:val="00AE5706"/>
    <w:rsid w:val="00AE61C3"/>
    <w:rsid w:val="00AE6F73"/>
    <w:rsid w:val="00AE712B"/>
    <w:rsid w:val="00AE7174"/>
    <w:rsid w:val="00AE71B9"/>
    <w:rsid w:val="00AE73C2"/>
    <w:rsid w:val="00AE7E63"/>
    <w:rsid w:val="00AE7F31"/>
    <w:rsid w:val="00AF0CF8"/>
    <w:rsid w:val="00AF2517"/>
    <w:rsid w:val="00AF2738"/>
    <w:rsid w:val="00AF2A31"/>
    <w:rsid w:val="00AF2E2D"/>
    <w:rsid w:val="00AF57FB"/>
    <w:rsid w:val="00AF5819"/>
    <w:rsid w:val="00AF5C50"/>
    <w:rsid w:val="00AF7B94"/>
    <w:rsid w:val="00B00F02"/>
    <w:rsid w:val="00B00F36"/>
    <w:rsid w:val="00B01D70"/>
    <w:rsid w:val="00B02B78"/>
    <w:rsid w:val="00B04F24"/>
    <w:rsid w:val="00B07CA4"/>
    <w:rsid w:val="00B13C1F"/>
    <w:rsid w:val="00B13F16"/>
    <w:rsid w:val="00B149C3"/>
    <w:rsid w:val="00B14FD9"/>
    <w:rsid w:val="00B157DF"/>
    <w:rsid w:val="00B1593D"/>
    <w:rsid w:val="00B15C7E"/>
    <w:rsid w:val="00B16DB9"/>
    <w:rsid w:val="00B17497"/>
    <w:rsid w:val="00B20F1A"/>
    <w:rsid w:val="00B225A9"/>
    <w:rsid w:val="00B231CC"/>
    <w:rsid w:val="00B237E6"/>
    <w:rsid w:val="00B254DB"/>
    <w:rsid w:val="00B26894"/>
    <w:rsid w:val="00B2692A"/>
    <w:rsid w:val="00B274F5"/>
    <w:rsid w:val="00B304F3"/>
    <w:rsid w:val="00B30811"/>
    <w:rsid w:val="00B31937"/>
    <w:rsid w:val="00B324ED"/>
    <w:rsid w:val="00B34903"/>
    <w:rsid w:val="00B35441"/>
    <w:rsid w:val="00B3553C"/>
    <w:rsid w:val="00B35885"/>
    <w:rsid w:val="00B36404"/>
    <w:rsid w:val="00B364D1"/>
    <w:rsid w:val="00B378AD"/>
    <w:rsid w:val="00B3792D"/>
    <w:rsid w:val="00B40E79"/>
    <w:rsid w:val="00B40F6E"/>
    <w:rsid w:val="00B41B30"/>
    <w:rsid w:val="00B41E5A"/>
    <w:rsid w:val="00B42F88"/>
    <w:rsid w:val="00B43269"/>
    <w:rsid w:val="00B4371B"/>
    <w:rsid w:val="00B44147"/>
    <w:rsid w:val="00B45096"/>
    <w:rsid w:val="00B46191"/>
    <w:rsid w:val="00B47445"/>
    <w:rsid w:val="00B47762"/>
    <w:rsid w:val="00B50440"/>
    <w:rsid w:val="00B5139D"/>
    <w:rsid w:val="00B51E8D"/>
    <w:rsid w:val="00B537E2"/>
    <w:rsid w:val="00B56052"/>
    <w:rsid w:val="00B57B31"/>
    <w:rsid w:val="00B6009F"/>
    <w:rsid w:val="00B6055D"/>
    <w:rsid w:val="00B60AA2"/>
    <w:rsid w:val="00B61E7E"/>
    <w:rsid w:val="00B622B3"/>
    <w:rsid w:val="00B6477D"/>
    <w:rsid w:val="00B64E70"/>
    <w:rsid w:val="00B6519F"/>
    <w:rsid w:val="00B6534B"/>
    <w:rsid w:val="00B65FF2"/>
    <w:rsid w:val="00B66CF7"/>
    <w:rsid w:val="00B7032E"/>
    <w:rsid w:val="00B703C3"/>
    <w:rsid w:val="00B70A28"/>
    <w:rsid w:val="00B71203"/>
    <w:rsid w:val="00B72228"/>
    <w:rsid w:val="00B723EF"/>
    <w:rsid w:val="00B7424B"/>
    <w:rsid w:val="00B754FE"/>
    <w:rsid w:val="00B76BDE"/>
    <w:rsid w:val="00B77FA6"/>
    <w:rsid w:val="00B77FAA"/>
    <w:rsid w:val="00B81292"/>
    <w:rsid w:val="00B81A4B"/>
    <w:rsid w:val="00B826AB"/>
    <w:rsid w:val="00B82835"/>
    <w:rsid w:val="00B83096"/>
    <w:rsid w:val="00B83F19"/>
    <w:rsid w:val="00B8450C"/>
    <w:rsid w:val="00B859B4"/>
    <w:rsid w:val="00B85E8A"/>
    <w:rsid w:val="00B91B67"/>
    <w:rsid w:val="00B9218E"/>
    <w:rsid w:val="00B92BF7"/>
    <w:rsid w:val="00B96F4C"/>
    <w:rsid w:val="00B97216"/>
    <w:rsid w:val="00BA01CD"/>
    <w:rsid w:val="00BA1FFB"/>
    <w:rsid w:val="00BA241F"/>
    <w:rsid w:val="00BA36EF"/>
    <w:rsid w:val="00BA42B0"/>
    <w:rsid w:val="00BA5717"/>
    <w:rsid w:val="00BA5CBE"/>
    <w:rsid w:val="00BA6F1E"/>
    <w:rsid w:val="00BA7FC5"/>
    <w:rsid w:val="00BB086F"/>
    <w:rsid w:val="00BB15C7"/>
    <w:rsid w:val="00BB2395"/>
    <w:rsid w:val="00BB31F9"/>
    <w:rsid w:val="00BB3519"/>
    <w:rsid w:val="00BB3B37"/>
    <w:rsid w:val="00BB4361"/>
    <w:rsid w:val="00BB48BB"/>
    <w:rsid w:val="00BB49DB"/>
    <w:rsid w:val="00BB6796"/>
    <w:rsid w:val="00BC145F"/>
    <w:rsid w:val="00BC1694"/>
    <w:rsid w:val="00BC2134"/>
    <w:rsid w:val="00BC2F15"/>
    <w:rsid w:val="00BC332F"/>
    <w:rsid w:val="00BC34E4"/>
    <w:rsid w:val="00BC3D82"/>
    <w:rsid w:val="00BC3E52"/>
    <w:rsid w:val="00BC53C0"/>
    <w:rsid w:val="00BC5AB2"/>
    <w:rsid w:val="00BC5DB0"/>
    <w:rsid w:val="00BC5ED8"/>
    <w:rsid w:val="00BC6003"/>
    <w:rsid w:val="00BC665F"/>
    <w:rsid w:val="00BC6B76"/>
    <w:rsid w:val="00BC6E51"/>
    <w:rsid w:val="00BD4CCA"/>
    <w:rsid w:val="00BD525D"/>
    <w:rsid w:val="00BD5301"/>
    <w:rsid w:val="00BD5748"/>
    <w:rsid w:val="00BD597E"/>
    <w:rsid w:val="00BD7128"/>
    <w:rsid w:val="00BE2BEA"/>
    <w:rsid w:val="00BE3173"/>
    <w:rsid w:val="00BE640B"/>
    <w:rsid w:val="00BE6733"/>
    <w:rsid w:val="00BE774A"/>
    <w:rsid w:val="00BE7C89"/>
    <w:rsid w:val="00BF04F7"/>
    <w:rsid w:val="00BF0641"/>
    <w:rsid w:val="00BF37A8"/>
    <w:rsid w:val="00BF5603"/>
    <w:rsid w:val="00C00D52"/>
    <w:rsid w:val="00C01FBA"/>
    <w:rsid w:val="00C021E6"/>
    <w:rsid w:val="00C02B69"/>
    <w:rsid w:val="00C034E4"/>
    <w:rsid w:val="00C0434B"/>
    <w:rsid w:val="00C05F18"/>
    <w:rsid w:val="00C0707A"/>
    <w:rsid w:val="00C07799"/>
    <w:rsid w:val="00C07E92"/>
    <w:rsid w:val="00C10A9C"/>
    <w:rsid w:val="00C1108C"/>
    <w:rsid w:val="00C126A0"/>
    <w:rsid w:val="00C12EEB"/>
    <w:rsid w:val="00C133D0"/>
    <w:rsid w:val="00C1427D"/>
    <w:rsid w:val="00C1693A"/>
    <w:rsid w:val="00C17112"/>
    <w:rsid w:val="00C17290"/>
    <w:rsid w:val="00C20DB5"/>
    <w:rsid w:val="00C21288"/>
    <w:rsid w:val="00C21B39"/>
    <w:rsid w:val="00C23641"/>
    <w:rsid w:val="00C2383B"/>
    <w:rsid w:val="00C23C30"/>
    <w:rsid w:val="00C24AC4"/>
    <w:rsid w:val="00C25061"/>
    <w:rsid w:val="00C25490"/>
    <w:rsid w:val="00C25573"/>
    <w:rsid w:val="00C27548"/>
    <w:rsid w:val="00C300A5"/>
    <w:rsid w:val="00C302AF"/>
    <w:rsid w:val="00C30CCD"/>
    <w:rsid w:val="00C3148D"/>
    <w:rsid w:val="00C32BD7"/>
    <w:rsid w:val="00C3426E"/>
    <w:rsid w:val="00C34C17"/>
    <w:rsid w:val="00C362C2"/>
    <w:rsid w:val="00C37117"/>
    <w:rsid w:val="00C37EAA"/>
    <w:rsid w:val="00C403B9"/>
    <w:rsid w:val="00C41EAA"/>
    <w:rsid w:val="00C42069"/>
    <w:rsid w:val="00C45666"/>
    <w:rsid w:val="00C46861"/>
    <w:rsid w:val="00C46A82"/>
    <w:rsid w:val="00C47473"/>
    <w:rsid w:val="00C474B4"/>
    <w:rsid w:val="00C510AA"/>
    <w:rsid w:val="00C5155E"/>
    <w:rsid w:val="00C52043"/>
    <w:rsid w:val="00C5377F"/>
    <w:rsid w:val="00C53DFF"/>
    <w:rsid w:val="00C53FC5"/>
    <w:rsid w:val="00C546C2"/>
    <w:rsid w:val="00C54928"/>
    <w:rsid w:val="00C5508D"/>
    <w:rsid w:val="00C550DF"/>
    <w:rsid w:val="00C554F0"/>
    <w:rsid w:val="00C55CC1"/>
    <w:rsid w:val="00C55E67"/>
    <w:rsid w:val="00C56103"/>
    <w:rsid w:val="00C56E18"/>
    <w:rsid w:val="00C57906"/>
    <w:rsid w:val="00C57B90"/>
    <w:rsid w:val="00C6074F"/>
    <w:rsid w:val="00C609E6"/>
    <w:rsid w:val="00C61C1C"/>
    <w:rsid w:val="00C6353C"/>
    <w:rsid w:val="00C644FE"/>
    <w:rsid w:val="00C64E33"/>
    <w:rsid w:val="00C6540E"/>
    <w:rsid w:val="00C65E35"/>
    <w:rsid w:val="00C65EAC"/>
    <w:rsid w:val="00C66C4D"/>
    <w:rsid w:val="00C70302"/>
    <w:rsid w:val="00C720F8"/>
    <w:rsid w:val="00C75480"/>
    <w:rsid w:val="00C770E0"/>
    <w:rsid w:val="00C771E0"/>
    <w:rsid w:val="00C771FD"/>
    <w:rsid w:val="00C772A3"/>
    <w:rsid w:val="00C773CB"/>
    <w:rsid w:val="00C80182"/>
    <w:rsid w:val="00C806E0"/>
    <w:rsid w:val="00C808FD"/>
    <w:rsid w:val="00C80B18"/>
    <w:rsid w:val="00C81379"/>
    <w:rsid w:val="00C817F5"/>
    <w:rsid w:val="00C824FB"/>
    <w:rsid w:val="00C83931"/>
    <w:rsid w:val="00C83BDE"/>
    <w:rsid w:val="00C8421A"/>
    <w:rsid w:val="00C848DE"/>
    <w:rsid w:val="00C84E0C"/>
    <w:rsid w:val="00C84E18"/>
    <w:rsid w:val="00C84ED4"/>
    <w:rsid w:val="00C85B68"/>
    <w:rsid w:val="00C85F32"/>
    <w:rsid w:val="00C860A5"/>
    <w:rsid w:val="00C863A6"/>
    <w:rsid w:val="00C903F7"/>
    <w:rsid w:val="00C905DE"/>
    <w:rsid w:val="00C91133"/>
    <w:rsid w:val="00C91D9E"/>
    <w:rsid w:val="00C921B0"/>
    <w:rsid w:val="00C95CCD"/>
    <w:rsid w:val="00C9653A"/>
    <w:rsid w:val="00C97541"/>
    <w:rsid w:val="00C977DB"/>
    <w:rsid w:val="00C978F7"/>
    <w:rsid w:val="00C97D24"/>
    <w:rsid w:val="00CA0979"/>
    <w:rsid w:val="00CA2294"/>
    <w:rsid w:val="00CA28A6"/>
    <w:rsid w:val="00CA2F1E"/>
    <w:rsid w:val="00CA3271"/>
    <w:rsid w:val="00CA3B16"/>
    <w:rsid w:val="00CA4917"/>
    <w:rsid w:val="00CA4930"/>
    <w:rsid w:val="00CA50C9"/>
    <w:rsid w:val="00CA52DF"/>
    <w:rsid w:val="00CA5619"/>
    <w:rsid w:val="00CA5973"/>
    <w:rsid w:val="00CA5D52"/>
    <w:rsid w:val="00CA611A"/>
    <w:rsid w:val="00CA70A8"/>
    <w:rsid w:val="00CA73C5"/>
    <w:rsid w:val="00CB002A"/>
    <w:rsid w:val="00CB154E"/>
    <w:rsid w:val="00CB2E4C"/>
    <w:rsid w:val="00CB390B"/>
    <w:rsid w:val="00CB515E"/>
    <w:rsid w:val="00CB5E08"/>
    <w:rsid w:val="00CB61B6"/>
    <w:rsid w:val="00CB63A2"/>
    <w:rsid w:val="00CB6B0D"/>
    <w:rsid w:val="00CB7E14"/>
    <w:rsid w:val="00CC02AF"/>
    <w:rsid w:val="00CC0E40"/>
    <w:rsid w:val="00CC18DC"/>
    <w:rsid w:val="00CC1900"/>
    <w:rsid w:val="00CC1DE5"/>
    <w:rsid w:val="00CC249C"/>
    <w:rsid w:val="00CC2E06"/>
    <w:rsid w:val="00CC3C6E"/>
    <w:rsid w:val="00CC3CB0"/>
    <w:rsid w:val="00CC4165"/>
    <w:rsid w:val="00CC4B79"/>
    <w:rsid w:val="00CC4D74"/>
    <w:rsid w:val="00CC5122"/>
    <w:rsid w:val="00CC5EF2"/>
    <w:rsid w:val="00CC5F60"/>
    <w:rsid w:val="00CC6072"/>
    <w:rsid w:val="00CD01AC"/>
    <w:rsid w:val="00CD131B"/>
    <w:rsid w:val="00CD1C48"/>
    <w:rsid w:val="00CD54B3"/>
    <w:rsid w:val="00CD5F35"/>
    <w:rsid w:val="00CD6154"/>
    <w:rsid w:val="00CD6F7C"/>
    <w:rsid w:val="00CE006C"/>
    <w:rsid w:val="00CE0F6B"/>
    <w:rsid w:val="00CE1437"/>
    <w:rsid w:val="00CE14AF"/>
    <w:rsid w:val="00CE1B3E"/>
    <w:rsid w:val="00CE5737"/>
    <w:rsid w:val="00CF1132"/>
    <w:rsid w:val="00CF17DE"/>
    <w:rsid w:val="00CF26EC"/>
    <w:rsid w:val="00CF5545"/>
    <w:rsid w:val="00CF6B08"/>
    <w:rsid w:val="00CF7ED3"/>
    <w:rsid w:val="00D00F6C"/>
    <w:rsid w:val="00D01812"/>
    <w:rsid w:val="00D024AE"/>
    <w:rsid w:val="00D02FC8"/>
    <w:rsid w:val="00D04FE7"/>
    <w:rsid w:val="00D051DE"/>
    <w:rsid w:val="00D05A25"/>
    <w:rsid w:val="00D05CFD"/>
    <w:rsid w:val="00D05EA3"/>
    <w:rsid w:val="00D07C90"/>
    <w:rsid w:val="00D11318"/>
    <w:rsid w:val="00D122BA"/>
    <w:rsid w:val="00D13371"/>
    <w:rsid w:val="00D14D84"/>
    <w:rsid w:val="00D156F2"/>
    <w:rsid w:val="00D15711"/>
    <w:rsid w:val="00D15ED8"/>
    <w:rsid w:val="00D20096"/>
    <w:rsid w:val="00D20F34"/>
    <w:rsid w:val="00D2149D"/>
    <w:rsid w:val="00D228BE"/>
    <w:rsid w:val="00D2328D"/>
    <w:rsid w:val="00D23387"/>
    <w:rsid w:val="00D24430"/>
    <w:rsid w:val="00D255AC"/>
    <w:rsid w:val="00D27A2F"/>
    <w:rsid w:val="00D27CA9"/>
    <w:rsid w:val="00D3023A"/>
    <w:rsid w:val="00D31329"/>
    <w:rsid w:val="00D3136C"/>
    <w:rsid w:val="00D315B3"/>
    <w:rsid w:val="00D31B78"/>
    <w:rsid w:val="00D35521"/>
    <w:rsid w:val="00D36A89"/>
    <w:rsid w:val="00D36CE2"/>
    <w:rsid w:val="00D37516"/>
    <w:rsid w:val="00D401A7"/>
    <w:rsid w:val="00D40677"/>
    <w:rsid w:val="00D41823"/>
    <w:rsid w:val="00D42525"/>
    <w:rsid w:val="00D44904"/>
    <w:rsid w:val="00D456D2"/>
    <w:rsid w:val="00D459B2"/>
    <w:rsid w:val="00D478AC"/>
    <w:rsid w:val="00D50A56"/>
    <w:rsid w:val="00D51BB1"/>
    <w:rsid w:val="00D5268C"/>
    <w:rsid w:val="00D52D5A"/>
    <w:rsid w:val="00D55208"/>
    <w:rsid w:val="00D55634"/>
    <w:rsid w:val="00D556F9"/>
    <w:rsid w:val="00D55EE0"/>
    <w:rsid w:val="00D5752B"/>
    <w:rsid w:val="00D57F45"/>
    <w:rsid w:val="00D605B7"/>
    <w:rsid w:val="00D6090F"/>
    <w:rsid w:val="00D612BD"/>
    <w:rsid w:val="00D61908"/>
    <w:rsid w:val="00D61F02"/>
    <w:rsid w:val="00D620F8"/>
    <w:rsid w:val="00D63D1E"/>
    <w:rsid w:val="00D6554E"/>
    <w:rsid w:val="00D65FEB"/>
    <w:rsid w:val="00D66624"/>
    <w:rsid w:val="00D6785A"/>
    <w:rsid w:val="00D679EC"/>
    <w:rsid w:val="00D67AA1"/>
    <w:rsid w:val="00D67BE3"/>
    <w:rsid w:val="00D717DA"/>
    <w:rsid w:val="00D71A1C"/>
    <w:rsid w:val="00D72AD3"/>
    <w:rsid w:val="00D72FCB"/>
    <w:rsid w:val="00D73274"/>
    <w:rsid w:val="00D73764"/>
    <w:rsid w:val="00D7450D"/>
    <w:rsid w:val="00D76B81"/>
    <w:rsid w:val="00D77FC2"/>
    <w:rsid w:val="00D8061B"/>
    <w:rsid w:val="00D81642"/>
    <w:rsid w:val="00D8233A"/>
    <w:rsid w:val="00D825C7"/>
    <w:rsid w:val="00D82BB7"/>
    <w:rsid w:val="00D83EED"/>
    <w:rsid w:val="00D856AE"/>
    <w:rsid w:val="00D858B6"/>
    <w:rsid w:val="00D863E3"/>
    <w:rsid w:val="00D870A8"/>
    <w:rsid w:val="00D87503"/>
    <w:rsid w:val="00D90F8F"/>
    <w:rsid w:val="00D928A1"/>
    <w:rsid w:val="00D92DC8"/>
    <w:rsid w:val="00D92FC4"/>
    <w:rsid w:val="00D93A9C"/>
    <w:rsid w:val="00D9424D"/>
    <w:rsid w:val="00D95D0A"/>
    <w:rsid w:val="00D96659"/>
    <w:rsid w:val="00D97058"/>
    <w:rsid w:val="00D9708A"/>
    <w:rsid w:val="00D97E8F"/>
    <w:rsid w:val="00DA0506"/>
    <w:rsid w:val="00DA0662"/>
    <w:rsid w:val="00DA0A6C"/>
    <w:rsid w:val="00DA0E83"/>
    <w:rsid w:val="00DA1F48"/>
    <w:rsid w:val="00DA229B"/>
    <w:rsid w:val="00DA252A"/>
    <w:rsid w:val="00DA3A13"/>
    <w:rsid w:val="00DA4AA9"/>
    <w:rsid w:val="00DA4C14"/>
    <w:rsid w:val="00DA54F3"/>
    <w:rsid w:val="00DA5A43"/>
    <w:rsid w:val="00DA6236"/>
    <w:rsid w:val="00DA6E9D"/>
    <w:rsid w:val="00DA761C"/>
    <w:rsid w:val="00DA7F70"/>
    <w:rsid w:val="00DB0AF7"/>
    <w:rsid w:val="00DB1CBF"/>
    <w:rsid w:val="00DB3B57"/>
    <w:rsid w:val="00DB406D"/>
    <w:rsid w:val="00DB46DB"/>
    <w:rsid w:val="00DB52EF"/>
    <w:rsid w:val="00DB5DF4"/>
    <w:rsid w:val="00DB679A"/>
    <w:rsid w:val="00DB7BBB"/>
    <w:rsid w:val="00DC0AEE"/>
    <w:rsid w:val="00DC0DD5"/>
    <w:rsid w:val="00DC37D0"/>
    <w:rsid w:val="00DC510F"/>
    <w:rsid w:val="00DC5457"/>
    <w:rsid w:val="00DC56B6"/>
    <w:rsid w:val="00DC5DBE"/>
    <w:rsid w:val="00DC64FD"/>
    <w:rsid w:val="00DC79DC"/>
    <w:rsid w:val="00DD070A"/>
    <w:rsid w:val="00DD27CD"/>
    <w:rsid w:val="00DD3214"/>
    <w:rsid w:val="00DD48A0"/>
    <w:rsid w:val="00DD53CB"/>
    <w:rsid w:val="00DE001A"/>
    <w:rsid w:val="00DE0ABE"/>
    <w:rsid w:val="00DE0E10"/>
    <w:rsid w:val="00DE13C9"/>
    <w:rsid w:val="00DE1945"/>
    <w:rsid w:val="00DE1B39"/>
    <w:rsid w:val="00DE2364"/>
    <w:rsid w:val="00DE2458"/>
    <w:rsid w:val="00DE2E0B"/>
    <w:rsid w:val="00DE40D4"/>
    <w:rsid w:val="00DE7405"/>
    <w:rsid w:val="00DF15E1"/>
    <w:rsid w:val="00DF1A62"/>
    <w:rsid w:val="00DF24F6"/>
    <w:rsid w:val="00DF317D"/>
    <w:rsid w:val="00DF47A2"/>
    <w:rsid w:val="00DF7483"/>
    <w:rsid w:val="00E01113"/>
    <w:rsid w:val="00E0199B"/>
    <w:rsid w:val="00E0436A"/>
    <w:rsid w:val="00E04A36"/>
    <w:rsid w:val="00E06673"/>
    <w:rsid w:val="00E07EB6"/>
    <w:rsid w:val="00E122B2"/>
    <w:rsid w:val="00E12F57"/>
    <w:rsid w:val="00E13265"/>
    <w:rsid w:val="00E13A1A"/>
    <w:rsid w:val="00E14A9D"/>
    <w:rsid w:val="00E14B56"/>
    <w:rsid w:val="00E15400"/>
    <w:rsid w:val="00E158F2"/>
    <w:rsid w:val="00E16AB9"/>
    <w:rsid w:val="00E16E3F"/>
    <w:rsid w:val="00E17F01"/>
    <w:rsid w:val="00E20159"/>
    <w:rsid w:val="00E2037C"/>
    <w:rsid w:val="00E21867"/>
    <w:rsid w:val="00E21A78"/>
    <w:rsid w:val="00E22677"/>
    <w:rsid w:val="00E23F38"/>
    <w:rsid w:val="00E2429C"/>
    <w:rsid w:val="00E242E6"/>
    <w:rsid w:val="00E24AB3"/>
    <w:rsid w:val="00E24D88"/>
    <w:rsid w:val="00E25E36"/>
    <w:rsid w:val="00E3019A"/>
    <w:rsid w:val="00E3126C"/>
    <w:rsid w:val="00E31F44"/>
    <w:rsid w:val="00E326A2"/>
    <w:rsid w:val="00E338E8"/>
    <w:rsid w:val="00E3399F"/>
    <w:rsid w:val="00E355B4"/>
    <w:rsid w:val="00E35D11"/>
    <w:rsid w:val="00E35E69"/>
    <w:rsid w:val="00E367B4"/>
    <w:rsid w:val="00E36C2A"/>
    <w:rsid w:val="00E36C87"/>
    <w:rsid w:val="00E40462"/>
    <w:rsid w:val="00E41704"/>
    <w:rsid w:val="00E418CD"/>
    <w:rsid w:val="00E41976"/>
    <w:rsid w:val="00E427F5"/>
    <w:rsid w:val="00E42B4B"/>
    <w:rsid w:val="00E42EB7"/>
    <w:rsid w:val="00E44076"/>
    <w:rsid w:val="00E4472E"/>
    <w:rsid w:val="00E44E04"/>
    <w:rsid w:val="00E454C4"/>
    <w:rsid w:val="00E460A7"/>
    <w:rsid w:val="00E464AC"/>
    <w:rsid w:val="00E5074C"/>
    <w:rsid w:val="00E51218"/>
    <w:rsid w:val="00E51DE5"/>
    <w:rsid w:val="00E52220"/>
    <w:rsid w:val="00E53106"/>
    <w:rsid w:val="00E5319E"/>
    <w:rsid w:val="00E531AD"/>
    <w:rsid w:val="00E54123"/>
    <w:rsid w:val="00E550FE"/>
    <w:rsid w:val="00E55826"/>
    <w:rsid w:val="00E55E9A"/>
    <w:rsid w:val="00E56AF6"/>
    <w:rsid w:val="00E57F24"/>
    <w:rsid w:val="00E60466"/>
    <w:rsid w:val="00E61EC4"/>
    <w:rsid w:val="00E626AF"/>
    <w:rsid w:val="00E62BCF"/>
    <w:rsid w:val="00E637D2"/>
    <w:rsid w:val="00E63C66"/>
    <w:rsid w:val="00E63EB3"/>
    <w:rsid w:val="00E64021"/>
    <w:rsid w:val="00E64712"/>
    <w:rsid w:val="00E64954"/>
    <w:rsid w:val="00E65267"/>
    <w:rsid w:val="00E66704"/>
    <w:rsid w:val="00E709EB"/>
    <w:rsid w:val="00E71AC1"/>
    <w:rsid w:val="00E7255F"/>
    <w:rsid w:val="00E7368D"/>
    <w:rsid w:val="00E73D5E"/>
    <w:rsid w:val="00E744CE"/>
    <w:rsid w:val="00E74D35"/>
    <w:rsid w:val="00E76399"/>
    <w:rsid w:val="00E76497"/>
    <w:rsid w:val="00E77AD4"/>
    <w:rsid w:val="00E77C27"/>
    <w:rsid w:val="00E80C55"/>
    <w:rsid w:val="00E81247"/>
    <w:rsid w:val="00E81396"/>
    <w:rsid w:val="00E82995"/>
    <w:rsid w:val="00E832D6"/>
    <w:rsid w:val="00E83FA9"/>
    <w:rsid w:val="00E84D80"/>
    <w:rsid w:val="00E85C1D"/>
    <w:rsid w:val="00E87388"/>
    <w:rsid w:val="00E87FD3"/>
    <w:rsid w:val="00E90CB8"/>
    <w:rsid w:val="00E91A1B"/>
    <w:rsid w:val="00E931C0"/>
    <w:rsid w:val="00E94655"/>
    <w:rsid w:val="00E951D0"/>
    <w:rsid w:val="00E95F67"/>
    <w:rsid w:val="00E971B0"/>
    <w:rsid w:val="00E97373"/>
    <w:rsid w:val="00E97913"/>
    <w:rsid w:val="00EA0CC3"/>
    <w:rsid w:val="00EA2559"/>
    <w:rsid w:val="00EA2766"/>
    <w:rsid w:val="00EA298D"/>
    <w:rsid w:val="00EA44C7"/>
    <w:rsid w:val="00EA5C26"/>
    <w:rsid w:val="00EA7457"/>
    <w:rsid w:val="00EA75AF"/>
    <w:rsid w:val="00EA7D3B"/>
    <w:rsid w:val="00EB1505"/>
    <w:rsid w:val="00EB1DFE"/>
    <w:rsid w:val="00EB1EBA"/>
    <w:rsid w:val="00EB37E8"/>
    <w:rsid w:val="00EB3807"/>
    <w:rsid w:val="00EB43CB"/>
    <w:rsid w:val="00EB4AB9"/>
    <w:rsid w:val="00EB6EA4"/>
    <w:rsid w:val="00EB76EB"/>
    <w:rsid w:val="00EC0258"/>
    <w:rsid w:val="00EC0350"/>
    <w:rsid w:val="00EC3AC4"/>
    <w:rsid w:val="00EC51AE"/>
    <w:rsid w:val="00EC5724"/>
    <w:rsid w:val="00EC63A9"/>
    <w:rsid w:val="00EC69C5"/>
    <w:rsid w:val="00EC7B5D"/>
    <w:rsid w:val="00EC7C6F"/>
    <w:rsid w:val="00ED0E1F"/>
    <w:rsid w:val="00ED0F59"/>
    <w:rsid w:val="00ED1E97"/>
    <w:rsid w:val="00ED27AB"/>
    <w:rsid w:val="00ED27D1"/>
    <w:rsid w:val="00ED2849"/>
    <w:rsid w:val="00ED44FB"/>
    <w:rsid w:val="00ED4C46"/>
    <w:rsid w:val="00ED4DA7"/>
    <w:rsid w:val="00ED565B"/>
    <w:rsid w:val="00ED6E36"/>
    <w:rsid w:val="00EE1CE3"/>
    <w:rsid w:val="00EE2867"/>
    <w:rsid w:val="00EE2FBD"/>
    <w:rsid w:val="00EE48F3"/>
    <w:rsid w:val="00EE496C"/>
    <w:rsid w:val="00EE4D21"/>
    <w:rsid w:val="00EE760C"/>
    <w:rsid w:val="00EE7B00"/>
    <w:rsid w:val="00EF017D"/>
    <w:rsid w:val="00EF0286"/>
    <w:rsid w:val="00EF074D"/>
    <w:rsid w:val="00EF2469"/>
    <w:rsid w:val="00EF3D38"/>
    <w:rsid w:val="00EF61D7"/>
    <w:rsid w:val="00EF6FFF"/>
    <w:rsid w:val="00F0001F"/>
    <w:rsid w:val="00F00C30"/>
    <w:rsid w:val="00F00E9F"/>
    <w:rsid w:val="00F021DD"/>
    <w:rsid w:val="00F022BA"/>
    <w:rsid w:val="00F029BA"/>
    <w:rsid w:val="00F02C65"/>
    <w:rsid w:val="00F032C3"/>
    <w:rsid w:val="00F036F0"/>
    <w:rsid w:val="00F0389F"/>
    <w:rsid w:val="00F04990"/>
    <w:rsid w:val="00F04999"/>
    <w:rsid w:val="00F04BCF"/>
    <w:rsid w:val="00F06218"/>
    <w:rsid w:val="00F06370"/>
    <w:rsid w:val="00F06AE8"/>
    <w:rsid w:val="00F06C6C"/>
    <w:rsid w:val="00F07726"/>
    <w:rsid w:val="00F07C6E"/>
    <w:rsid w:val="00F10AF4"/>
    <w:rsid w:val="00F1253A"/>
    <w:rsid w:val="00F132B7"/>
    <w:rsid w:val="00F13A49"/>
    <w:rsid w:val="00F14412"/>
    <w:rsid w:val="00F14F5A"/>
    <w:rsid w:val="00F15A9A"/>
    <w:rsid w:val="00F15D86"/>
    <w:rsid w:val="00F15ED0"/>
    <w:rsid w:val="00F16B90"/>
    <w:rsid w:val="00F17836"/>
    <w:rsid w:val="00F17CDF"/>
    <w:rsid w:val="00F20D80"/>
    <w:rsid w:val="00F22390"/>
    <w:rsid w:val="00F22D9A"/>
    <w:rsid w:val="00F241E3"/>
    <w:rsid w:val="00F24541"/>
    <w:rsid w:val="00F24AD6"/>
    <w:rsid w:val="00F25AD9"/>
    <w:rsid w:val="00F25CF1"/>
    <w:rsid w:val="00F26096"/>
    <w:rsid w:val="00F27219"/>
    <w:rsid w:val="00F2731D"/>
    <w:rsid w:val="00F3007E"/>
    <w:rsid w:val="00F305CA"/>
    <w:rsid w:val="00F308C9"/>
    <w:rsid w:val="00F311DE"/>
    <w:rsid w:val="00F32095"/>
    <w:rsid w:val="00F32562"/>
    <w:rsid w:val="00F337E6"/>
    <w:rsid w:val="00F357CE"/>
    <w:rsid w:val="00F36748"/>
    <w:rsid w:val="00F36853"/>
    <w:rsid w:val="00F36C6B"/>
    <w:rsid w:val="00F36DDA"/>
    <w:rsid w:val="00F37075"/>
    <w:rsid w:val="00F40EFC"/>
    <w:rsid w:val="00F413F0"/>
    <w:rsid w:val="00F42E31"/>
    <w:rsid w:val="00F43BE9"/>
    <w:rsid w:val="00F44422"/>
    <w:rsid w:val="00F45171"/>
    <w:rsid w:val="00F4563B"/>
    <w:rsid w:val="00F45A40"/>
    <w:rsid w:val="00F472D5"/>
    <w:rsid w:val="00F51820"/>
    <w:rsid w:val="00F52CE4"/>
    <w:rsid w:val="00F53992"/>
    <w:rsid w:val="00F539D4"/>
    <w:rsid w:val="00F541FB"/>
    <w:rsid w:val="00F54B3E"/>
    <w:rsid w:val="00F54FCD"/>
    <w:rsid w:val="00F55E58"/>
    <w:rsid w:val="00F56048"/>
    <w:rsid w:val="00F56173"/>
    <w:rsid w:val="00F56BB6"/>
    <w:rsid w:val="00F56E08"/>
    <w:rsid w:val="00F574CF"/>
    <w:rsid w:val="00F57955"/>
    <w:rsid w:val="00F608C6"/>
    <w:rsid w:val="00F632D5"/>
    <w:rsid w:val="00F63BF9"/>
    <w:rsid w:val="00F64A5D"/>
    <w:rsid w:val="00F64F6B"/>
    <w:rsid w:val="00F656E4"/>
    <w:rsid w:val="00F65B49"/>
    <w:rsid w:val="00F67677"/>
    <w:rsid w:val="00F716E2"/>
    <w:rsid w:val="00F7378C"/>
    <w:rsid w:val="00F74A14"/>
    <w:rsid w:val="00F75E50"/>
    <w:rsid w:val="00F76EA2"/>
    <w:rsid w:val="00F81195"/>
    <w:rsid w:val="00F818A7"/>
    <w:rsid w:val="00F832BB"/>
    <w:rsid w:val="00F832FD"/>
    <w:rsid w:val="00F84B96"/>
    <w:rsid w:val="00F84CF3"/>
    <w:rsid w:val="00F8512B"/>
    <w:rsid w:val="00F86427"/>
    <w:rsid w:val="00F86834"/>
    <w:rsid w:val="00F87D43"/>
    <w:rsid w:val="00F87F74"/>
    <w:rsid w:val="00F923F2"/>
    <w:rsid w:val="00F93159"/>
    <w:rsid w:val="00F96585"/>
    <w:rsid w:val="00F96E2C"/>
    <w:rsid w:val="00FA070F"/>
    <w:rsid w:val="00FA0B19"/>
    <w:rsid w:val="00FA0F80"/>
    <w:rsid w:val="00FA1424"/>
    <w:rsid w:val="00FA1F70"/>
    <w:rsid w:val="00FA2747"/>
    <w:rsid w:val="00FA2D26"/>
    <w:rsid w:val="00FA5717"/>
    <w:rsid w:val="00FA57C3"/>
    <w:rsid w:val="00FA5959"/>
    <w:rsid w:val="00FA6DD8"/>
    <w:rsid w:val="00FA777E"/>
    <w:rsid w:val="00FB13B7"/>
    <w:rsid w:val="00FB1C38"/>
    <w:rsid w:val="00FB27E8"/>
    <w:rsid w:val="00FB45E7"/>
    <w:rsid w:val="00FB4B88"/>
    <w:rsid w:val="00FB5390"/>
    <w:rsid w:val="00FB5AF6"/>
    <w:rsid w:val="00FB658F"/>
    <w:rsid w:val="00FB6693"/>
    <w:rsid w:val="00FB69A2"/>
    <w:rsid w:val="00FB7F33"/>
    <w:rsid w:val="00FC0644"/>
    <w:rsid w:val="00FC0673"/>
    <w:rsid w:val="00FC2D9B"/>
    <w:rsid w:val="00FC2DEB"/>
    <w:rsid w:val="00FC2ECC"/>
    <w:rsid w:val="00FC31F9"/>
    <w:rsid w:val="00FC424C"/>
    <w:rsid w:val="00FC463A"/>
    <w:rsid w:val="00FC54A9"/>
    <w:rsid w:val="00FC683E"/>
    <w:rsid w:val="00FC709B"/>
    <w:rsid w:val="00FD1BA1"/>
    <w:rsid w:val="00FD2351"/>
    <w:rsid w:val="00FD2655"/>
    <w:rsid w:val="00FD27B0"/>
    <w:rsid w:val="00FD3F85"/>
    <w:rsid w:val="00FD5461"/>
    <w:rsid w:val="00FD7E86"/>
    <w:rsid w:val="00FE0B75"/>
    <w:rsid w:val="00FE0F46"/>
    <w:rsid w:val="00FE2F96"/>
    <w:rsid w:val="00FE45B5"/>
    <w:rsid w:val="00FE5DAD"/>
    <w:rsid w:val="00FE5DD9"/>
    <w:rsid w:val="00FE7447"/>
    <w:rsid w:val="00FF026F"/>
    <w:rsid w:val="00FF2CFA"/>
    <w:rsid w:val="00FF3AFC"/>
    <w:rsid w:val="00FF41E2"/>
    <w:rsid w:val="00FF4B6B"/>
    <w:rsid w:val="00FF73AC"/>
    <w:rsid w:val="078D696C"/>
    <w:rsid w:val="1AB24937"/>
    <w:rsid w:val="3A99325B"/>
    <w:rsid w:val="42550EF8"/>
    <w:rsid w:val="4600259B"/>
    <w:rsid w:val="4B6732C9"/>
    <w:rsid w:val="4D770C16"/>
    <w:rsid w:val="573000A9"/>
    <w:rsid w:val="60F64CDC"/>
    <w:rsid w:val="78485974"/>
    <w:rsid w:val="7E1D53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uiPriority="0"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9E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C29EE"/>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qFormat/>
    <w:rsid w:val="003C29EE"/>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
    <w:next w:val="a"/>
    <w:link w:val="3Char"/>
    <w:qFormat/>
    <w:rsid w:val="003C29EE"/>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3C29EE"/>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3C29EE"/>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3C29EE"/>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
    <w:link w:val="7Char"/>
    <w:qFormat/>
    <w:rsid w:val="003C29EE"/>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
    <w:link w:val="8Char"/>
    <w:qFormat/>
    <w:rsid w:val="003C29EE"/>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
    <w:link w:val="9Char"/>
    <w:qFormat/>
    <w:rsid w:val="003C29EE"/>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3C29EE"/>
    <w:pPr>
      <w:spacing w:after="120" w:line="360" w:lineRule="auto"/>
      <w:ind w:left="2520" w:firstLine="480"/>
    </w:pPr>
    <w:rPr>
      <w:rFonts w:ascii="宋体" w:hAnsi="宋体" w:cs="Arial"/>
      <w:bCs/>
      <w:color w:val="000000"/>
      <w:kern w:val="0"/>
      <w:szCs w:val="21"/>
      <w:lang w:val="zh-CN"/>
    </w:rPr>
  </w:style>
  <w:style w:type="paragraph" w:styleId="a3">
    <w:name w:val="Normal Indent"/>
    <w:basedOn w:val="a"/>
    <w:qFormat/>
    <w:rsid w:val="003C29EE"/>
    <w:pPr>
      <w:ind w:firstLine="420"/>
    </w:pPr>
    <w:rPr>
      <w:szCs w:val="20"/>
    </w:rPr>
  </w:style>
  <w:style w:type="paragraph" w:styleId="a4">
    <w:name w:val="caption"/>
    <w:basedOn w:val="a"/>
    <w:next w:val="a"/>
    <w:qFormat/>
    <w:rsid w:val="003C29EE"/>
    <w:pPr>
      <w:spacing w:line="360" w:lineRule="auto"/>
      <w:ind w:firstLineChars="200" w:firstLine="200"/>
    </w:pPr>
    <w:rPr>
      <w:rFonts w:ascii="Cambria" w:eastAsia="黑体" w:hAnsi="Cambria"/>
      <w:sz w:val="20"/>
      <w:szCs w:val="20"/>
    </w:rPr>
  </w:style>
  <w:style w:type="paragraph" w:styleId="a5">
    <w:name w:val="List Bullet"/>
    <w:basedOn w:val="a"/>
    <w:qFormat/>
    <w:rsid w:val="003C29EE"/>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6">
    <w:name w:val="Document Map"/>
    <w:basedOn w:val="a"/>
    <w:link w:val="Char"/>
    <w:qFormat/>
    <w:rsid w:val="003C29EE"/>
    <w:pPr>
      <w:shd w:val="clear" w:color="auto" w:fill="000080"/>
      <w:spacing w:after="120" w:line="360" w:lineRule="auto"/>
      <w:ind w:firstLine="480"/>
    </w:pPr>
    <w:rPr>
      <w:rFonts w:ascii="宋体" w:hAnsi="宋体"/>
      <w:bCs/>
      <w:color w:val="000000"/>
      <w:kern w:val="0"/>
      <w:sz w:val="20"/>
      <w:szCs w:val="21"/>
      <w:lang w:val="zh-CN"/>
    </w:rPr>
  </w:style>
  <w:style w:type="paragraph" w:styleId="a7">
    <w:name w:val="annotation text"/>
    <w:basedOn w:val="a"/>
    <w:link w:val="Char0"/>
    <w:uiPriority w:val="99"/>
    <w:qFormat/>
    <w:rsid w:val="003C29EE"/>
    <w:pPr>
      <w:jc w:val="left"/>
    </w:pPr>
    <w:rPr>
      <w:kern w:val="0"/>
      <w:sz w:val="20"/>
    </w:rPr>
  </w:style>
  <w:style w:type="paragraph" w:styleId="a8">
    <w:name w:val="Body Text"/>
    <w:basedOn w:val="a"/>
    <w:link w:val="Char1"/>
    <w:qFormat/>
    <w:rsid w:val="003C29EE"/>
    <w:rPr>
      <w:rFonts w:ascii="宋体" w:hAnsi="宋体"/>
      <w:kern w:val="0"/>
      <w:sz w:val="24"/>
      <w:szCs w:val="21"/>
    </w:rPr>
  </w:style>
  <w:style w:type="paragraph" w:styleId="a9">
    <w:name w:val="Body Text Indent"/>
    <w:basedOn w:val="a"/>
    <w:link w:val="Char2"/>
    <w:qFormat/>
    <w:rsid w:val="003C29EE"/>
    <w:pPr>
      <w:ind w:firstLine="540"/>
    </w:pPr>
    <w:rPr>
      <w:kern w:val="0"/>
      <w:sz w:val="24"/>
      <w:szCs w:val="20"/>
    </w:rPr>
  </w:style>
  <w:style w:type="paragraph" w:styleId="50">
    <w:name w:val="toc 5"/>
    <w:basedOn w:val="a"/>
    <w:next w:val="a"/>
    <w:qFormat/>
    <w:rsid w:val="003C29EE"/>
    <w:pPr>
      <w:spacing w:after="120" w:line="360" w:lineRule="auto"/>
      <w:ind w:left="1680" w:firstLine="480"/>
    </w:pPr>
    <w:rPr>
      <w:rFonts w:ascii="宋体" w:hAnsi="宋体" w:cs="Arial"/>
      <w:bCs/>
      <w:color w:val="000000"/>
      <w:kern w:val="0"/>
      <w:szCs w:val="21"/>
      <w:lang w:val="zh-CN"/>
    </w:rPr>
  </w:style>
  <w:style w:type="paragraph" w:styleId="30">
    <w:name w:val="toc 3"/>
    <w:basedOn w:val="a"/>
    <w:next w:val="a"/>
    <w:uiPriority w:val="39"/>
    <w:qFormat/>
    <w:rsid w:val="003C29EE"/>
    <w:pPr>
      <w:spacing w:after="120" w:line="360" w:lineRule="auto"/>
      <w:ind w:left="840" w:firstLine="480"/>
    </w:pPr>
    <w:rPr>
      <w:rFonts w:ascii="宋体" w:hAnsi="宋体" w:cs="Arial"/>
      <w:bCs/>
      <w:color w:val="000000"/>
      <w:kern w:val="0"/>
      <w:szCs w:val="21"/>
      <w:lang w:val="zh-CN"/>
    </w:rPr>
  </w:style>
  <w:style w:type="paragraph" w:styleId="aa">
    <w:name w:val="Plain Text"/>
    <w:basedOn w:val="a"/>
    <w:link w:val="Char3"/>
    <w:qFormat/>
    <w:rsid w:val="003C29EE"/>
    <w:pPr>
      <w:widowControl/>
      <w:spacing w:before="100" w:beforeAutospacing="1" w:after="100" w:afterAutospacing="1"/>
      <w:jc w:val="left"/>
    </w:pPr>
    <w:rPr>
      <w:rFonts w:ascii="Arial Unicode MS" w:eastAsia="Arial Unicode MS" w:hAnsi="Arial Unicode MS"/>
      <w:kern w:val="0"/>
      <w:sz w:val="24"/>
    </w:rPr>
  </w:style>
  <w:style w:type="paragraph" w:styleId="80">
    <w:name w:val="toc 8"/>
    <w:basedOn w:val="a"/>
    <w:next w:val="a"/>
    <w:qFormat/>
    <w:rsid w:val="003C29EE"/>
    <w:pPr>
      <w:spacing w:after="120" w:line="360" w:lineRule="auto"/>
      <w:ind w:left="2940" w:firstLine="480"/>
    </w:pPr>
    <w:rPr>
      <w:rFonts w:ascii="宋体" w:hAnsi="宋体" w:cs="Arial"/>
      <w:bCs/>
      <w:color w:val="000000"/>
      <w:kern w:val="0"/>
      <w:szCs w:val="21"/>
      <w:lang w:val="zh-CN"/>
    </w:rPr>
  </w:style>
  <w:style w:type="paragraph" w:styleId="ab">
    <w:name w:val="Date"/>
    <w:basedOn w:val="a"/>
    <w:next w:val="a"/>
    <w:link w:val="Char4"/>
    <w:qFormat/>
    <w:rsid w:val="003C29EE"/>
    <w:pPr>
      <w:ind w:leftChars="2500" w:left="100"/>
    </w:pPr>
    <w:rPr>
      <w:rFonts w:ascii="宋体" w:hAnsi="宋体"/>
      <w:kern w:val="0"/>
      <w:sz w:val="24"/>
      <w:szCs w:val="21"/>
    </w:rPr>
  </w:style>
  <w:style w:type="paragraph" w:styleId="20">
    <w:name w:val="Body Text Indent 2"/>
    <w:basedOn w:val="a"/>
    <w:link w:val="2Char0"/>
    <w:qFormat/>
    <w:rsid w:val="003C29EE"/>
    <w:pPr>
      <w:tabs>
        <w:tab w:val="left" w:pos="1110"/>
      </w:tabs>
      <w:spacing w:line="360" w:lineRule="auto"/>
      <w:ind w:firstLineChars="200" w:firstLine="420"/>
    </w:pPr>
    <w:rPr>
      <w:rFonts w:ascii="宋体" w:hAnsi="宋体"/>
      <w:color w:val="FF0000"/>
      <w:kern w:val="0"/>
      <w:sz w:val="20"/>
    </w:rPr>
  </w:style>
  <w:style w:type="paragraph" w:styleId="ac">
    <w:name w:val="endnote text"/>
    <w:basedOn w:val="a"/>
    <w:link w:val="Char5"/>
    <w:qFormat/>
    <w:rsid w:val="003C29EE"/>
    <w:pPr>
      <w:snapToGrid w:val="0"/>
      <w:jc w:val="left"/>
    </w:pPr>
    <w:rPr>
      <w:kern w:val="0"/>
      <w:sz w:val="20"/>
      <w:szCs w:val="20"/>
    </w:rPr>
  </w:style>
  <w:style w:type="paragraph" w:styleId="ad">
    <w:name w:val="Balloon Text"/>
    <w:basedOn w:val="a"/>
    <w:link w:val="Char6"/>
    <w:semiHidden/>
    <w:qFormat/>
    <w:rsid w:val="003C29EE"/>
    <w:rPr>
      <w:kern w:val="0"/>
      <w:sz w:val="18"/>
      <w:szCs w:val="18"/>
    </w:rPr>
  </w:style>
  <w:style w:type="paragraph" w:styleId="ae">
    <w:name w:val="footer"/>
    <w:basedOn w:val="a"/>
    <w:link w:val="Char7"/>
    <w:uiPriority w:val="99"/>
    <w:qFormat/>
    <w:rsid w:val="003C29EE"/>
    <w:pPr>
      <w:tabs>
        <w:tab w:val="center" w:pos="4153"/>
        <w:tab w:val="right" w:pos="8306"/>
      </w:tabs>
      <w:snapToGrid w:val="0"/>
      <w:jc w:val="left"/>
    </w:pPr>
    <w:rPr>
      <w:kern w:val="0"/>
      <w:sz w:val="18"/>
      <w:szCs w:val="18"/>
    </w:rPr>
  </w:style>
  <w:style w:type="paragraph" w:styleId="af">
    <w:name w:val="header"/>
    <w:basedOn w:val="a"/>
    <w:link w:val="Char8"/>
    <w:uiPriority w:val="99"/>
    <w:qFormat/>
    <w:rsid w:val="003C29EE"/>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3C29EE"/>
    <w:pPr>
      <w:tabs>
        <w:tab w:val="right" w:leader="dot" w:pos="8295"/>
      </w:tabs>
      <w:snapToGrid w:val="0"/>
      <w:spacing w:line="360" w:lineRule="auto"/>
    </w:pPr>
    <w:rPr>
      <w:rFonts w:ascii="宋体" w:hAnsi="宋体"/>
      <w:caps/>
      <w:sz w:val="24"/>
    </w:rPr>
  </w:style>
  <w:style w:type="paragraph" w:styleId="40">
    <w:name w:val="toc 4"/>
    <w:basedOn w:val="a"/>
    <w:next w:val="a"/>
    <w:qFormat/>
    <w:rsid w:val="003C29EE"/>
    <w:pPr>
      <w:spacing w:after="120" w:line="360" w:lineRule="auto"/>
      <w:ind w:left="1260" w:firstLine="480"/>
    </w:pPr>
    <w:rPr>
      <w:rFonts w:ascii="宋体" w:hAnsi="宋体" w:cs="Arial"/>
      <w:bCs/>
      <w:color w:val="000000"/>
      <w:kern w:val="0"/>
      <w:szCs w:val="21"/>
      <w:lang w:val="zh-CN"/>
    </w:rPr>
  </w:style>
  <w:style w:type="paragraph" w:styleId="af0">
    <w:name w:val="footnote text"/>
    <w:basedOn w:val="a"/>
    <w:link w:val="Char9"/>
    <w:qFormat/>
    <w:rsid w:val="003C29EE"/>
    <w:pPr>
      <w:snapToGrid w:val="0"/>
      <w:jc w:val="left"/>
    </w:pPr>
    <w:rPr>
      <w:kern w:val="0"/>
      <w:sz w:val="18"/>
      <w:szCs w:val="18"/>
    </w:rPr>
  </w:style>
  <w:style w:type="paragraph" w:styleId="60">
    <w:name w:val="toc 6"/>
    <w:basedOn w:val="a"/>
    <w:next w:val="a"/>
    <w:qFormat/>
    <w:rsid w:val="003C29EE"/>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
    <w:link w:val="3Char0"/>
    <w:qFormat/>
    <w:rsid w:val="003C29EE"/>
    <w:pPr>
      <w:spacing w:line="360" w:lineRule="auto"/>
      <w:ind w:firstLine="425"/>
    </w:pPr>
    <w:rPr>
      <w:rFonts w:ascii="宋体"/>
      <w:kern w:val="0"/>
      <w:sz w:val="20"/>
    </w:rPr>
  </w:style>
  <w:style w:type="paragraph" w:styleId="21">
    <w:name w:val="toc 2"/>
    <w:basedOn w:val="a"/>
    <w:next w:val="a"/>
    <w:uiPriority w:val="39"/>
    <w:qFormat/>
    <w:rsid w:val="003C29EE"/>
    <w:pPr>
      <w:spacing w:after="120" w:line="360" w:lineRule="auto"/>
      <w:ind w:left="420" w:firstLine="480"/>
    </w:pPr>
    <w:rPr>
      <w:rFonts w:ascii="宋体" w:hAnsi="宋体" w:cs="Arial"/>
      <w:bCs/>
      <w:color w:val="000000"/>
      <w:kern w:val="0"/>
      <w:szCs w:val="21"/>
      <w:lang w:val="zh-CN"/>
    </w:rPr>
  </w:style>
  <w:style w:type="paragraph" w:styleId="90">
    <w:name w:val="toc 9"/>
    <w:basedOn w:val="a"/>
    <w:next w:val="a"/>
    <w:qFormat/>
    <w:rsid w:val="003C29EE"/>
    <w:pPr>
      <w:spacing w:after="120" w:line="360" w:lineRule="auto"/>
      <w:ind w:left="3360" w:firstLine="480"/>
    </w:pPr>
    <w:rPr>
      <w:rFonts w:ascii="宋体" w:hAnsi="宋体" w:cs="Arial"/>
      <w:bCs/>
      <w:color w:val="000000"/>
      <w:kern w:val="0"/>
      <w:szCs w:val="21"/>
      <w:lang w:val="zh-CN"/>
    </w:rPr>
  </w:style>
  <w:style w:type="paragraph" w:styleId="22">
    <w:name w:val="Body Text 2"/>
    <w:basedOn w:val="a"/>
    <w:link w:val="2Char1"/>
    <w:qFormat/>
    <w:rsid w:val="003C29EE"/>
    <w:rPr>
      <w:kern w:val="0"/>
      <w:sz w:val="28"/>
      <w:szCs w:val="20"/>
    </w:rPr>
  </w:style>
  <w:style w:type="paragraph" w:styleId="af1">
    <w:name w:val="Normal (Web)"/>
    <w:basedOn w:val="a"/>
    <w:uiPriority w:val="99"/>
    <w:qFormat/>
    <w:rsid w:val="003C29EE"/>
    <w:pPr>
      <w:widowControl/>
      <w:spacing w:before="100" w:beforeAutospacing="1" w:after="100" w:afterAutospacing="1"/>
      <w:jc w:val="left"/>
    </w:pPr>
    <w:rPr>
      <w:rFonts w:ascii="宋体" w:hAnsi="宋体"/>
      <w:kern w:val="0"/>
      <w:sz w:val="24"/>
    </w:rPr>
  </w:style>
  <w:style w:type="paragraph" w:styleId="af2">
    <w:name w:val="Title"/>
    <w:basedOn w:val="a"/>
    <w:link w:val="Chara"/>
    <w:qFormat/>
    <w:rsid w:val="003C29EE"/>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3">
    <w:name w:val="annotation subject"/>
    <w:basedOn w:val="a7"/>
    <w:next w:val="a7"/>
    <w:link w:val="Charb"/>
    <w:qFormat/>
    <w:rsid w:val="003C29EE"/>
    <w:rPr>
      <w:b/>
      <w:bCs/>
    </w:rPr>
  </w:style>
  <w:style w:type="paragraph" w:styleId="af4">
    <w:name w:val="Body Text First Indent"/>
    <w:basedOn w:val="a8"/>
    <w:link w:val="Charc"/>
    <w:qFormat/>
    <w:rsid w:val="003C29EE"/>
    <w:pPr>
      <w:spacing w:after="120"/>
      <w:ind w:firstLineChars="100" w:firstLine="420"/>
    </w:pPr>
    <w:rPr>
      <w:rFonts w:ascii="Times New Roman" w:hAnsi="Times New Roman"/>
      <w:szCs w:val="24"/>
    </w:rPr>
  </w:style>
  <w:style w:type="table" w:styleId="af5">
    <w:name w:val="Table Grid"/>
    <w:basedOn w:val="a1"/>
    <w:qFormat/>
    <w:rsid w:val="003C29E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Theme"/>
    <w:basedOn w:val="a1"/>
    <w:qFormat/>
    <w:rsid w:val="003C29E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1"/>
    <w:qFormat/>
    <w:rsid w:val="003C29EE"/>
    <w:pPr>
      <w:widowControl w:val="0"/>
      <w:jc w:val="both"/>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af7">
    <w:name w:val="Strong"/>
    <w:qFormat/>
    <w:rsid w:val="003C29EE"/>
    <w:rPr>
      <w:b/>
      <w:bCs/>
    </w:rPr>
  </w:style>
  <w:style w:type="character" w:styleId="af8">
    <w:name w:val="endnote reference"/>
    <w:qFormat/>
    <w:rsid w:val="003C29EE"/>
    <w:rPr>
      <w:vertAlign w:val="superscript"/>
    </w:rPr>
  </w:style>
  <w:style w:type="character" w:styleId="af9">
    <w:name w:val="page number"/>
    <w:basedOn w:val="a0"/>
    <w:qFormat/>
    <w:rsid w:val="003C29EE"/>
  </w:style>
  <w:style w:type="character" w:styleId="afa">
    <w:name w:val="FollowedHyperlink"/>
    <w:qFormat/>
    <w:rsid w:val="003C29EE"/>
    <w:rPr>
      <w:color w:val="800080"/>
      <w:u w:val="single"/>
    </w:rPr>
  </w:style>
  <w:style w:type="character" w:styleId="afb">
    <w:name w:val="Emphasis"/>
    <w:uiPriority w:val="20"/>
    <w:qFormat/>
    <w:rsid w:val="003C29EE"/>
    <w:rPr>
      <w:i/>
      <w:iCs/>
    </w:rPr>
  </w:style>
  <w:style w:type="character" w:styleId="afc">
    <w:name w:val="Hyperlink"/>
    <w:uiPriority w:val="99"/>
    <w:qFormat/>
    <w:rsid w:val="003C29EE"/>
    <w:rPr>
      <w:color w:val="0000FF"/>
      <w:u w:val="single"/>
    </w:rPr>
  </w:style>
  <w:style w:type="character" w:styleId="afd">
    <w:name w:val="annotation reference"/>
    <w:uiPriority w:val="99"/>
    <w:qFormat/>
    <w:rsid w:val="003C29EE"/>
    <w:rPr>
      <w:sz w:val="21"/>
      <w:szCs w:val="21"/>
    </w:rPr>
  </w:style>
  <w:style w:type="character" w:styleId="afe">
    <w:name w:val="footnote reference"/>
    <w:qFormat/>
    <w:rsid w:val="003C29EE"/>
    <w:rPr>
      <w:vertAlign w:val="superscript"/>
    </w:rPr>
  </w:style>
  <w:style w:type="character" w:customStyle="1" w:styleId="tt11">
    <w:name w:val="tt11"/>
    <w:qFormat/>
    <w:rsid w:val="003C29EE"/>
    <w:rPr>
      <w:spacing w:val="400"/>
      <w:sz w:val="22"/>
      <w:szCs w:val="22"/>
    </w:rPr>
  </w:style>
  <w:style w:type="character" w:customStyle="1" w:styleId="c">
    <w:name w:val="c"/>
    <w:basedOn w:val="a0"/>
    <w:qFormat/>
    <w:rsid w:val="003C29EE"/>
  </w:style>
  <w:style w:type="character" w:customStyle="1" w:styleId="5Char">
    <w:name w:val="标题 5 Char"/>
    <w:link w:val="5"/>
    <w:qFormat/>
    <w:rsid w:val="003C29EE"/>
    <w:rPr>
      <w:rFonts w:ascii="宋体" w:eastAsia="宋体" w:hAnsi="Times New Roman" w:cs="Times New Roman"/>
      <w:b/>
      <w:kern w:val="0"/>
      <w:sz w:val="28"/>
      <w:szCs w:val="20"/>
    </w:rPr>
  </w:style>
  <w:style w:type="character" w:customStyle="1" w:styleId="read1">
    <w:name w:val="read1"/>
    <w:qFormat/>
    <w:rsid w:val="003C29EE"/>
    <w:rPr>
      <w:rFonts w:hint="default"/>
      <w:color w:val="000000"/>
      <w:spacing w:val="450"/>
      <w:u w:val="none"/>
    </w:rPr>
  </w:style>
  <w:style w:type="character" w:customStyle="1" w:styleId="2Char0">
    <w:name w:val="正文文本缩进 2 Char"/>
    <w:link w:val="20"/>
    <w:rsid w:val="003C29EE"/>
    <w:rPr>
      <w:rFonts w:ascii="宋体" w:hAnsi="宋体"/>
      <w:color w:val="FF0000"/>
      <w:szCs w:val="24"/>
    </w:rPr>
  </w:style>
  <w:style w:type="character" w:customStyle="1" w:styleId="Char9">
    <w:name w:val="脚注文本 Char"/>
    <w:link w:val="af0"/>
    <w:qFormat/>
    <w:rsid w:val="003C29EE"/>
    <w:rPr>
      <w:rFonts w:ascii="Times New Roman" w:hAnsi="Times New Roman"/>
      <w:sz w:val="18"/>
      <w:szCs w:val="18"/>
    </w:rPr>
  </w:style>
  <w:style w:type="character" w:customStyle="1" w:styleId="Char2">
    <w:name w:val="正文文本缩进 Char"/>
    <w:link w:val="a9"/>
    <w:qFormat/>
    <w:rsid w:val="003C29EE"/>
    <w:rPr>
      <w:rFonts w:ascii="Times New Roman" w:hAnsi="Times New Roman"/>
      <w:sz w:val="24"/>
    </w:rPr>
  </w:style>
  <w:style w:type="character" w:customStyle="1" w:styleId="Char5">
    <w:name w:val="尾注文本 Char"/>
    <w:link w:val="ac"/>
    <w:qFormat/>
    <w:rsid w:val="003C29EE"/>
    <w:rPr>
      <w:rFonts w:ascii="Times New Roman" w:hAnsi="Times New Roman"/>
    </w:rPr>
  </w:style>
  <w:style w:type="character" w:customStyle="1" w:styleId="2Char1">
    <w:name w:val="正文文本 2 Char"/>
    <w:link w:val="22"/>
    <w:qFormat/>
    <w:rsid w:val="003C29EE"/>
    <w:rPr>
      <w:rFonts w:ascii="Times New Roman" w:hAnsi="Times New Roman"/>
      <w:sz w:val="28"/>
    </w:rPr>
  </w:style>
  <w:style w:type="character" w:customStyle="1" w:styleId="Char1">
    <w:name w:val="正文文本 Char"/>
    <w:link w:val="a8"/>
    <w:qFormat/>
    <w:rsid w:val="003C29EE"/>
    <w:rPr>
      <w:rFonts w:ascii="宋体" w:eastAsia="宋体" w:hAnsi="宋体" w:cs="Times New Roman"/>
      <w:kern w:val="0"/>
      <w:sz w:val="24"/>
      <w:szCs w:val="21"/>
    </w:rPr>
  </w:style>
  <w:style w:type="character" w:customStyle="1" w:styleId="c1">
    <w:name w:val="c1"/>
    <w:rsid w:val="003C29EE"/>
    <w:rPr>
      <w:color w:val="000000"/>
      <w:spacing w:val="257"/>
      <w:sz w:val="15"/>
      <w:szCs w:val="15"/>
    </w:rPr>
  </w:style>
  <w:style w:type="character" w:customStyle="1" w:styleId="4Char">
    <w:name w:val="标题 4 Char"/>
    <w:link w:val="4"/>
    <w:qFormat/>
    <w:rsid w:val="003C29EE"/>
    <w:rPr>
      <w:rFonts w:ascii="Arial" w:eastAsia="黑体" w:hAnsi="Arial" w:cs="Times New Roman"/>
      <w:b/>
      <w:kern w:val="0"/>
      <w:sz w:val="28"/>
      <w:szCs w:val="20"/>
    </w:rPr>
  </w:style>
  <w:style w:type="character" w:customStyle="1" w:styleId="8Char">
    <w:name w:val="标题 8 Char"/>
    <w:link w:val="8"/>
    <w:qFormat/>
    <w:rsid w:val="003C29EE"/>
    <w:rPr>
      <w:rFonts w:ascii="Arial" w:eastAsia="黑体" w:hAnsi="Arial" w:cs="Times New Roman"/>
      <w:kern w:val="0"/>
      <w:sz w:val="24"/>
      <w:szCs w:val="20"/>
    </w:rPr>
  </w:style>
  <w:style w:type="character" w:customStyle="1" w:styleId="unnamed11">
    <w:name w:val="unnamed11"/>
    <w:qFormat/>
    <w:rsid w:val="003C29EE"/>
    <w:rPr>
      <w:rFonts w:ascii="宋体" w:eastAsia="宋体" w:hAnsi="宋体" w:hint="eastAsia"/>
      <w:sz w:val="18"/>
      <w:szCs w:val="18"/>
    </w:rPr>
  </w:style>
  <w:style w:type="character" w:customStyle="1" w:styleId="BS8Char">
    <w:name w:val="BS标题8 Char"/>
    <w:link w:val="BS8"/>
    <w:qFormat/>
    <w:rsid w:val="003C29EE"/>
    <w:rPr>
      <w:rFonts w:ascii="Times New Roman" w:hAnsi="Times New Roman"/>
      <w:szCs w:val="32"/>
    </w:rPr>
  </w:style>
  <w:style w:type="paragraph" w:customStyle="1" w:styleId="BS8">
    <w:name w:val="BS标题8"/>
    <w:basedOn w:val="2"/>
    <w:link w:val="BS8Char"/>
    <w:qFormat/>
    <w:rsid w:val="003C29EE"/>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Char8">
    <w:name w:val="页眉 Char"/>
    <w:link w:val="af"/>
    <w:uiPriority w:val="99"/>
    <w:qFormat/>
    <w:rsid w:val="003C29EE"/>
    <w:rPr>
      <w:rFonts w:ascii="Times New Roman" w:hAnsi="Times New Roman"/>
      <w:sz w:val="18"/>
      <w:szCs w:val="18"/>
    </w:rPr>
  </w:style>
  <w:style w:type="character" w:customStyle="1" w:styleId="3Char0">
    <w:name w:val="正文文本缩进 3 Char"/>
    <w:link w:val="31"/>
    <w:qFormat/>
    <w:rsid w:val="003C29EE"/>
    <w:rPr>
      <w:rFonts w:ascii="宋体" w:hAnsi="Times New Roman"/>
      <w:szCs w:val="24"/>
    </w:rPr>
  </w:style>
  <w:style w:type="character" w:customStyle="1" w:styleId="Char3">
    <w:name w:val="纯文本 Char"/>
    <w:link w:val="aa"/>
    <w:qFormat/>
    <w:rsid w:val="003C29EE"/>
    <w:rPr>
      <w:rFonts w:ascii="Arial Unicode MS" w:eastAsia="Arial Unicode MS" w:hAnsi="Arial Unicode MS" w:cs="Arial Unicode MS"/>
      <w:kern w:val="0"/>
      <w:sz w:val="24"/>
      <w:szCs w:val="24"/>
    </w:rPr>
  </w:style>
  <w:style w:type="character" w:customStyle="1" w:styleId="Char4">
    <w:name w:val="日期 Char"/>
    <w:link w:val="ab"/>
    <w:qFormat/>
    <w:rsid w:val="003C29EE"/>
    <w:rPr>
      <w:rFonts w:ascii="宋体" w:eastAsia="宋体" w:hAnsi="宋体" w:cs="Times New Roman"/>
      <w:kern w:val="0"/>
      <w:sz w:val="24"/>
      <w:szCs w:val="21"/>
    </w:rPr>
  </w:style>
  <w:style w:type="character" w:customStyle="1" w:styleId="Char">
    <w:name w:val="文档结构图 Char"/>
    <w:link w:val="a6"/>
    <w:qFormat/>
    <w:rsid w:val="003C29EE"/>
    <w:rPr>
      <w:rFonts w:ascii="宋体" w:hAnsi="宋体"/>
      <w:bCs/>
      <w:color w:val="000000"/>
      <w:szCs w:val="21"/>
      <w:shd w:val="clear" w:color="auto" w:fill="000080"/>
      <w:lang w:val="zh-CN"/>
    </w:rPr>
  </w:style>
  <w:style w:type="character" w:customStyle="1" w:styleId="big1">
    <w:name w:val="big1"/>
    <w:qFormat/>
    <w:rsid w:val="003C29EE"/>
    <w:rPr>
      <w:spacing w:val="360"/>
      <w:sz w:val="25"/>
      <w:szCs w:val="25"/>
    </w:rPr>
  </w:style>
  <w:style w:type="character" w:customStyle="1" w:styleId="2Char">
    <w:name w:val="标题 2 Char"/>
    <w:link w:val="2"/>
    <w:qFormat/>
    <w:rsid w:val="003C29EE"/>
    <w:rPr>
      <w:rFonts w:ascii="Arial" w:eastAsia="黑体" w:hAnsi="Arial" w:cs="Times New Roman"/>
      <w:b/>
      <w:kern w:val="0"/>
      <w:sz w:val="32"/>
      <w:szCs w:val="20"/>
    </w:rPr>
  </w:style>
  <w:style w:type="character" w:customStyle="1" w:styleId="9Char">
    <w:name w:val="标题 9 Char"/>
    <w:link w:val="9"/>
    <w:qFormat/>
    <w:rsid w:val="003C29EE"/>
    <w:rPr>
      <w:rFonts w:ascii="Arial" w:eastAsia="黑体" w:hAnsi="Arial"/>
    </w:rPr>
  </w:style>
  <w:style w:type="character" w:customStyle="1" w:styleId="msoins0">
    <w:name w:val="msoins"/>
    <w:basedOn w:val="a0"/>
    <w:qFormat/>
    <w:rsid w:val="003C29EE"/>
  </w:style>
  <w:style w:type="character" w:customStyle="1" w:styleId="txtcontent11">
    <w:name w:val="txtcontent11"/>
    <w:qFormat/>
    <w:rsid w:val="003C29EE"/>
    <w:rPr>
      <w:rFonts w:ascii="ˎ̥" w:hAnsi="ˎ̥" w:hint="default"/>
      <w:color w:val="000000"/>
      <w:sz w:val="21"/>
      <w:szCs w:val="21"/>
    </w:rPr>
  </w:style>
  <w:style w:type="character" w:customStyle="1" w:styleId="Chara">
    <w:name w:val="标题 Char"/>
    <w:link w:val="af2"/>
    <w:rsid w:val="003C29EE"/>
    <w:rPr>
      <w:rFonts w:ascii="Arial" w:eastAsia="宋体" w:hAnsi="Arial" w:cs="Arial"/>
      <w:b/>
      <w:bCs/>
      <w:kern w:val="0"/>
      <w:sz w:val="32"/>
      <w:szCs w:val="32"/>
    </w:rPr>
  </w:style>
  <w:style w:type="character" w:customStyle="1" w:styleId="3Char">
    <w:name w:val="标题 3 Char"/>
    <w:link w:val="3"/>
    <w:qFormat/>
    <w:rsid w:val="003C29EE"/>
    <w:rPr>
      <w:rFonts w:ascii="Times New Roman" w:hAnsi="Times New Roman"/>
      <w:b/>
      <w:bCs/>
      <w:szCs w:val="32"/>
    </w:rPr>
  </w:style>
  <w:style w:type="character" w:customStyle="1" w:styleId="font21">
    <w:name w:val="font21"/>
    <w:rsid w:val="003C29EE"/>
    <w:rPr>
      <w:color w:val="CC6600"/>
      <w:sz w:val="20"/>
      <w:szCs w:val="20"/>
    </w:rPr>
  </w:style>
  <w:style w:type="character" w:customStyle="1" w:styleId="apple-style-span">
    <w:name w:val="apple-style-span"/>
    <w:basedOn w:val="a0"/>
    <w:qFormat/>
    <w:rsid w:val="003C29EE"/>
  </w:style>
  <w:style w:type="character" w:customStyle="1" w:styleId="read">
    <w:name w:val="read"/>
    <w:basedOn w:val="a0"/>
    <w:rsid w:val="003C29EE"/>
  </w:style>
  <w:style w:type="character" w:customStyle="1" w:styleId="7Char">
    <w:name w:val="标题 7 Char"/>
    <w:link w:val="7"/>
    <w:qFormat/>
    <w:rsid w:val="003C29EE"/>
    <w:rPr>
      <w:rFonts w:ascii="宋体" w:eastAsia="宋体" w:hAnsi="Times New Roman" w:cs="Times New Roman"/>
      <w:b/>
      <w:kern w:val="0"/>
      <w:sz w:val="24"/>
      <w:szCs w:val="20"/>
    </w:rPr>
  </w:style>
  <w:style w:type="character" w:customStyle="1" w:styleId="6Char">
    <w:name w:val="标题 6 Char"/>
    <w:link w:val="6"/>
    <w:qFormat/>
    <w:rsid w:val="003C29EE"/>
    <w:rPr>
      <w:rFonts w:ascii="Arial" w:eastAsia="黑体" w:hAnsi="Arial" w:cs="Times New Roman"/>
      <w:b/>
      <w:kern w:val="0"/>
      <w:sz w:val="24"/>
      <w:szCs w:val="20"/>
    </w:rPr>
  </w:style>
  <w:style w:type="character" w:customStyle="1" w:styleId="Charb">
    <w:name w:val="批注主题 Char"/>
    <w:link w:val="af3"/>
    <w:qFormat/>
    <w:rsid w:val="003C29EE"/>
    <w:rPr>
      <w:rFonts w:ascii="Times New Roman" w:hAnsi="Times New Roman"/>
      <w:b/>
      <w:bCs/>
      <w:szCs w:val="24"/>
    </w:rPr>
  </w:style>
  <w:style w:type="character" w:customStyle="1" w:styleId="Char6">
    <w:name w:val="批注框文本 Char"/>
    <w:link w:val="ad"/>
    <w:semiHidden/>
    <w:rsid w:val="003C29EE"/>
    <w:rPr>
      <w:rFonts w:ascii="Times New Roman" w:hAnsi="Times New Roman"/>
      <w:sz w:val="18"/>
      <w:szCs w:val="18"/>
    </w:rPr>
  </w:style>
  <w:style w:type="character" w:customStyle="1" w:styleId="Charc">
    <w:name w:val="正文首行缩进 Char"/>
    <w:link w:val="af4"/>
    <w:rsid w:val="003C29EE"/>
    <w:rPr>
      <w:rFonts w:ascii="Times New Roman" w:hAnsi="Times New Roman"/>
      <w:sz w:val="24"/>
      <w:szCs w:val="24"/>
    </w:rPr>
  </w:style>
  <w:style w:type="character" w:customStyle="1" w:styleId="1Char">
    <w:name w:val="标题 1 Char"/>
    <w:link w:val="1"/>
    <w:qFormat/>
    <w:rsid w:val="003C29EE"/>
    <w:rPr>
      <w:rFonts w:ascii="宋体" w:eastAsia="黑体" w:hAnsi="Times New Roman" w:cs="Times New Roman"/>
      <w:kern w:val="0"/>
      <w:sz w:val="24"/>
      <w:szCs w:val="20"/>
    </w:rPr>
  </w:style>
  <w:style w:type="character" w:customStyle="1" w:styleId="Char7">
    <w:name w:val="页脚 Char"/>
    <w:link w:val="ae"/>
    <w:uiPriority w:val="99"/>
    <w:qFormat/>
    <w:rsid w:val="003C29EE"/>
    <w:rPr>
      <w:rFonts w:ascii="Times New Roman" w:hAnsi="Times New Roman"/>
      <w:sz w:val="18"/>
      <w:szCs w:val="18"/>
    </w:rPr>
  </w:style>
  <w:style w:type="character" w:customStyle="1" w:styleId="Char0">
    <w:name w:val="批注文字 Char"/>
    <w:link w:val="a7"/>
    <w:uiPriority w:val="99"/>
    <w:qFormat/>
    <w:rsid w:val="003C29EE"/>
    <w:rPr>
      <w:rFonts w:ascii="Times New Roman" w:hAnsi="Times New Roman"/>
      <w:szCs w:val="24"/>
    </w:rPr>
  </w:style>
  <w:style w:type="character" w:customStyle="1" w:styleId="Chard">
    <w:name w:val="合同正文 Char"/>
    <w:link w:val="aff"/>
    <w:qFormat/>
    <w:rsid w:val="003C29EE"/>
    <w:rPr>
      <w:rFonts w:ascii="Times New Roman" w:hAnsi="Times New Roman"/>
      <w:bCs/>
      <w:kern w:val="2"/>
      <w:sz w:val="24"/>
    </w:rPr>
  </w:style>
  <w:style w:type="paragraph" w:customStyle="1" w:styleId="aff">
    <w:name w:val="合同正文"/>
    <w:basedOn w:val="a"/>
    <w:link w:val="Chard"/>
    <w:qFormat/>
    <w:rsid w:val="003C29EE"/>
    <w:pPr>
      <w:spacing w:line="360" w:lineRule="auto"/>
      <w:ind w:firstLineChars="200" w:firstLine="200"/>
    </w:pPr>
    <w:rPr>
      <w:bCs/>
      <w:sz w:val="24"/>
      <w:szCs w:val="20"/>
    </w:rPr>
  </w:style>
  <w:style w:type="paragraph" w:customStyle="1" w:styleId="ParaChar">
    <w:name w:val="默认段落字体 Para Char"/>
    <w:basedOn w:val="a"/>
    <w:rsid w:val="003C29EE"/>
    <w:pPr>
      <w:tabs>
        <w:tab w:val="left" w:pos="757"/>
      </w:tabs>
      <w:ind w:firstLine="397"/>
    </w:pPr>
    <w:rPr>
      <w:sz w:val="24"/>
    </w:rPr>
  </w:style>
  <w:style w:type="paragraph" w:customStyle="1" w:styleId="Char10">
    <w:name w:val="Char1"/>
    <w:basedOn w:val="a"/>
    <w:rsid w:val="003C29EE"/>
    <w:pPr>
      <w:tabs>
        <w:tab w:val="left" w:pos="360"/>
      </w:tabs>
    </w:pPr>
    <w:rPr>
      <w:sz w:val="24"/>
    </w:rPr>
  </w:style>
  <w:style w:type="paragraph" w:customStyle="1" w:styleId="23">
    <w:name w:val="编号正文2"/>
    <w:basedOn w:val="a"/>
    <w:qFormat/>
    <w:rsid w:val="003C29EE"/>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ParaCharCharCharCharCharCharChar">
    <w:name w:val="默认段落字体 Para Char Char Char Char Char Char Char"/>
    <w:basedOn w:val="a"/>
    <w:qFormat/>
    <w:rsid w:val="003C29EE"/>
    <w:pPr>
      <w:widowControl/>
      <w:jc w:val="left"/>
    </w:pPr>
    <w:rPr>
      <w:sz w:val="24"/>
    </w:rPr>
  </w:style>
  <w:style w:type="paragraph" w:customStyle="1" w:styleId="unnamed1">
    <w:name w:val="unnamed1"/>
    <w:basedOn w:val="a"/>
    <w:rsid w:val="003C29EE"/>
    <w:pPr>
      <w:widowControl/>
      <w:spacing w:before="60" w:after="60"/>
      <w:ind w:left="15" w:right="15"/>
      <w:jc w:val="left"/>
    </w:pPr>
    <w:rPr>
      <w:rFonts w:ascii="宋体" w:hAnsi="宋体" w:hint="eastAsia"/>
      <w:color w:val="000000"/>
      <w:kern w:val="0"/>
      <w:sz w:val="18"/>
      <w:szCs w:val="18"/>
    </w:rPr>
  </w:style>
  <w:style w:type="paragraph" w:customStyle="1" w:styleId="CharCharCharChar11">
    <w:name w:val="Char Char Char Char11"/>
    <w:basedOn w:val="a"/>
    <w:rsid w:val="003C29EE"/>
    <w:rPr>
      <w:szCs w:val="20"/>
    </w:rPr>
  </w:style>
  <w:style w:type="paragraph" w:customStyle="1" w:styleId="Default">
    <w:name w:val="Default"/>
    <w:rsid w:val="003C29EE"/>
    <w:pPr>
      <w:widowControl w:val="0"/>
      <w:autoSpaceDE w:val="0"/>
      <w:autoSpaceDN w:val="0"/>
      <w:adjustRightInd w:val="0"/>
    </w:pPr>
    <w:rPr>
      <w:rFonts w:ascii="宋体" w:eastAsia="宋体" w:hAnsi="Times New Roman" w:cs="Times New Roman"/>
      <w:color w:val="000000"/>
      <w:sz w:val="24"/>
      <w:szCs w:val="24"/>
    </w:rPr>
  </w:style>
  <w:style w:type="paragraph" w:customStyle="1" w:styleId="CharCharCharChar">
    <w:name w:val="Char Char Char Char"/>
    <w:basedOn w:val="a"/>
    <w:rsid w:val="003C29EE"/>
    <w:pPr>
      <w:tabs>
        <w:tab w:val="left" w:pos="360"/>
      </w:tabs>
    </w:pPr>
    <w:rPr>
      <w:sz w:val="24"/>
    </w:rPr>
  </w:style>
  <w:style w:type="paragraph" w:customStyle="1" w:styleId="CharCharCharChar1">
    <w:name w:val="Char Char Char Char1"/>
    <w:basedOn w:val="a"/>
    <w:qFormat/>
    <w:rsid w:val="003C29EE"/>
    <w:rPr>
      <w:szCs w:val="20"/>
    </w:rPr>
  </w:style>
  <w:style w:type="paragraph" w:customStyle="1" w:styleId="Char1CharCharCharChar">
    <w:name w:val="Char1 Char Char Char Char"/>
    <w:basedOn w:val="a"/>
    <w:rsid w:val="003C29EE"/>
    <w:pPr>
      <w:widowControl/>
      <w:spacing w:after="160" w:line="240" w:lineRule="exact"/>
      <w:jc w:val="left"/>
    </w:pPr>
    <w:rPr>
      <w:rFonts w:ascii="Verdana" w:hAnsi="Verdana" w:cs="Verdana"/>
      <w:kern w:val="0"/>
      <w:sz w:val="20"/>
      <w:szCs w:val="20"/>
      <w:lang w:eastAsia="en-US"/>
    </w:rPr>
  </w:style>
  <w:style w:type="paragraph" w:customStyle="1" w:styleId="aff0">
    <w:name w:val="正文所"/>
    <w:basedOn w:val="a"/>
    <w:rsid w:val="003C29EE"/>
    <w:pPr>
      <w:spacing w:line="360" w:lineRule="auto"/>
      <w:ind w:firstLineChars="200" w:firstLine="420"/>
    </w:pPr>
    <w:rPr>
      <w:rFonts w:ascii="宋体"/>
      <w:szCs w:val="20"/>
    </w:rPr>
  </w:style>
  <w:style w:type="paragraph" w:customStyle="1" w:styleId="jjflp">
    <w:name w:val="jjfl_p"/>
    <w:basedOn w:val="a"/>
    <w:rsid w:val="003C29EE"/>
    <w:pPr>
      <w:widowControl/>
      <w:spacing w:before="100" w:beforeAutospacing="1" w:after="100" w:afterAutospacing="1" w:line="300" w:lineRule="atLeast"/>
      <w:jc w:val="left"/>
    </w:pPr>
    <w:rPr>
      <w:rFonts w:ascii="宋体" w:hAnsi="宋体" w:cs="宋体"/>
      <w:kern w:val="0"/>
      <w:sz w:val="24"/>
    </w:rPr>
  </w:style>
  <w:style w:type="paragraph" w:customStyle="1" w:styleId="Chare">
    <w:name w:val="Char"/>
    <w:basedOn w:val="a"/>
    <w:qFormat/>
    <w:rsid w:val="003C29EE"/>
    <w:pPr>
      <w:widowControl/>
      <w:spacing w:after="160" w:line="240" w:lineRule="exact"/>
      <w:jc w:val="left"/>
    </w:pPr>
    <w:rPr>
      <w:rFonts w:ascii="Verdana" w:hAnsi="Verdana"/>
      <w:kern w:val="0"/>
      <w:sz w:val="20"/>
      <w:szCs w:val="20"/>
      <w:lang w:eastAsia="en-US"/>
    </w:rPr>
  </w:style>
  <w:style w:type="paragraph" w:customStyle="1" w:styleId="CharCharCharCharChar1Char">
    <w:name w:val="Char Char Char Char Char1 Char"/>
    <w:basedOn w:val="a"/>
    <w:qFormat/>
    <w:rsid w:val="003C29EE"/>
  </w:style>
  <w:style w:type="paragraph" w:customStyle="1" w:styleId="aff1">
    <w:name w:val="正文正文"/>
    <w:basedOn w:val="a"/>
    <w:qFormat/>
    <w:rsid w:val="003C29EE"/>
    <w:pPr>
      <w:spacing w:afterLines="25" w:line="360" w:lineRule="auto"/>
      <w:ind w:firstLineChars="200" w:firstLine="200"/>
    </w:pPr>
    <w:rPr>
      <w:sz w:val="24"/>
    </w:rPr>
  </w:style>
  <w:style w:type="paragraph" w:customStyle="1" w:styleId="aff2">
    <w:name w:val="...."/>
    <w:basedOn w:val="Default"/>
    <w:next w:val="Default"/>
    <w:uiPriority w:val="99"/>
    <w:rsid w:val="003C29EE"/>
    <w:pPr>
      <w:spacing w:after="120"/>
    </w:pPr>
    <w:rPr>
      <w:rFonts w:ascii="仿宋_GB2312" w:eastAsia="仿宋_GB2312"/>
      <w:color w:val="auto"/>
    </w:rPr>
  </w:style>
  <w:style w:type="paragraph" w:customStyle="1" w:styleId="12">
    <w:name w:val="1"/>
    <w:basedOn w:val="a"/>
    <w:qFormat/>
    <w:rsid w:val="003C29EE"/>
    <w:pPr>
      <w:tabs>
        <w:tab w:val="left" w:pos="3243"/>
      </w:tabs>
      <w:spacing w:before="100" w:beforeAutospacing="1" w:after="100" w:afterAutospacing="1" w:line="360" w:lineRule="auto"/>
      <w:ind w:leftChars="200" w:left="420"/>
    </w:pPr>
  </w:style>
  <w:style w:type="paragraph" w:styleId="aff3">
    <w:name w:val="List Paragraph"/>
    <w:basedOn w:val="a"/>
    <w:uiPriority w:val="34"/>
    <w:qFormat/>
    <w:rsid w:val="003C29EE"/>
    <w:pPr>
      <w:spacing w:after="120" w:line="360" w:lineRule="auto"/>
      <w:ind w:firstLineChars="200" w:firstLine="420"/>
    </w:pPr>
    <w:rPr>
      <w:rFonts w:ascii="宋体" w:hAnsi="宋体" w:cs="Arial"/>
      <w:bCs/>
      <w:color w:val="000000"/>
      <w:kern w:val="0"/>
      <w:szCs w:val="21"/>
      <w:lang w:val="zh-CN"/>
    </w:rPr>
  </w:style>
  <w:style w:type="paragraph" w:customStyle="1" w:styleId="13">
    <w:name w:val="列表1"/>
    <w:basedOn w:val="a"/>
    <w:next w:val="a"/>
    <w:qFormat/>
    <w:rsid w:val="003C29EE"/>
    <w:pPr>
      <w:tabs>
        <w:tab w:val="left" w:pos="757"/>
      </w:tabs>
      <w:spacing w:line="360" w:lineRule="auto"/>
      <w:ind w:firstLine="397"/>
    </w:pPr>
    <w:rPr>
      <w:szCs w:val="20"/>
    </w:rPr>
  </w:style>
  <w:style w:type="paragraph" w:customStyle="1" w:styleId="005">
    <w:name w:val="005正文"/>
    <w:basedOn w:val="a"/>
    <w:rsid w:val="003C29EE"/>
    <w:pPr>
      <w:spacing w:line="360" w:lineRule="auto"/>
      <w:ind w:firstLineChars="200" w:firstLine="200"/>
    </w:pPr>
    <w:rPr>
      <w:rFonts w:ascii="宋体" w:hAnsi="宋体"/>
      <w:kern w:val="0"/>
      <w:sz w:val="24"/>
    </w:rPr>
  </w:style>
  <w:style w:type="paragraph" w:customStyle="1" w:styleId="2211">
    <w:name w:val="样式 标题 2 + 首行缩进:  2 字符 段前: 1 行 段后: 1 行"/>
    <w:basedOn w:val="2"/>
    <w:rsid w:val="003C29EE"/>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5">
    <w:name w:val="样式 宋体 四号 行距: 1.5 倍行距"/>
    <w:basedOn w:val="a"/>
    <w:rsid w:val="003C29EE"/>
    <w:pPr>
      <w:spacing w:line="360" w:lineRule="auto"/>
    </w:pPr>
    <w:rPr>
      <w:rFonts w:ascii="宋体" w:hAnsi="宋体"/>
      <w:sz w:val="24"/>
      <w:szCs w:val="20"/>
    </w:rPr>
  </w:style>
  <w:style w:type="paragraph" w:customStyle="1" w:styleId="14">
    <w:name w:val="修订1"/>
    <w:uiPriority w:val="99"/>
    <w:semiHidden/>
    <w:qFormat/>
    <w:rsid w:val="003C29EE"/>
    <w:rPr>
      <w:rFonts w:ascii="Times New Roman" w:eastAsia="宋体" w:hAnsi="Times New Roman" w:cs="Times New Roman"/>
      <w:kern w:val="2"/>
      <w:sz w:val="21"/>
      <w:szCs w:val="24"/>
    </w:rPr>
  </w:style>
  <w:style w:type="paragraph" w:customStyle="1" w:styleId="content">
    <w:name w:val="content"/>
    <w:basedOn w:val="a"/>
    <w:rsid w:val="003C29EE"/>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24">
    <w:name w:val="列表2"/>
    <w:basedOn w:val="a"/>
    <w:next w:val="af2"/>
    <w:rsid w:val="003C29EE"/>
    <w:pPr>
      <w:tabs>
        <w:tab w:val="left" w:pos="907"/>
      </w:tabs>
      <w:spacing w:line="360" w:lineRule="auto"/>
      <w:ind w:left="907" w:hanging="482"/>
    </w:pPr>
    <w:rPr>
      <w:rFonts w:ascii="宋体"/>
      <w:szCs w:val="20"/>
    </w:rPr>
  </w:style>
  <w:style w:type="paragraph" w:customStyle="1" w:styleId="aff4">
    <w:name w:val=".."/>
    <w:basedOn w:val="a"/>
    <w:next w:val="a"/>
    <w:uiPriority w:val="99"/>
    <w:qFormat/>
    <w:rsid w:val="003C29EE"/>
    <w:pPr>
      <w:autoSpaceDE w:val="0"/>
      <w:autoSpaceDN w:val="0"/>
      <w:adjustRightInd w:val="0"/>
      <w:jc w:val="left"/>
    </w:pPr>
    <w:rPr>
      <w:rFonts w:ascii="仿宋_GB2312" w:eastAsia="仿宋_GB2312"/>
      <w:kern w:val="0"/>
      <w:sz w:val="24"/>
    </w:rPr>
  </w:style>
  <w:style w:type="paragraph" w:customStyle="1" w:styleId="41">
    <w:name w:val="标题4"/>
    <w:basedOn w:val="a9"/>
    <w:qFormat/>
    <w:rsid w:val="003C29EE"/>
    <w:pPr>
      <w:spacing w:line="360" w:lineRule="auto"/>
      <w:ind w:firstLine="0"/>
    </w:pPr>
    <w:rPr>
      <w:szCs w:val="24"/>
    </w:rPr>
  </w:style>
  <w:style w:type="paragraph" w:customStyle="1" w:styleId="CharCharCharChar12">
    <w:name w:val="Char Char Char Char12"/>
    <w:basedOn w:val="a"/>
    <w:rsid w:val="003C29EE"/>
    <w:pPr>
      <w:tabs>
        <w:tab w:val="left" w:pos="360"/>
      </w:tabs>
      <w:spacing w:before="312" w:after="312" w:line="360" w:lineRule="auto"/>
    </w:pPr>
    <w:rPr>
      <w:sz w:val="24"/>
    </w:rPr>
  </w:style>
  <w:style w:type="paragraph" w:customStyle="1" w:styleId="Char20">
    <w:name w:val="Char2"/>
    <w:basedOn w:val="a"/>
    <w:rsid w:val="003C29EE"/>
  </w:style>
  <w:style w:type="paragraph" w:customStyle="1" w:styleId="Char30">
    <w:name w:val="Char3"/>
    <w:basedOn w:val="a"/>
    <w:rsid w:val="003C29EE"/>
    <w:pPr>
      <w:tabs>
        <w:tab w:val="left" w:pos="360"/>
      </w:tabs>
    </w:pPr>
    <w:rPr>
      <w:sz w:val="24"/>
    </w:rPr>
  </w:style>
  <w:style w:type="paragraph" w:customStyle="1" w:styleId="aff5">
    <w:name w:val="项目"/>
    <w:basedOn w:val="4"/>
    <w:qFormat/>
    <w:rsid w:val="003C29EE"/>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customStyle="1" w:styleId="16">
    <w:name w:val="列出段落1"/>
    <w:basedOn w:val="a"/>
    <w:qFormat/>
    <w:rsid w:val="003C29EE"/>
    <w:pPr>
      <w:ind w:firstLineChars="200" w:firstLine="420"/>
    </w:pPr>
    <w:rPr>
      <w:rFonts w:ascii="Calibri" w:hAnsi="Calibri"/>
      <w:szCs w:val="22"/>
    </w:rPr>
  </w:style>
  <w:style w:type="paragraph" w:customStyle="1" w:styleId="p0">
    <w:name w:val="p0"/>
    <w:basedOn w:val="a"/>
    <w:rsid w:val="003C29EE"/>
    <w:pPr>
      <w:widowControl/>
      <w:spacing w:line="240" w:lineRule="atLeast"/>
      <w:ind w:firstLine="420"/>
    </w:pPr>
    <w:rPr>
      <w:rFonts w:cs="宋体"/>
      <w:kern w:val="0"/>
      <w:szCs w:val="21"/>
    </w:rPr>
  </w:style>
  <w:style w:type="paragraph" w:customStyle="1" w:styleId="Blank">
    <w:name w:val="Blank"/>
    <w:basedOn w:val="a"/>
    <w:qFormat/>
    <w:rsid w:val="003C29EE"/>
    <w:pPr>
      <w:keepNext/>
      <w:adjustRightInd w:val="0"/>
      <w:snapToGrid w:val="0"/>
      <w:textAlignment w:val="center"/>
    </w:pPr>
    <w:rPr>
      <w:spacing w:val="10"/>
      <w:kern w:val="24"/>
      <w:szCs w:val="20"/>
    </w:rPr>
  </w:style>
  <w:style w:type="paragraph" w:customStyle="1" w:styleId="25">
    <w:name w:val="修订2"/>
    <w:hidden/>
    <w:uiPriority w:val="99"/>
    <w:unhideWhenUsed/>
    <w:rsid w:val="003C29EE"/>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uiPriority="0"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
    <w:next w:val="a"/>
    <w:link w:val="3Char"/>
    <w:qFormat/>
    <w:pPr>
      <w:keepNext/>
      <w:keepLines/>
      <w:spacing w:before="260" w:after="260" w:line="416" w:lineRule="auto"/>
      <w:outlineLvl w:val="2"/>
    </w:pPr>
    <w:rPr>
      <w:b/>
      <w:bCs/>
      <w:kern w:val="0"/>
      <w:sz w:val="20"/>
      <w:szCs w:val="32"/>
    </w:rPr>
  </w:style>
  <w:style w:type="paragraph" w:styleId="4">
    <w:name w:val="heading 4"/>
    <w:basedOn w:val="a"/>
    <w:next w:val="a"/>
    <w:link w:val="4Char"/>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
    <w:link w:val="7Char"/>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
    <w:link w:val="8Char"/>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
    <w:link w:val="9Char"/>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spacing w:after="120" w:line="360" w:lineRule="auto"/>
      <w:ind w:left="2520" w:firstLine="480"/>
    </w:pPr>
    <w:rPr>
      <w:rFonts w:ascii="宋体" w:hAnsi="宋体" w:cs="Arial"/>
      <w:bCs/>
      <w:color w:val="000000"/>
      <w:kern w:val="0"/>
      <w:szCs w:val="21"/>
      <w:lang w:val="zh-CN"/>
    </w:rPr>
  </w:style>
  <w:style w:type="paragraph" w:styleId="a3">
    <w:name w:val="Normal Indent"/>
    <w:basedOn w:val="a"/>
    <w:qFormat/>
    <w:pPr>
      <w:ind w:firstLine="420"/>
    </w:pPr>
    <w:rPr>
      <w:szCs w:val="20"/>
    </w:rPr>
  </w:style>
  <w:style w:type="paragraph" w:styleId="a4">
    <w:name w:val="caption"/>
    <w:basedOn w:val="a"/>
    <w:next w:val="a"/>
    <w:qFormat/>
    <w:pPr>
      <w:spacing w:line="360" w:lineRule="auto"/>
      <w:ind w:firstLineChars="200" w:firstLine="200"/>
    </w:pPr>
    <w:rPr>
      <w:rFonts w:ascii="Cambria" w:eastAsia="黑体" w:hAnsi="Cambria"/>
      <w:sz w:val="20"/>
      <w:szCs w:val="20"/>
    </w:rPr>
  </w:style>
  <w:style w:type="paragraph" w:styleId="a5">
    <w:name w:val="List Bullet"/>
    <w:basedOn w:val="a"/>
    <w:qFormat/>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6">
    <w:name w:val="Document Map"/>
    <w:basedOn w:val="a"/>
    <w:link w:val="Char"/>
    <w:qFormat/>
    <w:pPr>
      <w:shd w:val="clear" w:color="auto" w:fill="000080"/>
      <w:spacing w:after="120" w:line="360" w:lineRule="auto"/>
      <w:ind w:firstLine="480"/>
    </w:pPr>
    <w:rPr>
      <w:rFonts w:ascii="宋体" w:hAnsi="宋体"/>
      <w:bCs/>
      <w:color w:val="000000"/>
      <w:kern w:val="0"/>
      <w:sz w:val="20"/>
      <w:szCs w:val="21"/>
      <w:lang w:val="zh-CN"/>
    </w:rPr>
  </w:style>
  <w:style w:type="paragraph" w:styleId="a7">
    <w:name w:val="annotation text"/>
    <w:basedOn w:val="a"/>
    <w:link w:val="Char0"/>
    <w:uiPriority w:val="99"/>
    <w:qFormat/>
    <w:pPr>
      <w:jc w:val="left"/>
    </w:pPr>
    <w:rPr>
      <w:kern w:val="0"/>
      <w:sz w:val="20"/>
    </w:rPr>
  </w:style>
  <w:style w:type="paragraph" w:styleId="a8">
    <w:name w:val="Body Text"/>
    <w:basedOn w:val="a"/>
    <w:link w:val="Char1"/>
    <w:qFormat/>
    <w:rPr>
      <w:rFonts w:ascii="宋体" w:hAnsi="宋体"/>
      <w:kern w:val="0"/>
      <w:sz w:val="24"/>
      <w:szCs w:val="21"/>
    </w:rPr>
  </w:style>
  <w:style w:type="paragraph" w:styleId="a9">
    <w:name w:val="Body Text Indent"/>
    <w:basedOn w:val="a"/>
    <w:link w:val="Char2"/>
    <w:qFormat/>
    <w:pPr>
      <w:ind w:firstLine="540"/>
    </w:pPr>
    <w:rPr>
      <w:kern w:val="0"/>
      <w:sz w:val="24"/>
      <w:szCs w:val="20"/>
    </w:rPr>
  </w:style>
  <w:style w:type="paragraph" w:styleId="50">
    <w:name w:val="toc 5"/>
    <w:basedOn w:val="a"/>
    <w:next w:val="a"/>
    <w:qFormat/>
    <w:pPr>
      <w:spacing w:after="120" w:line="360" w:lineRule="auto"/>
      <w:ind w:left="1680" w:firstLine="480"/>
    </w:pPr>
    <w:rPr>
      <w:rFonts w:ascii="宋体" w:hAnsi="宋体" w:cs="Arial"/>
      <w:bCs/>
      <w:color w:val="000000"/>
      <w:kern w:val="0"/>
      <w:szCs w:val="21"/>
      <w:lang w:val="zh-CN"/>
    </w:rPr>
  </w:style>
  <w:style w:type="paragraph" w:styleId="30">
    <w:name w:val="toc 3"/>
    <w:basedOn w:val="a"/>
    <w:next w:val="a"/>
    <w:uiPriority w:val="39"/>
    <w:qFormat/>
    <w:pPr>
      <w:spacing w:after="120" w:line="360" w:lineRule="auto"/>
      <w:ind w:left="840" w:firstLine="480"/>
    </w:pPr>
    <w:rPr>
      <w:rFonts w:ascii="宋体" w:hAnsi="宋体" w:cs="Arial"/>
      <w:bCs/>
      <w:color w:val="000000"/>
      <w:kern w:val="0"/>
      <w:szCs w:val="21"/>
      <w:lang w:val="zh-CN"/>
    </w:rPr>
  </w:style>
  <w:style w:type="paragraph" w:styleId="aa">
    <w:name w:val="Plain Text"/>
    <w:basedOn w:val="a"/>
    <w:link w:val="Char3"/>
    <w:qFormat/>
    <w:pPr>
      <w:widowControl/>
      <w:spacing w:before="100" w:beforeAutospacing="1" w:after="100" w:afterAutospacing="1"/>
      <w:jc w:val="left"/>
    </w:pPr>
    <w:rPr>
      <w:rFonts w:ascii="Arial Unicode MS" w:eastAsia="Arial Unicode MS" w:hAnsi="Arial Unicode MS"/>
      <w:kern w:val="0"/>
      <w:sz w:val="24"/>
    </w:rPr>
  </w:style>
  <w:style w:type="paragraph" w:styleId="80">
    <w:name w:val="toc 8"/>
    <w:basedOn w:val="a"/>
    <w:next w:val="a"/>
    <w:qFormat/>
    <w:pPr>
      <w:spacing w:after="120" w:line="360" w:lineRule="auto"/>
      <w:ind w:left="2940" w:firstLine="480"/>
    </w:pPr>
    <w:rPr>
      <w:rFonts w:ascii="宋体" w:hAnsi="宋体" w:cs="Arial"/>
      <w:bCs/>
      <w:color w:val="000000"/>
      <w:kern w:val="0"/>
      <w:szCs w:val="21"/>
      <w:lang w:val="zh-CN"/>
    </w:rPr>
  </w:style>
  <w:style w:type="paragraph" w:styleId="ab">
    <w:name w:val="Date"/>
    <w:basedOn w:val="a"/>
    <w:next w:val="a"/>
    <w:link w:val="Char4"/>
    <w:qFormat/>
    <w:pPr>
      <w:ind w:leftChars="2500" w:left="100"/>
    </w:pPr>
    <w:rPr>
      <w:rFonts w:ascii="宋体" w:hAnsi="宋体"/>
      <w:kern w:val="0"/>
      <w:sz w:val="24"/>
      <w:szCs w:val="21"/>
    </w:rPr>
  </w:style>
  <w:style w:type="paragraph" w:styleId="20">
    <w:name w:val="Body Text Indent 2"/>
    <w:basedOn w:val="a"/>
    <w:link w:val="2Char0"/>
    <w:qFormat/>
    <w:pPr>
      <w:tabs>
        <w:tab w:val="left" w:pos="1110"/>
      </w:tabs>
      <w:spacing w:line="360" w:lineRule="auto"/>
      <w:ind w:firstLineChars="200" w:firstLine="420"/>
    </w:pPr>
    <w:rPr>
      <w:rFonts w:ascii="宋体" w:hAnsi="宋体"/>
      <w:color w:val="FF0000"/>
      <w:kern w:val="0"/>
      <w:sz w:val="20"/>
    </w:rPr>
  </w:style>
  <w:style w:type="paragraph" w:styleId="ac">
    <w:name w:val="endnote text"/>
    <w:basedOn w:val="a"/>
    <w:link w:val="Char5"/>
    <w:qFormat/>
    <w:pPr>
      <w:snapToGrid w:val="0"/>
      <w:jc w:val="left"/>
    </w:pPr>
    <w:rPr>
      <w:kern w:val="0"/>
      <w:sz w:val="20"/>
      <w:szCs w:val="20"/>
    </w:rPr>
  </w:style>
  <w:style w:type="paragraph" w:styleId="ad">
    <w:name w:val="Balloon Text"/>
    <w:basedOn w:val="a"/>
    <w:link w:val="Char6"/>
    <w:semiHidden/>
    <w:qFormat/>
    <w:rPr>
      <w:kern w:val="0"/>
      <w:sz w:val="18"/>
      <w:szCs w:val="18"/>
    </w:rPr>
  </w:style>
  <w:style w:type="paragraph" w:styleId="ae">
    <w:name w:val="footer"/>
    <w:basedOn w:val="a"/>
    <w:link w:val="Char7"/>
    <w:uiPriority w:val="99"/>
    <w:qFormat/>
    <w:pPr>
      <w:tabs>
        <w:tab w:val="center" w:pos="4153"/>
        <w:tab w:val="right" w:pos="8306"/>
      </w:tabs>
      <w:snapToGrid w:val="0"/>
      <w:jc w:val="left"/>
    </w:pPr>
    <w:rPr>
      <w:kern w:val="0"/>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295"/>
      </w:tabs>
      <w:snapToGrid w:val="0"/>
      <w:spacing w:line="360" w:lineRule="auto"/>
    </w:pPr>
    <w:rPr>
      <w:rFonts w:ascii="宋体" w:hAnsi="宋体"/>
      <w:caps/>
      <w:sz w:val="24"/>
    </w:rPr>
  </w:style>
  <w:style w:type="paragraph" w:styleId="40">
    <w:name w:val="toc 4"/>
    <w:basedOn w:val="a"/>
    <w:next w:val="a"/>
    <w:qFormat/>
    <w:pPr>
      <w:spacing w:after="120" w:line="360" w:lineRule="auto"/>
      <w:ind w:left="1260" w:firstLine="480"/>
    </w:pPr>
    <w:rPr>
      <w:rFonts w:ascii="宋体" w:hAnsi="宋体" w:cs="Arial"/>
      <w:bCs/>
      <w:color w:val="000000"/>
      <w:kern w:val="0"/>
      <w:szCs w:val="21"/>
      <w:lang w:val="zh-CN"/>
    </w:rPr>
  </w:style>
  <w:style w:type="paragraph" w:styleId="af0">
    <w:name w:val="footnote text"/>
    <w:basedOn w:val="a"/>
    <w:link w:val="Char9"/>
    <w:qFormat/>
    <w:pPr>
      <w:snapToGrid w:val="0"/>
      <w:jc w:val="left"/>
    </w:pPr>
    <w:rPr>
      <w:kern w:val="0"/>
      <w:sz w:val="18"/>
      <w:szCs w:val="18"/>
    </w:rPr>
  </w:style>
  <w:style w:type="paragraph" w:styleId="60">
    <w:name w:val="toc 6"/>
    <w:basedOn w:val="a"/>
    <w:next w:val="a"/>
    <w:qFormat/>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
    <w:link w:val="3Char0"/>
    <w:qFormat/>
    <w:pPr>
      <w:spacing w:line="360" w:lineRule="auto"/>
      <w:ind w:firstLine="425"/>
    </w:pPr>
    <w:rPr>
      <w:rFonts w:ascii="宋体"/>
      <w:kern w:val="0"/>
      <w:sz w:val="20"/>
    </w:rPr>
  </w:style>
  <w:style w:type="paragraph" w:styleId="21">
    <w:name w:val="toc 2"/>
    <w:basedOn w:val="a"/>
    <w:next w:val="a"/>
    <w:uiPriority w:val="39"/>
    <w:qFormat/>
    <w:pPr>
      <w:spacing w:after="120" w:line="360" w:lineRule="auto"/>
      <w:ind w:left="420" w:firstLine="480"/>
    </w:pPr>
    <w:rPr>
      <w:rFonts w:ascii="宋体" w:hAnsi="宋体" w:cs="Arial"/>
      <w:bCs/>
      <w:color w:val="000000"/>
      <w:kern w:val="0"/>
      <w:szCs w:val="21"/>
      <w:lang w:val="zh-CN"/>
    </w:rPr>
  </w:style>
  <w:style w:type="paragraph" w:styleId="90">
    <w:name w:val="toc 9"/>
    <w:basedOn w:val="a"/>
    <w:next w:val="a"/>
    <w:qFormat/>
    <w:pPr>
      <w:spacing w:after="120" w:line="360" w:lineRule="auto"/>
      <w:ind w:left="3360" w:firstLine="480"/>
    </w:pPr>
    <w:rPr>
      <w:rFonts w:ascii="宋体" w:hAnsi="宋体" w:cs="Arial"/>
      <w:bCs/>
      <w:color w:val="000000"/>
      <w:kern w:val="0"/>
      <w:szCs w:val="21"/>
      <w:lang w:val="zh-CN"/>
    </w:rPr>
  </w:style>
  <w:style w:type="paragraph" w:styleId="22">
    <w:name w:val="Body Text 2"/>
    <w:basedOn w:val="a"/>
    <w:link w:val="2Char1"/>
    <w:qFormat/>
    <w:rPr>
      <w:kern w:val="0"/>
      <w:sz w:val="28"/>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af2">
    <w:name w:val="Title"/>
    <w:basedOn w:val="a"/>
    <w:link w:val="Chara"/>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3">
    <w:name w:val="annotation subject"/>
    <w:basedOn w:val="a7"/>
    <w:next w:val="a7"/>
    <w:link w:val="Charb"/>
    <w:qFormat/>
    <w:rPr>
      <w:b/>
      <w:bCs/>
    </w:rPr>
  </w:style>
  <w:style w:type="paragraph" w:styleId="af4">
    <w:name w:val="Body Text First Indent"/>
    <w:basedOn w:val="a8"/>
    <w:link w:val="Charc"/>
    <w:qFormat/>
    <w:pPr>
      <w:spacing w:after="120"/>
      <w:ind w:firstLineChars="100" w:firstLine="420"/>
    </w:pPr>
    <w:rPr>
      <w:rFonts w:ascii="Times New Roman" w:hAnsi="Times New Roman"/>
      <w:szCs w:val="24"/>
    </w:rPr>
  </w:style>
  <w:style w:type="table" w:styleId="af5">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Theme"/>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1"/>
    <w:qFormat/>
    <w:pPr>
      <w:widowControl w:val="0"/>
      <w:jc w:val="both"/>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0"/>
    <w:qFormat/>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styleId="afe">
    <w:name w:val="footnote reference"/>
    <w:qFormat/>
    <w:rPr>
      <w:vertAlign w:val="superscript"/>
    </w:rPr>
  </w:style>
  <w:style w:type="character" w:customStyle="1" w:styleId="tt11">
    <w:name w:val="tt11"/>
    <w:qFormat/>
    <w:rPr>
      <w:spacing w:val="400"/>
      <w:sz w:val="22"/>
      <w:szCs w:val="22"/>
    </w:rPr>
  </w:style>
  <w:style w:type="character" w:customStyle="1" w:styleId="c">
    <w:name w:val="c"/>
    <w:basedOn w:val="a0"/>
    <w:qFormat/>
  </w:style>
  <w:style w:type="character" w:customStyle="1" w:styleId="5Char">
    <w:name w:val="标题 5 Char"/>
    <w:link w:val="5"/>
    <w:qFormat/>
    <w:rPr>
      <w:rFonts w:ascii="宋体" w:eastAsia="宋体" w:hAnsi="Times New Roman" w:cs="Times New Roman"/>
      <w:b/>
      <w:kern w:val="0"/>
      <w:sz w:val="28"/>
      <w:szCs w:val="20"/>
    </w:rPr>
  </w:style>
  <w:style w:type="character" w:customStyle="1" w:styleId="read1">
    <w:name w:val="read1"/>
    <w:qFormat/>
    <w:rPr>
      <w:rFonts w:hint="default"/>
      <w:color w:val="000000"/>
      <w:spacing w:val="450"/>
      <w:u w:val="none"/>
    </w:rPr>
  </w:style>
  <w:style w:type="character" w:customStyle="1" w:styleId="2Char0">
    <w:name w:val="正文文本缩进 2 Char"/>
    <w:link w:val="20"/>
    <w:rPr>
      <w:rFonts w:ascii="宋体" w:hAnsi="宋体"/>
      <w:color w:val="FF0000"/>
      <w:szCs w:val="24"/>
    </w:rPr>
  </w:style>
  <w:style w:type="character" w:customStyle="1" w:styleId="Char9">
    <w:name w:val="脚注文本 Char"/>
    <w:link w:val="af0"/>
    <w:qFormat/>
    <w:rPr>
      <w:rFonts w:ascii="Times New Roman" w:hAnsi="Times New Roman"/>
      <w:sz w:val="18"/>
      <w:szCs w:val="18"/>
    </w:rPr>
  </w:style>
  <w:style w:type="character" w:customStyle="1" w:styleId="Char2">
    <w:name w:val="正文文本缩进 Char"/>
    <w:link w:val="a9"/>
    <w:qFormat/>
    <w:rPr>
      <w:rFonts w:ascii="Times New Roman" w:hAnsi="Times New Roman"/>
      <w:sz w:val="24"/>
    </w:rPr>
  </w:style>
  <w:style w:type="character" w:customStyle="1" w:styleId="Char5">
    <w:name w:val="尾注文本 Char"/>
    <w:link w:val="ac"/>
    <w:qFormat/>
    <w:rPr>
      <w:rFonts w:ascii="Times New Roman" w:hAnsi="Times New Roman"/>
    </w:rPr>
  </w:style>
  <w:style w:type="character" w:customStyle="1" w:styleId="2Char1">
    <w:name w:val="正文文本 2 Char"/>
    <w:link w:val="22"/>
    <w:qFormat/>
    <w:rPr>
      <w:rFonts w:ascii="Times New Roman" w:hAnsi="Times New Roman"/>
      <w:sz w:val="28"/>
    </w:rPr>
  </w:style>
  <w:style w:type="character" w:customStyle="1" w:styleId="Char1">
    <w:name w:val="正文文本 Char"/>
    <w:link w:val="a8"/>
    <w:qFormat/>
    <w:rPr>
      <w:rFonts w:ascii="宋体" w:eastAsia="宋体" w:hAnsi="宋体" w:cs="Times New Roman"/>
      <w:kern w:val="0"/>
      <w:sz w:val="24"/>
      <w:szCs w:val="21"/>
    </w:rPr>
  </w:style>
  <w:style w:type="character" w:customStyle="1" w:styleId="c1">
    <w:name w:val="c1"/>
    <w:rPr>
      <w:color w:val="000000"/>
      <w:spacing w:val="257"/>
      <w:sz w:val="15"/>
      <w:szCs w:val="15"/>
    </w:rPr>
  </w:style>
  <w:style w:type="character" w:customStyle="1" w:styleId="4Char">
    <w:name w:val="标题 4 Char"/>
    <w:link w:val="4"/>
    <w:qFormat/>
    <w:rPr>
      <w:rFonts w:ascii="Arial" w:eastAsia="黑体" w:hAnsi="Arial" w:cs="Times New Roman"/>
      <w:b/>
      <w:kern w:val="0"/>
      <w:sz w:val="28"/>
      <w:szCs w:val="20"/>
    </w:rPr>
  </w:style>
  <w:style w:type="character" w:customStyle="1" w:styleId="8Char">
    <w:name w:val="标题 8 Char"/>
    <w:link w:val="8"/>
    <w:qFormat/>
    <w:rPr>
      <w:rFonts w:ascii="Arial" w:eastAsia="黑体" w:hAnsi="Arial" w:cs="Times New Roman"/>
      <w:kern w:val="0"/>
      <w:sz w:val="24"/>
      <w:szCs w:val="20"/>
    </w:rPr>
  </w:style>
  <w:style w:type="character" w:customStyle="1" w:styleId="unnamed11">
    <w:name w:val="unnamed11"/>
    <w:qFormat/>
    <w:rPr>
      <w:rFonts w:ascii="宋体" w:eastAsia="宋体" w:hAnsi="宋体" w:hint="eastAsia"/>
      <w:sz w:val="18"/>
      <w:szCs w:val="18"/>
    </w:rPr>
  </w:style>
  <w:style w:type="character" w:customStyle="1" w:styleId="BS8Char">
    <w:name w:val="BS标题8 Char"/>
    <w:link w:val="BS8"/>
    <w:qFormat/>
    <w:rPr>
      <w:rFonts w:ascii="Times New Roman" w:hAnsi="Times New Roman"/>
      <w:szCs w:val="32"/>
    </w:rPr>
  </w:style>
  <w:style w:type="paragraph" w:customStyle="1" w:styleId="BS8">
    <w:name w:val="BS标题8"/>
    <w:basedOn w:val="2"/>
    <w:link w:val="BS8Char"/>
    <w:qFormat/>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Char8">
    <w:name w:val="页眉 Char"/>
    <w:link w:val="af"/>
    <w:uiPriority w:val="99"/>
    <w:qFormat/>
    <w:rPr>
      <w:rFonts w:ascii="Times New Roman" w:hAnsi="Times New Roman"/>
      <w:sz w:val="18"/>
      <w:szCs w:val="18"/>
    </w:rPr>
  </w:style>
  <w:style w:type="character" w:customStyle="1" w:styleId="3Char0">
    <w:name w:val="正文文本缩进 3 Char"/>
    <w:link w:val="31"/>
    <w:qFormat/>
    <w:rPr>
      <w:rFonts w:ascii="宋体" w:hAnsi="Times New Roman"/>
      <w:szCs w:val="24"/>
    </w:rPr>
  </w:style>
  <w:style w:type="character" w:customStyle="1" w:styleId="Char3">
    <w:name w:val="纯文本 Char"/>
    <w:link w:val="aa"/>
    <w:qFormat/>
    <w:rPr>
      <w:rFonts w:ascii="Arial Unicode MS" w:eastAsia="Arial Unicode MS" w:hAnsi="Arial Unicode MS" w:cs="Arial Unicode MS"/>
      <w:kern w:val="0"/>
      <w:sz w:val="24"/>
      <w:szCs w:val="24"/>
    </w:rPr>
  </w:style>
  <w:style w:type="character" w:customStyle="1" w:styleId="Char4">
    <w:name w:val="日期 Char"/>
    <w:link w:val="ab"/>
    <w:qFormat/>
    <w:rPr>
      <w:rFonts w:ascii="宋体" w:eastAsia="宋体" w:hAnsi="宋体" w:cs="Times New Roman"/>
      <w:kern w:val="0"/>
      <w:sz w:val="24"/>
      <w:szCs w:val="21"/>
    </w:rPr>
  </w:style>
  <w:style w:type="character" w:customStyle="1" w:styleId="Char">
    <w:name w:val="文档结构图 Char"/>
    <w:link w:val="a6"/>
    <w:qFormat/>
    <w:rPr>
      <w:rFonts w:ascii="宋体" w:hAnsi="宋体"/>
      <w:bCs/>
      <w:color w:val="000000"/>
      <w:szCs w:val="21"/>
      <w:shd w:val="clear" w:color="auto" w:fill="000080"/>
      <w:lang w:val="zh-CN"/>
    </w:rPr>
  </w:style>
  <w:style w:type="character" w:customStyle="1" w:styleId="big1">
    <w:name w:val="big1"/>
    <w:qFormat/>
    <w:rPr>
      <w:spacing w:val="360"/>
      <w:sz w:val="25"/>
      <w:szCs w:val="25"/>
    </w:rPr>
  </w:style>
  <w:style w:type="character" w:customStyle="1" w:styleId="2Char">
    <w:name w:val="标题 2 Char"/>
    <w:link w:val="2"/>
    <w:qFormat/>
    <w:rPr>
      <w:rFonts w:ascii="Arial" w:eastAsia="黑体" w:hAnsi="Arial" w:cs="Times New Roman"/>
      <w:b/>
      <w:kern w:val="0"/>
      <w:sz w:val="32"/>
      <w:szCs w:val="20"/>
    </w:rPr>
  </w:style>
  <w:style w:type="character" w:customStyle="1" w:styleId="9Char">
    <w:name w:val="标题 9 Char"/>
    <w:link w:val="9"/>
    <w:qFormat/>
    <w:rPr>
      <w:rFonts w:ascii="Arial" w:eastAsia="黑体" w:hAnsi="Arial"/>
    </w:rPr>
  </w:style>
  <w:style w:type="character" w:customStyle="1" w:styleId="msoins0">
    <w:name w:val="msoins"/>
    <w:basedOn w:val="a0"/>
    <w:qFormat/>
  </w:style>
  <w:style w:type="character" w:customStyle="1" w:styleId="txtcontent11">
    <w:name w:val="txtcontent11"/>
    <w:qFormat/>
    <w:rPr>
      <w:rFonts w:ascii="ˎ̥" w:hAnsi="ˎ̥" w:hint="default"/>
      <w:color w:val="000000"/>
      <w:sz w:val="21"/>
      <w:szCs w:val="21"/>
    </w:rPr>
  </w:style>
  <w:style w:type="character" w:customStyle="1" w:styleId="Chara">
    <w:name w:val="标题 Char"/>
    <w:link w:val="af2"/>
    <w:rPr>
      <w:rFonts w:ascii="Arial" w:eastAsia="宋体" w:hAnsi="Arial" w:cs="Arial"/>
      <w:b/>
      <w:bCs/>
      <w:kern w:val="0"/>
      <w:sz w:val="32"/>
      <w:szCs w:val="32"/>
    </w:rPr>
  </w:style>
  <w:style w:type="character" w:customStyle="1" w:styleId="3Char">
    <w:name w:val="标题 3 Char"/>
    <w:link w:val="3"/>
    <w:qFormat/>
    <w:rPr>
      <w:rFonts w:ascii="Times New Roman" w:hAnsi="Times New Roman"/>
      <w:b/>
      <w:bCs/>
      <w:szCs w:val="32"/>
    </w:rPr>
  </w:style>
  <w:style w:type="character" w:customStyle="1" w:styleId="font21">
    <w:name w:val="font21"/>
    <w:rPr>
      <w:color w:val="CC6600"/>
      <w:sz w:val="20"/>
      <w:szCs w:val="20"/>
    </w:rPr>
  </w:style>
  <w:style w:type="character" w:customStyle="1" w:styleId="apple-style-span">
    <w:name w:val="apple-style-span"/>
    <w:basedOn w:val="a0"/>
    <w:qFormat/>
  </w:style>
  <w:style w:type="character" w:customStyle="1" w:styleId="read">
    <w:name w:val="read"/>
    <w:basedOn w:val="a0"/>
  </w:style>
  <w:style w:type="character" w:customStyle="1" w:styleId="7Char">
    <w:name w:val="标题 7 Char"/>
    <w:link w:val="7"/>
    <w:qFormat/>
    <w:rPr>
      <w:rFonts w:ascii="宋体" w:eastAsia="宋体" w:hAnsi="Times New Roman" w:cs="Times New Roman"/>
      <w:b/>
      <w:kern w:val="0"/>
      <w:sz w:val="24"/>
      <w:szCs w:val="20"/>
    </w:rPr>
  </w:style>
  <w:style w:type="character" w:customStyle="1" w:styleId="6Char">
    <w:name w:val="标题 6 Char"/>
    <w:link w:val="6"/>
    <w:qFormat/>
    <w:rPr>
      <w:rFonts w:ascii="Arial" w:eastAsia="黑体" w:hAnsi="Arial" w:cs="Times New Roman"/>
      <w:b/>
      <w:kern w:val="0"/>
      <w:sz w:val="24"/>
      <w:szCs w:val="20"/>
    </w:rPr>
  </w:style>
  <w:style w:type="character" w:customStyle="1" w:styleId="Charb">
    <w:name w:val="批注主题 Char"/>
    <w:link w:val="af3"/>
    <w:qFormat/>
    <w:rPr>
      <w:rFonts w:ascii="Times New Roman" w:hAnsi="Times New Roman"/>
      <w:b/>
      <w:bCs/>
      <w:szCs w:val="24"/>
    </w:rPr>
  </w:style>
  <w:style w:type="character" w:customStyle="1" w:styleId="Char6">
    <w:name w:val="批注框文本 Char"/>
    <w:link w:val="ad"/>
    <w:semiHidden/>
    <w:rPr>
      <w:rFonts w:ascii="Times New Roman" w:hAnsi="Times New Roman"/>
      <w:sz w:val="18"/>
      <w:szCs w:val="18"/>
    </w:rPr>
  </w:style>
  <w:style w:type="character" w:customStyle="1" w:styleId="Charc">
    <w:name w:val="正文首行缩进 Char"/>
    <w:link w:val="af4"/>
    <w:rPr>
      <w:rFonts w:ascii="Times New Roman" w:hAnsi="Times New Roman"/>
      <w:sz w:val="24"/>
      <w:szCs w:val="24"/>
    </w:rPr>
  </w:style>
  <w:style w:type="character" w:customStyle="1" w:styleId="1Char">
    <w:name w:val="标题 1 Char"/>
    <w:link w:val="1"/>
    <w:qFormat/>
    <w:rPr>
      <w:rFonts w:ascii="宋体" w:eastAsia="黑体" w:hAnsi="Times New Roman" w:cs="Times New Roman"/>
      <w:kern w:val="0"/>
      <w:sz w:val="24"/>
      <w:szCs w:val="20"/>
    </w:rPr>
  </w:style>
  <w:style w:type="character" w:customStyle="1" w:styleId="Char7">
    <w:name w:val="页脚 Char"/>
    <w:link w:val="ae"/>
    <w:uiPriority w:val="99"/>
    <w:qFormat/>
    <w:rPr>
      <w:rFonts w:ascii="Times New Roman" w:hAnsi="Times New Roman"/>
      <w:sz w:val="18"/>
      <w:szCs w:val="18"/>
    </w:rPr>
  </w:style>
  <w:style w:type="character" w:customStyle="1" w:styleId="Char0">
    <w:name w:val="批注文字 Char"/>
    <w:link w:val="a7"/>
    <w:uiPriority w:val="99"/>
    <w:qFormat/>
    <w:rPr>
      <w:rFonts w:ascii="Times New Roman" w:hAnsi="Times New Roman"/>
      <w:szCs w:val="24"/>
    </w:rPr>
  </w:style>
  <w:style w:type="character" w:customStyle="1" w:styleId="Chard">
    <w:name w:val="合同正文 Char"/>
    <w:link w:val="aff"/>
    <w:qFormat/>
    <w:rPr>
      <w:rFonts w:ascii="Times New Roman" w:hAnsi="Times New Roman"/>
      <w:bCs/>
      <w:kern w:val="2"/>
      <w:sz w:val="24"/>
    </w:rPr>
  </w:style>
  <w:style w:type="paragraph" w:customStyle="1" w:styleId="aff">
    <w:name w:val="合同正文"/>
    <w:basedOn w:val="a"/>
    <w:link w:val="Chard"/>
    <w:qFormat/>
    <w:pPr>
      <w:spacing w:line="360" w:lineRule="auto"/>
      <w:ind w:firstLineChars="200" w:firstLine="200"/>
    </w:pPr>
    <w:rPr>
      <w:bCs/>
      <w:sz w:val="24"/>
      <w:szCs w:val="20"/>
    </w:rPr>
  </w:style>
  <w:style w:type="paragraph" w:customStyle="1" w:styleId="ParaChar">
    <w:name w:val="默认段落字体 Para Char"/>
    <w:basedOn w:val="a"/>
    <w:pPr>
      <w:tabs>
        <w:tab w:val="left" w:pos="757"/>
      </w:tabs>
      <w:ind w:firstLine="397"/>
    </w:pPr>
    <w:rPr>
      <w:sz w:val="24"/>
    </w:rPr>
  </w:style>
  <w:style w:type="paragraph" w:customStyle="1" w:styleId="Char10">
    <w:name w:val="Char1"/>
    <w:basedOn w:val="a"/>
    <w:pPr>
      <w:tabs>
        <w:tab w:val="left" w:pos="360"/>
      </w:tabs>
    </w:pPr>
    <w:rPr>
      <w:sz w:val="24"/>
    </w:rPr>
  </w:style>
  <w:style w:type="paragraph" w:customStyle="1" w:styleId="23">
    <w:name w:val="编号正文2"/>
    <w:basedOn w:val="a"/>
    <w:qFormat/>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ParaCharCharCharCharCharCharChar">
    <w:name w:val="默认段落字体 Para Char Char Char Char Char Char Char"/>
    <w:basedOn w:val="a"/>
    <w:qFormat/>
    <w:pPr>
      <w:widowControl/>
      <w:jc w:val="left"/>
    </w:pPr>
    <w:rPr>
      <w:sz w:val="24"/>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customStyle="1" w:styleId="CharCharCharChar11">
    <w:name w:val="Char Char Char Char11"/>
    <w:basedOn w:val="a"/>
    <w:rPr>
      <w:szCs w:val="20"/>
    </w:rPr>
  </w:style>
  <w:style w:type="paragraph" w:customStyle="1" w:styleId="Default">
    <w:name w:val="Default"/>
    <w:pPr>
      <w:widowControl w:val="0"/>
      <w:autoSpaceDE w:val="0"/>
      <w:autoSpaceDN w:val="0"/>
      <w:adjustRightInd w:val="0"/>
    </w:pPr>
    <w:rPr>
      <w:rFonts w:ascii="宋体" w:eastAsia="宋体" w:hAnsi="Times New Roman" w:cs="Times New Roman"/>
      <w:color w:val="000000"/>
      <w:sz w:val="24"/>
      <w:szCs w:val="24"/>
    </w:rPr>
  </w:style>
  <w:style w:type="paragraph" w:customStyle="1" w:styleId="CharCharCharChar">
    <w:name w:val="Char Char Char Char"/>
    <w:basedOn w:val="a"/>
    <w:pPr>
      <w:tabs>
        <w:tab w:val="left" w:pos="360"/>
      </w:tabs>
    </w:pPr>
    <w:rPr>
      <w:sz w:val="24"/>
    </w:rPr>
  </w:style>
  <w:style w:type="paragraph" w:customStyle="1" w:styleId="CharCharCharChar1">
    <w:name w:val="Char Char Char Char1"/>
    <w:basedOn w:val="a"/>
    <w:qFormat/>
    <w:rPr>
      <w:szCs w:val="20"/>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aff0">
    <w:name w:val="正文所"/>
    <w:basedOn w:val="a"/>
    <w:pPr>
      <w:spacing w:line="360" w:lineRule="auto"/>
      <w:ind w:firstLineChars="200" w:firstLine="420"/>
    </w:pPr>
    <w:rPr>
      <w:rFonts w:ascii="宋体"/>
      <w:szCs w:val="20"/>
    </w:rPr>
  </w:style>
  <w:style w:type="paragraph" w:customStyle="1" w:styleId="jjflp">
    <w:name w:val="jjfl_p"/>
    <w:basedOn w:val="a"/>
    <w:pPr>
      <w:widowControl/>
      <w:spacing w:before="100" w:beforeAutospacing="1" w:after="100" w:afterAutospacing="1" w:line="300" w:lineRule="atLeast"/>
      <w:jc w:val="left"/>
    </w:pPr>
    <w:rPr>
      <w:rFonts w:ascii="宋体" w:hAnsi="宋体" w:cs="宋体"/>
      <w:kern w:val="0"/>
      <w:sz w:val="24"/>
    </w:rPr>
  </w:style>
  <w:style w:type="paragraph" w:customStyle="1" w:styleId="Chare">
    <w:name w:val="Char"/>
    <w:basedOn w:val="a"/>
    <w:qFormat/>
    <w:pPr>
      <w:widowControl/>
      <w:spacing w:after="160" w:line="240" w:lineRule="exact"/>
      <w:jc w:val="left"/>
    </w:pPr>
    <w:rPr>
      <w:rFonts w:ascii="Verdana" w:hAnsi="Verdana"/>
      <w:kern w:val="0"/>
      <w:sz w:val="20"/>
      <w:szCs w:val="20"/>
      <w:lang w:eastAsia="en-US"/>
    </w:rPr>
  </w:style>
  <w:style w:type="paragraph" w:customStyle="1" w:styleId="CharCharCharCharChar1Char">
    <w:name w:val="Char Char Char Char Char1 Char"/>
    <w:basedOn w:val="a"/>
    <w:qFormat/>
  </w:style>
  <w:style w:type="paragraph" w:customStyle="1" w:styleId="aff1">
    <w:name w:val="正文正文"/>
    <w:basedOn w:val="a"/>
    <w:qFormat/>
    <w:pPr>
      <w:spacing w:afterLines="25" w:line="360" w:lineRule="auto"/>
      <w:ind w:firstLineChars="200" w:firstLine="200"/>
    </w:pPr>
    <w:rPr>
      <w:sz w:val="24"/>
    </w:rPr>
  </w:style>
  <w:style w:type="paragraph" w:customStyle="1" w:styleId="aff2">
    <w:name w:val="...."/>
    <w:basedOn w:val="Default"/>
    <w:next w:val="Default"/>
    <w:uiPriority w:val="99"/>
    <w:pPr>
      <w:spacing w:after="120"/>
    </w:pPr>
    <w:rPr>
      <w:rFonts w:ascii="仿宋_GB2312" w:eastAsia="仿宋_GB2312"/>
      <w:color w:val="auto"/>
    </w:rPr>
  </w:style>
  <w:style w:type="paragraph" w:customStyle="1" w:styleId="12">
    <w:name w:val="1"/>
    <w:basedOn w:val="a"/>
    <w:qFormat/>
    <w:pPr>
      <w:tabs>
        <w:tab w:val="left" w:pos="3243"/>
      </w:tabs>
      <w:spacing w:before="100" w:beforeAutospacing="1" w:after="100" w:afterAutospacing="1" w:line="360" w:lineRule="auto"/>
      <w:ind w:leftChars="200" w:left="420"/>
    </w:pPr>
  </w:style>
  <w:style w:type="paragraph" w:styleId="aff3">
    <w:name w:val="List Paragraph"/>
    <w:basedOn w:val="a"/>
    <w:uiPriority w:val="34"/>
    <w:qFormat/>
    <w:pPr>
      <w:spacing w:after="120" w:line="360" w:lineRule="auto"/>
      <w:ind w:firstLineChars="200" w:firstLine="420"/>
    </w:pPr>
    <w:rPr>
      <w:rFonts w:ascii="宋体" w:hAnsi="宋体" w:cs="Arial"/>
      <w:bCs/>
      <w:color w:val="000000"/>
      <w:kern w:val="0"/>
      <w:szCs w:val="21"/>
      <w:lang w:val="zh-CN"/>
    </w:rPr>
  </w:style>
  <w:style w:type="paragraph" w:customStyle="1" w:styleId="13">
    <w:name w:val="列表1"/>
    <w:basedOn w:val="a"/>
    <w:next w:val="a"/>
    <w:qFormat/>
    <w:pPr>
      <w:tabs>
        <w:tab w:val="left" w:pos="757"/>
      </w:tabs>
      <w:spacing w:line="360" w:lineRule="auto"/>
      <w:ind w:firstLine="397"/>
    </w:pPr>
    <w:rPr>
      <w:szCs w:val="20"/>
    </w:rPr>
  </w:style>
  <w:style w:type="paragraph" w:customStyle="1" w:styleId="005">
    <w:name w:val="005正文"/>
    <w:basedOn w:val="a"/>
    <w:pPr>
      <w:spacing w:line="360" w:lineRule="auto"/>
      <w:ind w:firstLineChars="200" w:firstLine="200"/>
    </w:pPr>
    <w:rPr>
      <w:rFonts w:ascii="宋体" w:hAnsi="宋体"/>
      <w:kern w:val="0"/>
      <w:sz w:val="24"/>
    </w:rPr>
  </w:style>
  <w:style w:type="paragraph" w:customStyle="1" w:styleId="2211">
    <w:name w:val="样式 标题 2 + 首行缩进:  2 字符 段前: 1 行 段后: 1 行"/>
    <w:basedOn w:val="2"/>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5">
    <w:name w:val="样式 宋体 四号 行距: 1.5 倍行距"/>
    <w:basedOn w:val="a"/>
    <w:pPr>
      <w:spacing w:line="360" w:lineRule="auto"/>
    </w:pPr>
    <w:rPr>
      <w:rFonts w:ascii="宋体" w:hAnsi="宋体"/>
      <w:sz w:val="24"/>
      <w:szCs w:val="20"/>
    </w:rPr>
  </w:style>
  <w:style w:type="paragraph" w:customStyle="1" w:styleId="14">
    <w:name w:val="修订1"/>
    <w:uiPriority w:val="99"/>
    <w:semiHidden/>
    <w:qFormat/>
    <w:rPr>
      <w:rFonts w:ascii="Times New Roman" w:eastAsia="宋体" w:hAnsi="Times New Roman" w:cs="Times New Roman"/>
      <w:kern w:val="2"/>
      <w:sz w:val="21"/>
      <w:szCs w:val="24"/>
    </w:rPr>
  </w:style>
  <w:style w:type="paragraph" w:customStyle="1" w:styleId="content">
    <w:name w:val="content"/>
    <w:basedOn w:val="a"/>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24">
    <w:name w:val="列表2"/>
    <w:basedOn w:val="a"/>
    <w:next w:val="af2"/>
    <w:pPr>
      <w:tabs>
        <w:tab w:val="left" w:pos="907"/>
      </w:tabs>
      <w:spacing w:line="360" w:lineRule="auto"/>
      <w:ind w:left="907" w:hanging="482"/>
    </w:pPr>
    <w:rPr>
      <w:rFonts w:ascii="宋体"/>
      <w:szCs w:val="20"/>
    </w:rPr>
  </w:style>
  <w:style w:type="paragraph" w:customStyle="1" w:styleId="aff4">
    <w:name w:val=".."/>
    <w:basedOn w:val="a"/>
    <w:next w:val="a"/>
    <w:uiPriority w:val="99"/>
    <w:qFormat/>
    <w:pPr>
      <w:autoSpaceDE w:val="0"/>
      <w:autoSpaceDN w:val="0"/>
      <w:adjustRightInd w:val="0"/>
      <w:jc w:val="left"/>
    </w:pPr>
    <w:rPr>
      <w:rFonts w:ascii="仿宋_GB2312" w:eastAsia="仿宋_GB2312"/>
      <w:kern w:val="0"/>
      <w:sz w:val="24"/>
    </w:rPr>
  </w:style>
  <w:style w:type="paragraph" w:customStyle="1" w:styleId="41">
    <w:name w:val="标题4"/>
    <w:basedOn w:val="a9"/>
    <w:qFormat/>
    <w:pPr>
      <w:spacing w:line="360" w:lineRule="auto"/>
      <w:ind w:firstLine="0"/>
    </w:pPr>
    <w:rPr>
      <w:szCs w:val="24"/>
    </w:rPr>
  </w:style>
  <w:style w:type="paragraph" w:customStyle="1" w:styleId="CharCharCharChar12">
    <w:name w:val="Char Char Char Char12"/>
    <w:basedOn w:val="a"/>
    <w:pPr>
      <w:tabs>
        <w:tab w:val="left" w:pos="360"/>
      </w:tabs>
      <w:spacing w:before="312" w:after="312" w:line="360" w:lineRule="auto"/>
    </w:pPr>
    <w:rPr>
      <w:sz w:val="24"/>
    </w:rPr>
  </w:style>
  <w:style w:type="paragraph" w:customStyle="1" w:styleId="Char20">
    <w:name w:val="Char2"/>
    <w:basedOn w:val="a"/>
  </w:style>
  <w:style w:type="paragraph" w:customStyle="1" w:styleId="Char30">
    <w:name w:val="Char3"/>
    <w:basedOn w:val="a"/>
    <w:pPr>
      <w:tabs>
        <w:tab w:val="left" w:pos="360"/>
      </w:tabs>
    </w:pPr>
    <w:rPr>
      <w:sz w:val="24"/>
    </w:rPr>
  </w:style>
  <w:style w:type="paragraph" w:customStyle="1" w:styleId="aff5">
    <w:name w:val="项目"/>
    <w:basedOn w:val="4"/>
    <w:qFormat/>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customStyle="1" w:styleId="16">
    <w:name w:val="列出段落1"/>
    <w:basedOn w:val="a"/>
    <w:qFormat/>
    <w:pPr>
      <w:ind w:firstLineChars="200" w:firstLine="420"/>
    </w:pPr>
    <w:rPr>
      <w:rFonts w:ascii="Calibri" w:hAnsi="Calibri"/>
      <w:szCs w:val="22"/>
    </w:rPr>
  </w:style>
  <w:style w:type="paragraph" w:customStyle="1" w:styleId="p0">
    <w:name w:val="p0"/>
    <w:basedOn w:val="a"/>
    <w:pPr>
      <w:widowControl/>
      <w:spacing w:line="240" w:lineRule="atLeast"/>
      <w:ind w:firstLine="420"/>
    </w:pPr>
    <w:rPr>
      <w:rFonts w:cs="宋体"/>
      <w:kern w:val="0"/>
      <w:szCs w:val="21"/>
    </w:rPr>
  </w:style>
  <w:style w:type="paragraph" w:customStyle="1" w:styleId="Blank">
    <w:name w:val="Blank"/>
    <w:basedOn w:val="a"/>
    <w:qFormat/>
    <w:pPr>
      <w:keepNext/>
      <w:adjustRightInd w:val="0"/>
      <w:snapToGrid w:val="0"/>
      <w:textAlignment w:val="center"/>
    </w:pPr>
    <w:rPr>
      <w:spacing w:val="10"/>
      <w:kern w:val="24"/>
      <w:szCs w:val="20"/>
    </w:rPr>
  </w:style>
  <w:style w:type="paragraph" w:customStyle="1" w:styleId="25">
    <w:name w:val="修订2"/>
    <w:hidden/>
    <w:uiPriority w:val="99"/>
    <w:unhideWhenUsed/>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B2E848C-E70D-44C2-ABCD-32BBC4261D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12528</Words>
  <Characters>71412</Characters>
  <Application>Microsoft Office Word</Application>
  <DocSecurity>4</DocSecurity>
  <Lines>595</Lines>
  <Paragraphs>167</Paragraphs>
  <ScaleCrop>false</ScaleCrop>
  <Company>Hewlett-Packard Company</Company>
  <LinksUpToDate>false</LinksUpToDate>
  <CharactersWithSpaces>83773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liush;haop@bosera.com</dc:creator>
  <cp:lastModifiedBy>ZHONGM</cp:lastModifiedBy>
  <cp:revision>2</cp:revision>
  <cp:lastPrinted>2018-06-19T02:25:00Z</cp:lastPrinted>
  <dcterms:created xsi:type="dcterms:W3CDTF">2019-05-22T16:01:00Z</dcterms:created>
  <dcterms:modified xsi:type="dcterms:W3CDTF">2019-05-22T16:01:00Z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