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CD" w:rsidRPr="00857DCD" w:rsidRDefault="00857DCD" w:rsidP="00857DCD">
      <w:pPr>
        <w:pStyle w:val="1"/>
        <w:rPr>
          <w:rFonts w:ascii="仿宋" w:hAnsi="仿宋"/>
        </w:rPr>
      </w:pPr>
      <w:r w:rsidRPr="00857DCD">
        <w:rPr>
          <w:rFonts w:ascii="仿宋" w:hAnsi="仿宋" w:hint="eastAsia"/>
        </w:rPr>
        <w:t>关于富国中证银行指数分级证券投资基金之富国银行A份额和富国银行B份额</w:t>
      </w:r>
      <w:r w:rsidR="00AB69C0">
        <w:rPr>
          <w:rFonts w:ascii="仿宋" w:hAnsi="仿宋" w:hint="eastAsia"/>
        </w:rPr>
        <w:t>基金份额折算</w:t>
      </w:r>
      <w:r w:rsidR="00411FF8">
        <w:rPr>
          <w:rFonts w:ascii="仿宋" w:hAnsi="仿宋" w:hint="eastAsia"/>
        </w:rPr>
        <w:t>结果</w:t>
      </w:r>
      <w:r w:rsidRPr="00857DCD">
        <w:rPr>
          <w:rFonts w:ascii="仿宋" w:hAnsi="仿宋" w:hint="eastAsia"/>
        </w:rPr>
        <w:t>的公告</w:t>
      </w:r>
    </w:p>
    <w:p w:rsidR="00857DCD" w:rsidRPr="00857DCD" w:rsidRDefault="00857DCD" w:rsidP="00857DCD">
      <w:pPr>
        <w:ind w:firstLine="560"/>
        <w:rPr>
          <w:rFonts w:ascii="仿宋" w:hAnsi="仿宋"/>
        </w:rPr>
      </w:pPr>
    </w:p>
    <w:p w:rsidR="00CC5766" w:rsidRDefault="00857DCD" w:rsidP="00857DCD">
      <w:pPr>
        <w:ind w:firstLine="560"/>
        <w:rPr>
          <w:rFonts w:ascii="仿宋" w:hAnsi="仿宋"/>
        </w:rPr>
      </w:pPr>
      <w:r w:rsidRPr="00857DCD">
        <w:rPr>
          <w:rFonts w:ascii="仿宋" w:hAnsi="仿宋" w:hint="eastAsia"/>
        </w:rPr>
        <w:t>根据《中华人民共和国证券投资基金法》、《公开募集证券投资基金运作管理办法》、《关于规范金融机构资产管理业务的指导意见》和《富国中证银行指数分级证券投资基金基金合同》等的有关规定，富国中证银行指数分级证券投资基金（以下简称“本基金”）的基金管理人富国基金管理有限公司（以下简称“基金管理人”）制定了本基金的分级份额终止运作的实施方案</w:t>
      </w:r>
      <w:r w:rsidR="009503C3">
        <w:rPr>
          <w:rFonts w:ascii="仿宋" w:hAnsi="仿宋" w:hint="eastAsia"/>
        </w:rPr>
        <w:t>，</w:t>
      </w:r>
      <w:r w:rsidR="00411FF8">
        <w:rPr>
          <w:rFonts w:ascii="仿宋" w:hAnsi="仿宋" w:hint="eastAsia"/>
        </w:rPr>
        <w:t>并于2019年4月4日发布《</w:t>
      </w:r>
      <w:r w:rsidR="00411FF8" w:rsidRPr="00411FF8">
        <w:rPr>
          <w:rFonts w:ascii="仿宋" w:hAnsi="仿宋" w:hint="eastAsia"/>
        </w:rPr>
        <w:t>关于富国中证银行指数分级证券投资基金之富国银行A份额和富国银行B份额</w:t>
      </w:r>
      <w:r w:rsidR="00411FF8">
        <w:rPr>
          <w:rFonts w:ascii="仿宋" w:hAnsi="仿宋" w:hint="eastAsia"/>
        </w:rPr>
        <w:t>运作并修改基金合同的公告》</w:t>
      </w:r>
      <w:r w:rsidR="009503C3">
        <w:rPr>
          <w:rFonts w:ascii="仿宋" w:hAnsi="仿宋" w:hint="eastAsia"/>
        </w:rPr>
        <w:t>、</w:t>
      </w:r>
      <w:r w:rsidR="007170E5">
        <w:rPr>
          <w:rFonts w:ascii="仿宋" w:hAnsi="仿宋" w:hint="eastAsia"/>
        </w:rPr>
        <w:t>2019年5月7日发布《</w:t>
      </w:r>
      <w:r w:rsidR="007170E5" w:rsidRPr="007170E5">
        <w:rPr>
          <w:rFonts w:ascii="仿宋" w:hAnsi="仿宋" w:hint="eastAsia"/>
        </w:rPr>
        <w:t>关于富国中证银行指数分级证券投资基金之富国银行A份额和富国银行B份额基金份额折算的公告</w:t>
      </w:r>
      <w:r w:rsidR="007170E5">
        <w:rPr>
          <w:rFonts w:ascii="仿宋" w:hAnsi="仿宋" w:hint="eastAsia"/>
        </w:rPr>
        <w:t>》</w:t>
      </w:r>
      <w:r w:rsidRPr="00857DCD">
        <w:rPr>
          <w:rFonts w:ascii="仿宋" w:hAnsi="仿宋" w:hint="eastAsia"/>
        </w:rPr>
        <w:t>。</w:t>
      </w:r>
    </w:p>
    <w:p w:rsidR="001553B4" w:rsidRPr="00605CF0" w:rsidRDefault="00966707" w:rsidP="0026606F">
      <w:pPr>
        <w:ind w:firstLine="560"/>
        <w:rPr>
          <w:rFonts w:ascii="仿宋" w:hAnsi="仿宋"/>
        </w:rPr>
      </w:pPr>
      <w:r>
        <w:rPr>
          <w:rFonts w:ascii="仿宋" w:hAnsi="仿宋" w:hint="eastAsia"/>
        </w:rPr>
        <w:t>根据上述公告，</w:t>
      </w:r>
      <w:r w:rsidR="0081323D">
        <w:rPr>
          <w:rFonts w:ascii="仿宋" w:hAnsi="仿宋" w:hint="eastAsia"/>
        </w:rPr>
        <w:t>基金管理人</w:t>
      </w:r>
      <w:r w:rsidR="0081323D" w:rsidRPr="0081323D">
        <w:rPr>
          <w:rFonts w:ascii="仿宋" w:hAnsi="仿宋" w:hint="eastAsia"/>
        </w:rPr>
        <w:t>以2019年5月9日为基金份额折算基准日，对在该日登记在册的富国银行A份额（场内简称：银行A级，基金代码：150241）和富国银行B份额（</w:t>
      </w:r>
      <w:r w:rsidR="00DE55B0">
        <w:rPr>
          <w:rFonts w:ascii="仿宋" w:hAnsi="仿宋" w:hint="eastAsia"/>
        </w:rPr>
        <w:t>场内简称：</w:t>
      </w:r>
      <w:r w:rsidR="0081323D" w:rsidRPr="0081323D">
        <w:rPr>
          <w:rFonts w:ascii="仿宋" w:hAnsi="仿宋" w:hint="eastAsia"/>
        </w:rPr>
        <w:t>银行B级，基金代码：150242）办理向</w:t>
      </w:r>
      <w:r w:rsidR="00E473F4">
        <w:rPr>
          <w:rFonts w:ascii="仿宋" w:hAnsi="仿宋" w:hint="eastAsia"/>
        </w:rPr>
        <w:t>场内</w:t>
      </w:r>
      <w:r w:rsidR="0081323D" w:rsidRPr="0081323D">
        <w:rPr>
          <w:rFonts w:ascii="仿宋" w:hAnsi="仿宋" w:hint="eastAsia"/>
        </w:rPr>
        <w:t>富国银行份额（场内简称：银行</w:t>
      </w:r>
      <w:r w:rsidR="00605CF0">
        <w:rPr>
          <w:rFonts w:ascii="仿宋" w:hAnsi="仿宋" w:hint="eastAsia"/>
        </w:rPr>
        <w:t>分级</w:t>
      </w:r>
      <w:r w:rsidR="0081323D" w:rsidRPr="0081323D">
        <w:rPr>
          <w:rFonts w:ascii="仿宋" w:hAnsi="仿宋" w:hint="eastAsia"/>
        </w:rPr>
        <w:t>，基金代码：161029）折算业务，现将折算结果公告如下：</w:t>
      </w:r>
    </w:p>
    <w:p w:rsidR="0081323D" w:rsidRPr="0081323D" w:rsidRDefault="0081323D" w:rsidP="00077FA5">
      <w:pPr>
        <w:ind w:firstLine="560"/>
        <w:rPr>
          <w:rFonts w:ascii="仿宋" w:hAnsi="仿宋"/>
        </w:rPr>
      </w:pPr>
      <w:r w:rsidRPr="001553B4">
        <w:rPr>
          <w:rFonts w:ascii="仿宋" w:hAnsi="仿宋" w:hint="eastAsia"/>
          <w:b/>
        </w:rPr>
        <w:lastRenderedPageBreak/>
        <w:t>一、份额折算结果</w:t>
      </w:r>
    </w:p>
    <w:p w:rsidR="0081323D" w:rsidRDefault="009270E5" w:rsidP="0081323D">
      <w:pPr>
        <w:ind w:firstLine="560"/>
        <w:rPr>
          <w:rFonts w:ascii="仿宋" w:hAnsi="仿宋"/>
        </w:rPr>
      </w:pPr>
      <w:r>
        <w:rPr>
          <w:rFonts w:ascii="仿宋" w:hAnsi="仿宋" w:hint="eastAsia"/>
        </w:rPr>
        <w:t>1、</w:t>
      </w:r>
      <w:r w:rsidR="0081323D" w:rsidRPr="0081323D">
        <w:rPr>
          <w:rFonts w:ascii="仿宋" w:hAnsi="仿宋" w:hint="eastAsia"/>
        </w:rPr>
        <w:t>富国银行A份额、富国银行B份额经折算后的份额数取整计算（最小单位为1份），余额计入基金财产。份额折算比例按截位法精确到小数点后第9位，具体结果如下表所示：</w:t>
      </w:r>
    </w:p>
    <w:p w:rsidR="005F736C" w:rsidRDefault="005F736C" w:rsidP="0081323D">
      <w:pPr>
        <w:ind w:firstLine="560"/>
        <w:rPr>
          <w:rFonts w:ascii="仿宋" w:hAnsi="仿宋"/>
        </w:rPr>
      </w:pPr>
    </w:p>
    <w:tbl>
      <w:tblPr>
        <w:tblStyle w:val="ad"/>
        <w:tblW w:w="9272" w:type="dxa"/>
        <w:tblLook w:val="04A0"/>
      </w:tblPr>
      <w:tblGrid>
        <w:gridCol w:w="1487"/>
        <w:gridCol w:w="2036"/>
        <w:gridCol w:w="1840"/>
        <w:gridCol w:w="1642"/>
        <w:gridCol w:w="2267"/>
      </w:tblGrid>
      <w:tr w:rsidR="0081323D" w:rsidRPr="0081323D" w:rsidTr="00E2535E">
        <w:trPr>
          <w:trHeight w:val="803"/>
        </w:trPr>
        <w:tc>
          <w:tcPr>
            <w:tcW w:w="1487" w:type="dxa"/>
            <w:vAlign w:val="center"/>
            <w:hideMark/>
          </w:tcPr>
          <w:p w:rsidR="0081323D" w:rsidRPr="00AE46D2" w:rsidRDefault="0081323D" w:rsidP="0026606F">
            <w:pPr>
              <w:widowControl/>
              <w:ind w:firstLineChars="0" w:firstLine="0"/>
              <w:jc w:val="center"/>
              <w:rPr>
                <w:rFonts w:ascii="仿宋" w:hAnsi="仿宋"/>
                <w:b/>
                <w:color w:val="000000"/>
                <w:kern w:val="0"/>
                <w:sz w:val="24"/>
              </w:rPr>
            </w:pPr>
            <w:r w:rsidRPr="00AE46D2">
              <w:rPr>
                <w:rFonts w:ascii="仿宋" w:hAnsi="仿宋" w:hint="eastAsia"/>
                <w:b/>
                <w:color w:val="000000"/>
                <w:kern w:val="0"/>
                <w:sz w:val="24"/>
              </w:rPr>
              <w:t>折算前基金份额名称</w:t>
            </w:r>
          </w:p>
        </w:tc>
        <w:tc>
          <w:tcPr>
            <w:tcW w:w="2036" w:type="dxa"/>
            <w:vAlign w:val="center"/>
            <w:hideMark/>
          </w:tcPr>
          <w:p w:rsidR="0081323D" w:rsidRPr="00AE46D2" w:rsidRDefault="0081323D" w:rsidP="0026606F">
            <w:pPr>
              <w:widowControl/>
              <w:ind w:firstLineChars="0" w:firstLine="0"/>
              <w:jc w:val="center"/>
              <w:rPr>
                <w:rFonts w:ascii="仿宋" w:hAnsi="仿宋"/>
                <w:b/>
                <w:color w:val="000000"/>
                <w:kern w:val="0"/>
                <w:sz w:val="24"/>
              </w:rPr>
            </w:pPr>
            <w:r w:rsidRPr="00AE46D2">
              <w:rPr>
                <w:rFonts w:ascii="仿宋" w:hAnsi="仿宋"/>
                <w:b/>
                <w:color w:val="000000"/>
                <w:kern w:val="0"/>
                <w:sz w:val="24"/>
              </w:rPr>
              <w:t>折算前份额</w:t>
            </w:r>
            <w:r w:rsidR="00E473F4" w:rsidRPr="00AE46D2">
              <w:rPr>
                <w:rFonts w:ascii="仿宋" w:hAnsi="仿宋" w:hint="eastAsia"/>
                <w:b/>
                <w:color w:val="000000"/>
                <w:kern w:val="0"/>
                <w:sz w:val="24"/>
              </w:rPr>
              <w:t>数量</w:t>
            </w:r>
            <w:r w:rsidRPr="00AE46D2">
              <w:rPr>
                <w:rFonts w:ascii="仿宋" w:hAnsi="仿宋"/>
                <w:b/>
                <w:color w:val="000000"/>
                <w:kern w:val="0"/>
                <w:sz w:val="24"/>
              </w:rPr>
              <w:t>（份）</w:t>
            </w:r>
          </w:p>
        </w:tc>
        <w:tc>
          <w:tcPr>
            <w:tcW w:w="1840" w:type="dxa"/>
            <w:vAlign w:val="center"/>
            <w:hideMark/>
          </w:tcPr>
          <w:p w:rsidR="0081323D" w:rsidRPr="00AE46D2" w:rsidRDefault="0081323D" w:rsidP="0026606F">
            <w:pPr>
              <w:widowControl/>
              <w:ind w:firstLineChars="0" w:firstLine="0"/>
              <w:jc w:val="center"/>
              <w:rPr>
                <w:rFonts w:ascii="仿宋" w:hAnsi="仿宋"/>
                <w:b/>
                <w:color w:val="000000"/>
                <w:kern w:val="0"/>
                <w:sz w:val="24"/>
              </w:rPr>
            </w:pPr>
            <w:r w:rsidRPr="00AE46D2">
              <w:rPr>
                <w:rFonts w:ascii="仿宋" w:hAnsi="仿宋"/>
                <w:b/>
                <w:color w:val="000000"/>
                <w:kern w:val="0"/>
                <w:sz w:val="24"/>
              </w:rPr>
              <w:t>折算比例</w:t>
            </w:r>
          </w:p>
        </w:tc>
        <w:tc>
          <w:tcPr>
            <w:tcW w:w="1642" w:type="dxa"/>
            <w:vAlign w:val="center"/>
            <w:hideMark/>
          </w:tcPr>
          <w:p w:rsidR="0081323D" w:rsidRPr="00AE46D2" w:rsidRDefault="0081323D">
            <w:pPr>
              <w:widowControl/>
              <w:ind w:firstLineChars="0" w:firstLine="0"/>
              <w:jc w:val="center"/>
              <w:rPr>
                <w:rFonts w:ascii="仿宋" w:hAnsi="仿宋"/>
                <w:b/>
                <w:color w:val="000000"/>
                <w:kern w:val="0"/>
                <w:sz w:val="24"/>
              </w:rPr>
            </w:pPr>
            <w:r w:rsidRPr="00AE46D2">
              <w:rPr>
                <w:rFonts w:ascii="仿宋" w:hAnsi="仿宋"/>
                <w:b/>
                <w:color w:val="000000"/>
                <w:kern w:val="0"/>
                <w:sz w:val="24"/>
              </w:rPr>
              <w:t>折算后</w:t>
            </w:r>
            <w:r w:rsidR="008F14B7" w:rsidRPr="00AE46D2">
              <w:rPr>
                <w:rFonts w:ascii="仿宋" w:hAnsi="仿宋" w:hint="eastAsia"/>
                <w:b/>
                <w:color w:val="000000"/>
                <w:kern w:val="0"/>
                <w:sz w:val="24"/>
              </w:rPr>
              <w:t>基金</w:t>
            </w:r>
            <w:r w:rsidRPr="00AE46D2">
              <w:rPr>
                <w:rFonts w:ascii="仿宋" w:hAnsi="仿宋"/>
                <w:b/>
                <w:color w:val="000000"/>
                <w:kern w:val="0"/>
                <w:sz w:val="24"/>
              </w:rPr>
              <w:t>份额</w:t>
            </w:r>
            <w:r w:rsidR="008F14B7" w:rsidRPr="00AE46D2">
              <w:rPr>
                <w:rFonts w:ascii="仿宋" w:hAnsi="仿宋" w:hint="eastAsia"/>
                <w:b/>
                <w:color w:val="000000"/>
                <w:kern w:val="0"/>
                <w:sz w:val="24"/>
              </w:rPr>
              <w:t>名称</w:t>
            </w:r>
          </w:p>
        </w:tc>
        <w:tc>
          <w:tcPr>
            <w:tcW w:w="2267" w:type="dxa"/>
            <w:vAlign w:val="center"/>
            <w:hideMark/>
          </w:tcPr>
          <w:p w:rsidR="0081323D" w:rsidRPr="00AE46D2" w:rsidRDefault="0081323D" w:rsidP="0026606F">
            <w:pPr>
              <w:widowControl/>
              <w:ind w:firstLineChars="0" w:firstLine="0"/>
              <w:jc w:val="center"/>
              <w:rPr>
                <w:rFonts w:ascii="仿宋" w:hAnsi="仿宋"/>
                <w:b/>
                <w:color w:val="000000"/>
                <w:kern w:val="0"/>
                <w:sz w:val="24"/>
              </w:rPr>
            </w:pPr>
            <w:r w:rsidRPr="00AE46D2">
              <w:rPr>
                <w:rFonts w:ascii="仿宋" w:hAnsi="仿宋"/>
                <w:b/>
                <w:color w:val="000000"/>
                <w:kern w:val="0"/>
                <w:sz w:val="24"/>
              </w:rPr>
              <w:t>折算后份额</w:t>
            </w:r>
            <w:r w:rsidR="00126D61" w:rsidRPr="00AE46D2">
              <w:rPr>
                <w:rFonts w:ascii="仿宋" w:hAnsi="仿宋" w:hint="eastAsia"/>
                <w:b/>
                <w:color w:val="000000"/>
                <w:kern w:val="0"/>
                <w:sz w:val="24"/>
              </w:rPr>
              <w:t>数量</w:t>
            </w:r>
            <w:r w:rsidRPr="00AE46D2">
              <w:rPr>
                <w:rFonts w:ascii="仿宋" w:hAnsi="仿宋"/>
                <w:b/>
                <w:color w:val="000000"/>
                <w:kern w:val="0"/>
                <w:sz w:val="24"/>
              </w:rPr>
              <w:t>（份）</w:t>
            </w:r>
          </w:p>
        </w:tc>
      </w:tr>
      <w:tr w:rsidR="00E2535E" w:rsidRPr="0081323D" w:rsidTr="00AE46D2">
        <w:trPr>
          <w:trHeight w:val="341"/>
        </w:trPr>
        <w:tc>
          <w:tcPr>
            <w:tcW w:w="1487" w:type="dxa"/>
            <w:vAlign w:val="center"/>
            <w:hideMark/>
          </w:tcPr>
          <w:p w:rsidR="00E2535E" w:rsidRPr="0081323D" w:rsidRDefault="00E2535E" w:rsidP="0026606F">
            <w:pPr>
              <w:widowControl/>
              <w:ind w:firstLineChars="0" w:firstLine="0"/>
              <w:jc w:val="center"/>
              <w:rPr>
                <w:rFonts w:ascii="仿宋" w:hAnsi="仿宋"/>
                <w:color w:val="000000"/>
                <w:kern w:val="0"/>
                <w:sz w:val="24"/>
              </w:rPr>
            </w:pPr>
            <w:r w:rsidRPr="0081323D">
              <w:rPr>
                <w:rFonts w:ascii="仿宋" w:hAnsi="仿宋"/>
                <w:color w:val="000000"/>
                <w:kern w:val="0"/>
                <w:sz w:val="24"/>
              </w:rPr>
              <w:t>富国银行A份额</w:t>
            </w:r>
          </w:p>
        </w:tc>
        <w:tc>
          <w:tcPr>
            <w:tcW w:w="2036" w:type="dxa"/>
            <w:vAlign w:val="center"/>
          </w:tcPr>
          <w:p w:rsidR="00E2535E" w:rsidRPr="00125EE5" w:rsidRDefault="00E2535E">
            <w:pPr>
              <w:widowControl/>
              <w:ind w:firstLineChars="0" w:firstLine="0"/>
              <w:jc w:val="center"/>
              <w:rPr>
                <w:rFonts w:ascii="仿宋" w:hAnsi="仿宋"/>
                <w:color w:val="000000"/>
                <w:kern w:val="0"/>
                <w:sz w:val="24"/>
              </w:rPr>
            </w:pPr>
            <w:r w:rsidRPr="00AE46D2">
              <w:rPr>
                <w:rFonts w:ascii="仿宋" w:hAnsi="仿宋"/>
                <w:color w:val="000000"/>
                <w:sz w:val="24"/>
              </w:rPr>
              <w:t>23,754,097.00</w:t>
            </w:r>
          </w:p>
        </w:tc>
        <w:tc>
          <w:tcPr>
            <w:tcW w:w="1840" w:type="dxa"/>
            <w:vAlign w:val="center"/>
          </w:tcPr>
          <w:p w:rsidR="00E2535E" w:rsidRPr="00125EE5" w:rsidRDefault="00E2535E">
            <w:pPr>
              <w:widowControl/>
              <w:ind w:firstLineChars="0" w:firstLine="0"/>
              <w:jc w:val="center"/>
              <w:rPr>
                <w:rFonts w:ascii="仿宋" w:hAnsi="仿宋"/>
                <w:color w:val="000000"/>
                <w:kern w:val="0"/>
                <w:sz w:val="24"/>
              </w:rPr>
            </w:pPr>
            <w:r w:rsidRPr="00AE46D2">
              <w:rPr>
                <w:rFonts w:ascii="仿宋" w:hAnsi="仿宋"/>
                <w:color w:val="000000"/>
                <w:sz w:val="24"/>
              </w:rPr>
              <w:t>1.004765253</w:t>
            </w:r>
          </w:p>
        </w:tc>
        <w:tc>
          <w:tcPr>
            <w:tcW w:w="1642" w:type="dxa"/>
            <w:vMerge w:val="restart"/>
            <w:vAlign w:val="center"/>
          </w:tcPr>
          <w:p w:rsidR="00E2535E" w:rsidRPr="00125EE5" w:rsidRDefault="00E2535E">
            <w:pPr>
              <w:ind w:firstLineChars="0" w:firstLine="0"/>
              <w:jc w:val="center"/>
              <w:rPr>
                <w:rFonts w:ascii="仿宋" w:hAnsi="仿宋"/>
                <w:color w:val="000000"/>
                <w:kern w:val="0"/>
                <w:sz w:val="24"/>
              </w:rPr>
            </w:pPr>
            <w:r w:rsidRPr="00125EE5">
              <w:rPr>
                <w:rFonts w:ascii="仿宋" w:hAnsi="仿宋" w:hint="eastAsia"/>
                <w:color w:val="000000"/>
                <w:kern w:val="0"/>
                <w:sz w:val="24"/>
              </w:rPr>
              <w:t>场内富国银行份额</w:t>
            </w:r>
          </w:p>
        </w:tc>
        <w:tc>
          <w:tcPr>
            <w:tcW w:w="2267" w:type="dxa"/>
            <w:vAlign w:val="center"/>
          </w:tcPr>
          <w:p w:rsidR="00E2535E" w:rsidRPr="00125EE5" w:rsidRDefault="00E2535E">
            <w:pPr>
              <w:widowControl/>
              <w:ind w:firstLineChars="0" w:firstLine="0"/>
              <w:jc w:val="center"/>
              <w:rPr>
                <w:rFonts w:ascii="仿宋" w:hAnsi="仿宋"/>
                <w:color w:val="000000"/>
                <w:kern w:val="0"/>
                <w:sz w:val="24"/>
              </w:rPr>
            </w:pPr>
            <w:r w:rsidRPr="00AE46D2">
              <w:rPr>
                <w:rFonts w:ascii="仿宋" w:hAnsi="仿宋"/>
                <w:color w:val="000000"/>
                <w:sz w:val="24"/>
              </w:rPr>
              <w:t>23,867,291.00</w:t>
            </w:r>
          </w:p>
        </w:tc>
      </w:tr>
      <w:tr w:rsidR="00E2535E" w:rsidRPr="0081323D" w:rsidTr="00AE46D2">
        <w:trPr>
          <w:trHeight w:val="341"/>
        </w:trPr>
        <w:tc>
          <w:tcPr>
            <w:tcW w:w="1487" w:type="dxa"/>
            <w:vAlign w:val="center"/>
          </w:tcPr>
          <w:p w:rsidR="00E2535E" w:rsidRPr="0081323D" w:rsidRDefault="00E2535E" w:rsidP="0026606F">
            <w:pPr>
              <w:widowControl/>
              <w:ind w:firstLineChars="0" w:firstLine="0"/>
              <w:jc w:val="center"/>
              <w:rPr>
                <w:rFonts w:ascii="仿宋" w:hAnsi="仿宋"/>
                <w:color w:val="000000"/>
                <w:kern w:val="0"/>
                <w:sz w:val="24"/>
              </w:rPr>
            </w:pPr>
            <w:r w:rsidRPr="0081323D">
              <w:rPr>
                <w:rFonts w:ascii="仿宋" w:hAnsi="仿宋"/>
                <w:color w:val="000000"/>
                <w:kern w:val="0"/>
                <w:sz w:val="24"/>
              </w:rPr>
              <w:t>富国银行</w:t>
            </w:r>
            <w:r>
              <w:rPr>
                <w:rFonts w:ascii="仿宋" w:hAnsi="仿宋" w:hint="eastAsia"/>
                <w:color w:val="000000"/>
                <w:kern w:val="0"/>
                <w:sz w:val="24"/>
              </w:rPr>
              <w:t>B份额</w:t>
            </w:r>
          </w:p>
        </w:tc>
        <w:tc>
          <w:tcPr>
            <w:tcW w:w="2036" w:type="dxa"/>
            <w:vAlign w:val="center"/>
          </w:tcPr>
          <w:p w:rsidR="00E2535E" w:rsidRPr="00125EE5" w:rsidRDefault="00E2535E">
            <w:pPr>
              <w:widowControl/>
              <w:ind w:firstLineChars="0" w:firstLine="0"/>
              <w:jc w:val="center"/>
              <w:rPr>
                <w:rFonts w:ascii="仿宋" w:hAnsi="仿宋"/>
                <w:color w:val="000000"/>
                <w:sz w:val="24"/>
              </w:rPr>
            </w:pPr>
            <w:r w:rsidRPr="00AE46D2">
              <w:rPr>
                <w:rFonts w:ascii="仿宋" w:hAnsi="仿宋"/>
                <w:color w:val="000000"/>
                <w:sz w:val="24"/>
              </w:rPr>
              <w:t>23,754,098.00</w:t>
            </w:r>
          </w:p>
        </w:tc>
        <w:tc>
          <w:tcPr>
            <w:tcW w:w="1840" w:type="dxa"/>
            <w:vAlign w:val="center"/>
          </w:tcPr>
          <w:p w:rsidR="00E2535E" w:rsidRPr="00125EE5" w:rsidRDefault="00E2535E">
            <w:pPr>
              <w:widowControl/>
              <w:ind w:firstLineChars="0" w:firstLine="0"/>
              <w:jc w:val="center"/>
              <w:rPr>
                <w:rFonts w:ascii="仿宋" w:hAnsi="仿宋"/>
                <w:color w:val="000000"/>
                <w:sz w:val="24"/>
              </w:rPr>
            </w:pPr>
            <w:r w:rsidRPr="00AE46D2">
              <w:rPr>
                <w:rFonts w:ascii="仿宋" w:hAnsi="仿宋"/>
                <w:color w:val="000000"/>
                <w:sz w:val="24"/>
              </w:rPr>
              <w:t>0.995234746</w:t>
            </w:r>
          </w:p>
        </w:tc>
        <w:tc>
          <w:tcPr>
            <w:tcW w:w="1642" w:type="dxa"/>
            <w:vMerge/>
            <w:vAlign w:val="center"/>
          </w:tcPr>
          <w:p w:rsidR="00E2535E" w:rsidRPr="00125EE5" w:rsidRDefault="00E2535E">
            <w:pPr>
              <w:ind w:firstLineChars="0" w:firstLine="0"/>
              <w:jc w:val="center"/>
              <w:rPr>
                <w:rFonts w:ascii="仿宋" w:hAnsi="仿宋"/>
                <w:color w:val="000000"/>
                <w:sz w:val="24"/>
              </w:rPr>
            </w:pPr>
          </w:p>
        </w:tc>
        <w:tc>
          <w:tcPr>
            <w:tcW w:w="2267" w:type="dxa"/>
            <w:vAlign w:val="center"/>
          </w:tcPr>
          <w:p w:rsidR="00E2535E" w:rsidRPr="00125EE5" w:rsidRDefault="00E2535E">
            <w:pPr>
              <w:widowControl/>
              <w:ind w:firstLineChars="0" w:firstLine="0"/>
              <w:jc w:val="center"/>
              <w:rPr>
                <w:rFonts w:ascii="仿宋" w:hAnsi="仿宋"/>
                <w:color w:val="000000"/>
                <w:kern w:val="0"/>
                <w:sz w:val="24"/>
              </w:rPr>
            </w:pPr>
            <w:r w:rsidRPr="00AE46D2">
              <w:rPr>
                <w:rFonts w:ascii="仿宋" w:hAnsi="仿宋"/>
                <w:color w:val="000000"/>
                <w:sz w:val="24"/>
              </w:rPr>
              <w:t>23,640,903.00</w:t>
            </w:r>
          </w:p>
        </w:tc>
      </w:tr>
    </w:tbl>
    <w:p w:rsidR="008F14B7" w:rsidRDefault="009270E5" w:rsidP="0026606F">
      <w:pPr>
        <w:ind w:firstLine="560"/>
      </w:pPr>
      <w:r>
        <w:rPr>
          <w:rFonts w:hint="eastAsia"/>
        </w:rPr>
        <w:t>2</w:t>
      </w:r>
      <w:r>
        <w:rPr>
          <w:rFonts w:hint="eastAsia"/>
        </w:rPr>
        <w:t>、</w:t>
      </w:r>
      <w:r w:rsidR="00315E86">
        <w:rPr>
          <w:rFonts w:hint="eastAsia"/>
        </w:rPr>
        <w:t>折算完成后</w:t>
      </w:r>
      <w:r w:rsidR="004B09FC">
        <w:rPr>
          <w:rFonts w:hint="eastAsia"/>
        </w:rPr>
        <w:t>富国银行份额</w:t>
      </w:r>
      <w:r w:rsidR="00315E86">
        <w:rPr>
          <w:rFonts w:hint="eastAsia"/>
        </w:rPr>
        <w:t>数量</w:t>
      </w:r>
      <w:r w:rsidR="004B09FC">
        <w:rPr>
          <w:rFonts w:hint="eastAsia"/>
        </w:rPr>
        <w:t>如下：</w:t>
      </w:r>
    </w:p>
    <w:tbl>
      <w:tblPr>
        <w:tblStyle w:val="ad"/>
        <w:tblW w:w="9301" w:type="dxa"/>
        <w:tblLook w:val="04A0"/>
      </w:tblPr>
      <w:tblGrid>
        <w:gridCol w:w="2287"/>
        <w:gridCol w:w="2641"/>
        <w:gridCol w:w="1701"/>
        <w:gridCol w:w="2672"/>
      </w:tblGrid>
      <w:tr w:rsidR="008F14B7" w:rsidRPr="0081323D" w:rsidTr="0026606F">
        <w:trPr>
          <w:trHeight w:val="346"/>
        </w:trPr>
        <w:tc>
          <w:tcPr>
            <w:tcW w:w="2287" w:type="dxa"/>
            <w:vAlign w:val="center"/>
          </w:tcPr>
          <w:p w:rsidR="008F14B7" w:rsidRPr="00AE46D2" w:rsidRDefault="008F14B7" w:rsidP="0026606F">
            <w:pPr>
              <w:widowControl/>
              <w:ind w:firstLineChars="0" w:firstLine="0"/>
              <w:jc w:val="center"/>
              <w:rPr>
                <w:rFonts w:ascii="仿宋" w:hAnsi="仿宋"/>
                <w:b/>
                <w:color w:val="000000"/>
                <w:kern w:val="0"/>
                <w:sz w:val="24"/>
              </w:rPr>
            </w:pPr>
            <w:r w:rsidRPr="00AE46D2">
              <w:rPr>
                <w:rFonts w:ascii="仿宋" w:hAnsi="仿宋" w:hint="eastAsia"/>
                <w:b/>
                <w:color w:val="000000"/>
                <w:kern w:val="0"/>
                <w:sz w:val="24"/>
              </w:rPr>
              <w:t>折算前基金份额名称</w:t>
            </w:r>
          </w:p>
        </w:tc>
        <w:tc>
          <w:tcPr>
            <w:tcW w:w="2641" w:type="dxa"/>
            <w:vAlign w:val="center"/>
          </w:tcPr>
          <w:p w:rsidR="008F14B7" w:rsidRPr="00AE46D2" w:rsidRDefault="008F14B7" w:rsidP="00C27C15">
            <w:pPr>
              <w:widowControl/>
              <w:ind w:firstLineChars="0" w:firstLine="0"/>
              <w:jc w:val="center"/>
              <w:rPr>
                <w:rFonts w:ascii="仿宋" w:hAnsi="仿宋"/>
                <w:b/>
                <w:color w:val="000000"/>
                <w:sz w:val="24"/>
              </w:rPr>
            </w:pPr>
            <w:r w:rsidRPr="00AE46D2">
              <w:rPr>
                <w:rFonts w:ascii="仿宋" w:hAnsi="仿宋" w:hint="eastAsia"/>
                <w:b/>
                <w:color w:val="000000"/>
                <w:kern w:val="0"/>
                <w:sz w:val="24"/>
              </w:rPr>
              <w:t>折算前基金份额</w:t>
            </w:r>
            <w:r w:rsidR="00C27C15" w:rsidRPr="00AE46D2">
              <w:rPr>
                <w:rFonts w:ascii="仿宋" w:hAnsi="仿宋" w:hint="eastAsia"/>
                <w:b/>
                <w:color w:val="000000"/>
                <w:kern w:val="0"/>
                <w:sz w:val="24"/>
              </w:rPr>
              <w:t>数量（份）</w:t>
            </w:r>
          </w:p>
        </w:tc>
        <w:tc>
          <w:tcPr>
            <w:tcW w:w="1701" w:type="dxa"/>
            <w:vAlign w:val="center"/>
          </w:tcPr>
          <w:p w:rsidR="008F14B7" w:rsidRPr="00AE46D2" w:rsidRDefault="008F14B7" w:rsidP="00C27C15">
            <w:pPr>
              <w:ind w:firstLineChars="0" w:firstLine="0"/>
              <w:jc w:val="center"/>
              <w:rPr>
                <w:rFonts w:ascii="仿宋" w:hAnsi="仿宋"/>
                <w:b/>
                <w:color w:val="000000"/>
                <w:kern w:val="0"/>
                <w:sz w:val="24"/>
              </w:rPr>
            </w:pPr>
            <w:r w:rsidRPr="00AE46D2">
              <w:rPr>
                <w:rFonts w:ascii="仿宋" w:hAnsi="仿宋"/>
                <w:b/>
                <w:color w:val="000000"/>
                <w:kern w:val="0"/>
                <w:sz w:val="24"/>
              </w:rPr>
              <w:t>折算后</w:t>
            </w:r>
            <w:r w:rsidRPr="00AE46D2">
              <w:rPr>
                <w:rFonts w:ascii="仿宋" w:hAnsi="仿宋" w:hint="eastAsia"/>
                <w:b/>
                <w:color w:val="000000"/>
                <w:kern w:val="0"/>
                <w:sz w:val="24"/>
              </w:rPr>
              <w:t>基金</w:t>
            </w:r>
            <w:r w:rsidRPr="00AE46D2">
              <w:rPr>
                <w:rFonts w:ascii="仿宋" w:hAnsi="仿宋"/>
                <w:b/>
                <w:color w:val="000000"/>
                <w:kern w:val="0"/>
                <w:sz w:val="24"/>
              </w:rPr>
              <w:t>份额</w:t>
            </w:r>
            <w:r w:rsidRPr="00AE46D2">
              <w:rPr>
                <w:rFonts w:ascii="仿宋" w:hAnsi="仿宋" w:hint="eastAsia"/>
                <w:b/>
                <w:color w:val="000000"/>
                <w:kern w:val="0"/>
                <w:sz w:val="24"/>
              </w:rPr>
              <w:t>名称</w:t>
            </w:r>
          </w:p>
        </w:tc>
        <w:tc>
          <w:tcPr>
            <w:tcW w:w="2672" w:type="dxa"/>
            <w:vAlign w:val="center"/>
          </w:tcPr>
          <w:p w:rsidR="008F14B7" w:rsidRPr="00AE46D2" w:rsidRDefault="008F14B7" w:rsidP="0026606F">
            <w:pPr>
              <w:widowControl/>
              <w:ind w:firstLineChars="0" w:firstLine="0"/>
              <w:jc w:val="center"/>
              <w:rPr>
                <w:rFonts w:ascii="仿宋" w:hAnsi="仿宋"/>
                <w:b/>
                <w:color w:val="000000"/>
                <w:kern w:val="0"/>
                <w:sz w:val="24"/>
              </w:rPr>
            </w:pPr>
            <w:r w:rsidRPr="00AE46D2">
              <w:rPr>
                <w:rFonts w:ascii="仿宋" w:hAnsi="仿宋"/>
                <w:b/>
                <w:color w:val="000000"/>
                <w:kern w:val="0"/>
                <w:sz w:val="24"/>
              </w:rPr>
              <w:t>折算后份额</w:t>
            </w:r>
            <w:r w:rsidR="00315E86" w:rsidRPr="00AE46D2">
              <w:rPr>
                <w:rFonts w:ascii="仿宋" w:hAnsi="仿宋" w:hint="eastAsia"/>
                <w:b/>
                <w:color w:val="000000"/>
                <w:kern w:val="0"/>
                <w:sz w:val="24"/>
              </w:rPr>
              <w:t>数量</w:t>
            </w:r>
            <w:r w:rsidRPr="00AE46D2">
              <w:rPr>
                <w:rFonts w:ascii="仿宋" w:hAnsi="仿宋"/>
                <w:b/>
                <w:color w:val="000000"/>
                <w:kern w:val="0"/>
                <w:sz w:val="24"/>
              </w:rPr>
              <w:t>（份）</w:t>
            </w:r>
          </w:p>
        </w:tc>
      </w:tr>
      <w:tr w:rsidR="00E2535E" w:rsidRPr="0081323D" w:rsidTr="0026606F">
        <w:trPr>
          <w:trHeight w:val="346"/>
        </w:trPr>
        <w:tc>
          <w:tcPr>
            <w:tcW w:w="2287" w:type="dxa"/>
            <w:vAlign w:val="center"/>
          </w:tcPr>
          <w:p w:rsidR="00E2535E" w:rsidRPr="0081323D" w:rsidRDefault="00E2535E" w:rsidP="0026606F">
            <w:pPr>
              <w:widowControl/>
              <w:ind w:firstLineChars="0" w:firstLine="0"/>
              <w:jc w:val="center"/>
              <w:rPr>
                <w:rFonts w:ascii="仿宋" w:hAnsi="仿宋"/>
                <w:color w:val="000000"/>
                <w:kern w:val="0"/>
                <w:sz w:val="24"/>
              </w:rPr>
            </w:pPr>
            <w:r>
              <w:rPr>
                <w:rFonts w:ascii="仿宋" w:hAnsi="仿宋" w:hint="eastAsia"/>
                <w:color w:val="000000"/>
                <w:kern w:val="0"/>
                <w:sz w:val="24"/>
              </w:rPr>
              <w:t>场内富国银行份额</w:t>
            </w:r>
          </w:p>
        </w:tc>
        <w:tc>
          <w:tcPr>
            <w:tcW w:w="2641" w:type="dxa"/>
            <w:vAlign w:val="center"/>
          </w:tcPr>
          <w:p w:rsidR="00E2535E" w:rsidRPr="00125EE5" w:rsidRDefault="00E2535E" w:rsidP="0026606F">
            <w:pPr>
              <w:widowControl/>
              <w:ind w:firstLineChars="0" w:firstLine="0"/>
              <w:jc w:val="center"/>
              <w:rPr>
                <w:rFonts w:ascii="仿宋" w:hAnsi="仿宋"/>
                <w:color w:val="000000"/>
                <w:sz w:val="24"/>
              </w:rPr>
            </w:pPr>
            <w:r w:rsidRPr="00AE46D2">
              <w:rPr>
                <w:rFonts w:ascii="仿宋" w:hAnsi="仿宋"/>
                <w:color w:val="000000"/>
                <w:sz w:val="24"/>
              </w:rPr>
              <w:t>2,652,985.00</w:t>
            </w:r>
          </w:p>
        </w:tc>
        <w:tc>
          <w:tcPr>
            <w:tcW w:w="1701" w:type="dxa"/>
            <w:vAlign w:val="center"/>
          </w:tcPr>
          <w:p w:rsidR="00E2535E" w:rsidRPr="00125EE5" w:rsidRDefault="00E2535E">
            <w:pPr>
              <w:ind w:firstLineChars="0" w:firstLine="0"/>
              <w:jc w:val="center"/>
              <w:rPr>
                <w:rFonts w:ascii="仿宋" w:hAnsi="仿宋"/>
                <w:color w:val="000000"/>
                <w:sz w:val="24"/>
              </w:rPr>
            </w:pPr>
            <w:r w:rsidRPr="00125EE5">
              <w:rPr>
                <w:rFonts w:ascii="仿宋" w:hAnsi="仿宋" w:hint="eastAsia"/>
                <w:color w:val="000000"/>
                <w:kern w:val="0"/>
                <w:sz w:val="24"/>
              </w:rPr>
              <w:t>场内富国银行份额</w:t>
            </w:r>
          </w:p>
        </w:tc>
        <w:tc>
          <w:tcPr>
            <w:tcW w:w="2672" w:type="dxa"/>
            <w:vAlign w:val="center"/>
          </w:tcPr>
          <w:p w:rsidR="00E2535E" w:rsidRPr="00125EE5" w:rsidRDefault="00E2535E" w:rsidP="00AE46D2">
            <w:pPr>
              <w:ind w:firstLine="480"/>
              <w:jc w:val="center"/>
              <w:rPr>
                <w:rFonts w:ascii="仿宋" w:hAnsi="仿宋" w:cs="宋体"/>
                <w:color w:val="000000"/>
                <w:sz w:val="24"/>
              </w:rPr>
            </w:pPr>
            <w:r w:rsidRPr="00AE46D2">
              <w:rPr>
                <w:rFonts w:ascii="仿宋" w:hAnsi="仿宋"/>
                <w:color w:val="000000"/>
                <w:sz w:val="24"/>
              </w:rPr>
              <w:t xml:space="preserve">         50,161,179.00 </w:t>
            </w:r>
          </w:p>
          <w:p w:rsidR="00E2535E" w:rsidRPr="00125EE5" w:rsidRDefault="00E2535E">
            <w:pPr>
              <w:widowControl/>
              <w:ind w:firstLineChars="0" w:firstLine="0"/>
              <w:jc w:val="center"/>
              <w:rPr>
                <w:rFonts w:ascii="仿宋" w:hAnsi="仿宋"/>
                <w:color w:val="000000"/>
                <w:kern w:val="0"/>
                <w:sz w:val="24"/>
              </w:rPr>
            </w:pPr>
            <w:r w:rsidRPr="00125EE5">
              <w:rPr>
                <w:rFonts w:ascii="仿宋" w:hAnsi="仿宋" w:hint="eastAsia"/>
                <w:color w:val="000000"/>
                <w:kern w:val="0"/>
                <w:sz w:val="24"/>
              </w:rPr>
              <w:t>（注</w:t>
            </w:r>
            <w:r w:rsidRPr="00125EE5">
              <w:rPr>
                <w:rFonts w:ascii="仿宋" w:hAnsi="仿宋"/>
                <w:color w:val="000000"/>
                <w:kern w:val="0"/>
                <w:sz w:val="24"/>
              </w:rPr>
              <w:t>1）</w:t>
            </w:r>
          </w:p>
        </w:tc>
      </w:tr>
      <w:tr w:rsidR="00E2535E" w:rsidRPr="0081323D" w:rsidTr="0026606F">
        <w:trPr>
          <w:trHeight w:val="346"/>
        </w:trPr>
        <w:tc>
          <w:tcPr>
            <w:tcW w:w="2287" w:type="dxa"/>
            <w:vAlign w:val="center"/>
          </w:tcPr>
          <w:p w:rsidR="00E2535E" w:rsidRDefault="00E2535E" w:rsidP="0026606F">
            <w:pPr>
              <w:widowControl/>
              <w:ind w:firstLineChars="0" w:firstLine="0"/>
              <w:jc w:val="center"/>
              <w:rPr>
                <w:rFonts w:ascii="仿宋" w:hAnsi="仿宋"/>
                <w:color w:val="000000"/>
                <w:kern w:val="0"/>
                <w:sz w:val="24"/>
              </w:rPr>
            </w:pPr>
            <w:r>
              <w:rPr>
                <w:rFonts w:ascii="仿宋" w:hAnsi="仿宋" w:hint="eastAsia"/>
                <w:color w:val="000000"/>
                <w:kern w:val="0"/>
                <w:sz w:val="24"/>
              </w:rPr>
              <w:t>场外富国银行份额</w:t>
            </w:r>
          </w:p>
        </w:tc>
        <w:tc>
          <w:tcPr>
            <w:tcW w:w="2641" w:type="dxa"/>
            <w:vAlign w:val="center"/>
          </w:tcPr>
          <w:p w:rsidR="00E2535E" w:rsidRPr="00125EE5" w:rsidRDefault="00E2535E" w:rsidP="0026606F">
            <w:pPr>
              <w:widowControl/>
              <w:ind w:firstLineChars="0" w:firstLine="0"/>
              <w:jc w:val="center"/>
              <w:rPr>
                <w:rFonts w:ascii="仿宋" w:hAnsi="仿宋"/>
                <w:color w:val="000000"/>
                <w:sz w:val="24"/>
              </w:rPr>
            </w:pPr>
            <w:r w:rsidRPr="00AE46D2">
              <w:rPr>
                <w:rFonts w:ascii="仿宋" w:hAnsi="仿宋"/>
                <w:color w:val="000000"/>
                <w:sz w:val="24"/>
              </w:rPr>
              <w:t>523,473,075.29</w:t>
            </w:r>
          </w:p>
        </w:tc>
        <w:tc>
          <w:tcPr>
            <w:tcW w:w="1701" w:type="dxa"/>
            <w:vAlign w:val="center"/>
          </w:tcPr>
          <w:p w:rsidR="00E2535E" w:rsidRPr="00125EE5" w:rsidRDefault="00E2535E">
            <w:pPr>
              <w:ind w:firstLineChars="0" w:firstLine="0"/>
              <w:jc w:val="center"/>
              <w:rPr>
                <w:rFonts w:ascii="仿宋" w:hAnsi="仿宋"/>
                <w:color w:val="000000"/>
                <w:sz w:val="24"/>
              </w:rPr>
            </w:pPr>
            <w:r w:rsidRPr="00125EE5">
              <w:rPr>
                <w:rFonts w:ascii="仿宋" w:hAnsi="仿宋" w:hint="eastAsia"/>
                <w:color w:val="000000"/>
                <w:kern w:val="0"/>
                <w:sz w:val="24"/>
              </w:rPr>
              <w:t>场外富国银行</w:t>
            </w:r>
            <w:r w:rsidRPr="00125EE5">
              <w:rPr>
                <w:rFonts w:ascii="仿宋" w:hAnsi="仿宋" w:hint="eastAsia"/>
                <w:color w:val="000000"/>
                <w:kern w:val="0"/>
                <w:sz w:val="24"/>
              </w:rPr>
              <w:lastRenderedPageBreak/>
              <w:t>份额</w:t>
            </w:r>
            <w:bookmarkStart w:id="0" w:name="_GoBack"/>
            <w:bookmarkEnd w:id="0"/>
          </w:p>
        </w:tc>
        <w:tc>
          <w:tcPr>
            <w:tcW w:w="2672" w:type="dxa"/>
            <w:vAlign w:val="center"/>
          </w:tcPr>
          <w:p w:rsidR="00E2535E" w:rsidRPr="00125EE5" w:rsidRDefault="00E2535E" w:rsidP="00AE46D2">
            <w:pPr>
              <w:ind w:firstLine="480"/>
              <w:jc w:val="center"/>
              <w:rPr>
                <w:rFonts w:ascii="仿宋" w:hAnsi="仿宋" w:cs="宋体"/>
                <w:color w:val="000000"/>
                <w:sz w:val="24"/>
              </w:rPr>
            </w:pPr>
            <w:r w:rsidRPr="00AE46D2">
              <w:rPr>
                <w:rFonts w:ascii="仿宋" w:hAnsi="仿宋"/>
                <w:color w:val="000000"/>
                <w:sz w:val="24"/>
              </w:rPr>
              <w:lastRenderedPageBreak/>
              <w:t xml:space="preserve">        </w:t>
            </w:r>
            <w:r w:rsidRPr="00AE46D2">
              <w:rPr>
                <w:rFonts w:ascii="仿宋" w:hAnsi="仿宋"/>
                <w:color w:val="000000"/>
                <w:sz w:val="24"/>
              </w:rPr>
              <w:lastRenderedPageBreak/>
              <w:t xml:space="preserve">523,473,075.29 </w:t>
            </w:r>
          </w:p>
          <w:p w:rsidR="00E2535E" w:rsidRPr="00125EE5" w:rsidRDefault="00E2535E">
            <w:pPr>
              <w:widowControl/>
              <w:ind w:firstLineChars="0" w:firstLine="0"/>
              <w:jc w:val="center"/>
              <w:rPr>
                <w:rFonts w:ascii="仿宋" w:hAnsi="仿宋"/>
                <w:color w:val="000000"/>
                <w:kern w:val="0"/>
                <w:sz w:val="24"/>
              </w:rPr>
            </w:pPr>
          </w:p>
        </w:tc>
      </w:tr>
    </w:tbl>
    <w:p w:rsidR="001553B4" w:rsidRDefault="004B09FC" w:rsidP="008F14B7">
      <w:pPr>
        <w:ind w:firstLine="560"/>
        <w:rPr>
          <w:rFonts w:ascii="仿宋" w:hAnsi="仿宋"/>
        </w:rPr>
      </w:pPr>
      <w:r w:rsidRPr="004B09FC">
        <w:rPr>
          <w:rFonts w:ascii="仿宋" w:hAnsi="仿宋" w:hint="eastAsia"/>
        </w:rPr>
        <w:lastRenderedPageBreak/>
        <w:t>注1：该“折算后份额”</w:t>
      </w:r>
      <w:r w:rsidR="006313E9">
        <w:rPr>
          <w:rFonts w:ascii="仿宋" w:hAnsi="仿宋" w:hint="eastAsia"/>
        </w:rPr>
        <w:t>为</w:t>
      </w:r>
      <w:r w:rsidRPr="004B09FC">
        <w:rPr>
          <w:rFonts w:ascii="仿宋" w:hAnsi="仿宋" w:hint="eastAsia"/>
        </w:rPr>
        <w:t>富国银行A份额、富国银行B份额经折算后产生的新增场内富国银行份额</w:t>
      </w:r>
      <w:r w:rsidR="006313E9">
        <w:rPr>
          <w:rFonts w:ascii="仿宋" w:hAnsi="仿宋" w:hint="eastAsia"/>
        </w:rPr>
        <w:t>与折算前场内</w:t>
      </w:r>
      <w:r w:rsidR="002B4179">
        <w:rPr>
          <w:rFonts w:ascii="仿宋" w:hAnsi="仿宋" w:hint="eastAsia"/>
        </w:rPr>
        <w:t>富国银行份额的合计数</w:t>
      </w:r>
      <w:r w:rsidRPr="004B09FC">
        <w:rPr>
          <w:rFonts w:ascii="仿宋" w:hAnsi="仿宋" w:hint="eastAsia"/>
        </w:rPr>
        <w:t>。</w:t>
      </w:r>
    </w:p>
    <w:p w:rsidR="008F14B7" w:rsidRPr="001553B4" w:rsidRDefault="002B4179" w:rsidP="00077FA5">
      <w:pPr>
        <w:ind w:firstLineChars="199" w:firstLine="557"/>
        <w:rPr>
          <w:rFonts w:ascii="仿宋" w:hAnsi="仿宋"/>
          <w:b/>
        </w:rPr>
        <w:pPrChange w:id="1" w:author="ZHONGM" w:date="2019-05-13T00:01:00Z">
          <w:pPr>
            <w:ind w:firstLineChars="199" w:firstLine="557"/>
          </w:pPr>
        </w:pPrChange>
      </w:pPr>
      <w:r>
        <w:rPr>
          <w:rFonts w:ascii="仿宋" w:hAnsi="仿宋" w:hint="eastAsia"/>
          <w:b/>
        </w:rPr>
        <w:t>二</w:t>
      </w:r>
      <w:r w:rsidR="008F14B7" w:rsidRPr="001553B4">
        <w:rPr>
          <w:rFonts w:ascii="仿宋" w:hAnsi="仿宋" w:hint="eastAsia"/>
          <w:b/>
        </w:rPr>
        <w:t>、重要提示</w:t>
      </w:r>
    </w:p>
    <w:p w:rsidR="00E349A8" w:rsidRDefault="00E349A8" w:rsidP="001553B4">
      <w:pPr>
        <w:ind w:firstLine="560"/>
        <w:rPr>
          <w:rFonts w:ascii="仿宋" w:hAnsi="仿宋"/>
        </w:rPr>
      </w:pPr>
      <w:r w:rsidRPr="00E349A8">
        <w:rPr>
          <w:rFonts w:ascii="仿宋" w:hAnsi="仿宋" w:hint="eastAsia"/>
        </w:rPr>
        <w:t>1、在基金份额折算过程中，场内份额数将取整计算（最小单位为1份），舍去部分计入基金资产，持有极小数量富国银行A份额、富国银行B份额，存在折算后份额因为不足1份而导致相应的资产被强制归入基金资产的风险。</w:t>
      </w:r>
    </w:p>
    <w:p w:rsidR="00AB0B10" w:rsidRDefault="0088039D" w:rsidP="001553B4">
      <w:pPr>
        <w:ind w:firstLine="560"/>
        <w:rPr>
          <w:rFonts w:ascii="仿宋" w:hAnsi="仿宋"/>
        </w:rPr>
      </w:pPr>
      <w:r>
        <w:rPr>
          <w:rFonts w:ascii="仿宋" w:hAnsi="仿宋" w:hint="eastAsia"/>
        </w:rPr>
        <w:t>2</w:t>
      </w:r>
      <w:r w:rsidR="007C0B81">
        <w:rPr>
          <w:rFonts w:ascii="仿宋" w:hAnsi="仿宋" w:hint="eastAsia"/>
        </w:rPr>
        <w:t>、</w:t>
      </w:r>
      <w:r w:rsidR="001553B4" w:rsidRPr="001553B4">
        <w:rPr>
          <w:rFonts w:ascii="仿宋" w:hAnsi="仿宋" w:hint="eastAsia"/>
        </w:rPr>
        <w:t>《富国中证银行指数型证券投资基金基金合同》</w:t>
      </w:r>
      <w:r w:rsidR="00AC3C1D">
        <w:rPr>
          <w:rFonts w:ascii="仿宋" w:hAnsi="仿宋" w:hint="eastAsia"/>
        </w:rPr>
        <w:t>已</w:t>
      </w:r>
      <w:r w:rsidR="00D97584">
        <w:rPr>
          <w:rFonts w:ascii="仿宋" w:hAnsi="仿宋" w:hint="eastAsia"/>
        </w:rPr>
        <w:t>于</w:t>
      </w:r>
      <w:r w:rsidR="00D97584" w:rsidRPr="001553B4">
        <w:rPr>
          <w:rFonts w:ascii="仿宋" w:hAnsi="仿宋" w:hint="eastAsia"/>
        </w:rPr>
        <w:t>2019年5月10日</w:t>
      </w:r>
      <w:r w:rsidR="001553B4" w:rsidRPr="001553B4">
        <w:rPr>
          <w:rFonts w:ascii="仿宋" w:hAnsi="仿宋" w:hint="eastAsia"/>
        </w:rPr>
        <w:t>生效，《富国中证银行指数分级证券投资基金基金合同》同时失效。</w:t>
      </w:r>
    </w:p>
    <w:p w:rsidR="001553B4" w:rsidRPr="001553B4" w:rsidRDefault="00AC3C1D" w:rsidP="001553B4">
      <w:pPr>
        <w:ind w:firstLine="560"/>
        <w:rPr>
          <w:rFonts w:ascii="仿宋" w:hAnsi="仿宋"/>
        </w:rPr>
      </w:pPr>
      <w:r w:rsidRPr="00AC3C1D">
        <w:rPr>
          <w:rFonts w:ascii="仿宋" w:hAnsi="仿宋" w:hint="eastAsia"/>
        </w:rPr>
        <w:t>富国中证银行指数分级证券投资基金的基金名称</w:t>
      </w:r>
      <w:r>
        <w:rPr>
          <w:rFonts w:ascii="仿宋" w:hAnsi="仿宋" w:hint="eastAsia"/>
        </w:rPr>
        <w:t>已</w:t>
      </w:r>
      <w:r w:rsidRPr="00AC3C1D">
        <w:rPr>
          <w:rFonts w:ascii="仿宋" w:hAnsi="仿宋" w:hint="eastAsia"/>
        </w:rPr>
        <w:t>于2019年5月10日起变更为“富国中证银行指数型证券投资基金”，场外简称由“富国中证银行指数分级”变更为“富国中证银行指数”</w:t>
      </w:r>
      <w:r w:rsidR="00AB0B10">
        <w:rPr>
          <w:rFonts w:ascii="仿宋" w:hAnsi="仿宋" w:hint="eastAsia"/>
        </w:rPr>
        <w:t>，</w:t>
      </w:r>
      <w:r w:rsidRPr="00AC3C1D">
        <w:rPr>
          <w:rFonts w:ascii="仿宋" w:hAnsi="仿宋" w:hint="eastAsia"/>
        </w:rPr>
        <w:t>场内简称由“银行分级”变更为“银行FG”</w:t>
      </w:r>
      <w:r w:rsidR="00AB0B10">
        <w:rPr>
          <w:rFonts w:ascii="仿宋" w:hAnsi="仿宋" w:hint="eastAsia"/>
        </w:rPr>
        <w:t>，</w:t>
      </w:r>
      <w:r w:rsidRPr="00AC3C1D">
        <w:rPr>
          <w:rFonts w:ascii="仿宋" w:hAnsi="仿宋" w:hint="eastAsia"/>
        </w:rPr>
        <w:t>基金代码不变，仍为161029。</w:t>
      </w:r>
    </w:p>
    <w:p w:rsidR="00932025" w:rsidRDefault="00932025" w:rsidP="001553B4">
      <w:pPr>
        <w:ind w:firstLine="560"/>
        <w:rPr>
          <w:rFonts w:ascii="仿宋" w:hAnsi="仿宋"/>
        </w:rPr>
      </w:pPr>
      <w:r w:rsidRPr="0088039D">
        <w:rPr>
          <w:rFonts w:ascii="仿宋" w:hAnsi="仿宋" w:hint="eastAsia"/>
        </w:rPr>
        <w:t>富国中证银行指数型证券投资基金为股票型基金，具有较高预期风险、较高预期收益的特征。</w:t>
      </w:r>
    </w:p>
    <w:p w:rsidR="00E35023" w:rsidRDefault="00932025" w:rsidP="001553B4">
      <w:pPr>
        <w:ind w:firstLine="560"/>
        <w:rPr>
          <w:rFonts w:ascii="仿宋" w:hAnsi="仿宋"/>
        </w:rPr>
      </w:pPr>
      <w:r>
        <w:rPr>
          <w:rFonts w:ascii="仿宋" w:hAnsi="仿宋" w:hint="eastAsia"/>
        </w:rPr>
        <w:t>3、</w:t>
      </w:r>
      <w:r w:rsidR="001553B4" w:rsidRPr="001553B4">
        <w:rPr>
          <w:rFonts w:ascii="仿宋" w:hAnsi="仿宋" w:hint="eastAsia"/>
        </w:rPr>
        <w:t>《富国中证银行指数型证券投资基金基金合同》生效后，在符合法律法规和深圳证券交易所规定的上市条件的情况下，基金管理人可根据有关规定，申请富国中证银行指数型证券投资基金的基金份额上市交易。</w:t>
      </w:r>
    </w:p>
    <w:p w:rsidR="001553B4" w:rsidRDefault="00E35023" w:rsidP="001553B4">
      <w:pPr>
        <w:ind w:firstLine="560"/>
        <w:rPr>
          <w:rFonts w:ascii="仿宋" w:hAnsi="仿宋"/>
        </w:rPr>
      </w:pPr>
      <w:r w:rsidRPr="00E35023">
        <w:rPr>
          <w:rFonts w:ascii="仿宋" w:hAnsi="仿宋" w:hint="eastAsia"/>
        </w:rPr>
        <w:t>在富国中证银行指数型证券投资基金上市交易前，富国中证银行指数型证券投资基金的场内份额持有人只能通过赎回基金份额的方式退出投资</w:t>
      </w:r>
      <w:r w:rsidR="00F77753">
        <w:rPr>
          <w:rFonts w:ascii="仿宋" w:hAnsi="仿宋" w:hint="eastAsia"/>
        </w:rPr>
        <w:t>；</w:t>
      </w:r>
      <w:r w:rsidRPr="00E35023">
        <w:rPr>
          <w:rFonts w:ascii="仿宋" w:hAnsi="仿宋" w:hint="eastAsia"/>
        </w:rPr>
        <w:t>富国中证银行指数型证券投资基金场内份额上市交易后，基金份额持有人可通过赎回或卖出的方式退出投资。</w:t>
      </w:r>
    </w:p>
    <w:p w:rsidR="007C0B81" w:rsidRDefault="0088039D" w:rsidP="001553B4">
      <w:pPr>
        <w:ind w:firstLine="560"/>
        <w:rPr>
          <w:rFonts w:ascii="仿宋" w:hAnsi="仿宋"/>
        </w:rPr>
      </w:pPr>
      <w:r>
        <w:rPr>
          <w:rFonts w:ascii="仿宋" w:hAnsi="仿宋" w:hint="eastAsia"/>
        </w:rPr>
        <w:t>4</w:t>
      </w:r>
      <w:r w:rsidR="007C0B81">
        <w:rPr>
          <w:rFonts w:ascii="仿宋" w:hAnsi="仿宋" w:hint="eastAsia"/>
        </w:rPr>
        <w:t>、</w:t>
      </w:r>
      <w:r w:rsidR="007E0440">
        <w:rPr>
          <w:rFonts w:ascii="仿宋" w:hAnsi="仿宋" w:hint="eastAsia"/>
        </w:rPr>
        <w:t>基金管理人</w:t>
      </w:r>
      <w:r w:rsidR="007C0B81" w:rsidRPr="007C0B81">
        <w:rPr>
          <w:rFonts w:ascii="仿宋" w:hAnsi="仿宋" w:hint="eastAsia"/>
        </w:rPr>
        <w:t>自2019年5月13日起，恢复</w:t>
      </w:r>
      <w:r w:rsidR="007E0440">
        <w:rPr>
          <w:rFonts w:ascii="仿宋" w:hAnsi="仿宋" w:hint="eastAsia"/>
        </w:rPr>
        <w:t>办理富国中证银行指数型证券投资基金的</w:t>
      </w:r>
      <w:r w:rsidR="007C0B81" w:rsidRPr="007C0B81">
        <w:rPr>
          <w:rFonts w:ascii="仿宋" w:hAnsi="仿宋" w:hint="eastAsia"/>
        </w:rPr>
        <w:t>申购（含定期定额投资）、赎回、转换、转托管（包括系统内转托管和跨系统转托管）业务。</w:t>
      </w:r>
    </w:p>
    <w:p w:rsidR="008F14B7" w:rsidRPr="008F14B7" w:rsidRDefault="0088039D" w:rsidP="008F14B7">
      <w:pPr>
        <w:ind w:firstLine="560"/>
        <w:rPr>
          <w:rFonts w:ascii="仿宋" w:hAnsi="仿宋"/>
        </w:rPr>
      </w:pPr>
      <w:r>
        <w:rPr>
          <w:rFonts w:ascii="仿宋" w:hAnsi="仿宋" w:hint="eastAsia"/>
        </w:rPr>
        <w:t>5</w:t>
      </w:r>
      <w:r w:rsidR="007E0440">
        <w:rPr>
          <w:rFonts w:ascii="仿宋" w:hAnsi="仿宋" w:hint="eastAsia"/>
        </w:rPr>
        <w:t>、</w:t>
      </w:r>
      <w:r w:rsidR="008F14B7" w:rsidRPr="008F14B7">
        <w:rPr>
          <w:rFonts w:ascii="仿宋" w:hAnsi="仿宋" w:hint="eastAsia"/>
        </w:rPr>
        <w:t>投资者</w:t>
      </w:r>
      <w:r w:rsidR="004361D0">
        <w:rPr>
          <w:rFonts w:ascii="仿宋" w:hAnsi="仿宋" w:hint="eastAsia"/>
        </w:rPr>
        <w:t>可</w:t>
      </w:r>
      <w:r w:rsidR="008F14B7" w:rsidRPr="008F14B7">
        <w:rPr>
          <w:rFonts w:ascii="仿宋" w:hAnsi="仿宋" w:hint="eastAsia"/>
        </w:rPr>
        <w:t>登陆</w:t>
      </w:r>
      <w:r w:rsidR="004361D0">
        <w:rPr>
          <w:rFonts w:ascii="仿宋" w:hAnsi="仿宋" w:hint="eastAsia"/>
        </w:rPr>
        <w:t>基金管理人</w:t>
      </w:r>
      <w:r w:rsidR="008F14B7" w:rsidRPr="008F14B7">
        <w:rPr>
          <w:rFonts w:ascii="仿宋" w:hAnsi="仿宋" w:hint="eastAsia"/>
        </w:rPr>
        <w:t>网站：www.fullgoal.com.cn或者拨打客服电话</w:t>
      </w:r>
      <w:r w:rsidR="004361D0" w:rsidRPr="004361D0">
        <w:rPr>
          <w:rFonts w:ascii="仿宋" w:hAnsi="仿宋"/>
        </w:rPr>
        <w:t>95105686</w:t>
      </w:r>
      <w:r w:rsidR="004361D0">
        <w:rPr>
          <w:rFonts w:ascii="仿宋" w:hAnsi="仿宋" w:hint="eastAsia"/>
        </w:rPr>
        <w:t>，</w:t>
      </w:r>
      <w:r w:rsidR="008F14B7" w:rsidRPr="008F14B7">
        <w:rPr>
          <w:rFonts w:ascii="仿宋" w:hAnsi="仿宋" w:hint="eastAsia"/>
        </w:rPr>
        <w:t>400－888－0688（免长途话费）</w:t>
      </w:r>
      <w:r w:rsidR="004361D0">
        <w:rPr>
          <w:rFonts w:ascii="仿宋" w:hAnsi="仿宋" w:hint="eastAsia"/>
        </w:rPr>
        <w:t>咨询相关信息</w:t>
      </w:r>
      <w:r w:rsidR="008F14B7" w:rsidRPr="008F14B7">
        <w:rPr>
          <w:rFonts w:ascii="仿宋" w:hAnsi="仿宋" w:hint="eastAsia"/>
        </w:rPr>
        <w:t>。</w:t>
      </w:r>
    </w:p>
    <w:p w:rsidR="001553B4" w:rsidRPr="009503C3" w:rsidRDefault="001553B4" w:rsidP="008F14B7">
      <w:pPr>
        <w:ind w:firstLine="560"/>
        <w:rPr>
          <w:rFonts w:ascii="仿宋" w:hAnsi="仿宋"/>
        </w:rPr>
      </w:pPr>
    </w:p>
    <w:p w:rsidR="008F14B7" w:rsidRPr="001553B4" w:rsidRDefault="008F14B7" w:rsidP="00077FA5">
      <w:pPr>
        <w:ind w:firstLine="560"/>
        <w:rPr>
          <w:rFonts w:ascii="仿宋" w:hAnsi="仿宋"/>
          <w:b/>
        </w:rPr>
        <w:pPrChange w:id="2" w:author="ZHONGM" w:date="2019-05-13T00:01:00Z">
          <w:pPr>
            <w:ind w:firstLine="560"/>
          </w:pPr>
        </w:pPrChange>
      </w:pPr>
      <w:r w:rsidRPr="001553B4">
        <w:rPr>
          <w:rFonts w:ascii="仿宋" w:hAnsi="仿宋" w:hint="eastAsia"/>
          <w:b/>
        </w:rPr>
        <w:t>风险提示：</w:t>
      </w:r>
    </w:p>
    <w:p w:rsidR="008F14B7" w:rsidRPr="008F14B7" w:rsidRDefault="008F14B7" w:rsidP="008F14B7">
      <w:pPr>
        <w:ind w:firstLine="560"/>
        <w:rPr>
          <w:rFonts w:ascii="仿宋" w:hAnsi="仿宋"/>
        </w:rPr>
      </w:pPr>
      <w:r w:rsidRPr="008F14B7">
        <w:rPr>
          <w:rFonts w:ascii="仿宋" w:hAnsi="仿宋" w:hint="eastAsia"/>
        </w:rPr>
        <w:t>基金管理人承诺以诚实信用、勤勉尽责的原则管理和运用基金资产，但不保证基金一定盈利，也不保证最低收益。基金管理人提醒投资者基金投资的“买者自负”原则，在做出投资决策后，基金运营状况与基金净值变化引致的投资风险，由投资者自行承担。投资有风险，决策须谨慎。</w:t>
      </w:r>
    </w:p>
    <w:p w:rsidR="008F14B7" w:rsidRPr="008F14B7" w:rsidRDefault="008F14B7" w:rsidP="008F14B7">
      <w:pPr>
        <w:ind w:firstLine="560"/>
        <w:rPr>
          <w:rFonts w:ascii="仿宋" w:hAnsi="仿宋"/>
        </w:rPr>
      </w:pPr>
      <w:r w:rsidRPr="008F14B7">
        <w:rPr>
          <w:rFonts w:ascii="仿宋" w:hAnsi="仿宋" w:hint="eastAsia"/>
        </w:rPr>
        <w:t>特此公告。</w:t>
      </w:r>
    </w:p>
    <w:p w:rsidR="008F14B7" w:rsidRPr="008F14B7" w:rsidRDefault="008F14B7" w:rsidP="008F14B7">
      <w:pPr>
        <w:ind w:firstLine="560"/>
        <w:rPr>
          <w:rFonts w:ascii="仿宋" w:hAnsi="仿宋"/>
        </w:rPr>
      </w:pPr>
    </w:p>
    <w:p w:rsidR="00857DCD" w:rsidRPr="00857DCD" w:rsidRDefault="00857DCD" w:rsidP="00857DCD">
      <w:pPr>
        <w:ind w:firstLine="560"/>
        <w:jc w:val="right"/>
        <w:rPr>
          <w:rFonts w:ascii="仿宋" w:hAnsi="仿宋"/>
        </w:rPr>
      </w:pPr>
      <w:r w:rsidRPr="00857DCD">
        <w:rPr>
          <w:rFonts w:ascii="仿宋" w:hAnsi="仿宋" w:hint="eastAsia"/>
        </w:rPr>
        <w:t>富国基金管理有限公司</w:t>
      </w:r>
    </w:p>
    <w:p w:rsidR="00857DCD" w:rsidRPr="00857DCD" w:rsidRDefault="00AB69C0" w:rsidP="00857DCD">
      <w:pPr>
        <w:ind w:firstLine="560"/>
        <w:jc w:val="right"/>
        <w:rPr>
          <w:rFonts w:ascii="仿宋" w:hAnsi="仿宋"/>
        </w:rPr>
      </w:pPr>
      <w:r w:rsidRPr="00857DCD">
        <w:rPr>
          <w:rFonts w:ascii="仿宋" w:hAnsi="仿宋" w:hint="eastAsia"/>
        </w:rPr>
        <w:t>2019年</w:t>
      </w:r>
      <w:r>
        <w:rPr>
          <w:rFonts w:ascii="仿宋" w:hAnsi="仿宋" w:hint="eastAsia"/>
        </w:rPr>
        <w:t>5</w:t>
      </w:r>
      <w:r w:rsidRPr="00857DCD">
        <w:rPr>
          <w:rFonts w:ascii="仿宋" w:hAnsi="仿宋" w:hint="eastAsia"/>
        </w:rPr>
        <w:t>月</w:t>
      </w:r>
      <w:r w:rsidR="001553B4">
        <w:rPr>
          <w:rFonts w:ascii="仿宋" w:hAnsi="仿宋" w:hint="eastAsia"/>
        </w:rPr>
        <w:t>13</w:t>
      </w:r>
      <w:r w:rsidRPr="00857DCD">
        <w:rPr>
          <w:rFonts w:ascii="仿宋" w:hAnsi="仿宋" w:hint="eastAsia"/>
        </w:rPr>
        <w:t>日</w:t>
      </w:r>
    </w:p>
    <w:p w:rsidR="007E3215" w:rsidRPr="00AB69C0" w:rsidRDefault="007E3215" w:rsidP="00E11EAD">
      <w:pPr>
        <w:ind w:firstLine="560"/>
        <w:rPr>
          <w:rFonts w:ascii="仿宋" w:hAnsi="仿宋"/>
          <w:b/>
        </w:rPr>
        <w:pPrChange w:id="3" w:author="ZHONGM" w:date="2019-05-13T00:01:00Z">
          <w:pPr>
            <w:ind w:firstLine="560"/>
          </w:pPr>
        </w:pPrChange>
      </w:pPr>
    </w:p>
    <w:sectPr w:rsidR="007E3215" w:rsidRPr="00AB69C0" w:rsidSect="00AB69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DD9" w:rsidRDefault="00AF2DD9" w:rsidP="00857DCD">
      <w:pPr>
        <w:ind w:firstLine="560"/>
      </w:pPr>
      <w:r>
        <w:separator/>
      </w:r>
    </w:p>
  </w:endnote>
  <w:endnote w:type="continuationSeparator" w:id="1">
    <w:p w:rsidR="00AF2DD9" w:rsidRDefault="00AF2DD9" w:rsidP="00857DCD">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B7" w:rsidRDefault="008F14B7"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B7" w:rsidRDefault="008F14B7" w:rsidP="00F1464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B7" w:rsidRDefault="008F14B7"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DD9" w:rsidRDefault="00AF2DD9" w:rsidP="00857DCD">
      <w:pPr>
        <w:ind w:firstLine="560"/>
      </w:pPr>
      <w:r>
        <w:separator/>
      </w:r>
    </w:p>
  </w:footnote>
  <w:footnote w:type="continuationSeparator" w:id="1">
    <w:p w:rsidR="00AF2DD9" w:rsidRDefault="00AF2DD9" w:rsidP="00857DCD">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B7" w:rsidRDefault="008F14B7"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B7" w:rsidRDefault="008F14B7"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B7" w:rsidRDefault="008F14B7"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7A2E3F"/>
    <w:multiLevelType w:val="hybridMultilevel"/>
    <w:tmpl w:val="B718B7FA"/>
    <w:lvl w:ilvl="0" w:tplc="3D78789A">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1B526EE"/>
    <w:multiLevelType w:val="hybridMultilevel"/>
    <w:tmpl w:val="AEB046BE"/>
    <w:lvl w:ilvl="0" w:tplc="522E051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efaultTabStop w:val="420"/>
  <w:drawingGridHorizontalSpacing w:val="140"/>
  <w:drawingGridVerticalSpacing w:val="381"/>
  <w:displayHorizontalDrawingGridEvery w:val="0"/>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7DCD"/>
    <w:rsid w:val="000026CC"/>
    <w:rsid w:val="00023FD3"/>
    <w:rsid w:val="00050A2E"/>
    <w:rsid w:val="00077FA5"/>
    <w:rsid w:val="00091844"/>
    <w:rsid w:val="000A2B3F"/>
    <w:rsid w:val="000C2F30"/>
    <w:rsid w:val="000D52C7"/>
    <w:rsid w:val="001122B5"/>
    <w:rsid w:val="001135FF"/>
    <w:rsid w:val="00124360"/>
    <w:rsid w:val="0012559C"/>
    <w:rsid w:val="00125EE5"/>
    <w:rsid w:val="00126D61"/>
    <w:rsid w:val="00133898"/>
    <w:rsid w:val="001553B4"/>
    <w:rsid w:val="00175315"/>
    <w:rsid w:val="001775DD"/>
    <w:rsid w:val="00196B38"/>
    <w:rsid w:val="00206990"/>
    <w:rsid w:val="00211108"/>
    <w:rsid w:val="00216361"/>
    <w:rsid w:val="0021672B"/>
    <w:rsid w:val="00217AC5"/>
    <w:rsid w:val="0026606F"/>
    <w:rsid w:val="0027424B"/>
    <w:rsid w:val="002901CF"/>
    <w:rsid w:val="002B4179"/>
    <w:rsid w:val="002C0264"/>
    <w:rsid w:val="002D2BFA"/>
    <w:rsid w:val="002F6550"/>
    <w:rsid w:val="00315E86"/>
    <w:rsid w:val="00352516"/>
    <w:rsid w:val="00371369"/>
    <w:rsid w:val="00382C02"/>
    <w:rsid w:val="003B259B"/>
    <w:rsid w:val="003B5F9A"/>
    <w:rsid w:val="003D3F21"/>
    <w:rsid w:val="003E4A20"/>
    <w:rsid w:val="003F6794"/>
    <w:rsid w:val="00411FF8"/>
    <w:rsid w:val="004311C4"/>
    <w:rsid w:val="004361D0"/>
    <w:rsid w:val="00437082"/>
    <w:rsid w:val="00453CFC"/>
    <w:rsid w:val="0046405A"/>
    <w:rsid w:val="004762AA"/>
    <w:rsid w:val="00477B5F"/>
    <w:rsid w:val="0048426C"/>
    <w:rsid w:val="004B09FC"/>
    <w:rsid w:val="004B109B"/>
    <w:rsid w:val="004C6DAE"/>
    <w:rsid w:val="00513D1C"/>
    <w:rsid w:val="00517606"/>
    <w:rsid w:val="00517819"/>
    <w:rsid w:val="00541D49"/>
    <w:rsid w:val="005448DC"/>
    <w:rsid w:val="005457B8"/>
    <w:rsid w:val="005666B8"/>
    <w:rsid w:val="005735C0"/>
    <w:rsid w:val="00582D5B"/>
    <w:rsid w:val="0059589E"/>
    <w:rsid w:val="005C65ED"/>
    <w:rsid w:val="005E116A"/>
    <w:rsid w:val="005F736C"/>
    <w:rsid w:val="00604657"/>
    <w:rsid w:val="00605CF0"/>
    <w:rsid w:val="006151B6"/>
    <w:rsid w:val="006313E9"/>
    <w:rsid w:val="00631540"/>
    <w:rsid w:val="00637D9F"/>
    <w:rsid w:val="00654524"/>
    <w:rsid w:val="006600C5"/>
    <w:rsid w:val="006D1708"/>
    <w:rsid w:val="0070485A"/>
    <w:rsid w:val="00704A78"/>
    <w:rsid w:val="007170E5"/>
    <w:rsid w:val="00760A46"/>
    <w:rsid w:val="007713E1"/>
    <w:rsid w:val="0077722C"/>
    <w:rsid w:val="007C02BE"/>
    <w:rsid w:val="007C0B81"/>
    <w:rsid w:val="007E0440"/>
    <w:rsid w:val="007E3215"/>
    <w:rsid w:val="007F108C"/>
    <w:rsid w:val="007F45E2"/>
    <w:rsid w:val="007F66F9"/>
    <w:rsid w:val="0081323D"/>
    <w:rsid w:val="00830B46"/>
    <w:rsid w:val="00835992"/>
    <w:rsid w:val="00857DCD"/>
    <w:rsid w:val="00875088"/>
    <w:rsid w:val="0088039D"/>
    <w:rsid w:val="008A26C7"/>
    <w:rsid w:val="008B30D9"/>
    <w:rsid w:val="008C0295"/>
    <w:rsid w:val="008F0D35"/>
    <w:rsid w:val="008F14B7"/>
    <w:rsid w:val="009155C1"/>
    <w:rsid w:val="009270E5"/>
    <w:rsid w:val="00927C39"/>
    <w:rsid w:val="00932025"/>
    <w:rsid w:val="009352A8"/>
    <w:rsid w:val="009377CB"/>
    <w:rsid w:val="009503C3"/>
    <w:rsid w:val="00966707"/>
    <w:rsid w:val="0098407D"/>
    <w:rsid w:val="009B65CF"/>
    <w:rsid w:val="009D1225"/>
    <w:rsid w:val="009D4AED"/>
    <w:rsid w:val="009F3ED9"/>
    <w:rsid w:val="00A21FB4"/>
    <w:rsid w:val="00A8319D"/>
    <w:rsid w:val="00A86DB2"/>
    <w:rsid w:val="00A94999"/>
    <w:rsid w:val="00AB0B10"/>
    <w:rsid w:val="00AB69C0"/>
    <w:rsid w:val="00AC3C1D"/>
    <w:rsid w:val="00AD4A10"/>
    <w:rsid w:val="00AE46D2"/>
    <w:rsid w:val="00AF2DD9"/>
    <w:rsid w:val="00B01B30"/>
    <w:rsid w:val="00B03BFB"/>
    <w:rsid w:val="00B22CC9"/>
    <w:rsid w:val="00B362E2"/>
    <w:rsid w:val="00B56D89"/>
    <w:rsid w:val="00B62763"/>
    <w:rsid w:val="00B63FE2"/>
    <w:rsid w:val="00B925EA"/>
    <w:rsid w:val="00BA2F69"/>
    <w:rsid w:val="00BA7785"/>
    <w:rsid w:val="00BB1CAC"/>
    <w:rsid w:val="00BB5F9A"/>
    <w:rsid w:val="00BB6C35"/>
    <w:rsid w:val="00BC170F"/>
    <w:rsid w:val="00BC17A5"/>
    <w:rsid w:val="00BE2DCA"/>
    <w:rsid w:val="00BF5F4C"/>
    <w:rsid w:val="00C059D7"/>
    <w:rsid w:val="00C201BE"/>
    <w:rsid w:val="00C21379"/>
    <w:rsid w:val="00C27C15"/>
    <w:rsid w:val="00C35A69"/>
    <w:rsid w:val="00C44D5E"/>
    <w:rsid w:val="00C7490C"/>
    <w:rsid w:val="00C75F7C"/>
    <w:rsid w:val="00C8654B"/>
    <w:rsid w:val="00C94423"/>
    <w:rsid w:val="00C97A13"/>
    <w:rsid w:val="00CC2797"/>
    <w:rsid w:val="00CC5766"/>
    <w:rsid w:val="00CE6BB0"/>
    <w:rsid w:val="00CF5803"/>
    <w:rsid w:val="00D10104"/>
    <w:rsid w:val="00D15CD7"/>
    <w:rsid w:val="00D232D3"/>
    <w:rsid w:val="00D97584"/>
    <w:rsid w:val="00DA1FA1"/>
    <w:rsid w:val="00DB258F"/>
    <w:rsid w:val="00DB3696"/>
    <w:rsid w:val="00DC4E58"/>
    <w:rsid w:val="00DD26E0"/>
    <w:rsid w:val="00DE55B0"/>
    <w:rsid w:val="00E0793D"/>
    <w:rsid w:val="00E11EAD"/>
    <w:rsid w:val="00E12599"/>
    <w:rsid w:val="00E1418C"/>
    <w:rsid w:val="00E2535E"/>
    <w:rsid w:val="00E349A8"/>
    <w:rsid w:val="00E35023"/>
    <w:rsid w:val="00E437D5"/>
    <w:rsid w:val="00E473F4"/>
    <w:rsid w:val="00E512BA"/>
    <w:rsid w:val="00E87952"/>
    <w:rsid w:val="00EB35AC"/>
    <w:rsid w:val="00ED2ADD"/>
    <w:rsid w:val="00EF0BCD"/>
    <w:rsid w:val="00F06CBA"/>
    <w:rsid w:val="00F13B21"/>
    <w:rsid w:val="00F1464C"/>
    <w:rsid w:val="00F44D2E"/>
    <w:rsid w:val="00F66F8E"/>
    <w:rsid w:val="00F77753"/>
    <w:rsid w:val="00F77E7B"/>
    <w:rsid w:val="00F83E82"/>
    <w:rsid w:val="00FC7165"/>
    <w:rsid w:val="00FC7309"/>
    <w:rsid w:val="00FF2A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CD"/>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qFormat/>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E6BB0"/>
    <w:rPr>
      <w:rFonts w:ascii="Times New Roman" w:eastAsia="宋体" w:hAnsi="Times New Roman" w:cs="Times New Roman"/>
      <w:sz w:val="18"/>
      <w:szCs w:val="18"/>
    </w:rPr>
  </w:style>
  <w:style w:type="paragraph" w:styleId="a6">
    <w:name w:val="footer"/>
    <w:basedOn w:val="a"/>
    <w:link w:val="Char1"/>
    <w:uiPriority w:val="99"/>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character" w:styleId="a7">
    <w:name w:val="annotation reference"/>
    <w:rsid w:val="003F6794"/>
    <w:rPr>
      <w:sz w:val="21"/>
    </w:rPr>
  </w:style>
  <w:style w:type="paragraph" w:styleId="a8">
    <w:name w:val="annotation text"/>
    <w:basedOn w:val="a"/>
    <w:link w:val="Char2"/>
    <w:rsid w:val="003F6794"/>
    <w:pPr>
      <w:spacing w:line="240" w:lineRule="auto"/>
      <w:ind w:firstLineChars="0" w:firstLine="0"/>
      <w:jc w:val="left"/>
    </w:pPr>
    <w:rPr>
      <w:rFonts w:eastAsia="宋体"/>
      <w:sz w:val="21"/>
      <w:szCs w:val="20"/>
    </w:rPr>
  </w:style>
  <w:style w:type="character" w:customStyle="1" w:styleId="Char2">
    <w:name w:val="批注文字 Char"/>
    <w:basedOn w:val="a0"/>
    <w:link w:val="a8"/>
    <w:rsid w:val="003F6794"/>
    <w:rPr>
      <w:rFonts w:ascii="Times New Roman" w:hAnsi="Times New Roman"/>
      <w:kern w:val="2"/>
      <w:sz w:val="21"/>
    </w:rPr>
  </w:style>
  <w:style w:type="paragraph" w:styleId="a9">
    <w:name w:val="Balloon Text"/>
    <w:basedOn w:val="a"/>
    <w:link w:val="Char3"/>
    <w:uiPriority w:val="99"/>
    <w:semiHidden/>
    <w:unhideWhenUsed/>
    <w:rsid w:val="003F6794"/>
    <w:pPr>
      <w:spacing w:line="240" w:lineRule="auto"/>
      <w:ind w:firstLineChars="0" w:firstLine="0"/>
    </w:pPr>
    <w:rPr>
      <w:rFonts w:asciiTheme="minorHAnsi" w:eastAsiaTheme="minorEastAsia" w:hAnsiTheme="minorHAnsi" w:cstheme="minorBidi"/>
      <w:sz w:val="18"/>
      <w:szCs w:val="18"/>
    </w:rPr>
  </w:style>
  <w:style w:type="character" w:customStyle="1" w:styleId="Char3">
    <w:name w:val="批注框文本 Char"/>
    <w:basedOn w:val="a0"/>
    <w:link w:val="a9"/>
    <w:uiPriority w:val="99"/>
    <w:semiHidden/>
    <w:rsid w:val="003F6794"/>
    <w:rPr>
      <w:rFonts w:asciiTheme="minorHAnsi" w:eastAsiaTheme="minorEastAsia" w:hAnsiTheme="minorHAnsi" w:cstheme="minorBidi"/>
      <w:kern w:val="2"/>
      <w:sz w:val="18"/>
      <w:szCs w:val="18"/>
    </w:rPr>
  </w:style>
  <w:style w:type="paragraph" w:customStyle="1" w:styleId="CharChar">
    <w:name w:val="Char Char"/>
    <w:basedOn w:val="a"/>
    <w:rsid w:val="003F6794"/>
    <w:pPr>
      <w:spacing w:line="240" w:lineRule="auto"/>
      <w:ind w:firstLineChars="0" w:firstLine="0"/>
    </w:pPr>
    <w:rPr>
      <w:rFonts w:eastAsia="宋体"/>
      <w:sz w:val="21"/>
      <w:szCs w:val="20"/>
    </w:rPr>
  </w:style>
  <w:style w:type="paragraph" w:styleId="aa">
    <w:name w:val="List Paragraph"/>
    <w:basedOn w:val="a"/>
    <w:uiPriority w:val="34"/>
    <w:qFormat/>
    <w:rsid w:val="003F6794"/>
    <w:pPr>
      <w:spacing w:line="240" w:lineRule="auto"/>
      <w:ind w:firstLine="420"/>
    </w:pPr>
    <w:rPr>
      <w:rFonts w:asciiTheme="minorHAnsi" w:eastAsiaTheme="minorEastAsia" w:hAnsiTheme="minorHAnsi" w:cstheme="minorBidi"/>
      <w:sz w:val="21"/>
      <w:szCs w:val="22"/>
    </w:rPr>
  </w:style>
  <w:style w:type="character" w:customStyle="1" w:styleId="Char4">
    <w:name w:val="批注主题 Char"/>
    <w:basedOn w:val="Char2"/>
    <w:link w:val="ab"/>
    <w:uiPriority w:val="99"/>
    <w:semiHidden/>
    <w:rsid w:val="003F6794"/>
    <w:rPr>
      <w:rFonts w:asciiTheme="minorHAnsi" w:eastAsiaTheme="minorEastAsia" w:hAnsiTheme="minorHAnsi" w:cstheme="minorBidi"/>
      <w:b/>
      <w:bCs/>
      <w:kern w:val="2"/>
      <w:sz w:val="21"/>
      <w:szCs w:val="22"/>
    </w:rPr>
  </w:style>
  <w:style w:type="paragraph" w:styleId="ab">
    <w:name w:val="annotation subject"/>
    <w:basedOn w:val="a8"/>
    <w:next w:val="a8"/>
    <w:link w:val="Char4"/>
    <w:uiPriority w:val="99"/>
    <w:semiHidden/>
    <w:unhideWhenUsed/>
    <w:rsid w:val="003F6794"/>
    <w:rPr>
      <w:rFonts w:asciiTheme="minorHAnsi" w:eastAsiaTheme="minorEastAsia" w:hAnsiTheme="minorHAnsi" w:cstheme="minorBidi"/>
      <w:b/>
      <w:bCs/>
      <w:szCs w:val="22"/>
    </w:rPr>
  </w:style>
  <w:style w:type="numbering" w:customStyle="1" w:styleId="10">
    <w:name w:val="无列表1"/>
    <w:next w:val="a2"/>
    <w:uiPriority w:val="99"/>
    <w:semiHidden/>
    <w:unhideWhenUsed/>
    <w:rsid w:val="005735C0"/>
  </w:style>
  <w:style w:type="paragraph" w:customStyle="1" w:styleId="11">
    <w:name w:val="批注框文本1"/>
    <w:basedOn w:val="a"/>
    <w:next w:val="a9"/>
    <w:uiPriority w:val="99"/>
    <w:semiHidden/>
    <w:unhideWhenUsed/>
    <w:rsid w:val="005735C0"/>
    <w:pPr>
      <w:spacing w:line="240" w:lineRule="auto"/>
      <w:ind w:firstLineChars="0" w:firstLine="0"/>
    </w:pPr>
    <w:rPr>
      <w:rFonts w:ascii="Calibri" w:eastAsia="宋体" w:hAnsi="Calibri"/>
      <w:sz w:val="18"/>
      <w:szCs w:val="18"/>
    </w:rPr>
  </w:style>
  <w:style w:type="paragraph" w:customStyle="1" w:styleId="12">
    <w:name w:val="列出段落1"/>
    <w:basedOn w:val="a"/>
    <w:next w:val="aa"/>
    <w:uiPriority w:val="34"/>
    <w:qFormat/>
    <w:rsid w:val="005735C0"/>
    <w:pPr>
      <w:spacing w:line="240" w:lineRule="auto"/>
      <w:ind w:firstLine="420"/>
    </w:pPr>
    <w:rPr>
      <w:rFonts w:asciiTheme="minorHAnsi" w:eastAsiaTheme="minorEastAsia" w:hAnsiTheme="minorHAnsi" w:cstheme="minorBidi"/>
      <w:sz w:val="21"/>
      <w:szCs w:val="22"/>
    </w:rPr>
  </w:style>
  <w:style w:type="paragraph" w:customStyle="1" w:styleId="13">
    <w:name w:val="批注主题1"/>
    <w:basedOn w:val="a8"/>
    <w:next w:val="a8"/>
    <w:uiPriority w:val="99"/>
    <w:semiHidden/>
    <w:unhideWhenUsed/>
    <w:rsid w:val="005735C0"/>
    <w:rPr>
      <w:rFonts w:ascii="Calibri" w:hAnsi="Calibri"/>
      <w:b/>
      <w:bCs/>
      <w:szCs w:val="22"/>
    </w:rPr>
  </w:style>
  <w:style w:type="character" w:customStyle="1" w:styleId="Char10">
    <w:name w:val="批注框文本 Char1"/>
    <w:basedOn w:val="a0"/>
    <w:uiPriority w:val="99"/>
    <w:semiHidden/>
    <w:rsid w:val="005735C0"/>
    <w:rPr>
      <w:sz w:val="18"/>
      <w:szCs w:val="18"/>
    </w:rPr>
  </w:style>
  <w:style w:type="character" w:customStyle="1" w:styleId="Char11">
    <w:name w:val="批注主题 Char1"/>
    <w:basedOn w:val="Char2"/>
    <w:uiPriority w:val="99"/>
    <w:semiHidden/>
    <w:rsid w:val="005735C0"/>
    <w:rPr>
      <w:rFonts w:ascii="Times New Roman" w:eastAsia="宋体" w:hAnsi="Times New Roman" w:cs="Times New Roman"/>
      <w:b/>
      <w:bCs/>
      <w:kern w:val="2"/>
      <w:sz w:val="21"/>
      <w:szCs w:val="20"/>
    </w:rPr>
  </w:style>
  <w:style w:type="paragraph" w:styleId="ac">
    <w:name w:val="Revision"/>
    <w:hidden/>
    <w:uiPriority w:val="99"/>
    <w:semiHidden/>
    <w:rsid w:val="005735C0"/>
    <w:rPr>
      <w:rFonts w:asciiTheme="minorHAnsi" w:eastAsiaTheme="minorEastAsia" w:hAnsiTheme="minorHAnsi" w:cstheme="minorBidi"/>
      <w:kern w:val="2"/>
      <w:sz w:val="21"/>
      <w:szCs w:val="22"/>
    </w:rPr>
  </w:style>
  <w:style w:type="table" w:styleId="ad">
    <w:name w:val="Table Grid"/>
    <w:basedOn w:val="a1"/>
    <w:uiPriority w:val="59"/>
    <w:rsid w:val="00813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CD"/>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qFormat/>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E6BB0"/>
    <w:rPr>
      <w:rFonts w:ascii="Times New Roman" w:eastAsia="宋体" w:hAnsi="Times New Roman" w:cs="Times New Roman"/>
      <w:sz w:val="18"/>
      <w:szCs w:val="18"/>
    </w:rPr>
  </w:style>
  <w:style w:type="paragraph" w:styleId="a6">
    <w:name w:val="footer"/>
    <w:basedOn w:val="a"/>
    <w:link w:val="Char1"/>
    <w:uiPriority w:val="99"/>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character" w:styleId="a7">
    <w:name w:val="annotation reference"/>
    <w:rsid w:val="003F6794"/>
    <w:rPr>
      <w:sz w:val="21"/>
    </w:rPr>
  </w:style>
  <w:style w:type="paragraph" w:styleId="a8">
    <w:name w:val="annotation text"/>
    <w:basedOn w:val="a"/>
    <w:link w:val="Char2"/>
    <w:rsid w:val="003F6794"/>
    <w:pPr>
      <w:spacing w:line="240" w:lineRule="auto"/>
      <w:ind w:firstLineChars="0" w:firstLine="0"/>
      <w:jc w:val="left"/>
    </w:pPr>
    <w:rPr>
      <w:rFonts w:eastAsia="宋体"/>
      <w:sz w:val="21"/>
      <w:szCs w:val="20"/>
    </w:rPr>
  </w:style>
  <w:style w:type="character" w:customStyle="1" w:styleId="Char2">
    <w:name w:val="批注文字 Char"/>
    <w:basedOn w:val="a0"/>
    <w:link w:val="a8"/>
    <w:rsid w:val="003F6794"/>
    <w:rPr>
      <w:rFonts w:ascii="Times New Roman" w:hAnsi="Times New Roman"/>
      <w:kern w:val="2"/>
      <w:sz w:val="21"/>
    </w:rPr>
  </w:style>
  <w:style w:type="paragraph" w:styleId="a9">
    <w:name w:val="Balloon Text"/>
    <w:basedOn w:val="a"/>
    <w:link w:val="Char3"/>
    <w:uiPriority w:val="99"/>
    <w:semiHidden/>
    <w:unhideWhenUsed/>
    <w:rsid w:val="003F6794"/>
    <w:pPr>
      <w:spacing w:line="240" w:lineRule="auto"/>
      <w:ind w:firstLineChars="0" w:firstLine="0"/>
    </w:pPr>
    <w:rPr>
      <w:rFonts w:asciiTheme="minorHAnsi" w:eastAsiaTheme="minorEastAsia" w:hAnsiTheme="minorHAnsi" w:cstheme="minorBidi"/>
      <w:sz w:val="18"/>
      <w:szCs w:val="18"/>
    </w:rPr>
  </w:style>
  <w:style w:type="character" w:customStyle="1" w:styleId="Char3">
    <w:name w:val="批注框文本 Char"/>
    <w:basedOn w:val="a0"/>
    <w:link w:val="a9"/>
    <w:uiPriority w:val="99"/>
    <w:semiHidden/>
    <w:rsid w:val="003F6794"/>
    <w:rPr>
      <w:rFonts w:asciiTheme="minorHAnsi" w:eastAsiaTheme="minorEastAsia" w:hAnsiTheme="minorHAnsi" w:cstheme="minorBidi"/>
      <w:kern w:val="2"/>
      <w:sz w:val="18"/>
      <w:szCs w:val="18"/>
    </w:rPr>
  </w:style>
  <w:style w:type="paragraph" w:customStyle="1" w:styleId="CharChar">
    <w:name w:val="Char Char"/>
    <w:basedOn w:val="a"/>
    <w:rsid w:val="003F6794"/>
    <w:pPr>
      <w:spacing w:line="240" w:lineRule="auto"/>
      <w:ind w:firstLineChars="0" w:firstLine="0"/>
    </w:pPr>
    <w:rPr>
      <w:rFonts w:eastAsia="宋体"/>
      <w:sz w:val="21"/>
      <w:szCs w:val="20"/>
    </w:rPr>
  </w:style>
  <w:style w:type="paragraph" w:styleId="aa">
    <w:name w:val="List Paragraph"/>
    <w:basedOn w:val="a"/>
    <w:uiPriority w:val="34"/>
    <w:qFormat/>
    <w:rsid w:val="003F6794"/>
    <w:pPr>
      <w:spacing w:line="240" w:lineRule="auto"/>
      <w:ind w:firstLine="420"/>
    </w:pPr>
    <w:rPr>
      <w:rFonts w:asciiTheme="minorHAnsi" w:eastAsiaTheme="minorEastAsia" w:hAnsiTheme="minorHAnsi" w:cstheme="minorBidi"/>
      <w:sz w:val="21"/>
      <w:szCs w:val="22"/>
    </w:rPr>
  </w:style>
  <w:style w:type="character" w:customStyle="1" w:styleId="Char4">
    <w:name w:val="批注主题 Char"/>
    <w:basedOn w:val="Char2"/>
    <w:link w:val="ab"/>
    <w:uiPriority w:val="99"/>
    <w:semiHidden/>
    <w:rsid w:val="003F6794"/>
    <w:rPr>
      <w:rFonts w:asciiTheme="minorHAnsi" w:eastAsiaTheme="minorEastAsia" w:hAnsiTheme="minorHAnsi" w:cstheme="minorBidi"/>
      <w:b/>
      <w:bCs/>
      <w:kern w:val="2"/>
      <w:sz w:val="21"/>
      <w:szCs w:val="22"/>
    </w:rPr>
  </w:style>
  <w:style w:type="paragraph" w:styleId="ab">
    <w:name w:val="annotation subject"/>
    <w:basedOn w:val="a8"/>
    <w:next w:val="a8"/>
    <w:link w:val="Char4"/>
    <w:uiPriority w:val="99"/>
    <w:semiHidden/>
    <w:unhideWhenUsed/>
    <w:rsid w:val="003F6794"/>
    <w:rPr>
      <w:rFonts w:asciiTheme="minorHAnsi" w:eastAsiaTheme="minorEastAsia" w:hAnsiTheme="minorHAnsi" w:cstheme="minorBidi"/>
      <w:b/>
      <w:bCs/>
      <w:szCs w:val="22"/>
    </w:rPr>
  </w:style>
  <w:style w:type="numbering" w:customStyle="1" w:styleId="10">
    <w:name w:val="无列表1"/>
    <w:next w:val="a2"/>
    <w:uiPriority w:val="99"/>
    <w:semiHidden/>
    <w:unhideWhenUsed/>
    <w:rsid w:val="005735C0"/>
  </w:style>
  <w:style w:type="paragraph" w:customStyle="1" w:styleId="11">
    <w:name w:val="批注框文本1"/>
    <w:basedOn w:val="a"/>
    <w:next w:val="a9"/>
    <w:uiPriority w:val="99"/>
    <w:semiHidden/>
    <w:unhideWhenUsed/>
    <w:rsid w:val="005735C0"/>
    <w:pPr>
      <w:spacing w:line="240" w:lineRule="auto"/>
      <w:ind w:firstLineChars="0" w:firstLine="0"/>
    </w:pPr>
    <w:rPr>
      <w:rFonts w:ascii="Calibri" w:eastAsia="宋体" w:hAnsi="Calibri"/>
      <w:sz w:val="18"/>
      <w:szCs w:val="18"/>
    </w:rPr>
  </w:style>
  <w:style w:type="paragraph" w:customStyle="1" w:styleId="12">
    <w:name w:val="列出段落1"/>
    <w:basedOn w:val="a"/>
    <w:next w:val="aa"/>
    <w:uiPriority w:val="34"/>
    <w:qFormat/>
    <w:rsid w:val="005735C0"/>
    <w:pPr>
      <w:spacing w:line="240" w:lineRule="auto"/>
      <w:ind w:firstLine="420"/>
    </w:pPr>
    <w:rPr>
      <w:rFonts w:asciiTheme="minorHAnsi" w:eastAsiaTheme="minorEastAsia" w:hAnsiTheme="minorHAnsi" w:cstheme="minorBidi"/>
      <w:sz w:val="21"/>
      <w:szCs w:val="22"/>
    </w:rPr>
  </w:style>
  <w:style w:type="paragraph" w:customStyle="1" w:styleId="13">
    <w:name w:val="批注主题1"/>
    <w:basedOn w:val="a8"/>
    <w:next w:val="a8"/>
    <w:uiPriority w:val="99"/>
    <w:semiHidden/>
    <w:unhideWhenUsed/>
    <w:rsid w:val="005735C0"/>
    <w:rPr>
      <w:rFonts w:ascii="Calibri" w:hAnsi="Calibri"/>
      <w:b/>
      <w:bCs/>
      <w:szCs w:val="22"/>
    </w:rPr>
  </w:style>
  <w:style w:type="character" w:customStyle="1" w:styleId="Char10">
    <w:name w:val="批注框文本 Char1"/>
    <w:basedOn w:val="a0"/>
    <w:uiPriority w:val="99"/>
    <w:semiHidden/>
    <w:rsid w:val="005735C0"/>
    <w:rPr>
      <w:sz w:val="18"/>
      <w:szCs w:val="18"/>
    </w:rPr>
  </w:style>
  <w:style w:type="character" w:customStyle="1" w:styleId="Char11">
    <w:name w:val="批注主题 Char1"/>
    <w:basedOn w:val="Char2"/>
    <w:uiPriority w:val="99"/>
    <w:semiHidden/>
    <w:rsid w:val="005735C0"/>
    <w:rPr>
      <w:rFonts w:ascii="Times New Roman" w:eastAsia="宋体" w:hAnsi="Times New Roman" w:cs="Times New Roman"/>
      <w:b/>
      <w:bCs/>
      <w:kern w:val="2"/>
      <w:sz w:val="21"/>
      <w:szCs w:val="20"/>
    </w:rPr>
  </w:style>
  <w:style w:type="paragraph" w:styleId="ac">
    <w:name w:val="Revision"/>
    <w:hidden/>
    <w:uiPriority w:val="99"/>
    <w:semiHidden/>
    <w:rsid w:val="005735C0"/>
    <w:rPr>
      <w:rFonts w:asciiTheme="minorHAnsi" w:eastAsiaTheme="minorEastAsia" w:hAnsiTheme="minorHAnsi" w:cstheme="minorBidi"/>
      <w:kern w:val="2"/>
      <w:sz w:val="21"/>
      <w:szCs w:val="22"/>
    </w:rPr>
  </w:style>
  <w:style w:type="table" w:styleId="ad">
    <w:name w:val="Table Grid"/>
    <w:basedOn w:val="a1"/>
    <w:uiPriority w:val="59"/>
    <w:rsid w:val="00813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539306">
      <w:bodyDiv w:val="1"/>
      <w:marLeft w:val="0"/>
      <w:marRight w:val="0"/>
      <w:marTop w:val="0"/>
      <w:marBottom w:val="0"/>
      <w:divBdr>
        <w:top w:val="none" w:sz="0" w:space="0" w:color="auto"/>
        <w:left w:val="none" w:sz="0" w:space="0" w:color="auto"/>
        <w:bottom w:val="none" w:sz="0" w:space="0" w:color="auto"/>
        <w:right w:val="none" w:sz="0" w:space="0" w:color="auto"/>
      </w:divBdr>
    </w:div>
    <w:div w:id="1399598041">
      <w:bodyDiv w:val="1"/>
      <w:marLeft w:val="0"/>
      <w:marRight w:val="0"/>
      <w:marTop w:val="0"/>
      <w:marBottom w:val="0"/>
      <w:divBdr>
        <w:top w:val="none" w:sz="0" w:space="0" w:color="auto"/>
        <w:left w:val="none" w:sz="0" w:space="0" w:color="auto"/>
        <w:bottom w:val="none" w:sz="0" w:space="0" w:color="auto"/>
        <w:right w:val="none" w:sz="0" w:space="0" w:color="auto"/>
      </w:divBdr>
    </w:div>
    <w:div w:id="18721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公告模板.dotx</Template>
  <TotalTime>0</TotalTime>
  <Pages>3</Pages>
  <Words>276</Words>
  <Characters>1574</Characters>
  <Application>Microsoft Office Word</Application>
  <DocSecurity>4</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cp:lastPrinted>2019-04-03T10:37:00Z</cp:lastPrinted>
  <dcterms:created xsi:type="dcterms:W3CDTF">2019-05-12T16:01:00Z</dcterms:created>
  <dcterms:modified xsi:type="dcterms:W3CDTF">2019-05-12T16:01:00Z</dcterms:modified>
</cp:coreProperties>
</file>