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9F" w:rsidRPr="00991236" w:rsidRDefault="00074E9F" w:rsidP="00074E9F">
      <w:pPr>
        <w:autoSpaceDE w:val="0"/>
        <w:autoSpaceDN w:val="0"/>
        <w:adjustRightInd w:val="0"/>
        <w:spacing w:line="360" w:lineRule="auto"/>
        <w:jc w:val="left"/>
        <w:rPr>
          <w:rFonts w:eastAsiaTheme="minorEastAsia"/>
          <w:color w:val="000000" w:themeColor="text1"/>
          <w:kern w:val="0"/>
          <w:sz w:val="24"/>
        </w:rPr>
      </w:pPr>
    </w:p>
    <w:p w:rsidR="00074E9F" w:rsidRPr="00991236" w:rsidRDefault="00074E9F" w:rsidP="00074E9F">
      <w:pPr>
        <w:autoSpaceDE w:val="0"/>
        <w:autoSpaceDN w:val="0"/>
        <w:adjustRightInd w:val="0"/>
        <w:spacing w:line="360" w:lineRule="auto"/>
        <w:jc w:val="left"/>
        <w:rPr>
          <w:rFonts w:eastAsiaTheme="minorEastAsia"/>
          <w:color w:val="000000" w:themeColor="text1"/>
          <w:kern w:val="0"/>
          <w:sz w:val="24"/>
        </w:rPr>
      </w:pPr>
    </w:p>
    <w:p w:rsidR="00074E9F" w:rsidRPr="00991236" w:rsidRDefault="00074E9F" w:rsidP="00074E9F">
      <w:pPr>
        <w:autoSpaceDE w:val="0"/>
        <w:autoSpaceDN w:val="0"/>
        <w:adjustRightInd w:val="0"/>
        <w:spacing w:line="360" w:lineRule="auto"/>
        <w:jc w:val="left"/>
        <w:rPr>
          <w:rFonts w:eastAsiaTheme="minorEastAsia"/>
          <w:color w:val="000000" w:themeColor="text1"/>
          <w:kern w:val="0"/>
          <w:sz w:val="24"/>
        </w:rPr>
      </w:pPr>
    </w:p>
    <w:p w:rsidR="00074E9F" w:rsidRPr="00991236" w:rsidRDefault="00074E9F" w:rsidP="00074E9F">
      <w:pPr>
        <w:autoSpaceDE w:val="0"/>
        <w:autoSpaceDN w:val="0"/>
        <w:adjustRightInd w:val="0"/>
        <w:spacing w:line="360" w:lineRule="auto"/>
        <w:jc w:val="left"/>
        <w:rPr>
          <w:rFonts w:eastAsiaTheme="minorEastAsia"/>
          <w:color w:val="000000" w:themeColor="text1"/>
          <w:kern w:val="0"/>
          <w:sz w:val="36"/>
          <w:szCs w:val="36"/>
        </w:rPr>
      </w:pPr>
    </w:p>
    <w:p w:rsidR="008D7EF7" w:rsidRPr="00811004" w:rsidRDefault="008D7EF7" w:rsidP="000020BB">
      <w:pPr>
        <w:spacing w:line="360" w:lineRule="auto"/>
        <w:jc w:val="center"/>
        <w:rPr>
          <w:rFonts w:eastAsiaTheme="minorEastAsia"/>
          <w:b/>
          <w:color w:val="000000" w:themeColor="text1"/>
          <w:sz w:val="24"/>
        </w:rPr>
      </w:pPr>
      <w:r w:rsidRPr="00811004">
        <w:rPr>
          <w:rFonts w:eastAsiaTheme="minorEastAsia"/>
          <w:b/>
          <w:color w:val="000000" w:themeColor="text1"/>
          <w:sz w:val="24"/>
        </w:rPr>
        <w:t>国投瑞银中证下游消费与服务产业指数证券投资基金（</w:t>
      </w:r>
      <w:r w:rsidRPr="00811004">
        <w:rPr>
          <w:rFonts w:eastAsiaTheme="minorEastAsia"/>
          <w:b/>
          <w:color w:val="000000" w:themeColor="text1"/>
          <w:sz w:val="24"/>
        </w:rPr>
        <w:t>LOF</w:t>
      </w:r>
      <w:r w:rsidRPr="00811004">
        <w:rPr>
          <w:rFonts w:eastAsiaTheme="minorEastAsia"/>
          <w:b/>
          <w:color w:val="000000" w:themeColor="text1"/>
          <w:sz w:val="24"/>
        </w:rPr>
        <w:t>）</w:t>
      </w:r>
    </w:p>
    <w:p w:rsidR="008D7EF7" w:rsidRPr="00811004" w:rsidRDefault="008D7EF7" w:rsidP="000020BB">
      <w:pPr>
        <w:spacing w:line="360" w:lineRule="auto"/>
        <w:jc w:val="center"/>
        <w:rPr>
          <w:rFonts w:eastAsiaTheme="minorEastAsia"/>
          <w:b/>
          <w:color w:val="000000" w:themeColor="text1"/>
          <w:sz w:val="24"/>
        </w:rPr>
      </w:pPr>
      <w:r w:rsidRPr="00811004">
        <w:rPr>
          <w:rFonts w:eastAsiaTheme="minorEastAsia"/>
          <w:b/>
          <w:color w:val="000000" w:themeColor="text1"/>
          <w:sz w:val="24"/>
        </w:rPr>
        <w:t>2019</w:t>
      </w:r>
      <w:r w:rsidRPr="00811004">
        <w:rPr>
          <w:rFonts w:eastAsiaTheme="minorEastAsia"/>
          <w:b/>
          <w:color w:val="000000" w:themeColor="text1"/>
          <w:sz w:val="24"/>
        </w:rPr>
        <w:t>年第</w:t>
      </w:r>
      <w:r w:rsidRPr="00811004">
        <w:rPr>
          <w:rFonts w:eastAsiaTheme="minorEastAsia"/>
          <w:b/>
          <w:color w:val="000000" w:themeColor="text1"/>
          <w:sz w:val="24"/>
        </w:rPr>
        <w:t>1</w:t>
      </w:r>
      <w:r w:rsidRPr="00811004">
        <w:rPr>
          <w:rFonts w:eastAsiaTheme="minorEastAsia"/>
          <w:b/>
          <w:color w:val="000000" w:themeColor="text1"/>
          <w:sz w:val="24"/>
        </w:rPr>
        <w:t>季度报告</w:t>
      </w:r>
    </w:p>
    <w:p w:rsidR="00074E9F" w:rsidRPr="00811004" w:rsidRDefault="005C0A04" w:rsidP="000020BB">
      <w:pPr>
        <w:spacing w:line="360" w:lineRule="auto"/>
        <w:jc w:val="center"/>
        <w:rPr>
          <w:rFonts w:eastAsiaTheme="minorEastAsia"/>
          <w:b/>
          <w:color w:val="000000" w:themeColor="text1"/>
          <w:sz w:val="24"/>
        </w:rPr>
      </w:pPr>
      <w:r w:rsidRPr="00811004">
        <w:rPr>
          <w:rFonts w:eastAsiaTheme="minorEastAsia"/>
          <w:b/>
          <w:color w:val="000000" w:themeColor="text1"/>
          <w:sz w:val="24"/>
        </w:rPr>
        <w:t>2019</w:t>
      </w:r>
      <w:r w:rsidRPr="00811004">
        <w:rPr>
          <w:rFonts w:eastAsiaTheme="minorEastAsia"/>
          <w:b/>
          <w:color w:val="000000" w:themeColor="text1"/>
          <w:sz w:val="24"/>
        </w:rPr>
        <w:t>年</w:t>
      </w:r>
      <w:r w:rsidRPr="00811004">
        <w:rPr>
          <w:rFonts w:eastAsiaTheme="minorEastAsia"/>
          <w:b/>
          <w:color w:val="000000" w:themeColor="text1"/>
          <w:sz w:val="24"/>
        </w:rPr>
        <w:t>3</w:t>
      </w:r>
      <w:r w:rsidRPr="00811004">
        <w:rPr>
          <w:rFonts w:eastAsiaTheme="minorEastAsia"/>
          <w:b/>
          <w:color w:val="000000" w:themeColor="text1"/>
          <w:sz w:val="24"/>
        </w:rPr>
        <w:t>月</w:t>
      </w:r>
      <w:r w:rsidRPr="00811004">
        <w:rPr>
          <w:rFonts w:eastAsiaTheme="minorEastAsia"/>
          <w:b/>
          <w:color w:val="000000" w:themeColor="text1"/>
          <w:sz w:val="24"/>
        </w:rPr>
        <w:t>31</w:t>
      </w:r>
      <w:r w:rsidRPr="00811004">
        <w:rPr>
          <w:rFonts w:eastAsiaTheme="minorEastAsia"/>
          <w:b/>
          <w:color w:val="000000" w:themeColor="text1"/>
          <w:sz w:val="24"/>
        </w:rPr>
        <w:t>日</w:t>
      </w: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jc w:val="center"/>
        <w:rPr>
          <w:rFonts w:eastAsiaTheme="minorEastAsia"/>
          <w:b/>
          <w:color w:val="000000" w:themeColor="text1"/>
          <w:sz w:val="24"/>
        </w:rPr>
      </w:pPr>
    </w:p>
    <w:p w:rsidR="00074E9F" w:rsidRPr="00991236" w:rsidRDefault="00074E9F" w:rsidP="00074E9F">
      <w:pPr>
        <w:spacing w:line="360" w:lineRule="auto"/>
        <w:rPr>
          <w:rFonts w:eastAsiaTheme="minorEastAsia"/>
          <w:b/>
          <w:color w:val="000000" w:themeColor="text1"/>
          <w:sz w:val="24"/>
        </w:rPr>
      </w:pPr>
    </w:p>
    <w:p w:rsidR="00074E9F" w:rsidRPr="00991236" w:rsidRDefault="00074E9F" w:rsidP="000020BB">
      <w:pPr>
        <w:spacing w:line="360" w:lineRule="auto"/>
        <w:ind w:firstLineChars="900" w:firstLine="2168"/>
        <w:rPr>
          <w:rFonts w:eastAsiaTheme="minorEastAsia"/>
          <w:b/>
          <w:color w:val="000000" w:themeColor="text1"/>
          <w:sz w:val="24"/>
        </w:rPr>
      </w:pPr>
      <w:r w:rsidRPr="00991236">
        <w:rPr>
          <w:rFonts w:eastAsiaTheme="minorEastAsia"/>
          <w:b/>
          <w:color w:val="000000" w:themeColor="text1"/>
          <w:sz w:val="24"/>
        </w:rPr>
        <w:t>基金管理人：</w:t>
      </w:r>
      <w:r w:rsidR="008F4AAB" w:rsidRPr="00991236">
        <w:rPr>
          <w:rFonts w:eastAsiaTheme="minorEastAsia"/>
          <w:b/>
          <w:color w:val="000000" w:themeColor="text1"/>
          <w:sz w:val="24"/>
        </w:rPr>
        <w:t>国投瑞银基金管理有限公司</w:t>
      </w:r>
    </w:p>
    <w:p w:rsidR="00074E9F" w:rsidRPr="00991236" w:rsidRDefault="00074E9F" w:rsidP="000020BB">
      <w:pPr>
        <w:spacing w:line="360" w:lineRule="auto"/>
        <w:ind w:firstLineChars="900" w:firstLine="2168"/>
        <w:rPr>
          <w:rFonts w:eastAsiaTheme="minorEastAsia"/>
          <w:b/>
          <w:color w:val="000000" w:themeColor="text1"/>
          <w:sz w:val="24"/>
        </w:rPr>
      </w:pPr>
      <w:r w:rsidRPr="00991236">
        <w:rPr>
          <w:rFonts w:eastAsiaTheme="minorEastAsia"/>
          <w:b/>
          <w:color w:val="000000" w:themeColor="text1"/>
          <w:sz w:val="24"/>
        </w:rPr>
        <w:t>基金托管人：</w:t>
      </w:r>
      <w:r w:rsidR="008F4AAB" w:rsidRPr="00991236">
        <w:rPr>
          <w:rFonts w:eastAsiaTheme="minorEastAsia"/>
          <w:b/>
          <w:color w:val="000000" w:themeColor="text1"/>
          <w:sz w:val="24"/>
        </w:rPr>
        <w:t>中国工商银行股份有限公司</w:t>
      </w:r>
    </w:p>
    <w:p w:rsidR="00074E9F" w:rsidRPr="00991236" w:rsidRDefault="00074E9F" w:rsidP="000020BB">
      <w:pPr>
        <w:spacing w:line="360" w:lineRule="auto"/>
        <w:ind w:firstLineChars="900" w:firstLine="2168"/>
        <w:rPr>
          <w:rFonts w:eastAsiaTheme="minorEastAsia"/>
          <w:b/>
          <w:color w:val="000000" w:themeColor="text1"/>
          <w:sz w:val="24"/>
        </w:rPr>
        <w:sectPr w:rsidR="00074E9F" w:rsidRPr="00991236" w:rsidSect="00230A66">
          <w:headerReference w:type="default" r:id="rId7"/>
          <w:footerReference w:type="default" r:id="rId8"/>
          <w:pgSz w:w="11926" w:h="15840"/>
          <w:pgMar w:top="1418" w:right="1418" w:bottom="851" w:left="1418" w:header="851" w:footer="992" w:gutter="0"/>
          <w:cols w:space="720"/>
          <w:noEndnote/>
        </w:sectPr>
      </w:pPr>
      <w:r w:rsidRPr="00991236">
        <w:rPr>
          <w:rFonts w:eastAsiaTheme="minorEastAsia"/>
          <w:b/>
          <w:color w:val="000000" w:themeColor="text1"/>
          <w:sz w:val="24"/>
        </w:rPr>
        <w:t>报告送出日期：</w:t>
      </w:r>
      <w:r w:rsidR="00665677" w:rsidRPr="00991236">
        <w:rPr>
          <w:rFonts w:eastAsiaTheme="minorEastAsia"/>
          <w:b/>
          <w:color w:val="000000" w:themeColor="text1"/>
          <w:sz w:val="24"/>
        </w:rPr>
        <w:t>二〇一九年四月二十二日</w:t>
      </w:r>
    </w:p>
    <w:p w:rsidR="00220542" w:rsidRPr="00991236" w:rsidRDefault="00220542" w:rsidP="005E22CC">
      <w:pPr>
        <w:pStyle w:val="1"/>
        <w:spacing w:beforeLines="100" w:afterLines="100" w:line="360" w:lineRule="auto"/>
        <w:jc w:val="center"/>
        <w:rPr>
          <w:rFonts w:eastAsiaTheme="minorEastAsia"/>
          <w:b w:val="0"/>
          <w:color w:val="000000" w:themeColor="text1"/>
          <w:kern w:val="0"/>
          <w:sz w:val="24"/>
          <w:szCs w:val="24"/>
        </w:rPr>
      </w:pPr>
      <w:r w:rsidRPr="00991236">
        <w:rPr>
          <w:rFonts w:eastAsiaTheme="minorEastAsia"/>
          <w:color w:val="000000" w:themeColor="text1"/>
          <w:kern w:val="0"/>
          <w:sz w:val="24"/>
          <w:szCs w:val="24"/>
        </w:rPr>
        <w:lastRenderedPageBreak/>
        <w:t xml:space="preserve">§1  </w:t>
      </w:r>
      <w:r w:rsidRPr="00991236">
        <w:rPr>
          <w:rFonts w:eastAsiaTheme="minorEastAsia"/>
          <w:color w:val="000000" w:themeColor="text1"/>
          <w:kern w:val="0"/>
          <w:sz w:val="24"/>
          <w:szCs w:val="24"/>
        </w:rPr>
        <w:t>重要提示</w:t>
      </w:r>
    </w:p>
    <w:tbl>
      <w:tblPr>
        <w:tblStyle w:val="af7"/>
        <w:tblW w:w="0" w:type="auto"/>
        <w:tblLook w:val="04A0"/>
      </w:tblPr>
      <w:tblGrid>
        <w:gridCol w:w="8528"/>
      </w:tblGrid>
      <w:tr w:rsidR="008C2705" w:rsidRPr="00991236" w:rsidTr="008C2705">
        <w:tc>
          <w:tcPr>
            <w:tcW w:w="8528" w:type="dxa"/>
          </w:tcPr>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基金托管人中国工商银行股份有限公司根据本基金合同规定，于</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日复核了本报告中的财务指标、净值表现和投资组合报告等内容，保证复核内容不存在虚假记载、误导性陈述或者重大遗漏。</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8C2705" w:rsidRPr="00991236" w:rsidRDefault="008C2705" w:rsidP="008C2705">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本报告期自</w:t>
            </w:r>
            <w:r w:rsidRPr="00991236">
              <w:rPr>
                <w:rFonts w:eastAsiaTheme="minorEastAsia"/>
                <w:color w:val="000000" w:themeColor="text1"/>
                <w:sz w:val="24"/>
              </w:rPr>
              <w:t>2019</w:t>
            </w:r>
            <w:r w:rsidRPr="00991236">
              <w:rPr>
                <w:rFonts w:eastAsiaTheme="minorEastAsia"/>
                <w:color w:val="000000" w:themeColor="text1"/>
                <w:sz w:val="24"/>
              </w:rPr>
              <w:t>年</w:t>
            </w:r>
            <w:r w:rsidRPr="00991236">
              <w:rPr>
                <w:rFonts w:eastAsiaTheme="minorEastAsia"/>
                <w:color w:val="000000" w:themeColor="text1"/>
                <w:sz w:val="24"/>
              </w:rPr>
              <w:t>1</w:t>
            </w:r>
            <w:r w:rsidRPr="00991236">
              <w:rPr>
                <w:rFonts w:eastAsiaTheme="minorEastAsia"/>
                <w:color w:val="000000" w:themeColor="text1"/>
                <w:sz w:val="24"/>
              </w:rPr>
              <w:t>月</w:t>
            </w:r>
            <w:r w:rsidRPr="00991236">
              <w:rPr>
                <w:rFonts w:eastAsiaTheme="minorEastAsia"/>
                <w:color w:val="000000" w:themeColor="text1"/>
                <w:sz w:val="24"/>
              </w:rPr>
              <w:t>1</w:t>
            </w:r>
            <w:r w:rsidRPr="00991236">
              <w:rPr>
                <w:rFonts w:eastAsiaTheme="minorEastAsia"/>
                <w:color w:val="000000" w:themeColor="text1"/>
                <w:sz w:val="24"/>
              </w:rPr>
              <w:t>日起至</w:t>
            </w:r>
            <w:r w:rsidRPr="00991236">
              <w:rPr>
                <w:rFonts w:eastAsiaTheme="minorEastAsia"/>
                <w:color w:val="000000" w:themeColor="text1"/>
                <w:sz w:val="24"/>
              </w:rPr>
              <w:t>3</w:t>
            </w:r>
            <w:r w:rsidRPr="00991236">
              <w:rPr>
                <w:rFonts w:eastAsiaTheme="minorEastAsia"/>
                <w:color w:val="000000" w:themeColor="text1"/>
                <w:sz w:val="24"/>
              </w:rPr>
              <w:t>月</w:t>
            </w:r>
            <w:r w:rsidRPr="00991236">
              <w:rPr>
                <w:rFonts w:eastAsiaTheme="minorEastAsia"/>
                <w:color w:val="000000" w:themeColor="text1"/>
                <w:sz w:val="24"/>
              </w:rPr>
              <w:t>31</w:t>
            </w:r>
            <w:r w:rsidRPr="00991236">
              <w:rPr>
                <w:rFonts w:eastAsiaTheme="minorEastAsia"/>
                <w:color w:val="000000" w:themeColor="text1"/>
                <w:sz w:val="24"/>
              </w:rPr>
              <w:t>日止。</w:t>
            </w:r>
          </w:p>
        </w:tc>
      </w:tr>
    </w:tbl>
    <w:p w:rsidR="00220542" w:rsidRPr="00991236" w:rsidRDefault="00220542" w:rsidP="005E22CC">
      <w:pPr>
        <w:pStyle w:val="1"/>
        <w:spacing w:beforeLines="100" w:afterLines="100" w:line="360" w:lineRule="auto"/>
        <w:jc w:val="center"/>
        <w:rPr>
          <w:rFonts w:eastAsiaTheme="minorEastAsia"/>
          <w:color w:val="000000" w:themeColor="text1"/>
          <w:kern w:val="0"/>
          <w:sz w:val="24"/>
          <w:szCs w:val="24"/>
        </w:rPr>
      </w:pPr>
      <w:r w:rsidRPr="00991236">
        <w:rPr>
          <w:rFonts w:eastAsiaTheme="minorEastAsia"/>
          <w:color w:val="000000" w:themeColor="text1"/>
          <w:kern w:val="0"/>
          <w:sz w:val="24"/>
          <w:szCs w:val="24"/>
        </w:rPr>
        <w:t xml:space="preserve">§2  </w:t>
      </w:r>
      <w:r w:rsidRPr="00991236">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3E712B" w:rsidRPr="00991236" w:rsidTr="002141B6">
        <w:tc>
          <w:tcPr>
            <w:tcW w:w="2835" w:type="dxa"/>
            <w:vAlign w:val="center"/>
          </w:tcPr>
          <w:p w:rsidR="000820A8" w:rsidRPr="00991236" w:rsidRDefault="000820A8"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基金简称</w:t>
            </w:r>
          </w:p>
        </w:tc>
        <w:tc>
          <w:tcPr>
            <w:tcW w:w="5479" w:type="dxa"/>
            <w:gridSpan w:val="2"/>
            <w:vAlign w:val="center"/>
          </w:tcPr>
          <w:p w:rsidR="000820A8" w:rsidRPr="00991236" w:rsidRDefault="000820A8"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国投瑞银中证消费服务指数</w:t>
            </w:r>
            <w:r w:rsidRPr="00991236">
              <w:rPr>
                <w:rFonts w:eastAsiaTheme="minorEastAsia"/>
                <w:color w:val="000000" w:themeColor="text1"/>
                <w:kern w:val="0"/>
                <w:sz w:val="24"/>
              </w:rPr>
              <w:t>(LOF)</w:t>
            </w:r>
          </w:p>
        </w:tc>
      </w:tr>
      <w:tr w:rsidR="003E712B" w:rsidRPr="00991236" w:rsidTr="00C26A76">
        <w:trPr>
          <w:trHeight w:val="485"/>
        </w:trPr>
        <w:tc>
          <w:tcPr>
            <w:tcW w:w="2835" w:type="dxa"/>
            <w:vAlign w:val="center"/>
          </w:tcPr>
          <w:p w:rsidR="00957C7C" w:rsidRPr="00991236" w:rsidRDefault="00957C7C" w:rsidP="00957C7C">
            <w:pPr>
              <w:rPr>
                <w:rFonts w:eastAsiaTheme="minorEastAsia"/>
                <w:color w:val="000000" w:themeColor="text1"/>
                <w:sz w:val="24"/>
              </w:rPr>
            </w:pPr>
            <w:r w:rsidRPr="00991236">
              <w:rPr>
                <w:rFonts w:eastAsiaTheme="minorEastAsia"/>
                <w:color w:val="000000" w:themeColor="text1"/>
                <w:sz w:val="24"/>
              </w:rPr>
              <w:t>场内简称</w:t>
            </w:r>
          </w:p>
        </w:tc>
        <w:tc>
          <w:tcPr>
            <w:tcW w:w="5479" w:type="dxa"/>
            <w:gridSpan w:val="2"/>
            <w:vAlign w:val="center"/>
          </w:tcPr>
          <w:p w:rsidR="00957C7C" w:rsidRPr="00991236" w:rsidRDefault="00957C7C" w:rsidP="00957C7C">
            <w:pPr>
              <w:rPr>
                <w:rFonts w:eastAsiaTheme="minorEastAsia"/>
                <w:color w:val="000000" w:themeColor="text1"/>
                <w:sz w:val="24"/>
              </w:rPr>
            </w:pPr>
            <w:r w:rsidRPr="00991236">
              <w:rPr>
                <w:rFonts w:eastAsiaTheme="minorEastAsia"/>
                <w:color w:val="000000" w:themeColor="text1"/>
                <w:sz w:val="24"/>
              </w:rPr>
              <w:t>国投消费</w:t>
            </w:r>
          </w:p>
        </w:tc>
      </w:tr>
      <w:tr w:rsidR="003E712B" w:rsidRPr="00991236" w:rsidTr="002141B6">
        <w:tc>
          <w:tcPr>
            <w:tcW w:w="2835" w:type="dxa"/>
            <w:tcBorders>
              <w:top w:val="single" w:sz="4" w:space="0" w:color="auto"/>
              <w:left w:val="single" w:sz="4" w:space="0" w:color="auto"/>
              <w:bottom w:val="single" w:sz="4" w:space="0" w:color="auto"/>
              <w:right w:val="single" w:sz="4" w:space="0" w:color="auto"/>
            </w:tcBorders>
            <w:vAlign w:val="center"/>
            <w:hideMark/>
          </w:tcPr>
          <w:p w:rsidR="00CD319D" w:rsidRPr="00991236" w:rsidRDefault="00CD319D"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CD319D" w:rsidRPr="00991236" w:rsidRDefault="00CD319D"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161213</w:t>
            </w:r>
          </w:p>
        </w:tc>
      </w:tr>
      <w:tr w:rsidR="003E712B" w:rsidRPr="00991236" w:rsidTr="002141B6">
        <w:tc>
          <w:tcPr>
            <w:tcW w:w="2835" w:type="dxa"/>
            <w:tcBorders>
              <w:top w:val="single" w:sz="4" w:space="0" w:color="auto"/>
              <w:left w:val="single" w:sz="4" w:space="0" w:color="auto"/>
              <w:bottom w:val="single" w:sz="4" w:space="0" w:color="auto"/>
              <w:right w:val="single" w:sz="4" w:space="0" w:color="auto"/>
            </w:tcBorders>
            <w:vAlign w:val="center"/>
            <w:hideMark/>
          </w:tcPr>
          <w:p w:rsidR="00E57F92" w:rsidRPr="00991236" w:rsidRDefault="00E57F92"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交易代码</w:t>
            </w:r>
          </w:p>
        </w:tc>
        <w:tc>
          <w:tcPr>
            <w:tcW w:w="2739" w:type="dxa"/>
            <w:tcBorders>
              <w:top w:val="single" w:sz="4" w:space="0" w:color="auto"/>
              <w:left w:val="single" w:sz="4" w:space="0" w:color="auto"/>
              <w:bottom w:val="single" w:sz="4" w:space="0" w:color="auto"/>
              <w:right w:val="single" w:sz="4" w:space="0" w:color="auto"/>
            </w:tcBorders>
            <w:vAlign w:val="center"/>
            <w:hideMark/>
          </w:tcPr>
          <w:p w:rsidR="00E57F92" w:rsidRPr="00991236" w:rsidRDefault="00E57F92"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161213</w:t>
            </w:r>
            <w:r w:rsidRPr="00991236">
              <w:rPr>
                <w:rFonts w:eastAsiaTheme="minorEastAsia"/>
                <w:color w:val="000000" w:themeColor="text1"/>
                <w:kern w:val="0"/>
                <w:sz w:val="24"/>
              </w:rPr>
              <w:t>（前端）</w:t>
            </w:r>
          </w:p>
        </w:tc>
        <w:tc>
          <w:tcPr>
            <w:tcW w:w="2740" w:type="dxa"/>
            <w:tcBorders>
              <w:top w:val="single" w:sz="4" w:space="0" w:color="auto"/>
              <w:left w:val="single" w:sz="4" w:space="0" w:color="auto"/>
              <w:bottom w:val="single" w:sz="4" w:space="0" w:color="auto"/>
              <w:right w:val="single" w:sz="4" w:space="0" w:color="auto"/>
            </w:tcBorders>
            <w:vAlign w:val="center"/>
            <w:hideMark/>
          </w:tcPr>
          <w:p w:rsidR="00E57F92" w:rsidRPr="00991236" w:rsidRDefault="00E57F92"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161215</w:t>
            </w:r>
            <w:r w:rsidRPr="00991236">
              <w:rPr>
                <w:rFonts w:eastAsiaTheme="minorEastAsia"/>
                <w:color w:val="000000" w:themeColor="text1"/>
                <w:kern w:val="0"/>
                <w:sz w:val="24"/>
              </w:rPr>
              <w:t>（后端）</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基金运作方式</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上市契约型开放式</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基金合同生效日</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2010</w:t>
            </w:r>
            <w:r w:rsidRPr="00991236">
              <w:rPr>
                <w:rFonts w:eastAsiaTheme="minorEastAsia"/>
                <w:color w:val="000000" w:themeColor="text1"/>
                <w:kern w:val="0"/>
                <w:sz w:val="24"/>
              </w:rPr>
              <w:t>年</w:t>
            </w:r>
            <w:r w:rsidRPr="00991236">
              <w:rPr>
                <w:rFonts w:eastAsiaTheme="minorEastAsia"/>
                <w:color w:val="000000" w:themeColor="text1"/>
                <w:kern w:val="0"/>
                <w:sz w:val="24"/>
              </w:rPr>
              <w:t>12</w:t>
            </w:r>
            <w:r w:rsidRPr="00991236">
              <w:rPr>
                <w:rFonts w:eastAsiaTheme="minorEastAsia"/>
                <w:color w:val="000000" w:themeColor="text1"/>
                <w:kern w:val="0"/>
                <w:sz w:val="24"/>
              </w:rPr>
              <w:t>月</w:t>
            </w:r>
            <w:r w:rsidRPr="00991236">
              <w:rPr>
                <w:rFonts w:eastAsiaTheme="minorEastAsia"/>
                <w:color w:val="000000" w:themeColor="text1"/>
                <w:kern w:val="0"/>
                <w:sz w:val="24"/>
              </w:rPr>
              <w:t>16</w:t>
            </w:r>
            <w:r w:rsidRPr="00991236">
              <w:rPr>
                <w:rFonts w:eastAsiaTheme="minorEastAsia"/>
                <w:color w:val="000000" w:themeColor="text1"/>
                <w:kern w:val="0"/>
                <w:sz w:val="24"/>
              </w:rPr>
              <w:t>日</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报告期末基金份额总额</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24,736,625.21</w:t>
            </w:r>
            <w:r w:rsidRPr="00991236">
              <w:rPr>
                <w:rFonts w:eastAsiaTheme="minorEastAsia"/>
                <w:color w:val="000000" w:themeColor="text1"/>
                <w:kern w:val="0"/>
                <w:sz w:val="24"/>
              </w:rPr>
              <w:t>份</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投资目标</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本基金通过被动的指数化投资管理，实现对中证下游消费与服务产业指数的有效跟踪。</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投资策略</w:t>
            </w:r>
          </w:p>
        </w:tc>
        <w:tc>
          <w:tcPr>
            <w:tcW w:w="5479" w:type="dxa"/>
            <w:gridSpan w:val="2"/>
            <w:vAlign w:val="center"/>
          </w:tcPr>
          <w:p w:rsidR="003A6773" w:rsidRDefault="00C26A76">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本基金为被动式指数基金，采用完全复制标的指数的方法跟踪标的指数，即按照标的指数的成份股组成及其权重构建基金股票投资组合，并根据标的指数成份股及其权重的变动进行相应调整。</w:t>
            </w:r>
          </w:p>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lastRenderedPageBreak/>
              <w:t>为有效控制指数的跟踪误差，本基金在注重风险管理的前提下，以套期保值为目的，适度运用股指期货。</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lastRenderedPageBreak/>
              <w:t>业绩比较基准</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95%×</w:t>
            </w:r>
            <w:r w:rsidRPr="00991236">
              <w:rPr>
                <w:rFonts w:eastAsiaTheme="minorEastAsia"/>
                <w:color w:val="000000" w:themeColor="text1"/>
                <w:kern w:val="0"/>
                <w:sz w:val="24"/>
              </w:rPr>
              <w:t>中证下游消费与服务产业指数收益率＋</w:t>
            </w:r>
            <w:r w:rsidRPr="00991236">
              <w:rPr>
                <w:rFonts w:eastAsiaTheme="minorEastAsia"/>
                <w:color w:val="000000" w:themeColor="text1"/>
                <w:kern w:val="0"/>
                <w:sz w:val="24"/>
              </w:rPr>
              <w:t>5%×</w:t>
            </w:r>
            <w:r w:rsidRPr="00991236">
              <w:rPr>
                <w:rFonts w:eastAsiaTheme="minorEastAsia"/>
                <w:color w:val="000000" w:themeColor="text1"/>
                <w:kern w:val="0"/>
                <w:sz w:val="24"/>
              </w:rPr>
              <w:t>银行活期存款利率（税后）</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风险收益特征</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本基金为股票型基金，属于较高风险、较高预期收益的基金品种，其风险和预期收益高于货币市场基金、债券型基金和混合型基金</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基金管理人</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国投瑞银基金管理有限公司</w:t>
            </w:r>
          </w:p>
        </w:tc>
      </w:tr>
      <w:tr w:rsidR="003E712B" w:rsidRPr="00991236" w:rsidTr="002141B6">
        <w:tc>
          <w:tcPr>
            <w:tcW w:w="2835" w:type="dxa"/>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基金托管人</w:t>
            </w:r>
          </w:p>
        </w:tc>
        <w:tc>
          <w:tcPr>
            <w:tcW w:w="5479" w:type="dxa"/>
            <w:gridSpan w:val="2"/>
            <w:vAlign w:val="center"/>
          </w:tcPr>
          <w:p w:rsidR="00E57F92" w:rsidRPr="00991236" w:rsidRDefault="00E57F92" w:rsidP="002141B6">
            <w:pPr>
              <w:adjustRightInd w:val="0"/>
              <w:spacing w:before="29" w:line="360" w:lineRule="auto"/>
              <w:ind w:left="17"/>
              <w:rPr>
                <w:rFonts w:eastAsiaTheme="minorEastAsia"/>
                <w:color w:val="000000" w:themeColor="text1"/>
                <w:sz w:val="24"/>
              </w:rPr>
            </w:pPr>
            <w:r w:rsidRPr="00991236">
              <w:rPr>
                <w:rFonts w:eastAsiaTheme="minorEastAsia"/>
                <w:color w:val="000000" w:themeColor="text1"/>
                <w:kern w:val="0"/>
                <w:sz w:val="24"/>
              </w:rPr>
              <w:t>中国工商银行股份有限公司</w:t>
            </w:r>
          </w:p>
        </w:tc>
      </w:tr>
    </w:tbl>
    <w:p w:rsidR="00220542" w:rsidRPr="00991236" w:rsidRDefault="00220542" w:rsidP="005E22CC">
      <w:pPr>
        <w:pStyle w:val="1"/>
        <w:spacing w:beforeLines="100" w:afterLines="100" w:line="360" w:lineRule="auto"/>
        <w:jc w:val="center"/>
        <w:rPr>
          <w:rFonts w:eastAsiaTheme="minorEastAsia"/>
          <w:color w:val="000000" w:themeColor="text1"/>
          <w:kern w:val="0"/>
          <w:sz w:val="24"/>
          <w:szCs w:val="24"/>
        </w:rPr>
      </w:pPr>
      <w:r w:rsidRPr="00991236">
        <w:rPr>
          <w:rFonts w:eastAsiaTheme="minorEastAsia"/>
          <w:color w:val="000000" w:themeColor="text1"/>
          <w:kern w:val="0"/>
          <w:sz w:val="24"/>
          <w:szCs w:val="24"/>
        </w:rPr>
        <w:t xml:space="preserve">§3  </w:t>
      </w:r>
      <w:r w:rsidRPr="00991236">
        <w:rPr>
          <w:rFonts w:eastAsiaTheme="minorEastAsia"/>
          <w:color w:val="000000" w:themeColor="text1"/>
          <w:kern w:val="0"/>
          <w:sz w:val="24"/>
          <w:szCs w:val="24"/>
        </w:rPr>
        <w:t>主要财务指标和基金净值表现</w:t>
      </w:r>
    </w:p>
    <w:p w:rsidR="00220542" w:rsidRPr="00991236" w:rsidRDefault="00220542" w:rsidP="005A2DCB">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3.1 </w:t>
      </w:r>
      <w:r w:rsidRPr="00991236">
        <w:rPr>
          <w:rFonts w:eastAsiaTheme="minorEastAsia"/>
          <w:b/>
          <w:color w:val="000000" w:themeColor="text1"/>
          <w:kern w:val="0"/>
          <w:sz w:val="24"/>
        </w:rPr>
        <w:t>主要财务指标</w:t>
      </w:r>
    </w:p>
    <w:p w:rsidR="00220542" w:rsidRPr="00991236" w:rsidRDefault="00220542" w:rsidP="0019563C">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C26A76" w:rsidRPr="00991236" w:rsidTr="00C26A76">
        <w:tc>
          <w:tcPr>
            <w:tcW w:w="3402" w:type="dxa"/>
            <w:vAlign w:val="center"/>
          </w:tcPr>
          <w:p w:rsidR="000820A8" w:rsidRPr="00991236" w:rsidRDefault="000820A8" w:rsidP="002141B6">
            <w:pPr>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主要财务指标</w:t>
            </w:r>
          </w:p>
        </w:tc>
        <w:tc>
          <w:tcPr>
            <w:tcW w:w="4962" w:type="dxa"/>
            <w:vAlign w:val="center"/>
          </w:tcPr>
          <w:p w:rsidR="00225421" w:rsidRPr="00991236" w:rsidRDefault="00225421" w:rsidP="002141B6">
            <w:pPr>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报告期</w:t>
            </w:r>
          </w:p>
          <w:p w:rsidR="000820A8" w:rsidRPr="00991236" w:rsidRDefault="00225421" w:rsidP="002141B6">
            <w:pPr>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(2019</w:t>
            </w:r>
            <w:r w:rsidRPr="00991236">
              <w:rPr>
                <w:rFonts w:eastAsiaTheme="minorEastAsia"/>
                <w:color w:val="000000" w:themeColor="text1"/>
                <w:sz w:val="24"/>
              </w:rPr>
              <w:t>年</w:t>
            </w:r>
            <w:r w:rsidRPr="00991236">
              <w:rPr>
                <w:rFonts w:eastAsiaTheme="minorEastAsia"/>
                <w:color w:val="000000" w:themeColor="text1"/>
                <w:sz w:val="24"/>
              </w:rPr>
              <w:t>1</w:t>
            </w:r>
            <w:r w:rsidRPr="00991236">
              <w:rPr>
                <w:rFonts w:eastAsiaTheme="minorEastAsia"/>
                <w:color w:val="000000" w:themeColor="text1"/>
                <w:sz w:val="24"/>
              </w:rPr>
              <w:t>月</w:t>
            </w:r>
            <w:r w:rsidRPr="00991236">
              <w:rPr>
                <w:rFonts w:eastAsiaTheme="minorEastAsia"/>
                <w:color w:val="000000" w:themeColor="text1"/>
                <w:sz w:val="24"/>
              </w:rPr>
              <w:t>1</w:t>
            </w:r>
            <w:r w:rsidRPr="00991236">
              <w:rPr>
                <w:rFonts w:eastAsiaTheme="minorEastAsia"/>
                <w:color w:val="000000" w:themeColor="text1"/>
                <w:sz w:val="24"/>
              </w:rPr>
              <w:t>日</w:t>
            </w:r>
            <w:r w:rsidRPr="00991236">
              <w:rPr>
                <w:rFonts w:eastAsiaTheme="minorEastAsia"/>
                <w:color w:val="000000" w:themeColor="text1"/>
                <w:sz w:val="24"/>
              </w:rPr>
              <w:t>-2019</w:t>
            </w:r>
            <w:r w:rsidRPr="00991236">
              <w:rPr>
                <w:rFonts w:eastAsiaTheme="minorEastAsia"/>
                <w:color w:val="000000" w:themeColor="text1"/>
                <w:sz w:val="24"/>
              </w:rPr>
              <w:t>年</w:t>
            </w:r>
            <w:r w:rsidRPr="00991236">
              <w:rPr>
                <w:rFonts w:eastAsiaTheme="minorEastAsia"/>
                <w:color w:val="000000" w:themeColor="text1"/>
                <w:sz w:val="24"/>
              </w:rPr>
              <w:t>3</w:t>
            </w:r>
            <w:r w:rsidRPr="00991236">
              <w:rPr>
                <w:rFonts w:eastAsiaTheme="minorEastAsia"/>
                <w:color w:val="000000" w:themeColor="text1"/>
                <w:sz w:val="24"/>
              </w:rPr>
              <w:t>月</w:t>
            </w:r>
            <w:r w:rsidRPr="00991236">
              <w:rPr>
                <w:rFonts w:eastAsiaTheme="minorEastAsia"/>
                <w:color w:val="000000" w:themeColor="text1"/>
                <w:sz w:val="24"/>
              </w:rPr>
              <w:t>31</w:t>
            </w:r>
            <w:r w:rsidRPr="00991236">
              <w:rPr>
                <w:rFonts w:eastAsiaTheme="minorEastAsia"/>
                <w:color w:val="000000" w:themeColor="text1"/>
                <w:sz w:val="24"/>
              </w:rPr>
              <w:t>日</w:t>
            </w:r>
            <w:r w:rsidRPr="00991236">
              <w:rPr>
                <w:rFonts w:eastAsiaTheme="minorEastAsia"/>
                <w:color w:val="000000" w:themeColor="text1"/>
                <w:sz w:val="24"/>
              </w:rPr>
              <w:t>)</w:t>
            </w:r>
          </w:p>
        </w:tc>
      </w:tr>
      <w:tr w:rsidR="00C26A76" w:rsidRPr="00991236" w:rsidTr="00C26A76">
        <w:tc>
          <w:tcPr>
            <w:tcW w:w="3402" w:type="dxa"/>
            <w:vAlign w:val="center"/>
          </w:tcPr>
          <w:p w:rsidR="000820A8" w:rsidRPr="00991236" w:rsidRDefault="000820A8"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1.</w:t>
            </w:r>
            <w:r w:rsidRPr="00991236">
              <w:rPr>
                <w:rFonts w:eastAsiaTheme="minorEastAsia"/>
                <w:color w:val="000000" w:themeColor="text1"/>
                <w:kern w:val="0"/>
                <w:sz w:val="24"/>
              </w:rPr>
              <w:t>本期已实现收益</w:t>
            </w:r>
          </w:p>
        </w:tc>
        <w:tc>
          <w:tcPr>
            <w:tcW w:w="4962" w:type="dxa"/>
            <w:vAlign w:val="center"/>
          </w:tcPr>
          <w:p w:rsidR="000820A8" w:rsidRPr="00991236" w:rsidRDefault="000820A8" w:rsidP="002141B6">
            <w:pPr>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260,431.28</w:t>
            </w:r>
          </w:p>
        </w:tc>
      </w:tr>
      <w:tr w:rsidR="00C26A76" w:rsidRPr="00991236" w:rsidTr="00C26A76">
        <w:tc>
          <w:tcPr>
            <w:tcW w:w="3402" w:type="dxa"/>
            <w:vAlign w:val="center"/>
          </w:tcPr>
          <w:p w:rsidR="000820A8" w:rsidRPr="00991236" w:rsidRDefault="000820A8"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2.</w:t>
            </w:r>
            <w:r w:rsidRPr="00991236">
              <w:rPr>
                <w:rFonts w:eastAsiaTheme="minorEastAsia"/>
                <w:color w:val="000000" w:themeColor="text1"/>
                <w:kern w:val="0"/>
                <w:sz w:val="24"/>
              </w:rPr>
              <w:t>本期利润</w:t>
            </w:r>
          </w:p>
        </w:tc>
        <w:tc>
          <w:tcPr>
            <w:tcW w:w="4962" w:type="dxa"/>
            <w:vAlign w:val="center"/>
          </w:tcPr>
          <w:p w:rsidR="000820A8" w:rsidRPr="00991236" w:rsidRDefault="000820A8" w:rsidP="002141B6">
            <w:pPr>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9,549,819.28</w:t>
            </w:r>
          </w:p>
        </w:tc>
      </w:tr>
      <w:tr w:rsidR="00C26A76" w:rsidRPr="00991236" w:rsidTr="00C26A76">
        <w:tc>
          <w:tcPr>
            <w:tcW w:w="3402" w:type="dxa"/>
            <w:vAlign w:val="center"/>
          </w:tcPr>
          <w:p w:rsidR="000820A8" w:rsidRPr="00991236" w:rsidRDefault="000820A8"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3.</w:t>
            </w:r>
            <w:r w:rsidRPr="00991236">
              <w:rPr>
                <w:rFonts w:eastAsiaTheme="minorEastAsia"/>
                <w:color w:val="000000" w:themeColor="text1"/>
                <w:kern w:val="0"/>
                <w:sz w:val="24"/>
              </w:rPr>
              <w:t>加权平均基金份额本期利润</w:t>
            </w:r>
          </w:p>
        </w:tc>
        <w:tc>
          <w:tcPr>
            <w:tcW w:w="4962" w:type="dxa"/>
            <w:vAlign w:val="center"/>
          </w:tcPr>
          <w:p w:rsidR="000820A8" w:rsidRPr="00991236" w:rsidRDefault="000820A8" w:rsidP="002141B6">
            <w:pPr>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0.3763</w:t>
            </w:r>
          </w:p>
        </w:tc>
      </w:tr>
      <w:tr w:rsidR="00C26A76" w:rsidRPr="00991236" w:rsidTr="00C26A76">
        <w:tc>
          <w:tcPr>
            <w:tcW w:w="3402" w:type="dxa"/>
            <w:vAlign w:val="center"/>
          </w:tcPr>
          <w:p w:rsidR="000820A8" w:rsidRPr="00991236" w:rsidRDefault="000820A8"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4.</w:t>
            </w:r>
            <w:r w:rsidRPr="00991236">
              <w:rPr>
                <w:rFonts w:eastAsiaTheme="minorEastAsia"/>
                <w:color w:val="000000" w:themeColor="text1"/>
                <w:kern w:val="0"/>
                <w:sz w:val="24"/>
              </w:rPr>
              <w:t>期末基金资产净值</w:t>
            </w:r>
          </w:p>
        </w:tc>
        <w:tc>
          <w:tcPr>
            <w:tcW w:w="4962" w:type="dxa"/>
            <w:vAlign w:val="center"/>
          </w:tcPr>
          <w:p w:rsidR="000820A8" w:rsidRPr="00991236" w:rsidRDefault="000820A8" w:rsidP="002141B6">
            <w:pPr>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39,032,432.22</w:t>
            </w:r>
          </w:p>
        </w:tc>
      </w:tr>
      <w:tr w:rsidR="00C26A76" w:rsidRPr="00991236" w:rsidTr="00C26A76">
        <w:trPr>
          <w:trHeight w:val="158"/>
        </w:trPr>
        <w:tc>
          <w:tcPr>
            <w:tcW w:w="3402" w:type="dxa"/>
            <w:vAlign w:val="center"/>
          </w:tcPr>
          <w:p w:rsidR="000820A8" w:rsidRPr="00991236" w:rsidRDefault="000820A8" w:rsidP="002141B6">
            <w:pPr>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5.</w:t>
            </w:r>
            <w:r w:rsidRPr="00991236">
              <w:rPr>
                <w:rFonts w:eastAsiaTheme="minorEastAsia"/>
                <w:color w:val="000000" w:themeColor="text1"/>
                <w:kern w:val="0"/>
                <w:sz w:val="24"/>
              </w:rPr>
              <w:t>期末基金份额净值</w:t>
            </w:r>
          </w:p>
        </w:tc>
        <w:tc>
          <w:tcPr>
            <w:tcW w:w="4962" w:type="dxa"/>
            <w:vAlign w:val="center"/>
          </w:tcPr>
          <w:p w:rsidR="000820A8" w:rsidRPr="00991236" w:rsidRDefault="000820A8" w:rsidP="002141B6">
            <w:pPr>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1.578</w:t>
            </w:r>
          </w:p>
        </w:tc>
      </w:tr>
    </w:tbl>
    <w:p w:rsidR="003A6773" w:rsidRDefault="00C26A7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、本期已实现收益指基金本期利息收入、投资收益、其他收入（不含公允价值变动收益）扣除相关费用后的余额，本期利润为本期已实现收益加上本期公允价值变动收益。</w:t>
      </w:r>
    </w:p>
    <w:p w:rsidR="00220542" w:rsidRPr="00BB2922" w:rsidRDefault="000820A8"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2</w:t>
      </w:r>
      <w:r w:rsidRPr="00BB2922">
        <w:rPr>
          <w:rFonts w:eastAsiaTheme="minorEastAsia"/>
          <w:color w:val="000000" w:themeColor="text1"/>
          <w:sz w:val="24"/>
        </w:rPr>
        <w:t>、以上所述基金业绩指标不包括持有人认购或交易基金的各项费用（例如基金申购赎回费、基金转换费等）</w:t>
      </w:r>
      <w:r w:rsidRPr="00BB2922">
        <w:rPr>
          <w:rFonts w:eastAsiaTheme="minorEastAsia"/>
          <w:color w:val="000000" w:themeColor="text1"/>
          <w:sz w:val="24"/>
        </w:rPr>
        <w:t>,</w:t>
      </w:r>
      <w:r w:rsidRPr="00BB2922">
        <w:rPr>
          <w:rFonts w:eastAsiaTheme="minorEastAsia"/>
          <w:color w:val="000000" w:themeColor="text1"/>
          <w:sz w:val="24"/>
        </w:rPr>
        <w:t>计入费用后实际收益水平要低于所列数字。</w:t>
      </w:r>
    </w:p>
    <w:p w:rsidR="00220542" w:rsidRPr="00991236" w:rsidRDefault="00220542" w:rsidP="0019563C">
      <w:pPr>
        <w:autoSpaceDE w:val="0"/>
        <w:autoSpaceDN w:val="0"/>
        <w:adjustRightInd w:val="0"/>
        <w:spacing w:line="360" w:lineRule="auto"/>
        <w:jc w:val="left"/>
        <w:rPr>
          <w:rFonts w:eastAsiaTheme="minorEastAsia"/>
          <w:color w:val="000000" w:themeColor="text1"/>
          <w:kern w:val="0"/>
          <w:sz w:val="24"/>
        </w:rPr>
      </w:pPr>
    </w:p>
    <w:p w:rsidR="00220542" w:rsidRPr="00991236" w:rsidRDefault="00220542" w:rsidP="005A2DCB">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3.2 </w:t>
      </w:r>
      <w:r w:rsidRPr="00991236">
        <w:rPr>
          <w:rFonts w:eastAsiaTheme="minorEastAsia"/>
          <w:b/>
          <w:color w:val="000000" w:themeColor="text1"/>
          <w:kern w:val="0"/>
          <w:sz w:val="24"/>
        </w:rPr>
        <w:t>基金净值表现</w:t>
      </w:r>
    </w:p>
    <w:p w:rsidR="00220542" w:rsidRPr="00991236" w:rsidRDefault="00220542" w:rsidP="005A2DCB">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991236">
          <w:rPr>
            <w:rFonts w:eastAsiaTheme="minorEastAsia"/>
            <w:b/>
            <w:color w:val="000000" w:themeColor="text1"/>
            <w:kern w:val="0"/>
            <w:sz w:val="24"/>
          </w:rPr>
          <w:t>3.2.1</w:t>
        </w:r>
      </w:smartTag>
      <w:r w:rsidRPr="00991236">
        <w:rPr>
          <w:rFonts w:eastAsiaTheme="minorEastAsia"/>
          <w:b/>
          <w:color w:val="000000" w:themeColor="text1"/>
          <w:kern w:val="0"/>
          <w:sz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3E712B" w:rsidRPr="00991236" w:rsidTr="002141B6">
        <w:tc>
          <w:tcPr>
            <w:tcW w:w="1395"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阶段</w:t>
            </w:r>
          </w:p>
        </w:tc>
        <w:tc>
          <w:tcPr>
            <w:tcW w:w="1092"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净值增长率</w:t>
            </w:r>
            <w:r w:rsidRPr="00991236">
              <w:rPr>
                <w:rFonts w:ascii="宋体" w:hAnsi="宋体" w:cs="宋体" w:hint="eastAsia"/>
                <w:color w:val="000000" w:themeColor="text1"/>
                <w:sz w:val="24"/>
              </w:rPr>
              <w:t>①</w:t>
            </w:r>
          </w:p>
        </w:tc>
        <w:tc>
          <w:tcPr>
            <w:tcW w:w="1161"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净值增长率标准差</w:t>
            </w:r>
            <w:r w:rsidRPr="00991236">
              <w:rPr>
                <w:rFonts w:ascii="宋体" w:hAnsi="宋体" w:cs="宋体" w:hint="eastAsia"/>
                <w:color w:val="000000" w:themeColor="text1"/>
                <w:sz w:val="24"/>
              </w:rPr>
              <w:t>②</w:t>
            </w:r>
          </w:p>
        </w:tc>
        <w:tc>
          <w:tcPr>
            <w:tcW w:w="1181"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业绩比较基准收益率</w:t>
            </w:r>
            <w:r w:rsidRPr="00991236">
              <w:rPr>
                <w:rFonts w:ascii="宋体" w:hAnsi="宋体" w:cs="宋体" w:hint="eastAsia"/>
                <w:color w:val="000000" w:themeColor="text1"/>
                <w:sz w:val="24"/>
              </w:rPr>
              <w:t>③</w:t>
            </w:r>
          </w:p>
        </w:tc>
        <w:tc>
          <w:tcPr>
            <w:tcW w:w="1188"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业绩比较基准收益率标准差</w:t>
            </w:r>
            <w:r w:rsidRPr="00991236">
              <w:rPr>
                <w:rFonts w:ascii="宋体" w:hAnsi="宋体" w:cs="宋体" w:hint="eastAsia"/>
                <w:color w:val="000000" w:themeColor="text1"/>
                <w:sz w:val="24"/>
              </w:rPr>
              <w:t>④</w:t>
            </w:r>
          </w:p>
        </w:tc>
        <w:tc>
          <w:tcPr>
            <w:tcW w:w="1199"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ascii="宋体" w:hAnsi="宋体" w:cs="宋体" w:hint="eastAsia"/>
                <w:color w:val="000000" w:themeColor="text1"/>
                <w:sz w:val="24"/>
              </w:rPr>
              <w:t>①</w:t>
            </w:r>
            <w:r w:rsidRPr="00991236">
              <w:rPr>
                <w:rFonts w:eastAsiaTheme="minorEastAsia"/>
                <w:color w:val="000000" w:themeColor="text1"/>
                <w:sz w:val="24"/>
              </w:rPr>
              <w:t>-</w:t>
            </w:r>
            <w:r w:rsidRPr="00991236">
              <w:rPr>
                <w:rFonts w:ascii="宋体" w:hAnsi="宋体" w:cs="宋体" w:hint="eastAsia"/>
                <w:color w:val="000000" w:themeColor="text1"/>
                <w:sz w:val="24"/>
              </w:rPr>
              <w:t>③</w:t>
            </w:r>
          </w:p>
        </w:tc>
        <w:tc>
          <w:tcPr>
            <w:tcW w:w="1204"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ascii="宋体" w:hAnsi="宋体" w:cs="宋体" w:hint="eastAsia"/>
                <w:color w:val="000000" w:themeColor="text1"/>
                <w:sz w:val="24"/>
              </w:rPr>
              <w:t>②</w:t>
            </w:r>
            <w:r w:rsidRPr="00991236">
              <w:rPr>
                <w:rFonts w:eastAsiaTheme="minorEastAsia"/>
                <w:color w:val="000000" w:themeColor="text1"/>
                <w:sz w:val="24"/>
              </w:rPr>
              <w:t>-</w:t>
            </w:r>
            <w:r w:rsidRPr="00991236">
              <w:rPr>
                <w:rFonts w:ascii="宋体" w:hAnsi="宋体" w:cs="宋体" w:hint="eastAsia"/>
                <w:color w:val="000000" w:themeColor="text1"/>
                <w:sz w:val="24"/>
              </w:rPr>
              <w:t>④</w:t>
            </w:r>
          </w:p>
        </w:tc>
      </w:tr>
      <w:tr w:rsidR="003A6773">
        <w:tc>
          <w:tcPr>
            <w:tcW w:w="1395" w:type="dxa"/>
            <w:vAlign w:val="center"/>
          </w:tcPr>
          <w:p w:rsidR="003A6773" w:rsidRDefault="00C26A76">
            <w:pPr>
              <w:jc w:val="left"/>
            </w:pPr>
            <w:r>
              <w:rPr>
                <w:rFonts w:eastAsiaTheme="minorEastAsia"/>
                <w:color w:val="000000" w:themeColor="text1"/>
                <w:sz w:val="24"/>
              </w:rPr>
              <w:t>过去三个月</w:t>
            </w:r>
          </w:p>
        </w:tc>
        <w:tc>
          <w:tcPr>
            <w:tcW w:w="1092" w:type="dxa"/>
            <w:vAlign w:val="center"/>
          </w:tcPr>
          <w:p w:rsidR="003A6773" w:rsidRDefault="00C26A76">
            <w:pPr>
              <w:jc w:val="center"/>
            </w:pPr>
            <w:r>
              <w:rPr>
                <w:rFonts w:eastAsiaTheme="minorEastAsia"/>
                <w:color w:val="000000" w:themeColor="text1"/>
                <w:sz w:val="24"/>
              </w:rPr>
              <w:t>31.28%</w:t>
            </w:r>
          </w:p>
        </w:tc>
        <w:tc>
          <w:tcPr>
            <w:tcW w:w="1161" w:type="dxa"/>
            <w:vAlign w:val="center"/>
          </w:tcPr>
          <w:p w:rsidR="003A6773" w:rsidRDefault="00C26A76">
            <w:pPr>
              <w:jc w:val="center"/>
            </w:pPr>
            <w:r>
              <w:rPr>
                <w:rFonts w:eastAsiaTheme="minorEastAsia"/>
                <w:color w:val="000000" w:themeColor="text1"/>
                <w:sz w:val="24"/>
              </w:rPr>
              <w:t>1.48%</w:t>
            </w:r>
          </w:p>
        </w:tc>
        <w:tc>
          <w:tcPr>
            <w:tcW w:w="1181" w:type="dxa"/>
            <w:vAlign w:val="center"/>
          </w:tcPr>
          <w:p w:rsidR="003A6773" w:rsidRDefault="00C26A76">
            <w:pPr>
              <w:jc w:val="center"/>
            </w:pPr>
            <w:r>
              <w:rPr>
                <w:rFonts w:eastAsiaTheme="minorEastAsia"/>
                <w:color w:val="000000" w:themeColor="text1"/>
                <w:sz w:val="24"/>
              </w:rPr>
              <w:t>31.69%</w:t>
            </w:r>
          </w:p>
        </w:tc>
        <w:tc>
          <w:tcPr>
            <w:tcW w:w="1188" w:type="dxa"/>
            <w:vAlign w:val="center"/>
          </w:tcPr>
          <w:p w:rsidR="003A6773" w:rsidRDefault="00C26A76">
            <w:pPr>
              <w:jc w:val="center"/>
            </w:pPr>
            <w:r>
              <w:rPr>
                <w:rFonts w:eastAsiaTheme="minorEastAsia"/>
                <w:color w:val="000000" w:themeColor="text1"/>
                <w:sz w:val="24"/>
              </w:rPr>
              <w:t>1.49%</w:t>
            </w:r>
          </w:p>
        </w:tc>
        <w:tc>
          <w:tcPr>
            <w:tcW w:w="1199" w:type="dxa"/>
            <w:vAlign w:val="center"/>
          </w:tcPr>
          <w:p w:rsidR="003A6773" w:rsidRDefault="00C26A76">
            <w:pPr>
              <w:jc w:val="center"/>
            </w:pPr>
            <w:r>
              <w:rPr>
                <w:rFonts w:eastAsiaTheme="minorEastAsia"/>
                <w:color w:val="000000" w:themeColor="text1"/>
                <w:sz w:val="24"/>
              </w:rPr>
              <w:t>-0.41%</w:t>
            </w:r>
          </w:p>
        </w:tc>
        <w:tc>
          <w:tcPr>
            <w:tcW w:w="1204" w:type="dxa"/>
            <w:vAlign w:val="center"/>
          </w:tcPr>
          <w:p w:rsidR="003A6773" w:rsidRDefault="00C26A76">
            <w:pPr>
              <w:jc w:val="center"/>
            </w:pPr>
            <w:r>
              <w:rPr>
                <w:rFonts w:eastAsiaTheme="minorEastAsia"/>
                <w:color w:val="000000" w:themeColor="text1"/>
                <w:sz w:val="24"/>
              </w:rPr>
              <w:t>-0.01%</w:t>
            </w:r>
          </w:p>
        </w:tc>
      </w:tr>
    </w:tbl>
    <w:p w:rsidR="003A6773" w:rsidRDefault="00C26A76">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、本基金是以中证下游消费与服务产业指数为标的指数的被动式、指数型基金，故以</w:t>
      </w:r>
      <w:r>
        <w:rPr>
          <w:rFonts w:eastAsiaTheme="minorEastAsia"/>
          <w:color w:val="000000" w:themeColor="text1"/>
          <w:sz w:val="24"/>
        </w:rPr>
        <w:t>95%×</w:t>
      </w:r>
      <w:r>
        <w:rPr>
          <w:rFonts w:eastAsiaTheme="minorEastAsia"/>
          <w:color w:val="000000" w:themeColor="text1"/>
          <w:sz w:val="24"/>
        </w:rPr>
        <w:t>中证下游消费与服务产业指数收益率＋</w:t>
      </w:r>
      <w:r>
        <w:rPr>
          <w:rFonts w:eastAsiaTheme="minorEastAsia"/>
          <w:color w:val="000000" w:themeColor="text1"/>
          <w:sz w:val="24"/>
        </w:rPr>
        <w:t>5%×</w:t>
      </w:r>
      <w:r>
        <w:rPr>
          <w:rFonts w:eastAsiaTheme="minorEastAsia"/>
          <w:color w:val="000000" w:themeColor="text1"/>
          <w:sz w:val="24"/>
        </w:rPr>
        <w:t>银行活期存款利率（税后）作为本基金业绩比较基准。</w:t>
      </w:r>
    </w:p>
    <w:p w:rsidR="00220542" w:rsidRPr="00BB2922" w:rsidRDefault="000820A8"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2</w:t>
      </w:r>
      <w:r w:rsidRPr="00BB2922">
        <w:rPr>
          <w:rFonts w:eastAsiaTheme="minorEastAsia"/>
          <w:color w:val="000000" w:themeColor="text1"/>
          <w:sz w:val="24"/>
        </w:rPr>
        <w:t>、本基金对业绩比较基准采用每日再平衡的计算方法。</w:t>
      </w:r>
    </w:p>
    <w:p w:rsidR="00220542" w:rsidRPr="00991236" w:rsidRDefault="00220542" w:rsidP="0019563C">
      <w:pPr>
        <w:autoSpaceDE w:val="0"/>
        <w:autoSpaceDN w:val="0"/>
        <w:adjustRightInd w:val="0"/>
        <w:spacing w:line="360" w:lineRule="auto"/>
        <w:jc w:val="left"/>
        <w:rPr>
          <w:rFonts w:eastAsiaTheme="minorEastAsia"/>
          <w:color w:val="000000" w:themeColor="text1"/>
          <w:kern w:val="0"/>
          <w:sz w:val="24"/>
        </w:rPr>
      </w:pPr>
    </w:p>
    <w:p w:rsidR="00220542" w:rsidRPr="00991236" w:rsidRDefault="00220542" w:rsidP="005A2DCB">
      <w:pPr>
        <w:spacing w:line="360" w:lineRule="auto"/>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991236">
          <w:rPr>
            <w:rFonts w:eastAsiaTheme="minorEastAsia"/>
            <w:b/>
            <w:color w:val="000000" w:themeColor="text1"/>
            <w:kern w:val="0"/>
            <w:sz w:val="24"/>
          </w:rPr>
          <w:t>3.2.2</w:t>
        </w:r>
        <w:r w:rsidR="004F759F" w:rsidRPr="00991236">
          <w:rPr>
            <w:rStyle w:val="af8"/>
            <w:rFonts w:eastAsiaTheme="minorEastAsia"/>
            <w:color w:val="000000" w:themeColor="text1"/>
            <w:sz w:val="24"/>
            <w:shd w:val="clear" w:color="auto" w:fill="FFFFFF"/>
          </w:rPr>
          <w:t>自基金合同生效以来</w:t>
        </w:r>
      </w:smartTag>
      <w:r w:rsidRPr="00991236">
        <w:rPr>
          <w:rFonts w:eastAsiaTheme="minorEastAsia"/>
          <w:b/>
          <w:bCs/>
          <w:color w:val="000000" w:themeColor="text1"/>
          <w:sz w:val="24"/>
        </w:rPr>
        <w:t>基金累计净值增长率变动及其与同期业绩比较基准收益率变动的比较</w:t>
      </w:r>
    </w:p>
    <w:p w:rsidR="00CE3519" w:rsidRPr="00991236" w:rsidRDefault="00CE3519" w:rsidP="005A2DCB">
      <w:pPr>
        <w:spacing w:line="360" w:lineRule="auto"/>
        <w:jc w:val="center"/>
        <w:rPr>
          <w:rFonts w:eastAsiaTheme="minorEastAsia"/>
          <w:color w:val="000000" w:themeColor="text1"/>
          <w:sz w:val="24"/>
        </w:rPr>
      </w:pPr>
      <w:r w:rsidRPr="00991236">
        <w:rPr>
          <w:rFonts w:eastAsiaTheme="minorEastAsia"/>
          <w:color w:val="000000" w:themeColor="text1"/>
          <w:sz w:val="24"/>
        </w:rPr>
        <w:t>国投瑞银中证下游消费与服务产业指数证券投资基金（</w:t>
      </w:r>
      <w:r w:rsidRPr="00991236">
        <w:rPr>
          <w:rFonts w:eastAsiaTheme="minorEastAsia"/>
          <w:color w:val="000000" w:themeColor="text1"/>
          <w:sz w:val="24"/>
        </w:rPr>
        <w:t>LOF</w:t>
      </w:r>
      <w:r w:rsidRPr="00991236">
        <w:rPr>
          <w:rFonts w:eastAsiaTheme="minorEastAsia"/>
          <w:color w:val="000000" w:themeColor="text1"/>
          <w:sz w:val="24"/>
        </w:rPr>
        <w:t>）</w:t>
      </w:r>
    </w:p>
    <w:p w:rsidR="00CE3519" w:rsidRPr="00991236" w:rsidRDefault="00CE3519" w:rsidP="005A2DCB">
      <w:pPr>
        <w:pStyle w:val="a5"/>
        <w:snapToGrid w:val="0"/>
        <w:spacing w:line="360" w:lineRule="auto"/>
        <w:jc w:val="center"/>
        <w:rPr>
          <w:rFonts w:ascii="Times New Roman" w:eastAsiaTheme="minorEastAsia" w:hAnsi="Times New Roman"/>
          <w:color w:val="000000" w:themeColor="text1"/>
          <w:sz w:val="24"/>
          <w:szCs w:val="24"/>
        </w:rPr>
      </w:pPr>
      <w:r w:rsidRPr="00991236">
        <w:rPr>
          <w:rFonts w:ascii="Times New Roman" w:eastAsiaTheme="minorEastAsia" w:hAnsi="Times New Roman"/>
          <w:color w:val="000000" w:themeColor="text1"/>
          <w:sz w:val="24"/>
          <w:szCs w:val="24"/>
        </w:rPr>
        <w:t>累计净值增长率与业绩比较基准收益率历史走势对比图</w:t>
      </w:r>
    </w:p>
    <w:p w:rsidR="00202885" w:rsidRPr="00991236" w:rsidRDefault="00202885" w:rsidP="005A2DCB">
      <w:pPr>
        <w:spacing w:line="360" w:lineRule="auto"/>
        <w:jc w:val="center"/>
        <w:rPr>
          <w:rFonts w:eastAsiaTheme="minorEastAsia"/>
          <w:color w:val="000000" w:themeColor="text1"/>
          <w:sz w:val="24"/>
        </w:rPr>
      </w:pPr>
      <w:r w:rsidRPr="00991236">
        <w:rPr>
          <w:rFonts w:eastAsiaTheme="minorEastAsia"/>
          <w:color w:val="000000" w:themeColor="text1"/>
          <w:kern w:val="0"/>
          <w:sz w:val="24"/>
        </w:rPr>
        <w:t>（</w:t>
      </w:r>
      <w:r w:rsidR="005C0A04" w:rsidRPr="00991236">
        <w:rPr>
          <w:rFonts w:eastAsiaTheme="minorEastAsia"/>
          <w:color w:val="000000" w:themeColor="text1"/>
          <w:kern w:val="0"/>
          <w:sz w:val="24"/>
        </w:rPr>
        <w:t>2010</w:t>
      </w:r>
      <w:r w:rsidR="005C0A04" w:rsidRPr="00991236">
        <w:rPr>
          <w:rFonts w:eastAsiaTheme="minorEastAsia"/>
          <w:color w:val="000000" w:themeColor="text1"/>
          <w:kern w:val="0"/>
          <w:sz w:val="24"/>
        </w:rPr>
        <w:t>年</w:t>
      </w:r>
      <w:r w:rsidR="005C0A04" w:rsidRPr="00991236">
        <w:rPr>
          <w:rFonts w:eastAsiaTheme="minorEastAsia"/>
          <w:color w:val="000000" w:themeColor="text1"/>
          <w:kern w:val="0"/>
          <w:sz w:val="24"/>
        </w:rPr>
        <w:t>12</w:t>
      </w:r>
      <w:r w:rsidR="005C0A04" w:rsidRPr="00991236">
        <w:rPr>
          <w:rFonts w:eastAsiaTheme="minorEastAsia"/>
          <w:color w:val="000000" w:themeColor="text1"/>
          <w:kern w:val="0"/>
          <w:sz w:val="24"/>
        </w:rPr>
        <w:t>月</w:t>
      </w:r>
      <w:r w:rsidR="005C0A04" w:rsidRPr="00991236">
        <w:rPr>
          <w:rFonts w:eastAsiaTheme="minorEastAsia"/>
          <w:color w:val="000000" w:themeColor="text1"/>
          <w:kern w:val="0"/>
          <w:sz w:val="24"/>
        </w:rPr>
        <w:t>16</w:t>
      </w:r>
      <w:r w:rsidR="005C0A04" w:rsidRPr="00991236">
        <w:rPr>
          <w:rFonts w:eastAsiaTheme="minorEastAsia"/>
          <w:color w:val="000000" w:themeColor="text1"/>
          <w:kern w:val="0"/>
          <w:sz w:val="24"/>
        </w:rPr>
        <w:t>日</w:t>
      </w:r>
      <w:r w:rsidRPr="00991236">
        <w:rPr>
          <w:rFonts w:eastAsiaTheme="minorEastAsia"/>
          <w:color w:val="000000" w:themeColor="text1"/>
          <w:kern w:val="0"/>
          <w:sz w:val="24"/>
        </w:rPr>
        <w:t>至</w:t>
      </w:r>
      <w:r w:rsidRPr="00991236">
        <w:rPr>
          <w:rFonts w:eastAsiaTheme="minorEastAsia"/>
          <w:color w:val="000000" w:themeColor="text1"/>
          <w:kern w:val="0"/>
          <w:sz w:val="24"/>
        </w:rPr>
        <w:t>2019</w:t>
      </w:r>
      <w:r w:rsidRPr="00991236">
        <w:rPr>
          <w:rFonts w:eastAsiaTheme="minorEastAsia"/>
          <w:color w:val="000000" w:themeColor="text1"/>
          <w:kern w:val="0"/>
          <w:sz w:val="24"/>
        </w:rPr>
        <w:t>年</w:t>
      </w:r>
      <w:r w:rsidRPr="00991236">
        <w:rPr>
          <w:rFonts w:eastAsiaTheme="minorEastAsia"/>
          <w:color w:val="000000" w:themeColor="text1"/>
          <w:kern w:val="0"/>
          <w:sz w:val="24"/>
        </w:rPr>
        <w:t>3</w:t>
      </w:r>
      <w:r w:rsidRPr="00991236">
        <w:rPr>
          <w:rFonts w:eastAsiaTheme="minorEastAsia"/>
          <w:color w:val="000000" w:themeColor="text1"/>
          <w:kern w:val="0"/>
          <w:sz w:val="24"/>
        </w:rPr>
        <w:t>月</w:t>
      </w:r>
      <w:r w:rsidRPr="00991236">
        <w:rPr>
          <w:rFonts w:eastAsiaTheme="minorEastAsia"/>
          <w:color w:val="000000" w:themeColor="text1"/>
          <w:kern w:val="0"/>
          <w:sz w:val="24"/>
        </w:rPr>
        <w:t>31</w:t>
      </w:r>
      <w:r w:rsidRPr="00991236">
        <w:rPr>
          <w:rFonts w:eastAsiaTheme="minorEastAsia"/>
          <w:color w:val="000000" w:themeColor="text1"/>
          <w:kern w:val="0"/>
          <w:sz w:val="24"/>
        </w:rPr>
        <w:t>日）</w:t>
      </w:r>
    </w:p>
    <w:p w:rsidR="00CE3519" w:rsidRPr="00991236" w:rsidRDefault="006F2F3E" w:rsidP="00CE3519">
      <w:pPr>
        <w:tabs>
          <w:tab w:val="left" w:pos="1800"/>
        </w:tabs>
        <w:spacing w:line="360" w:lineRule="auto"/>
        <w:jc w:val="center"/>
        <w:rPr>
          <w:rFonts w:eastAsiaTheme="minorEastAsia"/>
          <w:color w:val="000000" w:themeColor="text1"/>
          <w:sz w:val="24"/>
        </w:rPr>
      </w:pPr>
      <w:r w:rsidRPr="00991236">
        <w:rPr>
          <w:rFonts w:eastAsia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CE3519" w:rsidRPr="00BB2922" w:rsidRDefault="00CE3519"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注：本基金建仓期为自基金合同生效日起的</w:t>
      </w:r>
      <w:r w:rsidRPr="00BB2922">
        <w:rPr>
          <w:rFonts w:eastAsiaTheme="minorEastAsia"/>
          <w:color w:val="000000" w:themeColor="text1"/>
          <w:sz w:val="24"/>
        </w:rPr>
        <w:t>6</w:t>
      </w:r>
      <w:r w:rsidRPr="00BB2922">
        <w:rPr>
          <w:rFonts w:eastAsiaTheme="minorEastAsia"/>
          <w:color w:val="000000" w:themeColor="text1"/>
          <w:sz w:val="24"/>
        </w:rPr>
        <w:t>个月。截至建仓期结束，本基金各项资产配置比例符合基金合同及招募说明书有关投资比例的约定。</w:t>
      </w:r>
    </w:p>
    <w:p w:rsidR="00CE3519" w:rsidRPr="00991236" w:rsidRDefault="00CE3519" w:rsidP="00CE3519">
      <w:pPr>
        <w:pStyle w:val="a5"/>
        <w:snapToGrid w:val="0"/>
        <w:spacing w:before="120" w:line="360" w:lineRule="auto"/>
        <w:jc w:val="center"/>
        <w:rPr>
          <w:rFonts w:ascii="Times New Roman" w:eastAsiaTheme="minorEastAsia" w:hAnsi="Times New Roman"/>
          <w:color w:val="000000" w:themeColor="text1"/>
          <w:sz w:val="24"/>
          <w:szCs w:val="24"/>
        </w:rPr>
      </w:pPr>
    </w:p>
    <w:p w:rsidR="00220542" w:rsidRPr="00991236" w:rsidRDefault="00220542" w:rsidP="005E22CC">
      <w:pPr>
        <w:pStyle w:val="1"/>
        <w:spacing w:beforeLines="100" w:afterLines="100" w:line="360" w:lineRule="auto"/>
        <w:jc w:val="center"/>
        <w:rPr>
          <w:rFonts w:eastAsiaTheme="minorEastAsia"/>
          <w:color w:val="000000" w:themeColor="text1"/>
          <w:kern w:val="0"/>
          <w:sz w:val="24"/>
          <w:szCs w:val="24"/>
        </w:rPr>
      </w:pPr>
      <w:r w:rsidRPr="00991236">
        <w:rPr>
          <w:rFonts w:eastAsiaTheme="minorEastAsia"/>
          <w:color w:val="000000" w:themeColor="text1"/>
          <w:kern w:val="0"/>
          <w:sz w:val="24"/>
          <w:szCs w:val="24"/>
        </w:rPr>
        <w:t xml:space="preserve">§4  </w:t>
      </w:r>
      <w:r w:rsidRPr="00991236">
        <w:rPr>
          <w:rFonts w:eastAsiaTheme="minorEastAsia"/>
          <w:color w:val="000000" w:themeColor="text1"/>
          <w:kern w:val="0"/>
          <w:sz w:val="24"/>
          <w:szCs w:val="24"/>
        </w:rPr>
        <w:t>管理人报告</w:t>
      </w:r>
    </w:p>
    <w:p w:rsidR="00220542" w:rsidRPr="00991236" w:rsidRDefault="00220542" w:rsidP="005A2DCB">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4.1 </w:t>
      </w:r>
      <w:r w:rsidRPr="00991236">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3E712B" w:rsidRPr="00991236" w:rsidTr="002141B6">
        <w:trPr>
          <w:cantSplit/>
          <w:trHeight w:val="292"/>
        </w:trPr>
        <w:tc>
          <w:tcPr>
            <w:tcW w:w="851" w:type="dxa"/>
            <w:vMerge w:val="restart"/>
            <w:vAlign w:val="center"/>
          </w:tcPr>
          <w:p w:rsidR="000820A8" w:rsidRPr="00991236" w:rsidRDefault="000820A8" w:rsidP="002141B6">
            <w:pPr>
              <w:widowControl/>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姓名</w:t>
            </w:r>
          </w:p>
        </w:tc>
        <w:tc>
          <w:tcPr>
            <w:tcW w:w="850" w:type="dxa"/>
            <w:vMerge w:val="restart"/>
            <w:vAlign w:val="center"/>
          </w:tcPr>
          <w:p w:rsidR="000820A8" w:rsidRPr="00991236" w:rsidRDefault="000820A8" w:rsidP="002141B6">
            <w:pPr>
              <w:widowControl/>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职务</w:t>
            </w:r>
          </w:p>
        </w:tc>
        <w:tc>
          <w:tcPr>
            <w:tcW w:w="3119" w:type="dxa"/>
            <w:gridSpan w:val="2"/>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任本基金的基金经理期限</w:t>
            </w:r>
          </w:p>
        </w:tc>
        <w:tc>
          <w:tcPr>
            <w:tcW w:w="1417" w:type="dxa"/>
            <w:vMerge w:val="restart"/>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证券从业年限</w:t>
            </w:r>
          </w:p>
        </w:tc>
        <w:tc>
          <w:tcPr>
            <w:tcW w:w="2694" w:type="dxa"/>
            <w:vMerge w:val="restart"/>
            <w:vAlign w:val="center"/>
          </w:tcPr>
          <w:p w:rsidR="000820A8" w:rsidRPr="00991236" w:rsidRDefault="000820A8" w:rsidP="002141B6">
            <w:pPr>
              <w:widowControl/>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说明</w:t>
            </w:r>
          </w:p>
        </w:tc>
      </w:tr>
      <w:tr w:rsidR="003E712B" w:rsidRPr="00991236" w:rsidTr="000820A8">
        <w:trPr>
          <w:cantSplit/>
        </w:trPr>
        <w:tc>
          <w:tcPr>
            <w:tcW w:w="851" w:type="dxa"/>
            <w:vMerge/>
            <w:vAlign w:val="center"/>
          </w:tcPr>
          <w:p w:rsidR="000820A8" w:rsidRPr="00991236" w:rsidRDefault="000820A8" w:rsidP="00C21C43">
            <w:pPr>
              <w:widowControl/>
              <w:spacing w:line="360" w:lineRule="auto"/>
              <w:jc w:val="left"/>
              <w:rPr>
                <w:rFonts w:eastAsiaTheme="minorEastAsia"/>
                <w:color w:val="000000" w:themeColor="text1"/>
                <w:kern w:val="0"/>
                <w:sz w:val="24"/>
              </w:rPr>
            </w:pPr>
          </w:p>
        </w:tc>
        <w:tc>
          <w:tcPr>
            <w:tcW w:w="850" w:type="dxa"/>
            <w:vMerge/>
            <w:vAlign w:val="center"/>
          </w:tcPr>
          <w:p w:rsidR="000820A8" w:rsidRPr="00991236" w:rsidRDefault="000820A8" w:rsidP="00C21C43">
            <w:pPr>
              <w:widowControl/>
              <w:spacing w:line="360" w:lineRule="auto"/>
              <w:jc w:val="left"/>
              <w:rPr>
                <w:rFonts w:eastAsiaTheme="minorEastAsia"/>
                <w:color w:val="000000" w:themeColor="text1"/>
                <w:kern w:val="0"/>
                <w:sz w:val="24"/>
              </w:rPr>
            </w:pPr>
          </w:p>
        </w:tc>
        <w:tc>
          <w:tcPr>
            <w:tcW w:w="1560" w:type="dxa"/>
            <w:vAlign w:val="center"/>
          </w:tcPr>
          <w:p w:rsidR="000820A8" w:rsidRPr="00991236" w:rsidRDefault="000820A8" w:rsidP="00C21C43">
            <w:pPr>
              <w:autoSpaceDE w:val="0"/>
              <w:autoSpaceDN w:val="0"/>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任职日期</w:t>
            </w:r>
          </w:p>
        </w:tc>
        <w:tc>
          <w:tcPr>
            <w:tcW w:w="1559" w:type="dxa"/>
            <w:vAlign w:val="center"/>
          </w:tcPr>
          <w:p w:rsidR="000820A8" w:rsidRPr="00991236" w:rsidRDefault="000820A8" w:rsidP="00C21C43">
            <w:pPr>
              <w:autoSpaceDE w:val="0"/>
              <w:autoSpaceDN w:val="0"/>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离任日期</w:t>
            </w:r>
          </w:p>
        </w:tc>
        <w:tc>
          <w:tcPr>
            <w:tcW w:w="1417" w:type="dxa"/>
            <w:vMerge/>
            <w:vAlign w:val="center"/>
          </w:tcPr>
          <w:p w:rsidR="000820A8" w:rsidRPr="00991236" w:rsidRDefault="000820A8" w:rsidP="00C21C43">
            <w:pPr>
              <w:widowControl/>
              <w:spacing w:line="360" w:lineRule="auto"/>
              <w:jc w:val="left"/>
              <w:rPr>
                <w:rFonts w:eastAsiaTheme="minorEastAsia"/>
                <w:color w:val="000000" w:themeColor="text1"/>
                <w:kern w:val="0"/>
                <w:sz w:val="24"/>
              </w:rPr>
            </w:pPr>
          </w:p>
        </w:tc>
        <w:tc>
          <w:tcPr>
            <w:tcW w:w="2694" w:type="dxa"/>
            <w:vMerge/>
            <w:vAlign w:val="center"/>
          </w:tcPr>
          <w:p w:rsidR="000820A8" w:rsidRPr="00991236" w:rsidRDefault="000820A8" w:rsidP="00C21C43">
            <w:pPr>
              <w:widowControl/>
              <w:spacing w:line="360" w:lineRule="auto"/>
              <w:jc w:val="left"/>
              <w:rPr>
                <w:rFonts w:eastAsiaTheme="minorEastAsia"/>
                <w:color w:val="000000" w:themeColor="text1"/>
                <w:kern w:val="0"/>
                <w:sz w:val="24"/>
              </w:rPr>
            </w:pPr>
          </w:p>
        </w:tc>
      </w:tr>
      <w:tr w:rsidR="003A6773">
        <w:tc>
          <w:tcPr>
            <w:tcW w:w="851" w:type="dxa"/>
            <w:vAlign w:val="center"/>
          </w:tcPr>
          <w:p w:rsidR="003A6773" w:rsidRDefault="00C26A76">
            <w:pPr>
              <w:jc w:val="center"/>
            </w:pPr>
            <w:r>
              <w:rPr>
                <w:rFonts w:eastAsiaTheme="minorEastAsia"/>
                <w:color w:val="000000" w:themeColor="text1"/>
                <w:sz w:val="24"/>
              </w:rPr>
              <w:t>赵建</w:t>
            </w:r>
          </w:p>
        </w:tc>
        <w:tc>
          <w:tcPr>
            <w:tcW w:w="850" w:type="dxa"/>
            <w:vAlign w:val="center"/>
          </w:tcPr>
          <w:p w:rsidR="003A6773" w:rsidRDefault="00C26A76">
            <w:pPr>
              <w:jc w:val="center"/>
            </w:pPr>
            <w:r>
              <w:rPr>
                <w:rFonts w:eastAsiaTheme="minorEastAsia"/>
                <w:color w:val="000000" w:themeColor="text1"/>
                <w:sz w:val="24"/>
              </w:rPr>
              <w:t>本基金基金经理、量化投资部总监助理</w:t>
            </w:r>
          </w:p>
        </w:tc>
        <w:tc>
          <w:tcPr>
            <w:tcW w:w="1560" w:type="dxa"/>
            <w:vAlign w:val="center"/>
          </w:tcPr>
          <w:p w:rsidR="003A6773" w:rsidRDefault="00C26A76">
            <w:pPr>
              <w:jc w:val="center"/>
            </w:pPr>
            <w:r>
              <w:rPr>
                <w:rFonts w:eastAsiaTheme="minorEastAsia"/>
                <w:color w:val="000000" w:themeColor="text1"/>
                <w:sz w:val="24"/>
              </w:rPr>
              <w:t>2014-04-25</w:t>
            </w:r>
          </w:p>
        </w:tc>
        <w:tc>
          <w:tcPr>
            <w:tcW w:w="1559" w:type="dxa"/>
            <w:vAlign w:val="center"/>
          </w:tcPr>
          <w:p w:rsidR="003A6773" w:rsidRDefault="00C26A76">
            <w:pPr>
              <w:jc w:val="center"/>
            </w:pPr>
            <w:r>
              <w:rPr>
                <w:rFonts w:eastAsiaTheme="minorEastAsia"/>
                <w:color w:val="000000" w:themeColor="text1"/>
                <w:sz w:val="24"/>
              </w:rPr>
              <w:t>-</w:t>
            </w:r>
          </w:p>
        </w:tc>
        <w:tc>
          <w:tcPr>
            <w:tcW w:w="1417" w:type="dxa"/>
            <w:vAlign w:val="center"/>
          </w:tcPr>
          <w:p w:rsidR="003A6773" w:rsidRDefault="00C26A76">
            <w:pPr>
              <w:jc w:val="center"/>
            </w:pPr>
            <w:r>
              <w:rPr>
                <w:rFonts w:eastAsiaTheme="minorEastAsia"/>
                <w:color w:val="000000" w:themeColor="text1"/>
                <w:sz w:val="24"/>
              </w:rPr>
              <w:t>15</w:t>
            </w:r>
          </w:p>
        </w:tc>
        <w:tc>
          <w:tcPr>
            <w:tcW w:w="2694" w:type="dxa"/>
            <w:vAlign w:val="center"/>
          </w:tcPr>
          <w:p w:rsidR="003A6773" w:rsidRDefault="00C26A76">
            <w:r>
              <w:rPr>
                <w:rFonts w:eastAsiaTheme="minorEastAsia"/>
                <w:color w:val="000000" w:themeColor="text1"/>
                <w:sz w:val="24"/>
              </w:rPr>
              <w:t>中国籍，博士，具有基金从业资格。曾任职于上海博弘投资有限公司、上海数君投资有限公司、上海一维科技有限公司。</w:t>
            </w:r>
            <w:r>
              <w:rPr>
                <w:rFonts w:eastAsiaTheme="minorEastAsia"/>
                <w:color w:val="000000" w:themeColor="text1"/>
                <w:sz w:val="24"/>
              </w:rPr>
              <w:t>2010</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月加入国投瑞银。现任国投瑞银瑞福深证</w:t>
            </w:r>
            <w:r>
              <w:rPr>
                <w:rFonts w:eastAsiaTheme="minorEastAsia"/>
                <w:color w:val="000000" w:themeColor="text1"/>
                <w:sz w:val="24"/>
              </w:rPr>
              <w:t>100</w:t>
            </w:r>
            <w:r>
              <w:rPr>
                <w:rFonts w:eastAsiaTheme="minorEastAsia"/>
                <w:color w:val="000000" w:themeColor="text1"/>
                <w:sz w:val="24"/>
              </w:rPr>
              <w:t>指数证券投资基金（</w:t>
            </w:r>
            <w:r>
              <w:rPr>
                <w:rFonts w:eastAsiaTheme="minorEastAsia"/>
                <w:color w:val="000000" w:themeColor="text1"/>
                <w:sz w:val="24"/>
              </w:rPr>
              <w:t>LOF</w:t>
            </w:r>
            <w:r>
              <w:rPr>
                <w:rFonts w:eastAsiaTheme="minorEastAsia"/>
                <w:color w:val="000000" w:themeColor="text1"/>
                <w:sz w:val="24"/>
              </w:rPr>
              <w:t>）（原国投瑞银瑞福深证</w:t>
            </w:r>
            <w:r>
              <w:rPr>
                <w:rFonts w:eastAsiaTheme="minorEastAsia"/>
                <w:color w:val="000000" w:themeColor="text1"/>
                <w:sz w:val="24"/>
              </w:rPr>
              <w:t xml:space="preserve">100 </w:t>
            </w:r>
            <w:r>
              <w:rPr>
                <w:rFonts w:eastAsiaTheme="minorEastAsia"/>
                <w:color w:val="000000" w:themeColor="text1"/>
                <w:sz w:val="24"/>
              </w:rPr>
              <w:t>指数分级证券投资基金）、国投瑞银中证下游消费与服务产业指数证券投资基金（</w:t>
            </w:r>
            <w:r>
              <w:rPr>
                <w:rFonts w:eastAsiaTheme="minorEastAsia"/>
                <w:color w:val="000000" w:themeColor="text1"/>
                <w:sz w:val="24"/>
              </w:rPr>
              <w:t>LOF</w:t>
            </w:r>
            <w:r>
              <w:rPr>
                <w:rFonts w:eastAsiaTheme="minorEastAsia"/>
                <w:color w:val="000000" w:themeColor="text1"/>
                <w:sz w:val="24"/>
              </w:rPr>
              <w:t>）、国投瑞银沪深</w:t>
            </w:r>
            <w:r>
              <w:rPr>
                <w:rFonts w:eastAsiaTheme="minorEastAsia"/>
                <w:color w:val="000000" w:themeColor="text1"/>
                <w:sz w:val="24"/>
              </w:rPr>
              <w:t>300</w:t>
            </w:r>
            <w:r>
              <w:rPr>
                <w:rFonts w:eastAsiaTheme="minorEastAsia"/>
                <w:color w:val="000000" w:themeColor="text1"/>
                <w:sz w:val="24"/>
              </w:rPr>
              <w:t>金融地产交易型开放式指数证券投资基金联接基金（原国投瑞银沪深</w:t>
            </w:r>
            <w:r>
              <w:rPr>
                <w:rFonts w:eastAsiaTheme="minorEastAsia"/>
                <w:color w:val="000000" w:themeColor="text1"/>
                <w:sz w:val="24"/>
              </w:rPr>
              <w:t>300</w:t>
            </w:r>
            <w:r>
              <w:rPr>
                <w:rFonts w:eastAsiaTheme="minorEastAsia"/>
                <w:color w:val="000000" w:themeColor="text1"/>
                <w:sz w:val="24"/>
              </w:rPr>
              <w:t>金融地产指数基金）、国投瑞银瑞泽中证创业成长指数分级证券投资基金和国投瑞银白银期货证券投资基金（</w:t>
            </w:r>
            <w:r>
              <w:rPr>
                <w:rFonts w:eastAsiaTheme="minorEastAsia"/>
                <w:color w:val="000000" w:themeColor="text1"/>
                <w:sz w:val="24"/>
              </w:rPr>
              <w:t>LOF</w:t>
            </w:r>
            <w:r>
              <w:rPr>
                <w:rFonts w:eastAsiaTheme="minorEastAsia"/>
                <w:color w:val="000000" w:themeColor="text1"/>
                <w:sz w:val="24"/>
              </w:rPr>
              <w:t>）基金经理。</w:t>
            </w:r>
          </w:p>
        </w:tc>
      </w:tr>
    </w:tbl>
    <w:p w:rsidR="00220542" w:rsidRPr="00BB2922" w:rsidRDefault="000820A8"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注：任职日期和离任日期均指公司作出决定后正式对外公告之日。证券从业的含义遵从行业协会《证券业从业人员资格管理办法》的相关规定。</w:t>
      </w:r>
    </w:p>
    <w:p w:rsidR="00220542" w:rsidRPr="00991236" w:rsidRDefault="00220542" w:rsidP="005A2DCB">
      <w:pPr>
        <w:autoSpaceDE w:val="0"/>
        <w:autoSpaceDN w:val="0"/>
        <w:adjustRightInd w:val="0"/>
        <w:spacing w:line="360" w:lineRule="auto"/>
        <w:jc w:val="left"/>
        <w:rPr>
          <w:rFonts w:eastAsiaTheme="minorEastAsia"/>
          <w:color w:val="000000" w:themeColor="text1"/>
          <w:kern w:val="0"/>
          <w:sz w:val="24"/>
        </w:rPr>
      </w:pPr>
    </w:p>
    <w:p w:rsidR="00220542" w:rsidRPr="00991236" w:rsidRDefault="00220542" w:rsidP="005A2DCB">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4.2</w:t>
      </w:r>
      <w:r w:rsidR="00131D06" w:rsidRPr="00991236">
        <w:rPr>
          <w:rFonts w:eastAsiaTheme="minorEastAsia"/>
          <w:b/>
          <w:color w:val="000000"/>
          <w:sz w:val="24"/>
          <w:shd w:val="clear" w:color="auto" w:fill="FFFFFF"/>
        </w:rPr>
        <w:t>管理人对报告期内本基金运作遵规守信情况的说明</w:t>
      </w:r>
    </w:p>
    <w:p w:rsidR="00220542" w:rsidRPr="00991236" w:rsidRDefault="000820A8"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在报告期内，本基金管理人遵守《证券法》、《证券投资基金法》及其系列法规和《国投瑞银中证下游消费与服务产业指数证券投资基金（</w:t>
      </w:r>
      <w:r w:rsidRPr="00991236">
        <w:rPr>
          <w:rFonts w:eastAsiaTheme="minorEastAsia"/>
          <w:color w:val="000000" w:themeColor="text1"/>
          <w:sz w:val="24"/>
        </w:rPr>
        <w:t>LOF</w:t>
      </w:r>
      <w:r w:rsidRPr="00991236">
        <w:rPr>
          <w:rFonts w:eastAsiaTheme="minorEastAsia"/>
          <w:color w:val="000000" w:themeColor="text1"/>
          <w:sz w:val="24"/>
        </w:rPr>
        <w:t>）基金合同》等有关规定，本着恪守诚信、审慎勤勉，忠实尽职的原则，为基金份额持有人的利益管理和运用基金资产。在报告期内，基金的投资决策规范，基金运作合法合规，没有损害基金份额持有人利益的行为。</w:t>
      </w:r>
    </w:p>
    <w:p w:rsidR="00220542" w:rsidRPr="00991236" w:rsidRDefault="00220542" w:rsidP="005A2DCB">
      <w:pPr>
        <w:autoSpaceDE w:val="0"/>
        <w:autoSpaceDN w:val="0"/>
        <w:adjustRightInd w:val="0"/>
        <w:spacing w:line="360" w:lineRule="auto"/>
        <w:jc w:val="left"/>
        <w:rPr>
          <w:rFonts w:eastAsiaTheme="minorEastAsia"/>
          <w:color w:val="000000" w:themeColor="text1"/>
          <w:kern w:val="0"/>
          <w:sz w:val="24"/>
        </w:rPr>
      </w:pPr>
    </w:p>
    <w:p w:rsidR="00220542" w:rsidRPr="00991236" w:rsidRDefault="00220542" w:rsidP="005A2DCB">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4.3 </w:t>
      </w:r>
      <w:r w:rsidRPr="00991236">
        <w:rPr>
          <w:rFonts w:eastAsiaTheme="minorEastAsia"/>
          <w:b/>
          <w:color w:val="000000" w:themeColor="text1"/>
          <w:kern w:val="0"/>
          <w:sz w:val="24"/>
        </w:rPr>
        <w:t>公平交易专项说明</w:t>
      </w:r>
    </w:p>
    <w:p w:rsidR="00EB0BF5" w:rsidRPr="00991236" w:rsidRDefault="00EB0BF5" w:rsidP="005A2DCB">
      <w:pPr>
        <w:spacing w:line="360" w:lineRule="auto"/>
        <w:rPr>
          <w:rFonts w:eastAsiaTheme="min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36">
          <w:rPr>
            <w:rFonts w:eastAsiaTheme="minorEastAsia"/>
            <w:color w:val="000000" w:themeColor="text1"/>
            <w:sz w:val="24"/>
          </w:rPr>
          <w:t>4.3.1</w:t>
        </w:r>
      </w:smartTag>
      <w:r w:rsidRPr="00991236">
        <w:rPr>
          <w:rFonts w:eastAsiaTheme="minorEastAsia"/>
          <w:color w:val="000000" w:themeColor="text1"/>
          <w:sz w:val="24"/>
        </w:rPr>
        <w:t>公平交易制度的执行情况</w:t>
      </w:r>
    </w:p>
    <w:p w:rsidR="00EB0BF5" w:rsidRPr="00991236" w:rsidRDefault="000820A8"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EB0BF5" w:rsidRPr="00991236" w:rsidRDefault="00EB0BF5" w:rsidP="005A2DCB">
      <w:pPr>
        <w:spacing w:line="360" w:lineRule="auto"/>
        <w:rPr>
          <w:rFonts w:eastAsiaTheme="minorEastAsia"/>
          <w:color w:val="000000" w:themeColor="text1"/>
          <w:sz w:val="24"/>
        </w:rPr>
      </w:pPr>
      <w:r w:rsidRPr="00991236">
        <w:rPr>
          <w:rFonts w:eastAsiaTheme="minorEastAsia"/>
          <w:color w:val="000000" w:themeColor="text1"/>
          <w:sz w:val="24"/>
        </w:rPr>
        <w:t>4.3.</w:t>
      </w:r>
      <w:r w:rsidR="003347EF" w:rsidRPr="00991236">
        <w:rPr>
          <w:rFonts w:eastAsiaTheme="minorEastAsia"/>
          <w:color w:val="000000" w:themeColor="text1"/>
          <w:sz w:val="24"/>
        </w:rPr>
        <w:t>2</w:t>
      </w:r>
      <w:r w:rsidRPr="00991236">
        <w:rPr>
          <w:rFonts w:eastAsiaTheme="minorEastAsia"/>
          <w:color w:val="000000" w:themeColor="text1"/>
          <w:sz w:val="24"/>
        </w:rPr>
        <w:t>异常交易行为的专项说明</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本基金于本报告期内不存在异常交易行为。</w:t>
      </w:r>
    </w:p>
    <w:p w:rsidR="00EB0BF5" w:rsidRPr="00991236" w:rsidRDefault="000820A8"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基金管理人管理的所有投资组合在本报告期内未出现参与交易所公开竞价同日反向交易成交较少的单边交易量超过该证券当日总成交量</w:t>
      </w:r>
      <w:r w:rsidRPr="00991236">
        <w:rPr>
          <w:rFonts w:eastAsiaTheme="minorEastAsia"/>
          <w:color w:val="000000" w:themeColor="text1"/>
          <w:sz w:val="24"/>
        </w:rPr>
        <w:t>5%</w:t>
      </w:r>
      <w:r w:rsidRPr="00991236">
        <w:rPr>
          <w:rFonts w:eastAsiaTheme="minorEastAsia"/>
          <w:color w:val="000000" w:themeColor="text1"/>
          <w:sz w:val="24"/>
        </w:rPr>
        <w:t>的情况。</w:t>
      </w:r>
    </w:p>
    <w:p w:rsidR="00220542" w:rsidRPr="00991236" w:rsidRDefault="00220542" w:rsidP="005A2DCB">
      <w:pPr>
        <w:spacing w:line="360" w:lineRule="auto"/>
        <w:ind w:firstLineChars="200" w:firstLine="480"/>
        <w:rPr>
          <w:rFonts w:eastAsiaTheme="minorEastAsia"/>
          <w:color w:val="000000" w:themeColor="text1"/>
          <w:sz w:val="24"/>
        </w:rPr>
      </w:pPr>
    </w:p>
    <w:p w:rsidR="00D33924" w:rsidRPr="00991236" w:rsidRDefault="00D33924" w:rsidP="005A2DCB">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4.4 </w:t>
      </w:r>
      <w:r w:rsidRPr="00991236">
        <w:rPr>
          <w:rFonts w:eastAsiaTheme="minorEastAsia"/>
          <w:b/>
          <w:color w:val="000000" w:themeColor="text1"/>
          <w:kern w:val="0"/>
          <w:sz w:val="24"/>
        </w:rPr>
        <w:t>报告期内基金的投资策略和业绩表现说明</w:t>
      </w:r>
    </w:p>
    <w:p w:rsidR="00D33924" w:rsidRPr="00991236" w:rsidRDefault="00D33924" w:rsidP="005A2DCB">
      <w:pPr>
        <w:spacing w:line="360" w:lineRule="auto"/>
        <w:rPr>
          <w:rFonts w:eastAsiaTheme="min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36">
          <w:rPr>
            <w:rFonts w:eastAsiaTheme="minorEastAsia"/>
            <w:color w:val="000000" w:themeColor="text1"/>
            <w:sz w:val="24"/>
          </w:rPr>
          <w:t>4.4.1</w:t>
        </w:r>
      </w:smartTag>
      <w:r w:rsidRPr="00991236">
        <w:rPr>
          <w:rFonts w:eastAsiaTheme="minorEastAsia"/>
          <w:color w:val="000000" w:themeColor="text1"/>
          <w:sz w:val="24"/>
        </w:rPr>
        <w:t>报告期内基金投资策略和运作分析</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季度，社融增速见底企稳，经济增长压力有所缓解。中美贸易谈判有望达成阶段性协议，对经济的悲观预期有所修复，企业盈利继续寻底。地产新开工下滑仍然是我们关注的风险点，潜在</w:t>
      </w:r>
      <w:r>
        <w:rPr>
          <w:rFonts w:eastAsiaTheme="minorEastAsia"/>
          <w:color w:val="000000" w:themeColor="text1"/>
          <w:sz w:val="24"/>
        </w:rPr>
        <w:t>CPI</w:t>
      </w:r>
      <w:r>
        <w:rPr>
          <w:rFonts w:eastAsiaTheme="minorEastAsia"/>
          <w:color w:val="000000" w:themeColor="text1"/>
          <w:sz w:val="24"/>
        </w:rPr>
        <w:t>走高也值得关注。</w:t>
      </w:r>
      <w:r>
        <w:rPr>
          <w:rFonts w:eastAsiaTheme="minorEastAsia"/>
          <w:color w:val="000000" w:themeColor="text1"/>
          <w:sz w:val="24"/>
        </w:rPr>
        <w:t>1</w:t>
      </w:r>
      <w:r>
        <w:rPr>
          <w:rFonts w:eastAsiaTheme="minorEastAsia"/>
          <w:color w:val="000000" w:themeColor="text1"/>
          <w:sz w:val="24"/>
        </w:rPr>
        <w:t>季度</w:t>
      </w:r>
      <w:r>
        <w:rPr>
          <w:rFonts w:eastAsiaTheme="minorEastAsia"/>
          <w:color w:val="000000" w:themeColor="text1"/>
          <w:sz w:val="24"/>
        </w:rPr>
        <w:t>A</w:t>
      </w:r>
      <w:r>
        <w:rPr>
          <w:rFonts w:eastAsiaTheme="minorEastAsia"/>
          <w:color w:val="000000" w:themeColor="text1"/>
          <w:sz w:val="24"/>
        </w:rPr>
        <w:t>股市场呈现单边上涨走势，沪深</w:t>
      </w:r>
      <w:r>
        <w:rPr>
          <w:rFonts w:eastAsiaTheme="minorEastAsia"/>
          <w:color w:val="000000" w:themeColor="text1"/>
          <w:sz w:val="24"/>
        </w:rPr>
        <w:t>300</w:t>
      </w:r>
      <w:r>
        <w:rPr>
          <w:rFonts w:eastAsiaTheme="minorEastAsia"/>
          <w:color w:val="000000" w:themeColor="text1"/>
          <w:sz w:val="24"/>
        </w:rPr>
        <w:t>、中证</w:t>
      </w:r>
      <w:r>
        <w:rPr>
          <w:rFonts w:eastAsiaTheme="minorEastAsia"/>
          <w:color w:val="000000" w:themeColor="text1"/>
          <w:sz w:val="24"/>
        </w:rPr>
        <w:t>1000</w:t>
      </w:r>
      <w:r>
        <w:rPr>
          <w:rFonts w:eastAsiaTheme="minorEastAsia"/>
          <w:color w:val="000000" w:themeColor="text1"/>
          <w:sz w:val="24"/>
        </w:rPr>
        <w:t>分别上涨</w:t>
      </w:r>
      <w:r>
        <w:rPr>
          <w:rFonts w:eastAsiaTheme="minorEastAsia"/>
          <w:color w:val="000000" w:themeColor="text1"/>
          <w:sz w:val="24"/>
        </w:rPr>
        <w:t>28.62%</w:t>
      </w:r>
      <w:r>
        <w:rPr>
          <w:rFonts w:eastAsiaTheme="minorEastAsia"/>
          <w:color w:val="000000" w:themeColor="text1"/>
          <w:sz w:val="24"/>
        </w:rPr>
        <w:t>、</w:t>
      </w:r>
      <w:r>
        <w:rPr>
          <w:rFonts w:eastAsiaTheme="minorEastAsia"/>
          <w:color w:val="000000" w:themeColor="text1"/>
          <w:sz w:val="24"/>
        </w:rPr>
        <w:t>33.44%</w:t>
      </w:r>
      <w:r>
        <w:rPr>
          <w:rFonts w:eastAsiaTheme="minorEastAsia"/>
          <w:color w:val="000000" w:themeColor="text1"/>
          <w:sz w:val="24"/>
        </w:rPr>
        <w:t>，我们理解主要是由经济见底预期、中美贸易摩擦缓和以及风险偏好回升共同推动的。风格上看，小盘股略微跑赢大盘股；分行业看，农林牧渔、计算机、非银行金融、食品饮料、电子等涨幅居前。</w:t>
      </w:r>
    </w:p>
    <w:p w:rsidR="00D33924" w:rsidRPr="00991236" w:rsidRDefault="000820A8"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基金投资操作上，作为指数基金，投资操作以严格控制跟踪误差为主，研究应对成分股调整、成分股停牌替代等机会成本、同时密切关注基金日常申购、赎回带来的影响及市场出现的结构性机会。</w:t>
      </w:r>
    </w:p>
    <w:p w:rsidR="00D33924" w:rsidRPr="00991236" w:rsidRDefault="00D33924" w:rsidP="005A2DCB">
      <w:pPr>
        <w:spacing w:line="360" w:lineRule="auto"/>
        <w:rPr>
          <w:rFonts w:eastAsiaTheme="minorEastAsia"/>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36">
          <w:rPr>
            <w:rFonts w:eastAsiaTheme="minorEastAsia"/>
            <w:color w:val="000000" w:themeColor="text1"/>
            <w:sz w:val="24"/>
          </w:rPr>
          <w:t>4.4.2</w:t>
        </w:r>
      </w:smartTag>
      <w:r w:rsidRPr="00991236">
        <w:rPr>
          <w:rFonts w:eastAsiaTheme="minorEastAsia"/>
          <w:color w:val="000000" w:themeColor="text1"/>
          <w:sz w:val="24"/>
        </w:rPr>
        <w:t>报告期内基金的业绩表现</w:t>
      </w:r>
    </w:p>
    <w:p w:rsidR="00D33924" w:rsidRPr="00991236" w:rsidRDefault="000820A8"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截止报告期末，本基金份额净值为</w:t>
      </w:r>
      <w:r w:rsidRPr="00991236">
        <w:rPr>
          <w:rFonts w:eastAsiaTheme="minorEastAsia"/>
          <w:color w:val="000000" w:themeColor="text1"/>
          <w:sz w:val="24"/>
        </w:rPr>
        <w:t>1.578</w:t>
      </w:r>
      <w:r w:rsidRPr="00991236">
        <w:rPr>
          <w:rFonts w:eastAsiaTheme="minorEastAsia"/>
          <w:color w:val="000000" w:themeColor="text1"/>
          <w:sz w:val="24"/>
        </w:rPr>
        <w:t>元，本报告期份额净值增长率为</w:t>
      </w:r>
      <w:r w:rsidRPr="00991236">
        <w:rPr>
          <w:rFonts w:eastAsiaTheme="minorEastAsia"/>
          <w:color w:val="000000" w:themeColor="text1"/>
          <w:sz w:val="24"/>
        </w:rPr>
        <w:t>31.28%</w:t>
      </w:r>
      <w:r w:rsidRPr="00991236">
        <w:rPr>
          <w:rFonts w:eastAsiaTheme="minorEastAsia"/>
          <w:color w:val="000000" w:themeColor="text1"/>
          <w:sz w:val="24"/>
        </w:rPr>
        <w:t>，同期业绩比较基准收益率为</w:t>
      </w:r>
      <w:r w:rsidRPr="00991236">
        <w:rPr>
          <w:rFonts w:eastAsiaTheme="minorEastAsia"/>
          <w:color w:val="000000" w:themeColor="text1"/>
          <w:sz w:val="24"/>
        </w:rPr>
        <w:t>31.69%</w:t>
      </w:r>
      <w:r w:rsidRPr="00991236">
        <w:rPr>
          <w:rFonts w:eastAsiaTheme="minorEastAsia"/>
          <w:color w:val="000000" w:themeColor="text1"/>
          <w:sz w:val="24"/>
        </w:rPr>
        <w:t>。</w:t>
      </w:r>
    </w:p>
    <w:p w:rsidR="00511B6A" w:rsidRPr="00991236" w:rsidRDefault="00511B6A" w:rsidP="005A2DCB">
      <w:pPr>
        <w:spacing w:line="360" w:lineRule="auto"/>
        <w:ind w:firstLineChars="200" w:firstLine="480"/>
        <w:rPr>
          <w:rFonts w:eastAsiaTheme="minorEastAsia"/>
          <w:color w:val="000000" w:themeColor="text1"/>
          <w:sz w:val="24"/>
        </w:rPr>
      </w:pPr>
    </w:p>
    <w:p w:rsidR="00624E5B" w:rsidRPr="00991236" w:rsidRDefault="00770601" w:rsidP="00624E5B">
      <w:pPr>
        <w:spacing w:line="360" w:lineRule="auto"/>
        <w:rPr>
          <w:rFonts w:eastAsiaTheme="minorEastAsia"/>
          <w:color w:val="000000" w:themeColor="text1"/>
          <w:sz w:val="24"/>
        </w:rPr>
      </w:pPr>
      <w:r w:rsidRPr="00991236">
        <w:rPr>
          <w:rFonts w:eastAsiaTheme="minorEastAsia"/>
          <w:b/>
          <w:color w:val="000000" w:themeColor="text1"/>
          <w:kern w:val="0"/>
          <w:sz w:val="24"/>
        </w:rPr>
        <w:t>4.5</w:t>
      </w:r>
      <w:r w:rsidR="00624E5B" w:rsidRPr="00991236">
        <w:rPr>
          <w:rFonts w:eastAsiaTheme="minorEastAsia"/>
          <w:b/>
          <w:color w:val="000000" w:themeColor="text1"/>
          <w:kern w:val="0"/>
          <w:sz w:val="24"/>
        </w:rPr>
        <w:t>报告期内基金持有人数或基金资产净值预警说明</w:t>
      </w:r>
    </w:p>
    <w:p w:rsidR="00624E5B" w:rsidRPr="00991236" w:rsidRDefault="00624E5B"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kern w:val="0"/>
          <w:sz w:val="24"/>
        </w:rPr>
        <w:t>本基金曾出现过连续六十个工作日基金资产净值低于</w:t>
      </w:r>
      <w:r w:rsidRPr="00991236">
        <w:rPr>
          <w:rFonts w:eastAsiaTheme="minorEastAsia"/>
          <w:color w:val="000000" w:themeColor="text1"/>
          <w:kern w:val="0"/>
          <w:sz w:val="24"/>
        </w:rPr>
        <w:t>5000</w:t>
      </w:r>
      <w:r w:rsidRPr="00991236">
        <w:rPr>
          <w:rFonts w:eastAsiaTheme="minorEastAsia"/>
          <w:color w:val="000000" w:themeColor="text1"/>
          <w:kern w:val="0"/>
          <w:sz w:val="24"/>
        </w:rPr>
        <w:t>万元的情形，至本报告期末（</w:t>
      </w:r>
      <w:r w:rsidRPr="00991236">
        <w:rPr>
          <w:rFonts w:eastAsiaTheme="minorEastAsia"/>
          <w:color w:val="000000" w:themeColor="text1"/>
          <w:kern w:val="0"/>
          <w:sz w:val="24"/>
        </w:rPr>
        <w:t>3</w:t>
      </w:r>
      <w:r w:rsidRPr="00991236">
        <w:rPr>
          <w:rFonts w:eastAsiaTheme="minorEastAsia"/>
          <w:color w:val="000000" w:themeColor="text1"/>
          <w:kern w:val="0"/>
          <w:sz w:val="24"/>
        </w:rPr>
        <w:t>月</w:t>
      </w:r>
      <w:r w:rsidRPr="00991236">
        <w:rPr>
          <w:rFonts w:eastAsiaTheme="minorEastAsia"/>
          <w:color w:val="000000" w:themeColor="text1"/>
          <w:kern w:val="0"/>
          <w:sz w:val="24"/>
        </w:rPr>
        <w:t>31</w:t>
      </w:r>
      <w:r w:rsidRPr="00991236">
        <w:rPr>
          <w:rFonts w:eastAsiaTheme="minorEastAsia"/>
          <w:color w:val="000000" w:themeColor="text1"/>
          <w:kern w:val="0"/>
          <w:sz w:val="24"/>
        </w:rPr>
        <w:t>日）仍低于</w:t>
      </w:r>
      <w:r w:rsidRPr="00991236">
        <w:rPr>
          <w:rFonts w:eastAsiaTheme="minorEastAsia"/>
          <w:color w:val="000000" w:themeColor="text1"/>
          <w:kern w:val="0"/>
          <w:sz w:val="24"/>
        </w:rPr>
        <w:t>5000</w:t>
      </w:r>
      <w:r w:rsidRPr="00991236">
        <w:rPr>
          <w:rFonts w:eastAsiaTheme="minorEastAsia"/>
          <w:color w:val="000000" w:themeColor="text1"/>
          <w:kern w:val="0"/>
          <w:sz w:val="24"/>
        </w:rPr>
        <w:t>万元，基金管理人依据相关规定在本报告中进行披露，提醒基金份额持有人关注。</w:t>
      </w:r>
    </w:p>
    <w:p w:rsidR="00220542" w:rsidRPr="00991236" w:rsidRDefault="00220542" w:rsidP="005E22CC">
      <w:pPr>
        <w:pStyle w:val="1"/>
        <w:spacing w:beforeLines="100" w:afterLines="100" w:line="360" w:lineRule="auto"/>
        <w:jc w:val="center"/>
        <w:rPr>
          <w:rFonts w:eastAsiaTheme="minorEastAsia"/>
          <w:color w:val="000000" w:themeColor="text1"/>
          <w:kern w:val="0"/>
          <w:sz w:val="24"/>
          <w:szCs w:val="24"/>
        </w:rPr>
      </w:pPr>
      <w:r w:rsidRPr="00991236">
        <w:rPr>
          <w:rFonts w:eastAsiaTheme="minorEastAsia"/>
          <w:color w:val="000000" w:themeColor="text1"/>
          <w:kern w:val="0"/>
          <w:sz w:val="24"/>
          <w:szCs w:val="24"/>
        </w:rPr>
        <w:t xml:space="preserve">§5  </w:t>
      </w:r>
      <w:r w:rsidRPr="00991236">
        <w:rPr>
          <w:rFonts w:eastAsiaTheme="minorEastAsia"/>
          <w:color w:val="000000" w:themeColor="text1"/>
          <w:kern w:val="0"/>
          <w:sz w:val="24"/>
          <w:szCs w:val="24"/>
        </w:rPr>
        <w:t>投资组合报告</w:t>
      </w:r>
    </w:p>
    <w:p w:rsidR="00220542" w:rsidRPr="00991236" w:rsidRDefault="00220542"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5.1 </w:t>
      </w:r>
      <w:r w:rsidRPr="00991236">
        <w:rPr>
          <w:rFonts w:eastAsiaTheme="minorEastAsia"/>
          <w:b/>
          <w:color w:val="000000" w:themeColor="text1"/>
          <w:kern w:val="0"/>
          <w:sz w:val="24"/>
        </w:rPr>
        <w:t>报告期末基金资产组合情况</w:t>
      </w:r>
    </w:p>
    <w:tbl>
      <w:tblPr>
        <w:tblStyle w:val="af7"/>
        <w:tblW w:w="8897" w:type="dxa"/>
        <w:jc w:val="center"/>
        <w:tblLayout w:type="fixed"/>
        <w:tblLook w:val="04A0"/>
      </w:tblPr>
      <w:tblGrid>
        <w:gridCol w:w="720"/>
        <w:gridCol w:w="3357"/>
        <w:gridCol w:w="2977"/>
        <w:gridCol w:w="1843"/>
      </w:tblGrid>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序号</w:t>
            </w:r>
          </w:p>
        </w:tc>
        <w:tc>
          <w:tcPr>
            <w:tcW w:w="3357"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项目</w:t>
            </w:r>
          </w:p>
        </w:tc>
        <w:tc>
          <w:tcPr>
            <w:tcW w:w="2977"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金额</w:t>
            </w:r>
            <w:r w:rsidRPr="00991236">
              <w:rPr>
                <w:rFonts w:eastAsiaTheme="minorEastAsia"/>
                <w:color w:val="000000" w:themeColor="text1"/>
                <w:sz w:val="24"/>
              </w:rPr>
              <w:t>(</w:t>
            </w:r>
            <w:r w:rsidRPr="00991236">
              <w:rPr>
                <w:rFonts w:eastAsiaTheme="minorEastAsia"/>
                <w:color w:val="000000" w:themeColor="text1"/>
                <w:sz w:val="24"/>
              </w:rPr>
              <w:t>元</w:t>
            </w:r>
            <w:r w:rsidRPr="00991236">
              <w:rPr>
                <w:rFonts w:eastAsiaTheme="minorEastAsia"/>
                <w:color w:val="000000" w:themeColor="text1"/>
                <w:sz w:val="24"/>
              </w:rPr>
              <w:t>)</w:t>
            </w:r>
          </w:p>
        </w:tc>
        <w:tc>
          <w:tcPr>
            <w:tcW w:w="1843"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占基金总资产的比例</w:t>
            </w:r>
            <w:r w:rsidRPr="00991236">
              <w:rPr>
                <w:rFonts w:eastAsiaTheme="minorEastAsia"/>
                <w:color w:val="000000" w:themeColor="text1"/>
                <w:sz w:val="24"/>
              </w:rPr>
              <w:t>(%)</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1</w:t>
            </w: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权益投资</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36,841,076.26</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94.09</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其中：股票</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36,841,076.26</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94.09</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2</w:t>
            </w: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固定收益投资</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102,509.89</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0.26</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其中：债券</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102,509.89</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0.26</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p>
        </w:tc>
        <w:tc>
          <w:tcPr>
            <w:tcW w:w="3357" w:type="dxa"/>
            <w:vAlign w:val="center"/>
          </w:tcPr>
          <w:p w:rsidR="00DE4CDE" w:rsidRPr="00991236" w:rsidRDefault="00DE4CDE" w:rsidP="00DD272F">
            <w:pPr>
              <w:autoSpaceDE w:val="0"/>
              <w:autoSpaceDN w:val="0"/>
              <w:adjustRightInd w:val="0"/>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资产支持证券</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DD272F">
        <w:trPr>
          <w:jc w:val="center"/>
        </w:trPr>
        <w:tc>
          <w:tcPr>
            <w:tcW w:w="720" w:type="dxa"/>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3</w:t>
            </w:r>
          </w:p>
        </w:tc>
        <w:tc>
          <w:tcPr>
            <w:tcW w:w="3357" w:type="dxa"/>
          </w:tcPr>
          <w:p w:rsidR="00DE4CDE" w:rsidRPr="00991236" w:rsidRDefault="00DE4CDE" w:rsidP="00DD272F">
            <w:pPr>
              <w:spacing w:before="29" w:line="360" w:lineRule="auto"/>
              <w:ind w:leftChars="50" w:left="105"/>
              <w:rPr>
                <w:rFonts w:eastAsiaTheme="minorEastAsia"/>
                <w:color w:val="000000" w:themeColor="text1"/>
                <w:sz w:val="24"/>
              </w:rPr>
            </w:pPr>
            <w:r w:rsidRPr="00991236">
              <w:rPr>
                <w:rFonts w:eastAsiaTheme="minorEastAsia"/>
                <w:color w:val="000000" w:themeColor="text1"/>
                <w:sz w:val="24"/>
              </w:rPr>
              <w:t>贵金属投资</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4</w:t>
            </w: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金融衍生品投资</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5</w:t>
            </w: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买入返售金融资产</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其中：买断式回购的买入返售金融资产</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6</w:t>
            </w:r>
          </w:p>
        </w:tc>
        <w:tc>
          <w:tcPr>
            <w:tcW w:w="3357" w:type="dxa"/>
            <w:vAlign w:val="center"/>
          </w:tcPr>
          <w:p w:rsidR="00DE4CDE" w:rsidRPr="00991236" w:rsidRDefault="00DE4CDE" w:rsidP="00DD272F">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银行存款和结算备付金合计</w:t>
            </w:r>
          </w:p>
        </w:tc>
        <w:tc>
          <w:tcPr>
            <w:tcW w:w="2977"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1,955,883.97</w:t>
            </w:r>
          </w:p>
        </w:tc>
        <w:tc>
          <w:tcPr>
            <w:tcW w:w="1843" w:type="dxa"/>
            <w:vAlign w:val="center"/>
          </w:tcPr>
          <w:p w:rsidR="00DE4CDE" w:rsidRPr="00991236" w:rsidRDefault="00DE4CDE" w:rsidP="00DD272F">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5.00</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7</w:t>
            </w:r>
          </w:p>
        </w:tc>
        <w:tc>
          <w:tcPr>
            <w:tcW w:w="3357" w:type="dxa"/>
            <w:vAlign w:val="center"/>
          </w:tcPr>
          <w:p w:rsidR="00DE4CDE" w:rsidRPr="00991236" w:rsidRDefault="00DE4CDE" w:rsidP="00DD272F">
            <w:pPr>
              <w:jc w:val="left"/>
              <w:rPr>
                <w:rFonts w:eastAsiaTheme="minorEastAsia"/>
                <w:color w:val="000000" w:themeColor="text1"/>
                <w:sz w:val="24"/>
              </w:rPr>
            </w:pPr>
            <w:r w:rsidRPr="00991236">
              <w:rPr>
                <w:rFonts w:eastAsiaTheme="minorEastAsia"/>
                <w:color w:val="000000" w:themeColor="text1"/>
                <w:sz w:val="24"/>
              </w:rPr>
              <w:t>其他各项资产</w:t>
            </w:r>
          </w:p>
        </w:tc>
        <w:tc>
          <w:tcPr>
            <w:tcW w:w="2977" w:type="dxa"/>
            <w:vAlign w:val="center"/>
          </w:tcPr>
          <w:p w:rsidR="00DE4CDE" w:rsidRPr="00991236" w:rsidRDefault="00DE4CDE" w:rsidP="00DD272F">
            <w:pPr>
              <w:jc w:val="right"/>
              <w:rPr>
                <w:rFonts w:eastAsiaTheme="minorEastAsia"/>
                <w:color w:val="000000" w:themeColor="text1"/>
                <w:sz w:val="24"/>
              </w:rPr>
            </w:pPr>
            <w:r w:rsidRPr="00991236">
              <w:rPr>
                <w:rFonts w:eastAsiaTheme="minorEastAsia"/>
                <w:color w:val="000000" w:themeColor="text1"/>
                <w:sz w:val="24"/>
              </w:rPr>
              <w:t>255,003.40</w:t>
            </w:r>
          </w:p>
        </w:tc>
        <w:tc>
          <w:tcPr>
            <w:tcW w:w="1843" w:type="dxa"/>
            <w:vAlign w:val="center"/>
          </w:tcPr>
          <w:p w:rsidR="00DE4CDE" w:rsidRPr="00991236" w:rsidRDefault="00DE4CDE" w:rsidP="00DD272F">
            <w:pPr>
              <w:jc w:val="right"/>
              <w:rPr>
                <w:rFonts w:eastAsiaTheme="minorEastAsia"/>
                <w:color w:val="000000" w:themeColor="text1"/>
                <w:sz w:val="24"/>
              </w:rPr>
            </w:pPr>
            <w:r w:rsidRPr="00991236">
              <w:rPr>
                <w:rFonts w:eastAsiaTheme="minorEastAsia"/>
                <w:color w:val="000000" w:themeColor="text1"/>
                <w:sz w:val="24"/>
              </w:rPr>
              <w:t>0.65</w:t>
            </w:r>
          </w:p>
        </w:tc>
      </w:tr>
      <w:tr w:rsidR="003E712B" w:rsidRPr="00991236" w:rsidTr="00DD272F">
        <w:trPr>
          <w:jc w:val="center"/>
        </w:trPr>
        <w:tc>
          <w:tcPr>
            <w:tcW w:w="720" w:type="dxa"/>
            <w:vAlign w:val="center"/>
          </w:tcPr>
          <w:p w:rsidR="00DE4CDE" w:rsidRPr="00991236" w:rsidRDefault="00DE4CDE" w:rsidP="00DD272F">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8</w:t>
            </w:r>
          </w:p>
        </w:tc>
        <w:tc>
          <w:tcPr>
            <w:tcW w:w="3357" w:type="dxa"/>
            <w:vAlign w:val="center"/>
          </w:tcPr>
          <w:p w:rsidR="00DE4CDE" w:rsidRPr="00991236" w:rsidRDefault="00DE4CDE" w:rsidP="00DD272F">
            <w:pPr>
              <w:jc w:val="left"/>
              <w:rPr>
                <w:rFonts w:eastAsiaTheme="minorEastAsia"/>
                <w:color w:val="000000" w:themeColor="text1"/>
                <w:sz w:val="24"/>
              </w:rPr>
            </w:pPr>
            <w:r w:rsidRPr="00991236">
              <w:rPr>
                <w:rFonts w:eastAsiaTheme="minorEastAsia"/>
                <w:color w:val="000000" w:themeColor="text1"/>
                <w:sz w:val="24"/>
              </w:rPr>
              <w:t>合计</w:t>
            </w:r>
          </w:p>
        </w:tc>
        <w:tc>
          <w:tcPr>
            <w:tcW w:w="2977" w:type="dxa"/>
            <w:vAlign w:val="center"/>
          </w:tcPr>
          <w:p w:rsidR="00DE4CDE" w:rsidRPr="00991236" w:rsidRDefault="00DE4CDE" w:rsidP="00DD272F">
            <w:pPr>
              <w:jc w:val="right"/>
              <w:rPr>
                <w:rFonts w:eastAsiaTheme="minorEastAsia"/>
                <w:color w:val="000000" w:themeColor="text1"/>
                <w:sz w:val="24"/>
              </w:rPr>
            </w:pPr>
            <w:r w:rsidRPr="00991236">
              <w:rPr>
                <w:rFonts w:eastAsiaTheme="minorEastAsia"/>
                <w:color w:val="000000" w:themeColor="text1"/>
                <w:sz w:val="24"/>
              </w:rPr>
              <w:t>39,154,473.52</w:t>
            </w:r>
          </w:p>
        </w:tc>
        <w:tc>
          <w:tcPr>
            <w:tcW w:w="1843" w:type="dxa"/>
            <w:vAlign w:val="center"/>
          </w:tcPr>
          <w:p w:rsidR="00DE4CDE" w:rsidRPr="00991236" w:rsidRDefault="00DE4CDE" w:rsidP="00DD272F">
            <w:pPr>
              <w:jc w:val="right"/>
              <w:rPr>
                <w:rFonts w:eastAsiaTheme="minorEastAsia"/>
                <w:color w:val="000000" w:themeColor="text1"/>
                <w:sz w:val="24"/>
              </w:rPr>
            </w:pPr>
            <w:r w:rsidRPr="00991236">
              <w:rPr>
                <w:rFonts w:eastAsiaTheme="minorEastAsia"/>
                <w:color w:val="000000" w:themeColor="text1"/>
                <w:sz w:val="24"/>
              </w:rPr>
              <w:t>100.00</w:t>
            </w:r>
          </w:p>
        </w:tc>
      </w:tr>
    </w:tbl>
    <w:p w:rsidR="00220542" w:rsidRPr="00BB2922" w:rsidRDefault="000820A8"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注：本基金本报告期末未持有通过港股通交易机制投资的港股。</w:t>
      </w:r>
    </w:p>
    <w:p w:rsidR="00220542" w:rsidRPr="00991236" w:rsidRDefault="00220542" w:rsidP="0019563C">
      <w:pPr>
        <w:autoSpaceDE w:val="0"/>
        <w:autoSpaceDN w:val="0"/>
        <w:adjustRightInd w:val="0"/>
        <w:spacing w:line="360" w:lineRule="auto"/>
        <w:jc w:val="left"/>
        <w:rPr>
          <w:rFonts w:eastAsiaTheme="minorEastAsia"/>
          <w:color w:val="000000" w:themeColor="text1"/>
          <w:kern w:val="0"/>
          <w:sz w:val="24"/>
        </w:rPr>
      </w:pPr>
    </w:p>
    <w:p w:rsidR="00220542" w:rsidRPr="00991236" w:rsidRDefault="00220542"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5.2 </w:t>
      </w:r>
      <w:r w:rsidRPr="00991236">
        <w:rPr>
          <w:rFonts w:eastAsiaTheme="minorEastAsia"/>
          <w:b/>
          <w:color w:val="000000" w:themeColor="text1"/>
          <w:kern w:val="0"/>
          <w:sz w:val="24"/>
        </w:rPr>
        <w:t>报告期末按行业分类的股票投资组合</w:t>
      </w:r>
    </w:p>
    <w:p w:rsidR="004318F0" w:rsidRPr="00991236" w:rsidRDefault="004318F0" w:rsidP="00045BEC">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991236">
          <w:rPr>
            <w:rFonts w:eastAsiaTheme="minorEastAsia"/>
            <w:b/>
            <w:color w:val="000000" w:themeColor="text1"/>
            <w:kern w:val="0"/>
            <w:sz w:val="24"/>
          </w:rPr>
          <w:t>5.2.1</w:t>
        </w:r>
      </w:smartTag>
      <w:r w:rsidRPr="00991236">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3E712B" w:rsidRPr="00991236" w:rsidTr="002141B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占基金资产净值比例（％）</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autoSpaceDE w:val="0"/>
              <w:autoSpaceDN w:val="0"/>
              <w:adjustRightInd w:val="0"/>
              <w:spacing w:before="29" w:line="360" w:lineRule="auto"/>
              <w:ind w:left="15"/>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utoSpaceDE w:val="0"/>
              <w:autoSpaceDN w:val="0"/>
              <w:adjustRightInd w:val="0"/>
              <w:spacing w:before="29" w:line="360" w:lineRule="auto"/>
              <w:ind w:left="15"/>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343F87">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343F87">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399,527.40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1.02</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63,255.20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0.16</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59,110.92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0.15</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521,893.52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1.34</w:t>
            </w:r>
          </w:p>
        </w:tc>
      </w:tr>
    </w:tbl>
    <w:p w:rsidR="004318F0" w:rsidRPr="00991236" w:rsidRDefault="004318F0" w:rsidP="00045BEC">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991236">
          <w:rPr>
            <w:rFonts w:eastAsiaTheme="minorEastAsia"/>
            <w:b/>
            <w:color w:val="000000" w:themeColor="text1"/>
            <w:kern w:val="0"/>
            <w:sz w:val="24"/>
          </w:rPr>
          <w:t>5.2.2</w:t>
        </w:r>
      </w:smartTag>
      <w:r w:rsidRPr="00991236">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3E712B" w:rsidRPr="00991236" w:rsidTr="00504285">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091560" w:rsidRPr="00991236" w:rsidRDefault="00091560" w:rsidP="00E57F92">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E57F92">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E57F92">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E57F92">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占基金资产净值比例（％）</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autoSpaceDE w:val="0"/>
              <w:autoSpaceDN w:val="0"/>
              <w:adjustRightInd w:val="0"/>
              <w:spacing w:before="29" w:line="360" w:lineRule="auto"/>
              <w:ind w:left="15"/>
              <w:jc w:val="right"/>
              <w:rPr>
                <w:rFonts w:eastAsiaTheme="minorEastAsia"/>
                <w:color w:val="000000" w:themeColor="text1"/>
                <w:sz w:val="24"/>
              </w:rPr>
            </w:pPr>
            <w:r w:rsidRPr="00991236">
              <w:rPr>
                <w:rFonts w:eastAsiaTheme="minorEastAsia"/>
                <w:color w:val="000000" w:themeColor="text1"/>
                <w:sz w:val="24"/>
              </w:rPr>
              <w:t>557,183.17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utoSpaceDE w:val="0"/>
              <w:autoSpaceDN w:val="0"/>
              <w:adjustRightInd w:val="0"/>
              <w:spacing w:before="29" w:line="360" w:lineRule="auto"/>
              <w:ind w:left="15"/>
              <w:jc w:val="right"/>
              <w:rPr>
                <w:rFonts w:eastAsiaTheme="minorEastAsia"/>
                <w:color w:val="000000" w:themeColor="text1"/>
                <w:sz w:val="24"/>
              </w:rPr>
            </w:pPr>
            <w:r w:rsidRPr="00991236">
              <w:rPr>
                <w:rFonts w:eastAsiaTheme="minorEastAsia"/>
                <w:color w:val="000000" w:themeColor="text1"/>
                <w:sz w:val="24"/>
              </w:rPr>
              <w:t>1.43</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343F87">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343F87">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23,008,271.39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58.95</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1,916,163.42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4.91</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2,902,444.54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7.44</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116,848.00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0.30</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4,873,098.52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12.48</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155,881.21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0.40</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1,115,802.06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2.86</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75,056.00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0.19</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676,880.80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1.73</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921,553.63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2.36</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r w:rsidRPr="00991236">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91560" w:rsidRPr="00991236" w:rsidRDefault="00091560" w:rsidP="002141B6">
            <w:pPr>
              <w:adjustRightInd w:val="0"/>
              <w:snapToGrid w:val="0"/>
              <w:spacing w:line="400" w:lineRule="exact"/>
              <w:rPr>
                <w:rFonts w:eastAsiaTheme="minorEastAsia"/>
                <w:color w:val="000000" w:themeColor="text1"/>
                <w:sz w:val="24"/>
              </w:rPr>
            </w:pPr>
            <w:r w:rsidRPr="00991236">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36,319,182.74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1560" w:rsidRPr="00991236" w:rsidRDefault="00091560" w:rsidP="002141B6">
            <w:pPr>
              <w:jc w:val="right"/>
              <w:rPr>
                <w:rFonts w:eastAsiaTheme="minorEastAsia"/>
                <w:color w:val="000000" w:themeColor="text1"/>
                <w:sz w:val="24"/>
              </w:rPr>
            </w:pPr>
            <w:r w:rsidRPr="00991236">
              <w:rPr>
                <w:rFonts w:eastAsiaTheme="minorEastAsia"/>
                <w:color w:val="000000" w:themeColor="text1"/>
                <w:sz w:val="24"/>
              </w:rPr>
              <w:t>93.05</w:t>
            </w:r>
          </w:p>
        </w:tc>
      </w:tr>
    </w:tbl>
    <w:p w:rsidR="009F4CB1" w:rsidRPr="00991236" w:rsidRDefault="009F4CB1" w:rsidP="009F4CB1">
      <w:pPr>
        <w:jc w:val="left"/>
        <w:rPr>
          <w:rFonts w:eastAsiaTheme="minorEastAsia"/>
          <w:color w:val="000000" w:themeColor="text1"/>
          <w:sz w:val="24"/>
        </w:rPr>
      </w:pPr>
      <w:r w:rsidRPr="00991236">
        <w:rPr>
          <w:rFonts w:eastAsiaTheme="minorEastAsia"/>
          <w:b/>
          <w:color w:val="000000" w:themeColor="text1"/>
          <w:kern w:val="0"/>
          <w:sz w:val="24"/>
        </w:rPr>
        <w:t>5.2.3</w:t>
      </w:r>
      <w:r w:rsidRPr="00991236">
        <w:rPr>
          <w:rFonts w:eastAsiaTheme="minorEastAsia"/>
          <w:b/>
          <w:color w:val="000000" w:themeColor="text1"/>
          <w:kern w:val="0"/>
          <w:sz w:val="24"/>
        </w:rPr>
        <w:t>报告期末按行业分类的</w:t>
      </w:r>
      <w:r w:rsidR="0091364B">
        <w:rPr>
          <w:rFonts w:eastAsiaTheme="minorEastAsia"/>
          <w:b/>
          <w:color w:val="000000" w:themeColor="text1"/>
          <w:kern w:val="0"/>
          <w:sz w:val="24"/>
        </w:rPr>
        <w:t>港股通</w:t>
      </w:r>
      <w:r w:rsidRPr="00991236">
        <w:rPr>
          <w:rFonts w:eastAsiaTheme="minorEastAsia"/>
          <w:b/>
          <w:color w:val="000000" w:themeColor="text1"/>
          <w:kern w:val="0"/>
          <w:sz w:val="24"/>
        </w:rPr>
        <w:t>投资股票投资组合</w:t>
      </w:r>
    </w:p>
    <w:p w:rsidR="009F4CB1" w:rsidRPr="00BB2922" w:rsidRDefault="009F4CB1"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本基金本报告期末未持有通过港股通交易机制投资的港股。</w:t>
      </w:r>
    </w:p>
    <w:p w:rsidR="00220542" w:rsidRPr="00991236" w:rsidRDefault="00220542" w:rsidP="007F456A">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5.3</w:t>
      </w:r>
      <w:r w:rsidR="00D26460" w:rsidRPr="00991236">
        <w:rPr>
          <w:rFonts w:eastAsiaTheme="minorEastAsia"/>
          <w:b/>
          <w:color w:val="000000" w:themeColor="text1"/>
          <w:kern w:val="0"/>
          <w:sz w:val="24"/>
        </w:rPr>
        <w:t>报告期末按公允价值占基金资产净值比例大小排序的股票投资明细</w:t>
      </w:r>
    </w:p>
    <w:p w:rsidR="00C22C7D" w:rsidRPr="00991236" w:rsidRDefault="000625A6" w:rsidP="00045BEC">
      <w:pPr>
        <w:spacing w:line="360" w:lineRule="auto"/>
        <w:rPr>
          <w:rFonts w:eastAsiaTheme="minorEastAsia"/>
          <w:b/>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991236">
          <w:rPr>
            <w:rFonts w:eastAsiaTheme="minorEastAsia"/>
            <w:b/>
            <w:color w:val="000000" w:themeColor="text1"/>
            <w:kern w:val="0"/>
            <w:sz w:val="24"/>
          </w:rPr>
          <w:t>5.3.1</w:t>
        </w:r>
      </w:smartTag>
      <w:r w:rsidR="00C22C7D" w:rsidRPr="00991236">
        <w:rPr>
          <w:rFonts w:eastAsiaTheme="minorEastAsia"/>
          <w:b/>
          <w:color w:val="000000" w:themeColor="text1"/>
          <w:kern w:val="0"/>
          <w:sz w:val="24"/>
        </w:rPr>
        <w:t>期末</w:t>
      </w:r>
      <w:r w:rsidR="00C22C7D" w:rsidRPr="00991236">
        <w:rPr>
          <w:rFonts w:eastAsiaTheme="minorEastAsia"/>
          <w:b/>
          <w:color w:val="000000" w:themeColor="text1"/>
          <w:sz w:val="24"/>
        </w:rPr>
        <w:t>指数投资按公允价值占基金资产净值比例大小排序的前</w:t>
      </w:r>
      <w:r w:rsidR="00AF5585" w:rsidRPr="00991236">
        <w:rPr>
          <w:rFonts w:eastAsiaTheme="minorEastAsia"/>
          <w:b/>
          <w:color w:val="000000" w:themeColor="text1"/>
          <w:sz w:val="24"/>
        </w:rPr>
        <w:t>十</w:t>
      </w:r>
      <w:r w:rsidR="00C22C7D" w:rsidRPr="00991236">
        <w:rPr>
          <w:rFonts w:eastAsiaTheme="minorEastAsia"/>
          <w:b/>
          <w:color w:val="000000" w:themeColor="text1"/>
          <w:sz w:val="24"/>
        </w:rPr>
        <w:t>名股票投资明细</w:t>
      </w:r>
    </w:p>
    <w:tbl>
      <w:tblPr>
        <w:tblStyle w:val="af7"/>
        <w:tblW w:w="0" w:type="auto"/>
        <w:tblLayout w:type="fixed"/>
        <w:tblLook w:val="04A0"/>
      </w:tblPr>
      <w:tblGrid>
        <w:gridCol w:w="817"/>
        <w:gridCol w:w="1276"/>
        <w:gridCol w:w="1701"/>
        <w:gridCol w:w="1276"/>
        <w:gridCol w:w="1842"/>
        <w:gridCol w:w="1616"/>
      </w:tblGrid>
      <w:tr w:rsidR="003E712B" w:rsidRPr="00991236" w:rsidTr="00C21C43">
        <w:tc>
          <w:tcPr>
            <w:tcW w:w="817" w:type="dxa"/>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序号</w:t>
            </w:r>
          </w:p>
        </w:tc>
        <w:tc>
          <w:tcPr>
            <w:tcW w:w="1276" w:type="dxa"/>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股票代码</w:t>
            </w:r>
          </w:p>
        </w:tc>
        <w:tc>
          <w:tcPr>
            <w:tcW w:w="1701" w:type="dxa"/>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股票名称</w:t>
            </w:r>
          </w:p>
        </w:tc>
        <w:tc>
          <w:tcPr>
            <w:tcW w:w="1276" w:type="dxa"/>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数量</w:t>
            </w:r>
            <w:r w:rsidRPr="00991236">
              <w:rPr>
                <w:rFonts w:eastAsiaTheme="minorEastAsia"/>
                <w:color w:val="000000" w:themeColor="text1"/>
                <w:sz w:val="24"/>
              </w:rPr>
              <w:t>(</w:t>
            </w:r>
            <w:r w:rsidRPr="00991236">
              <w:rPr>
                <w:rFonts w:eastAsiaTheme="minorEastAsia"/>
                <w:color w:val="000000" w:themeColor="text1"/>
                <w:sz w:val="24"/>
              </w:rPr>
              <w:t>股</w:t>
            </w:r>
            <w:r w:rsidRPr="00991236">
              <w:rPr>
                <w:rFonts w:eastAsiaTheme="minorEastAsia"/>
                <w:color w:val="000000" w:themeColor="text1"/>
                <w:sz w:val="24"/>
              </w:rPr>
              <w:t>)</w:t>
            </w:r>
          </w:p>
        </w:tc>
        <w:tc>
          <w:tcPr>
            <w:tcW w:w="1842" w:type="dxa"/>
            <w:vAlign w:val="center"/>
          </w:tcPr>
          <w:p w:rsidR="000820A8" w:rsidRPr="00991236" w:rsidRDefault="000820A8" w:rsidP="00C21C43">
            <w:pPr>
              <w:autoSpaceDE w:val="0"/>
              <w:autoSpaceDN w:val="0"/>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公允价值</w:t>
            </w:r>
            <w:r w:rsidRPr="00991236">
              <w:rPr>
                <w:rFonts w:eastAsiaTheme="minorEastAsia"/>
                <w:color w:val="000000" w:themeColor="text1"/>
                <w:sz w:val="24"/>
              </w:rPr>
              <w:t>(</w:t>
            </w:r>
            <w:r w:rsidRPr="00991236">
              <w:rPr>
                <w:rFonts w:eastAsiaTheme="minorEastAsia"/>
                <w:color w:val="000000" w:themeColor="text1"/>
                <w:sz w:val="24"/>
              </w:rPr>
              <w:t>元</w:t>
            </w:r>
            <w:r w:rsidRPr="00991236">
              <w:rPr>
                <w:rFonts w:eastAsiaTheme="minorEastAsia"/>
                <w:color w:val="000000" w:themeColor="text1"/>
                <w:sz w:val="24"/>
              </w:rPr>
              <w:t>)</w:t>
            </w:r>
          </w:p>
        </w:tc>
        <w:tc>
          <w:tcPr>
            <w:tcW w:w="1616" w:type="dxa"/>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占基金资产净值比例</w:t>
            </w:r>
            <w:r w:rsidRPr="00991236">
              <w:rPr>
                <w:rFonts w:eastAsiaTheme="minorEastAsia"/>
                <w:color w:val="000000" w:themeColor="text1"/>
                <w:sz w:val="24"/>
              </w:rPr>
              <w:t>(</w:t>
            </w:r>
            <w:r w:rsidRPr="00991236">
              <w:rPr>
                <w:rFonts w:eastAsiaTheme="minorEastAsia"/>
                <w:color w:val="000000" w:themeColor="text1"/>
                <w:sz w:val="24"/>
              </w:rPr>
              <w:t>％</w:t>
            </w:r>
            <w:r w:rsidRPr="00991236">
              <w:rPr>
                <w:rFonts w:eastAsiaTheme="minorEastAsia"/>
                <w:color w:val="000000" w:themeColor="text1"/>
                <w:sz w:val="24"/>
              </w:rPr>
              <w:t>)</w:t>
            </w:r>
          </w:p>
        </w:tc>
      </w:tr>
      <w:tr w:rsidR="003A6773">
        <w:tc>
          <w:tcPr>
            <w:tcW w:w="817" w:type="dxa"/>
            <w:vAlign w:val="center"/>
          </w:tcPr>
          <w:p w:rsidR="003A6773" w:rsidRDefault="00C26A76">
            <w:pPr>
              <w:jc w:val="center"/>
            </w:pPr>
            <w:r>
              <w:rPr>
                <w:rFonts w:eastAsiaTheme="minorEastAsia"/>
                <w:color w:val="000000" w:themeColor="text1"/>
                <w:sz w:val="24"/>
              </w:rPr>
              <w:t>1</w:t>
            </w:r>
          </w:p>
        </w:tc>
        <w:tc>
          <w:tcPr>
            <w:tcW w:w="1276" w:type="dxa"/>
            <w:vAlign w:val="center"/>
          </w:tcPr>
          <w:p w:rsidR="003A6773" w:rsidRDefault="00C26A76">
            <w:pPr>
              <w:jc w:val="center"/>
            </w:pPr>
            <w:r>
              <w:rPr>
                <w:rFonts w:eastAsiaTheme="minorEastAsia"/>
                <w:color w:val="000000" w:themeColor="text1"/>
                <w:sz w:val="24"/>
              </w:rPr>
              <w:t>600519</w:t>
            </w:r>
          </w:p>
        </w:tc>
        <w:tc>
          <w:tcPr>
            <w:tcW w:w="1701" w:type="dxa"/>
            <w:vAlign w:val="center"/>
          </w:tcPr>
          <w:p w:rsidR="003A6773" w:rsidRDefault="00C26A76">
            <w:pPr>
              <w:jc w:val="center"/>
            </w:pPr>
            <w:r>
              <w:rPr>
                <w:rFonts w:eastAsiaTheme="minorEastAsia"/>
                <w:color w:val="000000" w:themeColor="text1"/>
                <w:sz w:val="24"/>
              </w:rPr>
              <w:t>贵州茅台</w:t>
            </w:r>
          </w:p>
        </w:tc>
        <w:tc>
          <w:tcPr>
            <w:tcW w:w="1276" w:type="dxa"/>
            <w:vAlign w:val="center"/>
          </w:tcPr>
          <w:p w:rsidR="003A6773" w:rsidRDefault="00C26A76">
            <w:pPr>
              <w:jc w:val="right"/>
            </w:pPr>
            <w:r>
              <w:rPr>
                <w:rFonts w:eastAsiaTheme="minorEastAsia"/>
                <w:color w:val="000000" w:themeColor="text1"/>
                <w:sz w:val="24"/>
              </w:rPr>
              <w:t>3,767.00</w:t>
            </w:r>
          </w:p>
        </w:tc>
        <w:tc>
          <w:tcPr>
            <w:tcW w:w="1842" w:type="dxa"/>
            <w:vAlign w:val="center"/>
          </w:tcPr>
          <w:p w:rsidR="003A6773" w:rsidRDefault="00C26A76">
            <w:pPr>
              <w:jc w:val="right"/>
            </w:pPr>
            <w:r>
              <w:rPr>
                <w:rFonts w:eastAsiaTheme="minorEastAsia"/>
                <w:color w:val="000000" w:themeColor="text1"/>
                <w:sz w:val="24"/>
              </w:rPr>
              <w:t>3,216,980.33</w:t>
            </w:r>
          </w:p>
        </w:tc>
        <w:tc>
          <w:tcPr>
            <w:tcW w:w="1616" w:type="dxa"/>
            <w:vAlign w:val="center"/>
          </w:tcPr>
          <w:p w:rsidR="003A6773" w:rsidRDefault="00C26A76">
            <w:pPr>
              <w:jc w:val="right"/>
            </w:pPr>
            <w:r>
              <w:rPr>
                <w:rFonts w:eastAsiaTheme="minorEastAsia"/>
                <w:color w:val="000000" w:themeColor="text1"/>
                <w:sz w:val="24"/>
              </w:rPr>
              <w:t>8.24</w:t>
            </w:r>
          </w:p>
        </w:tc>
      </w:tr>
      <w:tr w:rsidR="003A6773">
        <w:tc>
          <w:tcPr>
            <w:tcW w:w="817" w:type="dxa"/>
            <w:vAlign w:val="center"/>
          </w:tcPr>
          <w:p w:rsidR="003A6773" w:rsidRDefault="00C26A76">
            <w:pPr>
              <w:jc w:val="center"/>
            </w:pPr>
            <w:r>
              <w:rPr>
                <w:rFonts w:eastAsiaTheme="minorEastAsia"/>
                <w:color w:val="000000" w:themeColor="text1"/>
                <w:sz w:val="24"/>
              </w:rPr>
              <w:t>2</w:t>
            </w:r>
          </w:p>
        </w:tc>
        <w:tc>
          <w:tcPr>
            <w:tcW w:w="1276" w:type="dxa"/>
            <w:vAlign w:val="center"/>
          </w:tcPr>
          <w:p w:rsidR="003A6773" w:rsidRDefault="00C26A76">
            <w:pPr>
              <w:jc w:val="center"/>
            </w:pPr>
            <w:r>
              <w:rPr>
                <w:rFonts w:eastAsiaTheme="minorEastAsia"/>
                <w:color w:val="000000" w:themeColor="text1"/>
                <w:sz w:val="24"/>
              </w:rPr>
              <w:t>000333</w:t>
            </w:r>
          </w:p>
        </w:tc>
        <w:tc>
          <w:tcPr>
            <w:tcW w:w="1701" w:type="dxa"/>
            <w:vAlign w:val="center"/>
          </w:tcPr>
          <w:p w:rsidR="003A6773" w:rsidRDefault="00C26A76">
            <w:pPr>
              <w:jc w:val="center"/>
            </w:pPr>
            <w:r>
              <w:rPr>
                <w:rFonts w:eastAsiaTheme="minorEastAsia"/>
                <w:color w:val="000000" w:themeColor="text1"/>
                <w:sz w:val="24"/>
              </w:rPr>
              <w:t>美的集团</w:t>
            </w:r>
          </w:p>
        </w:tc>
        <w:tc>
          <w:tcPr>
            <w:tcW w:w="1276" w:type="dxa"/>
            <w:vAlign w:val="center"/>
          </w:tcPr>
          <w:p w:rsidR="003A6773" w:rsidRDefault="00C26A76">
            <w:pPr>
              <w:jc w:val="right"/>
            </w:pPr>
            <w:r>
              <w:rPr>
                <w:rFonts w:eastAsiaTheme="minorEastAsia"/>
                <w:color w:val="000000" w:themeColor="text1"/>
                <w:sz w:val="24"/>
              </w:rPr>
              <w:t>34,219.00</w:t>
            </w:r>
          </w:p>
        </w:tc>
        <w:tc>
          <w:tcPr>
            <w:tcW w:w="1842" w:type="dxa"/>
            <w:vAlign w:val="center"/>
          </w:tcPr>
          <w:p w:rsidR="003A6773" w:rsidRDefault="00C26A76">
            <w:pPr>
              <w:jc w:val="right"/>
            </w:pPr>
            <w:r>
              <w:rPr>
                <w:rFonts w:eastAsiaTheme="minorEastAsia"/>
                <w:color w:val="000000" w:themeColor="text1"/>
                <w:sz w:val="24"/>
              </w:rPr>
              <w:t>1,667,491.87</w:t>
            </w:r>
          </w:p>
        </w:tc>
        <w:tc>
          <w:tcPr>
            <w:tcW w:w="1616" w:type="dxa"/>
            <w:vAlign w:val="center"/>
          </w:tcPr>
          <w:p w:rsidR="003A6773" w:rsidRDefault="00C26A76">
            <w:pPr>
              <w:jc w:val="right"/>
            </w:pPr>
            <w:r>
              <w:rPr>
                <w:rFonts w:eastAsiaTheme="minorEastAsia"/>
                <w:color w:val="000000" w:themeColor="text1"/>
                <w:sz w:val="24"/>
              </w:rPr>
              <w:t>4.27</w:t>
            </w:r>
          </w:p>
        </w:tc>
      </w:tr>
      <w:tr w:rsidR="003A6773">
        <w:tc>
          <w:tcPr>
            <w:tcW w:w="817" w:type="dxa"/>
            <w:vAlign w:val="center"/>
          </w:tcPr>
          <w:p w:rsidR="003A6773" w:rsidRDefault="00C26A76">
            <w:pPr>
              <w:jc w:val="center"/>
            </w:pPr>
            <w:r>
              <w:rPr>
                <w:rFonts w:eastAsiaTheme="minorEastAsia"/>
                <w:color w:val="000000" w:themeColor="text1"/>
                <w:sz w:val="24"/>
              </w:rPr>
              <w:t>3</w:t>
            </w:r>
          </w:p>
        </w:tc>
        <w:tc>
          <w:tcPr>
            <w:tcW w:w="1276" w:type="dxa"/>
            <w:vAlign w:val="center"/>
          </w:tcPr>
          <w:p w:rsidR="003A6773" w:rsidRDefault="00C26A76">
            <w:pPr>
              <w:jc w:val="center"/>
            </w:pPr>
            <w:r>
              <w:rPr>
                <w:rFonts w:eastAsiaTheme="minorEastAsia"/>
                <w:color w:val="000000" w:themeColor="text1"/>
                <w:sz w:val="24"/>
              </w:rPr>
              <w:t>000651</w:t>
            </w:r>
          </w:p>
        </w:tc>
        <w:tc>
          <w:tcPr>
            <w:tcW w:w="1701" w:type="dxa"/>
            <w:vAlign w:val="center"/>
          </w:tcPr>
          <w:p w:rsidR="003A6773" w:rsidRDefault="00C26A76">
            <w:pPr>
              <w:jc w:val="center"/>
            </w:pPr>
            <w:r>
              <w:rPr>
                <w:rFonts w:eastAsiaTheme="minorEastAsia"/>
                <w:color w:val="000000" w:themeColor="text1"/>
                <w:sz w:val="24"/>
              </w:rPr>
              <w:t>格力电器</w:t>
            </w:r>
          </w:p>
        </w:tc>
        <w:tc>
          <w:tcPr>
            <w:tcW w:w="1276" w:type="dxa"/>
            <w:vAlign w:val="center"/>
          </w:tcPr>
          <w:p w:rsidR="003A6773" w:rsidRDefault="00C26A76">
            <w:pPr>
              <w:jc w:val="right"/>
            </w:pPr>
            <w:r>
              <w:rPr>
                <w:rFonts w:eastAsiaTheme="minorEastAsia"/>
                <w:color w:val="000000" w:themeColor="text1"/>
                <w:sz w:val="24"/>
              </w:rPr>
              <w:t>35,048.00</w:t>
            </w:r>
          </w:p>
        </w:tc>
        <w:tc>
          <w:tcPr>
            <w:tcW w:w="1842" w:type="dxa"/>
            <w:vAlign w:val="center"/>
          </w:tcPr>
          <w:p w:rsidR="003A6773" w:rsidRDefault="00C26A76">
            <w:pPr>
              <w:jc w:val="right"/>
            </w:pPr>
            <w:r>
              <w:rPr>
                <w:rFonts w:eastAsiaTheme="minorEastAsia"/>
                <w:color w:val="000000" w:themeColor="text1"/>
                <w:sz w:val="24"/>
              </w:rPr>
              <w:t>1,654,616.08</w:t>
            </w:r>
          </w:p>
        </w:tc>
        <w:tc>
          <w:tcPr>
            <w:tcW w:w="1616" w:type="dxa"/>
            <w:vAlign w:val="center"/>
          </w:tcPr>
          <w:p w:rsidR="003A6773" w:rsidRDefault="00C26A76">
            <w:pPr>
              <w:jc w:val="right"/>
            </w:pPr>
            <w:r>
              <w:rPr>
                <w:rFonts w:eastAsiaTheme="minorEastAsia"/>
                <w:color w:val="000000" w:themeColor="text1"/>
                <w:sz w:val="24"/>
              </w:rPr>
              <w:t>4.24</w:t>
            </w:r>
          </w:p>
        </w:tc>
      </w:tr>
      <w:tr w:rsidR="003A6773">
        <w:tc>
          <w:tcPr>
            <w:tcW w:w="817" w:type="dxa"/>
            <w:vAlign w:val="center"/>
          </w:tcPr>
          <w:p w:rsidR="003A6773" w:rsidRDefault="00C26A76">
            <w:pPr>
              <w:jc w:val="center"/>
            </w:pPr>
            <w:r>
              <w:rPr>
                <w:rFonts w:eastAsiaTheme="minorEastAsia"/>
                <w:color w:val="000000" w:themeColor="text1"/>
                <w:sz w:val="24"/>
              </w:rPr>
              <w:t>4</w:t>
            </w:r>
          </w:p>
        </w:tc>
        <w:tc>
          <w:tcPr>
            <w:tcW w:w="1276" w:type="dxa"/>
            <w:vAlign w:val="center"/>
          </w:tcPr>
          <w:p w:rsidR="003A6773" w:rsidRDefault="00C26A76">
            <w:pPr>
              <w:jc w:val="center"/>
            </w:pPr>
            <w:r>
              <w:rPr>
                <w:rFonts w:eastAsiaTheme="minorEastAsia"/>
                <w:color w:val="000000" w:themeColor="text1"/>
                <w:sz w:val="24"/>
              </w:rPr>
              <w:t>000858</w:t>
            </w:r>
          </w:p>
        </w:tc>
        <w:tc>
          <w:tcPr>
            <w:tcW w:w="1701" w:type="dxa"/>
            <w:vAlign w:val="center"/>
          </w:tcPr>
          <w:p w:rsidR="003A6773" w:rsidRDefault="00C26A76">
            <w:pPr>
              <w:jc w:val="center"/>
            </w:pPr>
            <w:r>
              <w:rPr>
                <w:rFonts w:eastAsiaTheme="minorEastAsia"/>
                <w:color w:val="000000" w:themeColor="text1"/>
                <w:sz w:val="24"/>
              </w:rPr>
              <w:t>五粮液</w:t>
            </w:r>
          </w:p>
        </w:tc>
        <w:tc>
          <w:tcPr>
            <w:tcW w:w="1276" w:type="dxa"/>
            <w:vAlign w:val="center"/>
          </w:tcPr>
          <w:p w:rsidR="003A6773" w:rsidRDefault="00C26A76">
            <w:pPr>
              <w:jc w:val="right"/>
            </w:pPr>
            <w:r>
              <w:rPr>
                <w:rFonts w:eastAsiaTheme="minorEastAsia"/>
                <w:color w:val="000000" w:themeColor="text1"/>
                <w:sz w:val="24"/>
              </w:rPr>
              <w:t>14,256.00</w:t>
            </w:r>
          </w:p>
        </w:tc>
        <w:tc>
          <w:tcPr>
            <w:tcW w:w="1842" w:type="dxa"/>
            <w:vAlign w:val="center"/>
          </w:tcPr>
          <w:p w:rsidR="003A6773" w:rsidRDefault="00C26A76">
            <w:pPr>
              <w:jc w:val="right"/>
            </w:pPr>
            <w:r>
              <w:rPr>
                <w:rFonts w:eastAsiaTheme="minorEastAsia"/>
                <w:color w:val="000000" w:themeColor="text1"/>
                <w:sz w:val="24"/>
              </w:rPr>
              <w:t>1,354,320.00</w:t>
            </w:r>
          </w:p>
        </w:tc>
        <w:tc>
          <w:tcPr>
            <w:tcW w:w="1616" w:type="dxa"/>
            <w:vAlign w:val="center"/>
          </w:tcPr>
          <w:p w:rsidR="003A6773" w:rsidRDefault="00C26A76">
            <w:pPr>
              <w:jc w:val="right"/>
            </w:pPr>
            <w:r>
              <w:rPr>
                <w:rFonts w:eastAsiaTheme="minorEastAsia"/>
                <w:color w:val="000000" w:themeColor="text1"/>
                <w:sz w:val="24"/>
              </w:rPr>
              <w:t>3.47</w:t>
            </w:r>
          </w:p>
        </w:tc>
      </w:tr>
      <w:tr w:rsidR="003A6773">
        <w:tc>
          <w:tcPr>
            <w:tcW w:w="817" w:type="dxa"/>
            <w:vAlign w:val="center"/>
          </w:tcPr>
          <w:p w:rsidR="003A6773" w:rsidRDefault="00C26A76">
            <w:pPr>
              <w:jc w:val="center"/>
            </w:pPr>
            <w:r>
              <w:rPr>
                <w:rFonts w:eastAsiaTheme="minorEastAsia"/>
                <w:color w:val="000000" w:themeColor="text1"/>
                <w:sz w:val="24"/>
              </w:rPr>
              <w:t>5</w:t>
            </w:r>
          </w:p>
        </w:tc>
        <w:tc>
          <w:tcPr>
            <w:tcW w:w="1276" w:type="dxa"/>
            <w:vAlign w:val="center"/>
          </w:tcPr>
          <w:p w:rsidR="003A6773" w:rsidRDefault="00C26A76">
            <w:pPr>
              <w:jc w:val="center"/>
            </w:pPr>
            <w:r>
              <w:rPr>
                <w:rFonts w:eastAsiaTheme="minorEastAsia"/>
                <w:color w:val="000000" w:themeColor="text1"/>
                <w:sz w:val="24"/>
              </w:rPr>
              <w:t>600887</w:t>
            </w:r>
          </w:p>
        </w:tc>
        <w:tc>
          <w:tcPr>
            <w:tcW w:w="1701" w:type="dxa"/>
            <w:vAlign w:val="center"/>
          </w:tcPr>
          <w:p w:rsidR="003A6773" w:rsidRDefault="00C26A76">
            <w:pPr>
              <w:jc w:val="center"/>
            </w:pPr>
            <w:r>
              <w:rPr>
                <w:rFonts w:eastAsiaTheme="minorEastAsia"/>
                <w:color w:val="000000" w:themeColor="text1"/>
                <w:sz w:val="24"/>
              </w:rPr>
              <w:t>伊利股份</w:t>
            </w:r>
          </w:p>
        </w:tc>
        <w:tc>
          <w:tcPr>
            <w:tcW w:w="1276" w:type="dxa"/>
            <w:vAlign w:val="center"/>
          </w:tcPr>
          <w:p w:rsidR="003A6773" w:rsidRDefault="00C26A76">
            <w:pPr>
              <w:jc w:val="right"/>
            </w:pPr>
            <w:r>
              <w:rPr>
                <w:rFonts w:eastAsiaTheme="minorEastAsia"/>
                <w:color w:val="000000" w:themeColor="text1"/>
                <w:sz w:val="24"/>
              </w:rPr>
              <w:t>44,612.00</w:t>
            </w:r>
          </w:p>
        </w:tc>
        <w:tc>
          <w:tcPr>
            <w:tcW w:w="1842" w:type="dxa"/>
            <w:vAlign w:val="center"/>
          </w:tcPr>
          <w:p w:rsidR="003A6773" w:rsidRDefault="00C26A76">
            <w:pPr>
              <w:jc w:val="right"/>
            </w:pPr>
            <w:r>
              <w:rPr>
                <w:rFonts w:eastAsiaTheme="minorEastAsia"/>
                <w:color w:val="000000" w:themeColor="text1"/>
                <w:sz w:val="24"/>
              </w:rPr>
              <w:t>1,298,655.32</w:t>
            </w:r>
          </w:p>
        </w:tc>
        <w:tc>
          <w:tcPr>
            <w:tcW w:w="1616" w:type="dxa"/>
            <w:vAlign w:val="center"/>
          </w:tcPr>
          <w:p w:rsidR="003A6773" w:rsidRDefault="00C26A76">
            <w:pPr>
              <w:jc w:val="right"/>
            </w:pPr>
            <w:r>
              <w:rPr>
                <w:rFonts w:eastAsiaTheme="minorEastAsia"/>
                <w:color w:val="000000" w:themeColor="text1"/>
                <w:sz w:val="24"/>
              </w:rPr>
              <w:t>3.33</w:t>
            </w:r>
          </w:p>
        </w:tc>
      </w:tr>
      <w:tr w:rsidR="003A6773">
        <w:tc>
          <w:tcPr>
            <w:tcW w:w="817" w:type="dxa"/>
            <w:vAlign w:val="center"/>
          </w:tcPr>
          <w:p w:rsidR="003A6773" w:rsidRDefault="00C26A76">
            <w:pPr>
              <w:jc w:val="center"/>
            </w:pPr>
            <w:r>
              <w:rPr>
                <w:rFonts w:eastAsiaTheme="minorEastAsia"/>
                <w:color w:val="000000" w:themeColor="text1"/>
                <w:sz w:val="24"/>
              </w:rPr>
              <w:t>6</w:t>
            </w:r>
          </w:p>
        </w:tc>
        <w:tc>
          <w:tcPr>
            <w:tcW w:w="1276" w:type="dxa"/>
            <w:vAlign w:val="center"/>
          </w:tcPr>
          <w:p w:rsidR="003A6773" w:rsidRDefault="00C26A76">
            <w:pPr>
              <w:jc w:val="center"/>
            </w:pPr>
            <w:r>
              <w:rPr>
                <w:rFonts w:eastAsiaTheme="minorEastAsia"/>
                <w:color w:val="000000" w:themeColor="text1"/>
                <w:sz w:val="24"/>
              </w:rPr>
              <w:t>600276</w:t>
            </w:r>
          </w:p>
        </w:tc>
        <w:tc>
          <w:tcPr>
            <w:tcW w:w="1701" w:type="dxa"/>
            <w:vAlign w:val="center"/>
          </w:tcPr>
          <w:p w:rsidR="003A6773" w:rsidRDefault="00C26A76">
            <w:pPr>
              <w:jc w:val="center"/>
            </w:pPr>
            <w:r>
              <w:rPr>
                <w:rFonts w:eastAsiaTheme="minorEastAsia"/>
                <w:color w:val="000000" w:themeColor="text1"/>
                <w:sz w:val="24"/>
              </w:rPr>
              <w:t>恒瑞医药</w:t>
            </w:r>
          </w:p>
        </w:tc>
        <w:tc>
          <w:tcPr>
            <w:tcW w:w="1276" w:type="dxa"/>
            <w:vAlign w:val="center"/>
          </w:tcPr>
          <w:p w:rsidR="003A6773" w:rsidRDefault="00C26A76">
            <w:pPr>
              <w:jc w:val="right"/>
            </w:pPr>
            <w:r>
              <w:rPr>
                <w:rFonts w:eastAsiaTheme="minorEastAsia"/>
                <w:color w:val="000000" w:themeColor="text1"/>
                <w:sz w:val="24"/>
              </w:rPr>
              <w:t>19,508.00</w:t>
            </w:r>
          </w:p>
        </w:tc>
        <w:tc>
          <w:tcPr>
            <w:tcW w:w="1842" w:type="dxa"/>
            <w:vAlign w:val="center"/>
          </w:tcPr>
          <w:p w:rsidR="003A6773" w:rsidRDefault="00C26A76">
            <w:pPr>
              <w:jc w:val="right"/>
            </w:pPr>
            <w:r>
              <w:rPr>
                <w:rFonts w:eastAsiaTheme="minorEastAsia"/>
                <w:color w:val="000000" w:themeColor="text1"/>
                <w:sz w:val="24"/>
              </w:rPr>
              <w:t>1,276,213.36</w:t>
            </w:r>
          </w:p>
        </w:tc>
        <w:tc>
          <w:tcPr>
            <w:tcW w:w="1616" w:type="dxa"/>
            <w:vAlign w:val="center"/>
          </w:tcPr>
          <w:p w:rsidR="003A6773" w:rsidRDefault="00C26A76">
            <w:pPr>
              <w:jc w:val="right"/>
            </w:pPr>
            <w:r>
              <w:rPr>
                <w:rFonts w:eastAsiaTheme="minorEastAsia"/>
                <w:color w:val="000000" w:themeColor="text1"/>
                <w:sz w:val="24"/>
              </w:rPr>
              <w:t>3.27</w:t>
            </w:r>
          </w:p>
        </w:tc>
      </w:tr>
      <w:tr w:rsidR="003A6773">
        <w:tc>
          <w:tcPr>
            <w:tcW w:w="817" w:type="dxa"/>
            <w:vAlign w:val="center"/>
          </w:tcPr>
          <w:p w:rsidR="003A6773" w:rsidRDefault="00C26A76">
            <w:pPr>
              <w:jc w:val="center"/>
            </w:pPr>
            <w:r>
              <w:rPr>
                <w:rFonts w:eastAsiaTheme="minorEastAsia"/>
                <w:color w:val="000000" w:themeColor="text1"/>
                <w:sz w:val="24"/>
              </w:rPr>
              <w:t>7</w:t>
            </w:r>
          </w:p>
        </w:tc>
        <w:tc>
          <w:tcPr>
            <w:tcW w:w="1276" w:type="dxa"/>
            <w:vAlign w:val="center"/>
          </w:tcPr>
          <w:p w:rsidR="003A6773" w:rsidRDefault="00C26A76">
            <w:pPr>
              <w:jc w:val="center"/>
            </w:pPr>
            <w:r>
              <w:rPr>
                <w:rFonts w:eastAsiaTheme="minorEastAsia"/>
                <w:color w:val="000000" w:themeColor="text1"/>
                <w:sz w:val="24"/>
              </w:rPr>
              <w:t>600104</w:t>
            </w:r>
          </w:p>
        </w:tc>
        <w:tc>
          <w:tcPr>
            <w:tcW w:w="1701" w:type="dxa"/>
            <w:vAlign w:val="center"/>
          </w:tcPr>
          <w:p w:rsidR="003A6773" w:rsidRDefault="00C26A76">
            <w:pPr>
              <w:jc w:val="center"/>
            </w:pPr>
            <w:r>
              <w:rPr>
                <w:rFonts w:eastAsiaTheme="minorEastAsia"/>
                <w:color w:val="000000" w:themeColor="text1"/>
                <w:sz w:val="24"/>
              </w:rPr>
              <w:t>上汽集团</w:t>
            </w:r>
          </w:p>
        </w:tc>
        <w:tc>
          <w:tcPr>
            <w:tcW w:w="1276" w:type="dxa"/>
            <w:vAlign w:val="center"/>
          </w:tcPr>
          <w:p w:rsidR="003A6773" w:rsidRDefault="00C26A76">
            <w:pPr>
              <w:jc w:val="right"/>
            </w:pPr>
            <w:r>
              <w:rPr>
                <w:rFonts w:eastAsiaTheme="minorEastAsia"/>
                <w:color w:val="000000" w:themeColor="text1"/>
                <w:sz w:val="24"/>
              </w:rPr>
              <w:t>25,458.00</w:t>
            </w:r>
          </w:p>
        </w:tc>
        <w:tc>
          <w:tcPr>
            <w:tcW w:w="1842" w:type="dxa"/>
            <w:vAlign w:val="center"/>
          </w:tcPr>
          <w:p w:rsidR="003A6773" w:rsidRDefault="00C26A76">
            <w:pPr>
              <w:jc w:val="right"/>
            </w:pPr>
            <w:r>
              <w:rPr>
                <w:rFonts w:eastAsiaTheme="minorEastAsia"/>
                <w:color w:val="000000" w:themeColor="text1"/>
                <w:sz w:val="24"/>
              </w:rPr>
              <w:t>663,690.06</w:t>
            </w:r>
          </w:p>
        </w:tc>
        <w:tc>
          <w:tcPr>
            <w:tcW w:w="1616" w:type="dxa"/>
            <w:vAlign w:val="center"/>
          </w:tcPr>
          <w:p w:rsidR="003A6773" w:rsidRDefault="00C26A76">
            <w:pPr>
              <w:jc w:val="right"/>
            </w:pPr>
            <w:r>
              <w:rPr>
                <w:rFonts w:eastAsiaTheme="minorEastAsia"/>
                <w:color w:val="000000" w:themeColor="text1"/>
                <w:sz w:val="24"/>
              </w:rPr>
              <w:t>1.70</w:t>
            </w:r>
          </w:p>
        </w:tc>
      </w:tr>
      <w:tr w:rsidR="003A6773">
        <w:tc>
          <w:tcPr>
            <w:tcW w:w="817" w:type="dxa"/>
            <w:vAlign w:val="center"/>
          </w:tcPr>
          <w:p w:rsidR="003A6773" w:rsidRDefault="00C26A76">
            <w:pPr>
              <w:jc w:val="center"/>
            </w:pPr>
            <w:r>
              <w:rPr>
                <w:rFonts w:eastAsiaTheme="minorEastAsia"/>
                <w:color w:val="000000" w:themeColor="text1"/>
                <w:sz w:val="24"/>
              </w:rPr>
              <w:t>8</w:t>
            </w:r>
          </w:p>
        </w:tc>
        <w:tc>
          <w:tcPr>
            <w:tcW w:w="1276" w:type="dxa"/>
            <w:vAlign w:val="center"/>
          </w:tcPr>
          <w:p w:rsidR="003A6773" w:rsidRDefault="00C26A76">
            <w:pPr>
              <w:jc w:val="center"/>
            </w:pPr>
            <w:r>
              <w:rPr>
                <w:rFonts w:eastAsiaTheme="minorEastAsia"/>
                <w:color w:val="000000" w:themeColor="text1"/>
                <w:sz w:val="24"/>
              </w:rPr>
              <w:t>002304</w:t>
            </w:r>
          </w:p>
        </w:tc>
        <w:tc>
          <w:tcPr>
            <w:tcW w:w="1701" w:type="dxa"/>
            <w:vAlign w:val="center"/>
          </w:tcPr>
          <w:p w:rsidR="003A6773" w:rsidRDefault="00C26A76">
            <w:pPr>
              <w:jc w:val="center"/>
            </w:pPr>
            <w:r>
              <w:rPr>
                <w:rFonts w:eastAsiaTheme="minorEastAsia"/>
                <w:color w:val="000000" w:themeColor="text1"/>
                <w:sz w:val="24"/>
              </w:rPr>
              <w:t>洋河股份</w:t>
            </w:r>
          </w:p>
        </w:tc>
        <w:tc>
          <w:tcPr>
            <w:tcW w:w="1276" w:type="dxa"/>
            <w:vAlign w:val="center"/>
          </w:tcPr>
          <w:p w:rsidR="003A6773" w:rsidRDefault="00C26A76">
            <w:pPr>
              <w:jc w:val="right"/>
            </w:pPr>
            <w:r>
              <w:rPr>
                <w:rFonts w:eastAsiaTheme="minorEastAsia"/>
                <w:color w:val="000000" w:themeColor="text1"/>
                <w:sz w:val="24"/>
              </w:rPr>
              <w:t>4,522.00</w:t>
            </w:r>
          </w:p>
        </w:tc>
        <w:tc>
          <w:tcPr>
            <w:tcW w:w="1842" w:type="dxa"/>
            <w:vAlign w:val="center"/>
          </w:tcPr>
          <w:p w:rsidR="003A6773" w:rsidRDefault="00C26A76">
            <w:pPr>
              <w:jc w:val="right"/>
            </w:pPr>
            <w:r>
              <w:rPr>
                <w:rFonts w:eastAsiaTheme="minorEastAsia"/>
                <w:color w:val="000000" w:themeColor="text1"/>
                <w:sz w:val="24"/>
              </w:rPr>
              <w:t>589,759.24</w:t>
            </w:r>
          </w:p>
        </w:tc>
        <w:tc>
          <w:tcPr>
            <w:tcW w:w="1616" w:type="dxa"/>
            <w:vAlign w:val="center"/>
          </w:tcPr>
          <w:p w:rsidR="003A6773" w:rsidRDefault="00C26A76">
            <w:pPr>
              <w:jc w:val="right"/>
            </w:pPr>
            <w:r>
              <w:rPr>
                <w:rFonts w:eastAsiaTheme="minorEastAsia"/>
                <w:color w:val="000000" w:themeColor="text1"/>
                <w:sz w:val="24"/>
              </w:rPr>
              <w:t>1.51</w:t>
            </w:r>
          </w:p>
        </w:tc>
      </w:tr>
      <w:tr w:rsidR="003A6773">
        <w:tc>
          <w:tcPr>
            <w:tcW w:w="817" w:type="dxa"/>
            <w:vAlign w:val="center"/>
          </w:tcPr>
          <w:p w:rsidR="003A6773" w:rsidRDefault="00C26A76">
            <w:pPr>
              <w:jc w:val="center"/>
            </w:pPr>
            <w:r>
              <w:rPr>
                <w:rFonts w:eastAsiaTheme="minorEastAsia"/>
                <w:color w:val="000000" w:themeColor="text1"/>
                <w:sz w:val="24"/>
              </w:rPr>
              <w:t>9</w:t>
            </w:r>
          </w:p>
        </w:tc>
        <w:tc>
          <w:tcPr>
            <w:tcW w:w="1276" w:type="dxa"/>
            <w:vAlign w:val="center"/>
          </w:tcPr>
          <w:p w:rsidR="003A6773" w:rsidRDefault="00C26A76">
            <w:pPr>
              <w:jc w:val="center"/>
            </w:pPr>
            <w:r>
              <w:rPr>
                <w:rFonts w:eastAsiaTheme="minorEastAsia"/>
                <w:color w:val="000000" w:themeColor="text1"/>
                <w:sz w:val="24"/>
              </w:rPr>
              <w:t>603288</w:t>
            </w:r>
          </w:p>
        </w:tc>
        <w:tc>
          <w:tcPr>
            <w:tcW w:w="1701" w:type="dxa"/>
            <w:vAlign w:val="center"/>
          </w:tcPr>
          <w:p w:rsidR="003A6773" w:rsidRDefault="00C26A76">
            <w:pPr>
              <w:jc w:val="center"/>
            </w:pPr>
            <w:r>
              <w:rPr>
                <w:rFonts w:eastAsiaTheme="minorEastAsia"/>
                <w:color w:val="000000" w:themeColor="text1"/>
                <w:sz w:val="24"/>
              </w:rPr>
              <w:t>海天味业</w:t>
            </w:r>
          </w:p>
        </w:tc>
        <w:tc>
          <w:tcPr>
            <w:tcW w:w="1276" w:type="dxa"/>
            <w:vAlign w:val="center"/>
          </w:tcPr>
          <w:p w:rsidR="003A6773" w:rsidRDefault="00C26A76">
            <w:pPr>
              <w:jc w:val="right"/>
            </w:pPr>
            <w:r>
              <w:rPr>
                <w:rFonts w:eastAsiaTheme="minorEastAsia"/>
                <w:color w:val="000000" w:themeColor="text1"/>
                <w:sz w:val="24"/>
              </w:rPr>
              <w:t>6,100.00</w:t>
            </w:r>
          </w:p>
        </w:tc>
        <w:tc>
          <w:tcPr>
            <w:tcW w:w="1842" w:type="dxa"/>
            <w:vAlign w:val="center"/>
          </w:tcPr>
          <w:p w:rsidR="003A6773" w:rsidRDefault="00C26A76">
            <w:pPr>
              <w:jc w:val="right"/>
            </w:pPr>
            <w:r>
              <w:rPr>
                <w:rFonts w:eastAsiaTheme="minorEastAsia"/>
                <w:color w:val="000000" w:themeColor="text1"/>
                <w:sz w:val="24"/>
              </w:rPr>
              <w:t>528,870.00</w:t>
            </w:r>
          </w:p>
        </w:tc>
        <w:tc>
          <w:tcPr>
            <w:tcW w:w="1616" w:type="dxa"/>
            <w:vAlign w:val="center"/>
          </w:tcPr>
          <w:p w:rsidR="003A6773" w:rsidRDefault="00C26A76">
            <w:pPr>
              <w:jc w:val="right"/>
            </w:pPr>
            <w:r>
              <w:rPr>
                <w:rFonts w:eastAsiaTheme="minorEastAsia"/>
                <w:color w:val="000000" w:themeColor="text1"/>
                <w:sz w:val="24"/>
              </w:rPr>
              <w:t>1.35</w:t>
            </w:r>
          </w:p>
        </w:tc>
      </w:tr>
      <w:tr w:rsidR="003A6773">
        <w:tc>
          <w:tcPr>
            <w:tcW w:w="817" w:type="dxa"/>
            <w:vAlign w:val="center"/>
          </w:tcPr>
          <w:p w:rsidR="003A6773" w:rsidRDefault="00C26A76">
            <w:pPr>
              <w:jc w:val="center"/>
            </w:pPr>
            <w:r>
              <w:rPr>
                <w:rFonts w:eastAsiaTheme="minorEastAsia"/>
                <w:color w:val="000000" w:themeColor="text1"/>
                <w:sz w:val="24"/>
              </w:rPr>
              <w:t>10</w:t>
            </w:r>
          </w:p>
        </w:tc>
        <w:tc>
          <w:tcPr>
            <w:tcW w:w="1276" w:type="dxa"/>
            <w:vAlign w:val="center"/>
          </w:tcPr>
          <w:p w:rsidR="003A6773" w:rsidRDefault="00C26A76">
            <w:pPr>
              <w:jc w:val="center"/>
            </w:pPr>
            <w:r>
              <w:rPr>
                <w:rFonts w:eastAsiaTheme="minorEastAsia"/>
                <w:color w:val="000000" w:themeColor="text1"/>
                <w:sz w:val="24"/>
              </w:rPr>
              <w:t>601888</w:t>
            </w:r>
          </w:p>
        </w:tc>
        <w:tc>
          <w:tcPr>
            <w:tcW w:w="1701" w:type="dxa"/>
            <w:vAlign w:val="center"/>
          </w:tcPr>
          <w:p w:rsidR="003A6773" w:rsidRDefault="00C26A76">
            <w:pPr>
              <w:jc w:val="center"/>
            </w:pPr>
            <w:r>
              <w:rPr>
                <w:rFonts w:eastAsiaTheme="minorEastAsia"/>
                <w:color w:val="000000" w:themeColor="text1"/>
                <w:sz w:val="24"/>
              </w:rPr>
              <w:t>中国国旅</w:t>
            </w:r>
          </w:p>
        </w:tc>
        <w:tc>
          <w:tcPr>
            <w:tcW w:w="1276" w:type="dxa"/>
            <w:vAlign w:val="center"/>
          </w:tcPr>
          <w:p w:rsidR="003A6773" w:rsidRDefault="00C26A76">
            <w:pPr>
              <w:jc w:val="right"/>
            </w:pPr>
            <w:r>
              <w:rPr>
                <w:rFonts w:eastAsiaTheme="minorEastAsia"/>
                <w:color w:val="000000" w:themeColor="text1"/>
                <w:sz w:val="24"/>
              </w:rPr>
              <w:t>7,356.00</w:t>
            </w:r>
          </w:p>
        </w:tc>
        <w:tc>
          <w:tcPr>
            <w:tcW w:w="1842" w:type="dxa"/>
            <w:vAlign w:val="center"/>
          </w:tcPr>
          <w:p w:rsidR="003A6773" w:rsidRDefault="00C26A76">
            <w:pPr>
              <w:jc w:val="right"/>
            </w:pPr>
            <w:r>
              <w:rPr>
                <w:rFonts w:eastAsiaTheme="minorEastAsia"/>
                <w:color w:val="000000" w:themeColor="text1"/>
                <w:sz w:val="24"/>
              </w:rPr>
              <w:t>515,508.48</w:t>
            </w:r>
          </w:p>
        </w:tc>
        <w:tc>
          <w:tcPr>
            <w:tcW w:w="1616" w:type="dxa"/>
            <w:vAlign w:val="center"/>
          </w:tcPr>
          <w:p w:rsidR="003A6773" w:rsidRDefault="00C26A76">
            <w:pPr>
              <w:jc w:val="right"/>
            </w:pPr>
            <w:r>
              <w:rPr>
                <w:rFonts w:eastAsiaTheme="minorEastAsia"/>
                <w:color w:val="000000" w:themeColor="text1"/>
                <w:sz w:val="24"/>
              </w:rPr>
              <w:t>1.32</w:t>
            </w:r>
          </w:p>
        </w:tc>
      </w:tr>
    </w:tbl>
    <w:p w:rsidR="000625A6" w:rsidRPr="00991236" w:rsidRDefault="000625A6" w:rsidP="00045BEC">
      <w:pPr>
        <w:spacing w:line="360" w:lineRule="auto"/>
        <w:rPr>
          <w:rFonts w:eastAsiaTheme="minorEastAsia"/>
          <w:b/>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991236">
          <w:rPr>
            <w:rFonts w:eastAsiaTheme="minorEastAsia"/>
            <w:b/>
            <w:color w:val="000000" w:themeColor="text1"/>
            <w:kern w:val="0"/>
            <w:sz w:val="24"/>
          </w:rPr>
          <w:t>5.3.2</w:t>
        </w:r>
      </w:smartTag>
      <w:r w:rsidR="005D44E4" w:rsidRPr="00991236">
        <w:rPr>
          <w:rFonts w:eastAsiaTheme="minorEastAsia"/>
          <w:b/>
          <w:color w:val="000000" w:themeColor="text1"/>
          <w:kern w:val="0"/>
          <w:sz w:val="24"/>
        </w:rPr>
        <w:t>期末</w:t>
      </w:r>
      <w:r w:rsidR="005D44E4" w:rsidRPr="00991236">
        <w:rPr>
          <w:rFonts w:eastAsiaTheme="minorEastAsia"/>
          <w:b/>
          <w:color w:val="000000" w:themeColor="text1"/>
          <w:sz w:val="24"/>
        </w:rPr>
        <w:t>积极</w:t>
      </w:r>
      <w:r w:rsidRPr="00991236">
        <w:rPr>
          <w:rFonts w:eastAsiaTheme="minorEastAsia"/>
          <w:b/>
          <w:color w:val="000000" w:themeColor="text1"/>
          <w:sz w:val="24"/>
        </w:rPr>
        <w:t>投资按公允价值占基金资产净值比例大小排序的前五名股票投资明细</w:t>
      </w:r>
    </w:p>
    <w:tbl>
      <w:tblPr>
        <w:tblStyle w:val="af7"/>
        <w:tblW w:w="0" w:type="auto"/>
        <w:tblLayout w:type="fixed"/>
        <w:tblLook w:val="04A0"/>
      </w:tblPr>
      <w:tblGrid>
        <w:gridCol w:w="817"/>
        <w:gridCol w:w="1276"/>
        <w:gridCol w:w="1701"/>
        <w:gridCol w:w="1276"/>
        <w:gridCol w:w="1842"/>
        <w:gridCol w:w="1616"/>
      </w:tblGrid>
      <w:tr w:rsidR="003E712B" w:rsidRPr="00991236" w:rsidTr="002141B6">
        <w:tc>
          <w:tcPr>
            <w:tcW w:w="817" w:type="dxa"/>
            <w:vAlign w:val="center"/>
          </w:tcPr>
          <w:p w:rsidR="000820A8" w:rsidRPr="00991236" w:rsidRDefault="000820A8" w:rsidP="002141B6">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序号</w:t>
            </w:r>
          </w:p>
        </w:tc>
        <w:tc>
          <w:tcPr>
            <w:tcW w:w="1276" w:type="dxa"/>
            <w:vAlign w:val="center"/>
          </w:tcPr>
          <w:p w:rsidR="000820A8" w:rsidRPr="00991236" w:rsidRDefault="000820A8" w:rsidP="002141B6">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股票代码</w:t>
            </w:r>
          </w:p>
        </w:tc>
        <w:tc>
          <w:tcPr>
            <w:tcW w:w="1701" w:type="dxa"/>
            <w:vAlign w:val="center"/>
          </w:tcPr>
          <w:p w:rsidR="000820A8" w:rsidRPr="00991236" w:rsidRDefault="000820A8" w:rsidP="002141B6">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股票名称</w:t>
            </w:r>
          </w:p>
        </w:tc>
        <w:tc>
          <w:tcPr>
            <w:tcW w:w="1276" w:type="dxa"/>
            <w:vAlign w:val="center"/>
          </w:tcPr>
          <w:p w:rsidR="000820A8" w:rsidRPr="00991236" w:rsidRDefault="000820A8" w:rsidP="002141B6">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数量</w:t>
            </w:r>
            <w:r w:rsidRPr="00991236">
              <w:rPr>
                <w:rFonts w:eastAsiaTheme="minorEastAsia"/>
                <w:color w:val="000000" w:themeColor="text1"/>
                <w:sz w:val="24"/>
              </w:rPr>
              <w:t>(</w:t>
            </w:r>
            <w:r w:rsidRPr="00991236">
              <w:rPr>
                <w:rFonts w:eastAsiaTheme="minorEastAsia"/>
                <w:color w:val="000000" w:themeColor="text1"/>
                <w:sz w:val="24"/>
              </w:rPr>
              <w:t>股</w:t>
            </w:r>
            <w:r w:rsidRPr="00991236">
              <w:rPr>
                <w:rFonts w:eastAsiaTheme="minorEastAsia"/>
                <w:color w:val="000000" w:themeColor="text1"/>
                <w:sz w:val="24"/>
              </w:rPr>
              <w:t>)</w:t>
            </w:r>
          </w:p>
        </w:tc>
        <w:tc>
          <w:tcPr>
            <w:tcW w:w="1842" w:type="dxa"/>
            <w:vAlign w:val="center"/>
          </w:tcPr>
          <w:p w:rsidR="000820A8" w:rsidRPr="00991236" w:rsidRDefault="000820A8" w:rsidP="002141B6">
            <w:pPr>
              <w:autoSpaceDE w:val="0"/>
              <w:autoSpaceDN w:val="0"/>
              <w:adjustRightInd w:val="0"/>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公允价值</w:t>
            </w:r>
            <w:r w:rsidRPr="00991236">
              <w:rPr>
                <w:rFonts w:eastAsiaTheme="minorEastAsia"/>
                <w:color w:val="000000" w:themeColor="text1"/>
                <w:sz w:val="24"/>
              </w:rPr>
              <w:t>(</w:t>
            </w:r>
            <w:r w:rsidRPr="00991236">
              <w:rPr>
                <w:rFonts w:eastAsiaTheme="minorEastAsia"/>
                <w:color w:val="000000" w:themeColor="text1"/>
                <w:sz w:val="24"/>
              </w:rPr>
              <w:t>元</w:t>
            </w:r>
            <w:r w:rsidRPr="00991236">
              <w:rPr>
                <w:rFonts w:eastAsiaTheme="minorEastAsia"/>
                <w:color w:val="000000" w:themeColor="text1"/>
                <w:sz w:val="24"/>
              </w:rPr>
              <w:t>)</w:t>
            </w:r>
          </w:p>
        </w:tc>
        <w:tc>
          <w:tcPr>
            <w:tcW w:w="1616" w:type="dxa"/>
            <w:vAlign w:val="center"/>
          </w:tcPr>
          <w:p w:rsidR="000820A8" w:rsidRPr="00991236" w:rsidRDefault="000820A8" w:rsidP="002141B6">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占基金资产净值比例</w:t>
            </w:r>
            <w:r w:rsidRPr="00991236">
              <w:rPr>
                <w:rFonts w:eastAsiaTheme="minorEastAsia"/>
                <w:color w:val="000000" w:themeColor="text1"/>
                <w:sz w:val="24"/>
              </w:rPr>
              <w:t>(</w:t>
            </w:r>
            <w:r w:rsidRPr="00991236">
              <w:rPr>
                <w:rFonts w:eastAsiaTheme="minorEastAsia"/>
                <w:color w:val="000000" w:themeColor="text1"/>
                <w:sz w:val="24"/>
              </w:rPr>
              <w:t>％</w:t>
            </w:r>
            <w:r w:rsidRPr="00991236">
              <w:rPr>
                <w:rFonts w:eastAsiaTheme="minorEastAsia"/>
                <w:color w:val="000000" w:themeColor="text1"/>
                <w:sz w:val="24"/>
              </w:rPr>
              <w:t>)</w:t>
            </w:r>
          </w:p>
        </w:tc>
      </w:tr>
      <w:tr w:rsidR="003A6773">
        <w:tc>
          <w:tcPr>
            <w:tcW w:w="817" w:type="dxa"/>
            <w:vAlign w:val="center"/>
          </w:tcPr>
          <w:p w:rsidR="003A6773" w:rsidRDefault="00C26A76">
            <w:pPr>
              <w:jc w:val="center"/>
            </w:pPr>
            <w:r>
              <w:rPr>
                <w:rFonts w:eastAsiaTheme="minorEastAsia"/>
                <w:color w:val="000000" w:themeColor="text1"/>
                <w:sz w:val="24"/>
              </w:rPr>
              <w:t>1</w:t>
            </w:r>
          </w:p>
        </w:tc>
        <w:tc>
          <w:tcPr>
            <w:tcW w:w="1276" w:type="dxa"/>
            <w:vAlign w:val="center"/>
          </w:tcPr>
          <w:p w:rsidR="003A6773" w:rsidRDefault="00C26A76">
            <w:pPr>
              <w:jc w:val="center"/>
            </w:pPr>
            <w:r>
              <w:rPr>
                <w:rFonts w:eastAsiaTheme="minorEastAsia"/>
                <w:color w:val="000000" w:themeColor="text1"/>
                <w:sz w:val="24"/>
              </w:rPr>
              <w:t>002952</w:t>
            </w:r>
          </w:p>
        </w:tc>
        <w:tc>
          <w:tcPr>
            <w:tcW w:w="1701" w:type="dxa"/>
            <w:vAlign w:val="center"/>
          </w:tcPr>
          <w:p w:rsidR="003A6773" w:rsidRDefault="00C26A76">
            <w:pPr>
              <w:jc w:val="center"/>
            </w:pPr>
            <w:r>
              <w:rPr>
                <w:rFonts w:eastAsiaTheme="minorEastAsia"/>
                <w:color w:val="000000" w:themeColor="text1"/>
                <w:sz w:val="24"/>
              </w:rPr>
              <w:t>亚世光电</w:t>
            </w:r>
          </w:p>
        </w:tc>
        <w:tc>
          <w:tcPr>
            <w:tcW w:w="1276" w:type="dxa"/>
            <w:vAlign w:val="center"/>
          </w:tcPr>
          <w:p w:rsidR="003A6773" w:rsidRDefault="00C26A76">
            <w:pPr>
              <w:jc w:val="right"/>
            </w:pPr>
            <w:r>
              <w:rPr>
                <w:rFonts w:eastAsiaTheme="minorEastAsia"/>
                <w:color w:val="000000" w:themeColor="text1"/>
                <w:sz w:val="24"/>
              </w:rPr>
              <w:t>9,105.00</w:t>
            </w:r>
          </w:p>
        </w:tc>
        <w:tc>
          <w:tcPr>
            <w:tcW w:w="1842" w:type="dxa"/>
            <w:vAlign w:val="center"/>
          </w:tcPr>
          <w:p w:rsidR="003A6773" w:rsidRDefault="00C26A76">
            <w:pPr>
              <w:jc w:val="right"/>
            </w:pPr>
            <w:r>
              <w:rPr>
                <w:rFonts w:eastAsiaTheme="minorEastAsia"/>
                <w:color w:val="000000" w:themeColor="text1"/>
                <w:sz w:val="24"/>
              </w:rPr>
              <w:t>399,527.40</w:t>
            </w:r>
          </w:p>
        </w:tc>
        <w:tc>
          <w:tcPr>
            <w:tcW w:w="1616" w:type="dxa"/>
            <w:vAlign w:val="center"/>
          </w:tcPr>
          <w:p w:rsidR="003A6773" w:rsidRDefault="00C26A76">
            <w:pPr>
              <w:jc w:val="right"/>
            </w:pPr>
            <w:r>
              <w:rPr>
                <w:rFonts w:eastAsiaTheme="minorEastAsia"/>
                <w:color w:val="000000" w:themeColor="text1"/>
                <w:sz w:val="24"/>
              </w:rPr>
              <w:t>1.02</w:t>
            </w:r>
          </w:p>
        </w:tc>
      </w:tr>
      <w:tr w:rsidR="003A6773">
        <w:tc>
          <w:tcPr>
            <w:tcW w:w="817" w:type="dxa"/>
            <w:vAlign w:val="center"/>
          </w:tcPr>
          <w:p w:rsidR="003A6773" w:rsidRDefault="00C26A76">
            <w:pPr>
              <w:jc w:val="center"/>
            </w:pPr>
            <w:r>
              <w:rPr>
                <w:rFonts w:eastAsiaTheme="minorEastAsia"/>
                <w:color w:val="000000" w:themeColor="text1"/>
                <w:sz w:val="24"/>
              </w:rPr>
              <w:t>2</w:t>
            </w:r>
          </w:p>
        </w:tc>
        <w:tc>
          <w:tcPr>
            <w:tcW w:w="1276" w:type="dxa"/>
            <w:vAlign w:val="center"/>
          </w:tcPr>
          <w:p w:rsidR="003A6773" w:rsidRDefault="00C26A76">
            <w:pPr>
              <w:jc w:val="center"/>
            </w:pPr>
            <w:r>
              <w:rPr>
                <w:rFonts w:eastAsiaTheme="minorEastAsia"/>
                <w:color w:val="000000" w:themeColor="text1"/>
                <w:sz w:val="24"/>
              </w:rPr>
              <w:t>601598</w:t>
            </w:r>
          </w:p>
        </w:tc>
        <w:tc>
          <w:tcPr>
            <w:tcW w:w="1701" w:type="dxa"/>
            <w:vAlign w:val="center"/>
          </w:tcPr>
          <w:p w:rsidR="003A6773" w:rsidRDefault="00C26A76">
            <w:pPr>
              <w:jc w:val="center"/>
            </w:pPr>
            <w:r>
              <w:rPr>
                <w:rFonts w:eastAsiaTheme="minorEastAsia"/>
                <w:color w:val="000000" w:themeColor="text1"/>
                <w:sz w:val="24"/>
              </w:rPr>
              <w:t>中国外运</w:t>
            </w:r>
          </w:p>
        </w:tc>
        <w:tc>
          <w:tcPr>
            <w:tcW w:w="1276" w:type="dxa"/>
            <w:vAlign w:val="center"/>
          </w:tcPr>
          <w:p w:rsidR="003A6773" w:rsidRDefault="00C26A76">
            <w:pPr>
              <w:jc w:val="right"/>
            </w:pPr>
            <w:r>
              <w:rPr>
                <w:rFonts w:eastAsiaTheme="minorEastAsia"/>
                <w:color w:val="000000" w:themeColor="text1"/>
                <w:sz w:val="24"/>
              </w:rPr>
              <w:t>10,685.00</w:t>
            </w:r>
          </w:p>
        </w:tc>
        <w:tc>
          <w:tcPr>
            <w:tcW w:w="1842" w:type="dxa"/>
            <w:vAlign w:val="center"/>
          </w:tcPr>
          <w:p w:rsidR="003A6773" w:rsidRDefault="00C26A76">
            <w:pPr>
              <w:jc w:val="right"/>
            </w:pPr>
            <w:r>
              <w:rPr>
                <w:rFonts w:eastAsiaTheme="minorEastAsia"/>
                <w:color w:val="000000" w:themeColor="text1"/>
                <w:sz w:val="24"/>
              </w:rPr>
              <w:t>63,255.20</w:t>
            </w:r>
          </w:p>
        </w:tc>
        <w:tc>
          <w:tcPr>
            <w:tcW w:w="1616" w:type="dxa"/>
            <w:vAlign w:val="center"/>
          </w:tcPr>
          <w:p w:rsidR="003A6773" w:rsidRDefault="00C26A76">
            <w:pPr>
              <w:jc w:val="right"/>
            </w:pPr>
            <w:r>
              <w:rPr>
                <w:rFonts w:eastAsiaTheme="minorEastAsia"/>
                <w:color w:val="000000" w:themeColor="text1"/>
                <w:sz w:val="24"/>
              </w:rPr>
              <w:t>0.16</w:t>
            </w:r>
          </w:p>
        </w:tc>
      </w:tr>
      <w:tr w:rsidR="003A6773">
        <w:tc>
          <w:tcPr>
            <w:tcW w:w="817" w:type="dxa"/>
            <w:vAlign w:val="center"/>
          </w:tcPr>
          <w:p w:rsidR="003A6773" w:rsidRDefault="00C26A76">
            <w:pPr>
              <w:jc w:val="center"/>
            </w:pPr>
            <w:r>
              <w:rPr>
                <w:rFonts w:eastAsiaTheme="minorEastAsia"/>
                <w:color w:val="000000" w:themeColor="text1"/>
                <w:sz w:val="24"/>
              </w:rPr>
              <w:t>3</w:t>
            </w:r>
          </w:p>
        </w:tc>
        <w:tc>
          <w:tcPr>
            <w:tcW w:w="1276" w:type="dxa"/>
            <w:vAlign w:val="center"/>
          </w:tcPr>
          <w:p w:rsidR="003A6773" w:rsidRDefault="00C26A76">
            <w:pPr>
              <w:jc w:val="center"/>
            </w:pPr>
            <w:r>
              <w:rPr>
                <w:rFonts w:eastAsiaTheme="minorEastAsia"/>
                <w:color w:val="000000" w:themeColor="text1"/>
                <w:sz w:val="24"/>
              </w:rPr>
              <w:t>002958</w:t>
            </w:r>
          </w:p>
        </w:tc>
        <w:tc>
          <w:tcPr>
            <w:tcW w:w="1701" w:type="dxa"/>
            <w:vAlign w:val="center"/>
          </w:tcPr>
          <w:p w:rsidR="003A6773" w:rsidRDefault="00C26A76">
            <w:pPr>
              <w:jc w:val="center"/>
            </w:pPr>
            <w:r>
              <w:rPr>
                <w:rFonts w:eastAsiaTheme="minorEastAsia"/>
                <w:color w:val="000000" w:themeColor="text1"/>
                <w:sz w:val="24"/>
              </w:rPr>
              <w:t>青农商行</w:t>
            </w:r>
          </w:p>
        </w:tc>
        <w:tc>
          <w:tcPr>
            <w:tcW w:w="1276" w:type="dxa"/>
            <w:vAlign w:val="center"/>
          </w:tcPr>
          <w:p w:rsidR="003A6773" w:rsidRDefault="00C26A76">
            <w:pPr>
              <w:jc w:val="right"/>
            </w:pPr>
            <w:r>
              <w:rPr>
                <w:rFonts w:eastAsiaTheme="minorEastAsia"/>
                <w:color w:val="000000" w:themeColor="text1"/>
                <w:sz w:val="24"/>
              </w:rPr>
              <w:t>7,788.00</w:t>
            </w:r>
          </w:p>
        </w:tc>
        <w:tc>
          <w:tcPr>
            <w:tcW w:w="1842" w:type="dxa"/>
            <w:vAlign w:val="center"/>
          </w:tcPr>
          <w:p w:rsidR="003A6773" w:rsidRDefault="00C26A76">
            <w:pPr>
              <w:jc w:val="right"/>
            </w:pPr>
            <w:r>
              <w:rPr>
                <w:rFonts w:eastAsiaTheme="minorEastAsia"/>
                <w:color w:val="000000" w:themeColor="text1"/>
                <w:sz w:val="24"/>
              </w:rPr>
              <w:t>59,110.92</w:t>
            </w:r>
          </w:p>
        </w:tc>
        <w:tc>
          <w:tcPr>
            <w:tcW w:w="1616" w:type="dxa"/>
            <w:vAlign w:val="center"/>
          </w:tcPr>
          <w:p w:rsidR="003A6773" w:rsidRDefault="00C26A76">
            <w:pPr>
              <w:jc w:val="right"/>
            </w:pPr>
            <w:r>
              <w:rPr>
                <w:rFonts w:eastAsiaTheme="minorEastAsia"/>
                <w:color w:val="000000" w:themeColor="text1"/>
                <w:sz w:val="24"/>
              </w:rPr>
              <w:t>0.15</w:t>
            </w:r>
          </w:p>
        </w:tc>
      </w:tr>
    </w:tbl>
    <w:p w:rsidR="0066704D" w:rsidRPr="00BB2922" w:rsidRDefault="000820A8"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注：本基金本报告期末仅持有以上积极投资股票。</w:t>
      </w:r>
    </w:p>
    <w:p w:rsidR="000625A6" w:rsidRPr="00991236" w:rsidRDefault="000625A6" w:rsidP="0019563C">
      <w:pPr>
        <w:autoSpaceDE w:val="0"/>
        <w:autoSpaceDN w:val="0"/>
        <w:adjustRightInd w:val="0"/>
        <w:spacing w:line="360" w:lineRule="auto"/>
        <w:jc w:val="left"/>
        <w:rPr>
          <w:rFonts w:eastAsiaTheme="minorEastAsia"/>
          <w:color w:val="000000" w:themeColor="text1"/>
          <w:sz w:val="24"/>
        </w:rPr>
      </w:pPr>
    </w:p>
    <w:p w:rsidR="00220542" w:rsidRPr="00991236" w:rsidRDefault="00220542"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5.4 </w:t>
      </w:r>
      <w:r w:rsidRPr="00991236">
        <w:rPr>
          <w:rFonts w:eastAsiaTheme="minorEastAsia"/>
          <w:b/>
          <w:color w:val="000000" w:themeColor="text1"/>
          <w:kern w:val="0"/>
          <w:sz w:val="24"/>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35"/>
        <w:gridCol w:w="2694"/>
        <w:gridCol w:w="1757"/>
      </w:tblGrid>
      <w:tr w:rsidR="003E712B" w:rsidRPr="00991236" w:rsidTr="00504285">
        <w:tc>
          <w:tcPr>
            <w:tcW w:w="124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序号</w:t>
            </w:r>
          </w:p>
        </w:tc>
        <w:tc>
          <w:tcPr>
            <w:tcW w:w="2835"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债券品种</w:t>
            </w:r>
          </w:p>
        </w:tc>
        <w:tc>
          <w:tcPr>
            <w:tcW w:w="2694"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公允价值</w:t>
            </w:r>
            <w:r w:rsidRPr="00991236">
              <w:rPr>
                <w:rFonts w:eastAsiaTheme="minorEastAsia"/>
                <w:color w:val="000000" w:themeColor="text1"/>
                <w:sz w:val="24"/>
              </w:rPr>
              <w:t>(</w:t>
            </w:r>
            <w:r w:rsidRPr="00991236">
              <w:rPr>
                <w:rFonts w:eastAsiaTheme="minorEastAsia"/>
                <w:color w:val="000000" w:themeColor="text1"/>
                <w:sz w:val="24"/>
              </w:rPr>
              <w:t>元</w:t>
            </w:r>
            <w:r w:rsidRPr="00991236">
              <w:rPr>
                <w:rFonts w:eastAsiaTheme="minorEastAsia"/>
                <w:color w:val="000000" w:themeColor="text1"/>
                <w:sz w:val="24"/>
              </w:rPr>
              <w:t>)</w:t>
            </w:r>
          </w:p>
        </w:tc>
        <w:tc>
          <w:tcPr>
            <w:tcW w:w="1757"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占基金资产净值比例</w:t>
            </w:r>
            <w:r w:rsidRPr="00991236">
              <w:rPr>
                <w:rFonts w:eastAsiaTheme="minorEastAsia"/>
                <w:color w:val="000000" w:themeColor="text1"/>
                <w:sz w:val="24"/>
              </w:rPr>
              <w:t>(</w:t>
            </w:r>
            <w:r w:rsidRPr="00991236">
              <w:rPr>
                <w:rFonts w:eastAsiaTheme="minorEastAsia"/>
                <w:color w:val="000000" w:themeColor="text1"/>
                <w:sz w:val="24"/>
              </w:rPr>
              <w:t>％</w:t>
            </w:r>
            <w:r w:rsidRPr="00991236">
              <w:rPr>
                <w:rFonts w:eastAsiaTheme="minorEastAsia"/>
                <w:color w:val="000000" w:themeColor="text1"/>
                <w:sz w:val="24"/>
              </w:rPr>
              <w:t>)</w:t>
            </w:r>
          </w:p>
        </w:tc>
      </w:tr>
      <w:tr w:rsidR="003E712B" w:rsidRPr="00991236" w:rsidTr="002141B6">
        <w:tc>
          <w:tcPr>
            <w:tcW w:w="124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1</w:t>
            </w:r>
          </w:p>
        </w:tc>
        <w:tc>
          <w:tcPr>
            <w:tcW w:w="2835" w:type="dxa"/>
            <w:shd w:val="clear" w:color="auto" w:fill="auto"/>
            <w:vAlign w:val="center"/>
          </w:tcPr>
          <w:p w:rsidR="000820A8" w:rsidRPr="00991236" w:rsidRDefault="000820A8"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国家债券</w:t>
            </w:r>
          </w:p>
        </w:tc>
        <w:tc>
          <w:tcPr>
            <w:tcW w:w="2694"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757"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c>
          <w:tcPr>
            <w:tcW w:w="124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2</w:t>
            </w:r>
          </w:p>
        </w:tc>
        <w:tc>
          <w:tcPr>
            <w:tcW w:w="2835" w:type="dxa"/>
            <w:shd w:val="clear" w:color="auto" w:fill="auto"/>
            <w:vAlign w:val="center"/>
          </w:tcPr>
          <w:p w:rsidR="000820A8" w:rsidRPr="00991236" w:rsidRDefault="000820A8"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央行票据</w:t>
            </w:r>
          </w:p>
        </w:tc>
        <w:tc>
          <w:tcPr>
            <w:tcW w:w="2694"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757"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c>
          <w:tcPr>
            <w:tcW w:w="124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3</w:t>
            </w:r>
          </w:p>
        </w:tc>
        <w:tc>
          <w:tcPr>
            <w:tcW w:w="2835" w:type="dxa"/>
            <w:shd w:val="clear" w:color="auto" w:fill="auto"/>
            <w:vAlign w:val="center"/>
          </w:tcPr>
          <w:p w:rsidR="000820A8" w:rsidRPr="00991236" w:rsidRDefault="000820A8"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金融债券</w:t>
            </w:r>
          </w:p>
        </w:tc>
        <w:tc>
          <w:tcPr>
            <w:tcW w:w="2694"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99,009.90</w:t>
            </w:r>
          </w:p>
        </w:tc>
        <w:tc>
          <w:tcPr>
            <w:tcW w:w="1757"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0.25</w:t>
            </w:r>
          </w:p>
        </w:tc>
      </w:tr>
      <w:tr w:rsidR="003E712B" w:rsidRPr="00991236" w:rsidTr="002141B6">
        <w:tc>
          <w:tcPr>
            <w:tcW w:w="124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p>
        </w:tc>
        <w:tc>
          <w:tcPr>
            <w:tcW w:w="2835" w:type="dxa"/>
            <w:shd w:val="clear" w:color="auto" w:fill="auto"/>
            <w:vAlign w:val="center"/>
          </w:tcPr>
          <w:p w:rsidR="000820A8" w:rsidRPr="00991236" w:rsidRDefault="000820A8"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其中：政策性金融债</w:t>
            </w:r>
          </w:p>
        </w:tc>
        <w:tc>
          <w:tcPr>
            <w:tcW w:w="2694"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99,009.90</w:t>
            </w:r>
          </w:p>
        </w:tc>
        <w:tc>
          <w:tcPr>
            <w:tcW w:w="1757"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0.25</w:t>
            </w:r>
          </w:p>
        </w:tc>
      </w:tr>
      <w:tr w:rsidR="003E712B" w:rsidRPr="00991236" w:rsidTr="002141B6">
        <w:tc>
          <w:tcPr>
            <w:tcW w:w="124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4</w:t>
            </w:r>
          </w:p>
        </w:tc>
        <w:tc>
          <w:tcPr>
            <w:tcW w:w="2835" w:type="dxa"/>
            <w:shd w:val="clear" w:color="auto" w:fill="auto"/>
            <w:vAlign w:val="center"/>
          </w:tcPr>
          <w:p w:rsidR="000820A8" w:rsidRPr="00991236" w:rsidRDefault="000820A8"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企业债券</w:t>
            </w:r>
          </w:p>
        </w:tc>
        <w:tc>
          <w:tcPr>
            <w:tcW w:w="2694"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757"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c>
          <w:tcPr>
            <w:tcW w:w="124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5</w:t>
            </w:r>
          </w:p>
        </w:tc>
        <w:tc>
          <w:tcPr>
            <w:tcW w:w="2835" w:type="dxa"/>
            <w:shd w:val="clear" w:color="auto" w:fill="auto"/>
            <w:vAlign w:val="center"/>
          </w:tcPr>
          <w:p w:rsidR="000820A8" w:rsidRPr="00991236" w:rsidRDefault="000820A8"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企业短期融资</w:t>
            </w:r>
            <w:r w:rsidR="007D021A" w:rsidRPr="00991236">
              <w:rPr>
                <w:rFonts w:eastAsiaTheme="minorEastAsia"/>
                <w:color w:val="000000" w:themeColor="text1"/>
                <w:sz w:val="24"/>
              </w:rPr>
              <w:t>券</w:t>
            </w:r>
          </w:p>
        </w:tc>
        <w:tc>
          <w:tcPr>
            <w:tcW w:w="2694"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757" w:type="dxa"/>
            <w:shd w:val="clear" w:color="auto" w:fill="auto"/>
            <w:vAlign w:val="center"/>
          </w:tcPr>
          <w:p w:rsidR="000820A8" w:rsidRPr="00991236" w:rsidRDefault="000820A8"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c>
          <w:tcPr>
            <w:tcW w:w="1242" w:type="dxa"/>
            <w:shd w:val="clear" w:color="auto" w:fill="auto"/>
            <w:vAlign w:val="center"/>
          </w:tcPr>
          <w:p w:rsidR="00521065" w:rsidRPr="00991236" w:rsidRDefault="00521065" w:rsidP="00E57F92">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6</w:t>
            </w:r>
          </w:p>
        </w:tc>
        <w:tc>
          <w:tcPr>
            <w:tcW w:w="2835" w:type="dxa"/>
            <w:shd w:val="clear" w:color="auto" w:fill="auto"/>
            <w:vAlign w:val="center"/>
          </w:tcPr>
          <w:p w:rsidR="00521065" w:rsidRPr="00991236" w:rsidRDefault="00521065" w:rsidP="00E57F92">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中期票据</w:t>
            </w:r>
          </w:p>
        </w:tc>
        <w:tc>
          <w:tcPr>
            <w:tcW w:w="2694" w:type="dxa"/>
            <w:shd w:val="clear" w:color="auto" w:fill="auto"/>
            <w:vAlign w:val="center"/>
          </w:tcPr>
          <w:p w:rsidR="00521065" w:rsidRPr="00991236" w:rsidRDefault="00521065"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757" w:type="dxa"/>
            <w:shd w:val="clear" w:color="auto" w:fill="auto"/>
            <w:vAlign w:val="center"/>
          </w:tcPr>
          <w:p w:rsidR="00521065" w:rsidRPr="00991236" w:rsidRDefault="00521065"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c>
          <w:tcPr>
            <w:tcW w:w="1242" w:type="dxa"/>
            <w:shd w:val="clear" w:color="auto" w:fill="auto"/>
            <w:vAlign w:val="center"/>
          </w:tcPr>
          <w:p w:rsidR="00521065" w:rsidRPr="00991236" w:rsidRDefault="00521065"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7</w:t>
            </w:r>
          </w:p>
        </w:tc>
        <w:tc>
          <w:tcPr>
            <w:tcW w:w="2835" w:type="dxa"/>
            <w:shd w:val="clear" w:color="auto" w:fill="auto"/>
            <w:vAlign w:val="center"/>
          </w:tcPr>
          <w:p w:rsidR="00521065" w:rsidRPr="00991236" w:rsidRDefault="00521065"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可转债</w:t>
            </w:r>
            <w:r w:rsidR="00172410" w:rsidRPr="00991236">
              <w:rPr>
                <w:rFonts w:eastAsiaTheme="minorEastAsia"/>
                <w:color w:val="000000" w:themeColor="text1"/>
                <w:sz w:val="24"/>
              </w:rPr>
              <w:t>（可交换债）</w:t>
            </w:r>
          </w:p>
        </w:tc>
        <w:tc>
          <w:tcPr>
            <w:tcW w:w="2694" w:type="dxa"/>
            <w:shd w:val="clear" w:color="auto" w:fill="auto"/>
            <w:vAlign w:val="center"/>
          </w:tcPr>
          <w:p w:rsidR="00521065" w:rsidRPr="00991236" w:rsidRDefault="00521065"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3,499.99</w:t>
            </w:r>
          </w:p>
        </w:tc>
        <w:tc>
          <w:tcPr>
            <w:tcW w:w="1757" w:type="dxa"/>
            <w:shd w:val="clear" w:color="auto" w:fill="auto"/>
            <w:vAlign w:val="center"/>
          </w:tcPr>
          <w:p w:rsidR="00521065" w:rsidRPr="00991236" w:rsidRDefault="00521065" w:rsidP="002141B6">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0.01</w:t>
            </w:r>
          </w:p>
        </w:tc>
      </w:tr>
      <w:tr w:rsidR="00EF0C36" w:rsidRPr="00991236" w:rsidTr="002141B6">
        <w:tc>
          <w:tcPr>
            <w:tcW w:w="1242" w:type="dxa"/>
            <w:shd w:val="clear" w:color="auto" w:fill="auto"/>
            <w:vAlign w:val="center"/>
          </w:tcPr>
          <w:p w:rsidR="00EF0C36" w:rsidRPr="00991236" w:rsidRDefault="00EF0C36" w:rsidP="00D234E7">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8</w:t>
            </w:r>
          </w:p>
        </w:tc>
        <w:tc>
          <w:tcPr>
            <w:tcW w:w="2835" w:type="dxa"/>
            <w:shd w:val="clear" w:color="auto" w:fill="auto"/>
            <w:vAlign w:val="center"/>
          </w:tcPr>
          <w:p w:rsidR="00EF0C36" w:rsidRPr="00991236" w:rsidRDefault="00EF0C36" w:rsidP="00D234E7">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同业存单</w:t>
            </w:r>
          </w:p>
        </w:tc>
        <w:tc>
          <w:tcPr>
            <w:tcW w:w="2694" w:type="dxa"/>
            <w:shd w:val="clear" w:color="auto" w:fill="auto"/>
            <w:vAlign w:val="center"/>
          </w:tcPr>
          <w:p w:rsidR="00EF0C36" w:rsidRPr="00991236" w:rsidRDefault="00EF0C36" w:rsidP="00D234E7">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757" w:type="dxa"/>
            <w:shd w:val="clear" w:color="auto" w:fill="auto"/>
            <w:vAlign w:val="center"/>
          </w:tcPr>
          <w:p w:rsidR="00EF0C36" w:rsidRPr="00991236" w:rsidRDefault="00EF0C36" w:rsidP="00D234E7">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EF0C36" w:rsidRPr="00991236" w:rsidTr="00504285">
        <w:tc>
          <w:tcPr>
            <w:tcW w:w="1242" w:type="dxa"/>
            <w:shd w:val="clear" w:color="auto" w:fill="auto"/>
            <w:vAlign w:val="center"/>
          </w:tcPr>
          <w:p w:rsidR="00EF0C36" w:rsidRPr="00991236" w:rsidRDefault="00EF0C36" w:rsidP="00521065">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9</w:t>
            </w:r>
          </w:p>
        </w:tc>
        <w:tc>
          <w:tcPr>
            <w:tcW w:w="2835" w:type="dxa"/>
            <w:shd w:val="clear" w:color="auto" w:fill="auto"/>
            <w:vAlign w:val="center"/>
          </w:tcPr>
          <w:p w:rsidR="00EF0C36" w:rsidRPr="00991236" w:rsidRDefault="00EF0C36"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其他</w:t>
            </w:r>
          </w:p>
        </w:tc>
        <w:tc>
          <w:tcPr>
            <w:tcW w:w="2694" w:type="dxa"/>
            <w:shd w:val="clear" w:color="auto" w:fill="auto"/>
            <w:vAlign w:val="center"/>
          </w:tcPr>
          <w:p w:rsidR="00EF0C36" w:rsidRPr="00991236" w:rsidRDefault="00EF0C36" w:rsidP="00C21C43">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c>
          <w:tcPr>
            <w:tcW w:w="1757" w:type="dxa"/>
            <w:shd w:val="clear" w:color="auto" w:fill="auto"/>
            <w:vAlign w:val="center"/>
          </w:tcPr>
          <w:p w:rsidR="00EF0C36" w:rsidRPr="00991236" w:rsidRDefault="00EF0C36" w:rsidP="00C21C43">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EF0C36" w:rsidRPr="00991236" w:rsidTr="00504285">
        <w:tc>
          <w:tcPr>
            <w:tcW w:w="1242" w:type="dxa"/>
            <w:shd w:val="clear" w:color="auto" w:fill="auto"/>
            <w:vAlign w:val="center"/>
          </w:tcPr>
          <w:p w:rsidR="00EF0C36" w:rsidRPr="00991236" w:rsidRDefault="00EF0C36" w:rsidP="00521065">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10</w:t>
            </w:r>
          </w:p>
        </w:tc>
        <w:tc>
          <w:tcPr>
            <w:tcW w:w="2835" w:type="dxa"/>
            <w:shd w:val="clear" w:color="auto" w:fill="auto"/>
            <w:vAlign w:val="center"/>
          </w:tcPr>
          <w:p w:rsidR="00EF0C36" w:rsidRPr="00991236" w:rsidRDefault="00EF0C36" w:rsidP="00C21C43">
            <w:pPr>
              <w:spacing w:before="29" w:line="360" w:lineRule="auto"/>
              <w:ind w:left="17"/>
              <w:jc w:val="left"/>
              <w:rPr>
                <w:rFonts w:eastAsiaTheme="minorEastAsia"/>
                <w:color w:val="000000" w:themeColor="text1"/>
                <w:sz w:val="24"/>
              </w:rPr>
            </w:pPr>
            <w:r w:rsidRPr="00991236">
              <w:rPr>
                <w:rFonts w:eastAsiaTheme="minorEastAsia"/>
                <w:color w:val="000000" w:themeColor="text1"/>
                <w:sz w:val="24"/>
              </w:rPr>
              <w:t>合计</w:t>
            </w:r>
          </w:p>
        </w:tc>
        <w:tc>
          <w:tcPr>
            <w:tcW w:w="2694" w:type="dxa"/>
            <w:shd w:val="clear" w:color="auto" w:fill="auto"/>
            <w:vAlign w:val="center"/>
          </w:tcPr>
          <w:p w:rsidR="00EF0C36" w:rsidRPr="00991236" w:rsidRDefault="00EF0C36" w:rsidP="00C21C43">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102,509.89</w:t>
            </w:r>
          </w:p>
        </w:tc>
        <w:tc>
          <w:tcPr>
            <w:tcW w:w="1757" w:type="dxa"/>
            <w:shd w:val="clear" w:color="auto" w:fill="auto"/>
            <w:vAlign w:val="center"/>
          </w:tcPr>
          <w:p w:rsidR="00EF0C36" w:rsidRPr="00991236" w:rsidRDefault="00EF0C36" w:rsidP="00C21C43">
            <w:pPr>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0.26</w:t>
            </w:r>
          </w:p>
        </w:tc>
      </w:tr>
    </w:tbl>
    <w:p w:rsidR="00220542" w:rsidRPr="00991236" w:rsidRDefault="00220542" w:rsidP="0019563C">
      <w:pPr>
        <w:autoSpaceDE w:val="0"/>
        <w:autoSpaceDN w:val="0"/>
        <w:adjustRightInd w:val="0"/>
        <w:spacing w:line="360" w:lineRule="auto"/>
        <w:jc w:val="left"/>
        <w:rPr>
          <w:rFonts w:eastAsiaTheme="minorEastAsia"/>
          <w:color w:val="000000" w:themeColor="text1"/>
          <w:kern w:val="0"/>
          <w:sz w:val="24"/>
        </w:rPr>
      </w:pPr>
    </w:p>
    <w:p w:rsidR="00220542" w:rsidRPr="00991236" w:rsidRDefault="00220542"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 xml:space="preserve">5.5 </w:t>
      </w:r>
      <w:r w:rsidRPr="00991236">
        <w:rPr>
          <w:rFonts w:eastAsiaTheme="minorEastAsia"/>
          <w:b/>
          <w:color w:val="000000" w:themeColor="text1"/>
          <w:kern w:val="0"/>
          <w:sz w:val="24"/>
        </w:rPr>
        <w:t>报告期末按公允价值占基金资产净值比例大小排</w:t>
      </w:r>
      <w:r w:rsidR="008021E8" w:rsidRPr="00991236">
        <w:rPr>
          <w:rFonts w:eastAsiaTheme="minorEastAsia"/>
          <w:b/>
          <w:color w:val="000000" w:themeColor="text1"/>
          <w:kern w:val="0"/>
          <w:sz w:val="24"/>
        </w:rPr>
        <w:t>序</w:t>
      </w:r>
      <w:r w:rsidRPr="00991236">
        <w:rPr>
          <w:rFonts w:eastAsiaTheme="minorEastAsia"/>
          <w:b/>
          <w:color w:val="000000" w:themeColor="text1"/>
          <w:kern w:val="0"/>
          <w:sz w:val="24"/>
        </w:rPr>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1310"/>
        <w:gridCol w:w="1282"/>
        <w:gridCol w:w="1426"/>
        <w:gridCol w:w="1646"/>
        <w:gridCol w:w="1612"/>
      </w:tblGrid>
      <w:tr w:rsidR="003E712B" w:rsidRPr="00991236" w:rsidTr="00C21C43">
        <w:tc>
          <w:tcPr>
            <w:tcW w:w="125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序号</w:t>
            </w:r>
          </w:p>
        </w:tc>
        <w:tc>
          <w:tcPr>
            <w:tcW w:w="1310"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债券代码</w:t>
            </w:r>
          </w:p>
        </w:tc>
        <w:tc>
          <w:tcPr>
            <w:tcW w:w="128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债券名称</w:t>
            </w:r>
          </w:p>
        </w:tc>
        <w:tc>
          <w:tcPr>
            <w:tcW w:w="1426"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数量</w:t>
            </w:r>
            <w:r w:rsidRPr="00991236">
              <w:rPr>
                <w:rFonts w:eastAsiaTheme="minorEastAsia"/>
                <w:color w:val="000000" w:themeColor="text1"/>
                <w:sz w:val="24"/>
              </w:rPr>
              <w:t>(</w:t>
            </w:r>
            <w:r w:rsidRPr="00991236">
              <w:rPr>
                <w:rFonts w:eastAsiaTheme="minorEastAsia"/>
                <w:color w:val="000000" w:themeColor="text1"/>
                <w:sz w:val="24"/>
              </w:rPr>
              <w:t>张</w:t>
            </w:r>
            <w:r w:rsidRPr="00991236">
              <w:rPr>
                <w:rFonts w:eastAsiaTheme="minorEastAsia"/>
                <w:color w:val="000000" w:themeColor="text1"/>
                <w:sz w:val="24"/>
              </w:rPr>
              <w:t>)</w:t>
            </w:r>
          </w:p>
        </w:tc>
        <w:tc>
          <w:tcPr>
            <w:tcW w:w="1646"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公允价值</w:t>
            </w:r>
            <w:r w:rsidRPr="00991236">
              <w:rPr>
                <w:rFonts w:eastAsiaTheme="minorEastAsia"/>
                <w:color w:val="000000" w:themeColor="text1"/>
                <w:sz w:val="24"/>
              </w:rPr>
              <w:t>(</w:t>
            </w:r>
            <w:r w:rsidRPr="00991236">
              <w:rPr>
                <w:rFonts w:eastAsiaTheme="minorEastAsia"/>
                <w:color w:val="000000" w:themeColor="text1"/>
                <w:sz w:val="24"/>
              </w:rPr>
              <w:t>元</w:t>
            </w:r>
            <w:r w:rsidRPr="00991236">
              <w:rPr>
                <w:rFonts w:eastAsiaTheme="minorEastAsia"/>
                <w:color w:val="000000" w:themeColor="text1"/>
                <w:sz w:val="24"/>
              </w:rPr>
              <w:t>)</w:t>
            </w:r>
          </w:p>
        </w:tc>
        <w:tc>
          <w:tcPr>
            <w:tcW w:w="1612" w:type="dxa"/>
            <w:shd w:val="clear" w:color="auto" w:fill="auto"/>
            <w:vAlign w:val="center"/>
          </w:tcPr>
          <w:p w:rsidR="000820A8" w:rsidRPr="00991236" w:rsidRDefault="000820A8"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占基金资产净值比例</w:t>
            </w:r>
            <w:r w:rsidRPr="00991236">
              <w:rPr>
                <w:rFonts w:eastAsiaTheme="minorEastAsia"/>
                <w:color w:val="000000" w:themeColor="text1"/>
                <w:sz w:val="24"/>
              </w:rPr>
              <w:t>(</w:t>
            </w:r>
            <w:r w:rsidRPr="00991236">
              <w:rPr>
                <w:rFonts w:eastAsiaTheme="minorEastAsia"/>
                <w:color w:val="000000" w:themeColor="text1"/>
                <w:sz w:val="24"/>
              </w:rPr>
              <w:t>％</w:t>
            </w:r>
            <w:r w:rsidRPr="00991236">
              <w:rPr>
                <w:rFonts w:eastAsiaTheme="minorEastAsia"/>
                <w:color w:val="000000" w:themeColor="text1"/>
                <w:sz w:val="24"/>
              </w:rPr>
              <w:t>)</w:t>
            </w:r>
          </w:p>
        </w:tc>
      </w:tr>
      <w:tr w:rsidR="003A6773">
        <w:tc>
          <w:tcPr>
            <w:tcW w:w="1252" w:type="dxa"/>
            <w:vAlign w:val="center"/>
          </w:tcPr>
          <w:p w:rsidR="003A6773" w:rsidRDefault="00C26A76">
            <w:pPr>
              <w:jc w:val="center"/>
            </w:pPr>
            <w:r>
              <w:rPr>
                <w:rFonts w:eastAsiaTheme="minorEastAsia"/>
                <w:color w:val="000000" w:themeColor="text1"/>
                <w:sz w:val="24"/>
              </w:rPr>
              <w:t>1</w:t>
            </w:r>
          </w:p>
        </w:tc>
        <w:tc>
          <w:tcPr>
            <w:tcW w:w="1310" w:type="dxa"/>
            <w:vAlign w:val="center"/>
          </w:tcPr>
          <w:p w:rsidR="003A6773" w:rsidRDefault="00C26A76">
            <w:pPr>
              <w:jc w:val="center"/>
            </w:pPr>
            <w:r>
              <w:rPr>
                <w:rFonts w:eastAsiaTheme="minorEastAsia"/>
                <w:color w:val="000000" w:themeColor="text1"/>
                <w:sz w:val="24"/>
              </w:rPr>
              <w:t>018005</w:t>
            </w:r>
          </w:p>
        </w:tc>
        <w:tc>
          <w:tcPr>
            <w:tcW w:w="1282" w:type="dxa"/>
            <w:vAlign w:val="center"/>
          </w:tcPr>
          <w:p w:rsidR="003A6773" w:rsidRDefault="00C26A76">
            <w:pPr>
              <w:jc w:val="center"/>
            </w:pPr>
            <w:r>
              <w:rPr>
                <w:rFonts w:eastAsiaTheme="minorEastAsia"/>
                <w:color w:val="000000" w:themeColor="text1"/>
                <w:sz w:val="24"/>
              </w:rPr>
              <w:t>国开</w:t>
            </w:r>
            <w:r>
              <w:rPr>
                <w:rFonts w:eastAsiaTheme="minorEastAsia"/>
                <w:color w:val="000000" w:themeColor="text1"/>
                <w:sz w:val="24"/>
              </w:rPr>
              <w:t>1701</w:t>
            </w:r>
          </w:p>
        </w:tc>
        <w:tc>
          <w:tcPr>
            <w:tcW w:w="1426" w:type="dxa"/>
            <w:vAlign w:val="center"/>
          </w:tcPr>
          <w:p w:rsidR="003A6773" w:rsidRDefault="00C26A76">
            <w:pPr>
              <w:jc w:val="right"/>
            </w:pPr>
            <w:r>
              <w:rPr>
                <w:rFonts w:eastAsiaTheme="minorEastAsia"/>
                <w:color w:val="000000" w:themeColor="text1"/>
                <w:sz w:val="24"/>
              </w:rPr>
              <w:t>990</w:t>
            </w:r>
          </w:p>
        </w:tc>
        <w:tc>
          <w:tcPr>
            <w:tcW w:w="1646" w:type="dxa"/>
            <w:vAlign w:val="center"/>
          </w:tcPr>
          <w:p w:rsidR="003A6773" w:rsidRDefault="00C26A76">
            <w:pPr>
              <w:jc w:val="right"/>
            </w:pPr>
            <w:r>
              <w:rPr>
                <w:rFonts w:eastAsiaTheme="minorEastAsia"/>
                <w:color w:val="000000" w:themeColor="text1"/>
                <w:sz w:val="24"/>
              </w:rPr>
              <w:t>99,009.90</w:t>
            </w:r>
          </w:p>
        </w:tc>
        <w:tc>
          <w:tcPr>
            <w:tcW w:w="1612" w:type="dxa"/>
            <w:vAlign w:val="center"/>
          </w:tcPr>
          <w:p w:rsidR="003A6773" w:rsidRDefault="00C26A76">
            <w:pPr>
              <w:jc w:val="right"/>
            </w:pPr>
            <w:r>
              <w:rPr>
                <w:rFonts w:eastAsiaTheme="minorEastAsia"/>
                <w:color w:val="000000" w:themeColor="text1"/>
                <w:sz w:val="24"/>
              </w:rPr>
              <w:t>0.25</w:t>
            </w:r>
          </w:p>
        </w:tc>
      </w:tr>
      <w:tr w:rsidR="003A6773">
        <w:tc>
          <w:tcPr>
            <w:tcW w:w="1252" w:type="dxa"/>
            <w:vAlign w:val="center"/>
          </w:tcPr>
          <w:p w:rsidR="003A6773" w:rsidRDefault="00C26A76">
            <w:pPr>
              <w:jc w:val="center"/>
            </w:pPr>
            <w:r>
              <w:rPr>
                <w:rFonts w:eastAsiaTheme="minorEastAsia"/>
                <w:color w:val="000000" w:themeColor="text1"/>
                <w:sz w:val="24"/>
              </w:rPr>
              <w:t>2</w:t>
            </w:r>
          </w:p>
        </w:tc>
        <w:tc>
          <w:tcPr>
            <w:tcW w:w="1310" w:type="dxa"/>
            <w:vAlign w:val="center"/>
          </w:tcPr>
          <w:p w:rsidR="003A6773" w:rsidRDefault="00C26A76">
            <w:pPr>
              <w:jc w:val="center"/>
            </w:pPr>
            <w:r>
              <w:rPr>
                <w:rFonts w:eastAsiaTheme="minorEastAsia"/>
                <w:color w:val="000000" w:themeColor="text1"/>
                <w:sz w:val="24"/>
              </w:rPr>
              <w:t>127012</w:t>
            </w:r>
          </w:p>
        </w:tc>
        <w:tc>
          <w:tcPr>
            <w:tcW w:w="1282" w:type="dxa"/>
            <w:vAlign w:val="center"/>
          </w:tcPr>
          <w:p w:rsidR="003A6773" w:rsidRDefault="00C26A76">
            <w:pPr>
              <w:jc w:val="center"/>
            </w:pPr>
            <w:r>
              <w:rPr>
                <w:rFonts w:eastAsiaTheme="minorEastAsia"/>
                <w:color w:val="000000" w:themeColor="text1"/>
                <w:sz w:val="24"/>
              </w:rPr>
              <w:t>招路转债</w:t>
            </w:r>
          </w:p>
        </w:tc>
        <w:tc>
          <w:tcPr>
            <w:tcW w:w="1426" w:type="dxa"/>
            <w:vAlign w:val="center"/>
          </w:tcPr>
          <w:p w:rsidR="003A6773" w:rsidRDefault="00C26A76">
            <w:pPr>
              <w:jc w:val="right"/>
            </w:pPr>
            <w:r>
              <w:rPr>
                <w:rFonts w:eastAsiaTheme="minorEastAsia"/>
                <w:color w:val="000000" w:themeColor="text1"/>
                <w:sz w:val="24"/>
              </w:rPr>
              <w:t>35</w:t>
            </w:r>
          </w:p>
        </w:tc>
        <w:tc>
          <w:tcPr>
            <w:tcW w:w="1646" w:type="dxa"/>
            <w:vAlign w:val="center"/>
          </w:tcPr>
          <w:p w:rsidR="003A6773" w:rsidRDefault="00C26A76">
            <w:pPr>
              <w:jc w:val="right"/>
            </w:pPr>
            <w:r>
              <w:rPr>
                <w:rFonts w:eastAsiaTheme="minorEastAsia"/>
                <w:color w:val="000000" w:themeColor="text1"/>
                <w:sz w:val="24"/>
              </w:rPr>
              <w:t>3,499.99</w:t>
            </w:r>
          </w:p>
        </w:tc>
        <w:tc>
          <w:tcPr>
            <w:tcW w:w="1612" w:type="dxa"/>
            <w:vAlign w:val="center"/>
          </w:tcPr>
          <w:p w:rsidR="003A6773" w:rsidRDefault="00C26A76">
            <w:pPr>
              <w:jc w:val="right"/>
            </w:pPr>
            <w:r>
              <w:rPr>
                <w:rFonts w:eastAsiaTheme="minorEastAsia"/>
                <w:color w:val="000000" w:themeColor="text1"/>
                <w:sz w:val="24"/>
              </w:rPr>
              <w:t>0.01</w:t>
            </w:r>
          </w:p>
        </w:tc>
      </w:tr>
    </w:tbl>
    <w:p w:rsidR="00220542" w:rsidRPr="00BB2922" w:rsidRDefault="000820A8"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注：本基金本报告期末仅持有以上债券。</w:t>
      </w:r>
    </w:p>
    <w:p w:rsidR="00220542" w:rsidRPr="00991236" w:rsidRDefault="00220542" w:rsidP="0019563C">
      <w:pPr>
        <w:autoSpaceDE w:val="0"/>
        <w:autoSpaceDN w:val="0"/>
        <w:adjustRightInd w:val="0"/>
        <w:spacing w:line="360" w:lineRule="auto"/>
        <w:jc w:val="left"/>
        <w:rPr>
          <w:rFonts w:eastAsiaTheme="minorEastAsia"/>
          <w:color w:val="000000" w:themeColor="text1"/>
          <w:kern w:val="0"/>
          <w:sz w:val="24"/>
        </w:rPr>
      </w:pPr>
    </w:p>
    <w:p w:rsidR="00220542" w:rsidRPr="00991236" w:rsidRDefault="00220542"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5.6</w:t>
      </w:r>
      <w:r w:rsidRPr="00991236">
        <w:rPr>
          <w:rFonts w:eastAsiaTheme="minorEastAsia"/>
          <w:b/>
          <w:color w:val="000000" w:themeColor="text1"/>
          <w:kern w:val="0"/>
          <w:sz w:val="24"/>
        </w:rPr>
        <w:t>报告期末按公允价值占基金资产净值比例大小排</w:t>
      </w:r>
      <w:r w:rsidR="008021E8" w:rsidRPr="00991236">
        <w:rPr>
          <w:rFonts w:eastAsiaTheme="minorEastAsia"/>
          <w:b/>
          <w:color w:val="000000" w:themeColor="text1"/>
          <w:kern w:val="0"/>
          <w:sz w:val="24"/>
        </w:rPr>
        <w:t>序</w:t>
      </w:r>
      <w:r w:rsidRPr="00991236">
        <w:rPr>
          <w:rFonts w:eastAsiaTheme="minorEastAsia"/>
          <w:b/>
          <w:color w:val="000000" w:themeColor="text1"/>
          <w:kern w:val="0"/>
          <w:sz w:val="24"/>
        </w:rPr>
        <w:t>的前十名资产支持证券投资明细</w:t>
      </w:r>
    </w:p>
    <w:p w:rsidR="00220542" w:rsidRPr="00BB2922" w:rsidRDefault="007C1A93"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本基金本报告期末未持有资产支持证券。</w:t>
      </w:r>
    </w:p>
    <w:p w:rsidR="008021E8" w:rsidRPr="00991236" w:rsidRDefault="008021E8" w:rsidP="008021E8">
      <w:pPr>
        <w:autoSpaceDE w:val="0"/>
        <w:autoSpaceDN w:val="0"/>
        <w:adjustRightInd w:val="0"/>
        <w:spacing w:line="360" w:lineRule="auto"/>
        <w:jc w:val="left"/>
        <w:rPr>
          <w:rFonts w:eastAsiaTheme="minorEastAsia"/>
          <w:b/>
          <w:bCs/>
          <w:color w:val="000000" w:themeColor="text1"/>
          <w:kern w:val="0"/>
          <w:sz w:val="24"/>
        </w:rPr>
      </w:pPr>
      <w:r w:rsidRPr="00991236">
        <w:rPr>
          <w:rFonts w:eastAsiaTheme="minorEastAsia"/>
          <w:b/>
          <w:bCs/>
          <w:color w:val="000000" w:themeColor="text1"/>
          <w:kern w:val="0"/>
          <w:sz w:val="24"/>
        </w:rPr>
        <w:t xml:space="preserve">5.7 </w:t>
      </w:r>
      <w:r w:rsidRPr="00991236">
        <w:rPr>
          <w:rFonts w:eastAsiaTheme="minorEastAsia"/>
          <w:b/>
          <w:bCs/>
          <w:color w:val="000000" w:themeColor="text1"/>
          <w:kern w:val="0"/>
          <w:sz w:val="24"/>
        </w:rPr>
        <w:t>报告期末按公允价值占基金资产净值比例大小排序的前五名贵金属投资明细</w:t>
      </w:r>
    </w:p>
    <w:p w:rsidR="008021E8" w:rsidRPr="00BB2922" w:rsidRDefault="008021E8"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本基金本报告期末未持有贵金属投资。</w:t>
      </w:r>
    </w:p>
    <w:p w:rsidR="00220542" w:rsidRPr="00991236" w:rsidRDefault="00BE1A80"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5</w:t>
      </w:r>
      <w:r w:rsidR="00220542" w:rsidRPr="00991236">
        <w:rPr>
          <w:rFonts w:eastAsiaTheme="minorEastAsia"/>
          <w:b/>
          <w:color w:val="000000" w:themeColor="text1"/>
          <w:kern w:val="0"/>
          <w:sz w:val="24"/>
        </w:rPr>
        <w:t>.</w:t>
      </w:r>
      <w:r w:rsidR="008F60C5" w:rsidRPr="00991236">
        <w:rPr>
          <w:rFonts w:eastAsiaTheme="minorEastAsia"/>
          <w:b/>
          <w:color w:val="000000" w:themeColor="text1"/>
          <w:kern w:val="0"/>
          <w:sz w:val="24"/>
        </w:rPr>
        <w:t>8</w:t>
      </w:r>
      <w:r w:rsidR="00220542" w:rsidRPr="00991236">
        <w:rPr>
          <w:rFonts w:eastAsiaTheme="minorEastAsia"/>
          <w:b/>
          <w:bCs/>
          <w:color w:val="000000" w:themeColor="text1"/>
          <w:sz w:val="24"/>
        </w:rPr>
        <w:t>报告期末按公允价值占基金资产净值比例大小排</w:t>
      </w:r>
      <w:r w:rsidR="008021E8" w:rsidRPr="00991236">
        <w:rPr>
          <w:rFonts w:eastAsiaTheme="minorEastAsia"/>
          <w:b/>
          <w:bCs/>
          <w:color w:val="000000" w:themeColor="text1"/>
          <w:sz w:val="24"/>
        </w:rPr>
        <w:t>序</w:t>
      </w:r>
      <w:r w:rsidR="00220542" w:rsidRPr="00991236">
        <w:rPr>
          <w:rFonts w:eastAsiaTheme="minorEastAsia"/>
          <w:b/>
          <w:bCs/>
          <w:color w:val="000000" w:themeColor="text1"/>
          <w:sz w:val="24"/>
        </w:rPr>
        <w:t>的前五名权证投资明细</w:t>
      </w:r>
    </w:p>
    <w:p w:rsidR="00220542" w:rsidRPr="00BB2922" w:rsidRDefault="007C1A93"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本基金本报告期末未持有权证。</w:t>
      </w:r>
    </w:p>
    <w:p w:rsidR="00295C5D" w:rsidRPr="00991236" w:rsidRDefault="008F60C5" w:rsidP="00045BEC">
      <w:pPr>
        <w:adjustRightInd w:val="0"/>
        <w:snapToGrid w:val="0"/>
        <w:spacing w:line="360" w:lineRule="auto"/>
        <w:rPr>
          <w:rFonts w:eastAsiaTheme="minorEastAsia"/>
          <w:b/>
          <w:color w:val="000000" w:themeColor="text1"/>
          <w:sz w:val="24"/>
        </w:rPr>
      </w:pPr>
      <w:r w:rsidRPr="00991236">
        <w:rPr>
          <w:rFonts w:eastAsiaTheme="minorEastAsia"/>
          <w:b/>
          <w:color w:val="000000" w:themeColor="text1"/>
          <w:sz w:val="24"/>
        </w:rPr>
        <w:t>5.</w:t>
      </w:r>
      <w:r w:rsidR="004C5189" w:rsidRPr="00991236">
        <w:rPr>
          <w:rFonts w:eastAsiaTheme="minorEastAsia"/>
          <w:b/>
          <w:color w:val="000000" w:themeColor="text1"/>
          <w:sz w:val="24"/>
        </w:rPr>
        <w:t>9</w:t>
      </w:r>
      <w:r w:rsidR="00295C5D" w:rsidRPr="00991236">
        <w:rPr>
          <w:rFonts w:eastAsiaTheme="minorEastAsia"/>
          <w:b/>
          <w:color w:val="000000" w:themeColor="text1"/>
          <w:sz w:val="24"/>
        </w:rPr>
        <w:t>报告期末本基金投资的股指期货交易情况说明</w:t>
      </w:r>
    </w:p>
    <w:p w:rsidR="00295C5D" w:rsidRPr="00991236" w:rsidRDefault="004C5189" w:rsidP="00045BEC">
      <w:pPr>
        <w:adjustRightInd w:val="0"/>
        <w:snapToGrid w:val="0"/>
        <w:spacing w:line="360" w:lineRule="auto"/>
        <w:rPr>
          <w:rFonts w:eastAsiaTheme="minorEastAsia"/>
          <w:b/>
          <w:color w:val="000000" w:themeColor="text1"/>
          <w:sz w:val="24"/>
        </w:rPr>
      </w:pPr>
      <w:r w:rsidRPr="00991236">
        <w:rPr>
          <w:rFonts w:eastAsiaTheme="minorEastAsia"/>
          <w:b/>
          <w:color w:val="000000" w:themeColor="text1"/>
          <w:sz w:val="24"/>
        </w:rPr>
        <w:t>5.9.1</w:t>
      </w:r>
      <w:r w:rsidR="00295C5D" w:rsidRPr="00991236">
        <w:rPr>
          <w:rFonts w:eastAsiaTheme="minorEastAsia"/>
          <w:b/>
          <w:color w:val="000000" w:themeColor="text1"/>
          <w:sz w:val="24"/>
        </w:rPr>
        <w:t>报告期末本基金投资的股指期货持仓和损益明细</w:t>
      </w:r>
    </w:p>
    <w:p w:rsidR="00295C5D" w:rsidRPr="00BB2922" w:rsidRDefault="00BD7DB4"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本基金本报告期末未投资股指期货。</w:t>
      </w:r>
    </w:p>
    <w:p w:rsidR="00295C5D" w:rsidRPr="00991236" w:rsidRDefault="004C5189" w:rsidP="00045BEC">
      <w:pPr>
        <w:adjustRightInd w:val="0"/>
        <w:snapToGrid w:val="0"/>
        <w:spacing w:line="360" w:lineRule="auto"/>
        <w:rPr>
          <w:rFonts w:eastAsiaTheme="minorEastAsia"/>
          <w:b/>
          <w:color w:val="000000" w:themeColor="text1"/>
          <w:sz w:val="24"/>
        </w:rPr>
      </w:pPr>
      <w:r w:rsidRPr="00991236">
        <w:rPr>
          <w:rFonts w:eastAsiaTheme="minorEastAsia"/>
          <w:b/>
          <w:color w:val="000000" w:themeColor="text1"/>
          <w:sz w:val="24"/>
        </w:rPr>
        <w:t>5.9.2</w:t>
      </w:r>
      <w:r w:rsidR="00295C5D" w:rsidRPr="00991236">
        <w:rPr>
          <w:rFonts w:eastAsiaTheme="minorEastAsia"/>
          <w:b/>
          <w:color w:val="000000" w:themeColor="text1"/>
          <w:sz w:val="24"/>
        </w:rPr>
        <w:t>本基金投资股指期货的投资政策</w:t>
      </w:r>
    </w:p>
    <w:p w:rsidR="00295C5D" w:rsidRPr="00991236" w:rsidRDefault="00295C5D"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为有效控制指数的跟踪误差，本基金在注重风险管理的前提下，以套期保值为目的，适度运用股指期货。本基金利用股指期货流动性好、交易成本低和杠杆操作等特点，通过股指期货就本基金投资组合对标的指数的拟合效果进行及时、有效地调整，并提高投资组合的运作效率等。例如在本基金的建仓期或发生大额净申购时，可运用股指期货有效减少基金组合资产配置与跟踪标的之间的差距；在本基金发生大额净赎回时，可运用股指期货控制基金较大幅度减仓时可能存在的冲击成本，从而确保投资组合对指数跟踪的效果。</w:t>
      </w:r>
    </w:p>
    <w:p w:rsidR="00295C5D" w:rsidRPr="00991236" w:rsidRDefault="00295C5D" w:rsidP="00045BEC">
      <w:pPr>
        <w:autoSpaceDE w:val="0"/>
        <w:autoSpaceDN w:val="0"/>
        <w:adjustRightInd w:val="0"/>
        <w:spacing w:line="360" w:lineRule="auto"/>
        <w:jc w:val="left"/>
        <w:rPr>
          <w:rFonts w:eastAsiaTheme="minorEastAsia"/>
          <w:color w:val="000000" w:themeColor="text1"/>
          <w:kern w:val="0"/>
          <w:sz w:val="24"/>
        </w:rPr>
      </w:pPr>
    </w:p>
    <w:p w:rsidR="00B60D38" w:rsidRPr="00991236" w:rsidRDefault="00B60D38" w:rsidP="00045BEC">
      <w:pPr>
        <w:adjustRightInd w:val="0"/>
        <w:snapToGrid w:val="0"/>
        <w:spacing w:line="360" w:lineRule="auto"/>
        <w:rPr>
          <w:rFonts w:eastAsiaTheme="minorEastAsia"/>
          <w:b/>
          <w:color w:val="000000" w:themeColor="text1"/>
          <w:sz w:val="24"/>
        </w:rPr>
      </w:pPr>
      <w:r w:rsidRPr="00991236">
        <w:rPr>
          <w:rFonts w:eastAsiaTheme="minorEastAsia"/>
          <w:b/>
          <w:color w:val="000000" w:themeColor="text1"/>
          <w:sz w:val="24"/>
        </w:rPr>
        <w:t>5.10</w:t>
      </w:r>
      <w:r w:rsidRPr="00991236">
        <w:rPr>
          <w:rFonts w:eastAsiaTheme="minorEastAsia"/>
          <w:b/>
          <w:color w:val="000000" w:themeColor="text1"/>
          <w:sz w:val="24"/>
        </w:rPr>
        <w:t>报告期末本基金投资的国债期货交易情况说明</w:t>
      </w:r>
    </w:p>
    <w:p w:rsidR="00B60D38" w:rsidRPr="00991236" w:rsidRDefault="00B60D38"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根据本基金合同规定，本基金不参与国债期货交易。</w:t>
      </w:r>
    </w:p>
    <w:p w:rsidR="00220542" w:rsidRPr="00991236" w:rsidRDefault="004C5189"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5.11</w:t>
      </w:r>
      <w:r w:rsidR="00220542" w:rsidRPr="00991236">
        <w:rPr>
          <w:rFonts w:eastAsiaTheme="minorEastAsia"/>
          <w:b/>
          <w:color w:val="000000" w:themeColor="text1"/>
          <w:kern w:val="0"/>
          <w:sz w:val="24"/>
        </w:rPr>
        <w:t>投资组合报告附注</w:t>
      </w:r>
    </w:p>
    <w:p w:rsidR="00220542" w:rsidRPr="00991236" w:rsidRDefault="004C5189" w:rsidP="00045BEC">
      <w:pPr>
        <w:spacing w:line="360" w:lineRule="auto"/>
        <w:rPr>
          <w:rFonts w:eastAsiaTheme="minorEastAsia"/>
          <w:color w:val="000000" w:themeColor="text1"/>
          <w:sz w:val="24"/>
        </w:rPr>
      </w:pPr>
      <w:r w:rsidRPr="00991236">
        <w:rPr>
          <w:rFonts w:eastAsiaTheme="minorEastAsia"/>
          <w:color w:val="000000" w:themeColor="text1"/>
          <w:sz w:val="24"/>
        </w:rPr>
        <w:t>5.11</w:t>
      </w:r>
      <w:r w:rsidR="004D1A45" w:rsidRPr="00991236">
        <w:rPr>
          <w:rFonts w:eastAsiaTheme="minorEastAsia"/>
          <w:color w:val="000000" w:themeColor="text1"/>
          <w:sz w:val="24"/>
        </w:rPr>
        <w:t>.</w:t>
      </w:r>
      <w:r w:rsidRPr="00991236">
        <w:rPr>
          <w:rFonts w:eastAsiaTheme="minorEastAsia"/>
          <w:color w:val="000000" w:themeColor="text1"/>
          <w:sz w:val="24"/>
        </w:rPr>
        <w:t>1</w:t>
      </w:r>
      <w:r w:rsidR="007C1A93" w:rsidRPr="00991236">
        <w:rPr>
          <w:rFonts w:eastAsiaTheme="minorEastAsia"/>
          <w:color w:val="000000" w:themeColor="text1"/>
          <w:sz w:val="24"/>
        </w:rPr>
        <w:t>本基金投资的前十名证券的发行主体本期没有被监管部门立案调查的</w:t>
      </w:r>
      <w:r w:rsidR="007C1A93" w:rsidRPr="00991236">
        <w:rPr>
          <w:rFonts w:eastAsiaTheme="minorEastAsia"/>
          <w:color w:val="000000" w:themeColor="text1"/>
          <w:sz w:val="24"/>
        </w:rPr>
        <w:t>,</w:t>
      </w:r>
      <w:r w:rsidR="007C1A93" w:rsidRPr="00991236">
        <w:rPr>
          <w:rFonts w:eastAsiaTheme="minorEastAsia"/>
          <w:color w:val="000000" w:themeColor="text1"/>
          <w:sz w:val="24"/>
        </w:rPr>
        <w:t>在报告编制日前一年内未受到公开谴责、处罚。</w:t>
      </w:r>
    </w:p>
    <w:p w:rsidR="00220542" w:rsidRPr="00991236" w:rsidRDefault="004C5189" w:rsidP="00045BEC">
      <w:pPr>
        <w:spacing w:line="360" w:lineRule="auto"/>
        <w:rPr>
          <w:rFonts w:eastAsiaTheme="minorEastAsia"/>
          <w:color w:val="000000" w:themeColor="text1"/>
          <w:sz w:val="24"/>
        </w:rPr>
      </w:pPr>
      <w:r w:rsidRPr="00991236">
        <w:rPr>
          <w:rFonts w:eastAsiaTheme="minorEastAsia"/>
          <w:color w:val="000000" w:themeColor="text1"/>
          <w:sz w:val="24"/>
        </w:rPr>
        <w:t>5.11.2</w:t>
      </w:r>
      <w:r w:rsidR="007C1A93" w:rsidRPr="00991236">
        <w:rPr>
          <w:rFonts w:eastAsiaTheme="minorEastAsia"/>
          <w:color w:val="000000" w:themeColor="text1"/>
          <w:sz w:val="24"/>
        </w:rPr>
        <w:t>本基金不存在投资的前十名股票超出基金合同规定的备选库的情况。</w:t>
      </w:r>
    </w:p>
    <w:p w:rsidR="00220542" w:rsidRPr="00991236" w:rsidRDefault="004C5189"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5.11.3</w:t>
      </w:r>
      <w:r w:rsidR="00220542" w:rsidRPr="00991236">
        <w:rPr>
          <w:rFonts w:eastAsiaTheme="minorEastAsia"/>
          <w:b/>
          <w:color w:val="000000" w:themeColor="text1"/>
          <w:kern w:val="0"/>
          <w:sz w:val="24"/>
        </w:rPr>
        <w:t>其他资产构成</w:t>
      </w:r>
    </w:p>
    <w:tbl>
      <w:tblPr>
        <w:tblStyle w:val="af7"/>
        <w:tblW w:w="0" w:type="auto"/>
        <w:tblInd w:w="15" w:type="dxa"/>
        <w:tblLayout w:type="fixed"/>
        <w:tblLook w:val="04A0"/>
      </w:tblPr>
      <w:tblGrid>
        <w:gridCol w:w="944"/>
        <w:gridCol w:w="2761"/>
        <w:gridCol w:w="4808"/>
      </w:tblGrid>
      <w:tr w:rsidR="003E712B" w:rsidRPr="00991236" w:rsidTr="00C905A7">
        <w:trPr>
          <w:trHeight w:val="567"/>
        </w:trPr>
        <w:tc>
          <w:tcPr>
            <w:tcW w:w="944" w:type="dxa"/>
            <w:vAlign w:val="center"/>
          </w:tcPr>
          <w:p w:rsidR="0044398D" w:rsidRPr="00991236" w:rsidRDefault="0044398D" w:rsidP="0044398D">
            <w:pPr>
              <w:autoSpaceDE w:val="0"/>
              <w:autoSpaceDN w:val="0"/>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序号</w:t>
            </w:r>
          </w:p>
        </w:tc>
        <w:tc>
          <w:tcPr>
            <w:tcW w:w="2761" w:type="dxa"/>
            <w:vAlign w:val="center"/>
          </w:tcPr>
          <w:p w:rsidR="0044398D" w:rsidRPr="00991236" w:rsidRDefault="0044398D" w:rsidP="0044398D">
            <w:pPr>
              <w:autoSpaceDE w:val="0"/>
              <w:autoSpaceDN w:val="0"/>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名称</w:t>
            </w:r>
          </w:p>
        </w:tc>
        <w:tc>
          <w:tcPr>
            <w:tcW w:w="4808" w:type="dxa"/>
            <w:vAlign w:val="center"/>
          </w:tcPr>
          <w:p w:rsidR="0044398D" w:rsidRPr="00991236" w:rsidRDefault="0044398D" w:rsidP="0044398D">
            <w:pPr>
              <w:autoSpaceDE w:val="0"/>
              <w:autoSpaceDN w:val="0"/>
              <w:adjustRightInd w:val="0"/>
              <w:spacing w:before="29" w:line="360" w:lineRule="auto"/>
              <w:ind w:left="17"/>
              <w:jc w:val="center"/>
              <w:rPr>
                <w:rFonts w:eastAsiaTheme="minorEastAsia"/>
                <w:color w:val="000000" w:themeColor="text1"/>
                <w:kern w:val="0"/>
                <w:sz w:val="24"/>
              </w:rPr>
            </w:pPr>
            <w:r w:rsidRPr="00991236">
              <w:rPr>
                <w:rFonts w:eastAsiaTheme="minorEastAsia"/>
                <w:color w:val="000000" w:themeColor="text1"/>
                <w:kern w:val="0"/>
                <w:sz w:val="24"/>
              </w:rPr>
              <w:t>金额</w:t>
            </w:r>
            <w:r w:rsidRPr="00991236">
              <w:rPr>
                <w:rFonts w:eastAsiaTheme="minorEastAsia"/>
                <w:color w:val="000000" w:themeColor="text1"/>
                <w:kern w:val="0"/>
                <w:sz w:val="24"/>
              </w:rPr>
              <w:t>(</w:t>
            </w:r>
            <w:r w:rsidRPr="00991236">
              <w:rPr>
                <w:rFonts w:eastAsiaTheme="minorEastAsia"/>
                <w:color w:val="000000" w:themeColor="text1"/>
                <w:kern w:val="0"/>
                <w:sz w:val="24"/>
              </w:rPr>
              <w:t>元</w:t>
            </w:r>
            <w:r w:rsidRPr="00991236">
              <w:rPr>
                <w:rFonts w:eastAsiaTheme="minorEastAsia"/>
                <w:color w:val="000000" w:themeColor="text1"/>
                <w:kern w:val="0"/>
                <w:sz w:val="24"/>
              </w:rPr>
              <w:t>)</w:t>
            </w:r>
          </w:p>
        </w:tc>
      </w:tr>
      <w:tr w:rsidR="003E712B" w:rsidRPr="00991236" w:rsidTr="00C905A7">
        <w:trPr>
          <w:trHeight w:val="567"/>
        </w:trPr>
        <w:tc>
          <w:tcPr>
            <w:tcW w:w="944" w:type="dxa"/>
            <w:vAlign w:val="center"/>
          </w:tcPr>
          <w:p w:rsidR="0044398D" w:rsidRPr="00991236" w:rsidRDefault="0044398D" w:rsidP="0044398D">
            <w:pPr>
              <w:autoSpaceDE w:val="0"/>
              <w:autoSpaceDN w:val="0"/>
              <w:adjustRightInd w:val="0"/>
              <w:spacing w:before="29" w:line="360" w:lineRule="auto"/>
              <w:ind w:left="15"/>
              <w:jc w:val="center"/>
              <w:rPr>
                <w:rFonts w:eastAsiaTheme="minorEastAsia"/>
                <w:color w:val="000000" w:themeColor="text1"/>
                <w:kern w:val="0"/>
                <w:sz w:val="24"/>
              </w:rPr>
            </w:pPr>
            <w:r w:rsidRPr="00991236">
              <w:rPr>
                <w:rFonts w:eastAsiaTheme="minorEastAsia"/>
                <w:color w:val="000000" w:themeColor="text1"/>
                <w:sz w:val="24"/>
              </w:rPr>
              <w:t>1</w:t>
            </w:r>
          </w:p>
        </w:tc>
        <w:tc>
          <w:tcPr>
            <w:tcW w:w="2761" w:type="dxa"/>
            <w:vAlign w:val="center"/>
          </w:tcPr>
          <w:p w:rsidR="0044398D" w:rsidRPr="00991236" w:rsidRDefault="0044398D"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存出保证金</w:t>
            </w:r>
          </w:p>
        </w:tc>
        <w:tc>
          <w:tcPr>
            <w:tcW w:w="4808" w:type="dxa"/>
            <w:vAlign w:val="center"/>
          </w:tcPr>
          <w:p w:rsidR="0044398D" w:rsidRPr="00991236" w:rsidRDefault="0044398D"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760.68</w:t>
            </w:r>
          </w:p>
        </w:tc>
      </w:tr>
      <w:tr w:rsidR="003E712B" w:rsidRPr="00991236" w:rsidTr="00C905A7">
        <w:trPr>
          <w:trHeight w:val="567"/>
        </w:trPr>
        <w:tc>
          <w:tcPr>
            <w:tcW w:w="944" w:type="dxa"/>
            <w:vAlign w:val="center"/>
          </w:tcPr>
          <w:p w:rsidR="0044398D" w:rsidRPr="00991236" w:rsidRDefault="0044398D" w:rsidP="0044398D">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2</w:t>
            </w:r>
          </w:p>
        </w:tc>
        <w:tc>
          <w:tcPr>
            <w:tcW w:w="2761" w:type="dxa"/>
            <w:vAlign w:val="center"/>
          </w:tcPr>
          <w:p w:rsidR="0044398D" w:rsidRPr="00991236" w:rsidRDefault="0044398D"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应收证券清算款</w:t>
            </w:r>
          </w:p>
        </w:tc>
        <w:tc>
          <w:tcPr>
            <w:tcW w:w="4808" w:type="dxa"/>
            <w:vAlign w:val="center"/>
          </w:tcPr>
          <w:p w:rsidR="0044398D" w:rsidRPr="00991236" w:rsidRDefault="0044398D"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242,118.16</w:t>
            </w:r>
          </w:p>
        </w:tc>
      </w:tr>
      <w:tr w:rsidR="003E712B" w:rsidRPr="00991236" w:rsidTr="00C905A7">
        <w:trPr>
          <w:trHeight w:val="567"/>
        </w:trPr>
        <w:tc>
          <w:tcPr>
            <w:tcW w:w="944" w:type="dxa"/>
            <w:vAlign w:val="center"/>
          </w:tcPr>
          <w:p w:rsidR="0044398D" w:rsidRPr="00991236" w:rsidRDefault="0044398D" w:rsidP="0044398D">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3</w:t>
            </w:r>
          </w:p>
        </w:tc>
        <w:tc>
          <w:tcPr>
            <w:tcW w:w="2761" w:type="dxa"/>
            <w:vAlign w:val="center"/>
          </w:tcPr>
          <w:p w:rsidR="0044398D" w:rsidRPr="00991236" w:rsidRDefault="0044398D"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应收股利</w:t>
            </w:r>
          </w:p>
        </w:tc>
        <w:tc>
          <w:tcPr>
            <w:tcW w:w="4808" w:type="dxa"/>
            <w:vAlign w:val="center"/>
          </w:tcPr>
          <w:p w:rsidR="0044398D" w:rsidRPr="00991236" w:rsidRDefault="0044398D"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w:t>
            </w:r>
          </w:p>
        </w:tc>
      </w:tr>
      <w:tr w:rsidR="003E712B" w:rsidRPr="00991236" w:rsidTr="00C905A7">
        <w:trPr>
          <w:trHeight w:val="567"/>
        </w:trPr>
        <w:tc>
          <w:tcPr>
            <w:tcW w:w="944" w:type="dxa"/>
            <w:vAlign w:val="center"/>
          </w:tcPr>
          <w:p w:rsidR="0044398D" w:rsidRPr="00991236" w:rsidRDefault="0044398D" w:rsidP="0044398D">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4</w:t>
            </w:r>
          </w:p>
        </w:tc>
        <w:tc>
          <w:tcPr>
            <w:tcW w:w="2761" w:type="dxa"/>
            <w:vAlign w:val="center"/>
          </w:tcPr>
          <w:p w:rsidR="0044398D" w:rsidRPr="00991236" w:rsidRDefault="0044398D"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应收利息</w:t>
            </w:r>
          </w:p>
        </w:tc>
        <w:tc>
          <w:tcPr>
            <w:tcW w:w="4808" w:type="dxa"/>
            <w:vAlign w:val="center"/>
          </w:tcPr>
          <w:p w:rsidR="0044398D" w:rsidRPr="00991236" w:rsidRDefault="0044398D"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4,098.31</w:t>
            </w:r>
          </w:p>
        </w:tc>
      </w:tr>
      <w:tr w:rsidR="003E712B" w:rsidRPr="00991236" w:rsidTr="00C905A7">
        <w:trPr>
          <w:trHeight w:val="567"/>
        </w:trPr>
        <w:tc>
          <w:tcPr>
            <w:tcW w:w="944" w:type="dxa"/>
            <w:vAlign w:val="center"/>
          </w:tcPr>
          <w:p w:rsidR="0044398D" w:rsidRPr="00991236" w:rsidRDefault="0044398D" w:rsidP="0044398D">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5</w:t>
            </w:r>
          </w:p>
        </w:tc>
        <w:tc>
          <w:tcPr>
            <w:tcW w:w="2761" w:type="dxa"/>
            <w:vAlign w:val="center"/>
          </w:tcPr>
          <w:p w:rsidR="0044398D" w:rsidRPr="00991236" w:rsidRDefault="0044398D"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应收申购款</w:t>
            </w:r>
          </w:p>
        </w:tc>
        <w:tc>
          <w:tcPr>
            <w:tcW w:w="4808" w:type="dxa"/>
            <w:vAlign w:val="center"/>
          </w:tcPr>
          <w:p w:rsidR="0044398D" w:rsidRPr="00991236" w:rsidRDefault="0044398D"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8,026.25</w:t>
            </w:r>
          </w:p>
        </w:tc>
      </w:tr>
      <w:tr w:rsidR="003E712B" w:rsidRPr="00991236" w:rsidTr="00C905A7">
        <w:trPr>
          <w:trHeight w:val="567"/>
        </w:trPr>
        <w:tc>
          <w:tcPr>
            <w:tcW w:w="944" w:type="dxa"/>
            <w:vAlign w:val="center"/>
          </w:tcPr>
          <w:p w:rsidR="0044398D" w:rsidRPr="00991236" w:rsidRDefault="0044398D" w:rsidP="0044398D">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6</w:t>
            </w:r>
          </w:p>
        </w:tc>
        <w:tc>
          <w:tcPr>
            <w:tcW w:w="2761" w:type="dxa"/>
            <w:vAlign w:val="center"/>
          </w:tcPr>
          <w:p w:rsidR="0044398D" w:rsidRPr="00991236" w:rsidRDefault="0044398D"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其他应收款</w:t>
            </w:r>
          </w:p>
        </w:tc>
        <w:tc>
          <w:tcPr>
            <w:tcW w:w="4808" w:type="dxa"/>
            <w:vAlign w:val="center"/>
          </w:tcPr>
          <w:p w:rsidR="0044398D" w:rsidRPr="00991236" w:rsidRDefault="0044398D"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w:t>
            </w:r>
          </w:p>
        </w:tc>
      </w:tr>
      <w:tr w:rsidR="003E712B" w:rsidRPr="00991236" w:rsidTr="00C905A7">
        <w:trPr>
          <w:trHeight w:val="567"/>
        </w:trPr>
        <w:tc>
          <w:tcPr>
            <w:tcW w:w="944" w:type="dxa"/>
          </w:tcPr>
          <w:p w:rsidR="00435368" w:rsidRPr="00991236" w:rsidRDefault="00435368" w:rsidP="00435368">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7</w:t>
            </w:r>
          </w:p>
        </w:tc>
        <w:tc>
          <w:tcPr>
            <w:tcW w:w="2761" w:type="dxa"/>
          </w:tcPr>
          <w:p w:rsidR="00435368" w:rsidRPr="00991236" w:rsidRDefault="00435368" w:rsidP="00435368">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待摊费用</w:t>
            </w:r>
          </w:p>
        </w:tc>
        <w:tc>
          <w:tcPr>
            <w:tcW w:w="4808" w:type="dxa"/>
            <w:vAlign w:val="center"/>
          </w:tcPr>
          <w:p w:rsidR="00435368" w:rsidRPr="00991236" w:rsidRDefault="00435368" w:rsidP="00E57F92">
            <w:pPr>
              <w:autoSpaceDE w:val="0"/>
              <w:autoSpaceDN w:val="0"/>
              <w:adjustRightInd w:val="0"/>
              <w:spacing w:before="29" w:line="360" w:lineRule="auto"/>
              <w:ind w:left="15"/>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C905A7">
        <w:trPr>
          <w:trHeight w:val="567"/>
        </w:trPr>
        <w:tc>
          <w:tcPr>
            <w:tcW w:w="944" w:type="dxa"/>
            <w:vAlign w:val="center"/>
          </w:tcPr>
          <w:p w:rsidR="00435368" w:rsidRPr="00991236" w:rsidRDefault="00435368" w:rsidP="0044398D">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8</w:t>
            </w:r>
          </w:p>
        </w:tc>
        <w:tc>
          <w:tcPr>
            <w:tcW w:w="2761" w:type="dxa"/>
            <w:vAlign w:val="center"/>
          </w:tcPr>
          <w:p w:rsidR="00435368" w:rsidRPr="00991236" w:rsidRDefault="00435368"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其他</w:t>
            </w:r>
          </w:p>
        </w:tc>
        <w:tc>
          <w:tcPr>
            <w:tcW w:w="4808" w:type="dxa"/>
            <w:vAlign w:val="center"/>
          </w:tcPr>
          <w:p w:rsidR="00435368" w:rsidRPr="00991236" w:rsidRDefault="00435368"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w:t>
            </w:r>
          </w:p>
        </w:tc>
      </w:tr>
      <w:tr w:rsidR="003E712B" w:rsidRPr="00991236" w:rsidTr="00C905A7">
        <w:trPr>
          <w:trHeight w:val="567"/>
        </w:trPr>
        <w:tc>
          <w:tcPr>
            <w:tcW w:w="944" w:type="dxa"/>
            <w:vAlign w:val="center"/>
          </w:tcPr>
          <w:p w:rsidR="00435368" w:rsidRPr="00991236" w:rsidRDefault="00435368" w:rsidP="00435368">
            <w:pPr>
              <w:autoSpaceDE w:val="0"/>
              <w:autoSpaceDN w:val="0"/>
              <w:adjustRightInd w:val="0"/>
              <w:spacing w:before="29" w:line="360" w:lineRule="auto"/>
              <w:ind w:left="15"/>
              <w:jc w:val="center"/>
              <w:rPr>
                <w:rFonts w:eastAsiaTheme="minorEastAsia"/>
                <w:color w:val="000000" w:themeColor="text1"/>
                <w:sz w:val="24"/>
              </w:rPr>
            </w:pPr>
            <w:r w:rsidRPr="00991236">
              <w:rPr>
                <w:rFonts w:eastAsiaTheme="minorEastAsia"/>
                <w:color w:val="000000" w:themeColor="text1"/>
                <w:sz w:val="24"/>
              </w:rPr>
              <w:t>9</w:t>
            </w:r>
          </w:p>
        </w:tc>
        <w:tc>
          <w:tcPr>
            <w:tcW w:w="2761" w:type="dxa"/>
            <w:vAlign w:val="center"/>
          </w:tcPr>
          <w:p w:rsidR="00435368" w:rsidRPr="00991236" w:rsidRDefault="00435368" w:rsidP="0044398D">
            <w:pPr>
              <w:autoSpaceDE w:val="0"/>
              <w:autoSpaceDN w:val="0"/>
              <w:adjustRightInd w:val="0"/>
              <w:spacing w:before="29" w:line="360" w:lineRule="auto"/>
              <w:ind w:left="15"/>
              <w:jc w:val="left"/>
              <w:rPr>
                <w:rFonts w:eastAsiaTheme="minorEastAsia"/>
                <w:color w:val="000000" w:themeColor="text1"/>
                <w:kern w:val="0"/>
                <w:sz w:val="24"/>
              </w:rPr>
            </w:pPr>
            <w:r w:rsidRPr="00991236">
              <w:rPr>
                <w:rFonts w:eastAsiaTheme="minorEastAsia"/>
                <w:color w:val="000000" w:themeColor="text1"/>
                <w:kern w:val="0"/>
                <w:sz w:val="24"/>
              </w:rPr>
              <w:t>合计</w:t>
            </w:r>
          </w:p>
        </w:tc>
        <w:tc>
          <w:tcPr>
            <w:tcW w:w="4808" w:type="dxa"/>
            <w:vAlign w:val="center"/>
          </w:tcPr>
          <w:p w:rsidR="00435368" w:rsidRPr="00991236" w:rsidRDefault="00435368" w:rsidP="0044398D">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255,003.40</w:t>
            </w:r>
          </w:p>
        </w:tc>
      </w:tr>
    </w:tbl>
    <w:p w:rsidR="00220542" w:rsidRPr="00991236" w:rsidRDefault="004C5189" w:rsidP="00045BEC">
      <w:pPr>
        <w:autoSpaceDE w:val="0"/>
        <w:autoSpaceDN w:val="0"/>
        <w:adjustRightInd w:val="0"/>
        <w:spacing w:line="360" w:lineRule="auto"/>
        <w:jc w:val="left"/>
        <w:rPr>
          <w:rFonts w:eastAsiaTheme="minorEastAsia"/>
          <w:b/>
          <w:color w:val="000000" w:themeColor="text1"/>
          <w:kern w:val="0"/>
          <w:sz w:val="24"/>
        </w:rPr>
      </w:pPr>
      <w:r w:rsidRPr="00991236">
        <w:rPr>
          <w:rFonts w:eastAsiaTheme="minorEastAsia"/>
          <w:b/>
          <w:color w:val="000000" w:themeColor="text1"/>
          <w:kern w:val="0"/>
          <w:sz w:val="24"/>
        </w:rPr>
        <w:t>5.11.4</w:t>
      </w:r>
      <w:r w:rsidR="00220542" w:rsidRPr="00991236">
        <w:rPr>
          <w:rFonts w:eastAsiaTheme="minorEastAsia"/>
          <w:b/>
          <w:color w:val="000000" w:themeColor="text1"/>
          <w:kern w:val="0"/>
          <w:sz w:val="24"/>
        </w:rPr>
        <w:t>报告期末持有的处于转股期的可转换债券明细</w:t>
      </w:r>
    </w:p>
    <w:p w:rsidR="00220542" w:rsidRPr="00BB2922" w:rsidRDefault="007C1A93"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本基金本报告期末未持有处于转股期的可转债。</w:t>
      </w:r>
    </w:p>
    <w:p w:rsidR="00CF3CDE" w:rsidRPr="00991236" w:rsidRDefault="00CF3CDE" w:rsidP="00045BEC">
      <w:pPr>
        <w:spacing w:line="360" w:lineRule="auto"/>
        <w:rPr>
          <w:rFonts w:eastAsiaTheme="minorEastAsia"/>
          <w:b/>
          <w:color w:val="000000" w:themeColor="text1"/>
          <w:kern w:val="0"/>
          <w:sz w:val="24"/>
        </w:rPr>
      </w:pPr>
      <w:r w:rsidRPr="00991236">
        <w:rPr>
          <w:rFonts w:eastAsiaTheme="minorEastAsia"/>
          <w:b/>
          <w:color w:val="000000" w:themeColor="text1"/>
          <w:kern w:val="0"/>
          <w:sz w:val="24"/>
        </w:rPr>
        <w:t>5.11.5</w:t>
      </w:r>
      <w:r w:rsidRPr="00991236">
        <w:rPr>
          <w:rFonts w:eastAsiaTheme="minorEastAsia"/>
          <w:b/>
          <w:color w:val="000000" w:themeColor="text1"/>
          <w:sz w:val="24"/>
        </w:rPr>
        <w:t>报告期末前十名股票中存在流通受限情况的说明</w:t>
      </w:r>
    </w:p>
    <w:p w:rsidR="005D44E4" w:rsidRPr="00991236" w:rsidRDefault="00CF3CDE" w:rsidP="00045BEC">
      <w:pPr>
        <w:spacing w:line="360" w:lineRule="auto"/>
        <w:rPr>
          <w:rFonts w:eastAsiaTheme="minorEastAsia"/>
          <w:b/>
          <w:color w:val="000000" w:themeColor="text1"/>
          <w:kern w:val="0"/>
          <w:sz w:val="24"/>
        </w:rPr>
      </w:pPr>
      <w:r w:rsidRPr="00991236">
        <w:rPr>
          <w:rFonts w:eastAsiaTheme="minorEastAsia"/>
          <w:b/>
          <w:color w:val="000000" w:themeColor="text1"/>
          <w:kern w:val="0"/>
          <w:sz w:val="24"/>
        </w:rPr>
        <w:t>5.11.</w:t>
      </w:r>
      <w:r w:rsidR="004C5189" w:rsidRPr="00991236">
        <w:rPr>
          <w:rFonts w:eastAsiaTheme="minorEastAsia"/>
          <w:b/>
          <w:color w:val="000000" w:themeColor="text1"/>
          <w:kern w:val="0"/>
          <w:sz w:val="24"/>
        </w:rPr>
        <w:t>5</w:t>
      </w:r>
      <w:r w:rsidR="005D44E4" w:rsidRPr="00991236">
        <w:rPr>
          <w:rFonts w:eastAsiaTheme="minorEastAsia"/>
          <w:b/>
          <w:color w:val="000000" w:themeColor="text1"/>
          <w:kern w:val="0"/>
          <w:sz w:val="24"/>
        </w:rPr>
        <w:t>.</w:t>
      </w:r>
      <w:r w:rsidR="004C5189" w:rsidRPr="00991236">
        <w:rPr>
          <w:rFonts w:eastAsiaTheme="minorEastAsia"/>
          <w:b/>
          <w:color w:val="000000" w:themeColor="text1"/>
          <w:kern w:val="0"/>
          <w:sz w:val="24"/>
        </w:rPr>
        <w:t>1</w:t>
      </w:r>
      <w:r w:rsidR="00874F4B" w:rsidRPr="00991236">
        <w:rPr>
          <w:rFonts w:eastAsiaTheme="minorEastAsia"/>
          <w:b/>
          <w:color w:val="000000" w:themeColor="text1"/>
          <w:sz w:val="24"/>
        </w:rPr>
        <w:t>期末指数投资前十名股票中存在流通受限情况的说明</w:t>
      </w:r>
    </w:p>
    <w:p w:rsidR="005D44E4" w:rsidRPr="00BB2922" w:rsidRDefault="007C1A93"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本基金本报告期末指数投资前十名股票中不存在流通受限情况。</w:t>
      </w:r>
    </w:p>
    <w:p w:rsidR="005D44E4" w:rsidRPr="00991236" w:rsidRDefault="00CF3CDE" w:rsidP="00045BEC">
      <w:pPr>
        <w:spacing w:line="360" w:lineRule="auto"/>
        <w:rPr>
          <w:rFonts w:eastAsiaTheme="minorEastAsia"/>
          <w:b/>
          <w:color w:val="000000" w:themeColor="text1"/>
          <w:sz w:val="24"/>
        </w:rPr>
      </w:pPr>
      <w:r w:rsidRPr="00991236">
        <w:rPr>
          <w:rFonts w:eastAsiaTheme="minorEastAsia"/>
          <w:b/>
          <w:color w:val="000000" w:themeColor="text1"/>
          <w:kern w:val="0"/>
          <w:sz w:val="24"/>
        </w:rPr>
        <w:t>5.11.</w:t>
      </w:r>
      <w:r w:rsidR="004C5189" w:rsidRPr="00991236">
        <w:rPr>
          <w:rFonts w:eastAsiaTheme="minorEastAsia"/>
          <w:b/>
          <w:color w:val="000000" w:themeColor="text1"/>
          <w:kern w:val="0"/>
          <w:sz w:val="24"/>
        </w:rPr>
        <w:t>5.2</w:t>
      </w:r>
      <w:r w:rsidR="005D44E4" w:rsidRPr="00991236">
        <w:rPr>
          <w:rFonts w:eastAsiaTheme="minorEastAsia"/>
          <w:b/>
          <w:color w:val="000000" w:themeColor="text1"/>
          <w:sz w:val="24"/>
        </w:rPr>
        <w:t>期末积极投资前五名股票中存在流通受限情况的说明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rsidR="003E712B" w:rsidRPr="00991236" w:rsidTr="00C21C43">
        <w:tc>
          <w:tcPr>
            <w:tcW w:w="1083" w:type="dxa"/>
            <w:shd w:val="clear" w:color="auto" w:fill="auto"/>
            <w:vAlign w:val="center"/>
          </w:tcPr>
          <w:p w:rsidR="007C1A93" w:rsidRPr="00991236" w:rsidRDefault="007C1A93"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序号</w:t>
            </w:r>
          </w:p>
        </w:tc>
        <w:tc>
          <w:tcPr>
            <w:tcW w:w="1302" w:type="dxa"/>
            <w:shd w:val="clear" w:color="auto" w:fill="auto"/>
            <w:vAlign w:val="center"/>
          </w:tcPr>
          <w:p w:rsidR="007C1A93" w:rsidRPr="00991236" w:rsidRDefault="007C1A93"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股票代码</w:t>
            </w:r>
          </w:p>
        </w:tc>
        <w:tc>
          <w:tcPr>
            <w:tcW w:w="1301" w:type="dxa"/>
            <w:shd w:val="clear" w:color="auto" w:fill="auto"/>
            <w:vAlign w:val="center"/>
          </w:tcPr>
          <w:p w:rsidR="007C1A93" w:rsidRPr="00991236" w:rsidRDefault="007C1A93"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股票名称</w:t>
            </w:r>
          </w:p>
        </w:tc>
        <w:tc>
          <w:tcPr>
            <w:tcW w:w="1805" w:type="dxa"/>
            <w:shd w:val="clear" w:color="auto" w:fill="auto"/>
            <w:vAlign w:val="center"/>
          </w:tcPr>
          <w:p w:rsidR="007C1A93" w:rsidRPr="00991236" w:rsidRDefault="007C1A93"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流通受限部分的公允价值</w:t>
            </w:r>
            <w:r w:rsidRPr="00991236">
              <w:rPr>
                <w:rFonts w:eastAsiaTheme="minorEastAsia"/>
                <w:color w:val="000000" w:themeColor="text1"/>
                <w:sz w:val="24"/>
              </w:rPr>
              <w:t>(</w:t>
            </w:r>
            <w:r w:rsidRPr="00991236">
              <w:rPr>
                <w:rFonts w:eastAsiaTheme="minorEastAsia"/>
                <w:color w:val="000000" w:themeColor="text1"/>
                <w:sz w:val="24"/>
              </w:rPr>
              <w:t>元</w:t>
            </w:r>
            <w:r w:rsidRPr="00991236">
              <w:rPr>
                <w:rFonts w:eastAsiaTheme="minorEastAsia"/>
                <w:color w:val="000000" w:themeColor="text1"/>
                <w:sz w:val="24"/>
              </w:rPr>
              <w:t>)</w:t>
            </w:r>
          </w:p>
        </w:tc>
        <w:tc>
          <w:tcPr>
            <w:tcW w:w="1655" w:type="dxa"/>
            <w:shd w:val="clear" w:color="auto" w:fill="auto"/>
            <w:vAlign w:val="center"/>
          </w:tcPr>
          <w:p w:rsidR="007C1A93" w:rsidRPr="00991236" w:rsidRDefault="007C1A93"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占基金资产净值比例</w:t>
            </w:r>
            <w:r w:rsidRPr="00991236">
              <w:rPr>
                <w:rFonts w:eastAsiaTheme="minorEastAsia"/>
                <w:color w:val="000000" w:themeColor="text1"/>
                <w:sz w:val="24"/>
              </w:rPr>
              <w:t>(%)</w:t>
            </w:r>
          </w:p>
        </w:tc>
        <w:tc>
          <w:tcPr>
            <w:tcW w:w="1367" w:type="dxa"/>
            <w:shd w:val="clear" w:color="auto" w:fill="auto"/>
            <w:vAlign w:val="center"/>
          </w:tcPr>
          <w:p w:rsidR="007C1A93" w:rsidRPr="00991236" w:rsidRDefault="007C1A93" w:rsidP="00C21C43">
            <w:pPr>
              <w:spacing w:before="29" w:line="360" w:lineRule="auto"/>
              <w:ind w:left="17"/>
              <w:jc w:val="center"/>
              <w:rPr>
                <w:rFonts w:eastAsiaTheme="minorEastAsia"/>
                <w:color w:val="000000" w:themeColor="text1"/>
                <w:sz w:val="24"/>
              </w:rPr>
            </w:pPr>
            <w:r w:rsidRPr="00991236">
              <w:rPr>
                <w:rFonts w:eastAsiaTheme="minorEastAsia"/>
                <w:color w:val="000000" w:themeColor="text1"/>
                <w:sz w:val="24"/>
              </w:rPr>
              <w:t>流通受限情况说明</w:t>
            </w:r>
          </w:p>
        </w:tc>
      </w:tr>
      <w:tr w:rsidR="003A6773">
        <w:tc>
          <w:tcPr>
            <w:tcW w:w="1083" w:type="dxa"/>
            <w:vAlign w:val="center"/>
          </w:tcPr>
          <w:p w:rsidR="003A6773" w:rsidRDefault="00C26A76">
            <w:pPr>
              <w:jc w:val="center"/>
            </w:pPr>
            <w:r>
              <w:rPr>
                <w:rFonts w:eastAsiaTheme="minorEastAsia"/>
                <w:color w:val="000000" w:themeColor="text1"/>
                <w:sz w:val="24"/>
              </w:rPr>
              <w:t>1</w:t>
            </w:r>
          </w:p>
        </w:tc>
        <w:tc>
          <w:tcPr>
            <w:tcW w:w="1302" w:type="dxa"/>
            <w:vAlign w:val="center"/>
          </w:tcPr>
          <w:p w:rsidR="003A6773" w:rsidRDefault="00C26A76">
            <w:pPr>
              <w:jc w:val="center"/>
            </w:pPr>
            <w:r>
              <w:rPr>
                <w:rFonts w:eastAsiaTheme="minorEastAsia"/>
                <w:color w:val="000000" w:themeColor="text1"/>
                <w:sz w:val="24"/>
              </w:rPr>
              <w:t>002952</w:t>
            </w:r>
          </w:p>
        </w:tc>
        <w:tc>
          <w:tcPr>
            <w:tcW w:w="1301" w:type="dxa"/>
            <w:vAlign w:val="center"/>
          </w:tcPr>
          <w:p w:rsidR="003A6773" w:rsidRDefault="00C26A76">
            <w:pPr>
              <w:jc w:val="center"/>
            </w:pPr>
            <w:r>
              <w:rPr>
                <w:rFonts w:eastAsiaTheme="minorEastAsia"/>
                <w:color w:val="000000" w:themeColor="text1"/>
                <w:sz w:val="24"/>
              </w:rPr>
              <w:t>亚世光电</w:t>
            </w:r>
          </w:p>
        </w:tc>
        <w:tc>
          <w:tcPr>
            <w:tcW w:w="1805" w:type="dxa"/>
            <w:vAlign w:val="center"/>
          </w:tcPr>
          <w:p w:rsidR="003A6773" w:rsidRDefault="00C26A76">
            <w:pPr>
              <w:jc w:val="right"/>
            </w:pPr>
            <w:r>
              <w:rPr>
                <w:rFonts w:eastAsiaTheme="minorEastAsia"/>
                <w:color w:val="000000" w:themeColor="text1"/>
                <w:sz w:val="24"/>
              </w:rPr>
              <w:t>399,527.40</w:t>
            </w:r>
          </w:p>
        </w:tc>
        <w:tc>
          <w:tcPr>
            <w:tcW w:w="1655" w:type="dxa"/>
            <w:vAlign w:val="center"/>
          </w:tcPr>
          <w:p w:rsidR="003A6773" w:rsidRDefault="00C26A76">
            <w:pPr>
              <w:jc w:val="right"/>
            </w:pPr>
            <w:r>
              <w:rPr>
                <w:rFonts w:eastAsiaTheme="minorEastAsia"/>
                <w:color w:val="000000" w:themeColor="text1"/>
                <w:sz w:val="24"/>
              </w:rPr>
              <w:t>1.02</w:t>
            </w:r>
          </w:p>
        </w:tc>
        <w:tc>
          <w:tcPr>
            <w:tcW w:w="1367" w:type="dxa"/>
            <w:vAlign w:val="center"/>
          </w:tcPr>
          <w:p w:rsidR="003A6773" w:rsidRDefault="00C26A76">
            <w:pPr>
              <w:jc w:val="right"/>
            </w:pPr>
            <w:r>
              <w:rPr>
                <w:rFonts w:eastAsiaTheme="minorEastAsia"/>
                <w:color w:val="000000" w:themeColor="text1"/>
                <w:sz w:val="24"/>
              </w:rPr>
              <w:t>新股锁定</w:t>
            </w:r>
          </w:p>
        </w:tc>
      </w:tr>
    </w:tbl>
    <w:p w:rsidR="004D1A45" w:rsidRPr="00991236" w:rsidRDefault="004D1A45" w:rsidP="009A037F">
      <w:pPr>
        <w:spacing w:line="360" w:lineRule="auto"/>
        <w:rPr>
          <w:rFonts w:eastAsiaTheme="minorEastAsia"/>
          <w:bCs/>
          <w:color w:val="000000" w:themeColor="text1"/>
          <w:sz w:val="24"/>
        </w:rPr>
      </w:pPr>
    </w:p>
    <w:p w:rsidR="00220542" w:rsidRPr="00991236" w:rsidRDefault="004C5189" w:rsidP="009A037F">
      <w:pPr>
        <w:spacing w:line="360" w:lineRule="auto"/>
        <w:rPr>
          <w:rFonts w:eastAsiaTheme="minorEastAsia"/>
          <w:b/>
          <w:color w:val="000000" w:themeColor="text1"/>
          <w:sz w:val="24"/>
        </w:rPr>
      </w:pPr>
      <w:r w:rsidRPr="00991236">
        <w:rPr>
          <w:rFonts w:eastAsiaTheme="minorEastAsia"/>
          <w:b/>
          <w:color w:val="000000" w:themeColor="text1"/>
          <w:sz w:val="24"/>
        </w:rPr>
        <w:t>5.11</w:t>
      </w:r>
      <w:r w:rsidR="00220542" w:rsidRPr="00991236">
        <w:rPr>
          <w:rFonts w:eastAsiaTheme="minorEastAsia"/>
          <w:b/>
          <w:color w:val="000000" w:themeColor="text1"/>
          <w:sz w:val="24"/>
        </w:rPr>
        <w:t>.</w:t>
      </w:r>
      <w:r w:rsidRPr="00991236">
        <w:rPr>
          <w:rFonts w:eastAsiaTheme="minorEastAsia"/>
          <w:b/>
          <w:bCs/>
          <w:color w:val="000000" w:themeColor="text1"/>
          <w:sz w:val="24"/>
        </w:rPr>
        <w:t>6</w:t>
      </w:r>
      <w:r w:rsidR="00504285" w:rsidRPr="00991236">
        <w:rPr>
          <w:rFonts w:eastAsiaTheme="minorEastAsia"/>
          <w:b/>
          <w:bCs/>
          <w:color w:val="000000" w:themeColor="text1"/>
          <w:kern w:val="0"/>
          <w:sz w:val="24"/>
        </w:rPr>
        <w:t>投资组合报告附注的其他文字描述部分</w:t>
      </w:r>
    </w:p>
    <w:p w:rsidR="00220542" w:rsidRPr="00991236" w:rsidRDefault="007C1A93"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由于四舍五入的原因，分项之和与合计项之间可能存在尾差。</w:t>
      </w:r>
    </w:p>
    <w:p w:rsidR="003A0A94" w:rsidRPr="00991236" w:rsidRDefault="003A0A94" w:rsidP="002C360B">
      <w:pPr>
        <w:spacing w:line="360" w:lineRule="auto"/>
        <w:ind w:firstLineChars="200" w:firstLine="480"/>
        <w:rPr>
          <w:rFonts w:eastAsiaTheme="minorEastAsia"/>
          <w:color w:val="000000" w:themeColor="text1"/>
          <w:sz w:val="24"/>
        </w:rPr>
      </w:pPr>
    </w:p>
    <w:p w:rsidR="00220542" w:rsidRPr="00991236" w:rsidRDefault="00220542" w:rsidP="005E22CC">
      <w:pPr>
        <w:pStyle w:val="1"/>
        <w:spacing w:beforeLines="100" w:afterLines="100" w:line="360" w:lineRule="auto"/>
        <w:jc w:val="center"/>
        <w:rPr>
          <w:rFonts w:eastAsiaTheme="minorEastAsia"/>
          <w:color w:val="000000" w:themeColor="text1"/>
          <w:kern w:val="0"/>
          <w:sz w:val="24"/>
          <w:szCs w:val="24"/>
        </w:rPr>
      </w:pPr>
      <w:r w:rsidRPr="00991236">
        <w:rPr>
          <w:rFonts w:eastAsiaTheme="minorEastAsia"/>
          <w:color w:val="000000" w:themeColor="text1"/>
          <w:kern w:val="0"/>
          <w:sz w:val="24"/>
          <w:szCs w:val="24"/>
        </w:rPr>
        <w:t xml:space="preserve">§6  </w:t>
      </w:r>
      <w:r w:rsidRPr="00991236">
        <w:rPr>
          <w:rFonts w:eastAsiaTheme="minorEastAsia"/>
          <w:color w:val="000000" w:themeColor="text1"/>
          <w:kern w:val="0"/>
          <w:sz w:val="24"/>
          <w:szCs w:val="24"/>
        </w:rPr>
        <w:t>开放式基金份额变动</w:t>
      </w:r>
    </w:p>
    <w:p w:rsidR="00220542" w:rsidRPr="00991236" w:rsidRDefault="00220542" w:rsidP="0019563C">
      <w:pPr>
        <w:autoSpaceDE w:val="0"/>
        <w:autoSpaceDN w:val="0"/>
        <w:adjustRightInd w:val="0"/>
        <w:spacing w:before="29" w:line="360" w:lineRule="auto"/>
        <w:ind w:left="15"/>
        <w:jc w:val="right"/>
        <w:rPr>
          <w:rFonts w:eastAsiaTheme="minorEastAsia"/>
          <w:color w:val="000000" w:themeColor="text1"/>
          <w:kern w:val="0"/>
          <w:sz w:val="24"/>
        </w:rPr>
      </w:pPr>
      <w:r w:rsidRPr="00991236">
        <w:rPr>
          <w:rFonts w:eastAsiaTheme="minorEastAsia"/>
          <w:color w:val="000000" w:themeColor="text1"/>
          <w:kern w:val="0"/>
          <w:sz w:val="24"/>
        </w:rPr>
        <w:t>单位：份</w:t>
      </w:r>
    </w:p>
    <w:tbl>
      <w:tblPr>
        <w:tblW w:w="0" w:type="auto"/>
        <w:tblInd w:w="-106" w:type="dxa"/>
        <w:tblLayout w:type="fixed"/>
        <w:tblLook w:val="0000"/>
      </w:tblPr>
      <w:tblGrid>
        <w:gridCol w:w="4609"/>
        <w:gridCol w:w="4025"/>
      </w:tblGrid>
      <w:tr w:rsidR="003E712B" w:rsidRPr="00991236" w:rsidTr="002141B6">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25,602,410.48</w:t>
            </w:r>
          </w:p>
        </w:tc>
      </w:tr>
      <w:tr w:rsidR="003E712B" w:rsidRPr="00991236" w:rsidTr="002141B6">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267B74" w:rsidP="002141B6">
            <w:pPr>
              <w:autoSpaceDE w:val="0"/>
              <w:autoSpaceDN w:val="0"/>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报告期</w:t>
            </w:r>
            <w:r w:rsidR="007C1A93" w:rsidRPr="00991236">
              <w:rPr>
                <w:rFonts w:eastAsiaTheme="minorEastAsia"/>
                <w:color w:val="000000" w:themeColor="text1"/>
                <w:kern w:val="0"/>
                <w:sz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1,159,251.87</w:t>
            </w:r>
          </w:p>
        </w:tc>
      </w:tr>
      <w:tr w:rsidR="003E712B" w:rsidRPr="00991236" w:rsidTr="002141B6">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减：</w:t>
            </w:r>
            <w:r w:rsidR="00267B74" w:rsidRPr="00991236">
              <w:rPr>
                <w:rFonts w:eastAsiaTheme="minorEastAsia"/>
                <w:color w:val="000000" w:themeColor="text1"/>
                <w:kern w:val="0"/>
                <w:sz w:val="24"/>
              </w:rPr>
              <w:t>报告期</w:t>
            </w:r>
            <w:r w:rsidRPr="00991236">
              <w:rPr>
                <w:rFonts w:eastAsiaTheme="minorEastAsia"/>
                <w:color w:val="000000" w:themeColor="text1"/>
                <w:kern w:val="0"/>
                <w:sz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2,025,037.14</w:t>
            </w:r>
          </w:p>
        </w:tc>
      </w:tr>
      <w:tr w:rsidR="003E712B" w:rsidRPr="00991236" w:rsidTr="002141B6">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267B74" w:rsidP="002141B6">
            <w:pPr>
              <w:autoSpaceDE w:val="0"/>
              <w:autoSpaceDN w:val="0"/>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报告期</w:t>
            </w:r>
            <w:r w:rsidR="007C1A93" w:rsidRPr="00991236">
              <w:rPr>
                <w:rFonts w:eastAsiaTheme="minorEastAsia"/>
                <w:color w:val="000000" w:themeColor="text1"/>
                <w:kern w:val="0"/>
                <w:sz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w:t>
            </w:r>
          </w:p>
        </w:tc>
      </w:tr>
      <w:tr w:rsidR="003E712B" w:rsidRPr="00991236" w:rsidTr="002141B6">
        <w:tc>
          <w:tcPr>
            <w:tcW w:w="4609"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rPr>
                <w:rFonts w:eastAsiaTheme="minorEastAsia"/>
                <w:color w:val="000000" w:themeColor="text1"/>
                <w:kern w:val="0"/>
                <w:sz w:val="24"/>
              </w:rPr>
            </w:pPr>
            <w:r w:rsidRPr="00991236">
              <w:rPr>
                <w:rFonts w:eastAsiaTheme="minorEastAsia"/>
                <w:color w:val="000000" w:themeColor="text1"/>
                <w:kern w:val="0"/>
                <w:sz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C1A93" w:rsidRPr="00991236" w:rsidRDefault="007C1A93" w:rsidP="002141B6">
            <w:pPr>
              <w:autoSpaceDE w:val="0"/>
              <w:autoSpaceDN w:val="0"/>
              <w:adjustRightInd w:val="0"/>
              <w:spacing w:before="29" w:line="360" w:lineRule="auto"/>
              <w:ind w:left="17"/>
              <w:jc w:val="right"/>
              <w:rPr>
                <w:rFonts w:eastAsiaTheme="minorEastAsia"/>
                <w:color w:val="000000" w:themeColor="text1"/>
                <w:sz w:val="24"/>
              </w:rPr>
            </w:pPr>
            <w:r w:rsidRPr="00991236">
              <w:rPr>
                <w:rFonts w:eastAsiaTheme="minorEastAsia"/>
                <w:color w:val="000000" w:themeColor="text1"/>
                <w:sz w:val="24"/>
              </w:rPr>
              <w:t>24,736,625.21</w:t>
            </w:r>
          </w:p>
        </w:tc>
      </w:tr>
    </w:tbl>
    <w:p w:rsidR="00413689" w:rsidRPr="00991236" w:rsidRDefault="00413689" w:rsidP="005E22CC">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991236">
        <w:rPr>
          <w:rFonts w:eastAsiaTheme="minorEastAsia"/>
          <w:color w:val="000000" w:themeColor="text1"/>
          <w:kern w:val="0"/>
          <w:sz w:val="24"/>
          <w:szCs w:val="24"/>
        </w:rPr>
        <w:t xml:space="preserve">§7  </w:t>
      </w:r>
      <w:r w:rsidRPr="00991236">
        <w:rPr>
          <w:rFonts w:eastAsiaTheme="minorEastAsia"/>
          <w:color w:val="000000" w:themeColor="text1"/>
          <w:sz w:val="24"/>
          <w:szCs w:val="24"/>
        </w:rPr>
        <w:t>基金管理人运用固有资金投资本基金情况</w:t>
      </w:r>
    </w:p>
    <w:p w:rsidR="00413689" w:rsidRPr="00991236" w:rsidRDefault="00413689" w:rsidP="00413689">
      <w:pPr>
        <w:spacing w:line="360" w:lineRule="auto"/>
        <w:jc w:val="left"/>
        <w:rPr>
          <w:rFonts w:eastAsiaTheme="minorEastAsia"/>
          <w:color w:val="000000" w:themeColor="text1"/>
          <w:sz w:val="24"/>
        </w:rPr>
      </w:pPr>
      <w:r w:rsidRPr="00991236">
        <w:rPr>
          <w:rFonts w:eastAsiaTheme="minorEastAsia"/>
          <w:b/>
          <w:color w:val="000000" w:themeColor="text1"/>
          <w:sz w:val="24"/>
        </w:rPr>
        <w:t xml:space="preserve">7.1 </w:t>
      </w:r>
      <w:r w:rsidRPr="00991236">
        <w:rPr>
          <w:rFonts w:eastAsiaTheme="minorEastAsia"/>
          <w:b/>
          <w:color w:val="000000" w:themeColor="text1"/>
          <w:sz w:val="24"/>
        </w:rPr>
        <w:t>基金管理人持有本基金份额变动情况</w:t>
      </w:r>
    </w:p>
    <w:p w:rsidR="00413689" w:rsidRPr="00BB2922" w:rsidRDefault="0007721B"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本报告期内本基金管理人无运用固有资金投资本基金的情况。</w:t>
      </w:r>
    </w:p>
    <w:p w:rsidR="00413689" w:rsidRPr="00991236" w:rsidRDefault="00413689" w:rsidP="00413689">
      <w:pPr>
        <w:autoSpaceDE w:val="0"/>
        <w:autoSpaceDN w:val="0"/>
        <w:adjustRightInd w:val="0"/>
        <w:spacing w:line="360" w:lineRule="auto"/>
        <w:jc w:val="left"/>
        <w:rPr>
          <w:rFonts w:eastAsiaTheme="minorEastAsia"/>
          <w:color w:val="000000" w:themeColor="text1"/>
          <w:kern w:val="0"/>
          <w:sz w:val="24"/>
        </w:rPr>
      </w:pPr>
    </w:p>
    <w:p w:rsidR="00413689" w:rsidRPr="00991236" w:rsidRDefault="00413689" w:rsidP="00413689">
      <w:pPr>
        <w:spacing w:line="360" w:lineRule="auto"/>
        <w:jc w:val="left"/>
        <w:rPr>
          <w:rFonts w:eastAsiaTheme="minorEastAsia"/>
          <w:color w:val="000000" w:themeColor="text1"/>
          <w:sz w:val="24"/>
        </w:rPr>
      </w:pPr>
      <w:r w:rsidRPr="00991236">
        <w:rPr>
          <w:rFonts w:eastAsiaTheme="minorEastAsia"/>
          <w:b/>
          <w:color w:val="000000" w:themeColor="text1"/>
          <w:sz w:val="24"/>
        </w:rPr>
        <w:t xml:space="preserve">7.2 </w:t>
      </w:r>
      <w:r w:rsidRPr="00991236">
        <w:rPr>
          <w:rFonts w:eastAsiaTheme="minorEastAsia"/>
          <w:b/>
          <w:color w:val="000000" w:themeColor="text1"/>
          <w:sz w:val="24"/>
        </w:rPr>
        <w:t>基金管理人运用固有资金投资本基金交易明细</w:t>
      </w:r>
    </w:p>
    <w:p w:rsidR="00413689" w:rsidRPr="00BB2922" w:rsidRDefault="00413689" w:rsidP="00BB2922">
      <w:pPr>
        <w:autoSpaceDE w:val="0"/>
        <w:autoSpaceDN w:val="0"/>
        <w:adjustRightInd w:val="0"/>
        <w:spacing w:line="360" w:lineRule="auto"/>
        <w:ind w:firstLineChars="200" w:firstLine="480"/>
        <w:jc w:val="left"/>
        <w:rPr>
          <w:rFonts w:eastAsiaTheme="minorEastAsia"/>
          <w:color w:val="000000" w:themeColor="text1"/>
          <w:sz w:val="24"/>
        </w:rPr>
      </w:pPr>
      <w:r w:rsidRPr="00BB2922">
        <w:rPr>
          <w:rFonts w:eastAsiaTheme="minorEastAsia"/>
          <w:color w:val="000000" w:themeColor="text1"/>
          <w:sz w:val="24"/>
        </w:rPr>
        <w:t>本基金管理人本报告期无运用固有</w:t>
      </w:r>
      <w:bookmarkStart w:id="0" w:name="_GoBack"/>
      <w:bookmarkEnd w:id="0"/>
      <w:r w:rsidRPr="00BB2922">
        <w:rPr>
          <w:rFonts w:eastAsiaTheme="minorEastAsia"/>
          <w:color w:val="000000" w:themeColor="text1"/>
          <w:sz w:val="24"/>
        </w:rPr>
        <w:t>资金投资本基金的交易明细。</w:t>
      </w:r>
    </w:p>
    <w:p w:rsidR="00E84AB6" w:rsidRPr="00C9481C" w:rsidRDefault="00E84AB6" w:rsidP="005E22CC">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304E8A" w:rsidRPr="002F6268" w:rsidRDefault="00304E8A" w:rsidP="00304E8A">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8.1 </w:t>
      </w:r>
      <w:r w:rsidRPr="002F6268">
        <w:rPr>
          <w:rFonts w:eastAsiaTheme="minorEastAsia"/>
          <w:b/>
          <w:bCs/>
          <w:color w:val="000000" w:themeColor="text1"/>
          <w:kern w:val="0"/>
          <w:sz w:val="24"/>
        </w:rPr>
        <w:t>报告期内单一投资者持有基金份额比例达到或超过</w:t>
      </w:r>
      <w:r w:rsidRPr="002F6268">
        <w:rPr>
          <w:rFonts w:eastAsiaTheme="minorEastAsia"/>
          <w:b/>
          <w:bCs/>
          <w:color w:val="000000" w:themeColor="text1"/>
          <w:kern w:val="0"/>
          <w:sz w:val="24"/>
        </w:rPr>
        <w:t>20%</w:t>
      </w:r>
      <w:r w:rsidRPr="002F6268">
        <w:rPr>
          <w:rFonts w:eastAsiaTheme="minorEastAsia"/>
          <w:b/>
          <w:bCs/>
          <w:color w:val="000000" w:themeColor="text1"/>
          <w:kern w:val="0"/>
          <w:sz w:val="24"/>
        </w:rPr>
        <w:t>的情况</w:t>
      </w:r>
    </w:p>
    <w:tbl>
      <w:tblPr>
        <w:tblStyle w:val="af7"/>
        <w:tblW w:w="9637" w:type="dxa"/>
        <w:jc w:val="center"/>
        <w:tblLayout w:type="fixed"/>
        <w:tblLook w:val="04A0"/>
      </w:tblPr>
      <w:tblGrid>
        <w:gridCol w:w="9637"/>
      </w:tblGrid>
      <w:tr w:rsidR="00304E8A" w:rsidRPr="00FC0759" w:rsidTr="00350318">
        <w:trPr>
          <w:jc w:val="center"/>
        </w:trPr>
        <w:tc>
          <w:tcPr>
            <w:tcW w:w="9637" w:type="dxa"/>
            <w:vAlign w:val="center"/>
          </w:tcPr>
          <w:p w:rsidR="00304E8A" w:rsidRPr="00FC0759" w:rsidRDefault="00304E8A" w:rsidP="00350318">
            <w:pPr>
              <w:autoSpaceDE w:val="0"/>
              <w:autoSpaceDN w:val="0"/>
              <w:adjustRightInd w:val="0"/>
              <w:ind w:firstLine="1126"/>
              <w:jc w:val="center"/>
              <w:rPr>
                <w:sz w:val="24"/>
              </w:rPr>
            </w:pPr>
            <w:r w:rsidRPr="00FC0759">
              <w:rPr>
                <w:color w:val="000000"/>
                <w:sz w:val="24"/>
              </w:rPr>
              <w:t>产品特有风险</w:t>
            </w:r>
          </w:p>
        </w:tc>
      </w:tr>
      <w:tr w:rsidR="00304E8A" w:rsidRPr="00FC0759" w:rsidTr="00350318">
        <w:trPr>
          <w:jc w:val="center"/>
        </w:trPr>
        <w:tc>
          <w:tcPr>
            <w:tcW w:w="9637" w:type="dxa"/>
            <w:vAlign w:val="center"/>
          </w:tcPr>
          <w:p w:rsidR="003A6773" w:rsidRDefault="00C26A76">
            <w:pPr>
              <w:autoSpaceDE w:val="0"/>
              <w:autoSpaceDN w:val="0"/>
              <w:adjustRightInd w:val="0"/>
              <w:jc w:val="left"/>
              <w:rPr>
                <w:sz w:val="24"/>
              </w:rPr>
            </w:pPr>
            <w:r>
              <w:rPr>
                <w:sz w:val="24"/>
              </w:rPr>
              <w:t>投资者应关注本基金单一投资者持有份额比例过高时，可能出现以下风险：</w:t>
            </w:r>
          </w:p>
          <w:p w:rsidR="003A6773" w:rsidRDefault="00C26A76">
            <w:pPr>
              <w:autoSpaceDE w:val="0"/>
              <w:autoSpaceDN w:val="0"/>
              <w:adjustRightInd w:val="0"/>
              <w:jc w:val="left"/>
              <w:rPr>
                <w:sz w:val="24"/>
              </w:rPr>
            </w:pPr>
            <w:r>
              <w:rPr>
                <w:sz w:val="24"/>
              </w:rPr>
              <w:t>1</w:t>
            </w:r>
            <w:r>
              <w:rPr>
                <w:sz w:val="24"/>
              </w:rPr>
              <w:t>、赎回申请延期办理的风险</w:t>
            </w:r>
          </w:p>
          <w:p w:rsidR="003A6773" w:rsidRDefault="00C26A76">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3A6773" w:rsidRDefault="00C26A76">
            <w:pPr>
              <w:autoSpaceDE w:val="0"/>
              <w:autoSpaceDN w:val="0"/>
              <w:adjustRightInd w:val="0"/>
              <w:jc w:val="left"/>
              <w:rPr>
                <w:sz w:val="24"/>
              </w:rPr>
            </w:pPr>
            <w:r>
              <w:rPr>
                <w:sz w:val="24"/>
              </w:rPr>
              <w:t>2</w:t>
            </w:r>
            <w:r>
              <w:rPr>
                <w:sz w:val="24"/>
              </w:rPr>
              <w:t>、基金净值大幅波动的风险</w:t>
            </w:r>
          </w:p>
          <w:p w:rsidR="003A6773" w:rsidRDefault="00C26A76">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3A6773" w:rsidRDefault="00C26A76">
            <w:pPr>
              <w:autoSpaceDE w:val="0"/>
              <w:autoSpaceDN w:val="0"/>
              <w:adjustRightInd w:val="0"/>
              <w:jc w:val="left"/>
              <w:rPr>
                <w:sz w:val="24"/>
              </w:rPr>
            </w:pPr>
            <w:r>
              <w:rPr>
                <w:sz w:val="24"/>
              </w:rPr>
              <w:t>3</w:t>
            </w:r>
            <w:r>
              <w:rPr>
                <w:sz w:val="24"/>
              </w:rPr>
              <w:t>、基金投资策略难以实现的风险</w:t>
            </w:r>
          </w:p>
          <w:p w:rsidR="003A6773" w:rsidRDefault="00C26A76">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3A6773" w:rsidRDefault="00C26A76">
            <w:pPr>
              <w:autoSpaceDE w:val="0"/>
              <w:autoSpaceDN w:val="0"/>
              <w:adjustRightInd w:val="0"/>
              <w:jc w:val="left"/>
              <w:rPr>
                <w:sz w:val="24"/>
              </w:rPr>
            </w:pPr>
            <w:r>
              <w:rPr>
                <w:sz w:val="24"/>
              </w:rPr>
              <w:t>4</w:t>
            </w:r>
            <w:r>
              <w:rPr>
                <w:sz w:val="24"/>
              </w:rPr>
              <w:t>、基金财产清算（或转型）的风险</w:t>
            </w:r>
          </w:p>
          <w:p w:rsidR="003A6773" w:rsidRDefault="00C26A76">
            <w:pPr>
              <w:autoSpaceDE w:val="0"/>
              <w:autoSpaceDN w:val="0"/>
              <w:adjustRightInd w:val="0"/>
              <w:jc w:val="left"/>
              <w:rPr>
                <w:sz w:val="24"/>
              </w:rPr>
            </w:pPr>
            <w:r>
              <w:rPr>
                <w:sz w:val="24"/>
              </w:rPr>
              <w:t>根据本基金基金合同的约定，基金合同生效后的存续期内，若连续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3A6773" w:rsidRDefault="00C26A76">
            <w:pPr>
              <w:autoSpaceDE w:val="0"/>
              <w:autoSpaceDN w:val="0"/>
              <w:adjustRightInd w:val="0"/>
              <w:jc w:val="left"/>
              <w:rPr>
                <w:sz w:val="24"/>
              </w:rPr>
            </w:pPr>
            <w:r>
              <w:rPr>
                <w:sz w:val="24"/>
              </w:rPr>
              <w:t>5</w:t>
            </w:r>
            <w:r>
              <w:rPr>
                <w:sz w:val="24"/>
              </w:rPr>
              <w:t>、召开基金份额持有人大会及表决时可能存在的风险</w:t>
            </w:r>
          </w:p>
          <w:p w:rsidR="00304E8A" w:rsidRPr="00FC0759" w:rsidRDefault="00304E8A" w:rsidP="00A64721">
            <w:pPr>
              <w:autoSpaceDE w:val="0"/>
              <w:autoSpaceDN w:val="0"/>
              <w:adjustRightInd w:val="0"/>
              <w:jc w:val="left"/>
              <w:rPr>
                <w:sz w:val="24"/>
              </w:rPr>
            </w:pPr>
            <w:r w:rsidRPr="00FC0759">
              <w:rPr>
                <w:sz w:val="24"/>
              </w:rPr>
              <w:t>由于单一机构投资者所持有的基金份额占比较高，在召开持有人大会并对重大事项进行投票表决时，单一机构投资者将拥有高的投票权重。</w:t>
            </w:r>
          </w:p>
        </w:tc>
      </w:tr>
    </w:tbl>
    <w:p w:rsidR="00304E8A" w:rsidRPr="00FC0759" w:rsidRDefault="00304E8A" w:rsidP="00304E8A">
      <w:pPr>
        <w:autoSpaceDE w:val="0"/>
        <w:autoSpaceDN w:val="0"/>
        <w:adjustRightInd w:val="0"/>
        <w:spacing w:line="360" w:lineRule="auto"/>
        <w:ind w:firstLineChars="200" w:firstLine="480"/>
        <w:jc w:val="left"/>
        <w:rPr>
          <w:rFonts w:eastAsiaTheme="minorEastAsia"/>
          <w:bCs/>
          <w:color w:val="000000" w:themeColor="text1"/>
          <w:kern w:val="0"/>
          <w:sz w:val="24"/>
        </w:rPr>
      </w:pPr>
      <w:r w:rsidRPr="00FC0759">
        <w:rPr>
          <w:bCs/>
          <w:color w:val="000000" w:themeColor="text1"/>
          <w:kern w:val="0"/>
          <w:sz w:val="24"/>
        </w:rPr>
        <w:t>注：本基金本报告期无单一投资者持有基金份额比例达到或超过</w:t>
      </w:r>
      <w:r w:rsidRPr="00FC0759">
        <w:rPr>
          <w:bCs/>
          <w:color w:val="000000" w:themeColor="text1"/>
          <w:kern w:val="0"/>
          <w:sz w:val="24"/>
        </w:rPr>
        <w:t>20%</w:t>
      </w:r>
      <w:r w:rsidRPr="00FC0759">
        <w:rPr>
          <w:bCs/>
          <w:color w:val="000000" w:themeColor="text1"/>
          <w:kern w:val="0"/>
          <w:sz w:val="24"/>
        </w:rPr>
        <w:t>的情况。</w:t>
      </w:r>
    </w:p>
    <w:p w:rsidR="00304E8A" w:rsidRPr="002F6268" w:rsidRDefault="00304E8A" w:rsidP="00304E8A">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8.2 </w:t>
      </w:r>
      <w:r w:rsidRPr="002F6268">
        <w:rPr>
          <w:rFonts w:eastAsiaTheme="minorEastAsia"/>
          <w:b/>
          <w:bCs/>
          <w:color w:val="000000" w:themeColor="text1"/>
          <w:kern w:val="0"/>
          <w:sz w:val="24"/>
        </w:rPr>
        <w:t>影响投资者决策的其他重要信息</w:t>
      </w:r>
    </w:p>
    <w:p w:rsidR="00220542" w:rsidRPr="00991236" w:rsidRDefault="00304E8A" w:rsidP="00304E8A">
      <w:pPr>
        <w:spacing w:line="360" w:lineRule="auto"/>
        <w:ind w:firstLineChars="200" w:firstLine="480"/>
        <w:rPr>
          <w:rFonts w:eastAsiaTheme="minorEastAsia"/>
          <w:color w:val="000000" w:themeColor="text1"/>
          <w:sz w:val="24"/>
        </w:rPr>
      </w:pPr>
      <w:r w:rsidRPr="00FC0759">
        <w:rPr>
          <w:rFonts w:eastAsiaTheme="minorEastAsia"/>
          <w:color w:val="000000" w:themeColor="text1"/>
          <w:sz w:val="24"/>
        </w:rPr>
        <w:t>报告期内本基金无其他重大事项。</w:t>
      </w:r>
    </w:p>
    <w:p w:rsidR="00220542" w:rsidRPr="00991236" w:rsidRDefault="00220542" w:rsidP="005E22CC">
      <w:pPr>
        <w:pStyle w:val="1"/>
        <w:spacing w:beforeLines="100" w:afterLines="100" w:line="360" w:lineRule="auto"/>
        <w:jc w:val="center"/>
        <w:rPr>
          <w:rFonts w:eastAsiaTheme="minorEastAsia"/>
          <w:color w:val="000000" w:themeColor="text1"/>
          <w:kern w:val="0"/>
          <w:sz w:val="24"/>
          <w:szCs w:val="24"/>
        </w:rPr>
      </w:pPr>
      <w:r w:rsidRPr="00991236">
        <w:rPr>
          <w:rFonts w:eastAsiaTheme="minorEastAsia"/>
          <w:color w:val="000000" w:themeColor="text1"/>
          <w:kern w:val="0"/>
          <w:sz w:val="24"/>
          <w:szCs w:val="24"/>
        </w:rPr>
        <w:t>§</w:t>
      </w:r>
      <w:r w:rsidR="00122A26" w:rsidRPr="00991236">
        <w:rPr>
          <w:rFonts w:eastAsiaTheme="minorEastAsia"/>
          <w:color w:val="000000" w:themeColor="text1"/>
          <w:kern w:val="0"/>
          <w:sz w:val="24"/>
          <w:szCs w:val="24"/>
        </w:rPr>
        <w:t>9</w:t>
      </w:r>
      <w:r w:rsidRPr="00991236">
        <w:rPr>
          <w:rFonts w:eastAsiaTheme="minorEastAsia"/>
          <w:color w:val="000000" w:themeColor="text1"/>
          <w:kern w:val="0"/>
          <w:sz w:val="24"/>
          <w:szCs w:val="24"/>
        </w:rPr>
        <w:t>备查文件目录</w:t>
      </w:r>
    </w:p>
    <w:p w:rsidR="00220542" w:rsidRPr="00991236" w:rsidRDefault="00122A26" w:rsidP="009A037F">
      <w:pPr>
        <w:spacing w:line="360" w:lineRule="auto"/>
        <w:rPr>
          <w:rFonts w:eastAsiaTheme="minorEastAsia"/>
          <w:b/>
          <w:color w:val="000000" w:themeColor="text1"/>
          <w:sz w:val="24"/>
        </w:rPr>
      </w:pPr>
      <w:r w:rsidRPr="00991236">
        <w:rPr>
          <w:rFonts w:eastAsiaTheme="minorEastAsia"/>
          <w:b/>
          <w:color w:val="000000" w:themeColor="text1"/>
          <w:sz w:val="24"/>
        </w:rPr>
        <w:t>9</w:t>
      </w:r>
      <w:r w:rsidR="00220542" w:rsidRPr="00991236">
        <w:rPr>
          <w:rFonts w:eastAsiaTheme="minorEastAsia"/>
          <w:b/>
          <w:color w:val="000000" w:themeColor="text1"/>
          <w:sz w:val="24"/>
        </w:rPr>
        <w:t>.</w:t>
      </w:r>
      <w:r w:rsidR="00504432" w:rsidRPr="00991236">
        <w:rPr>
          <w:rFonts w:eastAsiaTheme="minorEastAsia"/>
          <w:b/>
          <w:color w:val="000000" w:themeColor="text1"/>
          <w:sz w:val="24"/>
        </w:rPr>
        <w:t>1</w:t>
      </w:r>
      <w:r w:rsidR="00220542" w:rsidRPr="00991236">
        <w:rPr>
          <w:rFonts w:eastAsiaTheme="minorEastAsia"/>
          <w:b/>
          <w:color w:val="000000" w:themeColor="text1"/>
          <w:sz w:val="24"/>
        </w:rPr>
        <w:t>备查文件目录</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《关于核准国投瑞银中证下游消费与服务产业指数证券投资基金（</w:t>
      </w:r>
      <w:r>
        <w:rPr>
          <w:rFonts w:eastAsiaTheme="minorEastAsia"/>
          <w:color w:val="000000" w:themeColor="text1"/>
          <w:sz w:val="24"/>
        </w:rPr>
        <w:t>LOF</w:t>
      </w:r>
      <w:r>
        <w:rPr>
          <w:rFonts w:eastAsiaTheme="minorEastAsia"/>
          <w:color w:val="000000" w:themeColor="text1"/>
          <w:sz w:val="24"/>
        </w:rPr>
        <w:t>）募集的批复》（证监许可</w:t>
      </w:r>
      <w:r>
        <w:rPr>
          <w:rFonts w:eastAsiaTheme="minorEastAsia"/>
          <w:color w:val="000000" w:themeColor="text1"/>
          <w:sz w:val="24"/>
        </w:rPr>
        <w:t>[2010]1279</w:t>
      </w:r>
      <w:r>
        <w:rPr>
          <w:rFonts w:eastAsiaTheme="minorEastAsia"/>
          <w:color w:val="000000" w:themeColor="text1"/>
          <w:sz w:val="24"/>
        </w:rPr>
        <w:t>号）</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《关于国投瑞银中证下游消费与服务产业指数证券投资基金（</w:t>
      </w:r>
      <w:r>
        <w:rPr>
          <w:rFonts w:eastAsiaTheme="minorEastAsia"/>
          <w:color w:val="000000" w:themeColor="text1"/>
          <w:sz w:val="24"/>
        </w:rPr>
        <w:t>LOF</w:t>
      </w:r>
      <w:r>
        <w:rPr>
          <w:rFonts w:eastAsiaTheme="minorEastAsia"/>
          <w:color w:val="000000" w:themeColor="text1"/>
          <w:sz w:val="24"/>
        </w:rPr>
        <w:t>）备案确认的函》（基金部函</w:t>
      </w:r>
      <w:r>
        <w:rPr>
          <w:rFonts w:eastAsiaTheme="minorEastAsia"/>
          <w:color w:val="000000" w:themeColor="text1"/>
          <w:sz w:val="24"/>
        </w:rPr>
        <w:t>[2010]758</w:t>
      </w:r>
      <w:r>
        <w:rPr>
          <w:rFonts w:eastAsiaTheme="minorEastAsia"/>
          <w:color w:val="000000" w:themeColor="text1"/>
          <w:sz w:val="24"/>
        </w:rPr>
        <w:t>号）</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《国投瑞银中证下游消费与服务产业指数证券投资基金（</w:t>
      </w:r>
      <w:r>
        <w:rPr>
          <w:rFonts w:eastAsiaTheme="minorEastAsia"/>
          <w:color w:val="000000" w:themeColor="text1"/>
          <w:sz w:val="24"/>
        </w:rPr>
        <w:t>LOF</w:t>
      </w:r>
      <w:r>
        <w:rPr>
          <w:rFonts w:eastAsiaTheme="minorEastAsia"/>
          <w:color w:val="000000" w:themeColor="text1"/>
          <w:sz w:val="24"/>
        </w:rPr>
        <w:t>）基金合同》</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《国投瑞银中证下游消费与服务产业指数证券投资基金（</w:t>
      </w:r>
      <w:r>
        <w:rPr>
          <w:rFonts w:eastAsiaTheme="minorEastAsia"/>
          <w:color w:val="000000" w:themeColor="text1"/>
          <w:sz w:val="24"/>
        </w:rPr>
        <w:t>LOF</w:t>
      </w:r>
      <w:r>
        <w:rPr>
          <w:rFonts w:eastAsiaTheme="minorEastAsia"/>
          <w:color w:val="000000" w:themeColor="text1"/>
          <w:sz w:val="24"/>
        </w:rPr>
        <w:t>）托管协议》</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国投瑞银基金管理有限公司营业执照、公司章程及基金管理人业务资格批件</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本报告期内在中国证监会指定信息披露报刊上披露的信息公告原文</w:t>
      </w:r>
    </w:p>
    <w:p w:rsidR="00220542" w:rsidRPr="00991236" w:rsidRDefault="007C1A93"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国投瑞银中证下游消费与服务产业指数证券投资基金（</w:t>
      </w:r>
      <w:r w:rsidRPr="00991236">
        <w:rPr>
          <w:rFonts w:eastAsiaTheme="minorEastAsia"/>
          <w:color w:val="000000" w:themeColor="text1"/>
          <w:sz w:val="24"/>
        </w:rPr>
        <w:t>LOF</w:t>
      </w:r>
      <w:r w:rsidRPr="00991236">
        <w:rPr>
          <w:rFonts w:eastAsiaTheme="minorEastAsia"/>
          <w:color w:val="000000" w:themeColor="text1"/>
          <w:sz w:val="24"/>
        </w:rPr>
        <w:t>）</w:t>
      </w:r>
      <w:r w:rsidRPr="00991236">
        <w:rPr>
          <w:rFonts w:eastAsiaTheme="minorEastAsia"/>
          <w:color w:val="000000" w:themeColor="text1"/>
          <w:sz w:val="24"/>
        </w:rPr>
        <w:t>2019</w:t>
      </w:r>
      <w:r w:rsidRPr="00991236">
        <w:rPr>
          <w:rFonts w:eastAsiaTheme="minorEastAsia"/>
          <w:color w:val="000000" w:themeColor="text1"/>
          <w:sz w:val="24"/>
        </w:rPr>
        <w:t>年第</w:t>
      </w:r>
      <w:r w:rsidRPr="00991236">
        <w:rPr>
          <w:rFonts w:eastAsiaTheme="minorEastAsia"/>
          <w:color w:val="000000" w:themeColor="text1"/>
          <w:sz w:val="24"/>
        </w:rPr>
        <w:t>1</w:t>
      </w:r>
      <w:r w:rsidRPr="00991236">
        <w:rPr>
          <w:rFonts w:eastAsiaTheme="minorEastAsia"/>
          <w:color w:val="000000" w:themeColor="text1"/>
          <w:sz w:val="24"/>
        </w:rPr>
        <w:t>季度报告原文</w:t>
      </w:r>
    </w:p>
    <w:p w:rsidR="00220542" w:rsidRPr="00991236" w:rsidRDefault="00220542" w:rsidP="009A037F">
      <w:pPr>
        <w:spacing w:line="360" w:lineRule="auto"/>
        <w:ind w:firstLineChars="200" w:firstLine="480"/>
        <w:rPr>
          <w:rFonts w:eastAsiaTheme="minorEastAsia"/>
          <w:color w:val="000000" w:themeColor="text1"/>
          <w:sz w:val="24"/>
        </w:rPr>
      </w:pPr>
    </w:p>
    <w:p w:rsidR="00220542" w:rsidRPr="00991236" w:rsidRDefault="00122A26" w:rsidP="009A037F">
      <w:pPr>
        <w:spacing w:line="360" w:lineRule="auto"/>
        <w:rPr>
          <w:rFonts w:eastAsiaTheme="minorEastAsia"/>
          <w:b/>
          <w:color w:val="000000" w:themeColor="text1"/>
          <w:sz w:val="24"/>
        </w:rPr>
      </w:pPr>
      <w:r w:rsidRPr="00991236">
        <w:rPr>
          <w:rFonts w:eastAsiaTheme="minorEastAsia"/>
          <w:b/>
          <w:color w:val="000000" w:themeColor="text1"/>
          <w:sz w:val="24"/>
        </w:rPr>
        <w:t>9</w:t>
      </w:r>
      <w:r w:rsidR="00220542" w:rsidRPr="00991236">
        <w:rPr>
          <w:rFonts w:eastAsiaTheme="minorEastAsia"/>
          <w:b/>
          <w:color w:val="000000" w:themeColor="text1"/>
          <w:sz w:val="24"/>
        </w:rPr>
        <w:t>.</w:t>
      </w:r>
      <w:r w:rsidR="00504432" w:rsidRPr="00991236">
        <w:rPr>
          <w:rFonts w:eastAsiaTheme="minorEastAsia"/>
          <w:b/>
          <w:color w:val="000000" w:themeColor="text1"/>
          <w:sz w:val="24"/>
        </w:rPr>
        <w:t>2</w:t>
      </w:r>
      <w:r w:rsidR="00220542" w:rsidRPr="00991236">
        <w:rPr>
          <w:rFonts w:eastAsiaTheme="minorEastAsia"/>
          <w:b/>
          <w:color w:val="000000" w:themeColor="text1"/>
          <w:sz w:val="24"/>
        </w:rPr>
        <w:t>存放地点</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中国广东省深圳市福田区金田路</w:t>
      </w:r>
      <w:r>
        <w:rPr>
          <w:rFonts w:eastAsiaTheme="minorEastAsia"/>
          <w:color w:val="000000" w:themeColor="text1"/>
          <w:sz w:val="24"/>
        </w:rPr>
        <w:t>4028</w:t>
      </w:r>
      <w:r>
        <w:rPr>
          <w:rFonts w:eastAsiaTheme="minorEastAsia"/>
          <w:color w:val="000000" w:themeColor="text1"/>
          <w:sz w:val="24"/>
        </w:rPr>
        <w:t>号荣超经贸中心</w:t>
      </w:r>
      <w:r>
        <w:rPr>
          <w:rFonts w:eastAsiaTheme="minorEastAsia"/>
          <w:color w:val="000000" w:themeColor="text1"/>
          <w:sz w:val="24"/>
        </w:rPr>
        <w:t>46</w:t>
      </w:r>
      <w:r>
        <w:rPr>
          <w:rFonts w:eastAsiaTheme="minorEastAsia"/>
          <w:color w:val="000000" w:themeColor="text1"/>
          <w:sz w:val="24"/>
        </w:rPr>
        <w:t>层</w:t>
      </w:r>
    </w:p>
    <w:p w:rsidR="00220542" w:rsidRPr="00991236" w:rsidRDefault="007C1A93"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存放网址：</w:t>
      </w:r>
      <w:r w:rsidRPr="00991236">
        <w:rPr>
          <w:rFonts w:eastAsiaTheme="minorEastAsia"/>
          <w:color w:val="000000" w:themeColor="text1"/>
          <w:sz w:val="24"/>
        </w:rPr>
        <w:t>http://www.ubssdic.com</w:t>
      </w:r>
    </w:p>
    <w:p w:rsidR="00220542" w:rsidRPr="00991236" w:rsidRDefault="00220542" w:rsidP="009A037F">
      <w:pPr>
        <w:spacing w:line="360" w:lineRule="auto"/>
        <w:ind w:firstLineChars="200" w:firstLine="480"/>
        <w:rPr>
          <w:rFonts w:eastAsiaTheme="minorEastAsia"/>
          <w:color w:val="000000" w:themeColor="text1"/>
          <w:sz w:val="24"/>
        </w:rPr>
      </w:pPr>
    </w:p>
    <w:p w:rsidR="00220542" w:rsidRPr="00991236" w:rsidRDefault="00122A26" w:rsidP="009A037F">
      <w:pPr>
        <w:spacing w:line="360" w:lineRule="auto"/>
        <w:rPr>
          <w:rFonts w:eastAsiaTheme="minorEastAsia"/>
          <w:b/>
          <w:color w:val="000000" w:themeColor="text1"/>
          <w:sz w:val="24"/>
        </w:rPr>
      </w:pPr>
      <w:r w:rsidRPr="00991236">
        <w:rPr>
          <w:rFonts w:eastAsiaTheme="minorEastAsia"/>
          <w:b/>
          <w:color w:val="000000" w:themeColor="text1"/>
          <w:sz w:val="24"/>
        </w:rPr>
        <w:t>9</w:t>
      </w:r>
      <w:r w:rsidR="00220542" w:rsidRPr="00991236">
        <w:rPr>
          <w:rFonts w:eastAsiaTheme="minorEastAsia"/>
          <w:b/>
          <w:color w:val="000000" w:themeColor="text1"/>
          <w:sz w:val="24"/>
        </w:rPr>
        <w:t>.</w:t>
      </w:r>
      <w:r w:rsidR="00504432" w:rsidRPr="00991236">
        <w:rPr>
          <w:rFonts w:eastAsiaTheme="minorEastAsia"/>
          <w:b/>
          <w:color w:val="000000" w:themeColor="text1"/>
          <w:sz w:val="24"/>
        </w:rPr>
        <w:t>3</w:t>
      </w:r>
      <w:r w:rsidR="00220542" w:rsidRPr="00991236">
        <w:rPr>
          <w:rFonts w:eastAsiaTheme="minorEastAsia"/>
          <w:b/>
          <w:color w:val="000000" w:themeColor="text1"/>
          <w:sz w:val="24"/>
        </w:rPr>
        <w:t>查阅方式</w:t>
      </w:r>
    </w:p>
    <w:p w:rsidR="003A6773" w:rsidRDefault="00C26A76">
      <w:pPr>
        <w:spacing w:line="360" w:lineRule="auto"/>
        <w:ind w:firstLineChars="200" w:firstLine="480"/>
        <w:rPr>
          <w:rFonts w:eastAsiaTheme="minorEastAsia"/>
          <w:color w:val="000000" w:themeColor="text1"/>
          <w:sz w:val="24"/>
        </w:rPr>
      </w:pPr>
      <w:r>
        <w:rPr>
          <w:rFonts w:eastAsiaTheme="minorEastAsia"/>
          <w:color w:val="000000" w:themeColor="text1"/>
          <w:sz w:val="24"/>
        </w:rPr>
        <w:t>投资者可在营业时间免费查阅，也可按工本费购买复印件</w:t>
      </w:r>
    </w:p>
    <w:p w:rsidR="00220542" w:rsidRPr="00991236" w:rsidRDefault="007C1A93" w:rsidP="002C360B">
      <w:pPr>
        <w:spacing w:line="360" w:lineRule="auto"/>
        <w:ind w:firstLineChars="200" w:firstLine="480"/>
        <w:rPr>
          <w:rFonts w:eastAsiaTheme="minorEastAsia"/>
          <w:color w:val="000000" w:themeColor="text1"/>
          <w:sz w:val="24"/>
        </w:rPr>
      </w:pPr>
      <w:r w:rsidRPr="00991236">
        <w:rPr>
          <w:rFonts w:eastAsiaTheme="minorEastAsia"/>
          <w:color w:val="000000" w:themeColor="text1"/>
          <w:sz w:val="24"/>
        </w:rPr>
        <w:t>咨询电话：</w:t>
      </w:r>
      <w:r w:rsidRPr="00991236">
        <w:rPr>
          <w:rFonts w:eastAsiaTheme="minorEastAsia"/>
          <w:color w:val="000000" w:themeColor="text1"/>
          <w:sz w:val="24"/>
        </w:rPr>
        <w:t>400-880-6868</w:t>
      </w:r>
    </w:p>
    <w:p w:rsidR="00220542" w:rsidRPr="00991236" w:rsidRDefault="00220542" w:rsidP="0019563C">
      <w:pPr>
        <w:spacing w:line="360" w:lineRule="auto"/>
        <w:ind w:left="840"/>
        <w:jc w:val="right"/>
        <w:rPr>
          <w:rFonts w:eastAsiaTheme="minorEastAsia"/>
          <w:color w:val="000000" w:themeColor="text1"/>
          <w:sz w:val="24"/>
        </w:rPr>
      </w:pPr>
    </w:p>
    <w:p w:rsidR="009A037F" w:rsidRPr="00991236" w:rsidRDefault="009A037F" w:rsidP="0019563C">
      <w:pPr>
        <w:spacing w:line="360" w:lineRule="auto"/>
        <w:ind w:left="840"/>
        <w:jc w:val="right"/>
        <w:rPr>
          <w:rFonts w:eastAsiaTheme="minorEastAsia"/>
          <w:color w:val="000000" w:themeColor="text1"/>
          <w:sz w:val="24"/>
        </w:rPr>
      </w:pPr>
    </w:p>
    <w:p w:rsidR="009A037F" w:rsidRPr="00991236" w:rsidRDefault="009A037F" w:rsidP="0019563C">
      <w:pPr>
        <w:spacing w:line="360" w:lineRule="auto"/>
        <w:ind w:left="840"/>
        <w:jc w:val="right"/>
        <w:rPr>
          <w:rFonts w:eastAsiaTheme="minorEastAsia"/>
          <w:color w:val="000000" w:themeColor="text1"/>
          <w:sz w:val="24"/>
        </w:rPr>
      </w:pPr>
    </w:p>
    <w:p w:rsidR="009A037F" w:rsidRPr="00991236" w:rsidRDefault="009A037F" w:rsidP="0019563C">
      <w:pPr>
        <w:spacing w:line="360" w:lineRule="auto"/>
        <w:ind w:left="840"/>
        <w:jc w:val="right"/>
        <w:rPr>
          <w:rFonts w:eastAsiaTheme="minorEastAsia"/>
          <w:color w:val="000000" w:themeColor="text1"/>
          <w:sz w:val="24"/>
        </w:rPr>
      </w:pPr>
    </w:p>
    <w:p w:rsidR="00220542" w:rsidRPr="00991236" w:rsidRDefault="00220542" w:rsidP="0019563C">
      <w:pPr>
        <w:spacing w:line="360" w:lineRule="auto"/>
        <w:ind w:left="840"/>
        <w:jc w:val="right"/>
        <w:rPr>
          <w:rFonts w:eastAsiaTheme="minorEastAsia"/>
          <w:color w:val="000000" w:themeColor="text1"/>
          <w:sz w:val="24"/>
        </w:rPr>
      </w:pPr>
    </w:p>
    <w:p w:rsidR="007C1A93" w:rsidRPr="00991236" w:rsidRDefault="007C1A93" w:rsidP="009A037F">
      <w:pPr>
        <w:spacing w:line="360" w:lineRule="auto"/>
        <w:jc w:val="right"/>
        <w:rPr>
          <w:rFonts w:eastAsiaTheme="minorEastAsia"/>
          <w:b/>
          <w:bCs/>
          <w:color w:val="000000" w:themeColor="text1"/>
          <w:sz w:val="24"/>
        </w:rPr>
      </w:pPr>
      <w:r w:rsidRPr="00991236">
        <w:rPr>
          <w:rFonts w:eastAsiaTheme="minorEastAsia"/>
          <w:b/>
          <w:bCs/>
          <w:color w:val="000000" w:themeColor="text1"/>
          <w:sz w:val="24"/>
        </w:rPr>
        <w:t>国投瑞银基金管理有限公司</w:t>
      </w:r>
    </w:p>
    <w:p w:rsidR="00220542" w:rsidRPr="00991236" w:rsidRDefault="005C0A04" w:rsidP="009A037F">
      <w:pPr>
        <w:spacing w:line="360" w:lineRule="auto"/>
        <w:jc w:val="right"/>
        <w:rPr>
          <w:rFonts w:eastAsiaTheme="minorEastAsia"/>
          <w:b/>
          <w:bCs/>
          <w:color w:val="000000" w:themeColor="text1"/>
          <w:sz w:val="24"/>
        </w:rPr>
      </w:pPr>
      <w:r w:rsidRPr="00991236">
        <w:rPr>
          <w:rFonts w:eastAsiaTheme="minorEastAsia"/>
          <w:b/>
          <w:bCs/>
          <w:color w:val="000000" w:themeColor="text1"/>
          <w:sz w:val="24"/>
        </w:rPr>
        <w:t>二〇一九年四月二十二日</w:t>
      </w:r>
    </w:p>
    <w:p w:rsidR="009B1B32" w:rsidRPr="00991236" w:rsidRDefault="009B1B32" w:rsidP="005C0A04">
      <w:pPr>
        <w:spacing w:line="360" w:lineRule="auto"/>
        <w:ind w:firstLineChars="900" w:firstLine="2168"/>
        <w:rPr>
          <w:rFonts w:eastAsiaTheme="minorEastAsia"/>
          <w:b/>
          <w:color w:val="000000" w:themeColor="text1"/>
          <w:sz w:val="24"/>
        </w:rPr>
      </w:pPr>
    </w:p>
    <w:sectPr w:rsidR="009B1B32" w:rsidRPr="00991236" w:rsidSect="00DB4450">
      <w:footerReference w:type="even" r:id="rId1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3C" w:rsidRDefault="00A3613C">
      <w:r>
        <w:separator/>
      </w:r>
    </w:p>
  </w:endnote>
  <w:endnote w:type="continuationSeparator" w:id="1">
    <w:p w:rsidR="00A3613C" w:rsidRDefault="00A36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92" w:rsidRPr="00811004" w:rsidRDefault="00811004" w:rsidP="00811004">
    <w:pPr>
      <w:pStyle w:val="a6"/>
      <w:jc w:val="center"/>
      <w:rPr>
        <w:rFonts w:eastAsiaTheme="minorEastAsia"/>
        <w:sz w:val="21"/>
        <w:szCs w:val="21"/>
      </w:rPr>
    </w:pPr>
    <w:r>
      <w:rPr>
        <w:rFonts w:eastAsiaTheme="minorEastAsia" w:hint="eastAsia"/>
        <w:kern w:val="0"/>
        <w:sz w:val="21"/>
        <w:szCs w:val="21"/>
      </w:rPr>
      <w:t>第</w:t>
    </w:r>
    <w:r w:rsidR="00BD6127">
      <w:rPr>
        <w:rFonts w:eastAsiaTheme="minorEastAsia"/>
        <w:kern w:val="0"/>
        <w:sz w:val="21"/>
        <w:szCs w:val="21"/>
      </w:rPr>
      <w:fldChar w:fldCharType="begin"/>
    </w:r>
    <w:r>
      <w:rPr>
        <w:rFonts w:eastAsiaTheme="minorEastAsia"/>
        <w:kern w:val="0"/>
        <w:sz w:val="21"/>
        <w:szCs w:val="21"/>
      </w:rPr>
      <w:instrText xml:space="preserve"> PAGE </w:instrText>
    </w:r>
    <w:r w:rsidR="00BD6127">
      <w:rPr>
        <w:rFonts w:eastAsiaTheme="minorEastAsia"/>
        <w:kern w:val="0"/>
        <w:sz w:val="21"/>
        <w:szCs w:val="21"/>
      </w:rPr>
      <w:fldChar w:fldCharType="separate"/>
    </w:r>
    <w:r w:rsidR="005E22CC">
      <w:rPr>
        <w:rFonts w:eastAsiaTheme="minorEastAsia"/>
        <w:noProof/>
        <w:kern w:val="0"/>
        <w:sz w:val="21"/>
        <w:szCs w:val="21"/>
      </w:rPr>
      <w:t>1</w:t>
    </w:r>
    <w:r w:rsidR="00BD6127">
      <w:rPr>
        <w:rFonts w:eastAsiaTheme="minorEastAsia"/>
        <w:kern w:val="0"/>
        <w:sz w:val="21"/>
        <w:szCs w:val="21"/>
      </w:rPr>
      <w:fldChar w:fldCharType="end"/>
    </w:r>
    <w:r>
      <w:rPr>
        <w:rFonts w:eastAsiaTheme="minorEastAsia" w:hint="eastAsia"/>
        <w:kern w:val="0"/>
        <w:sz w:val="21"/>
        <w:szCs w:val="21"/>
      </w:rPr>
      <w:t>页，共</w:t>
    </w:r>
    <w:r w:rsidR="00BD6127">
      <w:rPr>
        <w:rFonts w:eastAsiaTheme="minorEastAsia"/>
        <w:kern w:val="0"/>
        <w:sz w:val="21"/>
        <w:szCs w:val="21"/>
      </w:rPr>
      <w:fldChar w:fldCharType="begin"/>
    </w:r>
    <w:r>
      <w:rPr>
        <w:rFonts w:eastAsiaTheme="minorEastAsia"/>
        <w:kern w:val="0"/>
        <w:sz w:val="21"/>
        <w:szCs w:val="21"/>
      </w:rPr>
      <w:instrText xml:space="preserve"> NUMPAGES </w:instrText>
    </w:r>
    <w:r w:rsidR="00BD6127">
      <w:rPr>
        <w:rFonts w:eastAsiaTheme="minorEastAsia"/>
        <w:kern w:val="0"/>
        <w:sz w:val="21"/>
        <w:szCs w:val="21"/>
      </w:rPr>
      <w:fldChar w:fldCharType="separate"/>
    </w:r>
    <w:r w:rsidR="005E22CC">
      <w:rPr>
        <w:rFonts w:eastAsiaTheme="minorEastAsia"/>
        <w:noProof/>
        <w:kern w:val="0"/>
        <w:sz w:val="21"/>
        <w:szCs w:val="21"/>
      </w:rPr>
      <w:t>3</w:t>
    </w:r>
    <w:r w:rsidR="00BD6127">
      <w:rPr>
        <w:rFonts w:eastAsiaTheme="minorEastAsia"/>
        <w:kern w:val="0"/>
        <w:sz w:val="21"/>
        <w:szCs w:val="21"/>
      </w:rPr>
      <w:fldChar w:fldCharType="end"/>
    </w:r>
    <w:r>
      <w:rPr>
        <w:rFonts w:eastAsiaTheme="minorEastAsia" w:hint="eastAsia"/>
        <w:kern w:val="0"/>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92" w:rsidRDefault="00BD6127">
    <w:pPr>
      <w:pStyle w:val="a6"/>
      <w:framePr w:wrap="around" w:vAnchor="text" w:hAnchor="margin" w:xAlign="center" w:y="1"/>
      <w:rPr>
        <w:rStyle w:val="a7"/>
      </w:rPr>
    </w:pPr>
    <w:r>
      <w:rPr>
        <w:rStyle w:val="a7"/>
      </w:rPr>
      <w:fldChar w:fldCharType="begin"/>
    </w:r>
    <w:r w:rsidR="00E57F92">
      <w:rPr>
        <w:rStyle w:val="a7"/>
      </w:rPr>
      <w:instrText xml:space="preserve">PAGE  </w:instrText>
    </w:r>
    <w:r>
      <w:rPr>
        <w:rStyle w:val="a7"/>
      </w:rPr>
      <w:fldChar w:fldCharType="end"/>
    </w:r>
  </w:p>
  <w:p w:rsidR="00E57F92" w:rsidRDefault="00E57F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3C" w:rsidRDefault="00A3613C">
      <w:r>
        <w:separator/>
      </w:r>
    </w:p>
  </w:footnote>
  <w:footnote w:type="continuationSeparator" w:id="1">
    <w:p w:rsidR="00A3613C" w:rsidRDefault="00A36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F92" w:rsidRPr="00991236" w:rsidRDefault="00E57F92" w:rsidP="005E491F">
    <w:pPr>
      <w:pStyle w:val="a9"/>
      <w:pBdr>
        <w:bottom w:val="single" w:sz="6" w:space="0" w:color="auto"/>
      </w:pBdr>
      <w:jc w:val="right"/>
      <w:rPr>
        <w:rFonts w:eastAsiaTheme="minorEastAsia"/>
        <w:sz w:val="21"/>
        <w:szCs w:val="21"/>
      </w:rPr>
    </w:pPr>
    <w:r w:rsidRPr="00991236">
      <w:rPr>
        <w:rFonts w:eastAsiaTheme="minorEastAsia"/>
        <w:sz w:val="21"/>
        <w:szCs w:val="21"/>
      </w:rPr>
      <w:t>国投瑞银中证下游消费与服务产业指数证券投资基金（</w:t>
    </w:r>
    <w:r w:rsidRPr="00991236">
      <w:rPr>
        <w:rFonts w:eastAsiaTheme="minorEastAsia"/>
        <w:sz w:val="21"/>
        <w:szCs w:val="21"/>
      </w:rPr>
      <w:t>LOF</w:t>
    </w:r>
    <w:r w:rsidRPr="00991236">
      <w:rPr>
        <w:rFonts w:eastAsiaTheme="minorEastAsia"/>
        <w:sz w:val="21"/>
        <w:szCs w:val="21"/>
      </w:rPr>
      <w:t>）</w:t>
    </w:r>
    <w:r w:rsidRPr="00991236">
      <w:rPr>
        <w:rFonts w:eastAsiaTheme="minorEastAsia"/>
        <w:sz w:val="21"/>
        <w:szCs w:val="21"/>
      </w:rPr>
      <w:t>2019</w:t>
    </w:r>
    <w:r w:rsidRPr="00991236">
      <w:rPr>
        <w:rFonts w:eastAsiaTheme="minorEastAsia"/>
        <w:sz w:val="21"/>
        <w:szCs w:val="21"/>
      </w:rPr>
      <w:t>年第</w:t>
    </w:r>
    <w:r w:rsidRPr="00991236">
      <w:rPr>
        <w:rFonts w:eastAsiaTheme="minorEastAsia"/>
        <w:sz w:val="21"/>
        <w:szCs w:val="21"/>
      </w:rPr>
      <w:t>1</w:t>
    </w:r>
    <w:r w:rsidRPr="00991236">
      <w:rPr>
        <w:rFonts w:eastAsiaTheme="minorEastAsia"/>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PostScriptOverText/>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625A6"/>
    <w:rsid w:val="00064AE3"/>
    <w:rsid w:val="00066524"/>
    <w:rsid w:val="00070CD1"/>
    <w:rsid w:val="0007171B"/>
    <w:rsid w:val="00072E4F"/>
    <w:rsid w:val="00074E9F"/>
    <w:rsid w:val="0007721B"/>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B6EFC"/>
    <w:rsid w:val="000C1723"/>
    <w:rsid w:val="000C1B20"/>
    <w:rsid w:val="000C4107"/>
    <w:rsid w:val="000C45E7"/>
    <w:rsid w:val="000D01F4"/>
    <w:rsid w:val="000D1519"/>
    <w:rsid w:val="000D1C87"/>
    <w:rsid w:val="000E4456"/>
    <w:rsid w:val="000F175F"/>
    <w:rsid w:val="000F17D1"/>
    <w:rsid w:val="000F60FF"/>
    <w:rsid w:val="000F635F"/>
    <w:rsid w:val="000F6C61"/>
    <w:rsid w:val="00100C12"/>
    <w:rsid w:val="00101DBA"/>
    <w:rsid w:val="001049B6"/>
    <w:rsid w:val="001051C6"/>
    <w:rsid w:val="0011177A"/>
    <w:rsid w:val="00112E9B"/>
    <w:rsid w:val="00116E31"/>
    <w:rsid w:val="00122A26"/>
    <w:rsid w:val="0012304E"/>
    <w:rsid w:val="001248EF"/>
    <w:rsid w:val="001257C7"/>
    <w:rsid w:val="00126DDF"/>
    <w:rsid w:val="001270BF"/>
    <w:rsid w:val="00127BAC"/>
    <w:rsid w:val="00131D06"/>
    <w:rsid w:val="0013360F"/>
    <w:rsid w:val="00141121"/>
    <w:rsid w:val="00142A56"/>
    <w:rsid w:val="00144DF5"/>
    <w:rsid w:val="00145A97"/>
    <w:rsid w:val="00146485"/>
    <w:rsid w:val="00150AD6"/>
    <w:rsid w:val="00153B40"/>
    <w:rsid w:val="00154ADA"/>
    <w:rsid w:val="0015531A"/>
    <w:rsid w:val="001600E8"/>
    <w:rsid w:val="00163B27"/>
    <w:rsid w:val="00165317"/>
    <w:rsid w:val="00171BAD"/>
    <w:rsid w:val="00172410"/>
    <w:rsid w:val="001744B4"/>
    <w:rsid w:val="001756A1"/>
    <w:rsid w:val="001761EE"/>
    <w:rsid w:val="00176EAA"/>
    <w:rsid w:val="0017725A"/>
    <w:rsid w:val="001779ED"/>
    <w:rsid w:val="00177C4B"/>
    <w:rsid w:val="00180E68"/>
    <w:rsid w:val="0018325A"/>
    <w:rsid w:val="00186199"/>
    <w:rsid w:val="001928F7"/>
    <w:rsid w:val="00194537"/>
    <w:rsid w:val="0019563C"/>
    <w:rsid w:val="00195F18"/>
    <w:rsid w:val="00197CB9"/>
    <w:rsid w:val="001A21A9"/>
    <w:rsid w:val="001A59D8"/>
    <w:rsid w:val="001A5FA6"/>
    <w:rsid w:val="001A6A3B"/>
    <w:rsid w:val="001A6F8A"/>
    <w:rsid w:val="001A7FF1"/>
    <w:rsid w:val="001B2F0C"/>
    <w:rsid w:val="001C37F6"/>
    <w:rsid w:val="001C6288"/>
    <w:rsid w:val="001D0F6A"/>
    <w:rsid w:val="001D21BC"/>
    <w:rsid w:val="001D2FA5"/>
    <w:rsid w:val="001D35E0"/>
    <w:rsid w:val="001D3711"/>
    <w:rsid w:val="001D3CDF"/>
    <w:rsid w:val="001D5045"/>
    <w:rsid w:val="001D5A44"/>
    <w:rsid w:val="001D724B"/>
    <w:rsid w:val="001E11D3"/>
    <w:rsid w:val="001E2A6A"/>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D3C"/>
    <w:rsid w:val="00255292"/>
    <w:rsid w:val="00256EC4"/>
    <w:rsid w:val="00260200"/>
    <w:rsid w:val="00263563"/>
    <w:rsid w:val="002648D8"/>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360B"/>
    <w:rsid w:val="002C5777"/>
    <w:rsid w:val="002D32E3"/>
    <w:rsid w:val="002E0FEB"/>
    <w:rsid w:val="002E300D"/>
    <w:rsid w:val="002F0F79"/>
    <w:rsid w:val="002F1CC8"/>
    <w:rsid w:val="002F280E"/>
    <w:rsid w:val="002F3709"/>
    <w:rsid w:val="002F3A6C"/>
    <w:rsid w:val="002F4296"/>
    <w:rsid w:val="00300951"/>
    <w:rsid w:val="003023C9"/>
    <w:rsid w:val="00302CA8"/>
    <w:rsid w:val="00302DE9"/>
    <w:rsid w:val="00304E8A"/>
    <w:rsid w:val="00305084"/>
    <w:rsid w:val="00310086"/>
    <w:rsid w:val="003106E6"/>
    <w:rsid w:val="00312FE8"/>
    <w:rsid w:val="0031358C"/>
    <w:rsid w:val="00313AE2"/>
    <w:rsid w:val="0031630D"/>
    <w:rsid w:val="003204E9"/>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70AA4"/>
    <w:rsid w:val="00371FF4"/>
    <w:rsid w:val="00376C39"/>
    <w:rsid w:val="00377520"/>
    <w:rsid w:val="00380D36"/>
    <w:rsid w:val="003822D3"/>
    <w:rsid w:val="003834E0"/>
    <w:rsid w:val="00386630"/>
    <w:rsid w:val="00390B25"/>
    <w:rsid w:val="00397156"/>
    <w:rsid w:val="00397960"/>
    <w:rsid w:val="003A0A94"/>
    <w:rsid w:val="003A3BC4"/>
    <w:rsid w:val="003A458A"/>
    <w:rsid w:val="003A6773"/>
    <w:rsid w:val="003B2DA8"/>
    <w:rsid w:val="003B2F13"/>
    <w:rsid w:val="003B405E"/>
    <w:rsid w:val="003B57D3"/>
    <w:rsid w:val="003C1A49"/>
    <w:rsid w:val="003C1F58"/>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31F1"/>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DB9"/>
    <w:rsid w:val="004B5E54"/>
    <w:rsid w:val="004B6250"/>
    <w:rsid w:val="004B76B1"/>
    <w:rsid w:val="004C0057"/>
    <w:rsid w:val="004C03A7"/>
    <w:rsid w:val="004C0541"/>
    <w:rsid w:val="004C2C46"/>
    <w:rsid w:val="004C5189"/>
    <w:rsid w:val="004C7235"/>
    <w:rsid w:val="004C7955"/>
    <w:rsid w:val="004D047F"/>
    <w:rsid w:val="004D1A45"/>
    <w:rsid w:val="004D3D96"/>
    <w:rsid w:val="004D417D"/>
    <w:rsid w:val="004D650F"/>
    <w:rsid w:val="004E2133"/>
    <w:rsid w:val="004E5AB9"/>
    <w:rsid w:val="004E60FB"/>
    <w:rsid w:val="004F4EA9"/>
    <w:rsid w:val="004F759F"/>
    <w:rsid w:val="004F779C"/>
    <w:rsid w:val="004F7846"/>
    <w:rsid w:val="004F7A0E"/>
    <w:rsid w:val="005000D4"/>
    <w:rsid w:val="00500F1D"/>
    <w:rsid w:val="005034F9"/>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90FE4"/>
    <w:rsid w:val="00591D9C"/>
    <w:rsid w:val="00597057"/>
    <w:rsid w:val="00597D8B"/>
    <w:rsid w:val="005A1C30"/>
    <w:rsid w:val="005A1C43"/>
    <w:rsid w:val="005A2DCB"/>
    <w:rsid w:val="005A3295"/>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E22CC"/>
    <w:rsid w:val="005E491F"/>
    <w:rsid w:val="005E58CE"/>
    <w:rsid w:val="005E59E9"/>
    <w:rsid w:val="005E7B78"/>
    <w:rsid w:val="005F04E6"/>
    <w:rsid w:val="005F43B9"/>
    <w:rsid w:val="005F68CB"/>
    <w:rsid w:val="005F6A4A"/>
    <w:rsid w:val="00602154"/>
    <w:rsid w:val="006033E3"/>
    <w:rsid w:val="006054E4"/>
    <w:rsid w:val="0061321C"/>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45668"/>
    <w:rsid w:val="00651B78"/>
    <w:rsid w:val="00652263"/>
    <w:rsid w:val="00652881"/>
    <w:rsid w:val="00652DDE"/>
    <w:rsid w:val="0065417D"/>
    <w:rsid w:val="00661974"/>
    <w:rsid w:val="00664551"/>
    <w:rsid w:val="00664E44"/>
    <w:rsid w:val="00665677"/>
    <w:rsid w:val="0066704D"/>
    <w:rsid w:val="006676A0"/>
    <w:rsid w:val="00670857"/>
    <w:rsid w:val="00671124"/>
    <w:rsid w:val="006727B0"/>
    <w:rsid w:val="0067307E"/>
    <w:rsid w:val="00677AC6"/>
    <w:rsid w:val="00687AD5"/>
    <w:rsid w:val="00691AFA"/>
    <w:rsid w:val="0069335C"/>
    <w:rsid w:val="00695251"/>
    <w:rsid w:val="00695ADE"/>
    <w:rsid w:val="00695C0D"/>
    <w:rsid w:val="00696356"/>
    <w:rsid w:val="006A72C6"/>
    <w:rsid w:val="006B02DA"/>
    <w:rsid w:val="006B2065"/>
    <w:rsid w:val="006B3940"/>
    <w:rsid w:val="006B6E17"/>
    <w:rsid w:val="006C168D"/>
    <w:rsid w:val="006C1D5C"/>
    <w:rsid w:val="006C3C80"/>
    <w:rsid w:val="006C3F43"/>
    <w:rsid w:val="006C642C"/>
    <w:rsid w:val="006C6FC6"/>
    <w:rsid w:val="006D6A40"/>
    <w:rsid w:val="006D7693"/>
    <w:rsid w:val="006E231B"/>
    <w:rsid w:val="006E346E"/>
    <w:rsid w:val="006E34B7"/>
    <w:rsid w:val="006F0F87"/>
    <w:rsid w:val="006F2F3E"/>
    <w:rsid w:val="006F4CD8"/>
    <w:rsid w:val="006F53D9"/>
    <w:rsid w:val="006F6A94"/>
    <w:rsid w:val="007004DC"/>
    <w:rsid w:val="00701575"/>
    <w:rsid w:val="00703E8A"/>
    <w:rsid w:val="00711522"/>
    <w:rsid w:val="007124FE"/>
    <w:rsid w:val="00713186"/>
    <w:rsid w:val="00713757"/>
    <w:rsid w:val="0071379B"/>
    <w:rsid w:val="0071497D"/>
    <w:rsid w:val="00717772"/>
    <w:rsid w:val="00721AF1"/>
    <w:rsid w:val="0072280F"/>
    <w:rsid w:val="00722B5E"/>
    <w:rsid w:val="00723845"/>
    <w:rsid w:val="0072549D"/>
    <w:rsid w:val="0072708F"/>
    <w:rsid w:val="00732D1D"/>
    <w:rsid w:val="00736034"/>
    <w:rsid w:val="0073681C"/>
    <w:rsid w:val="00741EBE"/>
    <w:rsid w:val="00746130"/>
    <w:rsid w:val="00746A40"/>
    <w:rsid w:val="007479DC"/>
    <w:rsid w:val="00750358"/>
    <w:rsid w:val="00755CDF"/>
    <w:rsid w:val="00757A4C"/>
    <w:rsid w:val="00760FFC"/>
    <w:rsid w:val="0076110A"/>
    <w:rsid w:val="00764A94"/>
    <w:rsid w:val="00764DC3"/>
    <w:rsid w:val="007651E5"/>
    <w:rsid w:val="007670DC"/>
    <w:rsid w:val="00767239"/>
    <w:rsid w:val="00770601"/>
    <w:rsid w:val="0077111A"/>
    <w:rsid w:val="00772272"/>
    <w:rsid w:val="007756ED"/>
    <w:rsid w:val="00777CC9"/>
    <w:rsid w:val="007869A0"/>
    <w:rsid w:val="00786A23"/>
    <w:rsid w:val="007870FC"/>
    <w:rsid w:val="00787CD0"/>
    <w:rsid w:val="00791053"/>
    <w:rsid w:val="00791A3A"/>
    <w:rsid w:val="00794196"/>
    <w:rsid w:val="00797637"/>
    <w:rsid w:val="007A2E54"/>
    <w:rsid w:val="007A3680"/>
    <w:rsid w:val="007A59B8"/>
    <w:rsid w:val="007B2862"/>
    <w:rsid w:val="007B662A"/>
    <w:rsid w:val="007C1A93"/>
    <w:rsid w:val="007C751E"/>
    <w:rsid w:val="007D021A"/>
    <w:rsid w:val="007D28C9"/>
    <w:rsid w:val="007D3CC8"/>
    <w:rsid w:val="007D62F9"/>
    <w:rsid w:val="007D63A4"/>
    <w:rsid w:val="007E1AA2"/>
    <w:rsid w:val="007E4C1F"/>
    <w:rsid w:val="007F0746"/>
    <w:rsid w:val="007F0759"/>
    <w:rsid w:val="007F25C0"/>
    <w:rsid w:val="007F456A"/>
    <w:rsid w:val="007F4C9B"/>
    <w:rsid w:val="007F5F52"/>
    <w:rsid w:val="007F77C6"/>
    <w:rsid w:val="008003A1"/>
    <w:rsid w:val="008006B7"/>
    <w:rsid w:val="00800FDB"/>
    <w:rsid w:val="00802081"/>
    <w:rsid w:val="008020B5"/>
    <w:rsid w:val="008021E8"/>
    <w:rsid w:val="008034CF"/>
    <w:rsid w:val="008063D8"/>
    <w:rsid w:val="00806461"/>
    <w:rsid w:val="00806722"/>
    <w:rsid w:val="0081096D"/>
    <w:rsid w:val="00810EAD"/>
    <w:rsid w:val="00811004"/>
    <w:rsid w:val="00811833"/>
    <w:rsid w:val="008174D4"/>
    <w:rsid w:val="00820FE6"/>
    <w:rsid w:val="00821A66"/>
    <w:rsid w:val="00822476"/>
    <w:rsid w:val="00822882"/>
    <w:rsid w:val="00824CB2"/>
    <w:rsid w:val="00825F68"/>
    <w:rsid w:val="00835408"/>
    <w:rsid w:val="008359DA"/>
    <w:rsid w:val="00837CEF"/>
    <w:rsid w:val="00840035"/>
    <w:rsid w:val="00840220"/>
    <w:rsid w:val="008428A9"/>
    <w:rsid w:val="00844112"/>
    <w:rsid w:val="008456C9"/>
    <w:rsid w:val="0084611D"/>
    <w:rsid w:val="00847BEF"/>
    <w:rsid w:val="00847D9E"/>
    <w:rsid w:val="00850C62"/>
    <w:rsid w:val="00863011"/>
    <w:rsid w:val="00865075"/>
    <w:rsid w:val="0086748F"/>
    <w:rsid w:val="00872CE4"/>
    <w:rsid w:val="00874F4B"/>
    <w:rsid w:val="0087539B"/>
    <w:rsid w:val="00877B62"/>
    <w:rsid w:val="00880199"/>
    <w:rsid w:val="00881015"/>
    <w:rsid w:val="008810B0"/>
    <w:rsid w:val="008813D6"/>
    <w:rsid w:val="008819B6"/>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2705"/>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60C5"/>
    <w:rsid w:val="009010F0"/>
    <w:rsid w:val="00901162"/>
    <w:rsid w:val="0090223A"/>
    <w:rsid w:val="009028E2"/>
    <w:rsid w:val="0091364B"/>
    <w:rsid w:val="00914EAB"/>
    <w:rsid w:val="00916597"/>
    <w:rsid w:val="00922D49"/>
    <w:rsid w:val="009259CF"/>
    <w:rsid w:val="00925E37"/>
    <w:rsid w:val="00925EDD"/>
    <w:rsid w:val="00927D0E"/>
    <w:rsid w:val="009309DA"/>
    <w:rsid w:val="00936688"/>
    <w:rsid w:val="00937CFA"/>
    <w:rsid w:val="009406B3"/>
    <w:rsid w:val="00945CF5"/>
    <w:rsid w:val="009500A1"/>
    <w:rsid w:val="0095037E"/>
    <w:rsid w:val="00952AAD"/>
    <w:rsid w:val="00954567"/>
    <w:rsid w:val="009547A9"/>
    <w:rsid w:val="009548FE"/>
    <w:rsid w:val="00956F0B"/>
    <w:rsid w:val="00957466"/>
    <w:rsid w:val="00957C7C"/>
    <w:rsid w:val="0096260B"/>
    <w:rsid w:val="009664D5"/>
    <w:rsid w:val="00970C69"/>
    <w:rsid w:val="00971DF7"/>
    <w:rsid w:val="00971F1C"/>
    <w:rsid w:val="0097211D"/>
    <w:rsid w:val="00972E10"/>
    <w:rsid w:val="009746CA"/>
    <w:rsid w:val="00974975"/>
    <w:rsid w:val="00974EA8"/>
    <w:rsid w:val="00981963"/>
    <w:rsid w:val="00983C82"/>
    <w:rsid w:val="00984520"/>
    <w:rsid w:val="0098545C"/>
    <w:rsid w:val="00991236"/>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0799C"/>
    <w:rsid w:val="00A1455E"/>
    <w:rsid w:val="00A14AE3"/>
    <w:rsid w:val="00A16675"/>
    <w:rsid w:val="00A22CD6"/>
    <w:rsid w:val="00A234EC"/>
    <w:rsid w:val="00A2417A"/>
    <w:rsid w:val="00A26668"/>
    <w:rsid w:val="00A27804"/>
    <w:rsid w:val="00A348F0"/>
    <w:rsid w:val="00A3613C"/>
    <w:rsid w:val="00A36822"/>
    <w:rsid w:val="00A36AB5"/>
    <w:rsid w:val="00A411D1"/>
    <w:rsid w:val="00A428A4"/>
    <w:rsid w:val="00A42CE1"/>
    <w:rsid w:val="00A43235"/>
    <w:rsid w:val="00A43389"/>
    <w:rsid w:val="00A43E71"/>
    <w:rsid w:val="00A45753"/>
    <w:rsid w:val="00A47B15"/>
    <w:rsid w:val="00A52F84"/>
    <w:rsid w:val="00A56B05"/>
    <w:rsid w:val="00A57678"/>
    <w:rsid w:val="00A60E2F"/>
    <w:rsid w:val="00A618F3"/>
    <w:rsid w:val="00A63284"/>
    <w:rsid w:val="00A64721"/>
    <w:rsid w:val="00A64CB8"/>
    <w:rsid w:val="00A67018"/>
    <w:rsid w:val="00A672F3"/>
    <w:rsid w:val="00A673DC"/>
    <w:rsid w:val="00A7076E"/>
    <w:rsid w:val="00A709BE"/>
    <w:rsid w:val="00A7162E"/>
    <w:rsid w:val="00A7195A"/>
    <w:rsid w:val="00A7208F"/>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4518"/>
    <w:rsid w:val="00AE5D7F"/>
    <w:rsid w:val="00AE79F0"/>
    <w:rsid w:val="00AF2DAE"/>
    <w:rsid w:val="00AF48F0"/>
    <w:rsid w:val="00AF5585"/>
    <w:rsid w:val="00AF6EC1"/>
    <w:rsid w:val="00B00331"/>
    <w:rsid w:val="00B01A80"/>
    <w:rsid w:val="00B07C27"/>
    <w:rsid w:val="00B10017"/>
    <w:rsid w:val="00B10DE1"/>
    <w:rsid w:val="00B10FF8"/>
    <w:rsid w:val="00B203C4"/>
    <w:rsid w:val="00B22E81"/>
    <w:rsid w:val="00B23996"/>
    <w:rsid w:val="00B23CB2"/>
    <w:rsid w:val="00B2561A"/>
    <w:rsid w:val="00B25A64"/>
    <w:rsid w:val="00B32AB3"/>
    <w:rsid w:val="00B34E7C"/>
    <w:rsid w:val="00B368EA"/>
    <w:rsid w:val="00B37EEF"/>
    <w:rsid w:val="00B51D20"/>
    <w:rsid w:val="00B5298E"/>
    <w:rsid w:val="00B54370"/>
    <w:rsid w:val="00B54B5F"/>
    <w:rsid w:val="00B55185"/>
    <w:rsid w:val="00B55BB5"/>
    <w:rsid w:val="00B60D38"/>
    <w:rsid w:val="00B61923"/>
    <w:rsid w:val="00B621D6"/>
    <w:rsid w:val="00B63EF5"/>
    <w:rsid w:val="00B65D6F"/>
    <w:rsid w:val="00B677E1"/>
    <w:rsid w:val="00B67C23"/>
    <w:rsid w:val="00B7090F"/>
    <w:rsid w:val="00B70DC7"/>
    <w:rsid w:val="00B73042"/>
    <w:rsid w:val="00B75283"/>
    <w:rsid w:val="00B75735"/>
    <w:rsid w:val="00B77142"/>
    <w:rsid w:val="00B77B50"/>
    <w:rsid w:val="00B80A2C"/>
    <w:rsid w:val="00B81F60"/>
    <w:rsid w:val="00B841AC"/>
    <w:rsid w:val="00B865B0"/>
    <w:rsid w:val="00B90780"/>
    <w:rsid w:val="00B91F9C"/>
    <w:rsid w:val="00B9240D"/>
    <w:rsid w:val="00BA22A8"/>
    <w:rsid w:val="00BA285B"/>
    <w:rsid w:val="00BA3E48"/>
    <w:rsid w:val="00BA4BD3"/>
    <w:rsid w:val="00BA7473"/>
    <w:rsid w:val="00BA78DE"/>
    <w:rsid w:val="00BB0187"/>
    <w:rsid w:val="00BB1EB3"/>
    <w:rsid w:val="00BB22CA"/>
    <w:rsid w:val="00BB2678"/>
    <w:rsid w:val="00BB2922"/>
    <w:rsid w:val="00BC013A"/>
    <w:rsid w:val="00BC2343"/>
    <w:rsid w:val="00BC23F8"/>
    <w:rsid w:val="00BC56FA"/>
    <w:rsid w:val="00BD30C8"/>
    <w:rsid w:val="00BD3EB4"/>
    <w:rsid w:val="00BD5C65"/>
    <w:rsid w:val="00BD6127"/>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485"/>
    <w:rsid w:val="00C21C43"/>
    <w:rsid w:val="00C22C7D"/>
    <w:rsid w:val="00C22CCE"/>
    <w:rsid w:val="00C231D6"/>
    <w:rsid w:val="00C23BA2"/>
    <w:rsid w:val="00C26A76"/>
    <w:rsid w:val="00C32AF2"/>
    <w:rsid w:val="00C33204"/>
    <w:rsid w:val="00C338EB"/>
    <w:rsid w:val="00C3465D"/>
    <w:rsid w:val="00C379E9"/>
    <w:rsid w:val="00C439FB"/>
    <w:rsid w:val="00C43F23"/>
    <w:rsid w:val="00C46656"/>
    <w:rsid w:val="00C47790"/>
    <w:rsid w:val="00C50011"/>
    <w:rsid w:val="00C5274B"/>
    <w:rsid w:val="00C55A77"/>
    <w:rsid w:val="00C645E6"/>
    <w:rsid w:val="00C64D82"/>
    <w:rsid w:val="00C64FBC"/>
    <w:rsid w:val="00C65A83"/>
    <w:rsid w:val="00C721F2"/>
    <w:rsid w:val="00C72C6F"/>
    <w:rsid w:val="00C75BB1"/>
    <w:rsid w:val="00C76CF1"/>
    <w:rsid w:val="00C80F23"/>
    <w:rsid w:val="00C81151"/>
    <w:rsid w:val="00C82CC6"/>
    <w:rsid w:val="00C8434E"/>
    <w:rsid w:val="00C850A3"/>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52E1"/>
    <w:rsid w:val="00CD319D"/>
    <w:rsid w:val="00CD6BC3"/>
    <w:rsid w:val="00CD72D0"/>
    <w:rsid w:val="00CE3519"/>
    <w:rsid w:val="00CE5277"/>
    <w:rsid w:val="00CE6358"/>
    <w:rsid w:val="00CF2D54"/>
    <w:rsid w:val="00CF3CDE"/>
    <w:rsid w:val="00CF6570"/>
    <w:rsid w:val="00D03538"/>
    <w:rsid w:val="00D049B8"/>
    <w:rsid w:val="00D0516C"/>
    <w:rsid w:val="00D05EE7"/>
    <w:rsid w:val="00D068D0"/>
    <w:rsid w:val="00D078D1"/>
    <w:rsid w:val="00D129A8"/>
    <w:rsid w:val="00D12FB9"/>
    <w:rsid w:val="00D148B5"/>
    <w:rsid w:val="00D200BD"/>
    <w:rsid w:val="00D22399"/>
    <w:rsid w:val="00D26460"/>
    <w:rsid w:val="00D33751"/>
    <w:rsid w:val="00D33924"/>
    <w:rsid w:val="00D36F6E"/>
    <w:rsid w:val="00D37343"/>
    <w:rsid w:val="00D4205E"/>
    <w:rsid w:val="00D42507"/>
    <w:rsid w:val="00D5574C"/>
    <w:rsid w:val="00D61982"/>
    <w:rsid w:val="00D6267A"/>
    <w:rsid w:val="00D67D12"/>
    <w:rsid w:val="00D7585A"/>
    <w:rsid w:val="00D80618"/>
    <w:rsid w:val="00D81A17"/>
    <w:rsid w:val="00D82494"/>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B69"/>
    <w:rsid w:val="00DC02EC"/>
    <w:rsid w:val="00DC234A"/>
    <w:rsid w:val="00DC41E4"/>
    <w:rsid w:val="00DC5116"/>
    <w:rsid w:val="00DC77DD"/>
    <w:rsid w:val="00DC7C77"/>
    <w:rsid w:val="00DD2417"/>
    <w:rsid w:val="00DD7EA2"/>
    <w:rsid w:val="00DE00F2"/>
    <w:rsid w:val="00DE117F"/>
    <w:rsid w:val="00DE39D3"/>
    <w:rsid w:val="00DE401C"/>
    <w:rsid w:val="00DE4CDE"/>
    <w:rsid w:val="00DF1ED6"/>
    <w:rsid w:val="00DF63FA"/>
    <w:rsid w:val="00E00A1C"/>
    <w:rsid w:val="00E012CC"/>
    <w:rsid w:val="00E02B71"/>
    <w:rsid w:val="00E02DEB"/>
    <w:rsid w:val="00E042A1"/>
    <w:rsid w:val="00E04CE6"/>
    <w:rsid w:val="00E104FA"/>
    <w:rsid w:val="00E1082A"/>
    <w:rsid w:val="00E11166"/>
    <w:rsid w:val="00E13182"/>
    <w:rsid w:val="00E15383"/>
    <w:rsid w:val="00E164E5"/>
    <w:rsid w:val="00E1738C"/>
    <w:rsid w:val="00E22D28"/>
    <w:rsid w:val="00E230E3"/>
    <w:rsid w:val="00E23611"/>
    <w:rsid w:val="00E25852"/>
    <w:rsid w:val="00E30EDF"/>
    <w:rsid w:val="00E31FBA"/>
    <w:rsid w:val="00E36AAE"/>
    <w:rsid w:val="00E41773"/>
    <w:rsid w:val="00E427F2"/>
    <w:rsid w:val="00E513F6"/>
    <w:rsid w:val="00E52F3B"/>
    <w:rsid w:val="00E53D94"/>
    <w:rsid w:val="00E53DEA"/>
    <w:rsid w:val="00E5425C"/>
    <w:rsid w:val="00E55A61"/>
    <w:rsid w:val="00E57F92"/>
    <w:rsid w:val="00E616DB"/>
    <w:rsid w:val="00E627A4"/>
    <w:rsid w:val="00E630ED"/>
    <w:rsid w:val="00E70C95"/>
    <w:rsid w:val="00E74EC5"/>
    <w:rsid w:val="00E75FDC"/>
    <w:rsid w:val="00E76B86"/>
    <w:rsid w:val="00E833B9"/>
    <w:rsid w:val="00E8342F"/>
    <w:rsid w:val="00E847A7"/>
    <w:rsid w:val="00E84AB6"/>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F02"/>
    <w:rsid w:val="00EB5BC5"/>
    <w:rsid w:val="00EC086C"/>
    <w:rsid w:val="00EC42D0"/>
    <w:rsid w:val="00EC5CE0"/>
    <w:rsid w:val="00EC638F"/>
    <w:rsid w:val="00ED48AC"/>
    <w:rsid w:val="00ED7AF0"/>
    <w:rsid w:val="00EE224C"/>
    <w:rsid w:val="00EE4874"/>
    <w:rsid w:val="00EE4A8C"/>
    <w:rsid w:val="00EE674E"/>
    <w:rsid w:val="00EE79A6"/>
    <w:rsid w:val="00EF0C36"/>
    <w:rsid w:val="00EF2689"/>
    <w:rsid w:val="00EF454D"/>
    <w:rsid w:val="00EF6111"/>
    <w:rsid w:val="00F005A0"/>
    <w:rsid w:val="00F0225B"/>
    <w:rsid w:val="00F06616"/>
    <w:rsid w:val="00F11352"/>
    <w:rsid w:val="00F1498D"/>
    <w:rsid w:val="00F14DDF"/>
    <w:rsid w:val="00F152AD"/>
    <w:rsid w:val="00F20DFE"/>
    <w:rsid w:val="00F2285F"/>
    <w:rsid w:val="00F23155"/>
    <w:rsid w:val="00F24236"/>
    <w:rsid w:val="00F24E0E"/>
    <w:rsid w:val="00F26693"/>
    <w:rsid w:val="00F344A5"/>
    <w:rsid w:val="00F36130"/>
    <w:rsid w:val="00F40444"/>
    <w:rsid w:val="00F423BD"/>
    <w:rsid w:val="00F432FF"/>
    <w:rsid w:val="00F4715C"/>
    <w:rsid w:val="00F537BA"/>
    <w:rsid w:val="00F54869"/>
    <w:rsid w:val="00F556B2"/>
    <w:rsid w:val="00F5754B"/>
    <w:rsid w:val="00F576DE"/>
    <w:rsid w:val="00F57CE6"/>
    <w:rsid w:val="00F61EEF"/>
    <w:rsid w:val="00F63BF7"/>
    <w:rsid w:val="00F65617"/>
    <w:rsid w:val="00F710BE"/>
    <w:rsid w:val="00F723CF"/>
    <w:rsid w:val="00F736D2"/>
    <w:rsid w:val="00F7564C"/>
    <w:rsid w:val="00F76220"/>
    <w:rsid w:val="00F769BE"/>
    <w:rsid w:val="00F82E6B"/>
    <w:rsid w:val="00F8677B"/>
    <w:rsid w:val="00F97B71"/>
    <w:rsid w:val="00FA1EC5"/>
    <w:rsid w:val="00FA2DDA"/>
    <w:rsid w:val="00FA34CA"/>
    <w:rsid w:val="00FA4A55"/>
    <w:rsid w:val="00FA4D4F"/>
    <w:rsid w:val="00FA54E8"/>
    <w:rsid w:val="00FA57F6"/>
    <w:rsid w:val="00FA7193"/>
    <w:rsid w:val="00FB2D17"/>
    <w:rsid w:val="00FB2F69"/>
    <w:rsid w:val="00FB368B"/>
    <w:rsid w:val="00FB45FF"/>
    <w:rsid w:val="00FB5D97"/>
    <w:rsid w:val="00FB6DE6"/>
    <w:rsid w:val="00FC023D"/>
    <w:rsid w:val="00FC1CA5"/>
    <w:rsid w:val="00FC2979"/>
    <w:rsid w:val="00FD1C3C"/>
    <w:rsid w:val="00FD38A8"/>
    <w:rsid w:val="00FD5477"/>
    <w:rsid w:val="00FD6AC8"/>
    <w:rsid w:val="00FE3EA1"/>
    <w:rsid w:val="00FE4818"/>
    <w:rsid w:val="00FE5D80"/>
    <w:rsid w:val="00FF157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4F4EA9"/>
    <w:pPr>
      <w:keepNext/>
      <w:keepLines/>
      <w:spacing w:before="340" w:after="330" w:line="578" w:lineRule="auto"/>
      <w:outlineLvl w:val="0"/>
    </w:pPr>
    <w:rPr>
      <w:b/>
      <w:bCs/>
      <w:kern w:val="44"/>
      <w:sz w:val="44"/>
      <w:szCs w:val="44"/>
    </w:rPr>
  </w:style>
  <w:style w:type="paragraph" w:styleId="2">
    <w:name w:val="heading 2"/>
    <w:basedOn w:val="a"/>
    <w:next w:val="a0"/>
    <w:qFormat/>
    <w:rsid w:val="00337293"/>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37293"/>
    <w:pPr>
      <w:ind w:firstLineChars="200" w:firstLine="420"/>
    </w:pPr>
  </w:style>
  <w:style w:type="paragraph" w:styleId="a4">
    <w:name w:val="Body Text Indent"/>
    <w:basedOn w:val="a"/>
    <w:rsid w:val="00337293"/>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337293"/>
    <w:rPr>
      <w:rFonts w:ascii="宋体" w:hAnsi="Courier New"/>
      <w:szCs w:val="21"/>
    </w:rPr>
  </w:style>
  <w:style w:type="paragraph" w:styleId="20">
    <w:name w:val="Body Text Indent 2"/>
    <w:basedOn w:val="a"/>
    <w:rsid w:val="00337293"/>
    <w:pPr>
      <w:spacing w:line="560" w:lineRule="exact"/>
      <w:ind w:firstLineChars="200" w:firstLine="480"/>
    </w:pPr>
    <w:rPr>
      <w:rFonts w:ascii="宋体" w:hAnsi="宋体"/>
      <w:color w:val="FF0000"/>
      <w:sz w:val="24"/>
    </w:rPr>
  </w:style>
  <w:style w:type="paragraph" w:styleId="a6">
    <w:name w:val="footer"/>
    <w:basedOn w:val="a"/>
    <w:link w:val="Char0"/>
    <w:rsid w:val="00337293"/>
    <w:pPr>
      <w:tabs>
        <w:tab w:val="center" w:pos="4153"/>
        <w:tab w:val="right" w:pos="8306"/>
      </w:tabs>
      <w:snapToGrid w:val="0"/>
      <w:jc w:val="left"/>
    </w:pPr>
    <w:rPr>
      <w:sz w:val="18"/>
      <w:szCs w:val="18"/>
    </w:rPr>
  </w:style>
  <w:style w:type="character" w:styleId="a7">
    <w:name w:val="page number"/>
    <w:basedOn w:val="a1"/>
    <w:rsid w:val="00337293"/>
  </w:style>
  <w:style w:type="character" w:styleId="a8">
    <w:name w:val="Hyperlink"/>
    <w:basedOn w:val="a1"/>
    <w:rsid w:val="00337293"/>
    <w:rPr>
      <w:color w:val="0000FF"/>
      <w:u w:val="single"/>
    </w:rPr>
  </w:style>
  <w:style w:type="paragraph" w:styleId="3">
    <w:name w:val="Body Text Indent 3"/>
    <w:basedOn w:val="a"/>
    <w:rsid w:val="00337293"/>
    <w:pPr>
      <w:spacing w:line="560" w:lineRule="exact"/>
      <w:ind w:firstLineChars="200" w:firstLine="420"/>
    </w:pPr>
    <w:rPr>
      <w:rFonts w:ascii="Arial" w:hAnsi="Arial" w:cs="Arial"/>
      <w:color w:val="FF0000"/>
    </w:rPr>
  </w:style>
  <w:style w:type="paragraph" w:styleId="a9">
    <w:name w:val="header"/>
    <w:basedOn w:val="a"/>
    <w:link w:val="Char1"/>
    <w:uiPriority w:val="99"/>
    <w:rsid w:val="00337293"/>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337293"/>
    <w:rPr>
      <w:color w:val="800080"/>
      <w:u w:val="single"/>
    </w:rPr>
  </w:style>
  <w:style w:type="paragraph" w:styleId="ab">
    <w:name w:val="List"/>
    <w:basedOn w:val="ac"/>
    <w:rsid w:val="00337293"/>
    <w:pPr>
      <w:spacing w:after="220" w:line="220" w:lineRule="atLeast"/>
      <w:ind w:left="1440" w:hanging="360"/>
    </w:pPr>
    <w:rPr>
      <w:szCs w:val="20"/>
    </w:rPr>
  </w:style>
  <w:style w:type="paragraph" w:styleId="ac">
    <w:name w:val="Body Text"/>
    <w:basedOn w:val="a"/>
    <w:rsid w:val="00337293"/>
    <w:pPr>
      <w:spacing w:after="120"/>
    </w:pPr>
  </w:style>
  <w:style w:type="paragraph" w:styleId="ad">
    <w:name w:val="Date"/>
    <w:basedOn w:val="a"/>
    <w:next w:val="a"/>
    <w:link w:val="Char2"/>
    <w:uiPriority w:val="99"/>
    <w:rsid w:val="00337293"/>
    <w:rPr>
      <w:sz w:val="24"/>
      <w:szCs w:val="20"/>
    </w:rPr>
  </w:style>
  <w:style w:type="character" w:customStyle="1" w:styleId="c1">
    <w:name w:val="c1"/>
    <w:basedOn w:val="a1"/>
    <w:rsid w:val="00337293"/>
    <w:rPr>
      <w:color w:val="000000"/>
      <w:sz w:val="18"/>
      <w:szCs w:val="18"/>
    </w:rPr>
  </w:style>
  <w:style w:type="paragraph" w:styleId="10">
    <w:name w:val="index 1"/>
    <w:basedOn w:val="a"/>
    <w:next w:val="a"/>
    <w:autoRedefine/>
    <w:semiHidden/>
    <w:rsid w:val="00337293"/>
    <w:pPr>
      <w:jc w:val="right"/>
    </w:pPr>
    <w:rPr>
      <w:color w:val="008000"/>
    </w:rPr>
  </w:style>
  <w:style w:type="paragraph" w:customStyle="1" w:styleId="font5">
    <w:name w:val="font5"/>
    <w:basedOn w:val="a"/>
    <w:rsid w:val="00337293"/>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337293"/>
    <w:rPr>
      <w:sz w:val="18"/>
      <w:szCs w:val="18"/>
    </w:rPr>
  </w:style>
  <w:style w:type="character" w:styleId="af">
    <w:name w:val="annotation reference"/>
    <w:basedOn w:val="a1"/>
    <w:semiHidden/>
    <w:rsid w:val="00337293"/>
    <w:rPr>
      <w:sz w:val="21"/>
      <w:szCs w:val="21"/>
    </w:rPr>
  </w:style>
  <w:style w:type="paragraph" w:styleId="af0">
    <w:name w:val="annotation text"/>
    <w:basedOn w:val="a"/>
    <w:semiHidden/>
    <w:rsid w:val="00337293"/>
    <w:pPr>
      <w:jc w:val="left"/>
    </w:pPr>
  </w:style>
  <w:style w:type="paragraph" w:styleId="af1">
    <w:name w:val="annotation subject"/>
    <w:basedOn w:val="af0"/>
    <w:next w:val="af0"/>
    <w:semiHidden/>
    <w:rsid w:val="00337293"/>
    <w:rPr>
      <w:b/>
      <w:bCs/>
    </w:rPr>
  </w:style>
  <w:style w:type="paragraph" w:customStyle="1" w:styleId="Char3">
    <w:name w:val="Char"/>
    <w:basedOn w:val="a"/>
    <w:rsid w:val="00337293"/>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CE3519"/>
    <w:rPr>
      <w:rFonts w:ascii="宋体" w:hAnsi="Courier New"/>
      <w:kern w:val="2"/>
      <w:sz w:val="21"/>
      <w:szCs w:val="21"/>
    </w:rPr>
  </w:style>
  <w:style w:type="paragraph" w:customStyle="1" w:styleId="Default">
    <w:name w:val="Default"/>
    <w:rsid w:val="00295C5D"/>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5E491F"/>
    <w:rPr>
      <w:kern w:val="2"/>
      <w:sz w:val="18"/>
      <w:szCs w:val="18"/>
    </w:rPr>
  </w:style>
  <w:style w:type="character" w:customStyle="1" w:styleId="1Char">
    <w:name w:val="标题 1 Char"/>
    <w:basedOn w:val="a1"/>
    <w:link w:val="1"/>
    <w:rsid w:val="004F4EA9"/>
    <w:rPr>
      <w:b/>
      <w:bCs/>
      <w:kern w:val="44"/>
      <w:sz w:val="44"/>
      <w:szCs w:val="44"/>
    </w:rPr>
  </w:style>
  <w:style w:type="character" w:customStyle="1" w:styleId="Char2">
    <w:name w:val="日期 Char"/>
    <w:basedOn w:val="a1"/>
    <w:link w:val="ad"/>
    <w:uiPriority w:val="99"/>
    <w:rsid w:val="005B1DEC"/>
    <w:rPr>
      <w:kern w:val="2"/>
      <w:sz w:val="24"/>
    </w:rPr>
  </w:style>
  <w:style w:type="character" w:styleId="af8">
    <w:name w:val="Strong"/>
    <w:basedOn w:val="a1"/>
    <w:uiPriority w:val="22"/>
    <w:qFormat/>
    <w:rsid w:val="004F759F"/>
    <w:rPr>
      <w:b/>
      <w:bCs/>
    </w:rPr>
  </w:style>
  <w:style w:type="character" w:customStyle="1" w:styleId="Char0">
    <w:name w:val="页脚 Char"/>
    <w:basedOn w:val="a1"/>
    <w:link w:val="a6"/>
    <w:rsid w:val="008110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95336511">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2653160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40899764">
      <w:bodyDiv w:val="1"/>
      <w:marLeft w:val="0"/>
      <w:marRight w:val="0"/>
      <w:marTop w:val="0"/>
      <w:marBottom w:val="0"/>
      <w:divBdr>
        <w:top w:val="none" w:sz="0" w:space="0" w:color="auto"/>
        <w:left w:val="none" w:sz="0" w:space="0" w:color="auto"/>
        <w:bottom w:val="none" w:sz="0" w:space="0" w:color="auto"/>
        <w:right w:val="none" w:sz="0" w:space="0" w:color="auto"/>
      </w:divBdr>
    </w:div>
    <w:div w:id="1567494021">
      <w:bodyDiv w:val="1"/>
      <w:marLeft w:val="0"/>
      <w:marRight w:val="0"/>
      <w:marTop w:val="0"/>
      <w:marBottom w:val="0"/>
      <w:divBdr>
        <w:top w:val="none" w:sz="0" w:space="0" w:color="auto"/>
        <w:left w:val="none" w:sz="0" w:space="0" w:color="auto"/>
        <w:bottom w:val="none" w:sz="0" w:space="0" w:color="auto"/>
        <w:right w:val="none" w:sz="0" w:space="0" w:color="auto"/>
      </w:divBdr>
    </w:div>
    <w:div w:id="16144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7036</Characters>
  <Application>Microsoft Office Word</Application>
  <DocSecurity>4</DocSecurity>
  <Lines>58</Lines>
  <Paragraphs>16</Paragraphs>
  <ScaleCrop>false</ScaleCrop>
  <Company>TRT. Ltd. Co.</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2007-07-19T00:46:00Z</cp:lastPrinted>
  <dcterms:created xsi:type="dcterms:W3CDTF">2019-04-21T16:05:00Z</dcterms:created>
  <dcterms:modified xsi:type="dcterms:W3CDTF">2019-04-21T16:05:00Z</dcterms:modified>
</cp:coreProperties>
</file>