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国投瑞银顺昌纯债债券型证券投资基金</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年第</w:t>
      </w:r>
      <w:r w:rsidRPr="004819A0">
        <w:rPr>
          <w:rFonts w:eastAsiaTheme="minorEastAsia"/>
          <w:b/>
          <w:color w:val="000000" w:themeColor="text1"/>
          <w:sz w:val="24"/>
          <w:szCs w:val="24"/>
        </w:rPr>
        <w:t>1</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w:t>
      </w:r>
      <w:r w:rsidRPr="004819A0">
        <w:rPr>
          <w:rFonts w:eastAsiaTheme="minorEastAsia"/>
          <w:b/>
          <w:color w:val="000000" w:themeColor="text1"/>
          <w:sz w:val="24"/>
          <w:szCs w:val="24"/>
        </w:rPr>
        <w:t>3</w:t>
      </w:r>
      <w:r w:rsidRPr="004819A0">
        <w:rPr>
          <w:rFonts w:eastAsiaTheme="minorEastAsia"/>
          <w:b/>
          <w:color w:val="000000" w:themeColor="text1"/>
          <w:sz w:val="24"/>
          <w:szCs w:val="24"/>
        </w:rPr>
        <w:t>月</w:t>
      </w:r>
      <w:r w:rsidRPr="004819A0">
        <w:rPr>
          <w:rFonts w:eastAsiaTheme="minorEastAsia"/>
          <w:b/>
          <w:color w:val="000000" w:themeColor="text1"/>
          <w:sz w:val="24"/>
          <w:szCs w:val="24"/>
        </w:rPr>
        <w:t>31</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基金托管人：渤海银行股份有限公司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二〇一九年四月二十二日</w:t>
      </w:r>
    </w:p>
    <w:p w:rsidR="004061AC" w:rsidRPr="00E74406" w:rsidRDefault="004061AC" w:rsidP="00E9511F">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基金托管人渤海银行股份有限公司根据本基金合同规定，于</w:t>
            </w:r>
            <w:r>
              <w:rPr>
                <w:rFonts w:eastAsiaTheme="minorEastAsia"/>
                <w:color w:val="000000" w:themeColor="text1"/>
                <w:sz w:val="24"/>
                <w:szCs w:val="24"/>
              </w:rPr>
              <w:t>2019</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w:t>
            </w:r>
            <w:r>
              <w:rPr>
                <w:rFonts w:eastAsiaTheme="minorEastAsia"/>
                <w:color w:val="000000" w:themeColor="text1"/>
                <w:sz w:val="24"/>
                <w:szCs w:val="24"/>
              </w:rPr>
              <w:t>19</w:t>
            </w:r>
            <w:r>
              <w:rPr>
                <w:rFonts w:eastAsiaTheme="minorEastAsia"/>
                <w:color w:val="000000" w:themeColor="text1"/>
                <w:sz w:val="24"/>
                <w:szCs w:val="24"/>
              </w:rPr>
              <w:t>日复核了本报告中的财务指标、净值表现和投资组合报告等内容，保证复核内容不存在虚假记载、误导性陈述或者重大遗漏。</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w:t>
            </w:r>
            <w:r>
              <w:rPr>
                <w:rFonts w:eastAsiaTheme="minorEastAsia"/>
                <w:color w:val="000000" w:themeColor="text1"/>
                <w:sz w:val="24"/>
                <w:szCs w:val="24"/>
              </w:rPr>
              <w:t>决策前应仔细阅读本基金的招募说明书。</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日止。</w:t>
            </w:r>
          </w:p>
        </w:tc>
      </w:tr>
    </w:tbl>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国投瑞银顺昌纯债债券</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005996</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005996</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契约型、开放式</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2018</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6</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499,534,699.96</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本基金在严格控制风险的基础上，通过积极主动的投资管理，力争为投资人实现超越业绩比较基准的投资业绩。</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1</w:t>
            </w:r>
            <w:r>
              <w:rPr>
                <w:rFonts w:eastAsiaTheme="minorEastAsia"/>
                <w:color w:val="000000" w:themeColor="text1"/>
                <w:kern w:val="0"/>
                <w:sz w:val="24"/>
                <w:szCs w:val="24"/>
              </w:rPr>
              <w:t>、基本价值评估</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债券基本价值评估的主要依据是均衡收益率曲线。</w:t>
            </w:r>
            <w:r>
              <w:rPr>
                <w:rFonts w:eastAsiaTheme="minorEastAsia"/>
                <w:color w:val="000000" w:themeColor="text1"/>
                <w:kern w:val="0"/>
                <w:sz w:val="24"/>
                <w:szCs w:val="24"/>
              </w:rPr>
              <w:lastRenderedPageBreak/>
              <w:t>本基金基于均衡收益率曲线，计算不同资产类别、不同剩余期限债券品种的预期超额回报，并对预期超额回报进行排序，得到投资评级。在此基础上，卖出内部收益率低于均衡收益率的债券，买入内部收益率高于均衡收益率的债券。</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2</w:t>
            </w:r>
            <w:r>
              <w:rPr>
                <w:rFonts w:eastAsiaTheme="minorEastAsia"/>
                <w:color w:val="000000" w:themeColor="text1"/>
                <w:kern w:val="0"/>
                <w:sz w:val="24"/>
                <w:szCs w:val="24"/>
              </w:rPr>
              <w:t>、债券投资策略</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债券投资策略主要包括：久期策略、收益率曲线策略、类别选择策略和个券选择策略。在不同的时期，采用以上策略对组合收益和风险的贡献不尽相同，具体采用何种策略取决于债券组合允许的风险程度。</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3</w:t>
            </w:r>
            <w:r>
              <w:rPr>
                <w:rFonts w:eastAsiaTheme="minorEastAsia"/>
                <w:color w:val="000000" w:themeColor="text1"/>
                <w:kern w:val="0"/>
                <w:sz w:val="24"/>
                <w:szCs w:val="24"/>
              </w:rPr>
              <w:t>、中小企业私募债券投资策略</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对于中小企业私募债券，本基金将重点关注发行人财务状况、个券增信措施等因素，以及对基金资产流动性的影响，在充分考虑信用风险、流动性风险的基础上，进行投资决策。</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4</w:t>
            </w:r>
            <w:r>
              <w:rPr>
                <w:rFonts w:eastAsiaTheme="minorEastAsia"/>
                <w:color w:val="000000" w:themeColor="text1"/>
                <w:kern w:val="0"/>
                <w:sz w:val="24"/>
                <w:szCs w:val="24"/>
              </w:rPr>
              <w:t>、资产支持证券投资策略</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资产支持证券的定价受市场利率、发行条款、标的资产的构成及质量、提前偿还率等多种因素影响。本基金将在基本面分析和债券市场宏观分析的基础上，以数量化模型确定其内在价值。</w:t>
            </w:r>
          </w:p>
          <w:p w:rsidR="002D524E" w:rsidRDefault="00E9511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5</w:t>
            </w:r>
            <w:r>
              <w:rPr>
                <w:rFonts w:eastAsiaTheme="minorEastAsia"/>
                <w:color w:val="000000" w:themeColor="text1"/>
                <w:kern w:val="0"/>
                <w:sz w:val="24"/>
                <w:szCs w:val="24"/>
              </w:rPr>
              <w:t>、组合构建及调整</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本公司设有固定收益部，结合各成员债券研究和投资管理经验，评估债券价格与内在价值偏离幅度是否可靠，据此构建债券投资组合。</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中债综合指数收益率</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本基金为债券型基金，风险与预期收益高于货币市场基金，低于混合型基金和股票型基金。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渤海银行股份有限公司</w:t>
            </w:r>
          </w:p>
        </w:tc>
      </w:tr>
    </w:tbl>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220C32" w:rsidRPr="00E74406" w:rsidTr="00237F09">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hMerge w:val="restart"/>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Pr="00E74406">
              <w:rPr>
                <w:rFonts w:eastAsiaTheme="minorEastAsia"/>
                <w:color w:val="000000" w:themeColor="text1"/>
                <w:sz w:val="24"/>
                <w:szCs w:val="24"/>
              </w:rPr>
              <w:t>31</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c>
          <w:tcPr>
            <w:tcW w:w="2410" w:type="dxa"/>
            <w:hMerge/>
            <w:vAlign w:val="center"/>
          </w:tcPr>
          <w:p w:rsidR="00C21520" w:rsidRPr="00E74406" w:rsidRDefault="00C21520"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上期金额</w:t>
            </w:r>
          </w:p>
        </w:tc>
      </w:tr>
      <w:tr w:rsidR="00220C32" w:rsidRPr="00E74406" w:rsidTr="00237F09">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hMerge w:val="restart"/>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5,678,628.57</w:t>
            </w:r>
          </w:p>
        </w:tc>
        <w:tc>
          <w:tcPr>
            <w:tcW w:w="2410" w:type="dxa"/>
            <w:hMerge/>
            <w:vAlign w:val="center"/>
          </w:tcPr>
          <w:p w:rsidR="00C21520" w:rsidRPr="00E74406" w:rsidRDefault="006A7AF1"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237F09">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hMerge w:val="restart"/>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5,359,103.43</w:t>
            </w:r>
          </w:p>
        </w:tc>
        <w:tc>
          <w:tcPr>
            <w:tcW w:w="2410" w:type="dxa"/>
            <w:hMerge/>
            <w:vAlign w:val="center"/>
          </w:tcPr>
          <w:p w:rsidR="00C21520" w:rsidRPr="00E74406" w:rsidRDefault="006A7AF1"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237F09">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hMerge w:val="restart"/>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0.0107</w:t>
            </w:r>
          </w:p>
        </w:tc>
        <w:tc>
          <w:tcPr>
            <w:tcW w:w="2410" w:type="dxa"/>
            <w:hMerge/>
            <w:vAlign w:val="center"/>
          </w:tcPr>
          <w:p w:rsidR="00C21520" w:rsidRPr="00E74406" w:rsidRDefault="006A7AF1"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237F09">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hMerge w:val="restart"/>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505,930,608.27</w:t>
            </w:r>
          </w:p>
        </w:tc>
        <w:tc>
          <w:tcPr>
            <w:tcW w:w="2410" w:type="dxa"/>
            <w:hMerge/>
            <w:vAlign w:val="center"/>
          </w:tcPr>
          <w:p w:rsidR="00C21520" w:rsidRPr="00E74406" w:rsidRDefault="006A7AF1"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237F09">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hMerge w:val="restart"/>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1.0128</w:t>
            </w:r>
          </w:p>
        </w:tc>
        <w:tc>
          <w:tcPr>
            <w:tcW w:w="2410" w:type="dxa"/>
            <w:hMerge/>
            <w:vAlign w:val="center"/>
          </w:tcPr>
          <w:p w:rsidR="00C21520" w:rsidRPr="00E74406" w:rsidRDefault="006A7AF1"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bl>
    <w:p w:rsidR="002D524E" w:rsidRDefault="00E9511F">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E74406" w:rsidTr="00BD7703">
        <w:tc>
          <w:tcPr>
            <w:tcW w:w="1395"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1092"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2D524E">
        <w:tc>
          <w:tcPr>
            <w:tcW w:w="1395" w:type="dxa"/>
            <w:vAlign w:val="center"/>
          </w:tcPr>
          <w:p w:rsidR="002D524E" w:rsidRDefault="00E9511F">
            <w:pPr>
              <w:jc w:val="left"/>
            </w:pPr>
            <w:r>
              <w:rPr>
                <w:rFonts w:eastAsiaTheme="minorEastAsia"/>
                <w:color w:val="000000" w:themeColor="text1"/>
                <w:sz w:val="24"/>
                <w:szCs w:val="24"/>
              </w:rPr>
              <w:t>过去三个月</w:t>
            </w:r>
          </w:p>
        </w:tc>
        <w:tc>
          <w:tcPr>
            <w:tcW w:w="1092" w:type="dxa"/>
            <w:vAlign w:val="center"/>
          </w:tcPr>
          <w:p w:rsidR="002D524E" w:rsidRDefault="00E9511F">
            <w:pPr>
              <w:jc w:val="center"/>
            </w:pPr>
            <w:r>
              <w:rPr>
                <w:rFonts w:eastAsiaTheme="minorEastAsia"/>
                <w:color w:val="000000" w:themeColor="text1"/>
                <w:sz w:val="24"/>
                <w:szCs w:val="24"/>
              </w:rPr>
              <w:t>1.05%</w:t>
            </w:r>
          </w:p>
        </w:tc>
        <w:tc>
          <w:tcPr>
            <w:tcW w:w="1161" w:type="dxa"/>
            <w:vAlign w:val="center"/>
          </w:tcPr>
          <w:p w:rsidR="002D524E" w:rsidRDefault="00E9511F">
            <w:pPr>
              <w:jc w:val="center"/>
            </w:pPr>
            <w:r>
              <w:rPr>
                <w:rFonts w:eastAsiaTheme="minorEastAsia"/>
                <w:color w:val="000000" w:themeColor="text1"/>
                <w:sz w:val="24"/>
                <w:szCs w:val="24"/>
              </w:rPr>
              <w:t>0.05%</w:t>
            </w:r>
          </w:p>
        </w:tc>
        <w:tc>
          <w:tcPr>
            <w:tcW w:w="1181" w:type="dxa"/>
            <w:vAlign w:val="center"/>
          </w:tcPr>
          <w:p w:rsidR="002D524E" w:rsidRDefault="00E9511F">
            <w:pPr>
              <w:jc w:val="center"/>
            </w:pPr>
            <w:r>
              <w:rPr>
                <w:rFonts w:eastAsiaTheme="minorEastAsia"/>
                <w:color w:val="000000" w:themeColor="text1"/>
                <w:sz w:val="24"/>
                <w:szCs w:val="24"/>
              </w:rPr>
              <w:t>0.47%</w:t>
            </w:r>
          </w:p>
        </w:tc>
        <w:tc>
          <w:tcPr>
            <w:tcW w:w="1188" w:type="dxa"/>
            <w:vAlign w:val="center"/>
          </w:tcPr>
          <w:p w:rsidR="002D524E" w:rsidRDefault="00E9511F">
            <w:pPr>
              <w:jc w:val="center"/>
            </w:pPr>
            <w:r>
              <w:rPr>
                <w:rFonts w:eastAsiaTheme="minorEastAsia"/>
                <w:color w:val="000000" w:themeColor="text1"/>
                <w:sz w:val="24"/>
                <w:szCs w:val="24"/>
              </w:rPr>
              <w:t>0.05%</w:t>
            </w:r>
          </w:p>
        </w:tc>
        <w:tc>
          <w:tcPr>
            <w:tcW w:w="1199" w:type="dxa"/>
            <w:vAlign w:val="center"/>
          </w:tcPr>
          <w:p w:rsidR="002D524E" w:rsidRDefault="00E9511F">
            <w:pPr>
              <w:jc w:val="center"/>
            </w:pPr>
            <w:r>
              <w:rPr>
                <w:rFonts w:eastAsiaTheme="minorEastAsia"/>
                <w:color w:val="000000" w:themeColor="text1"/>
                <w:sz w:val="24"/>
                <w:szCs w:val="24"/>
              </w:rPr>
              <w:t>0.58%</w:t>
            </w:r>
          </w:p>
        </w:tc>
        <w:tc>
          <w:tcPr>
            <w:tcW w:w="1204" w:type="dxa"/>
            <w:vAlign w:val="center"/>
          </w:tcPr>
          <w:p w:rsidR="002D524E" w:rsidRDefault="00E9511F">
            <w:pPr>
              <w:jc w:val="center"/>
            </w:pPr>
            <w:r>
              <w:rPr>
                <w:rFonts w:eastAsiaTheme="minorEastAsia"/>
                <w:color w:val="000000" w:themeColor="text1"/>
                <w:sz w:val="24"/>
                <w:szCs w:val="24"/>
              </w:rPr>
              <w:t>0.00%</w:t>
            </w:r>
          </w:p>
        </w:tc>
      </w:tr>
    </w:tbl>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注：本基金为债券型基金，风险与预期收益高于货币市场基金，低于混合型基金和股票型基金。本基金选取中债综合指数收益率作为本基金的业绩比较基准。</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国投瑞银顺昌纯债债券型证券投资基金</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2018</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9</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6</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2019</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3</w:t>
      </w:r>
      <w:r w:rsidRPr="00E74406">
        <w:rPr>
          <w:rFonts w:ascii="Times New Roman" w:eastAsiaTheme="minorEastAsia" w:hAnsi="Times New Roman" w:cs="Times New Roman"/>
          <w:color w:val="000000" w:themeColor="text1"/>
          <w:sz w:val="24"/>
          <w:szCs w:val="24"/>
        </w:rPr>
        <w:t>月</w:t>
      </w:r>
      <w:r w:rsidRPr="00E74406">
        <w:rPr>
          <w:rFonts w:ascii="Times New Roman" w:eastAsiaTheme="minorEastAsia" w:hAnsi="Times New Roman" w:cs="Times New Roman"/>
          <w:color w:val="000000" w:themeColor="text1"/>
          <w:sz w:val="24"/>
          <w:szCs w:val="24"/>
        </w:rPr>
        <w:t>31</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2D524E" w:rsidRDefault="00E9511F">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、本基金建仓期为自基金合同生效日起的</w:t>
      </w:r>
      <w:r>
        <w:rPr>
          <w:rFonts w:eastAsiaTheme="minorEastAsia"/>
          <w:color w:val="000000" w:themeColor="text1"/>
          <w:sz w:val="24"/>
          <w:szCs w:val="24"/>
        </w:rPr>
        <w:t>6</w:t>
      </w:r>
      <w:r>
        <w:rPr>
          <w:rFonts w:eastAsiaTheme="minorEastAsia"/>
          <w:color w:val="000000" w:themeColor="text1"/>
          <w:sz w:val="24"/>
          <w:szCs w:val="24"/>
        </w:rPr>
        <w:t>个月。截至建仓期结束，本基金各项资产配置比例符合基金合同及招募说明书有关投资比例的约定。</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、本基金基金合同生效日为</w:t>
      </w:r>
      <w:r w:rsidRPr="00313F0D">
        <w:rPr>
          <w:rFonts w:eastAsiaTheme="minorEastAsia"/>
          <w:color w:val="000000" w:themeColor="text1"/>
          <w:sz w:val="24"/>
          <w:szCs w:val="24"/>
        </w:rPr>
        <w:t>2018</w:t>
      </w:r>
      <w:r w:rsidRPr="00313F0D">
        <w:rPr>
          <w:rFonts w:eastAsiaTheme="minorEastAsia"/>
          <w:color w:val="000000" w:themeColor="text1"/>
          <w:sz w:val="24"/>
          <w:szCs w:val="24"/>
        </w:rPr>
        <w:t>年</w:t>
      </w:r>
      <w:r w:rsidRPr="00313F0D">
        <w:rPr>
          <w:rFonts w:eastAsiaTheme="minorEastAsia"/>
          <w:color w:val="000000" w:themeColor="text1"/>
          <w:sz w:val="24"/>
          <w:szCs w:val="24"/>
        </w:rPr>
        <w:t>9</w:t>
      </w:r>
      <w:r w:rsidRPr="00313F0D">
        <w:rPr>
          <w:rFonts w:eastAsiaTheme="minorEastAsia"/>
          <w:color w:val="000000" w:themeColor="text1"/>
          <w:sz w:val="24"/>
          <w:szCs w:val="24"/>
        </w:rPr>
        <w:t>月</w:t>
      </w:r>
      <w:r w:rsidRPr="00313F0D">
        <w:rPr>
          <w:rFonts w:eastAsiaTheme="minorEastAsia"/>
          <w:color w:val="000000" w:themeColor="text1"/>
          <w:sz w:val="24"/>
          <w:szCs w:val="24"/>
        </w:rPr>
        <w:t>6</w:t>
      </w:r>
      <w:r w:rsidRPr="00313F0D">
        <w:rPr>
          <w:rFonts w:eastAsiaTheme="minorEastAsia"/>
          <w:color w:val="000000" w:themeColor="text1"/>
          <w:sz w:val="24"/>
          <w:szCs w:val="24"/>
        </w:rPr>
        <w:t>日，基金合同生效日至本报告期期末，本基金运作时间未满一年。</w:t>
      </w:r>
    </w:p>
    <w:p w:rsidR="00957594" w:rsidRPr="00E74406" w:rsidRDefault="00957594" w:rsidP="004061AC">
      <w:pPr>
        <w:tabs>
          <w:tab w:val="left" w:pos="1800"/>
        </w:tabs>
        <w:spacing w:line="360" w:lineRule="auto"/>
        <w:rPr>
          <w:rFonts w:eastAsiaTheme="minorEastAsia"/>
          <w:color w:val="000000" w:themeColor="text1"/>
          <w:sz w:val="24"/>
          <w:szCs w:val="24"/>
        </w:rPr>
      </w:pPr>
    </w:p>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2D524E">
        <w:tc>
          <w:tcPr>
            <w:tcW w:w="851" w:type="dxa"/>
            <w:vAlign w:val="center"/>
          </w:tcPr>
          <w:p w:rsidR="002D524E" w:rsidRDefault="00E9511F">
            <w:pPr>
              <w:jc w:val="center"/>
            </w:pPr>
            <w:r>
              <w:rPr>
                <w:rFonts w:eastAsiaTheme="minorEastAsia"/>
                <w:color w:val="000000" w:themeColor="text1"/>
                <w:sz w:val="24"/>
                <w:szCs w:val="24"/>
              </w:rPr>
              <w:t>李达夫</w:t>
            </w:r>
          </w:p>
        </w:tc>
        <w:tc>
          <w:tcPr>
            <w:tcW w:w="850" w:type="dxa"/>
            <w:vAlign w:val="center"/>
          </w:tcPr>
          <w:p w:rsidR="002D524E" w:rsidRDefault="00E9511F">
            <w:pPr>
              <w:jc w:val="center"/>
            </w:pPr>
            <w:r>
              <w:rPr>
                <w:rFonts w:eastAsiaTheme="minorEastAsia"/>
                <w:color w:val="000000" w:themeColor="text1"/>
                <w:sz w:val="24"/>
                <w:szCs w:val="24"/>
              </w:rPr>
              <w:t>本基金基金经理、固定收益部副总监</w:t>
            </w:r>
          </w:p>
        </w:tc>
        <w:tc>
          <w:tcPr>
            <w:tcW w:w="1560" w:type="dxa"/>
            <w:vAlign w:val="center"/>
          </w:tcPr>
          <w:p w:rsidR="002D524E" w:rsidRDefault="00E9511F">
            <w:pPr>
              <w:jc w:val="center"/>
            </w:pPr>
            <w:r>
              <w:rPr>
                <w:rFonts w:eastAsiaTheme="minorEastAsia"/>
                <w:color w:val="000000" w:themeColor="text1"/>
                <w:sz w:val="24"/>
                <w:szCs w:val="24"/>
              </w:rPr>
              <w:t>2018-09-06</w:t>
            </w:r>
          </w:p>
        </w:tc>
        <w:tc>
          <w:tcPr>
            <w:tcW w:w="1559" w:type="dxa"/>
            <w:vAlign w:val="center"/>
          </w:tcPr>
          <w:p w:rsidR="002D524E" w:rsidRDefault="00E9511F">
            <w:pPr>
              <w:jc w:val="center"/>
            </w:pPr>
            <w:r>
              <w:rPr>
                <w:rFonts w:eastAsiaTheme="minorEastAsia"/>
                <w:color w:val="000000" w:themeColor="text1"/>
                <w:sz w:val="24"/>
                <w:szCs w:val="24"/>
              </w:rPr>
              <w:t>-</w:t>
            </w:r>
          </w:p>
        </w:tc>
        <w:tc>
          <w:tcPr>
            <w:tcW w:w="1417" w:type="dxa"/>
            <w:vAlign w:val="center"/>
          </w:tcPr>
          <w:p w:rsidR="002D524E" w:rsidRDefault="00E9511F">
            <w:pPr>
              <w:jc w:val="center"/>
            </w:pPr>
            <w:r>
              <w:rPr>
                <w:rFonts w:eastAsiaTheme="minorEastAsia"/>
                <w:color w:val="000000" w:themeColor="text1"/>
                <w:sz w:val="24"/>
                <w:szCs w:val="24"/>
              </w:rPr>
              <w:t>13</w:t>
            </w:r>
          </w:p>
        </w:tc>
        <w:tc>
          <w:tcPr>
            <w:tcW w:w="2694" w:type="dxa"/>
            <w:vAlign w:val="center"/>
          </w:tcPr>
          <w:p w:rsidR="002D524E" w:rsidRDefault="00E9511F">
            <w:r>
              <w:rPr>
                <w:rFonts w:eastAsiaTheme="minorEastAsia"/>
                <w:color w:val="000000" w:themeColor="text1"/>
                <w:sz w:val="24"/>
                <w:szCs w:val="24"/>
              </w:rPr>
              <w:t>中国籍，硕士，具有基金从业资格，特许金融分析师协会（</w:t>
            </w:r>
            <w:r>
              <w:rPr>
                <w:rFonts w:eastAsiaTheme="minorEastAsia"/>
                <w:color w:val="000000" w:themeColor="text1"/>
                <w:sz w:val="24"/>
                <w:szCs w:val="24"/>
              </w:rPr>
              <w:t>CFA Institute</w:t>
            </w:r>
            <w:r>
              <w:rPr>
                <w:rFonts w:eastAsiaTheme="minorEastAsia"/>
                <w:color w:val="000000" w:themeColor="text1"/>
                <w:sz w:val="24"/>
                <w:szCs w:val="24"/>
              </w:rPr>
              <w:t>）和全球风险协会（</w:t>
            </w:r>
            <w:r>
              <w:rPr>
                <w:rFonts w:eastAsiaTheme="minorEastAsia"/>
                <w:color w:val="000000" w:themeColor="text1"/>
                <w:sz w:val="24"/>
                <w:szCs w:val="24"/>
              </w:rPr>
              <w:t>GARP</w:t>
            </w:r>
            <w:r>
              <w:rPr>
                <w:rFonts w:eastAsiaTheme="minorEastAsia"/>
                <w:color w:val="000000" w:themeColor="text1"/>
                <w:sz w:val="24"/>
                <w:szCs w:val="24"/>
              </w:rPr>
              <w:t>）会员，拥有特许金融分析师（</w:t>
            </w:r>
            <w:r>
              <w:rPr>
                <w:rFonts w:eastAsiaTheme="minorEastAsia"/>
                <w:color w:val="000000" w:themeColor="text1"/>
                <w:sz w:val="24"/>
                <w:szCs w:val="24"/>
              </w:rPr>
              <w:t>CFA</w:t>
            </w:r>
            <w:r>
              <w:rPr>
                <w:rFonts w:eastAsiaTheme="minorEastAsia"/>
                <w:color w:val="000000" w:themeColor="text1"/>
                <w:sz w:val="24"/>
                <w:szCs w:val="24"/>
              </w:rPr>
              <w:t>）和金融风险管理师（</w:t>
            </w:r>
            <w:r>
              <w:rPr>
                <w:rFonts w:eastAsiaTheme="minorEastAsia"/>
                <w:color w:val="000000" w:themeColor="text1"/>
                <w:sz w:val="24"/>
                <w:szCs w:val="24"/>
              </w:rPr>
              <w:t>FRM</w:t>
            </w:r>
            <w:r>
              <w:rPr>
                <w:rFonts w:eastAsiaTheme="minorEastAsia"/>
                <w:color w:val="000000" w:themeColor="text1"/>
                <w:sz w:val="24"/>
                <w:szCs w:val="24"/>
              </w:rPr>
              <w:t>）资格。曾任东莞农商银行资金营运中心交易员、研究员，国投瑞银基金管理有限公司交易员、研究员、基金经理，大成基金管理有限公司基金经理。曾任国投瑞银货币市场基金、大成货币市场证券投资基金、大成现金增利货币市场证券投资基金、大成景安短融债券型证券投资基金、大成信用增利一年定期开放债券型证券投资基金及大成恒丰宝货币市场基金基金经理。</w:t>
            </w:r>
            <w:r>
              <w:rPr>
                <w:rFonts w:eastAsiaTheme="minorEastAsia"/>
                <w:color w:val="000000" w:themeColor="text1"/>
                <w:sz w:val="24"/>
                <w:szCs w:val="24"/>
              </w:rPr>
              <w:t>2016</w:t>
            </w:r>
            <w:r>
              <w:rPr>
                <w:rFonts w:eastAsiaTheme="minorEastAsia"/>
                <w:color w:val="000000" w:themeColor="text1"/>
                <w:sz w:val="24"/>
                <w:szCs w:val="24"/>
              </w:rPr>
              <w:t>年</w:t>
            </w:r>
            <w:r>
              <w:rPr>
                <w:rFonts w:eastAsiaTheme="minorEastAsia"/>
                <w:color w:val="000000" w:themeColor="text1"/>
                <w:sz w:val="24"/>
                <w:szCs w:val="24"/>
              </w:rPr>
              <w:t>10</w:t>
            </w:r>
            <w:r>
              <w:rPr>
                <w:rFonts w:eastAsiaTheme="minorEastAsia"/>
                <w:color w:val="000000" w:themeColor="text1"/>
                <w:sz w:val="24"/>
                <w:szCs w:val="24"/>
              </w:rPr>
              <w:t>月加入国</w:t>
            </w:r>
            <w:r>
              <w:rPr>
                <w:rFonts w:eastAsiaTheme="minorEastAsia"/>
                <w:color w:val="000000" w:themeColor="text1"/>
                <w:sz w:val="24"/>
                <w:szCs w:val="24"/>
              </w:rPr>
              <w:t>投瑞银基金管理有限公司，现任国投瑞银货币市场基金、国投瑞银钱多宝货币市场基金、国投瑞银增利宝货币市场基金、国投瑞银添利宝货币市场基金、国投瑞银岁添利一年期定期开放债券型证券投资基金、国投瑞银新活力定期开放混合型证券投资基金（原国投瑞银新活力灵活配置混合型证券投资基金）、国投瑞银顺达纯债债券型证券投资基金、国投瑞银顺昌纯债债券型证券投资基金、国投瑞银顺祥定期开放债券型发起式证券投资基金、国投瑞银恒泽中短债债券型证券投资基金及国投瑞银优选收益混合型证券投资基金经理。</w:t>
            </w:r>
          </w:p>
        </w:tc>
      </w:tr>
      <w:tr w:rsidR="002D524E">
        <w:tc>
          <w:tcPr>
            <w:tcW w:w="851" w:type="dxa"/>
            <w:vAlign w:val="center"/>
          </w:tcPr>
          <w:p w:rsidR="002D524E" w:rsidRDefault="00E9511F">
            <w:pPr>
              <w:jc w:val="center"/>
            </w:pPr>
            <w:r>
              <w:rPr>
                <w:rFonts w:eastAsiaTheme="minorEastAsia"/>
                <w:color w:val="000000" w:themeColor="text1"/>
                <w:sz w:val="24"/>
                <w:szCs w:val="24"/>
              </w:rPr>
              <w:t>徐栋</w:t>
            </w:r>
          </w:p>
        </w:tc>
        <w:tc>
          <w:tcPr>
            <w:tcW w:w="850" w:type="dxa"/>
            <w:vAlign w:val="center"/>
          </w:tcPr>
          <w:p w:rsidR="002D524E" w:rsidRDefault="00E9511F">
            <w:pPr>
              <w:jc w:val="center"/>
            </w:pPr>
            <w:r>
              <w:rPr>
                <w:rFonts w:eastAsiaTheme="minorEastAsia"/>
                <w:color w:val="000000" w:themeColor="text1"/>
                <w:sz w:val="24"/>
                <w:szCs w:val="24"/>
              </w:rPr>
              <w:t>本基金基金经理</w:t>
            </w:r>
          </w:p>
        </w:tc>
        <w:tc>
          <w:tcPr>
            <w:tcW w:w="1560" w:type="dxa"/>
            <w:vAlign w:val="center"/>
          </w:tcPr>
          <w:p w:rsidR="002D524E" w:rsidRDefault="00E9511F">
            <w:pPr>
              <w:jc w:val="center"/>
            </w:pPr>
            <w:r>
              <w:rPr>
                <w:rFonts w:eastAsiaTheme="minorEastAsia"/>
                <w:color w:val="000000" w:themeColor="text1"/>
                <w:sz w:val="24"/>
                <w:szCs w:val="24"/>
              </w:rPr>
              <w:t>2018-09-15</w:t>
            </w:r>
          </w:p>
        </w:tc>
        <w:tc>
          <w:tcPr>
            <w:tcW w:w="1559" w:type="dxa"/>
            <w:vAlign w:val="center"/>
          </w:tcPr>
          <w:p w:rsidR="002D524E" w:rsidRDefault="00E9511F">
            <w:pPr>
              <w:jc w:val="center"/>
            </w:pPr>
            <w:r>
              <w:rPr>
                <w:rFonts w:eastAsiaTheme="minorEastAsia"/>
                <w:color w:val="000000" w:themeColor="text1"/>
                <w:sz w:val="24"/>
                <w:szCs w:val="24"/>
              </w:rPr>
              <w:t>-</w:t>
            </w:r>
          </w:p>
        </w:tc>
        <w:tc>
          <w:tcPr>
            <w:tcW w:w="1417" w:type="dxa"/>
            <w:vAlign w:val="center"/>
          </w:tcPr>
          <w:p w:rsidR="002D524E" w:rsidRDefault="00E9511F">
            <w:pPr>
              <w:jc w:val="center"/>
            </w:pPr>
            <w:r>
              <w:rPr>
                <w:rFonts w:eastAsiaTheme="minorEastAsia"/>
                <w:color w:val="000000" w:themeColor="text1"/>
                <w:sz w:val="24"/>
                <w:szCs w:val="24"/>
              </w:rPr>
              <w:t>10</w:t>
            </w:r>
          </w:p>
        </w:tc>
        <w:tc>
          <w:tcPr>
            <w:tcW w:w="2694" w:type="dxa"/>
            <w:vAlign w:val="center"/>
          </w:tcPr>
          <w:p w:rsidR="002D524E" w:rsidRDefault="00E9511F">
            <w:r>
              <w:rPr>
                <w:rFonts w:eastAsiaTheme="minorEastAsia"/>
                <w:color w:val="000000" w:themeColor="text1"/>
                <w:sz w:val="24"/>
                <w:szCs w:val="24"/>
              </w:rPr>
              <w:t>中国籍，硕士，具有基金从业资格，注册会计师协会</w:t>
            </w:r>
            <w:r>
              <w:rPr>
                <w:rFonts w:eastAsiaTheme="minorEastAsia"/>
                <w:color w:val="000000" w:themeColor="text1"/>
                <w:sz w:val="24"/>
                <w:szCs w:val="24"/>
              </w:rPr>
              <w:t>(CICPA)</w:t>
            </w:r>
            <w:r>
              <w:rPr>
                <w:rFonts w:eastAsiaTheme="minorEastAsia"/>
                <w:color w:val="000000" w:themeColor="text1"/>
                <w:sz w:val="24"/>
                <w:szCs w:val="24"/>
              </w:rPr>
              <w:t>非执业会员，特许金融分析师协会</w:t>
            </w:r>
            <w:r>
              <w:rPr>
                <w:rFonts w:eastAsiaTheme="minorEastAsia"/>
                <w:color w:val="000000" w:themeColor="text1"/>
                <w:sz w:val="24"/>
                <w:szCs w:val="24"/>
              </w:rPr>
              <w:t>(CFA)</w:t>
            </w:r>
            <w:r>
              <w:rPr>
                <w:rFonts w:eastAsiaTheme="minorEastAsia"/>
                <w:color w:val="000000" w:themeColor="text1"/>
                <w:sz w:val="24"/>
                <w:szCs w:val="24"/>
              </w:rPr>
              <w:t>会员。</w:t>
            </w:r>
            <w:r>
              <w:rPr>
                <w:rFonts w:eastAsiaTheme="minorEastAsia"/>
                <w:color w:val="000000" w:themeColor="text1"/>
                <w:sz w:val="24"/>
                <w:szCs w:val="24"/>
              </w:rPr>
              <w:t>2009</w:t>
            </w:r>
            <w:r>
              <w:rPr>
                <w:rFonts w:eastAsiaTheme="minorEastAsia"/>
                <w:color w:val="000000" w:themeColor="text1"/>
                <w:sz w:val="24"/>
                <w:szCs w:val="24"/>
              </w:rPr>
              <w:t>年</w:t>
            </w:r>
            <w:r>
              <w:rPr>
                <w:rFonts w:eastAsiaTheme="minorEastAsia"/>
                <w:color w:val="000000" w:themeColor="text1"/>
                <w:sz w:val="24"/>
                <w:szCs w:val="24"/>
              </w:rPr>
              <w:t>7</w:t>
            </w:r>
            <w:r>
              <w:rPr>
                <w:rFonts w:eastAsiaTheme="minorEastAsia"/>
                <w:color w:val="000000" w:themeColor="text1"/>
                <w:sz w:val="24"/>
                <w:szCs w:val="24"/>
              </w:rPr>
              <w:t>月加入国投瑞银，从事固定收益研究工作。曾任国投瑞银瑞易货币市场基金、国投瑞银钱多宝货币市场基金、国投瑞银增利宝货币市场基金、国投瑞银货币市场基金及国投瑞银岁添利一年期定期开放债券型证券投资基金基金经理。现任国投瑞银双债增利债券型证券投资基金、国投瑞银进宝灵活配置混合型证券投资基金（原国投瑞银进宝保本混合型证券投资基金）、国投瑞银瑞兴灵活配置混合型证券投资基金（原国投瑞银瑞兴保本混</w:t>
            </w:r>
            <w:r>
              <w:rPr>
                <w:rFonts w:eastAsiaTheme="minorEastAsia"/>
                <w:color w:val="000000" w:themeColor="text1"/>
                <w:sz w:val="24"/>
                <w:szCs w:val="24"/>
              </w:rPr>
              <w:t>合型证券投资基金）、国投瑞银和顺债券型证券投资基金、国投瑞银顺达纯债债券型证券投资基金及国投瑞银顺昌纯债债券型证券投资基金基金经理。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顺昌纯债债券型证券投资基金基金合同》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年一季度，在经济下行压力凸显、</w:t>
      </w:r>
      <w:r w:rsidRPr="00E74406">
        <w:rPr>
          <w:rFonts w:eastAsiaTheme="minorEastAsia"/>
          <w:color w:val="000000" w:themeColor="text1"/>
          <w:sz w:val="24"/>
          <w:szCs w:val="24"/>
        </w:rPr>
        <w:t>“</w:t>
      </w:r>
      <w:r w:rsidRPr="00E74406">
        <w:rPr>
          <w:rFonts w:eastAsiaTheme="minorEastAsia"/>
          <w:color w:val="000000" w:themeColor="text1"/>
          <w:sz w:val="24"/>
          <w:szCs w:val="24"/>
        </w:rPr>
        <w:t>稳增长</w:t>
      </w:r>
      <w:r w:rsidRPr="00E74406">
        <w:rPr>
          <w:rFonts w:eastAsiaTheme="minorEastAsia"/>
          <w:color w:val="000000" w:themeColor="text1"/>
          <w:sz w:val="24"/>
          <w:szCs w:val="24"/>
        </w:rPr>
        <w:t>”</w:t>
      </w:r>
      <w:r w:rsidRPr="00E74406">
        <w:rPr>
          <w:rFonts w:eastAsiaTheme="minorEastAsia"/>
          <w:color w:val="000000" w:themeColor="text1"/>
          <w:sz w:val="24"/>
          <w:szCs w:val="24"/>
        </w:rPr>
        <w:t>重要性提升的背景下，信贷投放大幅度增加，社融增速见底回升，市场对经济年中见底预期强烈，推动权益市场大幅度反弹、债券收益率也出现较大幅度回升。顺达基金在一季度小幅度压缩了组合久期，但随着</w:t>
      </w:r>
      <w:r w:rsidRPr="00E74406">
        <w:rPr>
          <w:rFonts w:eastAsiaTheme="minorEastAsia"/>
          <w:color w:val="000000" w:themeColor="text1"/>
          <w:sz w:val="24"/>
          <w:szCs w:val="24"/>
        </w:rPr>
        <w:t>4</w:t>
      </w:r>
      <w:r w:rsidRPr="00E74406">
        <w:rPr>
          <w:rFonts w:eastAsiaTheme="minorEastAsia"/>
          <w:color w:val="000000" w:themeColor="text1"/>
          <w:sz w:val="24"/>
          <w:szCs w:val="24"/>
        </w:rPr>
        <w:t>月初收益率大幅度反弹，净值也出现一定的回撤。</w:t>
      </w:r>
      <w:r w:rsidRPr="00E74406">
        <w:rPr>
          <w:rFonts w:eastAsiaTheme="minorEastAsia"/>
          <w:color w:val="000000" w:themeColor="text1"/>
          <w:sz w:val="24"/>
          <w:szCs w:val="24"/>
        </w:rPr>
        <w:t>2019</w:t>
      </w:r>
      <w:r w:rsidRPr="00E74406">
        <w:rPr>
          <w:rFonts w:eastAsiaTheme="minorEastAsia"/>
          <w:color w:val="000000" w:themeColor="text1"/>
          <w:sz w:val="24"/>
          <w:szCs w:val="24"/>
        </w:rPr>
        <w:t>年二季度预计社融仍旧会保持</w:t>
      </w:r>
      <w:r w:rsidRPr="00E74406">
        <w:rPr>
          <w:rFonts w:eastAsiaTheme="minorEastAsia"/>
          <w:color w:val="000000" w:themeColor="text1"/>
          <w:sz w:val="24"/>
          <w:szCs w:val="24"/>
        </w:rPr>
        <w:t>10%</w:t>
      </w:r>
      <w:r w:rsidRPr="00E74406">
        <w:rPr>
          <w:rFonts w:eastAsiaTheme="minorEastAsia"/>
          <w:color w:val="000000" w:themeColor="text1"/>
          <w:sz w:val="24"/>
          <w:szCs w:val="24"/>
        </w:rPr>
        <w:t>的增速，但提升幅度会显著小于一季度；我们认为社融扩张、经济回升的持续性较弱，不排除下半年回落的可能。站在目前利率债收益率的位置，我们会考虑择机增加利率债的持仓，逐步拉长组合久期；时点上可能会观察通胀高点以及出现社融明显的回落趋势。</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截止报告期末，本基金份额净值为</w:t>
      </w:r>
      <w:r w:rsidRPr="00E74406">
        <w:rPr>
          <w:rFonts w:eastAsiaTheme="minorEastAsia"/>
          <w:color w:val="000000" w:themeColor="text1"/>
          <w:sz w:val="24"/>
          <w:szCs w:val="24"/>
        </w:rPr>
        <w:t>1.0128</w:t>
      </w:r>
      <w:r w:rsidRPr="00E74406">
        <w:rPr>
          <w:rFonts w:eastAsiaTheme="minorEastAsia"/>
          <w:color w:val="000000" w:themeColor="text1"/>
          <w:sz w:val="24"/>
          <w:szCs w:val="24"/>
        </w:rPr>
        <w:t>元，本报告期份额净值增长率为</w:t>
      </w:r>
      <w:r w:rsidRPr="00E74406">
        <w:rPr>
          <w:rFonts w:eastAsiaTheme="minorEastAsia"/>
          <w:color w:val="000000" w:themeColor="text1"/>
          <w:sz w:val="24"/>
          <w:szCs w:val="24"/>
        </w:rPr>
        <w:t>1.05%</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0.47%</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661,440,204.00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97.03</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661,440,204.00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97.03</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95020">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6,553,415.83</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0.96</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13,705,647.74</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2.01</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681,699,267.57</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p w:rsidR="008A409E" w:rsidRPr="00E74406"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本基金本报告期末未持有股票。</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本基金本报告期末未持有股票。</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E74406" w:rsidTr="0069426C">
        <w:trPr>
          <w:jc w:val="center"/>
        </w:trPr>
        <w:tc>
          <w:tcPr>
            <w:tcW w:w="817"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260"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债券品种</w:t>
            </w:r>
          </w:p>
        </w:tc>
        <w:tc>
          <w:tcPr>
            <w:tcW w:w="294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729" w:type="dxa"/>
            <w:vAlign w:val="center"/>
          </w:tcPr>
          <w:p w:rsidR="00AC592E" w:rsidRPr="00E74406" w:rsidRDefault="00AC592E"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国家债券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央行票据</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506,141,204.00</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100.04</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其中：政策性金融债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465,861,204.00</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92.08</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企业债券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AC592E"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260" w:type="dxa"/>
            <w:vAlign w:val="center"/>
          </w:tcPr>
          <w:p w:rsidR="00AC592E" w:rsidRPr="00E74406" w:rsidRDefault="00AC592E"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企业短期融资</w:t>
            </w:r>
            <w:r w:rsidR="00963F40" w:rsidRPr="00E74406">
              <w:rPr>
                <w:rFonts w:eastAsiaTheme="minorEastAsia"/>
                <w:color w:val="000000" w:themeColor="text1"/>
                <w:sz w:val="24"/>
                <w:szCs w:val="24"/>
              </w:rPr>
              <w:t>券</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FB41D3"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260" w:type="dxa"/>
            <w:vAlign w:val="center"/>
          </w:tcPr>
          <w:p w:rsidR="00FB41D3" w:rsidRPr="00E74406" w:rsidRDefault="00FB41D3" w:rsidP="000140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中期票据</w:t>
            </w:r>
          </w:p>
        </w:tc>
        <w:tc>
          <w:tcPr>
            <w:tcW w:w="294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FB41D3" w:rsidRPr="00E74406" w:rsidRDefault="00FB41D3"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817" w:type="dxa"/>
            <w:vAlign w:val="center"/>
          </w:tcPr>
          <w:p w:rsidR="00AC592E" w:rsidRPr="00E74406" w:rsidRDefault="00FB41D3" w:rsidP="00582D99">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260" w:type="dxa"/>
            <w:vAlign w:val="center"/>
          </w:tcPr>
          <w:p w:rsidR="00AC592E" w:rsidRPr="00E74406" w:rsidRDefault="00AC592E"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可转债</w:t>
            </w:r>
            <w:r w:rsidR="007B490D" w:rsidRPr="00E74406">
              <w:rPr>
                <w:rFonts w:eastAsiaTheme="minorEastAsia"/>
                <w:color w:val="000000" w:themeColor="text1"/>
                <w:sz w:val="24"/>
                <w:szCs w:val="24"/>
              </w:rPr>
              <w:t>（可交换债）</w:t>
            </w:r>
          </w:p>
        </w:tc>
        <w:tc>
          <w:tcPr>
            <w:tcW w:w="294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AC592E" w:rsidRPr="00E74406" w:rsidRDefault="00AC592E"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D234E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260" w:type="dxa"/>
            <w:vAlign w:val="center"/>
          </w:tcPr>
          <w:p w:rsidR="00305A29" w:rsidRPr="00E74406" w:rsidRDefault="00305A29" w:rsidP="00D234E7">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同业存单</w:t>
            </w:r>
          </w:p>
        </w:tc>
        <w:tc>
          <w:tcPr>
            <w:tcW w:w="294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155,299,000.00</w:t>
            </w:r>
          </w:p>
        </w:tc>
        <w:tc>
          <w:tcPr>
            <w:tcW w:w="1729" w:type="dxa"/>
            <w:vAlign w:val="center"/>
          </w:tcPr>
          <w:p w:rsidR="00305A29" w:rsidRPr="00E74406" w:rsidRDefault="00305A29" w:rsidP="00D234E7">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30.70</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其他</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305A29" w:rsidRPr="00E74406" w:rsidTr="0069426C">
        <w:trPr>
          <w:jc w:val="center"/>
        </w:trPr>
        <w:tc>
          <w:tcPr>
            <w:tcW w:w="817" w:type="dxa"/>
            <w:vAlign w:val="center"/>
          </w:tcPr>
          <w:p w:rsidR="00305A29" w:rsidRPr="00E74406" w:rsidRDefault="00305A29" w:rsidP="00FB41D3">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10</w:t>
            </w:r>
          </w:p>
        </w:tc>
        <w:tc>
          <w:tcPr>
            <w:tcW w:w="3260" w:type="dxa"/>
            <w:vAlign w:val="center"/>
          </w:tcPr>
          <w:p w:rsidR="00305A29" w:rsidRPr="00E74406" w:rsidRDefault="00305A29" w:rsidP="00582D99">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4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661,440,204.00</w:t>
            </w:r>
          </w:p>
        </w:tc>
        <w:tc>
          <w:tcPr>
            <w:tcW w:w="1729" w:type="dxa"/>
            <w:vAlign w:val="center"/>
          </w:tcPr>
          <w:p w:rsidR="00305A29" w:rsidRPr="00E74406" w:rsidRDefault="00305A29" w:rsidP="00582D99">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130.74</w:t>
            </w:r>
          </w:p>
        </w:tc>
      </w:tr>
    </w:tbl>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E74406" w:rsidTr="00BD7703">
        <w:tc>
          <w:tcPr>
            <w:tcW w:w="125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310"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债券代码</w:t>
            </w:r>
          </w:p>
        </w:tc>
        <w:tc>
          <w:tcPr>
            <w:tcW w:w="128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债券名称</w:t>
            </w:r>
          </w:p>
        </w:tc>
        <w:tc>
          <w:tcPr>
            <w:tcW w:w="142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张</w:t>
            </w:r>
            <w:r w:rsidR="00D57B7C" w:rsidRPr="00E74406">
              <w:rPr>
                <w:rFonts w:eastAsiaTheme="minorEastAsia"/>
                <w:color w:val="000000" w:themeColor="text1"/>
                <w:sz w:val="24"/>
                <w:szCs w:val="24"/>
              </w:rPr>
              <w:t>)</w:t>
            </w:r>
          </w:p>
        </w:tc>
        <w:tc>
          <w:tcPr>
            <w:tcW w:w="1646"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2" w:type="dxa"/>
            <w:vAlign w:val="center"/>
          </w:tcPr>
          <w:p w:rsidR="003E62FB" w:rsidRPr="00E74406" w:rsidRDefault="003E62FB" w:rsidP="005A6675">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D524E">
        <w:tc>
          <w:tcPr>
            <w:tcW w:w="1252" w:type="dxa"/>
            <w:vAlign w:val="center"/>
          </w:tcPr>
          <w:p w:rsidR="002D524E" w:rsidRDefault="00E9511F">
            <w:pPr>
              <w:jc w:val="center"/>
            </w:pPr>
            <w:r>
              <w:rPr>
                <w:rFonts w:eastAsiaTheme="minorEastAsia"/>
                <w:color w:val="000000" w:themeColor="text1"/>
                <w:sz w:val="24"/>
                <w:szCs w:val="24"/>
              </w:rPr>
              <w:t>1</w:t>
            </w:r>
          </w:p>
        </w:tc>
        <w:tc>
          <w:tcPr>
            <w:tcW w:w="1310" w:type="dxa"/>
            <w:vAlign w:val="center"/>
          </w:tcPr>
          <w:p w:rsidR="002D524E" w:rsidRDefault="00E9511F">
            <w:pPr>
              <w:jc w:val="center"/>
            </w:pPr>
            <w:r>
              <w:rPr>
                <w:rFonts w:eastAsiaTheme="minorEastAsia"/>
                <w:color w:val="000000" w:themeColor="text1"/>
                <w:sz w:val="24"/>
                <w:szCs w:val="24"/>
              </w:rPr>
              <w:t>170411</w:t>
            </w:r>
          </w:p>
        </w:tc>
        <w:tc>
          <w:tcPr>
            <w:tcW w:w="1282" w:type="dxa"/>
            <w:vAlign w:val="center"/>
          </w:tcPr>
          <w:p w:rsidR="002D524E" w:rsidRDefault="00E9511F">
            <w:pPr>
              <w:jc w:val="center"/>
            </w:pPr>
            <w:r>
              <w:rPr>
                <w:rFonts w:eastAsiaTheme="minorEastAsia"/>
                <w:color w:val="000000" w:themeColor="text1"/>
                <w:sz w:val="24"/>
                <w:szCs w:val="24"/>
              </w:rPr>
              <w:t>17</w:t>
            </w:r>
            <w:r>
              <w:rPr>
                <w:rFonts w:eastAsiaTheme="minorEastAsia"/>
                <w:color w:val="000000" w:themeColor="text1"/>
                <w:sz w:val="24"/>
                <w:szCs w:val="24"/>
              </w:rPr>
              <w:t>农发</w:t>
            </w:r>
            <w:r>
              <w:rPr>
                <w:rFonts w:eastAsiaTheme="minorEastAsia"/>
                <w:color w:val="000000" w:themeColor="text1"/>
                <w:sz w:val="24"/>
                <w:szCs w:val="24"/>
              </w:rPr>
              <w:t>11</w:t>
            </w:r>
          </w:p>
        </w:tc>
        <w:tc>
          <w:tcPr>
            <w:tcW w:w="1426" w:type="dxa"/>
            <w:vAlign w:val="center"/>
          </w:tcPr>
          <w:p w:rsidR="002D524E" w:rsidRDefault="00E9511F">
            <w:pPr>
              <w:jc w:val="right"/>
            </w:pPr>
            <w:r>
              <w:rPr>
                <w:rFonts w:eastAsiaTheme="minorEastAsia"/>
                <w:color w:val="000000" w:themeColor="text1"/>
                <w:sz w:val="24"/>
                <w:szCs w:val="24"/>
              </w:rPr>
              <w:t>1,300,000</w:t>
            </w:r>
          </w:p>
        </w:tc>
        <w:tc>
          <w:tcPr>
            <w:tcW w:w="1646" w:type="dxa"/>
            <w:vAlign w:val="center"/>
          </w:tcPr>
          <w:p w:rsidR="002D524E" w:rsidRDefault="00E9511F">
            <w:pPr>
              <w:jc w:val="right"/>
            </w:pPr>
            <w:r>
              <w:rPr>
                <w:rFonts w:eastAsiaTheme="minorEastAsia"/>
                <w:color w:val="000000" w:themeColor="text1"/>
                <w:sz w:val="24"/>
                <w:szCs w:val="24"/>
              </w:rPr>
              <w:t>132,210,000.00</w:t>
            </w:r>
          </w:p>
        </w:tc>
        <w:tc>
          <w:tcPr>
            <w:tcW w:w="1612" w:type="dxa"/>
            <w:vAlign w:val="center"/>
          </w:tcPr>
          <w:p w:rsidR="002D524E" w:rsidRDefault="00E9511F">
            <w:pPr>
              <w:jc w:val="right"/>
            </w:pPr>
            <w:r>
              <w:rPr>
                <w:rFonts w:eastAsiaTheme="minorEastAsia"/>
                <w:color w:val="000000" w:themeColor="text1"/>
                <w:sz w:val="24"/>
                <w:szCs w:val="24"/>
              </w:rPr>
              <w:t>26.13</w:t>
            </w:r>
          </w:p>
        </w:tc>
      </w:tr>
      <w:tr w:rsidR="002D524E">
        <w:tc>
          <w:tcPr>
            <w:tcW w:w="1252" w:type="dxa"/>
            <w:vAlign w:val="center"/>
          </w:tcPr>
          <w:p w:rsidR="002D524E" w:rsidRDefault="00E9511F">
            <w:pPr>
              <w:jc w:val="center"/>
            </w:pPr>
            <w:r>
              <w:rPr>
                <w:rFonts w:eastAsiaTheme="minorEastAsia"/>
                <w:color w:val="000000" w:themeColor="text1"/>
                <w:sz w:val="24"/>
                <w:szCs w:val="24"/>
              </w:rPr>
              <w:t>2</w:t>
            </w:r>
          </w:p>
        </w:tc>
        <w:tc>
          <w:tcPr>
            <w:tcW w:w="1310" w:type="dxa"/>
            <w:vAlign w:val="center"/>
          </w:tcPr>
          <w:p w:rsidR="002D524E" w:rsidRDefault="00E9511F">
            <w:pPr>
              <w:jc w:val="center"/>
            </w:pPr>
            <w:r>
              <w:rPr>
                <w:rFonts w:eastAsiaTheme="minorEastAsia"/>
                <w:color w:val="000000" w:themeColor="text1"/>
                <w:sz w:val="24"/>
                <w:szCs w:val="24"/>
              </w:rPr>
              <w:t>170209</w:t>
            </w:r>
          </w:p>
        </w:tc>
        <w:tc>
          <w:tcPr>
            <w:tcW w:w="1282" w:type="dxa"/>
            <w:vAlign w:val="center"/>
          </w:tcPr>
          <w:p w:rsidR="002D524E" w:rsidRDefault="00E9511F">
            <w:pPr>
              <w:jc w:val="center"/>
            </w:pPr>
            <w:r>
              <w:rPr>
                <w:rFonts w:eastAsiaTheme="minorEastAsia"/>
                <w:color w:val="000000" w:themeColor="text1"/>
                <w:sz w:val="24"/>
                <w:szCs w:val="24"/>
              </w:rPr>
              <w:t>17</w:t>
            </w:r>
            <w:r>
              <w:rPr>
                <w:rFonts w:eastAsiaTheme="minorEastAsia"/>
                <w:color w:val="000000" w:themeColor="text1"/>
                <w:sz w:val="24"/>
                <w:szCs w:val="24"/>
              </w:rPr>
              <w:t>国开</w:t>
            </w:r>
            <w:r>
              <w:rPr>
                <w:rFonts w:eastAsiaTheme="minorEastAsia"/>
                <w:color w:val="000000" w:themeColor="text1"/>
                <w:sz w:val="24"/>
                <w:szCs w:val="24"/>
              </w:rPr>
              <w:t>09</w:t>
            </w:r>
          </w:p>
        </w:tc>
        <w:tc>
          <w:tcPr>
            <w:tcW w:w="1426" w:type="dxa"/>
            <w:vAlign w:val="center"/>
          </w:tcPr>
          <w:p w:rsidR="002D524E" w:rsidRDefault="00E9511F">
            <w:pPr>
              <w:jc w:val="right"/>
            </w:pPr>
            <w:r>
              <w:rPr>
                <w:rFonts w:eastAsiaTheme="minorEastAsia"/>
                <w:color w:val="000000" w:themeColor="text1"/>
                <w:sz w:val="24"/>
                <w:szCs w:val="24"/>
              </w:rPr>
              <w:t>1,000,000</w:t>
            </w:r>
          </w:p>
        </w:tc>
        <w:tc>
          <w:tcPr>
            <w:tcW w:w="1646" w:type="dxa"/>
            <w:vAlign w:val="center"/>
          </w:tcPr>
          <w:p w:rsidR="002D524E" w:rsidRDefault="00E9511F">
            <w:pPr>
              <w:jc w:val="right"/>
            </w:pPr>
            <w:r>
              <w:rPr>
                <w:rFonts w:eastAsiaTheme="minorEastAsia"/>
                <w:color w:val="000000" w:themeColor="text1"/>
                <w:sz w:val="24"/>
                <w:szCs w:val="24"/>
              </w:rPr>
              <w:t>101,820,000.00</w:t>
            </w:r>
          </w:p>
        </w:tc>
        <w:tc>
          <w:tcPr>
            <w:tcW w:w="1612" w:type="dxa"/>
            <w:vAlign w:val="center"/>
          </w:tcPr>
          <w:p w:rsidR="002D524E" w:rsidRDefault="00E9511F">
            <w:pPr>
              <w:jc w:val="right"/>
            </w:pPr>
            <w:r>
              <w:rPr>
                <w:rFonts w:eastAsiaTheme="minorEastAsia"/>
                <w:color w:val="000000" w:themeColor="text1"/>
                <w:sz w:val="24"/>
                <w:szCs w:val="24"/>
              </w:rPr>
              <w:t>20.13</w:t>
            </w:r>
          </w:p>
        </w:tc>
      </w:tr>
      <w:tr w:rsidR="002D524E">
        <w:tc>
          <w:tcPr>
            <w:tcW w:w="1252" w:type="dxa"/>
            <w:vAlign w:val="center"/>
          </w:tcPr>
          <w:p w:rsidR="002D524E" w:rsidRDefault="00E9511F">
            <w:pPr>
              <w:jc w:val="center"/>
            </w:pPr>
            <w:r>
              <w:rPr>
                <w:rFonts w:eastAsiaTheme="minorEastAsia"/>
                <w:color w:val="000000" w:themeColor="text1"/>
                <w:sz w:val="24"/>
                <w:szCs w:val="24"/>
              </w:rPr>
              <w:t>3</w:t>
            </w:r>
          </w:p>
        </w:tc>
        <w:tc>
          <w:tcPr>
            <w:tcW w:w="1310" w:type="dxa"/>
            <w:vAlign w:val="center"/>
          </w:tcPr>
          <w:p w:rsidR="002D524E" w:rsidRDefault="00E9511F">
            <w:pPr>
              <w:jc w:val="center"/>
            </w:pPr>
            <w:r>
              <w:rPr>
                <w:rFonts w:eastAsiaTheme="minorEastAsia"/>
                <w:color w:val="000000" w:themeColor="text1"/>
                <w:sz w:val="24"/>
                <w:szCs w:val="24"/>
              </w:rPr>
              <w:t>180210</w:t>
            </w:r>
          </w:p>
        </w:tc>
        <w:tc>
          <w:tcPr>
            <w:tcW w:w="1282" w:type="dxa"/>
            <w:vAlign w:val="center"/>
          </w:tcPr>
          <w:p w:rsidR="002D524E" w:rsidRDefault="00E9511F">
            <w:pPr>
              <w:jc w:val="center"/>
            </w:pPr>
            <w:r>
              <w:rPr>
                <w:rFonts w:eastAsiaTheme="minorEastAsia"/>
                <w:color w:val="000000" w:themeColor="text1"/>
                <w:sz w:val="24"/>
                <w:szCs w:val="24"/>
              </w:rPr>
              <w:t>18</w:t>
            </w:r>
            <w:r>
              <w:rPr>
                <w:rFonts w:eastAsiaTheme="minorEastAsia"/>
                <w:color w:val="000000" w:themeColor="text1"/>
                <w:sz w:val="24"/>
                <w:szCs w:val="24"/>
              </w:rPr>
              <w:t>国开</w:t>
            </w:r>
            <w:r>
              <w:rPr>
                <w:rFonts w:eastAsiaTheme="minorEastAsia"/>
                <w:color w:val="000000" w:themeColor="text1"/>
                <w:sz w:val="24"/>
                <w:szCs w:val="24"/>
              </w:rPr>
              <w:t>10</w:t>
            </w:r>
          </w:p>
        </w:tc>
        <w:tc>
          <w:tcPr>
            <w:tcW w:w="1426" w:type="dxa"/>
            <w:vAlign w:val="center"/>
          </w:tcPr>
          <w:p w:rsidR="002D524E" w:rsidRDefault="00E9511F">
            <w:pPr>
              <w:jc w:val="right"/>
            </w:pPr>
            <w:r>
              <w:rPr>
                <w:rFonts w:eastAsiaTheme="minorEastAsia"/>
                <w:color w:val="000000" w:themeColor="text1"/>
                <w:sz w:val="24"/>
                <w:szCs w:val="24"/>
              </w:rPr>
              <w:t>700,000</w:t>
            </w:r>
          </w:p>
        </w:tc>
        <w:tc>
          <w:tcPr>
            <w:tcW w:w="1646" w:type="dxa"/>
            <w:vAlign w:val="center"/>
          </w:tcPr>
          <w:p w:rsidR="002D524E" w:rsidRDefault="00E9511F">
            <w:pPr>
              <w:jc w:val="right"/>
            </w:pPr>
            <w:r>
              <w:rPr>
                <w:rFonts w:eastAsiaTheme="minorEastAsia"/>
                <w:color w:val="000000" w:themeColor="text1"/>
                <w:sz w:val="24"/>
                <w:szCs w:val="24"/>
              </w:rPr>
              <w:t>71,820,000.00</w:t>
            </w:r>
          </w:p>
        </w:tc>
        <w:tc>
          <w:tcPr>
            <w:tcW w:w="1612" w:type="dxa"/>
            <w:vAlign w:val="center"/>
          </w:tcPr>
          <w:p w:rsidR="002D524E" w:rsidRDefault="00E9511F">
            <w:pPr>
              <w:jc w:val="right"/>
            </w:pPr>
            <w:r>
              <w:rPr>
                <w:rFonts w:eastAsiaTheme="minorEastAsia"/>
                <w:color w:val="000000" w:themeColor="text1"/>
                <w:sz w:val="24"/>
                <w:szCs w:val="24"/>
              </w:rPr>
              <w:t>14.20</w:t>
            </w:r>
          </w:p>
        </w:tc>
      </w:tr>
      <w:tr w:rsidR="002D524E">
        <w:tc>
          <w:tcPr>
            <w:tcW w:w="1252" w:type="dxa"/>
            <w:vAlign w:val="center"/>
          </w:tcPr>
          <w:p w:rsidR="002D524E" w:rsidRDefault="00E9511F">
            <w:pPr>
              <w:jc w:val="center"/>
            </w:pPr>
            <w:r>
              <w:rPr>
                <w:rFonts w:eastAsiaTheme="minorEastAsia"/>
                <w:color w:val="000000" w:themeColor="text1"/>
                <w:sz w:val="24"/>
                <w:szCs w:val="24"/>
              </w:rPr>
              <w:t>4</w:t>
            </w:r>
          </w:p>
        </w:tc>
        <w:tc>
          <w:tcPr>
            <w:tcW w:w="1310" w:type="dxa"/>
            <w:vAlign w:val="center"/>
          </w:tcPr>
          <w:p w:rsidR="002D524E" w:rsidRDefault="00E9511F">
            <w:pPr>
              <w:jc w:val="center"/>
            </w:pPr>
            <w:r>
              <w:rPr>
                <w:rFonts w:eastAsiaTheme="minorEastAsia"/>
                <w:color w:val="000000" w:themeColor="text1"/>
                <w:sz w:val="24"/>
                <w:szCs w:val="24"/>
              </w:rPr>
              <w:t>108602</w:t>
            </w:r>
          </w:p>
        </w:tc>
        <w:tc>
          <w:tcPr>
            <w:tcW w:w="1282" w:type="dxa"/>
            <w:vAlign w:val="center"/>
          </w:tcPr>
          <w:p w:rsidR="002D524E" w:rsidRDefault="00E9511F">
            <w:pPr>
              <w:jc w:val="center"/>
            </w:pPr>
            <w:r>
              <w:rPr>
                <w:rFonts w:eastAsiaTheme="minorEastAsia"/>
                <w:color w:val="000000" w:themeColor="text1"/>
                <w:sz w:val="24"/>
                <w:szCs w:val="24"/>
              </w:rPr>
              <w:t>国开</w:t>
            </w:r>
            <w:r>
              <w:rPr>
                <w:rFonts w:eastAsiaTheme="minorEastAsia"/>
                <w:color w:val="000000" w:themeColor="text1"/>
                <w:sz w:val="24"/>
                <w:szCs w:val="24"/>
              </w:rPr>
              <w:t>1704</w:t>
            </w:r>
          </w:p>
        </w:tc>
        <w:tc>
          <w:tcPr>
            <w:tcW w:w="1426" w:type="dxa"/>
            <w:vAlign w:val="center"/>
          </w:tcPr>
          <w:p w:rsidR="002D524E" w:rsidRDefault="00E9511F">
            <w:pPr>
              <w:jc w:val="right"/>
            </w:pPr>
            <w:r>
              <w:rPr>
                <w:rFonts w:eastAsiaTheme="minorEastAsia"/>
                <w:color w:val="000000" w:themeColor="text1"/>
                <w:sz w:val="24"/>
                <w:szCs w:val="24"/>
              </w:rPr>
              <w:t>601,600</w:t>
            </w:r>
          </w:p>
        </w:tc>
        <w:tc>
          <w:tcPr>
            <w:tcW w:w="1646" w:type="dxa"/>
            <w:vAlign w:val="center"/>
          </w:tcPr>
          <w:p w:rsidR="002D524E" w:rsidRDefault="00E9511F">
            <w:pPr>
              <w:jc w:val="right"/>
            </w:pPr>
            <w:r>
              <w:rPr>
                <w:rFonts w:eastAsiaTheme="minorEastAsia"/>
                <w:color w:val="000000" w:themeColor="text1"/>
                <w:sz w:val="24"/>
                <w:szCs w:val="24"/>
              </w:rPr>
              <w:t>61,008,256.00</w:t>
            </w:r>
          </w:p>
        </w:tc>
        <w:tc>
          <w:tcPr>
            <w:tcW w:w="1612" w:type="dxa"/>
            <w:vAlign w:val="center"/>
          </w:tcPr>
          <w:p w:rsidR="002D524E" w:rsidRDefault="00E9511F">
            <w:pPr>
              <w:jc w:val="right"/>
            </w:pPr>
            <w:r>
              <w:rPr>
                <w:rFonts w:eastAsiaTheme="minorEastAsia"/>
                <w:color w:val="000000" w:themeColor="text1"/>
                <w:sz w:val="24"/>
                <w:szCs w:val="24"/>
              </w:rPr>
              <w:t>12.06</w:t>
            </w:r>
          </w:p>
        </w:tc>
      </w:tr>
      <w:tr w:rsidR="002D524E">
        <w:tc>
          <w:tcPr>
            <w:tcW w:w="1252" w:type="dxa"/>
            <w:vAlign w:val="center"/>
          </w:tcPr>
          <w:p w:rsidR="002D524E" w:rsidRDefault="00E9511F">
            <w:pPr>
              <w:jc w:val="center"/>
            </w:pPr>
            <w:r>
              <w:rPr>
                <w:rFonts w:eastAsiaTheme="minorEastAsia"/>
                <w:color w:val="000000" w:themeColor="text1"/>
                <w:sz w:val="24"/>
                <w:szCs w:val="24"/>
              </w:rPr>
              <w:t>5</w:t>
            </w:r>
          </w:p>
        </w:tc>
        <w:tc>
          <w:tcPr>
            <w:tcW w:w="1310" w:type="dxa"/>
            <w:vAlign w:val="center"/>
          </w:tcPr>
          <w:p w:rsidR="002D524E" w:rsidRDefault="00E9511F">
            <w:pPr>
              <w:jc w:val="center"/>
            </w:pPr>
            <w:r>
              <w:rPr>
                <w:rFonts w:eastAsiaTheme="minorEastAsia"/>
                <w:color w:val="000000" w:themeColor="text1"/>
                <w:sz w:val="24"/>
                <w:szCs w:val="24"/>
              </w:rPr>
              <w:t>180202</w:t>
            </w:r>
          </w:p>
        </w:tc>
        <w:tc>
          <w:tcPr>
            <w:tcW w:w="1282" w:type="dxa"/>
            <w:vAlign w:val="center"/>
          </w:tcPr>
          <w:p w:rsidR="002D524E" w:rsidRDefault="00E9511F">
            <w:pPr>
              <w:jc w:val="center"/>
            </w:pPr>
            <w:r>
              <w:rPr>
                <w:rFonts w:eastAsiaTheme="minorEastAsia"/>
                <w:color w:val="000000" w:themeColor="text1"/>
                <w:sz w:val="24"/>
                <w:szCs w:val="24"/>
              </w:rPr>
              <w:t>18</w:t>
            </w:r>
            <w:r>
              <w:rPr>
                <w:rFonts w:eastAsiaTheme="minorEastAsia"/>
                <w:color w:val="000000" w:themeColor="text1"/>
                <w:sz w:val="24"/>
                <w:szCs w:val="24"/>
              </w:rPr>
              <w:t>国开</w:t>
            </w:r>
            <w:r>
              <w:rPr>
                <w:rFonts w:eastAsiaTheme="minorEastAsia"/>
                <w:color w:val="000000" w:themeColor="text1"/>
                <w:sz w:val="24"/>
                <w:szCs w:val="24"/>
              </w:rPr>
              <w:t>02</w:t>
            </w:r>
          </w:p>
        </w:tc>
        <w:tc>
          <w:tcPr>
            <w:tcW w:w="1426" w:type="dxa"/>
            <w:vAlign w:val="center"/>
          </w:tcPr>
          <w:p w:rsidR="002D524E" w:rsidRDefault="00E9511F">
            <w:pPr>
              <w:jc w:val="right"/>
            </w:pPr>
            <w:r>
              <w:rPr>
                <w:rFonts w:eastAsiaTheme="minorEastAsia"/>
                <w:color w:val="000000" w:themeColor="text1"/>
                <w:sz w:val="24"/>
                <w:szCs w:val="24"/>
              </w:rPr>
              <w:t>400,000</w:t>
            </w:r>
          </w:p>
        </w:tc>
        <w:tc>
          <w:tcPr>
            <w:tcW w:w="1646" w:type="dxa"/>
            <w:vAlign w:val="center"/>
          </w:tcPr>
          <w:p w:rsidR="002D524E" w:rsidRDefault="00E9511F">
            <w:pPr>
              <w:jc w:val="right"/>
            </w:pPr>
            <w:r>
              <w:rPr>
                <w:rFonts w:eastAsiaTheme="minorEastAsia"/>
                <w:color w:val="000000" w:themeColor="text1"/>
                <w:sz w:val="24"/>
                <w:szCs w:val="24"/>
              </w:rPr>
              <w:t>40,664,000.00</w:t>
            </w:r>
          </w:p>
        </w:tc>
        <w:tc>
          <w:tcPr>
            <w:tcW w:w="1612" w:type="dxa"/>
            <w:vAlign w:val="center"/>
          </w:tcPr>
          <w:p w:rsidR="002D524E" w:rsidRDefault="00E9511F">
            <w:pPr>
              <w:jc w:val="right"/>
            </w:pPr>
            <w:r>
              <w:rPr>
                <w:rFonts w:eastAsiaTheme="minorEastAsia"/>
                <w:color w:val="000000" w:themeColor="text1"/>
                <w:sz w:val="24"/>
                <w:szCs w:val="24"/>
              </w:rPr>
              <w:t>8.04</w:t>
            </w:r>
          </w:p>
        </w:tc>
      </w:tr>
    </w:tbl>
    <w:p w:rsidR="004061AC" w:rsidRPr="00E74406" w:rsidRDefault="004061AC" w:rsidP="004061AC">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275745" w:rsidRPr="00E74406" w:rsidRDefault="00275745"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根据本基金合同规定，本基金不参与股指期货交易。</w:t>
      </w:r>
    </w:p>
    <w:p w:rsidR="00275745" w:rsidRPr="00E74406" w:rsidRDefault="00275745" w:rsidP="004061AC">
      <w:pPr>
        <w:autoSpaceDE w:val="0"/>
        <w:autoSpaceDN w:val="0"/>
        <w:adjustRightInd w:val="0"/>
        <w:spacing w:line="360" w:lineRule="auto"/>
        <w:jc w:val="left"/>
        <w:rPr>
          <w:rFonts w:eastAsiaTheme="minorEastAsia"/>
          <w:color w:val="000000" w:themeColor="text1"/>
          <w:kern w:val="0"/>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根据本基金合同规定，本基金不参与国债期货交易。</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本基金投资的前十名证券中，持有</w:t>
      </w:r>
      <w:r w:rsidR="004061AC" w:rsidRPr="00E74406">
        <w:rPr>
          <w:rFonts w:eastAsiaTheme="minorEastAsia"/>
          <w:color w:val="000000" w:themeColor="text1"/>
          <w:sz w:val="24"/>
          <w:szCs w:val="24"/>
        </w:rPr>
        <w:t>“19</w:t>
      </w:r>
      <w:r w:rsidR="004061AC" w:rsidRPr="00E74406">
        <w:rPr>
          <w:rFonts w:eastAsiaTheme="minorEastAsia"/>
          <w:color w:val="000000" w:themeColor="text1"/>
          <w:sz w:val="24"/>
          <w:szCs w:val="24"/>
        </w:rPr>
        <w:t>兴业银行</w:t>
      </w:r>
      <w:r w:rsidR="004061AC" w:rsidRPr="00E74406">
        <w:rPr>
          <w:rFonts w:eastAsiaTheme="minorEastAsia"/>
          <w:color w:val="000000" w:themeColor="text1"/>
          <w:sz w:val="24"/>
          <w:szCs w:val="24"/>
        </w:rPr>
        <w:t>CD059”</w:t>
      </w:r>
      <w:r w:rsidR="004061AC" w:rsidRPr="00E74406">
        <w:rPr>
          <w:rFonts w:eastAsiaTheme="minorEastAsia"/>
          <w:color w:val="000000" w:themeColor="text1"/>
          <w:sz w:val="24"/>
          <w:szCs w:val="24"/>
        </w:rPr>
        <w:t>市值</w:t>
      </w:r>
      <w:r w:rsidR="004061AC" w:rsidRPr="00E74406">
        <w:rPr>
          <w:rFonts w:eastAsiaTheme="minorEastAsia"/>
          <w:color w:val="000000" w:themeColor="text1"/>
          <w:sz w:val="24"/>
          <w:szCs w:val="24"/>
        </w:rPr>
        <w:t>38840000</w:t>
      </w:r>
      <w:r w:rsidR="004061AC" w:rsidRPr="00E74406">
        <w:rPr>
          <w:rFonts w:eastAsiaTheme="minorEastAsia"/>
          <w:color w:val="000000" w:themeColor="text1"/>
          <w:sz w:val="24"/>
          <w:szCs w:val="24"/>
        </w:rPr>
        <w:t>元，占基金资产净值</w:t>
      </w:r>
      <w:r w:rsidR="004061AC" w:rsidRPr="00E74406">
        <w:rPr>
          <w:rFonts w:eastAsiaTheme="minorEastAsia"/>
          <w:color w:val="000000" w:themeColor="text1"/>
          <w:sz w:val="24"/>
          <w:szCs w:val="24"/>
        </w:rPr>
        <w:t>7.68%</w:t>
      </w:r>
      <w:r w:rsidR="004061AC" w:rsidRPr="00E74406">
        <w:rPr>
          <w:rFonts w:eastAsiaTheme="minorEastAsia"/>
          <w:color w:val="000000" w:themeColor="text1"/>
          <w:sz w:val="24"/>
          <w:szCs w:val="24"/>
        </w:rPr>
        <w:t>，持有</w:t>
      </w:r>
      <w:r w:rsidR="004061AC" w:rsidRPr="00E74406">
        <w:rPr>
          <w:rFonts w:eastAsiaTheme="minorEastAsia"/>
          <w:color w:val="000000" w:themeColor="text1"/>
          <w:sz w:val="24"/>
          <w:szCs w:val="24"/>
        </w:rPr>
        <w:t>“19</w:t>
      </w:r>
      <w:r w:rsidR="004061AC" w:rsidRPr="00E74406">
        <w:rPr>
          <w:rFonts w:eastAsiaTheme="minorEastAsia"/>
          <w:color w:val="000000" w:themeColor="text1"/>
          <w:sz w:val="24"/>
          <w:szCs w:val="24"/>
        </w:rPr>
        <w:t>兴业银行</w:t>
      </w:r>
      <w:r w:rsidR="004061AC" w:rsidRPr="00E74406">
        <w:rPr>
          <w:rFonts w:eastAsiaTheme="minorEastAsia"/>
          <w:color w:val="000000" w:themeColor="text1"/>
          <w:sz w:val="24"/>
          <w:szCs w:val="24"/>
        </w:rPr>
        <w:t>CD026”</w:t>
      </w:r>
      <w:r w:rsidR="004061AC" w:rsidRPr="00E74406">
        <w:rPr>
          <w:rFonts w:eastAsiaTheme="minorEastAsia"/>
          <w:color w:val="000000" w:themeColor="text1"/>
          <w:sz w:val="24"/>
          <w:szCs w:val="24"/>
        </w:rPr>
        <w:t>，占基金资产净值</w:t>
      </w:r>
      <w:r w:rsidR="004061AC" w:rsidRPr="00E74406">
        <w:rPr>
          <w:rFonts w:eastAsiaTheme="minorEastAsia"/>
          <w:color w:val="000000" w:themeColor="text1"/>
          <w:sz w:val="24"/>
          <w:szCs w:val="24"/>
        </w:rPr>
        <w:t>5.76%</w:t>
      </w:r>
      <w:r w:rsidR="004061AC" w:rsidRPr="00E74406">
        <w:rPr>
          <w:rFonts w:eastAsiaTheme="minorEastAsia"/>
          <w:color w:val="000000" w:themeColor="text1"/>
          <w:sz w:val="24"/>
          <w:szCs w:val="24"/>
        </w:rPr>
        <w:t>。根据中国银行保险监督管理委员会行政处罚信息公开表（银保监银罚决字〔</w:t>
      </w:r>
      <w:r w:rsidR="004061AC" w:rsidRPr="00E74406">
        <w:rPr>
          <w:rFonts w:eastAsiaTheme="minorEastAsia"/>
          <w:color w:val="000000" w:themeColor="text1"/>
          <w:sz w:val="24"/>
          <w:szCs w:val="24"/>
        </w:rPr>
        <w:t>2018</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1</w:t>
      </w:r>
      <w:r w:rsidR="004061AC" w:rsidRPr="00E74406">
        <w:rPr>
          <w:rFonts w:eastAsiaTheme="minorEastAsia"/>
          <w:color w:val="000000" w:themeColor="text1"/>
          <w:sz w:val="24"/>
          <w:szCs w:val="24"/>
        </w:rPr>
        <w:t>号）</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兴业银行股份有限公司因重大关联交易未按规定审查审批且未向监管部门报告，非真实转让信贷资产，无授信额度或超授信额度办理同业业务等违反商业银行监管规定的违规行为受到中国银行保险监督管理委员会行政处罚，对该公司罚款</w:t>
      </w:r>
      <w:r w:rsidR="004061AC" w:rsidRPr="00E74406">
        <w:rPr>
          <w:rFonts w:eastAsiaTheme="minorEastAsia"/>
          <w:color w:val="000000" w:themeColor="text1"/>
          <w:sz w:val="24"/>
          <w:szCs w:val="24"/>
        </w:rPr>
        <w:t>5870</w:t>
      </w:r>
      <w:r w:rsidR="004061AC" w:rsidRPr="00E74406">
        <w:rPr>
          <w:rFonts w:eastAsiaTheme="minorEastAsia"/>
          <w:color w:val="000000" w:themeColor="text1"/>
          <w:sz w:val="24"/>
          <w:szCs w:val="24"/>
        </w:rPr>
        <w:t>万元。</w:t>
      </w:r>
    </w:p>
    <w:p w:rsidR="002D524E" w:rsidRDefault="00E9511F">
      <w:pPr>
        <w:spacing w:line="360" w:lineRule="auto"/>
        <w:rPr>
          <w:rFonts w:eastAsiaTheme="minorEastAsia"/>
          <w:color w:val="000000" w:themeColor="text1"/>
          <w:sz w:val="24"/>
          <w:szCs w:val="24"/>
        </w:rPr>
      </w:pPr>
      <w:r>
        <w:rPr>
          <w:rFonts w:eastAsiaTheme="minorEastAsia"/>
          <w:color w:val="000000" w:themeColor="text1"/>
          <w:sz w:val="24"/>
          <w:szCs w:val="24"/>
        </w:rPr>
        <w:t>基金管理人认为，该银行上述被处罚事项有利</w:t>
      </w:r>
      <w:r>
        <w:rPr>
          <w:rFonts w:eastAsiaTheme="minorEastAsia"/>
          <w:color w:val="000000" w:themeColor="text1"/>
          <w:sz w:val="24"/>
          <w:szCs w:val="24"/>
        </w:rPr>
        <w:t>于该银行加强内部管理，该银行当前总体生产经营和财务状况保持稳定，事件对该银行经营活动未产生实质性影响，不改变该银行基本面。</w:t>
      </w:r>
    </w:p>
    <w:p w:rsidR="002D524E" w:rsidRDefault="00E9511F">
      <w:pPr>
        <w:spacing w:line="360" w:lineRule="auto"/>
        <w:rPr>
          <w:rFonts w:eastAsiaTheme="minorEastAsia"/>
          <w:color w:val="000000" w:themeColor="text1"/>
          <w:sz w:val="24"/>
          <w:szCs w:val="24"/>
        </w:rPr>
      </w:pPr>
      <w:r>
        <w:rPr>
          <w:rFonts w:eastAsiaTheme="minorEastAsia"/>
          <w:color w:val="000000" w:themeColor="text1"/>
          <w:sz w:val="24"/>
          <w:szCs w:val="24"/>
        </w:rPr>
        <w:t>本基金对上述证券的投资严格执行了基金管理人规定的投资决策程序。</w:t>
      </w:r>
    </w:p>
    <w:p w:rsidR="002D524E" w:rsidRDefault="00E9511F">
      <w:pPr>
        <w:spacing w:line="360" w:lineRule="auto"/>
        <w:rPr>
          <w:rFonts w:eastAsiaTheme="minorEastAsia"/>
          <w:color w:val="000000" w:themeColor="text1"/>
          <w:sz w:val="24"/>
          <w:szCs w:val="24"/>
        </w:rPr>
      </w:pPr>
      <w:r>
        <w:rPr>
          <w:rFonts w:eastAsiaTheme="minorEastAsia"/>
          <w:color w:val="000000" w:themeColor="text1"/>
          <w:sz w:val="24"/>
          <w:szCs w:val="24"/>
        </w:rPr>
        <w:t>除上述情况外，本基金投资的前十名证券的发行主体本期没有被监管部门立案调查的，在报告编制日前一年内未受到公开谴责、处罚。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16,300.10</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13,689,347.64</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13,705,647.74</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本基金本报告期末未持有处于转股期的可转债。</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本基金本报告期末未持有股票。</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499,567,718.10</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32,882.56</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65,900.70</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499,534,699.96</w:t>
            </w:r>
          </w:p>
        </w:tc>
      </w:tr>
    </w:tbl>
    <w:p w:rsidR="00EB374A" w:rsidRPr="00E74406" w:rsidRDefault="00EB374A" w:rsidP="00E9511F">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7.1 </w:t>
      </w:r>
      <w:r w:rsidRPr="00E74406">
        <w:rPr>
          <w:rFonts w:eastAsiaTheme="minorEastAsia"/>
          <w:b/>
          <w:color w:val="000000" w:themeColor="text1"/>
          <w:sz w:val="24"/>
          <w:szCs w:val="24"/>
        </w:rPr>
        <w:t>基金管理人持有本基金份额变动情况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7.2 </w:t>
      </w:r>
      <w:r w:rsidRPr="00E74406">
        <w:rPr>
          <w:rFonts w:eastAsiaTheme="minorEastAsia"/>
          <w:b/>
          <w:color w:val="000000" w:themeColor="text1"/>
          <w:sz w:val="24"/>
          <w:szCs w:val="24"/>
        </w:rPr>
        <w:t>基金管理人运用固有资金投资本基金交易明细</w:t>
      </w:r>
    </w:p>
    <w:p w:rsidR="00EB374A" w:rsidRPr="004819A0" w:rsidRDefault="00EB374A"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本基金管理人本报告期无运用固有资金投资本基金的交易明细。</w:t>
      </w:r>
    </w:p>
    <w:p w:rsidR="00C9481C" w:rsidRPr="00C9481C" w:rsidRDefault="00C9481C" w:rsidP="00E9511F">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DF2AD4" w:rsidRPr="00FC0759" w:rsidTr="00350318">
        <w:trPr>
          <w:jc w:val="center"/>
        </w:trPr>
        <w:tc>
          <w:tcPr>
            <w:tcW w:w="709" w:type="dxa"/>
            <w:vMerge w:val="restart"/>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投资者类别</w:t>
            </w:r>
          </w:p>
        </w:tc>
        <w:tc>
          <w:tcPr>
            <w:tcW w:w="6663" w:type="dxa"/>
            <w:gridSpan w:val="5"/>
            <w:vAlign w:val="center"/>
          </w:tcPr>
          <w:p w:rsidR="00DF2AD4" w:rsidRPr="00FC0759" w:rsidRDefault="00DF2AD4" w:rsidP="00350318">
            <w:pPr>
              <w:autoSpaceDE w:val="0"/>
              <w:autoSpaceDN w:val="0"/>
              <w:adjustRightInd w:val="0"/>
              <w:ind w:firstLine="1126"/>
              <w:jc w:val="center"/>
              <w:rPr>
                <w:rFonts w:eastAsiaTheme="minorEastAsia"/>
                <w:b/>
                <w:bCs/>
                <w:color w:val="000000" w:themeColor="text1"/>
                <w:sz w:val="24"/>
                <w:szCs w:val="24"/>
              </w:rPr>
            </w:pPr>
            <w:r w:rsidRPr="00FC0759">
              <w:rPr>
                <w:color w:val="000000"/>
                <w:sz w:val="24"/>
                <w:szCs w:val="24"/>
              </w:rPr>
              <w:t>报告期内持有基金份额变化情况</w:t>
            </w:r>
          </w:p>
        </w:tc>
        <w:tc>
          <w:tcPr>
            <w:tcW w:w="2268" w:type="dxa"/>
            <w:gridSpan w:val="2"/>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报告期末持有基金情况</w:t>
            </w:r>
          </w:p>
        </w:tc>
      </w:tr>
      <w:tr w:rsidR="00DF2AD4" w:rsidRPr="00FC0759" w:rsidTr="00350318">
        <w:trPr>
          <w:jc w:val="center"/>
        </w:trPr>
        <w:tc>
          <w:tcPr>
            <w:tcW w:w="709" w:type="dxa"/>
            <w:vMerge/>
            <w:vAlign w:val="center"/>
          </w:tcPr>
          <w:p w:rsidR="00DF2AD4" w:rsidRPr="00FC0759" w:rsidRDefault="00DF2AD4" w:rsidP="00350318">
            <w:pPr>
              <w:autoSpaceDE w:val="0"/>
              <w:autoSpaceDN w:val="0"/>
              <w:adjustRightInd w:val="0"/>
              <w:ind w:firstLine="1234"/>
              <w:jc w:val="center"/>
              <w:rPr>
                <w:rFonts w:eastAsiaTheme="minorEastAsia"/>
                <w:b/>
                <w:bCs/>
                <w:color w:val="000000" w:themeColor="text1"/>
                <w:sz w:val="24"/>
                <w:szCs w:val="24"/>
              </w:rPr>
            </w:pPr>
          </w:p>
        </w:tc>
        <w:tc>
          <w:tcPr>
            <w:tcW w:w="709"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序号</w:t>
            </w:r>
          </w:p>
        </w:tc>
        <w:tc>
          <w:tcPr>
            <w:tcW w:w="2126"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持有基金份额比例达到或者超过</w:t>
            </w:r>
            <w:r w:rsidRPr="00FC0759">
              <w:rPr>
                <w:color w:val="000000"/>
                <w:sz w:val="24"/>
                <w:szCs w:val="24"/>
              </w:rPr>
              <w:t>20%</w:t>
            </w:r>
            <w:r w:rsidRPr="00FC0759">
              <w:rPr>
                <w:color w:val="000000"/>
                <w:sz w:val="24"/>
                <w:szCs w:val="24"/>
              </w:rPr>
              <w:t>的时间区间</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期初份额</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申购份额</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赎回份额</w:t>
            </w:r>
          </w:p>
        </w:tc>
        <w:tc>
          <w:tcPr>
            <w:tcW w:w="1417"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持有份额</w:t>
            </w:r>
          </w:p>
        </w:tc>
        <w:tc>
          <w:tcPr>
            <w:tcW w:w="851"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份额占比</w:t>
            </w:r>
          </w:p>
        </w:tc>
      </w:tr>
      <w:tr w:rsidR="002D524E">
        <w:trPr>
          <w:jc w:val="center"/>
        </w:trPr>
        <w:tc>
          <w:tcPr>
            <w:tcW w:w="709" w:type="dxa"/>
            <w:vMerge w:val="restart"/>
          </w:tcPr>
          <w:p w:rsidR="002D524E" w:rsidRDefault="002D524E"/>
          <w:p w:rsidR="002D524E" w:rsidRDefault="00E9511F">
            <w:r>
              <w:rPr>
                <w:rFonts w:eastAsiaTheme="minorEastAsia"/>
                <w:bCs/>
                <w:color w:val="000000" w:themeColor="text1"/>
                <w:sz w:val="24"/>
                <w:szCs w:val="24"/>
              </w:rPr>
              <w:t>机构</w:t>
            </w:r>
          </w:p>
        </w:tc>
        <w:tc>
          <w:tcPr>
            <w:tcW w:w="709" w:type="dxa"/>
            <w:vAlign w:val="center"/>
          </w:tcPr>
          <w:p w:rsidR="002D524E" w:rsidRDefault="00E9511F">
            <w:pPr>
              <w:jc w:val="center"/>
            </w:pPr>
            <w:r>
              <w:rPr>
                <w:sz w:val="24"/>
                <w:szCs w:val="24"/>
              </w:rPr>
              <w:t>1</w:t>
            </w:r>
          </w:p>
        </w:tc>
        <w:tc>
          <w:tcPr>
            <w:tcW w:w="2126" w:type="dxa"/>
            <w:vAlign w:val="center"/>
          </w:tcPr>
          <w:p w:rsidR="002D524E" w:rsidRDefault="00E9511F">
            <w:pPr>
              <w:jc w:val="center"/>
            </w:pPr>
            <w:r>
              <w:rPr>
                <w:sz w:val="24"/>
                <w:szCs w:val="24"/>
              </w:rPr>
              <w:t>20190101-20190331</w:t>
            </w:r>
          </w:p>
        </w:tc>
        <w:tc>
          <w:tcPr>
            <w:tcW w:w="1276" w:type="dxa"/>
            <w:vAlign w:val="center"/>
          </w:tcPr>
          <w:p w:rsidR="002D524E" w:rsidRDefault="00E9511F">
            <w:pPr>
              <w:jc w:val="center"/>
            </w:pPr>
            <w:r>
              <w:rPr>
                <w:sz w:val="24"/>
                <w:szCs w:val="24"/>
              </w:rPr>
              <w:t>199,619,921.79</w:t>
            </w:r>
          </w:p>
        </w:tc>
        <w:tc>
          <w:tcPr>
            <w:tcW w:w="1276" w:type="dxa"/>
            <w:vAlign w:val="center"/>
          </w:tcPr>
          <w:p w:rsidR="002D524E" w:rsidRDefault="00E9511F">
            <w:pPr>
              <w:jc w:val="center"/>
            </w:pPr>
            <w:r>
              <w:rPr>
                <w:sz w:val="24"/>
                <w:szCs w:val="24"/>
              </w:rPr>
              <w:t>0.00</w:t>
            </w:r>
          </w:p>
        </w:tc>
        <w:tc>
          <w:tcPr>
            <w:tcW w:w="1276" w:type="dxa"/>
            <w:vAlign w:val="center"/>
          </w:tcPr>
          <w:p w:rsidR="002D524E" w:rsidRDefault="00E9511F">
            <w:pPr>
              <w:jc w:val="center"/>
            </w:pPr>
            <w:r>
              <w:rPr>
                <w:sz w:val="24"/>
                <w:szCs w:val="24"/>
              </w:rPr>
              <w:t>0.00</w:t>
            </w:r>
          </w:p>
        </w:tc>
        <w:tc>
          <w:tcPr>
            <w:tcW w:w="1417" w:type="dxa"/>
            <w:vAlign w:val="center"/>
          </w:tcPr>
          <w:p w:rsidR="002D524E" w:rsidRDefault="00E9511F">
            <w:pPr>
              <w:jc w:val="center"/>
            </w:pPr>
            <w:r>
              <w:rPr>
                <w:sz w:val="24"/>
                <w:szCs w:val="24"/>
              </w:rPr>
              <w:t>199,619,921.79</w:t>
            </w:r>
          </w:p>
        </w:tc>
        <w:tc>
          <w:tcPr>
            <w:tcW w:w="851" w:type="dxa"/>
            <w:vAlign w:val="center"/>
          </w:tcPr>
          <w:p w:rsidR="002D524E" w:rsidRDefault="00E9511F">
            <w:pPr>
              <w:jc w:val="center"/>
            </w:pPr>
            <w:r>
              <w:rPr>
                <w:sz w:val="24"/>
                <w:szCs w:val="24"/>
              </w:rPr>
              <w:t>39.96%</w:t>
            </w:r>
          </w:p>
        </w:tc>
      </w:tr>
      <w:tr w:rsidR="00DF2AD4" w:rsidRPr="00FC0759" w:rsidTr="00350318">
        <w:trPr>
          <w:jc w:val="center"/>
        </w:trPr>
        <w:tc>
          <w:tcPr>
            <w:tcW w:w="9637" w:type="dxa"/>
            <w:gridSpan w:val="8"/>
            <w:vAlign w:val="center"/>
          </w:tcPr>
          <w:p w:rsidR="00DF2AD4" w:rsidRPr="00FC0759" w:rsidRDefault="00DF2AD4" w:rsidP="00350318">
            <w:pPr>
              <w:autoSpaceDE w:val="0"/>
              <w:autoSpaceDN w:val="0"/>
              <w:adjustRightInd w:val="0"/>
              <w:ind w:firstLine="1126"/>
              <w:jc w:val="center"/>
              <w:rPr>
                <w:sz w:val="24"/>
                <w:szCs w:val="24"/>
              </w:rPr>
            </w:pPr>
            <w:r w:rsidRPr="00FC0759">
              <w:rPr>
                <w:color w:val="000000"/>
                <w:sz w:val="24"/>
                <w:szCs w:val="24"/>
              </w:rPr>
              <w:t>产品特有风险</w:t>
            </w:r>
          </w:p>
        </w:tc>
      </w:tr>
      <w:tr w:rsidR="00DF2AD4" w:rsidRPr="00FC0759" w:rsidTr="00350318">
        <w:trPr>
          <w:jc w:val="center"/>
        </w:trPr>
        <w:tc>
          <w:tcPr>
            <w:tcW w:w="9637" w:type="dxa"/>
            <w:gridSpan w:val="8"/>
            <w:vAlign w:val="center"/>
          </w:tcPr>
          <w:p w:rsidR="002D524E" w:rsidRDefault="00E9511F">
            <w:pPr>
              <w:autoSpaceDE w:val="0"/>
              <w:autoSpaceDN w:val="0"/>
              <w:adjustRightInd w:val="0"/>
              <w:jc w:val="left"/>
              <w:rPr>
                <w:sz w:val="24"/>
                <w:szCs w:val="24"/>
              </w:rPr>
            </w:pPr>
            <w:r>
              <w:rPr>
                <w:sz w:val="24"/>
                <w:szCs w:val="24"/>
              </w:rPr>
              <w:t>投资者应关注本基金单一投资者持有份额比例过高时，可能出现以下风险：</w:t>
            </w:r>
          </w:p>
          <w:p w:rsidR="002D524E" w:rsidRDefault="00E9511F">
            <w:pPr>
              <w:autoSpaceDE w:val="0"/>
              <w:autoSpaceDN w:val="0"/>
              <w:adjustRightInd w:val="0"/>
              <w:jc w:val="left"/>
              <w:rPr>
                <w:sz w:val="24"/>
                <w:szCs w:val="24"/>
              </w:rPr>
            </w:pPr>
            <w:r>
              <w:rPr>
                <w:sz w:val="24"/>
                <w:szCs w:val="24"/>
              </w:rPr>
              <w:t>1</w:t>
            </w:r>
            <w:r>
              <w:rPr>
                <w:sz w:val="24"/>
                <w:szCs w:val="24"/>
              </w:rPr>
              <w:t>、赎回申请延期办理的风险</w:t>
            </w:r>
          </w:p>
          <w:p w:rsidR="002D524E" w:rsidRDefault="00E9511F">
            <w:pPr>
              <w:autoSpaceDE w:val="0"/>
              <w:autoSpaceDN w:val="0"/>
              <w:adjustRightInd w:val="0"/>
              <w:jc w:val="left"/>
              <w:rPr>
                <w:sz w:val="24"/>
                <w:szCs w:val="24"/>
              </w:rPr>
            </w:pPr>
            <w:r>
              <w:rPr>
                <w:sz w:val="24"/>
                <w:szCs w:val="24"/>
              </w:rPr>
              <w:t>单一投资者大额赎回时易触发本基金巨额赎回的条件，中小投资者可能面临小额赎回申请也需要部分延期办理的风险。</w:t>
            </w:r>
          </w:p>
          <w:p w:rsidR="002D524E" w:rsidRDefault="00E9511F">
            <w:pPr>
              <w:autoSpaceDE w:val="0"/>
              <w:autoSpaceDN w:val="0"/>
              <w:adjustRightInd w:val="0"/>
              <w:jc w:val="left"/>
              <w:rPr>
                <w:sz w:val="24"/>
                <w:szCs w:val="24"/>
              </w:rPr>
            </w:pPr>
            <w:r>
              <w:rPr>
                <w:sz w:val="24"/>
                <w:szCs w:val="24"/>
              </w:rPr>
              <w:t>2</w:t>
            </w:r>
            <w:r>
              <w:rPr>
                <w:sz w:val="24"/>
                <w:szCs w:val="24"/>
              </w:rPr>
              <w:t>、基金净值大幅波动的风险</w:t>
            </w:r>
          </w:p>
          <w:p w:rsidR="002D524E" w:rsidRDefault="00E9511F">
            <w:pPr>
              <w:autoSpaceDE w:val="0"/>
              <w:autoSpaceDN w:val="0"/>
              <w:adjustRightInd w:val="0"/>
              <w:jc w:val="left"/>
              <w:rPr>
                <w:sz w:val="24"/>
                <w:szCs w:val="24"/>
              </w:rPr>
            </w:pPr>
            <w:r>
              <w:rPr>
                <w:sz w:val="24"/>
                <w:szCs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2D524E" w:rsidRDefault="00E9511F">
            <w:pPr>
              <w:autoSpaceDE w:val="0"/>
              <w:autoSpaceDN w:val="0"/>
              <w:adjustRightInd w:val="0"/>
              <w:jc w:val="left"/>
              <w:rPr>
                <w:sz w:val="24"/>
                <w:szCs w:val="24"/>
              </w:rPr>
            </w:pPr>
            <w:r>
              <w:rPr>
                <w:sz w:val="24"/>
                <w:szCs w:val="24"/>
              </w:rPr>
              <w:t>3</w:t>
            </w:r>
            <w:r>
              <w:rPr>
                <w:sz w:val="24"/>
                <w:szCs w:val="24"/>
              </w:rPr>
              <w:t>、基金投资策略难以实现的风险</w:t>
            </w:r>
          </w:p>
          <w:p w:rsidR="002D524E" w:rsidRDefault="00E9511F">
            <w:pPr>
              <w:autoSpaceDE w:val="0"/>
              <w:autoSpaceDN w:val="0"/>
              <w:adjustRightInd w:val="0"/>
              <w:jc w:val="left"/>
              <w:rPr>
                <w:sz w:val="24"/>
                <w:szCs w:val="24"/>
              </w:rPr>
            </w:pPr>
            <w:r>
              <w:rPr>
                <w:sz w:val="24"/>
                <w:szCs w:val="24"/>
              </w:rPr>
              <w:t>单一投资者大额赎回后，可能使基金资产净值显著降低，从而使基金在拟参与银行间市场交易等投资时受到限制，导致基金投资策略难以实</w:t>
            </w:r>
            <w:r>
              <w:rPr>
                <w:sz w:val="24"/>
                <w:szCs w:val="24"/>
              </w:rPr>
              <w:t>现。</w:t>
            </w:r>
          </w:p>
          <w:p w:rsidR="002D524E" w:rsidRDefault="00E9511F">
            <w:pPr>
              <w:autoSpaceDE w:val="0"/>
              <w:autoSpaceDN w:val="0"/>
              <w:adjustRightInd w:val="0"/>
              <w:jc w:val="left"/>
              <w:rPr>
                <w:sz w:val="24"/>
                <w:szCs w:val="24"/>
              </w:rPr>
            </w:pPr>
            <w:r>
              <w:rPr>
                <w:sz w:val="24"/>
                <w:szCs w:val="24"/>
              </w:rPr>
              <w:t>4</w:t>
            </w:r>
            <w:r>
              <w:rPr>
                <w:sz w:val="24"/>
                <w:szCs w:val="24"/>
              </w:rPr>
              <w:t>、基金财产清算（或转型）的风险</w:t>
            </w:r>
          </w:p>
          <w:p w:rsidR="002D524E" w:rsidRDefault="00E9511F">
            <w:pPr>
              <w:autoSpaceDE w:val="0"/>
              <w:autoSpaceDN w:val="0"/>
              <w:adjustRightInd w:val="0"/>
              <w:jc w:val="left"/>
              <w:rPr>
                <w:sz w:val="24"/>
                <w:szCs w:val="24"/>
              </w:rPr>
            </w:pPr>
            <w:r>
              <w:rPr>
                <w:sz w:val="24"/>
                <w:szCs w:val="24"/>
              </w:rPr>
              <w:t>根据本基金基金合同的约定，基金合同生效后的存续期内，若连续</w:t>
            </w:r>
            <w:r>
              <w:rPr>
                <w:sz w:val="24"/>
                <w:szCs w:val="24"/>
              </w:rPr>
              <w:t>60</w:t>
            </w:r>
            <w:r>
              <w:rPr>
                <w:sz w:val="24"/>
                <w:szCs w:val="24"/>
              </w:rPr>
              <w:t>个工作日出现基金份额持有人数量不满</w:t>
            </w:r>
            <w:r>
              <w:rPr>
                <w:sz w:val="24"/>
                <w:szCs w:val="24"/>
              </w:rPr>
              <w:t>200</w:t>
            </w:r>
            <w:r>
              <w:rPr>
                <w:sz w:val="24"/>
                <w:szCs w:val="24"/>
              </w:rPr>
              <w:t>人或者基金资产净值低于</w:t>
            </w:r>
            <w:r>
              <w:rPr>
                <w:sz w:val="24"/>
                <w:szCs w:val="24"/>
              </w:rPr>
              <w:t>5000</w:t>
            </w:r>
            <w:r>
              <w:rPr>
                <w:sz w:val="24"/>
                <w:szCs w:val="24"/>
              </w:rPr>
              <w:t>万元情形的，基金合同将终止，并根据基金合同的约定进行基金财产清算。单一投资者大额赎回后，可能造成基金资产净值大幅缩减而直接导致触发本基金合同约定的终止及清算条款，对本基金的继续存续产生较大影响。</w:t>
            </w:r>
          </w:p>
          <w:p w:rsidR="002D524E" w:rsidRDefault="00E9511F">
            <w:pPr>
              <w:autoSpaceDE w:val="0"/>
              <w:autoSpaceDN w:val="0"/>
              <w:adjustRightInd w:val="0"/>
              <w:jc w:val="left"/>
              <w:rPr>
                <w:sz w:val="24"/>
                <w:szCs w:val="24"/>
              </w:rPr>
            </w:pPr>
            <w:r>
              <w:rPr>
                <w:sz w:val="24"/>
                <w:szCs w:val="24"/>
              </w:rPr>
              <w:t>5</w:t>
            </w:r>
            <w:r>
              <w:rPr>
                <w:sz w:val="24"/>
                <w:szCs w:val="24"/>
              </w:rPr>
              <w:t>、召开基金份额持有人大会及表决时可能存在的风险</w:t>
            </w:r>
          </w:p>
          <w:p w:rsidR="00DF2AD4" w:rsidRPr="00FC0759" w:rsidRDefault="00DF2AD4" w:rsidP="001023CF">
            <w:pPr>
              <w:autoSpaceDE w:val="0"/>
              <w:autoSpaceDN w:val="0"/>
              <w:adjustRightInd w:val="0"/>
              <w:jc w:val="left"/>
              <w:rPr>
                <w:sz w:val="24"/>
                <w:szCs w:val="24"/>
              </w:rPr>
            </w:pPr>
            <w:r w:rsidRPr="00FC0759">
              <w:rPr>
                <w:sz w:val="24"/>
                <w:szCs w:val="24"/>
              </w:rPr>
              <w:t>由于单一机构投资者所持有的基金份额占比较高，在召开持有人大会并对重大事项进行投票表决时，单一机构投资者将拥有高的投票权重。</w:t>
            </w:r>
          </w:p>
        </w:tc>
      </w:tr>
    </w:tbl>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4061AC" w:rsidRPr="00E74406" w:rsidRDefault="00DF2AD4" w:rsidP="00DF2AD4">
      <w:pPr>
        <w:spacing w:line="360" w:lineRule="auto"/>
        <w:ind w:firstLineChars="200" w:firstLine="480"/>
        <w:rPr>
          <w:rFonts w:eastAsiaTheme="minorEastAsia"/>
          <w:color w:val="000000" w:themeColor="text1"/>
          <w:sz w:val="24"/>
          <w:szCs w:val="24"/>
        </w:rPr>
      </w:pPr>
      <w:r w:rsidRPr="00FC0759">
        <w:rPr>
          <w:rFonts w:eastAsiaTheme="minorEastAsia"/>
          <w:color w:val="000000" w:themeColor="text1"/>
          <w:sz w:val="24"/>
          <w:szCs w:val="24"/>
        </w:rPr>
        <w:t>1</w:t>
      </w:r>
      <w:r w:rsidRPr="00FC0759">
        <w:rPr>
          <w:rFonts w:eastAsiaTheme="minorEastAsia"/>
          <w:color w:val="000000" w:themeColor="text1"/>
          <w:sz w:val="24"/>
          <w:szCs w:val="24"/>
        </w:rPr>
        <w:t>、报告期内基金管理人对本基金分红进行公告，指定媒体公告时间为</w:t>
      </w:r>
      <w:r w:rsidRPr="00FC0759">
        <w:rPr>
          <w:rFonts w:eastAsiaTheme="minorEastAsia"/>
          <w:color w:val="000000" w:themeColor="text1"/>
          <w:sz w:val="24"/>
          <w:szCs w:val="24"/>
        </w:rPr>
        <w:t>2019</w:t>
      </w:r>
      <w:r w:rsidRPr="00FC0759">
        <w:rPr>
          <w:rFonts w:eastAsiaTheme="minorEastAsia"/>
          <w:color w:val="000000" w:themeColor="text1"/>
          <w:sz w:val="24"/>
          <w:szCs w:val="24"/>
        </w:rPr>
        <w:t>年</w:t>
      </w:r>
      <w:r w:rsidRPr="00FC0759">
        <w:rPr>
          <w:rFonts w:eastAsiaTheme="minorEastAsia"/>
          <w:color w:val="000000" w:themeColor="text1"/>
          <w:sz w:val="24"/>
          <w:szCs w:val="24"/>
        </w:rPr>
        <w:t>3</w:t>
      </w:r>
      <w:r w:rsidRPr="00FC0759">
        <w:rPr>
          <w:rFonts w:eastAsiaTheme="minorEastAsia"/>
          <w:color w:val="000000" w:themeColor="text1"/>
          <w:sz w:val="24"/>
          <w:szCs w:val="24"/>
        </w:rPr>
        <w:t>月</w:t>
      </w:r>
      <w:r w:rsidRPr="00FC0759">
        <w:rPr>
          <w:rFonts w:eastAsiaTheme="minorEastAsia"/>
          <w:color w:val="000000" w:themeColor="text1"/>
          <w:sz w:val="24"/>
          <w:szCs w:val="24"/>
        </w:rPr>
        <w:t>1</w:t>
      </w:r>
      <w:r w:rsidRPr="00FC0759">
        <w:rPr>
          <w:rFonts w:eastAsiaTheme="minorEastAsia"/>
          <w:color w:val="000000" w:themeColor="text1"/>
          <w:sz w:val="24"/>
          <w:szCs w:val="24"/>
        </w:rPr>
        <w:t>日。</w:t>
      </w:r>
    </w:p>
    <w:p w:rsidR="004061AC" w:rsidRPr="00E74406" w:rsidRDefault="004061AC" w:rsidP="00E9511F">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《关于准予国投瑞银顺昌纯债债券型证券投资基金注册的批复》（证监许可</w:t>
      </w:r>
      <w:r>
        <w:rPr>
          <w:rFonts w:eastAsiaTheme="minorEastAsia"/>
          <w:color w:val="000000" w:themeColor="text1"/>
          <w:sz w:val="24"/>
          <w:szCs w:val="24"/>
        </w:rPr>
        <w:t>[2018]690</w:t>
      </w:r>
      <w:r>
        <w:rPr>
          <w:rFonts w:eastAsiaTheme="minorEastAsia"/>
          <w:color w:val="000000" w:themeColor="text1"/>
          <w:sz w:val="24"/>
          <w:szCs w:val="24"/>
        </w:rPr>
        <w:t>号）</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《关于国投瑞银顺昌纯债债券型证券投资基金备案确认的函》（机构部函</w:t>
      </w:r>
      <w:r>
        <w:rPr>
          <w:rFonts w:eastAsiaTheme="minorEastAsia"/>
          <w:color w:val="000000" w:themeColor="text1"/>
          <w:sz w:val="24"/>
          <w:szCs w:val="24"/>
        </w:rPr>
        <w:t>[2018]2094</w:t>
      </w:r>
      <w:r>
        <w:rPr>
          <w:rFonts w:eastAsiaTheme="minorEastAsia"/>
          <w:color w:val="000000" w:themeColor="text1"/>
          <w:sz w:val="24"/>
          <w:szCs w:val="24"/>
        </w:rPr>
        <w:t>号）</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《国投瑞银顺昌纯债债券型证券投资基金基金合同》</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《国投瑞银顺昌纯债债券型证券投资基金托管协议》</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r>
        <w:rPr>
          <w:rFonts w:eastAsiaTheme="minorEastAsia"/>
          <w:color w:val="000000" w:themeColor="text1"/>
          <w:sz w:val="24"/>
          <w:szCs w:val="24"/>
        </w:rPr>
        <w:t xml:space="preserve"> </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r>
        <w:rPr>
          <w:rFonts w:eastAsiaTheme="minorEastAsia"/>
          <w:color w:val="000000" w:themeColor="text1"/>
          <w:sz w:val="24"/>
          <w:szCs w:val="24"/>
        </w:rPr>
        <w:t xml:space="preserve"> </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国投瑞银顺昌纯债债券型证券投资基金</w:t>
      </w:r>
      <w:r w:rsidRPr="00E74406">
        <w:rPr>
          <w:rFonts w:eastAsiaTheme="minorEastAsia"/>
          <w:color w:val="000000" w:themeColor="text1"/>
          <w:sz w:val="24"/>
          <w:szCs w:val="24"/>
        </w:rPr>
        <w:t>2019</w:t>
      </w:r>
      <w:r w:rsidRPr="00E74406">
        <w:rPr>
          <w:rFonts w:eastAsiaTheme="minorEastAsia"/>
          <w:color w:val="000000" w:themeColor="text1"/>
          <w:sz w:val="24"/>
          <w:szCs w:val="24"/>
        </w:rPr>
        <w:t>年第</w:t>
      </w:r>
      <w:r w:rsidRPr="00E74406">
        <w:rPr>
          <w:rFonts w:eastAsiaTheme="minorEastAsia"/>
          <w:color w:val="000000" w:themeColor="text1"/>
          <w:sz w:val="24"/>
          <w:szCs w:val="24"/>
        </w:rPr>
        <w:t>1</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 xml:space="preserve">4028 </w:t>
      </w:r>
      <w:r>
        <w:rPr>
          <w:rFonts w:eastAsiaTheme="minorEastAsia"/>
          <w:color w:val="000000" w:themeColor="text1"/>
          <w:sz w:val="24"/>
          <w:szCs w:val="24"/>
        </w:rPr>
        <w:t>号荣超经贸中心</w:t>
      </w:r>
      <w:r>
        <w:rPr>
          <w:rFonts w:eastAsiaTheme="minorEastAsia"/>
          <w:color w:val="000000" w:themeColor="text1"/>
          <w:sz w:val="24"/>
          <w:szCs w:val="24"/>
        </w:rPr>
        <w:t xml:space="preserve">46 </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2D524E" w:rsidRDefault="00E9511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二〇一九年四月二十二日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43" w:rsidRDefault="005E2343" w:rsidP="00876D65">
      <w:r>
        <w:separator/>
      </w:r>
    </w:p>
  </w:endnote>
  <w:endnote w:type="continuationSeparator" w:id="1">
    <w:p w:rsidR="005E2343" w:rsidRDefault="005E234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4819A0" w:rsidRDefault="004819A0" w:rsidP="004819A0">
    <w:pPr>
      <w:pStyle w:val="a6"/>
      <w:jc w:val="center"/>
      <w:rPr>
        <w:rFonts w:eastAsiaTheme="minorEastAsia"/>
        <w:sz w:val="21"/>
        <w:szCs w:val="21"/>
      </w:rPr>
    </w:pPr>
    <w:r>
      <w:rPr>
        <w:rFonts w:eastAsiaTheme="minorEastAsia" w:hint="eastAsia"/>
        <w:kern w:val="0"/>
        <w:sz w:val="21"/>
        <w:szCs w:val="21"/>
      </w:rPr>
      <w:t>第</w:t>
    </w:r>
    <w:r w:rsidR="002D524E">
      <w:rPr>
        <w:rFonts w:eastAsiaTheme="minorEastAsia"/>
        <w:kern w:val="0"/>
        <w:sz w:val="21"/>
        <w:szCs w:val="21"/>
      </w:rPr>
      <w:fldChar w:fldCharType="begin"/>
    </w:r>
    <w:r>
      <w:rPr>
        <w:rFonts w:eastAsiaTheme="minorEastAsia"/>
        <w:kern w:val="0"/>
        <w:sz w:val="21"/>
        <w:szCs w:val="21"/>
      </w:rPr>
      <w:instrText xml:space="preserve"> PAGE </w:instrText>
    </w:r>
    <w:r w:rsidR="002D524E">
      <w:rPr>
        <w:rFonts w:eastAsiaTheme="minorEastAsia"/>
        <w:kern w:val="0"/>
        <w:sz w:val="21"/>
        <w:szCs w:val="21"/>
      </w:rPr>
      <w:fldChar w:fldCharType="separate"/>
    </w:r>
    <w:r w:rsidR="00E9511F">
      <w:rPr>
        <w:rFonts w:eastAsiaTheme="minorEastAsia"/>
        <w:noProof/>
        <w:kern w:val="0"/>
        <w:sz w:val="21"/>
        <w:szCs w:val="21"/>
      </w:rPr>
      <w:t>1</w:t>
    </w:r>
    <w:r w:rsidR="002D524E">
      <w:rPr>
        <w:rFonts w:eastAsiaTheme="minorEastAsia"/>
        <w:kern w:val="0"/>
        <w:sz w:val="21"/>
        <w:szCs w:val="21"/>
      </w:rPr>
      <w:fldChar w:fldCharType="end"/>
    </w:r>
    <w:r>
      <w:rPr>
        <w:rFonts w:eastAsiaTheme="minorEastAsia" w:hint="eastAsia"/>
        <w:kern w:val="0"/>
        <w:sz w:val="21"/>
        <w:szCs w:val="21"/>
      </w:rPr>
      <w:t>页，共</w:t>
    </w:r>
    <w:r w:rsidR="002D524E">
      <w:rPr>
        <w:rFonts w:eastAsiaTheme="minorEastAsia"/>
        <w:kern w:val="0"/>
        <w:sz w:val="21"/>
        <w:szCs w:val="21"/>
      </w:rPr>
      <w:fldChar w:fldCharType="begin"/>
    </w:r>
    <w:r>
      <w:rPr>
        <w:rFonts w:eastAsiaTheme="minorEastAsia"/>
        <w:kern w:val="0"/>
        <w:sz w:val="21"/>
        <w:szCs w:val="21"/>
      </w:rPr>
      <w:instrText xml:space="preserve"> NUMPAGES </w:instrText>
    </w:r>
    <w:r w:rsidR="002D524E">
      <w:rPr>
        <w:rFonts w:eastAsiaTheme="minorEastAsia"/>
        <w:kern w:val="0"/>
        <w:sz w:val="21"/>
        <w:szCs w:val="21"/>
      </w:rPr>
      <w:fldChar w:fldCharType="separate"/>
    </w:r>
    <w:r w:rsidR="00E9511F">
      <w:rPr>
        <w:rFonts w:eastAsiaTheme="minorEastAsia"/>
        <w:noProof/>
        <w:kern w:val="0"/>
        <w:sz w:val="21"/>
        <w:szCs w:val="21"/>
      </w:rPr>
      <w:t>3</w:t>
    </w:r>
    <w:r w:rsidR="002D524E">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43" w:rsidRDefault="005E2343" w:rsidP="00876D65">
      <w:r>
        <w:separator/>
      </w:r>
    </w:p>
  </w:footnote>
  <w:footnote w:type="continuationSeparator" w:id="1">
    <w:p w:rsidR="005E2343" w:rsidRDefault="005E234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E74406" w:rsidRDefault="00171EF0" w:rsidP="00090A26">
    <w:pPr>
      <w:pStyle w:val="a9"/>
      <w:pBdr>
        <w:bottom w:val="single" w:sz="6" w:space="0" w:color="auto"/>
      </w:pBdr>
      <w:jc w:val="right"/>
      <w:rPr>
        <w:sz w:val="21"/>
        <w:szCs w:val="21"/>
      </w:rPr>
    </w:pPr>
    <w:r w:rsidRPr="00E74406">
      <w:rPr>
        <w:rFonts w:hint="eastAsia"/>
        <w:sz w:val="21"/>
        <w:szCs w:val="21"/>
      </w:rPr>
      <w:t>国投瑞银顺昌纯债债券型证券投资基金</w:t>
    </w:r>
    <w:r w:rsidRPr="00E74406">
      <w:rPr>
        <w:rFonts w:hint="eastAsia"/>
        <w:sz w:val="21"/>
        <w:szCs w:val="21"/>
      </w:rPr>
      <w:t>2019</w:t>
    </w:r>
    <w:r w:rsidRPr="00E74406">
      <w:rPr>
        <w:rFonts w:hint="eastAsia"/>
        <w:sz w:val="21"/>
        <w:szCs w:val="21"/>
      </w:rPr>
      <w:t>年第</w:t>
    </w:r>
    <w:r w:rsidRPr="00E74406">
      <w:rPr>
        <w:rFonts w:hint="eastAsia"/>
        <w:sz w:val="21"/>
        <w:szCs w:val="21"/>
      </w:rPr>
      <w:t>1</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3CF"/>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A692D"/>
    <w:rsid w:val="002B1D1A"/>
    <w:rsid w:val="002D524E"/>
    <w:rsid w:val="002D6FB6"/>
    <w:rsid w:val="002E1B9F"/>
    <w:rsid w:val="002E3B09"/>
    <w:rsid w:val="002E52B3"/>
    <w:rsid w:val="002E66E5"/>
    <w:rsid w:val="002F29FF"/>
    <w:rsid w:val="00304A12"/>
    <w:rsid w:val="00305636"/>
    <w:rsid w:val="00305A29"/>
    <w:rsid w:val="00311662"/>
    <w:rsid w:val="00312A9F"/>
    <w:rsid w:val="00313F0D"/>
    <w:rsid w:val="00315D5D"/>
    <w:rsid w:val="00316484"/>
    <w:rsid w:val="00316E01"/>
    <w:rsid w:val="00320300"/>
    <w:rsid w:val="00324508"/>
    <w:rsid w:val="003259C8"/>
    <w:rsid w:val="003307FE"/>
    <w:rsid w:val="003470E2"/>
    <w:rsid w:val="0034730F"/>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61AC"/>
    <w:rsid w:val="00406C52"/>
    <w:rsid w:val="004149AC"/>
    <w:rsid w:val="0042009D"/>
    <w:rsid w:val="00427F58"/>
    <w:rsid w:val="00433805"/>
    <w:rsid w:val="00465285"/>
    <w:rsid w:val="00471408"/>
    <w:rsid w:val="004819A0"/>
    <w:rsid w:val="004830A5"/>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234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57F1"/>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8699A"/>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5791D"/>
    <w:rsid w:val="008606B6"/>
    <w:rsid w:val="00862989"/>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33DA9"/>
    <w:rsid w:val="00A45320"/>
    <w:rsid w:val="00A52F8F"/>
    <w:rsid w:val="00A5612C"/>
    <w:rsid w:val="00A5689C"/>
    <w:rsid w:val="00A57AE4"/>
    <w:rsid w:val="00A633C6"/>
    <w:rsid w:val="00A63F19"/>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E44E18"/>
    <w:rsid w:val="00E54301"/>
    <w:rsid w:val="00E55ABD"/>
    <w:rsid w:val="00E60817"/>
    <w:rsid w:val="00E71F78"/>
    <w:rsid w:val="00E74406"/>
    <w:rsid w:val="00E90C35"/>
    <w:rsid w:val="00E9511F"/>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C664-DCA7-4A81-B9D5-3BA7EC1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4</DocSecurity>
  <Lines>53</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2019-04-21T16:06:00Z</dcterms:created>
  <dcterms:modified xsi:type="dcterms:W3CDTF">2019-04-21T16:06:00Z</dcterms:modified>
</cp:coreProperties>
</file>