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0C1E17" w:rsidRPr="00E74406" w:rsidRDefault="000C1E17" w:rsidP="004061AC">
      <w:pPr>
        <w:autoSpaceDE w:val="0"/>
        <w:autoSpaceDN w:val="0"/>
        <w:adjustRightInd w:val="0"/>
        <w:spacing w:line="360" w:lineRule="auto"/>
        <w:jc w:val="left"/>
        <w:rPr>
          <w:rFonts w:eastAsiaTheme="minorEastAsia"/>
          <w:color w:val="000000" w:themeColor="text1"/>
          <w:kern w:val="0"/>
          <w:sz w:val="24"/>
          <w:szCs w:val="24"/>
        </w:rPr>
      </w:pPr>
    </w:p>
    <w:p w:rsidR="000C1E17" w:rsidRPr="00E74406" w:rsidRDefault="000C1E17" w:rsidP="004061AC">
      <w:pPr>
        <w:autoSpaceDE w:val="0"/>
        <w:autoSpaceDN w:val="0"/>
        <w:adjustRightInd w:val="0"/>
        <w:spacing w:line="360" w:lineRule="auto"/>
        <w:jc w:val="left"/>
        <w:rPr>
          <w:rFonts w:eastAsiaTheme="minorEastAsia"/>
          <w:color w:val="000000" w:themeColor="text1"/>
          <w:kern w:val="0"/>
          <w:sz w:val="24"/>
          <w:szCs w:val="24"/>
        </w:rPr>
      </w:pPr>
    </w:p>
    <w:p w:rsidR="002279D3" w:rsidRPr="004819A0" w:rsidRDefault="002279D3" w:rsidP="00542546">
      <w:pPr>
        <w:spacing w:line="360" w:lineRule="auto"/>
        <w:jc w:val="center"/>
        <w:rPr>
          <w:rFonts w:eastAsiaTheme="minorEastAsia"/>
          <w:b/>
          <w:color w:val="000000" w:themeColor="text1"/>
          <w:sz w:val="24"/>
          <w:szCs w:val="24"/>
        </w:rPr>
      </w:pPr>
      <w:r w:rsidRPr="004819A0">
        <w:rPr>
          <w:rFonts w:eastAsiaTheme="minorEastAsia"/>
          <w:b/>
          <w:color w:val="000000" w:themeColor="text1"/>
          <w:sz w:val="24"/>
          <w:szCs w:val="24"/>
        </w:rPr>
        <w:t>国投瑞银瑞兴灵活配置混合型证券投资基金</w:t>
      </w:r>
    </w:p>
    <w:p w:rsidR="002279D3" w:rsidRPr="004819A0" w:rsidRDefault="002279D3" w:rsidP="00542546">
      <w:pPr>
        <w:spacing w:line="360" w:lineRule="auto"/>
        <w:jc w:val="center"/>
        <w:rPr>
          <w:rFonts w:eastAsiaTheme="minorEastAsia"/>
          <w:b/>
          <w:color w:val="000000" w:themeColor="text1"/>
          <w:sz w:val="24"/>
          <w:szCs w:val="24"/>
        </w:rPr>
      </w:pPr>
      <w:r w:rsidRPr="004819A0">
        <w:rPr>
          <w:rFonts w:eastAsiaTheme="minorEastAsia"/>
          <w:b/>
          <w:color w:val="000000" w:themeColor="text1"/>
          <w:sz w:val="24"/>
          <w:szCs w:val="24"/>
        </w:rPr>
        <w:t>2019</w:t>
      </w:r>
      <w:r w:rsidRPr="004819A0">
        <w:rPr>
          <w:rFonts w:eastAsiaTheme="minorEastAsia"/>
          <w:b/>
          <w:color w:val="000000" w:themeColor="text1"/>
          <w:sz w:val="24"/>
          <w:szCs w:val="24"/>
        </w:rPr>
        <w:t>年第</w:t>
      </w:r>
      <w:r w:rsidRPr="004819A0">
        <w:rPr>
          <w:rFonts w:eastAsiaTheme="minorEastAsia"/>
          <w:b/>
          <w:color w:val="000000" w:themeColor="text1"/>
          <w:sz w:val="24"/>
          <w:szCs w:val="24"/>
        </w:rPr>
        <w:t>1</w:t>
      </w:r>
      <w:r w:rsidRPr="004819A0">
        <w:rPr>
          <w:rFonts w:eastAsiaTheme="minorEastAsia"/>
          <w:b/>
          <w:color w:val="000000" w:themeColor="text1"/>
          <w:sz w:val="24"/>
          <w:szCs w:val="24"/>
        </w:rPr>
        <w:t>季度报告</w:t>
      </w:r>
    </w:p>
    <w:p w:rsidR="004061AC" w:rsidRPr="004819A0" w:rsidRDefault="00655CD8" w:rsidP="00542546">
      <w:pPr>
        <w:spacing w:line="360" w:lineRule="auto"/>
        <w:jc w:val="center"/>
        <w:rPr>
          <w:rFonts w:eastAsiaTheme="minorEastAsia"/>
          <w:b/>
          <w:color w:val="000000" w:themeColor="text1"/>
          <w:sz w:val="24"/>
          <w:szCs w:val="24"/>
        </w:rPr>
      </w:pPr>
      <w:r w:rsidRPr="004819A0">
        <w:rPr>
          <w:rFonts w:eastAsiaTheme="minorEastAsia"/>
          <w:b/>
          <w:color w:val="000000" w:themeColor="text1"/>
          <w:sz w:val="24"/>
          <w:szCs w:val="24"/>
        </w:rPr>
        <w:t>2019</w:t>
      </w:r>
      <w:r w:rsidRPr="004819A0">
        <w:rPr>
          <w:rFonts w:eastAsiaTheme="minorEastAsia"/>
          <w:b/>
          <w:color w:val="000000" w:themeColor="text1"/>
          <w:sz w:val="24"/>
          <w:szCs w:val="24"/>
        </w:rPr>
        <w:t>年</w:t>
      </w:r>
      <w:r w:rsidRPr="004819A0">
        <w:rPr>
          <w:rFonts w:eastAsiaTheme="minorEastAsia"/>
          <w:b/>
          <w:color w:val="000000" w:themeColor="text1"/>
          <w:sz w:val="24"/>
          <w:szCs w:val="24"/>
        </w:rPr>
        <w:t>3</w:t>
      </w:r>
      <w:r w:rsidRPr="004819A0">
        <w:rPr>
          <w:rFonts w:eastAsiaTheme="minorEastAsia"/>
          <w:b/>
          <w:color w:val="000000" w:themeColor="text1"/>
          <w:sz w:val="24"/>
          <w:szCs w:val="24"/>
        </w:rPr>
        <w:t>月</w:t>
      </w:r>
      <w:r w:rsidRPr="004819A0">
        <w:rPr>
          <w:rFonts w:eastAsiaTheme="minorEastAsia"/>
          <w:b/>
          <w:color w:val="000000" w:themeColor="text1"/>
          <w:sz w:val="24"/>
          <w:szCs w:val="24"/>
        </w:rPr>
        <w:t>31</w:t>
      </w:r>
      <w:r w:rsidRPr="004819A0">
        <w:rPr>
          <w:rFonts w:eastAsiaTheme="minorEastAsia"/>
          <w:b/>
          <w:color w:val="000000" w:themeColor="text1"/>
          <w:sz w:val="24"/>
          <w:szCs w:val="24"/>
        </w:rPr>
        <w:t>日</w:t>
      </w: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rPr>
          <w:rFonts w:eastAsiaTheme="minorEastAsia"/>
          <w:b/>
          <w:bCs/>
          <w:color w:val="000000" w:themeColor="text1"/>
          <w:sz w:val="24"/>
          <w:szCs w:val="24"/>
        </w:rPr>
      </w:pPr>
    </w:p>
    <w:p w:rsidR="004061AC" w:rsidRPr="00E74406" w:rsidRDefault="004061AC" w:rsidP="00542546">
      <w:pPr>
        <w:spacing w:line="360" w:lineRule="auto"/>
        <w:ind w:firstLineChars="900" w:firstLine="2168"/>
        <w:rPr>
          <w:rFonts w:eastAsiaTheme="minorEastAsia"/>
          <w:b/>
          <w:color w:val="000000" w:themeColor="text1"/>
          <w:sz w:val="24"/>
          <w:szCs w:val="24"/>
        </w:rPr>
      </w:pPr>
      <w:r w:rsidRPr="00E74406">
        <w:rPr>
          <w:rFonts w:eastAsiaTheme="minorEastAsia"/>
          <w:b/>
          <w:color w:val="000000" w:themeColor="text1"/>
          <w:sz w:val="24"/>
          <w:szCs w:val="24"/>
        </w:rPr>
        <w:t>基金管理人：国投瑞银基金管理有限公司</w:t>
      </w:r>
    </w:p>
    <w:p w:rsidR="004061AC" w:rsidRPr="00E74406" w:rsidRDefault="004061AC" w:rsidP="00542546">
      <w:pPr>
        <w:spacing w:line="360" w:lineRule="auto"/>
        <w:ind w:firstLineChars="900" w:firstLine="2168"/>
        <w:rPr>
          <w:rFonts w:eastAsiaTheme="minorEastAsia"/>
          <w:b/>
          <w:color w:val="000000" w:themeColor="text1"/>
          <w:sz w:val="24"/>
          <w:szCs w:val="24"/>
        </w:rPr>
      </w:pPr>
      <w:r w:rsidRPr="00E74406">
        <w:rPr>
          <w:rFonts w:eastAsiaTheme="minorEastAsia"/>
          <w:b/>
          <w:color w:val="000000" w:themeColor="text1"/>
          <w:sz w:val="24"/>
          <w:szCs w:val="24"/>
        </w:rPr>
        <w:t>基金托管人：中国建设银行股份有限公司</w:t>
      </w:r>
    </w:p>
    <w:p w:rsidR="004061AC" w:rsidRPr="00E74406" w:rsidRDefault="004061AC" w:rsidP="00542546">
      <w:pPr>
        <w:spacing w:line="360" w:lineRule="auto"/>
        <w:ind w:firstLineChars="900" w:firstLine="2168"/>
        <w:rPr>
          <w:rFonts w:eastAsiaTheme="minorEastAsia"/>
          <w:b/>
          <w:color w:val="000000" w:themeColor="text1"/>
          <w:sz w:val="24"/>
          <w:szCs w:val="24"/>
        </w:rPr>
        <w:sectPr w:rsidR="004061AC" w:rsidRPr="00E74406" w:rsidSect="00304A12">
          <w:headerReference w:type="default" r:id="rId8"/>
          <w:footerReference w:type="default" r:id="rId9"/>
          <w:pgSz w:w="11926" w:h="15840"/>
          <w:pgMar w:top="1418" w:right="1418" w:bottom="851" w:left="1418" w:header="851" w:footer="992" w:gutter="0"/>
          <w:cols w:space="720"/>
          <w:noEndnote/>
        </w:sectPr>
      </w:pPr>
      <w:r w:rsidRPr="00E74406">
        <w:rPr>
          <w:rFonts w:eastAsiaTheme="minorEastAsia"/>
          <w:b/>
          <w:color w:val="000000" w:themeColor="text1"/>
          <w:sz w:val="24"/>
          <w:szCs w:val="24"/>
        </w:rPr>
        <w:t>报告送出日期：</w:t>
      </w:r>
      <w:r w:rsidR="00F16E3F" w:rsidRPr="00E74406">
        <w:rPr>
          <w:rFonts w:eastAsiaTheme="minorEastAsia"/>
          <w:b/>
          <w:color w:val="000000" w:themeColor="text1"/>
          <w:sz w:val="24"/>
          <w:szCs w:val="24"/>
        </w:rPr>
        <w:t>二〇一九年四月二十二日</w:t>
      </w:r>
    </w:p>
    <w:p w:rsidR="004061AC" w:rsidRPr="00E74406" w:rsidRDefault="004061AC" w:rsidP="0001311F">
      <w:pPr>
        <w:pStyle w:val="1"/>
        <w:spacing w:beforeLines="100" w:afterLines="100" w:line="360" w:lineRule="auto"/>
        <w:jc w:val="center"/>
        <w:rPr>
          <w:rFonts w:eastAsiaTheme="minorEastAsia"/>
          <w:b w:val="0"/>
          <w:bCs w:val="0"/>
          <w:color w:val="000000" w:themeColor="text1"/>
          <w:kern w:val="0"/>
          <w:sz w:val="24"/>
          <w:szCs w:val="24"/>
        </w:rPr>
      </w:pPr>
      <w:r w:rsidRPr="00E74406">
        <w:rPr>
          <w:rFonts w:eastAsiaTheme="minorEastAsia"/>
          <w:color w:val="000000" w:themeColor="text1"/>
          <w:kern w:val="0"/>
          <w:sz w:val="24"/>
          <w:szCs w:val="24"/>
        </w:rPr>
        <w:lastRenderedPageBreak/>
        <w:t xml:space="preserve">§1  </w:t>
      </w:r>
      <w:r w:rsidRPr="00E74406">
        <w:rPr>
          <w:rFonts w:eastAsiaTheme="minorEastAsia"/>
          <w:color w:val="000000" w:themeColor="text1"/>
          <w:kern w:val="0"/>
          <w:sz w:val="24"/>
          <w:szCs w:val="24"/>
        </w:rPr>
        <w:t>重要提示</w:t>
      </w:r>
    </w:p>
    <w:tbl>
      <w:tblPr>
        <w:tblStyle w:val="af7"/>
        <w:tblW w:w="0" w:type="auto"/>
        <w:tblLook w:val="04A0"/>
      </w:tblPr>
      <w:tblGrid>
        <w:gridCol w:w="8528"/>
      </w:tblGrid>
      <w:tr w:rsidR="006B42EA" w:rsidRPr="00E74406" w:rsidTr="006B42EA">
        <w:tc>
          <w:tcPr>
            <w:tcW w:w="8528" w:type="dxa"/>
          </w:tcPr>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基金管理人的董事会及董事保证本报告所载资料不存在虚假记载、误导性陈述或重大遗漏，并对其内容的真实性、准确性和完整性承担个别及连带责任。</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基金托管人中国建设银行股份有限公司根据本基金合同规定，于</w:t>
            </w:r>
            <w:r>
              <w:rPr>
                <w:rFonts w:eastAsiaTheme="minorEastAsia"/>
                <w:color w:val="000000" w:themeColor="text1"/>
                <w:sz w:val="24"/>
                <w:szCs w:val="24"/>
              </w:rPr>
              <w:t>2019</w:t>
            </w:r>
            <w:r>
              <w:rPr>
                <w:rFonts w:eastAsiaTheme="minorEastAsia"/>
                <w:color w:val="000000" w:themeColor="text1"/>
                <w:sz w:val="24"/>
                <w:szCs w:val="24"/>
              </w:rPr>
              <w:t>年</w:t>
            </w:r>
            <w:r>
              <w:rPr>
                <w:rFonts w:eastAsiaTheme="minorEastAsia"/>
                <w:color w:val="000000" w:themeColor="text1"/>
                <w:sz w:val="24"/>
                <w:szCs w:val="24"/>
              </w:rPr>
              <w:t>4</w:t>
            </w:r>
            <w:r>
              <w:rPr>
                <w:rFonts w:eastAsiaTheme="minorEastAsia"/>
                <w:color w:val="000000" w:themeColor="text1"/>
                <w:sz w:val="24"/>
                <w:szCs w:val="24"/>
              </w:rPr>
              <w:t>月</w:t>
            </w:r>
            <w:r>
              <w:rPr>
                <w:rFonts w:eastAsiaTheme="minorEastAsia"/>
                <w:color w:val="000000" w:themeColor="text1"/>
                <w:sz w:val="24"/>
                <w:szCs w:val="24"/>
              </w:rPr>
              <w:t>19</w:t>
            </w:r>
            <w:r>
              <w:rPr>
                <w:rFonts w:eastAsiaTheme="minorEastAsia"/>
                <w:color w:val="000000" w:themeColor="text1"/>
                <w:sz w:val="24"/>
                <w:szCs w:val="24"/>
              </w:rPr>
              <w:t>日复核了本报告中的财务指标、净值表现和投资组合报告等内容，保证复核内容不存在虚假记载、误导性陈述或者重大遗漏。</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基金管理人承诺以诚实信用、勤勉尽责的原则管理和运用基金资产，但不保证基金一定盈利。</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基金的过往业绩并不代表其未来表现。投资有风险，投资者在作出投资决策前应仔细阅读本基金的招募说明书。</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本报告中财务资料未经审计。</w:t>
            </w:r>
          </w:p>
          <w:p w:rsidR="006B42EA" w:rsidRPr="00E74406" w:rsidRDefault="006B42EA"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本报告期自</w:t>
            </w:r>
            <w:r w:rsidRPr="00E74406">
              <w:rPr>
                <w:rFonts w:eastAsiaTheme="minorEastAsia"/>
                <w:color w:val="000000" w:themeColor="text1"/>
                <w:sz w:val="24"/>
                <w:szCs w:val="24"/>
              </w:rPr>
              <w:t>2019</w:t>
            </w:r>
            <w:r w:rsidRPr="00E74406">
              <w:rPr>
                <w:rFonts w:eastAsiaTheme="minorEastAsia"/>
                <w:color w:val="000000" w:themeColor="text1"/>
                <w:sz w:val="24"/>
                <w:szCs w:val="24"/>
              </w:rPr>
              <w:t>年</w:t>
            </w:r>
            <w:r w:rsidRPr="00E74406">
              <w:rPr>
                <w:rFonts w:eastAsiaTheme="minorEastAsia"/>
                <w:color w:val="000000" w:themeColor="text1"/>
                <w:sz w:val="24"/>
                <w:szCs w:val="24"/>
              </w:rPr>
              <w:t>1</w:t>
            </w:r>
            <w:r w:rsidRPr="00E74406">
              <w:rPr>
                <w:rFonts w:eastAsiaTheme="minorEastAsia"/>
                <w:color w:val="000000" w:themeColor="text1"/>
                <w:sz w:val="24"/>
                <w:szCs w:val="24"/>
              </w:rPr>
              <w:t>月</w:t>
            </w:r>
            <w:r w:rsidRPr="00E74406">
              <w:rPr>
                <w:rFonts w:eastAsiaTheme="minorEastAsia"/>
                <w:color w:val="000000" w:themeColor="text1"/>
                <w:sz w:val="24"/>
                <w:szCs w:val="24"/>
              </w:rPr>
              <w:t>1</w:t>
            </w:r>
            <w:r w:rsidRPr="00E74406">
              <w:rPr>
                <w:rFonts w:eastAsiaTheme="minorEastAsia"/>
                <w:color w:val="000000" w:themeColor="text1"/>
                <w:sz w:val="24"/>
                <w:szCs w:val="24"/>
              </w:rPr>
              <w:t>日起至</w:t>
            </w:r>
            <w:r w:rsidRPr="00E74406">
              <w:rPr>
                <w:rFonts w:eastAsiaTheme="minorEastAsia"/>
                <w:color w:val="000000" w:themeColor="text1"/>
                <w:sz w:val="24"/>
                <w:szCs w:val="24"/>
              </w:rPr>
              <w:t>3</w:t>
            </w:r>
            <w:r w:rsidRPr="00E74406">
              <w:rPr>
                <w:rFonts w:eastAsiaTheme="minorEastAsia"/>
                <w:color w:val="000000" w:themeColor="text1"/>
                <w:sz w:val="24"/>
                <w:szCs w:val="24"/>
              </w:rPr>
              <w:t>月</w:t>
            </w:r>
            <w:r w:rsidRPr="00E74406">
              <w:rPr>
                <w:rFonts w:eastAsiaTheme="minorEastAsia"/>
                <w:color w:val="000000" w:themeColor="text1"/>
                <w:sz w:val="24"/>
                <w:szCs w:val="24"/>
              </w:rPr>
              <w:t>31</w:t>
            </w:r>
            <w:r w:rsidRPr="00E74406">
              <w:rPr>
                <w:rFonts w:eastAsiaTheme="minorEastAsia"/>
                <w:color w:val="000000" w:themeColor="text1"/>
                <w:sz w:val="24"/>
                <w:szCs w:val="24"/>
              </w:rPr>
              <w:t>日止。</w:t>
            </w:r>
          </w:p>
        </w:tc>
      </w:tr>
    </w:tbl>
    <w:p w:rsidR="004061AC" w:rsidRPr="00E74406" w:rsidRDefault="004061AC" w:rsidP="0001311F">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 xml:space="preserve">§2  </w:t>
      </w:r>
      <w:r w:rsidRPr="00E74406">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220C32" w:rsidRPr="00E74406" w:rsidTr="00BF6314">
        <w:tc>
          <w:tcPr>
            <w:tcW w:w="2835" w:type="dxa"/>
            <w:vAlign w:val="center"/>
          </w:tcPr>
          <w:p w:rsidR="004061AC" w:rsidRPr="00E74406" w:rsidRDefault="004061AC"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基金简称</w:t>
            </w:r>
          </w:p>
        </w:tc>
        <w:tc>
          <w:tcPr>
            <w:tcW w:w="5479" w:type="dxa"/>
            <w:vAlign w:val="center"/>
          </w:tcPr>
          <w:p w:rsidR="004061AC" w:rsidRPr="00E74406" w:rsidRDefault="004061AC"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国投瑞银瑞兴混合</w:t>
            </w:r>
          </w:p>
        </w:tc>
      </w:tr>
      <w:tr w:rsidR="00220C32" w:rsidRPr="00E74406"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E74406" w:rsidRDefault="00D94B8D"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E74406" w:rsidRDefault="00D94B8D"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002242</w:t>
            </w:r>
          </w:p>
        </w:tc>
      </w:tr>
      <w:tr w:rsidR="00220C32" w:rsidRPr="00E74406"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E74406" w:rsidRDefault="001B2F35"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E74406" w:rsidRDefault="00C5218C"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002242</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基金运作方式</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契约型开放式</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基金合同生效日</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2018</w:t>
            </w:r>
            <w:r w:rsidRPr="00E74406">
              <w:rPr>
                <w:rFonts w:eastAsiaTheme="minorEastAsia"/>
                <w:color w:val="000000" w:themeColor="text1"/>
                <w:kern w:val="0"/>
                <w:sz w:val="24"/>
                <w:szCs w:val="24"/>
              </w:rPr>
              <w:t>年</w:t>
            </w:r>
            <w:r w:rsidRPr="00E74406">
              <w:rPr>
                <w:rFonts w:eastAsiaTheme="minorEastAsia"/>
                <w:color w:val="000000" w:themeColor="text1"/>
                <w:kern w:val="0"/>
                <w:sz w:val="24"/>
                <w:szCs w:val="24"/>
              </w:rPr>
              <w:t>1</w:t>
            </w:r>
            <w:r w:rsidRPr="00E74406">
              <w:rPr>
                <w:rFonts w:eastAsiaTheme="minorEastAsia"/>
                <w:color w:val="000000" w:themeColor="text1"/>
                <w:kern w:val="0"/>
                <w:sz w:val="24"/>
                <w:szCs w:val="24"/>
              </w:rPr>
              <w:t>月</w:t>
            </w:r>
            <w:r w:rsidRPr="00E74406">
              <w:rPr>
                <w:rFonts w:eastAsiaTheme="minorEastAsia"/>
                <w:color w:val="000000" w:themeColor="text1"/>
                <w:kern w:val="0"/>
                <w:sz w:val="24"/>
                <w:szCs w:val="24"/>
              </w:rPr>
              <w:t>6</w:t>
            </w:r>
            <w:r w:rsidRPr="00E74406">
              <w:rPr>
                <w:rFonts w:eastAsiaTheme="minorEastAsia"/>
                <w:color w:val="000000" w:themeColor="text1"/>
                <w:kern w:val="0"/>
                <w:sz w:val="24"/>
                <w:szCs w:val="24"/>
              </w:rPr>
              <w:t>日</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报告期末基金份额总额</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24,487,522.55</w:t>
            </w:r>
            <w:r w:rsidRPr="00E74406">
              <w:rPr>
                <w:rFonts w:eastAsiaTheme="minorEastAsia"/>
                <w:color w:val="000000" w:themeColor="text1"/>
                <w:kern w:val="0"/>
                <w:sz w:val="24"/>
                <w:szCs w:val="24"/>
              </w:rPr>
              <w:t>份</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投资目标</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在追求有效控制风险和保持资金流动性的基础上，在风险有效控制前提下，根据宏观经济周期和市场环境的变化，依据股票市场和债券市场之间的相对风险收益预期，自上而下灵活配置资产，积极把握行业发展趋势和风格轮换中蕴含的投资机会，力求实现基金资产的长期稳定增值。</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投资策略</w:t>
            </w:r>
          </w:p>
        </w:tc>
        <w:tc>
          <w:tcPr>
            <w:tcW w:w="5479" w:type="dxa"/>
            <w:vAlign w:val="center"/>
          </w:tcPr>
          <w:p w:rsidR="008E4634" w:rsidRDefault="004C66A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本基金充分发挥基金管理人的研究优势，将严谨、</w:t>
            </w:r>
            <w:r>
              <w:rPr>
                <w:rFonts w:eastAsiaTheme="minorEastAsia"/>
                <w:color w:val="000000" w:themeColor="text1"/>
                <w:kern w:val="0"/>
                <w:sz w:val="24"/>
                <w:szCs w:val="24"/>
              </w:rPr>
              <w:lastRenderedPageBreak/>
              <w:t>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p w:rsidR="008E4634" w:rsidRDefault="004C66A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（一）资产配置策略</w:t>
            </w:r>
          </w:p>
          <w:p w:rsidR="008E4634" w:rsidRDefault="004C66A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本基金将采用</w:t>
            </w:r>
            <w:r>
              <w:rPr>
                <w:rFonts w:eastAsiaTheme="minorEastAsia"/>
                <w:color w:val="000000" w:themeColor="text1"/>
                <w:kern w:val="0"/>
                <w:sz w:val="24"/>
                <w:szCs w:val="24"/>
              </w:rPr>
              <w:t>“</w:t>
            </w:r>
            <w:r>
              <w:rPr>
                <w:rFonts w:eastAsiaTheme="minorEastAsia"/>
                <w:color w:val="000000" w:themeColor="text1"/>
                <w:kern w:val="0"/>
                <w:sz w:val="24"/>
                <w:szCs w:val="24"/>
              </w:rPr>
              <w:t>自上而下</w:t>
            </w:r>
            <w:r>
              <w:rPr>
                <w:rFonts w:eastAsiaTheme="minorEastAsia"/>
                <w:color w:val="000000" w:themeColor="text1"/>
                <w:kern w:val="0"/>
                <w:sz w:val="24"/>
                <w:szCs w:val="24"/>
              </w:rPr>
              <w:t>”</w:t>
            </w:r>
            <w:r>
              <w:rPr>
                <w:rFonts w:eastAsiaTheme="minorEastAsia"/>
                <w:color w:val="000000" w:themeColor="text1"/>
                <w:kern w:val="0"/>
                <w:sz w:val="24"/>
                <w:szCs w:val="24"/>
              </w:rPr>
              <w:t>的多因素分析决策支持系统，根据股票和债券等固定收益类资产的市场趋势和预期收益风险的比较判别，对其配置比例进行灵活动态调整，以期在投资中达到风险和收益的优化平衡。</w:t>
            </w:r>
          </w:p>
          <w:p w:rsidR="008E4634" w:rsidRDefault="004C66A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（二）股票投资策略</w:t>
            </w:r>
          </w:p>
          <w:p w:rsidR="008E4634" w:rsidRDefault="004C66A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本基金的股票投资策略主要采用</w:t>
            </w:r>
            <w:r>
              <w:rPr>
                <w:rFonts w:eastAsiaTheme="minorEastAsia"/>
                <w:color w:val="000000" w:themeColor="text1"/>
                <w:kern w:val="0"/>
                <w:sz w:val="24"/>
                <w:szCs w:val="24"/>
              </w:rPr>
              <w:t>“</w:t>
            </w:r>
            <w:r>
              <w:rPr>
                <w:rFonts w:eastAsiaTheme="minorEastAsia"/>
                <w:color w:val="000000" w:themeColor="text1"/>
                <w:kern w:val="0"/>
                <w:sz w:val="24"/>
                <w:szCs w:val="24"/>
              </w:rPr>
              <w:t>自下而上</w:t>
            </w:r>
            <w:r>
              <w:rPr>
                <w:rFonts w:eastAsiaTheme="minorEastAsia"/>
                <w:color w:val="000000" w:themeColor="text1"/>
                <w:kern w:val="0"/>
                <w:sz w:val="24"/>
                <w:szCs w:val="24"/>
              </w:rPr>
              <w:t>”</w:t>
            </w:r>
            <w:r>
              <w:rPr>
                <w:rFonts w:eastAsiaTheme="minorEastAsia"/>
                <w:color w:val="000000" w:themeColor="text1"/>
                <w:kern w:val="0"/>
                <w:sz w:val="24"/>
                <w:szCs w:val="24"/>
              </w:rPr>
              <w:t>选股策略，辅以</w:t>
            </w:r>
            <w:r>
              <w:rPr>
                <w:rFonts w:eastAsiaTheme="minorEastAsia"/>
                <w:color w:val="000000" w:themeColor="text1"/>
                <w:kern w:val="0"/>
                <w:sz w:val="24"/>
                <w:szCs w:val="24"/>
              </w:rPr>
              <w:t>“</w:t>
            </w:r>
            <w:r>
              <w:rPr>
                <w:rFonts w:eastAsiaTheme="minorEastAsia"/>
                <w:color w:val="000000" w:themeColor="text1"/>
                <w:kern w:val="0"/>
                <w:sz w:val="24"/>
                <w:szCs w:val="24"/>
              </w:rPr>
              <w:t>自上而下</w:t>
            </w:r>
            <w:r>
              <w:rPr>
                <w:rFonts w:eastAsiaTheme="minorEastAsia"/>
                <w:color w:val="000000" w:themeColor="text1"/>
                <w:kern w:val="0"/>
                <w:sz w:val="24"/>
                <w:szCs w:val="24"/>
              </w:rPr>
              <w:t>”</w:t>
            </w:r>
            <w:r>
              <w:rPr>
                <w:rFonts w:eastAsiaTheme="minorEastAsia"/>
                <w:color w:val="000000" w:themeColor="text1"/>
                <w:kern w:val="0"/>
                <w:sz w:val="24"/>
                <w:szCs w:val="24"/>
              </w:rPr>
              <w:t>的行业分析进行组合优化。</w:t>
            </w:r>
          </w:p>
          <w:p w:rsidR="008E4634" w:rsidRDefault="004C66A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（三）债券组合构建</w:t>
            </w:r>
          </w:p>
          <w:p w:rsidR="008E4634" w:rsidRDefault="004C66A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本基金借鉴</w:t>
            </w:r>
            <w:r>
              <w:rPr>
                <w:rFonts w:eastAsiaTheme="minorEastAsia"/>
                <w:color w:val="000000" w:themeColor="text1"/>
                <w:kern w:val="0"/>
                <w:sz w:val="24"/>
                <w:szCs w:val="24"/>
              </w:rPr>
              <w:t>UBS AM</w:t>
            </w:r>
            <w:r>
              <w:rPr>
                <w:rFonts w:eastAsiaTheme="minorEastAsia"/>
                <w:color w:val="000000" w:themeColor="text1"/>
                <w:kern w:val="0"/>
                <w:sz w:val="24"/>
                <w:szCs w:val="24"/>
              </w:rPr>
              <w:t>固定收益组合的管理方法，采取</w:t>
            </w:r>
            <w:r>
              <w:rPr>
                <w:rFonts w:eastAsiaTheme="minorEastAsia"/>
                <w:color w:val="000000" w:themeColor="text1"/>
                <w:kern w:val="0"/>
                <w:sz w:val="24"/>
                <w:szCs w:val="24"/>
              </w:rPr>
              <w:t>“</w:t>
            </w:r>
            <w:r>
              <w:rPr>
                <w:rFonts w:eastAsiaTheme="minorEastAsia"/>
                <w:color w:val="000000" w:themeColor="text1"/>
                <w:kern w:val="0"/>
                <w:sz w:val="24"/>
                <w:szCs w:val="24"/>
              </w:rPr>
              <w:t>自上而下</w:t>
            </w:r>
            <w:r>
              <w:rPr>
                <w:rFonts w:eastAsiaTheme="minorEastAsia"/>
                <w:color w:val="000000" w:themeColor="text1"/>
                <w:kern w:val="0"/>
                <w:sz w:val="24"/>
                <w:szCs w:val="24"/>
              </w:rPr>
              <w:t>”</w:t>
            </w:r>
            <w:r>
              <w:rPr>
                <w:rFonts w:eastAsiaTheme="minorEastAsia"/>
                <w:color w:val="000000" w:themeColor="text1"/>
                <w:kern w:val="0"/>
                <w:sz w:val="24"/>
                <w:szCs w:val="24"/>
              </w:rPr>
              <w:t>的债券分析方法，确定债券模拟组合，并管理组合风险。</w:t>
            </w:r>
          </w:p>
          <w:p w:rsidR="008E4634" w:rsidRDefault="004C66A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（四）衍生品投资策略</w:t>
            </w:r>
          </w:p>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为更好地实现投资目标，本基金在注重风险管理的前提下，以套期保值为目的，适度运用股指期货、国债期货等金融衍生品。本基金利用金融衍生品合约流动性好、交易成本低和杠杆操作等特点，提高投资组合的运作效率。</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lastRenderedPageBreak/>
              <w:t>业绩比较基准</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沪深</w:t>
            </w:r>
            <w:r w:rsidRPr="00E74406">
              <w:rPr>
                <w:rFonts w:eastAsiaTheme="minorEastAsia"/>
                <w:color w:val="000000" w:themeColor="text1"/>
                <w:kern w:val="0"/>
                <w:sz w:val="24"/>
                <w:szCs w:val="24"/>
              </w:rPr>
              <w:t>300</w:t>
            </w:r>
            <w:r w:rsidRPr="00E74406">
              <w:rPr>
                <w:rFonts w:eastAsiaTheme="minorEastAsia"/>
                <w:color w:val="000000" w:themeColor="text1"/>
                <w:kern w:val="0"/>
                <w:sz w:val="24"/>
                <w:szCs w:val="24"/>
              </w:rPr>
              <w:t>指数收益率</w:t>
            </w:r>
            <w:r w:rsidRPr="00E74406">
              <w:rPr>
                <w:rFonts w:eastAsiaTheme="minorEastAsia"/>
                <w:color w:val="000000" w:themeColor="text1"/>
                <w:kern w:val="0"/>
                <w:sz w:val="24"/>
                <w:szCs w:val="24"/>
              </w:rPr>
              <w:t>×60%</w:t>
            </w:r>
            <w:r w:rsidRPr="00E74406">
              <w:rPr>
                <w:rFonts w:eastAsiaTheme="minorEastAsia"/>
                <w:color w:val="000000" w:themeColor="text1"/>
                <w:kern w:val="0"/>
                <w:sz w:val="24"/>
                <w:szCs w:val="24"/>
              </w:rPr>
              <w:t>＋中债综合指数收益率</w:t>
            </w:r>
            <w:r w:rsidRPr="00E74406">
              <w:rPr>
                <w:rFonts w:eastAsiaTheme="minorEastAsia"/>
                <w:color w:val="000000" w:themeColor="text1"/>
                <w:kern w:val="0"/>
                <w:sz w:val="24"/>
                <w:szCs w:val="24"/>
              </w:rPr>
              <w:t>×40%</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风险收益特征</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本基金为灵活配置的混合型基金，风险与预期收益高于货币型基金和债券型基金，低于股票型基金。</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基金管理人</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国投瑞银基金管理有限公司</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基金托管人</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中国建设银行股份有限公司</w:t>
            </w:r>
          </w:p>
        </w:tc>
      </w:tr>
    </w:tbl>
    <w:p w:rsidR="004061AC" w:rsidRPr="00E74406" w:rsidRDefault="004061AC" w:rsidP="0001311F">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 xml:space="preserve">§3  </w:t>
      </w:r>
      <w:r w:rsidRPr="00E74406">
        <w:rPr>
          <w:rFonts w:eastAsiaTheme="minorEastAsia"/>
          <w:color w:val="000000" w:themeColor="text1"/>
          <w:kern w:val="0"/>
          <w:sz w:val="24"/>
          <w:szCs w:val="24"/>
        </w:rPr>
        <w:t>主要财务指标和基金净值表现</w:t>
      </w: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3.1 </w:t>
      </w:r>
      <w:r w:rsidRPr="00E74406">
        <w:rPr>
          <w:rFonts w:eastAsiaTheme="minorEastAsia"/>
          <w:b/>
          <w:bCs/>
          <w:color w:val="000000" w:themeColor="text1"/>
          <w:kern w:val="0"/>
          <w:sz w:val="24"/>
          <w:szCs w:val="24"/>
        </w:rPr>
        <w:t>主要财务指标</w:t>
      </w:r>
    </w:p>
    <w:p w:rsidR="004061AC" w:rsidRPr="00E74406" w:rsidRDefault="004061AC" w:rsidP="004061AC">
      <w:pPr>
        <w:autoSpaceDE w:val="0"/>
        <w:autoSpaceDN w:val="0"/>
        <w:adjustRightInd w:val="0"/>
        <w:spacing w:before="29" w:line="360" w:lineRule="auto"/>
        <w:ind w:left="15"/>
        <w:jc w:val="right"/>
        <w:rPr>
          <w:rFonts w:eastAsiaTheme="minorEastAsia"/>
          <w:color w:val="000000" w:themeColor="text1"/>
          <w:kern w:val="0"/>
          <w:sz w:val="24"/>
          <w:szCs w:val="24"/>
        </w:rPr>
      </w:pPr>
      <w:r w:rsidRPr="00E74406">
        <w:rPr>
          <w:rFonts w:eastAsiaTheme="minorEastAsia"/>
          <w:color w:val="000000" w:themeColor="text1"/>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4962"/>
      </w:tblGrid>
      <w:tr w:rsidR="004C66A8" w:rsidRPr="00E74406" w:rsidTr="004C66A8">
        <w:tc>
          <w:tcPr>
            <w:tcW w:w="3402" w:type="dxa"/>
            <w:vAlign w:val="center"/>
          </w:tcPr>
          <w:p w:rsidR="00C21520" w:rsidRPr="00E74406" w:rsidRDefault="00C21520" w:rsidP="00237F09">
            <w:pPr>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主要财务指标</w:t>
            </w:r>
          </w:p>
        </w:tc>
        <w:tc>
          <w:tcPr>
            <w:tcW w:w="4962" w:type="dxa"/>
            <w:vAlign w:val="center"/>
          </w:tcPr>
          <w:p w:rsidR="009C60F7" w:rsidRPr="00E74406" w:rsidRDefault="009C60F7" w:rsidP="00237F09">
            <w:pPr>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报告期</w:t>
            </w:r>
          </w:p>
          <w:p w:rsidR="00C21520" w:rsidRPr="00E74406" w:rsidRDefault="009C60F7" w:rsidP="00237F09">
            <w:pPr>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(2019</w:t>
            </w:r>
            <w:r w:rsidRPr="00E74406">
              <w:rPr>
                <w:rFonts w:eastAsiaTheme="minorEastAsia"/>
                <w:color w:val="000000" w:themeColor="text1"/>
                <w:sz w:val="24"/>
                <w:szCs w:val="24"/>
              </w:rPr>
              <w:t>年</w:t>
            </w:r>
            <w:r w:rsidRPr="00E74406">
              <w:rPr>
                <w:rFonts w:eastAsiaTheme="minorEastAsia"/>
                <w:color w:val="000000" w:themeColor="text1"/>
                <w:sz w:val="24"/>
                <w:szCs w:val="24"/>
              </w:rPr>
              <w:t>1</w:t>
            </w:r>
            <w:r w:rsidRPr="00E74406">
              <w:rPr>
                <w:rFonts w:eastAsiaTheme="minorEastAsia"/>
                <w:color w:val="000000" w:themeColor="text1"/>
                <w:sz w:val="24"/>
                <w:szCs w:val="24"/>
              </w:rPr>
              <w:t>月</w:t>
            </w:r>
            <w:r w:rsidRPr="00E74406">
              <w:rPr>
                <w:rFonts w:eastAsiaTheme="minorEastAsia"/>
                <w:color w:val="000000" w:themeColor="text1"/>
                <w:sz w:val="24"/>
                <w:szCs w:val="24"/>
              </w:rPr>
              <w:t>1</w:t>
            </w:r>
            <w:r w:rsidRPr="00E74406">
              <w:rPr>
                <w:rFonts w:eastAsiaTheme="minorEastAsia"/>
                <w:color w:val="000000" w:themeColor="text1"/>
                <w:sz w:val="24"/>
                <w:szCs w:val="24"/>
              </w:rPr>
              <w:t>日</w:t>
            </w:r>
            <w:r w:rsidRPr="00E74406">
              <w:rPr>
                <w:rFonts w:eastAsiaTheme="minorEastAsia"/>
                <w:color w:val="000000" w:themeColor="text1"/>
                <w:sz w:val="24"/>
                <w:szCs w:val="24"/>
              </w:rPr>
              <w:t>-2019</w:t>
            </w:r>
            <w:r w:rsidRPr="00E74406">
              <w:rPr>
                <w:rFonts w:eastAsiaTheme="minorEastAsia"/>
                <w:color w:val="000000" w:themeColor="text1"/>
                <w:sz w:val="24"/>
                <w:szCs w:val="24"/>
              </w:rPr>
              <w:t>年</w:t>
            </w:r>
            <w:r w:rsidRPr="00E74406">
              <w:rPr>
                <w:rFonts w:eastAsiaTheme="minorEastAsia"/>
                <w:color w:val="000000" w:themeColor="text1"/>
                <w:sz w:val="24"/>
                <w:szCs w:val="24"/>
              </w:rPr>
              <w:t>3</w:t>
            </w:r>
            <w:r w:rsidRPr="00E74406">
              <w:rPr>
                <w:rFonts w:eastAsiaTheme="minorEastAsia"/>
                <w:color w:val="000000" w:themeColor="text1"/>
                <w:sz w:val="24"/>
                <w:szCs w:val="24"/>
              </w:rPr>
              <w:t>月</w:t>
            </w:r>
            <w:r w:rsidRPr="00E74406">
              <w:rPr>
                <w:rFonts w:eastAsiaTheme="minorEastAsia"/>
                <w:color w:val="000000" w:themeColor="text1"/>
                <w:sz w:val="24"/>
                <w:szCs w:val="24"/>
              </w:rPr>
              <w:t>31</w:t>
            </w:r>
            <w:r w:rsidRPr="00E74406">
              <w:rPr>
                <w:rFonts w:eastAsiaTheme="minorEastAsia"/>
                <w:color w:val="000000" w:themeColor="text1"/>
                <w:sz w:val="24"/>
                <w:szCs w:val="24"/>
              </w:rPr>
              <w:t>日</w:t>
            </w:r>
            <w:r w:rsidRPr="00E74406">
              <w:rPr>
                <w:rFonts w:eastAsiaTheme="minorEastAsia"/>
                <w:color w:val="000000" w:themeColor="text1"/>
                <w:sz w:val="24"/>
                <w:szCs w:val="24"/>
              </w:rPr>
              <w:t>)</w:t>
            </w:r>
          </w:p>
        </w:tc>
      </w:tr>
      <w:tr w:rsidR="004C66A8" w:rsidRPr="00E74406" w:rsidTr="004C66A8">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1.</w:t>
            </w:r>
            <w:r w:rsidRPr="00E74406">
              <w:rPr>
                <w:rFonts w:eastAsiaTheme="minorEastAsia"/>
                <w:color w:val="000000" w:themeColor="text1"/>
                <w:kern w:val="0"/>
                <w:sz w:val="24"/>
                <w:szCs w:val="24"/>
              </w:rPr>
              <w:t>本期已实现收益</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391,444.96</w:t>
            </w:r>
          </w:p>
        </w:tc>
      </w:tr>
      <w:tr w:rsidR="004C66A8" w:rsidRPr="00E74406" w:rsidTr="004C66A8">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2.</w:t>
            </w:r>
            <w:r w:rsidRPr="00E74406">
              <w:rPr>
                <w:rFonts w:eastAsiaTheme="minorEastAsia"/>
                <w:color w:val="000000" w:themeColor="text1"/>
                <w:kern w:val="0"/>
                <w:sz w:val="24"/>
                <w:szCs w:val="24"/>
              </w:rPr>
              <w:t>本期利润</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3,583,422.84</w:t>
            </w:r>
          </w:p>
        </w:tc>
      </w:tr>
      <w:tr w:rsidR="004C66A8" w:rsidRPr="00E74406" w:rsidTr="004C66A8">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3.</w:t>
            </w:r>
            <w:r w:rsidRPr="00E74406">
              <w:rPr>
                <w:rFonts w:eastAsiaTheme="minorEastAsia"/>
                <w:color w:val="000000" w:themeColor="text1"/>
                <w:kern w:val="0"/>
                <w:sz w:val="24"/>
                <w:szCs w:val="24"/>
              </w:rPr>
              <w:t>加权平均基金份额本期利润</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0.1116</w:t>
            </w:r>
          </w:p>
        </w:tc>
      </w:tr>
      <w:tr w:rsidR="004C66A8" w:rsidRPr="00E74406" w:rsidTr="004C66A8">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4.</w:t>
            </w:r>
            <w:r w:rsidRPr="00E74406">
              <w:rPr>
                <w:rFonts w:eastAsiaTheme="minorEastAsia"/>
                <w:color w:val="000000" w:themeColor="text1"/>
                <w:kern w:val="0"/>
                <w:sz w:val="24"/>
                <w:szCs w:val="24"/>
              </w:rPr>
              <w:t>期末基金资产净值</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23,545,554.50</w:t>
            </w:r>
          </w:p>
        </w:tc>
      </w:tr>
      <w:tr w:rsidR="004C66A8" w:rsidRPr="00E74406" w:rsidTr="004C66A8">
        <w:trPr>
          <w:trHeight w:val="158"/>
        </w:trPr>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5.</w:t>
            </w:r>
            <w:r w:rsidRPr="00E74406">
              <w:rPr>
                <w:rFonts w:eastAsiaTheme="minorEastAsia"/>
                <w:color w:val="000000" w:themeColor="text1"/>
                <w:kern w:val="0"/>
                <w:sz w:val="24"/>
                <w:szCs w:val="24"/>
              </w:rPr>
              <w:t>期末基金份额净值</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0.9615</w:t>
            </w:r>
          </w:p>
        </w:tc>
      </w:tr>
    </w:tbl>
    <w:p w:rsidR="008E4634" w:rsidRDefault="004C66A8">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w:t>
      </w:r>
      <w:r>
        <w:rPr>
          <w:rFonts w:eastAsiaTheme="minorEastAsia"/>
          <w:color w:val="000000" w:themeColor="text1"/>
          <w:sz w:val="24"/>
          <w:szCs w:val="24"/>
        </w:rPr>
        <w:t>1</w:t>
      </w:r>
      <w:r>
        <w:rPr>
          <w:rFonts w:eastAsiaTheme="minorEastAsia"/>
          <w:color w:val="000000" w:themeColor="text1"/>
          <w:sz w:val="24"/>
          <w:szCs w:val="24"/>
        </w:rPr>
        <w:t>、本期已实现收益指基金本期利息收入、投资收益、其他收入（不含公允价值变动收益）扣除相关费用后的余额，本期利润为本期已实现收益加上本期公允价值变动收益。</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2</w:t>
      </w:r>
      <w:r w:rsidRPr="00313F0D">
        <w:rPr>
          <w:rFonts w:eastAsiaTheme="minorEastAsia"/>
          <w:color w:val="000000" w:themeColor="text1"/>
          <w:sz w:val="24"/>
          <w:szCs w:val="24"/>
        </w:rPr>
        <w:t>、以上所述基金业绩指标不包括持有人认购或交易基金的各项费用（例如基金申购赎回费、基金转换费等），计入费用后实际利润水平要低于所列数字。</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3.2 </w:t>
      </w:r>
      <w:r w:rsidRPr="00E74406">
        <w:rPr>
          <w:rFonts w:eastAsiaTheme="minorEastAsia"/>
          <w:b/>
          <w:bCs/>
          <w:color w:val="000000" w:themeColor="text1"/>
          <w:kern w:val="0"/>
          <w:sz w:val="24"/>
          <w:szCs w:val="24"/>
        </w:rPr>
        <w:t>基金净值表现</w:t>
      </w:r>
    </w:p>
    <w:p w:rsidR="00CF6572"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3.2.1 </w:t>
      </w:r>
      <w:r w:rsidRPr="00E74406">
        <w:rPr>
          <w:rFonts w:eastAsiaTheme="minorEastAsia"/>
          <w:b/>
          <w:bCs/>
          <w:color w:val="000000" w:themeColor="text1"/>
          <w:kern w:val="0"/>
          <w:sz w:val="24"/>
          <w:szCs w:val="24"/>
        </w:rPr>
        <w:t>本报告期基金份额净值增长率及其与同期业绩比较基准收益率的比较</w:t>
      </w:r>
    </w:p>
    <w:tbl>
      <w:tblPr>
        <w:tblStyle w:val="af7"/>
        <w:tblW w:w="0" w:type="auto"/>
        <w:tblInd w:w="108" w:type="dxa"/>
        <w:tblLayout w:type="fixed"/>
        <w:tblLook w:val="04A0"/>
      </w:tblPr>
      <w:tblGrid>
        <w:gridCol w:w="1395"/>
        <w:gridCol w:w="1092"/>
        <w:gridCol w:w="1161"/>
        <w:gridCol w:w="1181"/>
        <w:gridCol w:w="1188"/>
        <w:gridCol w:w="1199"/>
        <w:gridCol w:w="1204"/>
      </w:tblGrid>
      <w:tr w:rsidR="00220C32" w:rsidRPr="00E74406" w:rsidTr="00BD7703">
        <w:tc>
          <w:tcPr>
            <w:tcW w:w="1395"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阶段</w:t>
            </w:r>
          </w:p>
        </w:tc>
        <w:tc>
          <w:tcPr>
            <w:tcW w:w="1092"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净值增长率</w:t>
            </w:r>
            <w:r w:rsidRPr="00E74406">
              <w:rPr>
                <w:rFonts w:ascii="宋体" w:hAnsi="宋体" w:cs="宋体" w:hint="eastAsia"/>
                <w:color w:val="000000" w:themeColor="text1"/>
                <w:sz w:val="24"/>
                <w:szCs w:val="24"/>
              </w:rPr>
              <w:t>①</w:t>
            </w:r>
          </w:p>
        </w:tc>
        <w:tc>
          <w:tcPr>
            <w:tcW w:w="1161"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净值增长率标准差</w:t>
            </w:r>
            <w:r w:rsidRPr="00E74406">
              <w:rPr>
                <w:rFonts w:ascii="宋体" w:hAnsi="宋体" w:cs="宋体" w:hint="eastAsia"/>
                <w:color w:val="000000" w:themeColor="text1"/>
                <w:sz w:val="24"/>
                <w:szCs w:val="24"/>
              </w:rPr>
              <w:t>②</w:t>
            </w:r>
          </w:p>
        </w:tc>
        <w:tc>
          <w:tcPr>
            <w:tcW w:w="1181"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业绩比较基准收益率</w:t>
            </w:r>
            <w:r w:rsidRPr="00E74406">
              <w:rPr>
                <w:rFonts w:ascii="宋体" w:hAnsi="宋体" w:cs="宋体" w:hint="eastAsia"/>
                <w:color w:val="000000" w:themeColor="text1"/>
                <w:sz w:val="24"/>
                <w:szCs w:val="24"/>
              </w:rPr>
              <w:t>③</w:t>
            </w:r>
          </w:p>
        </w:tc>
        <w:tc>
          <w:tcPr>
            <w:tcW w:w="1188"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业绩比较基准收益率标准差</w:t>
            </w:r>
            <w:r w:rsidRPr="00E74406">
              <w:rPr>
                <w:rFonts w:ascii="宋体" w:hAnsi="宋体" w:cs="宋体" w:hint="eastAsia"/>
                <w:color w:val="000000" w:themeColor="text1"/>
                <w:sz w:val="24"/>
                <w:szCs w:val="24"/>
              </w:rPr>
              <w:t>④</w:t>
            </w:r>
          </w:p>
        </w:tc>
        <w:tc>
          <w:tcPr>
            <w:tcW w:w="1199"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ascii="宋体" w:hAnsi="宋体" w:cs="宋体" w:hint="eastAsia"/>
                <w:color w:val="000000" w:themeColor="text1"/>
                <w:sz w:val="24"/>
                <w:szCs w:val="24"/>
              </w:rPr>
              <w:t>①</w:t>
            </w:r>
            <w:r w:rsidRPr="00E74406">
              <w:rPr>
                <w:rFonts w:eastAsiaTheme="minorEastAsia"/>
                <w:color w:val="000000" w:themeColor="text1"/>
                <w:sz w:val="24"/>
                <w:szCs w:val="24"/>
              </w:rPr>
              <w:t>-</w:t>
            </w:r>
            <w:r w:rsidRPr="00E74406">
              <w:rPr>
                <w:rFonts w:ascii="宋体" w:hAnsi="宋体" w:cs="宋体" w:hint="eastAsia"/>
                <w:color w:val="000000" w:themeColor="text1"/>
                <w:sz w:val="24"/>
                <w:szCs w:val="24"/>
              </w:rPr>
              <w:t>③</w:t>
            </w:r>
          </w:p>
        </w:tc>
        <w:tc>
          <w:tcPr>
            <w:tcW w:w="1204"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ascii="宋体" w:hAnsi="宋体" w:cs="宋体" w:hint="eastAsia"/>
                <w:color w:val="000000" w:themeColor="text1"/>
                <w:sz w:val="24"/>
                <w:szCs w:val="24"/>
              </w:rPr>
              <w:t>②</w:t>
            </w:r>
            <w:r w:rsidRPr="00E74406">
              <w:rPr>
                <w:rFonts w:eastAsiaTheme="minorEastAsia"/>
                <w:color w:val="000000" w:themeColor="text1"/>
                <w:sz w:val="24"/>
                <w:szCs w:val="24"/>
              </w:rPr>
              <w:t>-</w:t>
            </w:r>
            <w:r w:rsidRPr="00E74406">
              <w:rPr>
                <w:rFonts w:ascii="宋体" w:hAnsi="宋体" w:cs="宋体" w:hint="eastAsia"/>
                <w:color w:val="000000" w:themeColor="text1"/>
                <w:sz w:val="24"/>
                <w:szCs w:val="24"/>
              </w:rPr>
              <w:t>④</w:t>
            </w:r>
          </w:p>
        </w:tc>
      </w:tr>
      <w:tr w:rsidR="008E4634">
        <w:tc>
          <w:tcPr>
            <w:tcW w:w="1395" w:type="dxa"/>
            <w:vAlign w:val="center"/>
          </w:tcPr>
          <w:p w:rsidR="008E4634" w:rsidRDefault="004C66A8">
            <w:pPr>
              <w:jc w:val="left"/>
            </w:pPr>
            <w:r>
              <w:rPr>
                <w:rFonts w:eastAsiaTheme="minorEastAsia"/>
                <w:color w:val="000000" w:themeColor="text1"/>
                <w:sz w:val="24"/>
                <w:szCs w:val="24"/>
              </w:rPr>
              <w:t>过去三个月</w:t>
            </w:r>
          </w:p>
        </w:tc>
        <w:tc>
          <w:tcPr>
            <w:tcW w:w="1092" w:type="dxa"/>
            <w:vAlign w:val="center"/>
          </w:tcPr>
          <w:p w:rsidR="008E4634" w:rsidRDefault="004C66A8">
            <w:pPr>
              <w:jc w:val="center"/>
            </w:pPr>
            <w:r>
              <w:rPr>
                <w:rFonts w:eastAsiaTheme="minorEastAsia"/>
                <w:color w:val="000000" w:themeColor="text1"/>
                <w:sz w:val="24"/>
                <w:szCs w:val="24"/>
              </w:rPr>
              <w:t>14.42%</w:t>
            </w:r>
          </w:p>
        </w:tc>
        <w:tc>
          <w:tcPr>
            <w:tcW w:w="1161" w:type="dxa"/>
            <w:vAlign w:val="center"/>
          </w:tcPr>
          <w:p w:rsidR="008E4634" w:rsidRDefault="004C66A8">
            <w:pPr>
              <w:jc w:val="center"/>
            </w:pPr>
            <w:r>
              <w:rPr>
                <w:rFonts w:eastAsiaTheme="minorEastAsia"/>
                <w:color w:val="000000" w:themeColor="text1"/>
                <w:sz w:val="24"/>
                <w:szCs w:val="24"/>
              </w:rPr>
              <w:t>0.87%</w:t>
            </w:r>
          </w:p>
        </w:tc>
        <w:tc>
          <w:tcPr>
            <w:tcW w:w="1181" w:type="dxa"/>
            <w:vAlign w:val="center"/>
          </w:tcPr>
          <w:p w:rsidR="008E4634" w:rsidRDefault="004C66A8">
            <w:pPr>
              <w:jc w:val="center"/>
            </w:pPr>
            <w:r>
              <w:rPr>
                <w:rFonts w:eastAsiaTheme="minorEastAsia"/>
                <w:color w:val="000000" w:themeColor="text1"/>
                <w:sz w:val="24"/>
                <w:szCs w:val="24"/>
              </w:rPr>
              <w:t>16.73%</w:t>
            </w:r>
          </w:p>
        </w:tc>
        <w:tc>
          <w:tcPr>
            <w:tcW w:w="1188" w:type="dxa"/>
            <w:vAlign w:val="center"/>
          </w:tcPr>
          <w:p w:rsidR="008E4634" w:rsidRDefault="004C66A8">
            <w:pPr>
              <w:jc w:val="center"/>
            </w:pPr>
            <w:r>
              <w:rPr>
                <w:rFonts w:eastAsiaTheme="minorEastAsia"/>
                <w:color w:val="000000" w:themeColor="text1"/>
                <w:sz w:val="24"/>
                <w:szCs w:val="24"/>
              </w:rPr>
              <w:t>0.93%</w:t>
            </w:r>
          </w:p>
        </w:tc>
        <w:tc>
          <w:tcPr>
            <w:tcW w:w="1199" w:type="dxa"/>
            <w:vAlign w:val="center"/>
          </w:tcPr>
          <w:p w:rsidR="008E4634" w:rsidRDefault="004C66A8">
            <w:pPr>
              <w:jc w:val="center"/>
            </w:pPr>
            <w:r>
              <w:rPr>
                <w:rFonts w:eastAsiaTheme="minorEastAsia"/>
                <w:color w:val="000000" w:themeColor="text1"/>
                <w:sz w:val="24"/>
                <w:szCs w:val="24"/>
              </w:rPr>
              <w:t>-2.31%</w:t>
            </w:r>
          </w:p>
        </w:tc>
        <w:tc>
          <w:tcPr>
            <w:tcW w:w="1204" w:type="dxa"/>
            <w:vAlign w:val="center"/>
          </w:tcPr>
          <w:p w:rsidR="008E4634" w:rsidRDefault="004C66A8">
            <w:pPr>
              <w:jc w:val="center"/>
            </w:pPr>
            <w:r>
              <w:rPr>
                <w:rFonts w:eastAsiaTheme="minorEastAsia"/>
                <w:color w:val="000000" w:themeColor="text1"/>
                <w:sz w:val="24"/>
                <w:szCs w:val="24"/>
              </w:rPr>
              <w:t>-0.06%</w:t>
            </w:r>
          </w:p>
        </w:tc>
      </w:tr>
    </w:tbl>
    <w:p w:rsidR="008E4634" w:rsidRDefault="004C66A8">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w:t>
      </w:r>
      <w:r>
        <w:rPr>
          <w:rFonts w:eastAsiaTheme="minorEastAsia"/>
          <w:color w:val="000000" w:themeColor="text1"/>
          <w:sz w:val="24"/>
          <w:szCs w:val="24"/>
        </w:rPr>
        <w:t>1</w:t>
      </w:r>
      <w:r>
        <w:rPr>
          <w:rFonts w:eastAsiaTheme="minorEastAsia"/>
          <w:color w:val="000000" w:themeColor="text1"/>
          <w:sz w:val="24"/>
          <w:szCs w:val="24"/>
        </w:rPr>
        <w:t>、本基金由国投瑞银瑞兴保本混合型证券投资基金转型而来并于</w:t>
      </w:r>
      <w:r>
        <w:rPr>
          <w:rFonts w:eastAsiaTheme="minorEastAsia"/>
          <w:color w:val="000000" w:themeColor="text1"/>
          <w:sz w:val="24"/>
          <w:szCs w:val="24"/>
        </w:rPr>
        <w:t>2018</w:t>
      </w:r>
      <w:r>
        <w:rPr>
          <w:rFonts w:eastAsiaTheme="minorEastAsia"/>
          <w:color w:val="000000" w:themeColor="text1"/>
          <w:sz w:val="24"/>
          <w:szCs w:val="24"/>
        </w:rPr>
        <w:t>年</w:t>
      </w:r>
      <w:r>
        <w:rPr>
          <w:rFonts w:eastAsiaTheme="minorEastAsia"/>
          <w:color w:val="000000" w:themeColor="text1"/>
          <w:sz w:val="24"/>
          <w:szCs w:val="24"/>
        </w:rPr>
        <w:t>1</w:t>
      </w:r>
      <w:r>
        <w:rPr>
          <w:rFonts w:eastAsiaTheme="minorEastAsia"/>
          <w:color w:val="000000" w:themeColor="text1"/>
          <w:sz w:val="24"/>
          <w:szCs w:val="24"/>
        </w:rPr>
        <w:t>月</w:t>
      </w:r>
      <w:r>
        <w:rPr>
          <w:rFonts w:eastAsiaTheme="minorEastAsia"/>
          <w:color w:val="000000" w:themeColor="text1"/>
          <w:sz w:val="24"/>
          <w:szCs w:val="24"/>
        </w:rPr>
        <w:t>6</w:t>
      </w:r>
      <w:r>
        <w:rPr>
          <w:rFonts w:eastAsiaTheme="minorEastAsia"/>
          <w:color w:val="000000" w:themeColor="text1"/>
          <w:sz w:val="24"/>
          <w:szCs w:val="24"/>
        </w:rPr>
        <w:t>日合同生效。本基金业绩比较基准为：沪深</w:t>
      </w:r>
      <w:r>
        <w:rPr>
          <w:rFonts w:eastAsiaTheme="minorEastAsia"/>
          <w:color w:val="000000" w:themeColor="text1"/>
          <w:sz w:val="24"/>
          <w:szCs w:val="24"/>
        </w:rPr>
        <w:t>300</w:t>
      </w:r>
      <w:r>
        <w:rPr>
          <w:rFonts w:eastAsiaTheme="minorEastAsia"/>
          <w:color w:val="000000" w:themeColor="text1"/>
          <w:sz w:val="24"/>
          <w:szCs w:val="24"/>
        </w:rPr>
        <w:t>指数收益率</w:t>
      </w:r>
      <w:r>
        <w:rPr>
          <w:rFonts w:eastAsiaTheme="minorEastAsia"/>
          <w:color w:val="000000" w:themeColor="text1"/>
          <w:sz w:val="24"/>
          <w:szCs w:val="24"/>
        </w:rPr>
        <w:t>×60%</w:t>
      </w:r>
      <w:r>
        <w:rPr>
          <w:rFonts w:eastAsiaTheme="minorEastAsia"/>
          <w:color w:val="000000" w:themeColor="text1"/>
          <w:sz w:val="24"/>
          <w:szCs w:val="24"/>
        </w:rPr>
        <w:t>＋中债综合指数收益率</w:t>
      </w:r>
      <w:r>
        <w:rPr>
          <w:rFonts w:eastAsiaTheme="minorEastAsia"/>
          <w:color w:val="000000" w:themeColor="text1"/>
          <w:sz w:val="24"/>
          <w:szCs w:val="24"/>
        </w:rPr>
        <w:t>×40%</w:t>
      </w:r>
      <w:r>
        <w:rPr>
          <w:rFonts w:eastAsiaTheme="minorEastAsia"/>
          <w:color w:val="000000" w:themeColor="text1"/>
          <w:sz w:val="24"/>
          <w:szCs w:val="24"/>
        </w:rPr>
        <w:t>。</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2</w:t>
      </w:r>
      <w:r w:rsidRPr="00313F0D">
        <w:rPr>
          <w:rFonts w:eastAsiaTheme="minorEastAsia"/>
          <w:color w:val="000000" w:themeColor="text1"/>
          <w:sz w:val="24"/>
          <w:szCs w:val="24"/>
        </w:rPr>
        <w:t>、本基金对业绩比较基准采用每日再平衡的计算方法。</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3.2.2</w:t>
      </w:r>
      <w:r w:rsidR="007B4D7A" w:rsidRPr="00E74406">
        <w:rPr>
          <w:rStyle w:val="afb"/>
          <w:rFonts w:eastAsiaTheme="minorEastAsia"/>
          <w:color w:val="000000" w:themeColor="text1"/>
          <w:sz w:val="24"/>
          <w:szCs w:val="24"/>
          <w:shd w:val="clear" w:color="auto" w:fill="FFFFFF"/>
        </w:rPr>
        <w:t>自基金转型以来</w:t>
      </w:r>
      <w:r w:rsidR="00FB0BC9" w:rsidRPr="00E74406">
        <w:rPr>
          <w:rFonts w:eastAsiaTheme="minorEastAsia"/>
          <w:b/>
          <w:bCs/>
          <w:color w:val="000000" w:themeColor="text1"/>
          <w:kern w:val="0"/>
          <w:sz w:val="24"/>
          <w:szCs w:val="24"/>
        </w:rPr>
        <w:t>基金累计</w:t>
      </w:r>
      <w:r w:rsidRPr="00E74406">
        <w:rPr>
          <w:rFonts w:eastAsiaTheme="minorEastAsia"/>
          <w:b/>
          <w:bCs/>
          <w:color w:val="000000" w:themeColor="text1"/>
          <w:kern w:val="0"/>
          <w:sz w:val="24"/>
          <w:szCs w:val="24"/>
        </w:rPr>
        <w:t>净值增长率变动及其与同期业绩比较基准收益率变动的比较</w:t>
      </w:r>
    </w:p>
    <w:p w:rsidR="008606B6" w:rsidRPr="00E74406" w:rsidRDefault="008606B6" w:rsidP="009E7C6A">
      <w:pPr>
        <w:spacing w:line="360" w:lineRule="auto"/>
        <w:jc w:val="center"/>
        <w:rPr>
          <w:rFonts w:eastAsiaTheme="minorEastAsia"/>
          <w:color w:val="000000" w:themeColor="text1"/>
          <w:sz w:val="24"/>
          <w:szCs w:val="24"/>
        </w:rPr>
      </w:pPr>
      <w:r w:rsidRPr="00E74406">
        <w:rPr>
          <w:rFonts w:eastAsiaTheme="minorEastAsia"/>
          <w:color w:val="000000" w:themeColor="text1"/>
          <w:sz w:val="24"/>
          <w:szCs w:val="24"/>
        </w:rPr>
        <w:t>国投瑞银瑞兴灵活配置混合型证券投资基金</w:t>
      </w:r>
    </w:p>
    <w:p w:rsidR="004061AC" w:rsidRPr="00E74406" w:rsidRDefault="00FB0BC9" w:rsidP="009E7C6A">
      <w:pPr>
        <w:pStyle w:val="a5"/>
        <w:snapToGrid w:val="0"/>
        <w:spacing w:line="360" w:lineRule="auto"/>
        <w:jc w:val="center"/>
        <w:rPr>
          <w:rFonts w:ascii="Times New Roman" w:eastAsiaTheme="minorEastAsia" w:hAnsi="Times New Roman" w:cs="Times New Roman"/>
          <w:color w:val="000000" w:themeColor="text1"/>
          <w:sz w:val="24"/>
          <w:szCs w:val="24"/>
        </w:rPr>
      </w:pPr>
      <w:r w:rsidRPr="00E74406">
        <w:rPr>
          <w:rFonts w:ascii="Times New Roman" w:eastAsiaTheme="minorEastAsia" w:hAnsi="Times New Roman" w:cs="Times New Roman"/>
          <w:color w:val="000000" w:themeColor="text1"/>
          <w:sz w:val="24"/>
          <w:szCs w:val="24"/>
        </w:rPr>
        <w:t>累计净值增长率与业绩比较基准收益率</w:t>
      </w:r>
      <w:r w:rsidR="004061AC" w:rsidRPr="00E74406">
        <w:rPr>
          <w:rFonts w:ascii="Times New Roman" w:eastAsiaTheme="minorEastAsia" w:hAnsi="Times New Roman" w:cs="Times New Roman"/>
          <w:color w:val="000000" w:themeColor="text1"/>
          <w:sz w:val="24"/>
          <w:szCs w:val="24"/>
        </w:rPr>
        <w:t>历史走势对比图</w:t>
      </w:r>
    </w:p>
    <w:p w:rsidR="00AE7962" w:rsidRPr="00E74406" w:rsidRDefault="00AE7962" w:rsidP="009E7C6A">
      <w:pPr>
        <w:pStyle w:val="a5"/>
        <w:snapToGrid w:val="0"/>
        <w:spacing w:line="360" w:lineRule="auto"/>
        <w:ind w:firstLine="480"/>
        <w:jc w:val="center"/>
        <w:rPr>
          <w:rFonts w:ascii="Times New Roman" w:eastAsiaTheme="minorEastAsia" w:hAnsi="Times New Roman" w:cs="Times New Roman"/>
          <w:color w:val="000000" w:themeColor="text1"/>
          <w:sz w:val="24"/>
          <w:szCs w:val="24"/>
        </w:rPr>
      </w:pPr>
      <w:r w:rsidRPr="00E74406">
        <w:rPr>
          <w:rFonts w:ascii="Times New Roman" w:eastAsiaTheme="minorEastAsia" w:hAnsi="Times New Roman" w:cs="Times New Roman"/>
          <w:color w:val="000000" w:themeColor="text1"/>
          <w:sz w:val="24"/>
          <w:szCs w:val="24"/>
        </w:rPr>
        <w:t>(</w:t>
      </w:r>
      <w:r w:rsidR="0042009D" w:rsidRPr="00E74406">
        <w:rPr>
          <w:rFonts w:ascii="Times New Roman" w:eastAsiaTheme="minorEastAsia" w:hAnsi="Times New Roman" w:cs="Times New Roman"/>
          <w:color w:val="000000" w:themeColor="text1"/>
          <w:sz w:val="24"/>
          <w:szCs w:val="24"/>
        </w:rPr>
        <w:t>2018</w:t>
      </w:r>
      <w:r w:rsidR="0042009D" w:rsidRPr="00E74406">
        <w:rPr>
          <w:rFonts w:ascii="Times New Roman" w:eastAsiaTheme="minorEastAsia" w:hAnsi="Times New Roman" w:cs="Times New Roman"/>
          <w:color w:val="000000" w:themeColor="text1"/>
          <w:sz w:val="24"/>
          <w:szCs w:val="24"/>
        </w:rPr>
        <w:t>年</w:t>
      </w:r>
      <w:r w:rsidR="0042009D" w:rsidRPr="00E74406">
        <w:rPr>
          <w:rFonts w:ascii="Times New Roman" w:eastAsiaTheme="minorEastAsia" w:hAnsi="Times New Roman" w:cs="Times New Roman"/>
          <w:color w:val="000000" w:themeColor="text1"/>
          <w:sz w:val="24"/>
          <w:szCs w:val="24"/>
        </w:rPr>
        <w:t>1</w:t>
      </w:r>
      <w:r w:rsidR="0042009D" w:rsidRPr="00E74406">
        <w:rPr>
          <w:rFonts w:ascii="Times New Roman" w:eastAsiaTheme="minorEastAsia" w:hAnsi="Times New Roman" w:cs="Times New Roman"/>
          <w:color w:val="000000" w:themeColor="text1"/>
          <w:sz w:val="24"/>
          <w:szCs w:val="24"/>
        </w:rPr>
        <w:t>月</w:t>
      </w:r>
      <w:r w:rsidR="0042009D" w:rsidRPr="00E74406">
        <w:rPr>
          <w:rFonts w:ascii="Times New Roman" w:eastAsiaTheme="minorEastAsia" w:hAnsi="Times New Roman" w:cs="Times New Roman"/>
          <w:color w:val="000000" w:themeColor="text1"/>
          <w:sz w:val="24"/>
          <w:szCs w:val="24"/>
        </w:rPr>
        <w:t>6</w:t>
      </w:r>
      <w:r w:rsidR="0042009D" w:rsidRPr="00E74406">
        <w:rPr>
          <w:rFonts w:ascii="Times New Roman" w:eastAsiaTheme="minorEastAsia" w:hAnsi="Times New Roman" w:cs="Times New Roman"/>
          <w:color w:val="000000" w:themeColor="text1"/>
          <w:sz w:val="24"/>
          <w:szCs w:val="24"/>
        </w:rPr>
        <w:t>日</w:t>
      </w:r>
      <w:r w:rsidRPr="00E74406">
        <w:rPr>
          <w:rFonts w:ascii="Times New Roman" w:eastAsiaTheme="minorEastAsia" w:hAnsi="Times New Roman" w:cs="Times New Roman"/>
          <w:color w:val="000000" w:themeColor="text1"/>
          <w:sz w:val="24"/>
          <w:szCs w:val="24"/>
        </w:rPr>
        <w:t>至</w:t>
      </w:r>
      <w:r w:rsidRPr="00E74406">
        <w:rPr>
          <w:rFonts w:ascii="Times New Roman" w:eastAsiaTheme="minorEastAsia" w:hAnsi="Times New Roman" w:cs="Times New Roman"/>
          <w:color w:val="000000" w:themeColor="text1"/>
          <w:sz w:val="24"/>
          <w:szCs w:val="24"/>
        </w:rPr>
        <w:t>2019</w:t>
      </w:r>
      <w:r w:rsidRPr="00E74406">
        <w:rPr>
          <w:rFonts w:ascii="Times New Roman" w:eastAsiaTheme="minorEastAsia" w:hAnsi="Times New Roman" w:cs="Times New Roman"/>
          <w:color w:val="000000" w:themeColor="text1"/>
          <w:sz w:val="24"/>
          <w:szCs w:val="24"/>
        </w:rPr>
        <w:t>年</w:t>
      </w:r>
      <w:r w:rsidRPr="00E74406">
        <w:rPr>
          <w:rFonts w:ascii="Times New Roman" w:eastAsiaTheme="minorEastAsia" w:hAnsi="Times New Roman" w:cs="Times New Roman"/>
          <w:color w:val="000000" w:themeColor="text1"/>
          <w:sz w:val="24"/>
          <w:szCs w:val="24"/>
        </w:rPr>
        <w:t>3</w:t>
      </w:r>
      <w:r w:rsidRPr="00E74406">
        <w:rPr>
          <w:rFonts w:ascii="Times New Roman" w:eastAsiaTheme="minorEastAsia" w:hAnsi="Times New Roman" w:cs="Times New Roman"/>
          <w:color w:val="000000" w:themeColor="text1"/>
          <w:sz w:val="24"/>
          <w:szCs w:val="24"/>
        </w:rPr>
        <w:t>月</w:t>
      </w:r>
      <w:r w:rsidRPr="00E74406">
        <w:rPr>
          <w:rFonts w:ascii="Times New Roman" w:eastAsiaTheme="minorEastAsia" w:hAnsi="Times New Roman" w:cs="Times New Roman"/>
          <w:color w:val="000000" w:themeColor="text1"/>
          <w:sz w:val="24"/>
          <w:szCs w:val="24"/>
        </w:rPr>
        <w:t>31</w:t>
      </w:r>
      <w:r w:rsidRPr="00E74406">
        <w:rPr>
          <w:rFonts w:ascii="Times New Roman" w:eastAsiaTheme="minorEastAsia" w:hAnsi="Times New Roman" w:cs="Times New Roman"/>
          <w:color w:val="000000" w:themeColor="text1"/>
          <w:sz w:val="24"/>
          <w:szCs w:val="24"/>
        </w:rPr>
        <w:t>日</w:t>
      </w:r>
      <w:r w:rsidRPr="00E74406">
        <w:rPr>
          <w:rFonts w:ascii="Times New Roman" w:eastAsiaTheme="minorEastAsia" w:hAnsi="Times New Roman" w:cs="Times New Roman"/>
          <w:color w:val="000000" w:themeColor="text1"/>
          <w:sz w:val="24"/>
          <w:szCs w:val="24"/>
        </w:rPr>
        <w:t>)</w:t>
      </w:r>
    </w:p>
    <w:p w:rsidR="004061AC" w:rsidRPr="00E74406" w:rsidRDefault="00866CF2" w:rsidP="004061AC">
      <w:pPr>
        <w:pStyle w:val="a5"/>
        <w:snapToGrid w:val="0"/>
        <w:spacing w:before="120" w:line="360" w:lineRule="auto"/>
        <w:jc w:val="center"/>
        <w:rPr>
          <w:rFonts w:ascii="Times New Roman" w:eastAsiaTheme="minorEastAsia" w:hAnsi="Times New Roman" w:cs="Times New Roman"/>
          <w:color w:val="000000" w:themeColor="text1"/>
          <w:sz w:val="24"/>
          <w:szCs w:val="24"/>
        </w:rPr>
      </w:pPr>
      <w:r w:rsidRPr="00E74406">
        <w:rPr>
          <w:rFonts w:ascii="Times New Roman" w:eastAsiaTheme="minorEastAsia" w:hAnsi="Times New Roman" w:cs="Times New Roman"/>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3086100"/>
                    </a:xfrm>
                    <a:prstGeom prst="rect">
                      <a:avLst/>
                    </a:prstGeom>
                    <a:noFill/>
                    <a:ln>
                      <a:noFill/>
                    </a:ln>
                  </pic:spPr>
                </pic:pic>
              </a:graphicData>
            </a:graphic>
          </wp:inline>
        </w:drawing>
      </w:r>
    </w:p>
    <w:p w:rsidR="008E4634" w:rsidRDefault="004C66A8">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w:t>
      </w:r>
      <w:r>
        <w:rPr>
          <w:rFonts w:eastAsiaTheme="minorEastAsia"/>
          <w:color w:val="000000" w:themeColor="text1"/>
          <w:sz w:val="24"/>
          <w:szCs w:val="24"/>
        </w:rPr>
        <w:t>1</w:t>
      </w:r>
      <w:r>
        <w:rPr>
          <w:rFonts w:eastAsiaTheme="minorEastAsia"/>
          <w:color w:val="000000" w:themeColor="text1"/>
          <w:sz w:val="24"/>
          <w:szCs w:val="24"/>
        </w:rPr>
        <w:t>、本基金由国投瑞银瑞兴保本混合型证券投资基金转型而来并于</w:t>
      </w:r>
      <w:r>
        <w:rPr>
          <w:rFonts w:eastAsiaTheme="minorEastAsia"/>
          <w:color w:val="000000" w:themeColor="text1"/>
          <w:sz w:val="24"/>
          <w:szCs w:val="24"/>
        </w:rPr>
        <w:t>2018</w:t>
      </w:r>
      <w:r>
        <w:rPr>
          <w:rFonts w:eastAsiaTheme="minorEastAsia"/>
          <w:color w:val="000000" w:themeColor="text1"/>
          <w:sz w:val="24"/>
          <w:szCs w:val="24"/>
        </w:rPr>
        <w:t>年</w:t>
      </w:r>
      <w:r>
        <w:rPr>
          <w:rFonts w:eastAsiaTheme="minorEastAsia"/>
          <w:color w:val="000000" w:themeColor="text1"/>
          <w:sz w:val="24"/>
          <w:szCs w:val="24"/>
        </w:rPr>
        <w:t>1</w:t>
      </w:r>
      <w:r>
        <w:rPr>
          <w:rFonts w:eastAsiaTheme="minorEastAsia"/>
          <w:color w:val="000000" w:themeColor="text1"/>
          <w:sz w:val="24"/>
          <w:szCs w:val="24"/>
        </w:rPr>
        <w:t>月</w:t>
      </w:r>
      <w:r>
        <w:rPr>
          <w:rFonts w:eastAsiaTheme="minorEastAsia"/>
          <w:color w:val="000000" w:themeColor="text1"/>
          <w:sz w:val="24"/>
          <w:szCs w:val="24"/>
        </w:rPr>
        <w:t>6</w:t>
      </w:r>
      <w:r>
        <w:rPr>
          <w:rFonts w:eastAsiaTheme="minorEastAsia"/>
          <w:color w:val="000000" w:themeColor="text1"/>
          <w:sz w:val="24"/>
          <w:szCs w:val="24"/>
        </w:rPr>
        <w:t>日合同生效，上图报告期间的起始日为</w:t>
      </w:r>
      <w:r>
        <w:rPr>
          <w:rFonts w:eastAsiaTheme="minorEastAsia"/>
          <w:color w:val="000000" w:themeColor="text1"/>
          <w:sz w:val="24"/>
          <w:szCs w:val="24"/>
        </w:rPr>
        <w:t>2018</w:t>
      </w:r>
      <w:r>
        <w:rPr>
          <w:rFonts w:eastAsiaTheme="minorEastAsia"/>
          <w:color w:val="000000" w:themeColor="text1"/>
          <w:sz w:val="24"/>
          <w:szCs w:val="24"/>
        </w:rPr>
        <w:t>年</w:t>
      </w:r>
      <w:r>
        <w:rPr>
          <w:rFonts w:eastAsiaTheme="minorEastAsia"/>
          <w:color w:val="000000" w:themeColor="text1"/>
          <w:sz w:val="24"/>
          <w:szCs w:val="24"/>
        </w:rPr>
        <w:t>1</w:t>
      </w:r>
      <w:r>
        <w:rPr>
          <w:rFonts w:eastAsiaTheme="minorEastAsia"/>
          <w:color w:val="000000" w:themeColor="text1"/>
          <w:sz w:val="24"/>
          <w:szCs w:val="24"/>
        </w:rPr>
        <w:t>月</w:t>
      </w:r>
      <w:r>
        <w:rPr>
          <w:rFonts w:eastAsiaTheme="minorEastAsia"/>
          <w:color w:val="000000" w:themeColor="text1"/>
          <w:sz w:val="24"/>
          <w:szCs w:val="24"/>
        </w:rPr>
        <w:t>6</w:t>
      </w:r>
      <w:r>
        <w:rPr>
          <w:rFonts w:eastAsiaTheme="minorEastAsia"/>
          <w:color w:val="000000" w:themeColor="text1"/>
          <w:sz w:val="24"/>
          <w:szCs w:val="24"/>
        </w:rPr>
        <w:t>日。</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2</w:t>
      </w:r>
      <w:r w:rsidRPr="00313F0D">
        <w:rPr>
          <w:rFonts w:eastAsiaTheme="minorEastAsia"/>
          <w:color w:val="000000" w:themeColor="text1"/>
          <w:sz w:val="24"/>
          <w:szCs w:val="24"/>
        </w:rPr>
        <w:t>、本基金建仓期为自基金转型日起的六个月。截至建仓期结束，本基金各项资产配置比例符合基金合同及招募说明书有关投资比例的约定。</w:t>
      </w:r>
    </w:p>
    <w:p w:rsidR="00957594" w:rsidRPr="00E74406" w:rsidRDefault="00957594" w:rsidP="004061AC">
      <w:pPr>
        <w:tabs>
          <w:tab w:val="left" w:pos="1800"/>
        </w:tabs>
        <w:spacing w:line="360" w:lineRule="auto"/>
        <w:rPr>
          <w:rFonts w:eastAsiaTheme="minorEastAsia"/>
          <w:color w:val="000000" w:themeColor="text1"/>
          <w:sz w:val="24"/>
          <w:szCs w:val="24"/>
        </w:rPr>
      </w:pPr>
    </w:p>
    <w:p w:rsidR="004061AC" w:rsidRPr="00E74406" w:rsidRDefault="004061AC" w:rsidP="0001311F">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 xml:space="preserve">§4  </w:t>
      </w:r>
      <w:r w:rsidRPr="00E74406">
        <w:rPr>
          <w:rFonts w:eastAsiaTheme="minorEastAsia"/>
          <w:color w:val="000000" w:themeColor="text1"/>
          <w:kern w:val="0"/>
          <w:sz w:val="24"/>
          <w:szCs w:val="24"/>
        </w:rPr>
        <w:t>管理人报告</w:t>
      </w:r>
    </w:p>
    <w:p w:rsidR="00B12B7D"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4.1 </w:t>
      </w:r>
      <w:r w:rsidRPr="00E74406">
        <w:rPr>
          <w:rFonts w:eastAsiaTheme="minorEastAsia"/>
          <w:b/>
          <w:bCs/>
          <w:color w:val="000000" w:themeColor="text1"/>
          <w:kern w:val="0"/>
          <w:sz w:val="24"/>
          <w:szCs w:val="24"/>
        </w:rPr>
        <w:t>基金经理</w:t>
      </w:r>
      <w:r w:rsidR="00D57B7C" w:rsidRPr="00E74406">
        <w:rPr>
          <w:rFonts w:eastAsiaTheme="minorEastAsia"/>
          <w:b/>
          <w:bCs/>
          <w:color w:val="000000" w:themeColor="text1"/>
          <w:kern w:val="0"/>
          <w:sz w:val="24"/>
          <w:szCs w:val="24"/>
        </w:rPr>
        <w:t>(</w:t>
      </w:r>
      <w:r w:rsidRPr="00E74406">
        <w:rPr>
          <w:rFonts w:eastAsiaTheme="minorEastAsia"/>
          <w:b/>
          <w:bCs/>
          <w:color w:val="000000" w:themeColor="text1"/>
          <w:kern w:val="0"/>
          <w:sz w:val="24"/>
          <w:szCs w:val="24"/>
        </w:rPr>
        <w:t>或基金经理小组</w:t>
      </w:r>
      <w:r w:rsidR="00D57B7C" w:rsidRPr="00E74406">
        <w:rPr>
          <w:rFonts w:eastAsiaTheme="minorEastAsia"/>
          <w:b/>
          <w:bCs/>
          <w:color w:val="000000" w:themeColor="text1"/>
          <w:kern w:val="0"/>
          <w:sz w:val="24"/>
          <w:szCs w:val="24"/>
        </w:rPr>
        <w:t>)</w:t>
      </w:r>
      <w:r w:rsidRPr="00E74406">
        <w:rPr>
          <w:rFonts w:eastAsiaTheme="minorEastAsia"/>
          <w:b/>
          <w:bCs/>
          <w:color w:val="000000" w:themeColor="text1"/>
          <w:kern w:val="0"/>
          <w:sz w:val="24"/>
          <w:szCs w:val="24"/>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1560"/>
        <w:gridCol w:w="1559"/>
        <w:gridCol w:w="1417"/>
        <w:gridCol w:w="2694"/>
      </w:tblGrid>
      <w:tr w:rsidR="00220C32" w:rsidRPr="00E74406" w:rsidTr="00B32AA7">
        <w:trPr>
          <w:cantSplit/>
          <w:trHeight w:val="292"/>
        </w:trPr>
        <w:tc>
          <w:tcPr>
            <w:tcW w:w="851" w:type="dxa"/>
            <w:vMerge w:val="restart"/>
            <w:vAlign w:val="center"/>
          </w:tcPr>
          <w:p w:rsidR="004061AC" w:rsidRPr="00E74406" w:rsidRDefault="004061AC" w:rsidP="008014F9">
            <w:pPr>
              <w:widowControl/>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姓名</w:t>
            </w:r>
          </w:p>
        </w:tc>
        <w:tc>
          <w:tcPr>
            <w:tcW w:w="850" w:type="dxa"/>
            <w:vMerge w:val="restart"/>
            <w:vAlign w:val="center"/>
          </w:tcPr>
          <w:p w:rsidR="004061AC" w:rsidRPr="00E74406" w:rsidRDefault="004061AC" w:rsidP="008014F9">
            <w:pPr>
              <w:widowControl/>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职务</w:t>
            </w:r>
          </w:p>
        </w:tc>
        <w:tc>
          <w:tcPr>
            <w:tcW w:w="3119" w:type="dxa"/>
            <w:gridSpan w:val="2"/>
            <w:vAlign w:val="center"/>
          </w:tcPr>
          <w:p w:rsidR="004061AC" w:rsidRPr="00E74406" w:rsidRDefault="004061AC" w:rsidP="008014F9">
            <w:pPr>
              <w:autoSpaceDE w:val="0"/>
              <w:autoSpaceDN w:val="0"/>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任本基金的基金经理期限</w:t>
            </w:r>
          </w:p>
        </w:tc>
        <w:tc>
          <w:tcPr>
            <w:tcW w:w="1417" w:type="dxa"/>
            <w:vMerge w:val="restart"/>
            <w:vAlign w:val="center"/>
          </w:tcPr>
          <w:p w:rsidR="004061AC" w:rsidRPr="00E74406" w:rsidRDefault="004061AC" w:rsidP="008014F9">
            <w:pPr>
              <w:autoSpaceDE w:val="0"/>
              <w:autoSpaceDN w:val="0"/>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证券从业年限</w:t>
            </w:r>
          </w:p>
        </w:tc>
        <w:tc>
          <w:tcPr>
            <w:tcW w:w="2694" w:type="dxa"/>
            <w:vMerge w:val="restart"/>
            <w:vAlign w:val="center"/>
          </w:tcPr>
          <w:p w:rsidR="004061AC" w:rsidRPr="00E74406" w:rsidRDefault="004061AC" w:rsidP="008014F9">
            <w:pPr>
              <w:widowControl/>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说明</w:t>
            </w:r>
          </w:p>
        </w:tc>
      </w:tr>
      <w:tr w:rsidR="00220C32" w:rsidRPr="00E74406" w:rsidTr="00B32AA7">
        <w:trPr>
          <w:cantSplit/>
        </w:trPr>
        <w:tc>
          <w:tcPr>
            <w:tcW w:w="851" w:type="dxa"/>
            <w:vMerge/>
            <w:vAlign w:val="center"/>
          </w:tcPr>
          <w:p w:rsidR="004061AC" w:rsidRPr="00E74406" w:rsidRDefault="004061AC" w:rsidP="008014F9">
            <w:pPr>
              <w:widowControl/>
              <w:spacing w:line="360" w:lineRule="auto"/>
              <w:jc w:val="left"/>
              <w:rPr>
                <w:rFonts w:eastAsiaTheme="minorEastAsia"/>
                <w:color w:val="000000" w:themeColor="text1"/>
                <w:kern w:val="0"/>
                <w:sz w:val="24"/>
                <w:szCs w:val="24"/>
              </w:rPr>
            </w:pPr>
          </w:p>
        </w:tc>
        <w:tc>
          <w:tcPr>
            <w:tcW w:w="850" w:type="dxa"/>
            <w:vMerge/>
            <w:vAlign w:val="center"/>
          </w:tcPr>
          <w:p w:rsidR="004061AC" w:rsidRPr="00E74406" w:rsidRDefault="004061AC" w:rsidP="008014F9">
            <w:pPr>
              <w:widowControl/>
              <w:spacing w:line="360" w:lineRule="auto"/>
              <w:jc w:val="left"/>
              <w:rPr>
                <w:rFonts w:eastAsiaTheme="minorEastAsia"/>
                <w:color w:val="000000" w:themeColor="text1"/>
                <w:kern w:val="0"/>
                <w:sz w:val="24"/>
                <w:szCs w:val="24"/>
              </w:rPr>
            </w:pPr>
          </w:p>
        </w:tc>
        <w:tc>
          <w:tcPr>
            <w:tcW w:w="1560" w:type="dxa"/>
            <w:vAlign w:val="center"/>
          </w:tcPr>
          <w:p w:rsidR="004061AC" w:rsidRPr="00E74406" w:rsidRDefault="004061AC" w:rsidP="008014F9">
            <w:pPr>
              <w:autoSpaceDE w:val="0"/>
              <w:autoSpaceDN w:val="0"/>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任职日期</w:t>
            </w:r>
          </w:p>
        </w:tc>
        <w:tc>
          <w:tcPr>
            <w:tcW w:w="1559" w:type="dxa"/>
            <w:vAlign w:val="center"/>
          </w:tcPr>
          <w:p w:rsidR="004061AC" w:rsidRPr="00E74406" w:rsidRDefault="004061AC" w:rsidP="008014F9">
            <w:pPr>
              <w:autoSpaceDE w:val="0"/>
              <w:autoSpaceDN w:val="0"/>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离任日期</w:t>
            </w:r>
          </w:p>
        </w:tc>
        <w:tc>
          <w:tcPr>
            <w:tcW w:w="1417" w:type="dxa"/>
            <w:vMerge/>
            <w:vAlign w:val="center"/>
          </w:tcPr>
          <w:p w:rsidR="004061AC" w:rsidRPr="00E74406" w:rsidRDefault="004061AC" w:rsidP="008014F9">
            <w:pPr>
              <w:widowControl/>
              <w:spacing w:line="360" w:lineRule="auto"/>
              <w:jc w:val="left"/>
              <w:rPr>
                <w:rFonts w:eastAsiaTheme="minorEastAsia"/>
                <w:color w:val="000000" w:themeColor="text1"/>
                <w:kern w:val="0"/>
                <w:sz w:val="24"/>
                <w:szCs w:val="24"/>
              </w:rPr>
            </w:pPr>
          </w:p>
        </w:tc>
        <w:tc>
          <w:tcPr>
            <w:tcW w:w="2694" w:type="dxa"/>
            <w:vMerge/>
            <w:vAlign w:val="center"/>
          </w:tcPr>
          <w:p w:rsidR="004061AC" w:rsidRPr="00E74406" w:rsidRDefault="004061AC" w:rsidP="008014F9">
            <w:pPr>
              <w:widowControl/>
              <w:spacing w:line="360" w:lineRule="auto"/>
              <w:jc w:val="left"/>
              <w:rPr>
                <w:rFonts w:eastAsiaTheme="minorEastAsia"/>
                <w:color w:val="000000" w:themeColor="text1"/>
                <w:kern w:val="0"/>
                <w:sz w:val="24"/>
                <w:szCs w:val="24"/>
              </w:rPr>
            </w:pPr>
          </w:p>
        </w:tc>
      </w:tr>
      <w:tr w:rsidR="008E4634">
        <w:tc>
          <w:tcPr>
            <w:tcW w:w="851" w:type="dxa"/>
            <w:vAlign w:val="center"/>
          </w:tcPr>
          <w:p w:rsidR="008E4634" w:rsidRDefault="004C66A8">
            <w:pPr>
              <w:jc w:val="center"/>
            </w:pPr>
            <w:r>
              <w:rPr>
                <w:rFonts w:eastAsiaTheme="minorEastAsia"/>
                <w:color w:val="000000" w:themeColor="text1"/>
                <w:sz w:val="24"/>
                <w:szCs w:val="24"/>
              </w:rPr>
              <w:t>汤海波</w:t>
            </w:r>
          </w:p>
        </w:tc>
        <w:tc>
          <w:tcPr>
            <w:tcW w:w="850" w:type="dxa"/>
            <w:vAlign w:val="center"/>
          </w:tcPr>
          <w:p w:rsidR="008E4634" w:rsidRDefault="004C66A8">
            <w:pPr>
              <w:jc w:val="center"/>
            </w:pPr>
            <w:r>
              <w:rPr>
                <w:rFonts w:eastAsiaTheme="minorEastAsia"/>
                <w:color w:val="000000" w:themeColor="text1"/>
                <w:sz w:val="24"/>
                <w:szCs w:val="24"/>
              </w:rPr>
              <w:t>本基金基金经理，基金投资部海外投资副总监</w:t>
            </w:r>
          </w:p>
        </w:tc>
        <w:tc>
          <w:tcPr>
            <w:tcW w:w="1560" w:type="dxa"/>
            <w:vAlign w:val="center"/>
          </w:tcPr>
          <w:p w:rsidR="008E4634" w:rsidRDefault="004C66A8">
            <w:pPr>
              <w:jc w:val="center"/>
            </w:pPr>
            <w:r>
              <w:rPr>
                <w:rFonts w:eastAsiaTheme="minorEastAsia"/>
                <w:color w:val="000000" w:themeColor="text1"/>
                <w:sz w:val="24"/>
                <w:szCs w:val="24"/>
              </w:rPr>
              <w:t>2018-01-16</w:t>
            </w:r>
          </w:p>
        </w:tc>
        <w:tc>
          <w:tcPr>
            <w:tcW w:w="1559" w:type="dxa"/>
            <w:vAlign w:val="center"/>
          </w:tcPr>
          <w:p w:rsidR="008E4634" w:rsidRDefault="004C66A8">
            <w:pPr>
              <w:jc w:val="center"/>
            </w:pPr>
            <w:r>
              <w:rPr>
                <w:rFonts w:eastAsiaTheme="minorEastAsia"/>
                <w:color w:val="000000" w:themeColor="text1"/>
                <w:sz w:val="24"/>
                <w:szCs w:val="24"/>
              </w:rPr>
              <w:t>-</w:t>
            </w:r>
          </w:p>
        </w:tc>
        <w:tc>
          <w:tcPr>
            <w:tcW w:w="1417" w:type="dxa"/>
            <w:vAlign w:val="center"/>
          </w:tcPr>
          <w:p w:rsidR="008E4634" w:rsidRDefault="004C66A8">
            <w:pPr>
              <w:jc w:val="center"/>
            </w:pPr>
            <w:r>
              <w:rPr>
                <w:rFonts w:eastAsiaTheme="minorEastAsia"/>
                <w:color w:val="000000" w:themeColor="text1"/>
                <w:sz w:val="24"/>
                <w:szCs w:val="24"/>
              </w:rPr>
              <w:t>20</w:t>
            </w:r>
          </w:p>
        </w:tc>
        <w:tc>
          <w:tcPr>
            <w:tcW w:w="2694" w:type="dxa"/>
            <w:vAlign w:val="center"/>
          </w:tcPr>
          <w:p w:rsidR="008E4634" w:rsidRDefault="004C66A8">
            <w:r>
              <w:rPr>
                <w:rFonts w:eastAsiaTheme="minorEastAsia"/>
                <w:color w:val="000000" w:themeColor="text1"/>
                <w:sz w:val="24"/>
                <w:szCs w:val="24"/>
              </w:rPr>
              <w:t>中国籍，硕士，具有基金从业资格。美国特许金融分析师（</w:t>
            </w:r>
            <w:r>
              <w:rPr>
                <w:rFonts w:eastAsiaTheme="minorEastAsia"/>
                <w:color w:val="000000" w:themeColor="text1"/>
                <w:sz w:val="24"/>
                <w:szCs w:val="24"/>
              </w:rPr>
              <w:t>CFA</w:t>
            </w:r>
            <w:r>
              <w:rPr>
                <w:rFonts w:eastAsiaTheme="minorEastAsia"/>
                <w:color w:val="000000" w:themeColor="text1"/>
                <w:sz w:val="24"/>
                <w:szCs w:val="24"/>
              </w:rPr>
              <w:t>）。曾任职于华安基金、摩根大通证券、美林证券、中信资本投资研究有限公司。</w:t>
            </w:r>
            <w:r>
              <w:rPr>
                <w:rFonts w:eastAsiaTheme="minorEastAsia"/>
                <w:color w:val="000000" w:themeColor="text1"/>
                <w:sz w:val="24"/>
                <w:szCs w:val="24"/>
              </w:rPr>
              <w:t>2010</w:t>
            </w:r>
            <w:r>
              <w:rPr>
                <w:rFonts w:eastAsiaTheme="minorEastAsia"/>
                <w:color w:val="000000" w:themeColor="text1"/>
                <w:sz w:val="24"/>
                <w:szCs w:val="24"/>
              </w:rPr>
              <w:t>年</w:t>
            </w:r>
            <w:r>
              <w:rPr>
                <w:rFonts w:eastAsiaTheme="minorEastAsia"/>
                <w:color w:val="000000" w:themeColor="text1"/>
                <w:sz w:val="24"/>
                <w:szCs w:val="24"/>
              </w:rPr>
              <w:t>7</w:t>
            </w:r>
            <w:r>
              <w:rPr>
                <w:rFonts w:eastAsiaTheme="minorEastAsia"/>
                <w:color w:val="000000" w:themeColor="text1"/>
                <w:sz w:val="24"/>
                <w:szCs w:val="24"/>
              </w:rPr>
              <w:t>月加入国投瑞银。曾任国投瑞银全球新兴市场精选股票型证券投资基金（</w:t>
            </w:r>
            <w:r>
              <w:rPr>
                <w:rFonts w:eastAsiaTheme="minorEastAsia"/>
                <w:color w:val="000000" w:themeColor="text1"/>
                <w:sz w:val="24"/>
                <w:szCs w:val="24"/>
              </w:rPr>
              <w:t>LOF</w:t>
            </w:r>
            <w:r>
              <w:rPr>
                <w:rFonts w:eastAsiaTheme="minorEastAsia"/>
                <w:color w:val="000000" w:themeColor="text1"/>
                <w:sz w:val="24"/>
                <w:szCs w:val="24"/>
              </w:rPr>
              <w:t>）基金经理。现任国投瑞银中国价值发现股票型证券投资基金（</w:t>
            </w:r>
            <w:r>
              <w:rPr>
                <w:rFonts w:eastAsiaTheme="minorEastAsia"/>
                <w:color w:val="000000" w:themeColor="text1"/>
                <w:sz w:val="24"/>
                <w:szCs w:val="24"/>
              </w:rPr>
              <w:t>LOF</w:t>
            </w:r>
            <w:r>
              <w:rPr>
                <w:rFonts w:eastAsiaTheme="minorEastAsia"/>
                <w:color w:val="000000" w:themeColor="text1"/>
                <w:sz w:val="24"/>
                <w:szCs w:val="24"/>
              </w:rPr>
              <w:t>）、国投瑞银瑞兴灵活配置混合型证券投资基金、国投瑞银创新医疗灵活配置混合型证券投资基金及国投瑞银信息消费灵活配置混合型证券投资基金基金经理。</w:t>
            </w:r>
          </w:p>
        </w:tc>
      </w:tr>
      <w:tr w:rsidR="008E4634">
        <w:tc>
          <w:tcPr>
            <w:tcW w:w="851" w:type="dxa"/>
            <w:vAlign w:val="center"/>
          </w:tcPr>
          <w:p w:rsidR="008E4634" w:rsidRDefault="004C66A8">
            <w:pPr>
              <w:jc w:val="center"/>
            </w:pPr>
            <w:r>
              <w:rPr>
                <w:rFonts w:eastAsiaTheme="minorEastAsia"/>
                <w:color w:val="000000" w:themeColor="text1"/>
                <w:sz w:val="24"/>
                <w:szCs w:val="24"/>
              </w:rPr>
              <w:t>徐栋</w:t>
            </w:r>
          </w:p>
        </w:tc>
        <w:tc>
          <w:tcPr>
            <w:tcW w:w="850" w:type="dxa"/>
            <w:vAlign w:val="center"/>
          </w:tcPr>
          <w:p w:rsidR="008E4634" w:rsidRDefault="004C66A8">
            <w:pPr>
              <w:jc w:val="center"/>
            </w:pPr>
            <w:r>
              <w:rPr>
                <w:rFonts w:eastAsiaTheme="minorEastAsia"/>
                <w:color w:val="000000" w:themeColor="text1"/>
                <w:sz w:val="24"/>
                <w:szCs w:val="24"/>
              </w:rPr>
              <w:t>本基金基金经理</w:t>
            </w:r>
          </w:p>
        </w:tc>
        <w:tc>
          <w:tcPr>
            <w:tcW w:w="1560" w:type="dxa"/>
            <w:vAlign w:val="center"/>
          </w:tcPr>
          <w:p w:rsidR="008E4634" w:rsidRDefault="004C66A8">
            <w:pPr>
              <w:jc w:val="center"/>
            </w:pPr>
            <w:r>
              <w:rPr>
                <w:rFonts w:eastAsiaTheme="minorEastAsia"/>
                <w:color w:val="000000" w:themeColor="text1"/>
                <w:sz w:val="24"/>
                <w:szCs w:val="24"/>
              </w:rPr>
              <w:t>2016-11-18</w:t>
            </w:r>
          </w:p>
        </w:tc>
        <w:tc>
          <w:tcPr>
            <w:tcW w:w="1559" w:type="dxa"/>
            <w:vAlign w:val="center"/>
          </w:tcPr>
          <w:p w:rsidR="008E4634" w:rsidRDefault="004C66A8">
            <w:pPr>
              <w:jc w:val="center"/>
            </w:pPr>
            <w:r>
              <w:rPr>
                <w:rFonts w:eastAsiaTheme="minorEastAsia"/>
                <w:color w:val="000000" w:themeColor="text1"/>
                <w:sz w:val="24"/>
                <w:szCs w:val="24"/>
              </w:rPr>
              <w:t>-</w:t>
            </w:r>
          </w:p>
        </w:tc>
        <w:tc>
          <w:tcPr>
            <w:tcW w:w="1417" w:type="dxa"/>
            <w:vAlign w:val="center"/>
          </w:tcPr>
          <w:p w:rsidR="008E4634" w:rsidRDefault="004C66A8">
            <w:pPr>
              <w:jc w:val="center"/>
            </w:pPr>
            <w:r>
              <w:rPr>
                <w:rFonts w:eastAsiaTheme="minorEastAsia"/>
                <w:color w:val="000000" w:themeColor="text1"/>
                <w:sz w:val="24"/>
                <w:szCs w:val="24"/>
              </w:rPr>
              <w:t>10</w:t>
            </w:r>
          </w:p>
        </w:tc>
        <w:tc>
          <w:tcPr>
            <w:tcW w:w="2694" w:type="dxa"/>
            <w:vAlign w:val="center"/>
          </w:tcPr>
          <w:p w:rsidR="008E4634" w:rsidRDefault="004C66A8">
            <w:r>
              <w:rPr>
                <w:rFonts w:eastAsiaTheme="minorEastAsia"/>
                <w:color w:val="000000" w:themeColor="text1"/>
                <w:sz w:val="24"/>
                <w:szCs w:val="24"/>
              </w:rPr>
              <w:t>中国籍，硕士，具有基金从业资格，注册会计师协会</w:t>
            </w:r>
            <w:r>
              <w:rPr>
                <w:rFonts w:eastAsiaTheme="minorEastAsia"/>
                <w:color w:val="000000" w:themeColor="text1"/>
                <w:sz w:val="24"/>
                <w:szCs w:val="24"/>
              </w:rPr>
              <w:t>(CICPA)</w:t>
            </w:r>
            <w:r>
              <w:rPr>
                <w:rFonts w:eastAsiaTheme="minorEastAsia"/>
                <w:color w:val="000000" w:themeColor="text1"/>
                <w:sz w:val="24"/>
                <w:szCs w:val="24"/>
              </w:rPr>
              <w:t>非执业会员，特许金融分析师协会</w:t>
            </w:r>
            <w:r>
              <w:rPr>
                <w:rFonts w:eastAsiaTheme="minorEastAsia"/>
                <w:color w:val="000000" w:themeColor="text1"/>
                <w:sz w:val="24"/>
                <w:szCs w:val="24"/>
              </w:rPr>
              <w:t>(CFA)</w:t>
            </w:r>
            <w:r>
              <w:rPr>
                <w:rFonts w:eastAsiaTheme="minorEastAsia"/>
                <w:color w:val="000000" w:themeColor="text1"/>
                <w:sz w:val="24"/>
                <w:szCs w:val="24"/>
              </w:rPr>
              <w:t>会员。</w:t>
            </w:r>
            <w:r>
              <w:rPr>
                <w:rFonts w:eastAsiaTheme="minorEastAsia"/>
                <w:color w:val="000000" w:themeColor="text1"/>
                <w:sz w:val="24"/>
                <w:szCs w:val="24"/>
              </w:rPr>
              <w:t>2009</w:t>
            </w:r>
            <w:r>
              <w:rPr>
                <w:rFonts w:eastAsiaTheme="minorEastAsia"/>
                <w:color w:val="000000" w:themeColor="text1"/>
                <w:sz w:val="24"/>
                <w:szCs w:val="24"/>
              </w:rPr>
              <w:t>年</w:t>
            </w:r>
            <w:r>
              <w:rPr>
                <w:rFonts w:eastAsiaTheme="minorEastAsia"/>
                <w:color w:val="000000" w:themeColor="text1"/>
                <w:sz w:val="24"/>
                <w:szCs w:val="24"/>
              </w:rPr>
              <w:t>7</w:t>
            </w:r>
            <w:r>
              <w:rPr>
                <w:rFonts w:eastAsiaTheme="minorEastAsia"/>
                <w:color w:val="000000" w:themeColor="text1"/>
                <w:sz w:val="24"/>
                <w:szCs w:val="24"/>
              </w:rPr>
              <w:t>月加入国投瑞银，从事固定收益研究工作。曾任国投瑞银瑞易货币市场基金、国投瑞银钱多宝货币市场基金、国投瑞银增利宝货币市场基金、国投瑞银货币市场基金及国投瑞银岁添利一年期定期开放债券型证券投资基金基金经理。现任国投瑞银双债增利债券型证券投资基金、国投瑞银进宝灵活配置混合型证券投资基金（原国投瑞银进宝保本混合型证券投资基金）、国投瑞银瑞兴灵活配置混合型证券投资基金（原国投瑞银瑞兴保本混合型证券投资基金）、国投瑞银和顺债券型证券投资基金、国投瑞银顺达纯债债券型证券投资基金及国投瑞银顺昌纯债债券型证券投资基金基金经理。</w:t>
            </w:r>
          </w:p>
        </w:tc>
      </w:tr>
    </w:tbl>
    <w:p w:rsidR="004061AC" w:rsidRPr="00E74406"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注：任职日期和离任日期均指公司作出决定后正式对外公告之日。证券从业的含义遵从行业协会《证券业从业人员资格管理办法》的相关规定。</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4.2 </w:t>
      </w:r>
      <w:r w:rsidRPr="00E74406">
        <w:rPr>
          <w:rFonts w:eastAsiaTheme="minorEastAsia"/>
          <w:b/>
          <w:bCs/>
          <w:color w:val="000000" w:themeColor="text1"/>
          <w:kern w:val="0"/>
          <w:sz w:val="24"/>
          <w:szCs w:val="24"/>
        </w:rPr>
        <w:t>管理人对报告期内本基金运作遵规守信情况的说明</w:t>
      </w:r>
    </w:p>
    <w:p w:rsidR="004061AC" w:rsidRPr="00E74406" w:rsidRDefault="004061AC"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在报告期内，本基金管理人遵守《证券法》、《证券投资基金法》及其系列法规和《国投瑞银瑞兴灵活配置混合型证券投资基金基金合同》等有关规定，本着恪守诚信、审慎勤勉，忠实尽职的原则，为基金份额持有人的利益管理和运用基金资产。在报告期内，基金的投资决策规范，基金运作合法合规，没有损害基金份额持有人利益的行为。</w:t>
      </w:r>
    </w:p>
    <w:p w:rsidR="004061AC" w:rsidRPr="00E74406" w:rsidRDefault="004061AC" w:rsidP="009E7C6A">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4.3 </w:t>
      </w:r>
      <w:r w:rsidRPr="00E74406">
        <w:rPr>
          <w:rFonts w:eastAsiaTheme="minorEastAsia"/>
          <w:b/>
          <w:bCs/>
          <w:color w:val="000000" w:themeColor="text1"/>
          <w:kern w:val="0"/>
          <w:sz w:val="24"/>
          <w:szCs w:val="24"/>
        </w:rPr>
        <w:t>公平交易专项说明</w:t>
      </w:r>
    </w:p>
    <w:p w:rsidR="004061AC" w:rsidRPr="00E74406" w:rsidRDefault="004061AC" w:rsidP="009E7C6A">
      <w:pPr>
        <w:spacing w:line="360" w:lineRule="auto"/>
        <w:rPr>
          <w:rFonts w:eastAsiaTheme="minorEastAsia"/>
          <w:color w:val="000000" w:themeColor="text1"/>
          <w:sz w:val="24"/>
          <w:szCs w:val="24"/>
        </w:rPr>
      </w:pPr>
      <w:r w:rsidRPr="00E74406">
        <w:rPr>
          <w:rFonts w:eastAsiaTheme="minorEastAsia"/>
          <w:color w:val="000000" w:themeColor="text1"/>
          <w:sz w:val="24"/>
          <w:szCs w:val="24"/>
        </w:rPr>
        <w:t xml:space="preserve">4.3.1 </w:t>
      </w:r>
      <w:r w:rsidRPr="00E74406">
        <w:rPr>
          <w:rFonts w:eastAsiaTheme="minorEastAsia"/>
          <w:color w:val="000000" w:themeColor="text1"/>
          <w:sz w:val="24"/>
          <w:szCs w:val="24"/>
        </w:rPr>
        <w:t>公平交易制度的执行情况</w:t>
      </w:r>
    </w:p>
    <w:p w:rsidR="004061AC" w:rsidRPr="00E74406" w:rsidRDefault="004061AC"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本报告期内，本基金管理人严格执行了公平交易相关的系列制度，通过工作制度、流程和技术手段保证公平交易原则的实现，以确保本基金管理人旗下各投资组合在研究、决策、交易执行等各方面均得到公平对待，通过对投资交易行为的监控、分析评估和信息披露来加强对公平交易过程和结果的监督，形成了有效的公平交易体系。本报告期，本基金管理人各项公平交易制度流程均得到良好地贯彻执行，未发现存在违反公平交易原则的现象。</w:t>
      </w:r>
    </w:p>
    <w:p w:rsidR="004061AC" w:rsidRPr="00E74406" w:rsidRDefault="004061AC" w:rsidP="009E7C6A">
      <w:pPr>
        <w:spacing w:line="360" w:lineRule="auto"/>
        <w:rPr>
          <w:rFonts w:eastAsiaTheme="minorEastAsia"/>
          <w:color w:val="000000" w:themeColor="text1"/>
          <w:sz w:val="24"/>
          <w:szCs w:val="24"/>
        </w:rPr>
      </w:pPr>
      <w:r w:rsidRPr="00E74406">
        <w:rPr>
          <w:rFonts w:eastAsiaTheme="minorEastAsia"/>
          <w:color w:val="000000" w:themeColor="text1"/>
          <w:sz w:val="24"/>
          <w:szCs w:val="24"/>
        </w:rPr>
        <w:t xml:space="preserve">4.3.2 </w:t>
      </w:r>
      <w:r w:rsidRPr="00E74406">
        <w:rPr>
          <w:rFonts w:eastAsiaTheme="minorEastAsia"/>
          <w:color w:val="000000" w:themeColor="text1"/>
          <w:sz w:val="24"/>
          <w:szCs w:val="24"/>
        </w:rPr>
        <w:t>异常交易行为的专项说明</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本基金于本报告期内不存在异常交易行为。</w:t>
      </w:r>
    </w:p>
    <w:p w:rsidR="004061AC" w:rsidRPr="00E74406" w:rsidRDefault="00957594"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基金管理人管理的所有投资组合在本报告期内未出现参与交易所公开竞价同日反向交易成交较少的单边交易量超过该证券当日总成交量</w:t>
      </w:r>
      <w:r w:rsidRPr="00E74406">
        <w:rPr>
          <w:rFonts w:eastAsiaTheme="minorEastAsia"/>
          <w:color w:val="000000" w:themeColor="text1"/>
          <w:sz w:val="24"/>
          <w:szCs w:val="24"/>
        </w:rPr>
        <w:t>5%</w:t>
      </w:r>
      <w:r w:rsidRPr="00E74406">
        <w:rPr>
          <w:rFonts w:eastAsiaTheme="minorEastAsia"/>
          <w:color w:val="000000" w:themeColor="text1"/>
          <w:sz w:val="24"/>
          <w:szCs w:val="24"/>
        </w:rPr>
        <w:t>的情况。</w:t>
      </w:r>
    </w:p>
    <w:p w:rsidR="004061AC" w:rsidRPr="00E74406" w:rsidRDefault="004061AC" w:rsidP="009E7C6A">
      <w:pPr>
        <w:spacing w:line="360" w:lineRule="auto"/>
        <w:ind w:firstLineChars="200" w:firstLine="480"/>
        <w:rPr>
          <w:rFonts w:eastAsiaTheme="minorEastAsia"/>
          <w:color w:val="000000" w:themeColor="text1"/>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4.4 </w:t>
      </w:r>
      <w:r w:rsidRPr="00E74406">
        <w:rPr>
          <w:rFonts w:eastAsiaTheme="minorEastAsia"/>
          <w:b/>
          <w:bCs/>
          <w:color w:val="000000" w:themeColor="text1"/>
          <w:kern w:val="0"/>
          <w:sz w:val="24"/>
          <w:szCs w:val="24"/>
        </w:rPr>
        <w:t>报告期内基金的投资策略和业绩表现说明</w:t>
      </w:r>
    </w:p>
    <w:p w:rsidR="004061AC" w:rsidRPr="00E74406" w:rsidRDefault="004061AC" w:rsidP="009E7C6A">
      <w:pPr>
        <w:spacing w:line="360" w:lineRule="auto"/>
        <w:rPr>
          <w:rFonts w:eastAsiaTheme="minorEastAsia"/>
          <w:color w:val="000000" w:themeColor="text1"/>
          <w:sz w:val="24"/>
          <w:szCs w:val="24"/>
        </w:rPr>
      </w:pPr>
      <w:r w:rsidRPr="00E74406">
        <w:rPr>
          <w:rFonts w:eastAsiaTheme="minorEastAsia"/>
          <w:color w:val="000000" w:themeColor="text1"/>
          <w:sz w:val="24"/>
          <w:szCs w:val="24"/>
        </w:rPr>
        <w:t>4.4.1</w:t>
      </w:r>
      <w:r w:rsidRPr="00E74406">
        <w:rPr>
          <w:rFonts w:eastAsiaTheme="minorEastAsia"/>
          <w:color w:val="000000" w:themeColor="text1"/>
          <w:sz w:val="24"/>
          <w:szCs w:val="24"/>
        </w:rPr>
        <w:t>报告期内基金投资策略和运作分析</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2019</w:t>
      </w:r>
      <w:r>
        <w:rPr>
          <w:rFonts w:eastAsiaTheme="minorEastAsia"/>
          <w:color w:val="000000" w:themeColor="text1"/>
          <w:sz w:val="24"/>
          <w:szCs w:val="24"/>
        </w:rPr>
        <w:t>年一季度</w:t>
      </w:r>
      <w:r>
        <w:rPr>
          <w:rFonts w:eastAsiaTheme="minorEastAsia"/>
          <w:color w:val="000000" w:themeColor="text1"/>
          <w:sz w:val="24"/>
          <w:szCs w:val="24"/>
        </w:rPr>
        <w:t>A</w:t>
      </w:r>
      <w:r>
        <w:rPr>
          <w:rFonts w:eastAsiaTheme="minorEastAsia"/>
          <w:color w:val="000000" w:themeColor="text1"/>
          <w:sz w:val="24"/>
          <w:szCs w:val="24"/>
        </w:rPr>
        <w:t>股引领全球股市上涨，大幅跑赢其他主要市场。股市的上涨在一定程度上反映了市场对经济复苏的预期。尽管大部分宏观数据尚未有改善迹象，但年初存款准备金率的普降以及最新的信贷数据均令市场看到了希望，减税降费等措施的进一步落地也有望给经济带来新的支持。在此期间，中美贸易冲突战继续缓和，也提振了投资者的信心。国际方面，自去年</w:t>
      </w:r>
      <w:r>
        <w:rPr>
          <w:rFonts w:eastAsiaTheme="minorEastAsia"/>
          <w:color w:val="000000" w:themeColor="text1"/>
          <w:sz w:val="24"/>
          <w:szCs w:val="24"/>
        </w:rPr>
        <w:t>12</w:t>
      </w:r>
      <w:r>
        <w:rPr>
          <w:rFonts w:eastAsiaTheme="minorEastAsia"/>
          <w:color w:val="000000" w:themeColor="text1"/>
          <w:sz w:val="24"/>
          <w:szCs w:val="24"/>
        </w:rPr>
        <w:t>月加息后，美联储态度转鸽，今年</w:t>
      </w:r>
      <w:r>
        <w:rPr>
          <w:rFonts w:eastAsiaTheme="minorEastAsia"/>
          <w:color w:val="000000" w:themeColor="text1"/>
          <w:sz w:val="24"/>
          <w:szCs w:val="24"/>
        </w:rPr>
        <w:t>3</w:t>
      </w:r>
      <w:r>
        <w:rPr>
          <w:rFonts w:eastAsiaTheme="minorEastAsia"/>
          <w:color w:val="000000" w:themeColor="text1"/>
          <w:sz w:val="24"/>
          <w:szCs w:val="24"/>
        </w:rPr>
        <w:t>月的会议上暂停加息并预计年内不加息，推动了全球股市在</w:t>
      </w:r>
      <w:r>
        <w:rPr>
          <w:rFonts w:eastAsiaTheme="minorEastAsia"/>
          <w:color w:val="000000" w:themeColor="text1"/>
          <w:sz w:val="24"/>
          <w:szCs w:val="24"/>
        </w:rPr>
        <w:t>1</w:t>
      </w:r>
      <w:r>
        <w:rPr>
          <w:rFonts w:eastAsiaTheme="minorEastAsia"/>
          <w:color w:val="000000" w:themeColor="text1"/>
          <w:sz w:val="24"/>
          <w:szCs w:val="24"/>
        </w:rPr>
        <w:t>季度普遍上扬。受上述多重利好因素影响，</w:t>
      </w:r>
      <w:r>
        <w:rPr>
          <w:rFonts w:eastAsiaTheme="minorEastAsia"/>
          <w:color w:val="000000" w:themeColor="text1"/>
          <w:sz w:val="24"/>
          <w:szCs w:val="24"/>
        </w:rPr>
        <w:t>A</w:t>
      </w:r>
      <w:r>
        <w:rPr>
          <w:rFonts w:eastAsiaTheme="minorEastAsia"/>
          <w:color w:val="000000" w:themeColor="text1"/>
          <w:sz w:val="24"/>
          <w:szCs w:val="24"/>
        </w:rPr>
        <w:t>股市场在一季度强劲回升，沪深</w:t>
      </w:r>
      <w:r>
        <w:rPr>
          <w:rFonts w:eastAsiaTheme="minorEastAsia"/>
          <w:color w:val="000000" w:themeColor="text1"/>
          <w:sz w:val="24"/>
          <w:szCs w:val="24"/>
        </w:rPr>
        <w:t>300</w:t>
      </w:r>
      <w:r>
        <w:rPr>
          <w:rFonts w:eastAsiaTheme="minorEastAsia"/>
          <w:color w:val="000000" w:themeColor="text1"/>
          <w:sz w:val="24"/>
          <w:szCs w:val="24"/>
        </w:rPr>
        <w:t>指数累计上涨</w:t>
      </w:r>
      <w:r>
        <w:rPr>
          <w:rFonts w:eastAsiaTheme="minorEastAsia"/>
          <w:color w:val="000000" w:themeColor="text1"/>
          <w:sz w:val="24"/>
          <w:szCs w:val="24"/>
        </w:rPr>
        <w:t>28.6%</w:t>
      </w:r>
      <w:r>
        <w:rPr>
          <w:rFonts w:eastAsiaTheme="minorEastAsia"/>
          <w:color w:val="000000" w:themeColor="text1"/>
          <w:sz w:val="24"/>
          <w:szCs w:val="24"/>
        </w:rPr>
        <w:t>。</w:t>
      </w:r>
    </w:p>
    <w:p w:rsidR="004061AC" w:rsidRPr="00E74406" w:rsidRDefault="004061AC"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本基金已公告召开持有人大会，审计终止基金合同有关事项的议案，本基金在</w:t>
      </w:r>
      <w:r w:rsidRPr="00E74406">
        <w:rPr>
          <w:rFonts w:eastAsiaTheme="minorEastAsia"/>
          <w:color w:val="000000" w:themeColor="text1"/>
          <w:sz w:val="24"/>
          <w:szCs w:val="24"/>
        </w:rPr>
        <w:t>3</w:t>
      </w:r>
      <w:r w:rsidRPr="00E74406">
        <w:rPr>
          <w:rFonts w:eastAsiaTheme="minorEastAsia"/>
          <w:color w:val="000000" w:themeColor="text1"/>
          <w:sz w:val="24"/>
          <w:szCs w:val="24"/>
        </w:rPr>
        <w:t>月份逐步卖出权益仓位，未来的投资策略将根据持有人大会的决议来进行。</w:t>
      </w:r>
    </w:p>
    <w:p w:rsidR="004061AC" w:rsidRPr="00E74406" w:rsidRDefault="004061AC" w:rsidP="009E7C6A">
      <w:pPr>
        <w:spacing w:line="360" w:lineRule="auto"/>
        <w:rPr>
          <w:rFonts w:eastAsiaTheme="minorEastAsia"/>
          <w:color w:val="000000" w:themeColor="text1"/>
          <w:sz w:val="24"/>
          <w:szCs w:val="24"/>
        </w:rPr>
      </w:pPr>
      <w:r w:rsidRPr="00E74406">
        <w:rPr>
          <w:rFonts w:eastAsiaTheme="minorEastAsia"/>
          <w:color w:val="000000" w:themeColor="text1"/>
          <w:sz w:val="24"/>
          <w:szCs w:val="24"/>
        </w:rPr>
        <w:t>4.4.2</w:t>
      </w:r>
      <w:r w:rsidRPr="00E74406">
        <w:rPr>
          <w:rFonts w:eastAsiaTheme="minorEastAsia"/>
          <w:color w:val="000000" w:themeColor="text1"/>
          <w:sz w:val="24"/>
          <w:szCs w:val="24"/>
        </w:rPr>
        <w:t>报告期内基金的业绩表现</w:t>
      </w:r>
    </w:p>
    <w:p w:rsidR="004061AC" w:rsidRPr="00E74406" w:rsidRDefault="004061AC"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截止报告期末，本基金份额净值为</w:t>
      </w:r>
      <w:r w:rsidRPr="00E74406">
        <w:rPr>
          <w:rFonts w:eastAsiaTheme="minorEastAsia"/>
          <w:color w:val="000000" w:themeColor="text1"/>
          <w:sz w:val="24"/>
          <w:szCs w:val="24"/>
        </w:rPr>
        <w:t>0.9615</w:t>
      </w:r>
      <w:r w:rsidRPr="00E74406">
        <w:rPr>
          <w:rFonts w:eastAsiaTheme="minorEastAsia"/>
          <w:color w:val="000000" w:themeColor="text1"/>
          <w:sz w:val="24"/>
          <w:szCs w:val="24"/>
        </w:rPr>
        <w:t>元，本报告期份额净值增长率为</w:t>
      </w:r>
      <w:r w:rsidRPr="00E74406">
        <w:rPr>
          <w:rFonts w:eastAsiaTheme="minorEastAsia"/>
          <w:color w:val="000000" w:themeColor="text1"/>
          <w:sz w:val="24"/>
          <w:szCs w:val="24"/>
        </w:rPr>
        <w:t>14.42%</w:t>
      </w:r>
      <w:r w:rsidRPr="00E74406">
        <w:rPr>
          <w:rFonts w:eastAsiaTheme="minorEastAsia"/>
          <w:color w:val="000000" w:themeColor="text1"/>
          <w:sz w:val="24"/>
          <w:szCs w:val="24"/>
        </w:rPr>
        <w:t>，同期业绩比较基准收益率为</w:t>
      </w:r>
      <w:r w:rsidRPr="00E74406">
        <w:rPr>
          <w:rFonts w:eastAsiaTheme="minorEastAsia"/>
          <w:color w:val="000000" w:themeColor="text1"/>
          <w:sz w:val="24"/>
          <w:szCs w:val="24"/>
        </w:rPr>
        <w:t>16.73%</w:t>
      </w:r>
      <w:r w:rsidRPr="00E74406">
        <w:rPr>
          <w:rFonts w:eastAsiaTheme="minorEastAsia"/>
          <w:color w:val="000000" w:themeColor="text1"/>
          <w:sz w:val="24"/>
          <w:szCs w:val="24"/>
        </w:rPr>
        <w:t>。</w:t>
      </w:r>
    </w:p>
    <w:p w:rsidR="009C5186" w:rsidRPr="00E74406" w:rsidRDefault="009C5186" w:rsidP="009E7C6A">
      <w:pPr>
        <w:spacing w:line="360" w:lineRule="auto"/>
        <w:ind w:firstLineChars="200" w:firstLine="480"/>
        <w:rPr>
          <w:rFonts w:eastAsiaTheme="minorEastAsia"/>
          <w:color w:val="000000" w:themeColor="text1"/>
          <w:sz w:val="24"/>
          <w:szCs w:val="24"/>
        </w:rPr>
      </w:pPr>
    </w:p>
    <w:p w:rsidR="00A04F76" w:rsidRPr="00E74406" w:rsidRDefault="006360DC" w:rsidP="00A04F76">
      <w:pPr>
        <w:spacing w:line="360" w:lineRule="auto"/>
        <w:rPr>
          <w:rFonts w:eastAsiaTheme="minorEastAsia"/>
          <w:color w:val="000000" w:themeColor="text1"/>
          <w:sz w:val="24"/>
          <w:szCs w:val="24"/>
        </w:rPr>
      </w:pPr>
      <w:r w:rsidRPr="00E74406">
        <w:rPr>
          <w:rFonts w:eastAsiaTheme="minorEastAsia"/>
          <w:b/>
          <w:color w:val="000000" w:themeColor="text1"/>
          <w:kern w:val="0"/>
          <w:sz w:val="24"/>
          <w:szCs w:val="24"/>
        </w:rPr>
        <w:t>4.5</w:t>
      </w:r>
      <w:r w:rsidR="00A04F76" w:rsidRPr="00E74406">
        <w:rPr>
          <w:rFonts w:eastAsiaTheme="minorEastAsia"/>
          <w:b/>
          <w:color w:val="000000" w:themeColor="text1"/>
          <w:kern w:val="0"/>
          <w:sz w:val="24"/>
          <w:szCs w:val="24"/>
        </w:rPr>
        <w:t>报告期内基金持有人数或基金资产净值预警说明</w:t>
      </w:r>
    </w:p>
    <w:p w:rsidR="00A04F76" w:rsidRPr="00E74406" w:rsidRDefault="00A04F76"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kern w:val="0"/>
          <w:sz w:val="24"/>
          <w:szCs w:val="24"/>
        </w:rPr>
        <w:t>报告期内本基金曾出现过连续二十个工作日基金资产净值低于</w:t>
      </w:r>
      <w:r w:rsidRPr="00E74406">
        <w:rPr>
          <w:rFonts w:eastAsiaTheme="minorEastAsia"/>
          <w:color w:val="000000" w:themeColor="text1"/>
          <w:kern w:val="0"/>
          <w:sz w:val="24"/>
          <w:szCs w:val="24"/>
        </w:rPr>
        <w:t>5000</w:t>
      </w:r>
      <w:r w:rsidRPr="00E74406">
        <w:rPr>
          <w:rFonts w:eastAsiaTheme="minorEastAsia"/>
          <w:color w:val="000000" w:themeColor="text1"/>
          <w:kern w:val="0"/>
          <w:sz w:val="24"/>
          <w:szCs w:val="24"/>
        </w:rPr>
        <w:t>万元的情形，至本报告期末（</w:t>
      </w:r>
      <w:r w:rsidRPr="00E74406">
        <w:rPr>
          <w:rFonts w:eastAsiaTheme="minorEastAsia"/>
          <w:color w:val="000000" w:themeColor="text1"/>
          <w:kern w:val="0"/>
          <w:sz w:val="24"/>
          <w:szCs w:val="24"/>
        </w:rPr>
        <w:t>3</w:t>
      </w:r>
      <w:r w:rsidRPr="00E74406">
        <w:rPr>
          <w:rFonts w:eastAsiaTheme="minorEastAsia"/>
          <w:color w:val="000000" w:themeColor="text1"/>
          <w:kern w:val="0"/>
          <w:sz w:val="24"/>
          <w:szCs w:val="24"/>
        </w:rPr>
        <w:t>月</w:t>
      </w:r>
      <w:r w:rsidRPr="00E74406">
        <w:rPr>
          <w:rFonts w:eastAsiaTheme="minorEastAsia"/>
          <w:color w:val="000000" w:themeColor="text1"/>
          <w:kern w:val="0"/>
          <w:sz w:val="24"/>
          <w:szCs w:val="24"/>
        </w:rPr>
        <w:t>31</w:t>
      </w:r>
      <w:r w:rsidRPr="00E74406">
        <w:rPr>
          <w:rFonts w:eastAsiaTheme="minorEastAsia"/>
          <w:color w:val="000000" w:themeColor="text1"/>
          <w:kern w:val="0"/>
          <w:sz w:val="24"/>
          <w:szCs w:val="24"/>
        </w:rPr>
        <w:t>日）仍低于</w:t>
      </w:r>
      <w:r w:rsidRPr="00E74406">
        <w:rPr>
          <w:rFonts w:eastAsiaTheme="minorEastAsia"/>
          <w:color w:val="000000" w:themeColor="text1"/>
          <w:kern w:val="0"/>
          <w:sz w:val="24"/>
          <w:szCs w:val="24"/>
        </w:rPr>
        <w:t>5000</w:t>
      </w:r>
      <w:r w:rsidRPr="00E74406">
        <w:rPr>
          <w:rFonts w:eastAsiaTheme="minorEastAsia"/>
          <w:color w:val="000000" w:themeColor="text1"/>
          <w:kern w:val="0"/>
          <w:sz w:val="24"/>
          <w:szCs w:val="24"/>
        </w:rPr>
        <w:t>万元，基金管理人依据相关规定在本报告中进行披露，提醒基金份额持有人关注。</w:t>
      </w:r>
    </w:p>
    <w:p w:rsidR="004061AC" w:rsidRPr="00E74406" w:rsidRDefault="004061AC" w:rsidP="0001311F">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w:t>
      </w:r>
      <w:r w:rsidR="001C0993" w:rsidRPr="00E74406">
        <w:rPr>
          <w:rFonts w:eastAsiaTheme="minorEastAsia"/>
          <w:color w:val="000000" w:themeColor="text1"/>
          <w:kern w:val="0"/>
          <w:sz w:val="24"/>
          <w:szCs w:val="24"/>
        </w:rPr>
        <w:t>5</w:t>
      </w:r>
      <w:r w:rsidRPr="00E74406">
        <w:rPr>
          <w:rFonts w:eastAsiaTheme="minorEastAsia"/>
          <w:color w:val="000000" w:themeColor="text1"/>
          <w:kern w:val="0"/>
          <w:sz w:val="24"/>
          <w:szCs w:val="24"/>
        </w:rPr>
        <w:t>投资组合报告</w:t>
      </w: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5.1 </w:t>
      </w:r>
      <w:r w:rsidRPr="00E74406">
        <w:rPr>
          <w:rFonts w:eastAsiaTheme="minorEastAsia"/>
          <w:b/>
          <w:bCs/>
          <w:color w:val="000000" w:themeColor="text1"/>
          <w:kern w:val="0"/>
          <w:sz w:val="24"/>
          <w:szCs w:val="24"/>
        </w:rPr>
        <w:t>报告期末基金资产组合情况</w:t>
      </w:r>
    </w:p>
    <w:tbl>
      <w:tblPr>
        <w:tblStyle w:val="af7"/>
        <w:tblW w:w="8897" w:type="dxa"/>
        <w:jc w:val="center"/>
        <w:tblLayout w:type="fixed"/>
        <w:tblLook w:val="04A0"/>
      </w:tblPr>
      <w:tblGrid>
        <w:gridCol w:w="720"/>
        <w:gridCol w:w="3357"/>
        <w:gridCol w:w="2977"/>
        <w:gridCol w:w="1843"/>
      </w:tblGrid>
      <w:tr w:rsidR="00220C32" w:rsidRPr="00E74406" w:rsidTr="0069426C">
        <w:trPr>
          <w:jc w:val="center"/>
        </w:trPr>
        <w:tc>
          <w:tcPr>
            <w:tcW w:w="720" w:type="dxa"/>
            <w:vAlign w:val="center"/>
          </w:tcPr>
          <w:p w:rsidR="00853140" w:rsidRPr="00E74406" w:rsidRDefault="00853140" w:rsidP="00F71057">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序号</w:t>
            </w:r>
          </w:p>
        </w:tc>
        <w:tc>
          <w:tcPr>
            <w:tcW w:w="3357" w:type="dxa"/>
            <w:vAlign w:val="center"/>
          </w:tcPr>
          <w:p w:rsidR="00853140" w:rsidRPr="00E74406" w:rsidRDefault="00853140" w:rsidP="00F71057">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项目</w:t>
            </w:r>
          </w:p>
        </w:tc>
        <w:tc>
          <w:tcPr>
            <w:tcW w:w="2977" w:type="dxa"/>
            <w:vAlign w:val="center"/>
          </w:tcPr>
          <w:p w:rsidR="00853140" w:rsidRPr="00E74406" w:rsidRDefault="00853140" w:rsidP="00316484">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金额</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元</w:t>
            </w:r>
            <w:r w:rsidR="00D57B7C" w:rsidRPr="00E74406">
              <w:rPr>
                <w:rFonts w:eastAsiaTheme="minorEastAsia"/>
                <w:color w:val="000000" w:themeColor="text1"/>
                <w:sz w:val="24"/>
                <w:szCs w:val="24"/>
              </w:rPr>
              <w:t>)</w:t>
            </w:r>
          </w:p>
        </w:tc>
        <w:tc>
          <w:tcPr>
            <w:tcW w:w="1843" w:type="dxa"/>
            <w:vAlign w:val="center"/>
          </w:tcPr>
          <w:p w:rsidR="00853140" w:rsidRPr="00E74406" w:rsidRDefault="00853140" w:rsidP="00316484">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占基金总资产的比例</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w:t>
            </w:r>
            <w:r w:rsidR="00D57B7C"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1</w:t>
            </w:r>
          </w:p>
        </w:tc>
        <w:tc>
          <w:tcPr>
            <w:tcW w:w="3357" w:type="dxa"/>
            <w:vAlign w:val="center"/>
          </w:tcPr>
          <w:p w:rsidR="00853140" w:rsidRPr="00E74406" w:rsidRDefault="00853140"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权益投资</w:t>
            </w:r>
          </w:p>
        </w:tc>
        <w:tc>
          <w:tcPr>
            <w:tcW w:w="2977" w:type="dxa"/>
            <w:vAlign w:val="center"/>
          </w:tcPr>
          <w:p w:rsidR="00853140" w:rsidRPr="00E74406" w:rsidRDefault="00C77AEF" w:rsidP="00C77AEF">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p>
        </w:tc>
        <w:tc>
          <w:tcPr>
            <w:tcW w:w="3357" w:type="dxa"/>
            <w:vAlign w:val="center"/>
          </w:tcPr>
          <w:p w:rsidR="00853140" w:rsidRPr="00E74406" w:rsidRDefault="00853140"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其中：股票</w:t>
            </w:r>
          </w:p>
        </w:tc>
        <w:tc>
          <w:tcPr>
            <w:tcW w:w="2977"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2</w:t>
            </w:r>
          </w:p>
        </w:tc>
        <w:tc>
          <w:tcPr>
            <w:tcW w:w="3357" w:type="dxa"/>
            <w:vAlign w:val="center"/>
          </w:tcPr>
          <w:p w:rsidR="00853140" w:rsidRPr="00E74406" w:rsidRDefault="00853140"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固定收益投资</w:t>
            </w:r>
          </w:p>
        </w:tc>
        <w:tc>
          <w:tcPr>
            <w:tcW w:w="2977"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p>
        </w:tc>
        <w:tc>
          <w:tcPr>
            <w:tcW w:w="3357" w:type="dxa"/>
            <w:vAlign w:val="center"/>
          </w:tcPr>
          <w:p w:rsidR="00853140" w:rsidRPr="00E74406" w:rsidRDefault="00853140"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其中：债券</w:t>
            </w:r>
          </w:p>
        </w:tc>
        <w:tc>
          <w:tcPr>
            <w:tcW w:w="2977"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p>
        </w:tc>
        <w:tc>
          <w:tcPr>
            <w:tcW w:w="3357" w:type="dxa"/>
            <w:vAlign w:val="center"/>
          </w:tcPr>
          <w:p w:rsidR="00853140" w:rsidRPr="00E74406" w:rsidRDefault="00853140" w:rsidP="006B42EA">
            <w:pPr>
              <w:autoSpaceDE w:val="0"/>
              <w:autoSpaceDN w:val="0"/>
              <w:adjustRightInd w:val="0"/>
              <w:spacing w:before="29" w:line="360" w:lineRule="auto"/>
              <w:ind w:left="17" w:firstLineChars="250" w:firstLine="600"/>
              <w:jc w:val="left"/>
              <w:rPr>
                <w:rFonts w:eastAsiaTheme="minorEastAsia"/>
                <w:color w:val="000000" w:themeColor="text1"/>
                <w:sz w:val="24"/>
                <w:szCs w:val="24"/>
              </w:rPr>
            </w:pPr>
            <w:r w:rsidRPr="00E74406">
              <w:rPr>
                <w:rFonts w:eastAsiaTheme="minorEastAsia"/>
                <w:color w:val="000000" w:themeColor="text1"/>
                <w:sz w:val="24"/>
                <w:szCs w:val="24"/>
              </w:rPr>
              <w:t>资产支持证券</w:t>
            </w:r>
          </w:p>
        </w:tc>
        <w:tc>
          <w:tcPr>
            <w:tcW w:w="2977"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95020">
        <w:trPr>
          <w:jc w:val="center"/>
        </w:trPr>
        <w:tc>
          <w:tcPr>
            <w:tcW w:w="720" w:type="dxa"/>
          </w:tcPr>
          <w:p w:rsidR="001D63BB" w:rsidRPr="00E74406" w:rsidRDefault="001D63BB" w:rsidP="001D63BB">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3</w:t>
            </w:r>
          </w:p>
        </w:tc>
        <w:tc>
          <w:tcPr>
            <w:tcW w:w="3357" w:type="dxa"/>
          </w:tcPr>
          <w:p w:rsidR="001D63BB" w:rsidRPr="00E74406" w:rsidRDefault="001D63BB" w:rsidP="001D63BB">
            <w:pPr>
              <w:spacing w:before="29" w:line="360" w:lineRule="auto"/>
              <w:ind w:leftChars="50" w:left="105"/>
              <w:rPr>
                <w:rFonts w:eastAsiaTheme="minorEastAsia"/>
                <w:color w:val="000000" w:themeColor="text1"/>
                <w:sz w:val="24"/>
                <w:szCs w:val="24"/>
              </w:rPr>
            </w:pPr>
            <w:r w:rsidRPr="00E74406">
              <w:rPr>
                <w:rFonts w:eastAsiaTheme="minorEastAsia"/>
                <w:color w:val="000000" w:themeColor="text1"/>
                <w:sz w:val="24"/>
                <w:szCs w:val="24"/>
              </w:rPr>
              <w:t>贵金属投资</w:t>
            </w:r>
          </w:p>
        </w:tc>
        <w:tc>
          <w:tcPr>
            <w:tcW w:w="2977" w:type="dxa"/>
            <w:vAlign w:val="center"/>
          </w:tcPr>
          <w:p w:rsidR="001D63BB" w:rsidRPr="00E74406" w:rsidRDefault="001D63BB" w:rsidP="00DD272F">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1D63BB" w:rsidRPr="00E74406" w:rsidRDefault="001D63BB" w:rsidP="00DD272F">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1D63BB" w:rsidRPr="00E74406" w:rsidRDefault="001D63BB"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4</w:t>
            </w:r>
          </w:p>
        </w:tc>
        <w:tc>
          <w:tcPr>
            <w:tcW w:w="3357" w:type="dxa"/>
            <w:vAlign w:val="center"/>
          </w:tcPr>
          <w:p w:rsidR="001D63BB" w:rsidRPr="00E74406" w:rsidRDefault="001D63BB"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金融衍生品投资</w:t>
            </w:r>
          </w:p>
        </w:tc>
        <w:tc>
          <w:tcPr>
            <w:tcW w:w="2977"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1D63BB" w:rsidRPr="00E74406" w:rsidRDefault="001D63BB"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5</w:t>
            </w:r>
          </w:p>
        </w:tc>
        <w:tc>
          <w:tcPr>
            <w:tcW w:w="3357" w:type="dxa"/>
            <w:vAlign w:val="center"/>
          </w:tcPr>
          <w:p w:rsidR="001D63BB" w:rsidRPr="00E74406" w:rsidRDefault="001D63BB"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买入返售金融资产</w:t>
            </w:r>
          </w:p>
        </w:tc>
        <w:tc>
          <w:tcPr>
            <w:tcW w:w="2977"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1D63BB" w:rsidRPr="00E74406" w:rsidRDefault="001D63BB" w:rsidP="001675CD">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1D63BB" w:rsidRPr="00E74406" w:rsidRDefault="001D63BB" w:rsidP="00A03AAC">
            <w:pPr>
              <w:spacing w:before="29" w:line="360" w:lineRule="auto"/>
              <w:ind w:left="17"/>
              <w:jc w:val="center"/>
              <w:rPr>
                <w:rFonts w:eastAsiaTheme="minorEastAsia"/>
                <w:color w:val="000000" w:themeColor="text1"/>
                <w:sz w:val="24"/>
                <w:szCs w:val="24"/>
              </w:rPr>
            </w:pPr>
          </w:p>
        </w:tc>
        <w:tc>
          <w:tcPr>
            <w:tcW w:w="3357" w:type="dxa"/>
            <w:vAlign w:val="center"/>
          </w:tcPr>
          <w:p w:rsidR="001D63BB" w:rsidRPr="00E74406" w:rsidRDefault="001D63BB"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其中：买断式回购的买入返售金融资产</w:t>
            </w:r>
          </w:p>
        </w:tc>
        <w:tc>
          <w:tcPr>
            <w:tcW w:w="2977"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1D63BB" w:rsidRPr="00E74406" w:rsidRDefault="001D63BB"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6</w:t>
            </w:r>
          </w:p>
        </w:tc>
        <w:tc>
          <w:tcPr>
            <w:tcW w:w="3357" w:type="dxa"/>
            <w:vAlign w:val="center"/>
          </w:tcPr>
          <w:p w:rsidR="001D63BB" w:rsidRPr="00E74406" w:rsidRDefault="001D63BB" w:rsidP="00A03AAC">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银行存款和结算备付金合计</w:t>
            </w:r>
          </w:p>
        </w:tc>
        <w:tc>
          <w:tcPr>
            <w:tcW w:w="2977"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23,647,302.02</w:t>
            </w:r>
          </w:p>
        </w:tc>
        <w:tc>
          <w:tcPr>
            <w:tcW w:w="1843" w:type="dxa"/>
            <w:vAlign w:val="center"/>
          </w:tcPr>
          <w:p w:rsidR="001D63BB" w:rsidRPr="00E74406" w:rsidRDefault="001D63BB" w:rsidP="001675CD">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99.96</w:t>
            </w:r>
          </w:p>
        </w:tc>
      </w:tr>
      <w:tr w:rsidR="00220C32" w:rsidRPr="00E74406" w:rsidTr="0069426C">
        <w:trPr>
          <w:jc w:val="center"/>
        </w:trPr>
        <w:tc>
          <w:tcPr>
            <w:tcW w:w="720" w:type="dxa"/>
            <w:vAlign w:val="center"/>
          </w:tcPr>
          <w:p w:rsidR="001D63BB" w:rsidRPr="00E74406" w:rsidRDefault="001D63BB" w:rsidP="001D63BB">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7</w:t>
            </w:r>
          </w:p>
        </w:tc>
        <w:tc>
          <w:tcPr>
            <w:tcW w:w="3357" w:type="dxa"/>
            <w:vAlign w:val="center"/>
          </w:tcPr>
          <w:p w:rsidR="001D63BB" w:rsidRPr="00E74406" w:rsidRDefault="001D63BB" w:rsidP="00A03AAC">
            <w:pPr>
              <w:jc w:val="left"/>
              <w:rPr>
                <w:rFonts w:eastAsiaTheme="minorEastAsia"/>
                <w:color w:val="000000" w:themeColor="text1"/>
                <w:sz w:val="24"/>
                <w:szCs w:val="24"/>
              </w:rPr>
            </w:pPr>
            <w:r w:rsidRPr="00E74406">
              <w:rPr>
                <w:rFonts w:eastAsiaTheme="minorEastAsia"/>
                <w:color w:val="000000" w:themeColor="text1"/>
                <w:sz w:val="24"/>
                <w:szCs w:val="24"/>
              </w:rPr>
              <w:t>其他各项资产</w:t>
            </w:r>
          </w:p>
        </w:tc>
        <w:tc>
          <w:tcPr>
            <w:tcW w:w="2977" w:type="dxa"/>
            <w:vAlign w:val="center"/>
          </w:tcPr>
          <w:p w:rsidR="001D63BB" w:rsidRPr="00E74406" w:rsidRDefault="001D63BB" w:rsidP="00A03AAC">
            <w:pPr>
              <w:jc w:val="right"/>
              <w:rPr>
                <w:rFonts w:eastAsiaTheme="minorEastAsia"/>
                <w:color w:val="000000" w:themeColor="text1"/>
                <w:sz w:val="24"/>
                <w:szCs w:val="24"/>
              </w:rPr>
            </w:pPr>
            <w:r w:rsidRPr="00E74406">
              <w:rPr>
                <w:rFonts w:eastAsiaTheme="minorEastAsia"/>
                <w:color w:val="000000" w:themeColor="text1"/>
                <w:sz w:val="24"/>
                <w:szCs w:val="24"/>
              </w:rPr>
              <w:t>9,452.43</w:t>
            </w:r>
          </w:p>
        </w:tc>
        <w:tc>
          <w:tcPr>
            <w:tcW w:w="1843" w:type="dxa"/>
            <w:vAlign w:val="center"/>
          </w:tcPr>
          <w:p w:rsidR="001D63BB" w:rsidRPr="00E74406" w:rsidRDefault="001D63BB" w:rsidP="00A03AAC">
            <w:pPr>
              <w:jc w:val="right"/>
              <w:rPr>
                <w:rFonts w:eastAsiaTheme="minorEastAsia"/>
                <w:color w:val="000000" w:themeColor="text1"/>
                <w:sz w:val="24"/>
                <w:szCs w:val="24"/>
              </w:rPr>
            </w:pPr>
            <w:r w:rsidRPr="00E74406">
              <w:rPr>
                <w:rFonts w:eastAsiaTheme="minorEastAsia"/>
                <w:color w:val="000000" w:themeColor="text1"/>
                <w:sz w:val="24"/>
                <w:szCs w:val="24"/>
              </w:rPr>
              <w:t>0.04</w:t>
            </w:r>
          </w:p>
        </w:tc>
      </w:tr>
      <w:tr w:rsidR="00220C32" w:rsidRPr="00E74406" w:rsidTr="0069426C">
        <w:trPr>
          <w:jc w:val="center"/>
        </w:trPr>
        <w:tc>
          <w:tcPr>
            <w:tcW w:w="720" w:type="dxa"/>
            <w:vAlign w:val="center"/>
          </w:tcPr>
          <w:p w:rsidR="001D63BB" w:rsidRPr="00E74406" w:rsidRDefault="001D63BB" w:rsidP="001D63BB">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8</w:t>
            </w:r>
          </w:p>
        </w:tc>
        <w:tc>
          <w:tcPr>
            <w:tcW w:w="3357" w:type="dxa"/>
            <w:vAlign w:val="center"/>
          </w:tcPr>
          <w:p w:rsidR="001D63BB" w:rsidRPr="00E74406" w:rsidRDefault="001D63BB" w:rsidP="00A03AAC">
            <w:pPr>
              <w:jc w:val="left"/>
              <w:rPr>
                <w:rFonts w:eastAsiaTheme="minorEastAsia"/>
                <w:color w:val="000000" w:themeColor="text1"/>
                <w:sz w:val="24"/>
                <w:szCs w:val="24"/>
              </w:rPr>
            </w:pPr>
            <w:r w:rsidRPr="00E74406">
              <w:rPr>
                <w:rFonts w:eastAsiaTheme="minorEastAsia"/>
                <w:color w:val="000000" w:themeColor="text1"/>
                <w:sz w:val="24"/>
                <w:szCs w:val="24"/>
              </w:rPr>
              <w:t>合计</w:t>
            </w:r>
          </w:p>
        </w:tc>
        <w:tc>
          <w:tcPr>
            <w:tcW w:w="2977" w:type="dxa"/>
            <w:vAlign w:val="center"/>
          </w:tcPr>
          <w:p w:rsidR="001D63BB" w:rsidRPr="00E74406" w:rsidRDefault="001D63BB" w:rsidP="00A03AAC">
            <w:pPr>
              <w:jc w:val="right"/>
              <w:rPr>
                <w:rFonts w:eastAsiaTheme="minorEastAsia"/>
                <w:color w:val="000000" w:themeColor="text1"/>
                <w:sz w:val="24"/>
                <w:szCs w:val="24"/>
              </w:rPr>
            </w:pPr>
            <w:r w:rsidRPr="00E74406">
              <w:rPr>
                <w:rFonts w:eastAsiaTheme="minorEastAsia"/>
                <w:color w:val="000000" w:themeColor="text1"/>
                <w:sz w:val="24"/>
                <w:szCs w:val="24"/>
              </w:rPr>
              <w:t>23,656,754.45</w:t>
            </w:r>
          </w:p>
        </w:tc>
        <w:tc>
          <w:tcPr>
            <w:tcW w:w="1843" w:type="dxa"/>
            <w:vAlign w:val="center"/>
          </w:tcPr>
          <w:p w:rsidR="001D63BB" w:rsidRPr="00E74406" w:rsidRDefault="001D63BB" w:rsidP="001675CD">
            <w:pPr>
              <w:jc w:val="right"/>
              <w:rPr>
                <w:rFonts w:eastAsiaTheme="minorEastAsia"/>
                <w:color w:val="000000" w:themeColor="text1"/>
                <w:sz w:val="24"/>
                <w:szCs w:val="24"/>
              </w:rPr>
            </w:pPr>
            <w:r w:rsidRPr="00E74406">
              <w:rPr>
                <w:rFonts w:eastAsiaTheme="minorEastAsia"/>
                <w:color w:val="000000" w:themeColor="text1"/>
                <w:sz w:val="24"/>
                <w:szCs w:val="24"/>
              </w:rPr>
              <w:t>100.00</w:t>
            </w:r>
          </w:p>
        </w:tc>
      </w:tr>
    </w:tbl>
    <w:p w:rsidR="004061AC" w:rsidRPr="00313F0D" w:rsidRDefault="001675CD"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注：本基金本报告期末未持有通过港股通交易机制投资的港股。</w:t>
      </w:r>
    </w:p>
    <w:p w:rsidR="004061AC" w:rsidRPr="00E74406" w:rsidRDefault="004061AC" w:rsidP="004061AC">
      <w:pPr>
        <w:autoSpaceDE w:val="0"/>
        <w:autoSpaceDN w:val="0"/>
        <w:adjustRightInd w:val="0"/>
        <w:spacing w:line="360" w:lineRule="auto"/>
        <w:jc w:val="left"/>
        <w:rPr>
          <w:rFonts w:eastAsiaTheme="minorEastAsia"/>
          <w:color w:val="000000" w:themeColor="text1"/>
          <w:sz w:val="24"/>
          <w:szCs w:val="24"/>
        </w:rPr>
      </w:pPr>
    </w:p>
    <w:p w:rsidR="00F57E9B" w:rsidRPr="00E74406" w:rsidRDefault="00F57E9B" w:rsidP="00F57E9B">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5.2 </w:t>
      </w:r>
      <w:r w:rsidRPr="00E74406">
        <w:rPr>
          <w:rFonts w:eastAsiaTheme="minorEastAsia"/>
          <w:b/>
          <w:bCs/>
          <w:color w:val="000000" w:themeColor="text1"/>
          <w:kern w:val="0"/>
          <w:sz w:val="24"/>
          <w:szCs w:val="24"/>
        </w:rPr>
        <w:t>报告期末按行业分类的股票投资组合</w:t>
      </w:r>
    </w:p>
    <w:p w:rsidR="00F57E9B" w:rsidRPr="00E74406" w:rsidRDefault="00F57E9B" w:rsidP="00F57E9B">
      <w:pPr>
        <w:rPr>
          <w:rFonts w:eastAsiaTheme="minorEastAsia"/>
          <w:b/>
          <w:sz w:val="24"/>
          <w:szCs w:val="24"/>
        </w:rPr>
      </w:pPr>
      <w:r w:rsidRPr="00E74406">
        <w:rPr>
          <w:rFonts w:eastAsiaTheme="minorEastAsia"/>
          <w:b/>
          <w:color w:val="000000" w:themeColor="text1"/>
          <w:kern w:val="0"/>
          <w:sz w:val="24"/>
          <w:szCs w:val="24"/>
        </w:rPr>
        <w:t>5.2.1</w:t>
      </w:r>
      <w:r w:rsidRPr="00E74406">
        <w:rPr>
          <w:rFonts w:eastAsiaTheme="minorEastAsia"/>
          <w:b/>
          <w:color w:val="000000" w:themeColor="text1"/>
          <w:kern w:val="0"/>
          <w:sz w:val="24"/>
          <w:szCs w:val="24"/>
        </w:rPr>
        <w:t>报告期末按行业分类的境内股票投资组合</w:t>
      </w:r>
    </w:p>
    <w:p w:rsidR="00F57E9B" w:rsidRPr="00E74406" w:rsidRDefault="00F57E9B" w:rsidP="00F57E9B">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本基金本报告期末未持有股票。</w:t>
      </w:r>
    </w:p>
    <w:p w:rsidR="00F57E9B" w:rsidRPr="00E74406" w:rsidRDefault="00F57E9B" w:rsidP="00F57E9B">
      <w:pPr>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 5.2.2</w:t>
      </w:r>
      <w:r w:rsidRPr="00E74406">
        <w:rPr>
          <w:rFonts w:eastAsiaTheme="minorEastAsia"/>
          <w:b/>
          <w:bCs/>
          <w:color w:val="000000" w:themeColor="text1"/>
          <w:kern w:val="0"/>
          <w:sz w:val="24"/>
          <w:szCs w:val="24"/>
        </w:rPr>
        <w:t>报告期末按行业分类的</w:t>
      </w:r>
      <w:r>
        <w:rPr>
          <w:rFonts w:eastAsiaTheme="minorEastAsia"/>
          <w:b/>
          <w:bCs/>
          <w:color w:val="000000" w:themeColor="text1"/>
          <w:kern w:val="0"/>
          <w:sz w:val="24"/>
          <w:szCs w:val="24"/>
        </w:rPr>
        <w:t>港股通</w:t>
      </w:r>
      <w:r w:rsidRPr="00E74406">
        <w:rPr>
          <w:rFonts w:eastAsiaTheme="minorEastAsia"/>
          <w:b/>
          <w:bCs/>
          <w:color w:val="000000" w:themeColor="text1"/>
          <w:kern w:val="0"/>
          <w:sz w:val="24"/>
          <w:szCs w:val="24"/>
        </w:rPr>
        <w:t>投资股票投资组合</w:t>
      </w:r>
    </w:p>
    <w:p w:rsidR="00F57E9B" w:rsidRPr="00313F0D" w:rsidRDefault="00F57E9B" w:rsidP="00F57E9B">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本基金本报告期末未持有通过港股通交易机制投资的港股。</w:t>
      </w:r>
    </w:p>
    <w:p w:rsidR="004061AC" w:rsidRPr="00F57E9B"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5.3 </w:t>
      </w:r>
      <w:r w:rsidRPr="00E74406">
        <w:rPr>
          <w:rFonts w:eastAsiaTheme="minorEastAsia"/>
          <w:b/>
          <w:bCs/>
          <w:color w:val="000000" w:themeColor="text1"/>
          <w:kern w:val="0"/>
          <w:sz w:val="24"/>
          <w:szCs w:val="24"/>
        </w:rPr>
        <w:t>报告期末按公允价值占基金资产净值比例大小排序的前十名股票投资明细</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本基金本报告期末未持有股票。</w:t>
      </w: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5.4 </w:t>
      </w:r>
      <w:r w:rsidRPr="00E74406">
        <w:rPr>
          <w:rFonts w:eastAsiaTheme="minorEastAsia"/>
          <w:b/>
          <w:bCs/>
          <w:color w:val="000000" w:themeColor="text1"/>
          <w:kern w:val="0"/>
          <w:sz w:val="24"/>
          <w:szCs w:val="24"/>
        </w:rPr>
        <w:t>报告期末按债券品种分类的债券投资组合</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本基金本报告期末未持有债券。</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5.5 </w:t>
      </w:r>
      <w:r w:rsidRPr="00E74406">
        <w:rPr>
          <w:rFonts w:eastAsiaTheme="minorEastAsia"/>
          <w:b/>
          <w:bCs/>
          <w:color w:val="000000" w:themeColor="text1"/>
          <w:kern w:val="0"/>
          <w:sz w:val="24"/>
          <w:szCs w:val="24"/>
        </w:rPr>
        <w:t>报告期末按公允价值占基金资产净值比例大小排</w:t>
      </w:r>
      <w:r w:rsidR="001D63BB" w:rsidRPr="00E74406">
        <w:rPr>
          <w:rFonts w:eastAsiaTheme="minorEastAsia"/>
          <w:b/>
          <w:bCs/>
          <w:color w:val="000000" w:themeColor="text1"/>
          <w:kern w:val="0"/>
          <w:sz w:val="24"/>
          <w:szCs w:val="24"/>
        </w:rPr>
        <w:t>序</w:t>
      </w:r>
      <w:r w:rsidRPr="00E74406">
        <w:rPr>
          <w:rFonts w:eastAsiaTheme="minorEastAsia"/>
          <w:b/>
          <w:bCs/>
          <w:color w:val="000000" w:themeColor="text1"/>
          <w:kern w:val="0"/>
          <w:sz w:val="24"/>
          <w:szCs w:val="24"/>
        </w:rPr>
        <w:t>的前五名债券投资明细</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本基金本报告期末未持有债券。</w:t>
      </w:r>
    </w:p>
    <w:p w:rsidR="004061AC" w:rsidRPr="00E74406" w:rsidRDefault="004061AC" w:rsidP="004061AC">
      <w:pPr>
        <w:autoSpaceDE w:val="0"/>
        <w:autoSpaceDN w:val="0"/>
        <w:adjustRightInd w:val="0"/>
        <w:spacing w:line="360" w:lineRule="auto"/>
        <w:jc w:val="left"/>
        <w:rPr>
          <w:rFonts w:eastAsiaTheme="minorEastAsia"/>
          <w:b/>
          <w:bCs/>
          <w:color w:val="000000" w:themeColor="text1"/>
          <w:kern w:val="0"/>
          <w:sz w:val="24"/>
          <w:szCs w:val="24"/>
        </w:rPr>
      </w:pP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5.6 </w:t>
      </w:r>
      <w:r w:rsidRPr="00E74406">
        <w:rPr>
          <w:rFonts w:eastAsiaTheme="minorEastAsia"/>
          <w:b/>
          <w:bCs/>
          <w:color w:val="000000" w:themeColor="text1"/>
          <w:kern w:val="0"/>
          <w:sz w:val="24"/>
          <w:szCs w:val="24"/>
        </w:rPr>
        <w:t>报告期末按公允价值占基金资产净值比例大小排</w:t>
      </w:r>
      <w:r w:rsidR="001D63BB" w:rsidRPr="00E74406">
        <w:rPr>
          <w:rFonts w:eastAsiaTheme="minorEastAsia"/>
          <w:b/>
          <w:bCs/>
          <w:color w:val="000000" w:themeColor="text1"/>
          <w:kern w:val="0"/>
          <w:sz w:val="24"/>
          <w:szCs w:val="24"/>
        </w:rPr>
        <w:t>序</w:t>
      </w:r>
      <w:r w:rsidRPr="00E74406">
        <w:rPr>
          <w:rFonts w:eastAsiaTheme="minorEastAsia"/>
          <w:b/>
          <w:bCs/>
          <w:color w:val="000000" w:themeColor="text1"/>
          <w:kern w:val="0"/>
          <w:sz w:val="24"/>
          <w:szCs w:val="24"/>
        </w:rPr>
        <w:t>的前十名资产支持证券投资明细</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本基金本报告期末未持有资产支持证券。</w:t>
      </w:r>
    </w:p>
    <w:p w:rsidR="001D63BB" w:rsidRPr="00E74406" w:rsidRDefault="001D63BB" w:rsidP="001D63BB">
      <w:pPr>
        <w:autoSpaceDE w:val="0"/>
        <w:autoSpaceDN w:val="0"/>
        <w:adjustRightInd w:val="0"/>
        <w:spacing w:line="360" w:lineRule="auto"/>
        <w:jc w:val="left"/>
        <w:rPr>
          <w:rFonts w:eastAsiaTheme="minorEastAsia"/>
          <w:color w:val="000000" w:themeColor="text1"/>
          <w:sz w:val="24"/>
          <w:szCs w:val="24"/>
        </w:rPr>
      </w:pPr>
    </w:p>
    <w:p w:rsidR="001D63BB" w:rsidRPr="00E74406" w:rsidRDefault="001D63BB" w:rsidP="001D63BB">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5.7 </w:t>
      </w:r>
      <w:r w:rsidRPr="00E74406">
        <w:rPr>
          <w:rFonts w:eastAsiaTheme="minorEastAsia"/>
          <w:b/>
          <w:bCs/>
          <w:color w:val="000000" w:themeColor="text1"/>
          <w:kern w:val="0"/>
          <w:sz w:val="24"/>
          <w:szCs w:val="24"/>
        </w:rPr>
        <w:t>报告期末按公允价值占基金资产净值比例大小排序的前五名贵金属投资明细</w:t>
      </w:r>
    </w:p>
    <w:p w:rsidR="001D63BB" w:rsidRPr="00313F0D" w:rsidRDefault="001D63BB"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本基金本报告期末未持有贵金属。</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A917BF"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5.8</w:t>
      </w:r>
      <w:r w:rsidR="004061AC" w:rsidRPr="00E74406">
        <w:rPr>
          <w:rFonts w:eastAsiaTheme="minorEastAsia"/>
          <w:b/>
          <w:bCs/>
          <w:color w:val="000000" w:themeColor="text1"/>
          <w:kern w:val="0"/>
          <w:sz w:val="24"/>
          <w:szCs w:val="24"/>
        </w:rPr>
        <w:t>报告期末按公允价值占基金资产净值比例大小排</w:t>
      </w:r>
      <w:r w:rsidR="001D63BB" w:rsidRPr="00E74406">
        <w:rPr>
          <w:rFonts w:eastAsiaTheme="minorEastAsia"/>
          <w:b/>
          <w:bCs/>
          <w:color w:val="000000" w:themeColor="text1"/>
          <w:kern w:val="0"/>
          <w:sz w:val="24"/>
          <w:szCs w:val="24"/>
        </w:rPr>
        <w:t>序</w:t>
      </w:r>
      <w:r w:rsidR="004061AC" w:rsidRPr="00E74406">
        <w:rPr>
          <w:rFonts w:eastAsiaTheme="minorEastAsia"/>
          <w:b/>
          <w:bCs/>
          <w:color w:val="000000" w:themeColor="text1"/>
          <w:kern w:val="0"/>
          <w:sz w:val="24"/>
          <w:szCs w:val="24"/>
        </w:rPr>
        <w:t>的前五名权证投资明细</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本基金本报告期末未持有权证。</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275745"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A917BF"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9</w:t>
      </w:r>
      <w:r w:rsidR="00275745" w:rsidRPr="00E74406">
        <w:rPr>
          <w:rFonts w:eastAsiaTheme="minorEastAsia"/>
          <w:b/>
          <w:bCs/>
          <w:color w:val="000000" w:themeColor="text1"/>
          <w:kern w:val="0"/>
          <w:sz w:val="24"/>
          <w:szCs w:val="24"/>
        </w:rPr>
        <w:t>报告期末本基金投资的股指期货交易情况说明</w:t>
      </w:r>
    </w:p>
    <w:p w:rsidR="00A96A94"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59076B" w:rsidRPr="00E74406">
        <w:rPr>
          <w:rFonts w:eastAsiaTheme="minorEastAsia"/>
          <w:b/>
          <w:bCs/>
          <w:color w:val="000000" w:themeColor="text1"/>
          <w:kern w:val="0"/>
          <w:sz w:val="24"/>
          <w:szCs w:val="24"/>
        </w:rPr>
        <w:t>.9.1</w:t>
      </w:r>
      <w:r w:rsidR="00A96A94" w:rsidRPr="00E74406">
        <w:rPr>
          <w:rFonts w:eastAsiaTheme="minorEastAsia"/>
          <w:b/>
          <w:bCs/>
          <w:color w:val="000000" w:themeColor="text1"/>
          <w:kern w:val="0"/>
          <w:sz w:val="24"/>
          <w:szCs w:val="24"/>
        </w:rPr>
        <w:t>报告期末本基金投资的股指期货持仓和损益明细</w:t>
      </w:r>
    </w:p>
    <w:p w:rsidR="00275745" w:rsidRPr="00313F0D" w:rsidRDefault="00AA3A38"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本基金本报告期末未投资股指期货。</w:t>
      </w:r>
    </w:p>
    <w:p w:rsidR="00AA3A38" w:rsidRPr="00E74406" w:rsidRDefault="00AA3A38" w:rsidP="00275745">
      <w:pPr>
        <w:adjustRightInd w:val="0"/>
        <w:snapToGrid w:val="0"/>
        <w:spacing w:line="360" w:lineRule="exact"/>
        <w:rPr>
          <w:rFonts w:eastAsiaTheme="minorEastAsia"/>
          <w:color w:val="000000" w:themeColor="text1"/>
          <w:sz w:val="24"/>
          <w:szCs w:val="24"/>
        </w:rPr>
      </w:pPr>
    </w:p>
    <w:p w:rsidR="00275745"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59076B" w:rsidRPr="00E74406">
        <w:rPr>
          <w:rFonts w:eastAsiaTheme="minorEastAsia"/>
          <w:b/>
          <w:bCs/>
          <w:color w:val="000000" w:themeColor="text1"/>
          <w:kern w:val="0"/>
          <w:sz w:val="24"/>
          <w:szCs w:val="24"/>
        </w:rPr>
        <w:t>.9.2</w:t>
      </w:r>
      <w:r w:rsidR="00275745" w:rsidRPr="00E74406">
        <w:rPr>
          <w:rFonts w:eastAsiaTheme="minorEastAsia"/>
          <w:b/>
          <w:bCs/>
          <w:color w:val="000000" w:themeColor="text1"/>
          <w:kern w:val="0"/>
          <w:sz w:val="24"/>
          <w:szCs w:val="24"/>
        </w:rPr>
        <w:t>本基金投资股指期货的投资政策</w:t>
      </w:r>
    </w:p>
    <w:p w:rsidR="00275745" w:rsidRPr="00E74406" w:rsidRDefault="00275745"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为更好地实现投资目标，本基金在注重风险管理的前提下，以套期保值为目的，适度运用股指期货。本基金利用股指期货合约流动性好、交易成本低和杠杆操作等特点，提高投资组合的运作效率。</w:t>
      </w:r>
    </w:p>
    <w:p w:rsidR="00275745" w:rsidRPr="00E74406" w:rsidRDefault="00275745" w:rsidP="004061AC">
      <w:pPr>
        <w:autoSpaceDE w:val="0"/>
        <w:autoSpaceDN w:val="0"/>
        <w:adjustRightInd w:val="0"/>
        <w:spacing w:line="360" w:lineRule="auto"/>
        <w:jc w:val="left"/>
        <w:rPr>
          <w:rFonts w:eastAsiaTheme="minorEastAsia"/>
          <w:color w:val="000000" w:themeColor="text1"/>
          <w:kern w:val="0"/>
          <w:sz w:val="24"/>
          <w:szCs w:val="24"/>
        </w:rPr>
      </w:pPr>
    </w:p>
    <w:p w:rsidR="00312A9F" w:rsidRPr="00E74406" w:rsidRDefault="00312A9F"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5.10</w:t>
      </w:r>
      <w:r w:rsidRPr="00E74406">
        <w:rPr>
          <w:rFonts w:eastAsiaTheme="minorEastAsia"/>
          <w:b/>
          <w:bCs/>
          <w:color w:val="000000" w:themeColor="text1"/>
          <w:kern w:val="0"/>
          <w:sz w:val="24"/>
          <w:szCs w:val="24"/>
        </w:rPr>
        <w:t>报告期末本基金投资的国债期货交易情况说明</w:t>
      </w:r>
    </w:p>
    <w:p w:rsidR="00312A9F" w:rsidRPr="00E74406" w:rsidRDefault="00312A9F"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5.10.1 </w:t>
      </w:r>
      <w:r w:rsidRPr="00E74406">
        <w:rPr>
          <w:rFonts w:eastAsiaTheme="minorEastAsia"/>
          <w:b/>
          <w:bCs/>
          <w:color w:val="000000" w:themeColor="text1"/>
          <w:kern w:val="0"/>
          <w:sz w:val="24"/>
          <w:szCs w:val="24"/>
        </w:rPr>
        <w:t>本期国债期货投资政策</w:t>
      </w:r>
    </w:p>
    <w:p w:rsidR="00312A9F" w:rsidRPr="00E74406" w:rsidRDefault="00312A9F"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为更好地实现投资目标，本基金在注重风险管理的前提下，以套期保值为目的，适度运用国债期货。本基金利用国债期货合约流动性好、交易成本低和杠杆操作等特点，提高投资组合的运作效率。</w:t>
      </w:r>
    </w:p>
    <w:p w:rsidR="00312A9F" w:rsidRPr="00E74406" w:rsidRDefault="00312A9F"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5.10.2 </w:t>
      </w:r>
      <w:r w:rsidRPr="00E74406">
        <w:rPr>
          <w:rFonts w:eastAsiaTheme="minorEastAsia"/>
          <w:b/>
          <w:bCs/>
          <w:color w:val="000000" w:themeColor="text1"/>
          <w:kern w:val="0"/>
          <w:sz w:val="24"/>
          <w:szCs w:val="24"/>
        </w:rPr>
        <w:t>报告期末本基金投资的国债期货持仓和损益明细</w:t>
      </w:r>
    </w:p>
    <w:p w:rsidR="00312A9F" w:rsidRPr="00313F0D" w:rsidRDefault="00312A9F"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本基金本报告期末未投资国债期货。</w:t>
      </w: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275745"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w:t>
      </w:r>
      <w:r w:rsidR="004061AC" w:rsidRPr="00E74406">
        <w:rPr>
          <w:rFonts w:eastAsiaTheme="minorEastAsia"/>
          <w:b/>
          <w:bCs/>
          <w:color w:val="000000" w:themeColor="text1"/>
          <w:kern w:val="0"/>
          <w:sz w:val="24"/>
          <w:szCs w:val="24"/>
        </w:rPr>
        <w:t>投资组合报告附注</w:t>
      </w:r>
    </w:p>
    <w:p w:rsidR="004061AC" w:rsidRPr="00E74406" w:rsidRDefault="003259C8" w:rsidP="001B0A62">
      <w:pPr>
        <w:spacing w:line="360" w:lineRule="auto"/>
        <w:rPr>
          <w:rFonts w:eastAsiaTheme="minorEastAsia"/>
          <w:color w:val="000000" w:themeColor="text1"/>
          <w:sz w:val="24"/>
          <w:szCs w:val="24"/>
        </w:rPr>
      </w:pPr>
      <w:r w:rsidRPr="00E74406">
        <w:rPr>
          <w:rFonts w:eastAsiaTheme="minorEastAsia"/>
          <w:color w:val="000000" w:themeColor="text1"/>
          <w:sz w:val="24"/>
          <w:szCs w:val="24"/>
        </w:rPr>
        <w:t>5</w:t>
      </w:r>
      <w:r w:rsidR="004061AC" w:rsidRPr="00E74406">
        <w:rPr>
          <w:rFonts w:eastAsiaTheme="minorEastAsia"/>
          <w:color w:val="000000" w:themeColor="text1"/>
          <w:sz w:val="24"/>
          <w:szCs w:val="24"/>
        </w:rPr>
        <w:t>.</w:t>
      </w:r>
      <w:r w:rsidR="0059076B" w:rsidRPr="00E74406">
        <w:rPr>
          <w:rFonts w:eastAsiaTheme="minorEastAsia"/>
          <w:color w:val="000000" w:themeColor="text1"/>
          <w:sz w:val="24"/>
          <w:szCs w:val="24"/>
        </w:rPr>
        <w:t>11</w:t>
      </w:r>
      <w:r w:rsidR="004061AC" w:rsidRPr="00E74406">
        <w:rPr>
          <w:rFonts w:eastAsiaTheme="minorEastAsia"/>
          <w:color w:val="000000" w:themeColor="text1"/>
          <w:sz w:val="24"/>
          <w:szCs w:val="24"/>
        </w:rPr>
        <w:t>.</w:t>
      </w:r>
      <w:r w:rsidR="0059076B" w:rsidRPr="00E74406">
        <w:rPr>
          <w:rFonts w:eastAsiaTheme="minorEastAsia"/>
          <w:color w:val="000000" w:themeColor="text1"/>
          <w:sz w:val="24"/>
          <w:szCs w:val="24"/>
        </w:rPr>
        <w:t>1</w:t>
      </w:r>
      <w:r w:rsidR="004061AC" w:rsidRPr="00E74406">
        <w:rPr>
          <w:rFonts w:eastAsiaTheme="minorEastAsia"/>
          <w:color w:val="000000" w:themeColor="text1"/>
          <w:sz w:val="24"/>
          <w:szCs w:val="24"/>
        </w:rPr>
        <w:t>本基金投资的前十名证券的发行主体本期没有被监管部门立案调查的，在报告编制日前一年内未受到公开谴责、处罚。</w:t>
      </w:r>
    </w:p>
    <w:p w:rsidR="004061AC" w:rsidRPr="00E74406" w:rsidRDefault="003259C8" w:rsidP="001B0A62">
      <w:pPr>
        <w:spacing w:line="360" w:lineRule="auto"/>
        <w:rPr>
          <w:rFonts w:eastAsiaTheme="minorEastAsia"/>
          <w:color w:val="000000" w:themeColor="text1"/>
          <w:sz w:val="24"/>
          <w:szCs w:val="24"/>
        </w:rPr>
      </w:pPr>
      <w:r w:rsidRPr="00E74406">
        <w:rPr>
          <w:rFonts w:eastAsiaTheme="minorEastAsia"/>
          <w:color w:val="000000" w:themeColor="text1"/>
          <w:sz w:val="24"/>
          <w:szCs w:val="24"/>
        </w:rPr>
        <w:t>5</w:t>
      </w:r>
      <w:r w:rsidR="00275745" w:rsidRPr="00E74406">
        <w:rPr>
          <w:rFonts w:eastAsiaTheme="minorEastAsia"/>
          <w:color w:val="000000" w:themeColor="text1"/>
          <w:sz w:val="24"/>
          <w:szCs w:val="24"/>
        </w:rPr>
        <w:t>.</w:t>
      </w:r>
      <w:r w:rsidR="0059076B" w:rsidRPr="00E74406">
        <w:rPr>
          <w:rFonts w:eastAsiaTheme="minorEastAsia"/>
          <w:color w:val="000000" w:themeColor="text1"/>
          <w:sz w:val="24"/>
          <w:szCs w:val="24"/>
        </w:rPr>
        <w:t>11</w:t>
      </w:r>
      <w:r w:rsidR="004061AC" w:rsidRPr="00E74406">
        <w:rPr>
          <w:rFonts w:eastAsiaTheme="minorEastAsia"/>
          <w:color w:val="000000" w:themeColor="text1"/>
          <w:sz w:val="24"/>
          <w:szCs w:val="24"/>
        </w:rPr>
        <w:t>.</w:t>
      </w:r>
      <w:r w:rsidR="0059076B" w:rsidRPr="00E74406">
        <w:rPr>
          <w:rFonts w:eastAsiaTheme="minorEastAsia"/>
          <w:color w:val="000000" w:themeColor="text1"/>
          <w:sz w:val="24"/>
          <w:szCs w:val="24"/>
        </w:rPr>
        <w:t>2</w:t>
      </w:r>
      <w:r w:rsidR="004061AC" w:rsidRPr="00E74406">
        <w:rPr>
          <w:rFonts w:eastAsiaTheme="minorEastAsia"/>
          <w:color w:val="000000" w:themeColor="text1"/>
          <w:sz w:val="24"/>
          <w:szCs w:val="24"/>
        </w:rPr>
        <w:t>本基金不存在投资的前十名股票超出基金合同规定的备选库的情况。</w:t>
      </w: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275745"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11.3</w:t>
      </w:r>
      <w:r w:rsidR="00D53190" w:rsidRPr="00E74406">
        <w:rPr>
          <w:rFonts w:eastAsiaTheme="minorEastAsia"/>
          <w:b/>
          <w:bCs/>
          <w:color w:val="000000" w:themeColor="text1"/>
          <w:kern w:val="0"/>
          <w:sz w:val="24"/>
          <w:szCs w:val="24"/>
        </w:rPr>
        <w:t>其他</w:t>
      </w:r>
      <w:r w:rsidR="004061AC" w:rsidRPr="00E74406">
        <w:rPr>
          <w:rFonts w:eastAsiaTheme="minorEastAsia"/>
          <w:b/>
          <w:bCs/>
          <w:color w:val="000000" w:themeColor="text1"/>
          <w:kern w:val="0"/>
          <w:sz w:val="24"/>
          <w:szCs w:val="24"/>
        </w:rPr>
        <w:t>资产构成</w:t>
      </w:r>
    </w:p>
    <w:tbl>
      <w:tblPr>
        <w:tblStyle w:val="af7"/>
        <w:tblW w:w="0" w:type="auto"/>
        <w:tblInd w:w="15" w:type="dxa"/>
        <w:tblLook w:val="04A0"/>
      </w:tblPr>
      <w:tblGrid>
        <w:gridCol w:w="1235"/>
        <w:gridCol w:w="2470"/>
        <w:gridCol w:w="4808"/>
      </w:tblGrid>
      <w:tr w:rsidR="00220C32" w:rsidRPr="00E74406" w:rsidTr="00F31F6E">
        <w:tc>
          <w:tcPr>
            <w:tcW w:w="1235" w:type="dxa"/>
            <w:vAlign w:val="center"/>
          </w:tcPr>
          <w:p w:rsidR="00F31F6E" w:rsidRPr="00E74406" w:rsidRDefault="00F31F6E" w:rsidP="00FB41D3">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序号</w:t>
            </w:r>
          </w:p>
        </w:tc>
        <w:tc>
          <w:tcPr>
            <w:tcW w:w="2470" w:type="dxa"/>
            <w:vAlign w:val="center"/>
          </w:tcPr>
          <w:p w:rsidR="00F31F6E" w:rsidRPr="00E74406" w:rsidRDefault="00F31F6E" w:rsidP="00FB41D3">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名称</w:t>
            </w:r>
          </w:p>
        </w:tc>
        <w:tc>
          <w:tcPr>
            <w:tcW w:w="4808" w:type="dxa"/>
            <w:vAlign w:val="center"/>
          </w:tcPr>
          <w:p w:rsidR="00F31F6E" w:rsidRPr="00E74406" w:rsidRDefault="00F31F6E" w:rsidP="00FB41D3">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金额</w:t>
            </w:r>
            <w:r w:rsidRPr="00E74406">
              <w:rPr>
                <w:rFonts w:eastAsiaTheme="minorEastAsia"/>
                <w:color w:val="000000" w:themeColor="text1"/>
                <w:sz w:val="24"/>
                <w:szCs w:val="24"/>
              </w:rPr>
              <w:t>(</w:t>
            </w:r>
            <w:r w:rsidRPr="00E74406">
              <w:rPr>
                <w:rFonts w:eastAsiaTheme="minorEastAsia"/>
                <w:color w:val="000000" w:themeColor="text1"/>
                <w:sz w:val="24"/>
                <w:szCs w:val="24"/>
              </w:rPr>
              <w:t>元</w:t>
            </w: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1</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存出保证金</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3,768.29</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2</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应收证券清算款</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3</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应收股利</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4</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应收利息</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5,684.14</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5</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应收申购款</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6</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其他应收款</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EB2C07" w:rsidRPr="00E74406" w:rsidRDefault="00EB2C07"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7</w:t>
            </w:r>
          </w:p>
        </w:tc>
        <w:tc>
          <w:tcPr>
            <w:tcW w:w="2470" w:type="dxa"/>
            <w:vAlign w:val="center"/>
          </w:tcPr>
          <w:p w:rsidR="00EB2C07" w:rsidRPr="00E74406" w:rsidRDefault="00EB2C07"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待摊费用</w:t>
            </w:r>
          </w:p>
        </w:tc>
        <w:tc>
          <w:tcPr>
            <w:tcW w:w="4808" w:type="dxa"/>
            <w:vAlign w:val="center"/>
          </w:tcPr>
          <w:p w:rsidR="00EB2C07" w:rsidRPr="00E74406" w:rsidRDefault="00EB2C07"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8</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其他</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9</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合计</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9,452.43</w:t>
            </w:r>
          </w:p>
        </w:tc>
      </w:tr>
    </w:tbl>
    <w:p w:rsidR="002918E3" w:rsidRPr="00E74406" w:rsidRDefault="002918E3" w:rsidP="00D57B7C">
      <w:pPr>
        <w:autoSpaceDE w:val="0"/>
        <w:autoSpaceDN w:val="0"/>
        <w:adjustRightInd w:val="0"/>
        <w:spacing w:line="360" w:lineRule="auto"/>
        <w:rPr>
          <w:rFonts w:eastAsiaTheme="minorEastAsia"/>
          <w:color w:val="000000" w:themeColor="text1"/>
          <w:sz w:val="24"/>
          <w:szCs w:val="24"/>
        </w:rPr>
      </w:pP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275745"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11.4</w:t>
      </w:r>
      <w:r w:rsidR="004061AC" w:rsidRPr="00E74406">
        <w:rPr>
          <w:rFonts w:eastAsiaTheme="minorEastAsia"/>
          <w:b/>
          <w:bCs/>
          <w:color w:val="000000" w:themeColor="text1"/>
          <w:kern w:val="0"/>
          <w:sz w:val="24"/>
          <w:szCs w:val="24"/>
        </w:rPr>
        <w:t>报告期末持有的处于转股期的可转换债券明细</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本基金本报告期末未持有处于转股期的可转债。</w:t>
      </w:r>
    </w:p>
    <w:p w:rsidR="002918E3" w:rsidRPr="00E74406" w:rsidRDefault="002918E3" w:rsidP="00924582">
      <w:pPr>
        <w:autoSpaceDE w:val="0"/>
        <w:autoSpaceDN w:val="0"/>
        <w:adjustRightInd w:val="0"/>
        <w:spacing w:line="360" w:lineRule="auto"/>
        <w:rPr>
          <w:rFonts w:eastAsiaTheme="minorEastAsia"/>
          <w:color w:val="000000" w:themeColor="text1"/>
          <w:sz w:val="24"/>
          <w:szCs w:val="24"/>
        </w:rPr>
      </w:pP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4061AC"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11.5</w:t>
      </w:r>
      <w:r w:rsidR="004061AC" w:rsidRPr="00E74406">
        <w:rPr>
          <w:rFonts w:eastAsiaTheme="minorEastAsia"/>
          <w:b/>
          <w:bCs/>
          <w:color w:val="000000" w:themeColor="text1"/>
          <w:kern w:val="0"/>
          <w:sz w:val="24"/>
          <w:szCs w:val="24"/>
        </w:rPr>
        <w:t>报告期末前十名股票中存在流通受限情况的说明</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本基金本报告期末股票投资不存在流通受限情况。</w:t>
      </w:r>
    </w:p>
    <w:p w:rsidR="002918E3" w:rsidRPr="00E74406" w:rsidRDefault="002918E3" w:rsidP="00924582">
      <w:pPr>
        <w:autoSpaceDE w:val="0"/>
        <w:autoSpaceDN w:val="0"/>
        <w:adjustRightInd w:val="0"/>
        <w:spacing w:line="360" w:lineRule="auto"/>
        <w:rPr>
          <w:rFonts w:eastAsiaTheme="minorEastAsia"/>
          <w:color w:val="000000" w:themeColor="text1"/>
          <w:sz w:val="24"/>
          <w:szCs w:val="24"/>
        </w:rPr>
      </w:pP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4061AC"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11.6</w:t>
      </w:r>
      <w:r w:rsidR="001675CD" w:rsidRPr="00E74406">
        <w:rPr>
          <w:rFonts w:eastAsiaTheme="minorEastAsia"/>
          <w:b/>
          <w:bCs/>
          <w:color w:val="000000" w:themeColor="text1"/>
          <w:kern w:val="0"/>
          <w:sz w:val="24"/>
          <w:szCs w:val="24"/>
        </w:rPr>
        <w:t>投资组合报告附注的其他文字描述部分</w:t>
      </w:r>
    </w:p>
    <w:p w:rsidR="004061AC" w:rsidRPr="00E74406" w:rsidRDefault="004061AC"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由于四舍五入的原因，分项之和与合计项之间可能存在尾差。</w:t>
      </w:r>
    </w:p>
    <w:p w:rsidR="004061AC" w:rsidRPr="00E74406" w:rsidRDefault="004061AC" w:rsidP="0001311F">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 xml:space="preserve">§6  </w:t>
      </w:r>
      <w:r w:rsidRPr="00E74406">
        <w:rPr>
          <w:rFonts w:eastAsiaTheme="minorEastAsia"/>
          <w:color w:val="000000" w:themeColor="text1"/>
          <w:kern w:val="0"/>
          <w:sz w:val="24"/>
          <w:szCs w:val="24"/>
        </w:rPr>
        <w:t>开放式基金份额变动</w:t>
      </w:r>
    </w:p>
    <w:p w:rsidR="004061AC" w:rsidRPr="00E74406" w:rsidRDefault="004061AC" w:rsidP="004061AC">
      <w:pPr>
        <w:autoSpaceDE w:val="0"/>
        <w:autoSpaceDN w:val="0"/>
        <w:adjustRightInd w:val="0"/>
        <w:spacing w:before="29" w:line="360" w:lineRule="auto"/>
        <w:ind w:left="15"/>
        <w:jc w:val="right"/>
        <w:rPr>
          <w:rFonts w:eastAsiaTheme="minorEastAsia"/>
          <w:color w:val="000000" w:themeColor="text1"/>
          <w:kern w:val="0"/>
          <w:sz w:val="24"/>
          <w:szCs w:val="24"/>
        </w:rPr>
      </w:pPr>
      <w:r w:rsidRPr="00E74406">
        <w:rPr>
          <w:rFonts w:eastAsiaTheme="minorEastAsia"/>
          <w:color w:val="000000" w:themeColor="text1"/>
          <w:kern w:val="0"/>
          <w:sz w:val="24"/>
          <w:szCs w:val="24"/>
        </w:rPr>
        <w:t>单位：份</w:t>
      </w:r>
    </w:p>
    <w:tbl>
      <w:tblPr>
        <w:tblW w:w="0" w:type="auto"/>
        <w:tblInd w:w="-106" w:type="dxa"/>
        <w:tblLayout w:type="fixed"/>
        <w:tblLook w:val="0000"/>
      </w:tblPr>
      <w:tblGrid>
        <w:gridCol w:w="4609"/>
        <w:gridCol w:w="4025"/>
      </w:tblGrid>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6D7FF8" w:rsidP="00924582">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30,480,985.94</w:t>
            </w:r>
          </w:p>
        </w:tc>
      </w:tr>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FE179F"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报告期</w:t>
            </w:r>
            <w:r w:rsidR="004061AC" w:rsidRPr="00E74406">
              <w:rPr>
                <w:rFonts w:eastAsiaTheme="minorEastAsia"/>
                <w:color w:val="000000" w:themeColor="text1"/>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924582">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36,811,451.41</w:t>
            </w:r>
          </w:p>
        </w:tc>
      </w:tr>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减：</w:t>
            </w:r>
            <w:r w:rsidR="00FE179F" w:rsidRPr="00E74406">
              <w:rPr>
                <w:rFonts w:eastAsiaTheme="minorEastAsia"/>
                <w:color w:val="000000" w:themeColor="text1"/>
                <w:kern w:val="0"/>
                <w:sz w:val="24"/>
                <w:szCs w:val="24"/>
              </w:rPr>
              <w:t>报告期</w:t>
            </w:r>
            <w:r w:rsidRPr="00E74406">
              <w:rPr>
                <w:rFonts w:eastAsiaTheme="minorEastAsia"/>
                <w:color w:val="000000" w:themeColor="text1"/>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924582">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42,804,914.80</w:t>
            </w:r>
          </w:p>
        </w:tc>
      </w:tr>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FE179F"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报告期</w:t>
            </w:r>
            <w:r w:rsidR="004061AC" w:rsidRPr="00E74406">
              <w:rPr>
                <w:rFonts w:eastAsiaTheme="minorEastAsia"/>
                <w:color w:val="000000" w:themeColor="text1"/>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924582">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E74406" w:rsidRDefault="006D7FF8"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E74406" w:rsidRDefault="006D7FF8" w:rsidP="000A2B53">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24,487,522.55</w:t>
            </w:r>
          </w:p>
        </w:tc>
      </w:tr>
    </w:tbl>
    <w:p w:rsidR="00EB374A" w:rsidRPr="00E74406" w:rsidRDefault="00EB374A" w:rsidP="0001311F">
      <w:pPr>
        <w:pStyle w:val="1"/>
        <w:tabs>
          <w:tab w:val="center" w:pos="4156"/>
          <w:tab w:val="right" w:pos="8312"/>
        </w:tabs>
        <w:spacing w:beforeLines="100" w:afterLines="100" w:line="360" w:lineRule="auto"/>
        <w:jc w:val="center"/>
        <w:rPr>
          <w:rFonts w:eastAsiaTheme="minorEastAsia"/>
          <w:color w:val="000000" w:themeColor="text1"/>
          <w:sz w:val="24"/>
          <w:szCs w:val="24"/>
        </w:rPr>
      </w:pPr>
      <w:r w:rsidRPr="00E74406">
        <w:rPr>
          <w:rFonts w:eastAsiaTheme="minorEastAsia"/>
          <w:color w:val="000000" w:themeColor="text1"/>
          <w:kern w:val="0"/>
          <w:sz w:val="24"/>
          <w:szCs w:val="24"/>
        </w:rPr>
        <w:t xml:space="preserve">§7  </w:t>
      </w:r>
      <w:r w:rsidRPr="00E74406">
        <w:rPr>
          <w:rFonts w:eastAsiaTheme="minorEastAsia"/>
          <w:color w:val="000000" w:themeColor="text1"/>
          <w:sz w:val="24"/>
          <w:szCs w:val="24"/>
        </w:rPr>
        <w:t>基金管理人运用固有资金投资本基金情况</w:t>
      </w:r>
    </w:p>
    <w:p w:rsidR="00EB374A" w:rsidRPr="00E74406" w:rsidRDefault="00EB374A" w:rsidP="00EB374A">
      <w:pPr>
        <w:spacing w:line="360" w:lineRule="auto"/>
        <w:jc w:val="left"/>
        <w:rPr>
          <w:rFonts w:eastAsiaTheme="minorEastAsia"/>
          <w:color w:val="000000" w:themeColor="text1"/>
          <w:sz w:val="24"/>
          <w:szCs w:val="24"/>
        </w:rPr>
      </w:pPr>
      <w:r w:rsidRPr="00E74406">
        <w:rPr>
          <w:rFonts w:eastAsiaTheme="minorEastAsia"/>
          <w:b/>
          <w:color w:val="000000" w:themeColor="text1"/>
          <w:sz w:val="24"/>
          <w:szCs w:val="24"/>
        </w:rPr>
        <w:t xml:space="preserve">7.1 </w:t>
      </w:r>
      <w:r w:rsidRPr="00E74406">
        <w:rPr>
          <w:rFonts w:eastAsiaTheme="minorEastAsia"/>
          <w:b/>
          <w:color w:val="000000" w:themeColor="text1"/>
          <w:sz w:val="24"/>
          <w:szCs w:val="24"/>
        </w:rPr>
        <w:t>基金管理人持有本基金份额变动情况</w:t>
      </w:r>
    </w:p>
    <w:p w:rsidR="00EB374A" w:rsidRPr="004819A0" w:rsidRDefault="00D967D3" w:rsidP="00313F0D">
      <w:pPr>
        <w:autoSpaceDE w:val="0"/>
        <w:autoSpaceDN w:val="0"/>
        <w:adjustRightInd w:val="0"/>
        <w:spacing w:line="360" w:lineRule="auto"/>
        <w:ind w:firstLineChars="200" w:firstLine="480"/>
        <w:jc w:val="left"/>
        <w:rPr>
          <w:rFonts w:eastAsiaTheme="minorEastAsia"/>
          <w:color w:val="000000" w:themeColor="text1"/>
        </w:rPr>
      </w:pPr>
      <w:r w:rsidRPr="00313F0D">
        <w:rPr>
          <w:rFonts w:eastAsiaTheme="minorEastAsia"/>
          <w:color w:val="000000" w:themeColor="text1"/>
          <w:sz w:val="24"/>
          <w:szCs w:val="24"/>
        </w:rPr>
        <w:t>本报告期内本基金管理人无运用固有资金投资本基金的情况。</w:t>
      </w:r>
    </w:p>
    <w:p w:rsidR="00EB374A" w:rsidRPr="00E74406" w:rsidRDefault="00EB374A" w:rsidP="00EB374A">
      <w:pPr>
        <w:autoSpaceDE w:val="0"/>
        <w:autoSpaceDN w:val="0"/>
        <w:adjustRightInd w:val="0"/>
        <w:spacing w:line="360" w:lineRule="auto"/>
        <w:jc w:val="left"/>
        <w:rPr>
          <w:rFonts w:eastAsiaTheme="minorEastAsia"/>
          <w:color w:val="000000" w:themeColor="text1"/>
          <w:kern w:val="0"/>
          <w:sz w:val="24"/>
          <w:szCs w:val="24"/>
        </w:rPr>
      </w:pPr>
    </w:p>
    <w:p w:rsidR="00EB374A" w:rsidRPr="00E74406" w:rsidRDefault="00EB374A" w:rsidP="00EB374A">
      <w:pPr>
        <w:spacing w:line="360" w:lineRule="auto"/>
        <w:jc w:val="left"/>
        <w:rPr>
          <w:rFonts w:eastAsiaTheme="minorEastAsia"/>
          <w:color w:val="000000" w:themeColor="text1"/>
          <w:sz w:val="24"/>
          <w:szCs w:val="24"/>
        </w:rPr>
      </w:pPr>
      <w:r w:rsidRPr="00E74406">
        <w:rPr>
          <w:rFonts w:eastAsiaTheme="minorEastAsia"/>
          <w:b/>
          <w:color w:val="000000" w:themeColor="text1"/>
          <w:sz w:val="24"/>
          <w:szCs w:val="24"/>
        </w:rPr>
        <w:t xml:space="preserve">7.2 </w:t>
      </w:r>
      <w:r w:rsidRPr="00E74406">
        <w:rPr>
          <w:rFonts w:eastAsiaTheme="minorEastAsia"/>
          <w:b/>
          <w:color w:val="000000" w:themeColor="text1"/>
          <w:sz w:val="24"/>
          <w:szCs w:val="24"/>
        </w:rPr>
        <w:t>基金管理人运用固有资金投资本基金交易明细</w:t>
      </w:r>
    </w:p>
    <w:p w:rsidR="00EB374A" w:rsidRPr="004819A0" w:rsidRDefault="00EB374A" w:rsidP="00313F0D">
      <w:pPr>
        <w:autoSpaceDE w:val="0"/>
        <w:autoSpaceDN w:val="0"/>
        <w:adjustRightInd w:val="0"/>
        <w:spacing w:line="360" w:lineRule="auto"/>
        <w:ind w:firstLineChars="200" w:firstLine="480"/>
        <w:jc w:val="left"/>
        <w:rPr>
          <w:rFonts w:eastAsiaTheme="minorEastAsia"/>
          <w:color w:val="000000" w:themeColor="text1"/>
        </w:rPr>
      </w:pPr>
      <w:r w:rsidRPr="00313F0D">
        <w:rPr>
          <w:rFonts w:eastAsiaTheme="minorEastAsia"/>
          <w:color w:val="000000" w:themeColor="text1"/>
          <w:sz w:val="24"/>
          <w:szCs w:val="24"/>
        </w:rPr>
        <w:t>本基金管理人本报告期无运用固有资金投资本基金的交易明细。</w:t>
      </w:r>
    </w:p>
    <w:p w:rsidR="00C9481C" w:rsidRPr="00C9481C" w:rsidRDefault="00C9481C" w:rsidP="0001311F">
      <w:pPr>
        <w:pStyle w:val="1"/>
        <w:spacing w:beforeLines="100" w:afterLines="100" w:line="360" w:lineRule="auto"/>
        <w:jc w:val="center"/>
        <w:rPr>
          <w:rFonts w:eastAsiaTheme="minorEastAsia"/>
          <w:color w:val="000000" w:themeColor="text1"/>
          <w:kern w:val="0"/>
          <w:sz w:val="24"/>
          <w:szCs w:val="24"/>
        </w:rPr>
      </w:pPr>
      <w:r w:rsidRPr="00C9481C">
        <w:rPr>
          <w:rFonts w:eastAsiaTheme="minorEastAsia"/>
          <w:color w:val="000000" w:themeColor="text1"/>
          <w:kern w:val="0"/>
          <w:sz w:val="24"/>
          <w:szCs w:val="24"/>
        </w:rPr>
        <w:t>§8</w:t>
      </w:r>
      <w:r w:rsidRPr="00C9481C">
        <w:rPr>
          <w:rFonts w:eastAsiaTheme="minorEastAsia"/>
          <w:color w:val="000000" w:themeColor="text1"/>
          <w:kern w:val="0"/>
          <w:sz w:val="24"/>
          <w:szCs w:val="24"/>
        </w:rPr>
        <w:t>影响投资者决策的其他重要信息</w:t>
      </w:r>
    </w:p>
    <w:p w:rsidR="00DF2AD4" w:rsidRPr="002F6268" w:rsidRDefault="00DF2AD4" w:rsidP="00DF2AD4">
      <w:pPr>
        <w:autoSpaceDE w:val="0"/>
        <w:autoSpaceDN w:val="0"/>
        <w:adjustRightInd w:val="0"/>
        <w:spacing w:line="360" w:lineRule="auto"/>
        <w:jc w:val="left"/>
        <w:rPr>
          <w:rFonts w:eastAsiaTheme="minorEastAsia"/>
          <w:b/>
          <w:bCs/>
          <w:color w:val="000000" w:themeColor="text1"/>
          <w:kern w:val="0"/>
          <w:sz w:val="24"/>
          <w:szCs w:val="24"/>
        </w:rPr>
      </w:pPr>
      <w:r w:rsidRPr="002F6268">
        <w:rPr>
          <w:rFonts w:eastAsiaTheme="minorEastAsia"/>
          <w:b/>
          <w:bCs/>
          <w:color w:val="000000" w:themeColor="text1"/>
          <w:kern w:val="0"/>
          <w:sz w:val="24"/>
          <w:szCs w:val="24"/>
        </w:rPr>
        <w:t xml:space="preserve">8.1 </w:t>
      </w:r>
      <w:r w:rsidRPr="002F6268">
        <w:rPr>
          <w:rFonts w:eastAsiaTheme="minorEastAsia"/>
          <w:b/>
          <w:bCs/>
          <w:color w:val="000000" w:themeColor="text1"/>
          <w:kern w:val="0"/>
          <w:sz w:val="24"/>
          <w:szCs w:val="24"/>
        </w:rPr>
        <w:t>报告期内单一投资者持有基金份额比例达到或超过</w:t>
      </w:r>
      <w:r w:rsidRPr="002F6268">
        <w:rPr>
          <w:rFonts w:eastAsiaTheme="minorEastAsia"/>
          <w:b/>
          <w:bCs/>
          <w:color w:val="000000" w:themeColor="text1"/>
          <w:kern w:val="0"/>
          <w:sz w:val="24"/>
          <w:szCs w:val="24"/>
        </w:rPr>
        <w:t>20%</w:t>
      </w:r>
      <w:r w:rsidRPr="002F6268">
        <w:rPr>
          <w:rFonts w:eastAsiaTheme="minorEastAsia"/>
          <w:b/>
          <w:bCs/>
          <w:color w:val="000000" w:themeColor="text1"/>
          <w:kern w:val="0"/>
          <w:sz w:val="24"/>
          <w:szCs w:val="24"/>
        </w:rPr>
        <w:t>的情况</w:t>
      </w:r>
    </w:p>
    <w:tbl>
      <w:tblPr>
        <w:tblStyle w:val="af7"/>
        <w:tblW w:w="9637" w:type="dxa"/>
        <w:jc w:val="center"/>
        <w:tblLayout w:type="fixed"/>
        <w:tblLook w:val="04A0"/>
      </w:tblPr>
      <w:tblGrid>
        <w:gridCol w:w="9637"/>
      </w:tblGrid>
      <w:tr w:rsidR="00DF2AD4" w:rsidRPr="00FC0759" w:rsidTr="00350318">
        <w:trPr>
          <w:jc w:val="center"/>
        </w:trPr>
        <w:tc>
          <w:tcPr>
            <w:tcW w:w="9637" w:type="dxa"/>
            <w:vAlign w:val="center"/>
          </w:tcPr>
          <w:p w:rsidR="00DF2AD4" w:rsidRPr="00FC0759" w:rsidRDefault="00DF2AD4" w:rsidP="00350318">
            <w:pPr>
              <w:autoSpaceDE w:val="0"/>
              <w:autoSpaceDN w:val="0"/>
              <w:adjustRightInd w:val="0"/>
              <w:ind w:firstLine="1126"/>
              <w:jc w:val="center"/>
              <w:rPr>
                <w:sz w:val="24"/>
                <w:szCs w:val="24"/>
              </w:rPr>
            </w:pPr>
            <w:r w:rsidRPr="00FC0759">
              <w:rPr>
                <w:color w:val="000000"/>
                <w:sz w:val="24"/>
                <w:szCs w:val="24"/>
              </w:rPr>
              <w:t>产品特有风险</w:t>
            </w:r>
          </w:p>
        </w:tc>
      </w:tr>
      <w:tr w:rsidR="00DF2AD4" w:rsidRPr="00FC0759" w:rsidTr="00350318">
        <w:trPr>
          <w:jc w:val="center"/>
        </w:trPr>
        <w:tc>
          <w:tcPr>
            <w:tcW w:w="9637" w:type="dxa"/>
            <w:vAlign w:val="center"/>
          </w:tcPr>
          <w:p w:rsidR="008E4634" w:rsidRDefault="004C66A8">
            <w:pPr>
              <w:autoSpaceDE w:val="0"/>
              <w:autoSpaceDN w:val="0"/>
              <w:adjustRightInd w:val="0"/>
              <w:jc w:val="left"/>
              <w:rPr>
                <w:sz w:val="24"/>
                <w:szCs w:val="24"/>
              </w:rPr>
            </w:pPr>
            <w:r>
              <w:rPr>
                <w:sz w:val="24"/>
                <w:szCs w:val="24"/>
              </w:rPr>
              <w:t>投资者应关注本基金单一投资者持有份额比例过高时，可能出现以下风险：</w:t>
            </w:r>
          </w:p>
          <w:p w:rsidR="008E4634" w:rsidRDefault="004C66A8">
            <w:pPr>
              <w:autoSpaceDE w:val="0"/>
              <w:autoSpaceDN w:val="0"/>
              <w:adjustRightInd w:val="0"/>
              <w:jc w:val="left"/>
              <w:rPr>
                <w:sz w:val="24"/>
                <w:szCs w:val="24"/>
              </w:rPr>
            </w:pPr>
            <w:r>
              <w:rPr>
                <w:sz w:val="24"/>
                <w:szCs w:val="24"/>
              </w:rPr>
              <w:t>1</w:t>
            </w:r>
            <w:r>
              <w:rPr>
                <w:sz w:val="24"/>
                <w:szCs w:val="24"/>
              </w:rPr>
              <w:t>、赎回申请延期办理的风险</w:t>
            </w:r>
          </w:p>
          <w:p w:rsidR="008E4634" w:rsidRDefault="004C66A8">
            <w:pPr>
              <w:autoSpaceDE w:val="0"/>
              <w:autoSpaceDN w:val="0"/>
              <w:adjustRightInd w:val="0"/>
              <w:jc w:val="left"/>
              <w:rPr>
                <w:sz w:val="24"/>
                <w:szCs w:val="24"/>
              </w:rPr>
            </w:pPr>
            <w:r>
              <w:rPr>
                <w:sz w:val="24"/>
                <w:szCs w:val="24"/>
              </w:rPr>
              <w:t>单一投资者大额赎回时易触发本基金巨额赎回的条件，中小投资者可能面临小额赎回申请也需要部分延期办理的风险。</w:t>
            </w:r>
          </w:p>
          <w:p w:rsidR="008E4634" w:rsidRDefault="004C66A8">
            <w:pPr>
              <w:autoSpaceDE w:val="0"/>
              <w:autoSpaceDN w:val="0"/>
              <w:adjustRightInd w:val="0"/>
              <w:jc w:val="left"/>
              <w:rPr>
                <w:sz w:val="24"/>
                <w:szCs w:val="24"/>
              </w:rPr>
            </w:pPr>
            <w:r>
              <w:rPr>
                <w:sz w:val="24"/>
                <w:szCs w:val="24"/>
              </w:rPr>
              <w:t>2</w:t>
            </w:r>
            <w:r>
              <w:rPr>
                <w:sz w:val="24"/>
                <w:szCs w:val="24"/>
              </w:rPr>
              <w:t>、基金净值大幅波动的风险</w:t>
            </w:r>
          </w:p>
          <w:p w:rsidR="008E4634" w:rsidRDefault="004C66A8">
            <w:pPr>
              <w:autoSpaceDE w:val="0"/>
              <w:autoSpaceDN w:val="0"/>
              <w:adjustRightInd w:val="0"/>
              <w:jc w:val="left"/>
              <w:rPr>
                <w:sz w:val="24"/>
                <w:szCs w:val="24"/>
              </w:rPr>
            </w:pPr>
            <w:r>
              <w:rPr>
                <w:sz w:val="24"/>
                <w:szCs w:val="24"/>
              </w:rPr>
              <w:t>单一投资者大额赎回时，基金管理人进行基金财产变现可能会对基金资产净值造成较大波动；单一投资者大额赎回时，相应的赎回费归入基金资产以及赎回时的份额净值的精度问题均可能引起基金份额净值出现较大波动。</w:t>
            </w:r>
          </w:p>
          <w:p w:rsidR="008E4634" w:rsidRDefault="004C66A8">
            <w:pPr>
              <w:autoSpaceDE w:val="0"/>
              <w:autoSpaceDN w:val="0"/>
              <w:adjustRightInd w:val="0"/>
              <w:jc w:val="left"/>
              <w:rPr>
                <w:sz w:val="24"/>
                <w:szCs w:val="24"/>
              </w:rPr>
            </w:pPr>
            <w:r>
              <w:rPr>
                <w:sz w:val="24"/>
                <w:szCs w:val="24"/>
              </w:rPr>
              <w:t>3</w:t>
            </w:r>
            <w:r>
              <w:rPr>
                <w:sz w:val="24"/>
                <w:szCs w:val="24"/>
              </w:rPr>
              <w:t>、基金投资策略难以实现的风险</w:t>
            </w:r>
          </w:p>
          <w:p w:rsidR="008E4634" w:rsidRDefault="004C66A8">
            <w:pPr>
              <w:autoSpaceDE w:val="0"/>
              <w:autoSpaceDN w:val="0"/>
              <w:adjustRightInd w:val="0"/>
              <w:jc w:val="left"/>
              <w:rPr>
                <w:sz w:val="24"/>
                <w:szCs w:val="24"/>
              </w:rPr>
            </w:pPr>
            <w:r>
              <w:rPr>
                <w:sz w:val="24"/>
                <w:szCs w:val="24"/>
              </w:rPr>
              <w:t>单一投资者大额赎回后，可能使基金资产净值显著降低，从而使基金在拟参与银行间市场交易等投资时受到限制，导致基金投资策略难以实现。</w:t>
            </w:r>
          </w:p>
          <w:p w:rsidR="008E4634" w:rsidRDefault="004C66A8">
            <w:pPr>
              <w:autoSpaceDE w:val="0"/>
              <w:autoSpaceDN w:val="0"/>
              <w:adjustRightInd w:val="0"/>
              <w:jc w:val="left"/>
              <w:rPr>
                <w:sz w:val="24"/>
                <w:szCs w:val="24"/>
              </w:rPr>
            </w:pPr>
            <w:r>
              <w:rPr>
                <w:sz w:val="24"/>
                <w:szCs w:val="24"/>
              </w:rPr>
              <w:t>4</w:t>
            </w:r>
            <w:r>
              <w:rPr>
                <w:sz w:val="24"/>
                <w:szCs w:val="24"/>
              </w:rPr>
              <w:t>、基金财产清算的风险</w:t>
            </w:r>
          </w:p>
          <w:p w:rsidR="008E4634" w:rsidRDefault="004C66A8">
            <w:pPr>
              <w:autoSpaceDE w:val="0"/>
              <w:autoSpaceDN w:val="0"/>
              <w:adjustRightInd w:val="0"/>
              <w:jc w:val="left"/>
              <w:rPr>
                <w:sz w:val="24"/>
                <w:szCs w:val="24"/>
              </w:rPr>
            </w:pPr>
            <w:r>
              <w:rPr>
                <w:sz w:val="24"/>
                <w:szCs w:val="24"/>
              </w:rPr>
              <w:t>根据本基金基金合同的约定，基金合同生效后的存续期内，若连续</w:t>
            </w:r>
            <w:r>
              <w:rPr>
                <w:sz w:val="24"/>
                <w:szCs w:val="24"/>
              </w:rPr>
              <w:t>60</w:t>
            </w:r>
            <w:r>
              <w:rPr>
                <w:sz w:val="24"/>
                <w:szCs w:val="24"/>
              </w:rPr>
              <w:t>个工作日出现基金份额持有人数量不满</w:t>
            </w:r>
            <w:r>
              <w:rPr>
                <w:sz w:val="24"/>
                <w:szCs w:val="24"/>
              </w:rPr>
              <w:t>200</w:t>
            </w:r>
            <w:r>
              <w:rPr>
                <w:sz w:val="24"/>
                <w:szCs w:val="24"/>
              </w:rPr>
              <w:t>人或者基金资产净值低于</w:t>
            </w:r>
            <w:r>
              <w:rPr>
                <w:sz w:val="24"/>
                <w:szCs w:val="24"/>
              </w:rPr>
              <w:t>5000</w:t>
            </w:r>
            <w:r>
              <w:rPr>
                <w:sz w:val="24"/>
                <w:szCs w:val="24"/>
              </w:rPr>
              <w:t>万元情形的，基金管理人应当向中国证监会报告并提出解决方案，如转换运作方式、与其他基金合并或者终止基金合同等，并召开基金份额持有人大会进行表决。单一投资者大额赎回后，可能造成基金资产净值大幅缩减而导致本基金转换运作方式、与其他基金合并或基金合同终止等情形。</w:t>
            </w:r>
          </w:p>
          <w:p w:rsidR="008E4634" w:rsidRDefault="004C66A8">
            <w:pPr>
              <w:autoSpaceDE w:val="0"/>
              <w:autoSpaceDN w:val="0"/>
              <w:adjustRightInd w:val="0"/>
              <w:jc w:val="left"/>
              <w:rPr>
                <w:sz w:val="24"/>
                <w:szCs w:val="24"/>
              </w:rPr>
            </w:pPr>
            <w:r>
              <w:rPr>
                <w:sz w:val="24"/>
                <w:szCs w:val="24"/>
              </w:rPr>
              <w:t>5</w:t>
            </w:r>
            <w:r>
              <w:rPr>
                <w:sz w:val="24"/>
                <w:szCs w:val="24"/>
              </w:rPr>
              <w:t>、召开基金份额持有人大会及表决时可能存在的风险</w:t>
            </w:r>
          </w:p>
          <w:p w:rsidR="00DF2AD4" w:rsidRPr="00FC0759" w:rsidRDefault="00DF2AD4" w:rsidP="001023CF">
            <w:pPr>
              <w:autoSpaceDE w:val="0"/>
              <w:autoSpaceDN w:val="0"/>
              <w:adjustRightInd w:val="0"/>
              <w:jc w:val="left"/>
              <w:rPr>
                <w:sz w:val="24"/>
                <w:szCs w:val="24"/>
              </w:rPr>
            </w:pPr>
            <w:r w:rsidRPr="00FC0759">
              <w:rPr>
                <w:sz w:val="24"/>
                <w:szCs w:val="24"/>
              </w:rPr>
              <w:t>由于单一机构投资者所持有的基金份额占比较高，在召开持有人大会并对重大事项进行投票表决时，单一机构投资者将拥有高的投票权重。</w:t>
            </w:r>
          </w:p>
        </w:tc>
      </w:tr>
    </w:tbl>
    <w:p w:rsidR="00DF2AD4" w:rsidRPr="00FC0759" w:rsidRDefault="00DF2AD4" w:rsidP="00DF2AD4">
      <w:pPr>
        <w:autoSpaceDE w:val="0"/>
        <w:autoSpaceDN w:val="0"/>
        <w:adjustRightInd w:val="0"/>
        <w:spacing w:line="360" w:lineRule="auto"/>
        <w:ind w:firstLineChars="200" w:firstLine="480"/>
        <w:jc w:val="left"/>
        <w:rPr>
          <w:rFonts w:eastAsiaTheme="minorEastAsia"/>
          <w:bCs/>
          <w:color w:val="000000" w:themeColor="text1"/>
          <w:kern w:val="0"/>
          <w:sz w:val="24"/>
          <w:szCs w:val="24"/>
        </w:rPr>
      </w:pPr>
      <w:r w:rsidRPr="00FC0759">
        <w:rPr>
          <w:bCs/>
          <w:color w:val="000000" w:themeColor="text1"/>
          <w:kern w:val="0"/>
          <w:sz w:val="24"/>
          <w:szCs w:val="24"/>
        </w:rPr>
        <w:t>注：本基金本报告期无单一投资者持有基金份额比例达到或超过</w:t>
      </w:r>
      <w:r w:rsidRPr="00FC0759">
        <w:rPr>
          <w:bCs/>
          <w:color w:val="000000" w:themeColor="text1"/>
          <w:kern w:val="0"/>
          <w:sz w:val="24"/>
          <w:szCs w:val="24"/>
        </w:rPr>
        <w:t>20%</w:t>
      </w:r>
      <w:r w:rsidRPr="00FC0759">
        <w:rPr>
          <w:bCs/>
          <w:color w:val="000000" w:themeColor="text1"/>
          <w:kern w:val="0"/>
          <w:sz w:val="24"/>
          <w:szCs w:val="24"/>
        </w:rPr>
        <w:t>的情况。</w:t>
      </w:r>
    </w:p>
    <w:p w:rsidR="00DF2AD4" w:rsidRPr="002F6268" w:rsidRDefault="00DF2AD4" w:rsidP="00DF2AD4">
      <w:pPr>
        <w:autoSpaceDE w:val="0"/>
        <w:autoSpaceDN w:val="0"/>
        <w:adjustRightInd w:val="0"/>
        <w:spacing w:line="360" w:lineRule="auto"/>
        <w:jc w:val="left"/>
        <w:rPr>
          <w:rFonts w:eastAsiaTheme="minorEastAsia"/>
          <w:b/>
          <w:bCs/>
          <w:color w:val="000000" w:themeColor="text1"/>
          <w:kern w:val="0"/>
          <w:sz w:val="24"/>
          <w:szCs w:val="24"/>
        </w:rPr>
      </w:pPr>
      <w:r w:rsidRPr="002F6268">
        <w:rPr>
          <w:rFonts w:eastAsiaTheme="minorEastAsia"/>
          <w:b/>
          <w:bCs/>
          <w:color w:val="000000" w:themeColor="text1"/>
          <w:kern w:val="0"/>
          <w:sz w:val="24"/>
          <w:szCs w:val="24"/>
        </w:rPr>
        <w:t xml:space="preserve">8.2 </w:t>
      </w:r>
      <w:r w:rsidRPr="002F6268">
        <w:rPr>
          <w:rFonts w:eastAsiaTheme="minorEastAsia"/>
          <w:b/>
          <w:bCs/>
          <w:color w:val="000000" w:themeColor="text1"/>
          <w:kern w:val="0"/>
          <w:sz w:val="24"/>
          <w:szCs w:val="24"/>
        </w:rPr>
        <w:t>影响投资者决策的其他重要信息</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1</w:t>
      </w:r>
      <w:r>
        <w:rPr>
          <w:rFonts w:eastAsiaTheme="minorEastAsia"/>
          <w:color w:val="000000" w:themeColor="text1"/>
          <w:sz w:val="24"/>
          <w:szCs w:val="24"/>
        </w:rPr>
        <w:t>、报告期内基金管理人对本基金召开基金份额持有人大会进行公告，指定媒体公告时间为</w:t>
      </w:r>
      <w:r>
        <w:rPr>
          <w:rFonts w:eastAsiaTheme="minorEastAsia"/>
          <w:color w:val="000000" w:themeColor="text1"/>
          <w:sz w:val="24"/>
          <w:szCs w:val="24"/>
        </w:rPr>
        <w:t>2019</w:t>
      </w:r>
      <w:r>
        <w:rPr>
          <w:rFonts w:eastAsiaTheme="minorEastAsia"/>
          <w:color w:val="000000" w:themeColor="text1"/>
          <w:sz w:val="24"/>
          <w:szCs w:val="24"/>
        </w:rPr>
        <w:t>年</w:t>
      </w:r>
      <w:r>
        <w:rPr>
          <w:rFonts w:eastAsiaTheme="minorEastAsia"/>
          <w:color w:val="000000" w:themeColor="text1"/>
          <w:sz w:val="24"/>
          <w:szCs w:val="24"/>
        </w:rPr>
        <w:t>3</w:t>
      </w:r>
      <w:r>
        <w:rPr>
          <w:rFonts w:eastAsiaTheme="minorEastAsia"/>
          <w:color w:val="000000" w:themeColor="text1"/>
          <w:sz w:val="24"/>
          <w:szCs w:val="24"/>
        </w:rPr>
        <w:t>月</w:t>
      </w:r>
      <w:r>
        <w:rPr>
          <w:rFonts w:eastAsiaTheme="minorEastAsia"/>
          <w:color w:val="000000" w:themeColor="text1"/>
          <w:sz w:val="24"/>
          <w:szCs w:val="24"/>
        </w:rPr>
        <w:t>12</w:t>
      </w:r>
      <w:r>
        <w:rPr>
          <w:rFonts w:eastAsiaTheme="minorEastAsia"/>
          <w:color w:val="000000" w:themeColor="text1"/>
          <w:sz w:val="24"/>
          <w:szCs w:val="24"/>
        </w:rPr>
        <w:t>日。</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2</w:t>
      </w:r>
      <w:r>
        <w:rPr>
          <w:rFonts w:eastAsiaTheme="minorEastAsia"/>
          <w:color w:val="000000" w:themeColor="text1"/>
          <w:sz w:val="24"/>
          <w:szCs w:val="24"/>
        </w:rPr>
        <w:t>、报告期内基金管理人对本基金暂停申购、定期定额投资、转换转入业务进行公告，指定媒体公告时间为</w:t>
      </w:r>
      <w:r>
        <w:rPr>
          <w:rFonts w:eastAsiaTheme="minorEastAsia"/>
          <w:color w:val="000000" w:themeColor="text1"/>
          <w:sz w:val="24"/>
          <w:szCs w:val="24"/>
        </w:rPr>
        <w:t>2019</w:t>
      </w:r>
      <w:r>
        <w:rPr>
          <w:rFonts w:eastAsiaTheme="minorEastAsia"/>
          <w:color w:val="000000" w:themeColor="text1"/>
          <w:sz w:val="24"/>
          <w:szCs w:val="24"/>
        </w:rPr>
        <w:t>年</w:t>
      </w:r>
      <w:r>
        <w:rPr>
          <w:rFonts w:eastAsiaTheme="minorEastAsia"/>
          <w:color w:val="000000" w:themeColor="text1"/>
          <w:sz w:val="24"/>
          <w:szCs w:val="24"/>
        </w:rPr>
        <w:t>3</w:t>
      </w:r>
      <w:r>
        <w:rPr>
          <w:rFonts w:eastAsiaTheme="minorEastAsia"/>
          <w:color w:val="000000" w:themeColor="text1"/>
          <w:sz w:val="24"/>
          <w:szCs w:val="24"/>
        </w:rPr>
        <w:t>月</w:t>
      </w:r>
      <w:r>
        <w:rPr>
          <w:rFonts w:eastAsiaTheme="minorEastAsia"/>
          <w:color w:val="000000" w:themeColor="text1"/>
          <w:sz w:val="24"/>
          <w:szCs w:val="24"/>
        </w:rPr>
        <w:t>12</w:t>
      </w:r>
      <w:r>
        <w:rPr>
          <w:rFonts w:eastAsiaTheme="minorEastAsia"/>
          <w:color w:val="000000" w:themeColor="text1"/>
          <w:sz w:val="24"/>
          <w:szCs w:val="24"/>
        </w:rPr>
        <w:t>日。</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3</w:t>
      </w:r>
      <w:r>
        <w:rPr>
          <w:rFonts w:eastAsiaTheme="minorEastAsia"/>
          <w:color w:val="000000" w:themeColor="text1"/>
          <w:sz w:val="24"/>
          <w:szCs w:val="24"/>
        </w:rPr>
        <w:t>、报告期内基金管理人对本基金召开基金份额持有人大会进行第一次提示性公告，指定媒体公告时间为</w:t>
      </w:r>
      <w:r>
        <w:rPr>
          <w:rFonts w:eastAsiaTheme="minorEastAsia"/>
          <w:color w:val="000000" w:themeColor="text1"/>
          <w:sz w:val="24"/>
          <w:szCs w:val="24"/>
        </w:rPr>
        <w:t>2019</w:t>
      </w:r>
      <w:r>
        <w:rPr>
          <w:rFonts w:eastAsiaTheme="minorEastAsia"/>
          <w:color w:val="000000" w:themeColor="text1"/>
          <w:sz w:val="24"/>
          <w:szCs w:val="24"/>
        </w:rPr>
        <w:t>年</w:t>
      </w:r>
      <w:r>
        <w:rPr>
          <w:rFonts w:eastAsiaTheme="minorEastAsia"/>
          <w:color w:val="000000" w:themeColor="text1"/>
          <w:sz w:val="24"/>
          <w:szCs w:val="24"/>
        </w:rPr>
        <w:t>3</w:t>
      </w:r>
      <w:r>
        <w:rPr>
          <w:rFonts w:eastAsiaTheme="minorEastAsia"/>
          <w:color w:val="000000" w:themeColor="text1"/>
          <w:sz w:val="24"/>
          <w:szCs w:val="24"/>
        </w:rPr>
        <w:t>月</w:t>
      </w:r>
      <w:r>
        <w:rPr>
          <w:rFonts w:eastAsiaTheme="minorEastAsia"/>
          <w:color w:val="000000" w:themeColor="text1"/>
          <w:sz w:val="24"/>
          <w:szCs w:val="24"/>
        </w:rPr>
        <w:t>14</w:t>
      </w:r>
      <w:r>
        <w:rPr>
          <w:rFonts w:eastAsiaTheme="minorEastAsia"/>
          <w:color w:val="000000" w:themeColor="text1"/>
          <w:sz w:val="24"/>
          <w:szCs w:val="24"/>
        </w:rPr>
        <w:t>日。</w:t>
      </w:r>
    </w:p>
    <w:p w:rsidR="004061AC" w:rsidRPr="00E74406" w:rsidRDefault="00DF2AD4" w:rsidP="00DF2AD4">
      <w:pPr>
        <w:spacing w:line="360" w:lineRule="auto"/>
        <w:ind w:firstLineChars="200" w:firstLine="480"/>
        <w:rPr>
          <w:rFonts w:eastAsiaTheme="minorEastAsia"/>
          <w:color w:val="000000" w:themeColor="text1"/>
          <w:sz w:val="24"/>
          <w:szCs w:val="24"/>
        </w:rPr>
      </w:pPr>
      <w:r w:rsidRPr="00FC0759">
        <w:rPr>
          <w:rFonts w:eastAsiaTheme="minorEastAsia"/>
          <w:color w:val="000000" w:themeColor="text1"/>
          <w:sz w:val="24"/>
          <w:szCs w:val="24"/>
        </w:rPr>
        <w:t>4</w:t>
      </w:r>
      <w:r w:rsidRPr="00FC0759">
        <w:rPr>
          <w:rFonts w:eastAsiaTheme="minorEastAsia"/>
          <w:color w:val="000000" w:themeColor="text1"/>
          <w:sz w:val="24"/>
          <w:szCs w:val="24"/>
        </w:rPr>
        <w:t>、报告期内基金管理人对本基金召开基金份额持有人大会进行第二次提示性公告，指定媒体公告时间为</w:t>
      </w:r>
      <w:r w:rsidRPr="00FC0759">
        <w:rPr>
          <w:rFonts w:eastAsiaTheme="minorEastAsia"/>
          <w:color w:val="000000" w:themeColor="text1"/>
          <w:sz w:val="24"/>
          <w:szCs w:val="24"/>
        </w:rPr>
        <w:t>2019</w:t>
      </w:r>
      <w:r w:rsidRPr="00FC0759">
        <w:rPr>
          <w:rFonts w:eastAsiaTheme="minorEastAsia"/>
          <w:color w:val="000000" w:themeColor="text1"/>
          <w:sz w:val="24"/>
          <w:szCs w:val="24"/>
        </w:rPr>
        <w:t>年</w:t>
      </w:r>
      <w:r w:rsidRPr="00FC0759">
        <w:rPr>
          <w:rFonts w:eastAsiaTheme="minorEastAsia"/>
          <w:color w:val="000000" w:themeColor="text1"/>
          <w:sz w:val="24"/>
          <w:szCs w:val="24"/>
        </w:rPr>
        <w:t>3</w:t>
      </w:r>
      <w:r w:rsidRPr="00FC0759">
        <w:rPr>
          <w:rFonts w:eastAsiaTheme="minorEastAsia"/>
          <w:color w:val="000000" w:themeColor="text1"/>
          <w:sz w:val="24"/>
          <w:szCs w:val="24"/>
        </w:rPr>
        <w:t>月</w:t>
      </w:r>
      <w:r w:rsidRPr="00FC0759">
        <w:rPr>
          <w:rFonts w:eastAsiaTheme="minorEastAsia"/>
          <w:color w:val="000000" w:themeColor="text1"/>
          <w:sz w:val="24"/>
          <w:szCs w:val="24"/>
        </w:rPr>
        <w:t>13</w:t>
      </w:r>
      <w:r w:rsidRPr="00FC0759">
        <w:rPr>
          <w:rFonts w:eastAsiaTheme="minorEastAsia"/>
          <w:color w:val="000000" w:themeColor="text1"/>
          <w:sz w:val="24"/>
          <w:szCs w:val="24"/>
        </w:rPr>
        <w:t>日。</w:t>
      </w:r>
    </w:p>
    <w:p w:rsidR="004061AC" w:rsidRPr="00E74406" w:rsidRDefault="004061AC" w:rsidP="0001311F">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w:t>
      </w:r>
      <w:r w:rsidR="00D02347" w:rsidRPr="00E74406">
        <w:rPr>
          <w:rFonts w:eastAsiaTheme="minorEastAsia"/>
          <w:color w:val="000000" w:themeColor="text1"/>
          <w:kern w:val="0"/>
          <w:sz w:val="24"/>
          <w:szCs w:val="24"/>
        </w:rPr>
        <w:t>9</w:t>
      </w:r>
      <w:r w:rsidRPr="00E74406">
        <w:rPr>
          <w:rFonts w:eastAsiaTheme="minorEastAsia"/>
          <w:color w:val="000000" w:themeColor="text1"/>
          <w:kern w:val="0"/>
          <w:sz w:val="24"/>
          <w:szCs w:val="24"/>
        </w:rPr>
        <w:t>备查文件目录</w:t>
      </w:r>
    </w:p>
    <w:p w:rsidR="004061AC" w:rsidRPr="00E74406" w:rsidRDefault="00D02347" w:rsidP="00C71497">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9</w:t>
      </w:r>
      <w:r w:rsidR="004061AC" w:rsidRPr="00E74406">
        <w:rPr>
          <w:rFonts w:eastAsiaTheme="minorEastAsia"/>
          <w:b/>
          <w:bCs/>
          <w:color w:val="000000" w:themeColor="text1"/>
          <w:kern w:val="0"/>
          <w:sz w:val="24"/>
          <w:szCs w:val="24"/>
        </w:rPr>
        <w:t>.</w:t>
      </w:r>
      <w:r w:rsidR="00676095" w:rsidRPr="00E74406">
        <w:rPr>
          <w:rFonts w:eastAsiaTheme="minorEastAsia"/>
          <w:b/>
          <w:bCs/>
          <w:color w:val="000000" w:themeColor="text1"/>
          <w:kern w:val="0"/>
          <w:sz w:val="24"/>
          <w:szCs w:val="24"/>
        </w:rPr>
        <w:t>1</w:t>
      </w:r>
      <w:r w:rsidR="004061AC" w:rsidRPr="00E74406">
        <w:rPr>
          <w:rFonts w:eastAsiaTheme="minorEastAsia"/>
          <w:b/>
          <w:bCs/>
          <w:color w:val="000000" w:themeColor="text1"/>
          <w:kern w:val="0"/>
          <w:sz w:val="24"/>
          <w:szCs w:val="24"/>
        </w:rPr>
        <w:t>备查文件目录</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《关于准予国投瑞银瑞兴保本混合型证券投资基金注册的批复》（证监许可</w:t>
      </w:r>
      <w:r>
        <w:rPr>
          <w:rFonts w:eastAsiaTheme="minorEastAsia"/>
          <w:color w:val="000000" w:themeColor="text1"/>
          <w:sz w:val="24"/>
          <w:szCs w:val="24"/>
        </w:rPr>
        <w:t>[2015]2777</w:t>
      </w:r>
      <w:r>
        <w:rPr>
          <w:rFonts w:eastAsiaTheme="minorEastAsia"/>
          <w:color w:val="000000" w:themeColor="text1"/>
          <w:sz w:val="24"/>
          <w:szCs w:val="24"/>
        </w:rPr>
        <w:t>号）</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《关于国投瑞银瑞兴保本混合型证券投资基金备案确认的函》（机构部函</w:t>
      </w:r>
      <w:r>
        <w:rPr>
          <w:rFonts w:eastAsiaTheme="minorEastAsia"/>
          <w:color w:val="000000" w:themeColor="text1"/>
          <w:sz w:val="24"/>
          <w:szCs w:val="24"/>
        </w:rPr>
        <w:t>[2015]3355</w:t>
      </w:r>
      <w:r>
        <w:rPr>
          <w:rFonts w:eastAsiaTheme="minorEastAsia"/>
          <w:color w:val="000000" w:themeColor="text1"/>
          <w:sz w:val="24"/>
          <w:szCs w:val="24"/>
        </w:rPr>
        <w:t>号）</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《国投瑞银瑞兴保本混合型证券投资基金基金合同》</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《国投瑞银瑞兴保本混合型证券投资基金托管协议》</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《国投瑞银瑞兴灵活配置混合型证券投资基金基金合同》</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《国投瑞银瑞兴灵活配置混合型证券投资基金托管协议》</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国投瑞银基金管理有限公司营业执照、公司章程及基金管理人业务资格批件</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本报告期内在中国证监会指定信息披露报刊上披露的信息公告原文</w:t>
      </w:r>
    </w:p>
    <w:p w:rsidR="004061AC" w:rsidRPr="00E74406" w:rsidRDefault="006D7FF8"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国投瑞银瑞兴灵活配置混合型证券投资基金</w:t>
      </w:r>
      <w:r w:rsidRPr="00E74406">
        <w:rPr>
          <w:rFonts w:eastAsiaTheme="minorEastAsia"/>
          <w:color w:val="000000" w:themeColor="text1"/>
          <w:sz w:val="24"/>
          <w:szCs w:val="24"/>
        </w:rPr>
        <w:t>2019</w:t>
      </w:r>
      <w:r w:rsidRPr="00E74406">
        <w:rPr>
          <w:rFonts w:eastAsiaTheme="minorEastAsia"/>
          <w:color w:val="000000" w:themeColor="text1"/>
          <w:sz w:val="24"/>
          <w:szCs w:val="24"/>
        </w:rPr>
        <w:t>年第</w:t>
      </w:r>
      <w:r w:rsidRPr="00E74406">
        <w:rPr>
          <w:rFonts w:eastAsiaTheme="minorEastAsia"/>
          <w:color w:val="000000" w:themeColor="text1"/>
          <w:sz w:val="24"/>
          <w:szCs w:val="24"/>
        </w:rPr>
        <w:t>1</w:t>
      </w:r>
      <w:r w:rsidRPr="00E74406">
        <w:rPr>
          <w:rFonts w:eastAsiaTheme="minorEastAsia"/>
          <w:color w:val="000000" w:themeColor="text1"/>
          <w:sz w:val="24"/>
          <w:szCs w:val="24"/>
        </w:rPr>
        <w:t>季度报告原文</w:t>
      </w:r>
    </w:p>
    <w:p w:rsidR="006A48FD" w:rsidRPr="00E74406" w:rsidRDefault="006A48FD" w:rsidP="00C71497">
      <w:pPr>
        <w:spacing w:line="360" w:lineRule="auto"/>
        <w:ind w:firstLineChars="200" w:firstLine="480"/>
        <w:rPr>
          <w:rFonts w:eastAsiaTheme="minorEastAsia"/>
          <w:color w:val="000000" w:themeColor="text1"/>
          <w:sz w:val="24"/>
          <w:szCs w:val="24"/>
        </w:rPr>
      </w:pPr>
    </w:p>
    <w:p w:rsidR="004061AC" w:rsidRPr="00E74406" w:rsidRDefault="00D02347" w:rsidP="00C71497">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9</w:t>
      </w:r>
      <w:r w:rsidR="004061AC" w:rsidRPr="00E74406">
        <w:rPr>
          <w:rFonts w:eastAsiaTheme="minorEastAsia"/>
          <w:b/>
          <w:bCs/>
          <w:color w:val="000000" w:themeColor="text1"/>
          <w:kern w:val="0"/>
          <w:sz w:val="24"/>
          <w:szCs w:val="24"/>
        </w:rPr>
        <w:t>.</w:t>
      </w:r>
      <w:r w:rsidR="00676095" w:rsidRPr="00E74406">
        <w:rPr>
          <w:rFonts w:eastAsiaTheme="minorEastAsia"/>
          <w:b/>
          <w:bCs/>
          <w:color w:val="000000" w:themeColor="text1"/>
          <w:kern w:val="0"/>
          <w:sz w:val="24"/>
          <w:szCs w:val="24"/>
        </w:rPr>
        <w:t>2</w:t>
      </w:r>
      <w:r w:rsidR="004061AC" w:rsidRPr="00E74406">
        <w:rPr>
          <w:rFonts w:eastAsiaTheme="minorEastAsia"/>
          <w:b/>
          <w:bCs/>
          <w:color w:val="000000" w:themeColor="text1"/>
          <w:kern w:val="0"/>
          <w:sz w:val="24"/>
          <w:szCs w:val="24"/>
        </w:rPr>
        <w:t>存放地点</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中国广东省深圳市福田区金田路</w:t>
      </w:r>
      <w:r>
        <w:rPr>
          <w:rFonts w:eastAsiaTheme="minorEastAsia"/>
          <w:color w:val="000000" w:themeColor="text1"/>
          <w:sz w:val="24"/>
          <w:szCs w:val="24"/>
        </w:rPr>
        <w:t>4028</w:t>
      </w:r>
      <w:r>
        <w:rPr>
          <w:rFonts w:eastAsiaTheme="minorEastAsia"/>
          <w:color w:val="000000" w:themeColor="text1"/>
          <w:sz w:val="24"/>
          <w:szCs w:val="24"/>
        </w:rPr>
        <w:t>号荣超经贸中心</w:t>
      </w:r>
      <w:r>
        <w:rPr>
          <w:rFonts w:eastAsiaTheme="minorEastAsia"/>
          <w:color w:val="000000" w:themeColor="text1"/>
          <w:sz w:val="24"/>
          <w:szCs w:val="24"/>
        </w:rPr>
        <w:t>46</w:t>
      </w:r>
      <w:r>
        <w:rPr>
          <w:rFonts w:eastAsiaTheme="minorEastAsia"/>
          <w:color w:val="000000" w:themeColor="text1"/>
          <w:sz w:val="24"/>
          <w:szCs w:val="24"/>
        </w:rPr>
        <w:t>层</w:t>
      </w:r>
    </w:p>
    <w:p w:rsidR="004061AC" w:rsidRPr="00E74406" w:rsidRDefault="006D7FF8"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存放网址：</w:t>
      </w:r>
      <w:r w:rsidRPr="00E74406">
        <w:rPr>
          <w:rFonts w:eastAsiaTheme="minorEastAsia"/>
          <w:color w:val="000000" w:themeColor="text1"/>
          <w:sz w:val="24"/>
          <w:szCs w:val="24"/>
        </w:rPr>
        <w:t>http://www.ubssdic.com</w:t>
      </w:r>
    </w:p>
    <w:p w:rsidR="006A48FD" w:rsidRPr="00E74406" w:rsidRDefault="006A48FD" w:rsidP="00C71497">
      <w:pPr>
        <w:spacing w:line="360" w:lineRule="auto"/>
        <w:ind w:firstLineChars="200" w:firstLine="480"/>
        <w:rPr>
          <w:rFonts w:eastAsiaTheme="minorEastAsia"/>
          <w:color w:val="000000" w:themeColor="text1"/>
          <w:sz w:val="24"/>
          <w:szCs w:val="24"/>
        </w:rPr>
      </w:pPr>
    </w:p>
    <w:p w:rsidR="004061AC" w:rsidRPr="00E74406" w:rsidRDefault="00D02347" w:rsidP="00C71497">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9</w:t>
      </w:r>
      <w:r w:rsidR="004061AC" w:rsidRPr="00E74406">
        <w:rPr>
          <w:rFonts w:eastAsiaTheme="minorEastAsia"/>
          <w:b/>
          <w:bCs/>
          <w:color w:val="000000" w:themeColor="text1"/>
          <w:kern w:val="0"/>
          <w:sz w:val="24"/>
          <w:szCs w:val="24"/>
        </w:rPr>
        <w:t>.</w:t>
      </w:r>
      <w:r w:rsidR="00676095" w:rsidRPr="00E74406">
        <w:rPr>
          <w:rFonts w:eastAsiaTheme="minorEastAsia"/>
          <w:b/>
          <w:bCs/>
          <w:color w:val="000000" w:themeColor="text1"/>
          <w:kern w:val="0"/>
          <w:sz w:val="24"/>
          <w:szCs w:val="24"/>
        </w:rPr>
        <w:t>3</w:t>
      </w:r>
      <w:r w:rsidR="004061AC" w:rsidRPr="00E74406">
        <w:rPr>
          <w:rFonts w:eastAsiaTheme="minorEastAsia"/>
          <w:b/>
          <w:bCs/>
          <w:color w:val="000000" w:themeColor="text1"/>
          <w:kern w:val="0"/>
          <w:sz w:val="24"/>
          <w:szCs w:val="24"/>
        </w:rPr>
        <w:t>查阅方式</w:t>
      </w:r>
    </w:p>
    <w:p w:rsidR="008E4634" w:rsidRDefault="004C66A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投资者可在营业时间免费查阅，也可按工本费购买复印件</w:t>
      </w:r>
    </w:p>
    <w:p w:rsidR="00636DB7" w:rsidRPr="00E74406" w:rsidRDefault="006D7FF8"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咨询电话：</w:t>
      </w:r>
      <w:r w:rsidRPr="00E74406">
        <w:rPr>
          <w:rFonts w:eastAsiaTheme="minorEastAsia"/>
          <w:color w:val="000000" w:themeColor="text1"/>
          <w:sz w:val="24"/>
          <w:szCs w:val="24"/>
        </w:rPr>
        <w:t>400-880-6868</w:t>
      </w:r>
    </w:p>
    <w:p w:rsidR="004061AC" w:rsidRPr="00E74406" w:rsidRDefault="004061AC"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4061AC" w:rsidRPr="00E74406" w:rsidRDefault="004061AC" w:rsidP="004061AC">
      <w:pPr>
        <w:spacing w:line="360" w:lineRule="auto"/>
        <w:ind w:left="840"/>
        <w:jc w:val="right"/>
        <w:rPr>
          <w:rFonts w:eastAsiaTheme="minorEastAsia"/>
          <w:color w:val="000000" w:themeColor="text1"/>
          <w:sz w:val="24"/>
          <w:szCs w:val="24"/>
        </w:rPr>
      </w:pPr>
    </w:p>
    <w:p w:rsidR="004061AC" w:rsidRPr="00E74406" w:rsidRDefault="004061AC" w:rsidP="004061AC">
      <w:pPr>
        <w:spacing w:line="360" w:lineRule="auto"/>
        <w:ind w:left="840"/>
        <w:jc w:val="right"/>
        <w:rPr>
          <w:rFonts w:eastAsiaTheme="minorEastAsia"/>
          <w:color w:val="000000" w:themeColor="text1"/>
          <w:sz w:val="24"/>
          <w:szCs w:val="24"/>
        </w:rPr>
      </w:pPr>
    </w:p>
    <w:p w:rsidR="004061AC" w:rsidRPr="00E74406" w:rsidRDefault="00832A00" w:rsidP="00C71497">
      <w:pPr>
        <w:spacing w:line="360" w:lineRule="auto"/>
        <w:jc w:val="right"/>
        <w:rPr>
          <w:rFonts w:eastAsiaTheme="minorEastAsia"/>
          <w:b/>
          <w:bCs/>
          <w:color w:val="000000" w:themeColor="text1"/>
          <w:sz w:val="24"/>
          <w:szCs w:val="24"/>
        </w:rPr>
      </w:pPr>
      <w:r w:rsidRPr="00E74406">
        <w:rPr>
          <w:rFonts w:eastAsiaTheme="minorEastAsia"/>
          <w:b/>
          <w:bCs/>
          <w:color w:val="000000" w:themeColor="text1"/>
          <w:sz w:val="24"/>
          <w:szCs w:val="24"/>
        </w:rPr>
        <w:t>国投瑞银基金管理有限公司</w:t>
      </w:r>
    </w:p>
    <w:p w:rsidR="004061AC" w:rsidRPr="00E74406" w:rsidRDefault="00945AF6" w:rsidP="00C71497">
      <w:pPr>
        <w:spacing w:line="360" w:lineRule="auto"/>
        <w:jc w:val="right"/>
        <w:rPr>
          <w:rFonts w:eastAsiaTheme="minorEastAsia"/>
          <w:b/>
          <w:bCs/>
          <w:color w:val="000000" w:themeColor="text1"/>
          <w:sz w:val="24"/>
          <w:szCs w:val="24"/>
        </w:rPr>
      </w:pPr>
      <w:r w:rsidRPr="00E74406">
        <w:rPr>
          <w:rFonts w:eastAsiaTheme="minorEastAsia"/>
          <w:b/>
          <w:bCs/>
          <w:color w:val="000000" w:themeColor="text1"/>
          <w:sz w:val="24"/>
          <w:szCs w:val="24"/>
        </w:rPr>
        <w:t>二〇一九年四月二十二日</w:t>
      </w:r>
    </w:p>
    <w:p w:rsidR="00304A12" w:rsidRPr="00E74406" w:rsidRDefault="00304A12" w:rsidP="00955BE8">
      <w:pPr>
        <w:spacing w:line="360" w:lineRule="auto"/>
        <w:ind w:left="840"/>
        <w:jc w:val="right"/>
        <w:rPr>
          <w:rFonts w:eastAsiaTheme="minorEastAsia"/>
          <w:b/>
          <w:bCs/>
          <w:color w:val="000000" w:themeColor="text1"/>
          <w:sz w:val="24"/>
          <w:szCs w:val="24"/>
        </w:rPr>
      </w:pPr>
    </w:p>
    <w:p w:rsidR="00A90049" w:rsidRPr="00E74406" w:rsidRDefault="00A90049">
      <w:pPr>
        <w:rPr>
          <w:rFonts w:eastAsiaTheme="minorEastAsia"/>
          <w:color w:val="000000" w:themeColor="text1"/>
          <w:sz w:val="24"/>
          <w:szCs w:val="24"/>
        </w:rPr>
      </w:pPr>
    </w:p>
    <w:sectPr w:rsidR="00A90049" w:rsidRPr="00E74406" w:rsidSect="00304A12">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343" w:rsidRDefault="005E2343" w:rsidP="00876D65">
      <w:r>
        <w:separator/>
      </w:r>
    </w:p>
  </w:endnote>
  <w:endnote w:type="continuationSeparator" w:id="1">
    <w:p w:rsidR="005E2343" w:rsidRDefault="005E234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4819A0" w:rsidRDefault="004819A0" w:rsidP="004819A0">
    <w:pPr>
      <w:pStyle w:val="a6"/>
      <w:jc w:val="center"/>
      <w:rPr>
        <w:rFonts w:eastAsiaTheme="minorEastAsia"/>
        <w:sz w:val="21"/>
        <w:szCs w:val="21"/>
      </w:rPr>
    </w:pPr>
    <w:r>
      <w:rPr>
        <w:rFonts w:eastAsiaTheme="minorEastAsia" w:hint="eastAsia"/>
        <w:kern w:val="0"/>
        <w:sz w:val="21"/>
        <w:szCs w:val="21"/>
      </w:rPr>
      <w:t>第</w:t>
    </w:r>
    <w:r w:rsidR="008F118D">
      <w:rPr>
        <w:rFonts w:eastAsiaTheme="minorEastAsia"/>
        <w:kern w:val="0"/>
        <w:sz w:val="21"/>
        <w:szCs w:val="21"/>
      </w:rPr>
      <w:fldChar w:fldCharType="begin"/>
    </w:r>
    <w:r>
      <w:rPr>
        <w:rFonts w:eastAsiaTheme="minorEastAsia"/>
        <w:kern w:val="0"/>
        <w:sz w:val="21"/>
        <w:szCs w:val="21"/>
      </w:rPr>
      <w:instrText xml:space="preserve"> PAGE </w:instrText>
    </w:r>
    <w:r w:rsidR="008F118D">
      <w:rPr>
        <w:rFonts w:eastAsiaTheme="minorEastAsia"/>
        <w:kern w:val="0"/>
        <w:sz w:val="21"/>
        <w:szCs w:val="21"/>
      </w:rPr>
      <w:fldChar w:fldCharType="separate"/>
    </w:r>
    <w:r w:rsidR="0001311F">
      <w:rPr>
        <w:rFonts w:eastAsiaTheme="minorEastAsia"/>
        <w:noProof/>
        <w:kern w:val="0"/>
        <w:sz w:val="21"/>
        <w:szCs w:val="21"/>
      </w:rPr>
      <w:t>1</w:t>
    </w:r>
    <w:r w:rsidR="008F118D">
      <w:rPr>
        <w:rFonts w:eastAsiaTheme="minorEastAsia"/>
        <w:kern w:val="0"/>
        <w:sz w:val="21"/>
        <w:szCs w:val="21"/>
      </w:rPr>
      <w:fldChar w:fldCharType="end"/>
    </w:r>
    <w:r>
      <w:rPr>
        <w:rFonts w:eastAsiaTheme="minorEastAsia" w:hint="eastAsia"/>
        <w:kern w:val="0"/>
        <w:sz w:val="21"/>
        <w:szCs w:val="21"/>
      </w:rPr>
      <w:t>页，共</w:t>
    </w:r>
    <w:r w:rsidR="008F118D">
      <w:rPr>
        <w:rFonts w:eastAsiaTheme="minorEastAsia"/>
        <w:kern w:val="0"/>
        <w:sz w:val="21"/>
        <w:szCs w:val="21"/>
      </w:rPr>
      <w:fldChar w:fldCharType="begin"/>
    </w:r>
    <w:r>
      <w:rPr>
        <w:rFonts w:eastAsiaTheme="minorEastAsia"/>
        <w:kern w:val="0"/>
        <w:sz w:val="21"/>
        <w:szCs w:val="21"/>
      </w:rPr>
      <w:instrText xml:space="preserve"> NUMPAGES </w:instrText>
    </w:r>
    <w:r w:rsidR="008F118D">
      <w:rPr>
        <w:rFonts w:eastAsiaTheme="minorEastAsia"/>
        <w:kern w:val="0"/>
        <w:sz w:val="21"/>
        <w:szCs w:val="21"/>
      </w:rPr>
      <w:fldChar w:fldCharType="separate"/>
    </w:r>
    <w:r w:rsidR="0001311F">
      <w:rPr>
        <w:rFonts w:eastAsiaTheme="minorEastAsia"/>
        <w:noProof/>
        <w:kern w:val="0"/>
        <w:sz w:val="21"/>
        <w:szCs w:val="21"/>
      </w:rPr>
      <w:t>3</w:t>
    </w:r>
    <w:r w:rsidR="008F118D">
      <w:rPr>
        <w:rFonts w:eastAsiaTheme="minorEastAsia"/>
        <w:kern w:val="0"/>
        <w:sz w:val="21"/>
        <w:szCs w:val="21"/>
      </w:rPr>
      <w:fldChar w:fldCharType="end"/>
    </w:r>
    <w:r>
      <w:rPr>
        <w:rFonts w:eastAsiaTheme="minorEastAsia" w:hint="eastAsia"/>
        <w:kern w:val="0"/>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343" w:rsidRDefault="005E2343" w:rsidP="00876D65">
      <w:r>
        <w:separator/>
      </w:r>
    </w:p>
  </w:footnote>
  <w:footnote w:type="continuationSeparator" w:id="1">
    <w:p w:rsidR="005E2343" w:rsidRDefault="005E234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E74406" w:rsidRDefault="00171EF0" w:rsidP="00090A26">
    <w:pPr>
      <w:pStyle w:val="a9"/>
      <w:pBdr>
        <w:bottom w:val="single" w:sz="6" w:space="0" w:color="auto"/>
      </w:pBdr>
      <w:jc w:val="right"/>
      <w:rPr>
        <w:sz w:val="21"/>
        <w:szCs w:val="21"/>
      </w:rPr>
    </w:pPr>
    <w:r w:rsidRPr="00E74406">
      <w:rPr>
        <w:rFonts w:hint="eastAsia"/>
        <w:sz w:val="21"/>
        <w:szCs w:val="21"/>
      </w:rPr>
      <w:t>国投瑞银瑞兴灵活配置混合型证券投资基金</w:t>
    </w:r>
    <w:r w:rsidRPr="00E74406">
      <w:rPr>
        <w:rFonts w:hint="eastAsia"/>
        <w:sz w:val="21"/>
        <w:szCs w:val="21"/>
      </w:rPr>
      <w:t>2019</w:t>
    </w:r>
    <w:r w:rsidRPr="00E74406">
      <w:rPr>
        <w:rFonts w:hint="eastAsia"/>
        <w:sz w:val="21"/>
        <w:szCs w:val="21"/>
      </w:rPr>
      <w:t>年第</w:t>
    </w:r>
    <w:r w:rsidRPr="00E74406">
      <w:rPr>
        <w:rFonts w:hint="eastAsia"/>
        <w:sz w:val="21"/>
        <w:szCs w:val="21"/>
      </w:rPr>
      <w:t>1</w:t>
    </w:r>
    <w:r w:rsidRPr="00E74406">
      <w:rPr>
        <w:rFonts w:hint="eastAsia"/>
        <w:sz w:val="21"/>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311F"/>
    <w:rsid w:val="00014099"/>
    <w:rsid w:val="000160C5"/>
    <w:rsid w:val="000210E7"/>
    <w:rsid w:val="00031EBB"/>
    <w:rsid w:val="00033B8D"/>
    <w:rsid w:val="00043852"/>
    <w:rsid w:val="000450DD"/>
    <w:rsid w:val="000463DE"/>
    <w:rsid w:val="000668C1"/>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023CF"/>
    <w:rsid w:val="00111261"/>
    <w:rsid w:val="0012320C"/>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24BA"/>
    <w:rsid w:val="001C78B2"/>
    <w:rsid w:val="001C79F2"/>
    <w:rsid w:val="001D63BB"/>
    <w:rsid w:val="001D6A4B"/>
    <w:rsid w:val="001E4630"/>
    <w:rsid w:val="001F0964"/>
    <w:rsid w:val="001F30DA"/>
    <w:rsid w:val="001F5DC5"/>
    <w:rsid w:val="00200FAB"/>
    <w:rsid w:val="002012C7"/>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A692D"/>
    <w:rsid w:val="002B1D1A"/>
    <w:rsid w:val="002D6FB6"/>
    <w:rsid w:val="002E1B9F"/>
    <w:rsid w:val="002E3B09"/>
    <w:rsid w:val="002E52B3"/>
    <w:rsid w:val="002E66E5"/>
    <w:rsid w:val="002F29FF"/>
    <w:rsid w:val="00304A12"/>
    <w:rsid w:val="00305636"/>
    <w:rsid w:val="00305A29"/>
    <w:rsid w:val="00311662"/>
    <w:rsid w:val="00312A9F"/>
    <w:rsid w:val="00313F0D"/>
    <w:rsid w:val="00315D5D"/>
    <w:rsid w:val="00316484"/>
    <w:rsid w:val="00316E01"/>
    <w:rsid w:val="00320300"/>
    <w:rsid w:val="00324508"/>
    <w:rsid w:val="003259C8"/>
    <w:rsid w:val="003307FE"/>
    <w:rsid w:val="003470E2"/>
    <w:rsid w:val="0034730F"/>
    <w:rsid w:val="00352719"/>
    <w:rsid w:val="00355364"/>
    <w:rsid w:val="00364CCB"/>
    <w:rsid w:val="0039085F"/>
    <w:rsid w:val="00394069"/>
    <w:rsid w:val="00394E02"/>
    <w:rsid w:val="003A6061"/>
    <w:rsid w:val="003B6FBC"/>
    <w:rsid w:val="003C2B36"/>
    <w:rsid w:val="003D7B9D"/>
    <w:rsid w:val="003E2240"/>
    <w:rsid w:val="003E62FB"/>
    <w:rsid w:val="003F39DF"/>
    <w:rsid w:val="003F63BE"/>
    <w:rsid w:val="004061AC"/>
    <w:rsid w:val="00406C52"/>
    <w:rsid w:val="004149AC"/>
    <w:rsid w:val="0042009D"/>
    <w:rsid w:val="00427F58"/>
    <w:rsid w:val="00433805"/>
    <w:rsid w:val="00465285"/>
    <w:rsid w:val="00471408"/>
    <w:rsid w:val="004819A0"/>
    <w:rsid w:val="004830A5"/>
    <w:rsid w:val="004858E0"/>
    <w:rsid w:val="004934E9"/>
    <w:rsid w:val="004943C2"/>
    <w:rsid w:val="004A11A7"/>
    <w:rsid w:val="004C66A8"/>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234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57F4D"/>
    <w:rsid w:val="00660D4B"/>
    <w:rsid w:val="00664ECC"/>
    <w:rsid w:val="00670989"/>
    <w:rsid w:val="006757DC"/>
    <w:rsid w:val="00676095"/>
    <w:rsid w:val="00693843"/>
    <w:rsid w:val="0069426C"/>
    <w:rsid w:val="00694DFB"/>
    <w:rsid w:val="006A1C62"/>
    <w:rsid w:val="006A48FD"/>
    <w:rsid w:val="006A67F8"/>
    <w:rsid w:val="006A7AF1"/>
    <w:rsid w:val="006B11BB"/>
    <w:rsid w:val="006B42EA"/>
    <w:rsid w:val="006C12B8"/>
    <w:rsid w:val="006C37FC"/>
    <w:rsid w:val="006C57F1"/>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8699A"/>
    <w:rsid w:val="00796CA8"/>
    <w:rsid w:val="00797305"/>
    <w:rsid w:val="007B035B"/>
    <w:rsid w:val="007B490D"/>
    <w:rsid w:val="007B4C04"/>
    <w:rsid w:val="007B4D7A"/>
    <w:rsid w:val="007B5AFB"/>
    <w:rsid w:val="007C5862"/>
    <w:rsid w:val="007F33CD"/>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5791D"/>
    <w:rsid w:val="008606B6"/>
    <w:rsid w:val="00862989"/>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E4634"/>
    <w:rsid w:val="008F118D"/>
    <w:rsid w:val="008F5F67"/>
    <w:rsid w:val="008F60F2"/>
    <w:rsid w:val="0090217D"/>
    <w:rsid w:val="0090366E"/>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C0430"/>
    <w:rsid w:val="009C1729"/>
    <w:rsid w:val="009C4E99"/>
    <w:rsid w:val="009C5186"/>
    <w:rsid w:val="009C60F7"/>
    <w:rsid w:val="009D0952"/>
    <w:rsid w:val="009E0273"/>
    <w:rsid w:val="009E31DA"/>
    <w:rsid w:val="009E402C"/>
    <w:rsid w:val="009E7C6A"/>
    <w:rsid w:val="009F7ED4"/>
    <w:rsid w:val="00A03AAC"/>
    <w:rsid w:val="00A047D1"/>
    <w:rsid w:val="00A04F76"/>
    <w:rsid w:val="00A22AD0"/>
    <w:rsid w:val="00A22DA8"/>
    <w:rsid w:val="00A31671"/>
    <w:rsid w:val="00A33DA9"/>
    <w:rsid w:val="00A45320"/>
    <w:rsid w:val="00A52F8F"/>
    <w:rsid w:val="00A5612C"/>
    <w:rsid w:val="00A5689C"/>
    <w:rsid w:val="00A57AE4"/>
    <w:rsid w:val="00A633C6"/>
    <w:rsid w:val="00A63F19"/>
    <w:rsid w:val="00A66F42"/>
    <w:rsid w:val="00A76625"/>
    <w:rsid w:val="00A83500"/>
    <w:rsid w:val="00A90049"/>
    <w:rsid w:val="00A917BF"/>
    <w:rsid w:val="00A96A94"/>
    <w:rsid w:val="00AA3A38"/>
    <w:rsid w:val="00AA4F94"/>
    <w:rsid w:val="00AB047E"/>
    <w:rsid w:val="00AB2D90"/>
    <w:rsid w:val="00AB4DA2"/>
    <w:rsid w:val="00AC2BE8"/>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BF78B3"/>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9481C"/>
    <w:rsid w:val="00CA5FD5"/>
    <w:rsid w:val="00CA7703"/>
    <w:rsid w:val="00CB0F92"/>
    <w:rsid w:val="00CB6255"/>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DF2AD4"/>
    <w:rsid w:val="00E44E18"/>
    <w:rsid w:val="00E54301"/>
    <w:rsid w:val="00E55ABD"/>
    <w:rsid w:val="00E60817"/>
    <w:rsid w:val="00E71F78"/>
    <w:rsid w:val="00E74406"/>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57E9B"/>
    <w:rsid w:val="00F66A51"/>
    <w:rsid w:val="00F67669"/>
    <w:rsid w:val="00F71057"/>
    <w:rsid w:val="00F71A4B"/>
    <w:rsid w:val="00F728CF"/>
    <w:rsid w:val="00F743D4"/>
    <w:rsid w:val="00F83B17"/>
    <w:rsid w:val="00F87EDA"/>
    <w:rsid w:val="00F96C56"/>
    <w:rsid w:val="00F970EE"/>
    <w:rsid w:val="00FB0BC9"/>
    <w:rsid w:val="00FB41D3"/>
    <w:rsid w:val="00FB4F70"/>
    <w:rsid w:val="00FB5EFC"/>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251046334">
      <w:bodyDiv w:val="1"/>
      <w:marLeft w:val="0"/>
      <w:marRight w:val="0"/>
      <w:marTop w:val="0"/>
      <w:marBottom w:val="0"/>
      <w:divBdr>
        <w:top w:val="none" w:sz="0" w:space="0" w:color="auto"/>
        <w:left w:val="none" w:sz="0" w:space="0" w:color="auto"/>
        <w:bottom w:val="none" w:sz="0" w:space="0" w:color="auto"/>
        <w:right w:val="none" w:sz="0" w:space="0" w:color="auto"/>
      </w:divBdr>
    </w:div>
    <w:div w:id="1410469053">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23D0-7111-49C5-90C7-8F98ACEF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6026</Characters>
  <Application>Microsoft Office Word</Application>
  <DocSecurity>4</DocSecurity>
  <Lines>50</Lines>
  <Paragraphs>14</Paragraphs>
  <ScaleCrop>false</ScaleCrop>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石景逸</dc:creator>
  <cp:lastModifiedBy>ZHONGM</cp:lastModifiedBy>
  <cp:revision>2</cp:revision>
  <dcterms:created xsi:type="dcterms:W3CDTF">2019-04-21T16:05:00Z</dcterms:created>
  <dcterms:modified xsi:type="dcterms:W3CDTF">2019-04-21T16:05:00Z</dcterms:modified>
</cp:coreProperties>
</file>