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F82017"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F82017"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F82017"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F82017"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322941" w:rsidRDefault="009A2283" w:rsidP="009A2283">
      <w:pPr>
        <w:autoSpaceDE w:val="0"/>
        <w:autoSpaceDN w:val="0"/>
        <w:adjustRightInd w:val="0"/>
        <w:spacing w:line="360" w:lineRule="auto"/>
        <w:jc w:val="left"/>
        <w:rPr>
          <w:rFonts w:eastAsiaTheme="minorEastAsia"/>
          <w:color w:val="000000" w:themeColor="text1"/>
          <w:kern w:val="0"/>
          <w:sz w:val="24"/>
        </w:rPr>
      </w:pPr>
    </w:p>
    <w:p w:rsidR="009A2283" w:rsidRPr="00322941" w:rsidRDefault="002D2A00" w:rsidP="00FC13C8">
      <w:pPr>
        <w:spacing w:line="360" w:lineRule="auto"/>
        <w:jc w:val="center"/>
        <w:rPr>
          <w:rFonts w:eastAsiaTheme="minorEastAsia"/>
          <w:b/>
          <w:color w:val="000000" w:themeColor="text1"/>
          <w:sz w:val="24"/>
        </w:rPr>
      </w:pPr>
      <w:r w:rsidRPr="00322941">
        <w:rPr>
          <w:rFonts w:eastAsiaTheme="minorEastAsia"/>
          <w:b/>
          <w:color w:val="000000" w:themeColor="text1"/>
          <w:sz w:val="24"/>
        </w:rPr>
        <w:t>国投瑞银岁丰利债券型证券投资基金</w:t>
      </w:r>
    </w:p>
    <w:p w:rsidR="002D2A00" w:rsidRPr="00322941" w:rsidRDefault="002D2A00" w:rsidP="00FC13C8">
      <w:pPr>
        <w:spacing w:line="360" w:lineRule="auto"/>
        <w:jc w:val="center"/>
        <w:rPr>
          <w:rFonts w:eastAsiaTheme="minorEastAsia"/>
          <w:b/>
          <w:color w:val="000000" w:themeColor="text1"/>
          <w:sz w:val="24"/>
        </w:rPr>
      </w:pPr>
      <w:r w:rsidRPr="00322941">
        <w:rPr>
          <w:rFonts w:eastAsiaTheme="minorEastAsia"/>
          <w:b/>
          <w:color w:val="000000" w:themeColor="text1"/>
          <w:sz w:val="24"/>
        </w:rPr>
        <w:t>2019</w:t>
      </w:r>
      <w:r w:rsidRPr="00322941">
        <w:rPr>
          <w:rFonts w:eastAsiaTheme="minorEastAsia"/>
          <w:b/>
          <w:color w:val="000000" w:themeColor="text1"/>
          <w:sz w:val="24"/>
        </w:rPr>
        <w:t>年第</w:t>
      </w:r>
      <w:r w:rsidRPr="00322941">
        <w:rPr>
          <w:rFonts w:eastAsiaTheme="minorEastAsia"/>
          <w:b/>
          <w:color w:val="000000" w:themeColor="text1"/>
          <w:sz w:val="24"/>
        </w:rPr>
        <w:t>1</w:t>
      </w:r>
      <w:r w:rsidRPr="00322941">
        <w:rPr>
          <w:rFonts w:eastAsiaTheme="minorEastAsia"/>
          <w:b/>
          <w:color w:val="000000" w:themeColor="text1"/>
          <w:sz w:val="24"/>
        </w:rPr>
        <w:t>季度报告</w:t>
      </w:r>
    </w:p>
    <w:p w:rsidR="009A2283" w:rsidRPr="00322941" w:rsidRDefault="00121533" w:rsidP="00FC13C8">
      <w:pPr>
        <w:spacing w:line="360" w:lineRule="auto"/>
        <w:jc w:val="center"/>
        <w:rPr>
          <w:rFonts w:eastAsiaTheme="minorEastAsia"/>
          <w:b/>
          <w:color w:val="000000" w:themeColor="text1"/>
          <w:sz w:val="24"/>
        </w:rPr>
      </w:pPr>
      <w:r w:rsidRPr="00322941">
        <w:rPr>
          <w:rFonts w:eastAsiaTheme="minorEastAsia"/>
          <w:b/>
          <w:color w:val="000000" w:themeColor="text1"/>
          <w:sz w:val="24"/>
        </w:rPr>
        <w:t>2019</w:t>
      </w:r>
      <w:r w:rsidRPr="00322941">
        <w:rPr>
          <w:rFonts w:eastAsiaTheme="minorEastAsia"/>
          <w:b/>
          <w:color w:val="000000" w:themeColor="text1"/>
          <w:sz w:val="24"/>
        </w:rPr>
        <w:t>年</w:t>
      </w:r>
      <w:r w:rsidRPr="00322941">
        <w:rPr>
          <w:rFonts w:eastAsiaTheme="minorEastAsia"/>
          <w:b/>
          <w:color w:val="000000" w:themeColor="text1"/>
          <w:sz w:val="24"/>
        </w:rPr>
        <w:t>3</w:t>
      </w:r>
      <w:r w:rsidRPr="00322941">
        <w:rPr>
          <w:rFonts w:eastAsiaTheme="minorEastAsia"/>
          <w:b/>
          <w:color w:val="000000" w:themeColor="text1"/>
          <w:sz w:val="24"/>
        </w:rPr>
        <w:t>月</w:t>
      </w:r>
      <w:r w:rsidRPr="00322941">
        <w:rPr>
          <w:rFonts w:eastAsiaTheme="minorEastAsia"/>
          <w:b/>
          <w:color w:val="000000" w:themeColor="text1"/>
          <w:sz w:val="24"/>
        </w:rPr>
        <w:t>31</w:t>
      </w:r>
      <w:r w:rsidRPr="00322941">
        <w:rPr>
          <w:rFonts w:eastAsiaTheme="minorEastAsia"/>
          <w:b/>
          <w:color w:val="000000" w:themeColor="text1"/>
          <w:sz w:val="24"/>
        </w:rPr>
        <w:t>日</w:t>
      </w: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E27360">
      <w:pPr>
        <w:spacing w:line="360" w:lineRule="auto"/>
        <w:jc w:val="center"/>
        <w:rPr>
          <w:rFonts w:eastAsiaTheme="minorEastAsia"/>
          <w:b/>
          <w:color w:val="000000" w:themeColor="text1"/>
          <w:szCs w:val="21"/>
        </w:rPr>
      </w:pPr>
    </w:p>
    <w:p w:rsidR="00E27360" w:rsidRPr="00F82017" w:rsidRDefault="00E27360" w:rsidP="00E27360">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jc w:val="center"/>
        <w:rPr>
          <w:rFonts w:eastAsiaTheme="minorEastAsia"/>
          <w:b/>
          <w:color w:val="000000" w:themeColor="text1"/>
          <w:szCs w:val="21"/>
        </w:rPr>
      </w:pPr>
    </w:p>
    <w:p w:rsidR="009A2283" w:rsidRPr="00F82017" w:rsidRDefault="009A2283" w:rsidP="009A2283">
      <w:pPr>
        <w:spacing w:line="360" w:lineRule="auto"/>
        <w:rPr>
          <w:rFonts w:eastAsiaTheme="minorEastAsia"/>
          <w:b/>
          <w:color w:val="000000" w:themeColor="text1"/>
          <w:szCs w:val="21"/>
        </w:rPr>
      </w:pPr>
    </w:p>
    <w:p w:rsidR="009A2283" w:rsidRPr="00F82017" w:rsidRDefault="009A2283" w:rsidP="00634B21">
      <w:pPr>
        <w:spacing w:line="360" w:lineRule="auto"/>
        <w:ind w:firstLineChars="900" w:firstLine="2168"/>
        <w:rPr>
          <w:rFonts w:eastAsiaTheme="minorEastAsia"/>
          <w:b/>
          <w:color w:val="000000" w:themeColor="text1"/>
          <w:sz w:val="24"/>
        </w:rPr>
      </w:pPr>
      <w:r w:rsidRPr="00F82017">
        <w:rPr>
          <w:rFonts w:eastAsiaTheme="minorEastAsia"/>
          <w:b/>
          <w:color w:val="000000" w:themeColor="text1"/>
          <w:sz w:val="24"/>
        </w:rPr>
        <w:t>基金管理人：</w:t>
      </w:r>
      <w:r w:rsidR="00BF377F" w:rsidRPr="00F82017">
        <w:rPr>
          <w:rFonts w:eastAsiaTheme="minorEastAsia"/>
          <w:b/>
          <w:color w:val="000000" w:themeColor="text1"/>
          <w:sz w:val="24"/>
        </w:rPr>
        <w:t>国投瑞银基金管理有限公司</w:t>
      </w:r>
    </w:p>
    <w:p w:rsidR="009A2283" w:rsidRPr="00F82017" w:rsidRDefault="009A2283" w:rsidP="00634B21">
      <w:pPr>
        <w:spacing w:line="360" w:lineRule="auto"/>
        <w:ind w:firstLineChars="900" w:firstLine="2168"/>
        <w:rPr>
          <w:rFonts w:eastAsiaTheme="minorEastAsia"/>
          <w:b/>
          <w:color w:val="000000" w:themeColor="text1"/>
          <w:sz w:val="24"/>
        </w:rPr>
      </w:pPr>
      <w:r w:rsidRPr="00F82017">
        <w:rPr>
          <w:rFonts w:eastAsiaTheme="minorEastAsia"/>
          <w:b/>
          <w:color w:val="000000" w:themeColor="text1"/>
          <w:sz w:val="24"/>
        </w:rPr>
        <w:t>基金托管人：</w:t>
      </w:r>
      <w:r w:rsidR="00BF377F" w:rsidRPr="00F82017">
        <w:rPr>
          <w:rFonts w:eastAsiaTheme="minorEastAsia"/>
          <w:b/>
          <w:color w:val="000000" w:themeColor="text1"/>
          <w:sz w:val="24"/>
        </w:rPr>
        <w:t>中国银行股份有限公司</w:t>
      </w:r>
    </w:p>
    <w:p w:rsidR="009A2283" w:rsidRPr="00F82017" w:rsidRDefault="009A2283" w:rsidP="00634B21">
      <w:pPr>
        <w:spacing w:line="360" w:lineRule="auto"/>
        <w:ind w:firstLineChars="900" w:firstLine="2168"/>
        <w:rPr>
          <w:rFonts w:eastAsiaTheme="minorEastAsia"/>
          <w:color w:val="000000" w:themeColor="text1"/>
          <w:szCs w:val="21"/>
        </w:rPr>
        <w:sectPr w:rsidR="009A2283" w:rsidRPr="00F82017" w:rsidSect="00F7094A">
          <w:headerReference w:type="default" r:id="rId8"/>
          <w:footerReference w:type="default" r:id="rId9"/>
          <w:pgSz w:w="11926" w:h="15840"/>
          <w:pgMar w:top="1418" w:right="1418" w:bottom="851" w:left="1418" w:header="851" w:footer="992" w:gutter="0"/>
          <w:cols w:space="720"/>
          <w:noEndnote/>
        </w:sectPr>
      </w:pPr>
      <w:r w:rsidRPr="00F82017">
        <w:rPr>
          <w:rFonts w:eastAsiaTheme="minorEastAsia"/>
          <w:b/>
          <w:color w:val="000000" w:themeColor="text1"/>
          <w:sz w:val="24"/>
        </w:rPr>
        <w:t>报告送出日期：</w:t>
      </w:r>
      <w:r w:rsidR="00D04410" w:rsidRPr="00F82017">
        <w:rPr>
          <w:rFonts w:eastAsiaTheme="minorEastAsia"/>
          <w:b/>
          <w:color w:val="000000" w:themeColor="text1"/>
          <w:sz w:val="24"/>
        </w:rPr>
        <w:t>二〇一九年四月二十二日</w:t>
      </w:r>
    </w:p>
    <w:p w:rsidR="009238DB" w:rsidRPr="00F82017" w:rsidRDefault="009238DB" w:rsidP="002A3961">
      <w:pPr>
        <w:pStyle w:val="1"/>
        <w:spacing w:beforeLines="100" w:afterLines="100" w:line="360" w:lineRule="auto"/>
        <w:jc w:val="center"/>
        <w:rPr>
          <w:rFonts w:eastAsiaTheme="minorEastAsia"/>
          <w:b w:val="0"/>
          <w:color w:val="000000" w:themeColor="text1"/>
          <w:kern w:val="0"/>
          <w:sz w:val="24"/>
          <w:szCs w:val="24"/>
        </w:rPr>
      </w:pPr>
      <w:r w:rsidRPr="00F82017">
        <w:rPr>
          <w:rFonts w:eastAsiaTheme="minorEastAsia"/>
          <w:color w:val="000000" w:themeColor="text1"/>
          <w:kern w:val="0"/>
          <w:sz w:val="24"/>
          <w:szCs w:val="24"/>
        </w:rPr>
        <w:lastRenderedPageBreak/>
        <w:t xml:space="preserve">§1  </w:t>
      </w:r>
      <w:r w:rsidRPr="00F82017">
        <w:rPr>
          <w:rFonts w:eastAsiaTheme="minorEastAsia"/>
          <w:color w:val="000000" w:themeColor="text1"/>
          <w:kern w:val="0"/>
          <w:sz w:val="24"/>
          <w:szCs w:val="24"/>
        </w:rPr>
        <w:t>重要提示</w:t>
      </w:r>
    </w:p>
    <w:tbl>
      <w:tblPr>
        <w:tblStyle w:val="af2"/>
        <w:tblW w:w="0" w:type="auto"/>
        <w:tblLook w:val="04A0"/>
      </w:tblPr>
      <w:tblGrid>
        <w:gridCol w:w="8472"/>
      </w:tblGrid>
      <w:tr w:rsidR="003F4852" w:rsidRPr="00F82017" w:rsidTr="003F4852">
        <w:tc>
          <w:tcPr>
            <w:tcW w:w="8472" w:type="dxa"/>
          </w:tcPr>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日复核了本报告中的财务指标、净值表现和投资组合报告等内容，保证复核内容不存在虚假记载、误导性陈述或者重大遗漏。</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3F4852" w:rsidRPr="00F82017" w:rsidRDefault="003F4852"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本报告期自</w:t>
            </w:r>
            <w:r w:rsidRPr="00F82017">
              <w:rPr>
                <w:rFonts w:eastAsiaTheme="minorEastAsia"/>
                <w:color w:val="000000" w:themeColor="text1"/>
                <w:sz w:val="24"/>
              </w:rPr>
              <w:t>2019</w:t>
            </w:r>
            <w:r w:rsidRPr="00F82017">
              <w:rPr>
                <w:rFonts w:eastAsiaTheme="minorEastAsia"/>
                <w:color w:val="000000" w:themeColor="text1"/>
                <w:sz w:val="24"/>
              </w:rPr>
              <w:t>年</w:t>
            </w:r>
            <w:r w:rsidRPr="00F82017">
              <w:rPr>
                <w:rFonts w:eastAsiaTheme="minorEastAsia"/>
                <w:color w:val="000000" w:themeColor="text1"/>
                <w:sz w:val="24"/>
              </w:rPr>
              <w:t>1</w:t>
            </w:r>
            <w:r w:rsidRPr="00F82017">
              <w:rPr>
                <w:rFonts w:eastAsiaTheme="minorEastAsia"/>
                <w:color w:val="000000" w:themeColor="text1"/>
                <w:sz w:val="24"/>
              </w:rPr>
              <w:t>月</w:t>
            </w:r>
            <w:r w:rsidRPr="00F82017">
              <w:rPr>
                <w:rFonts w:eastAsiaTheme="minorEastAsia"/>
                <w:color w:val="000000" w:themeColor="text1"/>
                <w:sz w:val="24"/>
              </w:rPr>
              <w:t>1</w:t>
            </w:r>
            <w:r w:rsidRPr="00F82017">
              <w:rPr>
                <w:rFonts w:eastAsiaTheme="minorEastAsia"/>
                <w:color w:val="000000" w:themeColor="text1"/>
                <w:sz w:val="24"/>
              </w:rPr>
              <w:t>日起至</w:t>
            </w:r>
            <w:r w:rsidRPr="00F82017">
              <w:rPr>
                <w:rFonts w:eastAsiaTheme="minorEastAsia"/>
                <w:color w:val="000000" w:themeColor="text1"/>
                <w:sz w:val="24"/>
              </w:rPr>
              <w:t>3</w:t>
            </w:r>
            <w:r w:rsidRPr="00F82017">
              <w:rPr>
                <w:rFonts w:eastAsiaTheme="minorEastAsia"/>
                <w:color w:val="000000" w:themeColor="text1"/>
                <w:sz w:val="24"/>
              </w:rPr>
              <w:t>月</w:t>
            </w:r>
            <w:r w:rsidRPr="00F82017">
              <w:rPr>
                <w:rFonts w:eastAsiaTheme="minorEastAsia"/>
                <w:color w:val="000000" w:themeColor="text1"/>
                <w:sz w:val="24"/>
              </w:rPr>
              <w:t>31</w:t>
            </w:r>
            <w:r w:rsidRPr="00F82017">
              <w:rPr>
                <w:rFonts w:eastAsiaTheme="minorEastAsia"/>
                <w:color w:val="000000" w:themeColor="text1"/>
                <w:sz w:val="24"/>
              </w:rPr>
              <w:t>日止。</w:t>
            </w:r>
          </w:p>
        </w:tc>
      </w:tr>
    </w:tbl>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 xml:space="preserve">§2  </w:t>
      </w:r>
      <w:r w:rsidRPr="00F82017">
        <w:rPr>
          <w:rFonts w:eastAsiaTheme="minorEastAsia"/>
          <w:color w:val="000000" w:themeColor="text1"/>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739"/>
        <w:gridCol w:w="2740"/>
      </w:tblGrid>
      <w:tr w:rsidR="0086758B" w:rsidRPr="00F82017" w:rsidTr="003F7026">
        <w:tc>
          <w:tcPr>
            <w:tcW w:w="2835" w:type="dxa"/>
            <w:vAlign w:val="center"/>
          </w:tcPr>
          <w:p w:rsidR="00A6200E" w:rsidRPr="00F82017" w:rsidRDefault="00A6200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基金简称</w:t>
            </w:r>
          </w:p>
        </w:tc>
        <w:tc>
          <w:tcPr>
            <w:tcW w:w="5479" w:type="dxa"/>
            <w:gridSpan w:val="2"/>
            <w:vAlign w:val="center"/>
          </w:tcPr>
          <w:p w:rsidR="00A6200E" w:rsidRPr="00F82017" w:rsidRDefault="00A6200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国投瑞银岁丰利债券</w:t>
            </w:r>
          </w:p>
        </w:tc>
      </w:tr>
      <w:tr w:rsidR="0086758B" w:rsidRPr="00F82017" w:rsidTr="003F7026">
        <w:tc>
          <w:tcPr>
            <w:tcW w:w="2835" w:type="dxa"/>
            <w:vAlign w:val="center"/>
          </w:tcPr>
          <w:p w:rsidR="00B95753" w:rsidRPr="00F82017" w:rsidRDefault="00B95753"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基金主代码</w:t>
            </w:r>
          </w:p>
        </w:tc>
        <w:tc>
          <w:tcPr>
            <w:tcW w:w="5479" w:type="dxa"/>
            <w:gridSpan w:val="2"/>
            <w:tcBorders>
              <w:bottom w:val="single" w:sz="4" w:space="0" w:color="auto"/>
            </w:tcBorders>
            <w:vAlign w:val="center"/>
          </w:tcPr>
          <w:p w:rsidR="00B95753" w:rsidRPr="00F82017" w:rsidRDefault="00B95753"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001137</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基金运作方式</w:t>
            </w:r>
          </w:p>
        </w:tc>
        <w:tc>
          <w:tcPr>
            <w:tcW w:w="5479" w:type="dxa"/>
            <w:gridSpan w:val="2"/>
            <w:tcBorders>
              <w:top w:val="single" w:sz="4" w:space="0" w:color="auto"/>
            </w:tcBorders>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契约型开放式</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基金合同生效日</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2015</w:t>
            </w:r>
            <w:r w:rsidRPr="00F82017">
              <w:rPr>
                <w:rFonts w:eastAsiaTheme="minorEastAsia"/>
                <w:color w:val="000000" w:themeColor="text1"/>
                <w:kern w:val="0"/>
                <w:sz w:val="24"/>
              </w:rPr>
              <w:t>年</w:t>
            </w:r>
            <w:r w:rsidRPr="00F82017">
              <w:rPr>
                <w:rFonts w:eastAsiaTheme="minorEastAsia"/>
                <w:color w:val="000000" w:themeColor="text1"/>
                <w:kern w:val="0"/>
                <w:sz w:val="24"/>
              </w:rPr>
              <w:t>7</w:t>
            </w:r>
            <w:r w:rsidRPr="00F82017">
              <w:rPr>
                <w:rFonts w:eastAsiaTheme="minorEastAsia"/>
                <w:color w:val="000000" w:themeColor="text1"/>
                <w:kern w:val="0"/>
                <w:sz w:val="24"/>
              </w:rPr>
              <w:t>月</w:t>
            </w:r>
            <w:r w:rsidRPr="00F82017">
              <w:rPr>
                <w:rFonts w:eastAsiaTheme="minorEastAsia"/>
                <w:color w:val="000000" w:themeColor="text1"/>
                <w:kern w:val="0"/>
                <w:sz w:val="24"/>
              </w:rPr>
              <w:t>21</w:t>
            </w:r>
            <w:r w:rsidRPr="00F82017">
              <w:rPr>
                <w:rFonts w:eastAsiaTheme="minorEastAsia"/>
                <w:color w:val="000000" w:themeColor="text1"/>
                <w:kern w:val="0"/>
                <w:sz w:val="24"/>
              </w:rPr>
              <w:t>日</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报告期末基金份额总额</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11,800,984.96</w:t>
            </w:r>
            <w:r w:rsidRPr="00F82017">
              <w:rPr>
                <w:rFonts w:eastAsiaTheme="minorEastAsia"/>
                <w:color w:val="000000" w:themeColor="text1"/>
                <w:kern w:val="0"/>
                <w:sz w:val="24"/>
              </w:rPr>
              <w:t>份</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投资目标</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本基金在有效控制风险的基础上，通过积极主动的投资管理，力争为投资者实现超越业绩比较基准的投资业绩。</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投资策略</w:t>
            </w:r>
          </w:p>
        </w:tc>
        <w:tc>
          <w:tcPr>
            <w:tcW w:w="5479" w:type="dxa"/>
            <w:gridSpan w:val="2"/>
            <w:vAlign w:val="center"/>
          </w:tcPr>
          <w:p w:rsidR="00D245FC" w:rsidRDefault="00AA06B6">
            <w:pPr>
              <w:adjustRightInd w:val="0"/>
              <w:spacing w:before="29" w:line="360" w:lineRule="auto"/>
              <w:ind w:left="17"/>
              <w:rPr>
                <w:rFonts w:eastAsiaTheme="minorEastAsia"/>
                <w:color w:val="000000" w:themeColor="text1"/>
                <w:sz w:val="24"/>
              </w:rPr>
            </w:pPr>
            <w:r>
              <w:rPr>
                <w:rFonts w:eastAsiaTheme="minorEastAsia"/>
                <w:color w:val="000000" w:themeColor="text1"/>
                <w:kern w:val="0"/>
                <w:sz w:val="24"/>
              </w:rPr>
              <w:t>本基金采取</w:t>
            </w:r>
            <w:r>
              <w:rPr>
                <w:rFonts w:eastAsiaTheme="minorEastAsia"/>
                <w:color w:val="000000" w:themeColor="text1"/>
                <w:kern w:val="0"/>
                <w:sz w:val="24"/>
              </w:rPr>
              <w:t>"</w:t>
            </w:r>
            <w:r>
              <w:rPr>
                <w:rFonts w:eastAsiaTheme="minorEastAsia"/>
                <w:color w:val="000000" w:themeColor="text1"/>
                <w:kern w:val="0"/>
                <w:sz w:val="24"/>
              </w:rPr>
              <w:t>自上而下</w:t>
            </w:r>
            <w:r>
              <w:rPr>
                <w:rFonts w:eastAsiaTheme="minorEastAsia"/>
                <w:color w:val="000000" w:themeColor="text1"/>
                <w:kern w:val="0"/>
                <w:sz w:val="24"/>
              </w:rPr>
              <w:t>"</w:t>
            </w:r>
            <w:r>
              <w:rPr>
                <w:rFonts w:eastAsiaTheme="minorEastAsia"/>
                <w:color w:val="000000" w:themeColor="text1"/>
                <w:kern w:val="0"/>
                <w:sz w:val="24"/>
              </w:rPr>
              <w:t>的债券分析方法，确定债券模拟组合，并管理组合风险。</w:t>
            </w:r>
          </w:p>
          <w:p w:rsidR="00D245FC" w:rsidRDefault="00AA06B6">
            <w:pPr>
              <w:adjustRightInd w:val="0"/>
              <w:spacing w:before="29" w:line="360" w:lineRule="auto"/>
              <w:ind w:left="17"/>
              <w:rPr>
                <w:rFonts w:eastAsiaTheme="minorEastAsia"/>
                <w:color w:val="000000" w:themeColor="text1"/>
                <w:sz w:val="24"/>
              </w:rPr>
            </w:pPr>
            <w:r>
              <w:rPr>
                <w:rFonts w:eastAsiaTheme="minorEastAsia"/>
                <w:color w:val="000000" w:themeColor="text1"/>
                <w:kern w:val="0"/>
                <w:sz w:val="24"/>
              </w:rPr>
              <w:t>本基金基于均衡收益率曲线，进行基本价值评估，计算不同资产类别、不同剩余期限债券品种的预期超额回报，并对预期超额回报进行排序，得到投资</w:t>
            </w:r>
            <w:r>
              <w:rPr>
                <w:rFonts w:eastAsiaTheme="minorEastAsia"/>
                <w:color w:val="000000" w:themeColor="text1"/>
                <w:kern w:val="0"/>
                <w:sz w:val="24"/>
              </w:rPr>
              <w:lastRenderedPageBreak/>
              <w:t>评级。在此基础上，卖出内部收益率低于均衡收益率的债券，买入内部收益率高于均衡收益率的债券。</w:t>
            </w:r>
          </w:p>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债券投资策略主要包括：久期策略、收益率曲线策略、类别选择策略和个券选择策略。在不同的时期，采用以上策略对组合收益和风险的贡献不尽相同，具体采用何种策略取决于债券组合允许的风险程度。</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lastRenderedPageBreak/>
              <w:t>业绩比较基准</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中债综合指数收益率</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风险收益特征</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本基金为债券型基金，属证券投资基金中的较低风险品种，风险与预期收益高于货币市场基金，低于混合型基金和股票型基金。</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基金管理人</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国投瑞银基金管理有限公司</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基金托管人</w:t>
            </w:r>
          </w:p>
        </w:tc>
        <w:tc>
          <w:tcPr>
            <w:tcW w:w="5479" w:type="dxa"/>
            <w:gridSpan w:val="2"/>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kern w:val="0"/>
                <w:sz w:val="24"/>
              </w:rPr>
              <w:t>中国银行股份有限公司</w:t>
            </w:r>
          </w:p>
        </w:tc>
      </w:tr>
      <w:tr w:rsidR="0086758B" w:rsidRPr="00F82017" w:rsidTr="003F7026">
        <w:tc>
          <w:tcPr>
            <w:tcW w:w="2835" w:type="dxa"/>
            <w:vAlign w:val="center"/>
          </w:tcPr>
          <w:p w:rsidR="008532F3" w:rsidRPr="00F82017" w:rsidRDefault="00D72993"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sz w:val="24"/>
              </w:rPr>
              <w:t>下属分级</w:t>
            </w:r>
            <w:r w:rsidR="008532F3" w:rsidRPr="00F82017">
              <w:rPr>
                <w:rFonts w:eastAsiaTheme="minorEastAsia"/>
                <w:color w:val="000000" w:themeColor="text1"/>
                <w:sz w:val="24"/>
              </w:rPr>
              <w:t>基金的基金简称</w:t>
            </w:r>
          </w:p>
        </w:tc>
        <w:tc>
          <w:tcPr>
            <w:tcW w:w="2739" w:type="dxa"/>
            <w:vAlign w:val="center"/>
          </w:tcPr>
          <w:p w:rsidR="008532F3" w:rsidRPr="00F82017" w:rsidRDefault="008532F3" w:rsidP="003F7026">
            <w:pPr>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A</w:t>
            </w:r>
          </w:p>
        </w:tc>
        <w:tc>
          <w:tcPr>
            <w:tcW w:w="2740" w:type="dxa"/>
            <w:vAlign w:val="center"/>
          </w:tcPr>
          <w:p w:rsidR="008532F3" w:rsidRPr="00F82017" w:rsidRDefault="008532F3" w:rsidP="003F7026">
            <w:pPr>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C</w:t>
            </w:r>
          </w:p>
        </w:tc>
      </w:tr>
      <w:tr w:rsidR="0086758B" w:rsidRPr="00F82017" w:rsidTr="003F7026">
        <w:tc>
          <w:tcPr>
            <w:tcW w:w="2835" w:type="dxa"/>
            <w:vAlign w:val="center"/>
          </w:tcPr>
          <w:p w:rsidR="008532F3" w:rsidRPr="00F82017" w:rsidRDefault="008532F3"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sz w:val="24"/>
              </w:rPr>
              <w:t>下属</w:t>
            </w:r>
            <w:r w:rsidR="00D72993" w:rsidRPr="00F82017">
              <w:rPr>
                <w:rFonts w:eastAsiaTheme="minorEastAsia"/>
                <w:color w:val="000000" w:themeColor="text1"/>
                <w:sz w:val="24"/>
              </w:rPr>
              <w:t>分</w:t>
            </w:r>
            <w:r w:rsidRPr="00F82017">
              <w:rPr>
                <w:rFonts w:eastAsiaTheme="minorEastAsia"/>
                <w:color w:val="000000" w:themeColor="text1"/>
                <w:sz w:val="24"/>
              </w:rPr>
              <w:t>级基金的交易代码</w:t>
            </w:r>
          </w:p>
        </w:tc>
        <w:tc>
          <w:tcPr>
            <w:tcW w:w="2739" w:type="dxa"/>
            <w:vAlign w:val="center"/>
          </w:tcPr>
          <w:p w:rsidR="008532F3" w:rsidRPr="00F82017" w:rsidRDefault="008532F3" w:rsidP="003F7026">
            <w:pPr>
              <w:rPr>
                <w:rFonts w:eastAsiaTheme="minorEastAsia"/>
                <w:color w:val="000000" w:themeColor="text1"/>
                <w:sz w:val="24"/>
              </w:rPr>
            </w:pPr>
            <w:r w:rsidRPr="00F82017">
              <w:rPr>
                <w:rFonts w:eastAsiaTheme="minorEastAsia"/>
                <w:color w:val="000000" w:themeColor="text1"/>
                <w:sz w:val="24"/>
              </w:rPr>
              <w:t>001137</w:t>
            </w:r>
          </w:p>
        </w:tc>
        <w:tc>
          <w:tcPr>
            <w:tcW w:w="2740" w:type="dxa"/>
            <w:vAlign w:val="center"/>
          </w:tcPr>
          <w:p w:rsidR="008532F3" w:rsidRPr="00F82017" w:rsidRDefault="008532F3" w:rsidP="003F7026">
            <w:pPr>
              <w:rPr>
                <w:rFonts w:eastAsiaTheme="minorEastAsia"/>
                <w:color w:val="000000" w:themeColor="text1"/>
                <w:sz w:val="24"/>
              </w:rPr>
            </w:pPr>
            <w:r w:rsidRPr="00F82017">
              <w:rPr>
                <w:rFonts w:eastAsiaTheme="minorEastAsia"/>
                <w:color w:val="000000" w:themeColor="text1"/>
                <w:sz w:val="24"/>
              </w:rPr>
              <w:t>001138</w:t>
            </w:r>
          </w:p>
        </w:tc>
      </w:tr>
      <w:tr w:rsidR="0086758B" w:rsidRPr="00F82017" w:rsidTr="003F7026">
        <w:tc>
          <w:tcPr>
            <w:tcW w:w="2835" w:type="dxa"/>
            <w:vAlign w:val="center"/>
          </w:tcPr>
          <w:p w:rsidR="00F22F9F" w:rsidRPr="00F82017" w:rsidRDefault="00F22F9F" w:rsidP="003F7026">
            <w:pPr>
              <w:adjustRightInd w:val="0"/>
              <w:spacing w:before="29" w:line="360" w:lineRule="auto"/>
              <w:ind w:left="17"/>
              <w:rPr>
                <w:rFonts w:eastAsiaTheme="minorEastAsia"/>
                <w:color w:val="000000" w:themeColor="text1"/>
                <w:sz w:val="24"/>
              </w:rPr>
            </w:pPr>
            <w:r w:rsidRPr="00F82017">
              <w:rPr>
                <w:rFonts w:eastAsiaTheme="minorEastAsia"/>
                <w:color w:val="000000" w:themeColor="text1"/>
                <w:sz w:val="24"/>
              </w:rPr>
              <w:t>报告期末下属</w:t>
            </w:r>
            <w:r w:rsidR="00D72993" w:rsidRPr="00F82017">
              <w:rPr>
                <w:rFonts w:eastAsiaTheme="minorEastAsia"/>
                <w:color w:val="000000" w:themeColor="text1"/>
                <w:sz w:val="24"/>
              </w:rPr>
              <w:t>分</w:t>
            </w:r>
            <w:r w:rsidRPr="00F82017">
              <w:rPr>
                <w:rFonts w:eastAsiaTheme="minorEastAsia"/>
                <w:color w:val="000000" w:themeColor="text1"/>
                <w:sz w:val="24"/>
              </w:rPr>
              <w:t>级基金的份额总额</w:t>
            </w:r>
          </w:p>
        </w:tc>
        <w:tc>
          <w:tcPr>
            <w:tcW w:w="2739" w:type="dxa"/>
            <w:vAlign w:val="center"/>
          </w:tcPr>
          <w:p w:rsidR="00F22F9F" w:rsidRPr="00F82017" w:rsidRDefault="00F22F9F" w:rsidP="003F7026">
            <w:pPr>
              <w:rPr>
                <w:rFonts w:eastAsiaTheme="minorEastAsia"/>
                <w:color w:val="000000" w:themeColor="text1"/>
                <w:sz w:val="24"/>
              </w:rPr>
            </w:pPr>
            <w:r w:rsidRPr="00F82017">
              <w:rPr>
                <w:rFonts w:eastAsiaTheme="minorEastAsia"/>
                <w:color w:val="000000" w:themeColor="text1"/>
                <w:sz w:val="24"/>
              </w:rPr>
              <w:t>8,014,459.26</w:t>
            </w:r>
            <w:r w:rsidRPr="00F82017">
              <w:rPr>
                <w:rFonts w:eastAsiaTheme="minorEastAsia"/>
                <w:color w:val="000000" w:themeColor="text1"/>
                <w:kern w:val="0"/>
                <w:sz w:val="24"/>
              </w:rPr>
              <w:t>份</w:t>
            </w:r>
          </w:p>
        </w:tc>
        <w:tc>
          <w:tcPr>
            <w:tcW w:w="2740" w:type="dxa"/>
            <w:vAlign w:val="center"/>
          </w:tcPr>
          <w:p w:rsidR="00F22F9F" w:rsidRPr="00F82017" w:rsidRDefault="00F22F9F" w:rsidP="003F7026">
            <w:pPr>
              <w:rPr>
                <w:rFonts w:eastAsiaTheme="minorEastAsia"/>
                <w:color w:val="000000" w:themeColor="text1"/>
                <w:sz w:val="24"/>
              </w:rPr>
            </w:pPr>
            <w:r w:rsidRPr="00F82017">
              <w:rPr>
                <w:rFonts w:eastAsiaTheme="minorEastAsia"/>
                <w:color w:val="000000" w:themeColor="text1"/>
                <w:sz w:val="24"/>
              </w:rPr>
              <w:t>3,786,525.70</w:t>
            </w:r>
            <w:r w:rsidRPr="00F82017">
              <w:rPr>
                <w:rFonts w:eastAsiaTheme="minorEastAsia"/>
                <w:color w:val="000000" w:themeColor="text1"/>
                <w:kern w:val="0"/>
                <w:sz w:val="24"/>
              </w:rPr>
              <w:t>份</w:t>
            </w:r>
          </w:p>
        </w:tc>
      </w:tr>
    </w:tbl>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 xml:space="preserve">§3  </w:t>
      </w:r>
      <w:r w:rsidRPr="00F82017">
        <w:rPr>
          <w:rFonts w:eastAsiaTheme="minorEastAsia"/>
          <w:color w:val="000000" w:themeColor="text1"/>
          <w:kern w:val="0"/>
          <w:sz w:val="24"/>
          <w:szCs w:val="24"/>
        </w:rPr>
        <w:t>主要财务指标和基金净值表现</w:t>
      </w:r>
    </w:p>
    <w:p w:rsidR="009238DB" w:rsidRPr="00F82017" w:rsidRDefault="009238DB" w:rsidP="00FC13C8">
      <w:pPr>
        <w:autoSpaceDE w:val="0"/>
        <w:autoSpaceDN w:val="0"/>
        <w:adjustRightInd w:val="0"/>
        <w:spacing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3.1 </w:t>
      </w:r>
      <w:r w:rsidRPr="00F82017">
        <w:rPr>
          <w:rFonts w:eastAsiaTheme="minorEastAsia"/>
          <w:b/>
          <w:color w:val="000000" w:themeColor="text1"/>
          <w:kern w:val="0"/>
          <w:sz w:val="24"/>
        </w:rPr>
        <w:t>主要财务指标</w:t>
      </w:r>
    </w:p>
    <w:p w:rsidR="009238DB" w:rsidRPr="00F82017"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F82017">
        <w:rPr>
          <w:rFonts w:eastAsia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2481"/>
        <w:gridCol w:w="2481"/>
      </w:tblGrid>
      <w:tr w:rsidR="0086758B" w:rsidRPr="00F82017" w:rsidTr="003F7026">
        <w:tc>
          <w:tcPr>
            <w:tcW w:w="3402" w:type="dxa"/>
            <w:vMerge w:val="restart"/>
            <w:vAlign w:val="center"/>
          </w:tcPr>
          <w:p w:rsidR="009E549D" w:rsidRPr="00F82017" w:rsidRDefault="009E549D"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主要财务指标</w:t>
            </w:r>
          </w:p>
        </w:tc>
        <w:tc>
          <w:tcPr>
            <w:tcW w:w="4962" w:type="dxa"/>
            <w:gridSpan w:val="2"/>
            <w:vAlign w:val="center"/>
          </w:tcPr>
          <w:p w:rsidR="002976E5" w:rsidRPr="00F82017" w:rsidRDefault="009E549D" w:rsidP="00E205AA">
            <w:pPr>
              <w:adjustRightInd w:val="0"/>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报告期</w:t>
            </w:r>
          </w:p>
          <w:p w:rsidR="009E549D" w:rsidRPr="00F82017" w:rsidRDefault="009E549D" w:rsidP="00E205AA">
            <w:pPr>
              <w:adjustRightInd w:val="0"/>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(2019</w:t>
            </w:r>
            <w:r w:rsidRPr="00F82017">
              <w:rPr>
                <w:rFonts w:eastAsiaTheme="minorEastAsia"/>
                <w:color w:val="000000" w:themeColor="text1"/>
                <w:sz w:val="24"/>
              </w:rPr>
              <w:t>年</w:t>
            </w:r>
            <w:r w:rsidRPr="00F82017">
              <w:rPr>
                <w:rFonts w:eastAsiaTheme="minorEastAsia"/>
                <w:color w:val="000000" w:themeColor="text1"/>
                <w:sz w:val="24"/>
              </w:rPr>
              <w:t>1</w:t>
            </w:r>
            <w:r w:rsidRPr="00F82017">
              <w:rPr>
                <w:rFonts w:eastAsiaTheme="minorEastAsia"/>
                <w:color w:val="000000" w:themeColor="text1"/>
                <w:sz w:val="24"/>
              </w:rPr>
              <w:t>月</w:t>
            </w:r>
            <w:r w:rsidRPr="00F82017">
              <w:rPr>
                <w:rFonts w:eastAsiaTheme="minorEastAsia"/>
                <w:color w:val="000000" w:themeColor="text1"/>
                <w:sz w:val="24"/>
              </w:rPr>
              <w:t>1</w:t>
            </w:r>
            <w:r w:rsidRPr="00F82017">
              <w:rPr>
                <w:rFonts w:eastAsiaTheme="minorEastAsia"/>
                <w:color w:val="000000" w:themeColor="text1"/>
                <w:sz w:val="24"/>
              </w:rPr>
              <w:t>日</w:t>
            </w:r>
            <w:r w:rsidRPr="00F82017">
              <w:rPr>
                <w:rFonts w:eastAsiaTheme="minorEastAsia"/>
                <w:color w:val="000000" w:themeColor="text1"/>
                <w:sz w:val="24"/>
              </w:rPr>
              <w:t>-2019</w:t>
            </w:r>
            <w:r w:rsidRPr="00F82017">
              <w:rPr>
                <w:rFonts w:eastAsiaTheme="minorEastAsia"/>
                <w:color w:val="000000" w:themeColor="text1"/>
                <w:sz w:val="24"/>
              </w:rPr>
              <w:t>年</w:t>
            </w:r>
            <w:r w:rsidRPr="00F82017">
              <w:rPr>
                <w:rFonts w:eastAsiaTheme="minorEastAsia"/>
                <w:color w:val="000000" w:themeColor="text1"/>
                <w:sz w:val="24"/>
              </w:rPr>
              <w:t>3</w:t>
            </w:r>
            <w:r w:rsidRPr="00F82017">
              <w:rPr>
                <w:rFonts w:eastAsiaTheme="minorEastAsia"/>
                <w:color w:val="000000" w:themeColor="text1"/>
                <w:sz w:val="24"/>
              </w:rPr>
              <w:t>月</w:t>
            </w:r>
            <w:r w:rsidRPr="00F82017">
              <w:rPr>
                <w:rFonts w:eastAsiaTheme="minorEastAsia"/>
                <w:color w:val="000000" w:themeColor="text1"/>
                <w:sz w:val="24"/>
              </w:rPr>
              <w:t>31</w:t>
            </w:r>
            <w:r w:rsidRPr="00F82017">
              <w:rPr>
                <w:rFonts w:eastAsiaTheme="minorEastAsia"/>
                <w:color w:val="000000" w:themeColor="text1"/>
                <w:sz w:val="24"/>
              </w:rPr>
              <w:t>日</w:t>
            </w:r>
            <w:r w:rsidRPr="00F82017">
              <w:rPr>
                <w:rFonts w:eastAsiaTheme="minorEastAsia"/>
                <w:color w:val="000000" w:themeColor="text1"/>
                <w:sz w:val="24"/>
              </w:rPr>
              <w:t>)</w:t>
            </w:r>
          </w:p>
        </w:tc>
      </w:tr>
      <w:tr w:rsidR="0086758B" w:rsidRPr="00F82017" w:rsidTr="003F7026">
        <w:tc>
          <w:tcPr>
            <w:tcW w:w="3402" w:type="dxa"/>
            <w:vMerge/>
            <w:vAlign w:val="center"/>
          </w:tcPr>
          <w:p w:rsidR="009E549D" w:rsidRPr="00F82017" w:rsidRDefault="009E549D" w:rsidP="003F7026">
            <w:pPr>
              <w:adjustRightInd w:val="0"/>
              <w:spacing w:before="29" w:line="360" w:lineRule="auto"/>
              <w:ind w:left="17"/>
              <w:rPr>
                <w:rFonts w:eastAsiaTheme="minorEastAsia"/>
                <w:color w:val="000000" w:themeColor="text1"/>
                <w:kern w:val="0"/>
                <w:sz w:val="24"/>
              </w:rPr>
            </w:pPr>
          </w:p>
        </w:tc>
        <w:tc>
          <w:tcPr>
            <w:tcW w:w="2481" w:type="dxa"/>
            <w:vAlign w:val="center"/>
          </w:tcPr>
          <w:p w:rsidR="009E549D" w:rsidRPr="00F82017" w:rsidRDefault="009E549D" w:rsidP="00E205AA">
            <w:pPr>
              <w:adjustRightInd w:val="0"/>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A</w:t>
            </w:r>
          </w:p>
        </w:tc>
        <w:tc>
          <w:tcPr>
            <w:tcW w:w="2481" w:type="dxa"/>
            <w:vAlign w:val="center"/>
          </w:tcPr>
          <w:p w:rsidR="009E549D" w:rsidRPr="00F82017" w:rsidRDefault="00FE7FBD" w:rsidP="00E205AA">
            <w:pPr>
              <w:adjustRightInd w:val="0"/>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C</w:t>
            </w:r>
          </w:p>
        </w:tc>
      </w:tr>
      <w:tr w:rsidR="0086758B" w:rsidRPr="00F82017" w:rsidTr="003F7026">
        <w:tc>
          <w:tcPr>
            <w:tcW w:w="3402" w:type="dxa"/>
            <w:vAlign w:val="center"/>
          </w:tcPr>
          <w:p w:rsidR="005F293E" w:rsidRPr="00F82017" w:rsidRDefault="005F293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1.</w:t>
            </w:r>
            <w:r w:rsidRPr="00F82017">
              <w:rPr>
                <w:rFonts w:eastAsiaTheme="minorEastAsia"/>
                <w:color w:val="000000" w:themeColor="text1"/>
                <w:kern w:val="0"/>
                <w:sz w:val="24"/>
              </w:rPr>
              <w:t>本期已实现收益</w:t>
            </w:r>
          </w:p>
        </w:tc>
        <w:tc>
          <w:tcPr>
            <w:tcW w:w="2481" w:type="dxa"/>
            <w:vAlign w:val="center"/>
          </w:tcPr>
          <w:p w:rsidR="005F293E" w:rsidRPr="00F82017" w:rsidRDefault="005F293E"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459,467.99</w:t>
            </w:r>
          </w:p>
        </w:tc>
        <w:tc>
          <w:tcPr>
            <w:tcW w:w="2481" w:type="dxa"/>
            <w:vAlign w:val="center"/>
          </w:tcPr>
          <w:p w:rsidR="005F293E" w:rsidRPr="00F82017" w:rsidRDefault="00FE7FBD"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206,687.00</w:t>
            </w:r>
          </w:p>
        </w:tc>
      </w:tr>
      <w:tr w:rsidR="0086758B" w:rsidRPr="00F82017" w:rsidTr="003F7026">
        <w:tc>
          <w:tcPr>
            <w:tcW w:w="3402" w:type="dxa"/>
            <w:vAlign w:val="center"/>
          </w:tcPr>
          <w:p w:rsidR="005F293E" w:rsidRPr="00F82017" w:rsidRDefault="005F293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2.</w:t>
            </w:r>
            <w:r w:rsidRPr="00F82017">
              <w:rPr>
                <w:rFonts w:eastAsiaTheme="minorEastAsia"/>
                <w:color w:val="000000" w:themeColor="text1"/>
                <w:kern w:val="0"/>
                <w:sz w:val="24"/>
              </w:rPr>
              <w:t>本期利润</w:t>
            </w:r>
          </w:p>
        </w:tc>
        <w:tc>
          <w:tcPr>
            <w:tcW w:w="2481" w:type="dxa"/>
            <w:vAlign w:val="center"/>
          </w:tcPr>
          <w:p w:rsidR="005F293E" w:rsidRPr="00F82017" w:rsidRDefault="005F293E"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473,823.44</w:t>
            </w:r>
          </w:p>
        </w:tc>
        <w:tc>
          <w:tcPr>
            <w:tcW w:w="2481" w:type="dxa"/>
            <w:vAlign w:val="center"/>
          </w:tcPr>
          <w:p w:rsidR="005F293E" w:rsidRPr="00F82017" w:rsidRDefault="00FE7FBD"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190,773.66</w:t>
            </w:r>
          </w:p>
        </w:tc>
      </w:tr>
      <w:tr w:rsidR="0086758B" w:rsidRPr="00F82017" w:rsidTr="003F7026">
        <w:tc>
          <w:tcPr>
            <w:tcW w:w="3402" w:type="dxa"/>
            <w:vAlign w:val="center"/>
          </w:tcPr>
          <w:p w:rsidR="005F293E" w:rsidRPr="00F82017" w:rsidRDefault="005F293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3.</w:t>
            </w:r>
            <w:r w:rsidRPr="00F82017">
              <w:rPr>
                <w:rFonts w:eastAsiaTheme="minorEastAsia"/>
                <w:color w:val="000000" w:themeColor="text1"/>
                <w:kern w:val="0"/>
                <w:sz w:val="24"/>
              </w:rPr>
              <w:t>加权平均基金份额本期利润</w:t>
            </w:r>
          </w:p>
        </w:tc>
        <w:tc>
          <w:tcPr>
            <w:tcW w:w="2481" w:type="dxa"/>
            <w:vAlign w:val="center"/>
          </w:tcPr>
          <w:p w:rsidR="005F293E" w:rsidRPr="00F82017" w:rsidRDefault="005F293E"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0.0412</w:t>
            </w:r>
          </w:p>
        </w:tc>
        <w:tc>
          <w:tcPr>
            <w:tcW w:w="2481" w:type="dxa"/>
            <w:vAlign w:val="center"/>
          </w:tcPr>
          <w:p w:rsidR="005F293E" w:rsidRPr="00F82017" w:rsidRDefault="00FE7FBD"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0.0429</w:t>
            </w:r>
          </w:p>
        </w:tc>
      </w:tr>
      <w:tr w:rsidR="0086758B" w:rsidRPr="00F82017" w:rsidTr="003F7026">
        <w:tc>
          <w:tcPr>
            <w:tcW w:w="3402" w:type="dxa"/>
            <w:vAlign w:val="center"/>
          </w:tcPr>
          <w:p w:rsidR="005F293E" w:rsidRPr="00F82017" w:rsidRDefault="005F293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4.</w:t>
            </w:r>
            <w:r w:rsidRPr="00F82017">
              <w:rPr>
                <w:rFonts w:eastAsiaTheme="minorEastAsia"/>
                <w:color w:val="000000" w:themeColor="text1"/>
                <w:kern w:val="0"/>
                <w:sz w:val="24"/>
              </w:rPr>
              <w:t>期末基金资产净值</w:t>
            </w:r>
          </w:p>
        </w:tc>
        <w:tc>
          <w:tcPr>
            <w:tcW w:w="2481" w:type="dxa"/>
            <w:vAlign w:val="center"/>
          </w:tcPr>
          <w:p w:rsidR="005F293E" w:rsidRPr="00F82017" w:rsidRDefault="005F293E"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8,923,210.64</w:t>
            </w:r>
          </w:p>
        </w:tc>
        <w:tc>
          <w:tcPr>
            <w:tcW w:w="2481" w:type="dxa"/>
            <w:vAlign w:val="center"/>
          </w:tcPr>
          <w:p w:rsidR="005F293E" w:rsidRPr="00F82017" w:rsidRDefault="00FE7FBD"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4,181,695.92</w:t>
            </w:r>
          </w:p>
        </w:tc>
      </w:tr>
      <w:tr w:rsidR="0086758B" w:rsidRPr="00F82017" w:rsidTr="003F7026">
        <w:trPr>
          <w:trHeight w:val="158"/>
        </w:trPr>
        <w:tc>
          <w:tcPr>
            <w:tcW w:w="3402" w:type="dxa"/>
            <w:vAlign w:val="center"/>
          </w:tcPr>
          <w:p w:rsidR="005F293E" w:rsidRPr="00F82017" w:rsidRDefault="005F293E" w:rsidP="003F7026">
            <w:pPr>
              <w:adjustRightInd w:val="0"/>
              <w:spacing w:before="29" w:line="360" w:lineRule="auto"/>
              <w:ind w:left="17"/>
              <w:rPr>
                <w:rFonts w:eastAsiaTheme="minorEastAsia"/>
                <w:color w:val="000000" w:themeColor="text1"/>
                <w:kern w:val="0"/>
                <w:sz w:val="24"/>
              </w:rPr>
            </w:pPr>
            <w:r w:rsidRPr="00F82017">
              <w:rPr>
                <w:rFonts w:eastAsiaTheme="minorEastAsia"/>
                <w:color w:val="000000" w:themeColor="text1"/>
                <w:kern w:val="0"/>
                <w:sz w:val="24"/>
              </w:rPr>
              <w:t>5.</w:t>
            </w:r>
            <w:r w:rsidRPr="00F82017">
              <w:rPr>
                <w:rFonts w:eastAsiaTheme="minorEastAsia"/>
                <w:color w:val="000000" w:themeColor="text1"/>
                <w:kern w:val="0"/>
                <w:sz w:val="24"/>
              </w:rPr>
              <w:t>期末基金份额净值</w:t>
            </w:r>
          </w:p>
        </w:tc>
        <w:tc>
          <w:tcPr>
            <w:tcW w:w="2481" w:type="dxa"/>
            <w:vAlign w:val="center"/>
          </w:tcPr>
          <w:p w:rsidR="005F293E" w:rsidRPr="00F82017" w:rsidRDefault="005F293E"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1.113</w:t>
            </w:r>
          </w:p>
        </w:tc>
        <w:tc>
          <w:tcPr>
            <w:tcW w:w="2481" w:type="dxa"/>
            <w:vAlign w:val="center"/>
          </w:tcPr>
          <w:p w:rsidR="005F293E" w:rsidRPr="00F82017" w:rsidRDefault="00FE7FBD" w:rsidP="003F7026">
            <w:pPr>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1.104</w:t>
            </w:r>
          </w:p>
        </w:tc>
      </w:tr>
    </w:tbl>
    <w:p w:rsidR="00D245FC" w:rsidRDefault="00AA06B6">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853C4C" w:rsidRDefault="005E01A3"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2</w:t>
      </w:r>
      <w:r w:rsidRPr="00853C4C">
        <w:rPr>
          <w:rFonts w:eastAsiaTheme="minorEastAsia"/>
          <w:color w:val="000000" w:themeColor="text1"/>
          <w:sz w:val="24"/>
        </w:rPr>
        <w:t>、以上所述基金业绩指标不包括持有人认购或交易基金的各项费用（例如基金申购赎回费、基金转换费等），计入费用后实际利润水平要低于所列数字。</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3.2 </w:t>
      </w:r>
      <w:r w:rsidRPr="00F82017">
        <w:rPr>
          <w:rFonts w:eastAsiaTheme="minorEastAsia"/>
          <w:b/>
          <w:color w:val="000000" w:themeColor="text1"/>
          <w:kern w:val="0"/>
          <w:sz w:val="24"/>
        </w:rPr>
        <w:t>基金净值表现</w:t>
      </w:r>
    </w:p>
    <w:p w:rsidR="009238DB" w:rsidRPr="00F82017" w:rsidRDefault="009238DB" w:rsidP="00FC13C8">
      <w:pPr>
        <w:autoSpaceDE w:val="0"/>
        <w:autoSpaceDN w:val="0"/>
        <w:adjustRightInd w:val="0"/>
        <w:spacing w:line="360" w:lineRule="auto"/>
        <w:jc w:val="left"/>
        <w:rPr>
          <w:rFonts w:eastAsiaTheme="minorEastAsia"/>
          <w:b/>
          <w:color w:val="000000" w:themeColor="text1"/>
          <w:kern w:val="0"/>
          <w:sz w:val="24"/>
        </w:rPr>
      </w:pPr>
      <w:r w:rsidRPr="00F82017">
        <w:rPr>
          <w:rFonts w:eastAsiaTheme="minorEastAsia"/>
          <w:b/>
          <w:color w:val="000000" w:themeColor="text1"/>
          <w:kern w:val="0"/>
          <w:sz w:val="24"/>
        </w:rPr>
        <w:t>3.2.1</w:t>
      </w:r>
      <w:r w:rsidRPr="00F82017">
        <w:rPr>
          <w:rFonts w:eastAsiaTheme="minorEastAsia"/>
          <w:b/>
          <w:color w:val="000000" w:themeColor="text1"/>
          <w:kern w:val="0"/>
          <w:sz w:val="24"/>
        </w:rPr>
        <w:t>本报告期基金份额净值增长率及其与同期业绩比较基准收益率的比较</w:t>
      </w:r>
    </w:p>
    <w:p w:rsidR="009238DB" w:rsidRPr="00F82017" w:rsidRDefault="009238DB" w:rsidP="00FC13C8">
      <w:pPr>
        <w:spacing w:line="360" w:lineRule="auto"/>
        <w:rPr>
          <w:rFonts w:eastAsiaTheme="minorEastAsia"/>
          <w:b/>
          <w:color w:val="000000" w:themeColor="text1"/>
          <w:sz w:val="24"/>
        </w:rPr>
      </w:pPr>
      <w:r w:rsidRPr="00F82017">
        <w:rPr>
          <w:rFonts w:eastAsiaTheme="minorEastAsia"/>
          <w:b/>
          <w:color w:val="000000" w:themeColor="text1"/>
          <w:sz w:val="24"/>
        </w:rPr>
        <w:t>1</w:t>
      </w:r>
      <w:r w:rsidRPr="00F82017">
        <w:rPr>
          <w:rFonts w:eastAsiaTheme="minorEastAsia"/>
          <w:b/>
          <w:color w:val="000000" w:themeColor="text1"/>
          <w:sz w:val="24"/>
        </w:rPr>
        <w:t>、</w:t>
      </w:r>
      <w:r w:rsidR="00A5643A" w:rsidRPr="00F82017">
        <w:rPr>
          <w:rFonts w:eastAsiaTheme="minorEastAsia"/>
          <w:b/>
          <w:color w:val="000000" w:themeColor="text1"/>
          <w:kern w:val="0"/>
          <w:sz w:val="24"/>
        </w:rPr>
        <w:t>国投瑞银岁丰利债券</w:t>
      </w:r>
      <w:r w:rsidR="00A5643A" w:rsidRPr="00F82017">
        <w:rPr>
          <w:rFonts w:eastAsiaTheme="minorEastAsia"/>
          <w:b/>
          <w:color w:val="000000" w:themeColor="text1"/>
          <w:kern w:val="0"/>
          <w:sz w:val="24"/>
        </w:rPr>
        <w:t>A</w:t>
      </w:r>
      <w:r w:rsidRPr="00F82017">
        <w:rPr>
          <w:rFonts w:eastAsiaTheme="minorEastAsia"/>
          <w:b/>
          <w:color w:val="000000" w:themeColor="text1"/>
          <w:sz w:val="24"/>
        </w:rPr>
        <w:t>：</w:t>
      </w:r>
    </w:p>
    <w:tbl>
      <w:tblPr>
        <w:tblStyle w:val="af2"/>
        <w:tblW w:w="0" w:type="auto"/>
        <w:tblInd w:w="108" w:type="dxa"/>
        <w:tblLayout w:type="fixed"/>
        <w:tblLook w:val="04A0"/>
      </w:tblPr>
      <w:tblGrid>
        <w:gridCol w:w="1290"/>
        <w:gridCol w:w="1291"/>
        <w:gridCol w:w="1291"/>
        <w:gridCol w:w="1291"/>
        <w:gridCol w:w="1291"/>
        <w:gridCol w:w="1291"/>
        <w:gridCol w:w="1291"/>
      </w:tblGrid>
      <w:tr w:rsidR="0086758B" w:rsidRPr="00F82017" w:rsidTr="00B54782">
        <w:tc>
          <w:tcPr>
            <w:tcW w:w="1290"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阶段</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净值增长率</w:t>
            </w:r>
            <w:r w:rsidRPr="00F82017">
              <w:rPr>
                <w:rFonts w:ascii="宋体" w:hAnsi="宋体" w:cs="宋体" w:hint="eastAsia"/>
                <w:color w:val="000000" w:themeColor="text1"/>
                <w:sz w:val="24"/>
              </w:rPr>
              <w:t>①</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净值增长率标准差</w:t>
            </w:r>
            <w:r w:rsidRPr="00F82017">
              <w:rPr>
                <w:rFonts w:ascii="宋体" w:hAnsi="宋体" w:cs="宋体" w:hint="eastAsia"/>
                <w:color w:val="000000" w:themeColor="text1"/>
                <w:sz w:val="24"/>
              </w:rPr>
              <w:t>②</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业绩比较基准收益率</w:t>
            </w:r>
            <w:r w:rsidRPr="00F82017">
              <w:rPr>
                <w:rFonts w:ascii="宋体" w:hAnsi="宋体" w:cs="宋体" w:hint="eastAsia"/>
                <w:color w:val="000000" w:themeColor="text1"/>
                <w:sz w:val="24"/>
              </w:rPr>
              <w:t>③</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业绩比较基准收益率标准差</w:t>
            </w:r>
            <w:r w:rsidRPr="00F82017">
              <w:rPr>
                <w:rFonts w:ascii="宋体" w:hAnsi="宋体" w:cs="宋体" w:hint="eastAsia"/>
                <w:color w:val="000000" w:themeColor="text1"/>
                <w:sz w:val="24"/>
              </w:rPr>
              <w:t>④</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ascii="宋体" w:hAnsi="宋体" w:cs="宋体" w:hint="eastAsia"/>
                <w:color w:val="000000" w:themeColor="text1"/>
                <w:sz w:val="24"/>
              </w:rPr>
              <w:t>①</w:t>
            </w:r>
            <w:r w:rsidRPr="00F82017">
              <w:rPr>
                <w:rFonts w:eastAsiaTheme="minorEastAsia"/>
                <w:color w:val="000000" w:themeColor="text1"/>
                <w:sz w:val="24"/>
              </w:rPr>
              <w:t>－</w:t>
            </w:r>
            <w:r w:rsidRPr="00F82017">
              <w:rPr>
                <w:rFonts w:ascii="宋体" w:hAnsi="宋体" w:cs="宋体" w:hint="eastAsia"/>
                <w:color w:val="000000" w:themeColor="text1"/>
                <w:sz w:val="24"/>
              </w:rPr>
              <w:t>③</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ascii="宋体" w:hAnsi="宋体" w:cs="宋体" w:hint="eastAsia"/>
                <w:color w:val="000000" w:themeColor="text1"/>
                <w:sz w:val="24"/>
              </w:rPr>
              <w:t>②</w:t>
            </w:r>
            <w:r w:rsidRPr="00F82017">
              <w:rPr>
                <w:rFonts w:eastAsiaTheme="minorEastAsia"/>
                <w:color w:val="000000" w:themeColor="text1"/>
                <w:sz w:val="24"/>
              </w:rPr>
              <w:t>－</w:t>
            </w:r>
            <w:r w:rsidRPr="00F82017">
              <w:rPr>
                <w:rFonts w:ascii="宋体" w:hAnsi="宋体" w:cs="宋体" w:hint="eastAsia"/>
                <w:color w:val="000000" w:themeColor="text1"/>
                <w:sz w:val="24"/>
              </w:rPr>
              <w:t>④</w:t>
            </w:r>
          </w:p>
        </w:tc>
      </w:tr>
      <w:tr w:rsidR="00D245FC">
        <w:tc>
          <w:tcPr>
            <w:tcW w:w="1290" w:type="dxa"/>
            <w:vAlign w:val="center"/>
          </w:tcPr>
          <w:p w:rsidR="00D245FC" w:rsidRDefault="00AA06B6">
            <w:pPr>
              <w:jc w:val="left"/>
            </w:pPr>
            <w:r>
              <w:rPr>
                <w:rFonts w:eastAsiaTheme="minorEastAsia"/>
                <w:color w:val="000000" w:themeColor="text1"/>
                <w:sz w:val="24"/>
              </w:rPr>
              <w:t>过去三个月</w:t>
            </w:r>
          </w:p>
        </w:tc>
        <w:tc>
          <w:tcPr>
            <w:tcW w:w="1291" w:type="dxa"/>
            <w:vAlign w:val="center"/>
          </w:tcPr>
          <w:p w:rsidR="00D245FC" w:rsidRDefault="00AA06B6">
            <w:pPr>
              <w:jc w:val="right"/>
            </w:pPr>
            <w:r>
              <w:rPr>
                <w:rFonts w:eastAsiaTheme="minorEastAsia"/>
                <w:color w:val="000000" w:themeColor="text1"/>
                <w:sz w:val="24"/>
              </w:rPr>
              <w:t>4.12%</w:t>
            </w:r>
          </w:p>
        </w:tc>
        <w:tc>
          <w:tcPr>
            <w:tcW w:w="1291" w:type="dxa"/>
            <w:vAlign w:val="center"/>
          </w:tcPr>
          <w:p w:rsidR="00D245FC" w:rsidRDefault="00AA06B6">
            <w:pPr>
              <w:jc w:val="right"/>
            </w:pPr>
            <w:r>
              <w:rPr>
                <w:rFonts w:eastAsiaTheme="minorEastAsia"/>
                <w:color w:val="000000" w:themeColor="text1"/>
                <w:sz w:val="24"/>
              </w:rPr>
              <w:t>0.17%</w:t>
            </w:r>
          </w:p>
        </w:tc>
        <w:tc>
          <w:tcPr>
            <w:tcW w:w="1291" w:type="dxa"/>
            <w:vAlign w:val="center"/>
          </w:tcPr>
          <w:p w:rsidR="00D245FC" w:rsidRDefault="00AA06B6">
            <w:pPr>
              <w:jc w:val="right"/>
            </w:pPr>
            <w:r>
              <w:rPr>
                <w:rFonts w:eastAsiaTheme="minorEastAsia"/>
                <w:color w:val="000000" w:themeColor="text1"/>
                <w:sz w:val="24"/>
              </w:rPr>
              <w:t>0.47%</w:t>
            </w:r>
          </w:p>
        </w:tc>
        <w:tc>
          <w:tcPr>
            <w:tcW w:w="1291" w:type="dxa"/>
            <w:vAlign w:val="center"/>
          </w:tcPr>
          <w:p w:rsidR="00D245FC" w:rsidRDefault="00AA06B6">
            <w:pPr>
              <w:jc w:val="right"/>
            </w:pPr>
            <w:r>
              <w:rPr>
                <w:rFonts w:eastAsiaTheme="minorEastAsia"/>
                <w:color w:val="000000" w:themeColor="text1"/>
                <w:sz w:val="24"/>
              </w:rPr>
              <w:t>0.05%</w:t>
            </w:r>
          </w:p>
        </w:tc>
        <w:tc>
          <w:tcPr>
            <w:tcW w:w="1291" w:type="dxa"/>
            <w:vAlign w:val="center"/>
          </w:tcPr>
          <w:p w:rsidR="00D245FC" w:rsidRDefault="00AA06B6">
            <w:pPr>
              <w:jc w:val="right"/>
            </w:pPr>
            <w:r>
              <w:rPr>
                <w:rFonts w:eastAsiaTheme="minorEastAsia"/>
                <w:color w:val="000000" w:themeColor="text1"/>
                <w:sz w:val="24"/>
              </w:rPr>
              <w:t>3.65%</w:t>
            </w:r>
          </w:p>
        </w:tc>
        <w:tc>
          <w:tcPr>
            <w:tcW w:w="1291" w:type="dxa"/>
            <w:vAlign w:val="center"/>
          </w:tcPr>
          <w:p w:rsidR="00D245FC" w:rsidRDefault="00AA06B6">
            <w:pPr>
              <w:jc w:val="right"/>
            </w:pPr>
            <w:r>
              <w:rPr>
                <w:rFonts w:eastAsiaTheme="minorEastAsia"/>
                <w:color w:val="000000" w:themeColor="text1"/>
                <w:sz w:val="24"/>
              </w:rPr>
              <w:t>0.12%</w:t>
            </w:r>
          </w:p>
        </w:tc>
      </w:tr>
    </w:tbl>
    <w:p w:rsidR="009238DB" w:rsidRPr="00F82017" w:rsidRDefault="009238DB" w:rsidP="002A3961">
      <w:pPr>
        <w:adjustRightInd w:val="0"/>
        <w:spacing w:beforeLines="100" w:line="360" w:lineRule="auto"/>
        <w:rPr>
          <w:rFonts w:eastAsiaTheme="minorEastAsia"/>
          <w:b/>
          <w:color w:val="000000" w:themeColor="text1"/>
          <w:kern w:val="0"/>
          <w:sz w:val="24"/>
        </w:rPr>
      </w:pPr>
      <w:r w:rsidRPr="00F82017">
        <w:rPr>
          <w:rFonts w:eastAsiaTheme="minorEastAsia"/>
          <w:b/>
          <w:color w:val="000000" w:themeColor="text1"/>
          <w:sz w:val="24"/>
        </w:rPr>
        <w:t>2</w:t>
      </w:r>
      <w:r w:rsidRPr="00F82017">
        <w:rPr>
          <w:rFonts w:eastAsiaTheme="minorEastAsia"/>
          <w:b/>
          <w:color w:val="000000" w:themeColor="text1"/>
          <w:sz w:val="24"/>
        </w:rPr>
        <w:t>、</w:t>
      </w:r>
      <w:r w:rsidR="00FE7FBD" w:rsidRPr="00F82017">
        <w:rPr>
          <w:rFonts w:eastAsiaTheme="minorEastAsia"/>
          <w:b/>
          <w:color w:val="000000" w:themeColor="text1"/>
          <w:kern w:val="0"/>
          <w:sz w:val="24"/>
        </w:rPr>
        <w:t>国投瑞银岁丰利债券</w:t>
      </w:r>
      <w:r w:rsidR="00FE7FBD" w:rsidRPr="00F82017">
        <w:rPr>
          <w:rFonts w:eastAsiaTheme="minorEastAsia"/>
          <w:b/>
          <w:color w:val="000000" w:themeColor="text1"/>
          <w:kern w:val="0"/>
          <w:sz w:val="24"/>
        </w:rPr>
        <w:t>C</w:t>
      </w:r>
      <w:r w:rsidRPr="00F82017">
        <w:rPr>
          <w:rFonts w:eastAsiaTheme="minorEastAsia"/>
          <w:b/>
          <w:color w:val="000000" w:themeColor="text1"/>
          <w:kern w:val="0"/>
          <w:sz w:val="24"/>
        </w:rPr>
        <w:t>：</w:t>
      </w:r>
    </w:p>
    <w:tbl>
      <w:tblPr>
        <w:tblStyle w:val="af2"/>
        <w:tblW w:w="0" w:type="auto"/>
        <w:tblInd w:w="108" w:type="dxa"/>
        <w:tblLayout w:type="fixed"/>
        <w:tblLook w:val="04A0"/>
      </w:tblPr>
      <w:tblGrid>
        <w:gridCol w:w="1290"/>
        <w:gridCol w:w="1291"/>
        <w:gridCol w:w="1291"/>
        <w:gridCol w:w="1291"/>
        <w:gridCol w:w="1291"/>
        <w:gridCol w:w="1291"/>
        <w:gridCol w:w="1291"/>
      </w:tblGrid>
      <w:tr w:rsidR="0086758B" w:rsidRPr="00F82017" w:rsidTr="00B54782">
        <w:tc>
          <w:tcPr>
            <w:tcW w:w="1290"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阶段</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highlight w:val="green"/>
              </w:rPr>
            </w:pPr>
            <w:r w:rsidRPr="00F82017">
              <w:rPr>
                <w:rFonts w:eastAsiaTheme="minorEastAsia"/>
                <w:color w:val="000000" w:themeColor="text1"/>
                <w:sz w:val="24"/>
              </w:rPr>
              <w:t>净值增长率</w:t>
            </w:r>
            <w:r w:rsidRPr="00F82017">
              <w:rPr>
                <w:rFonts w:ascii="宋体" w:hAnsi="宋体" w:cs="宋体" w:hint="eastAsia"/>
                <w:color w:val="000000" w:themeColor="text1"/>
                <w:sz w:val="24"/>
              </w:rPr>
              <w:t>①</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highlight w:val="green"/>
              </w:rPr>
            </w:pPr>
            <w:r w:rsidRPr="00F82017">
              <w:rPr>
                <w:rFonts w:eastAsiaTheme="minorEastAsia"/>
                <w:color w:val="000000" w:themeColor="text1"/>
                <w:sz w:val="24"/>
              </w:rPr>
              <w:t>净值增长率标准差</w:t>
            </w:r>
            <w:r w:rsidRPr="00F82017">
              <w:rPr>
                <w:rFonts w:ascii="宋体" w:hAnsi="宋体" w:cs="宋体" w:hint="eastAsia"/>
                <w:color w:val="000000" w:themeColor="text1"/>
                <w:sz w:val="24"/>
              </w:rPr>
              <w:t>②</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业绩比较基准收益率</w:t>
            </w:r>
            <w:r w:rsidRPr="00F82017">
              <w:rPr>
                <w:rFonts w:ascii="宋体" w:hAnsi="宋体" w:cs="宋体" w:hint="eastAsia"/>
                <w:color w:val="000000" w:themeColor="text1"/>
                <w:sz w:val="24"/>
              </w:rPr>
              <w:t>③</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eastAsiaTheme="minorEastAsia"/>
                <w:color w:val="000000" w:themeColor="text1"/>
                <w:sz w:val="24"/>
              </w:rPr>
              <w:t>业绩比较基准收益率标准差</w:t>
            </w:r>
            <w:r w:rsidRPr="00F82017">
              <w:rPr>
                <w:rFonts w:ascii="宋体" w:hAnsi="宋体" w:cs="宋体" w:hint="eastAsia"/>
                <w:color w:val="000000" w:themeColor="text1"/>
                <w:sz w:val="24"/>
              </w:rPr>
              <w:t>④</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ascii="宋体" w:hAnsi="宋体" w:cs="宋体" w:hint="eastAsia"/>
                <w:color w:val="000000" w:themeColor="text1"/>
                <w:sz w:val="24"/>
              </w:rPr>
              <w:t>①</w:t>
            </w:r>
            <w:r w:rsidRPr="00F82017">
              <w:rPr>
                <w:rFonts w:eastAsiaTheme="minorEastAsia"/>
                <w:color w:val="000000" w:themeColor="text1"/>
                <w:sz w:val="24"/>
              </w:rPr>
              <w:t>－</w:t>
            </w:r>
            <w:r w:rsidRPr="00F82017">
              <w:rPr>
                <w:rFonts w:ascii="宋体" w:hAnsi="宋体" w:cs="宋体" w:hint="eastAsia"/>
                <w:color w:val="000000" w:themeColor="text1"/>
                <w:sz w:val="24"/>
              </w:rPr>
              <w:t>③</w:t>
            </w:r>
          </w:p>
        </w:tc>
        <w:tc>
          <w:tcPr>
            <w:tcW w:w="1291" w:type="dxa"/>
            <w:vAlign w:val="center"/>
          </w:tcPr>
          <w:p w:rsidR="00685FFC" w:rsidRPr="00F82017" w:rsidRDefault="00685FFC" w:rsidP="003F7026">
            <w:pPr>
              <w:snapToGrid w:val="0"/>
              <w:spacing w:line="288" w:lineRule="auto"/>
              <w:jc w:val="center"/>
              <w:rPr>
                <w:rFonts w:eastAsiaTheme="minorEastAsia"/>
                <w:color w:val="000000" w:themeColor="text1"/>
                <w:sz w:val="24"/>
              </w:rPr>
            </w:pPr>
            <w:r w:rsidRPr="00F82017">
              <w:rPr>
                <w:rFonts w:ascii="宋体" w:hAnsi="宋体" w:cs="宋体" w:hint="eastAsia"/>
                <w:color w:val="000000" w:themeColor="text1"/>
                <w:sz w:val="24"/>
              </w:rPr>
              <w:t>②</w:t>
            </w:r>
            <w:r w:rsidRPr="00F82017">
              <w:rPr>
                <w:rFonts w:eastAsiaTheme="minorEastAsia"/>
                <w:color w:val="000000" w:themeColor="text1"/>
                <w:sz w:val="24"/>
              </w:rPr>
              <w:t>－</w:t>
            </w:r>
            <w:r w:rsidRPr="00F82017">
              <w:rPr>
                <w:rFonts w:ascii="宋体" w:hAnsi="宋体" w:cs="宋体" w:hint="eastAsia"/>
                <w:color w:val="000000" w:themeColor="text1"/>
                <w:sz w:val="24"/>
              </w:rPr>
              <w:t>④</w:t>
            </w:r>
          </w:p>
        </w:tc>
      </w:tr>
      <w:tr w:rsidR="00D245FC">
        <w:tc>
          <w:tcPr>
            <w:tcW w:w="1290" w:type="dxa"/>
            <w:vAlign w:val="center"/>
          </w:tcPr>
          <w:p w:rsidR="00D245FC" w:rsidRDefault="00AA06B6">
            <w:pPr>
              <w:jc w:val="left"/>
            </w:pPr>
            <w:r>
              <w:rPr>
                <w:rFonts w:eastAsiaTheme="minorEastAsia"/>
                <w:color w:val="000000" w:themeColor="text1"/>
                <w:sz w:val="24"/>
              </w:rPr>
              <w:t>过去三个月</w:t>
            </w:r>
          </w:p>
        </w:tc>
        <w:tc>
          <w:tcPr>
            <w:tcW w:w="1291" w:type="dxa"/>
            <w:vAlign w:val="center"/>
          </w:tcPr>
          <w:p w:rsidR="00D245FC" w:rsidRDefault="00AA06B6">
            <w:pPr>
              <w:jc w:val="right"/>
            </w:pPr>
            <w:r>
              <w:rPr>
                <w:rFonts w:eastAsiaTheme="minorEastAsia"/>
                <w:color w:val="000000" w:themeColor="text1"/>
                <w:sz w:val="24"/>
              </w:rPr>
              <w:t>4.05%</w:t>
            </w:r>
          </w:p>
        </w:tc>
        <w:tc>
          <w:tcPr>
            <w:tcW w:w="1291" w:type="dxa"/>
            <w:vAlign w:val="center"/>
          </w:tcPr>
          <w:p w:rsidR="00D245FC" w:rsidRDefault="00AA06B6">
            <w:pPr>
              <w:jc w:val="right"/>
            </w:pPr>
            <w:r>
              <w:rPr>
                <w:rFonts w:eastAsiaTheme="minorEastAsia"/>
                <w:color w:val="000000" w:themeColor="text1"/>
                <w:sz w:val="24"/>
              </w:rPr>
              <w:t>0.16%</w:t>
            </w:r>
          </w:p>
        </w:tc>
        <w:tc>
          <w:tcPr>
            <w:tcW w:w="1291" w:type="dxa"/>
            <w:vAlign w:val="center"/>
          </w:tcPr>
          <w:p w:rsidR="00D245FC" w:rsidRDefault="00AA06B6">
            <w:pPr>
              <w:jc w:val="right"/>
            </w:pPr>
            <w:r>
              <w:rPr>
                <w:rFonts w:eastAsiaTheme="minorEastAsia"/>
                <w:color w:val="000000" w:themeColor="text1"/>
                <w:sz w:val="24"/>
              </w:rPr>
              <w:t>0.47%</w:t>
            </w:r>
          </w:p>
        </w:tc>
        <w:tc>
          <w:tcPr>
            <w:tcW w:w="1291" w:type="dxa"/>
            <w:vAlign w:val="center"/>
          </w:tcPr>
          <w:p w:rsidR="00D245FC" w:rsidRDefault="00AA06B6">
            <w:pPr>
              <w:jc w:val="right"/>
            </w:pPr>
            <w:r>
              <w:rPr>
                <w:rFonts w:eastAsiaTheme="minorEastAsia"/>
                <w:color w:val="000000" w:themeColor="text1"/>
                <w:sz w:val="24"/>
              </w:rPr>
              <w:t>0.05%</w:t>
            </w:r>
          </w:p>
        </w:tc>
        <w:tc>
          <w:tcPr>
            <w:tcW w:w="1291" w:type="dxa"/>
            <w:vAlign w:val="center"/>
          </w:tcPr>
          <w:p w:rsidR="00D245FC" w:rsidRDefault="00AA06B6">
            <w:pPr>
              <w:jc w:val="right"/>
            </w:pPr>
            <w:r>
              <w:rPr>
                <w:rFonts w:eastAsiaTheme="minorEastAsia"/>
                <w:color w:val="000000" w:themeColor="text1"/>
                <w:sz w:val="24"/>
              </w:rPr>
              <w:t>3.58%</w:t>
            </w:r>
          </w:p>
        </w:tc>
        <w:tc>
          <w:tcPr>
            <w:tcW w:w="1291" w:type="dxa"/>
            <w:vAlign w:val="center"/>
          </w:tcPr>
          <w:p w:rsidR="00D245FC" w:rsidRDefault="00AA06B6">
            <w:pPr>
              <w:jc w:val="right"/>
            </w:pPr>
            <w:r>
              <w:rPr>
                <w:rFonts w:eastAsiaTheme="minorEastAsia"/>
                <w:color w:val="000000" w:themeColor="text1"/>
                <w:sz w:val="24"/>
              </w:rPr>
              <w:t>0.11%</w:t>
            </w:r>
          </w:p>
        </w:tc>
      </w:tr>
    </w:tbl>
    <w:p w:rsidR="009238DB" w:rsidRPr="00853C4C" w:rsidRDefault="00973B57"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注：本基金选取中债综合指数收益率作为业绩比较基准。</w:t>
      </w:r>
    </w:p>
    <w:p w:rsidR="009238DB" w:rsidRPr="00F82017" w:rsidRDefault="009238DB" w:rsidP="002A3961">
      <w:pPr>
        <w:spacing w:beforeLines="100" w:line="360" w:lineRule="auto"/>
        <w:rPr>
          <w:rFonts w:eastAsiaTheme="minorEastAsia"/>
          <w:b/>
          <w:color w:val="000000" w:themeColor="text1"/>
          <w:kern w:val="0"/>
          <w:sz w:val="24"/>
        </w:rPr>
      </w:pPr>
      <w:r w:rsidRPr="00F82017">
        <w:rPr>
          <w:rFonts w:eastAsiaTheme="minorEastAsia"/>
          <w:b/>
          <w:color w:val="000000" w:themeColor="text1"/>
          <w:kern w:val="0"/>
          <w:sz w:val="24"/>
        </w:rPr>
        <w:t>3.2.2</w:t>
      </w:r>
      <w:r w:rsidRPr="00F82017">
        <w:rPr>
          <w:rFonts w:eastAsiaTheme="minorEastAsia"/>
          <w:b/>
          <w:color w:val="000000" w:themeColor="text1"/>
          <w:kern w:val="0"/>
          <w:sz w:val="24"/>
        </w:rPr>
        <w:t xml:space="preserve">　</w:t>
      </w:r>
      <w:r w:rsidR="006016F2" w:rsidRPr="00F82017">
        <w:rPr>
          <w:rStyle w:val="af6"/>
          <w:rFonts w:eastAsiaTheme="minorEastAsia"/>
          <w:color w:val="000000" w:themeColor="text1"/>
          <w:sz w:val="24"/>
          <w:shd w:val="clear" w:color="auto" w:fill="FFFFFF"/>
        </w:rPr>
        <w:t>自基金合同生效以来</w:t>
      </w:r>
      <w:r w:rsidR="00BF57BE" w:rsidRPr="00F82017">
        <w:rPr>
          <w:rFonts w:eastAsiaTheme="minorEastAsia"/>
          <w:b/>
          <w:color w:val="000000" w:themeColor="text1"/>
          <w:sz w:val="24"/>
        </w:rPr>
        <w:t>基金累计净值增长率变动及其与同期业绩比较基准收益率变动的比较</w:t>
      </w:r>
    </w:p>
    <w:p w:rsidR="009A045B" w:rsidRPr="00F82017" w:rsidRDefault="009A045B" w:rsidP="00FC13C8">
      <w:pPr>
        <w:spacing w:line="360" w:lineRule="auto"/>
        <w:jc w:val="center"/>
        <w:rPr>
          <w:rFonts w:eastAsiaTheme="minorEastAsia"/>
          <w:color w:val="000000" w:themeColor="text1"/>
          <w:sz w:val="24"/>
        </w:rPr>
      </w:pPr>
      <w:r w:rsidRPr="00F82017">
        <w:rPr>
          <w:rFonts w:eastAsiaTheme="minorEastAsia"/>
          <w:color w:val="000000" w:themeColor="text1"/>
          <w:sz w:val="24"/>
        </w:rPr>
        <w:t>国投瑞银岁丰利债券型证券投资基金</w:t>
      </w:r>
    </w:p>
    <w:p w:rsidR="00022396" w:rsidRPr="00F82017"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F82017">
        <w:rPr>
          <w:rFonts w:ascii="Times New Roman" w:eastAsiaTheme="minorEastAsia" w:hAnsi="Times New Roman"/>
          <w:color w:val="000000" w:themeColor="text1"/>
          <w:sz w:val="24"/>
          <w:szCs w:val="24"/>
        </w:rPr>
        <w:t>累计净值增长率与业绩比较基准收益率的历史走势对比图</w:t>
      </w:r>
    </w:p>
    <w:p w:rsidR="009A045B" w:rsidRPr="00F82017" w:rsidRDefault="009A045B" w:rsidP="00FC13C8">
      <w:pPr>
        <w:pStyle w:val="a5"/>
        <w:snapToGrid w:val="0"/>
        <w:spacing w:line="360" w:lineRule="auto"/>
        <w:ind w:firstLine="480"/>
        <w:jc w:val="center"/>
        <w:rPr>
          <w:rFonts w:ascii="Times New Roman" w:eastAsiaTheme="minorEastAsia" w:hAnsi="Times New Roman"/>
          <w:color w:val="000000" w:themeColor="text1"/>
          <w:sz w:val="24"/>
          <w:szCs w:val="24"/>
        </w:rPr>
      </w:pPr>
      <w:r w:rsidRPr="00F82017">
        <w:rPr>
          <w:rFonts w:ascii="Times New Roman" w:eastAsiaTheme="minorEastAsia" w:hAnsi="Times New Roman"/>
          <w:color w:val="000000" w:themeColor="text1"/>
          <w:sz w:val="24"/>
          <w:szCs w:val="24"/>
        </w:rPr>
        <w:t>(</w:t>
      </w:r>
      <w:r w:rsidR="00D04410" w:rsidRPr="00F82017">
        <w:rPr>
          <w:rFonts w:ascii="Times New Roman" w:eastAsiaTheme="minorEastAsia" w:hAnsi="Times New Roman"/>
          <w:color w:val="000000" w:themeColor="text1"/>
          <w:sz w:val="24"/>
          <w:szCs w:val="24"/>
        </w:rPr>
        <w:t>2015</w:t>
      </w:r>
      <w:r w:rsidR="00D04410" w:rsidRPr="00F82017">
        <w:rPr>
          <w:rFonts w:ascii="Times New Roman" w:eastAsiaTheme="minorEastAsia" w:hAnsi="Times New Roman"/>
          <w:color w:val="000000" w:themeColor="text1"/>
          <w:sz w:val="24"/>
          <w:szCs w:val="24"/>
        </w:rPr>
        <w:t>年</w:t>
      </w:r>
      <w:r w:rsidR="00D04410" w:rsidRPr="00F82017">
        <w:rPr>
          <w:rFonts w:ascii="Times New Roman" w:eastAsiaTheme="minorEastAsia" w:hAnsi="Times New Roman"/>
          <w:color w:val="000000" w:themeColor="text1"/>
          <w:sz w:val="24"/>
          <w:szCs w:val="24"/>
        </w:rPr>
        <w:t>7</w:t>
      </w:r>
      <w:r w:rsidR="00D04410" w:rsidRPr="00F82017">
        <w:rPr>
          <w:rFonts w:ascii="Times New Roman" w:eastAsiaTheme="minorEastAsia" w:hAnsi="Times New Roman"/>
          <w:color w:val="000000" w:themeColor="text1"/>
          <w:sz w:val="24"/>
          <w:szCs w:val="24"/>
        </w:rPr>
        <w:t>月</w:t>
      </w:r>
      <w:r w:rsidR="00D04410" w:rsidRPr="00F82017">
        <w:rPr>
          <w:rFonts w:ascii="Times New Roman" w:eastAsiaTheme="minorEastAsia" w:hAnsi="Times New Roman"/>
          <w:color w:val="000000" w:themeColor="text1"/>
          <w:sz w:val="24"/>
          <w:szCs w:val="24"/>
        </w:rPr>
        <w:t>21</w:t>
      </w:r>
      <w:r w:rsidR="00D04410" w:rsidRPr="00F82017">
        <w:rPr>
          <w:rFonts w:ascii="Times New Roman" w:eastAsiaTheme="minorEastAsia" w:hAnsi="Times New Roman"/>
          <w:color w:val="000000" w:themeColor="text1"/>
          <w:sz w:val="24"/>
          <w:szCs w:val="24"/>
        </w:rPr>
        <w:t>日</w:t>
      </w:r>
      <w:r w:rsidRPr="00F82017">
        <w:rPr>
          <w:rFonts w:ascii="Times New Roman" w:eastAsiaTheme="minorEastAsia" w:hAnsi="Times New Roman"/>
          <w:color w:val="000000" w:themeColor="text1"/>
          <w:sz w:val="24"/>
          <w:szCs w:val="24"/>
        </w:rPr>
        <w:t>至</w:t>
      </w:r>
      <w:r w:rsidRPr="00F82017">
        <w:rPr>
          <w:rFonts w:ascii="Times New Roman" w:eastAsiaTheme="minorEastAsia" w:hAnsi="Times New Roman"/>
          <w:color w:val="000000" w:themeColor="text1"/>
          <w:sz w:val="24"/>
          <w:szCs w:val="24"/>
        </w:rPr>
        <w:t>2019</w:t>
      </w:r>
      <w:r w:rsidRPr="00F82017">
        <w:rPr>
          <w:rFonts w:ascii="Times New Roman" w:eastAsiaTheme="minorEastAsia" w:hAnsi="Times New Roman"/>
          <w:color w:val="000000" w:themeColor="text1"/>
          <w:sz w:val="24"/>
          <w:szCs w:val="24"/>
        </w:rPr>
        <w:t>年</w:t>
      </w:r>
      <w:r w:rsidRPr="00F82017">
        <w:rPr>
          <w:rFonts w:ascii="Times New Roman" w:eastAsiaTheme="minorEastAsia" w:hAnsi="Times New Roman"/>
          <w:color w:val="000000" w:themeColor="text1"/>
          <w:sz w:val="24"/>
          <w:szCs w:val="24"/>
        </w:rPr>
        <w:t>3</w:t>
      </w:r>
      <w:r w:rsidRPr="00F82017">
        <w:rPr>
          <w:rFonts w:ascii="Times New Roman" w:eastAsiaTheme="minorEastAsia" w:hAnsi="Times New Roman"/>
          <w:color w:val="000000" w:themeColor="text1"/>
          <w:sz w:val="24"/>
          <w:szCs w:val="24"/>
        </w:rPr>
        <w:t>月</w:t>
      </w:r>
      <w:r w:rsidRPr="00F82017">
        <w:rPr>
          <w:rFonts w:ascii="Times New Roman" w:eastAsiaTheme="minorEastAsia" w:hAnsi="Times New Roman"/>
          <w:color w:val="000000" w:themeColor="text1"/>
          <w:sz w:val="24"/>
          <w:szCs w:val="24"/>
        </w:rPr>
        <w:t>31</w:t>
      </w:r>
      <w:r w:rsidRPr="00F82017">
        <w:rPr>
          <w:rFonts w:ascii="Times New Roman" w:eastAsiaTheme="minorEastAsia" w:hAnsi="Times New Roman"/>
          <w:color w:val="000000" w:themeColor="text1"/>
          <w:sz w:val="24"/>
          <w:szCs w:val="24"/>
        </w:rPr>
        <w:t>日</w:t>
      </w:r>
      <w:r w:rsidRPr="00F82017">
        <w:rPr>
          <w:rFonts w:ascii="Times New Roman" w:eastAsiaTheme="minorEastAsia" w:hAnsi="Times New Roman"/>
          <w:color w:val="000000" w:themeColor="text1"/>
          <w:sz w:val="24"/>
          <w:szCs w:val="24"/>
        </w:rPr>
        <w:t>)</w:t>
      </w:r>
    </w:p>
    <w:p w:rsidR="009238DB" w:rsidRPr="00F82017" w:rsidRDefault="009238DB" w:rsidP="00FC13C8">
      <w:pPr>
        <w:snapToGrid w:val="0"/>
        <w:spacing w:line="360" w:lineRule="auto"/>
        <w:rPr>
          <w:rFonts w:eastAsiaTheme="minorEastAsia"/>
          <w:color w:val="000000" w:themeColor="text1"/>
          <w:sz w:val="24"/>
        </w:rPr>
      </w:pPr>
      <w:r w:rsidRPr="00F82017">
        <w:rPr>
          <w:rFonts w:eastAsiaTheme="minorEastAsia"/>
          <w:color w:val="000000" w:themeColor="text1"/>
          <w:sz w:val="24"/>
        </w:rPr>
        <w:t>1</w:t>
      </w:r>
      <w:r w:rsidRPr="00F82017">
        <w:rPr>
          <w:rFonts w:eastAsiaTheme="minorEastAsia"/>
          <w:color w:val="000000" w:themeColor="text1"/>
          <w:sz w:val="24"/>
        </w:rPr>
        <w:t>．</w:t>
      </w:r>
      <w:r w:rsidR="0042785F" w:rsidRPr="00F82017">
        <w:rPr>
          <w:rFonts w:eastAsiaTheme="minorEastAsia"/>
          <w:color w:val="000000" w:themeColor="text1"/>
          <w:sz w:val="24"/>
        </w:rPr>
        <w:t>国投瑞银岁丰利债券</w:t>
      </w:r>
      <w:r w:rsidR="0042785F" w:rsidRPr="00F82017">
        <w:rPr>
          <w:rFonts w:eastAsiaTheme="minorEastAsia"/>
          <w:color w:val="000000" w:themeColor="text1"/>
          <w:sz w:val="24"/>
        </w:rPr>
        <w:t>A</w:t>
      </w:r>
      <w:r w:rsidRPr="00F82017">
        <w:rPr>
          <w:rFonts w:eastAsiaTheme="minorEastAsia"/>
          <w:color w:val="000000" w:themeColor="text1"/>
          <w:sz w:val="24"/>
        </w:rPr>
        <w:t>：</w:t>
      </w:r>
    </w:p>
    <w:p w:rsidR="00FC7F43" w:rsidRPr="00F82017" w:rsidRDefault="009D5A40" w:rsidP="00FC7F43">
      <w:pPr>
        <w:pStyle w:val="20"/>
        <w:spacing w:line="288" w:lineRule="auto"/>
        <w:ind w:firstLineChars="0" w:firstLine="0"/>
        <w:jc w:val="center"/>
        <w:rPr>
          <w:rFonts w:ascii="Times New Roman" w:eastAsiaTheme="minorEastAsia" w:hAnsi="Times New Roman"/>
          <w:color w:val="000000" w:themeColor="text1"/>
        </w:rPr>
      </w:pPr>
      <w:r w:rsidRPr="00F82017">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3276600"/>
                    </a:xfrm>
                    <a:prstGeom prst="rect">
                      <a:avLst/>
                    </a:prstGeom>
                    <a:noFill/>
                    <a:ln>
                      <a:noFill/>
                    </a:ln>
                  </pic:spPr>
                </pic:pic>
              </a:graphicData>
            </a:graphic>
          </wp:inline>
        </w:drawing>
      </w:r>
    </w:p>
    <w:p w:rsidR="009238DB" w:rsidRPr="00F82017" w:rsidRDefault="009238DB" w:rsidP="002A3961">
      <w:pPr>
        <w:snapToGrid w:val="0"/>
        <w:spacing w:beforeLines="100" w:line="360" w:lineRule="auto"/>
        <w:rPr>
          <w:rFonts w:eastAsiaTheme="minorEastAsia"/>
          <w:color w:val="000000" w:themeColor="text1"/>
          <w:sz w:val="24"/>
        </w:rPr>
      </w:pPr>
      <w:r w:rsidRPr="00F82017">
        <w:rPr>
          <w:rFonts w:eastAsiaTheme="minorEastAsia"/>
          <w:color w:val="000000" w:themeColor="text1"/>
          <w:sz w:val="24"/>
        </w:rPr>
        <w:t>2</w:t>
      </w:r>
      <w:r w:rsidRPr="00F82017">
        <w:rPr>
          <w:rFonts w:eastAsiaTheme="minorEastAsia"/>
          <w:color w:val="000000" w:themeColor="text1"/>
          <w:sz w:val="24"/>
        </w:rPr>
        <w:t>．</w:t>
      </w:r>
      <w:r w:rsidR="00FE7FBD" w:rsidRPr="00F82017">
        <w:rPr>
          <w:rFonts w:eastAsiaTheme="minorEastAsia"/>
          <w:color w:val="000000" w:themeColor="text1"/>
          <w:sz w:val="24"/>
        </w:rPr>
        <w:t>国投瑞银岁丰利债券</w:t>
      </w:r>
      <w:r w:rsidR="00FE7FBD" w:rsidRPr="00F82017">
        <w:rPr>
          <w:rFonts w:eastAsiaTheme="minorEastAsia"/>
          <w:color w:val="000000" w:themeColor="text1"/>
          <w:sz w:val="24"/>
        </w:rPr>
        <w:t>C</w:t>
      </w:r>
      <w:r w:rsidR="0042785F" w:rsidRPr="00F82017">
        <w:rPr>
          <w:rFonts w:eastAsiaTheme="minorEastAsia"/>
          <w:color w:val="000000" w:themeColor="text1"/>
          <w:sz w:val="24"/>
        </w:rPr>
        <w:t>：</w:t>
      </w:r>
    </w:p>
    <w:p w:rsidR="00FC7F43" w:rsidRPr="00F82017" w:rsidRDefault="00BD72C1" w:rsidP="00FC7F43">
      <w:pPr>
        <w:pStyle w:val="20"/>
        <w:spacing w:line="288" w:lineRule="auto"/>
        <w:ind w:firstLineChars="0" w:firstLine="0"/>
        <w:jc w:val="center"/>
        <w:rPr>
          <w:rFonts w:ascii="Times New Roman" w:eastAsiaTheme="minorEastAsia" w:hAnsi="Times New Roman"/>
          <w:color w:val="000000" w:themeColor="text1"/>
        </w:rPr>
      </w:pPr>
      <w:r w:rsidRPr="00F82017">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3276600"/>
                    </a:xfrm>
                    <a:prstGeom prst="rect">
                      <a:avLst/>
                    </a:prstGeom>
                    <a:noFill/>
                    <a:ln>
                      <a:noFill/>
                    </a:ln>
                  </pic:spPr>
                </pic:pic>
              </a:graphicData>
            </a:graphic>
          </wp:inline>
        </w:drawing>
      </w:r>
    </w:p>
    <w:p w:rsidR="00973B57" w:rsidRPr="00853C4C" w:rsidRDefault="00757FD7"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注：本基金建仓期为自基金合同生效日起的六个月。截至建仓期结束，本基金各项资产配置比例符合基金合同及招募说明书有关投资比例的约定。</w:t>
      </w:r>
    </w:p>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 xml:space="preserve">§4  </w:t>
      </w:r>
      <w:r w:rsidRPr="00F82017">
        <w:rPr>
          <w:rFonts w:eastAsiaTheme="minorEastAsia"/>
          <w:color w:val="000000" w:themeColor="text1"/>
          <w:kern w:val="0"/>
          <w:sz w:val="24"/>
          <w:szCs w:val="24"/>
        </w:rPr>
        <w:t>管理人报告</w:t>
      </w:r>
    </w:p>
    <w:p w:rsidR="009238DB" w:rsidRPr="00F82017" w:rsidRDefault="009238DB" w:rsidP="00FC13C8">
      <w:pPr>
        <w:autoSpaceDE w:val="0"/>
        <w:autoSpaceDN w:val="0"/>
        <w:adjustRightInd w:val="0"/>
        <w:spacing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4.1 </w:t>
      </w:r>
      <w:r w:rsidRPr="00F82017">
        <w:rPr>
          <w:rFonts w:eastAsiaTheme="minorEastAsia"/>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4264FD" w:rsidRPr="00F82017" w:rsidTr="00B54782">
        <w:tc>
          <w:tcPr>
            <w:tcW w:w="952" w:type="dxa"/>
            <w:vMerge w:val="restart"/>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姓名</w:t>
            </w:r>
          </w:p>
        </w:tc>
        <w:tc>
          <w:tcPr>
            <w:tcW w:w="930" w:type="dxa"/>
            <w:vMerge w:val="restart"/>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职务</w:t>
            </w:r>
          </w:p>
        </w:tc>
        <w:tc>
          <w:tcPr>
            <w:tcW w:w="2519" w:type="dxa"/>
            <w:gridSpan w:val="2"/>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任本基金的基金经理期限</w:t>
            </w:r>
          </w:p>
        </w:tc>
        <w:tc>
          <w:tcPr>
            <w:tcW w:w="1254" w:type="dxa"/>
            <w:vMerge w:val="restart"/>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证券从业年限</w:t>
            </w:r>
          </w:p>
        </w:tc>
        <w:tc>
          <w:tcPr>
            <w:tcW w:w="3276" w:type="dxa"/>
            <w:vMerge w:val="restart"/>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说明</w:t>
            </w:r>
          </w:p>
        </w:tc>
      </w:tr>
      <w:tr w:rsidR="004264FD" w:rsidRPr="00F82017" w:rsidTr="00B54782">
        <w:tc>
          <w:tcPr>
            <w:tcW w:w="952" w:type="dxa"/>
            <w:vMerge/>
            <w:vAlign w:val="center"/>
          </w:tcPr>
          <w:p w:rsidR="00C41617" w:rsidRPr="00F82017" w:rsidRDefault="00C41617" w:rsidP="0058694E">
            <w:pPr>
              <w:autoSpaceDE w:val="0"/>
              <w:autoSpaceDN w:val="0"/>
              <w:adjustRightInd w:val="0"/>
              <w:spacing w:before="29" w:line="288" w:lineRule="auto"/>
              <w:ind w:left="15"/>
              <w:jc w:val="center"/>
              <w:rPr>
                <w:rFonts w:eastAsiaTheme="minorEastAsia"/>
                <w:color w:val="000000" w:themeColor="text1"/>
                <w:kern w:val="0"/>
                <w:sz w:val="24"/>
              </w:rPr>
            </w:pPr>
          </w:p>
        </w:tc>
        <w:tc>
          <w:tcPr>
            <w:tcW w:w="930" w:type="dxa"/>
            <w:vMerge/>
          </w:tcPr>
          <w:p w:rsidR="00C41617" w:rsidRPr="00F82017" w:rsidRDefault="00C41617" w:rsidP="0058694E">
            <w:pPr>
              <w:autoSpaceDE w:val="0"/>
              <w:autoSpaceDN w:val="0"/>
              <w:adjustRightInd w:val="0"/>
              <w:spacing w:before="29" w:line="288" w:lineRule="auto"/>
              <w:ind w:left="15"/>
              <w:jc w:val="center"/>
              <w:rPr>
                <w:rFonts w:eastAsiaTheme="minorEastAsia"/>
                <w:color w:val="000000" w:themeColor="text1"/>
                <w:kern w:val="0"/>
                <w:sz w:val="24"/>
              </w:rPr>
            </w:pPr>
          </w:p>
        </w:tc>
        <w:tc>
          <w:tcPr>
            <w:tcW w:w="1210" w:type="dxa"/>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任职日期</w:t>
            </w:r>
          </w:p>
        </w:tc>
        <w:tc>
          <w:tcPr>
            <w:tcW w:w="1309" w:type="dxa"/>
            <w:vAlign w:val="center"/>
          </w:tcPr>
          <w:p w:rsidR="00C41617" w:rsidRPr="00F82017" w:rsidRDefault="00C41617"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离任日期</w:t>
            </w:r>
          </w:p>
        </w:tc>
        <w:tc>
          <w:tcPr>
            <w:tcW w:w="1254" w:type="dxa"/>
            <w:vMerge/>
            <w:vAlign w:val="center"/>
          </w:tcPr>
          <w:p w:rsidR="00C41617" w:rsidRPr="00F82017" w:rsidRDefault="00C41617" w:rsidP="0058694E">
            <w:pPr>
              <w:autoSpaceDE w:val="0"/>
              <w:autoSpaceDN w:val="0"/>
              <w:adjustRightInd w:val="0"/>
              <w:spacing w:before="29" w:line="288" w:lineRule="auto"/>
              <w:ind w:left="15"/>
              <w:jc w:val="center"/>
              <w:rPr>
                <w:rFonts w:eastAsiaTheme="minorEastAsia"/>
                <w:color w:val="000000" w:themeColor="text1"/>
                <w:kern w:val="0"/>
                <w:sz w:val="24"/>
              </w:rPr>
            </w:pPr>
          </w:p>
        </w:tc>
        <w:tc>
          <w:tcPr>
            <w:tcW w:w="3276" w:type="dxa"/>
            <w:vMerge/>
            <w:vAlign w:val="center"/>
          </w:tcPr>
          <w:p w:rsidR="00C41617" w:rsidRPr="00F82017" w:rsidRDefault="00C41617" w:rsidP="0058694E">
            <w:pPr>
              <w:autoSpaceDE w:val="0"/>
              <w:autoSpaceDN w:val="0"/>
              <w:adjustRightInd w:val="0"/>
              <w:spacing w:before="29" w:line="288" w:lineRule="auto"/>
              <w:ind w:left="15"/>
              <w:jc w:val="center"/>
              <w:rPr>
                <w:rFonts w:eastAsiaTheme="minorEastAsia"/>
                <w:color w:val="000000" w:themeColor="text1"/>
                <w:kern w:val="0"/>
                <w:sz w:val="24"/>
              </w:rPr>
            </w:pPr>
          </w:p>
        </w:tc>
      </w:tr>
      <w:tr w:rsidR="00D245FC">
        <w:tc>
          <w:tcPr>
            <w:tcW w:w="952" w:type="dxa"/>
            <w:vAlign w:val="center"/>
          </w:tcPr>
          <w:p w:rsidR="00D245FC" w:rsidRDefault="00AA06B6">
            <w:pPr>
              <w:jc w:val="center"/>
            </w:pPr>
            <w:r>
              <w:rPr>
                <w:rFonts w:eastAsiaTheme="minorEastAsia"/>
                <w:color w:val="000000" w:themeColor="text1"/>
                <w:sz w:val="24"/>
              </w:rPr>
              <w:t>蔡玮菁</w:t>
            </w:r>
          </w:p>
        </w:tc>
        <w:tc>
          <w:tcPr>
            <w:tcW w:w="930" w:type="dxa"/>
            <w:vAlign w:val="center"/>
          </w:tcPr>
          <w:p w:rsidR="00D245FC" w:rsidRDefault="00AA06B6">
            <w:pPr>
              <w:jc w:val="center"/>
            </w:pPr>
            <w:r>
              <w:rPr>
                <w:rFonts w:eastAsiaTheme="minorEastAsia"/>
                <w:color w:val="000000" w:themeColor="text1"/>
                <w:sz w:val="24"/>
              </w:rPr>
              <w:t>本基金基金经理，固定收益部副总监</w:t>
            </w:r>
          </w:p>
        </w:tc>
        <w:tc>
          <w:tcPr>
            <w:tcW w:w="1210" w:type="dxa"/>
            <w:vAlign w:val="center"/>
          </w:tcPr>
          <w:p w:rsidR="00D245FC" w:rsidRDefault="00AA06B6">
            <w:pPr>
              <w:jc w:val="center"/>
            </w:pPr>
            <w:r>
              <w:rPr>
                <w:rFonts w:eastAsiaTheme="minorEastAsia"/>
                <w:color w:val="000000" w:themeColor="text1"/>
                <w:sz w:val="24"/>
              </w:rPr>
              <w:t>2015-09-17</w:t>
            </w:r>
          </w:p>
        </w:tc>
        <w:tc>
          <w:tcPr>
            <w:tcW w:w="1309" w:type="dxa"/>
            <w:vAlign w:val="center"/>
          </w:tcPr>
          <w:p w:rsidR="00D245FC" w:rsidRDefault="00AA06B6">
            <w:pPr>
              <w:jc w:val="center"/>
            </w:pPr>
            <w:r>
              <w:rPr>
                <w:rFonts w:eastAsiaTheme="minorEastAsia"/>
                <w:color w:val="000000" w:themeColor="text1"/>
                <w:sz w:val="24"/>
              </w:rPr>
              <w:t>-</w:t>
            </w:r>
          </w:p>
        </w:tc>
        <w:tc>
          <w:tcPr>
            <w:tcW w:w="1254" w:type="dxa"/>
            <w:vAlign w:val="center"/>
          </w:tcPr>
          <w:p w:rsidR="00D245FC" w:rsidRDefault="00AA06B6">
            <w:pPr>
              <w:jc w:val="center"/>
            </w:pPr>
            <w:r>
              <w:rPr>
                <w:rFonts w:eastAsiaTheme="minorEastAsia"/>
                <w:color w:val="000000" w:themeColor="text1"/>
                <w:sz w:val="24"/>
              </w:rPr>
              <w:t>15</w:t>
            </w:r>
          </w:p>
        </w:tc>
        <w:tc>
          <w:tcPr>
            <w:tcW w:w="3276" w:type="dxa"/>
            <w:vAlign w:val="center"/>
          </w:tcPr>
          <w:p w:rsidR="00D245FC" w:rsidRDefault="00AA06B6">
            <w:r>
              <w:rPr>
                <w:rFonts w:eastAsiaTheme="minorEastAsia"/>
                <w:color w:val="000000" w:themeColor="text1"/>
                <w:sz w:val="24"/>
              </w:rPr>
              <w:t>中国籍，硕士，具有基金从业资格，曾任职光大证券、浦东发展银行、太平养老保险。</w:t>
            </w:r>
            <w:r>
              <w:rPr>
                <w:rFonts w:eastAsiaTheme="minorEastAsia"/>
                <w:color w:val="000000" w:themeColor="text1"/>
                <w:sz w:val="24"/>
              </w:rPr>
              <w:t>2012</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加入国投瑞银。曾任国投瑞银瑞祥灵活配置混合型证券投资基金（原国投瑞银瑞祥保本混合型证券投资基金）基金经理。现任国投瑞银稳定增利债券型证券投资基金、国投瑞银纯债债券型证券投资基金、国投瑞银岁丰利债券型证券投资基金（原国投瑞银岁丰利一年期定期开放债券型证券投资基金）、国投瑞银和泰</w:t>
            </w:r>
            <w:r>
              <w:rPr>
                <w:rFonts w:eastAsiaTheme="minorEastAsia"/>
                <w:color w:val="000000" w:themeColor="text1"/>
                <w:sz w:val="24"/>
              </w:rPr>
              <w:t>6</w:t>
            </w:r>
            <w:r>
              <w:rPr>
                <w:rFonts w:eastAsiaTheme="minorEastAsia"/>
                <w:color w:val="000000" w:themeColor="text1"/>
                <w:sz w:val="24"/>
              </w:rPr>
              <w:t>个月定期开放债券型发起式证券投资基金和国投瑞银优化增强债券型证券投资基金基金经理。</w:t>
            </w:r>
          </w:p>
        </w:tc>
      </w:tr>
    </w:tbl>
    <w:p w:rsidR="005C7D00" w:rsidRPr="00853C4C" w:rsidRDefault="00062E1F"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注：任职日期和离任日期均指公司做出决定后正式对外公告之日。证券从业的含义遵从行业协会《证券从业人员资格管理办法》的相关规定。</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4.2</w:t>
      </w:r>
      <w:r w:rsidR="00B22511" w:rsidRPr="00F82017">
        <w:rPr>
          <w:rFonts w:eastAsiaTheme="minorEastAsia"/>
          <w:b/>
          <w:color w:val="000000" w:themeColor="text1"/>
          <w:kern w:val="0"/>
          <w:sz w:val="24"/>
        </w:rPr>
        <w:t>管理人对报告期内本基金运作遵规守信情况的说明</w:t>
      </w:r>
    </w:p>
    <w:p w:rsidR="009238DB" w:rsidRPr="00F82017" w:rsidRDefault="00323F25"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在报告期内，本基金管理人遵守《证券法》、《证券投资基金法》及其系列法规和</w:t>
      </w:r>
      <w:r w:rsidRPr="00645B2B">
        <w:rPr>
          <w:rFonts w:eastAsiaTheme="minorEastAsia"/>
          <w:color w:val="000000" w:themeColor="text1"/>
          <w:sz w:val="24"/>
        </w:rPr>
        <w:t>《国投瑞银岁丰利</w:t>
      </w:r>
      <w:r w:rsidR="00645B2B" w:rsidRPr="00645B2B">
        <w:rPr>
          <w:rFonts w:eastAsiaTheme="minorEastAsia" w:hint="eastAsia"/>
          <w:color w:val="000000" w:themeColor="text1"/>
          <w:sz w:val="24"/>
        </w:rPr>
        <w:t>一年期定期开放</w:t>
      </w:r>
      <w:r w:rsidRPr="00645B2B">
        <w:rPr>
          <w:rFonts w:eastAsiaTheme="minorEastAsia"/>
          <w:color w:val="000000" w:themeColor="text1"/>
          <w:sz w:val="24"/>
        </w:rPr>
        <w:t>债券型证券投资基金基金合同》</w:t>
      </w:r>
      <w:r w:rsidRPr="00F82017">
        <w:rPr>
          <w:rFonts w:eastAsiaTheme="minorEastAsia"/>
          <w:color w:val="000000" w:themeColor="text1"/>
          <w:sz w:val="24"/>
        </w:rPr>
        <w:t>等有关规定，本着恪守诚信、审慎勤勉，忠实尽职的原则，为基金份额持有人的利益管理和运用基金资产。在报告期内，基金的投资决策规范，基金运作合法合规，没有损害基金份额持有人利益的行为。</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4.3 </w:t>
      </w:r>
      <w:r w:rsidRPr="00F82017">
        <w:rPr>
          <w:rFonts w:eastAsiaTheme="minorEastAsia"/>
          <w:b/>
          <w:color w:val="000000" w:themeColor="text1"/>
          <w:kern w:val="0"/>
          <w:sz w:val="24"/>
        </w:rPr>
        <w:t>公平交易专项说明</w:t>
      </w:r>
    </w:p>
    <w:p w:rsidR="00D15733" w:rsidRPr="00F82017" w:rsidRDefault="00D15733" w:rsidP="00FC13C8">
      <w:pPr>
        <w:spacing w:line="360" w:lineRule="auto"/>
        <w:rPr>
          <w:rFonts w:eastAsiaTheme="minorEastAsia"/>
          <w:color w:val="000000" w:themeColor="text1"/>
          <w:sz w:val="24"/>
        </w:rPr>
      </w:pPr>
      <w:r w:rsidRPr="00F82017">
        <w:rPr>
          <w:rFonts w:eastAsiaTheme="minorEastAsia"/>
          <w:color w:val="000000" w:themeColor="text1"/>
          <w:sz w:val="24"/>
        </w:rPr>
        <w:t xml:space="preserve">4.3.1 </w:t>
      </w:r>
      <w:r w:rsidRPr="00F82017">
        <w:rPr>
          <w:rFonts w:eastAsiaTheme="minorEastAsia"/>
          <w:color w:val="000000" w:themeColor="text1"/>
          <w:sz w:val="24"/>
        </w:rPr>
        <w:t>公平交易制度的执行情况</w:t>
      </w:r>
    </w:p>
    <w:p w:rsidR="009440DA" w:rsidRDefault="00C0202A" w:rsidP="00C0202A">
      <w:pPr>
        <w:spacing w:line="360" w:lineRule="auto"/>
        <w:ind w:firstLineChars="200" w:firstLine="480"/>
        <w:rPr>
          <w:color w:val="000000" w:themeColor="text1"/>
          <w:sz w:val="24"/>
        </w:rPr>
      </w:pPr>
      <w:r w:rsidRPr="00F82017">
        <w:rPr>
          <w:rFonts w:eastAsiaTheme="minorEastAsia"/>
          <w:color w:val="000000" w:themeColor="text1"/>
          <w:sz w:val="24"/>
        </w:rPr>
        <w:t>本报告期内，本基金管理人严格执行了公平交易相关的系列制度，通过工作制度、流程和技术手段保证公平交易原则的实现，以确保本基金管理人旗下各投资组合在研究、决策、交易执行等各方面均得到公平对待，通过对投资交易行为的监控、分析评估和信息披露来加强对公平交易过程和结果的监督，形成了有效的公平交易体系。本报告期，本基金管理人各项公平交易制度流程均得到良好地贯彻执行，未发现存在违反公平交易原则的现象。</w:t>
      </w:r>
      <w:bookmarkStart w:id="0" w:name="_GoBack"/>
      <w:bookmarkEnd w:id="0"/>
    </w:p>
    <w:p w:rsidR="00D15733" w:rsidRPr="00F82017" w:rsidRDefault="00D15733" w:rsidP="00FC13C8">
      <w:pPr>
        <w:spacing w:line="360" w:lineRule="auto"/>
        <w:rPr>
          <w:rFonts w:eastAsiaTheme="minorEastAsia"/>
          <w:color w:val="000000" w:themeColor="text1"/>
          <w:sz w:val="24"/>
        </w:rPr>
      </w:pPr>
      <w:r w:rsidRPr="00F82017">
        <w:rPr>
          <w:rFonts w:eastAsiaTheme="minorEastAsia"/>
          <w:color w:val="000000" w:themeColor="text1"/>
          <w:sz w:val="24"/>
        </w:rPr>
        <w:t>4.3.</w:t>
      </w:r>
      <w:r w:rsidR="005B6047" w:rsidRPr="00F82017">
        <w:rPr>
          <w:rFonts w:eastAsiaTheme="minorEastAsia"/>
          <w:color w:val="000000" w:themeColor="text1"/>
          <w:sz w:val="24"/>
        </w:rPr>
        <w:t>2</w:t>
      </w:r>
      <w:r w:rsidRPr="00F82017">
        <w:rPr>
          <w:rFonts w:eastAsiaTheme="minorEastAsia"/>
          <w:color w:val="000000" w:themeColor="text1"/>
          <w:sz w:val="24"/>
        </w:rPr>
        <w:t>异常交易行为的专项说明</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本基金于本报告期内不存在异常交易行为。</w:t>
      </w:r>
    </w:p>
    <w:p w:rsidR="009238DB" w:rsidRPr="00F82017" w:rsidRDefault="00323F25"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基金管理人管理的所有投资组合在本报告期内未出现参与交易所公开竞价同日反向交易成交较少的单边交易量超过该证券当日总成交量</w:t>
      </w:r>
      <w:r w:rsidRPr="00F82017">
        <w:rPr>
          <w:rFonts w:eastAsiaTheme="minorEastAsia"/>
          <w:color w:val="000000" w:themeColor="text1"/>
          <w:sz w:val="24"/>
        </w:rPr>
        <w:t>5%</w:t>
      </w:r>
      <w:r w:rsidRPr="00F82017">
        <w:rPr>
          <w:rFonts w:eastAsiaTheme="minorEastAsia"/>
          <w:color w:val="000000" w:themeColor="text1"/>
          <w:sz w:val="24"/>
        </w:rPr>
        <w:t>的情况。</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4.4 </w:t>
      </w:r>
      <w:r w:rsidRPr="00F82017">
        <w:rPr>
          <w:rFonts w:eastAsiaTheme="minorEastAsia"/>
          <w:b/>
          <w:color w:val="000000" w:themeColor="text1"/>
          <w:kern w:val="0"/>
          <w:sz w:val="24"/>
        </w:rPr>
        <w:t>报告期内基金的投资策略和业绩表现说明</w:t>
      </w:r>
    </w:p>
    <w:p w:rsidR="00952A72" w:rsidRPr="00F82017" w:rsidRDefault="00952A72" w:rsidP="00FC13C8">
      <w:pPr>
        <w:spacing w:line="360" w:lineRule="auto"/>
        <w:rPr>
          <w:rFonts w:eastAsiaTheme="minorEastAsia"/>
          <w:color w:val="000000" w:themeColor="text1"/>
          <w:sz w:val="24"/>
        </w:rPr>
      </w:pPr>
      <w:r w:rsidRPr="00F82017">
        <w:rPr>
          <w:rFonts w:eastAsiaTheme="minorEastAsia"/>
          <w:color w:val="000000" w:themeColor="text1"/>
          <w:sz w:val="24"/>
        </w:rPr>
        <w:t>4.4.1</w:t>
      </w:r>
      <w:r w:rsidRPr="00F82017">
        <w:rPr>
          <w:rFonts w:eastAsiaTheme="minorEastAsia"/>
          <w:color w:val="000000" w:themeColor="text1"/>
          <w:sz w:val="24"/>
        </w:rPr>
        <w:t>报告期内基金投资策略和运作分析</w:t>
      </w:r>
    </w:p>
    <w:p w:rsidR="00F42412" w:rsidRPr="00F42412" w:rsidRDefault="00F42412" w:rsidP="00F42412">
      <w:pPr>
        <w:spacing w:line="360" w:lineRule="auto"/>
        <w:ind w:firstLineChars="200" w:firstLine="480"/>
        <w:rPr>
          <w:rFonts w:eastAsiaTheme="minorEastAsia"/>
          <w:color w:val="000000" w:themeColor="text1"/>
          <w:sz w:val="24"/>
        </w:rPr>
      </w:pPr>
      <w:r w:rsidRPr="00F42412">
        <w:rPr>
          <w:rFonts w:eastAsiaTheme="minorEastAsia" w:hint="eastAsia"/>
          <w:color w:val="000000" w:themeColor="text1"/>
          <w:sz w:val="24"/>
        </w:rPr>
        <w:t>一季度债券收益率先下后上，债券市场从去年的快牛进入平稳震荡阶段。具体来看，一月份央行月初宣布将以降准替代到期</w:t>
      </w:r>
      <w:r w:rsidRPr="00F42412">
        <w:rPr>
          <w:rFonts w:eastAsiaTheme="minorEastAsia" w:hint="eastAsia"/>
          <w:color w:val="000000" w:themeColor="text1"/>
          <w:sz w:val="24"/>
        </w:rPr>
        <w:t>MLF</w:t>
      </w:r>
      <w:r w:rsidRPr="00F42412">
        <w:rPr>
          <w:rFonts w:eastAsiaTheme="minorEastAsia" w:hint="eastAsia"/>
          <w:color w:val="000000" w:themeColor="text1"/>
          <w:sz w:val="24"/>
        </w:rPr>
        <w:t>，受此影响，债券收益率出现下行。春节以后，宽信用预期进一步升温，市场风险偏好上升明显，叠加地方债发行提速和猪价上升较快，债券收益率震荡上行。总体来看，一季度收益率总体呈现区间震荡为主。信用利差方面，各等级信用债利差继续收窄，其中低信用等级债券受宽信用的边际影响更大，从而信用利差收窄幅度更大。一季度转债受权益市场走强影响，涨幅较大。</w:t>
      </w:r>
    </w:p>
    <w:p w:rsidR="00F42412" w:rsidRPr="00F42412" w:rsidRDefault="00F42412" w:rsidP="00F42412">
      <w:pPr>
        <w:spacing w:line="360" w:lineRule="auto"/>
        <w:ind w:firstLineChars="200" w:firstLine="480"/>
        <w:rPr>
          <w:rFonts w:eastAsiaTheme="minorEastAsia"/>
          <w:color w:val="000000" w:themeColor="text1"/>
          <w:sz w:val="24"/>
        </w:rPr>
      </w:pPr>
      <w:r w:rsidRPr="00F42412">
        <w:rPr>
          <w:rFonts w:eastAsiaTheme="minorEastAsia" w:hint="eastAsia"/>
          <w:color w:val="000000" w:themeColor="text1"/>
          <w:sz w:val="24"/>
        </w:rPr>
        <w:t>展望未来，我们认为在政策修复融资环境的过程中，宽货币向宽信用传导的渠道正在打通，经济短期企稳的概率在加大。二季度债券会面临物价走高，金融数据同比继续回暖，货币政策按兵不动等不利因素的影响，潜在压力较大。但从中期趋势来看，国内经济潜在增速下降是确定的，债券收益率还是处于下行通道中。除非经济超预期回升，否则债券收益率上升空间仍然有限。转债市场经过一季度的上涨，性价比下降，未来需更多关注个券机会。</w:t>
      </w:r>
    </w:p>
    <w:p w:rsidR="00952A72" w:rsidRPr="00F82017" w:rsidRDefault="00F42412" w:rsidP="00F42412">
      <w:pPr>
        <w:spacing w:line="360" w:lineRule="auto"/>
        <w:ind w:firstLineChars="200" w:firstLine="480"/>
        <w:rPr>
          <w:rFonts w:eastAsiaTheme="minorEastAsia"/>
          <w:color w:val="000000" w:themeColor="text1"/>
          <w:sz w:val="24"/>
        </w:rPr>
      </w:pPr>
      <w:r w:rsidRPr="00F42412">
        <w:rPr>
          <w:rFonts w:eastAsiaTheme="minorEastAsia" w:hint="eastAsia"/>
          <w:color w:val="000000" w:themeColor="text1"/>
          <w:sz w:val="24"/>
        </w:rPr>
        <w:t>本基金降低组合久期，增加对转债的配置。</w:t>
      </w:r>
    </w:p>
    <w:p w:rsidR="00952A72" w:rsidRPr="00F82017" w:rsidRDefault="00952A72" w:rsidP="00FC13C8">
      <w:pPr>
        <w:spacing w:line="360" w:lineRule="auto"/>
        <w:rPr>
          <w:rFonts w:eastAsiaTheme="minorEastAsia"/>
          <w:color w:val="000000" w:themeColor="text1"/>
          <w:sz w:val="24"/>
        </w:rPr>
      </w:pPr>
      <w:r w:rsidRPr="00F82017">
        <w:rPr>
          <w:rFonts w:eastAsiaTheme="minorEastAsia"/>
          <w:color w:val="000000" w:themeColor="text1"/>
          <w:sz w:val="24"/>
        </w:rPr>
        <w:t>4.4.2</w:t>
      </w:r>
      <w:r w:rsidRPr="00F82017">
        <w:rPr>
          <w:rFonts w:eastAsiaTheme="minorEastAsia"/>
          <w:color w:val="000000" w:themeColor="text1"/>
          <w:sz w:val="24"/>
        </w:rPr>
        <w:t>报告期内基金的业绩表现</w:t>
      </w:r>
    </w:p>
    <w:p w:rsidR="00952A72" w:rsidRPr="00F82017" w:rsidRDefault="00323F25"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截止本报告期末，本基金</w:t>
      </w:r>
      <w:r w:rsidRPr="00F82017">
        <w:rPr>
          <w:rFonts w:eastAsiaTheme="minorEastAsia"/>
          <w:color w:val="000000" w:themeColor="text1"/>
          <w:sz w:val="24"/>
        </w:rPr>
        <w:t>A</w:t>
      </w:r>
      <w:r w:rsidRPr="00F82017">
        <w:rPr>
          <w:rFonts w:eastAsiaTheme="minorEastAsia"/>
          <w:color w:val="000000" w:themeColor="text1"/>
          <w:sz w:val="24"/>
        </w:rPr>
        <w:t>级份额净值为</w:t>
      </w:r>
      <w:r w:rsidRPr="00F82017">
        <w:rPr>
          <w:rFonts w:eastAsiaTheme="minorEastAsia"/>
          <w:color w:val="000000" w:themeColor="text1"/>
          <w:sz w:val="24"/>
        </w:rPr>
        <w:t>1.113</w:t>
      </w:r>
      <w:r w:rsidRPr="00F82017">
        <w:rPr>
          <w:rFonts w:eastAsiaTheme="minorEastAsia"/>
          <w:color w:val="000000" w:themeColor="text1"/>
          <w:sz w:val="24"/>
        </w:rPr>
        <w:t>元，</w:t>
      </w:r>
      <w:r w:rsidRPr="00F82017">
        <w:rPr>
          <w:rFonts w:eastAsiaTheme="minorEastAsia"/>
          <w:color w:val="000000" w:themeColor="text1"/>
          <w:sz w:val="24"/>
        </w:rPr>
        <w:t>C</w:t>
      </w:r>
      <w:r w:rsidRPr="00F82017">
        <w:rPr>
          <w:rFonts w:eastAsiaTheme="minorEastAsia"/>
          <w:color w:val="000000" w:themeColor="text1"/>
          <w:sz w:val="24"/>
        </w:rPr>
        <w:t>级份额净值为</w:t>
      </w:r>
      <w:r w:rsidRPr="00F82017">
        <w:rPr>
          <w:rFonts w:eastAsiaTheme="minorEastAsia"/>
          <w:color w:val="000000" w:themeColor="text1"/>
          <w:sz w:val="24"/>
        </w:rPr>
        <w:t>1.104</w:t>
      </w:r>
      <w:r w:rsidRPr="00F82017">
        <w:rPr>
          <w:rFonts w:eastAsiaTheme="minorEastAsia"/>
          <w:color w:val="000000" w:themeColor="text1"/>
          <w:sz w:val="24"/>
        </w:rPr>
        <w:t>元，本报告期</w:t>
      </w:r>
      <w:r w:rsidRPr="00F82017">
        <w:rPr>
          <w:rFonts w:eastAsiaTheme="minorEastAsia"/>
          <w:color w:val="000000" w:themeColor="text1"/>
          <w:sz w:val="24"/>
        </w:rPr>
        <w:t>A</w:t>
      </w:r>
      <w:r w:rsidRPr="00F82017">
        <w:rPr>
          <w:rFonts w:eastAsiaTheme="minorEastAsia"/>
          <w:color w:val="000000" w:themeColor="text1"/>
          <w:sz w:val="24"/>
        </w:rPr>
        <w:t>级份额净值增长率为</w:t>
      </w:r>
      <w:r w:rsidRPr="00F82017">
        <w:rPr>
          <w:rFonts w:eastAsiaTheme="minorEastAsia"/>
          <w:color w:val="000000" w:themeColor="text1"/>
          <w:sz w:val="24"/>
        </w:rPr>
        <w:t>4.12%</w:t>
      </w:r>
      <w:r w:rsidRPr="00F82017">
        <w:rPr>
          <w:rFonts w:eastAsiaTheme="minorEastAsia"/>
          <w:color w:val="000000" w:themeColor="text1"/>
          <w:sz w:val="24"/>
        </w:rPr>
        <w:t>，</w:t>
      </w:r>
      <w:r w:rsidRPr="00F82017">
        <w:rPr>
          <w:rFonts w:eastAsiaTheme="minorEastAsia"/>
          <w:color w:val="000000" w:themeColor="text1"/>
          <w:sz w:val="24"/>
        </w:rPr>
        <w:t>C</w:t>
      </w:r>
      <w:r w:rsidRPr="00F82017">
        <w:rPr>
          <w:rFonts w:eastAsiaTheme="minorEastAsia"/>
          <w:color w:val="000000" w:themeColor="text1"/>
          <w:sz w:val="24"/>
        </w:rPr>
        <w:t>级份额净值增长率为</w:t>
      </w:r>
      <w:r w:rsidRPr="00F82017">
        <w:rPr>
          <w:rFonts w:eastAsiaTheme="minorEastAsia"/>
          <w:color w:val="000000" w:themeColor="text1"/>
          <w:sz w:val="24"/>
        </w:rPr>
        <w:t>4.05%</w:t>
      </w:r>
      <w:r w:rsidRPr="00F82017">
        <w:rPr>
          <w:rFonts w:eastAsiaTheme="minorEastAsia"/>
          <w:color w:val="000000" w:themeColor="text1"/>
          <w:sz w:val="24"/>
        </w:rPr>
        <w:t>，同期业绩比较基准收益率为</w:t>
      </w:r>
      <w:r w:rsidRPr="00F82017">
        <w:rPr>
          <w:rFonts w:eastAsiaTheme="minorEastAsia"/>
          <w:color w:val="000000" w:themeColor="text1"/>
          <w:sz w:val="24"/>
        </w:rPr>
        <w:t>0.47%</w:t>
      </w:r>
      <w:r w:rsidRPr="00F82017">
        <w:rPr>
          <w:rFonts w:eastAsiaTheme="minorEastAsia"/>
          <w:color w:val="000000" w:themeColor="text1"/>
          <w:sz w:val="24"/>
        </w:rPr>
        <w:t>。</w:t>
      </w:r>
    </w:p>
    <w:p w:rsidR="000739C3" w:rsidRPr="00F82017" w:rsidRDefault="000739C3" w:rsidP="003F4852">
      <w:pPr>
        <w:spacing w:line="360" w:lineRule="auto"/>
        <w:ind w:firstLineChars="200" w:firstLine="480"/>
        <w:rPr>
          <w:rFonts w:eastAsiaTheme="minorEastAsia"/>
          <w:color w:val="000000" w:themeColor="text1"/>
          <w:sz w:val="24"/>
        </w:rPr>
      </w:pPr>
    </w:p>
    <w:p w:rsidR="00022662" w:rsidRPr="00F82017" w:rsidRDefault="00D971CB" w:rsidP="00D971CB">
      <w:pPr>
        <w:spacing w:line="360" w:lineRule="auto"/>
        <w:rPr>
          <w:rFonts w:eastAsiaTheme="minorEastAsia"/>
          <w:color w:val="000000" w:themeColor="text1"/>
          <w:sz w:val="24"/>
        </w:rPr>
      </w:pPr>
      <w:r w:rsidRPr="00F82017">
        <w:rPr>
          <w:rFonts w:eastAsiaTheme="minorEastAsia"/>
          <w:b/>
          <w:color w:val="000000" w:themeColor="text1"/>
          <w:kern w:val="0"/>
          <w:sz w:val="24"/>
        </w:rPr>
        <w:t>4</w:t>
      </w:r>
      <w:r w:rsidR="004734F0" w:rsidRPr="00F82017">
        <w:rPr>
          <w:rFonts w:eastAsiaTheme="minorEastAsia"/>
          <w:b/>
          <w:color w:val="000000" w:themeColor="text1"/>
          <w:kern w:val="0"/>
          <w:sz w:val="24"/>
        </w:rPr>
        <w:t>.</w:t>
      </w:r>
      <w:r w:rsidR="00B63B6A" w:rsidRPr="00F82017">
        <w:rPr>
          <w:rFonts w:eastAsiaTheme="minorEastAsia"/>
          <w:b/>
          <w:color w:val="000000" w:themeColor="text1"/>
          <w:kern w:val="0"/>
          <w:sz w:val="24"/>
        </w:rPr>
        <w:t>5</w:t>
      </w:r>
      <w:r w:rsidRPr="00F82017">
        <w:rPr>
          <w:rFonts w:eastAsiaTheme="minorEastAsia"/>
          <w:b/>
          <w:color w:val="000000" w:themeColor="text1"/>
          <w:kern w:val="0"/>
          <w:sz w:val="24"/>
        </w:rPr>
        <w:t>报告期内基金持有人数或基金资产净值预警说明</w:t>
      </w:r>
    </w:p>
    <w:p w:rsidR="00D971CB" w:rsidRPr="00F82017" w:rsidRDefault="00D971CB" w:rsidP="003F4852">
      <w:pPr>
        <w:spacing w:line="360" w:lineRule="auto"/>
        <w:ind w:firstLineChars="200" w:firstLine="480"/>
        <w:rPr>
          <w:rFonts w:eastAsiaTheme="minorEastAsia"/>
          <w:color w:val="000000" w:themeColor="text1"/>
          <w:kern w:val="0"/>
          <w:sz w:val="24"/>
        </w:rPr>
      </w:pPr>
      <w:r w:rsidRPr="00F82017">
        <w:rPr>
          <w:rFonts w:eastAsiaTheme="minorEastAsia"/>
          <w:color w:val="000000" w:themeColor="text1"/>
          <w:kern w:val="0"/>
          <w:sz w:val="24"/>
        </w:rPr>
        <w:t>本基金曾出现过连续六十个工作日基金资产净值低于</w:t>
      </w:r>
      <w:r w:rsidRPr="00F82017">
        <w:rPr>
          <w:rFonts w:eastAsiaTheme="minorEastAsia"/>
          <w:color w:val="000000" w:themeColor="text1"/>
          <w:kern w:val="0"/>
          <w:sz w:val="24"/>
        </w:rPr>
        <w:t>5000</w:t>
      </w:r>
      <w:r w:rsidRPr="00F82017">
        <w:rPr>
          <w:rFonts w:eastAsiaTheme="minorEastAsia"/>
          <w:color w:val="000000" w:themeColor="text1"/>
          <w:kern w:val="0"/>
          <w:sz w:val="24"/>
        </w:rPr>
        <w:t>万元的情形，至本报告期末（</w:t>
      </w:r>
      <w:r w:rsidRPr="00F82017">
        <w:rPr>
          <w:rFonts w:eastAsiaTheme="minorEastAsia"/>
          <w:color w:val="000000" w:themeColor="text1"/>
          <w:kern w:val="0"/>
          <w:sz w:val="24"/>
        </w:rPr>
        <w:t>3</w:t>
      </w:r>
      <w:r w:rsidRPr="00F82017">
        <w:rPr>
          <w:rFonts w:eastAsiaTheme="minorEastAsia"/>
          <w:color w:val="000000" w:themeColor="text1"/>
          <w:kern w:val="0"/>
          <w:sz w:val="24"/>
        </w:rPr>
        <w:t>月</w:t>
      </w:r>
      <w:r w:rsidRPr="00F82017">
        <w:rPr>
          <w:rFonts w:eastAsiaTheme="minorEastAsia"/>
          <w:color w:val="000000" w:themeColor="text1"/>
          <w:kern w:val="0"/>
          <w:sz w:val="24"/>
        </w:rPr>
        <w:t>31</w:t>
      </w:r>
      <w:r w:rsidRPr="00F82017">
        <w:rPr>
          <w:rFonts w:eastAsiaTheme="minorEastAsia"/>
          <w:color w:val="000000" w:themeColor="text1"/>
          <w:kern w:val="0"/>
          <w:sz w:val="24"/>
        </w:rPr>
        <w:t>日）仍低于</w:t>
      </w:r>
      <w:r w:rsidRPr="00F82017">
        <w:rPr>
          <w:rFonts w:eastAsiaTheme="minorEastAsia"/>
          <w:color w:val="000000" w:themeColor="text1"/>
          <w:kern w:val="0"/>
          <w:sz w:val="24"/>
        </w:rPr>
        <w:t>5000</w:t>
      </w:r>
      <w:r w:rsidRPr="00F82017">
        <w:rPr>
          <w:rFonts w:eastAsiaTheme="minorEastAsia"/>
          <w:color w:val="000000" w:themeColor="text1"/>
          <w:kern w:val="0"/>
          <w:sz w:val="24"/>
        </w:rPr>
        <w:t>万元，基金管理人依据相关规定在本报告中进行披露，提醒基金份额持有人关注。</w:t>
      </w:r>
    </w:p>
    <w:p w:rsidR="00D971CB" w:rsidRPr="00F82017" w:rsidRDefault="00D971CB" w:rsidP="003F4852">
      <w:pPr>
        <w:spacing w:line="360" w:lineRule="auto"/>
        <w:ind w:firstLineChars="200" w:firstLine="480"/>
        <w:rPr>
          <w:rFonts w:eastAsiaTheme="minorEastAsia"/>
          <w:color w:val="000000" w:themeColor="text1"/>
          <w:sz w:val="24"/>
        </w:rPr>
      </w:pPr>
    </w:p>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 xml:space="preserve">§5  </w:t>
      </w:r>
      <w:r w:rsidRPr="00F82017">
        <w:rPr>
          <w:rFonts w:eastAsiaTheme="minorEastAsia"/>
          <w:color w:val="000000" w:themeColor="text1"/>
          <w:kern w:val="0"/>
          <w:sz w:val="24"/>
          <w:szCs w:val="24"/>
        </w:rPr>
        <w:t>投资组合报告</w:t>
      </w:r>
    </w:p>
    <w:p w:rsidR="009238DB" w:rsidRPr="00F82017" w:rsidRDefault="009238DB" w:rsidP="00FC13C8">
      <w:pPr>
        <w:autoSpaceDE w:val="0"/>
        <w:autoSpaceDN w:val="0"/>
        <w:adjustRightInd w:val="0"/>
        <w:spacing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5.1 </w:t>
      </w:r>
      <w:r w:rsidRPr="00F82017">
        <w:rPr>
          <w:rFonts w:eastAsiaTheme="minorEastAsia"/>
          <w:b/>
          <w:color w:val="000000" w:themeColor="text1"/>
          <w:kern w:val="0"/>
          <w:sz w:val="24"/>
        </w:rPr>
        <w:t>报告期末基金资产组合情况</w:t>
      </w:r>
    </w:p>
    <w:tbl>
      <w:tblPr>
        <w:tblStyle w:val="af2"/>
        <w:tblW w:w="8897" w:type="dxa"/>
        <w:tblInd w:w="108" w:type="dxa"/>
        <w:tblLayout w:type="fixed"/>
        <w:tblLook w:val="04A0"/>
      </w:tblPr>
      <w:tblGrid>
        <w:gridCol w:w="720"/>
        <w:gridCol w:w="3357"/>
        <w:gridCol w:w="2977"/>
        <w:gridCol w:w="1843"/>
      </w:tblGrid>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序号</w:t>
            </w:r>
          </w:p>
        </w:tc>
        <w:tc>
          <w:tcPr>
            <w:tcW w:w="3357"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项目</w:t>
            </w:r>
          </w:p>
        </w:tc>
        <w:tc>
          <w:tcPr>
            <w:tcW w:w="2977"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金额</w:t>
            </w:r>
            <w:r w:rsidRPr="00F82017">
              <w:rPr>
                <w:rFonts w:eastAsiaTheme="minorEastAsia"/>
                <w:color w:val="000000" w:themeColor="text1"/>
                <w:sz w:val="24"/>
              </w:rPr>
              <w:t>(</w:t>
            </w:r>
            <w:r w:rsidRPr="00F82017">
              <w:rPr>
                <w:rFonts w:eastAsiaTheme="minorEastAsia"/>
                <w:color w:val="000000" w:themeColor="text1"/>
                <w:sz w:val="24"/>
              </w:rPr>
              <w:t>元</w:t>
            </w:r>
            <w:r w:rsidRPr="00F82017">
              <w:rPr>
                <w:rFonts w:eastAsiaTheme="minorEastAsia"/>
                <w:color w:val="000000" w:themeColor="text1"/>
                <w:sz w:val="24"/>
              </w:rPr>
              <w:t>)</w:t>
            </w:r>
          </w:p>
        </w:tc>
        <w:tc>
          <w:tcPr>
            <w:tcW w:w="1843"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占基金总资产的比例</w:t>
            </w: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1</w:t>
            </w: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权益投资</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其中：股票</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2</w:t>
            </w: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固定收益投资</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11,652,432.40</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88.48</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其中：债券</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11,652,432.40</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88.48</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p>
        </w:tc>
        <w:tc>
          <w:tcPr>
            <w:tcW w:w="3357" w:type="dxa"/>
            <w:vAlign w:val="center"/>
          </w:tcPr>
          <w:p w:rsidR="009A6018" w:rsidRPr="00F82017" w:rsidRDefault="009A6018" w:rsidP="003F4852">
            <w:pPr>
              <w:autoSpaceDE w:val="0"/>
              <w:autoSpaceDN w:val="0"/>
              <w:adjustRightInd w:val="0"/>
              <w:spacing w:before="29" w:line="360" w:lineRule="auto"/>
              <w:ind w:left="17" w:firstLineChars="300" w:firstLine="720"/>
              <w:jc w:val="left"/>
              <w:rPr>
                <w:rFonts w:eastAsiaTheme="minorEastAsia"/>
                <w:color w:val="000000" w:themeColor="text1"/>
                <w:sz w:val="24"/>
              </w:rPr>
            </w:pPr>
            <w:r w:rsidRPr="00F82017">
              <w:rPr>
                <w:rFonts w:eastAsiaTheme="minorEastAsia"/>
                <w:color w:val="000000" w:themeColor="text1"/>
                <w:sz w:val="24"/>
              </w:rPr>
              <w:t>资产支持证券</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3</w:t>
            </w:r>
          </w:p>
        </w:tc>
        <w:tc>
          <w:tcPr>
            <w:tcW w:w="3357" w:type="dxa"/>
          </w:tcPr>
          <w:p w:rsidR="009A6018" w:rsidRPr="00F82017" w:rsidRDefault="009A6018" w:rsidP="00022662">
            <w:pPr>
              <w:spacing w:before="29" w:line="360" w:lineRule="auto"/>
              <w:ind w:leftChars="50" w:left="105"/>
              <w:rPr>
                <w:rFonts w:eastAsiaTheme="minorEastAsia"/>
                <w:color w:val="000000" w:themeColor="text1"/>
                <w:sz w:val="24"/>
              </w:rPr>
            </w:pPr>
            <w:r w:rsidRPr="00F82017">
              <w:rPr>
                <w:rFonts w:eastAsiaTheme="minorEastAsia"/>
                <w:color w:val="000000" w:themeColor="text1"/>
                <w:sz w:val="24"/>
              </w:rPr>
              <w:t>贵金属投资</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4</w:t>
            </w: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金融衍生品投资</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5</w:t>
            </w: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买入返售金融资产</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其中：买断式回购的买入返售金融资产</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6</w:t>
            </w:r>
          </w:p>
        </w:tc>
        <w:tc>
          <w:tcPr>
            <w:tcW w:w="3357" w:type="dxa"/>
            <w:vAlign w:val="center"/>
          </w:tcPr>
          <w:p w:rsidR="009A6018" w:rsidRPr="00F82017" w:rsidRDefault="009A6018" w:rsidP="00022662">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银行存款和结算备付金合计</w:t>
            </w:r>
          </w:p>
        </w:tc>
        <w:tc>
          <w:tcPr>
            <w:tcW w:w="2977"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1,072,610.00</w:t>
            </w:r>
          </w:p>
        </w:tc>
        <w:tc>
          <w:tcPr>
            <w:tcW w:w="1843" w:type="dxa"/>
            <w:vAlign w:val="center"/>
          </w:tcPr>
          <w:p w:rsidR="009A6018" w:rsidRPr="00F82017" w:rsidRDefault="009A6018" w:rsidP="003F7026">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8.14</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7</w:t>
            </w:r>
          </w:p>
        </w:tc>
        <w:tc>
          <w:tcPr>
            <w:tcW w:w="3357" w:type="dxa"/>
            <w:vAlign w:val="center"/>
          </w:tcPr>
          <w:p w:rsidR="009A6018" w:rsidRPr="00F82017" w:rsidRDefault="009A6018" w:rsidP="003F7026">
            <w:pPr>
              <w:rPr>
                <w:rFonts w:eastAsiaTheme="minorEastAsia"/>
                <w:color w:val="000000" w:themeColor="text1"/>
                <w:sz w:val="24"/>
              </w:rPr>
            </w:pPr>
            <w:r w:rsidRPr="00F82017">
              <w:rPr>
                <w:rFonts w:eastAsiaTheme="minorEastAsia"/>
                <w:color w:val="000000" w:themeColor="text1"/>
                <w:sz w:val="24"/>
              </w:rPr>
              <w:t>其他各项资产</w:t>
            </w:r>
          </w:p>
        </w:tc>
        <w:tc>
          <w:tcPr>
            <w:tcW w:w="2977" w:type="dxa"/>
            <w:vAlign w:val="center"/>
          </w:tcPr>
          <w:p w:rsidR="009A6018" w:rsidRPr="00F82017" w:rsidRDefault="009A6018" w:rsidP="003F7026">
            <w:pPr>
              <w:jc w:val="right"/>
              <w:rPr>
                <w:rFonts w:eastAsiaTheme="minorEastAsia"/>
                <w:color w:val="000000" w:themeColor="text1"/>
                <w:sz w:val="24"/>
              </w:rPr>
            </w:pPr>
            <w:r w:rsidRPr="00F82017">
              <w:rPr>
                <w:rFonts w:eastAsiaTheme="minorEastAsia"/>
                <w:color w:val="000000" w:themeColor="text1"/>
                <w:sz w:val="24"/>
              </w:rPr>
              <w:t>444,204.88</w:t>
            </w:r>
          </w:p>
        </w:tc>
        <w:tc>
          <w:tcPr>
            <w:tcW w:w="1843" w:type="dxa"/>
            <w:vAlign w:val="center"/>
          </w:tcPr>
          <w:p w:rsidR="009A6018" w:rsidRPr="00F82017" w:rsidRDefault="009A6018" w:rsidP="003F7026">
            <w:pPr>
              <w:jc w:val="right"/>
              <w:rPr>
                <w:rFonts w:eastAsiaTheme="minorEastAsia"/>
                <w:color w:val="000000" w:themeColor="text1"/>
                <w:sz w:val="24"/>
              </w:rPr>
            </w:pPr>
            <w:r w:rsidRPr="00F82017">
              <w:rPr>
                <w:rFonts w:eastAsiaTheme="minorEastAsia"/>
                <w:color w:val="000000" w:themeColor="text1"/>
                <w:sz w:val="24"/>
              </w:rPr>
              <w:t>3.37</w:t>
            </w:r>
          </w:p>
        </w:tc>
      </w:tr>
      <w:tr w:rsidR="004264FD" w:rsidRPr="00F82017" w:rsidTr="00B54782">
        <w:tc>
          <w:tcPr>
            <w:tcW w:w="720" w:type="dxa"/>
            <w:vAlign w:val="center"/>
          </w:tcPr>
          <w:p w:rsidR="009A6018" w:rsidRPr="00F82017" w:rsidRDefault="009A6018" w:rsidP="00022662">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8</w:t>
            </w:r>
          </w:p>
        </w:tc>
        <w:tc>
          <w:tcPr>
            <w:tcW w:w="3357" w:type="dxa"/>
            <w:vAlign w:val="center"/>
          </w:tcPr>
          <w:p w:rsidR="009A6018" w:rsidRPr="00F82017" w:rsidRDefault="009A6018" w:rsidP="003F7026">
            <w:pPr>
              <w:rPr>
                <w:rFonts w:eastAsiaTheme="minorEastAsia"/>
                <w:color w:val="000000" w:themeColor="text1"/>
                <w:sz w:val="24"/>
              </w:rPr>
            </w:pPr>
            <w:r w:rsidRPr="00F82017">
              <w:rPr>
                <w:rFonts w:eastAsiaTheme="minorEastAsia"/>
                <w:color w:val="000000" w:themeColor="text1"/>
                <w:sz w:val="24"/>
              </w:rPr>
              <w:t>合计</w:t>
            </w:r>
          </w:p>
        </w:tc>
        <w:tc>
          <w:tcPr>
            <w:tcW w:w="2977" w:type="dxa"/>
            <w:vAlign w:val="center"/>
          </w:tcPr>
          <w:p w:rsidR="009A6018" w:rsidRPr="00F82017" w:rsidRDefault="009A6018" w:rsidP="003F7026">
            <w:pPr>
              <w:jc w:val="right"/>
              <w:rPr>
                <w:rFonts w:eastAsiaTheme="minorEastAsia"/>
                <w:color w:val="000000" w:themeColor="text1"/>
                <w:sz w:val="24"/>
              </w:rPr>
            </w:pPr>
            <w:r w:rsidRPr="00F82017">
              <w:rPr>
                <w:rFonts w:eastAsiaTheme="minorEastAsia"/>
                <w:color w:val="000000" w:themeColor="text1"/>
                <w:sz w:val="24"/>
              </w:rPr>
              <w:t>13,169,247.28</w:t>
            </w:r>
          </w:p>
        </w:tc>
        <w:tc>
          <w:tcPr>
            <w:tcW w:w="1843" w:type="dxa"/>
            <w:vAlign w:val="center"/>
          </w:tcPr>
          <w:p w:rsidR="009A6018" w:rsidRPr="00F82017" w:rsidRDefault="009A6018" w:rsidP="003F7026">
            <w:pPr>
              <w:jc w:val="right"/>
              <w:rPr>
                <w:rFonts w:eastAsiaTheme="minorEastAsia"/>
                <w:color w:val="000000" w:themeColor="text1"/>
                <w:sz w:val="24"/>
              </w:rPr>
            </w:pPr>
            <w:r w:rsidRPr="00F82017">
              <w:rPr>
                <w:rFonts w:eastAsiaTheme="minorEastAsia"/>
                <w:color w:val="000000" w:themeColor="text1"/>
                <w:sz w:val="24"/>
              </w:rPr>
              <w:t>100.00</w:t>
            </w:r>
          </w:p>
        </w:tc>
      </w:tr>
    </w:tbl>
    <w:p w:rsidR="009238DB" w:rsidRPr="00853C4C" w:rsidRDefault="00323F25"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注：本基金本报告期末未持有通过港股通交易机制投资的港股。</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5.2 </w:t>
      </w:r>
      <w:r w:rsidRPr="00F82017">
        <w:rPr>
          <w:rFonts w:eastAsiaTheme="minorEastAsia"/>
          <w:b/>
          <w:color w:val="000000" w:themeColor="text1"/>
          <w:kern w:val="0"/>
          <w:sz w:val="24"/>
        </w:rPr>
        <w:t>报告期末按行业分类的股票投资组合</w:t>
      </w:r>
    </w:p>
    <w:p w:rsidR="009238DB" w:rsidRPr="00853C4C" w:rsidRDefault="000871DB"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本基金本报告期末未持有股票。</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5.3 </w:t>
      </w:r>
      <w:r w:rsidRPr="00F82017">
        <w:rPr>
          <w:rFonts w:eastAsiaTheme="minorEastAsia"/>
          <w:b/>
          <w:color w:val="000000" w:themeColor="text1"/>
          <w:kern w:val="0"/>
          <w:sz w:val="24"/>
        </w:rPr>
        <w:t>报告期末按公允价值占基金资产净值比例大小排序的前十名股票投资明细</w:t>
      </w:r>
    </w:p>
    <w:p w:rsidR="009238DB" w:rsidRPr="00853C4C" w:rsidRDefault="000871DB"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本基金本报告期末未持有股票。</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5.4 </w:t>
      </w:r>
      <w:r w:rsidRPr="00F82017">
        <w:rPr>
          <w:rFonts w:eastAsiaTheme="minorEastAsia"/>
          <w:b/>
          <w:color w:val="000000" w:themeColor="text1"/>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60"/>
        <w:gridCol w:w="2835"/>
        <w:gridCol w:w="1616"/>
      </w:tblGrid>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序号</w:t>
            </w:r>
          </w:p>
        </w:tc>
        <w:tc>
          <w:tcPr>
            <w:tcW w:w="3260"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债券品种</w:t>
            </w:r>
          </w:p>
        </w:tc>
        <w:tc>
          <w:tcPr>
            <w:tcW w:w="2835"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公允价值</w:t>
            </w:r>
            <w:r w:rsidRPr="00F82017">
              <w:rPr>
                <w:rFonts w:eastAsiaTheme="minorEastAsia"/>
                <w:color w:val="000000" w:themeColor="text1"/>
                <w:sz w:val="24"/>
              </w:rPr>
              <w:t>(</w:t>
            </w:r>
            <w:r w:rsidRPr="00F82017">
              <w:rPr>
                <w:rFonts w:eastAsiaTheme="minorEastAsia"/>
                <w:color w:val="000000" w:themeColor="text1"/>
                <w:sz w:val="24"/>
              </w:rPr>
              <w:t>元</w:t>
            </w:r>
            <w:r w:rsidRPr="00F82017">
              <w:rPr>
                <w:rFonts w:eastAsiaTheme="minorEastAsia"/>
                <w:color w:val="000000" w:themeColor="text1"/>
                <w:sz w:val="24"/>
              </w:rPr>
              <w:t>)</w:t>
            </w:r>
          </w:p>
        </w:tc>
        <w:tc>
          <w:tcPr>
            <w:tcW w:w="1616"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占基金资产净值比例</w:t>
            </w:r>
            <w:r w:rsidRPr="00F82017">
              <w:rPr>
                <w:rFonts w:eastAsiaTheme="minorEastAsia"/>
                <w:color w:val="000000" w:themeColor="text1"/>
                <w:sz w:val="24"/>
              </w:rPr>
              <w:t>(</w:t>
            </w:r>
            <w:r w:rsidRPr="00F82017">
              <w:rPr>
                <w:rFonts w:eastAsiaTheme="minorEastAsia"/>
                <w:color w:val="000000" w:themeColor="text1"/>
                <w:sz w:val="24"/>
              </w:rPr>
              <w:t>％</w:t>
            </w:r>
            <w:r w:rsidRPr="00F82017">
              <w:rPr>
                <w:rFonts w:eastAsiaTheme="minorEastAsia"/>
                <w:color w:val="000000" w:themeColor="text1"/>
                <w:sz w:val="24"/>
              </w:rPr>
              <w:t>)</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1</w:t>
            </w: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国家债券</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2</w:t>
            </w: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央行票据</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3</w:t>
            </w: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金融债券</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11,652,432.40</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88.92</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其中：政策性金融债</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11,652,432.40</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88.92</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4</w:t>
            </w: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企业债券</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296E4A" w:rsidRPr="00F82017" w:rsidRDefault="00296E4A"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5</w:t>
            </w:r>
          </w:p>
        </w:tc>
        <w:tc>
          <w:tcPr>
            <w:tcW w:w="3260" w:type="dxa"/>
            <w:vAlign w:val="center"/>
          </w:tcPr>
          <w:p w:rsidR="00296E4A" w:rsidRPr="00F82017" w:rsidRDefault="00296E4A"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企业短期融资</w:t>
            </w:r>
            <w:r w:rsidR="00FA786F" w:rsidRPr="00F82017">
              <w:rPr>
                <w:rFonts w:eastAsiaTheme="minorEastAsia"/>
                <w:color w:val="000000" w:themeColor="text1"/>
                <w:sz w:val="24"/>
              </w:rPr>
              <w:t>券</w:t>
            </w:r>
          </w:p>
        </w:tc>
        <w:tc>
          <w:tcPr>
            <w:tcW w:w="2835"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296E4A" w:rsidRPr="00F82017" w:rsidRDefault="00296E4A"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686943" w:rsidRPr="00F82017" w:rsidRDefault="00686943" w:rsidP="00BE4FD1">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6</w:t>
            </w:r>
          </w:p>
        </w:tc>
        <w:tc>
          <w:tcPr>
            <w:tcW w:w="3260" w:type="dxa"/>
            <w:vAlign w:val="center"/>
          </w:tcPr>
          <w:p w:rsidR="00686943" w:rsidRPr="00F82017" w:rsidRDefault="00686943" w:rsidP="00BE4FD1">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中期票据</w:t>
            </w:r>
          </w:p>
        </w:tc>
        <w:tc>
          <w:tcPr>
            <w:tcW w:w="2835" w:type="dxa"/>
            <w:vAlign w:val="center"/>
          </w:tcPr>
          <w:p w:rsidR="00686943" w:rsidRPr="00F82017" w:rsidRDefault="00686943" w:rsidP="00BE4FD1">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686943" w:rsidRPr="00F82017" w:rsidRDefault="00686943" w:rsidP="00BE4FD1">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686943" w:rsidRPr="00F82017" w:rsidRDefault="00686943"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7</w:t>
            </w:r>
          </w:p>
        </w:tc>
        <w:tc>
          <w:tcPr>
            <w:tcW w:w="3260" w:type="dxa"/>
            <w:vAlign w:val="center"/>
          </w:tcPr>
          <w:p w:rsidR="00686943" w:rsidRPr="00F82017" w:rsidRDefault="00686943"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可转债</w:t>
            </w:r>
            <w:r w:rsidR="00D50E1A" w:rsidRPr="00F82017">
              <w:rPr>
                <w:rFonts w:eastAsiaTheme="minorEastAsia"/>
                <w:color w:val="000000" w:themeColor="text1"/>
                <w:sz w:val="24"/>
              </w:rPr>
              <w:t>（可交换债）</w:t>
            </w:r>
          </w:p>
        </w:tc>
        <w:tc>
          <w:tcPr>
            <w:tcW w:w="2835"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8926E3" w:rsidRPr="00F82017" w:rsidTr="00B54782">
        <w:tc>
          <w:tcPr>
            <w:tcW w:w="817" w:type="dxa"/>
            <w:vAlign w:val="center"/>
          </w:tcPr>
          <w:p w:rsidR="008926E3" w:rsidRPr="00F82017" w:rsidRDefault="008926E3" w:rsidP="00296E4A">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8</w:t>
            </w:r>
          </w:p>
        </w:tc>
        <w:tc>
          <w:tcPr>
            <w:tcW w:w="3260" w:type="dxa"/>
            <w:vAlign w:val="center"/>
          </w:tcPr>
          <w:p w:rsidR="008926E3" w:rsidRPr="00F82017" w:rsidRDefault="008926E3"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同业存单</w:t>
            </w:r>
          </w:p>
        </w:tc>
        <w:tc>
          <w:tcPr>
            <w:tcW w:w="2835" w:type="dxa"/>
            <w:vAlign w:val="center"/>
          </w:tcPr>
          <w:p w:rsidR="008926E3" w:rsidRPr="00F82017" w:rsidRDefault="008926E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8926E3" w:rsidRPr="00F82017" w:rsidRDefault="008926E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686943" w:rsidRPr="00F82017" w:rsidRDefault="00686943" w:rsidP="00686943">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9</w:t>
            </w:r>
          </w:p>
        </w:tc>
        <w:tc>
          <w:tcPr>
            <w:tcW w:w="3260" w:type="dxa"/>
            <w:vAlign w:val="center"/>
          </w:tcPr>
          <w:p w:rsidR="00686943" w:rsidRPr="00F82017" w:rsidRDefault="00686943"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其他</w:t>
            </w:r>
          </w:p>
        </w:tc>
        <w:tc>
          <w:tcPr>
            <w:tcW w:w="2835"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1616"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817" w:type="dxa"/>
            <w:vAlign w:val="center"/>
          </w:tcPr>
          <w:p w:rsidR="00686943" w:rsidRPr="00F82017" w:rsidRDefault="00686943" w:rsidP="00686943">
            <w:pPr>
              <w:spacing w:before="29" w:line="360" w:lineRule="auto"/>
              <w:ind w:left="17"/>
              <w:jc w:val="center"/>
              <w:rPr>
                <w:rFonts w:eastAsiaTheme="minorEastAsia"/>
                <w:color w:val="000000" w:themeColor="text1"/>
                <w:sz w:val="24"/>
              </w:rPr>
            </w:pPr>
            <w:r w:rsidRPr="00F82017">
              <w:rPr>
                <w:rFonts w:eastAsiaTheme="minorEastAsia"/>
                <w:color w:val="000000" w:themeColor="text1"/>
                <w:sz w:val="24"/>
              </w:rPr>
              <w:t>10</w:t>
            </w:r>
          </w:p>
        </w:tc>
        <w:tc>
          <w:tcPr>
            <w:tcW w:w="3260" w:type="dxa"/>
            <w:vAlign w:val="center"/>
          </w:tcPr>
          <w:p w:rsidR="00686943" w:rsidRPr="00F82017" w:rsidRDefault="00686943" w:rsidP="00296E4A">
            <w:pPr>
              <w:spacing w:before="29" w:line="360" w:lineRule="auto"/>
              <w:ind w:left="17"/>
              <w:jc w:val="left"/>
              <w:rPr>
                <w:rFonts w:eastAsiaTheme="minorEastAsia"/>
                <w:color w:val="000000" w:themeColor="text1"/>
                <w:sz w:val="24"/>
              </w:rPr>
            </w:pPr>
            <w:r w:rsidRPr="00F82017">
              <w:rPr>
                <w:rFonts w:eastAsiaTheme="minorEastAsia"/>
                <w:color w:val="000000" w:themeColor="text1"/>
                <w:sz w:val="24"/>
              </w:rPr>
              <w:t>合计</w:t>
            </w:r>
          </w:p>
        </w:tc>
        <w:tc>
          <w:tcPr>
            <w:tcW w:w="2835"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11,652,432.40</w:t>
            </w:r>
          </w:p>
        </w:tc>
        <w:tc>
          <w:tcPr>
            <w:tcW w:w="1616" w:type="dxa"/>
            <w:vAlign w:val="center"/>
          </w:tcPr>
          <w:p w:rsidR="00686943" w:rsidRPr="00F82017" w:rsidRDefault="00686943" w:rsidP="00296E4A">
            <w:pPr>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88.92</w:t>
            </w:r>
          </w:p>
        </w:tc>
      </w:tr>
    </w:tbl>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 xml:space="preserve">5.5 </w:t>
      </w:r>
      <w:r w:rsidRPr="00F82017">
        <w:rPr>
          <w:rFonts w:eastAsiaTheme="minorEastAsia"/>
          <w:b/>
          <w:color w:val="000000" w:themeColor="text1"/>
          <w:kern w:val="0"/>
          <w:sz w:val="24"/>
        </w:rPr>
        <w:t>报告期末按公允价值占基金资产净值比例大小排</w:t>
      </w:r>
      <w:r w:rsidR="006D462B" w:rsidRPr="00F82017">
        <w:rPr>
          <w:rFonts w:eastAsiaTheme="minorEastAsia"/>
          <w:b/>
          <w:color w:val="000000" w:themeColor="text1"/>
          <w:kern w:val="0"/>
          <w:sz w:val="24"/>
        </w:rPr>
        <w:t>序</w:t>
      </w:r>
      <w:r w:rsidRPr="00F82017">
        <w:rPr>
          <w:rFonts w:eastAsiaTheme="minorEastAsia"/>
          <w:b/>
          <w:color w:val="000000" w:themeColor="text1"/>
          <w:kern w:val="0"/>
          <w:sz w:val="24"/>
        </w:rPr>
        <w:t>的前五名债券投资明细</w:t>
      </w:r>
    </w:p>
    <w:tbl>
      <w:tblPr>
        <w:tblStyle w:val="af2"/>
        <w:tblW w:w="0" w:type="auto"/>
        <w:tblInd w:w="108" w:type="dxa"/>
        <w:tblLayout w:type="fixed"/>
        <w:tblLook w:val="04A0"/>
      </w:tblPr>
      <w:tblGrid>
        <w:gridCol w:w="1504"/>
        <w:gridCol w:w="1504"/>
        <w:gridCol w:w="1504"/>
        <w:gridCol w:w="1503"/>
        <w:gridCol w:w="1503"/>
        <w:gridCol w:w="1503"/>
      </w:tblGrid>
      <w:tr w:rsidR="004264FD" w:rsidRPr="00F82017" w:rsidTr="00B54782">
        <w:tc>
          <w:tcPr>
            <w:tcW w:w="1504"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序号</w:t>
            </w:r>
          </w:p>
        </w:tc>
        <w:tc>
          <w:tcPr>
            <w:tcW w:w="1504"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债券代码</w:t>
            </w:r>
          </w:p>
        </w:tc>
        <w:tc>
          <w:tcPr>
            <w:tcW w:w="1504"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债券名称</w:t>
            </w:r>
          </w:p>
        </w:tc>
        <w:tc>
          <w:tcPr>
            <w:tcW w:w="1503"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数量（张）</w:t>
            </w:r>
          </w:p>
        </w:tc>
        <w:tc>
          <w:tcPr>
            <w:tcW w:w="1503"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公允价值</w:t>
            </w:r>
            <w:r w:rsidRPr="00F82017">
              <w:rPr>
                <w:rFonts w:eastAsiaTheme="minorEastAsia"/>
                <w:color w:val="000000" w:themeColor="text1"/>
                <w:kern w:val="0"/>
                <w:sz w:val="24"/>
              </w:rPr>
              <w:t>(</w:t>
            </w:r>
            <w:r w:rsidRPr="00F82017">
              <w:rPr>
                <w:rFonts w:eastAsiaTheme="minorEastAsia"/>
                <w:color w:val="000000" w:themeColor="text1"/>
                <w:kern w:val="0"/>
                <w:sz w:val="24"/>
              </w:rPr>
              <w:t>元</w:t>
            </w:r>
            <w:r w:rsidRPr="00F82017">
              <w:rPr>
                <w:rFonts w:eastAsiaTheme="minorEastAsia"/>
                <w:color w:val="000000" w:themeColor="text1"/>
                <w:kern w:val="0"/>
                <w:sz w:val="24"/>
              </w:rPr>
              <w:t>)</w:t>
            </w:r>
          </w:p>
        </w:tc>
        <w:tc>
          <w:tcPr>
            <w:tcW w:w="1503" w:type="dxa"/>
            <w:vAlign w:val="center"/>
          </w:tcPr>
          <w:p w:rsidR="00685FFC" w:rsidRPr="00F82017" w:rsidRDefault="00685FFC" w:rsidP="003F7026">
            <w:pPr>
              <w:autoSpaceDE w:val="0"/>
              <w:autoSpaceDN w:val="0"/>
              <w:adjustRightInd w:val="0"/>
              <w:spacing w:before="29" w:line="288" w:lineRule="auto"/>
              <w:ind w:left="15"/>
              <w:jc w:val="center"/>
              <w:rPr>
                <w:rFonts w:eastAsiaTheme="minorEastAsia"/>
                <w:color w:val="000000" w:themeColor="text1"/>
                <w:kern w:val="0"/>
                <w:sz w:val="24"/>
              </w:rPr>
            </w:pPr>
            <w:r w:rsidRPr="00F82017">
              <w:rPr>
                <w:rFonts w:eastAsiaTheme="minorEastAsia"/>
                <w:color w:val="000000" w:themeColor="text1"/>
                <w:kern w:val="0"/>
                <w:sz w:val="24"/>
              </w:rPr>
              <w:t>占基金资产净值比</w:t>
            </w:r>
            <w:r w:rsidR="00334656" w:rsidRPr="00F82017">
              <w:rPr>
                <w:rFonts w:eastAsiaTheme="minorEastAsia"/>
                <w:color w:val="000000" w:themeColor="text1"/>
                <w:kern w:val="0"/>
                <w:sz w:val="24"/>
              </w:rPr>
              <w:t>例</w:t>
            </w:r>
            <w:r w:rsidRPr="00F82017">
              <w:rPr>
                <w:rFonts w:eastAsiaTheme="minorEastAsia"/>
                <w:color w:val="000000" w:themeColor="text1"/>
                <w:kern w:val="0"/>
                <w:sz w:val="24"/>
              </w:rPr>
              <w:t>（％）</w:t>
            </w:r>
          </w:p>
        </w:tc>
      </w:tr>
      <w:tr w:rsidR="00D245FC">
        <w:tc>
          <w:tcPr>
            <w:tcW w:w="1504" w:type="dxa"/>
            <w:vAlign w:val="center"/>
          </w:tcPr>
          <w:p w:rsidR="00D245FC" w:rsidRDefault="00AA06B6">
            <w:pPr>
              <w:jc w:val="center"/>
            </w:pPr>
            <w:r>
              <w:rPr>
                <w:rFonts w:eastAsiaTheme="minorEastAsia"/>
                <w:color w:val="000000" w:themeColor="text1"/>
                <w:sz w:val="24"/>
              </w:rPr>
              <w:t>1</w:t>
            </w:r>
          </w:p>
        </w:tc>
        <w:tc>
          <w:tcPr>
            <w:tcW w:w="1504" w:type="dxa"/>
            <w:vAlign w:val="center"/>
          </w:tcPr>
          <w:p w:rsidR="00D245FC" w:rsidRDefault="00AA06B6">
            <w:pPr>
              <w:jc w:val="center"/>
            </w:pPr>
            <w:r>
              <w:rPr>
                <w:rFonts w:eastAsiaTheme="minorEastAsia"/>
                <w:color w:val="000000" w:themeColor="text1"/>
                <w:sz w:val="24"/>
              </w:rPr>
              <w:t>018006</w:t>
            </w:r>
          </w:p>
        </w:tc>
        <w:tc>
          <w:tcPr>
            <w:tcW w:w="1504" w:type="dxa"/>
            <w:vAlign w:val="center"/>
          </w:tcPr>
          <w:p w:rsidR="00D245FC" w:rsidRDefault="00AA06B6">
            <w:pPr>
              <w:jc w:val="center"/>
            </w:pPr>
            <w:r>
              <w:rPr>
                <w:rFonts w:eastAsiaTheme="minorEastAsia"/>
                <w:color w:val="000000" w:themeColor="text1"/>
                <w:sz w:val="24"/>
              </w:rPr>
              <w:t>国开</w:t>
            </w:r>
            <w:r>
              <w:rPr>
                <w:rFonts w:eastAsiaTheme="minorEastAsia"/>
                <w:color w:val="000000" w:themeColor="text1"/>
                <w:sz w:val="24"/>
              </w:rPr>
              <w:t>1702</w:t>
            </w:r>
          </w:p>
        </w:tc>
        <w:tc>
          <w:tcPr>
            <w:tcW w:w="1503" w:type="dxa"/>
            <w:vAlign w:val="center"/>
          </w:tcPr>
          <w:p w:rsidR="00D245FC" w:rsidRDefault="00AA06B6">
            <w:pPr>
              <w:jc w:val="right"/>
            </w:pPr>
            <w:r>
              <w:rPr>
                <w:rFonts w:eastAsiaTheme="minorEastAsia"/>
                <w:color w:val="000000" w:themeColor="text1"/>
                <w:sz w:val="24"/>
              </w:rPr>
              <w:t>113,860</w:t>
            </w:r>
          </w:p>
        </w:tc>
        <w:tc>
          <w:tcPr>
            <w:tcW w:w="1503" w:type="dxa"/>
            <w:vAlign w:val="center"/>
          </w:tcPr>
          <w:p w:rsidR="00D245FC" w:rsidRDefault="00AA06B6">
            <w:pPr>
              <w:jc w:val="right"/>
            </w:pPr>
            <w:r>
              <w:rPr>
                <w:rFonts w:eastAsiaTheme="minorEastAsia"/>
                <w:color w:val="000000" w:themeColor="text1"/>
                <w:sz w:val="24"/>
              </w:rPr>
              <w:t>11,652,432.40</w:t>
            </w:r>
          </w:p>
        </w:tc>
        <w:tc>
          <w:tcPr>
            <w:tcW w:w="1503" w:type="dxa"/>
            <w:vAlign w:val="center"/>
          </w:tcPr>
          <w:p w:rsidR="00D245FC" w:rsidRDefault="00AA06B6">
            <w:pPr>
              <w:jc w:val="right"/>
            </w:pPr>
            <w:r>
              <w:rPr>
                <w:rFonts w:eastAsiaTheme="minorEastAsia"/>
                <w:color w:val="000000" w:themeColor="text1"/>
                <w:sz w:val="24"/>
              </w:rPr>
              <w:t>88.92</w:t>
            </w:r>
          </w:p>
        </w:tc>
      </w:tr>
    </w:tbl>
    <w:p w:rsidR="009238DB" w:rsidRPr="00853C4C" w:rsidRDefault="00296E4A"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注：本基金本报告期末仅持有以上债券。</w:t>
      </w:r>
    </w:p>
    <w:p w:rsidR="009238DB" w:rsidRPr="00F82017" w:rsidRDefault="009238DB"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5.6</w:t>
      </w:r>
      <w:r w:rsidRPr="00F82017">
        <w:rPr>
          <w:rFonts w:eastAsiaTheme="minorEastAsia"/>
          <w:b/>
          <w:color w:val="000000" w:themeColor="text1"/>
          <w:kern w:val="0"/>
          <w:sz w:val="24"/>
        </w:rPr>
        <w:t xml:space="preserve">　报告期末按公允价值占基金资产净值比例大小排</w:t>
      </w:r>
      <w:r w:rsidR="006D462B" w:rsidRPr="00F82017">
        <w:rPr>
          <w:rFonts w:eastAsiaTheme="minorEastAsia"/>
          <w:b/>
          <w:color w:val="000000" w:themeColor="text1"/>
          <w:kern w:val="0"/>
          <w:sz w:val="24"/>
        </w:rPr>
        <w:t>序</w:t>
      </w:r>
      <w:r w:rsidRPr="00F82017">
        <w:rPr>
          <w:rFonts w:eastAsiaTheme="minorEastAsia"/>
          <w:b/>
          <w:color w:val="000000" w:themeColor="text1"/>
          <w:kern w:val="0"/>
          <w:sz w:val="24"/>
        </w:rPr>
        <w:t>的前十名资产支持证券投资明细</w:t>
      </w:r>
    </w:p>
    <w:p w:rsidR="009238DB" w:rsidRPr="00F82017" w:rsidRDefault="00C260A2" w:rsidP="00853C4C">
      <w:pPr>
        <w:autoSpaceDE w:val="0"/>
        <w:autoSpaceDN w:val="0"/>
        <w:adjustRightInd w:val="0"/>
        <w:spacing w:line="360" w:lineRule="auto"/>
        <w:ind w:firstLineChars="200" w:firstLine="480"/>
        <w:jc w:val="left"/>
        <w:rPr>
          <w:rFonts w:eastAsiaTheme="minorEastAsia"/>
          <w:color w:val="000000" w:themeColor="text1"/>
          <w:sz w:val="24"/>
        </w:rPr>
      </w:pPr>
      <w:r w:rsidRPr="00F82017">
        <w:rPr>
          <w:rFonts w:eastAsiaTheme="minorEastAsia"/>
          <w:color w:val="000000" w:themeColor="text1"/>
          <w:sz w:val="24"/>
        </w:rPr>
        <w:t>本基金本报告期末未持有资产支持证券。</w:t>
      </w:r>
    </w:p>
    <w:p w:rsidR="006D462B" w:rsidRPr="00F82017" w:rsidRDefault="006D462B" w:rsidP="002A3961">
      <w:pPr>
        <w:autoSpaceDE w:val="0"/>
        <w:autoSpaceDN w:val="0"/>
        <w:adjustRightInd w:val="0"/>
        <w:spacing w:beforeLines="100" w:line="360" w:lineRule="auto"/>
        <w:jc w:val="left"/>
        <w:rPr>
          <w:rFonts w:eastAsiaTheme="minorEastAsia"/>
          <w:b/>
          <w:bCs/>
          <w:color w:val="000000" w:themeColor="text1"/>
          <w:kern w:val="0"/>
          <w:sz w:val="24"/>
        </w:rPr>
      </w:pPr>
      <w:r w:rsidRPr="00F82017">
        <w:rPr>
          <w:rFonts w:eastAsiaTheme="minorEastAsia"/>
          <w:b/>
          <w:bCs/>
          <w:color w:val="000000" w:themeColor="text1"/>
          <w:kern w:val="0"/>
          <w:sz w:val="24"/>
        </w:rPr>
        <w:t xml:space="preserve">5.7 </w:t>
      </w:r>
      <w:r w:rsidRPr="00F82017">
        <w:rPr>
          <w:rFonts w:eastAsiaTheme="minorEastAsia"/>
          <w:b/>
          <w:bCs/>
          <w:color w:val="000000" w:themeColor="text1"/>
          <w:kern w:val="0"/>
          <w:sz w:val="24"/>
        </w:rPr>
        <w:t>报告期末按公允价值占基金资产净值比例大小排序的前五名贵金属投资明细</w:t>
      </w:r>
    </w:p>
    <w:p w:rsidR="006D462B" w:rsidRPr="00853C4C" w:rsidRDefault="006D462B"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本基金本报告期末未持有贵金属。</w:t>
      </w:r>
    </w:p>
    <w:p w:rsidR="009238DB" w:rsidRPr="00F82017" w:rsidRDefault="001D5CD0"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5</w:t>
      </w:r>
      <w:r w:rsidR="009238DB" w:rsidRPr="00F82017">
        <w:rPr>
          <w:rFonts w:eastAsiaTheme="minorEastAsia"/>
          <w:b/>
          <w:color w:val="000000" w:themeColor="text1"/>
          <w:kern w:val="0"/>
          <w:sz w:val="24"/>
        </w:rPr>
        <w:t>.</w:t>
      </w:r>
      <w:r w:rsidRPr="00F82017">
        <w:rPr>
          <w:rFonts w:eastAsiaTheme="minorEastAsia"/>
          <w:b/>
          <w:color w:val="000000" w:themeColor="text1"/>
          <w:kern w:val="0"/>
          <w:sz w:val="24"/>
        </w:rPr>
        <w:t>8</w:t>
      </w:r>
      <w:r w:rsidR="009238DB" w:rsidRPr="00F82017">
        <w:rPr>
          <w:rFonts w:eastAsiaTheme="minorEastAsia"/>
          <w:b/>
          <w:color w:val="000000" w:themeColor="text1"/>
          <w:kern w:val="0"/>
          <w:sz w:val="24"/>
        </w:rPr>
        <w:t>报告期末按公允价值占基金资产净值比例大小排</w:t>
      </w:r>
      <w:r w:rsidR="006D462B" w:rsidRPr="00F82017">
        <w:rPr>
          <w:rFonts w:eastAsiaTheme="minorEastAsia"/>
          <w:b/>
          <w:color w:val="000000" w:themeColor="text1"/>
          <w:kern w:val="0"/>
          <w:sz w:val="24"/>
        </w:rPr>
        <w:t>序</w:t>
      </w:r>
      <w:r w:rsidR="009238DB" w:rsidRPr="00F82017">
        <w:rPr>
          <w:rFonts w:eastAsiaTheme="minorEastAsia"/>
          <w:b/>
          <w:color w:val="000000" w:themeColor="text1"/>
          <w:kern w:val="0"/>
          <w:sz w:val="24"/>
        </w:rPr>
        <w:t>的前五名权证投资明细</w:t>
      </w:r>
    </w:p>
    <w:p w:rsidR="001D5CD0" w:rsidRPr="00853C4C" w:rsidRDefault="00C260A2"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本基金本报告期末未持有权证。</w:t>
      </w:r>
    </w:p>
    <w:p w:rsidR="001D5CD0" w:rsidRPr="00F82017" w:rsidRDefault="001D5CD0" w:rsidP="002A3961">
      <w:pPr>
        <w:adjustRightInd w:val="0"/>
        <w:snapToGrid w:val="0"/>
        <w:spacing w:beforeLines="100" w:line="360" w:lineRule="auto"/>
        <w:rPr>
          <w:rFonts w:eastAsiaTheme="minorEastAsia"/>
          <w:b/>
          <w:color w:val="000000" w:themeColor="text1"/>
          <w:sz w:val="24"/>
        </w:rPr>
      </w:pPr>
      <w:r w:rsidRPr="00F82017">
        <w:rPr>
          <w:rFonts w:eastAsiaTheme="minorEastAsia"/>
          <w:b/>
          <w:color w:val="000000" w:themeColor="text1"/>
          <w:sz w:val="24"/>
        </w:rPr>
        <w:t xml:space="preserve">5.9 </w:t>
      </w:r>
      <w:r w:rsidRPr="00F82017">
        <w:rPr>
          <w:rFonts w:eastAsiaTheme="minorEastAsia"/>
          <w:b/>
          <w:color w:val="000000" w:themeColor="text1"/>
          <w:sz w:val="24"/>
        </w:rPr>
        <w:t>报告期末本基金投资的股指期货交易情况说明</w:t>
      </w:r>
    </w:p>
    <w:p w:rsidR="001D5CD0" w:rsidRPr="00F82017" w:rsidRDefault="001D5CD0"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根据本基金合同规定，本基金不参与股指期货交易。</w:t>
      </w:r>
    </w:p>
    <w:p w:rsidR="001D5CD0" w:rsidRPr="00F82017" w:rsidRDefault="001D5CD0" w:rsidP="002A3961">
      <w:pPr>
        <w:adjustRightInd w:val="0"/>
        <w:snapToGrid w:val="0"/>
        <w:spacing w:beforeLines="100" w:line="360" w:lineRule="auto"/>
        <w:rPr>
          <w:rFonts w:eastAsiaTheme="minorEastAsia"/>
          <w:b/>
          <w:color w:val="000000" w:themeColor="text1"/>
          <w:sz w:val="24"/>
        </w:rPr>
      </w:pPr>
      <w:r w:rsidRPr="00F82017">
        <w:rPr>
          <w:rFonts w:eastAsiaTheme="minorEastAsia"/>
          <w:b/>
          <w:color w:val="000000" w:themeColor="text1"/>
          <w:sz w:val="24"/>
        </w:rPr>
        <w:t>5.10</w:t>
      </w:r>
      <w:r w:rsidRPr="00F82017">
        <w:rPr>
          <w:rFonts w:eastAsiaTheme="minorEastAsia"/>
          <w:b/>
          <w:color w:val="000000" w:themeColor="text1"/>
          <w:sz w:val="24"/>
        </w:rPr>
        <w:t>报告期末本基金投资的国债期货交易情况说明</w:t>
      </w:r>
    </w:p>
    <w:p w:rsidR="001D5CD0" w:rsidRPr="00F82017" w:rsidRDefault="001D5CD0" w:rsidP="001D5CD0">
      <w:pPr>
        <w:adjustRightInd w:val="0"/>
        <w:snapToGrid w:val="0"/>
        <w:spacing w:line="360" w:lineRule="auto"/>
        <w:rPr>
          <w:rFonts w:eastAsiaTheme="minorEastAsia"/>
          <w:b/>
          <w:color w:val="000000" w:themeColor="text1"/>
          <w:sz w:val="24"/>
        </w:rPr>
      </w:pPr>
      <w:r w:rsidRPr="00F82017">
        <w:rPr>
          <w:rFonts w:eastAsiaTheme="minorEastAsia"/>
          <w:b/>
          <w:color w:val="000000" w:themeColor="text1"/>
          <w:sz w:val="24"/>
        </w:rPr>
        <w:t xml:space="preserve">5.10.1 </w:t>
      </w:r>
      <w:r w:rsidRPr="00F82017">
        <w:rPr>
          <w:rFonts w:eastAsiaTheme="minorEastAsia"/>
          <w:b/>
          <w:color w:val="000000" w:themeColor="text1"/>
          <w:sz w:val="24"/>
        </w:rPr>
        <w:t>本期国债期货投资政策</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为有效控制债券投资的系统性风险，本基金根据风险管理的原则，以套期保值为目的，适度运用国债期货，提高投资组合的运作效率。</w:t>
      </w:r>
    </w:p>
    <w:p w:rsidR="001D5CD0" w:rsidRPr="00F82017" w:rsidRDefault="001D5CD0"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在国债期货投资时，本基金将首先分析国债期货各合约价格与最便宜可交割券的关系，选择定价合理的国债期货合约，其次，考虑国债期货各合约的流动性情况，最终确定与现货组合的合适匹配，以达到风险管理的目标。</w:t>
      </w:r>
    </w:p>
    <w:p w:rsidR="001D5CD0" w:rsidRPr="00F82017" w:rsidRDefault="001D5CD0" w:rsidP="001D5CD0">
      <w:pPr>
        <w:autoSpaceDE w:val="0"/>
        <w:autoSpaceDN w:val="0"/>
        <w:adjustRightInd w:val="0"/>
        <w:spacing w:line="360" w:lineRule="auto"/>
        <w:jc w:val="left"/>
        <w:rPr>
          <w:rFonts w:eastAsiaTheme="minorEastAsia"/>
          <w:b/>
          <w:color w:val="000000" w:themeColor="text1"/>
          <w:sz w:val="24"/>
        </w:rPr>
      </w:pPr>
      <w:r w:rsidRPr="00F82017">
        <w:rPr>
          <w:rFonts w:eastAsiaTheme="minorEastAsia"/>
          <w:b/>
          <w:color w:val="000000" w:themeColor="text1"/>
          <w:sz w:val="24"/>
        </w:rPr>
        <w:t xml:space="preserve">5.10.2 </w:t>
      </w:r>
      <w:r w:rsidRPr="00F82017">
        <w:rPr>
          <w:rFonts w:eastAsiaTheme="minorEastAsia"/>
          <w:b/>
          <w:color w:val="000000" w:themeColor="text1"/>
          <w:sz w:val="24"/>
        </w:rPr>
        <w:t>报告期末本基金投资的国债期货持仓和损益明细</w:t>
      </w:r>
    </w:p>
    <w:p w:rsidR="001D5CD0" w:rsidRPr="00853C4C" w:rsidRDefault="001D5CD0"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本基金本报告期未投资国债期货。</w:t>
      </w:r>
    </w:p>
    <w:p w:rsidR="001D5CD0" w:rsidRPr="00F82017" w:rsidRDefault="001D5CD0"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5.11</w:t>
      </w:r>
      <w:r w:rsidRPr="00F82017">
        <w:rPr>
          <w:rFonts w:eastAsiaTheme="minorEastAsia"/>
          <w:b/>
          <w:color w:val="000000" w:themeColor="text1"/>
          <w:kern w:val="0"/>
          <w:sz w:val="24"/>
        </w:rPr>
        <w:t>投资组合报告附注</w:t>
      </w:r>
    </w:p>
    <w:p w:rsidR="006456D3" w:rsidRPr="00F82017" w:rsidRDefault="006456D3" w:rsidP="006456D3">
      <w:pPr>
        <w:widowControl/>
        <w:spacing w:line="360" w:lineRule="auto"/>
        <w:rPr>
          <w:rFonts w:eastAsiaTheme="minorEastAsia"/>
          <w:color w:val="000000" w:themeColor="text1"/>
          <w:sz w:val="24"/>
        </w:rPr>
      </w:pPr>
      <w:r w:rsidRPr="00F82017">
        <w:rPr>
          <w:rFonts w:eastAsiaTheme="minorEastAsia"/>
          <w:color w:val="000000" w:themeColor="text1"/>
          <w:sz w:val="24"/>
        </w:rPr>
        <w:t>5.11.1</w:t>
      </w:r>
      <w:r w:rsidRPr="00F82017">
        <w:rPr>
          <w:rFonts w:eastAsiaTheme="minorEastAsia"/>
          <w:color w:val="000000" w:themeColor="text1"/>
          <w:sz w:val="24"/>
        </w:rPr>
        <w:t>本基金投资的前十名证券的发行主体本期没有被监管部门立案调查的</w:t>
      </w:r>
      <w:r w:rsidRPr="00F82017">
        <w:rPr>
          <w:rFonts w:eastAsiaTheme="minorEastAsia"/>
          <w:color w:val="000000" w:themeColor="text1"/>
          <w:sz w:val="24"/>
        </w:rPr>
        <w:t>,</w:t>
      </w:r>
      <w:r w:rsidRPr="00F82017">
        <w:rPr>
          <w:rFonts w:eastAsiaTheme="minorEastAsia"/>
          <w:color w:val="000000" w:themeColor="text1"/>
          <w:sz w:val="24"/>
        </w:rPr>
        <w:t>在报告编制日前一年内未受到公开谴责、处罚。</w:t>
      </w:r>
    </w:p>
    <w:p w:rsidR="006456D3" w:rsidRPr="00F82017" w:rsidRDefault="006456D3" w:rsidP="006456D3">
      <w:pPr>
        <w:widowControl/>
        <w:spacing w:line="360" w:lineRule="auto"/>
        <w:rPr>
          <w:rFonts w:eastAsiaTheme="minorEastAsia"/>
          <w:color w:val="000000" w:themeColor="text1"/>
          <w:sz w:val="24"/>
        </w:rPr>
      </w:pPr>
      <w:r w:rsidRPr="00F82017">
        <w:rPr>
          <w:rFonts w:eastAsiaTheme="minorEastAsia"/>
          <w:color w:val="000000" w:themeColor="text1"/>
          <w:sz w:val="24"/>
        </w:rPr>
        <w:t>5.11.2</w:t>
      </w:r>
      <w:r w:rsidRPr="00F82017">
        <w:rPr>
          <w:rFonts w:eastAsiaTheme="minorEastAsia"/>
          <w:color w:val="000000" w:themeColor="text1"/>
          <w:sz w:val="24"/>
        </w:rPr>
        <w:t>本基金不存在投资的前十名股票超出基金合同规定的备选库的情况。</w:t>
      </w:r>
    </w:p>
    <w:p w:rsidR="001D5CD0" w:rsidRPr="00F82017" w:rsidRDefault="001D5CD0" w:rsidP="001D5CD0">
      <w:pPr>
        <w:autoSpaceDE w:val="0"/>
        <w:autoSpaceDN w:val="0"/>
        <w:adjustRightInd w:val="0"/>
        <w:spacing w:line="360" w:lineRule="auto"/>
        <w:rPr>
          <w:rFonts w:eastAsiaTheme="minorEastAsia"/>
          <w:b/>
          <w:color w:val="000000" w:themeColor="text1"/>
          <w:kern w:val="0"/>
          <w:sz w:val="24"/>
        </w:rPr>
      </w:pPr>
      <w:r w:rsidRPr="00F82017">
        <w:rPr>
          <w:rFonts w:eastAsiaTheme="minorEastAsia"/>
          <w:b/>
          <w:color w:val="000000" w:themeColor="text1"/>
          <w:kern w:val="0"/>
          <w:sz w:val="24"/>
        </w:rPr>
        <w:t>5.11.3</w:t>
      </w:r>
      <w:r w:rsidR="00B22511" w:rsidRPr="00F82017">
        <w:rPr>
          <w:rFonts w:eastAsiaTheme="minorEastAsia"/>
          <w:b/>
          <w:color w:val="000000" w:themeColor="text1"/>
          <w:kern w:val="0"/>
          <w:sz w:val="24"/>
        </w:rPr>
        <w:t>其他资产构成</w:t>
      </w:r>
    </w:p>
    <w:tbl>
      <w:tblPr>
        <w:tblStyle w:val="af2"/>
        <w:tblW w:w="0" w:type="auto"/>
        <w:tblInd w:w="108" w:type="dxa"/>
        <w:tblLook w:val="04A0"/>
      </w:tblPr>
      <w:tblGrid>
        <w:gridCol w:w="944"/>
        <w:gridCol w:w="2761"/>
        <w:gridCol w:w="4808"/>
      </w:tblGrid>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7"/>
              <w:jc w:val="center"/>
              <w:rPr>
                <w:rFonts w:eastAsiaTheme="minorEastAsia"/>
                <w:color w:val="000000" w:themeColor="text1"/>
                <w:kern w:val="0"/>
                <w:sz w:val="24"/>
              </w:rPr>
            </w:pPr>
            <w:r w:rsidRPr="00F82017">
              <w:rPr>
                <w:rFonts w:eastAsiaTheme="minorEastAsia"/>
                <w:color w:val="000000" w:themeColor="text1"/>
                <w:kern w:val="0"/>
                <w:sz w:val="24"/>
              </w:rPr>
              <w:t>序号</w:t>
            </w:r>
          </w:p>
        </w:tc>
        <w:tc>
          <w:tcPr>
            <w:tcW w:w="2761" w:type="dxa"/>
            <w:vAlign w:val="center"/>
          </w:tcPr>
          <w:p w:rsidR="001D5CD0" w:rsidRPr="00F82017" w:rsidRDefault="001D5CD0" w:rsidP="00F22F9F">
            <w:pPr>
              <w:autoSpaceDE w:val="0"/>
              <w:autoSpaceDN w:val="0"/>
              <w:adjustRightInd w:val="0"/>
              <w:spacing w:before="29" w:line="360" w:lineRule="auto"/>
              <w:ind w:left="17"/>
              <w:jc w:val="center"/>
              <w:rPr>
                <w:rFonts w:eastAsiaTheme="minorEastAsia"/>
                <w:color w:val="000000" w:themeColor="text1"/>
                <w:kern w:val="0"/>
                <w:sz w:val="24"/>
              </w:rPr>
            </w:pPr>
            <w:r w:rsidRPr="00F82017">
              <w:rPr>
                <w:rFonts w:eastAsiaTheme="minorEastAsia"/>
                <w:color w:val="000000" w:themeColor="text1"/>
                <w:kern w:val="0"/>
                <w:sz w:val="24"/>
              </w:rPr>
              <w:t>名称</w:t>
            </w:r>
          </w:p>
        </w:tc>
        <w:tc>
          <w:tcPr>
            <w:tcW w:w="4808" w:type="dxa"/>
            <w:vAlign w:val="center"/>
          </w:tcPr>
          <w:p w:rsidR="001D5CD0" w:rsidRPr="00F82017" w:rsidRDefault="001D5CD0" w:rsidP="00F22F9F">
            <w:pPr>
              <w:autoSpaceDE w:val="0"/>
              <w:autoSpaceDN w:val="0"/>
              <w:adjustRightInd w:val="0"/>
              <w:spacing w:before="29" w:line="360" w:lineRule="auto"/>
              <w:ind w:left="17"/>
              <w:jc w:val="center"/>
              <w:rPr>
                <w:rFonts w:eastAsiaTheme="minorEastAsia"/>
                <w:color w:val="000000" w:themeColor="text1"/>
                <w:kern w:val="0"/>
                <w:sz w:val="24"/>
              </w:rPr>
            </w:pPr>
            <w:r w:rsidRPr="00F82017">
              <w:rPr>
                <w:rFonts w:eastAsiaTheme="minorEastAsia"/>
                <w:color w:val="000000" w:themeColor="text1"/>
                <w:kern w:val="0"/>
                <w:sz w:val="24"/>
              </w:rPr>
              <w:t>金额</w:t>
            </w:r>
            <w:r w:rsidRPr="00F82017">
              <w:rPr>
                <w:rFonts w:eastAsiaTheme="minorEastAsia"/>
                <w:color w:val="000000" w:themeColor="text1"/>
                <w:kern w:val="0"/>
                <w:sz w:val="24"/>
              </w:rPr>
              <w:t>(</w:t>
            </w:r>
            <w:r w:rsidRPr="00F82017">
              <w:rPr>
                <w:rFonts w:eastAsiaTheme="minorEastAsia"/>
                <w:color w:val="000000" w:themeColor="text1"/>
                <w:kern w:val="0"/>
                <w:sz w:val="24"/>
              </w:rPr>
              <w:t>元</w:t>
            </w: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kern w:val="0"/>
                <w:sz w:val="24"/>
              </w:rPr>
            </w:pPr>
            <w:r w:rsidRPr="00F82017">
              <w:rPr>
                <w:rFonts w:eastAsiaTheme="minorEastAsia"/>
                <w:color w:val="000000" w:themeColor="text1"/>
                <w:sz w:val="24"/>
              </w:rPr>
              <w:t>1</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存出保证金</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2,145.07</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2</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应收证券清算款</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3</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应收股利</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4</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应收利息</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442,059.81</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5</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应收申购款</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6</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其他应收款</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7</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sz w:val="24"/>
              </w:rPr>
            </w:pPr>
            <w:r w:rsidRPr="00F82017">
              <w:rPr>
                <w:rFonts w:eastAsiaTheme="minorEastAsia"/>
                <w:color w:val="000000" w:themeColor="text1"/>
                <w:sz w:val="24"/>
              </w:rPr>
              <w:t>待摊费用</w:t>
            </w:r>
          </w:p>
        </w:tc>
        <w:tc>
          <w:tcPr>
            <w:tcW w:w="4808" w:type="dxa"/>
            <w:vAlign w:val="center"/>
          </w:tcPr>
          <w:p w:rsidR="001D5CD0" w:rsidRPr="00F82017" w:rsidRDefault="001D5CD0" w:rsidP="003F7026">
            <w:pPr>
              <w:autoSpaceDE w:val="0"/>
              <w:autoSpaceDN w:val="0"/>
              <w:adjustRightInd w:val="0"/>
              <w:spacing w:before="29" w:line="360" w:lineRule="auto"/>
              <w:ind w:left="15"/>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8</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其他</w:t>
            </w:r>
          </w:p>
        </w:tc>
        <w:tc>
          <w:tcPr>
            <w:tcW w:w="4808" w:type="dxa"/>
            <w:vAlign w:val="center"/>
          </w:tcPr>
          <w:p w:rsidR="001D5CD0" w:rsidRPr="00F82017" w:rsidRDefault="001D5CD0" w:rsidP="00F22F9F">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w:t>
            </w:r>
          </w:p>
        </w:tc>
      </w:tr>
      <w:tr w:rsidR="004264FD" w:rsidRPr="00F82017" w:rsidTr="00B54782">
        <w:tc>
          <w:tcPr>
            <w:tcW w:w="944" w:type="dxa"/>
            <w:vAlign w:val="center"/>
          </w:tcPr>
          <w:p w:rsidR="001D5CD0" w:rsidRPr="00F82017" w:rsidRDefault="001D5CD0" w:rsidP="00F22F9F">
            <w:pPr>
              <w:autoSpaceDE w:val="0"/>
              <w:autoSpaceDN w:val="0"/>
              <w:adjustRightInd w:val="0"/>
              <w:spacing w:before="29" w:line="360" w:lineRule="auto"/>
              <w:ind w:left="15"/>
              <w:jc w:val="center"/>
              <w:rPr>
                <w:rFonts w:eastAsiaTheme="minorEastAsia"/>
                <w:color w:val="000000" w:themeColor="text1"/>
                <w:sz w:val="24"/>
              </w:rPr>
            </w:pPr>
            <w:r w:rsidRPr="00F82017">
              <w:rPr>
                <w:rFonts w:eastAsiaTheme="minorEastAsia"/>
                <w:color w:val="000000" w:themeColor="text1"/>
                <w:sz w:val="24"/>
              </w:rPr>
              <w:t>9</w:t>
            </w:r>
          </w:p>
        </w:tc>
        <w:tc>
          <w:tcPr>
            <w:tcW w:w="2761" w:type="dxa"/>
            <w:vAlign w:val="center"/>
          </w:tcPr>
          <w:p w:rsidR="001D5CD0" w:rsidRPr="00F82017" w:rsidRDefault="001D5CD0" w:rsidP="00F22F9F">
            <w:pPr>
              <w:autoSpaceDE w:val="0"/>
              <w:autoSpaceDN w:val="0"/>
              <w:adjustRightInd w:val="0"/>
              <w:spacing w:before="29" w:line="360" w:lineRule="auto"/>
              <w:ind w:left="15"/>
              <w:jc w:val="left"/>
              <w:rPr>
                <w:rFonts w:eastAsiaTheme="minorEastAsia"/>
                <w:color w:val="000000" w:themeColor="text1"/>
                <w:kern w:val="0"/>
                <w:sz w:val="24"/>
              </w:rPr>
            </w:pPr>
            <w:r w:rsidRPr="00F82017">
              <w:rPr>
                <w:rFonts w:eastAsiaTheme="minorEastAsia"/>
                <w:color w:val="000000" w:themeColor="text1"/>
                <w:kern w:val="0"/>
                <w:sz w:val="24"/>
              </w:rPr>
              <w:t>合计</w:t>
            </w:r>
          </w:p>
        </w:tc>
        <w:tc>
          <w:tcPr>
            <w:tcW w:w="4808" w:type="dxa"/>
            <w:vAlign w:val="center"/>
          </w:tcPr>
          <w:p w:rsidR="001D5CD0" w:rsidRPr="00F82017" w:rsidRDefault="001D5CD0" w:rsidP="00F22F9F">
            <w:pPr>
              <w:autoSpaceDE w:val="0"/>
              <w:autoSpaceDN w:val="0"/>
              <w:adjustRightInd w:val="0"/>
              <w:spacing w:before="29" w:line="360" w:lineRule="auto"/>
              <w:ind w:left="15"/>
              <w:jc w:val="right"/>
              <w:rPr>
                <w:rFonts w:eastAsiaTheme="minorEastAsia"/>
                <w:color w:val="000000" w:themeColor="text1"/>
                <w:kern w:val="0"/>
                <w:sz w:val="24"/>
              </w:rPr>
            </w:pPr>
            <w:r w:rsidRPr="00F82017">
              <w:rPr>
                <w:rFonts w:eastAsiaTheme="minorEastAsia"/>
                <w:color w:val="000000" w:themeColor="text1"/>
                <w:kern w:val="0"/>
                <w:sz w:val="24"/>
              </w:rPr>
              <w:t>444,204.88</w:t>
            </w:r>
          </w:p>
        </w:tc>
      </w:tr>
    </w:tbl>
    <w:p w:rsidR="001D5CD0" w:rsidRPr="00F82017" w:rsidRDefault="001D5CD0" w:rsidP="002A3961">
      <w:pPr>
        <w:autoSpaceDE w:val="0"/>
        <w:autoSpaceDN w:val="0"/>
        <w:adjustRightInd w:val="0"/>
        <w:spacing w:beforeLines="100" w:line="360" w:lineRule="auto"/>
        <w:jc w:val="left"/>
        <w:rPr>
          <w:rFonts w:eastAsiaTheme="minorEastAsia"/>
          <w:b/>
          <w:color w:val="000000" w:themeColor="text1"/>
          <w:kern w:val="0"/>
          <w:sz w:val="24"/>
        </w:rPr>
      </w:pPr>
      <w:r w:rsidRPr="00F82017">
        <w:rPr>
          <w:rFonts w:eastAsiaTheme="minorEastAsia"/>
          <w:b/>
          <w:color w:val="000000" w:themeColor="text1"/>
          <w:kern w:val="0"/>
          <w:sz w:val="24"/>
        </w:rPr>
        <w:t>5.11.4</w:t>
      </w:r>
      <w:r w:rsidRPr="00F82017">
        <w:rPr>
          <w:rFonts w:eastAsiaTheme="minorEastAsia"/>
          <w:b/>
          <w:color w:val="000000" w:themeColor="text1"/>
          <w:kern w:val="0"/>
          <w:sz w:val="24"/>
        </w:rPr>
        <w:t>报告期末持有的处于转股期的可转换债券明细</w:t>
      </w:r>
    </w:p>
    <w:p w:rsidR="001D5CD0" w:rsidRPr="00853C4C" w:rsidRDefault="001D5CD0"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本基金本报告期末未持有处于转股期的可转债。</w:t>
      </w:r>
    </w:p>
    <w:p w:rsidR="001D5CD0" w:rsidRPr="00F82017" w:rsidRDefault="001D5CD0" w:rsidP="002A3961">
      <w:pPr>
        <w:autoSpaceDE w:val="0"/>
        <w:autoSpaceDN w:val="0"/>
        <w:adjustRightInd w:val="0"/>
        <w:spacing w:beforeLines="100" w:line="360" w:lineRule="auto"/>
        <w:jc w:val="left"/>
        <w:rPr>
          <w:rFonts w:eastAsiaTheme="minorEastAsia"/>
          <w:b/>
          <w:bCs/>
          <w:color w:val="000000" w:themeColor="text1"/>
          <w:sz w:val="24"/>
        </w:rPr>
      </w:pPr>
      <w:r w:rsidRPr="00F82017">
        <w:rPr>
          <w:rFonts w:eastAsiaTheme="minorEastAsia"/>
          <w:b/>
          <w:color w:val="000000" w:themeColor="text1"/>
          <w:kern w:val="0"/>
          <w:sz w:val="24"/>
        </w:rPr>
        <w:t>5.11.5</w:t>
      </w:r>
      <w:r w:rsidRPr="00F82017">
        <w:rPr>
          <w:rFonts w:eastAsiaTheme="minorEastAsia"/>
          <w:b/>
          <w:bCs/>
          <w:color w:val="000000" w:themeColor="text1"/>
          <w:sz w:val="24"/>
        </w:rPr>
        <w:t>报告期末前十名股票中存在流通受限情况的说明</w:t>
      </w:r>
    </w:p>
    <w:p w:rsidR="001D5CD0" w:rsidRPr="00853C4C" w:rsidRDefault="001D5CD0"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本基金本报告期末未持有股票投资。</w:t>
      </w:r>
    </w:p>
    <w:p w:rsidR="001D5CD0" w:rsidRPr="00F82017" w:rsidRDefault="001D5CD0" w:rsidP="002A3961">
      <w:pPr>
        <w:spacing w:beforeLines="100" w:line="360" w:lineRule="auto"/>
        <w:rPr>
          <w:rFonts w:eastAsiaTheme="minorEastAsia"/>
          <w:b/>
          <w:color w:val="000000" w:themeColor="text1"/>
          <w:kern w:val="0"/>
          <w:sz w:val="24"/>
        </w:rPr>
      </w:pPr>
      <w:r w:rsidRPr="00F82017">
        <w:rPr>
          <w:rFonts w:eastAsiaTheme="minorEastAsia"/>
          <w:b/>
          <w:color w:val="000000" w:themeColor="text1"/>
          <w:kern w:val="0"/>
          <w:sz w:val="24"/>
        </w:rPr>
        <w:t>5.11.6</w:t>
      </w:r>
      <w:r w:rsidRPr="00F82017">
        <w:rPr>
          <w:rFonts w:eastAsiaTheme="minorEastAsia"/>
          <w:b/>
          <w:color w:val="000000" w:themeColor="text1"/>
          <w:kern w:val="0"/>
          <w:sz w:val="24"/>
        </w:rPr>
        <w:t>投资组合报告附注的其他文字描述部分</w:t>
      </w:r>
    </w:p>
    <w:p w:rsidR="001D5CD0" w:rsidRPr="00F82017" w:rsidRDefault="001D5CD0"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由于四舍五入的原因，分项之和与合计项之间可能存在尾差。</w:t>
      </w:r>
    </w:p>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 xml:space="preserve">§6  </w:t>
      </w:r>
      <w:r w:rsidRPr="00F82017">
        <w:rPr>
          <w:rFonts w:eastAsiaTheme="minorEastAsia"/>
          <w:color w:val="000000" w:themeColor="text1"/>
          <w:kern w:val="0"/>
          <w:sz w:val="24"/>
          <w:szCs w:val="24"/>
        </w:rPr>
        <w:t>开放式基金份额变动</w:t>
      </w:r>
    </w:p>
    <w:p w:rsidR="009238DB" w:rsidRPr="00F82017"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F82017">
        <w:rPr>
          <w:rFonts w:eastAsiaTheme="minorEastAsia"/>
          <w:color w:val="000000" w:themeColor="text1"/>
          <w:kern w:val="0"/>
          <w:sz w:val="24"/>
        </w:rPr>
        <w:t>单位：份</w:t>
      </w:r>
    </w:p>
    <w:tbl>
      <w:tblPr>
        <w:tblW w:w="0" w:type="auto"/>
        <w:tblInd w:w="108" w:type="dxa"/>
        <w:tblLayout w:type="fixed"/>
        <w:tblLook w:val="0000"/>
      </w:tblPr>
      <w:tblGrid>
        <w:gridCol w:w="3900"/>
        <w:gridCol w:w="2367"/>
        <w:gridCol w:w="2367"/>
      </w:tblGrid>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F82017">
              <w:rPr>
                <w:rFonts w:eastAsia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国投瑞银岁丰利债券</w:t>
            </w:r>
            <w:r w:rsidRPr="00F82017">
              <w:rPr>
                <w:rFonts w:eastAsiaTheme="minorEastAsia"/>
                <w:color w:val="000000" w:themeColor="text1"/>
                <w:sz w:val="24"/>
              </w:rPr>
              <w:t>C</w:t>
            </w:r>
          </w:p>
        </w:tc>
      </w:tr>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F82017">
              <w:rPr>
                <w:rFonts w:eastAsia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10,870,974.17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4,804,784.33</w:t>
            </w:r>
          </w:p>
        </w:tc>
      </w:tr>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F82017">
              <w:rPr>
                <w:rFonts w:eastAsiaTheme="minorEastAsia"/>
                <w:color w:val="000000" w:themeColor="text1"/>
                <w:kern w:val="0"/>
                <w:sz w:val="24"/>
              </w:rPr>
              <w:t>报告期</w:t>
            </w:r>
            <w:r w:rsidR="00936D40" w:rsidRPr="00F82017">
              <w:rPr>
                <w:rFonts w:eastAsia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18,229,066.60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249,914.10</w:t>
            </w:r>
          </w:p>
        </w:tc>
      </w:tr>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F82017">
              <w:rPr>
                <w:rFonts w:eastAsiaTheme="minorEastAsia"/>
                <w:color w:val="000000" w:themeColor="text1"/>
                <w:kern w:val="0"/>
                <w:sz w:val="24"/>
              </w:rPr>
              <w:t>减：</w:t>
            </w:r>
            <w:r w:rsidR="00F72579" w:rsidRPr="00F82017">
              <w:rPr>
                <w:rFonts w:eastAsiaTheme="minorEastAsia"/>
                <w:color w:val="000000" w:themeColor="text1"/>
                <w:kern w:val="0"/>
                <w:sz w:val="24"/>
              </w:rPr>
              <w:t>报告期</w:t>
            </w:r>
            <w:r w:rsidRPr="00F82017">
              <w:rPr>
                <w:rFonts w:eastAsia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21,085,581.51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1,268,172.73</w:t>
            </w:r>
          </w:p>
        </w:tc>
      </w:tr>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F82017">
              <w:rPr>
                <w:rFonts w:eastAsiaTheme="minorEastAsia"/>
                <w:color w:val="000000" w:themeColor="text1"/>
                <w:kern w:val="0"/>
                <w:sz w:val="24"/>
              </w:rPr>
              <w:t>报告期</w:t>
            </w:r>
            <w:r w:rsidR="00936D40" w:rsidRPr="00F82017">
              <w:rPr>
                <w:rFonts w:eastAsia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w:t>
            </w:r>
          </w:p>
        </w:tc>
      </w:tr>
      <w:tr w:rsidR="004264FD" w:rsidRPr="00F82017" w:rsidTr="00B54782">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F82017">
              <w:rPr>
                <w:rFonts w:eastAsia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8,014,459.26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F82017" w:rsidRDefault="0042785F" w:rsidP="003F7026">
            <w:pPr>
              <w:autoSpaceDE w:val="0"/>
              <w:autoSpaceDN w:val="0"/>
              <w:adjustRightInd w:val="0"/>
              <w:spacing w:before="29" w:line="360" w:lineRule="auto"/>
              <w:ind w:left="17"/>
              <w:jc w:val="right"/>
              <w:rPr>
                <w:rFonts w:eastAsiaTheme="minorEastAsia"/>
                <w:color w:val="000000" w:themeColor="text1"/>
                <w:sz w:val="24"/>
              </w:rPr>
            </w:pPr>
            <w:r w:rsidRPr="00F82017">
              <w:rPr>
                <w:rFonts w:eastAsiaTheme="minorEastAsia"/>
                <w:color w:val="000000" w:themeColor="text1"/>
                <w:sz w:val="24"/>
              </w:rPr>
              <w:t>3,786,525.70</w:t>
            </w:r>
          </w:p>
        </w:tc>
      </w:tr>
    </w:tbl>
    <w:p w:rsidR="00FB3C94" w:rsidRPr="00853C4C" w:rsidRDefault="00FB3C94"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注：</w:t>
      </w:r>
      <w:r w:rsidRPr="00853C4C">
        <w:rPr>
          <w:rFonts w:eastAsiaTheme="minorEastAsia"/>
          <w:color w:val="000000" w:themeColor="text1"/>
          <w:sz w:val="24"/>
        </w:rPr>
        <w:t>“</w:t>
      </w:r>
      <w:r w:rsidRPr="00853C4C">
        <w:rPr>
          <w:rFonts w:eastAsiaTheme="minorEastAsia"/>
          <w:color w:val="000000" w:themeColor="text1"/>
          <w:sz w:val="24"/>
        </w:rPr>
        <w:t>国投瑞银岁丰利一年期定期开放债券型证券投资基金</w:t>
      </w:r>
      <w:r w:rsidRPr="00853C4C">
        <w:rPr>
          <w:rFonts w:eastAsiaTheme="minorEastAsia"/>
          <w:color w:val="000000" w:themeColor="text1"/>
          <w:sz w:val="24"/>
        </w:rPr>
        <w:t>”</w:t>
      </w:r>
      <w:r w:rsidRPr="00853C4C">
        <w:rPr>
          <w:rFonts w:eastAsiaTheme="minorEastAsia"/>
          <w:color w:val="000000" w:themeColor="text1"/>
          <w:sz w:val="24"/>
        </w:rPr>
        <w:t>第三个开放期为</w:t>
      </w:r>
      <w:r w:rsidRPr="00853C4C">
        <w:rPr>
          <w:rFonts w:eastAsiaTheme="minorEastAsia"/>
          <w:color w:val="000000" w:themeColor="text1"/>
          <w:sz w:val="24"/>
        </w:rPr>
        <w:t>2018</w:t>
      </w:r>
      <w:r w:rsidRPr="00853C4C">
        <w:rPr>
          <w:rFonts w:eastAsiaTheme="minorEastAsia"/>
          <w:color w:val="000000" w:themeColor="text1"/>
          <w:sz w:val="24"/>
        </w:rPr>
        <w:t>年</w:t>
      </w:r>
      <w:r w:rsidRPr="00853C4C">
        <w:rPr>
          <w:rFonts w:eastAsiaTheme="minorEastAsia"/>
          <w:color w:val="000000" w:themeColor="text1"/>
          <w:sz w:val="24"/>
        </w:rPr>
        <w:t>8</w:t>
      </w:r>
      <w:r w:rsidRPr="00853C4C">
        <w:rPr>
          <w:rFonts w:eastAsiaTheme="minorEastAsia"/>
          <w:color w:val="000000" w:themeColor="text1"/>
          <w:sz w:val="24"/>
        </w:rPr>
        <w:t>月</w:t>
      </w:r>
      <w:r w:rsidRPr="00853C4C">
        <w:rPr>
          <w:rFonts w:eastAsiaTheme="minorEastAsia"/>
          <w:color w:val="000000" w:themeColor="text1"/>
          <w:sz w:val="24"/>
        </w:rPr>
        <w:t>27</w:t>
      </w:r>
      <w:r w:rsidRPr="00853C4C">
        <w:rPr>
          <w:rFonts w:eastAsiaTheme="minorEastAsia"/>
          <w:color w:val="000000" w:themeColor="text1"/>
          <w:sz w:val="24"/>
        </w:rPr>
        <w:t>日至</w:t>
      </w:r>
      <w:r w:rsidRPr="00853C4C">
        <w:rPr>
          <w:rFonts w:eastAsiaTheme="minorEastAsia"/>
          <w:color w:val="000000" w:themeColor="text1"/>
          <w:sz w:val="24"/>
        </w:rPr>
        <w:t>2018</w:t>
      </w:r>
      <w:r w:rsidRPr="00853C4C">
        <w:rPr>
          <w:rFonts w:eastAsiaTheme="minorEastAsia"/>
          <w:color w:val="000000" w:themeColor="text1"/>
          <w:sz w:val="24"/>
        </w:rPr>
        <w:t>年</w:t>
      </w:r>
      <w:r w:rsidRPr="00853C4C">
        <w:rPr>
          <w:rFonts w:eastAsiaTheme="minorEastAsia"/>
          <w:color w:val="000000" w:themeColor="text1"/>
          <w:sz w:val="24"/>
        </w:rPr>
        <w:t>8</w:t>
      </w:r>
      <w:r w:rsidRPr="00853C4C">
        <w:rPr>
          <w:rFonts w:eastAsiaTheme="minorEastAsia"/>
          <w:color w:val="000000" w:themeColor="text1"/>
          <w:sz w:val="24"/>
        </w:rPr>
        <w:t>月</w:t>
      </w:r>
      <w:r w:rsidRPr="00853C4C">
        <w:rPr>
          <w:rFonts w:eastAsiaTheme="minorEastAsia"/>
          <w:color w:val="000000" w:themeColor="text1"/>
          <w:sz w:val="24"/>
        </w:rPr>
        <w:t>31</w:t>
      </w:r>
      <w:r w:rsidRPr="00853C4C">
        <w:rPr>
          <w:rFonts w:eastAsiaTheme="minorEastAsia"/>
          <w:color w:val="000000" w:themeColor="text1"/>
          <w:sz w:val="24"/>
        </w:rPr>
        <w:t>日。开放期结束后确认的基金资产净值低于</w:t>
      </w:r>
      <w:r w:rsidRPr="00853C4C">
        <w:rPr>
          <w:rFonts w:eastAsiaTheme="minorEastAsia"/>
          <w:color w:val="000000" w:themeColor="text1"/>
          <w:sz w:val="24"/>
        </w:rPr>
        <w:t>5000</w:t>
      </w:r>
      <w:r w:rsidRPr="00853C4C">
        <w:rPr>
          <w:rFonts w:eastAsiaTheme="minorEastAsia"/>
          <w:color w:val="000000" w:themeColor="text1"/>
          <w:sz w:val="24"/>
        </w:rPr>
        <w:t>万元，触发</w:t>
      </w:r>
      <w:r w:rsidRPr="00853C4C">
        <w:rPr>
          <w:rFonts w:eastAsiaTheme="minorEastAsia"/>
          <w:color w:val="000000" w:themeColor="text1"/>
          <w:sz w:val="24"/>
        </w:rPr>
        <w:t>“</w:t>
      </w:r>
      <w:r w:rsidRPr="00853C4C">
        <w:rPr>
          <w:rFonts w:eastAsiaTheme="minorEastAsia"/>
          <w:color w:val="000000" w:themeColor="text1"/>
          <w:sz w:val="24"/>
        </w:rPr>
        <w:t>开放期届满时，基金资产净值低于</w:t>
      </w:r>
      <w:r w:rsidRPr="00853C4C">
        <w:rPr>
          <w:rFonts w:eastAsiaTheme="minorEastAsia"/>
          <w:color w:val="000000" w:themeColor="text1"/>
          <w:sz w:val="24"/>
        </w:rPr>
        <w:t>5000</w:t>
      </w:r>
      <w:r w:rsidRPr="00853C4C">
        <w:rPr>
          <w:rFonts w:eastAsiaTheme="minorEastAsia"/>
          <w:color w:val="000000" w:themeColor="text1"/>
          <w:sz w:val="24"/>
        </w:rPr>
        <w:t>万元</w:t>
      </w:r>
      <w:r w:rsidRPr="00853C4C">
        <w:rPr>
          <w:rFonts w:eastAsiaTheme="minorEastAsia"/>
          <w:color w:val="000000" w:themeColor="text1"/>
          <w:sz w:val="24"/>
        </w:rPr>
        <w:t>”</w:t>
      </w:r>
      <w:r w:rsidRPr="00853C4C">
        <w:rPr>
          <w:rFonts w:eastAsiaTheme="minorEastAsia"/>
          <w:color w:val="000000" w:themeColor="text1"/>
          <w:sz w:val="24"/>
        </w:rPr>
        <w:t>的条件。自</w:t>
      </w:r>
      <w:r w:rsidRPr="00853C4C">
        <w:rPr>
          <w:rFonts w:eastAsiaTheme="minorEastAsia"/>
          <w:color w:val="000000" w:themeColor="text1"/>
          <w:sz w:val="24"/>
        </w:rPr>
        <w:t>2018</w:t>
      </w:r>
      <w:r w:rsidRPr="00853C4C">
        <w:rPr>
          <w:rFonts w:eastAsiaTheme="minorEastAsia"/>
          <w:color w:val="000000" w:themeColor="text1"/>
          <w:sz w:val="24"/>
        </w:rPr>
        <w:t>年</w:t>
      </w:r>
      <w:r w:rsidRPr="00853C4C">
        <w:rPr>
          <w:rFonts w:eastAsiaTheme="minorEastAsia"/>
          <w:color w:val="000000" w:themeColor="text1"/>
          <w:sz w:val="24"/>
        </w:rPr>
        <w:t>9</w:t>
      </w:r>
      <w:r w:rsidRPr="00853C4C">
        <w:rPr>
          <w:rFonts w:eastAsiaTheme="minorEastAsia"/>
          <w:color w:val="000000" w:themeColor="text1"/>
          <w:sz w:val="24"/>
        </w:rPr>
        <w:t>月</w:t>
      </w:r>
      <w:r w:rsidRPr="00853C4C">
        <w:rPr>
          <w:rFonts w:eastAsiaTheme="minorEastAsia"/>
          <w:color w:val="000000" w:themeColor="text1"/>
          <w:sz w:val="24"/>
        </w:rPr>
        <w:t>4</w:t>
      </w:r>
      <w:r w:rsidRPr="00853C4C">
        <w:rPr>
          <w:rFonts w:eastAsiaTheme="minorEastAsia"/>
          <w:color w:val="000000" w:themeColor="text1"/>
          <w:sz w:val="24"/>
        </w:rPr>
        <w:t>日起变更为</w:t>
      </w:r>
      <w:r w:rsidRPr="00853C4C">
        <w:rPr>
          <w:rFonts w:eastAsiaTheme="minorEastAsia"/>
          <w:color w:val="000000" w:themeColor="text1"/>
          <w:sz w:val="24"/>
        </w:rPr>
        <w:t>“</w:t>
      </w:r>
      <w:r w:rsidRPr="00853C4C">
        <w:rPr>
          <w:rFonts w:eastAsiaTheme="minorEastAsia"/>
          <w:color w:val="000000" w:themeColor="text1"/>
          <w:sz w:val="24"/>
        </w:rPr>
        <w:t>国投瑞银岁丰利债券型证券投资基金</w:t>
      </w:r>
      <w:r w:rsidRPr="00853C4C">
        <w:rPr>
          <w:rFonts w:eastAsiaTheme="minorEastAsia"/>
          <w:color w:val="000000" w:themeColor="text1"/>
          <w:sz w:val="24"/>
        </w:rPr>
        <w:t>”</w:t>
      </w:r>
      <w:r w:rsidRPr="00853C4C">
        <w:rPr>
          <w:rFonts w:eastAsiaTheme="minorEastAsia"/>
          <w:color w:val="000000" w:themeColor="text1"/>
          <w:sz w:val="24"/>
        </w:rPr>
        <w:t>，不再以定期开放的方式运作。原投资者持有的国投瑞银岁丰利一年期定期开放债券型证券投资基金的</w:t>
      </w:r>
      <w:r w:rsidRPr="00853C4C">
        <w:rPr>
          <w:rFonts w:eastAsiaTheme="minorEastAsia"/>
          <w:color w:val="000000" w:themeColor="text1"/>
          <w:sz w:val="24"/>
        </w:rPr>
        <w:t>A</w:t>
      </w:r>
      <w:r w:rsidRPr="00853C4C">
        <w:rPr>
          <w:rFonts w:eastAsiaTheme="minorEastAsia"/>
          <w:color w:val="000000" w:themeColor="text1"/>
          <w:sz w:val="24"/>
        </w:rPr>
        <w:t>类</w:t>
      </w:r>
      <w:r w:rsidRPr="00853C4C">
        <w:rPr>
          <w:rFonts w:eastAsiaTheme="minorEastAsia"/>
          <w:color w:val="000000" w:themeColor="text1"/>
          <w:sz w:val="24"/>
        </w:rPr>
        <w:t>/C</w:t>
      </w:r>
      <w:r w:rsidRPr="00853C4C">
        <w:rPr>
          <w:rFonts w:eastAsiaTheme="minorEastAsia"/>
          <w:color w:val="000000" w:themeColor="text1"/>
          <w:sz w:val="24"/>
        </w:rPr>
        <w:t>类基金份额将于</w:t>
      </w:r>
      <w:r w:rsidRPr="00853C4C">
        <w:rPr>
          <w:rFonts w:eastAsiaTheme="minorEastAsia"/>
          <w:color w:val="000000" w:themeColor="text1"/>
          <w:sz w:val="24"/>
        </w:rPr>
        <w:t>2018</w:t>
      </w:r>
      <w:r w:rsidRPr="00853C4C">
        <w:rPr>
          <w:rFonts w:eastAsiaTheme="minorEastAsia"/>
          <w:color w:val="000000" w:themeColor="text1"/>
          <w:sz w:val="24"/>
        </w:rPr>
        <w:t>年</w:t>
      </w:r>
      <w:r w:rsidRPr="00853C4C">
        <w:rPr>
          <w:rFonts w:eastAsiaTheme="minorEastAsia"/>
          <w:color w:val="000000" w:themeColor="text1"/>
          <w:sz w:val="24"/>
        </w:rPr>
        <w:t>9</w:t>
      </w:r>
      <w:r w:rsidRPr="00853C4C">
        <w:rPr>
          <w:rFonts w:eastAsiaTheme="minorEastAsia"/>
          <w:color w:val="000000" w:themeColor="text1"/>
          <w:sz w:val="24"/>
        </w:rPr>
        <w:t>月</w:t>
      </w:r>
      <w:r w:rsidRPr="00853C4C">
        <w:rPr>
          <w:rFonts w:eastAsiaTheme="minorEastAsia"/>
          <w:color w:val="000000" w:themeColor="text1"/>
          <w:sz w:val="24"/>
        </w:rPr>
        <w:t>4</w:t>
      </w:r>
      <w:r w:rsidRPr="00853C4C">
        <w:rPr>
          <w:rFonts w:eastAsiaTheme="minorEastAsia"/>
          <w:color w:val="000000" w:themeColor="text1"/>
          <w:sz w:val="24"/>
        </w:rPr>
        <w:t>日起转为国投瑞银岁丰利债券型证券投资基金的</w:t>
      </w:r>
      <w:r w:rsidRPr="00853C4C">
        <w:rPr>
          <w:rFonts w:eastAsiaTheme="minorEastAsia"/>
          <w:color w:val="000000" w:themeColor="text1"/>
          <w:sz w:val="24"/>
        </w:rPr>
        <w:t>A</w:t>
      </w:r>
      <w:r w:rsidRPr="00853C4C">
        <w:rPr>
          <w:rFonts w:eastAsiaTheme="minorEastAsia"/>
          <w:color w:val="000000" w:themeColor="text1"/>
          <w:sz w:val="24"/>
        </w:rPr>
        <w:t>类</w:t>
      </w:r>
      <w:r w:rsidRPr="00853C4C">
        <w:rPr>
          <w:rFonts w:eastAsiaTheme="minorEastAsia"/>
          <w:color w:val="000000" w:themeColor="text1"/>
          <w:sz w:val="24"/>
        </w:rPr>
        <w:t>/C</w:t>
      </w:r>
      <w:r w:rsidRPr="00853C4C">
        <w:rPr>
          <w:rFonts w:eastAsiaTheme="minorEastAsia"/>
          <w:color w:val="000000" w:themeColor="text1"/>
          <w:sz w:val="24"/>
        </w:rPr>
        <w:t>类基金份额，其持有期将从原份额取得之日起连续计算。本基金变更为国投瑞银岁丰利债券型证券投资基金后，投资人在开放日内可办理基金份额的申购、赎回、转换及定期定额投资业务。</w:t>
      </w:r>
    </w:p>
    <w:p w:rsidR="00935FB1" w:rsidRPr="00F82017" w:rsidRDefault="00935FB1" w:rsidP="002A3961">
      <w:pPr>
        <w:pStyle w:val="1"/>
        <w:tabs>
          <w:tab w:val="center" w:pos="4156"/>
          <w:tab w:val="right" w:pos="8312"/>
        </w:tabs>
        <w:spacing w:beforeLines="100" w:afterLines="100" w:line="360" w:lineRule="auto"/>
        <w:jc w:val="center"/>
        <w:rPr>
          <w:rFonts w:eastAsiaTheme="minorEastAsia"/>
          <w:color w:val="000000" w:themeColor="text1"/>
          <w:sz w:val="24"/>
          <w:szCs w:val="24"/>
        </w:rPr>
      </w:pPr>
      <w:r w:rsidRPr="00F82017">
        <w:rPr>
          <w:rFonts w:eastAsiaTheme="minorEastAsia"/>
          <w:color w:val="000000" w:themeColor="text1"/>
          <w:kern w:val="0"/>
          <w:sz w:val="24"/>
          <w:szCs w:val="24"/>
        </w:rPr>
        <w:t>§7</w:t>
      </w:r>
      <w:r w:rsidR="00B22511" w:rsidRPr="00F82017">
        <w:rPr>
          <w:rFonts w:eastAsiaTheme="minorEastAsia"/>
          <w:color w:val="000000"/>
          <w:sz w:val="24"/>
          <w:szCs w:val="24"/>
          <w:shd w:val="clear" w:color="auto" w:fill="FFFFFF"/>
        </w:rPr>
        <w:t>基金管理人运用固有资金投资本基金情况</w:t>
      </w:r>
    </w:p>
    <w:p w:rsidR="00935FB1" w:rsidRPr="00F82017" w:rsidRDefault="00935FB1" w:rsidP="00935FB1">
      <w:pPr>
        <w:spacing w:line="360" w:lineRule="auto"/>
        <w:jc w:val="left"/>
        <w:rPr>
          <w:rFonts w:eastAsiaTheme="minorEastAsia"/>
          <w:color w:val="000000" w:themeColor="text1"/>
          <w:sz w:val="24"/>
        </w:rPr>
      </w:pPr>
      <w:r w:rsidRPr="00F82017">
        <w:rPr>
          <w:rFonts w:eastAsiaTheme="minorEastAsia"/>
          <w:b/>
          <w:color w:val="000000" w:themeColor="text1"/>
          <w:sz w:val="24"/>
        </w:rPr>
        <w:t>7.1</w:t>
      </w:r>
      <w:r w:rsidR="00090834" w:rsidRPr="00F82017">
        <w:rPr>
          <w:rFonts w:eastAsiaTheme="minorEastAsia"/>
          <w:b/>
          <w:bCs/>
          <w:color w:val="000000" w:themeColor="text1"/>
          <w:kern w:val="44"/>
          <w:sz w:val="24"/>
        </w:rPr>
        <w:t>基金管理人持有本基金份额变动情况</w:t>
      </w:r>
    </w:p>
    <w:p w:rsidR="00935FB1" w:rsidRPr="00853C4C" w:rsidRDefault="00916E71"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本报告期内本基金管理人无运用固有资金投资本基金的情况。</w:t>
      </w:r>
    </w:p>
    <w:p w:rsidR="00935FB1" w:rsidRPr="00F82017" w:rsidRDefault="00935FB1" w:rsidP="002A3961">
      <w:pPr>
        <w:spacing w:beforeLines="100" w:line="360" w:lineRule="auto"/>
        <w:jc w:val="left"/>
        <w:rPr>
          <w:rFonts w:eastAsiaTheme="minorEastAsia"/>
          <w:color w:val="000000" w:themeColor="text1"/>
          <w:sz w:val="24"/>
        </w:rPr>
      </w:pPr>
      <w:r w:rsidRPr="00F82017">
        <w:rPr>
          <w:rFonts w:eastAsiaTheme="minorEastAsia"/>
          <w:b/>
          <w:color w:val="000000" w:themeColor="text1"/>
          <w:sz w:val="24"/>
        </w:rPr>
        <w:t>7.2</w:t>
      </w:r>
      <w:r w:rsidR="00090834" w:rsidRPr="00F82017">
        <w:rPr>
          <w:rFonts w:eastAsiaTheme="minorEastAsia"/>
          <w:b/>
          <w:color w:val="000000"/>
          <w:sz w:val="24"/>
          <w:shd w:val="clear" w:color="auto" w:fill="FFFFFF"/>
        </w:rPr>
        <w:t>基金管理人运用固有资金投资本基金交易明细</w:t>
      </w:r>
    </w:p>
    <w:p w:rsidR="00935FB1" w:rsidRPr="00853C4C" w:rsidRDefault="00935FB1" w:rsidP="00853C4C">
      <w:pPr>
        <w:autoSpaceDE w:val="0"/>
        <w:autoSpaceDN w:val="0"/>
        <w:adjustRightInd w:val="0"/>
        <w:spacing w:line="360" w:lineRule="auto"/>
        <w:ind w:firstLineChars="200" w:firstLine="480"/>
        <w:jc w:val="left"/>
        <w:rPr>
          <w:rFonts w:eastAsiaTheme="minorEastAsia"/>
          <w:color w:val="000000" w:themeColor="text1"/>
          <w:sz w:val="24"/>
        </w:rPr>
      </w:pPr>
      <w:r w:rsidRPr="00853C4C">
        <w:rPr>
          <w:rFonts w:eastAsiaTheme="minorEastAsia"/>
          <w:color w:val="000000" w:themeColor="text1"/>
          <w:sz w:val="24"/>
        </w:rPr>
        <w:t>本基金管理人本报告期无运用固有资金投资本基金的交易明细。</w:t>
      </w:r>
    </w:p>
    <w:p w:rsidR="00B73C85" w:rsidRPr="00C9481C" w:rsidRDefault="00B73C85" w:rsidP="002A3961">
      <w:pPr>
        <w:pStyle w:val="1"/>
        <w:spacing w:beforeLines="100" w:afterLines="100" w:line="360" w:lineRule="auto"/>
        <w:jc w:val="center"/>
        <w:rPr>
          <w:rFonts w:eastAsiaTheme="minorEastAsia"/>
          <w:color w:val="000000" w:themeColor="text1"/>
          <w:kern w:val="0"/>
          <w:sz w:val="24"/>
          <w:szCs w:val="24"/>
        </w:rPr>
      </w:pPr>
      <w:r w:rsidRPr="00C9481C">
        <w:rPr>
          <w:rFonts w:eastAsiaTheme="minorEastAsia"/>
          <w:color w:val="000000" w:themeColor="text1"/>
          <w:kern w:val="0"/>
          <w:sz w:val="24"/>
          <w:szCs w:val="24"/>
        </w:rPr>
        <w:t>§8</w:t>
      </w:r>
      <w:r w:rsidRPr="00C9481C">
        <w:rPr>
          <w:rFonts w:eastAsiaTheme="minorEastAsia"/>
          <w:color w:val="000000" w:themeColor="text1"/>
          <w:kern w:val="0"/>
          <w:sz w:val="24"/>
          <w:szCs w:val="24"/>
        </w:rPr>
        <w:t>影响投资者决策的其他重要信息</w:t>
      </w:r>
    </w:p>
    <w:p w:rsidR="00FD28B9" w:rsidRPr="002F6268" w:rsidRDefault="00FD28B9" w:rsidP="00FD28B9">
      <w:pPr>
        <w:autoSpaceDE w:val="0"/>
        <w:autoSpaceDN w:val="0"/>
        <w:adjustRightInd w:val="0"/>
        <w:spacing w:line="360" w:lineRule="auto"/>
        <w:jc w:val="left"/>
        <w:rPr>
          <w:rFonts w:eastAsiaTheme="minorEastAsia"/>
          <w:b/>
          <w:bCs/>
          <w:color w:val="000000" w:themeColor="text1"/>
          <w:kern w:val="0"/>
          <w:sz w:val="24"/>
        </w:rPr>
      </w:pPr>
      <w:r w:rsidRPr="002F6268">
        <w:rPr>
          <w:rFonts w:eastAsiaTheme="minorEastAsia"/>
          <w:b/>
          <w:bCs/>
          <w:color w:val="000000" w:themeColor="text1"/>
          <w:kern w:val="0"/>
          <w:sz w:val="24"/>
        </w:rPr>
        <w:t xml:space="preserve">8.1 </w:t>
      </w:r>
      <w:r w:rsidRPr="002F6268">
        <w:rPr>
          <w:rFonts w:eastAsiaTheme="minorEastAsia"/>
          <w:b/>
          <w:bCs/>
          <w:color w:val="000000" w:themeColor="text1"/>
          <w:kern w:val="0"/>
          <w:sz w:val="24"/>
        </w:rPr>
        <w:t>报告期内单一投资者持有基金份额比例达到或超过</w:t>
      </w:r>
      <w:r w:rsidRPr="002F6268">
        <w:rPr>
          <w:rFonts w:eastAsiaTheme="minorEastAsia"/>
          <w:b/>
          <w:bCs/>
          <w:color w:val="000000" w:themeColor="text1"/>
          <w:kern w:val="0"/>
          <w:sz w:val="24"/>
        </w:rPr>
        <w:t>20%</w:t>
      </w:r>
      <w:r w:rsidRPr="002F6268">
        <w:rPr>
          <w:rFonts w:eastAsiaTheme="minorEastAsia"/>
          <w:b/>
          <w:bCs/>
          <w:color w:val="000000" w:themeColor="text1"/>
          <w:kern w:val="0"/>
          <w:sz w:val="24"/>
        </w:rPr>
        <w:t>的情况</w:t>
      </w:r>
    </w:p>
    <w:tbl>
      <w:tblPr>
        <w:tblStyle w:val="af2"/>
        <w:tblW w:w="9640" w:type="dxa"/>
        <w:jc w:val="center"/>
        <w:tblLayout w:type="fixed"/>
        <w:tblLook w:val="04A0"/>
      </w:tblPr>
      <w:tblGrid>
        <w:gridCol w:w="709"/>
        <w:gridCol w:w="709"/>
        <w:gridCol w:w="2126"/>
        <w:gridCol w:w="1276"/>
        <w:gridCol w:w="1276"/>
        <w:gridCol w:w="1276"/>
        <w:gridCol w:w="1417"/>
        <w:gridCol w:w="851"/>
      </w:tblGrid>
      <w:tr w:rsidR="00042D6F" w:rsidRPr="00FC0759" w:rsidTr="005176FC">
        <w:trPr>
          <w:jc w:val="center"/>
        </w:trPr>
        <w:tc>
          <w:tcPr>
            <w:tcW w:w="709" w:type="dxa"/>
            <w:vMerge w:val="restart"/>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042D6F" w:rsidRPr="00FC0759" w:rsidRDefault="00042D6F" w:rsidP="005176FC">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042D6F" w:rsidRPr="00FC0759" w:rsidTr="005176FC">
        <w:trPr>
          <w:jc w:val="center"/>
        </w:trPr>
        <w:tc>
          <w:tcPr>
            <w:tcW w:w="709" w:type="dxa"/>
            <w:vMerge/>
            <w:vAlign w:val="center"/>
          </w:tcPr>
          <w:p w:rsidR="00042D6F" w:rsidRPr="00FC0759" w:rsidRDefault="00042D6F" w:rsidP="005176FC">
            <w:pPr>
              <w:autoSpaceDE w:val="0"/>
              <w:autoSpaceDN w:val="0"/>
              <w:adjustRightInd w:val="0"/>
              <w:ind w:firstLine="1234"/>
              <w:jc w:val="center"/>
              <w:rPr>
                <w:rFonts w:eastAsiaTheme="minorEastAsia"/>
                <w:b/>
                <w:bCs/>
                <w:color w:val="000000" w:themeColor="text1"/>
                <w:sz w:val="24"/>
              </w:rPr>
            </w:pPr>
          </w:p>
        </w:tc>
        <w:tc>
          <w:tcPr>
            <w:tcW w:w="709" w:type="dxa"/>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042D6F" w:rsidRPr="00FC0759" w:rsidRDefault="00042D6F" w:rsidP="005176FC">
            <w:pPr>
              <w:widowControl/>
              <w:rPr>
                <w:rFonts w:eastAsiaTheme="minorEastAsia"/>
                <w:b/>
                <w:bCs/>
                <w:color w:val="000000" w:themeColor="text1"/>
                <w:sz w:val="24"/>
              </w:rPr>
            </w:pPr>
            <w:r w:rsidRPr="00FC0759">
              <w:rPr>
                <w:color w:val="000000"/>
                <w:sz w:val="24"/>
              </w:rPr>
              <w:t>期初份额</w:t>
            </w:r>
          </w:p>
        </w:tc>
        <w:tc>
          <w:tcPr>
            <w:tcW w:w="1276" w:type="dxa"/>
            <w:vAlign w:val="center"/>
          </w:tcPr>
          <w:p w:rsidR="00042D6F" w:rsidRPr="00FC0759" w:rsidRDefault="00042D6F" w:rsidP="005176FC">
            <w:pPr>
              <w:widowControl/>
              <w:rPr>
                <w:rFonts w:eastAsiaTheme="minorEastAsia"/>
                <w:b/>
                <w:bCs/>
                <w:color w:val="000000" w:themeColor="text1"/>
                <w:sz w:val="24"/>
              </w:rPr>
            </w:pPr>
            <w:r w:rsidRPr="00FC0759">
              <w:rPr>
                <w:color w:val="000000"/>
                <w:sz w:val="24"/>
              </w:rPr>
              <w:t>申购份额</w:t>
            </w:r>
          </w:p>
        </w:tc>
        <w:tc>
          <w:tcPr>
            <w:tcW w:w="1276" w:type="dxa"/>
            <w:vAlign w:val="center"/>
          </w:tcPr>
          <w:p w:rsidR="00042D6F" w:rsidRPr="00FC0759" w:rsidRDefault="00042D6F" w:rsidP="005176FC">
            <w:pPr>
              <w:widowControl/>
              <w:rPr>
                <w:rFonts w:eastAsiaTheme="minorEastAsia"/>
                <w:b/>
                <w:bCs/>
                <w:color w:val="000000" w:themeColor="text1"/>
                <w:sz w:val="24"/>
              </w:rPr>
            </w:pPr>
            <w:r w:rsidRPr="00FC0759">
              <w:rPr>
                <w:color w:val="000000"/>
                <w:sz w:val="24"/>
              </w:rPr>
              <w:t>赎回份额</w:t>
            </w:r>
          </w:p>
        </w:tc>
        <w:tc>
          <w:tcPr>
            <w:tcW w:w="1417" w:type="dxa"/>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042D6F" w:rsidRPr="00FC0759" w:rsidRDefault="00042D6F" w:rsidP="005176FC">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042D6F" w:rsidTr="005176FC">
        <w:trPr>
          <w:jc w:val="center"/>
        </w:trPr>
        <w:tc>
          <w:tcPr>
            <w:tcW w:w="709" w:type="dxa"/>
            <w:vMerge w:val="restart"/>
          </w:tcPr>
          <w:p w:rsidR="00042D6F" w:rsidRDefault="00042D6F" w:rsidP="005176FC"/>
          <w:p w:rsidR="00042D6F" w:rsidRDefault="00042D6F" w:rsidP="005176FC">
            <w:r>
              <w:rPr>
                <w:rFonts w:eastAsiaTheme="minorEastAsia"/>
                <w:bCs/>
                <w:color w:val="000000" w:themeColor="text1"/>
                <w:sz w:val="24"/>
              </w:rPr>
              <w:t>机构</w:t>
            </w:r>
          </w:p>
        </w:tc>
        <w:tc>
          <w:tcPr>
            <w:tcW w:w="709" w:type="dxa"/>
            <w:vAlign w:val="center"/>
          </w:tcPr>
          <w:p w:rsidR="00042D6F" w:rsidRDefault="00042D6F" w:rsidP="005176FC">
            <w:pPr>
              <w:jc w:val="center"/>
            </w:pPr>
            <w:r>
              <w:rPr>
                <w:sz w:val="24"/>
              </w:rPr>
              <w:t>1</w:t>
            </w:r>
          </w:p>
        </w:tc>
        <w:tc>
          <w:tcPr>
            <w:tcW w:w="2126" w:type="dxa"/>
            <w:vAlign w:val="center"/>
          </w:tcPr>
          <w:p w:rsidR="00042D6F" w:rsidRDefault="00042D6F" w:rsidP="005176FC">
            <w:pPr>
              <w:jc w:val="center"/>
            </w:pPr>
            <w:r>
              <w:rPr>
                <w:sz w:val="24"/>
              </w:rPr>
              <w:t>20190319-20190325</w:t>
            </w:r>
          </w:p>
        </w:tc>
        <w:tc>
          <w:tcPr>
            <w:tcW w:w="1276" w:type="dxa"/>
            <w:vAlign w:val="center"/>
          </w:tcPr>
          <w:p w:rsidR="00042D6F" w:rsidRDefault="00042D6F" w:rsidP="005176FC">
            <w:pPr>
              <w:jc w:val="center"/>
            </w:pPr>
            <w:r>
              <w:rPr>
                <w:sz w:val="24"/>
              </w:rPr>
              <w:t>0.00</w:t>
            </w:r>
          </w:p>
        </w:tc>
        <w:tc>
          <w:tcPr>
            <w:tcW w:w="1276" w:type="dxa"/>
            <w:vAlign w:val="center"/>
          </w:tcPr>
          <w:p w:rsidR="00042D6F" w:rsidRDefault="00042D6F" w:rsidP="005176FC">
            <w:pPr>
              <w:jc w:val="center"/>
            </w:pPr>
            <w:r>
              <w:rPr>
                <w:sz w:val="24"/>
              </w:rPr>
              <w:t>8,954,803.42</w:t>
            </w:r>
          </w:p>
        </w:tc>
        <w:tc>
          <w:tcPr>
            <w:tcW w:w="1276" w:type="dxa"/>
            <w:vAlign w:val="center"/>
          </w:tcPr>
          <w:p w:rsidR="00042D6F" w:rsidRDefault="00042D6F" w:rsidP="005176FC">
            <w:pPr>
              <w:jc w:val="center"/>
            </w:pPr>
            <w:r>
              <w:rPr>
                <w:sz w:val="24"/>
              </w:rPr>
              <w:t>8,954,803.42</w:t>
            </w:r>
          </w:p>
        </w:tc>
        <w:tc>
          <w:tcPr>
            <w:tcW w:w="1417" w:type="dxa"/>
            <w:vAlign w:val="center"/>
          </w:tcPr>
          <w:p w:rsidR="00042D6F" w:rsidRDefault="00042D6F" w:rsidP="005176FC">
            <w:pPr>
              <w:jc w:val="center"/>
            </w:pPr>
            <w:r>
              <w:rPr>
                <w:sz w:val="24"/>
              </w:rPr>
              <w:t>0.00</w:t>
            </w:r>
          </w:p>
        </w:tc>
        <w:tc>
          <w:tcPr>
            <w:tcW w:w="851" w:type="dxa"/>
            <w:vAlign w:val="center"/>
          </w:tcPr>
          <w:p w:rsidR="00042D6F" w:rsidRDefault="00042D6F" w:rsidP="005176FC">
            <w:pPr>
              <w:jc w:val="center"/>
            </w:pPr>
            <w:r>
              <w:rPr>
                <w:sz w:val="24"/>
              </w:rPr>
              <w:t>0.00%</w:t>
            </w:r>
          </w:p>
        </w:tc>
      </w:tr>
      <w:tr w:rsidR="00042D6F" w:rsidRPr="00FC0759" w:rsidTr="005176FC">
        <w:trPr>
          <w:jc w:val="center"/>
        </w:trPr>
        <w:tc>
          <w:tcPr>
            <w:tcW w:w="9637" w:type="dxa"/>
            <w:gridSpan w:val="8"/>
            <w:vAlign w:val="center"/>
          </w:tcPr>
          <w:p w:rsidR="00042D6F" w:rsidRPr="00FC0759" w:rsidRDefault="00042D6F" w:rsidP="005176FC">
            <w:pPr>
              <w:autoSpaceDE w:val="0"/>
              <w:autoSpaceDN w:val="0"/>
              <w:adjustRightInd w:val="0"/>
              <w:ind w:firstLine="1126"/>
              <w:jc w:val="center"/>
              <w:rPr>
                <w:sz w:val="24"/>
              </w:rPr>
            </w:pPr>
            <w:r w:rsidRPr="00FC0759">
              <w:rPr>
                <w:color w:val="000000"/>
                <w:sz w:val="24"/>
              </w:rPr>
              <w:t>产品特有风险</w:t>
            </w:r>
          </w:p>
        </w:tc>
      </w:tr>
      <w:tr w:rsidR="00042D6F" w:rsidRPr="00FC0759" w:rsidTr="005176FC">
        <w:trPr>
          <w:jc w:val="center"/>
        </w:trPr>
        <w:tc>
          <w:tcPr>
            <w:tcW w:w="9637" w:type="dxa"/>
            <w:gridSpan w:val="8"/>
            <w:vAlign w:val="center"/>
          </w:tcPr>
          <w:p w:rsidR="00042D6F" w:rsidRDefault="00042D6F" w:rsidP="005176FC">
            <w:pPr>
              <w:autoSpaceDE w:val="0"/>
              <w:autoSpaceDN w:val="0"/>
              <w:adjustRightInd w:val="0"/>
              <w:jc w:val="left"/>
              <w:rPr>
                <w:sz w:val="24"/>
              </w:rPr>
            </w:pPr>
            <w:r>
              <w:rPr>
                <w:sz w:val="24"/>
              </w:rPr>
              <w:t>投资者应关注本基金单一投资者持有份额比例过高时，可能出现以下风险：</w:t>
            </w:r>
          </w:p>
          <w:p w:rsidR="00042D6F" w:rsidRDefault="00042D6F" w:rsidP="005176FC">
            <w:pPr>
              <w:autoSpaceDE w:val="0"/>
              <w:autoSpaceDN w:val="0"/>
              <w:adjustRightInd w:val="0"/>
              <w:jc w:val="left"/>
              <w:rPr>
                <w:sz w:val="24"/>
              </w:rPr>
            </w:pPr>
            <w:r>
              <w:rPr>
                <w:sz w:val="24"/>
              </w:rPr>
              <w:t>1</w:t>
            </w:r>
            <w:r>
              <w:rPr>
                <w:sz w:val="24"/>
              </w:rPr>
              <w:t>、赎回申请延期办理的风险</w:t>
            </w:r>
          </w:p>
          <w:p w:rsidR="00042D6F" w:rsidRDefault="00042D6F" w:rsidP="005176FC">
            <w:pPr>
              <w:autoSpaceDE w:val="0"/>
              <w:autoSpaceDN w:val="0"/>
              <w:adjustRightInd w:val="0"/>
              <w:jc w:val="left"/>
              <w:rPr>
                <w:sz w:val="24"/>
              </w:rPr>
            </w:pPr>
            <w:r>
              <w:rPr>
                <w:sz w:val="24"/>
              </w:rPr>
              <w:t>单一投资者大额赎回时易触发本基金巨额赎回的条件，中小投资者可能面临小额赎回申请也需要部分延期办理的风险。</w:t>
            </w:r>
          </w:p>
          <w:p w:rsidR="00042D6F" w:rsidRDefault="00042D6F" w:rsidP="005176FC">
            <w:pPr>
              <w:autoSpaceDE w:val="0"/>
              <w:autoSpaceDN w:val="0"/>
              <w:adjustRightInd w:val="0"/>
              <w:jc w:val="left"/>
              <w:rPr>
                <w:sz w:val="24"/>
              </w:rPr>
            </w:pPr>
            <w:r>
              <w:rPr>
                <w:sz w:val="24"/>
              </w:rPr>
              <w:t>2</w:t>
            </w:r>
            <w:r>
              <w:rPr>
                <w:sz w:val="24"/>
              </w:rPr>
              <w:t>、基金净值大幅波动的风险</w:t>
            </w:r>
          </w:p>
          <w:p w:rsidR="00042D6F" w:rsidRDefault="00042D6F" w:rsidP="005176FC">
            <w:pPr>
              <w:autoSpaceDE w:val="0"/>
              <w:autoSpaceDN w:val="0"/>
              <w:adjustRightInd w:val="0"/>
              <w:jc w:val="left"/>
              <w:rPr>
                <w:sz w:val="24"/>
              </w:rPr>
            </w:pPr>
            <w:r>
              <w:rPr>
                <w:sz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042D6F" w:rsidRDefault="00042D6F" w:rsidP="005176FC">
            <w:pPr>
              <w:autoSpaceDE w:val="0"/>
              <w:autoSpaceDN w:val="0"/>
              <w:adjustRightInd w:val="0"/>
              <w:jc w:val="left"/>
              <w:rPr>
                <w:sz w:val="24"/>
              </w:rPr>
            </w:pPr>
            <w:r>
              <w:rPr>
                <w:sz w:val="24"/>
              </w:rPr>
              <w:t>3</w:t>
            </w:r>
            <w:r>
              <w:rPr>
                <w:sz w:val="24"/>
              </w:rPr>
              <w:t>、基金投资策略难以实现的风险</w:t>
            </w:r>
          </w:p>
          <w:p w:rsidR="00042D6F" w:rsidRDefault="00042D6F" w:rsidP="005176FC">
            <w:pPr>
              <w:autoSpaceDE w:val="0"/>
              <w:autoSpaceDN w:val="0"/>
              <w:adjustRightInd w:val="0"/>
              <w:jc w:val="left"/>
              <w:rPr>
                <w:sz w:val="24"/>
              </w:rPr>
            </w:pPr>
            <w:r>
              <w:rPr>
                <w:sz w:val="24"/>
              </w:rPr>
              <w:t>单一投资者大额赎回后，可能使基金资产净值显著降低，从而使基金在拟参与银行间市场交易等投资时受到限制，导致基金投资策略难以实现。</w:t>
            </w:r>
          </w:p>
          <w:p w:rsidR="00042D6F" w:rsidRDefault="00042D6F" w:rsidP="005176FC">
            <w:pPr>
              <w:autoSpaceDE w:val="0"/>
              <w:autoSpaceDN w:val="0"/>
              <w:adjustRightInd w:val="0"/>
              <w:jc w:val="left"/>
              <w:rPr>
                <w:sz w:val="24"/>
              </w:rPr>
            </w:pPr>
            <w:r>
              <w:rPr>
                <w:sz w:val="24"/>
              </w:rPr>
              <w:t>4</w:t>
            </w:r>
            <w:r>
              <w:rPr>
                <w:sz w:val="24"/>
              </w:rPr>
              <w:t>、基金财产清算的风险</w:t>
            </w:r>
          </w:p>
          <w:p w:rsidR="00042D6F" w:rsidRDefault="00042D6F" w:rsidP="005176FC">
            <w:pPr>
              <w:autoSpaceDE w:val="0"/>
              <w:autoSpaceDN w:val="0"/>
              <w:adjustRightInd w:val="0"/>
              <w:jc w:val="left"/>
              <w:rPr>
                <w:sz w:val="24"/>
              </w:rPr>
            </w:pPr>
            <w:r>
              <w:rPr>
                <w:sz w:val="24"/>
              </w:rPr>
              <w:t>根据本基金基金合同的约定，本基金转型为开放式基金后，若连续</w:t>
            </w:r>
            <w:r>
              <w:rPr>
                <w:sz w:val="24"/>
              </w:rPr>
              <w:t>60</w:t>
            </w:r>
            <w:r>
              <w:rPr>
                <w:sz w:val="24"/>
              </w:rPr>
              <w:t>个工作日出现基金份额持有人数量不满</w:t>
            </w:r>
            <w:r>
              <w:rPr>
                <w:sz w:val="24"/>
              </w:rPr>
              <w:t>200</w:t>
            </w:r>
            <w:r>
              <w:rPr>
                <w:sz w:val="24"/>
              </w:rPr>
              <w:t>人或者基金资产净值低于</w:t>
            </w:r>
            <w:r>
              <w:rPr>
                <w:sz w:val="24"/>
              </w:rPr>
              <w:t>5000</w:t>
            </w:r>
            <w:r>
              <w:rPr>
                <w:sz w:val="24"/>
              </w:rPr>
              <w:t>万元情形的，基金管理人应当向中国证监会报告并提出解决方案，如转换运作方式、与其他基金合并或者终止基金合同等，并召开基金份额持有人大会进行表决。单一投资者大额赎回后，可能造成基金资产净值大幅缩减而导致本基金转换运作方式、与其他基金合并或基金合同终止等情形。</w:t>
            </w:r>
          </w:p>
          <w:p w:rsidR="00042D6F" w:rsidRDefault="00042D6F" w:rsidP="005176FC">
            <w:pPr>
              <w:autoSpaceDE w:val="0"/>
              <w:autoSpaceDN w:val="0"/>
              <w:adjustRightInd w:val="0"/>
              <w:jc w:val="left"/>
              <w:rPr>
                <w:sz w:val="24"/>
              </w:rPr>
            </w:pPr>
            <w:r>
              <w:rPr>
                <w:sz w:val="24"/>
              </w:rPr>
              <w:t>5</w:t>
            </w:r>
            <w:r>
              <w:rPr>
                <w:sz w:val="24"/>
              </w:rPr>
              <w:t>、召开基金份额持有人大会及表决时可能存在的风险</w:t>
            </w:r>
          </w:p>
          <w:p w:rsidR="00042D6F" w:rsidRPr="00FC0759" w:rsidRDefault="00042D6F" w:rsidP="005176FC">
            <w:pPr>
              <w:autoSpaceDE w:val="0"/>
              <w:autoSpaceDN w:val="0"/>
              <w:adjustRightInd w:val="0"/>
              <w:jc w:val="left"/>
              <w:rPr>
                <w:sz w:val="24"/>
              </w:rPr>
            </w:pPr>
            <w:r w:rsidRPr="00FC0759">
              <w:rPr>
                <w:sz w:val="24"/>
              </w:rPr>
              <w:t>由于单一机构投资者所持有的基金份额占比较高，在召开持有人大会并对重大事项进行投票表决时，单一机构投资者将拥有高的投票权重。</w:t>
            </w:r>
          </w:p>
        </w:tc>
      </w:tr>
    </w:tbl>
    <w:p w:rsidR="00FD28B9" w:rsidRPr="002F6268" w:rsidRDefault="00FD28B9" w:rsidP="00FD28B9">
      <w:pPr>
        <w:autoSpaceDE w:val="0"/>
        <w:autoSpaceDN w:val="0"/>
        <w:adjustRightInd w:val="0"/>
        <w:spacing w:line="360" w:lineRule="auto"/>
        <w:jc w:val="left"/>
        <w:rPr>
          <w:rFonts w:eastAsiaTheme="minorEastAsia"/>
          <w:b/>
          <w:bCs/>
          <w:color w:val="000000" w:themeColor="text1"/>
          <w:kern w:val="0"/>
          <w:sz w:val="24"/>
        </w:rPr>
      </w:pPr>
      <w:r w:rsidRPr="002F6268">
        <w:rPr>
          <w:rFonts w:eastAsiaTheme="minorEastAsia"/>
          <w:b/>
          <w:bCs/>
          <w:color w:val="000000" w:themeColor="text1"/>
          <w:kern w:val="0"/>
          <w:sz w:val="24"/>
        </w:rPr>
        <w:t xml:space="preserve">8.2 </w:t>
      </w:r>
      <w:r w:rsidRPr="002F6268">
        <w:rPr>
          <w:rFonts w:eastAsiaTheme="minorEastAsia"/>
          <w:b/>
          <w:bCs/>
          <w:color w:val="000000" w:themeColor="text1"/>
          <w:kern w:val="0"/>
          <w:sz w:val="24"/>
        </w:rPr>
        <w:t>影响投资者决策的其他重要信息</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、报告期内基金管理人对本基金在直销柜台开展申购费和赎回费优惠活动进行公告，指定媒体公告时间为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w:t>
      </w:r>
      <w:r>
        <w:rPr>
          <w:rFonts w:eastAsiaTheme="minorEastAsia"/>
          <w:color w:val="000000" w:themeColor="text1"/>
          <w:sz w:val="24"/>
        </w:rPr>
        <w:t>13</w:t>
      </w:r>
      <w:r>
        <w:rPr>
          <w:rFonts w:eastAsiaTheme="minorEastAsia"/>
          <w:color w:val="000000" w:themeColor="text1"/>
          <w:sz w:val="24"/>
        </w:rPr>
        <w:t>日。</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、报告期内基金管理人对本基金暂停申购、定期定额投资、转换转入业务进行公告，指定媒体公告时间为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、报告期内基金管理人对本基金召开基金份额持有人大会进行第一次提示性公告，指定媒体公告时间为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w:t>
      </w:r>
      <w:r>
        <w:rPr>
          <w:rFonts w:eastAsiaTheme="minorEastAsia"/>
          <w:color w:val="000000" w:themeColor="text1"/>
          <w:sz w:val="24"/>
        </w:rPr>
        <w:t>20</w:t>
      </w:r>
      <w:r>
        <w:rPr>
          <w:rFonts w:eastAsiaTheme="minorEastAsia"/>
          <w:color w:val="000000" w:themeColor="text1"/>
          <w:sz w:val="24"/>
        </w:rPr>
        <w:t>日。</w:t>
      </w:r>
    </w:p>
    <w:p w:rsidR="00FB3C94" w:rsidRPr="00F82017" w:rsidRDefault="00FD28B9" w:rsidP="00FD28B9">
      <w:pPr>
        <w:spacing w:line="360" w:lineRule="auto"/>
        <w:ind w:firstLineChars="200" w:firstLine="480"/>
        <w:rPr>
          <w:rFonts w:eastAsiaTheme="minorEastAsia"/>
          <w:color w:val="000000" w:themeColor="text1"/>
          <w:sz w:val="24"/>
        </w:rPr>
      </w:pPr>
      <w:r w:rsidRPr="00FC0759">
        <w:rPr>
          <w:rFonts w:eastAsiaTheme="minorEastAsia"/>
          <w:color w:val="000000" w:themeColor="text1"/>
          <w:sz w:val="24"/>
        </w:rPr>
        <w:t>4</w:t>
      </w:r>
      <w:r w:rsidRPr="00FC0759">
        <w:rPr>
          <w:rFonts w:eastAsiaTheme="minorEastAsia"/>
          <w:color w:val="000000" w:themeColor="text1"/>
          <w:sz w:val="24"/>
        </w:rPr>
        <w:t>、报告期内基金管理人对本基金召开基金份额持有人大会进行第二次提示性公告，指定媒体公告时间为</w:t>
      </w:r>
      <w:r w:rsidRPr="00FC0759">
        <w:rPr>
          <w:rFonts w:eastAsiaTheme="minorEastAsia"/>
          <w:color w:val="000000" w:themeColor="text1"/>
          <w:sz w:val="24"/>
        </w:rPr>
        <w:t>2019</w:t>
      </w:r>
      <w:r w:rsidRPr="00FC0759">
        <w:rPr>
          <w:rFonts w:eastAsiaTheme="minorEastAsia"/>
          <w:color w:val="000000" w:themeColor="text1"/>
          <w:sz w:val="24"/>
        </w:rPr>
        <w:t>年</w:t>
      </w:r>
      <w:r w:rsidRPr="00FC0759">
        <w:rPr>
          <w:rFonts w:eastAsiaTheme="minorEastAsia"/>
          <w:color w:val="000000" w:themeColor="text1"/>
          <w:sz w:val="24"/>
        </w:rPr>
        <w:t>3</w:t>
      </w:r>
      <w:r w:rsidRPr="00FC0759">
        <w:rPr>
          <w:rFonts w:eastAsiaTheme="minorEastAsia"/>
          <w:color w:val="000000" w:themeColor="text1"/>
          <w:sz w:val="24"/>
        </w:rPr>
        <w:t>月</w:t>
      </w:r>
      <w:r w:rsidRPr="00FC0759">
        <w:rPr>
          <w:rFonts w:eastAsiaTheme="minorEastAsia"/>
          <w:color w:val="000000" w:themeColor="text1"/>
          <w:sz w:val="24"/>
        </w:rPr>
        <w:t>21</w:t>
      </w:r>
      <w:r w:rsidRPr="00FC0759">
        <w:rPr>
          <w:rFonts w:eastAsiaTheme="minorEastAsia"/>
          <w:color w:val="000000" w:themeColor="text1"/>
          <w:sz w:val="24"/>
        </w:rPr>
        <w:t>日。</w:t>
      </w:r>
    </w:p>
    <w:p w:rsidR="009238DB" w:rsidRPr="00F82017" w:rsidRDefault="009238DB" w:rsidP="002A3961">
      <w:pPr>
        <w:pStyle w:val="1"/>
        <w:spacing w:beforeLines="100" w:afterLines="100" w:line="360" w:lineRule="auto"/>
        <w:jc w:val="center"/>
        <w:rPr>
          <w:rFonts w:eastAsiaTheme="minorEastAsia"/>
          <w:color w:val="000000" w:themeColor="text1"/>
          <w:kern w:val="0"/>
          <w:sz w:val="24"/>
          <w:szCs w:val="24"/>
        </w:rPr>
      </w:pPr>
      <w:r w:rsidRPr="00F82017">
        <w:rPr>
          <w:rFonts w:eastAsiaTheme="minorEastAsia"/>
          <w:color w:val="000000" w:themeColor="text1"/>
          <w:kern w:val="0"/>
          <w:sz w:val="24"/>
          <w:szCs w:val="24"/>
        </w:rPr>
        <w:t>§</w:t>
      </w:r>
      <w:r w:rsidR="00A14399" w:rsidRPr="00F82017">
        <w:rPr>
          <w:rFonts w:eastAsiaTheme="minorEastAsia"/>
          <w:color w:val="000000" w:themeColor="text1"/>
          <w:kern w:val="0"/>
          <w:sz w:val="24"/>
          <w:szCs w:val="24"/>
        </w:rPr>
        <w:t>9</w:t>
      </w:r>
      <w:r w:rsidRPr="00F82017">
        <w:rPr>
          <w:rFonts w:eastAsiaTheme="minorEastAsia"/>
          <w:color w:val="000000" w:themeColor="text1"/>
          <w:kern w:val="0"/>
          <w:sz w:val="24"/>
          <w:szCs w:val="24"/>
        </w:rPr>
        <w:t>备查文件目录</w:t>
      </w:r>
    </w:p>
    <w:p w:rsidR="00FB3C94" w:rsidRPr="00F82017" w:rsidRDefault="00A14399" w:rsidP="00FC13C8">
      <w:pPr>
        <w:autoSpaceDE w:val="0"/>
        <w:autoSpaceDN w:val="0"/>
        <w:adjustRightInd w:val="0"/>
        <w:spacing w:line="360" w:lineRule="auto"/>
        <w:jc w:val="left"/>
        <w:rPr>
          <w:rFonts w:eastAsiaTheme="minorEastAsia"/>
          <w:b/>
          <w:bCs/>
          <w:color w:val="000000" w:themeColor="text1"/>
          <w:kern w:val="0"/>
          <w:sz w:val="24"/>
        </w:rPr>
      </w:pPr>
      <w:r w:rsidRPr="00F82017">
        <w:rPr>
          <w:rFonts w:eastAsiaTheme="minorEastAsia"/>
          <w:b/>
          <w:bCs/>
          <w:color w:val="000000" w:themeColor="text1"/>
          <w:kern w:val="0"/>
          <w:sz w:val="24"/>
        </w:rPr>
        <w:t>9.</w:t>
      </w:r>
      <w:r w:rsidR="00D13A01" w:rsidRPr="00F82017">
        <w:rPr>
          <w:rFonts w:eastAsiaTheme="minorEastAsia"/>
          <w:b/>
          <w:bCs/>
          <w:color w:val="000000" w:themeColor="text1"/>
          <w:kern w:val="0"/>
          <w:sz w:val="24"/>
        </w:rPr>
        <w:t>1</w:t>
      </w:r>
      <w:r w:rsidR="00FB3C94" w:rsidRPr="00F82017">
        <w:rPr>
          <w:rFonts w:eastAsiaTheme="minorEastAsia"/>
          <w:b/>
          <w:bCs/>
          <w:color w:val="000000" w:themeColor="text1"/>
          <w:kern w:val="0"/>
          <w:sz w:val="24"/>
        </w:rPr>
        <w:t>备查文件目录</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《关于准予国投瑞银岁丰利一年期定期开放债券型证券投资基金注册的批复》（证监许可</w:t>
      </w:r>
      <w:r>
        <w:rPr>
          <w:rFonts w:eastAsiaTheme="minorEastAsia"/>
          <w:color w:val="000000" w:themeColor="text1"/>
          <w:sz w:val="24"/>
        </w:rPr>
        <w:t>[2015]342</w:t>
      </w:r>
      <w:r>
        <w:rPr>
          <w:rFonts w:eastAsiaTheme="minorEastAsia"/>
          <w:color w:val="000000" w:themeColor="text1"/>
          <w:sz w:val="24"/>
        </w:rPr>
        <w:t>号）</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《关于国投瑞银岁丰利一年期定期开放债券型证券投资基金备案确认的函》（机构部函</w:t>
      </w:r>
      <w:r>
        <w:rPr>
          <w:rFonts w:eastAsiaTheme="minorEastAsia"/>
          <w:color w:val="000000" w:themeColor="text1"/>
          <w:sz w:val="24"/>
        </w:rPr>
        <w:t>[2015]2200</w:t>
      </w:r>
      <w:r>
        <w:rPr>
          <w:rFonts w:eastAsiaTheme="minorEastAsia"/>
          <w:color w:val="000000" w:themeColor="text1"/>
          <w:sz w:val="24"/>
        </w:rPr>
        <w:t>号）</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《国投瑞银岁丰利一年期定期开放债券型证券投资基金基金合同》</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《国投瑞银岁丰利一年期定期开放债券型证券投资基金托管协议》</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国投瑞银基金管理有限公司营业执照、公司章程及基金管理人业务资格批件</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本报告期内在中国证监会指定信息披露报刊上披露的信息公告原文</w:t>
      </w:r>
    </w:p>
    <w:p w:rsidR="00F11783" w:rsidRPr="00F82017" w:rsidRDefault="00FB3C94"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国投瑞银岁丰利债券型证券投资基金</w:t>
      </w:r>
      <w:r w:rsidRPr="00F82017">
        <w:rPr>
          <w:rFonts w:eastAsiaTheme="minorEastAsia"/>
          <w:color w:val="000000" w:themeColor="text1"/>
          <w:sz w:val="24"/>
        </w:rPr>
        <w:t>2019</w:t>
      </w:r>
      <w:r w:rsidRPr="00F82017">
        <w:rPr>
          <w:rFonts w:eastAsiaTheme="minorEastAsia"/>
          <w:color w:val="000000" w:themeColor="text1"/>
          <w:sz w:val="24"/>
        </w:rPr>
        <w:t>年第</w:t>
      </w:r>
      <w:r w:rsidRPr="00F82017">
        <w:rPr>
          <w:rFonts w:eastAsiaTheme="minorEastAsia"/>
          <w:color w:val="000000" w:themeColor="text1"/>
          <w:sz w:val="24"/>
        </w:rPr>
        <w:t>1</w:t>
      </w:r>
      <w:r w:rsidRPr="00F82017">
        <w:rPr>
          <w:rFonts w:eastAsiaTheme="minorEastAsia"/>
          <w:color w:val="000000" w:themeColor="text1"/>
          <w:sz w:val="24"/>
        </w:rPr>
        <w:t>季度报告原文</w:t>
      </w:r>
    </w:p>
    <w:p w:rsidR="00FB3C94" w:rsidRPr="00F82017" w:rsidRDefault="00D13A01" w:rsidP="002A3961">
      <w:pPr>
        <w:autoSpaceDE w:val="0"/>
        <w:autoSpaceDN w:val="0"/>
        <w:adjustRightInd w:val="0"/>
        <w:spacing w:beforeLines="100" w:line="360" w:lineRule="auto"/>
        <w:jc w:val="left"/>
        <w:rPr>
          <w:rFonts w:eastAsiaTheme="minorEastAsia"/>
          <w:b/>
          <w:bCs/>
          <w:color w:val="000000" w:themeColor="text1"/>
          <w:kern w:val="0"/>
          <w:sz w:val="24"/>
        </w:rPr>
      </w:pPr>
      <w:r w:rsidRPr="00F82017">
        <w:rPr>
          <w:rFonts w:eastAsiaTheme="minorEastAsia"/>
          <w:b/>
          <w:bCs/>
          <w:color w:val="000000" w:themeColor="text1"/>
          <w:kern w:val="0"/>
          <w:sz w:val="24"/>
        </w:rPr>
        <w:t>9.2</w:t>
      </w:r>
      <w:r w:rsidR="00FB3C94" w:rsidRPr="00F82017">
        <w:rPr>
          <w:rFonts w:eastAsiaTheme="minorEastAsia"/>
          <w:b/>
          <w:bCs/>
          <w:color w:val="000000" w:themeColor="text1"/>
          <w:kern w:val="0"/>
          <w:sz w:val="24"/>
        </w:rPr>
        <w:t>存放地点</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中国广东省深圳市福田区金田路</w:t>
      </w:r>
      <w:r>
        <w:rPr>
          <w:rFonts w:eastAsiaTheme="minorEastAsia"/>
          <w:color w:val="000000" w:themeColor="text1"/>
          <w:sz w:val="24"/>
        </w:rPr>
        <w:t>4028</w:t>
      </w:r>
      <w:r>
        <w:rPr>
          <w:rFonts w:eastAsiaTheme="minorEastAsia"/>
          <w:color w:val="000000" w:themeColor="text1"/>
          <w:sz w:val="24"/>
        </w:rPr>
        <w:t>号荣超经贸中心</w:t>
      </w:r>
      <w:r>
        <w:rPr>
          <w:rFonts w:eastAsiaTheme="minorEastAsia"/>
          <w:color w:val="000000" w:themeColor="text1"/>
          <w:sz w:val="24"/>
        </w:rPr>
        <w:t>46</w:t>
      </w:r>
      <w:r>
        <w:rPr>
          <w:rFonts w:eastAsiaTheme="minorEastAsia"/>
          <w:color w:val="000000" w:themeColor="text1"/>
          <w:sz w:val="24"/>
        </w:rPr>
        <w:t>层</w:t>
      </w:r>
    </w:p>
    <w:p w:rsidR="00F11783" w:rsidRPr="00F82017" w:rsidRDefault="00FB3C94"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存放网址：</w:t>
      </w:r>
      <w:r w:rsidRPr="00F82017">
        <w:rPr>
          <w:rFonts w:eastAsiaTheme="minorEastAsia"/>
          <w:color w:val="000000" w:themeColor="text1"/>
          <w:sz w:val="24"/>
        </w:rPr>
        <w:t>http://www.ubssdic.com</w:t>
      </w:r>
    </w:p>
    <w:p w:rsidR="00FB3C94" w:rsidRPr="00F82017" w:rsidRDefault="00D13A01" w:rsidP="002A3961">
      <w:pPr>
        <w:autoSpaceDE w:val="0"/>
        <w:autoSpaceDN w:val="0"/>
        <w:adjustRightInd w:val="0"/>
        <w:spacing w:beforeLines="100" w:line="360" w:lineRule="auto"/>
        <w:jc w:val="left"/>
        <w:rPr>
          <w:rFonts w:eastAsiaTheme="minorEastAsia"/>
          <w:b/>
          <w:bCs/>
          <w:color w:val="000000" w:themeColor="text1"/>
          <w:kern w:val="0"/>
          <w:sz w:val="24"/>
        </w:rPr>
      </w:pPr>
      <w:r w:rsidRPr="00F82017">
        <w:rPr>
          <w:rFonts w:eastAsiaTheme="minorEastAsia"/>
          <w:b/>
          <w:bCs/>
          <w:color w:val="000000" w:themeColor="text1"/>
          <w:kern w:val="0"/>
          <w:sz w:val="24"/>
        </w:rPr>
        <w:t>9.3</w:t>
      </w:r>
      <w:r w:rsidR="00FB3C94" w:rsidRPr="00F82017">
        <w:rPr>
          <w:rFonts w:eastAsiaTheme="minorEastAsia"/>
          <w:b/>
          <w:bCs/>
          <w:color w:val="000000" w:themeColor="text1"/>
          <w:kern w:val="0"/>
          <w:sz w:val="24"/>
        </w:rPr>
        <w:t>查阅方式</w:t>
      </w:r>
    </w:p>
    <w:p w:rsidR="00D245FC" w:rsidRDefault="00AA06B6">
      <w:pPr>
        <w:spacing w:line="360" w:lineRule="auto"/>
        <w:ind w:firstLineChars="200" w:firstLine="480"/>
        <w:rPr>
          <w:rFonts w:eastAsiaTheme="minorEastAsia"/>
          <w:color w:val="000000" w:themeColor="text1"/>
          <w:sz w:val="24"/>
        </w:rPr>
      </w:pPr>
      <w:r>
        <w:rPr>
          <w:rFonts w:eastAsiaTheme="minorEastAsia"/>
          <w:color w:val="000000" w:themeColor="text1"/>
          <w:sz w:val="24"/>
        </w:rPr>
        <w:t>投资者可在营业时间免费查阅，也可按工本费购买复印件</w:t>
      </w:r>
    </w:p>
    <w:p w:rsidR="00FB3C94" w:rsidRPr="00F82017" w:rsidRDefault="00FB3C94" w:rsidP="003F4852">
      <w:pPr>
        <w:spacing w:line="360" w:lineRule="auto"/>
        <w:ind w:firstLineChars="200" w:firstLine="480"/>
        <w:rPr>
          <w:rFonts w:eastAsiaTheme="minorEastAsia"/>
          <w:color w:val="000000" w:themeColor="text1"/>
          <w:sz w:val="24"/>
        </w:rPr>
      </w:pPr>
      <w:r w:rsidRPr="00F82017">
        <w:rPr>
          <w:rFonts w:eastAsiaTheme="minorEastAsia"/>
          <w:color w:val="000000" w:themeColor="text1"/>
          <w:sz w:val="24"/>
        </w:rPr>
        <w:t>咨询电话：</w:t>
      </w:r>
      <w:r w:rsidRPr="00F82017">
        <w:rPr>
          <w:rFonts w:eastAsiaTheme="minorEastAsia"/>
          <w:color w:val="000000" w:themeColor="text1"/>
          <w:sz w:val="24"/>
        </w:rPr>
        <w:t>400-880-6868</w:t>
      </w:r>
    </w:p>
    <w:p w:rsidR="00FB3C94" w:rsidRPr="00F82017" w:rsidRDefault="00FB3C94" w:rsidP="00FB3C94">
      <w:pPr>
        <w:spacing w:line="360" w:lineRule="auto"/>
        <w:ind w:left="840"/>
        <w:jc w:val="right"/>
        <w:rPr>
          <w:rFonts w:eastAsiaTheme="minorEastAsia"/>
          <w:color w:val="000000" w:themeColor="text1"/>
          <w:sz w:val="24"/>
        </w:rPr>
      </w:pPr>
    </w:p>
    <w:p w:rsidR="00AF3AF9" w:rsidRPr="00F82017" w:rsidRDefault="00AF3AF9" w:rsidP="00053FFD">
      <w:pPr>
        <w:spacing w:line="360" w:lineRule="auto"/>
        <w:ind w:left="840"/>
        <w:jc w:val="center"/>
        <w:rPr>
          <w:rFonts w:eastAsiaTheme="minorEastAsia"/>
          <w:b/>
          <w:color w:val="000000" w:themeColor="text1"/>
          <w:sz w:val="24"/>
        </w:rPr>
      </w:pPr>
    </w:p>
    <w:p w:rsidR="00FB3C94" w:rsidRPr="00F82017" w:rsidRDefault="00FB3C94" w:rsidP="00B1493B">
      <w:pPr>
        <w:spacing w:line="360" w:lineRule="auto"/>
        <w:jc w:val="right"/>
        <w:rPr>
          <w:rFonts w:eastAsiaTheme="minorEastAsia"/>
          <w:b/>
          <w:bCs/>
          <w:color w:val="000000" w:themeColor="text1"/>
          <w:sz w:val="24"/>
        </w:rPr>
      </w:pPr>
      <w:r w:rsidRPr="00F82017">
        <w:rPr>
          <w:rFonts w:eastAsiaTheme="minorEastAsia"/>
          <w:b/>
          <w:bCs/>
          <w:color w:val="000000" w:themeColor="text1"/>
          <w:sz w:val="24"/>
        </w:rPr>
        <w:t>国投瑞银基金管理有限公司</w:t>
      </w:r>
    </w:p>
    <w:p w:rsidR="009238DB" w:rsidRPr="00F82017" w:rsidRDefault="00D04410" w:rsidP="00B1493B">
      <w:pPr>
        <w:spacing w:line="360" w:lineRule="auto"/>
        <w:jc w:val="right"/>
        <w:rPr>
          <w:rFonts w:eastAsiaTheme="minorEastAsia"/>
          <w:b/>
          <w:bCs/>
          <w:color w:val="000000" w:themeColor="text1"/>
          <w:sz w:val="24"/>
        </w:rPr>
      </w:pPr>
      <w:r w:rsidRPr="00F82017">
        <w:rPr>
          <w:rFonts w:eastAsiaTheme="minorEastAsia"/>
          <w:b/>
          <w:bCs/>
          <w:color w:val="000000" w:themeColor="text1"/>
          <w:sz w:val="24"/>
        </w:rPr>
        <w:t>二〇一九年四月二十二日</w:t>
      </w:r>
    </w:p>
    <w:sectPr w:rsidR="009238DB" w:rsidRPr="00F82017" w:rsidSect="00A8324F">
      <w:footerReference w:type="even" r:id="rId12"/>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0EC" w:rsidRDefault="00B350EC">
      <w:r>
        <w:separator/>
      </w:r>
    </w:p>
  </w:endnote>
  <w:endnote w:type="continuationSeparator" w:id="1">
    <w:p w:rsidR="00B350EC" w:rsidRDefault="00B35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13" w:rsidRPr="00F72813" w:rsidRDefault="00F72813" w:rsidP="00F7094A">
    <w:pPr>
      <w:pStyle w:val="a6"/>
      <w:jc w:val="center"/>
      <w:rPr>
        <w:sz w:val="21"/>
        <w:szCs w:val="21"/>
      </w:rPr>
    </w:pPr>
    <w:r w:rsidRPr="00F72813">
      <w:rPr>
        <w:rFonts w:hint="eastAsia"/>
        <w:kern w:val="0"/>
        <w:sz w:val="21"/>
        <w:szCs w:val="21"/>
      </w:rPr>
      <w:t>第</w:t>
    </w:r>
    <w:r w:rsidR="0003279D" w:rsidRPr="00F72813">
      <w:rPr>
        <w:kern w:val="0"/>
        <w:sz w:val="21"/>
        <w:szCs w:val="21"/>
      </w:rPr>
      <w:fldChar w:fldCharType="begin"/>
    </w:r>
    <w:r w:rsidRPr="00F72813">
      <w:rPr>
        <w:kern w:val="0"/>
        <w:sz w:val="21"/>
        <w:szCs w:val="21"/>
      </w:rPr>
      <w:instrText xml:space="preserve"> PAGE </w:instrText>
    </w:r>
    <w:r w:rsidR="0003279D" w:rsidRPr="00F72813">
      <w:rPr>
        <w:kern w:val="0"/>
        <w:sz w:val="21"/>
        <w:szCs w:val="21"/>
      </w:rPr>
      <w:fldChar w:fldCharType="separate"/>
    </w:r>
    <w:r w:rsidR="002A3961">
      <w:rPr>
        <w:noProof/>
        <w:kern w:val="0"/>
        <w:sz w:val="21"/>
        <w:szCs w:val="21"/>
      </w:rPr>
      <w:t>1</w:t>
    </w:r>
    <w:r w:rsidR="0003279D" w:rsidRPr="00F72813">
      <w:rPr>
        <w:kern w:val="0"/>
        <w:sz w:val="21"/>
        <w:szCs w:val="21"/>
      </w:rPr>
      <w:fldChar w:fldCharType="end"/>
    </w:r>
    <w:r w:rsidRPr="00F72813">
      <w:rPr>
        <w:rFonts w:hint="eastAsia"/>
        <w:kern w:val="0"/>
        <w:sz w:val="21"/>
        <w:szCs w:val="21"/>
      </w:rPr>
      <w:t>页，共</w:t>
    </w:r>
    <w:r w:rsidR="0003279D" w:rsidRPr="00F72813">
      <w:rPr>
        <w:kern w:val="0"/>
        <w:sz w:val="21"/>
        <w:szCs w:val="21"/>
      </w:rPr>
      <w:fldChar w:fldCharType="begin"/>
    </w:r>
    <w:r w:rsidRPr="00F72813">
      <w:rPr>
        <w:kern w:val="0"/>
        <w:sz w:val="21"/>
        <w:szCs w:val="21"/>
      </w:rPr>
      <w:instrText xml:space="preserve"> NUMPAGES </w:instrText>
    </w:r>
    <w:r w:rsidR="0003279D" w:rsidRPr="00F72813">
      <w:rPr>
        <w:kern w:val="0"/>
        <w:sz w:val="21"/>
        <w:szCs w:val="21"/>
      </w:rPr>
      <w:fldChar w:fldCharType="separate"/>
    </w:r>
    <w:r w:rsidR="002A3961">
      <w:rPr>
        <w:noProof/>
        <w:kern w:val="0"/>
        <w:sz w:val="21"/>
        <w:szCs w:val="21"/>
      </w:rPr>
      <w:t>3</w:t>
    </w:r>
    <w:r w:rsidR="0003279D" w:rsidRPr="00F72813">
      <w:rPr>
        <w:kern w:val="0"/>
        <w:sz w:val="21"/>
        <w:szCs w:val="21"/>
      </w:rPr>
      <w:fldChar w:fldCharType="end"/>
    </w:r>
    <w:r w:rsidRPr="00F72813">
      <w:rPr>
        <w:rFonts w:hint="eastAsia"/>
        <w:kern w:val="0"/>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13" w:rsidRDefault="0003279D">
    <w:pPr>
      <w:pStyle w:val="a6"/>
      <w:framePr w:wrap="around" w:vAnchor="text" w:hAnchor="margin" w:xAlign="center" w:y="1"/>
      <w:rPr>
        <w:rStyle w:val="a7"/>
      </w:rPr>
    </w:pPr>
    <w:r>
      <w:rPr>
        <w:rStyle w:val="a7"/>
      </w:rPr>
      <w:fldChar w:fldCharType="begin"/>
    </w:r>
    <w:r w:rsidR="00F72813">
      <w:rPr>
        <w:rStyle w:val="a7"/>
      </w:rPr>
      <w:instrText xml:space="preserve">PAGE  </w:instrText>
    </w:r>
    <w:r>
      <w:rPr>
        <w:rStyle w:val="a7"/>
      </w:rPr>
      <w:fldChar w:fldCharType="end"/>
    </w:r>
  </w:p>
  <w:p w:rsidR="00F72813" w:rsidRDefault="00F728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0EC" w:rsidRDefault="00B350EC">
      <w:r>
        <w:separator/>
      </w:r>
    </w:p>
  </w:footnote>
  <w:footnote w:type="continuationSeparator" w:id="1">
    <w:p w:rsidR="00B350EC" w:rsidRDefault="00B35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13" w:rsidRPr="00C829A3" w:rsidRDefault="00F72813" w:rsidP="001207F2">
    <w:pPr>
      <w:pStyle w:val="a9"/>
      <w:pBdr>
        <w:bottom w:val="single" w:sz="6" w:space="0" w:color="auto"/>
      </w:pBdr>
      <w:jc w:val="right"/>
      <w:rPr>
        <w:sz w:val="21"/>
        <w:szCs w:val="21"/>
      </w:rPr>
    </w:pPr>
    <w:r w:rsidRPr="00C829A3">
      <w:rPr>
        <w:sz w:val="21"/>
        <w:szCs w:val="21"/>
      </w:rPr>
      <w:t>国投瑞银岁丰利债券型证券投资基金</w:t>
    </w:r>
    <w:r w:rsidRPr="00C829A3">
      <w:rPr>
        <w:sz w:val="21"/>
        <w:szCs w:val="21"/>
      </w:rPr>
      <w:t>2019</w:t>
    </w:r>
    <w:r w:rsidRPr="00C829A3">
      <w:rPr>
        <w:sz w:val="21"/>
        <w:szCs w:val="21"/>
      </w:rPr>
      <w:t>年第</w:t>
    </w:r>
    <w:r w:rsidRPr="00C829A3">
      <w:rPr>
        <w:sz w:val="21"/>
        <w:szCs w:val="21"/>
      </w:rPr>
      <w:t>1</w:t>
    </w:r>
    <w:r w:rsidRPr="00C829A3">
      <w:rPr>
        <w:sz w:val="21"/>
        <w:szCs w:val="21"/>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279D"/>
    <w:rsid w:val="0003564A"/>
    <w:rsid w:val="00037B55"/>
    <w:rsid w:val="00037C73"/>
    <w:rsid w:val="00042065"/>
    <w:rsid w:val="00042D6F"/>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35D80"/>
    <w:rsid w:val="001405D3"/>
    <w:rsid w:val="00140C30"/>
    <w:rsid w:val="00142C74"/>
    <w:rsid w:val="00145E5B"/>
    <w:rsid w:val="00147319"/>
    <w:rsid w:val="00147551"/>
    <w:rsid w:val="0015012F"/>
    <w:rsid w:val="00150C2E"/>
    <w:rsid w:val="0015170D"/>
    <w:rsid w:val="001517AE"/>
    <w:rsid w:val="00151D89"/>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2C1F"/>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02B7"/>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3961"/>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2941"/>
    <w:rsid w:val="003232AA"/>
    <w:rsid w:val="00323A10"/>
    <w:rsid w:val="00323E6A"/>
    <w:rsid w:val="00323F25"/>
    <w:rsid w:val="00324A71"/>
    <w:rsid w:val="003303E3"/>
    <w:rsid w:val="003311CA"/>
    <w:rsid w:val="00334656"/>
    <w:rsid w:val="00337A86"/>
    <w:rsid w:val="00337C2E"/>
    <w:rsid w:val="0034147B"/>
    <w:rsid w:val="00341889"/>
    <w:rsid w:val="003426CE"/>
    <w:rsid w:val="00343016"/>
    <w:rsid w:val="0034447B"/>
    <w:rsid w:val="0034759E"/>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852"/>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4CD5"/>
    <w:rsid w:val="00645293"/>
    <w:rsid w:val="006456D3"/>
    <w:rsid w:val="00645B2B"/>
    <w:rsid w:val="00651A01"/>
    <w:rsid w:val="00651B78"/>
    <w:rsid w:val="0065237A"/>
    <w:rsid w:val="00652FF5"/>
    <w:rsid w:val="0065303C"/>
    <w:rsid w:val="00653246"/>
    <w:rsid w:val="00654382"/>
    <w:rsid w:val="00656C5C"/>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3B9"/>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2DD5"/>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3C4C"/>
    <w:rsid w:val="00854B3F"/>
    <w:rsid w:val="00861C2C"/>
    <w:rsid w:val="00863744"/>
    <w:rsid w:val="008668B8"/>
    <w:rsid w:val="0086748F"/>
    <w:rsid w:val="0086758B"/>
    <w:rsid w:val="00867B4D"/>
    <w:rsid w:val="00867CF3"/>
    <w:rsid w:val="00874AB5"/>
    <w:rsid w:val="00877671"/>
    <w:rsid w:val="00877A13"/>
    <w:rsid w:val="0088020A"/>
    <w:rsid w:val="008851F2"/>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731"/>
    <w:rsid w:val="008B1875"/>
    <w:rsid w:val="008B4146"/>
    <w:rsid w:val="008B5312"/>
    <w:rsid w:val="008B59CE"/>
    <w:rsid w:val="008B5F4D"/>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E7B31"/>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40DA"/>
    <w:rsid w:val="00945CB7"/>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454E"/>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87A"/>
    <w:rsid w:val="009F3E1E"/>
    <w:rsid w:val="009F4CC5"/>
    <w:rsid w:val="009F6550"/>
    <w:rsid w:val="00A003BE"/>
    <w:rsid w:val="00A00870"/>
    <w:rsid w:val="00A02F51"/>
    <w:rsid w:val="00A02F6C"/>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34D9"/>
    <w:rsid w:val="00A75705"/>
    <w:rsid w:val="00A75BE1"/>
    <w:rsid w:val="00A8187C"/>
    <w:rsid w:val="00A82C9E"/>
    <w:rsid w:val="00A8324F"/>
    <w:rsid w:val="00A85142"/>
    <w:rsid w:val="00A91ECB"/>
    <w:rsid w:val="00A95B37"/>
    <w:rsid w:val="00A96B6F"/>
    <w:rsid w:val="00AA06B6"/>
    <w:rsid w:val="00AA0CE8"/>
    <w:rsid w:val="00AA35FD"/>
    <w:rsid w:val="00AA3DB7"/>
    <w:rsid w:val="00AA58C5"/>
    <w:rsid w:val="00AA5EF2"/>
    <w:rsid w:val="00AA5F63"/>
    <w:rsid w:val="00AA7EBD"/>
    <w:rsid w:val="00AB69EF"/>
    <w:rsid w:val="00AC11DC"/>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0EC"/>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23BE"/>
    <w:rsid w:val="00B7354A"/>
    <w:rsid w:val="00B73C85"/>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02A"/>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29A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5102"/>
    <w:rsid w:val="00CB62E1"/>
    <w:rsid w:val="00CB6EFE"/>
    <w:rsid w:val="00CC16F9"/>
    <w:rsid w:val="00CC28A9"/>
    <w:rsid w:val="00CC4183"/>
    <w:rsid w:val="00CC70A4"/>
    <w:rsid w:val="00CD4A0C"/>
    <w:rsid w:val="00CD5643"/>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3D14"/>
    <w:rsid w:val="00D15733"/>
    <w:rsid w:val="00D20364"/>
    <w:rsid w:val="00D2130C"/>
    <w:rsid w:val="00D245FC"/>
    <w:rsid w:val="00D26746"/>
    <w:rsid w:val="00D26DDD"/>
    <w:rsid w:val="00D27BDC"/>
    <w:rsid w:val="00D3194F"/>
    <w:rsid w:val="00D33751"/>
    <w:rsid w:val="00D37343"/>
    <w:rsid w:val="00D37495"/>
    <w:rsid w:val="00D41727"/>
    <w:rsid w:val="00D427E4"/>
    <w:rsid w:val="00D45F1B"/>
    <w:rsid w:val="00D50E1A"/>
    <w:rsid w:val="00D50F9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1A9"/>
    <w:rsid w:val="00DB2AC7"/>
    <w:rsid w:val="00DB704C"/>
    <w:rsid w:val="00DC2AB3"/>
    <w:rsid w:val="00DC693B"/>
    <w:rsid w:val="00DC7C77"/>
    <w:rsid w:val="00DD0F5D"/>
    <w:rsid w:val="00DD426D"/>
    <w:rsid w:val="00DD74FC"/>
    <w:rsid w:val="00DE0DB6"/>
    <w:rsid w:val="00DE117F"/>
    <w:rsid w:val="00DE1769"/>
    <w:rsid w:val="00DE1A17"/>
    <w:rsid w:val="00DE44C8"/>
    <w:rsid w:val="00DE64CC"/>
    <w:rsid w:val="00DE6AA9"/>
    <w:rsid w:val="00DE7B30"/>
    <w:rsid w:val="00DF0C94"/>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37B5"/>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2412"/>
    <w:rsid w:val="00F44FDE"/>
    <w:rsid w:val="00F46467"/>
    <w:rsid w:val="00F4715C"/>
    <w:rsid w:val="00F47FF8"/>
    <w:rsid w:val="00F529B5"/>
    <w:rsid w:val="00F52AA4"/>
    <w:rsid w:val="00F54661"/>
    <w:rsid w:val="00F56162"/>
    <w:rsid w:val="00F56B7E"/>
    <w:rsid w:val="00F6052F"/>
    <w:rsid w:val="00F62FDE"/>
    <w:rsid w:val="00F654E6"/>
    <w:rsid w:val="00F662CD"/>
    <w:rsid w:val="00F67E39"/>
    <w:rsid w:val="00F703A8"/>
    <w:rsid w:val="00F707F1"/>
    <w:rsid w:val="00F7094A"/>
    <w:rsid w:val="00F710BE"/>
    <w:rsid w:val="00F72579"/>
    <w:rsid w:val="00F72813"/>
    <w:rsid w:val="00F804B9"/>
    <w:rsid w:val="00F80AE2"/>
    <w:rsid w:val="00F82017"/>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28B9"/>
    <w:rsid w:val="00FD5E71"/>
    <w:rsid w:val="00FD7D41"/>
    <w:rsid w:val="00FE0072"/>
    <w:rsid w:val="00FE0C71"/>
    <w:rsid w:val="00FE1E47"/>
    <w:rsid w:val="00FE275D"/>
    <w:rsid w:val="00FE65AC"/>
    <w:rsid w:val="00FE7FBD"/>
    <w:rsid w:val="00FF10BC"/>
    <w:rsid w:val="00FF5DCF"/>
    <w:rsid w:val="00FF699B"/>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927348"/>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link w:val="Char0"/>
    <w:uiPriority w:val="99"/>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0">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1"/>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2"/>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1">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2">
    <w:name w:val="日期 Char"/>
    <w:basedOn w:val="a1"/>
    <w:link w:val="ac"/>
    <w:rsid w:val="00D66685"/>
    <w:rPr>
      <w:kern w:val="2"/>
      <w:sz w:val="24"/>
    </w:rPr>
  </w:style>
  <w:style w:type="character" w:styleId="af6">
    <w:name w:val="Strong"/>
    <w:basedOn w:val="a1"/>
    <w:uiPriority w:val="22"/>
    <w:qFormat/>
    <w:rsid w:val="006016F2"/>
    <w:rPr>
      <w:b/>
      <w:bCs/>
    </w:rPr>
  </w:style>
  <w:style w:type="character" w:customStyle="1" w:styleId="3Char">
    <w:name w:val="标题 3 Char"/>
    <w:basedOn w:val="a1"/>
    <w:link w:val="3"/>
    <w:uiPriority w:val="9"/>
    <w:rsid w:val="00927348"/>
    <w:rPr>
      <w:rFonts w:asciiTheme="minorHAnsi" w:eastAsiaTheme="minorEastAsia" w:hAnsiTheme="minorHAnsi" w:cstheme="minorBidi"/>
      <w:b/>
      <w:bCs/>
      <w:kern w:val="2"/>
      <w:sz w:val="32"/>
      <w:szCs w:val="32"/>
    </w:rPr>
  </w:style>
  <w:style w:type="character" w:customStyle="1" w:styleId="Char0">
    <w:name w:val="页脚 Char"/>
    <w:basedOn w:val="a1"/>
    <w:link w:val="a6"/>
    <w:uiPriority w:val="99"/>
    <w:rsid w:val="008851F2"/>
    <w:rPr>
      <w:kern w:val="2"/>
      <w:sz w:val="18"/>
      <w:szCs w:val="18"/>
    </w:rPr>
  </w:style>
  <w:style w:type="paragraph" w:styleId="af7">
    <w:name w:val="Revision"/>
    <w:hidden/>
    <w:uiPriority w:val="99"/>
    <w:semiHidden/>
    <w:rsid w:val="00C0202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5"/>
    <w:pPr>
      <w:numPr>
        <w:numId w:val="8"/>
      </w:numPr>
    </w:p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5DB6-066C-43AF-9F43-58B8210C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1099</Words>
  <Characters>6267</Characters>
  <Application>Microsoft Office Word</Application>
  <DocSecurity>4</DocSecurity>
  <Lines>52</Lines>
  <Paragraphs>14</Paragraphs>
  <ScaleCrop>false</ScaleCrop>
  <Company>TRT. Ltd. Co.</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2019-04-21T16:05:00Z</dcterms:created>
  <dcterms:modified xsi:type="dcterms:W3CDTF">2019-04-21T16:05:00Z</dcterms:modified>
</cp:coreProperties>
</file>