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光大保德信永鑫灵活配置混合型证券投资基金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年第</w:t>
      </w:r>
      <w:r w:rsidRPr="004264FD">
        <w:rPr>
          <w:rFonts w:eastAsiaTheme="minorEastAsia"/>
          <w:b/>
          <w:color w:val="000000" w:themeColor="text1"/>
          <w:sz w:val="36"/>
          <w:szCs w:val="36"/>
        </w:rPr>
        <w:t>1</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w:t>
      </w:r>
      <w:r w:rsidRPr="004264FD">
        <w:rPr>
          <w:rFonts w:eastAsiaTheme="minorEastAsia"/>
          <w:b/>
          <w:color w:val="000000" w:themeColor="text1"/>
          <w:sz w:val="36"/>
          <w:szCs w:val="36"/>
        </w:rPr>
        <w:t>3</w:t>
      </w:r>
      <w:r w:rsidRPr="004264FD">
        <w:rPr>
          <w:rFonts w:eastAsiaTheme="minorEastAsia"/>
          <w:b/>
          <w:color w:val="000000" w:themeColor="text1"/>
          <w:sz w:val="36"/>
          <w:szCs w:val="36"/>
        </w:rPr>
        <w:t>月</w:t>
      </w:r>
      <w:r w:rsidRPr="004264FD">
        <w:rPr>
          <w:rFonts w:eastAsiaTheme="minorEastAsia"/>
          <w:b/>
          <w:color w:val="000000" w:themeColor="text1"/>
          <w:sz w:val="36"/>
          <w:szCs w:val="36"/>
        </w:rPr>
        <w:t>31</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光大保德信基金管理有限公司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宁波银行股份有限公司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8"/>
          <w:footerReference w:type="default" r:id="rId9"/>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二〇一九年四月二十二日</w:t>
      </w:r>
    </w:p>
    <w:p w:rsidR="009238DB" w:rsidRPr="004264FD" w:rsidRDefault="009238DB" w:rsidP="00436929">
      <w:pPr>
        <w:pStyle w:val="1"/>
        <w:spacing w:beforeLines="100" w:afterLines="100"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基金托管人宁波银行股份有限公司根据本基金合同规定，于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日止。</w:t>
      </w:r>
    </w:p>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光大保德信永鑫混合</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003105</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2016</w:t>
            </w:r>
            <w:r w:rsidRPr="004264FD">
              <w:rPr>
                <w:rFonts w:eastAsiaTheme="minorEastAsia"/>
                <w:color w:val="000000" w:themeColor="text1"/>
                <w:kern w:val="0"/>
                <w:szCs w:val="21"/>
              </w:rPr>
              <w:t>年</w:t>
            </w:r>
            <w:r w:rsidRPr="004264FD">
              <w:rPr>
                <w:rFonts w:eastAsiaTheme="minorEastAsia"/>
                <w:color w:val="000000" w:themeColor="text1"/>
                <w:kern w:val="0"/>
                <w:szCs w:val="21"/>
              </w:rPr>
              <w:t>8</w:t>
            </w:r>
            <w:r w:rsidRPr="004264FD">
              <w:rPr>
                <w:rFonts w:eastAsiaTheme="minorEastAsia"/>
                <w:color w:val="000000" w:themeColor="text1"/>
                <w:kern w:val="0"/>
                <w:szCs w:val="21"/>
              </w:rPr>
              <w:t>月</w:t>
            </w:r>
            <w:r w:rsidRPr="004264FD">
              <w:rPr>
                <w:rFonts w:eastAsiaTheme="minorEastAsia"/>
                <w:color w:val="000000" w:themeColor="text1"/>
                <w:kern w:val="0"/>
                <w:szCs w:val="21"/>
              </w:rPr>
              <w:t>19</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141,025,145.94</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本基金在股票、债券和现金等大类资产的灵活配置与稳健投资下，力争获取长期、持续、稳定的合理回报。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本基金将通过对宏观经济基本面及证券市场双层面的数据进行研究，并通过定性定量分析、风险测算及组合优化，最终形成大类资产配置决策。</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）宏观经济运行的变化和国家的宏观调控政策将对证券市场产生深刻影响。本基金通过综合国内外宏观经济状况、国家财政政策、央行货币政策、物价水平变化趋势等</w:t>
            </w:r>
            <w:r>
              <w:rPr>
                <w:rFonts w:eastAsiaTheme="minorEastAsia"/>
                <w:color w:val="000000" w:themeColor="text1"/>
                <w:kern w:val="0"/>
                <w:szCs w:val="21"/>
              </w:rPr>
              <w:lastRenderedPageBreak/>
              <w:t>因素，构建宏观经济分析平台；</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）运用历史数据并结合基金管理人内部的定性和定量分析模型，确定影响各类资产收益水平的先行指标，将上一步的宏观经济分析结果量化为对先行指标的影响，进而判断对各类资产收益的影响；</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）结合上述宏观经济对各类资产未来收益影响的分析结果和本基金投资组合的风险预算管理，确定各类资产的投资比重。</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结合自上而下行业分析与自下而上研究入库的投资理念，在以整个宏观策略为前提下，把握结构性调整机会，将行业分析与个股精选相结合，寻找出表现优异的子行业和优质个股，并将这些股票组成本基金的核心股票库。</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）行业分析</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在综合考虑行业的周期、竞争格局、技术进步、政府政策、社会习惯的改变等因素后，精选出行业地位高、行业的发展空间大的子行业。</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）个股选择</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核心股票库的基础上，以定性和定量相结合的方式，从价值和成长等因素对个股进行选择，综合考虑上市公司的增长潜力与市场估值水平，精选估值合理且成长性良好的上市公司进行投资。同时，本基金关注国家相关政策、事件可能对上市公司的当前或未来价值产生的重大影响，本基金将在深入挖掘这类政策、事件的基础上，对行业进行优化配置和动态调整。</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）定量分析</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本基金结合盈利增长指标、现金流量指标、负债比率指标、估值指标、盈利质量指标等与上市公司经营有关的重要定量指标，对目标上市公司的价值进行深入挖掘，并对上市公司的盈利能力、</w:t>
            </w:r>
            <w:r>
              <w:rPr>
                <w:rFonts w:eastAsiaTheme="minorEastAsia"/>
                <w:color w:val="000000" w:themeColor="text1"/>
                <w:kern w:val="0"/>
                <w:szCs w:val="21"/>
              </w:rPr>
              <w:t>财务质量和经营效率进行评析，为个股选择提供依据。</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）定性分析</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认为股票价格的合理区间并非完全由其财务数据决定，还必须结合企业学习与创新能力、企业发展战略、技术专利优势、市场拓展能力、公司治理结构和管理水平、公司的行业地位、公司增长的可持续性等定性因素，给予股票一定的折溢价水平，并最终决定股票合理的价格区间。根据上述定性定量分析的结果，本基金进一步从价值和成长两个纬度对备选股票进行评估。对于价值被低估且成长性良好的股票，本基金将重点关注；对于价值被高估但成长性良好，或价值被低估但成长性较差的股票，本基</w:t>
            </w:r>
            <w:r>
              <w:rPr>
                <w:rFonts w:eastAsiaTheme="minorEastAsia"/>
                <w:color w:val="000000" w:themeColor="text1"/>
                <w:kern w:val="0"/>
                <w:szCs w:val="21"/>
              </w:rPr>
              <w:t>金将通过深入的调研和缜密的分析，有选择地进行投资；对于价值被高估且成长性较差的股票，本基金不予考虑投资。</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、固定收益类品种投资策略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于固定收益类品种的目的是在保证基金资产流动性的基础上，使基金资产得到更加合理有效的利用，从而提高投资组合收益。为此，本基金固定收益类资产的投资将在限定的投资范围内，根据国家货币政策和财政政策实施情况、市场收益率曲线变动情况、市场流动性情况来预测债券市场整体利率趋势，同时结合各具体品种的供需情况、流动性、信用状况和利率敏感度等因素进行综合分析，在严格控制风险的前提下，</w:t>
            </w:r>
            <w:r>
              <w:rPr>
                <w:rFonts w:eastAsiaTheme="minorEastAsia"/>
                <w:color w:val="000000" w:themeColor="text1"/>
                <w:kern w:val="0"/>
                <w:szCs w:val="21"/>
              </w:rPr>
              <w:t>构建和调整债券投资组合。在确定固定收益投资组合的具体品种时，本基金将根据市场对于个券的市场成交情况，对各个目标投资对象进行利差分析，包括信用利差，流动性利差，期权调整利差（</w:t>
            </w:r>
            <w:r>
              <w:rPr>
                <w:rFonts w:eastAsiaTheme="minorEastAsia"/>
                <w:color w:val="000000" w:themeColor="text1"/>
                <w:kern w:val="0"/>
                <w:szCs w:val="21"/>
              </w:rPr>
              <w:t>OAS</w:t>
            </w:r>
            <w:r>
              <w:rPr>
                <w:rFonts w:eastAsiaTheme="minorEastAsia"/>
                <w:color w:val="000000" w:themeColor="text1"/>
                <w:kern w:val="0"/>
                <w:szCs w:val="21"/>
              </w:rPr>
              <w:t>），并利用利率模型对利率进行模拟预测，选出定价合理或被低估，到期期限符合组合构建要求的固定收益品种。</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本基金将在风险可控的前提下，以套期保值为目的，根据对现货和期货市场的分析，充分考虑股指期货的风险收益特征，通过多头或空头的套期保值策略，以改善投资组合的投资效果，实现股票组合的超额收益。</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、国债期货投资策略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可运用国债期货，以提高投资效率。本基金在国债期货投资中将根据风险管理的原则，以套期保值为目的，在风险可控的前提下，本着谨慎原则，参与国债期货的投资，以管理投资组合的利率风险，改善组合的风险收益特性。</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、中小企业私募债投资策略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与传统的信用债相比，中小企业私募债券采取非公开方式发行和交易，整体流动性相对较差，而且受到发债主体资产规模较小、经营波动性较高、信用基本面稳定性较差的影响，整体的信用风险相对较高。因此，对于中小企业私募债券的投资应采取更为谨慎的投资策略。本基金认为，投资该类债券的核心要点是</w:t>
            </w:r>
            <w:r>
              <w:rPr>
                <w:rFonts w:eastAsiaTheme="minorEastAsia"/>
                <w:color w:val="000000" w:themeColor="text1"/>
                <w:kern w:val="0"/>
                <w:szCs w:val="21"/>
              </w:rPr>
              <w:t>对个券信用资质进行详尽的分析，并综合考虑发行人的企业性质、所处行业、资产负债状况、盈利能力、现金流、经营稳定性等关键因素，确定最终的投资决策。</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、证券公司短期公司债券投资策略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8</w:t>
            </w:r>
            <w:r>
              <w:rPr>
                <w:rFonts w:eastAsiaTheme="minorEastAsia"/>
                <w:color w:val="000000" w:themeColor="text1"/>
                <w:kern w:val="0"/>
                <w:szCs w:val="21"/>
              </w:rPr>
              <w:t>、资产支持证券投资策略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资产支持证券的定价受市场利率、发行条款、标的资产的构成及质量、提前偿还率等多种因素</w:t>
            </w:r>
            <w:r>
              <w:rPr>
                <w:rFonts w:eastAsiaTheme="minorEastAsia"/>
                <w:color w:val="000000" w:themeColor="text1"/>
                <w:kern w:val="0"/>
                <w:szCs w:val="21"/>
              </w:rPr>
              <w:t>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9</w:t>
            </w:r>
            <w:r>
              <w:rPr>
                <w:rFonts w:eastAsiaTheme="minorEastAsia"/>
                <w:color w:val="000000" w:themeColor="text1"/>
                <w:kern w:val="0"/>
                <w:szCs w:val="21"/>
              </w:rPr>
              <w:t>、权证及其他品种投资策略</w:t>
            </w:r>
          </w:p>
          <w:p w:rsidR="00917D3E" w:rsidRDefault="004369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本基金在权证投资中将对权证标的证券的基本面进行研究，结合期权定价量化模型估算权证价值，主要考虑运用的策略有：价值挖掘策略、杠杆策略、双向权证策略、获利保护策略和套利策略等。</w:t>
            </w:r>
          </w:p>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同时，法律法规或监管机构以后允许基金投资的其他品种，本基金若认为有助于基金进行风险管理和组合优化的，可依据法律法规的规定履行适当程序后，运用金融衍生产品进行投资风险管理。</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沪深</w:t>
            </w:r>
            <w:r w:rsidRPr="004264FD">
              <w:rPr>
                <w:rFonts w:eastAsiaTheme="minorEastAsia"/>
                <w:color w:val="000000" w:themeColor="text1"/>
                <w:kern w:val="0"/>
                <w:szCs w:val="21"/>
              </w:rPr>
              <w:t>300</w:t>
            </w:r>
            <w:r w:rsidRPr="004264FD">
              <w:rPr>
                <w:rFonts w:eastAsiaTheme="minorEastAsia"/>
                <w:color w:val="000000" w:themeColor="text1"/>
                <w:kern w:val="0"/>
                <w:szCs w:val="21"/>
              </w:rPr>
              <w:t>指数收益率</w:t>
            </w:r>
            <w:r w:rsidRPr="004264FD">
              <w:rPr>
                <w:rFonts w:eastAsiaTheme="minorEastAsia"/>
                <w:color w:val="000000" w:themeColor="text1"/>
                <w:kern w:val="0"/>
                <w:szCs w:val="21"/>
              </w:rPr>
              <w:t>×50%+</w:t>
            </w:r>
            <w:r w:rsidRPr="004264FD">
              <w:rPr>
                <w:rFonts w:eastAsiaTheme="minorEastAsia"/>
                <w:color w:val="000000" w:themeColor="text1"/>
                <w:kern w:val="0"/>
                <w:szCs w:val="21"/>
              </w:rPr>
              <w:t>中证全债指数收益率</w:t>
            </w:r>
            <w:r w:rsidRPr="004264FD">
              <w:rPr>
                <w:rFonts w:eastAsiaTheme="minorEastAsia"/>
                <w:color w:val="000000" w:themeColor="text1"/>
                <w:kern w:val="0"/>
                <w:szCs w:val="21"/>
              </w:rPr>
              <w:t>×50%</w:t>
            </w:r>
            <w:r w:rsidRPr="004264FD">
              <w:rPr>
                <w:rFonts w:eastAsiaTheme="minorEastAsia"/>
                <w:color w:val="000000" w:themeColor="text1"/>
                <w:kern w:val="0"/>
                <w:szCs w:val="21"/>
              </w:rPr>
              <w:t>。</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本基金为混合型基金，其风险和预期收益低于股票型基金，高于债券型基金和货币市场基金。</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光大保德信基金管理有限公司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宁波银行股份有限公司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003105</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003106</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97,715,894.60</w:t>
            </w:r>
            <w:r w:rsidRPr="004264FD">
              <w:rPr>
                <w:rFonts w:eastAsiaTheme="minorEastAsia"/>
                <w:color w:val="000000" w:themeColor="text1"/>
                <w:kern w:val="0"/>
                <w:szCs w:val="21"/>
              </w:rPr>
              <w:t>份</w:t>
            </w:r>
          </w:p>
        </w:tc>
        <w:tc>
          <w:tcPr>
            <w:tcW w:w="2740"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43,309,251.34</w:t>
            </w:r>
            <w:r w:rsidRPr="004264FD">
              <w:rPr>
                <w:rFonts w:eastAsiaTheme="minorEastAsia"/>
                <w:color w:val="000000" w:themeColor="text1"/>
                <w:kern w:val="0"/>
                <w:szCs w:val="21"/>
              </w:rPr>
              <w:t>份</w:t>
            </w:r>
          </w:p>
        </w:tc>
      </w:tr>
    </w:tbl>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3,193,067.87</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1,746,032.35</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3,783,875.61</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2,171,831.75</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0.0316</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0.0322</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318,831,807.10</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141,228,397.18</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3.263</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3.261</w:t>
            </w:r>
          </w:p>
        </w:tc>
      </w:tr>
    </w:tbl>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3.2.1</w:t>
      </w:r>
      <w:r w:rsidRPr="004264FD">
        <w:rPr>
          <w:rFonts w:eastAsiaTheme="minorEastAsia"/>
          <w:b/>
          <w:color w:val="000000" w:themeColor="text1"/>
          <w:kern w:val="0"/>
          <w:szCs w:val="21"/>
        </w:rPr>
        <w:t>本报告期基金份额净值增长率及其与同期业绩比较基准收益率的比较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光大保德信永鑫混合</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917D3E">
        <w:tc>
          <w:tcPr>
            <w:tcW w:w="1290" w:type="dxa"/>
            <w:vAlign w:val="center"/>
          </w:tcPr>
          <w:p w:rsidR="00917D3E" w:rsidRDefault="00436929">
            <w:pPr>
              <w:jc w:val="left"/>
            </w:pPr>
            <w:r>
              <w:rPr>
                <w:rFonts w:eastAsiaTheme="minorEastAsia"/>
                <w:color w:val="000000" w:themeColor="text1"/>
                <w:szCs w:val="21"/>
              </w:rPr>
              <w:t>过去三个月</w:t>
            </w:r>
          </w:p>
        </w:tc>
        <w:tc>
          <w:tcPr>
            <w:tcW w:w="1291" w:type="dxa"/>
            <w:vAlign w:val="center"/>
          </w:tcPr>
          <w:p w:rsidR="00917D3E" w:rsidRDefault="00436929">
            <w:pPr>
              <w:jc w:val="right"/>
            </w:pPr>
            <w:r>
              <w:rPr>
                <w:rFonts w:eastAsiaTheme="minorEastAsia"/>
                <w:color w:val="000000" w:themeColor="text1"/>
                <w:szCs w:val="21"/>
              </w:rPr>
              <w:t>0.89%</w:t>
            </w:r>
          </w:p>
        </w:tc>
        <w:tc>
          <w:tcPr>
            <w:tcW w:w="1291" w:type="dxa"/>
            <w:vAlign w:val="center"/>
          </w:tcPr>
          <w:p w:rsidR="00917D3E" w:rsidRDefault="00436929">
            <w:pPr>
              <w:jc w:val="right"/>
            </w:pPr>
            <w:r>
              <w:rPr>
                <w:rFonts w:eastAsiaTheme="minorEastAsia"/>
                <w:color w:val="000000" w:themeColor="text1"/>
                <w:szCs w:val="21"/>
              </w:rPr>
              <w:t>0.02%</w:t>
            </w:r>
          </w:p>
        </w:tc>
        <w:tc>
          <w:tcPr>
            <w:tcW w:w="1291" w:type="dxa"/>
            <w:vAlign w:val="center"/>
          </w:tcPr>
          <w:p w:rsidR="00917D3E" w:rsidRDefault="00436929">
            <w:pPr>
              <w:jc w:val="right"/>
            </w:pPr>
            <w:r>
              <w:rPr>
                <w:rFonts w:eastAsiaTheme="minorEastAsia"/>
                <w:color w:val="000000" w:themeColor="text1"/>
                <w:szCs w:val="21"/>
              </w:rPr>
              <w:t>14.43%</w:t>
            </w:r>
          </w:p>
        </w:tc>
        <w:tc>
          <w:tcPr>
            <w:tcW w:w="1291" w:type="dxa"/>
            <w:vAlign w:val="center"/>
          </w:tcPr>
          <w:p w:rsidR="00917D3E" w:rsidRDefault="00436929">
            <w:pPr>
              <w:jc w:val="right"/>
            </w:pPr>
            <w:r>
              <w:rPr>
                <w:rFonts w:eastAsiaTheme="minorEastAsia"/>
                <w:color w:val="000000" w:themeColor="text1"/>
                <w:szCs w:val="21"/>
              </w:rPr>
              <w:t>0.77%</w:t>
            </w:r>
          </w:p>
        </w:tc>
        <w:tc>
          <w:tcPr>
            <w:tcW w:w="1291" w:type="dxa"/>
            <w:vAlign w:val="center"/>
          </w:tcPr>
          <w:p w:rsidR="00917D3E" w:rsidRDefault="00436929">
            <w:pPr>
              <w:jc w:val="right"/>
            </w:pPr>
            <w:r>
              <w:rPr>
                <w:rFonts w:eastAsiaTheme="minorEastAsia"/>
                <w:color w:val="000000" w:themeColor="text1"/>
                <w:szCs w:val="21"/>
              </w:rPr>
              <w:t>-13.54%</w:t>
            </w:r>
          </w:p>
        </w:tc>
        <w:tc>
          <w:tcPr>
            <w:tcW w:w="1291" w:type="dxa"/>
            <w:vAlign w:val="center"/>
          </w:tcPr>
          <w:p w:rsidR="00917D3E" w:rsidRDefault="00436929">
            <w:pPr>
              <w:jc w:val="right"/>
            </w:pPr>
            <w:r>
              <w:rPr>
                <w:rFonts w:eastAsiaTheme="minorEastAsia"/>
                <w:color w:val="000000" w:themeColor="text1"/>
                <w:szCs w:val="21"/>
              </w:rPr>
              <w:t>-0.75%</w:t>
            </w:r>
          </w:p>
        </w:tc>
      </w:tr>
    </w:tbl>
    <w:p w:rsidR="009238DB" w:rsidRPr="004264FD" w:rsidRDefault="009238DB" w:rsidP="00436929">
      <w:pPr>
        <w:adjustRightInd w:val="0"/>
        <w:spacing w:beforeLines="100"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光大保德信永鑫混合</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917D3E">
        <w:tc>
          <w:tcPr>
            <w:tcW w:w="1290" w:type="dxa"/>
            <w:vAlign w:val="center"/>
          </w:tcPr>
          <w:p w:rsidR="00917D3E" w:rsidRDefault="00436929">
            <w:pPr>
              <w:jc w:val="left"/>
            </w:pPr>
            <w:r>
              <w:rPr>
                <w:rFonts w:eastAsiaTheme="minorEastAsia"/>
                <w:color w:val="000000" w:themeColor="text1"/>
                <w:szCs w:val="21"/>
              </w:rPr>
              <w:t>过去三个月</w:t>
            </w:r>
          </w:p>
        </w:tc>
        <w:tc>
          <w:tcPr>
            <w:tcW w:w="1291" w:type="dxa"/>
            <w:vAlign w:val="center"/>
          </w:tcPr>
          <w:p w:rsidR="00917D3E" w:rsidRDefault="00436929">
            <w:pPr>
              <w:jc w:val="right"/>
            </w:pPr>
            <w:r>
              <w:rPr>
                <w:rFonts w:eastAsiaTheme="minorEastAsia"/>
                <w:color w:val="000000" w:themeColor="text1"/>
                <w:szCs w:val="21"/>
              </w:rPr>
              <w:t>0.86%</w:t>
            </w:r>
          </w:p>
        </w:tc>
        <w:tc>
          <w:tcPr>
            <w:tcW w:w="1291" w:type="dxa"/>
            <w:vAlign w:val="center"/>
          </w:tcPr>
          <w:p w:rsidR="00917D3E" w:rsidRDefault="00436929">
            <w:pPr>
              <w:jc w:val="right"/>
            </w:pPr>
            <w:r>
              <w:rPr>
                <w:rFonts w:eastAsiaTheme="minorEastAsia"/>
                <w:color w:val="000000" w:themeColor="text1"/>
                <w:szCs w:val="21"/>
              </w:rPr>
              <w:t>0.02%</w:t>
            </w:r>
          </w:p>
        </w:tc>
        <w:tc>
          <w:tcPr>
            <w:tcW w:w="1291" w:type="dxa"/>
            <w:vAlign w:val="center"/>
          </w:tcPr>
          <w:p w:rsidR="00917D3E" w:rsidRDefault="00436929">
            <w:pPr>
              <w:jc w:val="right"/>
            </w:pPr>
            <w:r>
              <w:rPr>
                <w:rFonts w:eastAsiaTheme="minorEastAsia"/>
                <w:color w:val="000000" w:themeColor="text1"/>
                <w:szCs w:val="21"/>
              </w:rPr>
              <w:t>14.43%</w:t>
            </w:r>
          </w:p>
        </w:tc>
        <w:tc>
          <w:tcPr>
            <w:tcW w:w="1291" w:type="dxa"/>
            <w:vAlign w:val="center"/>
          </w:tcPr>
          <w:p w:rsidR="00917D3E" w:rsidRDefault="00436929">
            <w:pPr>
              <w:jc w:val="right"/>
            </w:pPr>
            <w:r>
              <w:rPr>
                <w:rFonts w:eastAsiaTheme="minorEastAsia"/>
                <w:color w:val="000000" w:themeColor="text1"/>
                <w:szCs w:val="21"/>
              </w:rPr>
              <w:t>0.77%</w:t>
            </w:r>
          </w:p>
        </w:tc>
        <w:tc>
          <w:tcPr>
            <w:tcW w:w="1291" w:type="dxa"/>
            <w:vAlign w:val="center"/>
          </w:tcPr>
          <w:p w:rsidR="00917D3E" w:rsidRDefault="00436929">
            <w:pPr>
              <w:jc w:val="right"/>
            </w:pPr>
            <w:r>
              <w:rPr>
                <w:rFonts w:eastAsiaTheme="minorEastAsia"/>
                <w:color w:val="000000" w:themeColor="text1"/>
                <w:szCs w:val="21"/>
              </w:rPr>
              <w:t>-13.57%</w:t>
            </w:r>
          </w:p>
        </w:tc>
        <w:tc>
          <w:tcPr>
            <w:tcW w:w="1291" w:type="dxa"/>
            <w:vAlign w:val="center"/>
          </w:tcPr>
          <w:p w:rsidR="00917D3E" w:rsidRDefault="00436929">
            <w:pPr>
              <w:jc w:val="right"/>
            </w:pPr>
            <w:r>
              <w:rPr>
                <w:rFonts w:eastAsiaTheme="minorEastAsia"/>
                <w:color w:val="000000" w:themeColor="text1"/>
                <w:szCs w:val="21"/>
              </w:rPr>
              <w:t>-0.75%</w:t>
            </w:r>
          </w:p>
        </w:tc>
      </w:tr>
    </w:tbl>
    <w:p w:rsidR="009238DB" w:rsidRPr="004264FD" w:rsidRDefault="009238DB" w:rsidP="00436929">
      <w:pPr>
        <w:spacing w:beforeLines="100"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光大保德信永鑫灵活配置混合型证券投资基金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2016</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8</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19</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2019</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3</w:t>
      </w:r>
      <w:r w:rsidRPr="004264FD">
        <w:rPr>
          <w:rFonts w:ascii="Times New Roman" w:eastAsiaTheme="minorEastAsia" w:hAnsi="Times New Roman"/>
          <w:color w:val="000000" w:themeColor="text1"/>
        </w:rPr>
        <w:t>月</w:t>
      </w:r>
      <w:r w:rsidRPr="004264FD">
        <w:rPr>
          <w:rFonts w:ascii="Times New Roman" w:eastAsiaTheme="minorEastAsia" w:hAnsi="Times New Roman"/>
          <w:color w:val="000000" w:themeColor="text1"/>
        </w:rPr>
        <w:t>31</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光大保德信永鑫混合</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4264FD" w:rsidRDefault="009238DB" w:rsidP="00436929">
      <w:pPr>
        <w:snapToGrid w:val="0"/>
        <w:spacing w:beforeLines="100"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光大保德信永鑫混合</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4264FD" w:rsidRDefault="00757FD7"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注：根据基金合同的规定，本基金建仓期为</w:t>
      </w:r>
      <w:r w:rsidRPr="004264FD">
        <w:rPr>
          <w:rFonts w:eastAsiaTheme="minorEastAsia"/>
          <w:color w:val="000000" w:themeColor="text1"/>
          <w:szCs w:val="21"/>
        </w:rPr>
        <w:t>2016</w:t>
      </w:r>
      <w:r w:rsidRPr="004264FD">
        <w:rPr>
          <w:rFonts w:eastAsiaTheme="minorEastAsia"/>
          <w:color w:val="000000" w:themeColor="text1"/>
          <w:szCs w:val="21"/>
        </w:rPr>
        <w:t>年</w:t>
      </w:r>
      <w:r w:rsidRPr="004264FD">
        <w:rPr>
          <w:rFonts w:eastAsiaTheme="minorEastAsia"/>
          <w:color w:val="000000" w:themeColor="text1"/>
          <w:szCs w:val="21"/>
        </w:rPr>
        <w:t>8</w:t>
      </w:r>
      <w:r w:rsidRPr="004264FD">
        <w:rPr>
          <w:rFonts w:eastAsiaTheme="minorEastAsia"/>
          <w:color w:val="000000" w:themeColor="text1"/>
          <w:szCs w:val="21"/>
        </w:rPr>
        <w:t>月</w:t>
      </w:r>
      <w:r w:rsidRPr="004264FD">
        <w:rPr>
          <w:rFonts w:eastAsiaTheme="minorEastAsia"/>
          <w:color w:val="000000" w:themeColor="text1"/>
          <w:szCs w:val="21"/>
        </w:rPr>
        <w:t>19</w:t>
      </w:r>
      <w:r w:rsidRPr="004264FD">
        <w:rPr>
          <w:rFonts w:eastAsiaTheme="minorEastAsia"/>
          <w:color w:val="000000" w:themeColor="text1"/>
          <w:szCs w:val="21"/>
        </w:rPr>
        <w:t>日至</w:t>
      </w:r>
      <w:r w:rsidRPr="004264FD">
        <w:rPr>
          <w:rFonts w:eastAsiaTheme="minorEastAsia"/>
          <w:color w:val="000000" w:themeColor="text1"/>
          <w:szCs w:val="21"/>
        </w:rPr>
        <w:t>2017</w:t>
      </w:r>
      <w:r w:rsidRPr="004264FD">
        <w:rPr>
          <w:rFonts w:eastAsiaTheme="minorEastAsia"/>
          <w:color w:val="000000" w:themeColor="text1"/>
          <w:szCs w:val="21"/>
        </w:rPr>
        <w:t>年</w:t>
      </w:r>
      <w:r w:rsidRPr="004264FD">
        <w:rPr>
          <w:rFonts w:eastAsiaTheme="minorEastAsia"/>
          <w:color w:val="000000" w:themeColor="text1"/>
          <w:szCs w:val="21"/>
        </w:rPr>
        <w:t>2</w:t>
      </w:r>
      <w:r w:rsidRPr="004264FD">
        <w:rPr>
          <w:rFonts w:eastAsiaTheme="minorEastAsia"/>
          <w:color w:val="000000" w:themeColor="text1"/>
          <w:szCs w:val="21"/>
        </w:rPr>
        <w:t>月</w:t>
      </w:r>
      <w:r w:rsidRPr="004264FD">
        <w:rPr>
          <w:rFonts w:eastAsiaTheme="minorEastAsia"/>
          <w:color w:val="000000" w:themeColor="text1"/>
          <w:szCs w:val="21"/>
        </w:rPr>
        <w:t>18</w:t>
      </w:r>
      <w:r w:rsidRPr="004264FD">
        <w:rPr>
          <w:rFonts w:eastAsiaTheme="minorEastAsia"/>
          <w:color w:val="000000" w:themeColor="text1"/>
          <w:szCs w:val="21"/>
        </w:rPr>
        <w:t>日。建仓期结束时本基金各项资产配置比例符合本基金合同规定的比例限制及投资组合的比例范围。</w:t>
      </w:r>
    </w:p>
    <w:p w:rsidR="006C5BC9" w:rsidRPr="004264FD" w:rsidRDefault="006C5BC9" w:rsidP="006C5BC9">
      <w:pPr>
        <w:tabs>
          <w:tab w:val="left" w:pos="1800"/>
        </w:tabs>
        <w:spacing w:line="288" w:lineRule="auto"/>
        <w:rPr>
          <w:rFonts w:eastAsiaTheme="minorEastAsia"/>
          <w:color w:val="000000" w:themeColor="text1"/>
          <w:szCs w:val="21"/>
        </w:rPr>
      </w:pPr>
    </w:p>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任本基金的基金经理期限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917D3E">
        <w:tc>
          <w:tcPr>
            <w:tcW w:w="952" w:type="dxa"/>
            <w:vAlign w:val="center"/>
          </w:tcPr>
          <w:p w:rsidR="00917D3E" w:rsidRDefault="00436929">
            <w:pPr>
              <w:jc w:val="center"/>
            </w:pPr>
            <w:r>
              <w:rPr>
                <w:rFonts w:eastAsiaTheme="minorEastAsia"/>
                <w:color w:val="000000" w:themeColor="text1"/>
                <w:szCs w:val="21"/>
              </w:rPr>
              <w:t>房雷</w:t>
            </w:r>
          </w:p>
        </w:tc>
        <w:tc>
          <w:tcPr>
            <w:tcW w:w="930" w:type="dxa"/>
            <w:vAlign w:val="center"/>
          </w:tcPr>
          <w:p w:rsidR="00917D3E" w:rsidRDefault="00436929">
            <w:pPr>
              <w:jc w:val="center"/>
            </w:pPr>
            <w:r>
              <w:rPr>
                <w:rFonts w:eastAsiaTheme="minorEastAsia"/>
                <w:color w:val="000000" w:themeColor="text1"/>
                <w:szCs w:val="21"/>
              </w:rPr>
              <w:t>基金经理</w:t>
            </w:r>
          </w:p>
        </w:tc>
        <w:tc>
          <w:tcPr>
            <w:tcW w:w="1210" w:type="dxa"/>
            <w:vAlign w:val="center"/>
          </w:tcPr>
          <w:p w:rsidR="00917D3E" w:rsidRDefault="00436929">
            <w:pPr>
              <w:jc w:val="center"/>
            </w:pPr>
            <w:r>
              <w:rPr>
                <w:rFonts w:eastAsiaTheme="minorEastAsia"/>
                <w:color w:val="000000" w:themeColor="text1"/>
                <w:szCs w:val="21"/>
              </w:rPr>
              <w:t>2017-03-09</w:t>
            </w:r>
          </w:p>
        </w:tc>
        <w:tc>
          <w:tcPr>
            <w:tcW w:w="1309" w:type="dxa"/>
            <w:vAlign w:val="center"/>
          </w:tcPr>
          <w:p w:rsidR="00917D3E" w:rsidRDefault="00436929">
            <w:pPr>
              <w:jc w:val="center"/>
            </w:pPr>
            <w:r>
              <w:rPr>
                <w:rFonts w:eastAsiaTheme="minorEastAsia"/>
                <w:color w:val="000000" w:themeColor="text1"/>
                <w:szCs w:val="21"/>
              </w:rPr>
              <w:t>-</w:t>
            </w:r>
          </w:p>
        </w:tc>
        <w:tc>
          <w:tcPr>
            <w:tcW w:w="1254" w:type="dxa"/>
            <w:vAlign w:val="center"/>
          </w:tcPr>
          <w:p w:rsidR="00917D3E" w:rsidRDefault="00436929">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917D3E" w:rsidRDefault="00436929">
            <w:r>
              <w:rPr>
                <w:rFonts w:eastAsiaTheme="minorEastAsia"/>
                <w:color w:val="000000" w:themeColor="text1"/>
                <w:szCs w:val="21"/>
              </w:rPr>
              <w:t>房雷先生，硕士，</w:t>
            </w:r>
            <w:r>
              <w:rPr>
                <w:rFonts w:eastAsiaTheme="minorEastAsia"/>
                <w:color w:val="000000" w:themeColor="text1"/>
                <w:szCs w:val="21"/>
              </w:rPr>
              <w:t>2007</w:t>
            </w:r>
            <w:r>
              <w:rPr>
                <w:rFonts w:eastAsiaTheme="minorEastAsia"/>
                <w:color w:val="000000" w:themeColor="text1"/>
                <w:szCs w:val="21"/>
              </w:rPr>
              <w:t>年毕业于哈尔滨工业大学获得信息与计算科学专业的学士学位，</w:t>
            </w:r>
            <w:r>
              <w:rPr>
                <w:rFonts w:eastAsiaTheme="minorEastAsia"/>
                <w:color w:val="000000" w:themeColor="text1"/>
                <w:szCs w:val="21"/>
              </w:rPr>
              <w:t>2009</w:t>
            </w:r>
            <w:r>
              <w:rPr>
                <w:rFonts w:eastAsiaTheme="minorEastAsia"/>
                <w:color w:val="000000" w:themeColor="text1"/>
                <w:szCs w:val="21"/>
              </w:rPr>
              <w:t>年获得哈尔滨工业大学概率论与数理统计专业的硕士学位。</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月在江海证券先后担任研究发展部宏观策略分析师、投资部高级研究员，</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月在平安证券担任综合研究所策略研究组组长兼平安银行私人银行投资决策委员会委员，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月加入光大保德信基金管理有限公司，历任策略分析师。现任首席策略分析师、研究总监助理兼光大保德信吉鑫灵活配置混合型证券投资基金基金经理、光大保德信永鑫灵活配置混合型</w:t>
            </w:r>
            <w:r>
              <w:rPr>
                <w:rFonts w:eastAsiaTheme="minorEastAsia"/>
                <w:color w:val="000000" w:themeColor="text1"/>
                <w:szCs w:val="21"/>
              </w:rPr>
              <w:t>证券投资基金基金经理、光大保德信安祺债券型证券投资基金基金经理、光大保德信铭鑫灵活配置混合型证券投资基金基金经理。</w:t>
            </w:r>
            <w:r>
              <w:rPr>
                <w:rFonts w:eastAsiaTheme="minorEastAsia"/>
                <w:color w:val="000000" w:themeColor="text1"/>
                <w:szCs w:val="21"/>
              </w:rPr>
              <w:t xml:space="preserve"> </w:t>
            </w:r>
          </w:p>
        </w:tc>
      </w:tr>
      <w:tr w:rsidR="00917D3E">
        <w:tc>
          <w:tcPr>
            <w:tcW w:w="952" w:type="dxa"/>
            <w:vAlign w:val="center"/>
          </w:tcPr>
          <w:p w:rsidR="00917D3E" w:rsidRDefault="00436929">
            <w:pPr>
              <w:jc w:val="center"/>
            </w:pPr>
            <w:r>
              <w:rPr>
                <w:rFonts w:eastAsiaTheme="minorEastAsia"/>
                <w:color w:val="000000" w:themeColor="text1"/>
                <w:szCs w:val="21"/>
              </w:rPr>
              <w:t>魏丽</w:t>
            </w:r>
          </w:p>
        </w:tc>
        <w:tc>
          <w:tcPr>
            <w:tcW w:w="930" w:type="dxa"/>
            <w:vAlign w:val="center"/>
          </w:tcPr>
          <w:p w:rsidR="00917D3E" w:rsidRDefault="00436929">
            <w:pPr>
              <w:jc w:val="center"/>
            </w:pPr>
            <w:r>
              <w:rPr>
                <w:rFonts w:eastAsiaTheme="minorEastAsia"/>
                <w:color w:val="000000" w:themeColor="text1"/>
                <w:szCs w:val="21"/>
              </w:rPr>
              <w:t>基金经理</w:t>
            </w:r>
          </w:p>
        </w:tc>
        <w:tc>
          <w:tcPr>
            <w:tcW w:w="1210" w:type="dxa"/>
            <w:vAlign w:val="center"/>
          </w:tcPr>
          <w:p w:rsidR="00917D3E" w:rsidRDefault="00436929">
            <w:pPr>
              <w:jc w:val="center"/>
            </w:pPr>
            <w:r>
              <w:rPr>
                <w:rFonts w:eastAsiaTheme="minorEastAsia"/>
                <w:color w:val="000000" w:themeColor="text1"/>
                <w:szCs w:val="21"/>
              </w:rPr>
              <w:t>2018-12-25</w:t>
            </w:r>
          </w:p>
        </w:tc>
        <w:tc>
          <w:tcPr>
            <w:tcW w:w="1309" w:type="dxa"/>
            <w:vAlign w:val="center"/>
          </w:tcPr>
          <w:p w:rsidR="00917D3E" w:rsidRDefault="00436929">
            <w:pPr>
              <w:jc w:val="center"/>
            </w:pPr>
            <w:r>
              <w:rPr>
                <w:rFonts w:eastAsiaTheme="minorEastAsia"/>
                <w:color w:val="000000" w:themeColor="text1"/>
                <w:szCs w:val="21"/>
              </w:rPr>
              <w:t>-</w:t>
            </w:r>
          </w:p>
        </w:tc>
        <w:tc>
          <w:tcPr>
            <w:tcW w:w="1254" w:type="dxa"/>
            <w:vAlign w:val="center"/>
          </w:tcPr>
          <w:p w:rsidR="00917D3E" w:rsidRDefault="00436929">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917D3E" w:rsidRDefault="00436929">
            <w:r>
              <w:rPr>
                <w:rFonts w:eastAsiaTheme="minorEastAsia"/>
                <w:color w:val="000000" w:themeColor="text1"/>
                <w:szCs w:val="21"/>
              </w:rPr>
              <w:t>魏丽女士</w:t>
            </w:r>
            <w:r>
              <w:rPr>
                <w:rFonts w:eastAsiaTheme="minorEastAsia"/>
                <w:color w:val="000000" w:themeColor="text1"/>
                <w:szCs w:val="21"/>
              </w:rPr>
              <w:t xml:space="preserve"> , </w:t>
            </w:r>
            <w:r>
              <w:rPr>
                <w:rFonts w:eastAsiaTheme="minorEastAsia"/>
                <w:color w:val="000000" w:themeColor="text1"/>
                <w:szCs w:val="21"/>
              </w:rPr>
              <w:t>硕士。</w:t>
            </w:r>
            <w:r>
              <w:rPr>
                <w:rFonts w:eastAsiaTheme="minorEastAsia"/>
                <w:color w:val="000000" w:themeColor="text1"/>
                <w:szCs w:val="21"/>
              </w:rPr>
              <w:t>2007</w:t>
            </w:r>
            <w:r>
              <w:rPr>
                <w:rFonts w:eastAsiaTheme="minorEastAsia"/>
                <w:color w:val="000000" w:themeColor="text1"/>
                <w:szCs w:val="21"/>
              </w:rPr>
              <w:t>年获得南京财经大学应用数学系学士学位，</w:t>
            </w:r>
            <w:r>
              <w:rPr>
                <w:rFonts w:eastAsiaTheme="minorEastAsia"/>
                <w:color w:val="000000" w:themeColor="text1"/>
                <w:szCs w:val="21"/>
              </w:rPr>
              <w:t>2010</w:t>
            </w:r>
            <w:r>
              <w:rPr>
                <w:rFonts w:eastAsiaTheme="minorEastAsia"/>
                <w:color w:val="000000" w:themeColor="text1"/>
                <w:szCs w:val="21"/>
              </w:rPr>
              <w:t>年获得复旦大学统计学硕士学位。</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月在融通基金管理有限公司任职交易员、研究员；</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月在农银汇理基金管理有限公司任职研究员、基金经理助理、基金经理，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月担任农银汇理天天利货币市场基金的基金经理</w:t>
            </w:r>
            <w:r>
              <w:rPr>
                <w:rFonts w:eastAsiaTheme="minorEastAsia"/>
                <w:color w:val="000000" w:themeColor="text1"/>
                <w:szCs w:val="21"/>
              </w:rPr>
              <w:t>；</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光大保德信基金管理有限公司。现任光大保德信现金宝货币市场基金基金经理、光大保德信耀钱包货币市场基金基金经理、光大保德信恒利纯债债券型证券投资基金基金经理、光大保德信欣鑫灵活配置混合型证券投资基金基金经理、光大保德信永鑫灵活配置混合型证券投资基金基金经理。</w:t>
            </w:r>
            <w:r>
              <w:rPr>
                <w:rFonts w:eastAsiaTheme="minorEastAsia"/>
                <w:color w:val="000000" w:themeColor="text1"/>
                <w:szCs w:val="21"/>
              </w:rPr>
              <w:t xml:space="preserve"> </w:t>
            </w:r>
          </w:p>
        </w:tc>
      </w:tr>
    </w:tbl>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注：对基金的首任基金经理，其任职日期指基金合同生效日，离任日期指公司做出决定之日；非首任基金经理，其任职日期和离任日期均指公司做出决定之日。</w:t>
      </w:r>
    </w:p>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w:t>
      </w:r>
    </w:p>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本基金管理人各项公平交易制度流程均得到良好地贯彻执行，未发现存在违反公平交易原则的现象。</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 xml:space="preserve"> </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本报告期内未发现本基金存在异常交易行为。本基金与其他投资组合未发生交易所公开竞价同日反向交易且成交较少的单边交易量超过该证券当日成交量</w:t>
      </w:r>
      <w:r w:rsidRPr="004264FD">
        <w:rPr>
          <w:rFonts w:eastAsiaTheme="minorEastAsia"/>
          <w:color w:val="000000" w:themeColor="text1"/>
          <w:szCs w:val="21"/>
        </w:rPr>
        <w:t>5%</w:t>
      </w:r>
      <w:r w:rsidRPr="004264FD">
        <w:rPr>
          <w:rFonts w:eastAsiaTheme="minorEastAsia"/>
          <w:color w:val="000000" w:themeColor="text1"/>
          <w:szCs w:val="21"/>
        </w:rPr>
        <w:t>的交易。</w:t>
      </w:r>
    </w:p>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宏观方面，一季度表现出宏观经济暂稳的特征。首先是一月的金融数据放量，社融和信贷都达到超预期的水平，反映出</w:t>
      </w:r>
      <w:r>
        <w:rPr>
          <w:rFonts w:eastAsiaTheme="minorEastAsia"/>
          <w:color w:val="000000" w:themeColor="text1"/>
          <w:szCs w:val="21"/>
        </w:rPr>
        <w:t>信用派生的体系在逐渐修复。一二月的经济数据也不弱，房地产相关数据有一定下行，但在施工的支撑下房地产投资还是保持了上行，基建投资比较稳定，制造业投资有所下滑，总体投资水平平稳。消费也呈现出企稳的特征。受到猪瘟驱动，</w:t>
      </w:r>
      <w:r>
        <w:rPr>
          <w:rFonts w:eastAsiaTheme="minorEastAsia"/>
          <w:color w:val="000000" w:themeColor="text1"/>
          <w:szCs w:val="21"/>
        </w:rPr>
        <w:t>CPI</w:t>
      </w:r>
      <w:r>
        <w:rPr>
          <w:rFonts w:eastAsiaTheme="minorEastAsia"/>
          <w:color w:val="000000" w:themeColor="text1"/>
          <w:szCs w:val="21"/>
        </w:rPr>
        <w:t>有一定上行压力。从中微观数据来看，经济也呈现出比较稳健的状态，春节后一二线房地产销售比较旺盛，工程机械的销售保持高位，总体而言经济在一季度呈现出暂稳的特征。</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债券市场方面，一季度整体震荡向好，短债和信用债收益均有下行，长债震荡较为明显，全季度小幅下行。具体而言，由于受到资金利率进一步回落的影响</w:t>
      </w:r>
      <w:r>
        <w:rPr>
          <w:rFonts w:eastAsiaTheme="minorEastAsia"/>
          <w:color w:val="000000" w:themeColor="text1"/>
          <w:szCs w:val="21"/>
        </w:rPr>
        <w:t>，短端</w:t>
      </w:r>
      <w:r>
        <w:rPr>
          <w:rFonts w:eastAsiaTheme="minorEastAsia"/>
          <w:color w:val="000000" w:themeColor="text1"/>
          <w:szCs w:val="21"/>
        </w:rPr>
        <w:t>1</w:t>
      </w:r>
      <w:r>
        <w:rPr>
          <w:rFonts w:eastAsiaTheme="minorEastAsia"/>
          <w:color w:val="000000" w:themeColor="text1"/>
          <w:szCs w:val="21"/>
        </w:rPr>
        <w:t>年国债和</w:t>
      </w:r>
      <w:r>
        <w:rPr>
          <w:rFonts w:eastAsiaTheme="minorEastAsia"/>
          <w:color w:val="000000" w:themeColor="text1"/>
          <w:szCs w:val="21"/>
        </w:rPr>
        <w:t>1</w:t>
      </w:r>
      <w:r>
        <w:rPr>
          <w:rFonts w:eastAsiaTheme="minorEastAsia"/>
          <w:color w:val="000000" w:themeColor="text1"/>
          <w:szCs w:val="21"/>
        </w:rPr>
        <w:t>年国开分别下行</w:t>
      </w:r>
      <w:r>
        <w:rPr>
          <w:rFonts w:eastAsiaTheme="minorEastAsia"/>
          <w:color w:val="000000" w:themeColor="text1"/>
          <w:szCs w:val="21"/>
        </w:rPr>
        <w:t>16BP</w:t>
      </w:r>
      <w:r>
        <w:rPr>
          <w:rFonts w:eastAsiaTheme="minorEastAsia"/>
          <w:color w:val="000000" w:themeColor="text1"/>
          <w:szCs w:val="21"/>
        </w:rPr>
        <w:t>和</w:t>
      </w:r>
      <w:r>
        <w:rPr>
          <w:rFonts w:eastAsiaTheme="minorEastAsia"/>
          <w:color w:val="000000" w:themeColor="text1"/>
          <w:szCs w:val="21"/>
        </w:rPr>
        <w:t>20BP</w:t>
      </w:r>
      <w:r>
        <w:rPr>
          <w:rFonts w:eastAsiaTheme="minorEastAsia"/>
          <w:color w:val="000000" w:themeColor="text1"/>
          <w:szCs w:val="21"/>
        </w:rPr>
        <w:t>。受到宏观经济暂稳的影响，长端下行幅度较小，</w:t>
      </w:r>
      <w:r>
        <w:rPr>
          <w:rFonts w:eastAsiaTheme="minorEastAsia"/>
          <w:color w:val="000000" w:themeColor="text1"/>
          <w:szCs w:val="21"/>
        </w:rPr>
        <w:t>10Y</w:t>
      </w:r>
      <w:r>
        <w:rPr>
          <w:rFonts w:eastAsiaTheme="minorEastAsia"/>
          <w:color w:val="000000" w:themeColor="text1"/>
          <w:szCs w:val="21"/>
        </w:rPr>
        <w:t>国债和</w:t>
      </w:r>
      <w:r>
        <w:rPr>
          <w:rFonts w:eastAsiaTheme="minorEastAsia"/>
          <w:color w:val="000000" w:themeColor="text1"/>
          <w:szCs w:val="21"/>
        </w:rPr>
        <w:t>10Y</w:t>
      </w:r>
      <w:r>
        <w:rPr>
          <w:rFonts w:eastAsiaTheme="minorEastAsia"/>
          <w:color w:val="000000" w:themeColor="text1"/>
          <w:szCs w:val="21"/>
        </w:rPr>
        <w:t>国开分别下行</w:t>
      </w:r>
      <w:r>
        <w:rPr>
          <w:rFonts w:eastAsiaTheme="minorEastAsia"/>
          <w:color w:val="000000" w:themeColor="text1"/>
          <w:szCs w:val="21"/>
        </w:rPr>
        <w:t>6BP</w:t>
      </w:r>
      <w:r>
        <w:rPr>
          <w:rFonts w:eastAsiaTheme="minorEastAsia"/>
          <w:color w:val="000000" w:themeColor="text1"/>
          <w:szCs w:val="21"/>
        </w:rPr>
        <w:t>和</w:t>
      </w:r>
      <w:r>
        <w:rPr>
          <w:rFonts w:eastAsiaTheme="minorEastAsia"/>
          <w:color w:val="000000" w:themeColor="text1"/>
          <w:szCs w:val="21"/>
        </w:rPr>
        <w:t>16BP</w:t>
      </w:r>
      <w:r>
        <w:rPr>
          <w:rFonts w:eastAsiaTheme="minorEastAsia"/>
          <w:color w:val="000000" w:themeColor="text1"/>
          <w:szCs w:val="21"/>
        </w:rPr>
        <w:t>。受益于信用改善，信用债的利率比利率债下行更加明显，</w:t>
      </w:r>
      <w:r>
        <w:rPr>
          <w:rFonts w:eastAsiaTheme="minorEastAsia"/>
          <w:color w:val="000000" w:themeColor="text1"/>
          <w:szCs w:val="21"/>
        </w:rPr>
        <w:t>1Y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信用债下行</w:t>
      </w:r>
      <w:r>
        <w:rPr>
          <w:rFonts w:eastAsiaTheme="minorEastAsia"/>
          <w:color w:val="000000" w:themeColor="text1"/>
          <w:szCs w:val="21"/>
        </w:rPr>
        <w:t>38BP</w:t>
      </w:r>
      <w:r>
        <w:rPr>
          <w:rFonts w:eastAsiaTheme="minorEastAsia"/>
          <w:color w:val="000000" w:themeColor="text1"/>
          <w:szCs w:val="21"/>
        </w:rPr>
        <w:t>。稍长久期的信用债下行幅度略小，</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信用债下行</w:t>
      </w:r>
      <w:r>
        <w:rPr>
          <w:rFonts w:eastAsiaTheme="minorEastAsia"/>
          <w:color w:val="000000" w:themeColor="text1"/>
          <w:szCs w:val="21"/>
        </w:rPr>
        <w:t>19BP</w:t>
      </w:r>
      <w:r>
        <w:rPr>
          <w:rFonts w:eastAsiaTheme="minorEastAsia"/>
          <w:color w:val="000000" w:themeColor="text1"/>
          <w:szCs w:val="21"/>
        </w:rPr>
        <w:t>。信用利差在较低水平上继续压缩，中等评级的下行幅度更大一些，</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w:t>
      </w:r>
      <w:r>
        <w:rPr>
          <w:rFonts w:eastAsiaTheme="minorEastAsia"/>
          <w:color w:val="000000" w:themeColor="text1"/>
          <w:szCs w:val="21"/>
        </w:rPr>
        <w:t>信用债下行</w:t>
      </w:r>
      <w:r>
        <w:rPr>
          <w:rFonts w:eastAsiaTheme="minorEastAsia"/>
          <w:color w:val="000000" w:themeColor="text1"/>
          <w:szCs w:val="21"/>
        </w:rPr>
        <w:t>28BP</w:t>
      </w:r>
      <w:r>
        <w:rPr>
          <w:rFonts w:eastAsiaTheme="minorEastAsia"/>
          <w:color w:val="000000" w:themeColor="text1"/>
          <w:szCs w:val="21"/>
        </w:rPr>
        <w:t>。我们认为，一季度的债券行情主要反映三点特征：一是货币条件仍然宽松，带来短端利率的明显下行。二是宏观环境略有企稳，带来长债利率的震荡。三是信</w:t>
      </w:r>
      <w:r>
        <w:rPr>
          <w:rFonts w:eastAsiaTheme="minorEastAsia"/>
          <w:color w:val="000000" w:themeColor="text1"/>
          <w:szCs w:val="21"/>
        </w:rPr>
        <w:t>用条件边际改善，带来信用债下行更多，压缩信用利差。</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报告期内，光大永鑫以存款存单及利率债为投资对象，规避了信用风险。</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本报告期内光大保德信永鑫债券</w:t>
      </w:r>
      <w:r w:rsidRPr="004264FD">
        <w:rPr>
          <w:rFonts w:eastAsiaTheme="minorEastAsia"/>
          <w:color w:val="000000" w:themeColor="text1"/>
          <w:szCs w:val="21"/>
        </w:rPr>
        <w:t>A</w:t>
      </w:r>
      <w:r w:rsidRPr="004264FD">
        <w:rPr>
          <w:rFonts w:eastAsiaTheme="minorEastAsia"/>
          <w:color w:val="000000" w:themeColor="text1"/>
          <w:szCs w:val="21"/>
        </w:rPr>
        <w:t>份额净值增长率为</w:t>
      </w:r>
      <w:r w:rsidRPr="004264FD">
        <w:rPr>
          <w:rFonts w:eastAsiaTheme="minorEastAsia"/>
          <w:color w:val="000000" w:themeColor="text1"/>
          <w:szCs w:val="21"/>
        </w:rPr>
        <w:t>0.89%</w:t>
      </w:r>
      <w:r w:rsidRPr="004264FD">
        <w:rPr>
          <w:rFonts w:eastAsiaTheme="minorEastAsia"/>
          <w:color w:val="000000" w:themeColor="text1"/>
          <w:szCs w:val="21"/>
        </w:rPr>
        <w:t>，业绩比较基准收益率为</w:t>
      </w:r>
      <w:r w:rsidRPr="004264FD">
        <w:rPr>
          <w:rFonts w:eastAsiaTheme="minorEastAsia"/>
          <w:color w:val="000000" w:themeColor="text1"/>
          <w:szCs w:val="21"/>
        </w:rPr>
        <w:t>14.43%</w:t>
      </w:r>
      <w:r w:rsidRPr="004264FD">
        <w:rPr>
          <w:rFonts w:eastAsiaTheme="minorEastAsia"/>
          <w:color w:val="000000" w:themeColor="text1"/>
          <w:szCs w:val="21"/>
        </w:rPr>
        <w:t>，光大保德信永鑫债券</w:t>
      </w:r>
      <w:r w:rsidRPr="004264FD">
        <w:rPr>
          <w:rFonts w:eastAsiaTheme="minorEastAsia"/>
          <w:color w:val="000000" w:themeColor="text1"/>
          <w:szCs w:val="21"/>
        </w:rPr>
        <w:t>C</w:t>
      </w:r>
      <w:r w:rsidRPr="004264FD">
        <w:rPr>
          <w:rFonts w:eastAsiaTheme="minorEastAsia"/>
          <w:color w:val="000000" w:themeColor="text1"/>
          <w:szCs w:val="21"/>
        </w:rPr>
        <w:t>份额净值增长率为</w:t>
      </w:r>
      <w:r w:rsidRPr="004264FD">
        <w:rPr>
          <w:rFonts w:eastAsiaTheme="minorEastAsia"/>
          <w:color w:val="000000" w:themeColor="text1"/>
          <w:szCs w:val="21"/>
        </w:rPr>
        <w:t>0.86%</w:t>
      </w:r>
      <w:r w:rsidRPr="004264FD">
        <w:rPr>
          <w:rFonts w:eastAsiaTheme="minorEastAsia"/>
          <w:color w:val="000000" w:themeColor="text1"/>
          <w:szCs w:val="21"/>
        </w:rPr>
        <w:t>，业绩比较基准收益率为</w:t>
      </w:r>
      <w:r w:rsidRPr="004264FD">
        <w:rPr>
          <w:rFonts w:eastAsiaTheme="minorEastAsia"/>
          <w:color w:val="000000" w:themeColor="text1"/>
          <w:szCs w:val="21"/>
        </w:rPr>
        <w:t>14.43%</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本报告期内未发生连续二十个工作日出现基金份额持有人数量不满二百人或者基金资产净值低于五千万元的情形。</w:t>
      </w:r>
    </w:p>
    <w:p w:rsidR="00D971CB" w:rsidRPr="004264FD"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tblPr>
      <w:tblGrid>
        <w:gridCol w:w="720"/>
        <w:gridCol w:w="3357"/>
        <w:gridCol w:w="2977"/>
        <w:gridCol w:w="1843"/>
      </w:tblGrid>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35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项目</w:t>
            </w:r>
          </w:p>
        </w:tc>
        <w:tc>
          <w:tcPr>
            <w:tcW w:w="297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金额</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843"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占基金总资产的比例</w:t>
            </w: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权益投资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其中：股票</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固定收益投资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488,396,000.00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98.50</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其中：债券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488,396,000.00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98.50</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B54782">
            <w:pPr>
              <w:autoSpaceDE w:val="0"/>
              <w:autoSpaceDN w:val="0"/>
              <w:adjustRightInd w:val="0"/>
              <w:spacing w:before="29" w:line="360" w:lineRule="auto"/>
              <w:ind w:left="17" w:firstLineChars="300" w:firstLine="630"/>
              <w:jc w:val="left"/>
              <w:rPr>
                <w:rFonts w:eastAsiaTheme="minorEastAsia"/>
                <w:color w:val="000000" w:themeColor="text1"/>
                <w:szCs w:val="21"/>
              </w:rPr>
            </w:pPr>
            <w:r w:rsidRPr="004264FD">
              <w:rPr>
                <w:rFonts w:eastAsiaTheme="minorEastAsia"/>
                <w:color w:val="000000" w:themeColor="text1"/>
                <w:szCs w:val="21"/>
              </w:rPr>
              <w:t>资产支持证券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357" w:type="dxa"/>
          </w:tcPr>
          <w:p w:rsidR="009A6018" w:rsidRPr="004264FD" w:rsidRDefault="009A6018" w:rsidP="00022662">
            <w:pPr>
              <w:spacing w:before="29" w:line="360" w:lineRule="auto"/>
              <w:ind w:leftChars="50" w:left="105"/>
              <w:rPr>
                <w:rFonts w:eastAsiaTheme="minorEastAsia"/>
                <w:color w:val="000000" w:themeColor="text1"/>
                <w:szCs w:val="21"/>
              </w:rPr>
            </w:pPr>
            <w:r w:rsidRPr="004264FD">
              <w:rPr>
                <w:rFonts w:eastAsiaTheme="minorEastAsia"/>
                <w:color w:val="000000" w:themeColor="text1"/>
                <w:szCs w:val="21"/>
              </w:rPr>
              <w:t>贵金属投资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金融衍生品投资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其中：买断式回购的买入返售金融资产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银行存款和结算备付金合计</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1,199,438.26</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0.24</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其他各项资产</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6,214,911.13</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1.25</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8</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合计</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495,810,349.39</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100.00</w:t>
            </w:r>
          </w:p>
        </w:tc>
      </w:tr>
    </w:tbl>
    <w:p w:rsidR="009238DB"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hint="eastAsia"/>
          <w:b/>
        </w:rPr>
        <w:t xml:space="preserve"> </w:t>
      </w: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B459CD" w:rsidRPr="00B459CD" w:rsidRDefault="00B459CD" w:rsidP="00B459CD">
      <w:pPr>
        <w:jc w:val="left"/>
        <w:rPr>
          <w:b/>
        </w:rPr>
      </w:pPr>
      <w:r w:rsidRPr="00B459CD">
        <w:rPr>
          <w:rFonts w:eastAsiaTheme="minorEastAsia" w:hint="eastAsia"/>
          <w:b/>
          <w:color w:val="000000" w:themeColor="text1"/>
          <w:szCs w:val="21"/>
        </w:rPr>
        <w:t xml:space="preserve"> </w:t>
      </w:r>
      <w:r w:rsidRPr="00B459CD">
        <w:rPr>
          <w:rFonts w:ascii="宋体" w:hAnsi="宋体" w:hint="eastAsia"/>
          <w:b/>
          <w:kern w:val="0"/>
          <w:sz w:val="18"/>
        </w:rPr>
        <w:t>5.2.2</w:t>
      </w:r>
      <w:r w:rsidRPr="00B459CD">
        <w:rPr>
          <w:rFonts w:hint="eastAsia"/>
          <w:b/>
        </w:rPr>
        <w:t>报告期末按行业分类的沪港通投资股票投资组合</w:t>
      </w:r>
    </w:p>
    <w:p w:rsidR="00B459CD" w:rsidRPr="00B459CD" w:rsidRDefault="00B459CD" w:rsidP="00B459CD">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本基金本报告期末未持有沪港通股票。</w:t>
      </w:r>
    </w:p>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260"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债券品种</w:t>
            </w:r>
          </w:p>
        </w:tc>
        <w:tc>
          <w:tcPr>
            <w:tcW w:w="2835"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公允价值</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占基金资产净值比例</w:t>
            </w:r>
            <w:r w:rsidRPr="004264FD">
              <w:rPr>
                <w:rFonts w:eastAsiaTheme="minorEastAsia"/>
                <w:color w:val="000000" w:themeColor="text1"/>
                <w:szCs w:val="21"/>
              </w:rPr>
              <w:t>(</w:t>
            </w:r>
            <w:r w:rsidRPr="004264FD">
              <w:rPr>
                <w:rFonts w:eastAsiaTheme="minorEastAsia"/>
                <w:color w:val="000000" w:themeColor="text1"/>
                <w:szCs w:val="21"/>
              </w:rPr>
              <w:t>％</w:t>
            </w: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国家债券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央行票据</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110,213,000.00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23.96</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其中：政策性金融债</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110,213,000.00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23.96</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企业短期融资</w:t>
            </w:r>
            <w:r w:rsidR="00FA786F" w:rsidRPr="004264FD">
              <w:rPr>
                <w:rFonts w:eastAsiaTheme="minorEastAsia"/>
                <w:color w:val="000000" w:themeColor="text1"/>
                <w:szCs w:val="21"/>
              </w:rPr>
              <w:t>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BE4FD1">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260" w:type="dxa"/>
            <w:vAlign w:val="center"/>
          </w:tcPr>
          <w:p w:rsidR="00686943" w:rsidRPr="004264FD" w:rsidRDefault="00686943" w:rsidP="00BE4FD1">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中期票据</w:t>
            </w:r>
          </w:p>
        </w:tc>
        <w:tc>
          <w:tcPr>
            <w:tcW w:w="2835"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可转债</w:t>
            </w:r>
            <w:r w:rsidR="00D50E1A">
              <w:rPr>
                <w:rFonts w:eastAsiaTheme="minorEastAsia" w:hint="eastAsia"/>
                <w:color w:val="000000" w:themeColor="text1"/>
                <w:szCs w:val="21"/>
              </w:rPr>
              <w:t>（可交换债）</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8926E3" w:rsidRPr="004264FD" w:rsidTr="00B54782">
        <w:tc>
          <w:tcPr>
            <w:tcW w:w="817" w:type="dxa"/>
            <w:vAlign w:val="center"/>
          </w:tcPr>
          <w:p w:rsidR="008926E3" w:rsidRPr="004264FD" w:rsidRDefault="008926E3" w:rsidP="00296E4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26E3" w:rsidRPr="004264FD" w:rsidRDefault="008926E3" w:rsidP="00296E4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378,183,000.00</w:t>
            </w:r>
          </w:p>
        </w:tc>
        <w:tc>
          <w:tcPr>
            <w:tcW w:w="1616"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82.20</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9</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其他</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10</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合计</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488,396,000.00</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106.16</w:t>
            </w:r>
          </w:p>
        </w:tc>
      </w:tr>
    </w:tbl>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tbl>
      <w:tblPr>
        <w:tblStyle w:val="af2"/>
        <w:tblW w:w="0" w:type="auto"/>
        <w:tblInd w:w="108" w:type="dxa"/>
        <w:tblLayout w:type="fixed"/>
        <w:tblLook w:val="04A0"/>
      </w:tblPr>
      <w:tblGrid>
        <w:gridCol w:w="1504"/>
        <w:gridCol w:w="1504"/>
        <w:gridCol w:w="1504"/>
        <w:gridCol w:w="1503"/>
        <w:gridCol w:w="1503"/>
        <w:gridCol w:w="1503"/>
      </w:tblGrid>
      <w:tr w:rsidR="004264FD" w:rsidRPr="004264FD" w:rsidTr="00B54782">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债券代码</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债券名称</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数量（张）</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公允价值</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占基金资产净值比</w:t>
            </w:r>
            <w:r w:rsidR="00334656" w:rsidRPr="004264FD">
              <w:rPr>
                <w:rFonts w:eastAsiaTheme="minorEastAsia"/>
                <w:color w:val="000000" w:themeColor="text1"/>
                <w:kern w:val="0"/>
                <w:szCs w:val="21"/>
              </w:rPr>
              <w:t>例</w:t>
            </w:r>
            <w:r w:rsidRPr="004264FD">
              <w:rPr>
                <w:rFonts w:eastAsiaTheme="minorEastAsia"/>
                <w:color w:val="000000" w:themeColor="text1"/>
                <w:kern w:val="0"/>
                <w:szCs w:val="21"/>
              </w:rPr>
              <w:t>（％）</w:t>
            </w:r>
          </w:p>
        </w:tc>
      </w:tr>
      <w:tr w:rsidR="00917D3E">
        <w:tc>
          <w:tcPr>
            <w:tcW w:w="1504" w:type="dxa"/>
            <w:vAlign w:val="center"/>
          </w:tcPr>
          <w:p w:rsidR="00917D3E" w:rsidRDefault="00436929">
            <w:pPr>
              <w:jc w:val="center"/>
            </w:pPr>
            <w:r>
              <w:rPr>
                <w:rFonts w:eastAsiaTheme="minorEastAsia"/>
                <w:color w:val="000000" w:themeColor="text1"/>
                <w:szCs w:val="21"/>
              </w:rPr>
              <w:t>1</w:t>
            </w:r>
          </w:p>
        </w:tc>
        <w:tc>
          <w:tcPr>
            <w:tcW w:w="1504" w:type="dxa"/>
            <w:vAlign w:val="center"/>
          </w:tcPr>
          <w:p w:rsidR="00917D3E" w:rsidRDefault="00436929">
            <w:pPr>
              <w:jc w:val="center"/>
            </w:pPr>
            <w:r>
              <w:rPr>
                <w:rFonts w:eastAsiaTheme="minorEastAsia"/>
                <w:color w:val="000000" w:themeColor="text1"/>
                <w:szCs w:val="21"/>
              </w:rPr>
              <w:t>180312</w:t>
            </w:r>
          </w:p>
        </w:tc>
        <w:tc>
          <w:tcPr>
            <w:tcW w:w="1504" w:type="dxa"/>
            <w:vAlign w:val="center"/>
          </w:tcPr>
          <w:p w:rsidR="00917D3E" w:rsidRDefault="00436929">
            <w:pPr>
              <w:jc w:val="center"/>
            </w:pPr>
            <w:r>
              <w:rPr>
                <w:rFonts w:eastAsiaTheme="minorEastAsia"/>
                <w:color w:val="000000" w:themeColor="text1"/>
                <w:szCs w:val="21"/>
              </w:rPr>
              <w:t>18</w:t>
            </w:r>
            <w:r>
              <w:rPr>
                <w:rFonts w:eastAsiaTheme="minorEastAsia"/>
                <w:color w:val="000000" w:themeColor="text1"/>
                <w:szCs w:val="21"/>
              </w:rPr>
              <w:t>进出</w:t>
            </w:r>
            <w:r>
              <w:rPr>
                <w:rFonts w:eastAsiaTheme="minorEastAsia"/>
                <w:color w:val="000000" w:themeColor="text1"/>
                <w:szCs w:val="21"/>
              </w:rPr>
              <w:t>12</w:t>
            </w:r>
          </w:p>
        </w:tc>
        <w:tc>
          <w:tcPr>
            <w:tcW w:w="1503" w:type="dxa"/>
            <w:vAlign w:val="center"/>
          </w:tcPr>
          <w:p w:rsidR="00917D3E" w:rsidRDefault="00436929">
            <w:pPr>
              <w:jc w:val="right"/>
            </w:pPr>
            <w:r>
              <w:rPr>
                <w:rFonts w:eastAsiaTheme="minorEastAsia"/>
                <w:color w:val="000000" w:themeColor="text1"/>
                <w:szCs w:val="21"/>
              </w:rPr>
              <w:t>600,000</w:t>
            </w:r>
          </w:p>
        </w:tc>
        <w:tc>
          <w:tcPr>
            <w:tcW w:w="1503" w:type="dxa"/>
            <w:vAlign w:val="center"/>
          </w:tcPr>
          <w:p w:rsidR="00917D3E" w:rsidRDefault="00436929">
            <w:pPr>
              <w:jc w:val="right"/>
            </w:pPr>
            <w:r>
              <w:rPr>
                <w:rFonts w:eastAsiaTheme="minorEastAsia"/>
                <w:color w:val="000000" w:themeColor="text1"/>
                <w:szCs w:val="21"/>
              </w:rPr>
              <w:t>60,168,000.00</w:t>
            </w:r>
          </w:p>
        </w:tc>
        <w:tc>
          <w:tcPr>
            <w:tcW w:w="1503" w:type="dxa"/>
            <w:vAlign w:val="center"/>
          </w:tcPr>
          <w:p w:rsidR="00917D3E" w:rsidRDefault="00436929">
            <w:pPr>
              <w:jc w:val="right"/>
            </w:pPr>
            <w:r>
              <w:rPr>
                <w:rFonts w:eastAsiaTheme="minorEastAsia"/>
                <w:color w:val="000000" w:themeColor="text1"/>
                <w:szCs w:val="21"/>
              </w:rPr>
              <w:t>13.08</w:t>
            </w:r>
          </w:p>
        </w:tc>
      </w:tr>
      <w:tr w:rsidR="00917D3E">
        <w:tc>
          <w:tcPr>
            <w:tcW w:w="1504" w:type="dxa"/>
            <w:vAlign w:val="center"/>
          </w:tcPr>
          <w:p w:rsidR="00917D3E" w:rsidRDefault="00436929">
            <w:pPr>
              <w:jc w:val="center"/>
            </w:pPr>
            <w:r>
              <w:rPr>
                <w:rFonts w:eastAsiaTheme="minorEastAsia"/>
                <w:color w:val="000000" w:themeColor="text1"/>
                <w:szCs w:val="21"/>
              </w:rPr>
              <w:t>2</w:t>
            </w:r>
          </w:p>
        </w:tc>
        <w:tc>
          <w:tcPr>
            <w:tcW w:w="1504" w:type="dxa"/>
            <w:vAlign w:val="center"/>
          </w:tcPr>
          <w:p w:rsidR="00917D3E" w:rsidRDefault="00436929">
            <w:pPr>
              <w:jc w:val="center"/>
            </w:pPr>
            <w:r>
              <w:rPr>
                <w:rFonts w:eastAsiaTheme="minorEastAsia"/>
                <w:color w:val="000000" w:themeColor="text1"/>
                <w:szCs w:val="21"/>
              </w:rPr>
              <w:t>160215</w:t>
            </w:r>
          </w:p>
        </w:tc>
        <w:tc>
          <w:tcPr>
            <w:tcW w:w="1504" w:type="dxa"/>
            <w:vAlign w:val="center"/>
          </w:tcPr>
          <w:p w:rsidR="00917D3E" w:rsidRDefault="00436929">
            <w:pPr>
              <w:jc w:val="center"/>
            </w:pPr>
            <w:r>
              <w:rPr>
                <w:rFonts w:eastAsiaTheme="minorEastAsia"/>
                <w:color w:val="000000" w:themeColor="text1"/>
                <w:szCs w:val="21"/>
              </w:rPr>
              <w:t>16</w:t>
            </w:r>
            <w:r>
              <w:rPr>
                <w:rFonts w:eastAsiaTheme="minorEastAsia"/>
                <w:color w:val="000000" w:themeColor="text1"/>
                <w:szCs w:val="21"/>
              </w:rPr>
              <w:t>国开</w:t>
            </w:r>
            <w:r>
              <w:rPr>
                <w:rFonts w:eastAsiaTheme="minorEastAsia"/>
                <w:color w:val="000000" w:themeColor="text1"/>
                <w:szCs w:val="21"/>
              </w:rPr>
              <w:t>15</w:t>
            </w:r>
          </w:p>
        </w:tc>
        <w:tc>
          <w:tcPr>
            <w:tcW w:w="1503" w:type="dxa"/>
            <w:vAlign w:val="center"/>
          </w:tcPr>
          <w:p w:rsidR="00917D3E" w:rsidRDefault="00436929">
            <w:pPr>
              <w:jc w:val="right"/>
            </w:pPr>
            <w:r>
              <w:rPr>
                <w:rFonts w:eastAsiaTheme="minorEastAsia"/>
                <w:color w:val="000000" w:themeColor="text1"/>
                <w:szCs w:val="21"/>
              </w:rPr>
              <w:t>500,000</w:t>
            </w:r>
          </w:p>
        </w:tc>
        <w:tc>
          <w:tcPr>
            <w:tcW w:w="1503" w:type="dxa"/>
            <w:vAlign w:val="center"/>
          </w:tcPr>
          <w:p w:rsidR="00917D3E" w:rsidRDefault="00436929">
            <w:pPr>
              <w:jc w:val="right"/>
            </w:pPr>
            <w:r>
              <w:rPr>
                <w:rFonts w:eastAsiaTheme="minorEastAsia"/>
                <w:color w:val="000000" w:themeColor="text1"/>
                <w:szCs w:val="21"/>
              </w:rPr>
              <w:t>50,045,000.00</w:t>
            </w:r>
          </w:p>
        </w:tc>
        <w:tc>
          <w:tcPr>
            <w:tcW w:w="1503" w:type="dxa"/>
            <w:vAlign w:val="center"/>
          </w:tcPr>
          <w:p w:rsidR="00917D3E" w:rsidRDefault="00436929">
            <w:pPr>
              <w:jc w:val="right"/>
            </w:pPr>
            <w:r>
              <w:rPr>
                <w:rFonts w:eastAsiaTheme="minorEastAsia"/>
                <w:color w:val="000000" w:themeColor="text1"/>
                <w:szCs w:val="21"/>
              </w:rPr>
              <w:t>10.88</w:t>
            </w:r>
          </w:p>
        </w:tc>
      </w:tr>
      <w:tr w:rsidR="00917D3E">
        <w:tc>
          <w:tcPr>
            <w:tcW w:w="1504" w:type="dxa"/>
            <w:vAlign w:val="center"/>
          </w:tcPr>
          <w:p w:rsidR="00917D3E" w:rsidRDefault="00436929">
            <w:pPr>
              <w:jc w:val="center"/>
            </w:pPr>
            <w:r>
              <w:rPr>
                <w:rFonts w:eastAsiaTheme="minorEastAsia"/>
                <w:color w:val="000000" w:themeColor="text1"/>
                <w:szCs w:val="21"/>
              </w:rPr>
              <w:t>3</w:t>
            </w:r>
          </w:p>
        </w:tc>
        <w:tc>
          <w:tcPr>
            <w:tcW w:w="1504" w:type="dxa"/>
            <w:vAlign w:val="center"/>
          </w:tcPr>
          <w:p w:rsidR="00917D3E" w:rsidRDefault="00436929">
            <w:pPr>
              <w:jc w:val="center"/>
            </w:pPr>
            <w:r>
              <w:rPr>
                <w:rFonts w:eastAsiaTheme="minorEastAsia"/>
                <w:color w:val="000000" w:themeColor="text1"/>
                <w:szCs w:val="21"/>
              </w:rPr>
              <w:t>111809411</w:t>
            </w:r>
          </w:p>
        </w:tc>
        <w:tc>
          <w:tcPr>
            <w:tcW w:w="1504" w:type="dxa"/>
            <w:vAlign w:val="center"/>
          </w:tcPr>
          <w:p w:rsidR="00917D3E" w:rsidRDefault="00436929">
            <w:pPr>
              <w:jc w:val="center"/>
            </w:pPr>
            <w:r>
              <w:rPr>
                <w:rFonts w:eastAsiaTheme="minorEastAsia"/>
                <w:color w:val="000000" w:themeColor="text1"/>
                <w:szCs w:val="21"/>
              </w:rPr>
              <w:t>18</w:t>
            </w:r>
            <w:r>
              <w:rPr>
                <w:rFonts w:eastAsiaTheme="minorEastAsia"/>
                <w:color w:val="000000" w:themeColor="text1"/>
                <w:szCs w:val="21"/>
              </w:rPr>
              <w:t>浦发银行</w:t>
            </w:r>
            <w:r>
              <w:rPr>
                <w:rFonts w:eastAsiaTheme="minorEastAsia"/>
                <w:color w:val="000000" w:themeColor="text1"/>
                <w:szCs w:val="21"/>
              </w:rPr>
              <w:t>CD411</w:t>
            </w:r>
          </w:p>
        </w:tc>
        <w:tc>
          <w:tcPr>
            <w:tcW w:w="1503" w:type="dxa"/>
            <w:vAlign w:val="center"/>
          </w:tcPr>
          <w:p w:rsidR="00917D3E" w:rsidRDefault="00436929">
            <w:pPr>
              <w:jc w:val="right"/>
            </w:pPr>
            <w:r>
              <w:rPr>
                <w:rFonts w:eastAsiaTheme="minorEastAsia"/>
                <w:color w:val="000000" w:themeColor="text1"/>
                <w:szCs w:val="21"/>
              </w:rPr>
              <w:t>500,000</w:t>
            </w:r>
          </w:p>
        </w:tc>
        <w:tc>
          <w:tcPr>
            <w:tcW w:w="1503" w:type="dxa"/>
            <w:vAlign w:val="center"/>
          </w:tcPr>
          <w:p w:rsidR="00917D3E" w:rsidRDefault="00436929">
            <w:pPr>
              <w:jc w:val="right"/>
            </w:pPr>
            <w:r>
              <w:rPr>
                <w:rFonts w:eastAsiaTheme="minorEastAsia"/>
                <w:color w:val="000000" w:themeColor="text1"/>
                <w:szCs w:val="21"/>
              </w:rPr>
              <w:t>48,500,000.00</w:t>
            </w:r>
          </w:p>
        </w:tc>
        <w:tc>
          <w:tcPr>
            <w:tcW w:w="1503" w:type="dxa"/>
            <w:vAlign w:val="center"/>
          </w:tcPr>
          <w:p w:rsidR="00917D3E" w:rsidRDefault="00436929">
            <w:pPr>
              <w:jc w:val="right"/>
            </w:pPr>
            <w:r>
              <w:rPr>
                <w:rFonts w:eastAsiaTheme="minorEastAsia"/>
                <w:color w:val="000000" w:themeColor="text1"/>
                <w:szCs w:val="21"/>
              </w:rPr>
              <w:t>10.54</w:t>
            </w:r>
          </w:p>
        </w:tc>
      </w:tr>
      <w:tr w:rsidR="00917D3E">
        <w:tc>
          <w:tcPr>
            <w:tcW w:w="1504" w:type="dxa"/>
            <w:vAlign w:val="center"/>
          </w:tcPr>
          <w:p w:rsidR="00917D3E" w:rsidRDefault="00436929">
            <w:pPr>
              <w:jc w:val="center"/>
            </w:pPr>
            <w:r>
              <w:rPr>
                <w:rFonts w:eastAsiaTheme="minorEastAsia"/>
                <w:color w:val="000000" w:themeColor="text1"/>
                <w:szCs w:val="21"/>
              </w:rPr>
              <w:t>4</w:t>
            </w:r>
          </w:p>
        </w:tc>
        <w:tc>
          <w:tcPr>
            <w:tcW w:w="1504" w:type="dxa"/>
            <w:vAlign w:val="center"/>
          </w:tcPr>
          <w:p w:rsidR="00917D3E" w:rsidRDefault="00436929">
            <w:pPr>
              <w:jc w:val="center"/>
            </w:pPr>
            <w:r>
              <w:rPr>
                <w:rFonts w:eastAsiaTheme="minorEastAsia"/>
                <w:color w:val="000000" w:themeColor="text1"/>
                <w:szCs w:val="21"/>
              </w:rPr>
              <w:t>111810517</w:t>
            </w:r>
          </w:p>
        </w:tc>
        <w:tc>
          <w:tcPr>
            <w:tcW w:w="1504" w:type="dxa"/>
            <w:vAlign w:val="center"/>
          </w:tcPr>
          <w:p w:rsidR="00917D3E" w:rsidRDefault="00436929">
            <w:pPr>
              <w:jc w:val="center"/>
            </w:pPr>
            <w:r>
              <w:rPr>
                <w:rFonts w:eastAsiaTheme="minorEastAsia"/>
                <w:color w:val="000000" w:themeColor="text1"/>
                <w:szCs w:val="21"/>
              </w:rPr>
              <w:t>18</w:t>
            </w:r>
            <w:r>
              <w:rPr>
                <w:rFonts w:eastAsiaTheme="minorEastAsia"/>
                <w:color w:val="000000" w:themeColor="text1"/>
                <w:szCs w:val="21"/>
              </w:rPr>
              <w:t>兴业银行</w:t>
            </w:r>
            <w:r>
              <w:rPr>
                <w:rFonts w:eastAsiaTheme="minorEastAsia"/>
                <w:color w:val="000000" w:themeColor="text1"/>
                <w:szCs w:val="21"/>
              </w:rPr>
              <w:t>CD517</w:t>
            </w:r>
          </w:p>
        </w:tc>
        <w:tc>
          <w:tcPr>
            <w:tcW w:w="1503" w:type="dxa"/>
            <w:vAlign w:val="center"/>
          </w:tcPr>
          <w:p w:rsidR="00917D3E" w:rsidRDefault="00436929">
            <w:pPr>
              <w:jc w:val="right"/>
            </w:pPr>
            <w:r>
              <w:rPr>
                <w:rFonts w:eastAsiaTheme="minorEastAsia"/>
                <w:color w:val="000000" w:themeColor="text1"/>
                <w:szCs w:val="21"/>
              </w:rPr>
              <w:t>500,000</w:t>
            </w:r>
          </w:p>
        </w:tc>
        <w:tc>
          <w:tcPr>
            <w:tcW w:w="1503" w:type="dxa"/>
            <w:vAlign w:val="center"/>
          </w:tcPr>
          <w:p w:rsidR="00917D3E" w:rsidRDefault="00436929">
            <w:pPr>
              <w:jc w:val="right"/>
            </w:pPr>
            <w:r>
              <w:rPr>
                <w:rFonts w:eastAsiaTheme="minorEastAsia"/>
                <w:color w:val="000000" w:themeColor="text1"/>
                <w:szCs w:val="21"/>
              </w:rPr>
              <w:t>48,465,000.00</w:t>
            </w:r>
          </w:p>
        </w:tc>
        <w:tc>
          <w:tcPr>
            <w:tcW w:w="1503" w:type="dxa"/>
            <w:vAlign w:val="center"/>
          </w:tcPr>
          <w:p w:rsidR="00917D3E" w:rsidRDefault="00436929">
            <w:pPr>
              <w:jc w:val="right"/>
            </w:pPr>
            <w:r>
              <w:rPr>
                <w:rFonts w:eastAsiaTheme="minorEastAsia"/>
                <w:color w:val="000000" w:themeColor="text1"/>
                <w:szCs w:val="21"/>
              </w:rPr>
              <w:t>10.53</w:t>
            </w:r>
          </w:p>
        </w:tc>
      </w:tr>
      <w:tr w:rsidR="00917D3E">
        <w:tc>
          <w:tcPr>
            <w:tcW w:w="1504" w:type="dxa"/>
            <w:vAlign w:val="center"/>
          </w:tcPr>
          <w:p w:rsidR="00917D3E" w:rsidRDefault="00436929">
            <w:pPr>
              <w:jc w:val="center"/>
            </w:pPr>
            <w:r>
              <w:rPr>
                <w:rFonts w:eastAsiaTheme="minorEastAsia"/>
                <w:color w:val="000000" w:themeColor="text1"/>
                <w:szCs w:val="21"/>
              </w:rPr>
              <w:t>5</w:t>
            </w:r>
          </w:p>
        </w:tc>
        <w:tc>
          <w:tcPr>
            <w:tcW w:w="1504" w:type="dxa"/>
            <w:vAlign w:val="center"/>
          </w:tcPr>
          <w:p w:rsidR="00917D3E" w:rsidRDefault="00436929">
            <w:pPr>
              <w:jc w:val="center"/>
            </w:pPr>
            <w:r>
              <w:rPr>
                <w:rFonts w:eastAsiaTheme="minorEastAsia"/>
                <w:color w:val="000000" w:themeColor="text1"/>
                <w:szCs w:val="21"/>
              </w:rPr>
              <w:t>111808296</w:t>
            </w:r>
          </w:p>
        </w:tc>
        <w:tc>
          <w:tcPr>
            <w:tcW w:w="1504" w:type="dxa"/>
            <w:vAlign w:val="center"/>
          </w:tcPr>
          <w:p w:rsidR="00917D3E" w:rsidRDefault="00436929">
            <w:pPr>
              <w:jc w:val="center"/>
            </w:pPr>
            <w:r>
              <w:rPr>
                <w:rFonts w:eastAsiaTheme="minorEastAsia"/>
                <w:color w:val="000000" w:themeColor="text1"/>
                <w:szCs w:val="21"/>
              </w:rPr>
              <w:t>18</w:t>
            </w:r>
            <w:r>
              <w:rPr>
                <w:rFonts w:eastAsiaTheme="minorEastAsia"/>
                <w:color w:val="000000" w:themeColor="text1"/>
                <w:szCs w:val="21"/>
              </w:rPr>
              <w:t>中信银行</w:t>
            </w:r>
            <w:r>
              <w:rPr>
                <w:rFonts w:eastAsiaTheme="minorEastAsia"/>
                <w:color w:val="000000" w:themeColor="text1"/>
                <w:szCs w:val="21"/>
              </w:rPr>
              <w:t>CD296</w:t>
            </w:r>
          </w:p>
        </w:tc>
        <w:tc>
          <w:tcPr>
            <w:tcW w:w="1503" w:type="dxa"/>
            <w:vAlign w:val="center"/>
          </w:tcPr>
          <w:p w:rsidR="00917D3E" w:rsidRDefault="00436929">
            <w:pPr>
              <w:jc w:val="right"/>
            </w:pPr>
            <w:r>
              <w:rPr>
                <w:rFonts w:eastAsiaTheme="minorEastAsia"/>
                <w:color w:val="000000" w:themeColor="text1"/>
                <w:szCs w:val="21"/>
              </w:rPr>
              <w:t>400,000</w:t>
            </w:r>
          </w:p>
        </w:tc>
        <w:tc>
          <w:tcPr>
            <w:tcW w:w="1503" w:type="dxa"/>
            <w:vAlign w:val="center"/>
          </w:tcPr>
          <w:p w:rsidR="00917D3E" w:rsidRDefault="00436929">
            <w:pPr>
              <w:jc w:val="right"/>
            </w:pPr>
            <w:r>
              <w:rPr>
                <w:rFonts w:eastAsiaTheme="minorEastAsia"/>
                <w:color w:val="000000" w:themeColor="text1"/>
                <w:szCs w:val="21"/>
              </w:rPr>
              <w:t>38,784,000.00</w:t>
            </w:r>
          </w:p>
        </w:tc>
        <w:tc>
          <w:tcPr>
            <w:tcW w:w="1503" w:type="dxa"/>
            <w:vAlign w:val="center"/>
          </w:tcPr>
          <w:p w:rsidR="00917D3E" w:rsidRDefault="00436929">
            <w:pPr>
              <w:jc w:val="right"/>
            </w:pPr>
            <w:r>
              <w:rPr>
                <w:rFonts w:eastAsiaTheme="minorEastAsia"/>
                <w:color w:val="000000" w:themeColor="text1"/>
                <w:szCs w:val="21"/>
              </w:rPr>
              <w:t>8.43</w:t>
            </w:r>
          </w:p>
        </w:tc>
      </w:tr>
    </w:tbl>
    <w:p w:rsidR="009238DB" w:rsidRPr="004264FD" w:rsidRDefault="009238DB"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436929">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w:t>
      </w:r>
    </w:p>
    <w:p w:rsidR="009238DB" w:rsidRPr="004264FD" w:rsidRDefault="001D5CD0"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436929">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本基金本报告期末未持有股指期货。</w:t>
      </w:r>
    </w:p>
    <w:p w:rsidR="001D5CD0" w:rsidRPr="004264FD" w:rsidRDefault="001D5CD0" w:rsidP="00436929">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本基金将在风险可控的前提下，以套期保值为目的，根据对现货和期货市场的分析，充分考虑股指期货的风险收益特征，通过多头或空头的套期保值策略，以改善投资组合的投资效果，实现股票组合的超额收益。</w:t>
      </w:r>
    </w:p>
    <w:p w:rsidR="001D5CD0" w:rsidRPr="004264FD" w:rsidRDefault="001D5CD0" w:rsidP="00436929">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基金管理人可运用国债期货，以提高投资效率。本基金在国债期货投资中将根据风险管理的原则，以套期保值为目的，在风险可控的前提下，本着谨慎原则，参与国债期货的投资，以管理投资组合的利率风险，改善组合的风险收益特性。</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报告期内本基金投资的前十名证券的发行主体没有被监管部门立案调查或在报告编制日前一年内受到证监会、证券交易所公开谴责、处罚的情形。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本基金投资的前十名股票中，没有投资于超出基金合同规定备选股票库之外的股票。</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6,214,911.13</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6,214,911.13</w:t>
            </w:r>
          </w:p>
        </w:tc>
      </w:tr>
    </w:tbl>
    <w:p w:rsidR="001D5CD0" w:rsidRPr="004264FD" w:rsidRDefault="001D5CD0" w:rsidP="00436929">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436929">
      <w:pPr>
        <w:autoSpaceDE w:val="0"/>
        <w:autoSpaceDN w:val="0"/>
        <w:adjustRightInd w:val="0"/>
        <w:spacing w:beforeLines="100"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本基金报告期末前十名股票中未存在流通受限情况。</w:t>
      </w:r>
    </w:p>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光大保德信永鑫混合</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112,037,916.26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86,360,542.42</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25,885,442.25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136,546.87</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40,207,463.91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43,187,837.95</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97,715,894.60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43,309,251.34</w:t>
            </w:r>
          </w:p>
        </w:tc>
      </w:tr>
    </w:tbl>
    <w:p w:rsidR="00935FB1" w:rsidRPr="004264FD" w:rsidRDefault="00935FB1" w:rsidP="00436929">
      <w:pPr>
        <w:pStyle w:val="1"/>
        <w:tabs>
          <w:tab w:val="center" w:pos="4156"/>
          <w:tab w:val="right" w:pos="8312"/>
        </w:tabs>
        <w:spacing w:beforeLines="100" w:afterLines="100"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基金管理人运用固有资金投资本基金情况</w:t>
      </w:r>
    </w:p>
    <w:p w:rsidR="00935FB1" w:rsidRPr="004264FD" w:rsidRDefault="00935FB1" w:rsidP="00935FB1">
      <w:pPr>
        <w:spacing w:line="360" w:lineRule="auto"/>
        <w:jc w:val="left"/>
        <w:rPr>
          <w:color w:val="000000" w:themeColor="text1"/>
          <w:szCs w:val="21"/>
        </w:rPr>
      </w:pPr>
      <w:r w:rsidRPr="004264FD">
        <w:rPr>
          <w:b/>
          <w:color w:val="000000" w:themeColor="text1"/>
          <w:szCs w:val="21"/>
        </w:rPr>
        <w:t>7.1</w:t>
      </w:r>
      <w:r w:rsidR="00090834" w:rsidRPr="00C15AEF">
        <w:rPr>
          <w:rFonts w:eastAsiaTheme="minorEastAsia" w:hint="eastAsia"/>
          <w:b/>
          <w:bCs/>
          <w:color w:val="000000" w:themeColor="text1"/>
          <w:kern w:val="44"/>
          <w:szCs w:val="21"/>
        </w:rPr>
        <w:t>基金管理人持有本基金份额变动情况</w:t>
      </w:r>
    </w:p>
    <w:p w:rsidR="00935FB1" w:rsidRPr="004264FD" w:rsidRDefault="00916E71"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本基金本报告期内基金管理人未持有本基金。</w:t>
      </w:r>
    </w:p>
    <w:p w:rsidR="00935FB1" w:rsidRPr="004264FD" w:rsidRDefault="00935FB1" w:rsidP="00436929">
      <w:pPr>
        <w:spacing w:beforeLines="100" w:line="360" w:lineRule="auto"/>
        <w:jc w:val="left"/>
        <w:rPr>
          <w:color w:val="000000" w:themeColor="text1"/>
          <w:szCs w:val="21"/>
        </w:rPr>
      </w:pPr>
      <w:r w:rsidRPr="004264FD">
        <w:rPr>
          <w:b/>
          <w:color w:val="000000" w:themeColor="text1"/>
          <w:szCs w:val="21"/>
        </w:rPr>
        <w:t>7.2</w:t>
      </w:r>
      <w:r w:rsidR="00090834" w:rsidRPr="00C15AEF">
        <w:rPr>
          <w:rFonts w:hint="eastAsia"/>
          <w:b/>
          <w:color w:val="000000"/>
          <w:szCs w:val="21"/>
          <w:shd w:val="clear" w:color="auto" w:fill="FFFFFF"/>
        </w:rPr>
        <w:t>基金管理人运用固有资金投资本基金交易明细</w:t>
      </w:r>
      <w:bookmarkStart w:id="0" w:name="_GoBack"/>
      <w:bookmarkEnd w:id="0"/>
    </w:p>
    <w:p w:rsidR="00935FB1" w:rsidRPr="004264FD" w:rsidRDefault="00935FB1" w:rsidP="003C3C8C">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本报告期内，基金管理人不存在持有、申购、赎回或买卖本基金的情况。</w:t>
      </w:r>
    </w:p>
    <w:p w:rsidR="00FB3C94" w:rsidRPr="004264FD" w:rsidRDefault="00FB3C94"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D13A01" w:rsidRPr="004264FD">
        <w:rPr>
          <w:rFonts w:eastAsiaTheme="minorEastAsia"/>
          <w:color w:val="000000" w:themeColor="text1"/>
          <w:kern w:val="0"/>
          <w:sz w:val="21"/>
          <w:szCs w:val="21"/>
        </w:rPr>
        <w:t>8</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影响投资者决策的其他重要信息</w:t>
      </w:r>
    </w:p>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b/>
          <w:bCs/>
          <w:color w:val="000000"/>
          <w:kern w:val="0"/>
          <w:szCs w:val="21"/>
        </w:rPr>
        <w:t>8.</w:t>
      </w:r>
      <w:r w:rsidRPr="004F4D2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BB681A" w:rsidRPr="004F4D27" w:rsidTr="00767E22">
        <w:tc>
          <w:tcPr>
            <w:tcW w:w="993" w:type="dxa"/>
            <w:vMerge w:val="restart"/>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投资者类别</w:t>
            </w:r>
            <w:r w:rsidRPr="004F4D27">
              <w:rPr>
                <w:rFonts w:ascii="宋体" w:hAnsi="宋体"/>
                <w:color w:val="000000"/>
                <w:kern w:val="0"/>
                <w:szCs w:val="21"/>
              </w:rPr>
              <w:t xml:space="preserve">  </w:t>
            </w:r>
          </w:p>
        </w:tc>
        <w:tc>
          <w:tcPr>
            <w:tcW w:w="5670" w:type="dxa"/>
            <w:gridSpan w:val="5"/>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报告期内持有基金份额变化情况</w:t>
            </w:r>
          </w:p>
        </w:tc>
        <w:tc>
          <w:tcPr>
            <w:tcW w:w="2549" w:type="dxa"/>
            <w:gridSpan w:val="2"/>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报告期末持有基金情况</w:t>
            </w:r>
          </w:p>
        </w:tc>
      </w:tr>
      <w:tr w:rsidR="00BB681A" w:rsidRPr="004F4D27" w:rsidTr="00767E22">
        <w:tc>
          <w:tcPr>
            <w:tcW w:w="993" w:type="dxa"/>
            <w:vMerge/>
            <w:vAlign w:val="center"/>
          </w:tcPr>
          <w:p w:rsidR="00BB681A" w:rsidRPr="004F4D27" w:rsidRDefault="00BB681A" w:rsidP="00767E22">
            <w:pPr>
              <w:autoSpaceDE w:val="0"/>
              <w:autoSpaceDN w:val="0"/>
              <w:adjustRightInd w:val="0"/>
              <w:jc w:val="center"/>
              <w:rPr>
                <w:rFonts w:ascii="宋体" w:hAnsi="宋体"/>
                <w:b/>
                <w:bCs/>
                <w:color w:val="000000"/>
                <w:kern w:val="0"/>
                <w:szCs w:val="21"/>
              </w:rPr>
            </w:pPr>
          </w:p>
        </w:tc>
        <w:tc>
          <w:tcPr>
            <w:tcW w:w="992"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序号</w:t>
            </w:r>
          </w:p>
        </w:tc>
        <w:tc>
          <w:tcPr>
            <w:tcW w:w="1843"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持有基金份额比例达到或者超过20%的时间区间</w:t>
            </w:r>
          </w:p>
        </w:tc>
        <w:tc>
          <w:tcPr>
            <w:tcW w:w="851"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期初份额</w:t>
            </w:r>
          </w:p>
        </w:tc>
        <w:tc>
          <w:tcPr>
            <w:tcW w:w="850"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申购份额</w:t>
            </w:r>
          </w:p>
        </w:tc>
        <w:tc>
          <w:tcPr>
            <w:tcW w:w="1134"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赎回份额</w:t>
            </w:r>
          </w:p>
        </w:tc>
        <w:tc>
          <w:tcPr>
            <w:tcW w:w="1419"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持有份额</w:t>
            </w:r>
          </w:p>
        </w:tc>
        <w:tc>
          <w:tcPr>
            <w:tcW w:w="1130"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份额占比</w:t>
            </w:r>
          </w:p>
        </w:tc>
      </w:tr>
      <w:tr w:rsidR="00917D3E">
        <w:tc>
          <w:tcPr>
            <w:tcW w:w="993" w:type="dxa"/>
            <w:vMerge w:val="restart"/>
          </w:tcPr>
          <w:p w:rsidR="00917D3E" w:rsidRDefault="00917D3E"/>
          <w:p w:rsidR="00917D3E" w:rsidRDefault="00436929">
            <w:r>
              <w:rPr>
                <w:rFonts w:ascii="宋体" w:hAnsi="宋体" w:hint="eastAsia"/>
                <w:bCs/>
                <w:color w:val="000000"/>
                <w:kern w:val="0"/>
                <w:szCs w:val="21"/>
              </w:rPr>
              <w:t>机构</w:t>
            </w:r>
          </w:p>
        </w:tc>
        <w:tc>
          <w:tcPr>
            <w:tcW w:w="992" w:type="dxa"/>
            <w:vAlign w:val="center"/>
          </w:tcPr>
          <w:p w:rsidR="00917D3E" w:rsidRDefault="00436929">
            <w:pPr>
              <w:jc w:val="center"/>
            </w:pPr>
            <w:r>
              <w:rPr>
                <w:rFonts w:ascii="宋体" w:hAnsi="宋体"/>
                <w:color w:val="000000"/>
                <w:kern w:val="0"/>
                <w:szCs w:val="21"/>
              </w:rPr>
              <w:t>1</w:t>
            </w:r>
          </w:p>
        </w:tc>
        <w:tc>
          <w:tcPr>
            <w:tcW w:w="1843" w:type="dxa"/>
            <w:vAlign w:val="center"/>
          </w:tcPr>
          <w:p w:rsidR="00917D3E" w:rsidRDefault="00436929">
            <w:pPr>
              <w:jc w:val="center"/>
            </w:pPr>
            <w:r>
              <w:rPr>
                <w:rFonts w:ascii="宋体" w:hAnsi="宋体"/>
                <w:color w:val="000000"/>
                <w:kern w:val="0"/>
                <w:szCs w:val="21"/>
              </w:rPr>
              <w:t>20190101-20190106,20190218-20190331</w:t>
            </w:r>
          </w:p>
        </w:tc>
        <w:tc>
          <w:tcPr>
            <w:tcW w:w="851" w:type="dxa"/>
            <w:vAlign w:val="center"/>
          </w:tcPr>
          <w:p w:rsidR="00917D3E" w:rsidRDefault="00436929">
            <w:pPr>
              <w:jc w:val="center"/>
            </w:pPr>
            <w:r>
              <w:rPr>
                <w:rFonts w:ascii="宋体" w:hAnsi="宋体"/>
                <w:color w:val="000000"/>
                <w:kern w:val="0"/>
                <w:szCs w:val="21"/>
              </w:rPr>
              <w:t>43,128,234.62</w:t>
            </w:r>
          </w:p>
        </w:tc>
        <w:tc>
          <w:tcPr>
            <w:tcW w:w="850" w:type="dxa"/>
            <w:vAlign w:val="center"/>
          </w:tcPr>
          <w:p w:rsidR="00917D3E" w:rsidRDefault="00436929">
            <w:pPr>
              <w:jc w:val="center"/>
            </w:pPr>
            <w:r>
              <w:rPr>
                <w:rFonts w:ascii="宋体" w:hAnsi="宋体"/>
                <w:color w:val="000000"/>
                <w:kern w:val="0"/>
                <w:szCs w:val="21"/>
              </w:rPr>
              <w:t>-</w:t>
            </w:r>
          </w:p>
        </w:tc>
        <w:tc>
          <w:tcPr>
            <w:tcW w:w="1134" w:type="dxa"/>
            <w:vAlign w:val="center"/>
          </w:tcPr>
          <w:p w:rsidR="00917D3E" w:rsidRDefault="00436929">
            <w:pPr>
              <w:jc w:val="center"/>
            </w:pPr>
            <w:r>
              <w:rPr>
                <w:rFonts w:ascii="宋体" w:hAnsi="宋体"/>
                <w:color w:val="000000"/>
                <w:kern w:val="0"/>
                <w:szCs w:val="21"/>
              </w:rPr>
              <w:t>-</w:t>
            </w:r>
          </w:p>
        </w:tc>
        <w:tc>
          <w:tcPr>
            <w:tcW w:w="1419" w:type="dxa"/>
            <w:vAlign w:val="center"/>
          </w:tcPr>
          <w:p w:rsidR="00917D3E" w:rsidRDefault="00436929">
            <w:pPr>
              <w:jc w:val="center"/>
            </w:pPr>
            <w:r>
              <w:rPr>
                <w:rFonts w:ascii="宋体" w:hAnsi="宋体"/>
                <w:color w:val="000000"/>
                <w:kern w:val="0"/>
                <w:szCs w:val="21"/>
              </w:rPr>
              <w:t>43,128,234.62</w:t>
            </w:r>
          </w:p>
        </w:tc>
        <w:tc>
          <w:tcPr>
            <w:tcW w:w="1130" w:type="dxa"/>
            <w:vAlign w:val="center"/>
          </w:tcPr>
          <w:p w:rsidR="00917D3E" w:rsidRDefault="00436929">
            <w:pPr>
              <w:jc w:val="center"/>
            </w:pPr>
            <w:r>
              <w:rPr>
                <w:rFonts w:ascii="宋体" w:hAnsi="宋体"/>
                <w:color w:val="000000"/>
                <w:kern w:val="0"/>
                <w:szCs w:val="21"/>
              </w:rPr>
              <w:t>30.58%</w:t>
            </w:r>
          </w:p>
        </w:tc>
      </w:tr>
      <w:tr w:rsidR="00917D3E">
        <w:tc>
          <w:tcPr>
            <w:tcW w:w="993" w:type="dxa"/>
            <w:vMerge/>
          </w:tcPr>
          <w:p w:rsidR="00917D3E" w:rsidRDefault="00917D3E"/>
        </w:tc>
        <w:tc>
          <w:tcPr>
            <w:tcW w:w="992" w:type="dxa"/>
            <w:vAlign w:val="center"/>
          </w:tcPr>
          <w:p w:rsidR="00917D3E" w:rsidRDefault="00436929">
            <w:pPr>
              <w:jc w:val="center"/>
            </w:pPr>
            <w:r>
              <w:rPr>
                <w:rFonts w:ascii="宋体" w:hAnsi="宋体"/>
                <w:color w:val="000000"/>
                <w:kern w:val="0"/>
                <w:szCs w:val="21"/>
              </w:rPr>
              <w:t>2</w:t>
            </w:r>
          </w:p>
        </w:tc>
        <w:tc>
          <w:tcPr>
            <w:tcW w:w="1843" w:type="dxa"/>
            <w:vAlign w:val="center"/>
          </w:tcPr>
          <w:p w:rsidR="00917D3E" w:rsidRDefault="00436929">
            <w:pPr>
              <w:jc w:val="center"/>
            </w:pPr>
            <w:r>
              <w:rPr>
                <w:rFonts w:ascii="宋体" w:hAnsi="宋体"/>
                <w:color w:val="000000"/>
                <w:kern w:val="0"/>
                <w:szCs w:val="21"/>
              </w:rPr>
              <w:t>20190101-20190106</w:t>
            </w:r>
          </w:p>
        </w:tc>
        <w:tc>
          <w:tcPr>
            <w:tcW w:w="851" w:type="dxa"/>
            <w:vAlign w:val="center"/>
          </w:tcPr>
          <w:p w:rsidR="00917D3E" w:rsidRDefault="00436929">
            <w:pPr>
              <w:jc w:val="center"/>
            </w:pPr>
            <w:r>
              <w:rPr>
                <w:rFonts w:ascii="宋体" w:hAnsi="宋体"/>
                <w:color w:val="000000"/>
                <w:kern w:val="0"/>
                <w:szCs w:val="21"/>
              </w:rPr>
              <w:t>43,128,234.62</w:t>
            </w:r>
          </w:p>
        </w:tc>
        <w:tc>
          <w:tcPr>
            <w:tcW w:w="850" w:type="dxa"/>
            <w:vAlign w:val="center"/>
          </w:tcPr>
          <w:p w:rsidR="00917D3E" w:rsidRDefault="00436929">
            <w:pPr>
              <w:jc w:val="center"/>
            </w:pPr>
            <w:r>
              <w:rPr>
                <w:rFonts w:ascii="宋体" w:hAnsi="宋体"/>
                <w:color w:val="000000"/>
                <w:kern w:val="0"/>
                <w:szCs w:val="21"/>
              </w:rPr>
              <w:t>-</w:t>
            </w:r>
          </w:p>
        </w:tc>
        <w:tc>
          <w:tcPr>
            <w:tcW w:w="1134" w:type="dxa"/>
            <w:vAlign w:val="center"/>
          </w:tcPr>
          <w:p w:rsidR="00917D3E" w:rsidRDefault="00436929">
            <w:pPr>
              <w:jc w:val="center"/>
            </w:pPr>
            <w:r>
              <w:rPr>
                <w:rFonts w:ascii="宋体" w:hAnsi="宋体"/>
                <w:color w:val="000000"/>
                <w:kern w:val="0"/>
                <w:szCs w:val="21"/>
              </w:rPr>
              <w:t>43,128,234.62</w:t>
            </w:r>
          </w:p>
        </w:tc>
        <w:tc>
          <w:tcPr>
            <w:tcW w:w="1419" w:type="dxa"/>
            <w:vAlign w:val="center"/>
          </w:tcPr>
          <w:p w:rsidR="00917D3E" w:rsidRDefault="00436929">
            <w:pPr>
              <w:jc w:val="center"/>
            </w:pPr>
            <w:r>
              <w:rPr>
                <w:rFonts w:ascii="宋体" w:hAnsi="宋体"/>
                <w:color w:val="000000"/>
                <w:kern w:val="0"/>
                <w:szCs w:val="21"/>
              </w:rPr>
              <w:t>0.00</w:t>
            </w:r>
          </w:p>
        </w:tc>
        <w:tc>
          <w:tcPr>
            <w:tcW w:w="1130" w:type="dxa"/>
            <w:vAlign w:val="center"/>
          </w:tcPr>
          <w:p w:rsidR="00917D3E" w:rsidRDefault="00436929">
            <w:pPr>
              <w:jc w:val="center"/>
            </w:pPr>
            <w:r>
              <w:rPr>
                <w:rFonts w:ascii="宋体" w:hAnsi="宋体"/>
                <w:color w:val="000000"/>
                <w:kern w:val="0"/>
                <w:szCs w:val="21"/>
              </w:rPr>
              <w:t>0.00%</w:t>
            </w:r>
          </w:p>
        </w:tc>
      </w:tr>
      <w:tr w:rsidR="00917D3E">
        <w:tc>
          <w:tcPr>
            <w:tcW w:w="993" w:type="dxa"/>
            <w:vMerge/>
          </w:tcPr>
          <w:p w:rsidR="00917D3E" w:rsidRDefault="00917D3E"/>
        </w:tc>
        <w:tc>
          <w:tcPr>
            <w:tcW w:w="992" w:type="dxa"/>
            <w:vAlign w:val="center"/>
          </w:tcPr>
          <w:p w:rsidR="00917D3E" w:rsidRDefault="00436929">
            <w:pPr>
              <w:jc w:val="center"/>
            </w:pPr>
            <w:r>
              <w:rPr>
                <w:rFonts w:ascii="宋体" w:hAnsi="宋体"/>
                <w:color w:val="000000"/>
                <w:kern w:val="0"/>
                <w:szCs w:val="21"/>
              </w:rPr>
              <w:t>3</w:t>
            </w:r>
          </w:p>
        </w:tc>
        <w:tc>
          <w:tcPr>
            <w:tcW w:w="1843" w:type="dxa"/>
            <w:vAlign w:val="center"/>
          </w:tcPr>
          <w:p w:rsidR="00917D3E" w:rsidRDefault="00436929">
            <w:pPr>
              <w:jc w:val="center"/>
            </w:pPr>
            <w:r>
              <w:rPr>
                <w:rFonts w:ascii="宋体" w:hAnsi="宋体"/>
                <w:color w:val="000000"/>
                <w:kern w:val="0"/>
                <w:szCs w:val="21"/>
              </w:rPr>
              <w:t>20190101-20190331</w:t>
            </w:r>
          </w:p>
        </w:tc>
        <w:tc>
          <w:tcPr>
            <w:tcW w:w="851" w:type="dxa"/>
            <w:vAlign w:val="center"/>
          </w:tcPr>
          <w:p w:rsidR="00917D3E" w:rsidRDefault="00436929">
            <w:pPr>
              <w:jc w:val="center"/>
            </w:pPr>
            <w:r>
              <w:rPr>
                <w:rFonts w:ascii="宋体" w:hAnsi="宋体"/>
                <w:color w:val="000000"/>
                <w:kern w:val="0"/>
                <w:szCs w:val="21"/>
              </w:rPr>
              <w:t>80,411,628.02</w:t>
            </w:r>
          </w:p>
        </w:tc>
        <w:tc>
          <w:tcPr>
            <w:tcW w:w="850" w:type="dxa"/>
            <w:vAlign w:val="center"/>
          </w:tcPr>
          <w:p w:rsidR="00917D3E" w:rsidRDefault="00436929">
            <w:pPr>
              <w:jc w:val="center"/>
            </w:pPr>
            <w:r>
              <w:rPr>
                <w:rFonts w:ascii="宋体" w:hAnsi="宋体"/>
                <w:color w:val="000000"/>
                <w:kern w:val="0"/>
                <w:szCs w:val="21"/>
              </w:rPr>
              <w:t>11,474,182.44</w:t>
            </w:r>
          </w:p>
        </w:tc>
        <w:tc>
          <w:tcPr>
            <w:tcW w:w="1134" w:type="dxa"/>
            <w:vAlign w:val="center"/>
          </w:tcPr>
          <w:p w:rsidR="00917D3E" w:rsidRDefault="00436929">
            <w:pPr>
              <w:jc w:val="center"/>
            </w:pPr>
            <w:r>
              <w:rPr>
                <w:rFonts w:ascii="宋体" w:hAnsi="宋体"/>
                <w:color w:val="000000"/>
                <w:kern w:val="0"/>
                <w:szCs w:val="21"/>
              </w:rPr>
              <w:t>40,205,914.52</w:t>
            </w:r>
          </w:p>
        </w:tc>
        <w:tc>
          <w:tcPr>
            <w:tcW w:w="1419" w:type="dxa"/>
            <w:vAlign w:val="center"/>
          </w:tcPr>
          <w:p w:rsidR="00917D3E" w:rsidRDefault="00436929">
            <w:pPr>
              <w:jc w:val="center"/>
            </w:pPr>
            <w:r>
              <w:rPr>
                <w:rFonts w:ascii="宋体" w:hAnsi="宋体"/>
                <w:color w:val="000000"/>
                <w:kern w:val="0"/>
                <w:szCs w:val="21"/>
              </w:rPr>
              <w:t>51,679,895.94</w:t>
            </w:r>
          </w:p>
        </w:tc>
        <w:tc>
          <w:tcPr>
            <w:tcW w:w="1130" w:type="dxa"/>
            <w:vAlign w:val="center"/>
          </w:tcPr>
          <w:p w:rsidR="00917D3E" w:rsidRDefault="00436929">
            <w:pPr>
              <w:jc w:val="center"/>
            </w:pPr>
            <w:r>
              <w:rPr>
                <w:rFonts w:ascii="宋体" w:hAnsi="宋体"/>
                <w:color w:val="000000"/>
                <w:kern w:val="0"/>
                <w:szCs w:val="21"/>
              </w:rPr>
              <w:t>36.65%</w:t>
            </w:r>
          </w:p>
        </w:tc>
      </w:tr>
      <w:tr w:rsidR="00917D3E">
        <w:tc>
          <w:tcPr>
            <w:tcW w:w="993" w:type="dxa"/>
            <w:vMerge/>
          </w:tcPr>
          <w:p w:rsidR="00917D3E" w:rsidRDefault="00917D3E"/>
        </w:tc>
        <w:tc>
          <w:tcPr>
            <w:tcW w:w="992" w:type="dxa"/>
            <w:vAlign w:val="center"/>
          </w:tcPr>
          <w:p w:rsidR="00917D3E" w:rsidRDefault="00436929">
            <w:pPr>
              <w:jc w:val="center"/>
            </w:pPr>
            <w:r>
              <w:rPr>
                <w:rFonts w:ascii="宋体" w:hAnsi="宋体"/>
                <w:color w:val="000000"/>
                <w:kern w:val="0"/>
                <w:szCs w:val="21"/>
              </w:rPr>
              <w:t>4</w:t>
            </w:r>
          </w:p>
        </w:tc>
        <w:tc>
          <w:tcPr>
            <w:tcW w:w="1843" w:type="dxa"/>
            <w:vAlign w:val="center"/>
          </w:tcPr>
          <w:p w:rsidR="00917D3E" w:rsidRDefault="00436929">
            <w:pPr>
              <w:jc w:val="center"/>
            </w:pPr>
            <w:r>
              <w:rPr>
                <w:rFonts w:ascii="宋体" w:hAnsi="宋体"/>
                <w:color w:val="000000"/>
                <w:kern w:val="0"/>
                <w:szCs w:val="21"/>
              </w:rPr>
              <w:t>20190227-20190331</w:t>
            </w:r>
          </w:p>
        </w:tc>
        <w:tc>
          <w:tcPr>
            <w:tcW w:w="851" w:type="dxa"/>
            <w:vAlign w:val="center"/>
          </w:tcPr>
          <w:p w:rsidR="00917D3E" w:rsidRDefault="00436929">
            <w:pPr>
              <w:jc w:val="center"/>
            </w:pPr>
            <w:r>
              <w:rPr>
                <w:rFonts w:ascii="宋体" w:hAnsi="宋体"/>
                <w:color w:val="000000"/>
                <w:kern w:val="0"/>
                <w:szCs w:val="21"/>
              </w:rPr>
              <w:t>14,367,528.74</w:t>
            </w:r>
          </w:p>
        </w:tc>
        <w:tc>
          <w:tcPr>
            <w:tcW w:w="850" w:type="dxa"/>
            <w:vAlign w:val="center"/>
          </w:tcPr>
          <w:p w:rsidR="00917D3E" w:rsidRDefault="00436929">
            <w:pPr>
              <w:jc w:val="center"/>
            </w:pPr>
            <w:r>
              <w:rPr>
                <w:rFonts w:ascii="宋体" w:hAnsi="宋体"/>
                <w:color w:val="000000"/>
                <w:kern w:val="0"/>
                <w:szCs w:val="21"/>
              </w:rPr>
              <w:t>14,342,799.77</w:t>
            </w:r>
          </w:p>
        </w:tc>
        <w:tc>
          <w:tcPr>
            <w:tcW w:w="1134" w:type="dxa"/>
            <w:vAlign w:val="center"/>
          </w:tcPr>
          <w:p w:rsidR="00917D3E" w:rsidRDefault="00436929">
            <w:pPr>
              <w:jc w:val="center"/>
            </w:pPr>
            <w:r>
              <w:rPr>
                <w:rFonts w:ascii="宋体" w:hAnsi="宋体"/>
                <w:color w:val="000000"/>
                <w:kern w:val="0"/>
                <w:szCs w:val="21"/>
              </w:rPr>
              <w:t>-</w:t>
            </w:r>
          </w:p>
        </w:tc>
        <w:tc>
          <w:tcPr>
            <w:tcW w:w="1419" w:type="dxa"/>
            <w:vAlign w:val="center"/>
          </w:tcPr>
          <w:p w:rsidR="00917D3E" w:rsidRDefault="00436929">
            <w:pPr>
              <w:jc w:val="center"/>
            </w:pPr>
            <w:r>
              <w:rPr>
                <w:rFonts w:ascii="宋体" w:hAnsi="宋体"/>
                <w:color w:val="000000"/>
                <w:kern w:val="0"/>
                <w:szCs w:val="21"/>
              </w:rPr>
              <w:t>28,710,328.51</w:t>
            </w:r>
          </w:p>
        </w:tc>
        <w:tc>
          <w:tcPr>
            <w:tcW w:w="1130" w:type="dxa"/>
            <w:vAlign w:val="center"/>
          </w:tcPr>
          <w:p w:rsidR="00917D3E" w:rsidRDefault="00436929">
            <w:pPr>
              <w:jc w:val="center"/>
            </w:pPr>
            <w:r>
              <w:rPr>
                <w:rFonts w:ascii="宋体" w:hAnsi="宋体"/>
                <w:color w:val="000000"/>
                <w:kern w:val="0"/>
                <w:szCs w:val="21"/>
              </w:rPr>
              <w:t>20.36%</w:t>
            </w:r>
          </w:p>
        </w:tc>
      </w:tr>
      <w:tr w:rsidR="00BB681A" w:rsidRPr="004F4D27" w:rsidTr="00767E22">
        <w:tc>
          <w:tcPr>
            <w:tcW w:w="9212" w:type="dxa"/>
            <w:gridSpan w:val="8"/>
            <w:vAlign w:val="center"/>
          </w:tcPr>
          <w:p w:rsidR="00BB681A" w:rsidRPr="004F4D27" w:rsidRDefault="00BB681A" w:rsidP="00767E22">
            <w:pPr>
              <w:autoSpaceDE w:val="0"/>
              <w:autoSpaceDN w:val="0"/>
              <w:adjustRightInd w:val="0"/>
              <w:jc w:val="center"/>
              <w:rPr>
                <w:rFonts w:ascii="宋体" w:hAnsi="宋体"/>
                <w:kern w:val="0"/>
                <w:szCs w:val="21"/>
              </w:rPr>
            </w:pPr>
            <w:r w:rsidRPr="004F4D27">
              <w:rPr>
                <w:rFonts w:ascii="宋体" w:hAnsi="宋体"/>
                <w:color w:val="000000"/>
                <w:kern w:val="0"/>
                <w:szCs w:val="21"/>
              </w:rPr>
              <w:t>产品特有风险</w:t>
            </w:r>
          </w:p>
        </w:tc>
      </w:tr>
      <w:tr w:rsidR="00BB681A" w:rsidRPr="004F4D27" w:rsidTr="00767E22">
        <w:tc>
          <w:tcPr>
            <w:tcW w:w="9212" w:type="dxa"/>
            <w:gridSpan w:val="8"/>
            <w:vAlign w:val="center"/>
          </w:tcPr>
          <w:p w:rsidR="00917D3E" w:rsidRDefault="00436929">
            <w:pPr>
              <w:autoSpaceDE w:val="0"/>
              <w:autoSpaceDN w:val="0"/>
              <w:adjustRightInd w:val="0"/>
              <w:jc w:val="left"/>
              <w:rPr>
                <w:rFonts w:ascii="宋体" w:hAnsi="宋体"/>
                <w:kern w:val="0"/>
                <w:szCs w:val="21"/>
              </w:rPr>
            </w:pPr>
            <w:r>
              <w:rPr>
                <w:rFonts w:ascii="宋体" w:hAnsi="宋体" w:hint="eastAsia"/>
                <w:kern w:val="0"/>
                <w:szCs w:val="21"/>
              </w:rPr>
              <w:t>本基金本报告期存在单一投资者持有基金份额比例超过</w:t>
            </w:r>
            <w:r>
              <w:rPr>
                <w:rFonts w:ascii="宋体" w:hAnsi="宋体" w:hint="eastAsia"/>
                <w:kern w:val="0"/>
                <w:szCs w:val="21"/>
              </w:rPr>
              <w:t>20%</w:t>
            </w:r>
            <w:r>
              <w:rPr>
                <w:rFonts w:ascii="宋体" w:hAnsi="宋体" w:hint="eastAsia"/>
                <w:kern w:val="0"/>
                <w:szCs w:val="21"/>
              </w:rPr>
              <w:t>的情形，可能面临单一投资者集中赎回的情况，从而：</w:t>
            </w:r>
          </w:p>
          <w:p w:rsidR="00917D3E" w:rsidRDefault="0043692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）对基金的流动性造成冲击，存在对剩余投资者的赎回办理造成影响的风险。</w:t>
            </w:r>
          </w:p>
          <w:p w:rsidR="00917D3E" w:rsidRDefault="0043692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）基金管理人因基金赎回的流动性要求致使部分投资受到限制，或因赎回费归入基金资产等原因，而导致基金资产净值波动的风险，影响基金的投资运作和收益水平。</w:t>
            </w:r>
          </w:p>
          <w:p w:rsidR="00917D3E" w:rsidRDefault="0043692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）因基金资产规模过小，而导致部分投资不能实现基金合同约定的投资目的及投资策略，或导致基金不能满足存续条件的风险。</w:t>
            </w:r>
          </w:p>
          <w:p w:rsidR="00BB681A" w:rsidRPr="004F4D27" w:rsidRDefault="00BB681A" w:rsidP="00767E22">
            <w:pPr>
              <w:autoSpaceDE w:val="0"/>
              <w:autoSpaceDN w:val="0"/>
              <w:adjustRightInd w:val="0"/>
              <w:jc w:val="left"/>
              <w:rPr>
                <w:rFonts w:ascii="宋体" w:hAnsi="宋体"/>
                <w:kern w:val="0"/>
                <w:szCs w:val="21"/>
              </w:rPr>
            </w:pPr>
            <w:r w:rsidRPr="004F4D27">
              <w:rPr>
                <w:rFonts w:ascii="宋体" w:hAnsi="宋体" w:hint="eastAsia"/>
                <w:kern w:val="0"/>
                <w:szCs w:val="21"/>
              </w:rPr>
              <w:t>本管理人将审慎评估大额申购对基金持有集中度的影响，在运作中保持合适的流动性水平，保护持有人利益。</w:t>
            </w:r>
          </w:p>
        </w:tc>
      </w:tr>
    </w:tbl>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hint="eastAsia"/>
          <w:b/>
          <w:bCs/>
          <w:color w:val="000000"/>
          <w:kern w:val="0"/>
          <w:szCs w:val="21"/>
        </w:rPr>
        <w:t>8.2 影响投资者决策的其他重要信息</w:t>
      </w:r>
    </w:p>
    <w:p w:rsidR="00BB681A" w:rsidRPr="004F4D27" w:rsidRDefault="00BB681A" w:rsidP="00BB681A">
      <w:pPr>
        <w:spacing w:line="360" w:lineRule="auto"/>
        <w:ind w:firstLineChars="200" w:firstLine="420"/>
        <w:rPr>
          <w:rFonts w:ascii="宋体" w:hAnsi="宋体"/>
          <w:color w:val="000000"/>
          <w:szCs w:val="21"/>
        </w:rPr>
      </w:pPr>
      <w:r w:rsidRPr="004F4D27">
        <w:rPr>
          <w:rFonts w:ascii="宋体" w:hAnsi="宋体"/>
          <w:color w:val="000000"/>
          <w:szCs w:val="21"/>
        </w:rPr>
        <w:t>无。</w:t>
      </w:r>
    </w:p>
    <w:p w:rsidR="009238DB" w:rsidRPr="004264FD" w:rsidRDefault="009238DB" w:rsidP="00436929">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A14399" w:rsidRPr="004264FD">
        <w:rPr>
          <w:rFonts w:eastAsiaTheme="minorEastAsia"/>
          <w:color w:val="000000" w:themeColor="text1"/>
          <w:kern w:val="0"/>
          <w:sz w:val="21"/>
          <w:szCs w:val="21"/>
        </w:rPr>
        <w:t>9</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、中国证监会批准光大保德信永鑫灵活配置混合型证券投资基金设立的文件</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、光大保德信永鑫灵活配置混合型证券投资基金基金合同</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、光大保德信永鑫灵活配置混合型证券投资基金招募说明书</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、光大保德信永鑫灵活配置混合型证券投资基金托管协议</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、光大保德信永鑫灵活配置混合型证券投资基金法律意见书</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、基金管理人业务资格批件、营业执照、公司章程</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、基金托管人业务资格批件和营业执照</w:t>
      </w:r>
      <w:r>
        <w:rPr>
          <w:rFonts w:eastAsiaTheme="minorEastAsia"/>
          <w:color w:val="000000" w:themeColor="text1"/>
          <w:szCs w:val="21"/>
        </w:rPr>
        <w:t xml:space="preserve"> </w:t>
      </w:r>
    </w:p>
    <w:p w:rsidR="00917D3E" w:rsidRDefault="00436929">
      <w:pPr>
        <w:spacing w:line="360" w:lineRule="auto"/>
        <w:ind w:firstLineChars="200" w:firstLine="420"/>
        <w:rPr>
          <w:rFonts w:eastAsiaTheme="minorEastAsia"/>
          <w:color w:val="000000" w:themeColor="text1"/>
          <w:szCs w:val="21"/>
        </w:rPr>
      </w:pPr>
      <w:r>
        <w:rPr>
          <w:rFonts w:eastAsiaTheme="minorEastAsia"/>
          <w:color w:val="000000" w:themeColor="text1"/>
          <w:szCs w:val="21"/>
        </w:rPr>
        <w:t>8</w:t>
      </w:r>
      <w:r>
        <w:rPr>
          <w:rFonts w:eastAsiaTheme="minorEastAsia"/>
          <w:color w:val="000000" w:themeColor="text1"/>
          <w:szCs w:val="21"/>
        </w:rPr>
        <w:t>、报告期内光大保德信永鑫灵活配置混合型证券投资基金在指定报刊上披露的各项公告</w:t>
      </w:r>
      <w:r>
        <w:rPr>
          <w:rFonts w:eastAsiaTheme="minorEastAsia"/>
          <w:color w:val="000000" w:themeColor="text1"/>
          <w:szCs w:val="21"/>
        </w:rPr>
        <w:t xml:space="preserve"> </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9</w:t>
      </w:r>
      <w:r w:rsidRPr="004264FD">
        <w:rPr>
          <w:rFonts w:eastAsiaTheme="minorEastAsia"/>
          <w:color w:val="000000" w:themeColor="text1"/>
          <w:szCs w:val="21"/>
        </w:rPr>
        <w:t>、中国证监会要求的其他文件</w:t>
      </w:r>
    </w:p>
    <w:p w:rsidR="00FB3C94" w:rsidRPr="004264FD" w:rsidRDefault="00D13A01" w:rsidP="00436929">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上海市黄浦区中山东二路</w:t>
      </w:r>
      <w:r w:rsidRPr="004264FD">
        <w:rPr>
          <w:rFonts w:eastAsiaTheme="minorEastAsia"/>
          <w:color w:val="000000" w:themeColor="text1"/>
          <w:szCs w:val="21"/>
        </w:rPr>
        <w:t>558</w:t>
      </w:r>
      <w:r w:rsidRPr="004264FD">
        <w:rPr>
          <w:rFonts w:eastAsiaTheme="minorEastAsia"/>
          <w:color w:val="000000" w:themeColor="text1"/>
          <w:szCs w:val="21"/>
        </w:rPr>
        <w:t>号外滩金融中心</w:t>
      </w:r>
      <w:r w:rsidRPr="004264FD">
        <w:rPr>
          <w:rFonts w:eastAsiaTheme="minorEastAsia"/>
          <w:color w:val="000000" w:themeColor="text1"/>
          <w:szCs w:val="21"/>
        </w:rPr>
        <w:t>1</w:t>
      </w:r>
      <w:r w:rsidRPr="004264FD">
        <w:rPr>
          <w:rFonts w:eastAsiaTheme="minorEastAsia"/>
          <w:color w:val="000000" w:themeColor="text1"/>
          <w:szCs w:val="21"/>
        </w:rPr>
        <w:t>幢（北区</w:t>
      </w:r>
      <w:r w:rsidRPr="004264FD">
        <w:rPr>
          <w:rFonts w:eastAsiaTheme="minorEastAsia"/>
          <w:color w:val="000000" w:themeColor="text1"/>
          <w:szCs w:val="21"/>
        </w:rPr>
        <w:t>3</w:t>
      </w:r>
      <w:r w:rsidRPr="004264FD">
        <w:rPr>
          <w:rFonts w:eastAsiaTheme="minorEastAsia"/>
          <w:color w:val="000000" w:themeColor="text1"/>
          <w:szCs w:val="21"/>
        </w:rPr>
        <w:t>号楼），</w:t>
      </w:r>
      <w:r w:rsidRPr="004264FD">
        <w:rPr>
          <w:rFonts w:eastAsiaTheme="minorEastAsia"/>
          <w:color w:val="000000" w:themeColor="text1"/>
          <w:szCs w:val="21"/>
        </w:rPr>
        <w:t>6-7</w:t>
      </w:r>
      <w:r w:rsidRPr="004264FD">
        <w:rPr>
          <w:rFonts w:eastAsiaTheme="minorEastAsia"/>
          <w:color w:val="000000" w:themeColor="text1"/>
          <w:szCs w:val="21"/>
        </w:rPr>
        <w:t>层、</w:t>
      </w:r>
      <w:r w:rsidRPr="004264FD">
        <w:rPr>
          <w:rFonts w:eastAsiaTheme="minorEastAsia"/>
          <w:color w:val="000000" w:themeColor="text1"/>
          <w:szCs w:val="21"/>
        </w:rPr>
        <w:t>10</w:t>
      </w:r>
      <w:r w:rsidRPr="004264FD">
        <w:rPr>
          <w:rFonts w:eastAsiaTheme="minorEastAsia"/>
          <w:color w:val="000000" w:themeColor="text1"/>
          <w:szCs w:val="21"/>
        </w:rPr>
        <w:t>层。</w:t>
      </w:r>
    </w:p>
    <w:p w:rsidR="00FB3C94" w:rsidRPr="004264FD" w:rsidRDefault="00D13A01" w:rsidP="00436929">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投资者可于本基金管理人办公时间预约查阅。</w:t>
      </w:r>
      <w:r w:rsidRPr="004264FD">
        <w:rPr>
          <w:rFonts w:eastAsiaTheme="minorEastAsia"/>
          <w:color w:val="000000" w:themeColor="text1"/>
          <w:szCs w:val="21"/>
        </w:rPr>
        <w:t xml:space="preserve"> </w:t>
      </w:r>
      <w:r w:rsidRPr="004264FD">
        <w:rPr>
          <w:rFonts w:eastAsiaTheme="minorEastAsia"/>
          <w:color w:val="000000" w:themeColor="text1"/>
          <w:szCs w:val="21"/>
        </w:rPr>
        <w:t>投资者对本报告书如有疑问，可咨询本基金管理人。</w:t>
      </w:r>
      <w:r w:rsidRPr="004264FD">
        <w:rPr>
          <w:rFonts w:eastAsiaTheme="minorEastAsia"/>
          <w:color w:val="000000" w:themeColor="text1"/>
          <w:szCs w:val="21"/>
        </w:rPr>
        <w:t xml:space="preserve"> </w:t>
      </w:r>
      <w:r w:rsidRPr="004264FD">
        <w:rPr>
          <w:rFonts w:eastAsiaTheme="minorEastAsia"/>
          <w:color w:val="000000" w:themeColor="text1"/>
          <w:szCs w:val="21"/>
        </w:rPr>
        <w:t>客户服务中心电话：</w:t>
      </w:r>
      <w:r w:rsidRPr="004264FD">
        <w:rPr>
          <w:rFonts w:eastAsiaTheme="minorEastAsia"/>
          <w:color w:val="000000" w:themeColor="text1"/>
          <w:szCs w:val="21"/>
        </w:rPr>
        <w:t>4008-202-888</w:t>
      </w:r>
      <w:r w:rsidRPr="004264FD">
        <w:rPr>
          <w:rFonts w:eastAsiaTheme="minorEastAsia"/>
          <w:color w:val="000000" w:themeColor="text1"/>
          <w:szCs w:val="21"/>
        </w:rPr>
        <w:t>，</w:t>
      </w:r>
      <w:r w:rsidRPr="004264FD">
        <w:rPr>
          <w:rFonts w:eastAsiaTheme="minorEastAsia"/>
          <w:color w:val="000000" w:themeColor="text1"/>
          <w:szCs w:val="21"/>
        </w:rPr>
        <w:t>021-80262888</w:t>
      </w:r>
      <w:r w:rsidRPr="004264FD">
        <w:rPr>
          <w:rFonts w:eastAsiaTheme="minorEastAsia"/>
          <w:color w:val="000000" w:themeColor="text1"/>
          <w:szCs w:val="21"/>
        </w:rPr>
        <w:t>。</w:t>
      </w:r>
      <w:r w:rsidRPr="004264FD">
        <w:rPr>
          <w:rFonts w:eastAsiaTheme="minorEastAsia"/>
          <w:color w:val="000000" w:themeColor="text1"/>
          <w:szCs w:val="21"/>
        </w:rPr>
        <w:t xml:space="preserve"> </w:t>
      </w:r>
      <w:r w:rsidRPr="004264FD">
        <w:rPr>
          <w:rFonts w:eastAsiaTheme="minorEastAsia"/>
          <w:color w:val="000000" w:themeColor="text1"/>
          <w:szCs w:val="21"/>
        </w:rPr>
        <w:t>公司网址：</w:t>
      </w:r>
      <w:r w:rsidRPr="004264FD">
        <w:rPr>
          <w:rFonts w:eastAsiaTheme="minorEastAsia"/>
          <w:color w:val="000000" w:themeColor="text1"/>
          <w:szCs w:val="21"/>
        </w:rPr>
        <w:t>www.epf.com.cn</w:t>
      </w:r>
      <w:r w:rsidRPr="004264FD">
        <w:rPr>
          <w:rFonts w:eastAsiaTheme="minorEastAsia"/>
          <w:color w:val="000000" w:themeColor="text1"/>
          <w:szCs w:val="21"/>
        </w:rPr>
        <w:t>。</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光大保德信基金管理有限公司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二〇一九年四月二十二日</w:t>
      </w:r>
    </w:p>
    <w:sectPr w:rsidR="009238DB" w:rsidRPr="004264FD"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8A" w:rsidRDefault="005F568A">
      <w:r>
        <w:separator/>
      </w:r>
    </w:p>
  </w:endnote>
  <w:endnote w:type="continuationSeparator" w:id="1">
    <w:p w:rsidR="005F568A" w:rsidRDefault="005F5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1D0DB0" w:rsidRDefault="00B22511" w:rsidP="00F7094A">
    <w:pPr>
      <w:pStyle w:val="a6"/>
      <w:jc w:val="center"/>
    </w:pPr>
    <w:r>
      <w:rPr>
        <w:rFonts w:hint="eastAsia"/>
        <w:kern w:val="0"/>
        <w:szCs w:val="21"/>
      </w:rPr>
      <w:t>第</w:t>
    </w:r>
    <w:r w:rsidR="00917D3E">
      <w:rPr>
        <w:kern w:val="0"/>
        <w:szCs w:val="21"/>
      </w:rPr>
      <w:fldChar w:fldCharType="begin"/>
    </w:r>
    <w:r>
      <w:rPr>
        <w:kern w:val="0"/>
        <w:szCs w:val="21"/>
      </w:rPr>
      <w:instrText xml:space="preserve"> PAGE </w:instrText>
    </w:r>
    <w:r w:rsidR="00917D3E">
      <w:rPr>
        <w:kern w:val="0"/>
        <w:szCs w:val="21"/>
      </w:rPr>
      <w:fldChar w:fldCharType="separate"/>
    </w:r>
    <w:r w:rsidR="00436929">
      <w:rPr>
        <w:noProof/>
        <w:kern w:val="0"/>
        <w:szCs w:val="21"/>
      </w:rPr>
      <w:t>1</w:t>
    </w:r>
    <w:r w:rsidR="00917D3E">
      <w:rPr>
        <w:kern w:val="0"/>
        <w:szCs w:val="21"/>
      </w:rPr>
      <w:fldChar w:fldCharType="end"/>
    </w:r>
    <w:r>
      <w:rPr>
        <w:rFonts w:hint="eastAsia"/>
        <w:kern w:val="0"/>
        <w:szCs w:val="21"/>
      </w:rPr>
      <w:t>页共</w:t>
    </w:r>
    <w:r w:rsidR="00917D3E">
      <w:rPr>
        <w:kern w:val="0"/>
        <w:szCs w:val="21"/>
      </w:rPr>
      <w:fldChar w:fldCharType="begin"/>
    </w:r>
    <w:r>
      <w:rPr>
        <w:kern w:val="0"/>
        <w:szCs w:val="21"/>
      </w:rPr>
      <w:instrText xml:space="preserve"> NUMPAGES </w:instrText>
    </w:r>
    <w:r w:rsidR="00917D3E">
      <w:rPr>
        <w:kern w:val="0"/>
        <w:szCs w:val="21"/>
      </w:rPr>
      <w:fldChar w:fldCharType="separate"/>
    </w:r>
    <w:r w:rsidR="00436929">
      <w:rPr>
        <w:noProof/>
        <w:kern w:val="0"/>
        <w:szCs w:val="21"/>
      </w:rPr>
      <w:t>3</w:t>
    </w:r>
    <w:r w:rsidR="00917D3E">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917D3E">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917D3E">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436929">
      <w:rPr>
        <w:rStyle w:val="a7"/>
        <w:noProof/>
      </w:rPr>
      <w:t>2</w:t>
    </w:r>
    <w:r>
      <w:rPr>
        <w:rStyle w:val="a7"/>
      </w:rPr>
      <w:fldChar w:fldCharType="end"/>
    </w:r>
  </w:p>
  <w:p w:rsidR="00B22511" w:rsidRDefault="00B2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8A" w:rsidRDefault="005F568A">
      <w:r>
        <w:separator/>
      </w:r>
    </w:p>
  </w:footnote>
  <w:footnote w:type="continuationSeparator" w:id="1">
    <w:p w:rsidR="005F568A" w:rsidRDefault="005F5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63693D" w:rsidRDefault="00B22511" w:rsidP="001207F2">
    <w:pPr>
      <w:pStyle w:val="a9"/>
      <w:pBdr>
        <w:bottom w:val="single" w:sz="6" w:space="0" w:color="auto"/>
      </w:pBdr>
      <w:jc w:val="right"/>
    </w:pPr>
    <w:r w:rsidRPr="0063693D">
      <w:t>光大保德信永鑫灵活配置混合型证券投资基金</w:t>
    </w:r>
    <w:r w:rsidRPr="0063693D">
      <w:t>2019</w:t>
    </w:r>
    <w:r w:rsidRPr="0063693D">
      <w:t>年第</w:t>
    </w:r>
    <w:r w:rsidRPr="0063693D">
      <w:t>1</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6929"/>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8A"/>
    <w:rsid w:val="005F56BA"/>
    <w:rsid w:val="0060008E"/>
    <w:rsid w:val="006016F2"/>
    <w:rsid w:val="00602321"/>
    <w:rsid w:val="006033E3"/>
    <w:rsid w:val="00606B29"/>
    <w:rsid w:val="0060758A"/>
    <w:rsid w:val="00607D0E"/>
    <w:rsid w:val="006101F5"/>
    <w:rsid w:val="00610CEF"/>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17D3E"/>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37FA"/>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681A"/>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3A99"/>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E7F91"/>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1432</Words>
  <Characters>8168</Characters>
  <Application>Microsoft Office Word</Application>
  <DocSecurity>4</DocSecurity>
  <Lines>68</Lines>
  <Paragraphs>19</Paragraphs>
  <ScaleCrop>false</ScaleCrop>
  <Company>TRT. Ltd. Co.</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2019-04-21T16:03:00Z</dcterms:created>
  <dcterms:modified xsi:type="dcterms:W3CDTF">2019-04-21T16:03:00Z</dcterms:modified>
</cp:coreProperties>
</file>