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autoSpaceDE w:val="0"/>
        <w:autoSpaceDN w:val="0"/>
        <w:adjustRightInd w:val="0"/>
        <w:spacing w:line="360" w:lineRule="auto"/>
        <w:jc w:val="left"/>
        <w:rPr>
          <w:color w:val="000000"/>
          <w:kern w:val="0"/>
          <w:sz w:val="24"/>
          <w:szCs w:val="24"/>
        </w:rPr>
      </w:pPr>
    </w:p>
    <w:p>
      <w:pPr>
        <w:spacing w:line="360" w:lineRule="auto"/>
        <w:jc w:val="center"/>
        <w:rPr>
          <w:b/>
          <w:sz w:val="36"/>
          <w:szCs w:val="36"/>
        </w:rPr>
      </w:pPr>
      <w:r>
        <w:rPr>
          <w:b/>
          <w:sz w:val="36"/>
          <w:szCs w:val="36"/>
        </w:rPr>
        <w:t>中银合利债券型证券投资基金</w:t>
      </w:r>
    </w:p>
    <w:p>
      <w:pPr>
        <w:spacing w:line="360" w:lineRule="auto"/>
        <w:jc w:val="center"/>
        <w:rPr>
          <w:b/>
          <w:sz w:val="36"/>
          <w:szCs w:val="36"/>
        </w:rPr>
      </w:pPr>
      <w:r>
        <w:rPr>
          <w:b/>
          <w:sz w:val="36"/>
          <w:szCs w:val="36"/>
        </w:rPr>
        <w:t>2019年第1季度报告</w:t>
      </w:r>
    </w:p>
    <w:p>
      <w:pPr>
        <w:spacing w:line="360" w:lineRule="auto"/>
        <w:jc w:val="center"/>
        <w:rPr>
          <w:b/>
          <w:sz w:val="36"/>
          <w:szCs w:val="36"/>
        </w:rPr>
      </w:pPr>
      <w:r>
        <w:rPr>
          <w:b/>
          <w:sz w:val="36"/>
          <w:szCs w:val="36"/>
        </w:rPr>
        <w:t>2019年3月31日</w:t>
      </w: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jc w:val="center"/>
        <w:rPr>
          <w:b/>
          <w:bCs/>
          <w:color w:val="000000"/>
          <w:sz w:val="24"/>
          <w:szCs w:val="24"/>
        </w:rPr>
      </w:pPr>
    </w:p>
    <w:p>
      <w:pPr>
        <w:spacing w:line="360" w:lineRule="auto"/>
        <w:rPr>
          <w:b/>
          <w:bCs/>
          <w:color w:val="000000"/>
          <w:sz w:val="24"/>
          <w:szCs w:val="24"/>
        </w:rPr>
      </w:pPr>
    </w:p>
    <w:p>
      <w:pPr>
        <w:spacing w:line="360" w:lineRule="auto"/>
        <w:ind w:firstLine="2168" w:firstLineChars="900"/>
        <w:rPr>
          <w:b/>
          <w:color w:val="000000"/>
          <w:sz w:val="24"/>
          <w:szCs w:val="24"/>
        </w:rPr>
      </w:pPr>
      <w:r>
        <w:rPr>
          <w:b/>
          <w:color w:val="000000"/>
          <w:sz w:val="24"/>
          <w:szCs w:val="24"/>
        </w:rPr>
        <w:t>基金管理人：中银基金管理有限公司</w:t>
      </w:r>
    </w:p>
    <w:p>
      <w:pPr>
        <w:spacing w:line="360" w:lineRule="auto"/>
        <w:ind w:firstLine="2168" w:firstLineChars="900"/>
        <w:rPr>
          <w:b/>
          <w:color w:val="000000"/>
          <w:sz w:val="24"/>
          <w:szCs w:val="24"/>
        </w:rPr>
      </w:pPr>
      <w:r>
        <w:rPr>
          <w:b/>
          <w:color w:val="000000"/>
          <w:sz w:val="24"/>
          <w:szCs w:val="24"/>
        </w:rPr>
        <w:t>基金托管人：招商银行股份有限公司</w:t>
      </w:r>
    </w:p>
    <w:p>
      <w:pPr>
        <w:spacing w:line="360" w:lineRule="auto"/>
        <w:ind w:firstLine="2168" w:firstLineChars="900"/>
        <w:rPr>
          <w:b/>
          <w:color w:val="000000"/>
          <w:sz w:val="24"/>
          <w:szCs w:val="24"/>
        </w:rPr>
        <w:sectPr>
          <w:headerReference r:id="rId3" w:type="default"/>
          <w:footerReference r:id="rId4" w:type="default"/>
          <w:pgSz w:h="15840" w:w="11926"/>
          <w:pgMar w:bottom="851" w:footer="992" w:gutter="0" w:header="851" w:left="1418" w:right="1418" w:top="1418"/>
          <w:cols w:num="1" w:space="720"/>
        </w:sectPr>
      </w:pPr>
      <w:r>
        <w:rPr>
          <w:b/>
          <w:color w:val="000000"/>
          <w:sz w:val="24"/>
          <w:szCs w:val="24"/>
        </w:rPr>
        <w:t>报告送出日期：二〇一九年四月十八日</w:t>
      </w:r>
    </w:p>
    <w:p>
      <w:pPr>
        <w:pStyle w:val="2"/>
        <w:spacing w:after="0" w:before="0" w:line="360" w:lineRule="auto"/>
        <w:jc w:val="center"/>
        <w:rPr>
          <w:b w:val="0"/>
          <w:bCs w:val="0"/>
          <w:color w:val="000000"/>
          <w:kern w:val="0"/>
          <w:sz w:val="24"/>
          <w:szCs w:val="24"/>
        </w:rPr>
      </w:pPr>
      <w:r>
        <w:rPr>
          <w:color w:val="000000"/>
          <w:kern w:val="0"/>
          <w:sz w:val="24"/>
          <w:szCs w:val="24"/>
        </w:rPr>
        <w:t>§1  重要提示</w:t>
      </w:r>
    </w:p>
    <w:p>
      <w:pPr>
        <w:spacing w:line="360" w:lineRule="auto"/>
        <w:ind w:firstLine="420" w:firstLineChars="200"/>
        <w:rPr>
          <w:color w:val="000000"/>
        </w:rPr>
      </w:pPr>
      <w:r>
        <w:rPr>
          <w:color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rPr>
      </w:pPr>
      <w:r>
        <w:rPr>
          <w:color w:val="000000"/>
        </w:rPr>
        <w:t xml:space="preserve">基金托管人招商银行股份有限公司根据本基金合同规定，于2019年4月17日复核了本报告中的财务指标、净值表现和投资组合报告等内容，保证复核内容不存在虚假记载、误导性陈述或者重大遗漏。 </w:t>
      </w:r>
    </w:p>
    <w:p>
      <w:pPr>
        <w:spacing w:line="360" w:lineRule="auto"/>
        <w:ind w:firstLine="420" w:firstLineChars="200"/>
        <w:rPr>
          <w:color w:val="000000"/>
        </w:rPr>
      </w:pPr>
      <w:r>
        <w:rPr>
          <w:color w:val="000000"/>
        </w:rPr>
        <w:t xml:space="preserve">基金管理人承诺以诚实信用、勤勉尽责的原则管理和运用基金资产，但不保证基金一定盈利。 </w:t>
      </w:r>
    </w:p>
    <w:p>
      <w:pPr>
        <w:spacing w:line="360" w:lineRule="auto"/>
        <w:ind w:firstLine="420" w:firstLineChars="200"/>
        <w:rPr>
          <w:color w:val="000000"/>
        </w:rPr>
      </w:pPr>
      <w:r>
        <w:rPr>
          <w:color w:val="000000"/>
        </w:rPr>
        <w:t xml:space="preserve">基金的过往业绩并不代表其未来表现。投资有风险，投资者在作出投资决策前应仔细阅读本基金的招募说明书。 </w:t>
      </w:r>
    </w:p>
    <w:p>
      <w:pPr>
        <w:spacing w:line="360" w:lineRule="auto"/>
        <w:ind w:firstLine="420" w:firstLineChars="200"/>
        <w:rPr>
          <w:color w:val="000000"/>
        </w:rPr>
      </w:pPr>
      <w:r>
        <w:rPr>
          <w:color w:val="000000"/>
        </w:rPr>
        <w:t>本报告中财务资料未经审计。</w:t>
      </w:r>
    </w:p>
    <w:p>
      <w:pPr>
        <w:spacing w:line="360" w:lineRule="auto"/>
        <w:ind w:firstLine="420" w:firstLineChars="200"/>
        <w:rPr>
          <w:color w:val="000000"/>
        </w:rPr>
      </w:pPr>
      <w:r>
        <w:rPr>
          <w:color w:val="000000"/>
        </w:rPr>
        <w:t>本报告期自2019年1月1日起至3月31日止。</w:t>
      </w:r>
    </w:p>
    <w:p>
      <w:pPr>
        <w:pStyle w:val="2"/>
        <w:spacing w:after="0" w:before="0" w:line="360" w:lineRule="auto"/>
        <w:jc w:val="center"/>
        <w:rPr>
          <w:color w:val="000000"/>
          <w:kern w:val="0"/>
          <w:sz w:val="24"/>
          <w:szCs w:val="24"/>
        </w:rPr>
      </w:pPr>
      <w:r>
        <w:rPr>
          <w:color w:val="000000"/>
          <w:kern w:val="0"/>
          <w:sz w:val="24"/>
          <w:szCs w:val="24"/>
        </w:rPr>
        <w:t>§2  基金产品概况</w:t>
      </w:r>
    </w:p>
    <w:tbl>
      <w:tblPr>
        <w:tblStyle w:val="29"/>
        <w:tblW w:type="dxa" w:w="8505"/>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93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rPr>
                <w:kern w:val="0"/>
              </w:rPr>
            </w:pPr>
            <w:r>
              <w:rPr>
                <w:kern w:val="0"/>
              </w:rPr>
              <w:t>基金简称</w:t>
            </w:r>
          </w:p>
        </w:tc>
        <w:tc>
          <w:tcPr>
            <w:tcW w:type="dxa" w:w="5670"/>
            <w:gridSpan w:val="2"/>
          </w:tcPr>
          <w:p>
            <w:pPr>
              <w:adjustRightInd w:val="0"/>
              <w:spacing w:before="29"/>
              <w:ind w:left="17"/>
              <w:jc w:val="left"/>
              <w:rPr>
                <w:color w:val="000000"/>
                <w:kern w:val="0"/>
              </w:rPr>
            </w:pPr>
            <w:r>
              <w:rPr>
                <w:color w:val="000000"/>
                <w:kern w:val="0"/>
              </w:rPr>
              <w:t>中银合利债券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tcPr>
          <w:p>
            <w:pPr>
              <w:adjustRightInd w:val="0"/>
              <w:spacing w:before="29"/>
              <w:ind w:left="17"/>
              <w:jc w:val="left"/>
              <w:rPr>
                <w:kern w:val="0"/>
              </w:rPr>
            </w:pPr>
            <w:r>
              <w:rPr>
                <w:kern w:val="0"/>
              </w:rPr>
              <w:t>基金主代码</w:t>
            </w:r>
          </w:p>
        </w:tc>
        <w:tc>
          <w:tcPr>
            <w:tcW w:type="dxa" w:w="5670"/>
            <w:gridSpan w:val="2"/>
            <w:tcBorders>
              <w:top w:color="auto" w:space="0" w:sz="4" w:val="single"/>
              <w:left w:color="auto" w:space="0" w:sz="4" w:val="single"/>
              <w:bottom w:color="auto" w:space="0" w:sz="4" w:val="single"/>
              <w:right w:color="auto" w:space="0" w:sz="4" w:val="single"/>
            </w:tcBorders>
          </w:tcPr>
          <w:p>
            <w:pPr>
              <w:adjustRightInd w:val="0"/>
              <w:spacing w:before="29"/>
              <w:ind w:left="17"/>
              <w:jc w:val="left"/>
              <w:rPr>
                <w:color w:val="000000"/>
                <w:kern w:val="0"/>
              </w:rPr>
            </w:pPr>
            <w:r>
              <w:rPr>
                <w:color w:val="000000"/>
                <w:kern w:val="0"/>
              </w:rPr>
              <w:t>002693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2835"/>
            <w:tcBorders>
              <w:top w:color="auto" w:space="0" w:sz="4" w:val="single"/>
              <w:left w:color="auto" w:space="0" w:sz="4" w:val="single"/>
              <w:bottom w:color="auto" w:space="0" w:sz="4" w:val="single"/>
              <w:right w:color="auto" w:space="0" w:sz="4" w:val="single"/>
            </w:tcBorders>
          </w:tcPr>
          <w:p>
            <w:pPr>
              <w:adjustRightInd w:val="0"/>
              <w:spacing w:before="29"/>
              <w:ind w:left="17"/>
              <w:jc w:val="left"/>
              <w:rPr>
                <w:kern w:val="0"/>
              </w:rPr>
            </w:pPr>
            <w:r>
              <w:rPr>
                <w:kern w:val="0"/>
              </w:rPr>
              <w:t>交易代码</w:t>
            </w:r>
          </w:p>
        </w:tc>
        <w:tc>
          <w:tcPr>
            <w:tcW w:type="dxa" w:w="5670"/>
            <w:gridSpan w:val="2"/>
            <w:tcBorders>
              <w:top w:color="auto" w:space="0" w:sz="4" w:val="single"/>
              <w:left w:color="auto" w:space="0" w:sz="4" w:val="single"/>
              <w:bottom w:color="auto" w:space="0" w:sz="4" w:val="single"/>
              <w:right w:color="auto" w:space="0" w:sz="4" w:val="single"/>
            </w:tcBorders>
          </w:tcPr>
          <w:p>
            <w:pPr>
              <w:adjustRightInd w:val="0"/>
              <w:spacing w:before="29"/>
              <w:ind w:left="17"/>
              <w:jc w:val="left"/>
              <w:rPr>
                <w:color w:val="000000"/>
                <w:kern w:val="0"/>
              </w:rPr>
            </w:pPr>
            <w:r>
              <w:rPr>
                <w:kern w:val="0"/>
              </w:rPr>
              <w:t>002693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基金运作方式</w:t>
            </w:r>
          </w:p>
        </w:tc>
        <w:tc>
          <w:tcPr>
            <w:tcW w:type="dxa" w:w="5670"/>
            <w:gridSpan w:val="2"/>
          </w:tcPr>
          <w:p>
            <w:pPr>
              <w:adjustRightInd w:val="0"/>
              <w:spacing w:before="29"/>
              <w:ind w:left="17"/>
              <w:jc w:val="left"/>
              <w:rPr>
                <w:color w:val="000000"/>
              </w:rPr>
            </w:pPr>
            <w:r>
              <w:rPr>
                <w:color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基金合同生效日</w:t>
            </w:r>
          </w:p>
        </w:tc>
        <w:tc>
          <w:tcPr>
            <w:tcW w:type="dxa" w:w="5670"/>
            <w:gridSpan w:val="2"/>
          </w:tcPr>
          <w:p>
            <w:pPr>
              <w:adjustRightInd w:val="0"/>
              <w:spacing w:before="29"/>
              <w:ind w:left="17"/>
              <w:jc w:val="left"/>
              <w:rPr>
                <w:color w:val="000000"/>
              </w:rPr>
            </w:pPr>
            <w:r>
              <w:rPr>
                <w:color w:val="000000"/>
                <w:kern w:val="0"/>
              </w:rPr>
              <w:t>2016年5月19日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2835"/>
          </w:tcPr>
          <w:p>
            <w:pPr>
              <w:adjustRightInd w:val="0"/>
              <w:spacing w:before="29"/>
              <w:ind w:left="17"/>
              <w:jc w:val="left"/>
            </w:pPr>
            <w:r>
              <w:rPr>
                <w:kern w:val="0"/>
              </w:rPr>
              <w:t>报告期末基金份额总额</w:t>
            </w:r>
          </w:p>
        </w:tc>
        <w:tc>
          <w:tcPr>
            <w:tcW w:type="dxa" w:w="5670"/>
            <w:gridSpan w:val="2"/>
          </w:tcPr>
          <w:p>
            <w:pPr>
              <w:adjustRightInd w:val="0"/>
              <w:spacing w:before="29"/>
              <w:ind w:left="17"/>
              <w:jc w:val="left"/>
              <w:rPr>
                <w:color w:val="000000"/>
              </w:rPr>
            </w:pPr>
            <w:r>
              <w:rPr>
                <w:color w:val="000000"/>
                <w:kern w:val="0"/>
              </w:rPr>
              <w:t>7,633,012.17份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投资目标</w:t>
            </w:r>
          </w:p>
        </w:tc>
        <w:tc>
          <w:tcPr>
            <w:tcW w:type="dxa" w:w="5670"/>
            <w:gridSpan w:val="2"/>
          </w:tcPr>
          <w:p>
            <w:pPr>
              <w:adjustRightInd w:val="0"/>
              <w:spacing w:before="29"/>
              <w:ind w:left="17"/>
              <w:jc w:val="left"/>
              <w:rPr>
                <w:color w:val="000000"/>
              </w:rPr>
            </w:pPr>
            <w:r>
              <w:rPr>
                <w:color w:val="000000"/>
                <w:kern w:val="0"/>
              </w:rPr>
              <w:t>本基金在追求基金资产长期稳健增值的基础上，力争为基金份额持有人创造超越业绩比较基准的稳定收益。</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投资策略</w:t>
            </w:r>
          </w:p>
        </w:tc>
        <w:tc>
          <w:tcPr>
            <w:tcW w:type="dxa" w:w="5670"/>
            <w:gridSpan w:val="2"/>
          </w:tcPr>
          <w:p>
            <w:pPr>
              <w:adjustRightInd w:val="0"/>
              <w:spacing w:before="29"/>
              <w:ind w:left="17"/>
              <w:jc w:val="left"/>
              <w:rPr>
                <w:color w:val="000000"/>
              </w:rPr>
            </w:pPr>
            <w:r>
              <w:rPr>
                <w:color w:val="000000"/>
                <w:kern w:val="0"/>
              </w:rPr>
              <w:t>本基金根据对宏观经济趋势的动态分析，结合定性分析和定量分析的方法，在限定投资范围内，决定债券类资产、权益类资产和现金类资产的配置比例，并跟踪影响资产配置策略的各种因素的变化，定期或不定期对大类资产配置比例进行调整。在充分论证债券市场宏观环境和仔细分析利率走势基础上，依次通过久期配置策略、期限结构配置策略、类属配置策略、信用债券投资策略、中小企业私募债券投资策略以及自下而上精选潜力股票等完成组合构建。本基金在整个投资决策过程中将认真遵守投资纪律并有效管理投资风险。</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业绩比较基准</w:t>
            </w:r>
          </w:p>
        </w:tc>
        <w:tc>
          <w:tcPr>
            <w:tcW w:type="dxa" w:w="5670"/>
            <w:gridSpan w:val="2"/>
          </w:tcPr>
          <w:p>
            <w:pPr>
              <w:adjustRightInd w:val="0"/>
              <w:spacing w:before="29"/>
              <w:ind w:left="17"/>
              <w:jc w:val="left"/>
              <w:rPr>
                <w:color w:val="000000"/>
              </w:rPr>
            </w:pPr>
            <w:r>
              <w:rPr>
                <w:color w:val="000000"/>
                <w:kern w:val="0"/>
              </w:rPr>
              <w:t>中债综合全价（总值）指数。如果今后法律法规发生变化，或者有更权威的、能为市场普遍接受的业绩比较基准推出，基金管理人在与基金托管人协商一致，并履行适当程序后调整或变更业绩比较基准并及时公告，而无需召开基金份额持有人大会。</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Ex>
        <w:tc>
          <w:tcPr>
            <w:tcW w:type="dxa" w:w="2835"/>
          </w:tcPr>
          <w:p>
            <w:pPr>
              <w:adjustRightInd w:val="0"/>
              <w:spacing w:before="29"/>
              <w:ind w:left="17"/>
              <w:jc w:val="left"/>
            </w:pPr>
            <w:r>
              <w:rPr>
                <w:kern w:val="0"/>
              </w:rPr>
              <w:t>风险收益特征</w:t>
            </w:r>
          </w:p>
        </w:tc>
        <w:tc>
          <w:tcPr>
            <w:tcW w:type="dxa" w:w="5670"/>
            <w:gridSpan w:val="2"/>
          </w:tcPr>
          <w:p>
            <w:pPr>
              <w:adjustRightInd w:val="0"/>
              <w:spacing w:before="29"/>
              <w:ind w:left="17"/>
              <w:jc w:val="left"/>
              <w:rPr>
                <w:color w:val="000000"/>
              </w:rPr>
            </w:pPr>
            <w:r>
              <w:rPr>
                <w:color w:val="000000"/>
                <w:kern w:val="0"/>
              </w:rPr>
              <w:t>本基金为债券型基金，属于证券投资基金中的较低风险品种，本基金的预期收益和预期风险高于货币市场基金，低于混合型基金和股票型基金。</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基金管理人</w:t>
            </w:r>
          </w:p>
        </w:tc>
        <w:tc>
          <w:tcPr>
            <w:tcW w:type="dxa" w:w="5670"/>
            <w:gridSpan w:val="2"/>
          </w:tcPr>
          <w:p>
            <w:pPr>
              <w:adjustRightInd w:val="0"/>
              <w:spacing w:before="29"/>
              <w:ind w:left="17"/>
              <w:jc w:val="left"/>
              <w:rPr>
                <w:color w:val="000000"/>
              </w:rPr>
            </w:pPr>
            <w:r>
              <w:rPr>
                <w:color w:val="000000"/>
                <w:kern w:val="0"/>
              </w:rPr>
              <w:t>中银基金管理有限公司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Pr>
          <w:p>
            <w:pPr>
              <w:adjustRightInd w:val="0"/>
              <w:spacing w:before="29"/>
              <w:ind w:left="17"/>
              <w:jc w:val="left"/>
            </w:pPr>
            <w:r>
              <w:rPr>
                <w:kern w:val="0"/>
              </w:rPr>
              <w:t>基金托管人</w:t>
            </w:r>
          </w:p>
        </w:tc>
        <w:tc>
          <w:tcPr>
            <w:tcW w:type="dxa" w:w="5670"/>
            <w:gridSpan w:val="2"/>
          </w:tcPr>
          <w:p>
            <w:pPr>
              <w:adjustRightInd w:val="0"/>
              <w:spacing w:before="29"/>
              <w:ind w:left="17"/>
              <w:jc w:val="left"/>
              <w:rPr>
                <w:color w:val="000000"/>
              </w:rPr>
            </w:pPr>
            <w:r>
              <w:rPr>
                <w:color w:val="000000"/>
                <w:kern w:val="0"/>
              </w:rPr>
              <w:t>招商银行股份有限公司</w:t>
            </w:r>
          </w:p>
        </w:tc>
      </w:tr>
    </w:tbl>
    <w:p>
      <w:pPr>
        <w:pStyle w:val="2"/>
        <w:spacing w:after="0" w:before="0" w:line="360"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line="360" w:lineRule="auto"/>
        <w:jc w:val="left"/>
        <w:rPr>
          <w:b/>
          <w:bCs/>
          <w:color w:val="000000"/>
          <w:kern w:val="0"/>
        </w:rPr>
      </w:pPr>
      <w:r>
        <w:rPr>
          <w:b/>
          <w:bCs/>
          <w:color w:val="000000"/>
          <w:kern w:val="0"/>
        </w:rPr>
        <w:t>3.1 主要财务指标</w:t>
      </w:r>
    </w:p>
    <w:p>
      <w:pPr>
        <w:autoSpaceDE w:val="0"/>
        <w:autoSpaceDN w:val="0"/>
        <w:adjustRightInd w:val="0"/>
        <w:spacing w:line="360" w:lineRule="auto"/>
        <w:ind w:left="15"/>
        <w:jc w:val="right"/>
        <w:rPr>
          <w:color w:val="000000"/>
          <w:kern w:val="0"/>
        </w:rPr>
      </w:pPr>
      <w:r>
        <w:rPr>
          <w:color w:val="000000"/>
          <w:kern w:val="0"/>
        </w:rPr>
        <w:t>单位：人民币元</w:t>
      </w:r>
    </w:p>
    <w:tbl>
      <w:tblPr>
        <w:tblStyle w:val="29"/>
        <w:tblW w:type="dxa" w:w="8505"/>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694"/>
        <w:gridCol w:w="2409"/>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ind w:left="17"/>
              <w:jc w:val="center"/>
              <w:rPr>
                <w:kern w:val="0"/>
              </w:rPr>
            </w:pPr>
            <w:r>
              <w:rPr>
                <w:kern w:val="0"/>
              </w:rPr>
              <w:t>主要财务指标</w:t>
            </w:r>
          </w:p>
        </w:tc>
        <w:tc>
          <w:tcPr>
            <w:tcW w:type="dxa" w:w="5103"/>
            <w:hMerge w:val="restart"/>
            <w:vAlign w:val="center"/>
          </w:tcPr>
          <w:p>
            <w:pPr>
              <w:adjustRightInd w:val="0"/>
              <w:spacing w:before="29"/>
              <w:ind w:left="17"/>
              <w:jc w:val="center"/>
              <w:rPr>
                <w:color w:val="000000"/>
              </w:rPr>
            </w:pPr>
            <w:r>
              <w:rPr>
                <w:color w:val="000000"/>
              </w:rPr>
              <w:t>报告期</w:t>
            </w:r>
          </w:p>
          <w:p>
            <w:pPr>
              <w:adjustRightInd w:val="0"/>
              <w:spacing w:before="29"/>
              <w:ind w:left="17"/>
              <w:jc w:val="center"/>
              <w:rPr>
                <w:color w:val="000000"/>
              </w:rPr>
            </w:pPr>
            <w:r>
              <w:rPr>
                <w:color w:val="000000"/>
              </w:rPr>
              <w:t>(2019年1月1日-2019年3月31日)</w:t>
            </w:r>
          </w:p>
        </w:tc>
        <w:tc>
          <w:tcPr>
            <w:tcW w:type="dxa" w:w="2409"/>
            <w:hMerge/>
            <w:vAlign w:val="center"/>
          </w:tcPr>
          <w:p>
            <w:pPr>
              <w:adjustRightInd w:val="0"/>
              <w:spacing w:before="29"/>
              <w:ind w:left="17"/>
              <w:jc w:val="center"/>
              <w:rPr>
                <w:color w:val="000000"/>
              </w:rPr>
            </w:pPr>
            <w:r>
              <w:rPr>
                <w:color w:val="000000"/>
              </w:rPr>
              <w:t>上期金额</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ind w:left="17"/>
              <w:rPr>
                <w:kern w:val="0"/>
              </w:rPr>
            </w:pPr>
            <w:r>
              <w:rPr>
                <w:kern w:val="0"/>
              </w:rPr>
              <w:t>1.本期已实现收益</w:t>
            </w:r>
          </w:p>
        </w:tc>
        <w:tc>
          <w:tcPr>
            <w:tcW w:type="dxa" w:w="5103"/>
            <w:hMerge w:val="restart"/>
            <w:vAlign w:val="center"/>
          </w:tcPr>
          <w:p>
            <w:pPr>
              <w:adjustRightInd w:val="0"/>
              <w:spacing w:before="29"/>
              <w:ind w:left="17"/>
              <w:jc w:val="right"/>
              <w:rPr>
                <w:color w:val="000000"/>
              </w:rPr>
            </w:pPr>
            <w:r>
              <w:rPr>
                <w:color w:val="000000"/>
              </w:rPr>
              <w:t>538,423.67</w:t>
            </w:r>
          </w:p>
        </w:tc>
        <w:tc>
          <w:tcPr>
            <w:tcW w:type="dxa" w:w="2409"/>
            <w:hMerge/>
            <w:vAlign w:val="center"/>
          </w:tcPr>
          <w:p>
            <w:pPr>
              <w:adjustRightInd w:val="0"/>
              <w:spacing w:before="29"/>
              <w:ind w:left="17"/>
              <w:jc w:val="right"/>
              <w:rPr>
                <w:color w:val="000000"/>
              </w:rPr>
            </w:pPr>
            <w:r>
              <w:rPr>
                <w:color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ind w:left="17"/>
              <w:rPr>
                <w:kern w:val="0"/>
              </w:rPr>
            </w:pPr>
            <w:r>
              <w:rPr>
                <w:kern w:val="0"/>
              </w:rPr>
              <w:t>2.本期利润</w:t>
            </w:r>
          </w:p>
        </w:tc>
        <w:tc>
          <w:tcPr>
            <w:tcW w:type="dxa" w:w="5103"/>
            <w:hMerge w:val="restart"/>
            <w:vAlign w:val="center"/>
          </w:tcPr>
          <w:p>
            <w:pPr>
              <w:adjustRightInd w:val="0"/>
              <w:spacing w:before="29"/>
              <w:ind w:left="17"/>
              <w:jc w:val="right"/>
              <w:rPr>
                <w:color w:val="000000"/>
              </w:rPr>
            </w:pPr>
            <w:r>
              <w:rPr>
                <w:color w:val="000000"/>
              </w:rPr>
              <w:t>444,101.57</w:t>
            </w:r>
          </w:p>
        </w:tc>
        <w:tc>
          <w:tcPr>
            <w:tcW w:type="dxa" w:w="2409"/>
            <w:hMerge/>
            <w:vAlign w:val="center"/>
          </w:tcPr>
          <w:p>
            <w:pPr>
              <w:adjustRightInd w:val="0"/>
              <w:spacing w:before="29"/>
              <w:ind w:left="17"/>
              <w:jc w:val="right"/>
              <w:rPr>
                <w:color w:val="000000"/>
              </w:rPr>
            </w:pPr>
            <w:r>
              <w:rPr>
                <w:color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ind w:left="17"/>
              <w:rPr>
                <w:kern w:val="0"/>
              </w:rPr>
            </w:pPr>
            <w:r>
              <w:rPr>
                <w:kern w:val="0"/>
              </w:rPr>
              <w:t>3.加权平均基金份额本期利润</w:t>
            </w:r>
          </w:p>
        </w:tc>
        <w:tc>
          <w:tcPr>
            <w:tcW w:type="dxa" w:w="5103"/>
            <w:hMerge w:val="restart"/>
            <w:vAlign w:val="center"/>
          </w:tcPr>
          <w:p>
            <w:pPr>
              <w:adjustRightInd w:val="0"/>
              <w:spacing w:before="29"/>
              <w:ind w:left="17"/>
              <w:jc w:val="right"/>
              <w:rPr>
                <w:color w:val="000000"/>
              </w:rPr>
            </w:pPr>
            <w:r>
              <w:rPr>
                <w:color w:val="000000"/>
              </w:rPr>
              <w:t>0.0395</w:t>
            </w:r>
          </w:p>
        </w:tc>
        <w:tc>
          <w:tcPr>
            <w:tcW w:type="dxa" w:w="2409"/>
            <w:hMerge/>
            <w:vAlign w:val="center"/>
          </w:tcPr>
          <w:p>
            <w:pPr>
              <w:adjustRightInd w:val="0"/>
              <w:spacing w:before="29"/>
              <w:ind w:left="17"/>
              <w:jc w:val="right"/>
              <w:rPr>
                <w:color w:val="000000"/>
              </w:rPr>
            </w:pPr>
            <w:r>
              <w:rPr>
                <w:color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ind w:left="17"/>
              <w:rPr>
                <w:kern w:val="0"/>
              </w:rPr>
            </w:pPr>
            <w:r>
              <w:rPr>
                <w:kern w:val="0"/>
              </w:rPr>
              <w:t>4.期末基金资产净值</w:t>
            </w:r>
          </w:p>
        </w:tc>
        <w:tc>
          <w:tcPr>
            <w:tcW w:type="dxa" w:w="5103"/>
            <w:hMerge w:val="restart"/>
            <w:vAlign w:val="center"/>
          </w:tcPr>
          <w:p>
            <w:pPr>
              <w:adjustRightInd w:val="0"/>
              <w:spacing w:before="29"/>
              <w:ind w:left="17"/>
              <w:jc w:val="right"/>
              <w:rPr>
                <w:color w:val="000000"/>
              </w:rPr>
            </w:pPr>
            <w:r>
              <w:rPr>
                <w:color w:val="000000"/>
              </w:rPr>
              <w:t>7,702,952.31</w:t>
            </w:r>
          </w:p>
        </w:tc>
        <w:tc>
          <w:tcPr>
            <w:tcW w:type="dxa" w:w="2409"/>
            <w:hMerge/>
            <w:vAlign w:val="center"/>
          </w:tcPr>
          <w:p>
            <w:pPr>
              <w:adjustRightInd w:val="0"/>
              <w:spacing w:before="29"/>
              <w:ind w:left="17"/>
              <w:jc w:val="right"/>
              <w:rPr>
                <w:color w:val="000000"/>
              </w:rPr>
            </w:pPr>
            <w:r>
              <w:rPr>
                <w:color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ind w:left="17"/>
              <w:rPr>
                <w:kern w:val="0"/>
              </w:rPr>
            </w:pPr>
            <w:r>
              <w:rPr>
                <w:kern w:val="0"/>
              </w:rPr>
              <w:t>5.期末基金份额净值</w:t>
            </w:r>
          </w:p>
        </w:tc>
        <w:tc>
          <w:tcPr>
            <w:tcW w:type="dxa" w:w="5103"/>
            <w:hMerge w:val="restart"/>
            <w:vAlign w:val="center"/>
          </w:tcPr>
          <w:p>
            <w:pPr>
              <w:adjustRightInd w:val="0"/>
              <w:spacing w:before="29"/>
              <w:ind w:left="17"/>
              <w:jc w:val="right"/>
              <w:rPr>
                <w:color w:val="000000"/>
              </w:rPr>
            </w:pPr>
            <w:r>
              <w:rPr>
                <w:color w:val="000000"/>
              </w:rPr>
              <w:t>1.009</w:t>
            </w:r>
          </w:p>
        </w:tc>
        <w:tc>
          <w:tcPr>
            <w:tcW w:type="dxa" w:w="2409"/>
            <w:hMerge/>
            <w:vAlign w:val="center"/>
          </w:tcPr>
          <w:p>
            <w:pPr>
              <w:adjustRightInd w:val="0"/>
              <w:spacing w:before="29"/>
              <w:ind w:left="17"/>
              <w:jc w:val="right"/>
              <w:rPr>
                <w:color w:val="000000"/>
              </w:rPr>
            </w:pPr>
            <w:r>
              <w:rPr>
                <w:color w:val="000000"/>
              </w:rPr>
              <w:t>-</w:t>
            </w:r>
          </w:p>
        </w:tc>
      </w:tr>
    </w:tbl>
    <w:p>
      <w:pPr>
        <w:autoSpaceDE w:val="0"/>
        <w:autoSpaceDN w:val="0"/>
        <w:adjustRightInd w:val="0"/>
        <w:spacing w:line="360" w:lineRule="auto"/>
        <w:jc w:val="left"/>
        <w:rPr>
          <w:color w:val="000000"/>
        </w:rPr>
      </w:pPr>
      <w:r>
        <w:rPr>
          <w:color w:val="000000"/>
        </w:rPr>
        <w:t>注：1、本期已实现收益指基金本期利息收入、投资收益、其他收入（不含公允价值变动收益）扣除相关费用后的余额，本期利润为本期已实现收益加上本期公允价值变动收益。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color w:val="000000"/>
        </w:rPr>
      </w:pPr>
      <w:r>
        <w:rPr>
          <w:color w:val="000000"/>
        </w:rPr>
        <w:t>2、所述基金业绩指标不包括持有人认购或交易基金的各项费用，计入费用后实际收益水平要低于所列数字。</w:t>
      </w:r>
    </w:p>
    <w:p>
      <w:pPr>
        <w:autoSpaceDE w:val="0"/>
        <w:autoSpaceDN w:val="0"/>
        <w:adjustRightInd w:val="0"/>
        <w:spacing w:line="360" w:lineRule="auto"/>
        <w:jc w:val="left"/>
        <w:rPr>
          <w:b/>
          <w:bCs/>
          <w:color w:val="000000"/>
          <w:kern w:val="0"/>
        </w:rPr>
      </w:pPr>
      <w:r>
        <w:rPr>
          <w:b/>
          <w:bCs/>
          <w:color w:val="000000"/>
          <w:kern w:val="0"/>
        </w:rPr>
        <w:t>3.2 基金净值表现</w:t>
      </w:r>
    </w:p>
    <w:p>
      <w:pPr>
        <w:autoSpaceDE w:val="0"/>
        <w:autoSpaceDN w:val="0"/>
        <w:adjustRightInd w:val="0"/>
        <w:spacing w:line="360" w:lineRule="auto"/>
        <w:jc w:val="left"/>
        <w:rPr>
          <w:b/>
          <w:bCs/>
          <w:color w:val="000000"/>
          <w:kern w:val="0"/>
        </w:rPr>
      </w:pPr>
      <w:r>
        <w:rPr>
          <w:b/>
          <w:bCs/>
          <w:color w:val="000000"/>
          <w:kern w:val="0"/>
        </w:rPr>
        <w:t>3.2.1 本报告期基金份额净值增长率及其与同期业绩比较基准收益率的比较</w:t>
      </w:r>
    </w:p>
    <w:tbl>
      <w:tblPr>
        <w:tblStyle w:val="29"/>
        <w:tblW w:type="dxa" w:w="8647"/>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537"/>
        <w:gridCol w:w="1092"/>
        <w:gridCol w:w="1161"/>
        <w:gridCol w:w="1181"/>
        <w:gridCol w:w="1267"/>
        <w:gridCol w:w="1275"/>
        <w:gridCol w:w="113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537"/>
            <w:vAlign w:val="center"/>
          </w:tcPr>
          <w:p>
            <w:pPr>
              <w:autoSpaceDE w:val="0"/>
              <w:autoSpaceDN w:val="0"/>
              <w:adjustRightInd w:val="0"/>
              <w:spacing w:before="29"/>
              <w:ind w:left="17"/>
              <w:jc w:val="center"/>
              <w:rPr>
                <w:color w:val="000000"/>
                <w:kern w:val="0"/>
              </w:rPr>
            </w:pPr>
            <w:r>
              <w:rPr>
                <w:color w:val="000000"/>
                <w:kern w:val="0"/>
              </w:rPr>
              <w:t>阶段</w:t>
            </w:r>
          </w:p>
        </w:tc>
        <w:tc>
          <w:tcPr>
            <w:tcW w:type="dxa" w:w="1092"/>
            <w:vAlign w:val="center"/>
          </w:tcPr>
          <w:p>
            <w:pPr>
              <w:autoSpaceDE w:val="0"/>
              <w:autoSpaceDN w:val="0"/>
              <w:adjustRightInd w:val="0"/>
              <w:spacing w:before="29"/>
              <w:ind w:left="17"/>
              <w:jc w:val="center"/>
              <w:rPr>
                <w:color w:val="000000"/>
                <w:kern w:val="0"/>
              </w:rPr>
            </w:pPr>
            <w:r>
              <w:rPr>
                <w:color w:val="000000"/>
                <w:kern w:val="0"/>
              </w:rPr>
              <w:t>净值增长率</w:t>
            </w:r>
            <w:r>
              <w:rPr>
                <w:rFonts w:ascii="宋体" w:cs="宋体" w:hAnsi="宋体" w:hint="eastAsia"/>
                <w:color w:val="000000"/>
                <w:kern w:val="0"/>
              </w:rPr>
              <w:t>①</w:t>
            </w:r>
          </w:p>
        </w:tc>
        <w:tc>
          <w:tcPr>
            <w:tcW w:type="dxa" w:w="1161"/>
            <w:vAlign w:val="center"/>
          </w:tcPr>
          <w:p>
            <w:pPr>
              <w:autoSpaceDE w:val="0"/>
              <w:autoSpaceDN w:val="0"/>
              <w:adjustRightInd w:val="0"/>
              <w:spacing w:before="29"/>
              <w:ind w:left="17"/>
              <w:jc w:val="center"/>
              <w:rPr>
                <w:color w:val="000000"/>
                <w:kern w:val="0"/>
              </w:rPr>
            </w:pPr>
            <w:r>
              <w:rPr>
                <w:color w:val="000000"/>
                <w:kern w:val="0"/>
              </w:rPr>
              <w:t>净值增长率标准差</w:t>
            </w:r>
            <w:r>
              <w:rPr>
                <w:rFonts w:ascii="宋体" w:cs="宋体" w:hAnsi="宋体" w:hint="eastAsia"/>
                <w:color w:val="000000"/>
                <w:kern w:val="0"/>
              </w:rPr>
              <w:t>②</w:t>
            </w:r>
          </w:p>
        </w:tc>
        <w:tc>
          <w:tcPr>
            <w:tcW w:type="dxa" w:w="1181"/>
            <w:vAlign w:val="center"/>
          </w:tcPr>
          <w:p>
            <w:pPr>
              <w:autoSpaceDE w:val="0"/>
              <w:autoSpaceDN w:val="0"/>
              <w:adjustRightInd w:val="0"/>
              <w:spacing w:before="29"/>
              <w:ind w:left="17"/>
              <w:jc w:val="center"/>
              <w:rPr>
                <w:color w:val="000000"/>
                <w:kern w:val="0"/>
              </w:rPr>
            </w:pPr>
            <w:r>
              <w:rPr>
                <w:color w:val="000000"/>
                <w:kern w:val="0"/>
              </w:rPr>
              <w:t>业绩比较基准收益率</w:t>
            </w:r>
            <w:r>
              <w:rPr>
                <w:rFonts w:ascii="宋体" w:cs="宋体" w:hAnsi="宋体" w:hint="eastAsia"/>
                <w:color w:val="000000"/>
                <w:kern w:val="0"/>
              </w:rPr>
              <w:t>③</w:t>
            </w:r>
          </w:p>
        </w:tc>
        <w:tc>
          <w:tcPr>
            <w:tcW w:type="dxa" w:w="1267"/>
            <w:vAlign w:val="center"/>
          </w:tcPr>
          <w:p>
            <w:pPr>
              <w:autoSpaceDE w:val="0"/>
              <w:autoSpaceDN w:val="0"/>
              <w:adjustRightInd w:val="0"/>
              <w:spacing w:before="29"/>
              <w:ind w:left="17"/>
              <w:jc w:val="center"/>
              <w:rPr>
                <w:color w:val="000000"/>
                <w:kern w:val="0"/>
              </w:rPr>
            </w:pPr>
            <w:r>
              <w:rPr>
                <w:color w:val="000000"/>
                <w:kern w:val="0"/>
              </w:rPr>
              <w:t>业绩比较基准收益率标准差</w:t>
            </w:r>
            <w:r>
              <w:rPr>
                <w:rFonts w:ascii="宋体" w:cs="宋体" w:hAnsi="宋体" w:hint="eastAsia"/>
                <w:color w:val="000000"/>
                <w:kern w:val="0"/>
              </w:rPr>
              <w:t>④</w:t>
            </w:r>
          </w:p>
        </w:tc>
        <w:tc>
          <w:tcPr>
            <w:tcW w:type="dxa" w:w="1275"/>
            <w:vAlign w:val="center"/>
          </w:tcPr>
          <w:p>
            <w:pPr>
              <w:autoSpaceDE w:val="0"/>
              <w:autoSpaceDN w:val="0"/>
              <w:adjustRightInd w:val="0"/>
              <w:spacing w:before="29"/>
              <w:ind w:left="17"/>
              <w:jc w:val="center"/>
              <w:rPr>
                <w:color w:val="000000"/>
                <w:kern w:val="0"/>
              </w:rPr>
            </w:pPr>
            <w:r>
              <w:rPr>
                <w:rFonts w:ascii="宋体" w:cs="宋体" w:hAnsi="宋体" w:hint="eastAsia"/>
                <w:color w:val="000000"/>
                <w:kern w:val="0"/>
              </w:rPr>
              <w:t>①</w:t>
            </w:r>
            <w:r>
              <w:rPr>
                <w:color w:val="000000"/>
                <w:kern w:val="0"/>
              </w:rPr>
              <w:t>-</w:t>
            </w:r>
            <w:r>
              <w:rPr>
                <w:rFonts w:ascii="宋体" w:cs="宋体" w:hAnsi="宋体" w:hint="eastAsia"/>
                <w:color w:val="000000"/>
                <w:kern w:val="0"/>
              </w:rPr>
              <w:t>③</w:t>
            </w:r>
          </w:p>
        </w:tc>
        <w:tc>
          <w:tcPr>
            <w:tcW w:type="dxa" w:w="1134"/>
            <w:vAlign w:val="center"/>
          </w:tcPr>
          <w:p>
            <w:pPr>
              <w:autoSpaceDE w:val="0"/>
              <w:autoSpaceDN w:val="0"/>
              <w:adjustRightInd w:val="0"/>
              <w:spacing w:before="29"/>
              <w:ind w:left="17"/>
              <w:jc w:val="center"/>
              <w:rPr>
                <w:color w:val="000000"/>
                <w:kern w:val="0"/>
              </w:rPr>
            </w:pPr>
            <w:r>
              <w:rPr>
                <w:rFonts w:ascii="宋体" w:cs="宋体" w:hAnsi="宋体" w:hint="eastAsia"/>
                <w:color w:val="000000"/>
                <w:kern w:val="0"/>
              </w:rPr>
              <w:t>②</w:t>
            </w:r>
            <w:r>
              <w:rPr>
                <w:color w:val="000000"/>
                <w:kern w:val="0"/>
              </w:rPr>
              <w:t>-</w:t>
            </w:r>
            <w:r>
              <w:rPr>
                <w:rFonts w:ascii="宋体" w:cs="宋体" w:hAnsi="宋体" w:hint="eastAsia"/>
                <w:color w:val="000000"/>
                <w:kern w:val="0"/>
              </w:rPr>
              <w:t>④</w:t>
            </w:r>
          </w:p>
        </w:tc>
      </w:tr>
      <w:tr>
        <w:tc>
          <w:tcPr>
            <w:vAlign w:val="center"/>
          </w:tcPr>
          <w:p>
            <w:pPr>
              <w:jc w:val="left"/>
            </w:pPr>
            <w:r>
              <w:rPr>
                <w:color w:val="000000"/>
                <w:kern w:val="0"/>
              </w:rPr>
              <w:t>过去三个月</w:t>
            </w:r>
          </w:p>
        </w:tc>
        <w:tc>
          <w:tcPr>
            <w:vAlign w:val="center"/>
          </w:tcPr>
          <w:p>
            <w:pPr>
              <w:jc w:val="center"/>
            </w:pPr>
            <w:r>
              <w:rPr>
                <w:color w:val="000000"/>
                <w:kern w:val="0"/>
              </w:rPr>
              <w:t>3.06%</w:t>
            </w:r>
          </w:p>
        </w:tc>
        <w:tc>
          <w:tcPr>
            <w:vAlign w:val="center"/>
          </w:tcPr>
          <w:p>
            <w:pPr>
              <w:jc w:val="center"/>
            </w:pPr>
            <w:r>
              <w:rPr>
                <w:color w:val="000000"/>
                <w:kern w:val="0"/>
              </w:rPr>
              <w:t>0.25%</w:t>
            </w:r>
          </w:p>
        </w:tc>
        <w:tc>
          <w:tcPr>
            <w:vAlign w:val="center"/>
          </w:tcPr>
          <w:p>
            <w:pPr>
              <w:jc w:val="center"/>
            </w:pPr>
            <w:r>
              <w:rPr>
                <w:color w:val="000000"/>
                <w:kern w:val="0"/>
              </w:rPr>
              <w:t>0.47%</w:t>
            </w:r>
          </w:p>
        </w:tc>
        <w:tc>
          <w:tcPr>
            <w:vAlign w:val="center"/>
          </w:tcPr>
          <w:p>
            <w:pPr>
              <w:jc w:val="center"/>
            </w:pPr>
            <w:r>
              <w:rPr>
                <w:color w:val="000000"/>
                <w:kern w:val="0"/>
              </w:rPr>
              <w:t>0.05%</w:t>
            </w:r>
          </w:p>
        </w:tc>
        <w:tc>
          <w:tcPr>
            <w:vAlign w:val="center"/>
          </w:tcPr>
          <w:p>
            <w:pPr>
              <w:jc w:val="center"/>
            </w:pPr>
            <w:r>
              <w:rPr>
                <w:color w:val="000000"/>
                <w:kern w:val="0"/>
              </w:rPr>
              <w:t>2.59%</w:t>
            </w:r>
          </w:p>
        </w:tc>
        <w:tc>
          <w:tcPr>
            <w:vAlign w:val="center"/>
          </w:tcPr>
          <w:p>
            <w:pPr>
              <w:jc w:val="center"/>
            </w:pPr>
            <w:r>
              <w:rPr>
                <w:color w:val="000000"/>
                <w:kern w:val="0"/>
              </w:rPr>
              <w:t>0.20%</w:t>
            </w:r>
          </w:p>
        </w:tc>
      </w:tr>
    </w:tbl>
    <w:p>
      <w:pPr>
        <w:autoSpaceDE w:val="0"/>
        <w:autoSpaceDN w:val="0"/>
        <w:adjustRightInd w:val="0"/>
        <w:spacing w:line="360" w:lineRule="auto"/>
        <w:jc w:val="left"/>
        <w:rPr>
          <w:b/>
          <w:bCs/>
          <w:color w:val="000000"/>
          <w:kern w:val="0"/>
        </w:rPr>
      </w:pPr>
      <w:r>
        <w:rPr>
          <w:b/>
          <w:bCs/>
          <w:color w:val="000000"/>
          <w:kern w:val="0"/>
        </w:rPr>
        <w:t>3.2.2自基金合同生效以来基金累计净值增长率变动及其与同期业绩比较基准收益率变动的比较</w:t>
      </w:r>
    </w:p>
    <w:p>
      <w:pPr>
        <w:tabs>
          <w:tab w:pos="2729" w:val="left"/>
          <w:tab w:pos="4156" w:val="center"/>
        </w:tabs>
        <w:spacing w:line="360" w:lineRule="auto"/>
        <w:jc w:val="center"/>
        <w:rPr>
          <w:color w:val="000000"/>
        </w:rPr>
      </w:pPr>
      <w:r>
        <w:rPr>
          <w:color w:val="000000"/>
        </w:rPr>
        <w:t>中银合利债券型证券投资基金</w:t>
      </w:r>
    </w:p>
    <w:p>
      <w:pPr>
        <w:pStyle w:val="11"/>
        <w:snapToGrid w:val="0"/>
        <w:spacing w:line="360" w:lineRule="auto"/>
        <w:jc w:val="center"/>
        <w:rPr>
          <w:rFonts w:ascii="Times New Roman" w:cs="Times New Roman" w:hAnsi="Times New Roman"/>
          <w:color w:val="000000"/>
        </w:rPr>
      </w:pPr>
      <w:r>
        <w:rPr>
          <w:rFonts w:ascii="Times New Roman" w:cs="Times New Roman" w:hAnsi="Times New Roman"/>
          <w:color w:val="000000"/>
        </w:rPr>
        <w:t>累计净值增长率与业绩比较基准收益率历史走势对比图</w:t>
      </w:r>
    </w:p>
    <w:p>
      <w:pPr>
        <w:pStyle w:val="11"/>
        <w:snapToGrid w:val="0"/>
        <w:spacing w:line="360" w:lineRule="auto"/>
        <w:ind w:firstLine="480"/>
        <w:jc w:val="center"/>
        <w:rPr>
          <w:rFonts w:ascii="Times New Roman" w:cs="Times New Roman" w:hAnsi="Times New Roman"/>
        </w:rPr>
      </w:pPr>
      <w:r>
        <w:rPr>
          <w:rFonts w:ascii="Times New Roman" w:cs="Times New Roman" w:hAnsi="Times New Roman"/>
        </w:rPr>
        <w:t>(2016年5月19日至2019年3月31日)</w:t>
      </w:r>
    </w:p>
    <w:p>
      <w:pPr>
        <w:pStyle w:val="11"/>
        <w:snapToGrid w:val="0"/>
        <w:spacing w:before="120" w:line="360" w:lineRule="auto"/>
        <w:jc w:val="center"/>
        <w:rPr>
          <w:rFonts w:ascii="Times New Roman" w:cs="Times New Roman" w:hAnsi="Times New Roman"/>
          <w:color w:val="000000"/>
          <w:sz w:val="24"/>
          <w:szCs w:val="24"/>
        </w:rPr>
      </w:pPr>
      <w:r>
        <w:rPr>
          <w:rFonts w:ascii="Times New Roman" w:cs="Times New Roman" w:hAnsi="Times New Roman"/>
          <w:color w:val="000000"/>
          <w:sz w:val="24"/>
          <w:szCs w:val="24"/>
        </w:rPr>
        <w:pict>
          <v:shape coordsize="21600,21600" filled="f" id="_x0000_i1025" o:preferrelative="t" o:spt="75" stroked="f" style="height:243pt;width:415.5pt;" type="#_x0000_t75">
            <v:path/>
            <v:fill focussize="0,0" on="f"/>
            <v:stroke joinstyle="miter" on="f"/>
            <v:imagedata o:title="" r:id="rId7"/>
            <o:lock aspectratio="t" v:ext="edit"/>
            <w10:wrap type="none"/>
            <w10:anchorlock/>
          </v:shape>
        </w:pict>
      </w:r>
    </w:p>
    <w:p>
      <w:pPr>
        <w:autoSpaceDE w:val="0"/>
        <w:autoSpaceDN w:val="0"/>
        <w:adjustRightInd w:val="0"/>
        <w:spacing w:line="360" w:lineRule="auto"/>
        <w:jc w:val="left"/>
        <w:rPr>
          <w:color w:val="000000"/>
        </w:rPr>
      </w:pPr>
      <w:r>
        <w:rPr>
          <w:color w:val="000000"/>
        </w:rPr>
        <w:t>注：按基金合同规定，本基金自基金合同生效起6个月内为建仓期，截至建仓结束时各项资产配置比例均符合基金合同约定。</w:t>
      </w:r>
    </w:p>
    <w:p>
      <w:pPr>
        <w:tabs>
          <w:tab w:pos="1800" w:val="left"/>
        </w:tabs>
        <w:rPr>
          <w:color w:val="000000"/>
        </w:rPr>
      </w:pPr>
    </w:p>
    <w:p>
      <w:pPr>
        <w:pStyle w:val="2"/>
        <w:spacing w:after="0" w:before="0" w:line="360" w:lineRule="auto"/>
        <w:jc w:val="center"/>
        <w:rPr>
          <w:color w:val="000000"/>
          <w:kern w:val="0"/>
          <w:sz w:val="24"/>
          <w:szCs w:val="24"/>
        </w:rPr>
      </w:pPr>
      <w:r>
        <w:rPr>
          <w:color w:val="000000"/>
          <w:kern w:val="0"/>
          <w:sz w:val="24"/>
          <w:szCs w:val="24"/>
        </w:rPr>
        <w:t>§4  管理人报告</w:t>
      </w:r>
    </w:p>
    <w:p>
      <w:pPr>
        <w:autoSpaceDE w:val="0"/>
        <w:autoSpaceDN w:val="0"/>
        <w:adjustRightInd w:val="0"/>
        <w:spacing w:line="360" w:lineRule="auto"/>
        <w:jc w:val="left"/>
        <w:rPr>
          <w:b/>
          <w:bCs/>
          <w:color w:val="000000"/>
          <w:kern w:val="0"/>
        </w:rPr>
      </w:pPr>
      <w:r>
        <w:rPr>
          <w:b/>
          <w:bCs/>
          <w:color w:val="000000"/>
          <w:kern w:val="0"/>
        </w:rPr>
        <w:t>4.1 基金经理(或基金经理小组)简介</w:t>
      </w:r>
    </w:p>
    <w:tbl>
      <w:tblPr>
        <w:tblStyle w:val="29"/>
        <w:tblW w:type="dxa" w:w="10206"/>
        <w:tblInd w:type="dxa" w:w="-45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134"/>
        <w:gridCol w:w="1843"/>
        <w:gridCol w:w="1418"/>
        <w:gridCol w:w="1559"/>
        <w:gridCol w:w="1559"/>
        <w:gridCol w:w="269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1134"/>
            <w:vMerge w:val="restart"/>
            <w:vAlign w:val="center"/>
          </w:tcPr>
          <w:p>
            <w:pPr>
              <w:widowControl/>
              <w:spacing w:before="29"/>
              <w:ind w:left="17"/>
              <w:jc w:val="center"/>
              <w:rPr>
                <w:color w:val="000000"/>
                <w:kern w:val="0"/>
              </w:rPr>
            </w:pPr>
            <w:r>
              <w:rPr>
                <w:color w:val="000000"/>
                <w:kern w:val="0"/>
              </w:rPr>
              <w:t>姓名</w:t>
            </w:r>
          </w:p>
        </w:tc>
        <w:tc>
          <w:tcPr>
            <w:tcW w:type="dxa" w:w="1843"/>
            <w:vMerge w:val="restart"/>
            <w:vAlign w:val="center"/>
          </w:tcPr>
          <w:p>
            <w:pPr>
              <w:widowControl/>
              <w:spacing w:before="29"/>
              <w:ind w:left="17"/>
              <w:jc w:val="center"/>
              <w:rPr>
                <w:color w:val="000000"/>
                <w:kern w:val="0"/>
              </w:rPr>
            </w:pPr>
            <w:r>
              <w:rPr>
                <w:color w:val="000000"/>
                <w:kern w:val="0"/>
              </w:rPr>
              <w:t>职务</w:t>
            </w:r>
          </w:p>
        </w:tc>
        <w:tc>
          <w:tcPr>
            <w:tcW w:type="dxa" w:w="2977"/>
            <w:gridSpan w:val="2"/>
            <w:vAlign w:val="center"/>
          </w:tcPr>
          <w:p>
            <w:pPr>
              <w:autoSpaceDE w:val="0"/>
              <w:autoSpaceDN w:val="0"/>
              <w:adjustRightInd w:val="0"/>
              <w:spacing w:before="29"/>
              <w:ind w:left="17"/>
              <w:jc w:val="center"/>
              <w:rPr>
                <w:color w:val="000000"/>
                <w:kern w:val="0"/>
              </w:rPr>
            </w:pPr>
            <w:r>
              <w:rPr>
                <w:color w:val="000000"/>
                <w:kern w:val="0"/>
              </w:rPr>
              <w:t>任本基金的基金经理期限</w:t>
            </w:r>
          </w:p>
        </w:tc>
        <w:tc>
          <w:tcPr>
            <w:tcW w:type="dxa" w:w="1559"/>
            <w:vMerge w:val="restart"/>
            <w:vAlign w:val="center"/>
          </w:tcPr>
          <w:p>
            <w:pPr>
              <w:autoSpaceDE w:val="0"/>
              <w:autoSpaceDN w:val="0"/>
              <w:adjustRightInd w:val="0"/>
              <w:spacing w:before="29"/>
              <w:ind w:left="17"/>
              <w:jc w:val="center"/>
              <w:rPr>
                <w:color w:val="000000"/>
                <w:kern w:val="0"/>
              </w:rPr>
            </w:pPr>
            <w:r>
              <w:rPr>
                <w:color w:val="000000"/>
                <w:kern w:val="0"/>
              </w:rPr>
              <w:t>证券从业年限</w:t>
            </w:r>
          </w:p>
        </w:tc>
        <w:tc>
          <w:tcPr>
            <w:tcW w:type="dxa" w:w="2693"/>
            <w:vMerge w:val="restart"/>
            <w:vAlign w:val="center"/>
          </w:tcPr>
          <w:p>
            <w:pPr>
              <w:widowControl/>
              <w:spacing w:before="29"/>
              <w:ind w:left="17"/>
              <w:jc w:val="center"/>
              <w:rPr>
                <w:color w:val="000000"/>
                <w:kern w:val="0"/>
              </w:rPr>
            </w:pPr>
            <w:r>
              <w:rPr>
                <w:color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1134"/>
            <w:vMerge w:val="continue"/>
            <w:vAlign w:val="center"/>
          </w:tcPr>
          <w:p>
            <w:pPr>
              <w:widowControl/>
              <w:jc w:val="left"/>
              <w:rPr>
                <w:color w:val="000000"/>
                <w:kern w:val="0"/>
              </w:rPr>
            </w:pPr>
          </w:p>
        </w:tc>
        <w:tc>
          <w:tcPr>
            <w:tcW w:type="dxa" w:w="1843"/>
            <w:vMerge w:val="continue"/>
            <w:vAlign w:val="center"/>
          </w:tcPr>
          <w:p>
            <w:pPr>
              <w:widowControl/>
              <w:jc w:val="left"/>
              <w:rPr>
                <w:color w:val="000000"/>
                <w:kern w:val="0"/>
              </w:rPr>
            </w:pPr>
          </w:p>
        </w:tc>
        <w:tc>
          <w:tcPr>
            <w:tcW w:type="dxa" w:w="1418"/>
            <w:vAlign w:val="center"/>
          </w:tcPr>
          <w:p>
            <w:pPr>
              <w:autoSpaceDE w:val="0"/>
              <w:autoSpaceDN w:val="0"/>
              <w:adjustRightInd w:val="0"/>
              <w:spacing w:before="29"/>
              <w:ind w:left="17"/>
              <w:jc w:val="center"/>
              <w:rPr>
                <w:color w:val="000000"/>
                <w:kern w:val="0"/>
              </w:rPr>
            </w:pPr>
            <w:r>
              <w:rPr>
                <w:color w:val="000000"/>
                <w:kern w:val="0"/>
              </w:rPr>
              <w:t>任职日期</w:t>
            </w:r>
          </w:p>
        </w:tc>
        <w:tc>
          <w:tcPr>
            <w:tcW w:type="dxa" w:w="1559"/>
            <w:vAlign w:val="center"/>
          </w:tcPr>
          <w:p>
            <w:pPr>
              <w:autoSpaceDE w:val="0"/>
              <w:autoSpaceDN w:val="0"/>
              <w:adjustRightInd w:val="0"/>
              <w:spacing w:before="29"/>
              <w:ind w:left="17"/>
              <w:jc w:val="center"/>
              <w:rPr>
                <w:color w:val="000000"/>
                <w:kern w:val="0"/>
              </w:rPr>
            </w:pPr>
            <w:r>
              <w:rPr>
                <w:color w:val="000000"/>
                <w:kern w:val="0"/>
              </w:rPr>
              <w:t>离任日期</w:t>
            </w:r>
          </w:p>
        </w:tc>
        <w:tc>
          <w:tcPr>
            <w:tcW w:type="dxa" w:w="1559"/>
            <w:vMerge w:val="continue"/>
            <w:vAlign w:val="center"/>
          </w:tcPr>
          <w:p>
            <w:pPr>
              <w:widowControl/>
              <w:jc w:val="left"/>
              <w:rPr>
                <w:color w:val="000000"/>
                <w:kern w:val="0"/>
              </w:rPr>
            </w:pPr>
          </w:p>
        </w:tc>
        <w:tc>
          <w:tcPr>
            <w:tcW w:type="dxa" w:w="2693"/>
            <w:vMerge w:val="continue"/>
            <w:vAlign w:val="center"/>
          </w:tcPr>
          <w:p>
            <w:pPr>
              <w:widowControl/>
              <w:jc w:val="left"/>
              <w:rPr>
                <w:color w:val="000000"/>
                <w:kern w:val="0"/>
              </w:rPr>
            </w:pPr>
          </w:p>
        </w:tc>
      </w:tr>
      <w:tr>
        <w:tc>
          <w:tcPr>
            <w:vAlign w:val="center"/>
          </w:tcPr>
          <w:p>
            <w:pPr>
              <w:jc w:val="center"/>
            </w:pPr>
            <w:r>
              <w:rPr>
                <w:color w:val="000000"/>
              </w:rPr>
              <w:t>杨成</w:t>
            </w:r>
          </w:p>
        </w:tc>
        <w:tc>
          <w:tcPr>
            <w:vAlign w:val="center"/>
          </w:tcPr>
          <w:p>
            <w:pPr>
              <w:jc w:val="center"/>
            </w:pPr>
            <w:r>
              <w:rPr>
                <w:color w:val="000000"/>
              </w:rPr>
              <w:t>基金经理</w:t>
            </w:r>
          </w:p>
        </w:tc>
        <w:tc>
          <w:tcPr>
            <w:vAlign w:val="center"/>
          </w:tcPr>
          <w:p>
            <w:pPr>
              <w:jc w:val="center"/>
            </w:pPr>
            <w:r>
              <w:rPr>
                <w:color w:val="000000"/>
              </w:rPr>
              <w:t>2016-05-19</w:t>
            </w:r>
          </w:p>
        </w:tc>
        <w:tc>
          <w:tcPr>
            <w:vAlign w:val="center"/>
          </w:tcPr>
          <w:p>
            <w:pPr>
              <w:jc w:val="center"/>
            </w:pPr>
            <w:r>
              <w:rPr>
                <w:color w:val="000000"/>
              </w:rPr>
              <w:t>-</w:t>
            </w:r>
          </w:p>
        </w:tc>
        <w:tc>
          <w:tcPr>
            <w:vAlign w:val="center"/>
          </w:tcPr>
          <w:p>
            <w:pPr>
              <w:jc w:val="center"/>
            </w:pPr>
            <w:r>
              <w:rPr>
                <w:color w:val="000000"/>
              </w:rPr>
              <w:t>13</w:t>
            </w:r>
          </w:p>
        </w:tc>
        <w:tc>
          <w:tcPr>
            <w:vAlign w:val="center"/>
          </w:tcPr>
          <w:p>
            <w:pPr>
              <w:jc w:val="both"/>
            </w:pPr>
            <w:r>
              <w:rPr>
                <w:color w:val="000000"/>
              </w:rPr>
              <w:t xml:space="preserve">中银基金管理有限公司助理副总裁（AVP），管理学硕士。曾任信诚基金固定收益分析师，上投摩根基金管理有限公司基金经理。2015年加入中银基金管理有限公司，2015年9月至今任中银新趋势基金基金经理，2016年4月至今任中银益利基金基金经理，2016年5月至今任中银合利基金基金经理，2016年8月至今任中银丰利基金基金经理，2016年8月至2018年9月任中银尊享基金基金经理，2016年12月至今任中银锦利基金基金经理。具有13年证券从业年限。具备基金从业资格。 </w:t>
            </w:r>
          </w:p>
        </w:tc>
      </w:tr>
    </w:tbl>
    <w:p>
      <w:pPr>
        <w:autoSpaceDE w:val="0"/>
        <w:autoSpaceDN w:val="0"/>
        <w:adjustRightInd w:val="0"/>
        <w:spacing w:line="360" w:lineRule="auto"/>
        <w:jc w:val="left"/>
        <w:rPr>
          <w:color w:val="000000"/>
        </w:rPr>
      </w:pPr>
      <w:r>
        <w:rPr>
          <w:color w:val="000000"/>
        </w:rPr>
        <w:t>注：1、首任基金经理的“任职日期”为基金合同生效日，非首任基金经理的“任职日期”为根据公司决定确定的聘任日期，基金经理的“离任日期”均为根据公司决定确定的解聘日期；2、证券从业年限的计算标准及含义遵从《证券业从业人员资格管理办法》的相关规定。</w:t>
      </w:r>
    </w:p>
    <w:p>
      <w:pPr>
        <w:autoSpaceDE w:val="0"/>
        <w:autoSpaceDN w:val="0"/>
        <w:adjustRightInd w:val="0"/>
        <w:spacing w:line="360" w:lineRule="auto"/>
        <w:jc w:val="left"/>
        <w:rPr>
          <w:b/>
          <w:bCs/>
          <w:color w:val="000000"/>
          <w:kern w:val="0"/>
        </w:rPr>
      </w:pPr>
      <w:r>
        <w:rPr>
          <w:b/>
          <w:bCs/>
          <w:color w:val="000000"/>
          <w:kern w:val="0"/>
        </w:rPr>
        <w:t>4.2 管理人对报告期内本基金运作遵规守信情况的说明</w:t>
      </w:r>
    </w:p>
    <w:p>
      <w:pPr>
        <w:spacing w:line="360" w:lineRule="auto"/>
        <w:ind w:firstLine="420" w:firstLineChars="200"/>
        <w:rPr>
          <w:color w:val="000000"/>
        </w:rPr>
      </w:pPr>
      <w:r>
        <w:rPr>
          <w:color w:val="000000"/>
        </w:rPr>
        <w:t>本报告期内，本基金管理人严格遵守《中华人民共和国证券投资基金法》、中国证监会的有关规则和其他有关法律法规的规定，严格遵循本基金基金合同，本着诚实信用、勤勉尽责的原则管理和运用基金资产，在严格控制风险的基础上，为基金份额持有人谋求最大利益。本报告期内，本基金运作合法合规，无损害基金份额持有人利益的行为。</w:t>
      </w:r>
    </w:p>
    <w:p>
      <w:pPr>
        <w:autoSpaceDE w:val="0"/>
        <w:autoSpaceDN w:val="0"/>
        <w:adjustRightInd w:val="0"/>
        <w:spacing w:line="360" w:lineRule="auto"/>
        <w:jc w:val="left"/>
        <w:rPr>
          <w:b/>
          <w:bCs/>
          <w:color w:val="000000"/>
          <w:kern w:val="0"/>
        </w:rPr>
      </w:pPr>
      <w:r>
        <w:rPr>
          <w:b/>
          <w:bCs/>
          <w:color w:val="000000"/>
          <w:kern w:val="0"/>
        </w:rPr>
        <w:t>4.3 公平交易专项说明</w:t>
      </w:r>
    </w:p>
    <w:p>
      <w:pPr>
        <w:spacing w:line="360" w:lineRule="auto"/>
        <w:rPr>
          <w:color w:val="000000"/>
        </w:rPr>
      </w:pPr>
      <w:r>
        <w:rPr>
          <w:color w:val="000000"/>
        </w:rPr>
        <w:t>4.3.1 公平交易制度的执行情况</w:t>
      </w:r>
    </w:p>
    <w:p>
      <w:pPr>
        <w:spacing w:line="360" w:lineRule="auto"/>
        <w:ind w:firstLine="420" w:firstLineChars="200"/>
        <w:rPr>
          <w:color w:val="000000"/>
        </w:rPr>
      </w:pPr>
      <w:r>
        <w:rPr>
          <w:color w:val="000000"/>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pPr>
        <w:spacing w:line="360" w:lineRule="auto"/>
        <w:ind w:firstLine="420" w:firstLineChars="200"/>
        <w:rPr>
          <w:color w:val="000000"/>
        </w:rPr>
      </w:pPr>
      <w:r>
        <w:rPr>
          <w:color w:val="000000"/>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pPr>
        <w:spacing w:line="360" w:lineRule="auto"/>
        <w:rPr>
          <w:color w:val="000000"/>
        </w:rPr>
      </w:pPr>
      <w:r>
        <w:rPr>
          <w:color w:val="000000"/>
        </w:rPr>
        <w:t>4.3.2 异常交易行为的专项说明</w:t>
      </w:r>
    </w:p>
    <w:p>
      <w:pPr>
        <w:spacing w:line="360" w:lineRule="auto"/>
        <w:ind w:firstLine="420" w:firstLineChars="200"/>
        <w:rPr>
          <w:color w:val="000000"/>
        </w:rPr>
      </w:pPr>
      <w:r>
        <w:rPr>
          <w:color w:val="000000"/>
        </w:rPr>
        <w:t>本报告期内，本基金未发现异常交易行为。</w:t>
      </w:r>
    </w:p>
    <w:p>
      <w:pPr>
        <w:spacing w:line="360" w:lineRule="auto"/>
        <w:ind w:firstLine="420" w:firstLineChars="200"/>
        <w:rPr>
          <w:color w:val="000000"/>
        </w:rPr>
      </w:pPr>
      <w:r>
        <w:rPr>
          <w:color w:val="000000"/>
        </w:rPr>
        <w:t>本报告期内，基金管理人未发生所有投资组合参与的交易所公开竞价同日反向交易成交较少的单边交易量超过该证券当日成交量的5%的情况。</w:t>
      </w:r>
    </w:p>
    <w:p>
      <w:pPr>
        <w:autoSpaceDE w:val="0"/>
        <w:autoSpaceDN w:val="0"/>
        <w:adjustRightInd w:val="0"/>
        <w:spacing w:line="360" w:lineRule="auto"/>
        <w:jc w:val="left"/>
        <w:rPr>
          <w:b/>
          <w:bCs/>
          <w:color w:val="000000"/>
          <w:kern w:val="0"/>
        </w:rPr>
      </w:pPr>
      <w:r>
        <w:rPr>
          <w:b/>
          <w:bCs/>
          <w:color w:val="000000"/>
          <w:kern w:val="0"/>
        </w:rPr>
        <w:t>4.4 报告期内基金投资策略和运作分析</w:t>
      </w:r>
    </w:p>
    <w:p>
      <w:pPr>
        <w:spacing w:line="360" w:lineRule="auto"/>
        <w:ind w:firstLine="420" w:firstLineChars="200"/>
        <w:rPr>
          <w:color w:val="000000"/>
        </w:rPr>
      </w:pPr>
      <w:r>
        <w:rPr>
          <w:color w:val="000000"/>
        </w:rPr>
        <w:t>1. 宏观经济分析</w:t>
      </w:r>
    </w:p>
    <w:p>
      <w:pPr>
        <w:spacing w:line="360" w:lineRule="auto"/>
        <w:ind w:firstLine="420" w:firstLineChars="200"/>
        <w:rPr>
          <w:color w:val="000000"/>
        </w:rPr>
      </w:pPr>
      <w:r>
        <w:rPr>
          <w:color w:val="000000"/>
        </w:rPr>
        <w:t>国外经济方面，全球经济普遍存在下行压力，主要经济体央行均释放宽松信号，美国经济韧性一定程度超预期，欧洲经济景气度加速下滑，日本经济大幅走弱。从领先指标来看，美国经济景气度小幅回升超出预期，一季度美国ISM制造业PMI指数从2018年底的54.3回升至55.3，虽然美国2月非农就业大幅不及预期，但失业率仍保持低位，核心通胀整体相弱，给美联储进一步转向宽松留出了空间。欧元区经济景气度大幅下滑，一季度制造业PMI指数从2018年底的51.4大幅下行至47.6，创2013年4月以来新低，欧洲主要经济体通胀仍较疲软，欧央行前瞻指引中已排除2019年加息可能，并将在9月启动新一轮TLTROs释放流动性。日本经济继续承压，一季度制造业PMI指数从2018年底的52.6显著回落至49.2，2016年8月以来首次跌破荣枯线，同时通胀持续走低。综合来看，美国经济预计缓慢走弱，美联储2019年停止加息可能性仍高，且可能提前结束缩表；欧洲经济未见企稳迹象，德国经济前景不确定性增加；日本经济在通胀低迷、外需不振的影响下复苏前景不佳。</w:t>
      </w:r>
    </w:p>
    <w:p>
      <w:pPr>
        <w:spacing w:line="360" w:lineRule="auto"/>
        <w:ind w:firstLine="420" w:firstLineChars="200"/>
        <w:rPr>
          <w:color w:val="000000"/>
        </w:rPr>
      </w:pPr>
      <w:r>
        <w:rPr>
          <w:color w:val="000000"/>
        </w:rPr>
        <w:t>国内经济方面，全球经济下滑叠加贸易战影响下外需趋弱，但在金融条件趋松和政策节奏提前的影响下，经济基本面预期出现边际改善。具体来看，一季度领先指标中采制造业PMI反弹1.1个百分点至50.5，同步指标工业增加值1-2月同比增长5.3%，较2018年末回落0.9个百分点。从经济增长动力来看，出口受贸易战冲击明显，消费低位企稳，投资小幅回升：2月美元计价出口增速较2018年末回落至-20.8%左右，1-2月消费增速较2018年末持平至8.2%；制造业投资高位回落，房地产投资暂时反弹，基建投资延续反弹，1-2月固定资产投资增速较2018年末继续小幅回升至6.1%的水平。通胀方面，CPI短期见底，2月同比增速下行至1.5%，PPI在工业价格走低及基数效应下延续回落，2月同比增速较2018年末回落至0.1%。</w:t>
      </w:r>
    </w:p>
    <w:p>
      <w:pPr>
        <w:spacing w:line="360" w:lineRule="auto"/>
        <w:ind w:firstLine="420" w:firstLineChars="200"/>
        <w:rPr>
          <w:color w:val="000000"/>
        </w:rPr>
      </w:pPr>
      <w:r>
        <w:rPr>
          <w:color w:val="000000"/>
        </w:rPr>
        <w:t/>
      </w:r>
    </w:p>
    <w:p>
      <w:pPr>
        <w:spacing w:line="360" w:lineRule="auto"/>
        <w:ind w:firstLine="420" w:firstLineChars="200"/>
        <w:rPr>
          <w:color w:val="000000"/>
        </w:rPr>
      </w:pPr>
      <w:r>
        <w:rPr>
          <w:color w:val="000000"/>
        </w:rPr>
        <w:t>2. 市场回顾</w:t>
      </w:r>
    </w:p>
    <w:p>
      <w:pPr>
        <w:spacing w:line="360" w:lineRule="auto"/>
        <w:ind w:firstLine="420" w:firstLineChars="200"/>
        <w:rPr>
          <w:color w:val="000000"/>
        </w:rPr>
      </w:pPr>
      <w:r>
        <w:rPr>
          <w:color w:val="000000"/>
        </w:rPr>
        <w:t>债券市场方面，一季度债市各品种均出现上涨。其中，一季度中债总全价指数上涨0.15%，中债银行间国债全价指数上涨0.55%，中债企业债总全价指数上涨0.57%。在收益率曲线上，一季度收益率曲线走势小幅陡峭化。其中，一季度10年期国债收益率从3.23%的水平下行16个bp至3.07%，10年期金融债（国开）收益率从3.64%下行6个bp至3.58%。货币市场方面，一季度央行货币政策整体中性偏宽松，资金面延续总体宽松偶尔时点紧张的格局。其中，一季度银行间1天回购加权平均利率均值在2.22%左右，较上季度均值下行17bp，银行间7天回购利率均值在2.66%左右，较上季度均值下行18bp。</w:t>
      </w:r>
    </w:p>
    <w:p>
      <w:pPr>
        <w:spacing w:line="360" w:lineRule="auto"/>
        <w:ind w:firstLine="420" w:firstLineChars="200"/>
        <w:rPr>
          <w:color w:val="000000"/>
        </w:rPr>
      </w:pPr>
      <w:r>
        <w:rPr>
          <w:color w:val="000000"/>
        </w:rPr>
        <w:t>可转债方面，一季度中证转债指数上涨17.48%，主要受益于权益市场在一季度大幅反弹，同时转债估值较前期低位小幅提升。个券方面，特发转债、广电转债、天马转债等中小品种整体表现相对较好，分别上涨72.51%、64.27%、49.78%。从市场波动情况看，供给端虽然放量，但权益市场的上行几乎完全主导了转债市场的波动。展望后市，股市整体尚处在低估值区间、债市机会成本低、配置资金流入等积极因素仍无实质性的变化，在权益市场整体走强、个股活跃度已经提升的背景下，继续积极参与仍是最优策略，同时随着品种的持续丰富，市场结构性机会带来的择券空间将继续增加。</w:t>
      </w:r>
    </w:p>
    <w:p>
      <w:pPr>
        <w:spacing w:line="360" w:lineRule="auto"/>
        <w:ind w:firstLine="420" w:firstLineChars="200"/>
        <w:rPr>
          <w:color w:val="000000"/>
        </w:rPr>
      </w:pPr>
      <w:r>
        <w:rPr>
          <w:color w:val="000000"/>
        </w:rPr>
        <w:t>股票市场方面，一季度上证综指上涨23.93%，代表大盘股表现的沪深300指数上涨28.62%，中小板综合指数上涨33.79%，创业板综合指数上涨33.43%。</w:t>
      </w:r>
    </w:p>
    <w:p>
      <w:pPr>
        <w:spacing w:line="360" w:lineRule="auto"/>
        <w:ind w:firstLine="420" w:firstLineChars="200"/>
        <w:rPr>
          <w:color w:val="000000"/>
        </w:rPr>
      </w:pPr>
      <w:r>
        <w:rPr>
          <w:color w:val="000000"/>
        </w:rPr>
        <w:t/>
      </w:r>
    </w:p>
    <w:p>
      <w:pPr>
        <w:spacing w:line="360" w:lineRule="auto"/>
        <w:ind w:firstLine="420" w:firstLineChars="200"/>
        <w:rPr>
          <w:color w:val="000000"/>
        </w:rPr>
      </w:pPr>
      <w:r>
        <w:rPr>
          <w:color w:val="000000"/>
        </w:rPr>
        <w:t>3. 运行分析</w:t>
      </w:r>
    </w:p>
    <w:p>
      <w:pPr>
        <w:spacing w:line="360" w:lineRule="auto"/>
        <w:ind w:firstLine="420" w:firstLineChars="200"/>
        <w:rPr>
          <w:color w:val="000000"/>
        </w:rPr>
      </w:pPr>
      <w:bookmarkStart w:id="0" w:name="_GoBack"/>
      <w:bookmarkEnd w:id="0"/>
      <w:r>
        <w:rPr>
          <w:color w:val="000000"/>
        </w:rPr>
        <w:t>本基金在年初积极参与了权益市场的反弹，债券组合维持高等级短久期，基金净值取得了较大幅度的上涨，但由于2月上旬本基金即将清盘，因此在2月初本基金清仓了组合。</w:t>
      </w:r>
    </w:p>
    <w:p>
      <w:pPr>
        <w:spacing w:line="360" w:lineRule="auto"/>
        <w:rPr>
          <w:b/>
          <w:bCs/>
        </w:rPr>
      </w:pPr>
      <w:r>
        <w:rPr>
          <w:b/>
          <w:bCs/>
        </w:rPr>
        <w:t>4.</w:t>
      </w:r>
      <w:r>
        <w:rPr>
          <w:rFonts w:hint="eastAsia"/>
          <w:b/>
          <w:bCs/>
          <w:lang w:eastAsia="zh-CN" w:val="en-US"/>
        </w:rPr>
        <w:t>5</w:t>
      </w:r>
      <w:r>
        <w:rPr>
          <w:b/>
          <w:bCs/>
        </w:rPr>
        <w:t>报告期内基金的业绩表现</w:t>
      </w:r>
    </w:p>
    <w:p>
      <w:pPr>
        <w:spacing w:line="360" w:lineRule="auto"/>
        <w:ind w:firstLine="420" w:firstLineChars="200"/>
        <w:rPr>
          <w:color w:val="000000"/>
        </w:rPr>
      </w:pPr>
      <w:r>
        <w:rPr>
          <w:color w:val="000000"/>
        </w:rPr>
        <w:t>本基金本报告期内基金份额净值增长率为3.06%，同期业绩比较基准收益率为0.47%。</w:t>
      </w:r>
    </w:p>
    <w:p>
      <w:pPr>
        <w:autoSpaceDE w:val="0"/>
        <w:autoSpaceDN w:val="0"/>
        <w:adjustRightInd w:val="0"/>
        <w:spacing w:line="360" w:lineRule="auto"/>
        <w:jc w:val="left"/>
        <w:rPr>
          <w:b/>
          <w:bCs/>
          <w:color w:val="000000"/>
          <w:kern w:val="0"/>
        </w:rPr>
      </w:pPr>
      <w:r>
        <w:rPr>
          <w:b/>
          <w:bCs/>
          <w:color w:val="000000"/>
          <w:kern w:val="0"/>
        </w:rPr>
        <w:t>4.6报告期内基金持有人数或基金资产净值预警说明</w:t>
      </w:r>
    </w:p>
    <w:p>
      <w:pPr>
        <w:spacing w:line="360" w:lineRule="auto"/>
        <w:ind w:firstLine="420" w:firstLineChars="200"/>
        <w:rPr>
          <w:color w:val="000000"/>
        </w:rPr>
      </w:pPr>
      <w:r>
        <w:rPr>
          <w:color w:val="000000"/>
        </w:rPr>
        <w:t>截至本报告期末，本基金已连续超过60个工作日出现基金资产净值低于5000万元的情形。</w:t>
      </w:r>
    </w:p>
    <w:p>
      <w:pPr>
        <w:pStyle w:val="2"/>
        <w:spacing w:after="0" w:before="0" w:line="360" w:lineRule="auto"/>
        <w:jc w:val="center"/>
        <w:rPr>
          <w:color w:val="000000"/>
          <w:kern w:val="0"/>
          <w:sz w:val="24"/>
          <w:szCs w:val="24"/>
        </w:rPr>
      </w:pPr>
      <w:r>
        <w:rPr>
          <w:color w:val="000000"/>
          <w:kern w:val="0"/>
          <w:sz w:val="24"/>
          <w:szCs w:val="24"/>
        </w:rPr>
        <w:t>§5  投资组合报告</w:t>
      </w:r>
    </w:p>
    <w:p>
      <w:pPr>
        <w:autoSpaceDE w:val="0"/>
        <w:autoSpaceDN w:val="0"/>
        <w:adjustRightInd w:val="0"/>
        <w:spacing w:line="360" w:lineRule="auto"/>
        <w:jc w:val="left"/>
        <w:rPr>
          <w:b/>
          <w:bCs/>
          <w:color w:val="000000"/>
          <w:kern w:val="0"/>
          <w:sz w:val="24"/>
          <w:szCs w:val="24"/>
        </w:rPr>
      </w:pPr>
      <w:r>
        <w:rPr>
          <w:b/>
          <w:bCs/>
          <w:color w:val="000000"/>
          <w:kern w:val="0"/>
          <w:sz w:val="24"/>
          <w:szCs w:val="24"/>
        </w:rPr>
        <w:t>5.1 报告期末基金资产组合情况</w:t>
      </w:r>
    </w:p>
    <w:tbl>
      <w:tblPr>
        <w:tblStyle w:val="29"/>
        <w:tblW w:type="dxa" w:w="9082"/>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209"/>
        <w:gridCol w:w="2977"/>
        <w:gridCol w:w="217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序号</w:t>
            </w:r>
          </w:p>
        </w:tc>
        <w:tc>
          <w:tcPr>
            <w:tcW w:type="dxa" w:w="3209"/>
            <w:vAlign w:val="center"/>
          </w:tcPr>
          <w:p>
            <w:pPr>
              <w:spacing w:before="29"/>
              <w:ind w:left="17"/>
              <w:jc w:val="center"/>
              <w:rPr>
                <w:color w:val="000000"/>
                <w:kern w:val="0"/>
              </w:rPr>
            </w:pPr>
            <w:r>
              <w:rPr>
                <w:color w:val="000000"/>
                <w:kern w:val="0"/>
              </w:rPr>
              <w:t>项目</w:t>
            </w:r>
          </w:p>
        </w:tc>
        <w:tc>
          <w:tcPr>
            <w:tcW w:type="dxa" w:w="2977"/>
            <w:vAlign w:val="center"/>
          </w:tcPr>
          <w:p>
            <w:pPr>
              <w:spacing w:before="29"/>
              <w:ind w:left="17"/>
              <w:jc w:val="center"/>
              <w:rPr>
                <w:color w:val="000000"/>
                <w:kern w:val="0"/>
              </w:rPr>
            </w:pPr>
            <w:r>
              <w:rPr>
                <w:color w:val="000000"/>
                <w:kern w:val="0"/>
              </w:rPr>
              <w:t>金额(元)</w:t>
            </w:r>
          </w:p>
        </w:tc>
        <w:tc>
          <w:tcPr>
            <w:tcW w:type="dxa" w:w="2176"/>
            <w:vAlign w:val="center"/>
          </w:tcPr>
          <w:p>
            <w:pPr>
              <w:spacing w:before="29"/>
              <w:ind w:left="17"/>
              <w:jc w:val="center"/>
              <w:rPr>
                <w:color w:val="000000"/>
                <w:kern w:val="0"/>
              </w:rPr>
            </w:pPr>
            <w:r>
              <w:rPr>
                <w:color w:val="000000"/>
                <w:kern w:val="0"/>
              </w:rPr>
              <w:t>占基金总资产的比例(%)</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1</w:t>
            </w:r>
          </w:p>
        </w:tc>
        <w:tc>
          <w:tcPr>
            <w:tcW w:type="dxa" w:w="3209"/>
            <w:vAlign w:val="center"/>
          </w:tcPr>
          <w:p>
            <w:pPr>
              <w:spacing w:before="29"/>
              <w:ind w:left="17"/>
              <w:jc w:val="left"/>
              <w:rPr>
                <w:kern w:val="0"/>
              </w:rPr>
            </w:pPr>
            <w:r>
              <w:rPr>
                <w:color w:val="000000"/>
                <w:kern w:val="0"/>
              </w:rPr>
              <w:t>权益投资</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p>
        </w:tc>
        <w:tc>
          <w:tcPr>
            <w:tcW w:type="dxa" w:w="3209"/>
            <w:vAlign w:val="center"/>
          </w:tcPr>
          <w:p>
            <w:pPr>
              <w:spacing w:before="29"/>
              <w:ind w:left="17"/>
              <w:jc w:val="left"/>
              <w:rPr>
                <w:kern w:val="0"/>
              </w:rPr>
            </w:pPr>
            <w:r>
              <w:rPr>
                <w:color w:val="000000"/>
                <w:kern w:val="0"/>
              </w:rPr>
              <w:t>其中：股票</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2</w:t>
            </w:r>
          </w:p>
        </w:tc>
        <w:tc>
          <w:tcPr>
            <w:tcW w:type="dxa" w:w="3209"/>
            <w:vAlign w:val="center"/>
          </w:tcPr>
          <w:p>
            <w:pPr>
              <w:spacing w:before="29"/>
              <w:ind w:left="17"/>
              <w:jc w:val="left"/>
              <w:rPr>
                <w:kern w:val="0"/>
              </w:rPr>
            </w:pPr>
            <w:r>
              <w:rPr>
                <w:color w:val="000000"/>
                <w:kern w:val="0"/>
              </w:rPr>
              <w:t>固定收益投资</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p>
        </w:tc>
        <w:tc>
          <w:tcPr>
            <w:tcW w:type="dxa" w:w="3209"/>
            <w:vAlign w:val="center"/>
          </w:tcPr>
          <w:p>
            <w:pPr>
              <w:spacing w:before="29"/>
              <w:ind w:left="17"/>
              <w:jc w:val="left"/>
              <w:rPr>
                <w:kern w:val="0"/>
              </w:rPr>
            </w:pPr>
            <w:r>
              <w:rPr>
                <w:color w:val="000000"/>
                <w:kern w:val="0"/>
              </w:rPr>
              <w:t>其中：债券</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p>
        </w:tc>
        <w:tc>
          <w:tcPr>
            <w:tcW w:type="dxa" w:w="3209"/>
            <w:vAlign w:val="center"/>
          </w:tcPr>
          <w:p>
            <w:pPr>
              <w:autoSpaceDE w:val="0"/>
              <w:autoSpaceDN w:val="0"/>
              <w:adjustRightInd w:val="0"/>
              <w:spacing w:before="29"/>
              <w:ind w:left="17"/>
              <w:jc w:val="left"/>
              <w:rPr>
                <w:color w:val="000000"/>
                <w:kern w:val="0"/>
              </w:rPr>
            </w:pPr>
            <w:r>
              <w:rPr>
                <w:color w:val="000000"/>
                <w:kern w:val="0"/>
              </w:rPr>
              <w:t>资产支持证券</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ind w:left="17"/>
              <w:jc w:val="center"/>
              <w:rPr>
                <w:color w:val="000000"/>
                <w:kern w:val="0"/>
              </w:rPr>
            </w:pPr>
            <w:r>
              <w:rPr>
                <w:color w:val="000000"/>
                <w:kern w:val="0"/>
              </w:rPr>
              <w:t>3</w:t>
            </w:r>
          </w:p>
        </w:tc>
        <w:tc>
          <w:tcPr>
            <w:tcW w:type="dxa" w:w="3209"/>
          </w:tcPr>
          <w:p>
            <w:pPr>
              <w:spacing w:before="29"/>
              <w:ind w:left="105" w:leftChars="50"/>
              <w:rPr>
                <w:color w:val="000000"/>
                <w:kern w:val="0"/>
              </w:rPr>
            </w:pPr>
            <w:r>
              <w:rPr>
                <w:color w:val="000000"/>
                <w:kern w:val="0"/>
              </w:rPr>
              <w:t>贵金属投资</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4</w:t>
            </w:r>
          </w:p>
        </w:tc>
        <w:tc>
          <w:tcPr>
            <w:tcW w:type="dxa" w:w="3209"/>
            <w:vAlign w:val="center"/>
          </w:tcPr>
          <w:p>
            <w:pPr>
              <w:spacing w:before="29"/>
              <w:ind w:left="17"/>
              <w:jc w:val="left"/>
              <w:rPr>
                <w:color w:val="000000"/>
                <w:kern w:val="0"/>
              </w:rPr>
            </w:pPr>
            <w:r>
              <w:rPr>
                <w:color w:val="000000"/>
                <w:kern w:val="0"/>
              </w:rPr>
              <w:t>金融衍生品投资</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5</w:t>
            </w:r>
          </w:p>
        </w:tc>
        <w:tc>
          <w:tcPr>
            <w:tcW w:type="dxa" w:w="3209"/>
            <w:vAlign w:val="center"/>
          </w:tcPr>
          <w:p>
            <w:pPr>
              <w:spacing w:before="29"/>
              <w:ind w:left="17"/>
              <w:jc w:val="left"/>
              <w:rPr>
                <w:kern w:val="0"/>
              </w:rPr>
            </w:pPr>
            <w:r>
              <w:rPr>
                <w:color w:val="000000"/>
                <w:kern w:val="0"/>
              </w:rPr>
              <w:t>买入返售金融资产</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p>
        </w:tc>
        <w:tc>
          <w:tcPr>
            <w:tcW w:type="dxa" w:w="3209"/>
            <w:vAlign w:val="center"/>
          </w:tcPr>
          <w:p>
            <w:pPr>
              <w:spacing w:before="29"/>
              <w:ind w:left="17"/>
              <w:jc w:val="left"/>
              <w:rPr>
                <w:kern w:val="0"/>
              </w:rPr>
            </w:pPr>
            <w:r>
              <w:rPr>
                <w:color w:val="000000"/>
                <w:kern w:val="0"/>
              </w:rPr>
              <w:t>其中：买断式回购的买入返售金融资产</w:t>
            </w:r>
          </w:p>
        </w:tc>
        <w:tc>
          <w:tcPr>
            <w:tcW w:type="dxa" w:w="2977"/>
            <w:vAlign w:val="center"/>
          </w:tcPr>
          <w:p>
            <w:pPr>
              <w:spacing w:before="29"/>
              <w:ind w:left="17"/>
              <w:jc w:val="right"/>
              <w:rPr>
                <w:color w:val="000000"/>
                <w:kern w:val="0"/>
              </w:rPr>
            </w:pPr>
            <w:r>
              <w:rPr>
                <w:color w:val="000000"/>
                <w:kern w:val="0"/>
              </w:rPr>
              <w:t>-</w:t>
            </w:r>
          </w:p>
        </w:tc>
        <w:tc>
          <w:tcPr>
            <w:tcW w:type="dxa" w:w="2176"/>
            <w:vAlign w:val="center"/>
          </w:tcPr>
          <w:p>
            <w:pPr>
              <w:spacing w:before="29"/>
              <w:ind w:left="17"/>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6</w:t>
            </w:r>
          </w:p>
        </w:tc>
        <w:tc>
          <w:tcPr>
            <w:tcW w:type="dxa" w:w="3209"/>
            <w:vAlign w:val="center"/>
          </w:tcPr>
          <w:p>
            <w:pPr>
              <w:spacing w:before="29"/>
              <w:ind w:left="17"/>
              <w:jc w:val="left"/>
              <w:rPr>
                <w:kern w:val="0"/>
              </w:rPr>
            </w:pPr>
            <w:r>
              <w:rPr>
                <w:color w:val="000000"/>
                <w:kern w:val="0"/>
              </w:rPr>
              <w:t>银行存款和结算备付金合计</w:t>
            </w:r>
          </w:p>
        </w:tc>
        <w:tc>
          <w:tcPr>
            <w:tcW w:type="dxa" w:w="2977"/>
            <w:vAlign w:val="center"/>
          </w:tcPr>
          <w:p>
            <w:pPr>
              <w:spacing w:before="29"/>
              <w:ind w:left="17"/>
              <w:jc w:val="right"/>
              <w:rPr>
                <w:color w:val="000000"/>
                <w:kern w:val="0"/>
              </w:rPr>
            </w:pPr>
            <w:r>
              <w:rPr>
                <w:color w:val="000000"/>
                <w:kern w:val="0"/>
              </w:rPr>
              <w:t>7,701,257.98</w:t>
            </w:r>
          </w:p>
        </w:tc>
        <w:tc>
          <w:tcPr>
            <w:tcW w:type="dxa" w:w="2176"/>
            <w:vAlign w:val="center"/>
          </w:tcPr>
          <w:p>
            <w:pPr>
              <w:spacing w:before="29"/>
              <w:ind w:left="17"/>
              <w:jc w:val="right"/>
              <w:rPr>
                <w:color w:val="000000"/>
                <w:kern w:val="0"/>
              </w:rPr>
            </w:pPr>
            <w:r>
              <w:rPr>
                <w:color w:val="000000"/>
                <w:kern w:val="0"/>
              </w:rPr>
              <w:t>99.98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7</w:t>
            </w:r>
          </w:p>
        </w:tc>
        <w:tc>
          <w:tcPr>
            <w:tcW w:type="dxa" w:w="3209"/>
            <w:vAlign w:val="center"/>
          </w:tcPr>
          <w:p>
            <w:pPr>
              <w:jc w:val="left"/>
              <w:rPr>
                <w:kern w:val="0"/>
              </w:rPr>
            </w:pPr>
            <w:r>
              <w:rPr>
                <w:color w:val="000000"/>
                <w:kern w:val="0"/>
              </w:rPr>
              <w:t>其他各项资产</w:t>
            </w:r>
          </w:p>
        </w:tc>
        <w:tc>
          <w:tcPr>
            <w:tcW w:type="dxa" w:w="2977"/>
            <w:vAlign w:val="center"/>
          </w:tcPr>
          <w:p>
            <w:pPr>
              <w:jc w:val="right"/>
              <w:rPr>
                <w:color w:val="000000"/>
                <w:kern w:val="0"/>
              </w:rPr>
            </w:pPr>
            <w:r>
              <w:rPr>
                <w:color w:val="000000"/>
                <w:kern w:val="0"/>
              </w:rPr>
              <w:t>1,694.33</w:t>
            </w:r>
          </w:p>
        </w:tc>
        <w:tc>
          <w:tcPr>
            <w:tcW w:type="dxa" w:w="2176"/>
            <w:vAlign w:val="center"/>
          </w:tcPr>
          <w:p>
            <w:pPr>
              <w:jc w:val="right"/>
              <w:rPr>
                <w:color w:val="000000"/>
                <w:kern w:val="0"/>
              </w:rPr>
            </w:pPr>
            <w:r>
              <w:rPr>
                <w:color w:val="000000"/>
                <w:kern w:val="0"/>
              </w:rPr>
              <w:t>0.02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ind w:left="17"/>
              <w:jc w:val="center"/>
              <w:rPr>
                <w:color w:val="000000"/>
                <w:kern w:val="0"/>
              </w:rPr>
            </w:pPr>
            <w:r>
              <w:rPr>
                <w:color w:val="000000"/>
                <w:kern w:val="0"/>
              </w:rPr>
              <w:t>8</w:t>
            </w:r>
          </w:p>
        </w:tc>
        <w:tc>
          <w:tcPr>
            <w:tcW w:type="dxa" w:w="3209"/>
            <w:vAlign w:val="center"/>
          </w:tcPr>
          <w:p>
            <w:pPr>
              <w:jc w:val="left"/>
              <w:rPr>
                <w:kern w:val="0"/>
              </w:rPr>
            </w:pPr>
            <w:r>
              <w:rPr>
                <w:color w:val="000000"/>
                <w:kern w:val="0"/>
              </w:rPr>
              <w:t>合计</w:t>
            </w:r>
          </w:p>
        </w:tc>
        <w:tc>
          <w:tcPr>
            <w:tcW w:type="dxa" w:w="2977"/>
            <w:vAlign w:val="center"/>
          </w:tcPr>
          <w:p>
            <w:pPr>
              <w:jc w:val="right"/>
              <w:rPr>
                <w:color w:val="000000"/>
                <w:kern w:val="0"/>
              </w:rPr>
            </w:pPr>
            <w:r>
              <w:rPr>
                <w:color w:val="000000"/>
                <w:kern w:val="0"/>
              </w:rPr>
              <w:t>7,702,952.31</w:t>
            </w:r>
          </w:p>
        </w:tc>
        <w:tc>
          <w:tcPr>
            <w:tcW w:type="dxa" w:w="2176"/>
            <w:vAlign w:val="center"/>
          </w:tcPr>
          <w:p>
            <w:pPr>
              <w:jc w:val="right"/>
              <w:rPr>
                <w:color w:val="000000"/>
                <w:kern w:val="0"/>
              </w:rPr>
            </w:pPr>
            <w:r>
              <w:rPr>
                <w:color w:val="000000"/>
                <w:kern w:val="0"/>
              </w:rPr>
              <w:t>100.00</w:t>
            </w:r>
          </w:p>
        </w:tc>
      </w:tr>
    </w:tbl>
    <w:p>
      <w:pPr>
        <w:autoSpaceDE w:val="0"/>
        <w:autoSpaceDN w:val="0"/>
        <w:adjustRightInd w:val="0"/>
        <w:spacing w:line="360" w:lineRule="auto"/>
        <w:jc w:val="left"/>
        <w:rPr>
          <w:b/>
          <w:bCs/>
          <w:color w:val="000000"/>
          <w:kern w:val="0"/>
        </w:rPr>
      </w:pPr>
      <w:r>
        <w:rPr>
          <w:b/>
          <w:bCs/>
          <w:color w:val="000000"/>
          <w:kern w:val="0"/>
        </w:rPr>
        <w:t>5.2 报告期末按行业分类的股票投资组合</w:t>
      </w:r>
    </w:p>
    <w:p>
      <w:pPr>
        <w:spacing w:line="360" w:lineRule="auto"/>
        <w:rPr>
          <w:b/>
        </w:rPr>
      </w:pPr>
      <w:r>
        <w:rPr>
          <w:b/>
          <w:color w:themeColor="text1" w:val="000000"/>
        </w:rPr>
        <w:t/>
      </w:r>
      <w:r>
        <w:rPr>
          <w:rFonts w:eastAsiaTheme="minorEastAsia" w:hint="eastAsia"/>
          <w:b/>
          <w:color w:themeColor="text1" w:val="000000"/>
          <w:kern w:val="0"/>
        </w:rPr>
        <w:t>5.2.1报告期末按行业分类的境内股票投资组合</w:t>
      </w:r>
    </w:p>
    <w:p>
      <w:pPr>
        <w:autoSpaceDE w:val="0"/>
        <w:autoSpaceDN w:val="0"/>
        <w:adjustRightInd w:val="0"/>
        <w:spacing w:line="360" w:lineRule="auto"/>
        <w:jc w:val="left"/>
        <w:rPr>
          <w:color w:val="000000"/>
        </w:rPr>
      </w:pPr>
      <w:r>
        <w:rPr>
          <w:color w:val="000000"/>
        </w:rPr>
        <w:t>本基金本报告期末未持有股票。</w:t>
      </w:r>
    </w:p>
    <w:p>
      <w:pPr>
        <w:spacing w:line="360" w:lineRule="auto"/>
        <w:jc w:val="left"/>
        <w:rPr>
          <w:rFonts w:asciiTheme="minorEastAsia" w:eastAsiaTheme="minorEastAsia" w:hAnsiTheme="minorEastAsia"/>
          <w:b/>
          <w:bCs/>
          <w:color w:themeColor="text1" w:val="000000"/>
          <w:kern w:val="0"/>
        </w:rPr>
      </w:pPr>
      <w:r>
        <w:rPr>
          <w:rFonts w:asciiTheme="minorEastAsia" w:eastAsiaTheme="minorEastAsia" w:hAnsiTheme="minorEastAsia"/>
          <w:b/>
          <w:bCs/>
          <w:color w:themeColor="text1" w:val="000000"/>
          <w:kern w:val="0"/>
        </w:rPr>
        <w:t/>
      </w:r>
      <w:r>
        <w:rPr>
          <w:rFonts w:asciiTheme="minorEastAsia" w:eastAsiaTheme="minorEastAsia" w:hAnsiTheme="minorEastAsia" w:hint="eastAsia"/>
          <w:b/>
          <w:bCs/>
          <w:color w:themeColor="text1" w:val="000000"/>
          <w:kern w:val="0"/>
        </w:rPr>
        <w:t>5.2.2报告期末按行业分类的港股通投资股票投资组合</w:t>
      </w:r>
    </w:p>
    <w:p>
      <w:pPr>
        <w:spacing w:line="360" w:lineRule="auto"/>
        <w:ind w:left="17"/>
        <w:rPr>
          <w:color w:val="000000"/>
        </w:rPr>
      </w:pPr>
      <w:r>
        <w:rPr>
          <w:color w:val="000000"/>
        </w:rPr>
        <w:t>本基金本报告期末未持有港股通投资股票。</w:t>
      </w:r>
    </w:p>
    <w:p>
      <w:pPr>
        <w:autoSpaceDE w:val="0"/>
        <w:autoSpaceDN w:val="0"/>
        <w:adjustRightInd w:val="0"/>
        <w:spacing w:line="360" w:lineRule="auto"/>
        <w:jc w:val="left"/>
        <w:rPr>
          <w:b/>
          <w:bCs/>
          <w:color w:val="000000"/>
          <w:kern w:val="0"/>
        </w:rPr>
      </w:pPr>
      <w:r>
        <w:rPr>
          <w:b/>
          <w:bCs/>
          <w:color w:val="000000"/>
          <w:kern w:val="0"/>
        </w:rPr>
        <w:t>5.3 报告期末按公允价值占基金资产净值比例大小排序的前十名股票投资明细</w:t>
      </w:r>
    </w:p>
    <w:p>
      <w:pPr>
        <w:autoSpaceDE w:val="0"/>
        <w:autoSpaceDN w:val="0"/>
        <w:adjustRightInd w:val="0"/>
        <w:spacing w:line="360" w:lineRule="auto"/>
        <w:jc w:val="left"/>
        <w:rPr>
          <w:color w:val="000000"/>
        </w:rPr>
      </w:pPr>
      <w:r>
        <w:rPr>
          <w:color w:val="000000"/>
        </w:rPr>
        <w:t>本基金本报告期末未持有股票。</w:t>
      </w:r>
    </w:p>
    <w:p>
      <w:pPr>
        <w:autoSpaceDE w:val="0"/>
        <w:autoSpaceDN w:val="0"/>
        <w:adjustRightInd w:val="0"/>
        <w:spacing w:line="360" w:lineRule="auto"/>
        <w:jc w:val="left"/>
        <w:rPr>
          <w:b/>
          <w:bCs/>
          <w:color w:val="000000"/>
          <w:kern w:val="0"/>
        </w:rPr>
      </w:pPr>
      <w:r>
        <w:rPr>
          <w:b/>
          <w:bCs/>
          <w:color w:val="000000"/>
          <w:kern w:val="0"/>
        </w:rPr>
        <w:t>5.4 报告期末按债券品种分类的债券投资组合</w:t>
      </w:r>
    </w:p>
    <w:p>
      <w:pPr>
        <w:autoSpaceDE w:val="0"/>
        <w:autoSpaceDN w:val="0"/>
        <w:adjustRightInd w:val="0"/>
        <w:spacing w:line="360" w:lineRule="auto"/>
        <w:jc w:val="left"/>
        <w:rPr>
          <w:color w:val="000000"/>
        </w:rPr>
      </w:pPr>
      <w:r>
        <w:rPr>
          <w:color w:val="000000"/>
        </w:rPr>
        <w:t>本基金本报告期末未持有债券。</w:t>
      </w:r>
    </w:p>
    <w:p>
      <w:pPr>
        <w:autoSpaceDE w:val="0"/>
        <w:autoSpaceDN w:val="0"/>
        <w:adjustRightInd w:val="0"/>
        <w:spacing w:line="360" w:lineRule="auto"/>
        <w:jc w:val="left"/>
        <w:rPr>
          <w:b/>
          <w:bCs/>
          <w:color w:val="000000"/>
          <w:kern w:val="0"/>
        </w:rPr>
      </w:pPr>
      <w:r>
        <w:rPr>
          <w:b/>
          <w:bCs/>
          <w:color w:val="000000"/>
          <w:kern w:val="0"/>
        </w:rPr>
        <w:t>5.5 报告期末按公允价值占基金资产净值比例大小排序的前五名债券投资明细</w:t>
      </w:r>
    </w:p>
    <w:p>
      <w:pPr>
        <w:autoSpaceDE w:val="0"/>
        <w:autoSpaceDN w:val="0"/>
        <w:adjustRightInd w:val="0"/>
        <w:spacing w:line="360" w:lineRule="auto"/>
        <w:jc w:val="left"/>
        <w:rPr>
          <w:color w:val="000000"/>
        </w:rPr>
      </w:pPr>
      <w:r>
        <w:rPr>
          <w:color w:val="000000"/>
        </w:rPr>
        <w:t>本基金本报告期末未持有债券。</w:t>
      </w:r>
    </w:p>
    <w:p>
      <w:pPr>
        <w:autoSpaceDE w:val="0"/>
        <w:autoSpaceDN w:val="0"/>
        <w:adjustRightInd w:val="0"/>
        <w:spacing w:line="360" w:lineRule="auto"/>
        <w:jc w:val="left"/>
        <w:rPr>
          <w:b/>
          <w:bCs/>
          <w:color w:val="000000"/>
          <w:kern w:val="0"/>
        </w:rPr>
      </w:pPr>
      <w:r>
        <w:rPr>
          <w:b/>
          <w:bCs/>
          <w:color w:val="000000"/>
          <w:kern w:val="0"/>
        </w:rPr>
        <w:t>5.6 报告期末按公允价值占基金资产净值比例大小排序的前十名资产支持证券投资明细</w:t>
      </w:r>
    </w:p>
    <w:p>
      <w:pPr>
        <w:autoSpaceDE w:val="0"/>
        <w:autoSpaceDN w:val="0"/>
        <w:adjustRightInd w:val="0"/>
        <w:spacing w:line="360" w:lineRule="auto"/>
        <w:jc w:val="left"/>
        <w:rPr>
          <w:color w:val="000000"/>
        </w:rPr>
      </w:pPr>
      <w:r>
        <w:rPr>
          <w:color w:val="000000"/>
        </w:rPr>
        <w:t>本基金本报告期末未持有资产支持证券。</w:t>
      </w:r>
    </w:p>
    <w:p>
      <w:pPr>
        <w:autoSpaceDE w:val="0"/>
        <w:autoSpaceDN w:val="0"/>
        <w:adjustRightInd w:val="0"/>
        <w:spacing w:line="360" w:lineRule="auto"/>
        <w:jc w:val="left"/>
        <w:rPr>
          <w:b/>
          <w:bCs/>
          <w:color w:val="000000"/>
          <w:kern w:val="0"/>
        </w:rPr>
      </w:pPr>
      <w:r>
        <w:rPr>
          <w:b/>
          <w:bCs/>
          <w:color w:val="000000"/>
          <w:kern w:val="0"/>
        </w:rPr>
        <w:t>5.7 报告期末按公允价值占基金资产净值比例大小排序的前五名贵金属投资明细</w:t>
      </w:r>
    </w:p>
    <w:p>
      <w:pPr>
        <w:autoSpaceDE w:val="0"/>
        <w:autoSpaceDN w:val="0"/>
        <w:adjustRightInd w:val="0"/>
        <w:spacing w:line="360" w:lineRule="auto"/>
        <w:jc w:val="left"/>
        <w:rPr>
          <w:color w:val="000000"/>
        </w:rPr>
      </w:pPr>
      <w:r>
        <w:rPr>
          <w:color w:val="000000"/>
        </w:rPr>
        <w:t>本基金本报告期末未持有贵金属。</w:t>
      </w:r>
    </w:p>
    <w:p>
      <w:pPr>
        <w:autoSpaceDE w:val="0"/>
        <w:autoSpaceDN w:val="0"/>
        <w:adjustRightInd w:val="0"/>
        <w:spacing w:line="360" w:lineRule="auto"/>
        <w:jc w:val="left"/>
        <w:rPr>
          <w:b/>
          <w:bCs/>
          <w:color w:val="000000"/>
          <w:kern w:val="0"/>
        </w:rPr>
      </w:pPr>
      <w:r>
        <w:rPr>
          <w:b/>
          <w:bCs/>
          <w:color w:val="000000"/>
          <w:kern w:val="0"/>
        </w:rPr>
        <w:t>5.8 报告期末按公允价值占基金资产净值比例大小排序的前五名权证投资明细</w:t>
      </w:r>
    </w:p>
    <w:p>
      <w:pPr>
        <w:autoSpaceDE w:val="0"/>
        <w:autoSpaceDN w:val="0"/>
        <w:adjustRightInd w:val="0"/>
        <w:spacing w:line="360" w:lineRule="auto"/>
        <w:jc w:val="left"/>
        <w:rPr>
          <w:color w:val="000000"/>
        </w:rPr>
      </w:pPr>
      <w:r>
        <w:rPr>
          <w:color w:val="000000"/>
        </w:rPr>
        <w:t>本基金本报告期末未持有权证。</w:t>
      </w:r>
    </w:p>
    <w:p>
      <w:pPr>
        <w:autoSpaceDE w:val="0"/>
        <w:autoSpaceDN w:val="0"/>
        <w:adjustRightInd w:val="0"/>
        <w:spacing w:line="360" w:lineRule="auto"/>
        <w:jc w:val="left"/>
        <w:rPr>
          <w:b/>
          <w:bCs/>
          <w:color w:val="000000"/>
          <w:kern w:val="0"/>
        </w:rPr>
      </w:pPr>
      <w:r>
        <w:rPr>
          <w:b/>
          <w:bCs/>
          <w:color w:val="000000"/>
          <w:kern w:val="0"/>
        </w:rPr>
        <w:t>5.9 报告期末本基金投资的股指期货交易情况说明</w:t>
      </w:r>
    </w:p>
    <w:p>
      <w:pPr>
        <w:autoSpaceDE w:val="0"/>
        <w:autoSpaceDN w:val="0"/>
        <w:adjustRightInd w:val="0"/>
        <w:spacing w:line="360" w:lineRule="auto"/>
        <w:jc w:val="left"/>
        <w:rPr>
          <w:b/>
          <w:bCs/>
          <w:color w:val="000000"/>
          <w:kern w:val="0"/>
        </w:rPr>
      </w:pPr>
      <w:r>
        <w:rPr>
          <w:b/>
          <w:bCs/>
          <w:color w:val="000000"/>
          <w:kern w:val="0"/>
        </w:rPr>
        <w:t>5.9.1 报告期末本基金投资的股指期货持仓和损益明细</w:t>
      </w:r>
    </w:p>
    <w:p>
      <w:pPr>
        <w:autoSpaceDE w:val="0"/>
        <w:autoSpaceDN w:val="0"/>
        <w:adjustRightInd w:val="0"/>
        <w:spacing w:line="360" w:lineRule="auto"/>
        <w:jc w:val="left"/>
        <w:rPr>
          <w:color w:val="000000"/>
        </w:rPr>
      </w:pPr>
      <w:r>
        <w:rPr>
          <w:color w:val="000000"/>
        </w:rPr>
        <w:t>本基金报告期内未参与股指期货投资。</w:t>
      </w:r>
    </w:p>
    <w:p>
      <w:pPr>
        <w:autoSpaceDE w:val="0"/>
        <w:autoSpaceDN w:val="0"/>
        <w:adjustRightInd w:val="0"/>
        <w:spacing w:line="360" w:lineRule="auto"/>
        <w:jc w:val="left"/>
        <w:rPr>
          <w:b/>
          <w:bCs/>
          <w:color w:val="000000"/>
          <w:kern w:val="0"/>
        </w:rPr>
      </w:pPr>
      <w:r>
        <w:rPr>
          <w:b/>
          <w:bCs/>
          <w:color w:val="000000"/>
          <w:kern w:val="0"/>
        </w:rPr>
        <w:t>5.9.2 本基金投资股指期货的投资政策</w:t>
      </w:r>
    </w:p>
    <w:p>
      <w:pPr>
        <w:spacing w:line="360" w:lineRule="auto"/>
        <w:jc w:val="left"/>
        <w:rPr>
          <w:color w:val="000000"/>
        </w:rPr>
      </w:pPr>
      <w:r>
        <w:rPr>
          <w:color w:val="000000"/>
        </w:rPr>
        <w:t>本基金投资范围未包括股指期货，无相关投资政策。</w:t>
      </w:r>
    </w:p>
    <w:p>
      <w:pPr>
        <w:autoSpaceDE w:val="0"/>
        <w:autoSpaceDN w:val="0"/>
        <w:adjustRightInd w:val="0"/>
        <w:spacing w:line="360" w:lineRule="auto"/>
        <w:jc w:val="left"/>
        <w:rPr>
          <w:b/>
          <w:bCs/>
          <w:color w:val="000000"/>
          <w:kern w:val="0"/>
        </w:rPr>
      </w:pPr>
      <w:r>
        <w:rPr>
          <w:b/>
          <w:bCs/>
          <w:color w:val="000000"/>
          <w:kern w:val="0"/>
        </w:rPr>
        <w:t>5.10报告期末本基金投资的国债期货交易情况说明</w:t>
      </w:r>
    </w:p>
    <w:p>
      <w:pPr>
        <w:autoSpaceDE w:val="0"/>
        <w:autoSpaceDN w:val="0"/>
        <w:adjustRightInd w:val="0"/>
        <w:spacing w:line="360" w:lineRule="auto"/>
        <w:jc w:val="left"/>
        <w:rPr>
          <w:b/>
          <w:bCs/>
          <w:color w:val="000000"/>
          <w:kern w:val="0"/>
        </w:rPr>
      </w:pPr>
      <w:r>
        <w:rPr>
          <w:b/>
          <w:bCs/>
          <w:color w:val="000000"/>
          <w:kern w:val="0"/>
        </w:rPr>
        <w:t>5.10.1 本期国债期货投资政策</w:t>
      </w:r>
    </w:p>
    <w:p>
      <w:pPr>
        <w:spacing w:line="360" w:lineRule="auto"/>
        <w:jc w:val="left"/>
        <w:rPr>
          <w:color w:val="000000"/>
        </w:rPr>
      </w:pPr>
      <w:r>
        <w:rPr>
          <w:color w:val="000000"/>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pPr>
        <w:autoSpaceDE w:val="0"/>
        <w:autoSpaceDN w:val="0"/>
        <w:adjustRightInd w:val="0"/>
        <w:spacing w:line="360" w:lineRule="auto"/>
        <w:jc w:val="left"/>
        <w:rPr>
          <w:b/>
          <w:bCs/>
          <w:color w:val="000000"/>
          <w:kern w:val="0"/>
        </w:rPr>
      </w:pPr>
      <w:r>
        <w:rPr>
          <w:b/>
          <w:bCs/>
          <w:color w:val="000000"/>
          <w:kern w:val="0"/>
        </w:rPr>
        <w:t>5.10.2 报告期末本基金投资的国债期货持仓和损益明细</w:t>
      </w:r>
    </w:p>
    <w:p>
      <w:pPr>
        <w:autoSpaceDE w:val="0"/>
        <w:autoSpaceDN w:val="0"/>
        <w:adjustRightInd w:val="0"/>
        <w:spacing w:line="360" w:lineRule="auto"/>
        <w:jc w:val="left"/>
        <w:rPr>
          <w:color w:val="000000"/>
        </w:rPr>
      </w:pPr>
      <w:r>
        <w:rPr>
          <w:color w:val="000000"/>
        </w:rPr>
        <w:t>本基金报告期内未参与国债期货投资。</w:t>
      </w:r>
    </w:p>
    <w:p>
      <w:pPr>
        <w:autoSpaceDE w:val="0"/>
        <w:autoSpaceDN w:val="0"/>
        <w:adjustRightInd w:val="0"/>
        <w:spacing w:line="360" w:lineRule="auto"/>
        <w:jc w:val="left"/>
        <w:rPr>
          <w:b/>
          <w:bCs/>
          <w:color w:val="000000"/>
          <w:kern w:val="0"/>
        </w:rPr>
      </w:pPr>
      <w:r>
        <w:rPr>
          <w:b/>
          <w:bCs/>
          <w:color w:val="000000"/>
          <w:kern w:val="0"/>
        </w:rPr>
        <w:t>5.10.3 本期国债期货投资评价</w:t>
      </w:r>
    </w:p>
    <w:p>
      <w:pPr>
        <w:spacing w:line="360" w:lineRule="auto"/>
        <w:jc w:val="left"/>
        <w:rPr>
          <w:color w:val="000000"/>
        </w:rPr>
      </w:pPr>
      <w:r>
        <w:rPr>
          <w:color w:val="000000"/>
        </w:rPr>
        <w:t>本基金报告期内未参与国债期货投资，无相关投资评价。</w:t>
      </w:r>
    </w:p>
    <w:p>
      <w:pPr>
        <w:autoSpaceDE w:val="0"/>
        <w:autoSpaceDN w:val="0"/>
        <w:adjustRightInd w:val="0"/>
        <w:spacing w:line="360" w:lineRule="auto"/>
        <w:jc w:val="left"/>
        <w:rPr>
          <w:b/>
          <w:bCs/>
          <w:color w:val="000000"/>
          <w:kern w:val="0"/>
        </w:rPr>
      </w:pPr>
      <w:r>
        <w:rPr>
          <w:b/>
          <w:bCs/>
          <w:color w:val="000000"/>
          <w:kern w:val="0"/>
        </w:rPr>
        <w:t>5.11 投资组合报告附注</w:t>
      </w:r>
    </w:p>
    <w:p>
      <w:pPr>
        <w:spacing w:line="360" w:lineRule="auto"/>
        <w:jc w:val="left"/>
        <w:rPr>
          <w:color w:val="000000"/>
        </w:rPr>
      </w:pPr>
      <w:r>
        <w:rPr>
          <w:color w:val="000000"/>
        </w:rPr>
        <w:t>5.11.1本基金投资的前十名证券的发行主体本期没有出现被监管部门立案调查，或在报告编制日前一年内受到公开谴责、处罚的情形。</w:t>
      </w:r>
    </w:p>
    <w:p>
      <w:pPr>
        <w:spacing w:line="360" w:lineRule="auto"/>
        <w:jc w:val="left"/>
        <w:rPr>
          <w:color w:val="000000"/>
        </w:rPr>
      </w:pPr>
      <w:r>
        <w:rPr>
          <w:color w:val="000000"/>
        </w:rPr>
        <w:t>5.11.2本基金投资的前十名股票没有超出基金合同规定的备选股票库。</w:t>
      </w:r>
    </w:p>
    <w:p>
      <w:pPr>
        <w:autoSpaceDE w:val="0"/>
        <w:autoSpaceDN w:val="0"/>
        <w:adjustRightInd w:val="0"/>
        <w:spacing w:line="360" w:lineRule="auto"/>
        <w:jc w:val="left"/>
        <w:rPr>
          <w:b/>
          <w:bCs/>
          <w:color w:val="000000"/>
          <w:kern w:val="0"/>
        </w:rPr>
      </w:pPr>
      <w:r>
        <w:rPr>
          <w:b/>
          <w:bCs/>
          <w:color w:val="000000"/>
          <w:kern w:val="0"/>
        </w:rPr>
        <w:t>5.11.3 其他各项资产构成</w:t>
      </w:r>
    </w:p>
    <w:tbl>
      <w:tblPr>
        <w:tblStyle w:val="29"/>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11"/>
        <w:gridCol w:w="2291"/>
        <w:gridCol w:w="4911"/>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7"/>
              <w:jc w:val="center"/>
              <w:rPr>
                <w:color w:val="000000"/>
                <w:kern w:val="0"/>
              </w:rPr>
            </w:pPr>
            <w:r>
              <w:rPr>
                <w:color w:val="000000"/>
                <w:kern w:val="0"/>
              </w:rPr>
              <w:t>序号</w:t>
            </w:r>
          </w:p>
        </w:tc>
        <w:tc>
          <w:tcPr>
            <w:tcW w:type="dxa" w:w="2291"/>
            <w:vAlign w:val="center"/>
          </w:tcPr>
          <w:p>
            <w:pPr>
              <w:autoSpaceDE w:val="0"/>
              <w:autoSpaceDN w:val="0"/>
              <w:adjustRightInd w:val="0"/>
              <w:spacing w:before="29"/>
              <w:ind w:left="17"/>
              <w:jc w:val="center"/>
              <w:rPr>
                <w:color w:val="000000"/>
                <w:kern w:val="0"/>
              </w:rPr>
            </w:pPr>
            <w:r>
              <w:rPr>
                <w:color w:val="000000"/>
                <w:kern w:val="0"/>
              </w:rPr>
              <w:t>名称</w:t>
            </w:r>
          </w:p>
        </w:tc>
        <w:tc>
          <w:tcPr>
            <w:tcW w:type="dxa" w:w="4911"/>
            <w:vAlign w:val="center"/>
          </w:tcPr>
          <w:p>
            <w:pPr>
              <w:autoSpaceDE w:val="0"/>
              <w:autoSpaceDN w:val="0"/>
              <w:adjustRightInd w:val="0"/>
              <w:spacing w:before="29"/>
              <w:ind w:left="17"/>
              <w:jc w:val="center"/>
              <w:rPr>
                <w:color w:val="000000"/>
                <w:kern w:val="0"/>
              </w:rPr>
            </w:pPr>
            <w:r>
              <w:rPr>
                <w:color w:val="000000"/>
                <w:kern w:val="0"/>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1</w:t>
            </w:r>
          </w:p>
        </w:tc>
        <w:tc>
          <w:tcPr>
            <w:tcW w:type="dxa" w:w="2291"/>
            <w:vAlign w:val="center"/>
          </w:tcPr>
          <w:p>
            <w:pPr>
              <w:autoSpaceDE w:val="0"/>
              <w:autoSpaceDN w:val="0"/>
              <w:adjustRightInd w:val="0"/>
              <w:spacing w:before="29"/>
              <w:ind w:left="15"/>
              <w:jc w:val="left"/>
              <w:rPr>
                <w:color w:val="000000"/>
                <w:kern w:val="0"/>
              </w:rPr>
            </w:pPr>
            <w:r>
              <w:rPr>
                <w:color w:val="000000"/>
                <w:kern w:val="0"/>
              </w:rPr>
              <w:t>存出保证金</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2</w:t>
            </w:r>
          </w:p>
        </w:tc>
        <w:tc>
          <w:tcPr>
            <w:tcW w:type="dxa" w:w="2291"/>
            <w:vAlign w:val="center"/>
          </w:tcPr>
          <w:p>
            <w:pPr>
              <w:autoSpaceDE w:val="0"/>
              <w:autoSpaceDN w:val="0"/>
              <w:adjustRightInd w:val="0"/>
              <w:spacing w:before="29"/>
              <w:ind w:left="15"/>
              <w:jc w:val="left"/>
              <w:rPr>
                <w:color w:val="000000"/>
                <w:kern w:val="0"/>
              </w:rPr>
            </w:pPr>
            <w:r>
              <w:rPr>
                <w:color w:val="000000"/>
                <w:kern w:val="0"/>
              </w:rPr>
              <w:t>应收证券清算款</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3</w:t>
            </w:r>
          </w:p>
        </w:tc>
        <w:tc>
          <w:tcPr>
            <w:tcW w:type="dxa" w:w="2291"/>
            <w:vAlign w:val="center"/>
          </w:tcPr>
          <w:p>
            <w:pPr>
              <w:autoSpaceDE w:val="0"/>
              <w:autoSpaceDN w:val="0"/>
              <w:adjustRightInd w:val="0"/>
              <w:spacing w:before="29"/>
              <w:ind w:left="15"/>
              <w:jc w:val="left"/>
              <w:rPr>
                <w:color w:val="000000"/>
                <w:kern w:val="0"/>
              </w:rPr>
            </w:pPr>
            <w:r>
              <w:rPr>
                <w:color w:val="000000"/>
                <w:kern w:val="0"/>
              </w:rPr>
              <w:t>应收股利</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4</w:t>
            </w:r>
          </w:p>
        </w:tc>
        <w:tc>
          <w:tcPr>
            <w:tcW w:type="dxa" w:w="2291"/>
            <w:vAlign w:val="center"/>
          </w:tcPr>
          <w:p>
            <w:pPr>
              <w:autoSpaceDE w:val="0"/>
              <w:autoSpaceDN w:val="0"/>
              <w:adjustRightInd w:val="0"/>
              <w:spacing w:before="29"/>
              <w:ind w:left="15"/>
              <w:jc w:val="left"/>
              <w:rPr>
                <w:color w:val="000000"/>
                <w:kern w:val="0"/>
              </w:rPr>
            </w:pPr>
            <w:r>
              <w:rPr>
                <w:color w:val="000000"/>
                <w:kern w:val="0"/>
              </w:rPr>
              <w:t>应收利息</w:t>
            </w:r>
          </w:p>
        </w:tc>
        <w:tc>
          <w:tcPr>
            <w:tcW w:type="dxa" w:w="4911"/>
            <w:vAlign w:val="center"/>
          </w:tcPr>
          <w:p>
            <w:pPr>
              <w:autoSpaceDE w:val="0"/>
              <w:autoSpaceDN w:val="0"/>
              <w:adjustRightInd w:val="0"/>
              <w:spacing w:before="29"/>
              <w:ind w:left="15"/>
              <w:jc w:val="right"/>
              <w:rPr>
                <w:color w:val="000000"/>
                <w:kern w:val="0"/>
              </w:rPr>
            </w:pPr>
            <w:r>
              <w:rPr>
                <w:color w:val="000000"/>
                <w:kern w:val="0"/>
              </w:rPr>
              <w:t>1,694.33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5</w:t>
            </w:r>
          </w:p>
        </w:tc>
        <w:tc>
          <w:tcPr>
            <w:tcW w:type="dxa" w:w="2291"/>
            <w:vAlign w:val="center"/>
          </w:tcPr>
          <w:p>
            <w:pPr>
              <w:autoSpaceDE w:val="0"/>
              <w:autoSpaceDN w:val="0"/>
              <w:adjustRightInd w:val="0"/>
              <w:spacing w:before="29"/>
              <w:ind w:left="15"/>
              <w:jc w:val="left"/>
              <w:rPr>
                <w:color w:val="000000"/>
                <w:kern w:val="0"/>
              </w:rPr>
            </w:pPr>
            <w:r>
              <w:rPr>
                <w:color w:val="000000"/>
                <w:kern w:val="0"/>
              </w:rPr>
              <w:t>应收申购款</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6</w:t>
            </w:r>
          </w:p>
        </w:tc>
        <w:tc>
          <w:tcPr>
            <w:tcW w:type="dxa" w:w="2291"/>
            <w:vAlign w:val="center"/>
          </w:tcPr>
          <w:p>
            <w:pPr>
              <w:autoSpaceDE w:val="0"/>
              <w:autoSpaceDN w:val="0"/>
              <w:adjustRightInd w:val="0"/>
              <w:spacing w:before="29"/>
              <w:ind w:left="15"/>
              <w:jc w:val="left"/>
              <w:rPr>
                <w:color w:val="000000"/>
                <w:kern w:val="0"/>
              </w:rPr>
            </w:pPr>
            <w:r>
              <w:rPr>
                <w:color w:val="000000"/>
                <w:kern w:val="0"/>
              </w:rPr>
              <w:t>其他应收款</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7</w:t>
            </w:r>
          </w:p>
        </w:tc>
        <w:tc>
          <w:tcPr>
            <w:tcW w:type="dxa" w:w="2291"/>
            <w:vAlign w:val="center"/>
          </w:tcPr>
          <w:p>
            <w:pPr>
              <w:autoSpaceDE w:val="0"/>
              <w:autoSpaceDN w:val="0"/>
              <w:adjustRightInd w:val="0"/>
              <w:spacing w:before="29"/>
              <w:ind w:left="15"/>
              <w:jc w:val="left"/>
              <w:rPr>
                <w:color w:val="000000"/>
                <w:kern w:val="0"/>
              </w:rPr>
            </w:pPr>
            <w:r>
              <w:rPr>
                <w:color w:val="000000"/>
                <w:kern w:val="0"/>
              </w:rPr>
              <w:t>待摊费用</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8</w:t>
            </w:r>
          </w:p>
        </w:tc>
        <w:tc>
          <w:tcPr>
            <w:tcW w:type="dxa" w:w="2291"/>
            <w:vAlign w:val="center"/>
          </w:tcPr>
          <w:p>
            <w:pPr>
              <w:autoSpaceDE w:val="0"/>
              <w:autoSpaceDN w:val="0"/>
              <w:adjustRightInd w:val="0"/>
              <w:spacing w:before="29"/>
              <w:ind w:left="15"/>
              <w:jc w:val="left"/>
              <w:rPr>
                <w:color w:val="000000"/>
                <w:kern w:val="0"/>
              </w:rPr>
            </w:pPr>
            <w:r>
              <w:rPr>
                <w:color w:val="000000"/>
                <w:kern w:val="0"/>
              </w:rPr>
              <w:t>其他</w:t>
            </w:r>
          </w:p>
        </w:tc>
        <w:tc>
          <w:tcPr>
            <w:tcW w:type="dxa" w:w="4911"/>
            <w:vAlign w:val="center"/>
          </w:tcPr>
          <w:p>
            <w:pPr>
              <w:autoSpaceDE w:val="0"/>
              <w:autoSpaceDN w:val="0"/>
              <w:adjustRightInd w:val="0"/>
              <w:spacing w:before="29"/>
              <w:ind w:left="15"/>
              <w:jc w:val="right"/>
              <w:rPr>
                <w:color w:val="000000"/>
                <w:kern w:val="0"/>
              </w:rPr>
            </w:pPr>
            <w:r>
              <w:rPr>
                <w:color w:val="000000"/>
                <w:kern w:val="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11"/>
            <w:vAlign w:val="center"/>
          </w:tcPr>
          <w:p>
            <w:pPr>
              <w:autoSpaceDE w:val="0"/>
              <w:autoSpaceDN w:val="0"/>
              <w:adjustRightInd w:val="0"/>
              <w:spacing w:before="29"/>
              <w:ind w:left="15"/>
              <w:jc w:val="center"/>
              <w:rPr>
                <w:color w:val="000000"/>
                <w:kern w:val="0"/>
              </w:rPr>
            </w:pPr>
            <w:r>
              <w:rPr>
                <w:color w:val="000000"/>
                <w:kern w:val="0"/>
              </w:rPr>
              <w:t>9</w:t>
            </w:r>
          </w:p>
        </w:tc>
        <w:tc>
          <w:tcPr>
            <w:tcW w:type="dxa" w:w="2291"/>
            <w:vAlign w:val="center"/>
          </w:tcPr>
          <w:p>
            <w:pPr>
              <w:autoSpaceDE w:val="0"/>
              <w:autoSpaceDN w:val="0"/>
              <w:adjustRightInd w:val="0"/>
              <w:spacing w:before="29"/>
              <w:ind w:left="15"/>
              <w:jc w:val="left"/>
              <w:rPr>
                <w:color w:val="000000"/>
                <w:kern w:val="0"/>
              </w:rPr>
            </w:pPr>
            <w:r>
              <w:rPr>
                <w:color w:val="000000"/>
                <w:kern w:val="0"/>
              </w:rPr>
              <w:t>合计</w:t>
            </w:r>
          </w:p>
        </w:tc>
        <w:tc>
          <w:tcPr>
            <w:tcW w:type="dxa" w:w="4911"/>
            <w:vAlign w:val="center"/>
          </w:tcPr>
          <w:p>
            <w:pPr>
              <w:autoSpaceDE w:val="0"/>
              <w:autoSpaceDN w:val="0"/>
              <w:adjustRightInd w:val="0"/>
              <w:spacing w:before="29"/>
              <w:ind w:left="15"/>
              <w:jc w:val="right"/>
              <w:rPr>
                <w:color w:val="000000"/>
                <w:kern w:val="0"/>
              </w:rPr>
            </w:pPr>
            <w:r>
              <w:rPr>
                <w:color w:val="000000"/>
                <w:kern w:val="0"/>
              </w:rPr>
              <w:t>1,694.33</w:t>
            </w:r>
          </w:p>
        </w:tc>
      </w:tr>
    </w:tbl>
    <w:p>
      <w:pPr>
        <w:autoSpaceDE w:val="0"/>
        <w:autoSpaceDN w:val="0"/>
        <w:adjustRightInd w:val="0"/>
        <w:spacing w:line="360" w:lineRule="auto"/>
        <w:jc w:val="left"/>
        <w:rPr>
          <w:b/>
          <w:bCs/>
          <w:color w:val="000000"/>
          <w:kern w:val="0"/>
        </w:rPr>
      </w:pPr>
      <w:r>
        <w:rPr>
          <w:b/>
          <w:bCs/>
          <w:color w:val="000000"/>
          <w:kern w:val="0"/>
        </w:rPr>
        <w:t>5.11.4报告期末持有的处于转股期的可转换债券明细</w:t>
      </w:r>
    </w:p>
    <w:p>
      <w:pPr>
        <w:autoSpaceDE w:val="0"/>
        <w:autoSpaceDN w:val="0"/>
        <w:adjustRightInd w:val="0"/>
        <w:spacing w:line="360" w:lineRule="auto"/>
        <w:jc w:val="left"/>
        <w:rPr>
          <w:color w:val="000000"/>
        </w:rPr>
      </w:pPr>
      <w:r>
        <w:rPr>
          <w:color w:val="000000"/>
        </w:rPr>
        <w:t>本基金本报告期末未持有处于转股期的可转换债券。</w:t>
      </w:r>
    </w:p>
    <w:p>
      <w:pPr>
        <w:autoSpaceDE w:val="0"/>
        <w:autoSpaceDN w:val="0"/>
        <w:adjustRightInd w:val="0"/>
        <w:spacing w:line="360" w:lineRule="auto"/>
        <w:jc w:val="left"/>
        <w:rPr>
          <w:b/>
          <w:bCs/>
          <w:color w:val="000000"/>
          <w:kern w:val="0"/>
        </w:rPr>
      </w:pPr>
      <w:r>
        <w:rPr>
          <w:b/>
          <w:bCs/>
          <w:color w:val="000000"/>
          <w:kern w:val="0"/>
        </w:rPr>
        <w:t>5.11.5报告期末前十名股票中存在流通受限情况的说明</w:t>
      </w:r>
    </w:p>
    <w:p>
      <w:pPr>
        <w:autoSpaceDE w:val="0"/>
        <w:autoSpaceDN w:val="0"/>
        <w:adjustRightInd w:val="0"/>
        <w:spacing w:line="360" w:lineRule="auto"/>
        <w:jc w:val="left"/>
        <w:rPr>
          <w:color w:val="000000"/>
        </w:rPr>
      </w:pPr>
      <w:r>
        <w:rPr>
          <w:color w:val="000000"/>
        </w:rPr>
        <w:t>本基金报告期末前十名股票中不存在流通受限的情况。</w:t>
      </w:r>
    </w:p>
    <w:p>
      <w:pPr>
        <w:autoSpaceDE w:val="0"/>
        <w:autoSpaceDN w:val="0"/>
        <w:adjustRightInd w:val="0"/>
        <w:spacing w:line="360" w:lineRule="auto"/>
        <w:jc w:val="left"/>
        <w:rPr>
          <w:b/>
          <w:bCs/>
          <w:color w:val="000000"/>
          <w:kern w:val="0"/>
        </w:rPr>
      </w:pPr>
      <w:r>
        <w:rPr>
          <w:b/>
          <w:bCs/>
          <w:color w:val="000000"/>
          <w:kern w:val="0"/>
        </w:rPr>
        <w:t>5.11.6投资组合报告附注的其他文字描述部分</w:t>
      </w:r>
    </w:p>
    <w:p>
      <w:pPr>
        <w:spacing w:line="360" w:lineRule="auto"/>
        <w:jc w:val="left"/>
        <w:rPr>
          <w:color w:val="000000"/>
        </w:rPr>
      </w:pPr>
      <w:r>
        <w:rPr>
          <w:color w:val="000000"/>
        </w:rPr>
        <w:t>由于计算中四舍五入的原因，本报告分项之和与合计项之间可能存在尾差。</w:t>
      </w:r>
    </w:p>
    <w:p>
      <w:pPr>
        <w:pStyle w:val="2"/>
        <w:spacing w:after="0" w:before="0" w:line="360" w:lineRule="auto"/>
        <w:jc w:val="center"/>
        <w:rPr>
          <w:color w:val="000000"/>
          <w:kern w:val="0"/>
          <w:sz w:val="24"/>
          <w:szCs w:val="24"/>
        </w:rPr>
      </w:pPr>
      <w:r>
        <w:rPr>
          <w:color w:val="000000"/>
          <w:kern w:val="0"/>
          <w:sz w:val="24"/>
          <w:szCs w:val="24"/>
        </w:rPr>
        <w:t>§6  开放式基金份额变动</w:t>
      </w:r>
    </w:p>
    <w:p>
      <w:pPr>
        <w:autoSpaceDE w:val="0"/>
        <w:autoSpaceDN w:val="0"/>
        <w:adjustRightInd w:val="0"/>
        <w:spacing w:line="360" w:lineRule="auto"/>
        <w:ind w:left="17"/>
        <w:jc w:val="right"/>
        <w:rPr>
          <w:color w:val="000000"/>
          <w:kern w:val="0"/>
          <w:sz w:val="24"/>
          <w:szCs w:val="24"/>
        </w:rPr>
      </w:pPr>
      <w:r>
        <w:rPr>
          <w:color w:val="000000"/>
          <w:kern w:val="0"/>
          <w:sz w:val="24"/>
          <w:szCs w:val="24"/>
        </w:rPr>
        <w:t>单位：份</w:t>
      </w:r>
    </w:p>
    <w:tbl>
      <w:tblPr>
        <w:tblStyle w:val="29"/>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left"/>
              <w:rPr>
                <w:color w:val="000000"/>
                <w:kern w:val="0"/>
              </w:rPr>
            </w:pPr>
            <w:r>
              <w:rPr>
                <w:color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right"/>
              <w:rPr>
                <w:color w:val="000000"/>
              </w:rPr>
            </w:pPr>
            <w:r>
              <w:rPr>
                <w:color w:val="000000"/>
              </w:rPr>
              <w:t>17,477,457.10</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left"/>
              <w:rPr>
                <w:color w:val="000000"/>
                <w:kern w:val="0"/>
              </w:rPr>
            </w:pPr>
            <w:r>
              <w:rPr>
                <w:color w:val="000000"/>
                <w:kern w:val="0"/>
              </w:rPr>
              <w:t>本报告期基金总申购份额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right"/>
              <w:rPr>
                <w:color w:val="000000"/>
              </w:rPr>
            </w:pPr>
            <w:r>
              <w:rPr>
                <w:color w:val="000000"/>
              </w:rPr>
              <w:t>121,225.30</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left"/>
              <w:rPr>
                <w:color w:val="000000"/>
                <w:kern w:val="0"/>
              </w:rPr>
            </w:pPr>
            <w:r>
              <w:rPr>
                <w:color w:val="000000"/>
                <w:kern w:val="0"/>
              </w:rPr>
              <w:t>减：本报告期基金总赎回份额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right"/>
              <w:rPr>
                <w:color w:val="000000"/>
              </w:rPr>
            </w:pPr>
            <w:r>
              <w:rPr>
                <w:color w:val="000000"/>
              </w:rPr>
              <w:t>9,965,670.23</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left"/>
              <w:rPr>
                <w:color w:val="000000"/>
                <w:kern w:val="0"/>
              </w:rPr>
            </w:pPr>
            <w:r>
              <w:rPr>
                <w:color w:val="000000"/>
                <w:kern w:val="0"/>
              </w:rPr>
              <w:t>本报告期基金拆分变动份额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right"/>
              <w:rPr>
                <w:color w:val="000000"/>
              </w:rPr>
            </w:pPr>
            <w:r>
              <w:rPr>
                <w:color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left"/>
              <w:rPr>
                <w:color w:val="000000"/>
                <w:kern w:val="0"/>
              </w:rPr>
            </w:pPr>
            <w:r>
              <w:rPr>
                <w:color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ind w:left="17"/>
              <w:jc w:val="right"/>
              <w:rPr>
                <w:color w:val="000000"/>
              </w:rPr>
            </w:pPr>
            <w:r>
              <w:rPr>
                <w:color w:val="000000"/>
              </w:rPr>
              <w:t>7,633,012.17</w:t>
            </w:r>
          </w:p>
        </w:tc>
      </w:tr>
    </w:tbl>
    <w:p>
      <w:pPr>
        <w:pStyle w:val="2"/>
        <w:spacing w:after="0" w:before="0" w:line="360" w:lineRule="auto"/>
        <w:jc w:val="center"/>
        <w:rPr>
          <w:color w:val="000000"/>
          <w:kern w:val="0"/>
          <w:sz w:val="24"/>
          <w:szCs w:val="24"/>
        </w:rPr>
      </w:pPr>
      <w:r>
        <w:rPr>
          <w:color w:val="000000"/>
          <w:kern w:val="0"/>
          <w:sz w:val="24"/>
          <w:szCs w:val="24"/>
        </w:rPr>
        <w:t>§7  基金管理人运用固有资金投资本基金情况</w:t>
      </w:r>
    </w:p>
    <w:p>
      <w:pPr>
        <w:autoSpaceDE w:val="0"/>
        <w:autoSpaceDN w:val="0"/>
        <w:adjustRightInd w:val="0"/>
        <w:spacing w:line="360" w:lineRule="auto"/>
        <w:jc w:val="left"/>
        <w:rPr>
          <w:b/>
          <w:bCs/>
          <w:color w:val="000000"/>
          <w:kern w:val="0"/>
        </w:rPr>
      </w:pPr>
      <w:r>
        <w:rPr>
          <w:b/>
          <w:bCs/>
          <w:color w:val="000000"/>
          <w:kern w:val="0"/>
        </w:rPr>
        <w:t>7.1 基金管理人持有本基金份额变动情况</w:t>
      </w:r>
    </w:p>
    <w:p>
      <w:pPr>
        <w:autoSpaceDE w:val="0"/>
        <w:autoSpaceDN w:val="0"/>
        <w:adjustRightInd w:val="0"/>
        <w:spacing w:line="360" w:lineRule="auto"/>
        <w:jc w:val="left"/>
        <w:rPr>
          <w:color w:val="000000"/>
        </w:rPr>
      </w:pPr>
      <w:r>
        <w:rPr>
          <w:color w:val="000000"/>
        </w:rPr>
        <w:t>本报告期内基金管理人未持有本基金份额。</w:t>
      </w:r>
    </w:p>
    <w:p>
      <w:pPr>
        <w:autoSpaceDE w:val="0"/>
        <w:autoSpaceDN w:val="0"/>
        <w:adjustRightInd w:val="0"/>
        <w:spacing w:line="360" w:lineRule="auto"/>
        <w:jc w:val="left"/>
        <w:rPr>
          <w:b/>
          <w:bCs/>
          <w:color w:val="000000"/>
          <w:kern w:val="0"/>
        </w:rPr>
      </w:pPr>
      <w:r>
        <w:rPr>
          <w:b/>
          <w:bCs/>
          <w:color w:val="000000"/>
          <w:kern w:val="0"/>
        </w:rPr>
        <w:t>7.2 基金管理人运用固有资金投资本基金交易明细</w:t>
      </w:r>
    </w:p>
    <w:p>
      <w:pPr>
        <w:autoSpaceDE w:val="0"/>
        <w:autoSpaceDN w:val="0"/>
        <w:adjustRightInd w:val="0"/>
        <w:spacing w:line="360" w:lineRule="auto"/>
        <w:jc w:val="left"/>
        <w:rPr>
          <w:color w:val="000000"/>
        </w:rPr>
      </w:pPr>
      <w:r>
        <w:rPr>
          <w:color w:val="000000"/>
        </w:rPr>
        <w:t>本报告期内，基金管理人未运用固有资金申购、赎回或买卖本基金。</w:t>
      </w:r>
    </w:p>
    <w:p>
      <w:pPr>
        <w:pStyle w:val="2"/>
        <w:spacing w:afterLines="100"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§8 影响投资者决策的其他重要信息</w:t>
      </w:r>
    </w:p>
    <w:p>
      <w:pPr>
        <w:autoSpaceDE w:val="0"/>
        <w:autoSpaceDN w:val="0"/>
        <w:adjustRightInd w:val="0"/>
        <w:spacing w:line="360" w:lineRule="auto"/>
        <w:jc w:val="left"/>
        <w:rPr>
          <w:rFonts w:ascii="宋体" w:hAnsi="宋体"/>
          <w:b/>
          <w:bCs/>
          <w:color w:val="000000"/>
          <w:kern w:val="0"/>
        </w:rPr>
      </w:pPr>
      <w:r>
        <w:rPr>
          <w:rFonts w:ascii="宋体" w:hAnsi="宋体"/>
          <w:b/>
          <w:color w:val="000000"/>
          <w:kern w:val="0"/>
        </w:rPr>
        <w:t/>
      </w:r>
      <w:r>
        <w:rPr>
          <w:rFonts w:ascii="宋体" w:hAnsi="宋体" w:hint="eastAsia"/>
          <w:b/>
          <w:bCs/>
          <w:color w:val="000000"/>
          <w:kern w:val="0"/>
        </w:rPr>
        <w:t>8.1 影响投资者决策的其他重要信息</w:t>
      </w:r>
    </w:p>
    <w:p>
      <w:pPr>
        <w:spacing w:line="360" w:lineRule="auto"/>
        <w:ind w:firstLine="420" w:firstLineChars="200"/>
        <w:rPr>
          <w:rFonts w:ascii="宋体" w:hAnsi="宋体"/>
          <w:color w:val="000000"/>
        </w:rPr>
      </w:pPr>
      <w:r>
        <w:rPr>
          <w:rFonts w:ascii="宋体" w:hAnsi="宋体"/>
          <w:color w:val="000000"/>
        </w:rPr>
        <w:t>根据《中华人民共和国证券投资基金法》、《公开募集证券投资基金运作管理办法》和《中银合利债券型证券投资基金基金合同》（以下简称“《基金合同》”或“基金合同”）的有关规定，“《基金合同》生效后，连续20 个工作日出现基金份额持有人数量不满200 人或者基金资产净值低于5000 万元的，基金管理人应当在定期报告中予以披露；连续60 个工作日出现前述情形的，基金管理人应当终止《基金合同》，并向中国证监会报告，但不需要召开基金份额持有人大会”。本基金的最后运作日为2019年02月12日，并于 2019年2月13日进入清算程序，具体可详阅基金管理人发布的相关公告。</w:t>
      </w:r>
    </w:p>
    <w:p>
      <w:pPr>
        <w:spacing w:line="360" w:lineRule="auto"/>
        <w:ind w:firstLine="420" w:firstLineChars="200"/>
        <w:rPr>
          <w:rFonts w:ascii="宋体" w:hAnsi="宋体"/>
          <w:color w:themeColor="text1" w:val="000000"/>
        </w:rPr>
      </w:pPr>
    </w:p>
    <w:p>
      <w:pPr>
        <w:pStyle w:val="2"/>
        <w:spacing w:after="0" w:before="0" w:line="360" w:lineRule="auto"/>
        <w:jc w:val="center"/>
        <w:rPr>
          <w:color w:val="000000"/>
          <w:kern w:val="0"/>
          <w:sz w:val="21"/>
          <w:szCs w:val="21"/>
        </w:rPr>
      </w:pPr>
      <w:r>
        <w:rPr>
          <w:color w:val="000000"/>
          <w:kern w:val="0"/>
          <w:sz w:val="21"/>
          <w:szCs w:val="21"/>
        </w:rPr>
        <w:t>§9  备查文件目录</w:t>
      </w:r>
    </w:p>
    <w:p>
      <w:pPr>
        <w:autoSpaceDE w:val="0"/>
        <w:autoSpaceDN w:val="0"/>
        <w:adjustRightInd w:val="0"/>
        <w:spacing w:line="360" w:lineRule="auto"/>
        <w:jc w:val="left"/>
        <w:rPr>
          <w:b/>
          <w:bCs/>
          <w:color w:val="000000"/>
          <w:kern w:val="0"/>
        </w:rPr>
      </w:pPr>
      <w:r>
        <w:rPr>
          <w:b/>
          <w:bCs/>
          <w:color w:val="000000"/>
          <w:kern w:val="0"/>
        </w:rPr>
        <w:t>9.1 备查文件目录</w:t>
      </w:r>
    </w:p>
    <w:p>
      <w:pPr>
        <w:spacing w:line="360" w:lineRule="auto"/>
        <w:rPr>
          <w:color w:val="000000"/>
        </w:rPr>
      </w:pPr>
      <w:r>
        <w:rPr>
          <w:color w:val="000000"/>
        </w:rPr>
        <w:t>1、中国证监会准予中银合利债券型证券投资基金募集注册的文件；</w:t>
      </w:r>
    </w:p>
    <w:p>
      <w:pPr>
        <w:spacing w:line="360" w:lineRule="auto"/>
        <w:rPr>
          <w:color w:val="000000"/>
        </w:rPr>
      </w:pPr>
      <w:r>
        <w:rPr>
          <w:color w:val="000000"/>
        </w:rPr>
        <w:t>2、《中银合利债券型证券投资基金基金合同》；</w:t>
      </w:r>
    </w:p>
    <w:p>
      <w:pPr>
        <w:spacing w:line="360" w:lineRule="auto"/>
        <w:rPr>
          <w:color w:val="000000"/>
        </w:rPr>
      </w:pPr>
      <w:r>
        <w:rPr>
          <w:color w:val="000000"/>
        </w:rPr>
        <w:t>3、《中银合利债券型证券投资基金托管协议》；</w:t>
      </w:r>
    </w:p>
    <w:p>
      <w:pPr>
        <w:spacing w:line="360" w:lineRule="auto"/>
        <w:rPr>
          <w:color w:val="000000"/>
        </w:rPr>
      </w:pPr>
      <w:r>
        <w:rPr>
          <w:color w:val="000000"/>
        </w:rPr>
        <w:t>4、《中银合利债券型证券投资基金招募说明书》；</w:t>
      </w:r>
    </w:p>
    <w:p>
      <w:pPr>
        <w:spacing w:line="360" w:lineRule="auto"/>
        <w:rPr>
          <w:color w:val="000000"/>
        </w:rPr>
      </w:pPr>
      <w:r>
        <w:rPr>
          <w:color w:val="000000"/>
        </w:rPr>
        <w:t>5、法律意见书；</w:t>
      </w:r>
    </w:p>
    <w:p>
      <w:pPr>
        <w:spacing w:line="360" w:lineRule="auto"/>
        <w:rPr>
          <w:color w:val="000000"/>
        </w:rPr>
      </w:pPr>
      <w:r>
        <w:rPr>
          <w:color w:val="000000"/>
        </w:rPr>
        <w:t>6、基金管理人业务资格批件、营业执照；</w:t>
      </w:r>
    </w:p>
    <w:p>
      <w:pPr>
        <w:spacing w:line="360" w:lineRule="auto"/>
        <w:rPr>
          <w:color w:val="000000"/>
        </w:rPr>
      </w:pPr>
      <w:r>
        <w:rPr>
          <w:color w:val="000000"/>
        </w:rPr>
        <w:t>7、基金托管人业务资格批件、营业执照；</w:t>
      </w:r>
    </w:p>
    <w:p>
      <w:pPr>
        <w:spacing w:line="360" w:lineRule="auto"/>
        <w:rPr>
          <w:color w:val="000000"/>
        </w:rPr>
      </w:pPr>
      <w:r>
        <w:rPr>
          <w:color w:val="000000"/>
        </w:rPr>
        <w:t>8、报告期内在指定报刊上披露的各项公告；</w:t>
      </w:r>
    </w:p>
    <w:p>
      <w:pPr>
        <w:spacing w:line="360" w:lineRule="auto"/>
        <w:rPr>
          <w:color w:val="000000"/>
        </w:rPr>
      </w:pPr>
      <w:r>
        <w:rPr>
          <w:color w:val="000000"/>
        </w:rPr>
        <w:t>9、中国证监会要求的其他文件。</w:t>
      </w:r>
    </w:p>
    <w:p>
      <w:pPr>
        <w:autoSpaceDE w:val="0"/>
        <w:autoSpaceDN w:val="0"/>
        <w:adjustRightInd w:val="0"/>
        <w:spacing w:line="360" w:lineRule="auto"/>
        <w:jc w:val="left"/>
        <w:rPr>
          <w:b/>
          <w:bCs/>
          <w:color w:val="000000"/>
          <w:kern w:val="0"/>
        </w:rPr>
      </w:pPr>
      <w:r>
        <w:rPr>
          <w:b/>
          <w:bCs/>
          <w:color w:val="000000"/>
          <w:kern w:val="0"/>
        </w:rPr>
        <w:t>9.2 存放地点</w:t>
      </w:r>
    </w:p>
    <w:p>
      <w:pPr>
        <w:spacing w:line="360" w:lineRule="auto"/>
        <w:rPr>
          <w:color w:val="000000"/>
        </w:rPr>
      </w:pPr>
      <w:r>
        <w:rPr>
          <w:color w:val="000000"/>
        </w:rPr>
        <w:t>以上备查文件存放在基金管理人、基金托管人处，供公众查阅。</w:t>
      </w:r>
    </w:p>
    <w:p>
      <w:pPr>
        <w:autoSpaceDE w:val="0"/>
        <w:autoSpaceDN w:val="0"/>
        <w:adjustRightInd w:val="0"/>
        <w:spacing w:line="360" w:lineRule="auto"/>
        <w:jc w:val="left"/>
        <w:rPr>
          <w:b/>
          <w:bCs/>
          <w:color w:val="000000"/>
          <w:kern w:val="0"/>
        </w:rPr>
      </w:pPr>
      <w:r>
        <w:rPr>
          <w:b/>
          <w:bCs/>
          <w:color w:val="000000"/>
          <w:kern w:val="0"/>
        </w:rPr>
        <w:t>9.3 查阅方式</w:t>
      </w:r>
    </w:p>
    <w:p>
      <w:pPr>
        <w:spacing w:line="360" w:lineRule="auto"/>
        <w:rPr>
          <w:color w:val="000000"/>
        </w:rPr>
      </w:pPr>
      <w:r>
        <w:rPr>
          <w:color w:val="000000"/>
        </w:rPr>
        <w:t>投资人在支付工本费后，可在合理时间内取得上述文件复制件或复印件。</w:t>
      </w:r>
    </w:p>
    <w:p>
      <w:pPr>
        <w:spacing w:line="360" w:lineRule="auto"/>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ind w:left="840"/>
        <w:jc w:val="right"/>
        <w:rPr>
          <w:color w:val="000000"/>
          <w:sz w:val="24"/>
          <w:szCs w:val="24"/>
        </w:rPr>
      </w:pPr>
    </w:p>
    <w:p>
      <w:pPr>
        <w:spacing w:line="360" w:lineRule="auto"/>
        <w:jc w:val="right"/>
        <w:rPr>
          <w:b/>
          <w:bCs/>
          <w:sz w:val="24"/>
          <w:szCs w:val="24"/>
        </w:rPr>
      </w:pPr>
      <w:r>
        <w:rPr>
          <w:b/>
          <w:bCs/>
          <w:sz w:val="24"/>
          <w:szCs w:val="24"/>
        </w:rPr>
        <w:t>中银基金管理有限公司</w:t>
      </w:r>
    </w:p>
    <w:p>
      <w:pPr>
        <w:spacing w:line="360" w:lineRule="auto"/>
        <w:jc w:val="right"/>
        <w:rPr>
          <w:b/>
          <w:bCs/>
          <w:sz w:val="24"/>
          <w:szCs w:val="24"/>
        </w:rPr>
      </w:pPr>
      <w:r>
        <w:rPr>
          <w:b/>
          <w:bCs/>
          <w:sz w:val="24"/>
          <w:szCs w:val="24"/>
        </w:rPr>
        <w:t>二〇一九年四月十八日</w:t>
      </w:r>
    </w:p>
    <w:p>
      <w:pPr>
        <w:spacing w:line="360" w:lineRule="auto"/>
        <w:ind w:left="840"/>
        <w:jc w:val="right"/>
        <w:rPr>
          <w:b/>
          <w:bCs/>
          <w:sz w:val="24"/>
          <w:szCs w:val="24"/>
        </w:rPr>
      </w:pPr>
    </w:p>
    <w:p>
      <w:pPr>
        <w:rPr>
          <w:sz w:val="24"/>
          <w:szCs w:val="24"/>
        </w:rPr>
      </w:pPr>
    </w:p>
    <w:sectPr>
      <w:footerReference r:id="rId5" w:type="default"/>
      <w:pgSz w:h="16838" w:w="11906"/>
      <w:pgMar w:bottom="1440" w:footer="992" w:gutter="0" w:header="851" w:left="1797" w:right="1797" w:top="1440"/>
      <w:cols w:num="1" w:space="720"/>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4"/>
      </w:rPr>
    </w:pPr>
    <w:r>
      <w:rPr>
        <w:rStyle w:val="24"/>
      </w:rPr>
      <w:fldChar w:fldCharType="begin"/>
    </w:r>
    <w:r>
      <w:rPr>
        <w:rStyle w:val="24"/>
      </w:rPr>
      <w:instrText xml:space="preserve">PAGE  </w:instrText>
    </w:r>
    <w:r>
      <w:rPr>
        <w:rStyle w:val="24"/>
      </w:rPr>
      <w:fldChar w:fldCharType="separate"/>
    </w:r>
    <w:r>
      <w:rPr>
        <w:rStyle w:val="24"/>
      </w:rPr>
      <w:t>5</w:t>
    </w:r>
    <w:r>
      <w:rPr>
        <w:rStyle w:val="24"/>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sz w:val="21"/>
        <w:szCs w:val="21"/>
      </w:rPr>
      <w:t/>
    </w:r>
    <w:r>
      <w:rPr>
        <w:sz w:val="21"/>
        <w:szCs w:val="21"/>
      </w:rPr>
      <w:t/>
    </w:r>
    <w:r>
      <w:rPr>
        <w:rFonts w:hint="eastAsia"/>
        <w:sz w:val="21"/>
        <w:szCs w:val="21"/>
      </w:rPr>
      <w:t/>
    </w:r>
    <w:r>
      <w:rPr>
        <w:sz w:val="21"/>
        <w:szCs w:val="21"/>
      </w:rPr>
      <w:t/>
    </w:r>
    <w:r>
      <w:rPr>
        <w:rFonts w:hint="eastAsia"/>
        <w:sz w:val="21"/>
        <w:szCs w:val="21"/>
      </w:rPr>
      <w:t>中银合利债券型证券投资基金2019年第1季度报告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13BB"/>
    <w:rsid w:val="00002C62"/>
    <w:rsid w:val="000110A9"/>
    <w:rsid w:val="00016E30"/>
    <w:rsid w:val="000171A7"/>
    <w:rsid w:val="00074792"/>
    <w:rsid w:val="000823CE"/>
    <w:rsid w:val="00082E03"/>
    <w:rsid w:val="000C79BE"/>
    <w:rsid w:val="000D4210"/>
    <w:rsid w:val="000E02C1"/>
    <w:rsid w:val="000F3E1E"/>
    <w:rsid w:val="00101533"/>
    <w:rsid w:val="00101766"/>
    <w:rsid w:val="00180203"/>
    <w:rsid w:val="001B1657"/>
    <w:rsid w:val="001F3203"/>
    <w:rsid w:val="002153EB"/>
    <w:rsid w:val="002233A4"/>
    <w:rsid w:val="00265F00"/>
    <w:rsid w:val="002A0049"/>
    <w:rsid w:val="002D616D"/>
    <w:rsid w:val="00317B94"/>
    <w:rsid w:val="00323BBB"/>
    <w:rsid w:val="00341FA7"/>
    <w:rsid w:val="00346F65"/>
    <w:rsid w:val="00350323"/>
    <w:rsid w:val="004313D2"/>
    <w:rsid w:val="00491394"/>
    <w:rsid w:val="004C2E34"/>
    <w:rsid w:val="00504FE1"/>
    <w:rsid w:val="0050764C"/>
    <w:rsid w:val="0051395B"/>
    <w:rsid w:val="00553D3F"/>
    <w:rsid w:val="00595DE8"/>
    <w:rsid w:val="005E3BFA"/>
    <w:rsid w:val="005E53C3"/>
    <w:rsid w:val="005F299E"/>
    <w:rsid w:val="00603BA7"/>
    <w:rsid w:val="006422A5"/>
    <w:rsid w:val="006B6A14"/>
    <w:rsid w:val="006D04FC"/>
    <w:rsid w:val="006D089E"/>
    <w:rsid w:val="00753629"/>
    <w:rsid w:val="007626E4"/>
    <w:rsid w:val="007A3684"/>
    <w:rsid w:val="007D211F"/>
    <w:rsid w:val="007D7CE0"/>
    <w:rsid w:val="007F59EC"/>
    <w:rsid w:val="00853871"/>
    <w:rsid w:val="0085431B"/>
    <w:rsid w:val="008759B7"/>
    <w:rsid w:val="00882B4F"/>
    <w:rsid w:val="00890A0F"/>
    <w:rsid w:val="00910E1E"/>
    <w:rsid w:val="0093110E"/>
    <w:rsid w:val="00936EFD"/>
    <w:rsid w:val="009837E3"/>
    <w:rsid w:val="009947F0"/>
    <w:rsid w:val="00A039AB"/>
    <w:rsid w:val="00A160D4"/>
    <w:rsid w:val="00A925E1"/>
    <w:rsid w:val="00AA6717"/>
    <w:rsid w:val="00B05811"/>
    <w:rsid w:val="00B240BB"/>
    <w:rsid w:val="00B308C9"/>
    <w:rsid w:val="00B35BF3"/>
    <w:rsid w:val="00B53943"/>
    <w:rsid w:val="00B6628E"/>
    <w:rsid w:val="00BA1B49"/>
    <w:rsid w:val="00BA24E4"/>
    <w:rsid w:val="00BA706F"/>
    <w:rsid w:val="00BB1B9D"/>
    <w:rsid w:val="00BD3D4E"/>
    <w:rsid w:val="00BF199E"/>
    <w:rsid w:val="00BF729D"/>
    <w:rsid w:val="00C10F06"/>
    <w:rsid w:val="00C27C02"/>
    <w:rsid w:val="00C53802"/>
    <w:rsid w:val="00C7447F"/>
    <w:rsid w:val="00CC13BB"/>
    <w:rsid w:val="00CD7C11"/>
    <w:rsid w:val="00D23CF7"/>
    <w:rsid w:val="00D31353"/>
    <w:rsid w:val="00E141FB"/>
    <w:rsid w:val="00E15154"/>
    <w:rsid w:val="00E22E16"/>
    <w:rsid w:val="00E6739B"/>
    <w:rsid w:val="00EB048E"/>
    <w:rsid w:val="00EE2697"/>
    <w:rsid w:val="00EF6308"/>
    <w:rsid w:val="00F33B14"/>
    <w:rsid w:val="00F371EC"/>
    <w:rsid w:val="00F372EF"/>
    <w:rsid w:val="00F503E7"/>
    <w:rsid w:val="00F63D75"/>
    <w:rsid w:val="00F814F7"/>
    <w:rsid w:val="00F85F94"/>
    <w:rsid w:val="00F91F0D"/>
    <w:rsid w:val="00FA0507"/>
    <w:rsid w:val="14560D76"/>
    <w:rsid w:val="3A260FBD"/>
    <w:rsid w:val="78730396"/>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imes New Roman" w:cs="Times New Roman" w:eastAsia="宋体" w:hAnsi="Times New Roman"/>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qFormat="1" w:semiHidden="0" w:uiPriority="0" w:unhideWhenUsed="0"/>
    <w:lsdException w:name="annotation text" w:uiPriority="99" w:unhideWhenUsed="0"/>
    <w:lsdException w:name="header" w:qFormat="1" w:semiHidden="0" w:uiPriority="99" w:unhideWhenUsed="0"/>
    <w:lsdException w:name="footer" w:qFormat="1" w:semiHidden="0" w:uiPriority="99" w:unhideWhenUsed="0"/>
    <w:lsdException w:name="index heading" w:uiPriority="0"/>
    <w:lsdException w:name="caption" w:qFormat="1" w:uiPriority="35"/>
    <w:lsdException w:name="table of figures" w:uiPriority="0"/>
    <w:lsdException w:name="envelope address" w:uiPriority="0"/>
    <w:lsdException w:name="envelope return" w:uiPriority="0"/>
    <w:lsdException w:name="footnote reference" w:qFormat="1" w:semiHidden="0" w:uiPriority="0" w:unhideWhenUsed="0"/>
    <w:lsdException w:name="annotation reference" w:uiPriority="99" w:unhideWhenUsed="0"/>
    <w:lsdException w:name="line number" w:uiPriority="0"/>
    <w:lsdException w:name="page number" w:qFormat="1" w:semiHidden="0" w:uiPriority="99" w:unhideWhenUsed="0"/>
    <w:lsdException w:name="endnote reference" w:uiPriority="0"/>
    <w:lsdException w:name="endnote text" w:uiPriority="0"/>
    <w:lsdException w:name="table of authorities" w:uiPriority="0"/>
    <w:lsdException w:name="macro" w:uiPriority="0"/>
    <w:lsdException w:name="toa heading" w:uiPriority="0"/>
    <w:lsdException w:name="List" w:qFormat="1" w:semiHidden="0" w:uiPriority="99" w:unhideWhenUsed="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qFormat="1" w:semiHidden="0" w:uiPriority="99" w:unhideWhenUsed="0"/>
    <w:lsdException w:name="Closing" w:uiPriority="0"/>
    <w:lsdException w:name="Signature" w:uiPriority="0"/>
    <w:lsdException w:name="Default Paragraph Font" w:qFormat="1" w:semiHidden="0" w:uiPriority="1"/>
    <w:lsdException w:name="Body Text" w:qFormat="1" w:semiHidden="0" w:uiPriority="99" w:unhideWhenUsed="0"/>
    <w:lsdException w:name="Body Text Indent" w:semiHidden="0" w:uiPriority="99"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qFormat="1" w:semiHidden="0" w:uiPriority="11" w:unhideWhenUsed="0"/>
    <w:lsdException w:name="Salutation" w:uiPriority="0"/>
    <w:lsdException w:name="Date" w:qFormat="1" w:semiHidden="0" w:uiPriority="0" w:unhideWhenUsed="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qFormat="1" w:semiHidden="0" w:uiPriority="99" w:unhideWhenUsed="0"/>
    <w:lsdException w:name="Body Text Indent 3" w:semiHidden="0" w:uiPriority="99" w:unhideWhenUsed="0"/>
    <w:lsdException w:name="Block Text" w:uiPriority="0"/>
    <w:lsdException w:name="Hyperlink" w:qFormat="1"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qFormat="1" w:uiPriority="99" w:unhideWhenUsed="0"/>
    <w:lsdException w:name="Plain Text" w:qFormat="1" w:semiHidden="0" w:uiPriority="99" w:unhideWhenUsed="0"/>
    <w:lsdException w:name="E-mail Signature" w:uiPriority="0"/>
    <w:lsdException w:name="Normal (Web)" w:qFormat="1" w:semiHidden="0" w:uiPriority="99" w:unhideWhenUsed="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semiHidden="0" w:uiPriority="99"/>
    <w:lsdException w:name="annotation subject"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qFormat="1" w:semiHidden="0" w:uiPriority="0"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56"/>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57"/>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58"/>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29"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70"/>
    <w:semiHidden/>
    <w:uiPriority w:val="99"/>
    <w:rPr>
      <w:b/>
      <w:bCs/>
    </w:rPr>
  </w:style>
  <w:style w:styleId="7" w:type="paragraph">
    <w:name w:val="annotation text"/>
    <w:basedOn w:val="1"/>
    <w:link w:val="69"/>
    <w:semiHidden/>
    <w:uiPriority w:val="99"/>
    <w:pPr>
      <w:jc w:val="left"/>
    </w:pPr>
  </w:style>
  <w:style w:styleId="8" w:type="paragraph">
    <w:name w:val="Document Map"/>
    <w:basedOn w:val="1"/>
    <w:link w:val="71"/>
    <w:semiHidden/>
    <w:qFormat/>
    <w:uiPriority w:val="99"/>
    <w:pPr>
      <w:shd w:color="auto" w:fill="000080" w:val="clear"/>
    </w:pPr>
  </w:style>
  <w:style w:styleId="9" w:type="paragraph">
    <w:name w:val="Body Text"/>
    <w:basedOn w:val="1"/>
    <w:link w:val="65"/>
    <w:qFormat/>
    <w:uiPriority w:val="99"/>
    <w:pPr>
      <w:spacing w:after="120"/>
    </w:pPr>
  </w:style>
  <w:style w:styleId="10" w:type="paragraph">
    <w:name w:val="Body Text Indent"/>
    <w:basedOn w:val="1"/>
    <w:link w:val="59"/>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60"/>
    <w:qFormat/>
    <w:uiPriority w:val="99"/>
    <w:rPr>
      <w:rFonts w:ascii="宋体" w:cs="宋体" w:hAnsi="Courier New"/>
    </w:rPr>
  </w:style>
  <w:style w:styleId="12" w:type="paragraph">
    <w:name w:val="Date"/>
    <w:basedOn w:val="1"/>
    <w:next w:val="1"/>
    <w:link w:val="66"/>
    <w:qFormat/>
    <w:uiPriority w:val="0"/>
    <w:rPr>
      <w:sz w:val="24"/>
      <w:szCs w:val="24"/>
    </w:rPr>
  </w:style>
  <w:style w:styleId="13" w:type="paragraph">
    <w:name w:val="Body Text Indent 2"/>
    <w:basedOn w:val="1"/>
    <w:link w:val="61"/>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8"/>
    <w:semiHidden/>
    <w:uiPriority w:val="99"/>
    <w:rPr>
      <w:sz w:val="18"/>
      <w:szCs w:val="18"/>
    </w:rPr>
  </w:style>
  <w:style w:styleId="15" w:type="paragraph">
    <w:name w:val="footer"/>
    <w:basedOn w:val="1"/>
    <w:link w:val="62"/>
    <w:qFormat/>
    <w:uiPriority w:val="99"/>
    <w:pPr>
      <w:tabs>
        <w:tab w:pos="4153" w:val="center"/>
        <w:tab w:pos="8306" w:val="right"/>
      </w:tabs>
      <w:snapToGrid w:val="0"/>
      <w:jc w:val="left"/>
    </w:pPr>
    <w:rPr>
      <w:sz w:val="18"/>
      <w:szCs w:val="18"/>
    </w:rPr>
  </w:style>
  <w:style w:styleId="16" w:type="paragraph">
    <w:name w:val="header"/>
    <w:basedOn w:val="1"/>
    <w:link w:val="64"/>
    <w:qFormat/>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qFormat/>
    <w:uiPriority w:val="99"/>
    <w:pPr>
      <w:spacing w:after="220" w:line="220" w:lineRule="atLeast"/>
      <w:ind w:hanging="360" w:left="1440"/>
    </w:pPr>
  </w:style>
  <w:style w:styleId="18" w:type="paragraph">
    <w:name w:val="footnote text"/>
    <w:basedOn w:val="1"/>
    <w:link w:val="72"/>
    <w:qFormat/>
    <w:uiPriority w:val="0"/>
    <w:pPr>
      <w:snapToGrid w:val="0"/>
      <w:jc w:val="left"/>
    </w:pPr>
    <w:rPr>
      <w:sz w:val="18"/>
      <w:szCs w:val="18"/>
    </w:rPr>
  </w:style>
  <w:style w:styleId="19" w:type="paragraph">
    <w:name w:val="Body Text Indent 3"/>
    <w:basedOn w:val="1"/>
    <w:link w:val="63"/>
    <w:uiPriority w:val="99"/>
    <w:pPr>
      <w:spacing w:line="560" w:lineRule="exact"/>
      <w:ind w:firstLine="420" w:firstLineChars="200"/>
    </w:pPr>
    <w:rPr>
      <w:rFonts w:ascii="Arial" w:cs="Arial" w:hAnsi="Arial"/>
      <w:color w:val="FF0000"/>
    </w:rPr>
  </w:style>
  <w:style w:styleId="20" w:type="paragraph">
    <w:name w:val="Normal (Web)"/>
    <w:basedOn w:val="1"/>
    <w:qFormat/>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3"/>
    <w:qFormat/>
    <w:uiPriority w:val="99"/>
    <w:pPr>
      <w:spacing w:after="60" w:before="240"/>
      <w:jc w:val="center"/>
      <w:outlineLvl w:val="0"/>
    </w:pPr>
    <w:rPr>
      <w:rFonts w:ascii="Cambria" w:cs="Cambria" w:hAnsi="Cambria"/>
      <w:b/>
      <w:bCs/>
      <w:sz w:val="32"/>
      <w:szCs w:val="32"/>
    </w:rPr>
  </w:style>
  <w:style w:styleId="24" w:type="character">
    <w:name w:val="page number"/>
    <w:basedOn w:val="23"/>
    <w:qFormat/>
    <w:uiPriority w:val="99"/>
  </w:style>
  <w:style w:styleId="25" w:type="character">
    <w:name w:val="FollowedHyperlink"/>
    <w:qFormat/>
    <w:uiPriority w:val="99"/>
    <w:rPr>
      <w:color w:val="800080"/>
      <w:u w:val="single"/>
    </w:rPr>
  </w:style>
  <w:style w:styleId="26" w:type="character">
    <w:name w:val="Hyperlink"/>
    <w:qFormat/>
    <w:uiPriority w:val="99"/>
    <w:rPr>
      <w:color w:val="0000FF"/>
      <w:u w:val="single"/>
    </w:rPr>
  </w:style>
  <w:style w:styleId="27" w:type="character">
    <w:name w:val="annotation reference"/>
    <w:semiHidden/>
    <w:uiPriority w:val="99"/>
    <w:rPr>
      <w:sz w:val="21"/>
      <w:szCs w:val="21"/>
    </w:rPr>
  </w:style>
  <w:style w:styleId="28" w:type="character">
    <w:name w:val="footnote reference"/>
    <w:qFormat/>
    <w:uiPriority w:val="0"/>
    <w:rPr>
      <w:vertAlign w:val="superscript"/>
    </w:rPr>
  </w:style>
  <w:style w:styleId="30" w:type="table">
    <w:name w:val="Table Grid"/>
    <w:basedOn w:val="29"/>
    <w:qFormat/>
    <w:uiPriority w:val="0"/>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1"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32"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33"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34"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35"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36"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37"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38"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39"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0"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1"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42"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43"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44"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45"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46"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47" w:type="paragraph">
    <w:name w:val="Char"/>
    <w:basedOn w:val="1"/>
    <w:qFormat/>
    <w:uiPriority w:val="99"/>
  </w:style>
  <w:style w:customStyle="1" w:styleId="48" w:type="paragraph">
    <w:name w:val="正文 + (符号) 宋体"/>
    <w:basedOn w:val="1"/>
    <w:qFormat/>
    <w:uiPriority w:val="99"/>
    <w:pPr>
      <w:autoSpaceDE w:val="0"/>
      <w:autoSpaceDN w:val="0"/>
      <w:adjustRightInd w:val="0"/>
      <w:ind w:firstLine="1229" w:firstLineChars="512" w:right="1409" w:rightChars="671"/>
      <w:jc w:val="distribute"/>
    </w:pPr>
    <w:rPr>
      <w:sz w:val="24"/>
      <w:szCs w:val="24"/>
    </w:rPr>
  </w:style>
  <w:style w:customStyle="1" w:styleId="49" w:type="paragraph">
    <w:name w:val="Char1"/>
    <w:basedOn w:val="1"/>
    <w:qFormat/>
    <w:uiPriority w:val="99"/>
  </w:style>
  <w:style w:customStyle="1" w:styleId="50" w:type="paragraph">
    <w:name w:val="Char Char Char Char Char Char1 Char Char Char"/>
    <w:basedOn w:val="1"/>
    <w:qFormat/>
    <w:uiPriority w:val="99"/>
    <w:pPr>
      <w:autoSpaceDE w:val="0"/>
      <w:autoSpaceDN w:val="0"/>
      <w:adjustRightInd w:val="0"/>
      <w:jc w:val="left"/>
      <w:textAlignment w:val="baseline"/>
    </w:pPr>
    <w:rPr>
      <w:rFonts w:ascii="宋体" w:cs="宋体"/>
      <w:kern w:val="0"/>
      <w:sz w:val="34"/>
      <w:szCs w:val="34"/>
    </w:rPr>
  </w:style>
  <w:style w:customStyle="1" w:styleId="51"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52"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53" w:type="paragraph">
    <w:name w:val="无间隔1"/>
    <w:link w:val="74"/>
    <w:qFormat/>
    <w:uiPriority w:val="1"/>
    <w:rPr>
      <w:rFonts w:ascii="Calibri" w:cs="Calibri" w:eastAsia="宋体" w:hAnsi="Calibri"/>
      <w:sz w:val="22"/>
      <w:szCs w:val="22"/>
      <w:lang w:bidi="ar-SA" w:eastAsia="zh-CN" w:val="en-US"/>
    </w:rPr>
  </w:style>
  <w:style w:customStyle="1" w:styleId="54" w:type="paragraph">
    <w:name w:val="列出段落1"/>
    <w:basedOn w:val="1"/>
    <w:qFormat/>
    <w:uiPriority w:val="34"/>
    <w:pPr>
      <w:ind w:firstLine="420" w:firstLineChars="200"/>
    </w:pPr>
  </w:style>
  <w:style w:customStyle="1" w:styleId="55" w:type="paragraph">
    <w:name w:val="Default"/>
    <w:qFormat/>
    <w:uiPriority w:val="0"/>
    <w:pPr>
      <w:widowControl w:val="0"/>
      <w:autoSpaceDE w:val="0"/>
      <w:autoSpaceDN w:val="0"/>
      <w:adjustRightInd w:val="0"/>
    </w:pPr>
    <w:rPr>
      <w:rFonts w:ascii="仿宋" w:cs="仿宋" w:eastAsia="宋体" w:hAnsi="仿宋"/>
      <w:color w:val="000000"/>
      <w:sz w:val="24"/>
      <w:szCs w:val="24"/>
      <w:lang w:bidi="ar-SA" w:eastAsia="zh-CN" w:val="en-US"/>
    </w:rPr>
  </w:style>
  <w:style w:customStyle="1" w:styleId="56" w:type="character">
    <w:name w:val="标题 1 Char"/>
    <w:link w:val="2"/>
    <w:qFormat/>
    <w:uiPriority w:val="99"/>
    <w:rPr>
      <w:rFonts w:ascii="Times New Roman" w:cs="Times New Roman" w:eastAsia="宋体" w:hAnsi="Times New Roman"/>
      <w:b/>
      <w:bCs/>
      <w:kern w:val="44"/>
      <w:sz w:val="44"/>
      <w:szCs w:val="44"/>
    </w:rPr>
  </w:style>
  <w:style w:customStyle="1" w:styleId="57" w:type="character">
    <w:name w:val="标题 2 Char"/>
    <w:link w:val="3"/>
    <w:qFormat/>
    <w:uiPriority w:val="99"/>
    <w:rPr>
      <w:rFonts w:ascii="Arial" w:cs="Arial" w:eastAsia="宋体" w:hAnsi="Arial"/>
      <w:b/>
      <w:bCs/>
      <w:sz w:val="24"/>
      <w:szCs w:val="24"/>
    </w:rPr>
  </w:style>
  <w:style w:customStyle="1" w:styleId="58" w:type="character">
    <w:name w:val="标题 3 Char"/>
    <w:link w:val="5"/>
    <w:qFormat/>
    <w:uiPriority w:val="99"/>
    <w:rPr>
      <w:rFonts w:ascii="Times New Roman" w:cs="Times New Roman" w:eastAsia="宋体" w:hAnsi="Times New Roman"/>
      <w:b/>
      <w:bCs/>
      <w:sz w:val="32"/>
      <w:szCs w:val="32"/>
    </w:rPr>
  </w:style>
  <w:style w:customStyle="1" w:styleId="59" w:type="character">
    <w:name w:val="正文文本缩进 Char"/>
    <w:link w:val="10"/>
    <w:qFormat/>
    <w:uiPriority w:val="99"/>
    <w:rPr>
      <w:rFonts w:ascii="Arial Unicode MS" w:cs="Arial Unicode MS" w:eastAsia="Arial Unicode MS" w:hAnsi="Arial Unicode MS"/>
      <w:kern w:val="0"/>
      <w:sz w:val="24"/>
      <w:szCs w:val="24"/>
    </w:rPr>
  </w:style>
  <w:style w:customStyle="1" w:styleId="60" w:type="character">
    <w:name w:val="纯文本 Char"/>
    <w:link w:val="11"/>
    <w:qFormat/>
    <w:uiPriority w:val="99"/>
    <w:rPr>
      <w:rFonts w:ascii="宋体" w:cs="宋体" w:eastAsia="宋体" w:hAnsi="Courier New"/>
      <w:szCs w:val="21"/>
    </w:rPr>
  </w:style>
  <w:style w:customStyle="1" w:styleId="61" w:type="character">
    <w:name w:val="正文文本缩进 2 Char"/>
    <w:link w:val="13"/>
    <w:qFormat/>
    <w:uiPriority w:val="99"/>
    <w:rPr>
      <w:rFonts w:ascii="宋体" w:cs="宋体" w:eastAsia="宋体" w:hAnsi="宋体"/>
      <w:color w:val="FF0000"/>
      <w:sz w:val="24"/>
      <w:szCs w:val="24"/>
    </w:rPr>
  </w:style>
  <w:style w:customStyle="1" w:styleId="62" w:type="character">
    <w:name w:val="页脚 Char"/>
    <w:link w:val="15"/>
    <w:qFormat/>
    <w:uiPriority w:val="99"/>
    <w:rPr>
      <w:rFonts w:ascii="Times New Roman" w:cs="Times New Roman" w:eastAsia="宋体" w:hAnsi="Times New Roman"/>
      <w:sz w:val="18"/>
      <w:szCs w:val="18"/>
    </w:rPr>
  </w:style>
  <w:style w:customStyle="1" w:styleId="63" w:type="character">
    <w:name w:val="正文文本缩进 3 Char"/>
    <w:link w:val="19"/>
    <w:qFormat/>
    <w:uiPriority w:val="99"/>
    <w:rPr>
      <w:rFonts w:ascii="Arial" w:cs="Arial" w:eastAsia="宋体" w:hAnsi="Arial"/>
      <w:color w:val="FF0000"/>
      <w:szCs w:val="21"/>
    </w:rPr>
  </w:style>
  <w:style w:customStyle="1" w:styleId="64" w:type="character">
    <w:name w:val="页眉 Char"/>
    <w:link w:val="16"/>
    <w:qFormat/>
    <w:uiPriority w:val="99"/>
    <w:rPr>
      <w:rFonts w:ascii="Times New Roman" w:cs="Times New Roman" w:eastAsia="宋体" w:hAnsi="Times New Roman"/>
      <w:sz w:val="18"/>
      <w:szCs w:val="18"/>
    </w:rPr>
  </w:style>
  <w:style w:customStyle="1" w:styleId="65" w:type="character">
    <w:name w:val="正文文本 Char"/>
    <w:link w:val="9"/>
    <w:qFormat/>
    <w:uiPriority w:val="99"/>
    <w:rPr>
      <w:rFonts w:ascii="Times New Roman" w:cs="Times New Roman" w:eastAsia="宋体" w:hAnsi="Times New Roman"/>
      <w:szCs w:val="21"/>
    </w:rPr>
  </w:style>
  <w:style w:customStyle="1" w:styleId="66" w:type="character">
    <w:name w:val="日期 Char"/>
    <w:link w:val="12"/>
    <w:qFormat/>
    <w:uiPriority w:val="0"/>
    <w:rPr>
      <w:rFonts w:ascii="Times New Roman" w:cs="Times New Roman" w:eastAsia="宋体" w:hAnsi="Times New Roman"/>
      <w:sz w:val="24"/>
      <w:szCs w:val="24"/>
    </w:rPr>
  </w:style>
  <w:style w:customStyle="1" w:styleId="67" w:type="character">
    <w:name w:val="c1"/>
    <w:qFormat/>
    <w:uiPriority w:val="99"/>
    <w:rPr>
      <w:color w:val="000000"/>
      <w:sz w:val="18"/>
      <w:szCs w:val="18"/>
    </w:rPr>
  </w:style>
  <w:style w:customStyle="1" w:styleId="68" w:type="character">
    <w:name w:val="批注框文本 Char"/>
    <w:link w:val="14"/>
    <w:semiHidden/>
    <w:qFormat/>
    <w:uiPriority w:val="99"/>
    <w:rPr>
      <w:rFonts w:ascii="Times New Roman" w:cs="Times New Roman" w:eastAsia="宋体" w:hAnsi="Times New Roman"/>
      <w:sz w:val="18"/>
      <w:szCs w:val="18"/>
    </w:rPr>
  </w:style>
  <w:style w:customStyle="1" w:styleId="69" w:type="character">
    <w:name w:val="批注文字 Char"/>
    <w:link w:val="7"/>
    <w:semiHidden/>
    <w:qFormat/>
    <w:uiPriority w:val="99"/>
    <w:rPr>
      <w:rFonts w:ascii="Times New Roman" w:cs="Times New Roman" w:eastAsia="宋体" w:hAnsi="Times New Roman"/>
      <w:szCs w:val="21"/>
    </w:rPr>
  </w:style>
  <w:style w:customStyle="1" w:styleId="70" w:type="character">
    <w:name w:val="批注主题 Char"/>
    <w:link w:val="6"/>
    <w:semiHidden/>
    <w:qFormat/>
    <w:uiPriority w:val="99"/>
    <w:rPr>
      <w:rFonts w:ascii="Times New Roman" w:cs="Times New Roman" w:eastAsia="宋体" w:hAnsi="Times New Roman"/>
      <w:b/>
      <w:bCs/>
      <w:szCs w:val="21"/>
    </w:rPr>
  </w:style>
  <w:style w:customStyle="1" w:styleId="71" w:type="character">
    <w:name w:val="文档结构图 Char"/>
    <w:link w:val="8"/>
    <w:semiHidden/>
    <w:qFormat/>
    <w:uiPriority w:val="99"/>
    <w:rPr>
      <w:rFonts w:ascii="Times New Roman" w:cs="Times New Roman" w:eastAsia="宋体" w:hAnsi="Times New Roman"/>
      <w:szCs w:val="21"/>
      <w:shd w:color="auto" w:fill="000080" w:val="clear"/>
    </w:rPr>
  </w:style>
  <w:style w:customStyle="1" w:styleId="72" w:type="character">
    <w:name w:val="脚注文本 Char"/>
    <w:link w:val="18"/>
    <w:qFormat/>
    <w:uiPriority w:val="0"/>
    <w:rPr>
      <w:rFonts w:ascii="Times New Roman" w:cs="Times New Roman" w:eastAsia="宋体" w:hAnsi="Times New Roman"/>
      <w:sz w:val="18"/>
      <w:szCs w:val="18"/>
    </w:rPr>
  </w:style>
  <w:style w:customStyle="1" w:styleId="73" w:type="character">
    <w:name w:val="标题 Char"/>
    <w:link w:val="22"/>
    <w:qFormat/>
    <w:uiPriority w:val="99"/>
    <w:rPr>
      <w:rFonts w:ascii="Cambria" w:cs="Cambria" w:eastAsia="宋体" w:hAnsi="Cambria"/>
      <w:b/>
      <w:bCs/>
      <w:sz w:val="32"/>
      <w:szCs w:val="32"/>
    </w:rPr>
  </w:style>
  <w:style w:customStyle="1" w:styleId="74" w:type="character">
    <w:name w:val="无间隔 Char"/>
    <w:link w:val="53"/>
    <w:qFormat/>
    <w:locked/>
    <w:uiPriority w:val="1"/>
    <w:rPr>
      <w:rFonts w:ascii="Calibri" w:cs="Calibri" w:eastAsia="宋体" w:hAnsi="Calibri"/>
      <w:kern w:val="0"/>
      <w:sz w:val="22"/>
    </w:rPr>
  </w:style>
  <w:style w:customStyle="1" w:styleId="75" w:type="character">
    <w:name w:val="t1"/>
    <w:qFormat/>
    <w:uiPriority w:val="99"/>
    <w:rPr>
      <w:color w:val="auto"/>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3750</Words>
  <Characters>21375</Characters>
  <Lines>178</Lines>
  <Paragraphs>50</Paragraphs>
  <ScaleCrop>false</ScaleCrop>
  <LinksUpToDate>false</LinksUpToDate>
  <CharactersWithSpaces>25075</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2017-07-18T09:49:44Z</dcterms:modified>
  <cp:revision>83</cp:revision>
  <dc:title>{cfid-fgi_JiJinMingCheng}</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