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4C" w:rsidRPr="00DF5796" w:rsidRDefault="0045204C" w:rsidP="005E43A5">
      <w:pPr>
        <w:tabs>
          <w:tab w:val="left" w:pos="4140"/>
        </w:tabs>
        <w:spacing w:line="360" w:lineRule="auto"/>
        <w:jc w:val="center"/>
        <w:rPr>
          <w:rFonts w:ascii="宋体" w:hAnsi="宋体"/>
          <w:b/>
          <w:sz w:val="30"/>
          <w:szCs w:val="30"/>
          <w:lang w:val="en-US"/>
        </w:rPr>
      </w:pPr>
    </w:p>
    <w:p w:rsidR="0045204C" w:rsidRDefault="0045204C" w:rsidP="005E43A5">
      <w:pPr>
        <w:tabs>
          <w:tab w:val="left" w:pos="3510"/>
          <w:tab w:val="left" w:pos="4500"/>
        </w:tabs>
        <w:spacing w:line="360" w:lineRule="auto"/>
        <w:jc w:val="center"/>
        <w:rPr>
          <w:rFonts w:ascii="宋体" w:hAnsi="宋体"/>
          <w:b/>
          <w:sz w:val="32"/>
          <w:szCs w:val="30"/>
          <w:lang w:val="en-US"/>
        </w:rPr>
      </w:pPr>
    </w:p>
    <w:p w:rsidR="00124F91" w:rsidRDefault="00124F91" w:rsidP="005E43A5">
      <w:pPr>
        <w:tabs>
          <w:tab w:val="left" w:pos="3510"/>
          <w:tab w:val="left" w:pos="4500"/>
        </w:tabs>
        <w:spacing w:line="360" w:lineRule="auto"/>
        <w:jc w:val="center"/>
        <w:rPr>
          <w:rFonts w:ascii="宋体" w:hAnsi="宋体"/>
          <w:b/>
          <w:sz w:val="32"/>
          <w:szCs w:val="30"/>
          <w:lang w:val="en-US"/>
        </w:rPr>
      </w:pPr>
    </w:p>
    <w:p w:rsidR="002641B4" w:rsidRDefault="002641B4" w:rsidP="005E43A5">
      <w:pPr>
        <w:tabs>
          <w:tab w:val="left" w:pos="3510"/>
          <w:tab w:val="left" w:pos="4500"/>
        </w:tabs>
        <w:spacing w:line="360" w:lineRule="auto"/>
        <w:jc w:val="center"/>
        <w:rPr>
          <w:rFonts w:ascii="宋体" w:hAnsi="宋体"/>
          <w:b/>
          <w:sz w:val="32"/>
          <w:szCs w:val="30"/>
          <w:lang w:val="en-US"/>
        </w:rPr>
      </w:pPr>
    </w:p>
    <w:p w:rsidR="00F00238" w:rsidRDefault="00F00238" w:rsidP="005E43A5">
      <w:pPr>
        <w:tabs>
          <w:tab w:val="left" w:pos="4500"/>
        </w:tabs>
        <w:spacing w:line="360" w:lineRule="auto"/>
        <w:jc w:val="center"/>
        <w:rPr>
          <w:rFonts w:ascii="宋体" w:hAnsi="宋体"/>
          <w:b/>
          <w:sz w:val="32"/>
          <w:szCs w:val="30"/>
          <w:lang w:val="en-US"/>
        </w:rPr>
      </w:pPr>
      <w:r w:rsidRPr="00F00238">
        <w:rPr>
          <w:rFonts w:ascii="宋体" w:hAnsi="宋体" w:hint="eastAsia"/>
          <w:b/>
          <w:sz w:val="32"/>
          <w:szCs w:val="30"/>
          <w:lang w:val="en-US"/>
        </w:rPr>
        <w:t>广发中证全指主要消费交易型开放式指数证券投资基金</w:t>
      </w:r>
    </w:p>
    <w:p w:rsidR="0045204C" w:rsidRPr="00566E4F" w:rsidRDefault="0045204C" w:rsidP="005E43A5">
      <w:pPr>
        <w:tabs>
          <w:tab w:val="left" w:pos="4500"/>
        </w:tabs>
        <w:spacing w:line="360" w:lineRule="auto"/>
        <w:jc w:val="center"/>
        <w:rPr>
          <w:rFonts w:ascii="宋体" w:hAnsi="宋体"/>
          <w:b/>
          <w:sz w:val="32"/>
          <w:szCs w:val="30"/>
          <w:lang w:val="en-US"/>
        </w:rPr>
      </w:pPr>
      <w:r w:rsidRPr="00566E4F">
        <w:rPr>
          <w:rFonts w:ascii="宋体" w:hAnsi="宋体"/>
          <w:b/>
          <w:sz w:val="32"/>
          <w:szCs w:val="30"/>
        </w:rPr>
        <w:t>清算报告</w:t>
      </w:r>
    </w:p>
    <w:p w:rsidR="0045204C" w:rsidRDefault="0045204C" w:rsidP="005E43A5">
      <w:pPr>
        <w:pStyle w:val="Default"/>
        <w:spacing w:line="360" w:lineRule="auto"/>
        <w:rPr>
          <w:rFonts w:hAnsi="宋体"/>
          <w:sz w:val="30"/>
          <w:szCs w:val="30"/>
        </w:rPr>
      </w:pPr>
      <w:r w:rsidRPr="00DF5796">
        <w:rPr>
          <w:rFonts w:hAnsi="宋体"/>
          <w:sz w:val="30"/>
          <w:szCs w:val="30"/>
        </w:rPr>
        <w:tab/>
      </w:r>
    </w:p>
    <w:p w:rsidR="0045204C" w:rsidRDefault="0045204C" w:rsidP="005E43A5">
      <w:pPr>
        <w:pStyle w:val="Default"/>
        <w:spacing w:line="360" w:lineRule="auto"/>
        <w:rPr>
          <w:rFonts w:hAnsi="宋体"/>
          <w:sz w:val="30"/>
          <w:szCs w:val="30"/>
        </w:rPr>
      </w:pPr>
    </w:p>
    <w:p w:rsidR="0045204C" w:rsidRDefault="0045204C" w:rsidP="005E43A5">
      <w:pPr>
        <w:pStyle w:val="Default"/>
        <w:spacing w:line="360" w:lineRule="auto"/>
        <w:rPr>
          <w:rFonts w:hAnsi="宋体"/>
          <w:sz w:val="30"/>
          <w:szCs w:val="30"/>
        </w:rPr>
      </w:pPr>
    </w:p>
    <w:p w:rsidR="0045204C" w:rsidRDefault="0045204C" w:rsidP="005E43A5">
      <w:pPr>
        <w:pStyle w:val="Default"/>
        <w:spacing w:line="360" w:lineRule="auto"/>
        <w:rPr>
          <w:rFonts w:hAnsi="宋体"/>
          <w:sz w:val="30"/>
          <w:szCs w:val="30"/>
        </w:rPr>
      </w:pPr>
    </w:p>
    <w:p w:rsidR="0045204C" w:rsidRDefault="0045204C" w:rsidP="005E43A5">
      <w:pPr>
        <w:pStyle w:val="Default"/>
        <w:spacing w:line="360" w:lineRule="auto"/>
        <w:rPr>
          <w:rFonts w:hAnsi="宋体"/>
          <w:sz w:val="30"/>
          <w:szCs w:val="30"/>
        </w:rPr>
      </w:pPr>
    </w:p>
    <w:p w:rsidR="0045204C" w:rsidRDefault="009D67B9" w:rsidP="009D67B9">
      <w:pPr>
        <w:pStyle w:val="Default"/>
        <w:tabs>
          <w:tab w:val="left" w:pos="2775"/>
        </w:tabs>
        <w:spacing w:line="360" w:lineRule="auto"/>
        <w:rPr>
          <w:rFonts w:hAnsi="宋体"/>
          <w:sz w:val="30"/>
          <w:szCs w:val="30"/>
        </w:rPr>
      </w:pPr>
      <w:r>
        <w:rPr>
          <w:rFonts w:hAnsi="宋体"/>
          <w:sz w:val="30"/>
          <w:szCs w:val="30"/>
        </w:rPr>
        <w:tab/>
      </w:r>
    </w:p>
    <w:p w:rsidR="0045204C" w:rsidRDefault="0045204C" w:rsidP="005E43A5">
      <w:pPr>
        <w:pStyle w:val="Default"/>
        <w:spacing w:line="360" w:lineRule="auto"/>
        <w:rPr>
          <w:rFonts w:hAnsi="宋体"/>
          <w:sz w:val="30"/>
          <w:szCs w:val="30"/>
        </w:rPr>
      </w:pPr>
    </w:p>
    <w:p w:rsidR="0045204C" w:rsidRDefault="0045204C" w:rsidP="005E43A5">
      <w:pPr>
        <w:pStyle w:val="Default"/>
        <w:spacing w:line="360" w:lineRule="auto"/>
        <w:rPr>
          <w:rFonts w:hAnsi="宋体"/>
          <w:sz w:val="30"/>
          <w:szCs w:val="30"/>
        </w:rPr>
      </w:pPr>
    </w:p>
    <w:p w:rsidR="0045204C" w:rsidRDefault="0045204C" w:rsidP="005E43A5">
      <w:pPr>
        <w:pStyle w:val="Default"/>
        <w:spacing w:line="360" w:lineRule="auto"/>
        <w:rPr>
          <w:rFonts w:hAnsi="宋体"/>
          <w:sz w:val="30"/>
          <w:szCs w:val="30"/>
        </w:rPr>
      </w:pPr>
    </w:p>
    <w:p w:rsidR="0045204C" w:rsidRPr="00DF5796" w:rsidRDefault="0045204C" w:rsidP="005E43A5">
      <w:pPr>
        <w:pStyle w:val="Default"/>
        <w:spacing w:line="360" w:lineRule="auto"/>
        <w:rPr>
          <w:rFonts w:hAnsi="宋体"/>
          <w:sz w:val="30"/>
          <w:szCs w:val="30"/>
        </w:rPr>
      </w:pPr>
    </w:p>
    <w:p w:rsidR="0045204C" w:rsidRPr="00A63404" w:rsidRDefault="0045204C" w:rsidP="005E43A5">
      <w:pPr>
        <w:widowControl w:val="0"/>
        <w:autoSpaceDE w:val="0"/>
        <w:autoSpaceDN w:val="0"/>
        <w:adjustRightInd w:val="0"/>
        <w:spacing w:line="360" w:lineRule="auto"/>
        <w:jc w:val="center"/>
        <w:rPr>
          <w:rFonts w:ascii="宋体" w:hAnsi="宋体" w:cs="宋体"/>
          <w:b/>
          <w:color w:val="000000"/>
          <w:szCs w:val="30"/>
          <w:lang w:val="en-US"/>
        </w:rPr>
      </w:pPr>
      <w:r w:rsidRPr="00A63404">
        <w:rPr>
          <w:rFonts w:ascii="宋体" w:hAnsi="宋体" w:cs="宋体"/>
          <w:b/>
          <w:color w:val="000000"/>
          <w:szCs w:val="30"/>
          <w:lang w:val="en-US"/>
        </w:rPr>
        <w:t>基金管理人：广发基金管理有限公司</w:t>
      </w:r>
    </w:p>
    <w:p w:rsidR="0045204C" w:rsidRPr="00A63404" w:rsidRDefault="0045204C" w:rsidP="005E43A5">
      <w:pPr>
        <w:widowControl w:val="0"/>
        <w:autoSpaceDE w:val="0"/>
        <w:autoSpaceDN w:val="0"/>
        <w:adjustRightInd w:val="0"/>
        <w:spacing w:line="360" w:lineRule="auto"/>
        <w:jc w:val="center"/>
        <w:rPr>
          <w:rFonts w:ascii="宋体" w:hAnsi="宋体" w:cs="宋体"/>
          <w:b/>
          <w:color w:val="000000"/>
          <w:szCs w:val="30"/>
          <w:lang w:val="en-US"/>
        </w:rPr>
      </w:pPr>
      <w:r w:rsidRPr="00A63404">
        <w:rPr>
          <w:rFonts w:ascii="宋体" w:hAnsi="宋体" w:cs="宋体"/>
          <w:b/>
          <w:color w:val="000000"/>
          <w:szCs w:val="30"/>
          <w:lang w:val="en-US"/>
        </w:rPr>
        <w:t>基金托管人：</w:t>
      </w:r>
      <w:r w:rsidR="00F00238">
        <w:rPr>
          <w:rFonts w:ascii="宋体" w:hAnsi="宋体" w:cs="宋体" w:hint="eastAsia"/>
          <w:b/>
          <w:color w:val="000000"/>
          <w:szCs w:val="30"/>
          <w:lang w:val="en-US"/>
        </w:rPr>
        <w:t>中国</w:t>
      </w:r>
      <w:r w:rsidR="00792CF1" w:rsidRPr="00792CF1">
        <w:rPr>
          <w:rFonts w:ascii="宋体" w:hAnsi="宋体" w:cs="宋体" w:hint="eastAsia"/>
          <w:b/>
          <w:color w:val="000000"/>
          <w:szCs w:val="30"/>
          <w:lang w:val="en-US"/>
        </w:rPr>
        <w:t>银行股份有限公司</w:t>
      </w:r>
    </w:p>
    <w:p w:rsidR="000E5D5E" w:rsidRDefault="000E5D5E" w:rsidP="000E5D5E">
      <w:pPr>
        <w:tabs>
          <w:tab w:val="left" w:pos="4500"/>
        </w:tabs>
        <w:spacing w:line="360" w:lineRule="auto"/>
        <w:jc w:val="center"/>
        <w:rPr>
          <w:rFonts w:ascii="宋体" w:hAnsi="宋体"/>
          <w:b/>
          <w:szCs w:val="24"/>
          <w:lang w:val="en-US"/>
        </w:rPr>
      </w:pPr>
      <w:r>
        <w:rPr>
          <w:rFonts w:ascii="宋体" w:hAnsi="宋体" w:hint="eastAsia"/>
          <w:b/>
          <w:szCs w:val="24"/>
          <w:lang w:val="en-US"/>
        </w:rPr>
        <w:t>报告出具日期：</w:t>
      </w:r>
      <w:r>
        <w:rPr>
          <w:rFonts w:asciiTheme="minorEastAsia" w:eastAsiaTheme="minorEastAsia" w:hAnsiTheme="minorEastAsia" w:hint="eastAsia"/>
          <w:b/>
          <w:szCs w:val="24"/>
        </w:rPr>
        <w:t>2019</w:t>
      </w:r>
      <w:r w:rsidRPr="00A42BC7">
        <w:rPr>
          <w:rFonts w:asciiTheme="minorEastAsia" w:eastAsiaTheme="minorEastAsia" w:hAnsiTheme="minorEastAsia" w:hint="eastAsia"/>
          <w:b/>
          <w:szCs w:val="24"/>
        </w:rPr>
        <w:t>年</w:t>
      </w:r>
      <w:r>
        <w:rPr>
          <w:rFonts w:asciiTheme="minorEastAsia" w:eastAsiaTheme="minorEastAsia" w:hAnsiTheme="minorEastAsia" w:hint="eastAsia"/>
          <w:b/>
          <w:szCs w:val="24"/>
        </w:rPr>
        <w:t>2</w:t>
      </w:r>
      <w:r w:rsidRPr="00A42BC7">
        <w:rPr>
          <w:rFonts w:asciiTheme="minorEastAsia" w:eastAsiaTheme="minorEastAsia" w:hAnsiTheme="minorEastAsia" w:hint="eastAsia"/>
          <w:b/>
          <w:szCs w:val="24"/>
        </w:rPr>
        <w:t>月</w:t>
      </w:r>
      <w:r>
        <w:rPr>
          <w:rFonts w:asciiTheme="minorEastAsia" w:eastAsiaTheme="minorEastAsia" w:hAnsiTheme="minorEastAsia" w:hint="eastAsia"/>
          <w:b/>
          <w:szCs w:val="24"/>
        </w:rPr>
        <w:t>1</w:t>
      </w:r>
      <w:r w:rsidRPr="00A42BC7">
        <w:rPr>
          <w:rFonts w:asciiTheme="minorEastAsia" w:eastAsiaTheme="minorEastAsia" w:hAnsiTheme="minorEastAsia" w:hint="eastAsia"/>
          <w:b/>
          <w:szCs w:val="24"/>
        </w:rPr>
        <w:t>日</w:t>
      </w:r>
    </w:p>
    <w:p w:rsidR="000E5D5E" w:rsidRDefault="000E5D5E" w:rsidP="000E5D5E">
      <w:pPr>
        <w:tabs>
          <w:tab w:val="left" w:pos="4500"/>
        </w:tabs>
        <w:spacing w:line="360" w:lineRule="auto"/>
        <w:jc w:val="center"/>
        <w:rPr>
          <w:rFonts w:ascii="宋体" w:hAnsi="宋体"/>
          <w:b/>
          <w:szCs w:val="24"/>
          <w:lang w:val="en-US"/>
        </w:rPr>
      </w:pPr>
      <w:r>
        <w:rPr>
          <w:rFonts w:ascii="宋体" w:hAnsi="宋体" w:hint="eastAsia"/>
          <w:b/>
          <w:szCs w:val="24"/>
          <w:lang w:val="en-US"/>
        </w:rPr>
        <w:t>报告公告日期：2019年4月2日</w:t>
      </w:r>
    </w:p>
    <w:p w:rsidR="00124F91" w:rsidRPr="000E5D5E" w:rsidRDefault="00124F91" w:rsidP="005E43A5">
      <w:pPr>
        <w:spacing w:line="360" w:lineRule="auto"/>
        <w:rPr>
          <w:lang w:val="en-US"/>
        </w:rPr>
      </w:pPr>
    </w:p>
    <w:p w:rsidR="00124F91" w:rsidRDefault="00124F91" w:rsidP="005E43A5">
      <w:pPr>
        <w:spacing w:line="360" w:lineRule="auto"/>
        <w:rPr>
          <w:lang w:val="en-US"/>
        </w:rPr>
      </w:pPr>
      <w:r>
        <w:rPr>
          <w:lang w:val="en-US"/>
        </w:rPr>
        <w:br w:type="page"/>
      </w:r>
    </w:p>
    <w:sdt>
      <w:sdtPr>
        <w:rPr>
          <w:rFonts w:ascii="Times New Roman" w:eastAsia="宋体" w:hAnsi="Times New Roman" w:cs="Times New Roman"/>
          <w:b w:val="0"/>
          <w:bCs w:val="0"/>
          <w:color w:val="auto"/>
          <w:sz w:val="24"/>
          <w:szCs w:val="20"/>
          <w:lang w:val="zh-CN"/>
        </w:rPr>
        <w:id w:val="-1149906867"/>
        <w:docPartObj>
          <w:docPartGallery w:val="Table of Contents"/>
          <w:docPartUnique/>
        </w:docPartObj>
      </w:sdtPr>
      <w:sdtContent>
        <w:p w:rsidR="009D67B9" w:rsidRDefault="009D67B9" w:rsidP="009D67B9">
          <w:pPr>
            <w:pStyle w:val="TOC"/>
            <w:spacing w:line="360" w:lineRule="auto"/>
            <w:jc w:val="center"/>
            <w:rPr>
              <w:rFonts w:ascii="Times New Roman" w:eastAsia="宋体" w:hAnsi="Times New Roman" w:cs="Times New Roman"/>
              <w:b w:val="0"/>
              <w:bCs w:val="0"/>
              <w:color w:val="auto"/>
              <w:sz w:val="24"/>
              <w:szCs w:val="20"/>
              <w:lang w:val="zh-CN"/>
            </w:rPr>
          </w:pPr>
        </w:p>
        <w:p w:rsidR="009D67B9" w:rsidRPr="009D67B9" w:rsidRDefault="009D67B9" w:rsidP="009D67B9">
          <w:pPr>
            <w:rPr>
              <w:lang w:val="zh-CN"/>
            </w:rPr>
          </w:pPr>
        </w:p>
        <w:p w:rsidR="009D67B9" w:rsidRPr="009D67B9" w:rsidRDefault="009D67B9" w:rsidP="009D67B9">
          <w:pPr>
            <w:rPr>
              <w:lang w:val="zh-CN"/>
            </w:rPr>
          </w:pPr>
        </w:p>
        <w:p w:rsidR="00124F91" w:rsidRDefault="00124F91" w:rsidP="005E43A5">
          <w:pPr>
            <w:pStyle w:val="TOC"/>
            <w:spacing w:line="360" w:lineRule="auto"/>
            <w:jc w:val="center"/>
            <w:rPr>
              <w:color w:val="auto"/>
              <w:lang w:val="zh-CN"/>
            </w:rPr>
          </w:pPr>
          <w:r w:rsidRPr="00311FD8">
            <w:rPr>
              <w:color w:val="auto"/>
              <w:lang w:val="zh-CN"/>
            </w:rPr>
            <w:t>目录</w:t>
          </w:r>
        </w:p>
        <w:p w:rsidR="00124F91" w:rsidRDefault="00124F91" w:rsidP="005E43A5">
          <w:pPr>
            <w:spacing w:line="360" w:lineRule="auto"/>
            <w:rPr>
              <w:lang w:val="zh-CN"/>
            </w:rPr>
          </w:pPr>
        </w:p>
        <w:p w:rsidR="00124F91" w:rsidRDefault="00124F91" w:rsidP="005E43A5">
          <w:pPr>
            <w:spacing w:line="360" w:lineRule="auto"/>
            <w:rPr>
              <w:lang w:val="zh-CN"/>
            </w:rPr>
          </w:pPr>
        </w:p>
        <w:p w:rsidR="00124F91" w:rsidRDefault="00124F91" w:rsidP="005E43A5">
          <w:pPr>
            <w:spacing w:line="360" w:lineRule="auto"/>
            <w:rPr>
              <w:lang w:val="zh-CN"/>
            </w:rPr>
          </w:pPr>
        </w:p>
        <w:p w:rsidR="00124F91" w:rsidRPr="00756907" w:rsidRDefault="00124F91" w:rsidP="005E43A5">
          <w:pPr>
            <w:spacing w:line="360" w:lineRule="auto"/>
            <w:rPr>
              <w:lang w:val="zh-CN"/>
            </w:rPr>
          </w:pPr>
        </w:p>
        <w:p w:rsidR="009D67B9" w:rsidRPr="009D67B9" w:rsidRDefault="008E6BBF" w:rsidP="00F65DCE">
          <w:pPr>
            <w:pStyle w:val="20"/>
            <w:tabs>
              <w:tab w:val="right" w:leader="dot" w:pos="10171"/>
            </w:tabs>
            <w:spacing w:line="720" w:lineRule="auto"/>
            <w:ind w:left="480"/>
            <w:rPr>
              <w:rFonts w:asciiTheme="majorEastAsia" w:eastAsiaTheme="majorEastAsia" w:hAnsiTheme="majorEastAsia" w:cstheme="minorBidi"/>
              <w:b/>
              <w:noProof/>
              <w:kern w:val="2"/>
              <w:sz w:val="21"/>
              <w:szCs w:val="22"/>
              <w:lang w:val="en-US"/>
            </w:rPr>
          </w:pPr>
          <w:r w:rsidRPr="008E6BBF">
            <w:rPr>
              <w:rFonts w:asciiTheme="minorHAnsi" w:eastAsiaTheme="minorEastAsia" w:hAnsiTheme="minorHAnsi" w:cstheme="minorBidi"/>
              <w:sz w:val="22"/>
              <w:szCs w:val="22"/>
              <w:lang w:val="en-US"/>
            </w:rPr>
            <w:fldChar w:fldCharType="begin"/>
          </w:r>
          <w:r w:rsidR="00124F91">
            <w:instrText xml:space="preserve"> TOC \o "1-3" \h \z \u </w:instrText>
          </w:r>
          <w:r w:rsidRPr="008E6BBF">
            <w:rPr>
              <w:rFonts w:asciiTheme="minorHAnsi" w:eastAsiaTheme="minorEastAsia" w:hAnsiTheme="minorHAnsi" w:cstheme="minorBidi"/>
              <w:sz w:val="22"/>
              <w:szCs w:val="22"/>
              <w:lang w:val="en-US"/>
            </w:rPr>
            <w:fldChar w:fldCharType="separate"/>
          </w:r>
          <w:hyperlink w:anchor="_Toc527727220" w:history="1">
            <w:r w:rsidR="009D67B9" w:rsidRPr="009D67B9">
              <w:rPr>
                <w:rStyle w:val="a3"/>
                <w:rFonts w:asciiTheme="majorEastAsia" w:eastAsiaTheme="majorEastAsia" w:hAnsiTheme="majorEastAsia"/>
                <w:b/>
                <w:noProof/>
                <w:lang w:val="en-US"/>
              </w:rPr>
              <w:t>1</w:t>
            </w:r>
            <w:r w:rsidR="009D67B9" w:rsidRPr="009D67B9">
              <w:rPr>
                <w:rStyle w:val="a3"/>
                <w:rFonts w:asciiTheme="majorEastAsia" w:eastAsiaTheme="majorEastAsia" w:hAnsiTheme="majorEastAsia" w:hint="eastAsia"/>
                <w:b/>
                <w:noProof/>
                <w:lang w:val="en-US"/>
              </w:rPr>
              <w:t>、重要提示</w:t>
            </w:r>
            <w:r w:rsidR="009D67B9" w:rsidRPr="009D67B9">
              <w:rPr>
                <w:rFonts w:asciiTheme="majorEastAsia" w:eastAsiaTheme="majorEastAsia" w:hAnsiTheme="majorEastAsia"/>
                <w:b/>
                <w:noProof/>
                <w:webHidden/>
              </w:rPr>
              <w:tab/>
            </w:r>
            <w:r w:rsidRPr="009D67B9">
              <w:rPr>
                <w:rFonts w:asciiTheme="majorEastAsia" w:eastAsiaTheme="majorEastAsia" w:hAnsiTheme="majorEastAsia"/>
                <w:b/>
                <w:noProof/>
                <w:webHidden/>
              </w:rPr>
              <w:fldChar w:fldCharType="begin"/>
            </w:r>
            <w:r w:rsidR="009D67B9" w:rsidRPr="009D67B9">
              <w:rPr>
                <w:rFonts w:asciiTheme="majorEastAsia" w:eastAsiaTheme="majorEastAsia" w:hAnsiTheme="majorEastAsia"/>
                <w:b/>
                <w:noProof/>
                <w:webHidden/>
              </w:rPr>
              <w:instrText xml:space="preserve"> PAGEREF _Toc527727220 \h </w:instrText>
            </w:r>
            <w:r w:rsidRPr="009D67B9">
              <w:rPr>
                <w:rFonts w:asciiTheme="majorEastAsia" w:eastAsiaTheme="majorEastAsia" w:hAnsiTheme="majorEastAsia"/>
                <w:b/>
                <w:noProof/>
                <w:webHidden/>
              </w:rPr>
            </w:r>
            <w:r w:rsidRPr="009D67B9">
              <w:rPr>
                <w:rFonts w:asciiTheme="majorEastAsia" w:eastAsiaTheme="majorEastAsia" w:hAnsiTheme="majorEastAsia"/>
                <w:b/>
                <w:noProof/>
                <w:webHidden/>
              </w:rPr>
              <w:fldChar w:fldCharType="separate"/>
            </w:r>
            <w:r w:rsidR="00141738">
              <w:rPr>
                <w:rFonts w:asciiTheme="majorEastAsia" w:eastAsiaTheme="majorEastAsia" w:hAnsiTheme="majorEastAsia"/>
                <w:b/>
                <w:noProof/>
                <w:webHidden/>
              </w:rPr>
              <w:t>3</w:t>
            </w:r>
            <w:r w:rsidRPr="009D67B9">
              <w:rPr>
                <w:rFonts w:asciiTheme="majorEastAsia" w:eastAsiaTheme="majorEastAsia" w:hAnsiTheme="majorEastAsia"/>
                <w:b/>
                <w:noProof/>
                <w:webHidden/>
              </w:rPr>
              <w:fldChar w:fldCharType="end"/>
            </w:r>
          </w:hyperlink>
        </w:p>
        <w:p w:rsidR="009D67B9" w:rsidRPr="009D67B9" w:rsidRDefault="008E6BBF" w:rsidP="00F65DCE">
          <w:pPr>
            <w:pStyle w:val="20"/>
            <w:tabs>
              <w:tab w:val="right" w:leader="dot" w:pos="10171"/>
            </w:tabs>
            <w:spacing w:line="720" w:lineRule="auto"/>
            <w:ind w:left="480"/>
            <w:rPr>
              <w:rFonts w:asciiTheme="majorEastAsia" w:eastAsiaTheme="majorEastAsia" w:hAnsiTheme="majorEastAsia" w:cstheme="minorBidi"/>
              <w:b/>
              <w:noProof/>
              <w:kern w:val="2"/>
              <w:sz w:val="21"/>
              <w:szCs w:val="22"/>
              <w:lang w:val="en-US"/>
            </w:rPr>
          </w:pPr>
          <w:hyperlink w:anchor="_Toc527727221" w:history="1">
            <w:r w:rsidR="009D67B9" w:rsidRPr="009D67B9">
              <w:rPr>
                <w:rStyle w:val="a3"/>
                <w:rFonts w:asciiTheme="majorEastAsia" w:eastAsiaTheme="majorEastAsia" w:hAnsiTheme="majorEastAsia"/>
                <w:b/>
                <w:noProof/>
              </w:rPr>
              <w:t>2</w:t>
            </w:r>
            <w:r w:rsidR="009D67B9" w:rsidRPr="009D67B9">
              <w:rPr>
                <w:rStyle w:val="a3"/>
                <w:rFonts w:asciiTheme="majorEastAsia" w:eastAsiaTheme="majorEastAsia" w:hAnsiTheme="majorEastAsia" w:hint="eastAsia"/>
                <w:b/>
                <w:noProof/>
              </w:rPr>
              <w:t>、基金概况</w:t>
            </w:r>
            <w:r w:rsidR="009D67B9" w:rsidRPr="009D67B9">
              <w:rPr>
                <w:rFonts w:asciiTheme="majorEastAsia" w:eastAsiaTheme="majorEastAsia" w:hAnsiTheme="majorEastAsia"/>
                <w:b/>
                <w:noProof/>
                <w:webHidden/>
              </w:rPr>
              <w:tab/>
            </w:r>
            <w:r w:rsidRPr="009D67B9">
              <w:rPr>
                <w:rFonts w:asciiTheme="majorEastAsia" w:eastAsiaTheme="majorEastAsia" w:hAnsiTheme="majorEastAsia"/>
                <w:b/>
                <w:noProof/>
                <w:webHidden/>
              </w:rPr>
              <w:fldChar w:fldCharType="begin"/>
            </w:r>
            <w:r w:rsidR="009D67B9" w:rsidRPr="009D67B9">
              <w:rPr>
                <w:rFonts w:asciiTheme="majorEastAsia" w:eastAsiaTheme="majorEastAsia" w:hAnsiTheme="majorEastAsia"/>
                <w:b/>
                <w:noProof/>
                <w:webHidden/>
              </w:rPr>
              <w:instrText xml:space="preserve"> PAGEREF _Toc527727221 \h </w:instrText>
            </w:r>
            <w:r w:rsidRPr="009D67B9">
              <w:rPr>
                <w:rFonts w:asciiTheme="majorEastAsia" w:eastAsiaTheme="majorEastAsia" w:hAnsiTheme="majorEastAsia"/>
                <w:b/>
                <w:noProof/>
                <w:webHidden/>
              </w:rPr>
            </w:r>
            <w:r w:rsidRPr="009D67B9">
              <w:rPr>
                <w:rFonts w:asciiTheme="majorEastAsia" w:eastAsiaTheme="majorEastAsia" w:hAnsiTheme="majorEastAsia"/>
                <w:b/>
                <w:noProof/>
                <w:webHidden/>
              </w:rPr>
              <w:fldChar w:fldCharType="separate"/>
            </w:r>
            <w:r w:rsidR="00141738">
              <w:rPr>
                <w:rFonts w:asciiTheme="majorEastAsia" w:eastAsiaTheme="majorEastAsia" w:hAnsiTheme="majorEastAsia"/>
                <w:b/>
                <w:noProof/>
                <w:webHidden/>
              </w:rPr>
              <w:t>3</w:t>
            </w:r>
            <w:r w:rsidRPr="009D67B9">
              <w:rPr>
                <w:rFonts w:asciiTheme="majorEastAsia" w:eastAsiaTheme="majorEastAsia" w:hAnsiTheme="majorEastAsia"/>
                <w:b/>
                <w:noProof/>
                <w:webHidden/>
              </w:rPr>
              <w:fldChar w:fldCharType="end"/>
            </w:r>
          </w:hyperlink>
        </w:p>
        <w:p w:rsidR="009D67B9" w:rsidRPr="009D67B9" w:rsidRDefault="008E6BBF" w:rsidP="00F65DCE">
          <w:pPr>
            <w:pStyle w:val="20"/>
            <w:tabs>
              <w:tab w:val="right" w:leader="dot" w:pos="10171"/>
            </w:tabs>
            <w:spacing w:line="720" w:lineRule="auto"/>
            <w:ind w:left="480"/>
            <w:rPr>
              <w:rFonts w:asciiTheme="majorEastAsia" w:eastAsiaTheme="majorEastAsia" w:hAnsiTheme="majorEastAsia" w:cstheme="minorBidi"/>
              <w:b/>
              <w:noProof/>
              <w:kern w:val="2"/>
              <w:sz w:val="21"/>
              <w:szCs w:val="22"/>
              <w:lang w:val="en-US"/>
            </w:rPr>
          </w:pPr>
          <w:hyperlink w:anchor="_Toc527727222" w:history="1">
            <w:r w:rsidR="009D67B9" w:rsidRPr="009D67B9">
              <w:rPr>
                <w:rStyle w:val="a3"/>
                <w:rFonts w:asciiTheme="majorEastAsia" w:eastAsiaTheme="majorEastAsia" w:hAnsiTheme="majorEastAsia"/>
                <w:b/>
                <w:noProof/>
                <w:lang w:val="en-US"/>
              </w:rPr>
              <w:t>3</w:t>
            </w:r>
            <w:r w:rsidR="009D67B9" w:rsidRPr="009D67B9">
              <w:rPr>
                <w:rStyle w:val="a3"/>
                <w:rFonts w:asciiTheme="majorEastAsia" w:eastAsiaTheme="majorEastAsia" w:hAnsiTheme="majorEastAsia" w:hint="eastAsia"/>
                <w:b/>
                <w:noProof/>
                <w:lang w:val="en-US"/>
              </w:rPr>
              <w:t>、基金运作情况概述</w:t>
            </w:r>
            <w:r w:rsidR="009D67B9" w:rsidRPr="009D67B9">
              <w:rPr>
                <w:rFonts w:asciiTheme="majorEastAsia" w:eastAsiaTheme="majorEastAsia" w:hAnsiTheme="majorEastAsia"/>
                <w:b/>
                <w:noProof/>
                <w:webHidden/>
              </w:rPr>
              <w:tab/>
            </w:r>
            <w:r w:rsidRPr="009D67B9">
              <w:rPr>
                <w:rFonts w:asciiTheme="majorEastAsia" w:eastAsiaTheme="majorEastAsia" w:hAnsiTheme="majorEastAsia"/>
                <w:b/>
                <w:noProof/>
                <w:webHidden/>
              </w:rPr>
              <w:fldChar w:fldCharType="begin"/>
            </w:r>
            <w:r w:rsidR="009D67B9" w:rsidRPr="009D67B9">
              <w:rPr>
                <w:rFonts w:asciiTheme="majorEastAsia" w:eastAsiaTheme="majorEastAsia" w:hAnsiTheme="majorEastAsia"/>
                <w:b/>
                <w:noProof/>
                <w:webHidden/>
              </w:rPr>
              <w:instrText xml:space="preserve"> PAGEREF _Toc527727222 \h </w:instrText>
            </w:r>
            <w:r w:rsidRPr="009D67B9">
              <w:rPr>
                <w:rFonts w:asciiTheme="majorEastAsia" w:eastAsiaTheme="majorEastAsia" w:hAnsiTheme="majorEastAsia"/>
                <w:b/>
                <w:noProof/>
                <w:webHidden/>
              </w:rPr>
            </w:r>
            <w:r w:rsidRPr="009D67B9">
              <w:rPr>
                <w:rFonts w:asciiTheme="majorEastAsia" w:eastAsiaTheme="majorEastAsia" w:hAnsiTheme="majorEastAsia"/>
                <w:b/>
                <w:noProof/>
                <w:webHidden/>
              </w:rPr>
              <w:fldChar w:fldCharType="separate"/>
            </w:r>
            <w:r w:rsidR="00141738">
              <w:rPr>
                <w:rFonts w:asciiTheme="majorEastAsia" w:eastAsiaTheme="majorEastAsia" w:hAnsiTheme="majorEastAsia"/>
                <w:b/>
                <w:noProof/>
                <w:webHidden/>
              </w:rPr>
              <w:t>5</w:t>
            </w:r>
            <w:r w:rsidRPr="009D67B9">
              <w:rPr>
                <w:rFonts w:asciiTheme="majorEastAsia" w:eastAsiaTheme="majorEastAsia" w:hAnsiTheme="majorEastAsia"/>
                <w:b/>
                <w:noProof/>
                <w:webHidden/>
              </w:rPr>
              <w:fldChar w:fldCharType="end"/>
            </w:r>
          </w:hyperlink>
        </w:p>
        <w:p w:rsidR="009D67B9" w:rsidRPr="009D67B9" w:rsidRDefault="008E6BBF" w:rsidP="00F65DCE">
          <w:pPr>
            <w:pStyle w:val="20"/>
            <w:tabs>
              <w:tab w:val="right" w:leader="dot" w:pos="10171"/>
            </w:tabs>
            <w:spacing w:line="720" w:lineRule="auto"/>
            <w:ind w:left="480"/>
            <w:rPr>
              <w:rFonts w:asciiTheme="majorEastAsia" w:eastAsiaTheme="majorEastAsia" w:hAnsiTheme="majorEastAsia" w:cstheme="minorBidi"/>
              <w:b/>
              <w:noProof/>
              <w:kern w:val="2"/>
              <w:sz w:val="21"/>
              <w:szCs w:val="22"/>
              <w:lang w:val="en-US"/>
            </w:rPr>
          </w:pPr>
          <w:hyperlink w:anchor="_Toc527727223" w:history="1">
            <w:r w:rsidR="009D67B9" w:rsidRPr="009D67B9">
              <w:rPr>
                <w:rStyle w:val="a3"/>
                <w:rFonts w:asciiTheme="majorEastAsia" w:eastAsiaTheme="majorEastAsia" w:hAnsiTheme="majorEastAsia"/>
                <w:b/>
                <w:noProof/>
                <w:lang w:val="en-US"/>
              </w:rPr>
              <w:t>4</w:t>
            </w:r>
            <w:r w:rsidR="009D67B9" w:rsidRPr="009D67B9">
              <w:rPr>
                <w:rStyle w:val="a3"/>
                <w:rFonts w:asciiTheme="majorEastAsia" w:eastAsiaTheme="majorEastAsia" w:hAnsiTheme="majorEastAsia" w:hint="eastAsia"/>
                <w:b/>
                <w:noProof/>
                <w:lang w:val="en-US"/>
              </w:rPr>
              <w:t>、审计报告</w:t>
            </w:r>
            <w:r w:rsidR="009D67B9" w:rsidRPr="009D67B9">
              <w:rPr>
                <w:rFonts w:asciiTheme="majorEastAsia" w:eastAsiaTheme="majorEastAsia" w:hAnsiTheme="majorEastAsia"/>
                <w:b/>
                <w:noProof/>
                <w:webHidden/>
              </w:rPr>
              <w:tab/>
            </w:r>
            <w:r w:rsidRPr="009D67B9">
              <w:rPr>
                <w:rFonts w:asciiTheme="majorEastAsia" w:eastAsiaTheme="majorEastAsia" w:hAnsiTheme="majorEastAsia"/>
                <w:b/>
                <w:noProof/>
                <w:webHidden/>
              </w:rPr>
              <w:fldChar w:fldCharType="begin"/>
            </w:r>
            <w:r w:rsidR="009D67B9" w:rsidRPr="009D67B9">
              <w:rPr>
                <w:rFonts w:asciiTheme="majorEastAsia" w:eastAsiaTheme="majorEastAsia" w:hAnsiTheme="majorEastAsia"/>
                <w:b/>
                <w:noProof/>
                <w:webHidden/>
              </w:rPr>
              <w:instrText xml:space="preserve"> PAGEREF _Toc527727223 \h </w:instrText>
            </w:r>
            <w:r w:rsidRPr="009D67B9">
              <w:rPr>
                <w:rFonts w:asciiTheme="majorEastAsia" w:eastAsiaTheme="majorEastAsia" w:hAnsiTheme="majorEastAsia"/>
                <w:b/>
                <w:noProof/>
                <w:webHidden/>
              </w:rPr>
            </w:r>
            <w:r w:rsidRPr="009D67B9">
              <w:rPr>
                <w:rFonts w:asciiTheme="majorEastAsia" w:eastAsiaTheme="majorEastAsia" w:hAnsiTheme="majorEastAsia"/>
                <w:b/>
                <w:noProof/>
                <w:webHidden/>
              </w:rPr>
              <w:fldChar w:fldCharType="separate"/>
            </w:r>
            <w:r w:rsidR="00141738">
              <w:rPr>
                <w:rFonts w:asciiTheme="majorEastAsia" w:eastAsiaTheme="majorEastAsia" w:hAnsiTheme="majorEastAsia"/>
                <w:b/>
                <w:noProof/>
                <w:webHidden/>
              </w:rPr>
              <w:t>5</w:t>
            </w:r>
            <w:r w:rsidRPr="009D67B9">
              <w:rPr>
                <w:rFonts w:asciiTheme="majorEastAsia" w:eastAsiaTheme="majorEastAsia" w:hAnsiTheme="majorEastAsia"/>
                <w:b/>
                <w:noProof/>
                <w:webHidden/>
              </w:rPr>
              <w:fldChar w:fldCharType="end"/>
            </w:r>
          </w:hyperlink>
        </w:p>
        <w:p w:rsidR="009D67B9" w:rsidRPr="009D67B9" w:rsidRDefault="008E6BBF" w:rsidP="00F65DCE">
          <w:pPr>
            <w:pStyle w:val="20"/>
            <w:tabs>
              <w:tab w:val="right" w:leader="dot" w:pos="10171"/>
            </w:tabs>
            <w:spacing w:line="720" w:lineRule="auto"/>
            <w:ind w:left="480"/>
            <w:rPr>
              <w:rFonts w:asciiTheme="majorEastAsia" w:eastAsiaTheme="majorEastAsia" w:hAnsiTheme="majorEastAsia" w:cstheme="minorBidi"/>
              <w:b/>
              <w:noProof/>
              <w:kern w:val="2"/>
              <w:sz w:val="21"/>
              <w:szCs w:val="22"/>
              <w:lang w:val="en-US"/>
            </w:rPr>
          </w:pPr>
          <w:hyperlink w:anchor="_Toc527727224" w:history="1">
            <w:r w:rsidR="009D67B9" w:rsidRPr="009D67B9">
              <w:rPr>
                <w:rStyle w:val="a3"/>
                <w:rFonts w:asciiTheme="majorEastAsia" w:eastAsiaTheme="majorEastAsia" w:hAnsiTheme="majorEastAsia"/>
                <w:b/>
                <w:noProof/>
              </w:rPr>
              <w:t>5</w:t>
            </w:r>
            <w:r w:rsidR="009D67B9" w:rsidRPr="009D67B9">
              <w:rPr>
                <w:rStyle w:val="a3"/>
                <w:rFonts w:asciiTheme="majorEastAsia" w:eastAsiaTheme="majorEastAsia" w:hAnsiTheme="majorEastAsia" w:hint="eastAsia"/>
                <w:b/>
                <w:noProof/>
              </w:rPr>
              <w:t>、资产负债表</w:t>
            </w:r>
            <w:r w:rsidR="009D67B9" w:rsidRPr="009D67B9">
              <w:rPr>
                <w:rFonts w:asciiTheme="majorEastAsia" w:eastAsiaTheme="majorEastAsia" w:hAnsiTheme="majorEastAsia"/>
                <w:b/>
                <w:noProof/>
                <w:webHidden/>
              </w:rPr>
              <w:tab/>
            </w:r>
            <w:r w:rsidRPr="009D67B9">
              <w:rPr>
                <w:rFonts w:asciiTheme="majorEastAsia" w:eastAsiaTheme="majorEastAsia" w:hAnsiTheme="majorEastAsia"/>
                <w:b/>
                <w:noProof/>
                <w:webHidden/>
              </w:rPr>
              <w:fldChar w:fldCharType="begin"/>
            </w:r>
            <w:r w:rsidR="009D67B9" w:rsidRPr="009D67B9">
              <w:rPr>
                <w:rFonts w:asciiTheme="majorEastAsia" w:eastAsiaTheme="majorEastAsia" w:hAnsiTheme="majorEastAsia"/>
                <w:b/>
                <w:noProof/>
                <w:webHidden/>
              </w:rPr>
              <w:instrText xml:space="preserve"> PAGEREF _Toc527727224 \h </w:instrText>
            </w:r>
            <w:r w:rsidRPr="009D67B9">
              <w:rPr>
                <w:rFonts w:asciiTheme="majorEastAsia" w:eastAsiaTheme="majorEastAsia" w:hAnsiTheme="majorEastAsia"/>
                <w:b/>
                <w:noProof/>
                <w:webHidden/>
              </w:rPr>
            </w:r>
            <w:r w:rsidRPr="009D67B9">
              <w:rPr>
                <w:rFonts w:asciiTheme="majorEastAsia" w:eastAsiaTheme="majorEastAsia" w:hAnsiTheme="majorEastAsia"/>
                <w:b/>
                <w:noProof/>
                <w:webHidden/>
              </w:rPr>
              <w:fldChar w:fldCharType="separate"/>
            </w:r>
            <w:r w:rsidR="00141738">
              <w:rPr>
                <w:rFonts w:asciiTheme="majorEastAsia" w:eastAsiaTheme="majorEastAsia" w:hAnsiTheme="majorEastAsia"/>
                <w:b/>
                <w:noProof/>
                <w:webHidden/>
              </w:rPr>
              <w:t>7</w:t>
            </w:r>
            <w:r w:rsidRPr="009D67B9">
              <w:rPr>
                <w:rFonts w:asciiTheme="majorEastAsia" w:eastAsiaTheme="majorEastAsia" w:hAnsiTheme="majorEastAsia"/>
                <w:b/>
                <w:noProof/>
                <w:webHidden/>
              </w:rPr>
              <w:fldChar w:fldCharType="end"/>
            </w:r>
          </w:hyperlink>
        </w:p>
        <w:p w:rsidR="009D67B9" w:rsidRPr="009D67B9" w:rsidRDefault="008E6BBF" w:rsidP="00F65DCE">
          <w:pPr>
            <w:pStyle w:val="20"/>
            <w:tabs>
              <w:tab w:val="right" w:leader="dot" w:pos="10171"/>
            </w:tabs>
            <w:spacing w:line="720" w:lineRule="auto"/>
            <w:ind w:left="480"/>
            <w:rPr>
              <w:rFonts w:asciiTheme="majorEastAsia" w:eastAsiaTheme="majorEastAsia" w:hAnsiTheme="majorEastAsia" w:cstheme="minorBidi"/>
              <w:b/>
              <w:noProof/>
              <w:kern w:val="2"/>
              <w:sz w:val="21"/>
              <w:szCs w:val="22"/>
              <w:lang w:val="en-US"/>
            </w:rPr>
          </w:pPr>
          <w:hyperlink w:anchor="_Toc527727225" w:history="1">
            <w:r w:rsidR="009D67B9" w:rsidRPr="009D67B9">
              <w:rPr>
                <w:rStyle w:val="a3"/>
                <w:rFonts w:asciiTheme="majorEastAsia" w:eastAsiaTheme="majorEastAsia" w:hAnsiTheme="majorEastAsia"/>
                <w:b/>
                <w:noProof/>
              </w:rPr>
              <w:t>6</w:t>
            </w:r>
            <w:r w:rsidR="009D67B9" w:rsidRPr="009D67B9">
              <w:rPr>
                <w:rStyle w:val="a3"/>
                <w:rFonts w:asciiTheme="majorEastAsia" w:eastAsiaTheme="majorEastAsia" w:hAnsiTheme="majorEastAsia" w:hint="eastAsia"/>
                <w:b/>
                <w:noProof/>
              </w:rPr>
              <w:t>、其他说明事项</w:t>
            </w:r>
            <w:r w:rsidR="009D67B9" w:rsidRPr="009D67B9">
              <w:rPr>
                <w:rFonts w:asciiTheme="majorEastAsia" w:eastAsiaTheme="majorEastAsia" w:hAnsiTheme="majorEastAsia"/>
                <w:b/>
                <w:noProof/>
                <w:webHidden/>
              </w:rPr>
              <w:tab/>
            </w:r>
            <w:r w:rsidRPr="009D67B9">
              <w:rPr>
                <w:rFonts w:asciiTheme="majorEastAsia" w:eastAsiaTheme="majorEastAsia" w:hAnsiTheme="majorEastAsia"/>
                <w:b/>
                <w:noProof/>
                <w:webHidden/>
              </w:rPr>
              <w:fldChar w:fldCharType="begin"/>
            </w:r>
            <w:r w:rsidR="009D67B9" w:rsidRPr="009D67B9">
              <w:rPr>
                <w:rFonts w:asciiTheme="majorEastAsia" w:eastAsiaTheme="majorEastAsia" w:hAnsiTheme="majorEastAsia"/>
                <w:b/>
                <w:noProof/>
                <w:webHidden/>
              </w:rPr>
              <w:instrText xml:space="preserve"> PAGEREF _Toc527727225 \h </w:instrText>
            </w:r>
            <w:r w:rsidRPr="009D67B9">
              <w:rPr>
                <w:rFonts w:asciiTheme="majorEastAsia" w:eastAsiaTheme="majorEastAsia" w:hAnsiTheme="majorEastAsia"/>
                <w:b/>
                <w:noProof/>
                <w:webHidden/>
              </w:rPr>
            </w:r>
            <w:r w:rsidRPr="009D67B9">
              <w:rPr>
                <w:rFonts w:asciiTheme="majorEastAsia" w:eastAsiaTheme="majorEastAsia" w:hAnsiTheme="majorEastAsia"/>
                <w:b/>
                <w:noProof/>
                <w:webHidden/>
              </w:rPr>
              <w:fldChar w:fldCharType="separate"/>
            </w:r>
            <w:r w:rsidR="00141738">
              <w:rPr>
                <w:rFonts w:asciiTheme="majorEastAsia" w:eastAsiaTheme="majorEastAsia" w:hAnsiTheme="majorEastAsia"/>
                <w:b/>
                <w:noProof/>
                <w:webHidden/>
              </w:rPr>
              <w:t>14</w:t>
            </w:r>
            <w:r w:rsidRPr="009D67B9">
              <w:rPr>
                <w:rFonts w:asciiTheme="majorEastAsia" w:eastAsiaTheme="majorEastAsia" w:hAnsiTheme="majorEastAsia"/>
                <w:b/>
                <w:noProof/>
                <w:webHidden/>
              </w:rPr>
              <w:fldChar w:fldCharType="end"/>
            </w:r>
          </w:hyperlink>
        </w:p>
        <w:p w:rsidR="009D67B9" w:rsidRPr="009D67B9" w:rsidRDefault="008E6BBF" w:rsidP="00F65DCE">
          <w:pPr>
            <w:pStyle w:val="20"/>
            <w:tabs>
              <w:tab w:val="right" w:leader="dot" w:pos="10171"/>
            </w:tabs>
            <w:spacing w:line="720" w:lineRule="auto"/>
            <w:ind w:left="480"/>
            <w:rPr>
              <w:rFonts w:asciiTheme="majorEastAsia" w:eastAsiaTheme="majorEastAsia" w:hAnsiTheme="majorEastAsia" w:cstheme="minorBidi"/>
              <w:b/>
              <w:noProof/>
              <w:kern w:val="2"/>
              <w:sz w:val="21"/>
              <w:szCs w:val="22"/>
              <w:lang w:val="en-US"/>
            </w:rPr>
          </w:pPr>
          <w:hyperlink w:anchor="_Toc527727226" w:history="1">
            <w:r w:rsidR="009D67B9" w:rsidRPr="009D67B9">
              <w:rPr>
                <w:rStyle w:val="a3"/>
                <w:rFonts w:asciiTheme="majorEastAsia" w:eastAsiaTheme="majorEastAsia" w:hAnsiTheme="majorEastAsia"/>
                <w:b/>
                <w:noProof/>
              </w:rPr>
              <w:t>7</w:t>
            </w:r>
            <w:r w:rsidR="009D67B9" w:rsidRPr="009D67B9">
              <w:rPr>
                <w:rStyle w:val="a3"/>
                <w:rFonts w:asciiTheme="majorEastAsia" w:eastAsiaTheme="majorEastAsia" w:hAnsiTheme="majorEastAsia" w:hint="eastAsia"/>
                <w:b/>
                <w:noProof/>
              </w:rPr>
              <w:t>、备查文件目录</w:t>
            </w:r>
            <w:r w:rsidR="009D67B9" w:rsidRPr="009D67B9">
              <w:rPr>
                <w:rFonts w:asciiTheme="majorEastAsia" w:eastAsiaTheme="majorEastAsia" w:hAnsiTheme="majorEastAsia"/>
                <w:b/>
                <w:noProof/>
                <w:webHidden/>
              </w:rPr>
              <w:tab/>
            </w:r>
            <w:r w:rsidRPr="009D67B9">
              <w:rPr>
                <w:rFonts w:asciiTheme="majorEastAsia" w:eastAsiaTheme="majorEastAsia" w:hAnsiTheme="majorEastAsia"/>
                <w:b/>
                <w:noProof/>
                <w:webHidden/>
              </w:rPr>
              <w:fldChar w:fldCharType="begin"/>
            </w:r>
            <w:r w:rsidR="009D67B9" w:rsidRPr="009D67B9">
              <w:rPr>
                <w:rFonts w:asciiTheme="majorEastAsia" w:eastAsiaTheme="majorEastAsia" w:hAnsiTheme="majorEastAsia"/>
                <w:b/>
                <w:noProof/>
                <w:webHidden/>
              </w:rPr>
              <w:instrText xml:space="preserve"> PAGEREF _Toc527727226 \h </w:instrText>
            </w:r>
            <w:r w:rsidRPr="009D67B9">
              <w:rPr>
                <w:rFonts w:asciiTheme="majorEastAsia" w:eastAsiaTheme="majorEastAsia" w:hAnsiTheme="majorEastAsia"/>
                <w:b/>
                <w:noProof/>
                <w:webHidden/>
              </w:rPr>
            </w:r>
            <w:r w:rsidRPr="009D67B9">
              <w:rPr>
                <w:rFonts w:asciiTheme="majorEastAsia" w:eastAsiaTheme="majorEastAsia" w:hAnsiTheme="majorEastAsia"/>
                <w:b/>
                <w:noProof/>
                <w:webHidden/>
              </w:rPr>
              <w:fldChar w:fldCharType="separate"/>
            </w:r>
            <w:r w:rsidR="00141738">
              <w:rPr>
                <w:rFonts w:asciiTheme="majorEastAsia" w:eastAsiaTheme="majorEastAsia" w:hAnsiTheme="majorEastAsia"/>
                <w:b/>
                <w:noProof/>
                <w:webHidden/>
              </w:rPr>
              <w:t>14</w:t>
            </w:r>
            <w:r w:rsidRPr="009D67B9">
              <w:rPr>
                <w:rFonts w:asciiTheme="majorEastAsia" w:eastAsiaTheme="majorEastAsia" w:hAnsiTheme="majorEastAsia"/>
                <w:b/>
                <w:noProof/>
                <w:webHidden/>
              </w:rPr>
              <w:fldChar w:fldCharType="end"/>
            </w:r>
          </w:hyperlink>
        </w:p>
        <w:p w:rsidR="00124F91" w:rsidRDefault="008E6BBF" w:rsidP="005E43A5">
          <w:pPr>
            <w:spacing w:line="360" w:lineRule="auto"/>
            <w:rPr>
              <w:lang w:val="zh-CN"/>
            </w:rPr>
          </w:pPr>
          <w:r>
            <w:rPr>
              <w:b/>
              <w:bCs/>
              <w:lang w:val="zh-CN"/>
            </w:rPr>
            <w:fldChar w:fldCharType="end"/>
          </w:r>
        </w:p>
      </w:sdtContent>
    </w:sdt>
    <w:p w:rsidR="00124F91" w:rsidRDefault="00124F91" w:rsidP="005E43A5">
      <w:pPr>
        <w:spacing w:line="360" w:lineRule="auto"/>
        <w:rPr>
          <w:lang w:val="en-US"/>
        </w:rPr>
      </w:pPr>
    </w:p>
    <w:p w:rsidR="00124F91" w:rsidRDefault="00124F91" w:rsidP="005E43A5">
      <w:pPr>
        <w:spacing w:line="360" w:lineRule="auto"/>
        <w:rPr>
          <w:lang w:val="en-US"/>
        </w:rPr>
      </w:pPr>
      <w:r>
        <w:rPr>
          <w:lang w:val="en-US"/>
        </w:rPr>
        <w:br w:type="page"/>
      </w:r>
    </w:p>
    <w:p w:rsidR="002A0058" w:rsidRDefault="002A0058" w:rsidP="002A0058">
      <w:pPr>
        <w:rPr>
          <w:lang w:val="en-US"/>
        </w:rPr>
      </w:pPr>
      <w:bookmarkStart w:id="0" w:name="_Toc527727220"/>
    </w:p>
    <w:p w:rsidR="00124F91" w:rsidRPr="00124F91" w:rsidRDefault="00124F91" w:rsidP="005E43A5">
      <w:pPr>
        <w:pStyle w:val="2"/>
        <w:spacing w:before="0" w:after="0" w:line="360" w:lineRule="auto"/>
        <w:jc w:val="center"/>
        <w:rPr>
          <w:sz w:val="24"/>
          <w:lang w:val="en-US"/>
        </w:rPr>
      </w:pPr>
      <w:r w:rsidRPr="00124F91">
        <w:rPr>
          <w:rFonts w:hint="eastAsia"/>
          <w:sz w:val="24"/>
          <w:lang w:val="en-US"/>
        </w:rPr>
        <w:t>1</w:t>
      </w:r>
      <w:r w:rsidRPr="00124F91">
        <w:rPr>
          <w:rFonts w:hint="eastAsia"/>
          <w:sz w:val="24"/>
          <w:lang w:val="en-US"/>
        </w:rPr>
        <w:t>、重要提示</w:t>
      </w:r>
      <w:bookmarkEnd w:id="0"/>
    </w:p>
    <w:p w:rsidR="00124F91" w:rsidRPr="005906E7" w:rsidRDefault="00F00238" w:rsidP="005E43A5">
      <w:pPr>
        <w:spacing w:line="360" w:lineRule="auto"/>
        <w:ind w:firstLine="420"/>
        <w:jc w:val="both"/>
        <w:rPr>
          <w:rFonts w:ascii="宋体" w:hAnsi="宋体"/>
          <w:lang w:val="en-US"/>
        </w:rPr>
      </w:pPr>
      <w:r>
        <w:rPr>
          <w:rFonts w:hint="eastAsia"/>
          <w:lang w:val="en-US"/>
        </w:rPr>
        <w:t>广发中证全指主要消费交易型开放式指数证券投资基金</w:t>
      </w:r>
      <w:r w:rsidR="00124F91" w:rsidRPr="005906E7">
        <w:rPr>
          <w:rFonts w:ascii="宋体" w:hAnsi="宋体" w:hint="eastAsia"/>
          <w:lang w:val="en-US"/>
        </w:rPr>
        <w:t>（以下简称“本基金”）经中国证券监督管理委员会(“中国证监会”)证监许可</w:t>
      </w:r>
      <w:r w:rsidRPr="00F00238">
        <w:rPr>
          <w:rFonts w:ascii="宋体" w:hAnsi="宋体"/>
          <w:lang w:val="en-US"/>
        </w:rPr>
        <w:t>[2013]1264</w:t>
      </w:r>
      <w:r w:rsidR="00124F91" w:rsidRPr="00377A10">
        <w:rPr>
          <w:rFonts w:ascii="宋体" w:hAnsi="宋体" w:hint="eastAsia"/>
          <w:lang w:val="en-US"/>
        </w:rPr>
        <w:t>号</w:t>
      </w:r>
      <w:r w:rsidR="00124F91">
        <w:rPr>
          <w:rFonts w:ascii="宋体" w:hAnsi="宋体" w:hint="eastAsia"/>
          <w:lang w:val="en-US"/>
        </w:rPr>
        <w:t>文</w:t>
      </w:r>
      <w:r w:rsidR="00124F91" w:rsidRPr="00377A10">
        <w:rPr>
          <w:rFonts w:ascii="宋体" w:hAnsi="宋体" w:hint="eastAsia"/>
          <w:lang w:val="en-US"/>
        </w:rPr>
        <w:t>核准</w:t>
      </w:r>
      <w:r w:rsidR="00124F91">
        <w:rPr>
          <w:rFonts w:ascii="宋体" w:hAnsi="宋体" w:hint="eastAsia"/>
          <w:lang w:val="en-US"/>
        </w:rPr>
        <w:t>，</w:t>
      </w:r>
      <w:r w:rsidR="00124F91" w:rsidRPr="005906E7">
        <w:rPr>
          <w:rFonts w:ascii="宋体" w:hAnsi="宋体" w:hint="eastAsia"/>
          <w:lang w:val="en-US"/>
        </w:rPr>
        <w:t>于</w:t>
      </w:r>
      <w:r w:rsidRPr="00F00238">
        <w:rPr>
          <w:rFonts w:ascii="宋体" w:hAnsi="宋体" w:hint="eastAsia"/>
          <w:lang w:val="en-US"/>
        </w:rPr>
        <w:t>2015年7月1日</w:t>
      </w:r>
      <w:r w:rsidR="00124F91">
        <w:rPr>
          <w:rFonts w:ascii="宋体" w:hAnsi="宋体" w:hint="eastAsia"/>
          <w:lang w:val="en-US"/>
        </w:rPr>
        <w:t>成立并正式</w:t>
      </w:r>
      <w:r w:rsidR="00124F91" w:rsidRPr="005906E7">
        <w:rPr>
          <w:rFonts w:ascii="宋体" w:hAnsi="宋体" w:hint="eastAsia"/>
          <w:lang w:val="en-US"/>
        </w:rPr>
        <w:t>运作。</w:t>
      </w:r>
    </w:p>
    <w:p w:rsidR="00124F91" w:rsidRPr="005906E7" w:rsidRDefault="00F00238" w:rsidP="005E43A5">
      <w:pPr>
        <w:spacing w:line="360" w:lineRule="auto"/>
        <w:ind w:firstLineChars="200" w:firstLine="480"/>
        <w:jc w:val="both"/>
        <w:rPr>
          <w:rFonts w:ascii="宋体" w:hAnsi="宋体"/>
          <w:bCs/>
          <w:lang w:val="en-US"/>
        </w:rPr>
      </w:pPr>
      <w:r w:rsidRPr="00F00238">
        <w:rPr>
          <w:rFonts w:ascii="宋体" w:hAnsi="宋体" w:hint="eastAsia"/>
          <w:bCs/>
          <w:lang w:val="en-US"/>
        </w:rPr>
        <w:t>2018年11月21</w:t>
      </w:r>
      <w:r>
        <w:rPr>
          <w:rFonts w:ascii="宋体" w:hAnsi="宋体" w:hint="eastAsia"/>
          <w:bCs/>
          <w:lang w:val="en-US"/>
        </w:rPr>
        <w:t>日</w:t>
      </w:r>
      <w:r w:rsidRPr="00F00238">
        <w:rPr>
          <w:rFonts w:ascii="宋体" w:hAnsi="宋体" w:hint="eastAsia"/>
          <w:bCs/>
          <w:lang w:val="en-US"/>
        </w:rPr>
        <w:t>至2018年12月20日</w:t>
      </w:r>
      <w:r w:rsidR="00124F91" w:rsidRPr="005906E7">
        <w:rPr>
          <w:rFonts w:ascii="宋体" w:hAnsi="宋体" w:hint="eastAsia"/>
          <w:bCs/>
          <w:lang w:val="en-US"/>
        </w:rPr>
        <w:t>，本基金以通讯方式召开了基金份额持有人大会。于</w:t>
      </w:r>
      <w:r w:rsidRPr="00F00238">
        <w:rPr>
          <w:rFonts w:ascii="宋体" w:hAnsi="宋体" w:hint="eastAsia"/>
          <w:bCs/>
          <w:lang w:val="en-US"/>
        </w:rPr>
        <w:t>2018年12月21日</w:t>
      </w:r>
      <w:r w:rsidR="00124F91" w:rsidRPr="005906E7">
        <w:rPr>
          <w:rFonts w:ascii="宋体" w:hAnsi="宋体" w:hint="eastAsia"/>
          <w:bCs/>
          <w:lang w:val="en-US"/>
        </w:rPr>
        <w:t>，本基金基金份额持有人大会审议并通过了</w:t>
      </w:r>
      <w:r w:rsidR="00124F91">
        <w:rPr>
          <w:rFonts w:ascii="宋体" w:hAnsi="宋体" w:hint="eastAsia"/>
          <w:bCs/>
          <w:lang w:val="en-US"/>
        </w:rPr>
        <w:t>《</w:t>
      </w:r>
      <w:r w:rsidRPr="00F00238">
        <w:rPr>
          <w:rFonts w:hint="eastAsia"/>
          <w:color w:val="000000"/>
          <w:lang w:val="en-US"/>
        </w:rPr>
        <w:t>关于广发中证全指主要消费交易型开放式指数证券投资基金终止基金合同并终止上市相关事项的议案</w:t>
      </w:r>
      <w:r w:rsidR="00124F91" w:rsidRPr="005906E7">
        <w:rPr>
          <w:rFonts w:ascii="宋体" w:hAnsi="宋体" w:hint="eastAsia"/>
          <w:bCs/>
          <w:lang w:val="en-US"/>
        </w:rPr>
        <w:t>》。根据基金管理人于</w:t>
      </w:r>
      <w:r w:rsidRPr="00F00238">
        <w:rPr>
          <w:rFonts w:ascii="宋体" w:hAnsi="宋体" w:hint="eastAsia"/>
          <w:bCs/>
          <w:lang w:val="en-US"/>
        </w:rPr>
        <w:t>2018年12月24日</w:t>
      </w:r>
      <w:r w:rsidR="00124F91" w:rsidRPr="005906E7">
        <w:rPr>
          <w:rFonts w:ascii="宋体" w:hAnsi="宋体" w:hint="eastAsia"/>
          <w:bCs/>
          <w:lang w:val="en-US"/>
        </w:rPr>
        <w:t>公布的《</w:t>
      </w:r>
      <w:r w:rsidRPr="00F00238">
        <w:rPr>
          <w:rFonts w:hint="eastAsia"/>
          <w:color w:val="000000"/>
          <w:lang w:val="en-US"/>
        </w:rPr>
        <w:t>关于广发中证全指主要消费交易型开放式指数证券投资基金基金份额持有人大会表决结果暨决议生效的公告</w:t>
      </w:r>
      <w:r w:rsidR="00124F91" w:rsidRPr="005906E7">
        <w:rPr>
          <w:rFonts w:ascii="宋体" w:hAnsi="宋体" w:hint="eastAsia"/>
          <w:bCs/>
          <w:lang w:val="en-US"/>
        </w:rPr>
        <w:t>》(</w:t>
      </w:r>
      <w:r w:rsidR="00124F91" w:rsidRPr="00F55F1B">
        <w:rPr>
          <w:rFonts w:ascii="宋体" w:hAnsi="宋体" w:hint="eastAsia"/>
          <w:bCs/>
          <w:lang w:val="en-US"/>
        </w:rPr>
        <w:t>以下简称</w:t>
      </w:r>
      <w:r w:rsidR="00124F91" w:rsidRPr="005906E7">
        <w:rPr>
          <w:rFonts w:ascii="宋体" w:hAnsi="宋体" w:hint="eastAsia"/>
          <w:bCs/>
          <w:lang w:val="en-US"/>
        </w:rPr>
        <w:t>“公告”)，</w:t>
      </w:r>
      <w:r w:rsidRPr="00F00238">
        <w:rPr>
          <w:rFonts w:ascii="宋体" w:hAnsi="宋体" w:hint="eastAsia"/>
          <w:bCs/>
          <w:lang w:val="en-US"/>
        </w:rPr>
        <w:t>本基金将自2018年12月25日起进入基金财产清算程序,并于2018年12月28日终止上市</w:t>
      </w:r>
      <w:r w:rsidR="00124F91" w:rsidRPr="005906E7">
        <w:rPr>
          <w:rFonts w:ascii="宋体" w:hAnsi="宋体" w:hint="eastAsia"/>
          <w:bCs/>
          <w:lang w:val="en-US"/>
        </w:rPr>
        <w:t>，基金管理人按照本基金基金合同约定，组织成立基金财产清算小组履行基金财产清算程序。</w:t>
      </w:r>
    </w:p>
    <w:p w:rsidR="00124F91" w:rsidRDefault="00F00238" w:rsidP="005E43A5">
      <w:pPr>
        <w:spacing w:line="360" w:lineRule="auto"/>
        <w:ind w:firstLineChars="200" w:firstLine="480"/>
        <w:jc w:val="both"/>
        <w:rPr>
          <w:rFonts w:ascii="宋体" w:hAnsi="宋体"/>
          <w:lang w:val="en-US"/>
        </w:rPr>
      </w:pPr>
      <w:r w:rsidRPr="00F00238">
        <w:rPr>
          <w:rFonts w:ascii="宋体" w:hAnsi="宋体" w:hint="eastAsia"/>
          <w:lang w:val="en-US"/>
        </w:rPr>
        <w:t>2019年1月15日</w:t>
      </w:r>
      <w:r w:rsidR="00124F91" w:rsidRPr="005906E7">
        <w:rPr>
          <w:rFonts w:ascii="宋体" w:hAnsi="宋体"/>
          <w:lang w:val="en-US"/>
        </w:rPr>
        <w:t>为本</w:t>
      </w:r>
      <w:r w:rsidR="00124F91" w:rsidRPr="005906E7">
        <w:rPr>
          <w:rFonts w:ascii="宋体" w:hAnsi="宋体" w:hint="eastAsia"/>
          <w:lang w:val="en-US"/>
        </w:rPr>
        <w:t>基金</w:t>
      </w:r>
      <w:r w:rsidR="00124F91" w:rsidRPr="005906E7">
        <w:rPr>
          <w:rFonts w:ascii="宋体" w:hAnsi="宋体"/>
          <w:lang w:val="en-US"/>
        </w:rPr>
        <w:t>清算的最后一日</w:t>
      </w:r>
      <w:r w:rsidR="00124F91" w:rsidRPr="005906E7">
        <w:rPr>
          <w:rFonts w:ascii="宋体" w:hAnsi="宋体" w:hint="eastAsia"/>
          <w:lang w:val="en-US"/>
        </w:rPr>
        <w:t>，由本基金管理人广发基金管理有限公司、基金托管人</w:t>
      </w:r>
      <w:r>
        <w:rPr>
          <w:rFonts w:ascii="宋体" w:hAnsi="宋体" w:hint="eastAsia"/>
          <w:lang w:val="en-US"/>
        </w:rPr>
        <w:t>中国</w:t>
      </w:r>
      <w:r w:rsidR="007C6745">
        <w:rPr>
          <w:rFonts w:ascii="宋体" w:hAnsi="宋体" w:hint="eastAsia"/>
          <w:lang w:val="en-US"/>
        </w:rPr>
        <w:t>银行</w:t>
      </w:r>
      <w:r w:rsidR="00124F91" w:rsidRPr="005906E7">
        <w:rPr>
          <w:rFonts w:ascii="宋体" w:hAnsi="宋体" w:hint="eastAsia"/>
          <w:lang w:val="en-US"/>
        </w:rPr>
        <w:t>股份有限公司、</w:t>
      </w:r>
      <w:r>
        <w:rPr>
          <w:rFonts w:ascii="宋体" w:hAnsi="宋体" w:hint="eastAsia"/>
          <w:lang w:val="en-US"/>
        </w:rPr>
        <w:t>安永华明</w:t>
      </w:r>
      <w:r w:rsidR="00124F91" w:rsidRPr="005906E7">
        <w:rPr>
          <w:rFonts w:ascii="宋体" w:hAnsi="宋体" w:hint="eastAsia"/>
          <w:lang w:val="en-US"/>
        </w:rPr>
        <w:t>会计师事务所（特殊普通合伙）和</w:t>
      </w:r>
      <w:r w:rsidR="00124F91" w:rsidRPr="00377A10">
        <w:rPr>
          <w:rFonts w:ascii="宋体" w:hAnsi="宋体" w:hint="eastAsia"/>
          <w:bCs/>
          <w:lang w:val="en-US"/>
        </w:rPr>
        <w:t>广东广信君达律师事务所</w:t>
      </w:r>
      <w:r w:rsidR="00124F91" w:rsidRPr="005906E7">
        <w:rPr>
          <w:rFonts w:ascii="宋体" w:hAnsi="宋体" w:hint="eastAsia"/>
          <w:lang w:val="en-US"/>
        </w:rPr>
        <w:t>组成基金财产清算小组履行基金财产清算程序，并由</w:t>
      </w:r>
      <w:r>
        <w:rPr>
          <w:rFonts w:ascii="宋体" w:hAnsi="宋体" w:hint="eastAsia"/>
          <w:lang w:val="en-US"/>
        </w:rPr>
        <w:t>安永华明会计师事务所</w:t>
      </w:r>
      <w:r w:rsidR="00124F91" w:rsidRPr="005906E7">
        <w:rPr>
          <w:rFonts w:ascii="宋体" w:hAnsi="宋体" w:hint="eastAsia"/>
          <w:lang w:val="en-US"/>
        </w:rPr>
        <w:t>（特殊普通合伙）对清算报告进行审计，</w:t>
      </w:r>
      <w:r w:rsidR="00124F91" w:rsidRPr="00377A10">
        <w:rPr>
          <w:rFonts w:ascii="宋体" w:hAnsi="宋体" w:hint="eastAsia"/>
          <w:lang w:val="en-US"/>
        </w:rPr>
        <w:t>广东广信君达律师事务所</w:t>
      </w:r>
      <w:r w:rsidR="00124F91" w:rsidRPr="005906E7">
        <w:rPr>
          <w:rFonts w:ascii="宋体" w:hAnsi="宋体" w:hint="eastAsia"/>
          <w:lang w:val="en-US"/>
        </w:rPr>
        <w:t>对清算报告出具法律意见。</w:t>
      </w:r>
    </w:p>
    <w:p w:rsidR="00124F91" w:rsidRPr="00940458" w:rsidRDefault="00124F91" w:rsidP="005E43A5">
      <w:pPr>
        <w:spacing w:line="360" w:lineRule="auto"/>
        <w:ind w:firstLineChars="200" w:firstLine="480"/>
        <w:jc w:val="both"/>
        <w:rPr>
          <w:rFonts w:ascii="宋体" w:hAnsi="宋体"/>
          <w:lang w:val="en-US"/>
        </w:rPr>
      </w:pPr>
    </w:p>
    <w:p w:rsidR="00124F91" w:rsidRPr="005906E7" w:rsidRDefault="00124F91" w:rsidP="005E43A5">
      <w:pPr>
        <w:pStyle w:val="2"/>
        <w:spacing w:before="0" w:after="0" w:line="360" w:lineRule="auto"/>
        <w:jc w:val="center"/>
        <w:rPr>
          <w:rStyle w:val="a4"/>
          <w:rFonts w:ascii="宋体" w:hAnsi="宋体"/>
          <w:color w:val="000000"/>
          <w:szCs w:val="24"/>
        </w:rPr>
      </w:pPr>
      <w:bookmarkStart w:id="1" w:name="_Toc527727221"/>
      <w:r>
        <w:rPr>
          <w:rStyle w:val="a4"/>
          <w:rFonts w:ascii="宋体" w:eastAsia="宋体" w:hAnsi="宋体" w:cs="Times New Roman"/>
          <w:b/>
          <w:bCs/>
          <w:color w:val="000000"/>
          <w:sz w:val="24"/>
          <w:szCs w:val="24"/>
        </w:rPr>
        <w:t>2</w:t>
      </w:r>
      <w:r>
        <w:rPr>
          <w:rStyle w:val="a4"/>
          <w:rFonts w:ascii="宋体" w:eastAsia="宋体" w:hAnsi="宋体" w:cs="Times New Roman" w:hint="eastAsia"/>
          <w:b/>
          <w:bCs/>
          <w:color w:val="000000"/>
          <w:sz w:val="24"/>
          <w:szCs w:val="24"/>
        </w:rPr>
        <w:t>、</w:t>
      </w:r>
      <w:r w:rsidRPr="00124F91">
        <w:rPr>
          <w:rStyle w:val="a4"/>
          <w:rFonts w:ascii="宋体" w:hAnsi="宋体" w:hint="eastAsia"/>
          <w:b/>
          <w:color w:val="000000"/>
          <w:sz w:val="24"/>
          <w:szCs w:val="24"/>
        </w:rPr>
        <w:t>基金概况</w:t>
      </w:r>
      <w:bookmarkEnd w:id="1"/>
    </w:p>
    <w:p w:rsidR="00124F91" w:rsidRPr="005906E7" w:rsidRDefault="00124F91" w:rsidP="005E43A5">
      <w:pPr>
        <w:spacing w:line="360" w:lineRule="auto"/>
        <w:rPr>
          <w:rStyle w:val="a4"/>
          <w:rFonts w:ascii="宋体" w:hAnsi="宋体"/>
          <w:color w:val="000000"/>
          <w:szCs w:val="24"/>
        </w:rPr>
      </w:pPr>
      <w:r w:rsidRPr="005906E7">
        <w:rPr>
          <w:rStyle w:val="a4"/>
          <w:rFonts w:ascii="宋体" w:hAnsi="宋体" w:hint="eastAsia"/>
          <w:color w:val="000000"/>
          <w:szCs w:val="24"/>
        </w:rPr>
        <w:t>2.1基金基本情况</w:t>
      </w:r>
    </w:p>
    <w:tbl>
      <w:tblPr>
        <w:tblW w:w="96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3534"/>
        <w:gridCol w:w="6095"/>
      </w:tblGrid>
      <w:tr w:rsidR="00077D67" w:rsidRPr="00373F5F" w:rsidTr="00637ABD">
        <w:trPr>
          <w:trHeight w:val="300"/>
          <w:jc w:val="center"/>
        </w:trPr>
        <w:tc>
          <w:tcPr>
            <w:tcW w:w="3534" w:type="dxa"/>
            <w:shd w:val="clear" w:color="auto" w:fill="auto"/>
            <w:vAlign w:val="center"/>
            <w:hideMark/>
          </w:tcPr>
          <w:p w:rsidR="00077D67" w:rsidRPr="00373F5F" w:rsidRDefault="00077D67" w:rsidP="002A7DF6">
            <w:pPr>
              <w:spacing w:beforeLines="30" w:line="276" w:lineRule="auto"/>
              <w:jc w:val="center"/>
              <w:rPr>
                <w:rFonts w:ascii="宋体" w:hAnsi="宋体" w:cs="宋体"/>
                <w:color w:val="000000"/>
                <w:szCs w:val="24"/>
                <w:lang w:val="en-US"/>
              </w:rPr>
            </w:pPr>
            <w:bookmarkStart w:id="2" w:name="_Toc415156891"/>
            <w:r w:rsidRPr="00373F5F">
              <w:rPr>
                <w:rFonts w:ascii="宋体" w:hAnsi="宋体" w:cs="宋体" w:hint="eastAsia"/>
                <w:color w:val="000000"/>
                <w:szCs w:val="24"/>
                <w:lang w:val="en-US"/>
              </w:rPr>
              <w:t>基金名称</w:t>
            </w:r>
          </w:p>
        </w:tc>
        <w:tc>
          <w:tcPr>
            <w:tcW w:w="6095" w:type="dxa"/>
            <w:shd w:val="clear" w:color="auto" w:fill="auto"/>
            <w:vAlign w:val="center"/>
            <w:hideMark/>
          </w:tcPr>
          <w:p w:rsidR="00077D67" w:rsidRPr="00373F5F" w:rsidRDefault="00F00238" w:rsidP="002A7DF6">
            <w:pPr>
              <w:spacing w:beforeLines="30" w:line="276" w:lineRule="auto"/>
              <w:jc w:val="center"/>
              <w:rPr>
                <w:rFonts w:ascii="宋体" w:hAnsi="宋体" w:cs="宋体"/>
                <w:color w:val="000000"/>
                <w:szCs w:val="24"/>
                <w:lang w:val="en-US"/>
              </w:rPr>
            </w:pPr>
            <w:r>
              <w:rPr>
                <w:rFonts w:hint="eastAsia"/>
                <w:lang w:val="en-US"/>
              </w:rPr>
              <w:t>广发中证全指主要消费交易型开放式指数证券投资基金</w:t>
            </w:r>
          </w:p>
        </w:tc>
      </w:tr>
      <w:tr w:rsidR="00077D67" w:rsidRPr="00373F5F" w:rsidTr="00637ABD">
        <w:trPr>
          <w:trHeight w:val="300"/>
          <w:jc w:val="center"/>
        </w:trPr>
        <w:tc>
          <w:tcPr>
            <w:tcW w:w="3534" w:type="dxa"/>
            <w:shd w:val="clear" w:color="auto" w:fill="auto"/>
            <w:vAlign w:val="center"/>
            <w:hideMark/>
          </w:tcPr>
          <w:p w:rsidR="00077D67" w:rsidRPr="00373F5F" w:rsidRDefault="00077D67" w:rsidP="002A7DF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基金简称</w:t>
            </w:r>
          </w:p>
        </w:tc>
        <w:tc>
          <w:tcPr>
            <w:tcW w:w="6095" w:type="dxa"/>
            <w:shd w:val="clear" w:color="auto" w:fill="auto"/>
            <w:vAlign w:val="center"/>
            <w:hideMark/>
          </w:tcPr>
          <w:p w:rsidR="00077D67" w:rsidRPr="00373F5F" w:rsidRDefault="00EC0429" w:rsidP="002A7DF6">
            <w:pPr>
              <w:spacing w:beforeLines="30" w:line="276" w:lineRule="auto"/>
              <w:jc w:val="center"/>
              <w:rPr>
                <w:rFonts w:ascii="宋体" w:hAnsi="宋体" w:cs="宋体"/>
                <w:color w:val="000000"/>
                <w:szCs w:val="24"/>
                <w:lang w:val="en-US"/>
              </w:rPr>
            </w:pPr>
            <w:r w:rsidRPr="00EC0429">
              <w:rPr>
                <w:rFonts w:hint="eastAsia"/>
                <w:lang w:val="en-US"/>
              </w:rPr>
              <w:t>广发中证全指主要消费</w:t>
            </w:r>
            <w:r w:rsidRPr="00EC0429">
              <w:rPr>
                <w:rFonts w:hint="eastAsia"/>
                <w:lang w:val="en-US"/>
              </w:rPr>
              <w:t>ETF</w:t>
            </w:r>
          </w:p>
        </w:tc>
      </w:tr>
      <w:tr w:rsidR="00EC0429" w:rsidRPr="00373F5F" w:rsidTr="00637ABD">
        <w:trPr>
          <w:trHeight w:val="300"/>
          <w:jc w:val="center"/>
        </w:trPr>
        <w:tc>
          <w:tcPr>
            <w:tcW w:w="3534" w:type="dxa"/>
            <w:shd w:val="clear" w:color="auto" w:fill="auto"/>
            <w:vAlign w:val="center"/>
          </w:tcPr>
          <w:p w:rsidR="00EC0429" w:rsidRPr="00373F5F" w:rsidRDefault="00EC0429" w:rsidP="002A7DF6">
            <w:pPr>
              <w:spacing w:beforeLines="30" w:line="276" w:lineRule="auto"/>
              <w:jc w:val="center"/>
              <w:rPr>
                <w:rFonts w:ascii="宋体" w:hAnsi="宋体" w:cs="宋体"/>
                <w:color w:val="000000"/>
                <w:szCs w:val="24"/>
                <w:lang w:val="en-US"/>
              </w:rPr>
            </w:pPr>
            <w:r>
              <w:rPr>
                <w:rFonts w:ascii="宋体" w:hAnsi="宋体" w:cs="宋体" w:hint="eastAsia"/>
                <w:color w:val="000000"/>
                <w:szCs w:val="24"/>
                <w:lang w:val="en-US"/>
              </w:rPr>
              <w:t>场内</w:t>
            </w:r>
            <w:r>
              <w:rPr>
                <w:rFonts w:ascii="宋体" w:hAnsi="宋体" w:cs="宋体"/>
                <w:color w:val="000000"/>
                <w:szCs w:val="24"/>
                <w:lang w:val="en-US"/>
              </w:rPr>
              <w:t>简称</w:t>
            </w:r>
          </w:p>
        </w:tc>
        <w:tc>
          <w:tcPr>
            <w:tcW w:w="6095" w:type="dxa"/>
            <w:shd w:val="clear" w:color="auto" w:fill="auto"/>
            <w:vAlign w:val="center"/>
          </w:tcPr>
          <w:p w:rsidR="00EC0429" w:rsidRPr="00EC0429" w:rsidRDefault="00EC0429" w:rsidP="002A7DF6">
            <w:pPr>
              <w:spacing w:beforeLines="30" w:line="276" w:lineRule="auto"/>
              <w:jc w:val="center"/>
              <w:rPr>
                <w:lang w:val="en-US"/>
              </w:rPr>
            </w:pPr>
            <w:r>
              <w:rPr>
                <w:rFonts w:hint="eastAsia"/>
                <w:lang w:val="en-US"/>
              </w:rPr>
              <w:t>全指消费</w:t>
            </w:r>
          </w:p>
        </w:tc>
      </w:tr>
      <w:tr w:rsidR="00077D67" w:rsidRPr="00373F5F" w:rsidTr="00637ABD">
        <w:trPr>
          <w:trHeight w:val="300"/>
          <w:jc w:val="center"/>
        </w:trPr>
        <w:tc>
          <w:tcPr>
            <w:tcW w:w="3534" w:type="dxa"/>
            <w:shd w:val="clear" w:color="auto" w:fill="auto"/>
            <w:vAlign w:val="center"/>
            <w:hideMark/>
          </w:tcPr>
          <w:p w:rsidR="00077D67" w:rsidRPr="00373F5F" w:rsidRDefault="00077D67" w:rsidP="002A7DF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基金主代码</w:t>
            </w:r>
          </w:p>
        </w:tc>
        <w:tc>
          <w:tcPr>
            <w:tcW w:w="6095" w:type="dxa"/>
            <w:shd w:val="clear" w:color="auto" w:fill="auto"/>
            <w:vAlign w:val="center"/>
            <w:hideMark/>
          </w:tcPr>
          <w:p w:rsidR="00077D67" w:rsidRPr="00373F5F" w:rsidRDefault="00EC0429" w:rsidP="002A7DF6">
            <w:pPr>
              <w:spacing w:beforeLines="30" w:line="276" w:lineRule="auto"/>
              <w:jc w:val="center"/>
              <w:rPr>
                <w:rFonts w:ascii="宋体" w:hAnsi="宋体" w:cs="宋体"/>
                <w:color w:val="000000"/>
                <w:szCs w:val="24"/>
                <w:lang w:val="en-US"/>
              </w:rPr>
            </w:pPr>
            <w:r>
              <w:rPr>
                <w:rFonts w:ascii="宋体" w:hAnsi="宋体" w:cs="宋体"/>
                <w:color w:val="000000"/>
                <w:szCs w:val="24"/>
                <w:lang w:val="en-US"/>
              </w:rPr>
              <w:t>159946</w:t>
            </w:r>
          </w:p>
        </w:tc>
      </w:tr>
      <w:tr w:rsidR="00EC0429" w:rsidRPr="00373F5F" w:rsidTr="00637ABD">
        <w:trPr>
          <w:trHeight w:val="300"/>
          <w:jc w:val="center"/>
        </w:trPr>
        <w:tc>
          <w:tcPr>
            <w:tcW w:w="3534" w:type="dxa"/>
            <w:shd w:val="clear" w:color="auto" w:fill="auto"/>
            <w:vAlign w:val="center"/>
          </w:tcPr>
          <w:p w:rsidR="00EC0429" w:rsidRPr="00373F5F" w:rsidRDefault="00EC0429" w:rsidP="002A7DF6">
            <w:pPr>
              <w:spacing w:beforeLines="30" w:line="276" w:lineRule="auto"/>
              <w:jc w:val="center"/>
              <w:rPr>
                <w:rFonts w:ascii="宋体" w:hAnsi="宋体" w:cs="宋体"/>
                <w:color w:val="000000"/>
                <w:szCs w:val="24"/>
                <w:lang w:val="en-US"/>
              </w:rPr>
            </w:pPr>
            <w:r w:rsidRPr="00EC0429">
              <w:rPr>
                <w:rFonts w:ascii="宋体" w:hAnsi="宋体" w:cs="宋体" w:hint="eastAsia"/>
                <w:color w:val="000000"/>
                <w:szCs w:val="24"/>
                <w:lang w:val="en-US"/>
              </w:rPr>
              <w:t>基金份额上市的证券交易所</w:t>
            </w:r>
          </w:p>
        </w:tc>
        <w:tc>
          <w:tcPr>
            <w:tcW w:w="6095" w:type="dxa"/>
            <w:shd w:val="clear" w:color="auto" w:fill="auto"/>
            <w:vAlign w:val="center"/>
          </w:tcPr>
          <w:p w:rsidR="00EC0429" w:rsidRPr="00373F5F" w:rsidRDefault="00EC0429" w:rsidP="002A7DF6">
            <w:pPr>
              <w:spacing w:beforeLines="30" w:line="276" w:lineRule="auto"/>
              <w:jc w:val="center"/>
              <w:rPr>
                <w:rFonts w:ascii="宋体" w:hAnsi="宋体" w:cs="宋体"/>
                <w:color w:val="000000"/>
                <w:szCs w:val="24"/>
                <w:lang w:val="en-US"/>
              </w:rPr>
            </w:pPr>
            <w:r>
              <w:rPr>
                <w:rFonts w:ascii="宋体" w:hAnsi="宋体" w:cs="宋体" w:hint="eastAsia"/>
                <w:color w:val="000000"/>
                <w:szCs w:val="24"/>
                <w:lang w:val="en-US"/>
              </w:rPr>
              <w:t>深圳证券</w:t>
            </w:r>
            <w:r>
              <w:rPr>
                <w:rFonts w:ascii="宋体" w:hAnsi="宋体" w:cs="宋体"/>
                <w:color w:val="000000"/>
                <w:szCs w:val="24"/>
                <w:lang w:val="en-US"/>
              </w:rPr>
              <w:t>交易所</w:t>
            </w:r>
          </w:p>
        </w:tc>
      </w:tr>
      <w:tr w:rsidR="00077D67" w:rsidRPr="00373F5F" w:rsidTr="00637ABD">
        <w:trPr>
          <w:trHeight w:val="300"/>
          <w:jc w:val="center"/>
        </w:trPr>
        <w:tc>
          <w:tcPr>
            <w:tcW w:w="3534" w:type="dxa"/>
            <w:shd w:val="clear" w:color="auto" w:fill="auto"/>
            <w:vAlign w:val="center"/>
            <w:hideMark/>
          </w:tcPr>
          <w:p w:rsidR="00077D67" w:rsidRPr="00373F5F" w:rsidRDefault="00077D67" w:rsidP="002A7DF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基金运作方式</w:t>
            </w:r>
          </w:p>
        </w:tc>
        <w:tc>
          <w:tcPr>
            <w:tcW w:w="6095" w:type="dxa"/>
            <w:shd w:val="clear" w:color="auto" w:fill="auto"/>
            <w:vAlign w:val="center"/>
            <w:hideMark/>
          </w:tcPr>
          <w:p w:rsidR="00077D67" w:rsidRPr="00373F5F" w:rsidRDefault="00637ABD" w:rsidP="002A7DF6">
            <w:pPr>
              <w:spacing w:beforeLines="30" w:line="276" w:lineRule="auto"/>
              <w:jc w:val="center"/>
              <w:rPr>
                <w:rFonts w:ascii="宋体" w:hAnsi="宋体" w:cs="宋体"/>
                <w:color w:val="000000"/>
                <w:szCs w:val="24"/>
                <w:lang w:val="en-US"/>
              </w:rPr>
            </w:pPr>
            <w:r>
              <w:rPr>
                <w:rFonts w:ascii="宋体" w:hAnsi="宋体" w:cs="宋体" w:hint="eastAsia"/>
                <w:color w:val="000000"/>
                <w:szCs w:val="24"/>
                <w:lang w:val="en-US"/>
              </w:rPr>
              <w:t>交易</w:t>
            </w:r>
            <w:r w:rsidR="00077D67" w:rsidRPr="00373F5F">
              <w:rPr>
                <w:rFonts w:ascii="宋体" w:hAnsi="宋体" w:cs="宋体" w:hint="eastAsia"/>
                <w:color w:val="000000"/>
                <w:szCs w:val="24"/>
                <w:lang w:val="en-US"/>
              </w:rPr>
              <w:t>型开放式</w:t>
            </w:r>
          </w:p>
        </w:tc>
      </w:tr>
      <w:tr w:rsidR="00077D67" w:rsidRPr="00373F5F" w:rsidTr="00637ABD">
        <w:trPr>
          <w:trHeight w:val="300"/>
          <w:jc w:val="center"/>
        </w:trPr>
        <w:tc>
          <w:tcPr>
            <w:tcW w:w="3534" w:type="dxa"/>
            <w:shd w:val="clear" w:color="auto" w:fill="auto"/>
            <w:vAlign w:val="center"/>
            <w:hideMark/>
          </w:tcPr>
          <w:p w:rsidR="00077D67" w:rsidRPr="00373F5F" w:rsidRDefault="00077D67" w:rsidP="002A7DF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基金合同生效日</w:t>
            </w:r>
          </w:p>
        </w:tc>
        <w:tc>
          <w:tcPr>
            <w:tcW w:w="6095" w:type="dxa"/>
            <w:shd w:val="clear" w:color="auto" w:fill="auto"/>
            <w:vAlign w:val="center"/>
            <w:hideMark/>
          </w:tcPr>
          <w:p w:rsidR="00077D67" w:rsidRPr="00373F5F" w:rsidRDefault="00637ABD" w:rsidP="002A7DF6">
            <w:pPr>
              <w:spacing w:beforeLines="30" w:line="276" w:lineRule="auto"/>
              <w:jc w:val="center"/>
              <w:rPr>
                <w:rFonts w:ascii="宋体" w:hAnsi="宋体" w:cs="宋体"/>
                <w:color w:val="000000"/>
                <w:szCs w:val="24"/>
                <w:lang w:val="en-US"/>
              </w:rPr>
            </w:pPr>
            <w:r w:rsidRPr="00637ABD">
              <w:rPr>
                <w:rFonts w:ascii="宋体" w:hAnsi="宋体" w:hint="eastAsia"/>
                <w:lang w:val="en-US"/>
              </w:rPr>
              <w:t>2015年7月1日</w:t>
            </w:r>
          </w:p>
        </w:tc>
      </w:tr>
      <w:tr w:rsidR="00077D67" w:rsidRPr="00373F5F" w:rsidTr="00637ABD">
        <w:trPr>
          <w:trHeight w:val="300"/>
          <w:jc w:val="center"/>
        </w:trPr>
        <w:tc>
          <w:tcPr>
            <w:tcW w:w="3534" w:type="dxa"/>
            <w:shd w:val="clear" w:color="auto" w:fill="auto"/>
            <w:vAlign w:val="center"/>
            <w:hideMark/>
          </w:tcPr>
          <w:p w:rsidR="00077D67" w:rsidRPr="00373F5F" w:rsidRDefault="00077D67" w:rsidP="002A7DF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基金管理人</w:t>
            </w:r>
          </w:p>
        </w:tc>
        <w:tc>
          <w:tcPr>
            <w:tcW w:w="6095" w:type="dxa"/>
            <w:shd w:val="clear" w:color="auto" w:fill="auto"/>
            <w:vAlign w:val="center"/>
            <w:hideMark/>
          </w:tcPr>
          <w:p w:rsidR="00077D67" w:rsidRPr="00632D66" w:rsidRDefault="00077D67" w:rsidP="002A7DF6">
            <w:pPr>
              <w:spacing w:beforeLines="30" w:line="276" w:lineRule="auto"/>
              <w:jc w:val="center"/>
              <w:rPr>
                <w:rFonts w:ascii="宋体" w:hAnsi="宋体" w:cs="宋体"/>
                <w:color w:val="000000"/>
                <w:szCs w:val="24"/>
                <w:lang w:val="en-US"/>
              </w:rPr>
            </w:pPr>
            <w:r w:rsidRPr="00632D66">
              <w:rPr>
                <w:rFonts w:ascii="宋体" w:hAnsi="宋体" w:cs="宋体" w:hint="eastAsia"/>
                <w:color w:val="000000"/>
                <w:szCs w:val="24"/>
                <w:lang w:val="en-US"/>
              </w:rPr>
              <w:t>广发基金管理有限公司</w:t>
            </w:r>
          </w:p>
        </w:tc>
      </w:tr>
      <w:tr w:rsidR="00077D67" w:rsidRPr="00373F5F" w:rsidTr="00637ABD">
        <w:trPr>
          <w:trHeight w:val="300"/>
          <w:jc w:val="center"/>
        </w:trPr>
        <w:tc>
          <w:tcPr>
            <w:tcW w:w="3534" w:type="dxa"/>
            <w:shd w:val="clear" w:color="auto" w:fill="auto"/>
            <w:vAlign w:val="center"/>
            <w:hideMark/>
          </w:tcPr>
          <w:p w:rsidR="00077D67" w:rsidRPr="00373F5F" w:rsidRDefault="00077D67" w:rsidP="002A7DF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基金托管人</w:t>
            </w:r>
          </w:p>
        </w:tc>
        <w:tc>
          <w:tcPr>
            <w:tcW w:w="6095" w:type="dxa"/>
            <w:shd w:val="clear" w:color="auto" w:fill="auto"/>
            <w:vAlign w:val="center"/>
            <w:hideMark/>
          </w:tcPr>
          <w:p w:rsidR="00077D67" w:rsidRPr="00632D66" w:rsidRDefault="00637ABD" w:rsidP="002A7DF6">
            <w:pPr>
              <w:spacing w:beforeLines="30" w:line="276" w:lineRule="auto"/>
              <w:jc w:val="center"/>
              <w:rPr>
                <w:rFonts w:ascii="宋体" w:hAnsi="宋体" w:cs="宋体"/>
                <w:color w:val="000000"/>
                <w:szCs w:val="24"/>
                <w:lang w:val="en-US"/>
              </w:rPr>
            </w:pPr>
            <w:r w:rsidRPr="00632D66">
              <w:rPr>
                <w:rFonts w:ascii="宋体" w:hAnsi="宋体" w:cs="宋体" w:hint="eastAsia"/>
                <w:color w:val="000000"/>
                <w:szCs w:val="24"/>
                <w:lang w:val="en-US"/>
              </w:rPr>
              <w:t>中国</w:t>
            </w:r>
            <w:r w:rsidR="007C6745" w:rsidRPr="00632D66">
              <w:rPr>
                <w:rFonts w:ascii="宋体" w:hAnsi="宋体" w:cs="宋体" w:hint="eastAsia"/>
                <w:color w:val="000000"/>
                <w:szCs w:val="24"/>
                <w:lang w:val="en-US"/>
              </w:rPr>
              <w:t>银行</w:t>
            </w:r>
            <w:r w:rsidR="00077D67" w:rsidRPr="00632D66">
              <w:rPr>
                <w:rFonts w:ascii="宋体" w:hAnsi="宋体" w:cs="宋体" w:hint="eastAsia"/>
                <w:color w:val="000000"/>
                <w:szCs w:val="24"/>
                <w:lang w:val="en-US"/>
              </w:rPr>
              <w:t>股份有限公司</w:t>
            </w:r>
          </w:p>
        </w:tc>
      </w:tr>
      <w:tr w:rsidR="00077D67" w:rsidRPr="00373F5F" w:rsidTr="00637ABD">
        <w:trPr>
          <w:trHeight w:val="300"/>
          <w:jc w:val="center"/>
        </w:trPr>
        <w:tc>
          <w:tcPr>
            <w:tcW w:w="3534" w:type="dxa"/>
            <w:shd w:val="clear" w:color="auto" w:fill="auto"/>
            <w:vAlign w:val="center"/>
            <w:hideMark/>
          </w:tcPr>
          <w:p w:rsidR="00077D67" w:rsidRPr="005855AC" w:rsidRDefault="00077D67" w:rsidP="002A7DF6">
            <w:pPr>
              <w:spacing w:beforeLines="30" w:line="276" w:lineRule="auto"/>
              <w:jc w:val="center"/>
              <w:rPr>
                <w:rFonts w:ascii="宋体" w:hAnsi="宋体" w:cs="宋体"/>
                <w:color w:val="000000"/>
                <w:szCs w:val="24"/>
                <w:lang w:val="en-US"/>
              </w:rPr>
            </w:pPr>
            <w:r w:rsidRPr="005855AC">
              <w:rPr>
                <w:rFonts w:ascii="宋体" w:hAnsi="宋体" w:cs="宋体" w:hint="eastAsia"/>
                <w:color w:val="000000"/>
                <w:szCs w:val="24"/>
                <w:lang w:val="en-US"/>
              </w:rPr>
              <w:t>最后运作</w:t>
            </w:r>
            <w:r w:rsidRPr="005855AC">
              <w:rPr>
                <w:rFonts w:ascii="宋体" w:hAnsi="宋体" w:cs="宋体"/>
                <w:color w:val="000000"/>
                <w:szCs w:val="24"/>
                <w:lang w:val="en-US"/>
              </w:rPr>
              <w:t>日</w:t>
            </w:r>
            <w:r w:rsidRPr="005855AC">
              <w:rPr>
                <w:rFonts w:ascii="宋体" w:hAnsi="宋体" w:cs="宋体" w:hint="eastAsia"/>
                <w:color w:val="000000"/>
                <w:szCs w:val="24"/>
                <w:lang w:val="en-US"/>
              </w:rPr>
              <w:t>基金份额总额</w:t>
            </w:r>
          </w:p>
        </w:tc>
        <w:tc>
          <w:tcPr>
            <w:tcW w:w="6095" w:type="dxa"/>
            <w:shd w:val="clear" w:color="auto" w:fill="auto"/>
            <w:vAlign w:val="center"/>
            <w:hideMark/>
          </w:tcPr>
          <w:p w:rsidR="00077D67" w:rsidRPr="00632D66" w:rsidRDefault="00B37048" w:rsidP="002A7DF6">
            <w:pPr>
              <w:spacing w:beforeLines="30" w:line="276" w:lineRule="auto"/>
              <w:jc w:val="center"/>
              <w:rPr>
                <w:rFonts w:ascii="宋体" w:hAnsi="宋体" w:cs="宋体"/>
                <w:color w:val="000000"/>
                <w:szCs w:val="24"/>
                <w:lang w:val="en-US"/>
              </w:rPr>
            </w:pPr>
            <w:r w:rsidRPr="00632D66">
              <w:rPr>
                <w:rFonts w:ascii="宋体" w:hAnsi="宋体" w:cs="宋体"/>
                <w:color w:val="000000"/>
                <w:szCs w:val="24"/>
                <w:lang w:val="en-US"/>
              </w:rPr>
              <w:t>4,315,634.00</w:t>
            </w:r>
            <w:r w:rsidR="00077D67" w:rsidRPr="00632D66">
              <w:rPr>
                <w:rFonts w:ascii="宋体" w:hAnsi="宋体" w:cs="宋体" w:hint="eastAsia"/>
                <w:color w:val="000000"/>
                <w:szCs w:val="24"/>
                <w:lang w:val="en-US"/>
              </w:rPr>
              <w:t>份</w:t>
            </w:r>
          </w:p>
        </w:tc>
      </w:tr>
      <w:tr w:rsidR="00077D67" w:rsidRPr="00373F5F" w:rsidTr="00637ABD">
        <w:trPr>
          <w:trHeight w:val="300"/>
          <w:jc w:val="center"/>
        </w:trPr>
        <w:tc>
          <w:tcPr>
            <w:tcW w:w="3534" w:type="dxa"/>
            <w:shd w:val="clear" w:color="auto" w:fill="auto"/>
            <w:vAlign w:val="center"/>
            <w:hideMark/>
          </w:tcPr>
          <w:p w:rsidR="00077D67" w:rsidRPr="00373F5F" w:rsidRDefault="00077D67" w:rsidP="002A7DF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基金合同存续期</w:t>
            </w:r>
          </w:p>
        </w:tc>
        <w:tc>
          <w:tcPr>
            <w:tcW w:w="6095" w:type="dxa"/>
            <w:shd w:val="clear" w:color="auto" w:fill="auto"/>
            <w:vAlign w:val="center"/>
            <w:hideMark/>
          </w:tcPr>
          <w:p w:rsidR="00077D67" w:rsidRPr="00373F5F" w:rsidRDefault="00077D67" w:rsidP="002A7DF6">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不定期</w:t>
            </w:r>
          </w:p>
        </w:tc>
      </w:tr>
    </w:tbl>
    <w:p w:rsidR="006E657A" w:rsidRDefault="006E657A" w:rsidP="005E43A5">
      <w:pPr>
        <w:spacing w:line="360" w:lineRule="auto"/>
        <w:rPr>
          <w:rStyle w:val="a4"/>
          <w:rFonts w:ascii="宋体" w:hAnsi="宋体"/>
          <w:color w:val="000000"/>
          <w:szCs w:val="24"/>
        </w:rPr>
      </w:pPr>
    </w:p>
    <w:p w:rsidR="00124F91" w:rsidRPr="005906E7" w:rsidRDefault="00124F91" w:rsidP="005E43A5">
      <w:pPr>
        <w:spacing w:line="360" w:lineRule="auto"/>
        <w:rPr>
          <w:rStyle w:val="a4"/>
          <w:rFonts w:ascii="宋体" w:hAnsi="宋体"/>
          <w:color w:val="000000"/>
          <w:szCs w:val="24"/>
        </w:rPr>
      </w:pPr>
      <w:r w:rsidRPr="005906E7">
        <w:rPr>
          <w:rStyle w:val="a4"/>
          <w:rFonts w:ascii="宋体" w:hAnsi="宋体"/>
          <w:color w:val="000000"/>
          <w:szCs w:val="24"/>
        </w:rPr>
        <w:t>2.2 基金产品说明</w:t>
      </w:r>
      <w:bookmarkEnd w:id="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884"/>
      </w:tblGrid>
      <w:tr w:rsidR="00124F91" w:rsidRPr="005906E7" w:rsidTr="00D04F27">
        <w:trPr>
          <w:trHeight w:val="281"/>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124F91" w:rsidRPr="005906E7" w:rsidRDefault="00124F91" w:rsidP="002A7DF6">
            <w:pPr>
              <w:spacing w:beforeLines="50" w:line="360" w:lineRule="auto"/>
              <w:jc w:val="both"/>
              <w:rPr>
                <w:rStyle w:val="a4"/>
                <w:rFonts w:ascii="宋体" w:hAnsi="宋体"/>
                <w:b w:val="0"/>
                <w:szCs w:val="24"/>
              </w:rPr>
            </w:pPr>
            <w:r w:rsidRPr="005906E7">
              <w:rPr>
                <w:rStyle w:val="a4"/>
                <w:rFonts w:ascii="宋体" w:hAnsi="宋体"/>
                <w:szCs w:val="24"/>
              </w:rPr>
              <w:t>投资目标</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124F91" w:rsidRPr="005906E7" w:rsidRDefault="00001C4F" w:rsidP="002A7DF6">
            <w:pPr>
              <w:spacing w:beforeLines="50" w:line="360" w:lineRule="auto"/>
              <w:jc w:val="both"/>
              <w:rPr>
                <w:rStyle w:val="a4"/>
                <w:rFonts w:ascii="宋体" w:hAnsi="宋体"/>
                <w:b w:val="0"/>
                <w:szCs w:val="24"/>
              </w:rPr>
            </w:pPr>
            <w:r w:rsidRPr="00001C4F">
              <w:rPr>
                <w:rFonts w:hint="eastAsia"/>
                <w:bCs/>
              </w:rPr>
              <w:t>紧密跟踪标的指数，追求跟踪偏离度和跟踪误差最小化</w:t>
            </w:r>
            <w:r>
              <w:rPr>
                <w:rFonts w:hint="eastAsia"/>
                <w:bCs/>
              </w:rPr>
              <w:t>。</w:t>
            </w:r>
          </w:p>
        </w:tc>
      </w:tr>
      <w:tr w:rsidR="00124F91" w:rsidRPr="005906E7" w:rsidTr="00D04F27">
        <w:trPr>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124F91" w:rsidRPr="005906E7" w:rsidRDefault="00124F91" w:rsidP="002A7DF6">
            <w:pPr>
              <w:spacing w:beforeLines="50" w:line="360" w:lineRule="auto"/>
              <w:jc w:val="both"/>
              <w:rPr>
                <w:rStyle w:val="a4"/>
                <w:rFonts w:ascii="宋体" w:hAnsi="宋体"/>
                <w:b w:val="0"/>
                <w:szCs w:val="24"/>
              </w:rPr>
            </w:pPr>
            <w:r w:rsidRPr="005906E7">
              <w:rPr>
                <w:rStyle w:val="a4"/>
                <w:rFonts w:ascii="宋体" w:hAnsi="宋体"/>
                <w:szCs w:val="24"/>
              </w:rPr>
              <w:t>投资策略</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001C4F" w:rsidRPr="00001C4F" w:rsidRDefault="00001C4F" w:rsidP="00001C4F">
            <w:pPr>
              <w:spacing w:line="360" w:lineRule="auto"/>
              <w:rPr>
                <w:bCs/>
              </w:rPr>
            </w:pPr>
            <w:r w:rsidRPr="00001C4F">
              <w:rPr>
                <w:rFonts w:hint="eastAsia"/>
                <w:bCs/>
              </w:rPr>
              <w:t>本基金主要采取完全复制法，即按照标的指数的成份股的构成及其权重构建指数化投资组合，并根据标的指数成份股及其权重的变动进行相应的调整。本基金投资于标的指数成份股及备选成份股的比例不低于基金资产净值的</w:t>
            </w:r>
            <w:r w:rsidRPr="00001C4F">
              <w:rPr>
                <w:rFonts w:hint="eastAsia"/>
                <w:bCs/>
              </w:rPr>
              <w:t>95%</w:t>
            </w:r>
            <w:r w:rsidRPr="00001C4F">
              <w:rPr>
                <w:rFonts w:hint="eastAsia"/>
                <w:bCs/>
              </w:rPr>
              <w:t>。</w:t>
            </w:r>
          </w:p>
          <w:p w:rsidR="00001C4F" w:rsidRPr="00001C4F" w:rsidRDefault="00001C4F" w:rsidP="00001C4F">
            <w:pPr>
              <w:spacing w:line="360" w:lineRule="auto"/>
              <w:rPr>
                <w:bCs/>
              </w:rPr>
            </w:pPr>
            <w:r w:rsidRPr="00001C4F">
              <w:rPr>
                <w:rFonts w:hint="eastAsia"/>
                <w:bCs/>
              </w:rPr>
              <w:t>一般情形下，本基金将根据标的指数成份股的构成及其权重构建股票资产投资组合，但在标的指数成份股发生调整、配股、增发、分红等公司行为导致成份股的构成及权重发生变化时，由于交易成本、交易制度、个别成份股停牌或者流动性不足等原因导致基金无法及时完成投资组合的同步调整时，基金管理人将对投资组合进行优化，以更紧密的跟踪标的指数。本基金将根据市场情况，结合经验判断，综合考虑相关性、估值、流动性等因素挑选标的指数中其他成份股或备选成份股进行替代，以期在规定的风险承受限度之内，尽量缩小跟踪误差。</w:t>
            </w:r>
          </w:p>
          <w:p w:rsidR="00001C4F" w:rsidRPr="00001C4F" w:rsidRDefault="00001C4F" w:rsidP="00001C4F">
            <w:pPr>
              <w:spacing w:line="360" w:lineRule="auto"/>
              <w:rPr>
                <w:bCs/>
              </w:rPr>
            </w:pPr>
            <w:r w:rsidRPr="00001C4F">
              <w:rPr>
                <w:rFonts w:hint="eastAsia"/>
                <w:bCs/>
              </w:rPr>
              <w:t>在正常情况下，本基金力争控制投资组合的净值增长率与业绩比较基准之间的日均跟踪偏离度小于</w:t>
            </w:r>
            <w:r w:rsidRPr="00001C4F">
              <w:rPr>
                <w:rFonts w:hint="eastAsia"/>
                <w:bCs/>
              </w:rPr>
              <w:t>0.2%</w:t>
            </w:r>
            <w:r w:rsidRPr="00001C4F">
              <w:rPr>
                <w:rFonts w:hint="eastAsia"/>
                <w:bCs/>
              </w:rPr>
              <w:t>，年化跟踪误差不超过</w:t>
            </w:r>
            <w:r w:rsidRPr="00001C4F">
              <w:rPr>
                <w:rFonts w:hint="eastAsia"/>
                <w:bCs/>
              </w:rPr>
              <w:t>2%</w:t>
            </w:r>
            <w:r w:rsidRPr="00001C4F">
              <w:rPr>
                <w:rFonts w:hint="eastAsia"/>
                <w:bCs/>
              </w:rPr>
              <w:t>。</w:t>
            </w:r>
          </w:p>
          <w:p w:rsidR="00124F91" w:rsidRPr="009B7969" w:rsidRDefault="00001C4F" w:rsidP="00001C4F">
            <w:pPr>
              <w:spacing w:line="360" w:lineRule="auto"/>
              <w:rPr>
                <w:rStyle w:val="a4"/>
                <w:b w:val="0"/>
              </w:rPr>
            </w:pPr>
            <w:r w:rsidRPr="00001C4F">
              <w:rPr>
                <w:rFonts w:hint="eastAsia"/>
                <w:bCs/>
              </w:rPr>
              <w:t>本基金可投资股指期货和其他经中国证监会允许的衍生金融产品，如期权、权证以及其他与标的指数或标的指数成份股、备选成份股相关的衍生工具，包括融资融券等。本基金投资股指期货将根据风险管理的原则，以套期保值为目的，力争提高投资效率、降低交易成本、缩小跟踪误差，而非用于投机或用作杠杆工具放大基金的投资。</w:t>
            </w:r>
          </w:p>
        </w:tc>
      </w:tr>
      <w:tr w:rsidR="00124F91" w:rsidRPr="005906E7" w:rsidTr="00D04F27">
        <w:trPr>
          <w:trHeight w:val="358"/>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124F91" w:rsidRPr="005906E7" w:rsidRDefault="00124F91" w:rsidP="002A7DF6">
            <w:pPr>
              <w:spacing w:beforeLines="50" w:line="360" w:lineRule="auto"/>
              <w:jc w:val="both"/>
              <w:rPr>
                <w:rStyle w:val="a4"/>
                <w:rFonts w:ascii="宋体" w:hAnsi="宋体"/>
                <w:b w:val="0"/>
                <w:szCs w:val="24"/>
              </w:rPr>
            </w:pPr>
            <w:r w:rsidRPr="005906E7">
              <w:rPr>
                <w:rStyle w:val="a4"/>
                <w:rFonts w:ascii="宋体" w:hAnsi="宋体"/>
                <w:szCs w:val="24"/>
              </w:rPr>
              <w:t>业绩比较基准</w:t>
            </w:r>
          </w:p>
        </w:tc>
        <w:tc>
          <w:tcPr>
            <w:tcW w:w="6884" w:type="dxa"/>
            <w:tcBorders>
              <w:top w:val="single" w:sz="4" w:space="0" w:color="000000"/>
              <w:left w:val="single" w:sz="4" w:space="0" w:color="000000"/>
              <w:bottom w:val="single" w:sz="4" w:space="0" w:color="000000"/>
              <w:right w:val="single" w:sz="4" w:space="0" w:color="000000"/>
            </w:tcBorders>
            <w:vAlign w:val="bottom"/>
            <w:hideMark/>
          </w:tcPr>
          <w:p w:rsidR="00124F91" w:rsidRPr="005906E7" w:rsidRDefault="00001C4F" w:rsidP="002A7DF6">
            <w:pPr>
              <w:spacing w:beforeLines="50" w:line="360" w:lineRule="auto"/>
              <w:jc w:val="both"/>
              <w:rPr>
                <w:rStyle w:val="a4"/>
                <w:rFonts w:ascii="宋体" w:hAnsi="宋体"/>
                <w:b w:val="0"/>
                <w:szCs w:val="24"/>
              </w:rPr>
            </w:pPr>
            <w:r w:rsidRPr="00001C4F">
              <w:rPr>
                <w:rFonts w:ascii="宋体" w:hAnsi="宋体" w:hint="eastAsia"/>
                <w:szCs w:val="24"/>
              </w:rPr>
              <w:t>本基金的业绩比较基准为标的指数。本基金标的指数为中证全指主要消费指数。</w:t>
            </w:r>
          </w:p>
        </w:tc>
      </w:tr>
      <w:tr w:rsidR="00124F91" w:rsidRPr="005906E7" w:rsidTr="00D04F27">
        <w:trPr>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124F91" w:rsidRPr="005906E7" w:rsidRDefault="00124F91" w:rsidP="002A7DF6">
            <w:pPr>
              <w:spacing w:beforeLines="50" w:line="360" w:lineRule="auto"/>
              <w:jc w:val="both"/>
              <w:rPr>
                <w:rStyle w:val="a4"/>
                <w:rFonts w:ascii="宋体" w:hAnsi="宋体"/>
                <w:b w:val="0"/>
                <w:szCs w:val="24"/>
              </w:rPr>
            </w:pPr>
            <w:r w:rsidRPr="005906E7">
              <w:rPr>
                <w:rStyle w:val="a4"/>
                <w:rFonts w:ascii="宋体" w:hAnsi="宋体"/>
                <w:szCs w:val="24"/>
              </w:rPr>
              <w:t>风险收益特征</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124F91" w:rsidRPr="005906E7" w:rsidRDefault="00001C4F" w:rsidP="002A7DF6">
            <w:pPr>
              <w:spacing w:beforeLines="50" w:line="360" w:lineRule="auto"/>
              <w:jc w:val="both"/>
              <w:rPr>
                <w:rStyle w:val="a4"/>
                <w:rFonts w:ascii="宋体" w:hAnsi="宋体"/>
                <w:b w:val="0"/>
                <w:bCs w:val="0"/>
              </w:rPr>
            </w:pPr>
            <w:r w:rsidRPr="00001C4F">
              <w:rPr>
                <w:rFonts w:hint="eastAsia"/>
                <w:bCs/>
              </w:rPr>
              <w:t>本基金为股票型基金，风险与收益高于混合型基金、债券型基金与货币市场基金。本基金为指数型基金，主要采用完全复制法跟踪标的指数的表现，具有与标的指数、以及标的指数所代表的股票市场相似的风险收益特征</w:t>
            </w:r>
            <w:r>
              <w:rPr>
                <w:rFonts w:hint="eastAsia"/>
                <w:bCs/>
              </w:rPr>
              <w:t>。</w:t>
            </w:r>
          </w:p>
        </w:tc>
      </w:tr>
    </w:tbl>
    <w:p w:rsidR="00030017" w:rsidRPr="005906E7" w:rsidRDefault="00030017" w:rsidP="005E43A5">
      <w:pPr>
        <w:spacing w:line="360" w:lineRule="auto"/>
        <w:rPr>
          <w:rStyle w:val="a4"/>
          <w:rFonts w:ascii="宋体" w:hAnsi="宋体"/>
          <w:b w:val="0"/>
          <w:color w:val="000000"/>
          <w:szCs w:val="24"/>
        </w:rPr>
      </w:pPr>
    </w:p>
    <w:p w:rsidR="00124F91" w:rsidRPr="00D16AD3" w:rsidRDefault="00D16AD3" w:rsidP="005E43A5">
      <w:pPr>
        <w:pStyle w:val="2"/>
        <w:spacing w:before="0" w:after="0" w:line="360" w:lineRule="auto"/>
        <w:jc w:val="center"/>
        <w:rPr>
          <w:rFonts w:asciiTheme="minorEastAsia" w:eastAsiaTheme="minorEastAsia" w:hAnsiTheme="minorEastAsia"/>
          <w:sz w:val="24"/>
          <w:szCs w:val="24"/>
          <w:lang w:val="en-US"/>
        </w:rPr>
      </w:pPr>
      <w:bookmarkStart w:id="3" w:name="_Toc527727222"/>
      <w:r w:rsidRPr="00D16AD3">
        <w:rPr>
          <w:rFonts w:asciiTheme="minorEastAsia" w:eastAsiaTheme="minorEastAsia" w:hAnsiTheme="minorEastAsia" w:hint="eastAsia"/>
          <w:sz w:val="24"/>
          <w:szCs w:val="24"/>
          <w:lang w:val="en-US"/>
        </w:rPr>
        <w:t>3、</w:t>
      </w:r>
      <w:r w:rsidR="00124F91" w:rsidRPr="00D16AD3">
        <w:rPr>
          <w:rFonts w:asciiTheme="minorEastAsia" w:eastAsiaTheme="minorEastAsia" w:hAnsiTheme="minorEastAsia" w:hint="eastAsia"/>
          <w:sz w:val="24"/>
          <w:szCs w:val="24"/>
          <w:lang w:val="en-US"/>
        </w:rPr>
        <w:t>基金运作情况概述</w:t>
      </w:r>
      <w:bookmarkEnd w:id="3"/>
    </w:p>
    <w:p w:rsidR="00124F91" w:rsidRPr="00D16AD3" w:rsidRDefault="00F00238" w:rsidP="005E43A5">
      <w:pPr>
        <w:spacing w:line="360" w:lineRule="auto"/>
        <w:ind w:firstLineChars="200" w:firstLine="480"/>
        <w:jc w:val="both"/>
        <w:rPr>
          <w:rFonts w:ascii="宋体" w:hAnsi="宋体"/>
          <w:lang w:val="en-US"/>
        </w:rPr>
      </w:pPr>
      <w:r>
        <w:rPr>
          <w:rFonts w:ascii="宋体" w:hAnsi="宋体" w:hint="eastAsia"/>
          <w:lang w:val="en-US"/>
        </w:rPr>
        <w:t>广发中证全指主要消费交易型开放式指数证券投资基金</w:t>
      </w:r>
      <w:r w:rsidR="00124F91" w:rsidRPr="00D16AD3">
        <w:rPr>
          <w:rFonts w:ascii="宋体" w:hAnsi="宋体" w:hint="eastAsia"/>
          <w:lang w:val="en-US"/>
        </w:rPr>
        <w:t>(“本基金”)经中国证券监督管理委员会(“中国证监会”)证监许可</w:t>
      </w:r>
      <w:r w:rsidR="006F43ED" w:rsidRPr="00F00238">
        <w:rPr>
          <w:rFonts w:ascii="宋体" w:hAnsi="宋体"/>
          <w:lang w:val="en-US"/>
        </w:rPr>
        <w:t>[2013]1264</w:t>
      </w:r>
      <w:r w:rsidR="00124F91" w:rsidRPr="00D16AD3">
        <w:rPr>
          <w:rFonts w:ascii="宋体" w:hAnsi="宋体" w:hint="eastAsia"/>
          <w:lang w:val="en-US"/>
        </w:rPr>
        <w:t>号文核准，由基金管理人广发基金管理有限公司依照《中华人民共和国证券投资基金法》、《公开募集证券投资基金运作管理办法》等有关规定和《</w:t>
      </w:r>
      <w:r>
        <w:rPr>
          <w:rFonts w:ascii="宋体" w:hAnsi="宋体" w:hint="eastAsia"/>
          <w:lang w:val="en-US"/>
        </w:rPr>
        <w:t>广发中证全指主要消费交易型开放式指数证券投资基金</w:t>
      </w:r>
      <w:r w:rsidR="00124F91" w:rsidRPr="00D16AD3">
        <w:rPr>
          <w:rFonts w:ascii="宋体" w:hAnsi="宋体" w:hint="eastAsia"/>
          <w:lang w:val="en-US"/>
        </w:rPr>
        <w:t>基金合同》(“基金合同”)的要求于</w:t>
      </w:r>
      <w:r w:rsidR="006F43ED" w:rsidRPr="00F00238">
        <w:rPr>
          <w:rFonts w:ascii="宋体" w:hAnsi="宋体" w:hint="eastAsia"/>
          <w:lang w:val="en-US"/>
        </w:rPr>
        <w:t>2015年7月1日</w:t>
      </w:r>
      <w:r w:rsidR="00124F91" w:rsidRPr="00D16AD3">
        <w:rPr>
          <w:rFonts w:ascii="宋体" w:hAnsi="宋体" w:hint="eastAsia"/>
          <w:lang w:val="en-US"/>
        </w:rPr>
        <w:t>募集成立。本基金的基金管理人为广发基金管理有限公司，基金托管人为</w:t>
      </w:r>
      <w:r w:rsidR="006F43ED">
        <w:rPr>
          <w:rFonts w:ascii="宋体" w:hAnsi="宋体" w:hint="eastAsia"/>
          <w:lang w:val="en-US"/>
        </w:rPr>
        <w:t>中国</w:t>
      </w:r>
      <w:r w:rsidR="007C6745">
        <w:rPr>
          <w:rFonts w:ascii="宋体" w:hAnsi="宋体" w:hint="eastAsia"/>
          <w:lang w:val="en-US"/>
        </w:rPr>
        <w:t>银行</w:t>
      </w:r>
      <w:r w:rsidR="00124F91" w:rsidRPr="00D16AD3">
        <w:rPr>
          <w:rFonts w:ascii="宋体" w:hAnsi="宋体" w:hint="eastAsia"/>
          <w:lang w:val="en-US"/>
        </w:rPr>
        <w:t>股份有限公司。</w:t>
      </w:r>
    </w:p>
    <w:p w:rsidR="006F43ED" w:rsidRDefault="006F43ED" w:rsidP="005E43A5">
      <w:pPr>
        <w:spacing w:line="360" w:lineRule="auto"/>
        <w:ind w:firstLineChars="200" w:firstLine="480"/>
        <w:jc w:val="both"/>
        <w:rPr>
          <w:rFonts w:ascii="宋体" w:hAnsi="宋体"/>
          <w:lang w:val="en-US"/>
        </w:rPr>
      </w:pPr>
      <w:r w:rsidRPr="006F43ED">
        <w:rPr>
          <w:rFonts w:ascii="宋体" w:hAnsi="宋体" w:hint="eastAsia"/>
          <w:lang w:val="en-US"/>
        </w:rPr>
        <w:t>本基金募集期为2015年6月15日至2015年6月24日，募集资金总额为人民币255,315,634.00元，有效认购户数为2,897户。</w:t>
      </w:r>
    </w:p>
    <w:p w:rsidR="00D37A7D" w:rsidRDefault="006F43ED" w:rsidP="005E43A5">
      <w:pPr>
        <w:spacing w:line="360" w:lineRule="auto"/>
        <w:ind w:firstLineChars="200" w:firstLine="480"/>
        <w:jc w:val="both"/>
        <w:rPr>
          <w:rFonts w:ascii="宋体" w:hAnsi="宋体"/>
          <w:lang w:val="en-US"/>
        </w:rPr>
      </w:pPr>
      <w:r w:rsidRPr="00F00238">
        <w:rPr>
          <w:rFonts w:ascii="宋体" w:hAnsi="宋体" w:hint="eastAsia"/>
          <w:bCs/>
          <w:lang w:val="en-US"/>
        </w:rPr>
        <w:t>2018年11月21</w:t>
      </w:r>
      <w:r>
        <w:rPr>
          <w:rFonts w:ascii="宋体" w:hAnsi="宋体" w:hint="eastAsia"/>
          <w:bCs/>
          <w:lang w:val="en-US"/>
        </w:rPr>
        <w:t>日</w:t>
      </w:r>
      <w:r w:rsidRPr="00F00238">
        <w:rPr>
          <w:rFonts w:ascii="宋体" w:hAnsi="宋体" w:hint="eastAsia"/>
          <w:bCs/>
          <w:lang w:val="en-US"/>
        </w:rPr>
        <w:t>至2018年12月20日</w:t>
      </w:r>
      <w:r w:rsidR="0070244E" w:rsidRPr="005906E7">
        <w:rPr>
          <w:rFonts w:ascii="宋体" w:hAnsi="宋体" w:hint="eastAsia"/>
          <w:bCs/>
          <w:lang w:val="en-US"/>
        </w:rPr>
        <w:t>止</w:t>
      </w:r>
      <w:r w:rsidR="00124F91" w:rsidRPr="00D16AD3">
        <w:rPr>
          <w:rFonts w:ascii="宋体" w:hAnsi="宋体" w:hint="eastAsia"/>
          <w:lang w:val="en-US"/>
        </w:rPr>
        <w:t>，本基金以通讯方式召开了基金份额持有人大会。于</w:t>
      </w:r>
      <w:r w:rsidRPr="00F00238">
        <w:rPr>
          <w:rFonts w:ascii="宋体" w:hAnsi="宋体" w:hint="eastAsia"/>
          <w:bCs/>
          <w:lang w:val="en-US"/>
        </w:rPr>
        <w:t>2018年12月21日</w:t>
      </w:r>
      <w:r w:rsidR="00124F91" w:rsidRPr="00D16AD3">
        <w:rPr>
          <w:rFonts w:ascii="宋体" w:hAnsi="宋体" w:hint="eastAsia"/>
          <w:lang w:val="en-US"/>
        </w:rPr>
        <w:t>，本基金基金份额持有人大会审议并通过了《</w:t>
      </w:r>
      <w:r w:rsidRPr="00F00238">
        <w:rPr>
          <w:rFonts w:hint="eastAsia"/>
          <w:color w:val="000000"/>
          <w:lang w:val="en-US"/>
        </w:rPr>
        <w:t>关于广发中证全指主要消费交易型开放式指数证券投资基金终止基金合同并终止上市相关事项的议案</w:t>
      </w:r>
      <w:r w:rsidR="00124F91" w:rsidRPr="00D16AD3">
        <w:rPr>
          <w:rFonts w:ascii="宋体" w:hAnsi="宋体" w:hint="eastAsia"/>
          <w:lang w:val="en-US"/>
        </w:rPr>
        <w:t>》，基金合同终止并进入清算程序。</w:t>
      </w:r>
    </w:p>
    <w:p w:rsidR="00030017" w:rsidRDefault="00030017" w:rsidP="005E43A5">
      <w:pPr>
        <w:spacing w:line="360" w:lineRule="auto"/>
        <w:ind w:firstLineChars="200" w:firstLine="480"/>
        <w:jc w:val="both"/>
        <w:rPr>
          <w:rFonts w:ascii="宋体" w:hAnsi="宋体"/>
          <w:lang w:val="en-US"/>
        </w:rPr>
      </w:pPr>
    </w:p>
    <w:p w:rsidR="00030017" w:rsidRPr="00030017" w:rsidRDefault="00030017" w:rsidP="005E43A5">
      <w:pPr>
        <w:pStyle w:val="2"/>
        <w:spacing w:before="0" w:after="0" w:line="360" w:lineRule="auto"/>
        <w:jc w:val="center"/>
        <w:rPr>
          <w:rFonts w:asciiTheme="minorEastAsia" w:eastAsiaTheme="minorEastAsia" w:hAnsiTheme="minorEastAsia"/>
          <w:sz w:val="24"/>
          <w:szCs w:val="24"/>
          <w:lang w:val="en-US"/>
        </w:rPr>
      </w:pPr>
      <w:bookmarkStart w:id="4" w:name="_Toc527727223"/>
      <w:r w:rsidRPr="00030017">
        <w:rPr>
          <w:rFonts w:asciiTheme="minorEastAsia" w:eastAsiaTheme="minorEastAsia" w:hAnsiTheme="minorEastAsia" w:hint="eastAsia"/>
          <w:sz w:val="24"/>
          <w:szCs w:val="24"/>
          <w:lang w:val="en-US"/>
        </w:rPr>
        <w:t>4、</w:t>
      </w:r>
      <w:r w:rsidRPr="00030017">
        <w:rPr>
          <w:rFonts w:asciiTheme="minorEastAsia" w:eastAsiaTheme="minorEastAsia" w:hAnsiTheme="minorEastAsia"/>
          <w:sz w:val="24"/>
          <w:szCs w:val="24"/>
          <w:lang w:val="en-US"/>
        </w:rPr>
        <w:t>审计报告</w:t>
      </w:r>
      <w:bookmarkEnd w:id="4"/>
    </w:p>
    <w:p w:rsidR="006F43ED" w:rsidRPr="006F43ED" w:rsidRDefault="006F43ED" w:rsidP="006F43ED">
      <w:pPr>
        <w:spacing w:line="360" w:lineRule="auto"/>
        <w:ind w:firstLineChars="200" w:firstLine="480"/>
        <w:jc w:val="right"/>
        <w:rPr>
          <w:rFonts w:ascii="宋体" w:hAnsi="宋体"/>
          <w:color w:val="000000"/>
          <w:szCs w:val="24"/>
        </w:rPr>
      </w:pPr>
      <w:r w:rsidRPr="006F43ED">
        <w:rPr>
          <w:rFonts w:ascii="宋体" w:hAnsi="宋体" w:hint="eastAsia"/>
          <w:color w:val="000000"/>
          <w:szCs w:val="24"/>
        </w:rPr>
        <w:t>安永华明（2019）专字第60873695_G01号</w:t>
      </w:r>
    </w:p>
    <w:p w:rsidR="00030017" w:rsidRDefault="006F43ED" w:rsidP="006F43ED">
      <w:pPr>
        <w:spacing w:line="360" w:lineRule="auto"/>
        <w:ind w:firstLineChars="200" w:firstLine="480"/>
        <w:jc w:val="right"/>
        <w:rPr>
          <w:rFonts w:ascii="宋体" w:hAnsi="宋体"/>
          <w:color w:val="000000"/>
          <w:szCs w:val="24"/>
        </w:rPr>
      </w:pPr>
      <w:r w:rsidRPr="006F43ED">
        <w:rPr>
          <w:rFonts w:ascii="宋体" w:hAnsi="宋体" w:hint="eastAsia"/>
          <w:color w:val="000000"/>
          <w:szCs w:val="24"/>
        </w:rPr>
        <w:t>广发中证全指主要消费交易型开放式指数证券投资基金</w:t>
      </w:r>
    </w:p>
    <w:p w:rsidR="006F43ED" w:rsidRDefault="006F43ED" w:rsidP="006F43ED">
      <w:pPr>
        <w:spacing w:line="360" w:lineRule="auto"/>
        <w:ind w:firstLineChars="200" w:firstLine="480"/>
        <w:jc w:val="both"/>
        <w:rPr>
          <w:rFonts w:ascii="宋体" w:hAnsi="宋体"/>
          <w:lang w:val="en-US"/>
        </w:rPr>
      </w:pPr>
    </w:p>
    <w:p w:rsidR="006F43ED" w:rsidRPr="006F43ED" w:rsidRDefault="006F43ED" w:rsidP="006F43ED">
      <w:pPr>
        <w:spacing w:line="360" w:lineRule="auto"/>
        <w:jc w:val="both"/>
        <w:rPr>
          <w:rFonts w:ascii="宋体" w:hAnsi="宋体"/>
          <w:lang w:val="en-US"/>
        </w:rPr>
      </w:pPr>
      <w:r w:rsidRPr="006F43ED">
        <w:rPr>
          <w:rFonts w:ascii="宋体" w:hAnsi="宋体" w:hint="eastAsia"/>
          <w:lang w:val="en-US"/>
        </w:rPr>
        <w:t>广发中证全指主要消费交易型开放式指数证券投资基金全体持有人：</w:t>
      </w:r>
    </w:p>
    <w:p w:rsidR="006F43ED" w:rsidRPr="006F43ED" w:rsidRDefault="006F43ED" w:rsidP="006F43ED">
      <w:pPr>
        <w:spacing w:line="360" w:lineRule="auto"/>
        <w:ind w:firstLine="420"/>
        <w:jc w:val="both"/>
        <w:rPr>
          <w:rFonts w:ascii="宋体" w:hAnsi="宋体"/>
          <w:lang w:val="en-US"/>
        </w:rPr>
      </w:pPr>
      <w:r w:rsidRPr="006F43ED">
        <w:rPr>
          <w:rFonts w:ascii="宋体" w:hAnsi="宋体" w:hint="eastAsia"/>
          <w:lang w:val="en-US"/>
        </w:rPr>
        <w:t>一、审计意见</w:t>
      </w:r>
    </w:p>
    <w:p w:rsidR="006F43ED" w:rsidRPr="006F43ED" w:rsidRDefault="006F43ED" w:rsidP="006F43ED">
      <w:pPr>
        <w:spacing w:line="360" w:lineRule="auto"/>
        <w:ind w:firstLine="420"/>
        <w:jc w:val="both"/>
        <w:rPr>
          <w:rFonts w:ascii="宋体" w:hAnsi="宋体"/>
          <w:lang w:val="en-US"/>
        </w:rPr>
      </w:pPr>
      <w:r w:rsidRPr="006F43ED">
        <w:rPr>
          <w:rFonts w:ascii="宋体" w:hAnsi="宋体" w:hint="eastAsia"/>
          <w:lang w:val="en-US"/>
        </w:rPr>
        <w:t>我们审计了广发中证全指主要消费交易型开放式指数证券投资基金的清算财务报表，包括最后运作日2018年12月24日的资产负债表和2018年12月25日至2019年1月15日止期间的清算损益表以及相关的财务报表附注。</w:t>
      </w:r>
    </w:p>
    <w:p w:rsidR="006F43ED" w:rsidRPr="006F43ED" w:rsidRDefault="006F43ED" w:rsidP="006F43ED">
      <w:pPr>
        <w:spacing w:line="360" w:lineRule="auto"/>
        <w:ind w:firstLine="420"/>
        <w:jc w:val="both"/>
        <w:rPr>
          <w:rFonts w:ascii="宋体" w:hAnsi="宋体"/>
          <w:lang w:val="en-US"/>
        </w:rPr>
      </w:pPr>
      <w:r w:rsidRPr="006F43ED">
        <w:rPr>
          <w:rFonts w:ascii="宋体" w:hAnsi="宋体" w:hint="eastAsia"/>
          <w:lang w:val="en-US"/>
        </w:rPr>
        <w:t>我们认为，后附的广发中证全指主要消费交易型开放式指数证券投资基金的清算财务报表在所有重大方面按照财务报表附注2所述编制基础编制。</w:t>
      </w:r>
    </w:p>
    <w:p w:rsidR="006F43ED" w:rsidRPr="006F43ED" w:rsidRDefault="006F43ED" w:rsidP="006F43ED">
      <w:pPr>
        <w:spacing w:line="360" w:lineRule="auto"/>
        <w:jc w:val="both"/>
        <w:rPr>
          <w:rFonts w:ascii="宋体" w:hAnsi="宋体"/>
          <w:lang w:val="en-US"/>
        </w:rPr>
      </w:pPr>
    </w:p>
    <w:p w:rsidR="006F43ED" w:rsidRPr="006F43ED" w:rsidRDefault="006F43ED" w:rsidP="006F43ED">
      <w:pPr>
        <w:spacing w:line="360" w:lineRule="auto"/>
        <w:ind w:firstLine="420"/>
        <w:jc w:val="both"/>
        <w:rPr>
          <w:rFonts w:ascii="宋体" w:hAnsi="宋体"/>
          <w:lang w:val="en-US"/>
        </w:rPr>
      </w:pPr>
      <w:r w:rsidRPr="006F43ED">
        <w:rPr>
          <w:rFonts w:ascii="宋体" w:hAnsi="宋体" w:hint="eastAsia"/>
          <w:lang w:val="en-US"/>
        </w:rPr>
        <w:t>二、形成审计意见的基础</w:t>
      </w:r>
    </w:p>
    <w:p w:rsidR="006F43ED" w:rsidRPr="006F43ED" w:rsidRDefault="006F43ED" w:rsidP="006F43ED">
      <w:pPr>
        <w:spacing w:line="360" w:lineRule="auto"/>
        <w:ind w:firstLine="420"/>
        <w:jc w:val="both"/>
        <w:rPr>
          <w:rFonts w:ascii="宋体" w:hAnsi="宋体"/>
          <w:lang w:val="en-US"/>
        </w:rPr>
      </w:pPr>
      <w:r w:rsidRPr="006F43ED">
        <w:rPr>
          <w:rFonts w:ascii="宋体" w:hAnsi="宋体" w:hint="eastAsia"/>
          <w:lang w:val="en-US"/>
        </w:rPr>
        <w:t>我们按照中国注册会计师审计准则的规定执行了审计工作。审计报告的“注册会计师对清算财务报表审计的责任”部分进一步阐述了我们在这些准则下的责任。按照中国注册会计师职业道德守则，我们独立于广发中证全指主要消费交易型开放式指数证券投资基金，并履行了职业道德方面的其他责任。我们相信，我们获取的审计证据是充分、适当的，为发表审计意见提供了基础。</w:t>
      </w:r>
    </w:p>
    <w:p w:rsidR="006F43ED" w:rsidRPr="006F43ED" w:rsidRDefault="006F43ED" w:rsidP="006F43ED">
      <w:pPr>
        <w:spacing w:line="360" w:lineRule="auto"/>
        <w:jc w:val="both"/>
        <w:rPr>
          <w:rFonts w:ascii="宋体" w:hAnsi="宋体"/>
          <w:lang w:val="en-US"/>
        </w:rPr>
      </w:pPr>
    </w:p>
    <w:p w:rsidR="006F43ED" w:rsidRPr="006F43ED" w:rsidRDefault="006F43ED" w:rsidP="006F43ED">
      <w:pPr>
        <w:spacing w:line="360" w:lineRule="auto"/>
        <w:ind w:firstLine="420"/>
        <w:jc w:val="both"/>
        <w:rPr>
          <w:rFonts w:ascii="宋体" w:hAnsi="宋体"/>
          <w:lang w:val="en-US"/>
        </w:rPr>
      </w:pPr>
      <w:r w:rsidRPr="006F43ED">
        <w:rPr>
          <w:rFonts w:ascii="宋体" w:hAnsi="宋体" w:hint="eastAsia"/>
          <w:lang w:val="en-US"/>
        </w:rPr>
        <w:t>三、强调事项——编制基础及对使用的限制</w:t>
      </w:r>
    </w:p>
    <w:p w:rsidR="006F43ED" w:rsidRPr="006F43ED" w:rsidRDefault="006F43ED" w:rsidP="006F43ED">
      <w:pPr>
        <w:spacing w:line="360" w:lineRule="auto"/>
        <w:ind w:firstLine="420"/>
        <w:jc w:val="both"/>
        <w:rPr>
          <w:rFonts w:ascii="宋体" w:hAnsi="宋体"/>
          <w:lang w:val="en-US"/>
        </w:rPr>
      </w:pPr>
      <w:r w:rsidRPr="006F43ED">
        <w:rPr>
          <w:rFonts w:ascii="宋体" w:hAnsi="宋体" w:hint="eastAsia"/>
          <w:lang w:val="en-US"/>
        </w:rPr>
        <w:t>我们提醒清算财务报表使用者关注财务报表附注2对编制基础的说明。广发中证全指主要消费交易型开放式指数证券投资基金编制清算财务报表是为了呈报广发中证全指主要消费交易型开放式指数证券投资基金全体持有人以及中国证券监督管理委员会使用。因此，清算财务报表可能不适于其他用途。本报告仅供广发中证全指主要消费交易型开放式指数证券投资基金全体持有人以及中国证券监督管理委员会使用，不应为除广发中证全指主要消费交易型开放式指数证券投资基金全体持有人以及中国证券监督管理委员会之外的其他机构或人员使用。本段内容不影响已发表的审计意见。</w:t>
      </w:r>
    </w:p>
    <w:p w:rsidR="006F43ED" w:rsidRPr="006F43ED" w:rsidRDefault="006F43ED" w:rsidP="006F43ED">
      <w:pPr>
        <w:spacing w:line="360" w:lineRule="auto"/>
        <w:jc w:val="both"/>
        <w:rPr>
          <w:rFonts w:ascii="宋体" w:hAnsi="宋体"/>
          <w:lang w:val="en-US"/>
        </w:rPr>
      </w:pPr>
    </w:p>
    <w:p w:rsidR="006F43ED" w:rsidRPr="006F43ED" w:rsidRDefault="006F43ED" w:rsidP="006F43ED">
      <w:pPr>
        <w:spacing w:line="360" w:lineRule="auto"/>
        <w:ind w:firstLine="420"/>
        <w:jc w:val="both"/>
        <w:rPr>
          <w:rFonts w:ascii="宋体" w:hAnsi="宋体"/>
          <w:lang w:val="en-US"/>
        </w:rPr>
      </w:pPr>
      <w:r w:rsidRPr="006F43ED">
        <w:rPr>
          <w:rFonts w:ascii="宋体" w:hAnsi="宋体" w:hint="eastAsia"/>
          <w:lang w:val="en-US"/>
        </w:rPr>
        <w:t>四、管理人对清算财务报表的责任</w:t>
      </w:r>
    </w:p>
    <w:p w:rsidR="006F43ED" w:rsidRPr="006F43ED" w:rsidRDefault="006F43ED" w:rsidP="006F43ED">
      <w:pPr>
        <w:spacing w:line="360" w:lineRule="auto"/>
        <w:ind w:firstLine="420"/>
        <w:jc w:val="both"/>
        <w:rPr>
          <w:rFonts w:ascii="宋体" w:hAnsi="宋体"/>
          <w:lang w:val="en-US"/>
        </w:rPr>
      </w:pPr>
      <w:r w:rsidRPr="006F43ED">
        <w:rPr>
          <w:rFonts w:ascii="宋体" w:hAnsi="宋体" w:hint="eastAsia"/>
          <w:lang w:val="en-US"/>
        </w:rPr>
        <w:t>广发中证全指主要消费交易型开放式指数证券投资基金的管理人广发基金管理有限公司负责按照财务报表附注2所述编制基础编制清算财务报表（包括确定该编制基础对于在具体情况下编制清算财务报表是可接受的），并设计、执行和维护必要的内部控制，以使清算财务报表不存在由于舞弊或错误导致的重大错报。</w:t>
      </w:r>
    </w:p>
    <w:p w:rsidR="006F43ED" w:rsidRPr="006F43ED" w:rsidRDefault="006F43ED" w:rsidP="006F43ED">
      <w:pPr>
        <w:spacing w:line="360" w:lineRule="auto"/>
        <w:jc w:val="both"/>
        <w:rPr>
          <w:rFonts w:ascii="宋体" w:hAnsi="宋体"/>
          <w:lang w:val="en-US"/>
        </w:rPr>
      </w:pPr>
    </w:p>
    <w:p w:rsidR="006F43ED" w:rsidRPr="006F43ED" w:rsidRDefault="006F43ED" w:rsidP="006F43ED">
      <w:pPr>
        <w:spacing w:line="360" w:lineRule="auto"/>
        <w:ind w:firstLine="420"/>
        <w:jc w:val="both"/>
        <w:rPr>
          <w:rFonts w:ascii="宋体" w:hAnsi="宋体"/>
          <w:lang w:val="en-US"/>
        </w:rPr>
      </w:pPr>
      <w:r w:rsidRPr="006F43ED">
        <w:rPr>
          <w:rFonts w:ascii="宋体" w:hAnsi="宋体" w:hint="eastAsia"/>
          <w:lang w:val="en-US"/>
        </w:rPr>
        <w:t>五、注册会计师对清算财务报表审计的责任</w:t>
      </w:r>
    </w:p>
    <w:p w:rsidR="006F43ED" w:rsidRPr="006F43ED" w:rsidRDefault="006F43ED" w:rsidP="006F43ED">
      <w:pPr>
        <w:spacing w:line="360" w:lineRule="auto"/>
        <w:ind w:firstLine="420"/>
        <w:jc w:val="both"/>
        <w:rPr>
          <w:rFonts w:ascii="宋体" w:hAnsi="宋体"/>
          <w:lang w:val="en-US"/>
        </w:rPr>
      </w:pPr>
      <w:r w:rsidRPr="006F43ED">
        <w:rPr>
          <w:rFonts w:ascii="宋体" w:hAnsi="宋体" w:hint="eastAsia"/>
          <w:lang w:val="en-US"/>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6F43ED" w:rsidRPr="006F43ED" w:rsidRDefault="006F43ED" w:rsidP="006F43ED">
      <w:pPr>
        <w:spacing w:line="360" w:lineRule="auto"/>
        <w:ind w:firstLine="420"/>
        <w:jc w:val="both"/>
        <w:rPr>
          <w:rFonts w:ascii="宋体" w:hAnsi="宋体"/>
          <w:lang w:val="en-US"/>
        </w:rPr>
      </w:pPr>
      <w:r w:rsidRPr="006F43ED">
        <w:rPr>
          <w:rFonts w:ascii="宋体" w:hAnsi="宋体" w:hint="eastAsia"/>
          <w:lang w:val="en-US"/>
        </w:rPr>
        <w:t>在按照审计准则执行审计工作的过程中，我们运用职业判断，并保持职业怀疑。同时，我们也执行以下工作：</w:t>
      </w:r>
    </w:p>
    <w:p w:rsidR="006F43ED" w:rsidRPr="006F43ED" w:rsidRDefault="006F43ED" w:rsidP="006F43ED">
      <w:pPr>
        <w:spacing w:line="360" w:lineRule="auto"/>
        <w:jc w:val="both"/>
        <w:rPr>
          <w:rFonts w:ascii="宋体" w:hAnsi="宋体"/>
          <w:lang w:val="en-US"/>
        </w:rPr>
      </w:pPr>
      <w:r w:rsidRPr="006F43ED">
        <w:rPr>
          <w:rFonts w:ascii="宋体" w:hAnsi="宋体" w:hint="eastAsia"/>
          <w:lang w:val="en-US"/>
        </w:rPr>
        <w:t>（1）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6F43ED" w:rsidRPr="006F43ED" w:rsidRDefault="006F43ED" w:rsidP="006F43ED">
      <w:pPr>
        <w:spacing w:line="360" w:lineRule="auto"/>
        <w:jc w:val="both"/>
        <w:rPr>
          <w:rFonts w:ascii="宋体" w:hAnsi="宋体"/>
          <w:lang w:val="en-US"/>
        </w:rPr>
      </w:pPr>
      <w:r w:rsidRPr="006F43ED">
        <w:rPr>
          <w:rFonts w:ascii="宋体" w:hAnsi="宋体" w:hint="eastAsia"/>
          <w:lang w:val="en-US"/>
        </w:rPr>
        <w:t>（2）了解与审计相关的内部控制，以设计恰当的审计程序，但目的并非对内部控制的有效性发表意见。</w:t>
      </w:r>
    </w:p>
    <w:p w:rsidR="00030017" w:rsidRDefault="006F43ED" w:rsidP="006F43ED">
      <w:pPr>
        <w:spacing w:line="360" w:lineRule="auto"/>
        <w:jc w:val="both"/>
        <w:rPr>
          <w:rFonts w:ascii="宋体" w:hAnsi="宋体"/>
          <w:lang w:val="en-US"/>
        </w:rPr>
      </w:pPr>
      <w:r w:rsidRPr="006F43ED">
        <w:rPr>
          <w:rFonts w:ascii="宋体" w:hAnsi="宋体" w:hint="eastAsia"/>
          <w:lang w:val="en-US"/>
        </w:rPr>
        <w:t>（3）评价管理人选用会计政策的恰当性和作出会计估计及相关披露的合理性。</w:t>
      </w:r>
    </w:p>
    <w:p w:rsidR="006F43ED" w:rsidRDefault="006F43ED" w:rsidP="006F43ED">
      <w:pPr>
        <w:spacing w:line="360" w:lineRule="auto"/>
        <w:jc w:val="both"/>
        <w:rPr>
          <w:rFonts w:ascii="宋体" w:hAnsi="宋体"/>
          <w:lang w:val="en-US"/>
        </w:rPr>
      </w:pPr>
    </w:p>
    <w:p w:rsidR="006F43ED" w:rsidRDefault="006F43ED" w:rsidP="006F43ED">
      <w:pPr>
        <w:spacing w:line="360" w:lineRule="auto"/>
        <w:jc w:val="both"/>
        <w:rPr>
          <w:rFonts w:ascii="宋体" w:hAnsi="宋体"/>
          <w:lang w:val="en-US"/>
        </w:rPr>
      </w:pPr>
    </w:p>
    <w:p w:rsidR="006F43ED" w:rsidRDefault="006F43ED" w:rsidP="006F43ED">
      <w:pPr>
        <w:spacing w:line="360" w:lineRule="auto"/>
        <w:jc w:val="both"/>
        <w:rPr>
          <w:rFonts w:ascii="宋体" w:hAnsi="宋体"/>
          <w:lang w:val="en-US"/>
        </w:rPr>
      </w:pPr>
    </w:p>
    <w:p w:rsidR="006F43ED" w:rsidRPr="006F43ED" w:rsidRDefault="006F43ED" w:rsidP="006F43ED">
      <w:pPr>
        <w:spacing w:line="360" w:lineRule="auto"/>
        <w:jc w:val="both"/>
        <w:rPr>
          <w:rFonts w:ascii="宋体" w:hAnsi="宋体"/>
          <w:szCs w:val="24"/>
          <w:lang w:val="en-US"/>
        </w:rPr>
      </w:pPr>
    </w:p>
    <w:p w:rsidR="006F43ED" w:rsidRPr="006F43ED" w:rsidRDefault="006F43ED" w:rsidP="006F43ED">
      <w:pPr>
        <w:widowControl w:val="0"/>
        <w:tabs>
          <w:tab w:val="left" w:pos="6379"/>
          <w:tab w:val="left" w:pos="7230"/>
          <w:tab w:val="right" w:pos="9070"/>
        </w:tabs>
        <w:overflowPunct w:val="0"/>
        <w:autoSpaceDE w:val="0"/>
        <w:autoSpaceDN w:val="0"/>
        <w:snapToGrid w:val="0"/>
        <w:jc w:val="both"/>
        <w:rPr>
          <w:rFonts w:ascii="宋体" w:hAnsi="宋体" w:cs="Arial"/>
          <w:kern w:val="2"/>
          <w:szCs w:val="24"/>
          <w:lang w:val="en-US"/>
        </w:rPr>
      </w:pPr>
      <w:bookmarkStart w:id="5" w:name="_Toc527727224"/>
      <w:r w:rsidRPr="006F43ED">
        <w:rPr>
          <w:rFonts w:ascii="宋体" w:hAnsi="宋体" w:cs="Arial"/>
          <w:kern w:val="2"/>
          <w:szCs w:val="24"/>
          <w:lang w:val="en-US"/>
        </w:rPr>
        <w:t>安永华明会计师事务所（特殊普通合伙）中国注册会计师</w:t>
      </w:r>
      <w:r w:rsidRPr="006F43ED">
        <w:rPr>
          <w:rFonts w:ascii="宋体" w:hAnsi="宋体" w:cs="Arial" w:hint="eastAsia"/>
          <w:kern w:val="2"/>
          <w:szCs w:val="24"/>
          <w:lang w:val="en-US"/>
        </w:rPr>
        <w:t>赵雅</w:t>
      </w:r>
    </w:p>
    <w:p w:rsidR="006F43ED" w:rsidRPr="006F43ED" w:rsidRDefault="006F43ED" w:rsidP="006F43ED">
      <w:pPr>
        <w:widowControl w:val="0"/>
        <w:overflowPunct w:val="0"/>
        <w:autoSpaceDE w:val="0"/>
        <w:autoSpaceDN w:val="0"/>
        <w:snapToGrid w:val="0"/>
        <w:jc w:val="both"/>
        <w:rPr>
          <w:rFonts w:ascii="宋体" w:hAnsi="宋体" w:cs="Arial"/>
          <w:kern w:val="2"/>
          <w:szCs w:val="24"/>
          <w:lang w:val="en-US"/>
        </w:rPr>
      </w:pPr>
    </w:p>
    <w:p w:rsidR="006F43ED" w:rsidRPr="006F43ED" w:rsidRDefault="006F43ED" w:rsidP="006F43ED">
      <w:pPr>
        <w:widowControl w:val="0"/>
        <w:overflowPunct w:val="0"/>
        <w:autoSpaceDE w:val="0"/>
        <w:autoSpaceDN w:val="0"/>
        <w:snapToGrid w:val="0"/>
        <w:jc w:val="both"/>
        <w:rPr>
          <w:rFonts w:ascii="宋体" w:hAnsi="宋体" w:cs="Arial"/>
          <w:kern w:val="2"/>
          <w:szCs w:val="24"/>
          <w:lang w:val="en-US"/>
        </w:rPr>
      </w:pPr>
    </w:p>
    <w:p w:rsidR="006F43ED" w:rsidRPr="006F43ED" w:rsidRDefault="006F43ED" w:rsidP="006F43ED">
      <w:pPr>
        <w:widowControl w:val="0"/>
        <w:overflowPunct w:val="0"/>
        <w:autoSpaceDE w:val="0"/>
        <w:autoSpaceDN w:val="0"/>
        <w:snapToGrid w:val="0"/>
        <w:jc w:val="both"/>
        <w:rPr>
          <w:rFonts w:ascii="宋体" w:hAnsi="宋体" w:cs="Arial"/>
          <w:kern w:val="2"/>
          <w:szCs w:val="24"/>
          <w:lang w:val="en-US"/>
        </w:rPr>
      </w:pPr>
    </w:p>
    <w:p w:rsidR="006F43ED" w:rsidRPr="006F43ED" w:rsidRDefault="006F43ED" w:rsidP="006F43ED">
      <w:pPr>
        <w:widowControl w:val="0"/>
        <w:overflowPunct w:val="0"/>
        <w:autoSpaceDE w:val="0"/>
        <w:autoSpaceDN w:val="0"/>
        <w:snapToGrid w:val="0"/>
        <w:jc w:val="both"/>
        <w:rPr>
          <w:rFonts w:ascii="宋体" w:hAnsi="宋体" w:cs="Arial"/>
          <w:kern w:val="2"/>
          <w:szCs w:val="24"/>
          <w:lang w:val="en-US"/>
        </w:rPr>
      </w:pPr>
    </w:p>
    <w:p w:rsidR="006F43ED" w:rsidRPr="006F43ED" w:rsidRDefault="006F43ED" w:rsidP="006F43ED">
      <w:pPr>
        <w:widowControl w:val="0"/>
        <w:overflowPunct w:val="0"/>
        <w:autoSpaceDE w:val="0"/>
        <w:autoSpaceDN w:val="0"/>
        <w:snapToGrid w:val="0"/>
        <w:jc w:val="both"/>
        <w:rPr>
          <w:rFonts w:ascii="宋体" w:hAnsi="宋体" w:cs="Arial"/>
          <w:kern w:val="2"/>
          <w:szCs w:val="24"/>
          <w:lang w:val="en-US"/>
        </w:rPr>
      </w:pPr>
    </w:p>
    <w:p w:rsidR="006F43ED" w:rsidRPr="006F43ED" w:rsidRDefault="006F43ED" w:rsidP="006F43ED">
      <w:pPr>
        <w:widowControl w:val="0"/>
        <w:overflowPunct w:val="0"/>
        <w:autoSpaceDE w:val="0"/>
        <w:autoSpaceDN w:val="0"/>
        <w:snapToGrid w:val="0"/>
        <w:jc w:val="both"/>
        <w:rPr>
          <w:rFonts w:ascii="宋体" w:hAnsi="宋体" w:cs="Arial"/>
          <w:kern w:val="2"/>
          <w:szCs w:val="24"/>
          <w:lang w:val="en-US"/>
        </w:rPr>
      </w:pPr>
    </w:p>
    <w:p w:rsidR="006F43ED" w:rsidRPr="006F43ED" w:rsidRDefault="006F43ED" w:rsidP="006F43ED">
      <w:pPr>
        <w:widowControl w:val="0"/>
        <w:overflowPunct w:val="0"/>
        <w:autoSpaceDE w:val="0"/>
        <w:autoSpaceDN w:val="0"/>
        <w:snapToGrid w:val="0"/>
        <w:jc w:val="both"/>
        <w:rPr>
          <w:rFonts w:ascii="宋体" w:hAnsi="宋体" w:cs="Arial"/>
          <w:kern w:val="2"/>
          <w:szCs w:val="24"/>
          <w:lang w:val="en-US"/>
        </w:rPr>
      </w:pPr>
    </w:p>
    <w:p w:rsidR="006F43ED" w:rsidRPr="006F43ED" w:rsidRDefault="006F43ED" w:rsidP="006F43ED">
      <w:pPr>
        <w:widowControl w:val="0"/>
        <w:overflowPunct w:val="0"/>
        <w:autoSpaceDE w:val="0"/>
        <w:autoSpaceDN w:val="0"/>
        <w:snapToGrid w:val="0"/>
        <w:jc w:val="both"/>
        <w:rPr>
          <w:rFonts w:ascii="宋体" w:hAnsi="宋体" w:cs="Arial"/>
          <w:kern w:val="2"/>
          <w:szCs w:val="24"/>
          <w:lang w:val="en-US"/>
        </w:rPr>
      </w:pPr>
    </w:p>
    <w:p w:rsidR="006F43ED" w:rsidRPr="006F43ED" w:rsidRDefault="006F43ED" w:rsidP="006F43ED">
      <w:pPr>
        <w:widowControl w:val="0"/>
        <w:overflowPunct w:val="0"/>
        <w:autoSpaceDE w:val="0"/>
        <w:autoSpaceDN w:val="0"/>
        <w:snapToGrid w:val="0"/>
        <w:jc w:val="both"/>
        <w:rPr>
          <w:rFonts w:ascii="宋体" w:hAnsi="宋体" w:cs="Arial"/>
          <w:kern w:val="2"/>
          <w:szCs w:val="24"/>
          <w:lang w:val="en-US"/>
        </w:rPr>
      </w:pPr>
    </w:p>
    <w:p w:rsidR="006F43ED" w:rsidRPr="006F43ED" w:rsidRDefault="006F43ED" w:rsidP="006F43ED">
      <w:pPr>
        <w:widowControl w:val="0"/>
        <w:tabs>
          <w:tab w:val="left" w:pos="1554"/>
          <w:tab w:val="left" w:pos="1701"/>
          <w:tab w:val="left" w:pos="4962"/>
          <w:tab w:val="left" w:pos="6379"/>
          <w:tab w:val="left" w:pos="7230"/>
          <w:tab w:val="left" w:pos="8364"/>
          <w:tab w:val="right" w:pos="9070"/>
        </w:tabs>
        <w:overflowPunct w:val="0"/>
        <w:autoSpaceDE w:val="0"/>
        <w:autoSpaceDN w:val="0"/>
        <w:snapToGrid w:val="0"/>
        <w:ind w:leftChars="133" w:left="319" w:firstLineChars="400" w:firstLine="960"/>
        <w:jc w:val="center"/>
        <w:rPr>
          <w:rFonts w:ascii="宋体" w:hAnsi="宋体" w:cs="Arial"/>
          <w:kern w:val="2"/>
          <w:szCs w:val="24"/>
          <w:lang w:val="en-US"/>
        </w:rPr>
      </w:pPr>
      <w:r>
        <w:rPr>
          <w:rFonts w:ascii="宋体" w:hAnsi="宋体" w:cs="Arial"/>
          <w:kern w:val="2"/>
          <w:szCs w:val="24"/>
          <w:lang w:val="en-US"/>
        </w:rPr>
        <w:tab/>
      </w:r>
      <w:r w:rsidRPr="006F43ED">
        <w:rPr>
          <w:rFonts w:ascii="宋体" w:hAnsi="宋体" w:cs="Arial"/>
          <w:kern w:val="2"/>
          <w:szCs w:val="24"/>
          <w:lang w:val="en-US"/>
        </w:rPr>
        <w:t>中国注册会计师</w:t>
      </w:r>
      <w:r w:rsidRPr="006F43ED">
        <w:rPr>
          <w:rFonts w:ascii="宋体" w:hAnsi="宋体" w:cs="Arial"/>
          <w:kern w:val="2"/>
          <w:szCs w:val="24"/>
          <w:lang w:val="en-US"/>
        </w:rPr>
        <w:tab/>
      </w:r>
      <w:r w:rsidRPr="006F43ED">
        <w:rPr>
          <w:rFonts w:ascii="宋体" w:hAnsi="宋体" w:cs="Arial" w:hint="eastAsia"/>
          <w:kern w:val="2"/>
          <w:szCs w:val="24"/>
          <w:lang w:val="en-US"/>
        </w:rPr>
        <w:t>李明明</w:t>
      </w:r>
    </w:p>
    <w:p w:rsidR="006F43ED" w:rsidRPr="006F43ED" w:rsidRDefault="006F43ED" w:rsidP="006F43ED">
      <w:pPr>
        <w:widowControl w:val="0"/>
        <w:tabs>
          <w:tab w:val="left" w:pos="6521"/>
          <w:tab w:val="right" w:pos="9070"/>
        </w:tabs>
        <w:overflowPunct w:val="0"/>
        <w:autoSpaceDE w:val="0"/>
        <w:autoSpaceDN w:val="0"/>
        <w:snapToGrid w:val="0"/>
        <w:ind w:right="-2"/>
        <w:rPr>
          <w:rFonts w:ascii="宋体" w:hAnsi="宋体" w:cs="Arial"/>
          <w:kern w:val="2"/>
          <w:szCs w:val="24"/>
          <w:lang w:val="en-US"/>
        </w:rPr>
      </w:pPr>
    </w:p>
    <w:p w:rsidR="006F43ED" w:rsidRPr="006F43ED" w:rsidRDefault="006F43ED" w:rsidP="006F43ED">
      <w:pPr>
        <w:widowControl w:val="0"/>
        <w:tabs>
          <w:tab w:val="left" w:pos="6521"/>
          <w:tab w:val="right" w:pos="9070"/>
        </w:tabs>
        <w:overflowPunct w:val="0"/>
        <w:autoSpaceDE w:val="0"/>
        <w:autoSpaceDN w:val="0"/>
        <w:snapToGrid w:val="0"/>
        <w:ind w:right="-2"/>
        <w:rPr>
          <w:rFonts w:ascii="宋体" w:hAnsi="宋体" w:cs="Arial"/>
          <w:kern w:val="2"/>
          <w:szCs w:val="24"/>
          <w:lang w:val="en-US"/>
        </w:rPr>
      </w:pPr>
    </w:p>
    <w:p w:rsidR="006F43ED" w:rsidRPr="006F43ED" w:rsidRDefault="006F43ED" w:rsidP="006F43ED">
      <w:pPr>
        <w:widowControl w:val="0"/>
        <w:tabs>
          <w:tab w:val="left" w:pos="1276"/>
          <w:tab w:val="left" w:pos="6946"/>
          <w:tab w:val="left" w:pos="7088"/>
          <w:tab w:val="right" w:pos="9070"/>
        </w:tabs>
        <w:overflowPunct w:val="0"/>
        <w:autoSpaceDE w:val="0"/>
        <w:autoSpaceDN w:val="0"/>
        <w:snapToGrid w:val="0"/>
        <w:ind w:right="-2"/>
        <w:rPr>
          <w:rFonts w:ascii="宋体" w:hAnsi="宋体" w:cs="Arial"/>
          <w:kern w:val="2"/>
          <w:szCs w:val="24"/>
          <w:lang w:val="en-US"/>
        </w:rPr>
      </w:pPr>
      <w:r w:rsidRPr="006F43ED">
        <w:rPr>
          <w:rFonts w:ascii="宋体" w:hAnsi="宋体" w:cs="Arial"/>
          <w:kern w:val="2"/>
          <w:szCs w:val="24"/>
          <w:lang w:val="en-US"/>
        </w:rPr>
        <w:tab/>
        <w:t>中国 北京</w:t>
      </w:r>
      <w:r w:rsidRPr="006F43ED">
        <w:rPr>
          <w:rFonts w:ascii="宋体" w:hAnsi="宋体" w:cs="Arial"/>
          <w:kern w:val="2"/>
          <w:szCs w:val="24"/>
          <w:lang w:val="en-US"/>
        </w:rPr>
        <w:tab/>
      </w:r>
      <w:r w:rsidRPr="006F43ED">
        <w:rPr>
          <w:rFonts w:ascii="宋体" w:hAnsi="宋体" w:cs="Arial"/>
          <w:kern w:val="2"/>
          <w:szCs w:val="24"/>
          <w:lang w:val="en-US"/>
        </w:rPr>
        <w:tab/>
        <w:t>2019年2月</w:t>
      </w:r>
      <w:r w:rsidRPr="006F43ED">
        <w:rPr>
          <w:rFonts w:ascii="宋体" w:hAnsi="宋体" w:cs="Arial" w:hint="eastAsia"/>
          <w:kern w:val="2"/>
          <w:szCs w:val="24"/>
          <w:lang w:val="en-US"/>
        </w:rPr>
        <w:t>1</w:t>
      </w:r>
      <w:r w:rsidRPr="006F43ED">
        <w:rPr>
          <w:rFonts w:ascii="宋体" w:hAnsi="宋体" w:cs="Arial"/>
          <w:kern w:val="2"/>
          <w:szCs w:val="24"/>
          <w:lang w:val="en-US"/>
        </w:rPr>
        <w:t>日</w:t>
      </w:r>
    </w:p>
    <w:p w:rsidR="006F43ED" w:rsidRPr="006F43ED" w:rsidRDefault="006F43ED" w:rsidP="006F43ED">
      <w:pPr>
        <w:overflowPunct w:val="0"/>
        <w:autoSpaceDE w:val="0"/>
        <w:autoSpaceDN w:val="0"/>
        <w:snapToGrid w:val="0"/>
        <w:rPr>
          <w:rFonts w:ascii="黑体" w:eastAsia="黑体" w:hAnsi="黑体" w:cs="Arial"/>
          <w:szCs w:val="24"/>
          <w:lang w:val="en-US"/>
        </w:rPr>
        <w:sectPr w:rsidR="006F43ED" w:rsidRPr="006F43ED">
          <w:footerReference w:type="default" r:id="rId8"/>
          <w:pgSz w:w="11906" w:h="16838"/>
          <w:pgMar w:top="1247" w:right="1418" w:bottom="1247" w:left="1418" w:header="1134" w:footer="851" w:gutter="0"/>
          <w:pgNumType w:start="1"/>
          <w:cols w:space="720"/>
          <w:docGrid w:linePitch="360"/>
        </w:sectPr>
      </w:pPr>
    </w:p>
    <w:p w:rsidR="00030017" w:rsidRDefault="00030017" w:rsidP="005E43A5">
      <w:pPr>
        <w:pStyle w:val="2"/>
        <w:spacing w:line="360" w:lineRule="auto"/>
        <w:jc w:val="center"/>
        <w:rPr>
          <w:rFonts w:asciiTheme="minorEastAsia" w:eastAsiaTheme="minorEastAsia" w:hAnsiTheme="minorEastAsia"/>
          <w:sz w:val="24"/>
          <w:szCs w:val="24"/>
        </w:rPr>
      </w:pPr>
      <w:r w:rsidRPr="00030017">
        <w:rPr>
          <w:rFonts w:asciiTheme="minorEastAsia" w:eastAsiaTheme="minorEastAsia" w:hAnsiTheme="minorEastAsia" w:hint="eastAsia"/>
          <w:sz w:val="24"/>
          <w:szCs w:val="24"/>
        </w:rPr>
        <w:t>5、资产负债表</w:t>
      </w:r>
      <w:bookmarkEnd w:id="5"/>
    </w:p>
    <w:p w:rsidR="00030017" w:rsidRPr="0060501A" w:rsidRDefault="00030017" w:rsidP="005E43A5">
      <w:pPr>
        <w:spacing w:line="360" w:lineRule="auto"/>
        <w:rPr>
          <w:rFonts w:ascii="宋体" w:hAnsi="宋体"/>
          <w:b/>
          <w:szCs w:val="24"/>
          <w:lang w:val="en-US"/>
        </w:rPr>
      </w:pPr>
      <w:r>
        <w:rPr>
          <w:rFonts w:ascii="宋体" w:hAnsi="宋体" w:hint="eastAsia"/>
          <w:b/>
          <w:szCs w:val="24"/>
          <w:lang w:val="en-US"/>
        </w:rPr>
        <w:t>5.1</w:t>
      </w:r>
      <w:r w:rsidRPr="0060501A">
        <w:rPr>
          <w:rFonts w:ascii="宋体" w:hAnsi="宋体"/>
          <w:b/>
          <w:szCs w:val="24"/>
          <w:lang w:val="en-US"/>
        </w:rPr>
        <w:t>清算资产负债表</w:t>
      </w:r>
    </w:p>
    <w:p w:rsidR="00030017" w:rsidRPr="005906E7" w:rsidRDefault="00030017" w:rsidP="005E43A5">
      <w:pPr>
        <w:spacing w:line="360" w:lineRule="auto"/>
        <w:jc w:val="right"/>
        <w:rPr>
          <w:rFonts w:ascii="宋体" w:hAnsi="宋体"/>
          <w:szCs w:val="24"/>
        </w:rPr>
      </w:pPr>
      <w:r w:rsidRPr="005906E7">
        <w:rPr>
          <w:rFonts w:ascii="宋体" w:hAnsi="宋体"/>
          <w:szCs w:val="24"/>
        </w:rPr>
        <w:t>单位：人民币元</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3327"/>
        <w:gridCol w:w="3178"/>
      </w:tblGrid>
      <w:tr w:rsidR="00380686" w:rsidRPr="00DE111B" w:rsidTr="00380686">
        <w:trPr>
          <w:jc w:val="center"/>
        </w:trPr>
        <w:tc>
          <w:tcPr>
            <w:tcW w:w="2694" w:type="dxa"/>
            <w:tcBorders>
              <w:top w:val="single" w:sz="4" w:space="0" w:color="auto"/>
            </w:tcBorders>
            <w:vAlign w:val="center"/>
          </w:tcPr>
          <w:p w:rsidR="00380686" w:rsidRPr="00DE111B" w:rsidRDefault="00380686" w:rsidP="00380686">
            <w:pPr>
              <w:pStyle w:val="aa"/>
              <w:spacing w:before="0" w:beforeAutospacing="0" w:after="0" w:afterAutospacing="0" w:line="276" w:lineRule="auto"/>
              <w:rPr>
                <w:rFonts w:asciiTheme="minorEastAsia" w:eastAsiaTheme="minorEastAsia" w:hAnsiTheme="minorEastAsia"/>
                <w:b/>
              </w:rPr>
            </w:pPr>
            <w:bookmarkStart w:id="6" w:name="资产"/>
          </w:p>
        </w:tc>
        <w:tc>
          <w:tcPr>
            <w:tcW w:w="3327" w:type="dxa"/>
            <w:tcBorders>
              <w:top w:val="single" w:sz="4" w:space="0" w:color="auto"/>
            </w:tcBorders>
            <w:vAlign w:val="center"/>
          </w:tcPr>
          <w:p w:rsidR="00380686" w:rsidRPr="00DE111B" w:rsidRDefault="00380686" w:rsidP="00380686">
            <w:pPr>
              <w:pStyle w:val="aa"/>
              <w:spacing w:before="0" w:beforeAutospacing="0" w:after="0" w:afterAutospacing="0" w:line="276" w:lineRule="auto"/>
              <w:jc w:val="right"/>
              <w:rPr>
                <w:rFonts w:asciiTheme="minorEastAsia" w:eastAsiaTheme="minorEastAsia" w:hAnsiTheme="minorEastAsia"/>
                <w:b/>
              </w:rPr>
            </w:pPr>
            <w:r w:rsidRPr="00DE111B">
              <w:rPr>
                <w:rFonts w:asciiTheme="minorEastAsia" w:eastAsiaTheme="minorEastAsia" w:hAnsiTheme="minorEastAsia" w:hint="eastAsia"/>
                <w:b/>
              </w:rPr>
              <w:t>清算结束日</w:t>
            </w:r>
          </w:p>
          <w:p w:rsidR="00380686" w:rsidRPr="00DE111B" w:rsidRDefault="00380686" w:rsidP="00380686">
            <w:pPr>
              <w:pStyle w:val="aa"/>
              <w:spacing w:before="0" w:beforeAutospacing="0" w:after="0" w:afterAutospacing="0" w:line="276" w:lineRule="auto"/>
              <w:jc w:val="right"/>
              <w:rPr>
                <w:rFonts w:asciiTheme="minorEastAsia" w:eastAsiaTheme="minorEastAsia" w:hAnsiTheme="minorEastAsia"/>
                <w:b/>
                <w:highlight w:val="yellow"/>
              </w:rPr>
            </w:pPr>
            <w:r w:rsidRPr="00DE111B">
              <w:rPr>
                <w:rFonts w:asciiTheme="minorEastAsia" w:eastAsiaTheme="minorEastAsia" w:hAnsiTheme="minorEastAsia"/>
                <w:b/>
              </w:rPr>
              <w:t>2019</w:t>
            </w:r>
            <w:r w:rsidRPr="00DE111B">
              <w:rPr>
                <w:rFonts w:asciiTheme="minorEastAsia" w:eastAsiaTheme="minorEastAsia" w:hAnsiTheme="minorEastAsia" w:hint="eastAsia"/>
                <w:b/>
              </w:rPr>
              <w:t>年1月15日</w:t>
            </w:r>
          </w:p>
        </w:tc>
        <w:tc>
          <w:tcPr>
            <w:tcW w:w="3178" w:type="dxa"/>
            <w:tcBorders>
              <w:top w:val="single" w:sz="4" w:space="0" w:color="auto"/>
            </w:tcBorders>
          </w:tcPr>
          <w:p w:rsidR="00380686" w:rsidRPr="00DE111B" w:rsidRDefault="00380686" w:rsidP="00380686">
            <w:pPr>
              <w:pStyle w:val="aa"/>
              <w:spacing w:before="0" w:beforeAutospacing="0" w:after="0" w:afterAutospacing="0" w:line="276" w:lineRule="auto"/>
              <w:jc w:val="right"/>
              <w:rPr>
                <w:rFonts w:asciiTheme="minorEastAsia" w:eastAsiaTheme="minorEastAsia" w:hAnsiTheme="minorEastAsia"/>
                <w:b/>
              </w:rPr>
            </w:pPr>
            <w:r w:rsidRPr="00DE111B">
              <w:rPr>
                <w:rFonts w:asciiTheme="minorEastAsia" w:eastAsiaTheme="minorEastAsia" w:hAnsiTheme="minorEastAsia" w:hint="eastAsia"/>
                <w:b/>
              </w:rPr>
              <w:t>最后运作</w:t>
            </w:r>
            <w:r w:rsidRPr="00DE111B">
              <w:rPr>
                <w:rFonts w:asciiTheme="minorEastAsia" w:eastAsiaTheme="minorEastAsia" w:hAnsiTheme="minorEastAsia"/>
                <w:b/>
              </w:rPr>
              <w:t>日</w:t>
            </w:r>
          </w:p>
          <w:p w:rsidR="00380686" w:rsidRPr="00DE111B" w:rsidRDefault="00380686" w:rsidP="00380686">
            <w:pPr>
              <w:pStyle w:val="aa"/>
              <w:spacing w:before="0" w:beforeAutospacing="0" w:after="0" w:afterAutospacing="0" w:line="276" w:lineRule="auto"/>
              <w:jc w:val="right"/>
              <w:rPr>
                <w:rFonts w:asciiTheme="minorEastAsia" w:eastAsiaTheme="minorEastAsia" w:hAnsiTheme="minorEastAsia"/>
                <w:b/>
              </w:rPr>
            </w:pPr>
            <w:r w:rsidRPr="00DE111B">
              <w:rPr>
                <w:rFonts w:asciiTheme="minorEastAsia" w:eastAsiaTheme="minorEastAsia" w:hAnsiTheme="minorEastAsia"/>
                <w:b/>
              </w:rPr>
              <w:t>2018</w:t>
            </w:r>
            <w:r w:rsidRPr="00DE111B">
              <w:rPr>
                <w:rFonts w:asciiTheme="minorEastAsia" w:eastAsiaTheme="minorEastAsia" w:hAnsiTheme="minorEastAsia" w:hint="eastAsia"/>
                <w:b/>
              </w:rPr>
              <w:t>年12月</w:t>
            </w:r>
            <w:r w:rsidRPr="00DE111B">
              <w:rPr>
                <w:rFonts w:asciiTheme="minorEastAsia" w:eastAsiaTheme="minorEastAsia" w:hAnsiTheme="minorEastAsia"/>
                <w:b/>
              </w:rPr>
              <w:t>24</w:t>
            </w:r>
            <w:r w:rsidRPr="00DE111B">
              <w:rPr>
                <w:rFonts w:asciiTheme="minorEastAsia" w:eastAsiaTheme="minorEastAsia" w:hAnsiTheme="minorEastAsia" w:hint="eastAsia"/>
                <w:b/>
              </w:rPr>
              <w:t>日</w:t>
            </w:r>
          </w:p>
        </w:tc>
      </w:tr>
      <w:tr w:rsidR="00380686" w:rsidRPr="00DE111B" w:rsidTr="00380686">
        <w:trPr>
          <w:jc w:val="center"/>
        </w:trPr>
        <w:tc>
          <w:tcPr>
            <w:tcW w:w="2694" w:type="dxa"/>
            <w:vAlign w:val="center"/>
          </w:tcPr>
          <w:p w:rsidR="00380686" w:rsidRPr="00DE111B" w:rsidRDefault="00380686" w:rsidP="00380686">
            <w:pPr>
              <w:pStyle w:val="aa"/>
              <w:spacing w:line="276" w:lineRule="auto"/>
              <w:jc w:val="both"/>
              <w:rPr>
                <w:rFonts w:asciiTheme="minorEastAsia" w:eastAsiaTheme="minorEastAsia" w:hAnsiTheme="minorEastAsia"/>
                <w:b/>
              </w:rPr>
            </w:pPr>
            <w:r w:rsidRPr="00DE111B">
              <w:rPr>
                <w:rFonts w:asciiTheme="minorEastAsia" w:eastAsiaTheme="minorEastAsia" w:hAnsiTheme="minorEastAsia" w:hint="eastAsia"/>
                <w:b/>
              </w:rPr>
              <w:t>资 产：</w:t>
            </w:r>
          </w:p>
        </w:tc>
        <w:tc>
          <w:tcPr>
            <w:tcW w:w="3327" w:type="dxa"/>
            <w:vAlign w:val="bottom"/>
          </w:tcPr>
          <w:p w:rsidR="00380686" w:rsidRPr="00DE111B" w:rsidRDefault="00380686" w:rsidP="00380686">
            <w:pPr>
              <w:pStyle w:val="aa"/>
              <w:spacing w:line="276" w:lineRule="auto"/>
              <w:jc w:val="right"/>
              <w:rPr>
                <w:rFonts w:asciiTheme="minorEastAsia" w:eastAsiaTheme="minorEastAsia" w:hAnsiTheme="minorEastAsia"/>
                <w:highlight w:val="yellow"/>
              </w:rPr>
            </w:pPr>
          </w:p>
        </w:tc>
        <w:tc>
          <w:tcPr>
            <w:tcW w:w="3178" w:type="dxa"/>
          </w:tcPr>
          <w:p w:rsidR="00380686" w:rsidRPr="00DE111B" w:rsidRDefault="00380686" w:rsidP="00380686">
            <w:pPr>
              <w:pStyle w:val="aa"/>
              <w:spacing w:line="276" w:lineRule="auto"/>
              <w:jc w:val="right"/>
              <w:rPr>
                <w:rFonts w:asciiTheme="minorEastAsia" w:eastAsiaTheme="minorEastAsia" w:hAnsiTheme="minorEastAsia"/>
              </w:rPr>
            </w:pPr>
          </w:p>
        </w:tc>
      </w:tr>
      <w:tr w:rsidR="00380686" w:rsidRPr="00DE111B" w:rsidTr="00380686">
        <w:trPr>
          <w:jc w:val="center"/>
        </w:trPr>
        <w:tc>
          <w:tcPr>
            <w:tcW w:w="2694" w:type="dxa"/>
            <w:vAlign w:val="center"/>
          </w:tcPr>
          <w:p w:rsidR="00380686" w:rsidRPr="00DE111B" w:rsidRDefault="00380686" w:rsidP="00380686">
            <w:pPr>
              <w:pStyle w:val="aa"/>
              <w:spacing w:line="276" w:lineRule="auto"/>
              <w:jc w:val="both"/>
              <w:rPr>
                <w:rFonts w:asciiTheme="minorEastAsia" w:eastAsiaTheme="minorEastAsia" w:hAnsiTheme="minorEastAsia"/>
              </w:rPr>
            </w:pPr>
            <w:r w:rsidRPr="00DE111B">
              <w:rPr>
                <w:rFonts w:asciiTheme="minorEastAsia" w:eastAsiaTheme="minorEastAsia" w:hAnsiTheme="minorEastAsia" w:hint="eastAsia"/>
              </w:rPr>
              <w:t>银行存款</w:t>
            </w:r>
          </w:p>
        </w:tc>
        <w:tc>
          <w:tcPr>
            <w:tcW w:w="3327"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 xml:space="preserve"> 4,257,374.29 </w:t>
            </w:r>
          </w:p>
        </w:tc>
        <w:tc>
          <w:tcPr>
            <w:tcW w:w="3178"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247,551.25</w:t>
            </w:r>
          </w:p>
        </w:tc>
      </w:tr>
      <w:tr w:rsidR="00380686" w:rsidRPr="00DE111B" w:rsidTr="00380686">
        <w:trPr>
          <w:jc w:val="center"/>
        </w:trPr>
        <w:tc>
          <w:tcPr>
            <w:tcW w:w="2694" w:type="dxa"/>
            <w:vAlign w:val="center"/>
          </w:tcPr>
          <w:p w:rsidR="00380686" w:rsidRPr="00DE111B" w:rsidRDefault="00380686" w:rsidP="00380686">
            <w:pPr>
              <w:pStyle w:val="aa"/>
              <w:spacing w:line="276" w:lineRule="auto"/>
              <w:jc w:val="both"/>
              <w:rPr>
                <w:rFonts w:asciiTheme="minorEastAsia" w:eastAsiaTheme="minorEastAsia" w:hAnsiTheme="minorEastAsia"/>
              </w:rPr>
            </w:pPr>
            <w:r w:rsidRPr="00DE111B">
              <w:rPr>
                <w:rFonts w:asciiTheme="minorEastAsia" w:eastAsiaTheme="minorEastAsia" w:hAnsiTheme="minorEastAsia" w:hint="eastAsia"/>
              </w:rPr>
              <w:t>结算备付金</w:t>
            </w:r>
          </w:p>
        </w:tc>
        <w:tc>
          <w:tcPr>
            <w:tcW w:w="3327"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 xml:space="preserve"> -   </w:t>
            </w:r>
          </w:p>
        </w:tc>
        <w:tc>
          <w:tcPr>
            <w:tcW w:w="3178"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50,817.27</w:t>
            </w:r>
          </w:p>
        </w:tc>
      </w:tr>
      <w:tr w:rsidR="00380686" w:rsidRPr="00DE111B" w:rsidTr="00380686">
        <w:trPr>
          <w:jc w:val="center"/>
        </w:trPr>
        <w:tc>
          <w:tcPr>
            <w:tcW w:w="2694" w:type="dxa"/>
            <w:vAlign w:val="center"/>
          </w:tcPr>
          <w:p w:rsidR="00380686" w:rsidRPr="00DE111B" w:rsidRDefault="00380686" w:rsidP="00380686">
            <w:pPr>
              <w:pStyle w:val="aa"/>
              <w:spacing w:line="276" w:lineRule="auto"/>
              <w:jc w:val="both"/>
              <w:rPr>
                <w:rFonts w:asciiTheme="minorEastAsia" w:eastAsiaTheme="minorEastAsia" w:hAnsiTheme="minorEastAsia"/>
                <w:color w:val="000000"/>
              </w:rPr>
            </w:pPr>
            <w:r w:rsidRPr="00DE111B">
              <w:rPr>
                <w:rFonts w:asciiTheme="minorEastAsia" w:eastAsiaTheme="minorEastAsia" w:hAnsiTheme="minorEastAsia" w:hint="eastAsia"/>
                <w:color w:val="000000"/>
              </w:rPr>
              <w:t>存出保证金</w:t>
            </w:r>
          </w:p>
        </w:tc>
        <w:tc>
          <w:tcPr>
            <w:tcW w:w="3327"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 xml:space="preserve"> 3,845.67 </w:t>
            </w:r>
          </w:p>
        </w:tc>
        <w:tc>
          <w:tcPr>
            <w:tcW w:w="3178"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3,162.86</w:t>
            </w:r>
          </w:p>
        </w:tc>
      </w:tr>
      <w:tr w:rsidR="00380686" w:rsidRPr="00DE111B" w:rsidTr="00380686">
        <w:trPr>
          <w:jc w:val="center"/>
        </w:trPr>
        <w:tc>
          <w:tcPr>
            <w:tcW w:w="2694" w:type="dxa"/>
            <w:vAlign w:val="center"/>
          </w:tcPr>
          <w:p w:rsidR="00380686" w:rsidRPr="00DE111B" w:rsidRDefault="00380686" w:rsidP="00380686">
            <w:pPr>
              <w:pStyle w:val="aa"/>
              <w:spacing w:line="276" w:lineRule="auto"/>
              <w:jc w:val="both"/>
              <w:rPr>
                <w:rFonts w:asciiTheme="minorEastAsia" w:eastAsiaTheme="minorEastAsia" w:hAnsiTheme="minorEastAsia"/>
              </w:rPr>
            </w:pPr>
            <w:r w:rsidRPr="00DE111B">
              <w:rPr>
                <w:rFonts w:asciiTheme="minorEastAsia" w:eastAsiaTheme="minorEastAsia" w:hAnsiTheme="minorEastAsia" w:hint="eastAsia"/>
                <w:color w:val="000000"/>
              </w:rPr>
              <w:t>交易性金融资产</w:t>
            </w:r>
          </w:p>
        </w:tc>
        <w:tc>
          <w:tcPr>
            <w:tcW w:w="3327"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 xml:space="preserve"> -   </w:t>
            </w:r>
          </w:p>
        </w:tc>
        <w:tc>
          <w:tcPr>
            <w:tcW w:w="3178"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4,151,635.69</w:t>
            </w:r>
          </w:p>
        </w:tc>
      </w:tr>
      <w:tr w:rsidR="00380686" w:rsidRPr="00DE111B" w:rsidTr="00380686">
        <w:trPr>
          <w:jc w:val="center"/>
        </w:trPr>
        <w:tc>
          <w:tcPr>
            <w:tcW w:w="2694" w:type="dxa"/>
            <w:vAlign w:val="center"/>
          </w:tcPr>
          <w:p w:rsidR="00380686" w:rsidRPr="00DE111B" w:rsidRDefault="00380686" w:rsidP="00380686">
            <w:pPr>
              <w:pStyle w:val="aa"/>
              <w:spacing w:line="276" w:lineRule="auto"/>
              <w:jc w:val="both"/>
              <w:rPr>
                <w:rFonts w:asciiTheme="minorEastAsia" w:eastAsiaTheme="minorEastAsia" w:hAnsiTheme="minorEastAsia"/>
              </w:rPr>
            </w:pPr>
            <w:r w:rsidRPr="00DE111B">
              <w:rPr>
                <w:rFonts w:asciiTheme="minorEastAsia" w:eastAsiaTheme="minorEastAsia" w:hAnsiTheme="minorEastAsia" w:hint="eastAsia"/>
              </w:rPr>
              <w:t>应收利息</w:t>
            </w:r>
          </w:p>
        </w:tc>
        <w:tc>
          <w:tcPr>
            <w:tcW w:w="3327"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 xml:space="preserve"> 1,805.03 </w:t>
            </w:r>
          </w:p>
        </w:tc>
        <w:tc>
          <w:tcPr>
            <w:tcW w:w="3178"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22.74</w:t>
            </w:r>
          </w:p>
        </w:tc>
      </w:tr>
      <w:tr w:rsidR="00380686" w:rsidRPr="00DE111B" w:rsidTr="00380686">
        <w:trPr>
          <w:jc w:val="center"/>
        </w:trPr>
        <w:tc>
          <w:tcPr>
            <w:tcW w:w="2694" w:type="dxa"/>
            <w:vAlign w:val="center"/>
          </w:tcPr>
          <w:p w:rsidR="00380686" w:rsidRPr="00DE111B" w:rsidRDefault="00380686" w:rsidP="00380686">
            <w:pPr>
              <w:pStyle w:val="aa"/>
              <w:spacing w:line="276" w:lineRule="auto"/>
              <w:jc w:val="both"/>
              <w:rPr>
                <w:rFonts w:asciiTheme="minorEastAsia" w:eastAsiaTheme="minorEastAsia" w:hAnsiTheme="minorEastAsia"/>
              </w:rPr>
            </w:pPr>
            <w:r w:rsidRPr="00DE111B">
              <w:rPr>
                <w:rFonts w:asciiTheme="minorEastAsia" w:eastAsiaTheme="minorEastAsia" w:hAnsiTheme="minorEastAsia" w:hint="eastAsia"/>
              </w:rPr>
              <w:t>资产总计</w:t>
            </w:r>
          </w:p>
        </w:tc>
        <w:tc>
          <w:tcPr>
            <w:tcW w:w="3327"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 xml:space="preserve"> 4,263,024.99 </w:t>
            </w:r>
          </w:p>
        </w:tc>
        <w:tc>
          <w:tcPr>
            <w:tcW w:w="3178"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4,453,189.81</w:t>
            </w:r>
          </w:p>
        </w:tc>
      </w:tr>
      <w:tr w:rsidR="00380686" w:rsidRPr="00DE111B" w:rsidTr="00380686">
        <w:trPr>
          <w:jc w:val="center"/>
        </w:trPr>
        <w:tc>
          <w:tcPr>
            <w:tcW w:w="2694" w:type="dxa"/>
            <w:vAlign w:val="center"/>
          </w:tcPr>
          <w:p w:rsidR="00380686" w:rsidRPr="00DE111B" w:rsidRDefault="00380686" w:rsidP="00380686">
            <w:pPr>
              <w:pStyle w:val="aa"/>
              <w:spacing w:line="276" w:lineRule="auto"/>
              <w:jc w:val="both"/>
              <w:rPr>
                <w:rFonts w:asciiTheme="minorEastAsia" w:eastAsiaTheme="minorEastAsia" w:hAnsiTheme="minorEastAsia"/>
              </w:rPr>
            </w:pPr>
            <w:r w:rsidRPr="00DE111B">
              <w:rPr>
                <w:rFonts w:asciiTheme="minorEastAsia" w:eastAsiaTheme="minorEastAsia" w:hAnsiTheme="minorEastAsia" w:hint="eastAsia"/>
                <w:b/>
              </w:rPr>
              <w:t>负 债：</w:t>
            </w:r>
          </w:p>
        </w:tc>
        <w:tc>
          <w:tcPr>
            <w:tcW w:w="3327" w:type="dxa"/>
            <w:vAlign w:val="bottom"/>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p>
        </w:tc>
        <w:tc>
          <w:tcPr>
            <w:tcW w:w="3178"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p>
        </w:tc>
      </w:tr>
      <w:tr w:rsidR="00380686" w:rsidRPr="00DE111B" w:rsidTr="00380686">
        <w:trPr>
          <w:jc w:val="center"/>
        </w:trPr>
        <w:tc>
          <w:tcPr>
            <w:tcW w:w="2694" w:type="dxa"/>
            <w:vAlign w:val="center"/>
          </w:tcPr>
          <w:p w:rsidR="00380686" w:rsidRPr="00DE111B" w:rsidRDefault="00380686" w:rsidP="00380686">
            <w:pPr>
              <w:pStyle w:val="aa"/>
              <w:spacing w:line="276" w:lineRule="auto"/>
              <w:jc w:val="both"/>
              <w:rPr>
                <w:rFonts w:asciiTheme="minorEastAsia" w:eastAsiaTheme="minorEastAsia" w:hAnsiTheme="minorEastAsia"/>
              </w:rPr>
            </w:pPr>
            <w:r w:rsidRPr="00DE111B">
              <w:rPr>
                <w:rFonts w:asciiTheme="minorEastAsia" w:eastAsiaTheme="minorEastAsia" w:hAnsiTheme="minorEastAsia" w:hint="eastAsia"/>
              </w:rPr>
              <w:t>应付管理人报酬</w:t>
            </w:r>
          </w:p>
        </w:tc>
        <w:tc>
          <w:tcPr>
            <w:tcW w:w="3327"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 xml:space="preserve"> -   </w:t>
            </w:r>
          </w:p>
        </w:tc>
        <w:tc>
          <w:tcPr>
            <w:tcW w:w="3178"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1,668.01</w:t>
            </w:r>
          </w:p>
        </w:tc>
      </w:tr>
      <w:tr w:rsidR="00380686" w:rsidRPr="00DE111B" w:rsidTr="00380686">
        <w:trPr>
          <w:jc w:val="center"/>
        </w:trPr>
        <w:tc>
          <w:tcPr>
            <w:tcW w:w="2694" w:type="dxa"/>
            <w:vAlign w:val="center"/>
          </w:tcPr>
          <w:p w:rsidR="00380686" w:rsidRPr="00DE111B" w:rsidRDefault="00380686" w:rsidP="00380686">
            <w:pPr>
              <w:pStyle w:val="aa"/>
              <w:spacing w:line="276" w:lineRule="auto"/>
              <w:jc w:val="both"/>
              <w:rPr>
                <w:rFonts w:asciiTheme="minorEastAsia" w:eastAsiaTheme="minorEastAsia" w:hAnsiTheme="minorEastAsia"/>
              </w:rPr>
            </w:pPr>
            <w:r w:rsidRPr="00DE111B">
              <w:rPr>
                <w:rFonts w:asciiTheme="minorEastAsia" w:eastAsiaTheme="minorEastAsia" w:hAnsiTheme="minorEastAsia" w:hint="eastAsia"/>
              </w:rPr>
              <w:t>应付托管费</w:t>
            </w:r>
          </w:p>
        </w:tc>
        <w:tc>
          <w:tcPr>
            <w:tcW w:w="3327"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 xml:space="preserve"> -   </w:t>
            </w:r>
          </w:p>
        </w:tc>
        <w:tc>
          <w:tcPr>
            <w:tcW w:w="3178"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333.59</w:t>
            </w:r>
          </w:p>
        </w:tc>
      </w:tr>
      <w:tr w:rsidR="00380686" w:rsidRPr="00DE111B" w:rsidTr="00380686">
        <w:trPr>
          <w:jc w:val="center"/>
        </w:trPr>
        <w:tc>
          <w:tcPr>
            <w:tcW w:w="2694" w:type="dxa"/>
            <w:vAlign w:val="center"/>
          </w:tcPr>
          <w:p w:rsidR="00380686" w:rsidRPr="00DE111B" w:rsidRDefault="00380686" w:rsidP="00380686">
            <w:pPr>
              <w:pStyle w:val="aa"/>
              <w:spacing w:line="276" w:lineRule="auto"/>
              <w:jc w:val="both"/>
              <w:rPr>
                <w:rFonts w:asciiTheme="minorEastAsia" w:eastAsiaTheme="minorEastAsia" w:hAnsiTheme="minorEastAsia"/>
              </w:rPr>
            </w:pPr>
            <w:r w:rsidRPr="00DE111B">
              <w:rPr>
                <w:rFonts w:asciiTheme="minorEastAsia" w:eastAsiaTheme="minorEastAsia" w:hAnsiTheme="minorEastAsia" w:hint="eastAsia"/>
              </w:rPr>
              <w:t>应付交易费用</w:t>
            </w:r>
          </w:p>
        </w:tc>
        <w:tc>
          <w:tcPr>
            <w:tcW w:w="3327"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 xml:space="preserve"> -   </w:t>
            </w:r>
          </w:p>
        </w:tc>
        <w:tc>
          <w:tcPr>
            <w:tcW w:w="3178"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8,237.85</w:t>
            </w:r>
          </w:p>
        </w:tc>
      </w:tr>
      <w:tr w:rsidR="00380686" w:rsidRPr="00DE111B" w:rsidTr="00380686">
        <w:trPr>
          <w:jc w:val="center"/>
        </w:trPr>
        <w:tc>
          <w:tcPr>
            <w:tcW w:w="2694" w:type="dxa"/>
            <w:vAlign w:val="center"/>
          </w:tcPr>
          <w:p w:rsidR="00380686" w:rsidRPr="00DE111B" w:rsidRDefault="00380686" w:rsidP="00380686">
            <w:pPr>
              <w:pStyle w:val="aa"/>
              <w:spacing w:line="276" w:lineRule="auto"/>
              <w:jc w:val="both"/>
              <w:rPr>
                <w:rFonts w:asciiTheme="minorEastAsia" w:eastAsiaTheme="minorEastAsia" w:hAnsiTheme="minorEastAsia"/>
              </w:rPr>
            </w:pPr>
            <w:r w:rsidRPr="00DE111B">
              <w:rPr>
                <w:rFonts w:asciiTheme="minorEastAsia" w:eastAsiaTheme="minorEastAsia" w:hAnsiTheme="minorEastAsia" w:hint="eastAsia"/>
              </w:rPr>
              <w:t>其他负债</w:t>
            </w:r>
          </w:p>
        </w:tc>
        <w:tc>
          <w:tcPr>
            <w:tcW w:w="3327"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 xml:space="preserve"> -   </w:t>
            </w:r>
          </w:p>
        </w:tc>
        <w:tc>
          <w:tcPr>
            <w:tcW w:w="3178"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128,199.59</w:t>
            </w:r>
          </w:p>
        </w:tc>
      </w:tr>
      <w:tr w:rsidR="00380686" w:rsidRPr="00DE111B" w:rsidTr="00380686">
        <w:trPr>
          <w:jc w:val="center"/>
        </w:trPr>
        <w:tc>
          <w:tcPr>
            <w:tcW w:w="2694" w:type="dxa"/>
            <w:vAlign w:val="center"/>
          </w:tcPr>
          <w:p w:rsidR="00380686" w:rsidRPr="00DE111B" w:rsidRDefault="00380686" w:rsidP="00380686">
            <w:pPr>
              <w:pStyle w:val="aa"/>
              <w:spacing w:line="276" w:lineRule="auto"/>
              <w:jc w:val="both"/>
              <w:rPr>
                <w:rFonts w:asciiTheme="minorEastAsia" w:eastAsiaTheme="minorEastAsia" w:hAnsiTheme="minorEastAsia"/>
              </w:rPr>
            </w:pPr>
            <w:r w:rsidRPr="00DE111B">
              <w:rPr>
                <w:rFonts w:asciiTheme="minorEastAsia" w:eastAsiaTheme="minorEastAsia" w:hAnsiTheme="minorEastAsia" w:hint="eastAsia"/>
              </w:rPr>
              <w:t>负债合计</w:t>
            </w:r>
          </w:p>
        </w:tc>
        <w:tc>
          <w:tcPr>
            <w:tcW w:w="3327"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 xml:space="preserve"> -   </w:t>
            </w:r>
          </w:p>
        </w:tc>
        <w:tc>
          <w:tcPr>
            <w:tcW w:w="3178"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138,439.04</w:t>
            </w:r>
          </w:p>
        </w:tc>
      </w:tr>
      <w:tr w:rsidR="00380686" w:rsidRPr="00DE111B" w:rsidTr="00380686">
        <w:trPr>
          <w:jc w:val="center"/>
        </w:trPr>
        <w:tc>
          <w:tcPr>
            <w:tcW w:w="2694" w:type="dxa"/>
            <w:vAlign w:val="center"/>
          </w:tcPr>
          <w:p w:rsidR="00380686" w:rsidRPr="00DE111B" w:rsidRDefault="00380686" w:rsidP="00380686">
            <w:pPr>
              <w:pStyle w:val="aa"/>
              <w:spacing w:line="276" w:lineRule="auto"/>
              <w:jc w:val="both"/>
              <w:rPr>
                <w:rFonts w:asciiTheme="minorEastAsia" w:eastAsiaTheme="minorEastAsia" w:hAnsiTheme="minorEastAsia"/>
              </w:rPr>
            </w:pPr>
            <w:r w:rsidRPr="00DE111B">
              <w:rPr>
                <w:rFonts w:asciiTheme="minorEastAsia" w:eastAsiaTheme="minorEastAsia" w:hAnsiTheme="minorEastAsia" w:hint="eastAsia"/>
                <w:b/>
              </w:rPr>
              <w:t>所有者权益：</w:t>
            </w:r>
          </w:p>
        </w:tc>
        <w:tc>
          <w:tcPr>
            <w:tcW w:w="3327" w:type="dxa"/>
            <w:vAlign w:val="bottom"/>
          </w:tcPr>
          <w:p w:rsidR="00380686" w:rsidRPr="00DE111B" w:rsidRDefault="00380686" w:rsidP="00380686">
            <w:pPr>
              <w:spacing w:line="276" w:lineRule="auto"/>
              <w:jc w:val="right"/>
              <w:rPr>
                <w:rFonts w:asciiTheme="minorEastAsia" w:eastAsiaTheme="minorEastAsia" w:hAnsiTheme="minorEastAsia" w:cs="宋体"/>
                <w:color w:val="000000"/>
                <w:szCs w:val="24"/>
              </w:rPr>
            </w:pPr>
          </w:p>
        </w:tc>
        <w:tc>
          <w:tcPr>
            <w:tcW w:w="3178"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p>
        </w:tc>
      </w:tr>
      <w:tr w:rsidR="00380686" w:rsidRPr="00DE111B" w:rsidTr="00380686">
        <w:trPr>
          <w:jc w:val="center"/>
        </w:trPr>
        <w:tc>
          <w:tcPr>
            <w:tcW w:w="2694" w:type="dxa"/>
            <w:vAlign w:val="center"/>
          </w:tcPr>
          <w:p w:rsidR="00380686" w:rsidRPr="00DE111B" w:rsidRDefault="00380686" w:rsidP="00380686">
            <w:pPr>
              <w:pStyle w:val="aa"/>
              <w:spacing w:line="276" w:lineRule="auto"/>
              <w:jc w:val="both"/>
              <w:rPr>
                <w:rFonts w:asciiTheme="minorEastAsia" w:eastAsiaTheme="minorEastAsia" w:hAnsiTheme="minorEastAsia"/>
                <w:b/>
              </w:rPr>
            </w:pPr>
            <w:r w:rsidRPr="00DE111B">
              <w:rPr>
                <w:rFonts w:asciiTheme="minorEastAsia" w:eastAsiaTheme="minorEastAsia" w:hAnsiTheme="minorEastAsia" w:hint="eastAsia"/>
              </w:rPr>
              <w:t>实收基金</w:t>
            </w:r>
          </w:p>
        </w:tc>
        <w:tc>
          <w:tcPr>
            <w:tcW w:w="3327"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 xml:space="preserve"> 4,315,634.00</w:t>
            </w:r>
          </w:p>
        </w:tc>
        <w:tc>
          <w:tcPr>
            <w:tcW w:w="3178"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4,315,634.00</w:t>
            </w:r>
          </w:p>
        </w:tc>
      </w:tr>
      <w:tr w:rsidR="00380686" w:rsidRPr="00DE111B" w:rsidTr="00380686">
        <w:trPr>
          <w:jc w:val="center"/>
        </w:trPr>
        <w:tc>
          <w:tcPr>
            <w:tcW w:w="2694" w:type="dxa"/>
            <w:vAlign w:val="center"/>
          </w:tcPr>
          <w:p w:rsidR="00380686" w:rsidRPr="00DE111B" w:rsidRDefault="00380686" w:rsidP="00380686">
            <w:pPr>
              <w:pStyle w:val="aa"/>
              <w:spacing w:line="276" w:lineRule="auto"/>
              <w:jc w:val="both"/>
              <w:rPr>
                <w:rFonts w:asciiTheme="minorEastAsia" w:eastAsiaTheme="minorEastAsia" w:hAnsiTheme="minorEastAsia"/>
              </w:rPr>
            </w:pPr>
            <w:r w:rsidRPr="00DE111B">
              <w:rPr>
                <w:rFonts w:asciiTheme="minorEastAsia" w:eastAsiaTheme="minorEastAsia" w:hAnsiTheme="minorEastAsia" w:hint="eastAsia"/>
              </w:rPr>
              <w:t>未分配利润</w:t>
            </w:r>
          </w:p>
        </w:tc>
        <w:tc>
          <w:tcPr>
            <w:tcW w:w="3327" w:type="dxa"/>
            <w:vAlign w:val="center"/>
          </w:tcPr>
          <w:p w:rsidR="00380686" w:rsidRPr="00DE111B" w:rsidRDefault="00380686" w:rsidP="00380686">
            <w:pPr>
              <w:tabs>
                <w:tab w:val="left" w:pos="2786"/>
              </w:tabs>
              <w:overflowPunct w:val="0"/>
              <w:autoSpaceDE w:val="0"/>
              <w:autoSpaceDN w:val="0"/>
              <w:snapToGrid w:val="0"/>
              <w:spacing w:line="276" w:lineRule="auto"/>
              <w:ind w:right="-192"/>
              <w:jc w:val="right"/>
              <w:rPr>
                <w:rFonts w:asciiTheme="minorEastAsia" w:eastAsiaTheme="minorEastAsia" w:hAnsiTheme="minorEastAsia"/>
                <w:szCs w:val="24"/>
              </w:rPr>
            </w:pPr>
            <w:r w:rsidRPr="00DE111B">
              <w:rPr>
                <w:rFonts w:asciiTheme="minorEastAsia" w:eastAsiaTheme="minorEastAsia" w:hAnsiTheme="minorEastAsia"/>
                <w:szCs w:val="24"/>
              </w:rPr>
              <w:t>（52,609.01）</w:t>
            </w:r>
          </w:p>
        </w:tc>
        <w:tc>
          <w:tcPr>
            <w:tcW w:w="3178" w:type="dxa"/>
          </w:tcPr>
          <w:p w:rsidR="00380686" w:rsidRPr="00DE111B" w:rsidRDefault="00380686" w:rsidP="00380686">
            <w:pPr>
              <w:tabs>
                <w:tab w:val="left" w:pos="2786"/>
              </w:tabs>
              <w:overflowPunct w:val="0"/>
              <w:autoSpaceDE w:val="0"/>
              <w:autoSpaceDN w:val="0"/>
              <w:snapToGrid w:val="0"/>
              <w:spacing w:line="276" w:lineRule="auto"/>
              <w:ind w:right="-192"/>
              <w:jc w:val="right"/>
              <w:rPr>
                <w:rFonts w:asciiTheme="minorEastAsia" w:eastAsiaTheme="minorEastAsia" w:hAnsiTheme="minorEastAsia"/>
                <w:szCs w:val="24"/>
              </w:rPr>
            </w:pPr>
            <w:r w:rsidRPr="00DE111B">
              <w:rPr>
                <w:rFonts w:asciiTheme="minorEastAsia" w:eastAsiaTheme="minorEastAsia" w:hAnsiTheme="minorEastAsia"/>
                <w:szCs w:val="24"/>
              </w:rPr>
              <w:t xml:space="preserve"> （883.23</w:t>
            </w:r>
            <w:r w:rsidRPr="00DE111B">
              <w:rPr>
                <w:rFonts w:asciiTheme="minorEastAsia" w:eastAsiaTheme="minorEastAsia" w:hAnsiTheme="minorEastAsia" w:hint="eastAsia"/>
                <w:szCs w:val="24"/>
              </w:rPr>
              <w:t>）</w:t>
            </w:r>
          </w:p>
        </w:tc>
      </w:tr>
      <w:tr w:rsidR="00380686" w:rsidRPr="00DE111B" w:rsidTr="00380686">
        <w:trPr>
          <w:jc w:val="center"/>
        </w:trPr>
        <w:tc>
          <w:tcPr>
            <w:tcW w:w="2694" w:type="dxa"/>
            <w:vAlign w:val="center"/>
          </w:tcPr>
          <w:p w:rsidR="00380686" w:rsidRPr="00DE111B" w:rsidRDefault="00380686" w:rsidP="00380686">
            <w:pPr>
              <w:pStyle w:val="aa"/>
              <w:spacing w:line="276" w:lineRule="auto"/>
              <w:jc w:val="both"/>
              <w:rPr>
                <w:rFonts w:asciiTheme="minorEastAsia" w:eastAsiaTheme="minorEastAsia" w:hAnsiTheme="minorEastAsia"/>
              </w:rPr>
            </w:pPr>
            <w:r w:rsidRPr="00DE111B">
              <w:rPr>
                <w:rFonts w:asciiTheme="minorEastAsia" w:eastAsiaTheme="minorEastAsia" w:hAnsiTheme="minorEastAsia" w:hint="eastAsia"/>
              </w:rPr>
              <w:t>所有者权益合计</w:t>
            </w:r>
          </w:p>
        </w:tc>
        <w:tc>
          <w:tcPr>
            <w:tcW w:w="3327"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4,263,024.99</w:t>
            </w:r>
          </w:p>
        </w:tc>
        <w:tc>
          <w:tcPr>
            <w:tcW w:w="3178"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4,314,750.77</w:t>
            </w:r>
          </w:p>
        </w:tc>
      </w:tr>
      <w:tr w:rsidR="00380686" w:rsidRPr="00DE111B" w:rsidTr="00380686">
        <w:trPr>
          <w:jc w:val="center"/>
        </w:trPr>
        <w:tc>
          <w:tcPr>
            <w:tcW w:w="2694" w:type="dxa"/>
            <w:vAlign w:val="center"/>
          </w:tcPr>
          <w:p w:rsidR="00380686" w:rsidRPr="00DE111B" w:rsidRDefault="00380686" w:rsidP="00380686">
            <w:pPr>
              <w:pStyle w:val="aa"/>
              <w:spacing w:line="276" w:lineRule="auto"/>
              <w:jc w:val="both"/>
              <w:rPr>
                <w:rFonts w:asciiTheme="minorEastAsia" w:eastAsiaTheme="minorEastAsia" w:hAnsiTheme="minorEastAsia"/>
              </w:rPr>
            </w:pPr>
            <w:r w:rsidRPr="00DE111B">
              <w:rPr>
                <w:rFonts w:asciiTheme="minorEastAsia" w:eastAsiaTheme="minorEastAsia" w:hAnsiTheme="minorEastAsia" w:hint="eastAsia"/>
              </w:rPr>
              <w:t>负债和所有者权益总计</w:t>
            </w:r>
          </w:p>
        </w:tc>
        <w:tc>
          <w:tcPr>
            <w:tcW w:w="3327"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4,263,024.99</w:t>
            </w:r>
          </w:p>
        </w:tc>
        <w:tc>
          <w:tcPr>
            <w:tcW w:w="3178" w:type="dxa"/>
          </w:tcPr>
          <w:p w:rsidR="00380686" w:rsidRPr="00DE111B" w:rsidRDefault="00380686" w:rsidP="00380686">
            <w:pPr>
              <w:tabs>
                <w:tab w:val="left" w:pos="2814"/>
              </w:tabs>
              <w:spacing w:line="276" w:lineRule="auto"/>
              <w:ind w:right="32"/>
              <w:jc w:val="right"/>
              <w:rPr>
                <w:rFonts w:asciiTheme="minorEastAsia" w:eastAsiaTheme="minorEastAsia" w:hAnsiTheme="minorEastAsia" w:cs="宋体"/>
                <w:color w:val="000000"/>
                <w:szCs w:val="24"/>
              </w:rPr>
            </w:pPr>
            <w:r w:rsidRPr="00DE111B">
              <w:rPr>
                <w:rFonts w:asciiTheme="minorEastAsia" w:eastAsiaTheme="minorEastAsia" w:hAnsiTheme="minorEastAsia" w:cs="宋体"/>
                <w:color w:val="000000"/>
                <w:szCs w:val="24"/>
              </w:rPr>
              <w:t>4,453,189.81</w:t>
            </w:r>
          </w:p>
        </w:tc>
      </w:tr>
      <w:bookmarkEnd w:id="6"/>
    </w:tbl>
    <w:p w:rsidR="00030017" w:rsidRDefault="00030017" w:rsidP="005E43A5">
      <w:pPr>
        <w:tabs>
          <w:tab w:val="left" w:pos="10166"/>
        </w:tabs>
        <w:spacing w:line="360" w:lineRule="auto"/>
        <w:rPr>
          <w:szCs w:val="24"/>
          <w:lang w:val="en-US"/>
        </w:rPr>
      </w:pPr>
    </w:p>
    <w:p w:rsidR="00030017" w:rsidRDefault="00030017" w:rsidP="005E43A5">
      <w:pPr>
        <w:tabs>
          <w:tab w:val="right" w:pos="9945"/>
        </w:tabs>
        <w:spacing w:line="360" w:lineRule="auto"/>
        <w:rPr>
          <w:rFonts w:ascii="宋体" w:hAnsi="宋体"/>
          <w:bCs/>
          <w:szCs w:val="24"/>
        </w:rPr>
      </w:pPr>
    </w:p>
    <w:p w:rsidR="00B51786" w:rsidRDefault="00B51786" w:rsidP="005E43A5">
      <w:pPr>
        <w:tabs>
          <w:tab w:val="right" w:pos="9945"/>
        </w:tabs>
        <w:spacing w:line="360" w:lineRule="auto"/>
        <w:rPr>
          <w:rFonts w:ascii="宋体" w:hAnsi="宋体"/>
          <w:bCs/>
          <w:szCs w:val="24"/>
        </w:rPr>
        <w:sectPr w:rsidR="00B51786" w:rsidSect="00B71983">
          <w:headerReference w:type="even" r:id="rId9"/>
          <w:headerReference w:type="default" r:id="rId10"/>
          <w:headerReference w:type="first" r:id="rId11"/>
          <w:pgSz w:w="11909" w:h="16834" w:code="9"/>
          <w:pgMar w:top="864" w:right="720" w:bottom="432" w:left="1008" w:header="864" w:footer="432" w:gutter="0"/>
          <w:cols w:space="720"/>
          <w:noEndnote/>
          <w:docGrid w:linePitch="360"/>
        </w:sectPr>
      </w:pPr>
    </w:p>
    <w:p w:rsidR="00B51786" w:rsidRDefault="00B51786" w:rsidP="00B51786">
      <w:pPr>
        <w:spacing w:line="360" w:lineRule="auto"/>
        <w:rPr>
          <w:rFonts w:ascii="宋体" w:hAnsi="宋体"/>
          <w:b/>
          <w:szCs w:val="24"/>
          <w:lang w:val="en-US"/>
        </w:rPr>
      </w:pPr>
    </w:p>
    <w:p w:rsidR="00B51786" w:rsidRDefault="00B51786" w:rsidP="00B51786">
      <w:pPr>
        <w:spacing w:line="360" w:lineRule="auto"/>
        <w:rPr>
          <w:rFonts w:ascii="宋体" w:hAnsi="宋体"/>
          <w:b/>
          <w:szCs w:val="24"/>
          <w:lang w:val="en-US"/>
        </w:rPr>
      </w:pPr>
    </w:p>
    <w:p w:rsidR="00B51786" w:rsidRPr="007122C4" w:rsidRDefault="00B51786" w:rsidP="00B51786">
      <w:pPr>
        <w:spacing w:line="360" w:lineRule="auto"/>
        <w:rPr>
          <w:rFonts w:ascii="宋体" w:hAnsi="宋体"/>
          <w:b/>
          <w:szCs w:val="24"/>
          <w:lang w:val="en-US"/>
        </w:rPr>
      </w:pPr>
      <w:r>
        <w:rPr>
          <w:rFonts w:ascii="宋体" w:hAnsi="宋体" w:hint="eastAsia"/>
          <w:b/>
          <w:szCs w:val="24"/>
          <w:lang w:val="en-US"/>
        </w:rPr>
        <w:t>5.2</w:t>
      </w:r>
      <w:r w:rsidRPr="0060501A">
        <w:rPr>
          <w:rFonts w:ascii="宋体" w:hAnsi="宋体"/>
          <w:b/>
          <w:szCs w:val="24"/>
          <w:lang w:val="en-US"/>
        </w:rPr>
        <w:t>清算损益表</w:t>
      </w:r>
    </w:p>
    <w:p w:rsidR="00B51786" w:rsidRPr="005906E7" w:rsidRDefault="00B51786" w:rsidP="00B51786">
      <w:pPr>
        <w:wordWrap w:val="0"/>
        <w:spacing w:line="360" w:lineRule="auto"/>
        <w:jc w:val="right"/>
        <w:rPr>
          <w:rFonts w:ascii="宋体" w:hAnsi="宋体"/>
          <w:szCs w:val="24"/>
        </w:rPr>
      </w:pPr>
      <w:r w:rsidRPr="005906E7">
        <w:rPr>
          <w:rFonts w:ascii="宋体" w:hAnsi="宋体"/>
          <w:szCs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5527"/>
      </w:tblGrid>
      <w:tr w:rsidR="007E22EA" w:rsidRPr="007E22EA" w:rsidTr="007E22EA">
        <w:trPr>
          <w:trHeight w:val="80"/>
          <w:jc w:val="center"/>
        </w:trPr>
        <w:tc>
          <w:tcPr>
            <w:tcW w:w="3544" w:type="dxa"/>
            <w:vAlign w:val="bottom"/>
          </w:tcPr>
          <w:p w:rsidR="007E22EA" w:rsidRPr="007E22EA" w:rsidRDefault="007E22EA" w:rsidP="007E22EA">
            <w:pPr>
              <w:overflowPunct w:val="0"/>
              <w:autoSpaceDE w:val="0"/>
              <w:autoSpaceDN w:val="0"/>
              <w:snapToGrid w:val="0"/>
              <w:spacing w:line="276" w:lineRule="auto"/>
              <w:ind w:left="34"/>
              <w:rPr>
                <w:rFonts w:ascii="宋体" w:hAnsi="宋体"/>
                <w:szCs w:val="22"/>
              </w:rPr>
            </w:pPr>
            <w:r w:rsidRPr="007E22EA">
              <w:rPr>
                <w:rFonts w:ascii="宋体" w:hAnsi="宋体"/>
                <w:szCs w:val="22"/>
              </w:rPr>
              <w:t>项目</w:t>
            </w:r>
          </w:p>
        </w:tc>
        <w:tc>
          <w:tcPr>
            <w:tcW w:w="5527" w:type="dxa"/>
            <w:vAlign w:val="bottom"/>
          </w:tcPr>
          <w:p w:rsidR="007E22EA" w:rsidRPr="007E22EA" w:rsidRDefault="007E22EA" w:rsidP="007E22EA">
            <w:pPr>
              <w:overflowPunct w:val="0"/>
              <w:autoSpaceDE w:val="0"/>
              <w:autoSpaceDN w:val="0"/>
              <w:snapToGrid w:val="0"/>
              <w:spacing w:line="276" w:lineRule="auto"/>
              <w:ind w:leftChars="-84" w:left="-202"/>
              <w:jc w:val="right"/>
              <w:rPr>
                <w:rFonts w:ascii="宋体" w:hAnsi="宋体"/>
                <w:szCs w:val="22"/>
              </w:rPr>
            </w:pPr>
            <w:r w:rsidRPr="007E22EA">
              <w:rPr>
                <w:rFonts w:ascii="宋体" w:hAnsi="宋体"/>
                <w:szCs w:val="22"/>
              </w:rPr>
              <w:t>自2018年12月25日至2019年</w:t>
            </w:r>
            <w:r w:rsidRPr="007E22EA">
              <w:rPr>
                <w:rFonts w:ascii="宋体" w:hAnsi="宋体" w:hint="eastAsia"/>
                <w:szCs w:val="22"/>
              </w:rPr>
              <w:t>1</w:t>
            </w:r>
            <w:r w:rsidRPr="007E22EA">
              <w:rPr>
                <w:rFonts w:ascii="宋体" w:hAnsi="宋体"/>
                <w:szCs w:val="22"/>
              </w:rPr>
              <w:t>月</w:t>
            </w:r>
            <w:r w:rsidRPr="007E22EA">
              <w:rPr>
                <w:rFonts w:ascii="宋体" w:hAnsi="宋体" w:hint="eastAsia"/>
                <w:szCs w:val="22"/>
              </w:rPr>
              <w:t>1</w:t>
            </w:r>
            <w:r w:rsidRPr="007E22EA">
              <w:rPr>
                <w:rFonts w:ascii="宋体" w:hAnsi="宋体"/>
                <w:szCs w:val="22"/>
              </w:rPr>
              <w:t>5日止清算期间</w:t>
            </w:r>
          </w:p>
        </w:tc>
      </w:tr>
      <w:tr w:rsidR="007E22EA" w:rsidRPr="007E22EA" w:rsidTr="007E22EA">
        <w:trPr>
          <w:trHeight w:val="271"/>
          <w:jc w:val="center"/>
        </w:trPr>
        <w:tc>
          <w:tcPr>
            <w:tcW w:w="3544" w:type="dxa"/>
            <w:vAlign w:val="bottom"/>
          </w:tcPr>
          <w:p w:rsidR="007E22EA" w:rsidRPr="007E22EA" w:rsidRDefault="007E22EA" w:rsidP="007E22EA">
            <w:pPr>
              <w:overflowPunct w:val="0"/>
              <w:autoSpaceDE w:val="0"/>
              <w:autoSpaceDN w:val="0"/>
              <w:snapToGrid w:val="0"/>
              <w:spacing w:line="276" w:lineRule="auto"/>
              <w:ind w:left="34"/>
              <w:rPr>
                <w:rFonts w:ascii="宋体" w:hAnsi="宋体"/>
                <w:szCs w:val="22"/>
              </w:rPr>
            </w:pPr>
            <w:r w:rsidRPr="007E22EA">
              <w:rPr>
                <w:rFonts w:ascii="宋体" w:hAnsi="宋体"/>
                <w:szCs w:val="22"/>
              </w:rPr>
              <w:t>一、清算收益</w:t>
            </w:r>
          </w:p>
        </w:tc>
        <w:tc>
          <w:tcPr>
            <w:tcW w:w="5527" w:type="dxa"/>
            <w:vAlign w:val="bottom"/>
          </w:tcPr>
          <w:p w:rsidR="007E22EA" w:rsidRPr="007E22EA" w:rsidRDefault="007E22EA" w:rsidP="007E22EA">
            <w:pPr>
              <w:overflowPunct w:val="0"/>
              <w:autoSpaceDE w:val="0"/>
              <w:autoSpaceDN w:val="0"/>
              <w:snapToGrid w:val="0"/>
              <w:spacing w:line="276" w:lineRule="auto"/>
              <w:jc w:val="right"/>
              <w:rPr>
                <w:rFonts w:ascii="宋体" w:hAnsi="宋体"/>
                <w:szCs w:val="22"/>
                <w:highlight w:val="yellow"/>
              </w:rPr>
            </w:pPr>
          </w:p>
        </w:tc>
      </w:tr>
      <w:tr w:rsidR="007E22EA" w:rsidRPr="007E22EA" w:rsidTr="007E22EA">
        <w:trPr>
          <w:trHeight w:val="80"/>
          <w:jc w:val="center"/>
        </w:trPr>
        <w:tc>
          <w:tcPr>
            <w:tcW w:w="3544" w:type="dxa"/>
            <w:vAlign w:val="bottom"/>
          </w:tcPr>
          <w:p w:rsidR="007E22EA" w:rsidRPr="007E22EA" w:rsidRDefault="007E22EA" w:rsidP="007E22EA">
            <w:pPr>
              <w:overflowPunct w:val="0"/>
              <w:autoSpaceDE w:val="0"/>
              <w:autoSpaceDN w:val="0"/>
              <w:snapToGrid w:val="0"/>
              <w:spacing w:line="276" w:lineRule="auto"/>
              <w:ind w:left="459"/>
              <w:rPr>
                <w:rFonts w:ascii="宋体" w:hAnsi="宋体"/>
                <w:szCs w:val="22"/>
              </w:rPr>
            </w:pPr>
            <w:r w:rsidRPr="007E22EA">
              <w:rPr>
                <w:rFonts w:ascii="宋体" w:hAnsi="宋体"/>
                <w:szCs w:val="22"/>
              </w:rPr>
              <w:t>1、利息收入</w:t>
            </w:r>
          </w:p>
        </w:tc>
        <w:tc>
          <w:tcPr>
            <w:tcW w:w="5527" w:type="dxa"/>
            <w:vAlign w:val="bottom"/>
          </w:tcPr>
          <w:p w:rsidR="007E22EA" w:rsidRPr="007E22EA" w:rsidRDefault="007E22EA" w:rsidP="007E22EA">
            <w:pPr>
              <w:tabs>
                <w:tab w:val="left" w:pos="2814"/>
              </w:tabs>
              <w:spacing w:line="276" w:lineRule="auto"/>
              <w:ind w:right="32"/>
              <w:jc w:val="right"/>
              <w:rPr>
                <w:rFonts w:ascii="宋体" w:hAnsi="宋体" w:cs="宋体"/>
                <w:color w:val="000000"/>
                <w:szCs w:val="22"/>
              </w:rPr>
            </w:pPr>
            <w:r w:rsidRPr="007E22EA">
              <w:rPr>
                <w:rFonts w:ascii="宋体" w:hAnsi="宋体" w:cs="宋体"/>
                <w:color w:val="000000"/>
                <w:szCs w:val="22"/>
              </w:rPr>
              <w:t>1,782.29</w:t>
            </w:r>
          </w:p>
        </w:tc>
      </w:tr>
      <w:tr w:rsidR="007E22EA" w:rsidRPr="007E22EA" w:rsidTr="007E22EA">
        <w:trPr>
          <w:trHeight w:val="80"/>
          <w:jc w:val="center"/>
        </w:trPr>
        <w:tc>
          <w:tcPr>
            <w:tcW w:w="3544" w:type="dxa"/>
            <w:vAlign w:val="bottom"/>
          </w:tcPr>
          <w:p w:rsidR="007E22EA" w:rsidRPr="007E22EA" w:rsidRDefault="007E22EA" w:rsidP="007E22EA">
            <w:pPr>
              <w:overflowPunct w:val="0"/>
              <w:autoSpaceDE w:val="0"/>
              <w:autoSpaceDN w:val="0"/>
              <w:snapToGrid w:val="0"/>
              <w:spacing w:line="276" w:lineRule="auto"/>
              <w:ind w:left="459"/>
              <w:rPr>
                <w:rFonts w:ascii="宋体" w:hAnsi="宋体"/>
                <w:szCs w:val="22"/>
              </w:rPr>
            </w:pPr>
            <w:r w:rsidRPr="007E22EA">
              <w:rPr>
                <w:rFonts w:ascii="宋体" w:hAnsi="宋体"/>
                <w:szCs w:val="22"/>
              </w:rPr>
              <w:t>2、</w:t>
            </w:r>
            <w:r w:rsidRPr="007E22EA">
              <w:rPr>
                <w:rFonts w:ascii="宋体" w:hAnsi="宋体" w:hint="eastAsia"/>
                <w:szCs w:val="22"/>
              </w:rPr>
              <w:t>公允价值变动损益</w:t>
            </w:r>
          </w:p>
        </w:tc>
        <w:tc>
          <w:tcPr>
            <w:tcW w:w="5527" w:type="dxa"/>
            <w:vAlign w:val="bottom"/>
          </w:tcPr>
          <w:p w:rsidR="007E22EA" w:rsidRPr="007E22EA" w:rsidRDefault="007E22EA" w:rsidP="007E22EA">
            <w:pPr>
              <w:tabs>
                <w:tab w:val="left" w:pos="2814"/>
              </w:tabs>
              <w:spacing w:line="276" w:lineRule="auto"/>
              <w:ind w:right="32"/>
              <w:jc w:val="right"/>
              <w:rPr>
                <w:rFonts w:ascii="宋体" w:hAnsi="宋体" w:cs="宋体"/>
                <w:color w:val="000000"/>
                <w:szCs w:val="22"/>
              </w:rPr>
            </w:pPr>
            <w:r w:rsidRPr="007E22EA">
              <w:rPr>
                <w:rFonts w:ascii="宋体" w:hAnsi="宋体" w:cs="宋体"/>
                <w:color w:val="000000"/>
                <w:szCs w:val="22"/>
              </w:rPr>
              <w:t>400,541.70</w:t>
            </w:r>
          </w:p>
        </w:tc>
      </w:tr>
      <w:tr w:rsidR="007E22EA" w:rsidRPr="007E22EA" w:rsidTr="007E22EA">
        <w:trPr>
          <w:trHeight w:val="80"/>
          <w:jc w:val="center"/>
        </w:trPr>
        <w:tc>
          <w:tcPr>
            <w:tcW w:w="3544" w:type="dxa"/>
            <w:vAlign w:val="bottom"/>
          </w:tcPr>
          <w:p w:rsidR="007E22EA" w:rsidRPr="007E22EA" w:rsidRDefault="007E22EA" w:rsidP="007E22EA">
            <w:pPr>
              <w:overflowPunct w:val="0"/>
              <w:autoSpaceDE w:val="0"/>
              <w:autoSpaceDN w:val="0"/>
              <w:snapToGrid w:val="0"/>
              <w:spacing w:line="276" w:lineRule="auto"/>
              <w:ind w:left="459"/>
              <w:rPr>
                <w:rFonts w:ascii="宋体" w:hAnsi="宋体"/>
                <w:szCs w:val="22"/>
              </w:rPr>
            </w:pPr>
            <w:r w:rsidRPr="007E22EA">
              <w:rPr>
                <w:rFonts w:ascii="宋体" w:hAnsi="宋体" w:hint="eastAsia"/>
                <w:szCs w:val="22"/>
              </w:rPr>
              <w:t>3、投资收益</w:t>
            </w:r>
          </w:p>
        </w:tc>
        <w:tc>
          <w:tcPr>
            <w:tcW w:w="5527" w:type="dxa"/>
            <w:vAlign w:val="bottom"/>
          </w:tcPr>
          <w:p w:rsidR="007E22EA" w:rsidRPr="007E22EA" w:rsidRDefault="007E22EA" w:rsidP="007E22EA">
            <w:pPr>
              <w:tabs>
                <w:tab w:val="left" w:pos="2786"/>
              </w:tabs>
              <w:overflowPunct w:val="0"/>
              <w:autoSpaceDE w:val="0"/>
              <w:autoSpaceDN w:val="0"/>
              <w:snapToGrid w:val="0"/>
              <w:spacing w:line="276" w:lineRule="auto"/>
              <w:ind w:right="-192"/>
              <w:jc w:val="right"/>
              <w:rPr>
                <w:rFonts w:ascii="宋体" w:hAnsi="宋体"/>
                <w:szCs w:val="22"/>
              </w:rPr>
            </w:pPr>
            <w:r w:rsidRPr="007E22EA">
              <w:rPr>
                <w:rFonts w:ascii="宋体" w:hAnsi="宋体"/>
                <w:szCs w:val="22"/>
              </w:rPr>
              <w:t>（446,493.32</w:t>
            </w:r>
            <w:r w:rsidRPr="007E22EA">
              <w:rPr>
                <w:rFonts w:ascii="宋体" w:hAnsi="宋体" w:hint="eastAsia"/>
                <w:szCs w:val="22"/>
              </w:rPr>
              <w:t>）</w:t>
            </w:r>
          </w:p>
        </w:tc>
      </w:tr>
      <w:tr w:rsidR="007E22EA" w:rsidRPr="007E22EA" w:rsidTr="007E22EA">
        <w:trPr>
          <w:trHeight w:val="80"/>
          <w:jc w:val="center"/>
        </w:trPr>
        <w:tc>
          <w:tcPr>
            <w:tcW w:w="3544" w:type="dxa"/>
            <w:vAlign w:val="bottom"/>
          </w:tcPr>
          <w:p w:rsidR="007E22EA" w:rsidRPr="007E22EA" w:rsidRDefault="007E22EA" w:rsidP="007E22EA">
            <w:pPr>
              <w:overflowPunct w:val="0"/>
              <w:autoSpaceDE w:val="0"/>
              <w:autoSpaceDN w:val="0"/>
              <w:snapToGrid w:val="0"/>
              <w:spacing w:line="276" w:lineRule="auto"/>
              <w:rPr>
                <w:rFonts w:ascii="宋体" w:hAnsi="宋体"/>
                <w:szCs w:val="22"/>
              </w:rPr>
            </w:pPr>
            <w:r w:rsidRPr="007E22EA">
              <w:rPr>
                <w:rFonts w:ascii="宋体" w:hAnsi="宋体"/>
                <w:szCs w:val="22"/>
              </w:rPr>
              <w:t>清算收入小计</w:t>
            </w:r>
          </w:p>
        </w:tc>
        <w:tc>
          <w:tcPr>
            <w:tcW w:w="5527" w:type="dxa"/>
            <w:vAlign w:val="bottom"/>
          </w:tcPr>
          <w:p w:rsidR="007E22EA" w:rsidRPr="007E22EA" w:rsidRDefault="007E22EA" w:rsidP="007E22EA">
            <w:pPr>
              <w:tabs>
                <w:tab w:val="left" w:pos="2786"/>
              </w:tabs>
              <w:overflowPunct w:val="0"/>
              <w:autoSpaceDE w:val="0"/>
              <w:autoSpaceDN w:val="0"/>
              <w:snapToGrid w:val="0"/>
              <w:spacing w:line="276" w:lineRule="auto"/>
              <w:ind w:right="-192"/>
              <w:jc w:val="right"/>
              <w:rPr>
                <w:rFonts w:ascii="宋体" w:hAnsi="宋体"/>
                <w:szCs w:val="22"/>
              </w:rPr>
            </w:pPr>
            <w:r w:rsidRPr="007E22EA">
              <w:rPr>
                <w:rFonts w:ascii="宋体" w:hAnsi="宋体" w:hint="eastAsia"/>
                <w:szCs w:val="22"/>
              </w:rPr>
              <w:t>（</w:t>
            </w:r>
            <w:r w:rsidRPr="007E22EA">
              <w:rPr>
                <w:rFonts w:ascii="宋体" w:hAnsi="宋体"/>
                <w:szCs w:val="22"/>
              </w:rPr>
              <w:t>44,169.33</w:t>
            </w:r>
            <w:r w:rsidRPr="007E22EA">
              <w:rPr>
                <w:rFonts w:ascii="宋体" w:hAnsi="宋体" w:hint="eastAsia"/>
                <w:szCs w:val="22"/>
              </w:rPr>
              <w:t>）</w:t>
            </w:r>
          </w:p>
        </w:tc>
      </w:tr>
      <w:tr w:rsidR="007E22EA" w:rsidRPr="007E22EA" w:rsidTr="007E22EA">
        <w:trPr>
          <w:trHeight w:val="80"/>
          <w:jc w:val="center"/>
        </w:trPr>
        <w:tc>
          <w:tcPr>
            <w:tcW w:w="3544" w:type="dxa"/>
            <w:vAlign w:val="bottom"/>
          </w:tcPr>
          <w:p w:rsidR="007E22EA" w:rsidRPr="007E22EA" w:rsidRDefault="007E22EA" w:rsidP="007E22EA">
            <w:pPr>
              <w:overflowPunct w:val="0"/>
              <w:autoSpaceDE w:val="0"/>
              <w:autoSpaceDN w:val="0"/>
              <w:snapToGrid w:val="0"/>
              <w:spacing w:line="276" w:lineRule="auto"/>
              <w:rPr>
                <w:rFonts w:ascii="宋体" w:hAnsi="宋体"/>
                <w:szCs w:val="22"/>
              </w:rPr>
            </w:pPr>
            <w:r w:rsidRPr="007E22EA">
              <w:rPr>
                <w:rFonts w:ascii="宋体" w:hAnsi="宋体"/>
                <w:szCs w:val="22"/>
              </w:rPr>
              <w:t>二、清算费用</w:t>
            </w:r>
          </w:p>
        </w:tc>
        <w:tc>
          <w:tcPr>
            <w:tcW w:w="5527" w:type="dxa"/>
            <w:vAlign w:val="bottom"/>
          </w:tcPr>
          <w:p w:rsidR="007E22EA" w:rsidRPr="007E22EA" w:rsidRDefault="007E22EA" w:rsidP="007E22EA">
            <w:pPr>
              <w:overflowPunct w:val="0"/>
              <w:autoSpaceDE w:val="0"/>
              <w:autoSpaceDN w:val="0"/>
              <w:snapToGrid w:val="0"/>
              <w:spacing w:line="276" w:lineRule="auto"/>
              <w:ind w:left="1026" w:right="-15"/>
              <w:jc w:val="right"/>
              <w:rPr>
                <w:rFonts w:ascii="宋体" w:hAnsi="宋体"/>
                <w:szCs w:val="22"/>
                <w:highlight w:val="yellow"/>
              </w:rPr>
            </w:pPr>
          </w:p>
        </w:tc>
      </w:tr>
      <w:tr w:rsidR="007E22EA" w:rsidRPr="007E22EA" w:rsidTr="007E22EA">
        <w:trPr>
          <w:trHeight w:val="80"/>
          <w:jc w:val="center"/>
        </w:trPr>
        <w:tc>
          <w:tcPr>
            <w:tcW w:w="3544" w:type="dxa"/>
            <w:vAlign w:val="bottom"/>
          </w:tcPr>
          <w:p w:rsidR="007E22EA" w:rsidRPr="007E22EA" w:rsidRDefault="007E22EA" w:rsidP="007E22EA">
            <w:pPr>
              <w:overflowPunct w:val="0"/>
              <w:autoSpaceDE w:val="0"/>
              <w:autoSpaceDN w:val="0"/>
              <w:snapToGrid w:val="0"/>
              <w:spacing w:line="276" w:lineRule="auto"/>
              <w:ind w:left="459"/>
              <w:rPr>
                <w:rFonts w:ascii="宋体" w:hAnsi="宋体"/>
                <w:szCs w:val="22"/>
              </w:rPr>
            </w:pPr>
            <w:r w:rsidRPr="007E22EA">
              <w:rPr>
                <w:rFonts w:ascii="宋体" w:hAnsi="宋体" w:hint="eastAsia"/>
                <w:szCs w:val="22"/>
              </w:rPr>
              <w:t>1、交易费用</w:t>
            </w:r>
          </w:p>
        </w:tc>
        <w:tc>
          <w:tcPr>
            <w:tcW w:w="5527" w:type="dxa"/>
            <w:vAlign w:val="bottom"/>
          </w:tcPr>
          <w:p w:rsidR="007E22EA" w:rsidRPr="007E22EA" w:rsidRDefault="007E22EA" w:rsidP="007E22EA">
            <w:pPr>
              <w:tabs>
                <w:tab w:val="left" w:pos="2814"/>
              </w:tabs>
              <w:spacing w:line="276" w:lineRule="auto"/>
              <w:ind w:right="32"/>
              <w:jc w:val="right"/>
              <w:rPr>
                <w:rFonts w:ascii="宋体" w:hAnsi="宋体" w:cs="宋体"/>
                <w:color w:val="000000"/>
                <w:szCs w:val="22"/>
              </w:rPr>
            </w:pPr>
            <w:r w:rsidRPr="007E22EA">
              <w:rPr>
                <w:rFonts w:ascii="宋体" w:hAnsi="宋体" w:cs="宋体"/>
                <w:color w:val="000000"/>
                <w:szCs w:val="22"/>
              </w:rPr>
              <w:t>7,476.45</w:t>
            </w:r>
          </w:p>
        </w:tc>
      </w:tr>
      <w:tr w:rsidR="007E22EA" w:rsidRPr="007E22EA" w:rsidTr="007E22EA">
        <w:trPr>
          <w:trHeight w:val="80"/>
          <w:jc w:val="center"/>
        </w:trPr>
        <w:tc>
          <w:tcPr>
            <w:tcW w:w="3544" w:type="dxa"/>
            <w:vAlign w:val="bottom"/>
          </w:tcPr>
          <w:p w:rsidR="007E22EA" w:rsidRPr="007E22EA" w:rsidRDefault="007E22EA" w:rsidP="007E22EA">
            <w:pPr>
              <w:overflowPunct w:val="0"/>
              <w:autoSpaceDE w:val="0"/>
              <w:autoSpaceDN w:val="0"/>
              <w:snapToGrid w:val="0"/>
              <w:spacing w:line="276" w:lineRule="auto"/>
              <w:ind w:firstLine="459"/>
              <w:rPr>
                <w:rFonts w:ascii="宋体" w:hAnsi="宋体"/>
                <w:szCs w:val="22"/>
              </w:rPr>
            </w:pPr>
            <w:r w:rsidRPr="007E22EA">
              <w:rPr>
                <w:rFonts w:ascii="宋体" w:hAnsi="宋体"/>
                <w:szCs w:val="22"/>
              </w:rPr>
              <w:t>2、</w:t>
            </w:r>
            <w:r w:rsidRPr="007E22EA">
              <w:rPr>
                <w:rFonts w:ascii="宋体" w:hAnsi="宋体" w:hint="eastAsia"/>
                <w:szCs w:val="22"/>
              </w:rPr>
              <w:t>其他费用</w:t>
            </w:r>
          </w:p>
        </w:tc>
        <w:tc>
          <w:tcPr>
            <w:tcW w:w="5527" w:type="dxa"/>
            <w:vAlign w:val="bottom"/>
          </w:tcPr>
          <w:p w:rsidR="007E22EA" w:rsidRPr="007E22EA" w:rsidRDefault="007E22EA" w:rsidP="007E22EA">
            <w:pPr>
              <w:tabs>
                <w:tab w:val="left" w:pos="2814"/>
              </w:tabs>
              <w:spacing w:line="276" w:lineRule="auto"/>
              <w:ind w:right="32"/>
              <w:jc w:val="right"/>
              <w:rPr>
                <w:rFonts w:ascii="宋体" w:hAnsi="宋体" w:cs="宋体"/>
                <w:color w:val="000000"/>
                <w:szCs w:val="22"/>
              </w:rPr>
            </w:pPr>
            <w:r w:rsidRPr="007E22EA">
              <w:rPr>
                <w:rFonts w:ascii="宋体" w:hAnsi="宋体" w:cs="宋体"/>
                <w:color w:val="000000"/>
                <w:szCs w:val="22"/>
              </w:rPr>
              <w:t>80.00</w:t>
            </w:r>
          </w:p>
        </w:tc>
      </w:tr>
      <w:tr w:rsidR="007E22EA" w:rsidRPr="007E22EA" w:rsidTr="007E22EA">
        <w:trPr>
          <w:trHeight w:val="80"/>
          <w:jc w:val="center"/>
        </w:trPr>
        <w:tc>
          <w:tcPr>
            <w:tcW w:w="3544" w:type="dxa"/>
            <w:vAlign w:val="bottom"/>
          </w:tcPr>
          <w:p w:rsidR="007E22EA" w:rsidRPr="007E22EA" w:rsidRDefault="007E22EA" w:rsidP="007E22EA">
            <w:pPr>
              <w:overflowPunct w:val="0"/>
              <w:autoSpaceDE w:val="0"/>
              <w:autoSpaceDN w:val="0"/>
              <w:snapToGrid w:val="0"/>
              <w:spacing w:line="276" w:lineRule="auto"/>
              <w:rPr>
                <w:rFonts w:ascii="宋体" w:hAnsi="宋体"/>
                <w:szCs w:val="22"/>
              </w:rPr>
            </w:pPr>
            <w:r w:rsidRPr="007E22EA">
              <w:rPr>
                <w:rFonts w:ascii="宋体" w:hAnsi="宋体"/>
                <w:szCs w:val="22"/>
              </w:rPr>
              <w:t>清算费用小计</w:t>
            </w:r>
          </w:p>
        </w:tc>
        <w:tc>
          <w:tcPr>
            <w:tcW w:w="5527" w:type="dxa"/>
            <w:vAlign w:val="bottom"/>
          </w:tcPr>
          <w:p w:rsidR="007E22EA" w:rsidRPr="007E22EA" w:rsidRDefault="007E22EA" w:rsidP="007E22EA">
            <w:pPr>
              <w:tabs>
                <w:tab w:val="left" w:pos="2814"/>
              </w:tabs>
              <w:spacing w:line="276" w:lineRule="auto"/>
              <w:ind w:right="32"/>
              <w:jc w:val="right"/>
              <w:rPr>
                <w:rFonts w:ascii="宋体" w:hAnsi="宋体" w:cs="宋体"/>
                <w:color w:val="000000"/>
                <w:szCs w:val="22"/>
              </w:rPr>
            </w:pPr>
            <w:r w:rsidRPr="007E22EA">
              <w:rPr>
                <w:rFonts w:ascii="宋体" w:hAnsi="宋体" w:cs="宋体"/>
                <w:color w:val="000000"/>
                <w:szCs w:val="22"/>
              </w:rPr>
              <w:t>7,556.45</w:t>
            </w:r>
          </w:p>
        </w:tc>
      </w:tr>
      <w:tr w:rsidR="007E22EA" w:rsidRPr="007E22EA" w:rsidTr="007E22EA">
        <w:trPr>
          <w:trHeight w:val="80"/>
          <w:jc w:val="center"/>
        </w:trPr>
        <w:tc>
          <w:tcPr>
            <w:tcW w:w="3544" w:type="dxa"/>
            <w:vAlign w:val="bottom"/>
          </w:tcPr>
          <w:p w:rsidR="007E22EA" w:rsidRPr="007E22EA" w:rsidRDefault="007E22EA" w:rsidP="007E22EA">
            <w:pPr>
              <w:overflowPunct w:val="0"/>
              <w:autoSpaceDE w:val="0"/>
              <w:autoSpaceDN w:val="0"/>
              <w:snapToGrid w:val="0"/>
              <w:spacing w:line="276" w:lineRule="auto"/>
              <w:rPr>
                <w:rFonts w:ascii="宋体" w:hAnsi="宋体"/>
                <w:szCs w:val="22"/>
              </w:rPr>
            </w:pPr>
            <w:r w:rsidRPr="007E22EA">
              <w:rPr>
                <w:rFonts w:ascii="宋体" w:hAnsi="宋体"/>
                <w:szCs w:val="22"/>
              </w:rPr>
              <w:t>三、清算净收益</w:t>
            </w:r>
          </w:p>
        </w:tc>
        <w:tc>
          <w:tcPr>
            <w:tcW w:w="5527" w:type="dxa"/>
            <w:vAlign w:val="bottom"/>
          </w:tcPr>
          <w:p w:rsidR="007E22EA" w:rsidRPr="007E22EA" w:rsidRDefault="007E22EA" w:rsidP="007E22EA">
            <w:pPr>
              <w:tabs>
                <w:tab w:val="left" w:pos="2786"/>
              </w:tabs>
              <w:overflowPunct w:val="0"/>
              <w:autoSpaceDE w:val="0"/>
              <w:autoSpaceDN w:val="0"/>
              <w:snapToGrid w:val="0"/>
              <w:spacing w:line="276" w:lineRule="auto"/>
              <w:ind w:right="-192"/>
              <w:jc w:val="right"/>
              <w:rPr>
                <w:rFonts w:ascii="宋体" w:hAnsi="宋体"/>
                <w:szCs w:val="22"/>
              </w:rPr>
            </w:pPr>
            <w:r w:rsidRPr="007E22EA">
              <w:rPr>
                <w:rFonts w:ascii="宋体" w:hAnsi="宋体" w:hint="eastAsia"/>
                <w:szCs w:val="22"/>
              </w:rPr>
              <w:t>（</w:t>
            </w:r>
            <w:r w:rsidRPr="007E22EA">
              <w:rPr>
                <w:rFonts w:ascii="宋体" w:hAnsi="宋体"/>
                <w:szCs w:val="22"/>
              </w:rPr>
              <w:t>51,725.78</w:t>
            </w:r>
            <w:r w:rsidRPr="007E22EA">
              <w:rPr>
                <w:rFonts w:ascii="宋体" w:hAnsi="宋体" w:hint="eastAsia"/>
                <w:szCs w:val="22"/>
              </w:rPr>
              <w:t>）</w:t>
            </w:r>
          </w:p>
        </w:tc>
      </w:tr>
    </w:tbl>
    <w:p w:rsidR="007E22EA" w:rsidRPr="008C748C" w:rsidRDefault="007E22EA" w:rsidP="007E22EA">
      <w:pPr>
        <w:overflowPunct w:val="0"/>
        <w:autoSpaceDE w:val="0"/>
        <w:autoSpaceDN w:val="0"/>
        <w:snapToGrid w:val="0"/>
        <w:rPr>
          <w:rFonts w:ascii="黑体" w:eastAsia="黑体" w:hAnsi="黑体" w:cs="Arial"/>
          <w:sz w:val="22"/>
          <w:szCs w:val="22"/>
        </w:rPr>
      </w:pPr>
    </w:p>
    <w:p w:rsidR="007E22EA" w:rsidRDefault="007E22EA" w:rsidP="007E22EA">
      <w:pPr>
        <w:overflowPunct w:val="0"/>
        <w:autoSpaceDE w:val="0"/>
        <w:autoSpaceDN w:val="0"/>
        <w:snapToGrid w:val="0"/>
        <w:rPr>
          <w:rFonts w:ascii="黑体" w:eastAsia="黑体" w:hAnsi="黑体" w:cs="Arial"/>
          <w:sz w:val="22"/>
          <w:szCs w:val="22"/>
        </w:rPr>
      </w:pPr>
    </w:p>
    <w:p w:rsidR="007E22EA" w:rsidRPr="007E22EA" w:rsidRDefault="007E22EA" w:rsidP="007E22EA">
      <w:pPr>
        <w:overflowPunct w:val="0"/>
        <w:autoSpaceDE w:val="0"/>
        <w:autoSpaceDN w:val="0"/>
        <w:snapToGrid w:val="0"/>
        <w:ind w:firstLineChars="200" w:firstLine="480"/>
        <w:rPr>
          <w:rFonts w:ascii="宋体" w:hAnsi="宋体" w:cs="Arial"/>
          <w:szCs w:val="22"/>
        </w:rPr>
      </w:pPr>
      <w:r w:rsidRPr="007E22EA">
        <w:rPr>
          <w:rFonts w:ascii="宋体" w:hAnsi="宋体" w:cs="Arial"/>
        </w:rPr>
        <w:t>后附财务报表附注为本清算财务报表的组成部分</w:t>
      </w:r>
      <w:r w:rsidRPr="007E22EA">
        <w:rPr>
          <w:rFonts w:ascii="宋体" w:hAnsi="宋体" w:cs="Arial" w:hint="eastAsia"/>
        </w:rPr>
        <w:t>。</w:t>
      </w:r>
    </w:p>
    <w:p w:rsidR="00B51786" w:rsidRPr="007E22EA" w:rsidRDefault="00B51786" w:rsidP="00B51786">
      <w:pPr>
        <w:widowControl w:val="0"/>
        <w:tabs>
          <w:tab w:val="center" w:pos="5387"/>
          <w:tab w:val="center" w:pos="6521"/>
          <w:tab w:val="center" w:pos="7513"/>
          <w:tab w:val="center" w:pos="7938"/>
          <w:tab w:val="center" w:pos="9214"/>
          <w:tab w:val="center" w:pos="10206"/>
        </w:tabs>
        <w:spacing w:line="360" w:lineRule="auto"/>
        <w:rPr>
          <w:rFonts w:ascii="宋体" w:hAnsi="宋体"/>
          <w:bCs/>
          <w:szCs w:val="24"/>
        </w:rPr>
      </w:pPr>
    </w:p>
    <w:p w:rsidR="00255068" w:rsidRPr="00B51786" w:rsidRDefault="00255068" w:rsidP="005E43A5">
      <w:pPr>
        <w:tabs>
          <w:tab w:val="right" w:pos="9945"/>
        </w:tabs>
        <w:spacing w:line="360" w:lineRule="auto"/>
        <w:rPr>
          <w:rFonts w:ascii="宋体" w:hAnsi="宋体"/>
          <w:bCs/>
          <w:szCs w:val="24"/>
        </w:rPr>
        <w:sectPr w:rsidR="00255068" w:rsidRPr="00B51786" w:rsidSect="00B71983">
          <w:headerReference w:type="default" r:id="rId12"/>
          <w:pgSz w:w="11909" w:h="16834" w:code="9"/>
          <w:pgMar w:top="864" w:right="720" w:bottom="432" w:left="1008" w:header="864" w:footer="432" w:gutter="0"/>
          <w:cols w:space="720"/>
          <w:noEndnote/>
          <w:docGrid w:linePitch="360"/>
        </w:sectPr>
      </w:pPr>
    </w:p>
    <w:p w:rsidR="00650D47" w:rsidRPr="0060501A" w:rsidRDefault="005E43A5" w:rsidP="005B1AD3">
      <w:pPr>
        <w:pStyle w:val="a6"/>
        <w:tabs>
          <w:tab w:val="right" w:pos="10170"/>
        </w:tabs>
        <w:spacing w:line="360" w:lineRule="auto"/>
        <w:rPr>
          <w:rFonts w:ascii="宋体" w:hAnsi="宋体"/>
          <w:b/>
          <w:szCs w:val="24"/>
        </w:rPr>
      </w:pPr>
      <w:r>
        <w:rPr>
          <w:rFonts w:ascii="宋体" w:hAnsi="宋体" w:hint="eastAsia"/>
          <w:b/>
          <w:szCs w:val="24"/>
        </w:rPr>
        <w:t xml:space="preserve">5.3 </w:t>
      </w:r>
      <w:r w:rsidR="00650D47" w:rsidRPr="0060501A">
        <w:rPr>
          <w:rFonts w:ascii="宋体" w:hAnsi="宋体" w:hint="eastAsia"/>
          <w:b/>
          <w:szCs w:val="24"/>
        </w:rPr>
        <w:t>报表附注</w:t>
      </w:r>
    </w:p>
    <w:p w:rsidR="00650D47" w:rsidRPr="0080759E" w:rsidRDefault="00650D47" w:rsidP="0080759E">
      <w:pPr>
        <w:pStyle w:val="a6"/>
        <w:spacing w:line="360" w:lineRule="auto"/>
        <w:jc w:val="both"/>
        <w:rPr>
          <w:rFonts w:ascii="宋体" w:hAnsi="宋体"/>
          <w:szCs w:val="24"/>
        </w:rPr>
      </w:pPr>
      <w:r w:rsidRPr="0080759E">
        <w:rPr>
          <w:rFonts w:ascii="宋体" w:hAnsi="宋体"/>
          <w:szCs w:val="24"/>
        </w:rPr>
        <w:t>1</w:t>
      </w:r>
      <w:r w:rsidRPr="0080759E">
        <w:rPr>
          <w:rFonts w:ascii="宋体" w:hAnsi="宋体" w:hint="eastAsia"/>
          <w:szCs w:val="24"/>
        </w:rPr>
        <w:t>.</w:t>
      </w:r>
      <w:r w:rsidRPr="0080759E">
        <w:rPr>
          <w:rFonts w:ascii="宋体" w:hAnsi="宋体"/>
          <w:szCs w:val="24"/>
        </w:rPr>
        <w:tab/>
      </w:r>
      <w:r w:rsidR="00F00238" w:rsidRPr="0080759E">
        <w:rPr>
          <w:rFonts w:ascii="宋体" w:hAnsi="宋体" w:hint="eastAsia"/>
          <w:szCs w:val="24"/>
        </w:rPr>
        <w:t>广发中证全指主要消费交易型开放式指数证券投资基金</w:t>
      </w:r>
      <w:r w:rsidRPr="0080759E">
        <w:rPr>
          <w:rFonts w:ascii="宋体" w:hAnsi="宋体" w:hint="eastAsia"/>
          <w:szCs w:val="24"/>
        </w:rPr>
        <w:t>简介</w:t>
      </w:r>
    </w:p>
    <w:p w:rsidR="0080759E" w:rsidRPr="0080759E" w:rsidRDefault="0080759E" w:rsidP="0080759E">
      <w:pPr>
        <w:widowControl w:val="0"/>
        <w:numPr>
          <w:ilvl w:val="0"/>
          <w:numId w:val="2"/>
        </w:numPr>
        <w:overflowPunct w:val="0"/>
        <w:autoSpaceDE w:val="0"/>
        <w:autoSpaceDN w:val="0"/>
        <w:snapToGrid w:val="0"/>
        <w:spacing w:line="360" w:lineRule="auto"/>
        <w:ind w:hanging="720"/>
        <w:jc w:val="both"/>
        <w:rPr>
          <w:rFonts w:ascii="宋体" w:hAnsi="宋体" w:cs="Arial"/>
          <w:b/>
          <w:kern w:val="2"/>
          <w:szCs w:val="24"/>
          <w:lang w:val="en-US"/>
        </w:rPr>
      </w:pPr>
      <w:r w:rsidRPr="0080759E">
        <w:rPr>
          <w:rFonts w:ascii="宋体" w:hAnsi="宋体" w:cs="Arial"/>
          <w:b/>
          <w:kern w:val="2"/>
          <w:szCs w:val="24"/>
          <w:lang w:val="en-US"/>
        </w:rPr>
        <w:t>基金</w:t>
      </w:r>
      <w:r w:rsidRPr="0080759E">
        <w:rPr>
          <w:rFonts w:ascii="宋体" w:hAnsi="宋体" w:cs="Arial" w:hint="eastAsia"/>
          <w:b/>
          <w:kern w:val="2"/>
          <w:szCs w:val="24"/>
          <w:lang w:val="en-US"/>
        </w:rPr>
        <w:t>基本情况</w:t>
      </w: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pPr>
      <w:r w:rsidRPr="0080759E">
        <w:rPr>
          <w:rFonts w:ascii="宋体" w:hAnsi="宋体" w:cs="Arial" w:hint="eastAsia"/>
          <w:kern w:val="2"/>
          <w:szCs w:val="24"/>
          <w:lang w:val="en-US"/>
        </w:rPr>
        <w:t>广发中证全指主要消费交易型开放式指数证券投资基金（“本基金”）经中国证券监督管理委员会（“中国证监会”）证监许可[2013]1264号文核准，由广发基金管理有限公司依照《中华人民共和国证券投资基金法》、《公开募集证券投资基金运作管理办法》等有关规定和《广发中证全指主要消费交易型开放式指数证券投资基金基金合同》（“基金合同”）发起，于2015年7月1日募集成立。本基金的基金管理人为广发基金管理有限公司，基金托管人为中国银行股份有限公司。本基金募集期为2015年6月15日至2015年6月24日，本基金为交易型开放式基金，存续期限不定，募集资金总额为人民币255,315,634.00元，有效认购户数为2,897户。其中，认购资金在募集期间产生的利息共计人民币18,714.00元，折合基金份额18,714.00份，按照基金合同的有关约定计入基金份额持有人的基金账户。本基金募集资金经德勤华永会计师事务所（特殊普通合伙）验资。根据《中华人民共和国证券投资基金法》、《公开募集证券投资基金运作管理办法》和基金合同等有关规定，本基金的投资范围包括：中证全指主要消费指数的成份股、备选成份股，少量投资于非成份股（包括中小板、创业板及其他经中国证监会核准上市的股票）、新股、债券、权证、股指期货、货币市场工具及中国证监会允许基金投资的其他金融工具，但须符合中国证监会的相关规定。</w:t>
      </w: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pPr>
      <w:r w:rsidRPr="0080759E">
        <w:rPr>
          <w:rFonts w:ascii="宋体" w:hAnsi="宋体" w:cs="Arial" w:hint="eastAsia"/>
          <w:kern w:val="2"/>
          <w:szCs w:val="24"/>
          <w:lang w:val="en-US"/>
        </w:rPr>
        <w:t>在建仓完成后，本基金投资于标的指数成份股、备选成份股的比例不低于基金资产净值的95%，权证、股指期货及其他金融工具的投资比例依照法律法规或监管机构的规定执行。本基金的业绩比较基准：中证全指主要消费指数。</w:t>
      </w:r>
    </w:p>
    <w:p w:rsidR="0080759E" w:rsidRPr="0080759E" w:rsidRDefault="0080759E" w:rsidP="0080759E">
      <w:pPr>
        <w:widowControl w:val="0"/>
        <w:overflowPunct w:val="0"/>
        <w:autoSpaceDE w:val="0"/>
        <w:autoSpaceDN w:val="0"/>
        <w:snapToGrid w:val="0"/>
        <w:spacing w:line="360" w:lineRule="auto"/>
        <w:rPr>
          <w:rFonts w:ascii="宋体" w:hAnsi="宋体" w:cs="Arial"/>
          <w:kern w:val="2"/>
          <w:szCs w:val="24"/>
          <w:lang w:val="en-US"/>
        </w:rPr>
      </w:pPr>
    </w:p>
    <w:p w:rsidR="0080759E" w:rsidRPr="0080759E" w:rsidRDefault="0080759E" w:rsidP="0080759E">
      <w:pPr>
        <w:widowControl w:val="0"/>
        <w:numPr>
          <w:ilvl w:val="0"/>
          <w:numId w:val="2"/>
        </w:numPr>
        <w:overflowPunct w:val="0"/>
        <w:autoSpaceDE w:val="0"/>
        <w:autoSpaceDN w:val="0"/>
        <w:snapToGrid w:val="0"/>
        <w:spacing w:line="360" w:lineRule="auto"/>
        <w:ind w:hanging="720"/>
        <w:jc w:val="both"/>
        <w:rPr>
          <w:rFonts w:ascii="宋体" w:hAnsi="宋体" w:cs="Arial"/>
          <w:b/>
          <w:kern w:val="2"/>
          <w:szCs w:val="24"/>
          <w:lang w:val="en-US"/>
        </w:rPr>
      </w:pPr>
      <w:r w:rsidRPr="0080759E">
        <w:rPr>
          <w:rFonts w:ascii="宋体" w:hAnsi="宋体" w:cs="Arial" w:hint="eastAsia"/>
          <w:b/>
          <w:kern w:val="2"/>
          <w:szCs w:val="24"/>
          <w:lang w:val="en-US"/>
        </w:rPr>
        <w:t>清算</w:t>
      </w:r>
      <w:r w:rsidRPr="0080759E">
        <w:rPr>
          <w:rFonts w:ascii="宋体" w:hAnsi="宋体" w:cs="Arial"/>
          <w:b/>
          <w:kern w:val="2"/>
          <w:szCs w:val="24"/>
          <w:lang w:val="en-US"/>
        </w:rPr>
        <w:t>原因</w:t>
      </w: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bCs/>
          <w:kern w:val="2"/>
          <w:szCs w:val="24"/>
          <w:lang w:val="en-US"/>
        </w:rPr>
      </w:pPr>
      <w:r w:rsidRPr="0080759E">
        <w:rPr>
          <w:rFonts w:ascii="宋体" w:hAnsi="宋体" w:cs="Arial" w:hint="eastAsia"/>
          <w:bCs/>
          <w:kern w:val="2"/>
          <w:szCs w:val="24"/>
          <w:lang w:val="en-US"/>
        </w:rPr>
        <w:t>2018年</w:t>
      </w:r>
      <w:r w:rsidRPr="0080759E">
        <w:rPr>
          <w:rFonts w:ascii="宋体" w:hAnsi="宋体" w:cs="Arial"/>
          <w:bCs/>
          <w:kern w:val="2"/>
          <w:szCs w:val="24"/>
          <w:lang w:val="en-US"/>
        </w:rPr>
        <w:t>11</w:t>
      </w:r>
      <w:r w:rsidRPr="0080759E">
        <w:rPr>
          <w:rFonts w:ascii="宋体" w:hAnsi="宋体" w:cs="Arial" w:hint="eastAsia"/>
          <w:bCs/>
          <w:kern w:val="2"/>
          <w:szCs w:val="24"/>
          <w:lang w:val="en-US"/>
        </w:rPr>
        <w:t>月</w:t>
      </w:r>
      <w:r w:rsidRPr="0080759E">
        <w:rPr>
          <w:rFonts w:ascii="宋体" w:hAnsi="宋体" w:cs="Arial"/>
          <w:bCs/>
          <w:kern w:val="2"/>
          <w:szCs w:val="24"/>
          <w:lang w:val="en-US"/>
        </w:rPr>
        <w:t>2</w:t>
      </w:r>
      <w:r w:rsidRPr="0080759E">
        <w:rPr>
          <w:rFonts w:ascii="宋体" w:hAnsi="宋体" w:cs="Arial" w:hint="eastAsia"/>
          <w:bCs/>
          <w:kern w:val="2"/>
          <w:szCs w:val="24"/>
          <w:lang w:val="en-US"/>
        </w:rPr>
        <w:t>1日起至2018年</w:t>
      </w:r>
      <w:r w:rsidRPr="0080759E">
        <w:rPr>
          <w:rFonts w:ascii="宋体" w:hAnsi="宋体" w:cs="Arial"/>
          <w:bCs/>
          <w:kern w:val="2"/>
          <w:szCs w:val="24"/>
          <w:lang w:val="en-US"/>
        </w:rPr>
        <w:t>12</w:t>
      </w:r>
      <w:r w:rsidRPr="0080759E">
        <w:rPr>
          <w:rFonts w:ascii="宋体" w:hAnsi="宋体" w:cs="Arial" w:hint="eastAsia"/>
          <w:bCs/>
          <w:kern w:val="2"/>
          <w:szCs w:val="24"/>
          <w:lang w:val="en-US"/>
        </w:rPr>
        <w:t>月</w:t>
      </w:r>
      <w:r w:rsidRPr="0080759E">
        <w:rPr>
          <w:rFonts w:ascii="宋体" w:hAnsi="宋体" w:cs="Arial"/>
          <w:bCs/>
          <w:kern w:val="2"/>
          <w:szCs w:val="24"/>
          <w:lang w:val="en-US"/>
        </w:rPr>
        <w:t>20</w:t>
      </w:r>
      <w:r w:rsidRPr="0080759E">
        <w:rPr>
          <w:rFonts w:ascii="宋体" w:hAnsi="宋体" w:cs="Arial" w:hint="eastAsia"/>
          <w:bCs/>
          <w:kern w:val="2"/>
          <w:szCs w:val="24"/>
          <w:lang w:val="en-US"/>
        </w:rPr>
        <w:t>日止，本基金以通讯方式召开了基金份额持有人大会。于2018年</w:t>
      </w:r>
      <w:r w:rsidRPr="0080759E">
        <w:rPr>
          <w:rFonts w:ascii="宋体" w:hAnsi="宋体" w:cs="Arial"/>
          <w:bCs/>
          <w:kern w:val="2"/>
          <w:szCs w:val="24"/>
          <w:lang w:val="en-US"/>
        </w:rPr>
        <w:t>12</w:t>
      </w:r>
      <w:r w:rsidRPr="0080759E">
        <w:rPr>
          <w:rFonts w:ascii="宋体" w:hAnsi="宋体" w:cs="Arial" w:hint="eastAsia"/>
          <w:bCs/>
          <w:kern w:val="2"/>
          <w:szCs w:val="24"/>
          <w:lang w:val="en-US"/>
        </w:rPr>
        <w:t>月</w:t>
      </w:r>
      <w:r w:rsidRPr="0080759E">
        <w:rPr>
          <w:rFonts w:ascii="宋体" w:hAnsi="宋体" w:cs="Arial"/>
          <w:bCs/>
          <w:kern w:val="2"/>
          <w:szCs w:val="24"/>
          <w:lang w:val="en-US"/>
        </w:rPr>
        <w:t>21</w:t>
      </w:r>
      <w:r w:rsidRPr="0080759E">
        <w:rPr>
          <w:rFonts w:ascii="宋体" w:hAnsi="宋体" w:cs="Arial" w:hint="eastAsia"/>
          <w:bCs/>
          <w:kern w:val="2"/>
          <w:szCs w:val="24"/>
          <w:lang w:val="en-US"/>
        </w:rPr>
        <w:t>日，本基金基金份额持有人大会审议并通过了《关于广发中证全指主要消费交易型开放式指数证券投资基金终止基金合同并终止上市相关事项的议案》。根据基金管理人于2018年12月24日公布的《广发基金管理有限公司关于广发中证全指主要消费交易型开放式指数证券投资基金基金份额持有人大会表决结果暨决议生效的公告》，本基金从2018年</w:t>
      </w:r>
      <w:r w:rsidRPr="0080759E">
        <w:rPr>
          <w:rFonts w:ascii="宋体" w:hAnsi="宋体" w:cs="Arial"/>
          <w:bCs/>
          <w:kern w:val="2"/>
          <w:szCs w:val="24"/>
          <w:lang w:val="en-US"/>
        </w:rPr>
        <w:t>12</w:t>
      </w:r>
      <w:r w:rsidRPr="0080759E">
        <w:rPr>
          <w:rFonts w:ascii="宋体" w:hAnsi="宋体" w:cs="Arial" w:hint="eastAsia"/>
          <w:bCs/>
          <w:kern w:val="2"/>
          <w:szCs w:val="24"/>
          <w:lang w:val="en-US"/>
        </w:rPr>
        <w:t>月</w:t>
      </w:r>
      <w:r w:rsidRPr="0080759E">
        <w:rPr>
          <w:rFonts w:ascii="宋体" w:hAnsi="宋体" w:cs="Arial"/>
          <w:bCs/>
          <w:kern w:val="2"/>
          <w:szCs w:val="24"/>
          <w:lang w:val="en-US"/>
        </w:rPr>
        <w:t>25</w:t>
      </w:r>
      <w:r w:rsidRPr="0080759E">
        <w:rPr>
          <w:rFonts w:ascii="宋体" w:hAnsi="宋体" w:cs="Arial" w:hint="eastAsia"/>
          <w:bCs/>
          <w:kern w:val="2"/>
          <w:szCs w:val="24"/>
          <w:lang w:val="en-US"/>
        </w:rPr>
        <w:t>日起进入清算期，基金管理人按照本基金基金合同约定，组织成立基金财产清算小组履行基金财产清算程序。</w:t>
      </w: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bCs/>
          <w:kern w:val="2"/>
          <w:szCs w:val="24"/>
          <w:lang w:val="en-US"/>
        </w:rPr>
      </w:pPr>
    </w:p>
    <w:p w:rsidR="0080759E" w:rsidRPr="0080759E" w:rsidRDefault="0080759E" w:rsidP="0080759E">
      <w:pPr>
        <w:widowControl w:val="0"/>
        <w:numPr>
          <w:ilvl w:val="0"/>
          <w:numId w:val="2"/>
        </w:numPr>
        <w:overflowPunct w:val="0"/>
        <w:autoSpaceDE w:val="0"/>
        <w:autoSpaceDN w:val="0"/>
        <w:snapToGrid w:val="0"/>
        <w:spacing w:line="360" w:lineRule="auto"/>
        <w:ind w:hanging="720"/>
        <w:jc w:val="both"/>
        <w:rPr>
          <w:rFonts w:ascii="宋体" w:hAnsi="宋体" w:cs="Arial"/>
          <w:b/>
          <w:kern w:val="2"/>
          <w:szCs w:val="24"/>
          <w:lang w:val="en-US"/>
        </w:rPr>
      </w:pPr>
      <w:r w:rsidRPr="0080759E">
        <w:rPr>
          <w:rFonts w:ascii="宋体" w:hAnsi="宋体" w:cs="Arial"/>
          <w:b/>
          <w:kern w:val="2"/>
          <w:szCs w:val="24"/>
          <w:lang w:val="en-US"/>
        </w:rPr>
        <w:t>清算期间</w:t>
      </w: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pPr>
      <w:r w:rsidRPr="0080759E">
        <w:rPr>
          <w:rFonts w:ascii="宋体" w:hAnsi="宋体" w:cs="Arial" w:hint="eastAsia"/>
          <w:kern w:val="2"/>
          <w:szCs w:val="24"/>
          <w:lang w:val="en-US"/>
        </w:rPr>
        <w:t>根据《关于</w:t>
      </w:r>
      <w:r w:rsidRPr="0080759E">
        <w:rPr>
          <w:rFonts w:ascii="宋体" w:hAnsi="宋体" w:cs="Arial" w:hint="eastAsia"/>
          <w:bCs/>
          <w:kern w:val="2"/>
          <w:szCs w:val="24"/>
          <w:lang w:val="en-US"/>
        </w:rPr>
        <w:t>广发中证全指主要消费交易型开放式指数证券投资基金</w:t>
      </w:r>
      <w:r w:rsidRPr="0080759E">
        <w:rPr>
          <w:rFonts w:ascii="宋体" w:hAnsi="宋体" w:cs="Arial" w:hint="eastAsia"/>
          <w:kern w:val="2"/>
          <w:szCs w:val="24"/>
          <w:lang w:val="en-US"/>
        </w:rPr>
        <w:t>的清算说明函》，本基金本次清算期间为2018年</w:t>
      </w:r>
      <w:r w:rsidRPr="0080759E">
        <w:rPr>
          <w:rFonts w:ascii="宋体" w:hAnsi="宋体" w:cs="Arial"/>
          <w:kern w:val="2"/>
          <w:szCs w:val="24"/>
          <w:lang w:val="en-US"/>
        </w:rPr>
        <w:t>12</w:t>
      </w:r>
      <w:r w:rsidRPr="0080759E">
        <w:rPr>
          <w:rFonts w:ascii="宋体" w:hAnsi="宋体" w:cs="Arial" w:hint="eastAsia"/>
          <w:kern w:val="2"/>
          <w:szCs w:val="24"/>
          <w:lang w:val="en-US"/>
        </w:rPr>
        <w:t>月2</w:t>
      </w:r>
      <w:r w:rsidRPr="0080759E">
        <w:rPr>
          <w:rFonts w:ascii="宋体" w:hAnsi="宋体" w:cs="Arial"/>
          <w:kern w:val="2"/>
          <w:szCs w:val="24"/>
          <w:lang w:val="en-US"/>
        </w:rPr>
        <w:t>5</w:t>
      </w:r>
      <w:r w:rsidRPr="0080759E">
        <w:rPr>
          <w:rFonts w:ascii="宋体" w:hAnsi="宋体" w:cs="Arial" w:hint="eastAsia"/>
          <w:kern w:val="2"/>
          <w:szCs w:val="24"/>
          <w:lang w:val="en-US"/>
        </w:rPr>
        <w:t>日至2019年1月1</w:t>
      </w:r>
      <w:r w:rsidRPr="0080759E">
        <w:rPr>
          <w:rFonts w:ascii="宋体" w:hAnsi="宋体" w:cs="Arial"/>
          <w:kern w:val="2"/>
          <w:szCs w:val="24"/>
          <w:lang w:val="en-US"/>
        </w:rPr>
        <w:t>5</w:t>
      </w:r>
      <w:r w:rsidRPr="0080759E">
        <w:rPr>
          <w:rFonts w:ascii="宋体" w:hAnsi="宋体" w:cs="Arial" w:hint="eastAsia"/>
          <w:kern w:val="2"/>
          <w:szCs w:val="24"/>
          <w:lang w:val="en-US"/>
        </w:rPr>
        <w:t>日止。</w:t>
      </w:r>
    </w:p>
    <w:p w:rsidR="0080759E" w:rsidRPr="0080759E" w:rsidRDefault="0080759E" w:rsidP="0080759E">
      <w:pPr>
        <w:widowControl w:val="0"/>
        <w:overflowPunct w:val="0"/>
        <w:autoSpaceDE w:val="0"/>
        <w:autoSpaceDN w:val="0"/>
        <w:snapToGrid w:val="0"/>
        <w:spacing w:line="360" w:lineRule="auto"/>
        <w:ind w:left="360"/>
        <w:jc w:val="both"/>
        <w:rPr>
          <w:rFonts w:ascii="宋体" w:hAnsi="宋体" w:cs="Arial"/>
          <w:bCs/>
          <w:kern w:val="2"/>
          <w:szCs w:val="24"/>
          <w:lang w:val="en-US"/>
        </w:rPr>
      </w:pPr>
    </w:p>
    <w:p w:rsidR="0080759E" w:rsidRPr="0080759E" w:rsidRDefault="0080759E" w:rsidP="0080759E">
      <w:pPr>
        <w:widowControl w:val="0"/>
        <w:tabs>
          <w:tab w:val="left" w:pos="709"/>
        </w:tabs>
        <w:overflowPunct w:val="0"/>
        <w:autoSpaceDE w:val="0"/>
        <w:autoSpaceDN w:val="0"/>
        <w:snapToGrid w:val="0"/>
        <w:spacing w:line="360" w:lineRule="auto"/>
        <w:ind w:left="709" w:hanging="709"/>
        <w:rPr>
          <w:rFonts w:ascii="宋体" w:hAnsi="宋体" w:cs="Arial"/>
          <w:b/>
          <w:kern w:val="2"/>
          <w:szCs w:val="24"/>
          <w:lang w:val="en-US"/>
        </w:rPr>
      </w:pPr>
      <w:r w:rsidRPr="0080759E">
        <w:rPr>
          <w:rFonts w:ascii="宋体" w:hAnsi="宋体" w:cs="Arial" w:hint="eastAsia"/>
          <w:b/>
          <w:kern w:val="2"/>
          <w:szCs w:val="24"/>
          <w:lang w:val="en-US"/>
        </w:rPr>
        <w:t>2</w:t>
      </w:r>
      <w:r w:rsidRPr="0080759E">
        <w:rPr>
          <w:rFonts w:ascii="宋体" w:hAnsi="宋体" w:cs="Arial"/>
          <w:b/>
          <w:kern w:val="2"/>
          <w:szCs w:val="24"/>
          <w:lang w:val="en-US"/>
        </w:rPr>
        <w:t>.</w:t>
      </w:r>
      <w:r w:rsidRPr="0080759E">
        <w:rPr>
          <w:rFonts w:ascii="宋体" w:hAnsi="宋体" w:cs="Arial"/>
          <w:b/>
          <w:kern w:val="2"/>
          <w:szCs w:val="24"/>
          <w:lang w:val="en-US"/>
        </w:rPr>
        <w:tab/>
      </w:r>
      <w:r w:rsidRPr="0080759E">
        <w:rPr>
          <w:rFonts w:ascii="宋体" w:hAnsi="宋体" w:cs="Arial" w:hint="eastAsia"/>
          <w:b/>
          <w:kern w:val="2"/>
          <w:szCs w:val="24"/>
          <w:lang w:val="en-US"/>
        </w:rPr>
        <w:t>清算财务报表编制基础</w:t>
      </w:r>
    </w:p>
    <w:p w:rsid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pPr>
      <w:r w:rsidRPr="0080759E">
        <w:rPr>
          <w:rFonts w:ascii="宋体" w:hAnsi="宋体" w:cs="Arial" w:hint="eastAsia"/>
          <w:kern w:val="2"/>
          <w:szCs w:val="24"/>
          <w:lang w:val="en-US"/>
        </w:rPr>
        <w:t>本基金的清算报表是在非持续经营的前提下参考《企业会计准则》及《证券投资基金会计核算业务指引》的有关规定编制的。基金管理人编制清算报表是为了呈报</w:t>
      </w:r>
      <w:r w:rsidRPr="0080759E">
        <w:rPr>
          <w:rFonts w:ascii="宋体" w:hAnsi="宋体" w:cs="Arial" w:hint="eastAsia"/>
          <w:bCs/>
          <w:kern w:val="2"/>
          <w:szCs w:val="24"/>
          <w:lang w:val="en-US"/>
        </w:rPr>
        <w:t>广发中证全指主要消费交易型开放式指数证券投资基金</w:t>
      </w:r>
      <w:r w:rsidRPr="0080759E">
        <w:rPr>
          <w:rFonts w:ascii="宋体" w:hAnsi="宋体" w:cs="Arial" w:hint="eastAsia"/>
          <w:kern w:val="2"/>
          <w:szCs w:val="24"/>
          <w:lang w:val="en-US"/>
        </w:rPr>
        <w:t>全体持有人以及中国证监会使用。因此，清算报表可能不适于其他用途。自本基金最后运作日起，资产负债按清算价</w:t>
      </w:r>
      <w:r>
        <w:rPr>
          <w:rFonts w:ascii="宋体" w:hAnsi="宋体" w:cs="Arial" w:hint="eastAsia"/>
          <w:kern w:val="2"/>
          <w:szCs w:val="24"/>
          <w:lang w:val="en-US"/>
        </w:rPr>
        <w:t>格计价。由于报告性质所致，本清算报表并无比较期间的相关数据列示。</w:t>
      </w:r>
    </w:p>
    <w:p w:rsid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pPr>
    </w:p>
    <w:p w:rsidR="0080759E" w:rsidRPr="0080759E" w:rsidRDefault="0080759E" w:rsidP="00804504">
      <w:pPr>
        <w:widowControl w:val="0"/>
        <w:overflowPunct w:val="0"/>
        <w:autoSpaceDE w:val="0"/>
        <w:autoSpaceDN w:val="0"/>
        <w:snapToGrid w:val="0"/>
        <w:spacing w:line="360" w:lineRule="auto"/>
        <w:jc w:val="both"/>
        <w:rPr>
          <w:rFonts w:ascii="宋体" w:hAnsi="宋体" w:cs="Arial"/>
          <w:b/>
          <w:kern w:val="2"/>
          <w:szCs w:val="24"/>
          <w:lang w:val="en-US"/>
        </w:rPr>
      </w:pPr>
      <w:r w:rsidRPr="0080759E">
        <w:rPr>
          <w:rFonts w:ascii="宋体" w:hAnsi="宋体" w:cs="Arial"/>
          <w:b/>
          <w:kern w:val="2"/>
          <w:szCs w:val="24"/>
          <w:lang w:val="en-US"/>
        </w:rPr>
        <w:t>3.</w:t>
      </w:r>
      <w:r w:rsidRPr="0080759E">
        <w:rPr>
          <w:rFonts w:ascii="宋体" w:hAnsi="宋体" w:cs="Arial"/>
          <w:b/>
          <w:kern w:val="2"/>
          <w:szCs w:val="24"/>
          <w:lang w:val="en-US"/>
        </w:rPr>
        <w:tab/>
      </w:r>
      <w:r w:rsidRPr="0080759E">
        <w:rPr>
          <w:rFonts w:ascii="宋体" w:hAnsi="宋体" w:cs="Arial" w:hint="eastAsia"/>
          <w:b/>
          <w:kern w:val="2"/>
          <w:szCs w:val="24"/>
          <w:lang w:val="en-US"/>
        </w:rPr>
        <w:t>重要会计</w:t>
      </w:r>
      <w:r w:rsidRPr="0080759E">
        <w:rPr>
          <w:rFonts w:ascii="宋体" w:hAnsi="宋体" w:cs="Arial"/>
          <w:b/>
          <w:kern w:val="2"/>
          <w:szCs w:val="24"/>
          <w:lang w:val="en-US"/>
        </w:rPr>
        <w:t>政策和</w:t>
      </w:r>
      <w:r w:rsidRPr="0080759E">
        <w:rPr>
          <w:rFonts w:ascii="宋体" w:hAnsi="宋体" w:cs="Arial" w:hint="eastAsia"/>
          <w:b/>
          <w:kern w:val="2"/>
          <w:szCs w:val="24"/>
          <w:lang w:val="en-US"/>
        </w:rPr>
        <w:t>会计</w:t>
      </w:r>
      <w:r w:rsidRPr="0080759E">
        <w:rPr>
          <w:rFonts w:ascii="宋体" w:hAnsi="宋体" w:cs="Arial"/>
          <w:b/>
          <w:kern w:val="2"/>
          <w:szCs w:val="24"/>
          <w:lang w:val="en-US"/>
        </w:rPr>
        <w:t>估计</w:t>
      </w: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u w:val="single"/>
          <w:lang w:val="en-US"/>
        </w:rPr>
      </w:pPr>
      <w:r w:rsidRPr="0080759E">
        <w:rPr>
          <w:rFonts w:ascii="宋体" w:hAnsi="宋体" w:cs="Arial" w:hint="eastAsia"/>
          <w:kern w:val="2"/>
          <w:szCs w:val="24"/>
          <w:u w:val="single"/>
          <w:lang w:val="en-US"/>
        </w:rPr>
        <w:t xml:space="preserve">清算期间 </w:t>
      </w: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pPr>
      <w:r w:rsidRPr="0080759E">
        <w:rPr>
          <w:rFonts w:ascii="宋体" w:hAnsi="宋体" w:cs="Arial" w:hint="eastAsia"/>
          <w:kern w:val="2"/>
          <w:szCs w:val="24"/>
          <w:lang w:val="en-US"/>
        </w:rPr>
        <w:t>本次清算期间为2018年12月25日（清算开始日）至2019年1月1</w:t>
      </w:r>
      <w:r w:rsidRPr="0080759E">
        <w:rPr>
          <w:rFonts w:ascii="宋体" w:hAnsi="宋体" w:cs="Arial"/>
          <w:kern w:val="2"/>
          <w:szCs w:val="24"/>
          <w:lang w:val="en-US"/>
        </w:rPr>
        <w:t>5</w:t>
      </w:r>
      <w:r w:rsidRPr="0080759E">
        <w:rPr>
          <w:rFonts w:ascii="宋体" w:hAnsi="宋体" w:cs="Arial" w:hint="eastAsia"/>
          <w:kern w:val="2"/>
          <w:szCs w:val="24"/>
          <w:lang w:val="en-US"/>
        </w:rPr>
        <w:t>日（清算结束日）止。</w:t>
      </w: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pP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u w:val="single"/>
          <w:lang w:val="en-US"/>
        </w:rPr>
      </w:pPr>
      <w:r w:rsidRPr="0080759E">
        <w:rPr>
          <w:rFonts w:ascii="宋体" w:hAnsi="宋体" w:cs="Arial" w:hint="eastAsia"/>
          <w:kern w:val="2"/>
          <w:szCs w:val="24"/>
          <w:u w:val="single"/>
          <w:lang w:val="en-US"/>
        </w:rPr>
        <w:t>记账本位币</w:t>
      </w: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pPr>
      <w:r w:rsidRPr="0080759E">
        <w:rPr>
          <w:rFonts w:ascii="宋体" w:hAnsi="宋体" w:cs="Arial" w:hint="eastAsia"/>
          <w:kern w:val="2"/>
          <w:szCs w:val="24"/>
          <w:lang w:val="en-US"/>
        </w:rPr>
        <w:t>本清算财务报表以人民币为记账本位币。</w:t>
      </w: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pP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u w:val="single"/>
          <w:lang w:val="en-US"/>
        </w:rPr>
      </w:pPr>
      <w:r w:rsidRPr="0080759E">
        <w:rPr>
          <w:rFonts w:ascii="宋体" w:hAnsi="宋体" w:cs="Arial" w:hint="eastAsia"/>
          <w:kern w:val="2"/>
          <w:szCs w:val="24"/>
          <w:u w:val="single"/>
          <w:lang w:val="en-US"/>
        </w:rPr>
        <w:t>金融工具</w:t>
      </w: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pPr>
      <w:r w:rsidRPr="0080759E">
        <w:rPr>
          <w:rFonts w:ascii="宋体" w:hAnsi="宋体" w:cs="Arial" w:hint="eastAsia"/>
          <w:kern w:val="2"/>
          <w:szCs w:val="24"/>
          <w:lang w:val="en-US"/>
        </w:rPr>
        <w:t>金融资产和金融负债的分类</w:t>
      </w: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pPr>
      <w:r w:rsidRPr="0080759E">
        <w:rPr>
          <w:rFonts w:ascii="宋体" w:hAnsi="宋体" w:cs="Arial" w:hint="eastAsia"/>
          <w:kern w:val="2"/>
          <w:szCs w:val="24"/>
          <w:lang w:val="en-US"/>
        </w:rPr>
        <w:t>本基金在清算期间将所持有的金融资产划分为交易性金融资产和贷款及应收款项。交易性金融资产包括股票投资。本基金在清算期间持有的在活跃市场中没有报价、回收金额固定或可确定的各类应收款项分类为贷款及应收款项。</w:t>
      </w: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pP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pPr>
      <w:r w:rsidRPr="0080759E">
        <w:rPr>
          <w:rFonts w:ascii="宋体" w:hAnsi="宋体" w:cs="Arial" w:hint="eastAsia"/>
          <w:kern w:val="2"/>
          <w:szCs w:val="24"/>
          <w:lang w:val="en-US"/>
        </w:rPr>
        <w:t>本基金将清算期间持有的金融负债全部划分为其他金融负债。其他金融负债包括各类应付款项。</w:t>
      </w: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pPr>
      <w:r w:rsidRPr="0080759E">
        <w:rPr>
          <w:rFonts w:ascii="宋体" w:hAnsi="宋体" w:cs="Arial" w:hint="eastAsia"/>
          <w:kern w:val="2"/>
          <w:szCs w:val="24"/>
          <w:lang w:val="en-US"/>
        </w:rPr>
        <w:t>金融资产和金融负债的计量和终止确认</w:t>
      </w: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pPr>
      <w:r w:rsidRPr="0080759E">
        <w:rPr>
          <w:rFonts w:ascii="宋体" w:hAnsi="宋体" w:cs="Arial" w:hint="eastAsia"/>
          <w:kern w:val="2"/>
          <w:szCs w:val="24"/>
          <w:lang w:val="en-US"/>
        </w:rPr>
        <w:t>交易性金融资产在清算期间按照公允价值进行计量，公允价值变动形成的利得或损失以及与该等金融资产相关的股利和利息收入计入当期损益；应收款项和其他金融负债采用实际利率法，以摊余成本进行计量。</w:t>
      </w: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pP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pPr>
      <w:r w:rsidRPr="0080759E">
        <w:rPr>
          <w:rFonts w:ascii="宋体" w:hAnsi="宋体" w:cs="Arial" w:hint="eastAsia"/>
          <w:kern w:val="2"/>
          <w:szCs w:val="24"/>
          <w:lang w:val="en-US"/>
        </w:rPr>
        <w:t>满足下列条件之一的金融资产，予以终止确认：（1）收取该金融资产现金流量的合同权利终止；（2）该金融资产已转移，且将金融资产所有权上几乎所有的风险和报酬转移给转入方；（3）该金融资产已转移，虽然本基金既没有转移也没有保留金融资产所有权上几乎所有的风险和报酬，但是放弃了对该金融资产控制。金融负债的现时义务全部或部分已经解除的，才能终止确认该金融负债或其一部分。</w:t>
      </w: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pP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u w:val="single"/>
          <w:lang w:val="en-US"/>
        </w:rPr>
      </w:pPr>
      <w:r w:rsidRPr="0080759E">
        <w:rPr>
          <w:rFonts w:ascii="宋体" w:hAnsi="宋体" w:cs="Arial" w:hint="eastAsia"/>
          <w:kern w:val="2"/>
          <w:szCs w:val="24"/>
          <w:u w:val="single"/>
          <w:lang w:val="en-US"/>
        </w:rPr>
        <w:t>清算收益</w:t>
      </w: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pPr>
      <w:r w:rsidRPr="0080759E">
        <w:rPr>
          <w:rFonts w:ascii="宋体" w:hAnsi="宋体" w:cs="Arial" w:hint="eastAsia"/>
          <w:kern w:val="2"/>
          <w:szCs w:val="24"/>
          <w:lang w:val="en-US"/>
        </w:rPr>
        <w:t xml:space="preserve">清算收益主要包括本基金在清算期间收到的银行存款利息收入、公允价值变动损益、投资收益；清算收益按照实际发生的收益金额或未来应收取的款项金额计量。  </w:t>
      </w: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pP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u w:val="single"/>
          <w:lang w:val="en-US"/>
        </w:rPr>
      </w:pPr>
      <w:r w:rsidRPr="0080759E">
        <w:rPr>
          <w:rFonts w:ascii="宋体" w:hAnsi="宋体" w:cs="Arial" w:hint="eastAsia"/>
          <w:kern w:val="2"/>
          <w:szCs w:val="24"/>
          <w:u w:val="single"/>
          <w:lang w:val="en-US"/>
        </w:rPr>
        <w:t>清算费用</w:t>
      </w: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pPr>
      <w:r w:rsidRPr="0080759E">
        <w:rPr>
          <w:rFonts w:ascii="宋体" w:hAnsi="宋体" w:cs="Arial" w:hint="eastAsia"/>
          <w:kern w:val="2"/>
          <w:szCs w:val="24"/>
          <w:lang w:val="en-US"/>
        </w:rPr>
        <w:t>清算费用主要包括本基金在清算期间发生的各项费用；清算费用按照实际发生的费用金额或未来应支付的款项金额计量。</w:t>
      </w: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pPr>
    </w:p>
    <w:p w:rsidR="0080759E" w:rsidRPr="0080759E" w:rsidRDefault="0080759E" w:rsidP="0080759E">
      <w:pPr>
        <w:widowControl w:val="0"/>
        <w:overflowPunct w:val="0"/>
        <w:autoSpaceDE w:val="0"/>
        <w:autoSpaceDN w:val="0"/>
        <w:snapToGrid w:val="0"/>
        <w:spacing w:line="360" w:lineRule="auto"/>
        <w:jc w:val="both"/>
        <w:rPr>
          <w:rFonts w:ascii="宋体" w:hAnsi="宋体" w:cs="Arial"/>
          <w:b/>
          <w:kern w:val="2"/>
          <w:szCs w:val="24"/>
          <w:lang w:val="en-US"/>
        </w:rPr>
      </w:pPr>
      <w:r w:rsidRPr="0080759E">
        <w:rPr>
          <w:rFonts w:ascii="宋体" w:hAnsi="宋体" w:cs="Arial" w:hint="eastAsia"/>
          <w:b/>
          <w:kern w:val="2"/>
          <w:szCs w:val="24"/>
          <w:lang w:val="en-US"/>
        </w:rPr>
        <w:t>4、</w:t>
      </w:r>
      <w:r w:rsidRPr="0080759E">
        <w:rPr>
          <w:rFonts w:ascii="宋体" w:hAnsi="宋体" w:cs="Arial"/>
          <w:b/>
          <w:kern w:val="2"/>
          <w:szCs w:val="24"/>
          <w:lang w:val="en-US"/>
        </w:rPr>
        <w:tab/>
      </w:r>
      <w:r w:rsidRPr="0080759E">
        <w:rPr>
          <w:rFonts w:ascii="宋体" w:hAnsi="宋体" w:cs="Arial" w:hint="eastAsia"/>
          <w:b/>
          <w:kern w:val="2"/>
          <w:szCs w:val="24"/>
          <w:lang w:val="en-US"/>
        </w:rPr>
        <w:t>税项</w:t>
      </w: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pPr>
      <w:r w:rsidRPr="0080759E">
        <w:rPr>
          <w:rFonts w:ascii="宋体" w:hAnsi="宋体" w:cs="Arial" w:hint="eastAsia"/>
          <w:kern w:val="2"/>
          <w:szCs w:val="24"/>
          <w:lang w:val="en-US"/>
        </w:rPr>
        <w:t xml:space="preserve">根据财政部、国家税务总局财税[2004]78号《关于证券投资基金税收政策的通知》、财税[2008]1号《财政部、国家税务总局关于企业所得税若干优惠政策的通知》、2008年9月18日《上海、深圳证券交易所关于做好证券交易印花税征收方式调整工作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140号《关于明确金融房地产开发教育辅助服务等增值税政策的通知》、财税[2017]56号《关于资管产品增值税有关问题的通知》、财税[2017]90号《关于租入固定资产进项税额抵扣等增值税政策的通知》及其他相关税务法规和实务操作，主要税项列示如下： </w:t>
      </w:r>
    </w:p>
    <w:p w:rsidR="0080759E" w:rsidRPr="0080759E" w:rsidRDefault="0080759E" w:rsidP="00231963">
      <w:pPr>
        <w:widowControl w:val="0"/>
        <w:overflowPunct w:val="0"/>
        <w:autoSpaceDE w:val="0"/>
        <w:autoSpaceDN w:val="0"/>
        <w:snapToGrid w:val="0"/>
        <w:spacing w:line="360" w:lineRule="auto"/>
        <w:ind w:left="709"/>
        <w:jc w:val="both"/>
        <w:rPr>
          <w:rFonts w:ascii="宋体" w:hAnsi="宋体" w:cs="Arial"/>
          <w:kern w:val="2"/>
          <w:szCs w:val="24"/>
          <w:lang w:val="en-US"/>
        </w:rPr>
      </w:pPr>
      <w:r w:rsidRPr="0080759E">
        <w:rPr>
          <w:rFonts w:ascii="宋体" w:hAnsi="宋体" w:cs="Arial" w:hint="eastAsia"/>
          <w:kern w:val="2"/>
          <w:szCs w:val="24"/>
          <w:lang w:val="en-US"/>
        </w:rPr>
        <w:t>（1）证券投资基金（封闭式证券投资基金，开放式证券投资基金）管理人运用基金买卖股票、债券免征营业税或增值税；2018年1月1日起，公开募集证券投资基金运营过程中发生的其他增值税应税行为，以基金管理人为增值税纳税人，暂适用简易计税方法，按照3%的征收率缴纳增值税。</w:t>
      </w:r>
    </w:p>
    <w:p w:rsidR="0080759E" w:rsidRPr="0080759E" w:rsidRDefault="0080759E" w:rsidP="00231963">
      <w:pPr>
        <w:widowControl w:val="0"/>
        <w:overflowPunct w:val="0"/>
        <w:autoSpaceDE w:val="0"/>
        <w:autoSpaceDN w:val="0"/>
        <w:snapToGrid w:val="0"/>
        <w:spacing w:line="360" w:lineRule="auto"/>
        <w:ind w:left="709"/>
        <w:jc w:val="both"/>
        <w:rPr>
          <w:rFonts w:ascii="宋体" w:hAnsi="宋体" w:cs="Arial"/>
          <w:kern w:val="2"/>
          <w:szCs w:val="24"/>
          <w:lang w:val="en-US"/>
        </w:rPr>
      </w:pPr>
      <w:r w:rsidRPr="0080759E">
        <w:rPr>
          <w:rFonts w:ascii="宋体" w:hAnsi="宋体" w:cs="Arial" w:hint="eastAsia"/>
          <w:kern w:val="2"/>
          <w:szCs w:val="24"/>
          <w:lang w:val="en-US"/>
        </w:rPr>
        <w:t xml:space="preserve">（2）对证券投资基金从证券市场中取得的收入，包括买卖股票、债券的差价收入，股权的股息、 红利收入，债券的利息收入及其他收入，暂不缴纳企业所得税。  </w:t>
      </w:r>
    </w:p>
    <w:p w:rsidR="0080759E" w:rsidRPr="0080759E" w:rsidRDefault="0080759E" w:rsidP="00231963">
      <w:pPr>
        <w:widowControl w:val="0"/>
        <w:overflowPunct w:val="0"/>
        <w:autoSpaceDE w:val="0"/>
        <w:autoSpaceDN w:val="0"/>
        <w:snapToGrid w:val="0"/>
        <w:spacing w:line="360" w:lineRule="auto"/>
        <w:ind w:left="709"/>
        <w:jc w:val="both"/>
        <w:rPr>
          <w:rFonts w:ascii="宋体" w:hAnsi="宋体" w:cs="Arial"/>
          <w:kern w:val="2"/>
          <w:szCs w:val="24"/>
          <w:lang w:val="en-US"/>
        </w:rPr>
      </w:pPr>
      <w:r w:rsidRPr="0080759E">
        <w:rPr>
          <w:rFonts w:ascii="宋体" w:hAnsi="宋体" w:cs="Arial" w:hint="eastAsia"/>
          <w:kern w:val="2"/>
          <w:szCs w:val="24"/>
          <w:lang w:val="en-US"/>
        </w:rPr>
        <w:t xml:space="preserve">（3）对基金取得的股票股息、红利收入，由上市公司在收到相关扣收税款当月的法定申报期内向主管税务机关申报缴纳，从公开发行和转让市场取得的上市公司股票，持股期限在1个月以内（含1个月）的，其股息红利所得全额计入应纳税所得额；持股期限在1个月以上至1年（含1年） 的，暂减按50%计入应纳税所得额；持股期限超过1年的，股息红利所得暂免征收个人所得税。 上述所得统一适用20%的税率计征个人所得税。  </w:t>
      </w:r>
    </w:p>
    <w:p w:rsidR="0080759E" w:rsidRPr="0080759E" w:rsidRDefault="0080759E" w:rsidP="00231963">
      <w:pPr>
        <w:widowControl w:val="0"/>
        <w:overflowPunct w:val="0"/>
        <w:autoSpaceDE w:val="0"/>
        <w:autoSpaceDN w:val="0"/>
        <w:snapToGrid w:val="0"/>
        <w:spacing w:line="360" w:lineRule="auto"/>
        <w:ind w:left="709"/>
        <w:jc w:val="both"/>
        <w:rPr>
          <w:rFonts w:ascii="宋体" w:hAnsi="宋体" w:cs="Arial"/>
          <w:kern w:val="2"/>
          <w:szCs w:val="24"/>
          <w:lang w:val="en-US"/>
        </w:rPr>
      </w:pPr>
      <w:r w:rsidRPr="0080759E">
        <w:rPr>
          <w:rFonts w:ascii="宋体" w:hAnsi="宋体" w:cs="Arial" w:hint="eastAsia"/>
          <w:kern w:val="2"/>
          <w:szCs w:val="24"/>
          <w:lang w:val="en-US"/>
        </w:rPr>
        <w:t>（4）对基金取得的债券利息收入，由发行债券的企业在向基金支付上述收入时代扣代缴20%的个人所得税，暂不缴纳企业所得税。</w:t>
      </w:r>
    </w:p>
    <w:p w:rsidR="0080759E" w:rsidRPr="0080759E" w:rsidRDefault="0080759E" w:rsidP="00231963">
      <w:pPr>
        <w:widowControl w:val="0"/>
        <w:overflowPunct w:val="0"/>
        <w:autoSpaceDE w:val="0"/>
        <w:autoSpaceDN w:val="0"/>
        <w:snapToGrid w:val="0"/>
        <w:spacing w:line="360" w:lineRule="auto"/>
        <w:ind w:left="709"/>
        <w:jc w:val="both"/>
        <w:rPr>
          <w:rFonts w:ascii="宋体" w:hAnsi="宋体" w:cs="Arial"/>
          <w:kern w:val="2"/>
          <w:szCs w:val="24"/>
          <w:lang w:val="en-US"/>
        </w:rPr>
      </w:pPr>
      <w:r w:rsidRPr="0080759E">
        <w:rPr>
          <w:rFonts w:ascii="宋体" w:hAnsi="宋体" w:cs="Arial" w:hint="eastAsia"/>
          <w:kern w:val="2"/>
          <w:szCs w:val="24"/>
          <w:lang w:val="en-US"/>
        </w:rPr>
        <w:t>（5）对于基金从事A股买卖，出让方按0.10%的税率缴纳证券（股票）交易印花税，对受让方不再缴纳印花税。</w:t>
      </w:r>
    </w:p>
    <w:p w:rsidR="0080759E" w:rsidRPr="0080759E" w:rsidRDefault="0080759E" w:rsidP="0080759E">
      <w:pPr>
        <w:widowControl w:val="0"/>
        <w:overflowPunct w:val="0"/>
        <w:autoSpaceDE w:val="0"/>
        <w:autoSpaceDN w:val="0"/>
        <w:snapToGrid w:val="0"/>
        <w:spacing w:line="360" w:lineRule="auto"/>
        <w:jc w:val="both"/>
        <w:rPr>
          <w:rFonts w:ascii="宋体" w:hAnsi="宋体" w:cs="Arial"/>
          <w:b/>
          <w:kern w:val="2"/>
          <w:szCs w:val="24"/>
          <w:lang w:val="en-US"/>
        </w:rPr>
      </w:pPr>
    </w:p>
    <w:p w:rsidR="0080759E" w:rsidRPr="0080759E" w:rsidRDefault="0080759E" w:rsidP="0080759E">
      <w:pPr>
        <w:widowControl w:val="0"/>
        <w:overflowPunct w:val="0"/>
        <w:autoSpaceDE w:val="0"/>
        <w:autoSpaceDN w:val="0"/>
        <w:snapToGrid w:val="0"/>
        <w:spacing w:line="360" w:lineRule="auto"/>
        <w:jc w:val="both"/>
        <w:rPr>
          <w:rFonts w:ascii="宋体" w:hAnsi="宋体" w:cs="Arial"/>
          <w:kern w:val="2"/>
          <w:szCs w:val="24"/>
          <w:lang w:val="en-US"/>
        </w:rPr>
      </w:pPr>
      <w:r w:rsidRPr="0080759E">
        <w:rPr>
          <w:rFonts w:ascii="宋体" w:hAnsi="宋体" w:cs="Arial"/>
          <w:b/>
          <w:kern w:val="2"/>
          <w:szCs w:val="24"/>
          <w:lang w:val="en-US"/>
        </w:rPr>
        <w:t>5</w:t>
      </w:r>
      <w:r w:rsidRPr="0080759E">
        <w:rPr>
          <w:rFonts w:ascii="宋体" w:hAnsi="宋体" w:cs="Arial" w:hint="eastAsia"/>
          <w:b/>
          <w:kern w:val="2"/>
          <w:szCs w:val="24"/>
          <w:lang w:val="en-US"/>
        </w:rPr>
        <w:t>、</w:t>
      </w:r>
      <w:r w:rsidRPr="0080759E">
        <w:rPr>
          <w:rFonts w:ascii="宋体" w:hAnsi="宋体" w:cs="Arial"/>
          <w:b/>
          <w:kern w:val="2"/>
          <w:szCs w:val="24"/>
          <w:lang w:val="en-US"/>
        </w:rPr>
        <w:tab/>
      </w:r>
      <w:r w:rsidRPr="0080759E">
        <w:rPr>
          <w:rFonts w:ascii="宋体" w:hAnsi="宋体" w:cs="Arial" w:hint="eastAsia"/>
          <w:kern w:val="2"/>
          <w:szCs w:val="24"/>
          <w:lang w:val="en-US"/>
        </w:rPr>
        <w:t>本清算财务报表于201</w:t>
      </w:r>
      <w:r w:rsidRPr="0080759E">
        <w:rPr>
          <w:rFonts w:ascii="宋体" w:hAnsi="宋体" w:cs="Arial"/>
          <w:kern w:val="2"/>
          <w:szCs w:val="24"/>
          <w:lang w:val="en-US"/>
        </w:rPr>
        <w:t>9</w:t>
      </w:r>
      <w:r w:rsidRPr="0080759E">
        <w:rPr>
          <w:rFonts w:ascii="宋体" w:hAnsi="宋体" w:cs="Arial" w:hint="eastAsia"/>
          <w:kern w:val="2"/>
          <w:szCs w:val="24"/>
          <w:lang w:val="en-US"/>
        </w:rPr>
        <w:t>年</w:t>
      </w:r>
      <w:r w:rsidRPr="0080759E">
        <w:rPr>
          <w:rFonts w:ascii="宋体" w:hAnsi="宋体" w:cs="Arial"/>
          <w:kern w:val="2"/>
          <w:szCs w:val="24"/>
          <w:lang w:val="en-US"/>
        </w:rPr>
        <w:t>2</w:t>
      </w:r>
      <w:r w:rsidRPr="0080759E">
        <w:rPr>
          <w:rFonts w:ascii="宋体" w:hAnsi="宋体" w:cs="Arial" w:hint="eastAsia"/>
          <w:kern w:val="2"/>
          <w:szCs w:val="24"/>
          <w:lang w:val="en-US"/>
        </w:rPr>
        <w:t>月1日已经本基金的基金管理人批准报出。</w:t>
      </w: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pPr>
    </w:p>
    <w:p w:rsid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pPr>
    </w:p>
    <w:p w:rsidR="0080759E" w:rsidRPr="0080759E" w:rsidRDefault="0080759E" w:rsidP="0080759E">
      <w:pPr>
        <w:widowControl w:val="0"/>
        <w:overflowPunct w:val="0"/>
        <w:autoSpaceDE w:val="0"/>
        <w:autoSpaceDN w:val="0"/>
        <w:snapToGrid w:val="0"/>
        <w:spacing w:line="360" w:lineRule="auto"/>
        <w:ind w:left="709"/>
        <w:jc w:val="both"/>
        <w:rPr>
          <w:rFonts w:ascii="宋体" w:hAnsi="宋体" w:cs="Arial"/>
          <w:kern w:val="2"/>
          <w:szCs w:val="24"/>
          <w:lang w:val="en-US"/>
        </w:rPr>
        <w:sectPr w:rsidR="0080759E" w:rsidRPr="0080759E">
          <w:headerReference w:type="even" r:id="rId13"/>
          <w:headerReference w:type="default" r:id="rId14"/>
          <w:headerReference w:type="first" r:id="rId15"/>
          <w:pgSz w:w="11906" w:h="16838"/>
          <w:pgMar w:top="1247" w:right="1435" w:bottom="1247" w:left="1418" w:header="1134" w:footer="851" w:gutter="0"/>
          <w:cols w:space="720"/>
          <w:docGrid w:linePitch="360"/>
        </w:sectPr>
      </w:pPr>
    </w:p>
    <w:p w:rsidR="00A50449" w:rsidRPr="0080759E" w:rsidRDefault="00A50449" w:rsidP="005E43A5">
      <w:pPr>
        <w:pStyle w:val="a6"/>
        <w:spacing w:line="360" w:lineRule="auto"/>
        <w:ind w:left="720" w:hanging="720"/>
        <w:jc w:val="both"/>
        <w:rPr>
          <w:szCs w:val="24"/>
          <w:lang w:val="en-US" w:eastAsia="zh-CN"/>
        </w:rPr>
      </w:pPr>
    </w:p>
    <w:p w:rsidR="00A50449" w:rsidRPr="00A50449" w:rsidRDefault="00A50449" w:rsidP="00A50449">
      <w:pPr>
        <w:pStyle w:val="2"/>
        <w:spacing w:before="0" w:after="0" w:line="360" w:lineRule="auto"/>
        <w:jc w:val="center"/>
        <w:rPr>
          <w:rFonts w:asciiTheme="minorEastAsia" w:eastAsiaTheme="minorEastAsia" w:hAnsiTheme="minorEastAsia"/>
          <w:sz w:val="24"/>
          <w:szCs w:val="24"/>
        </w:rPr>
      </w:pPr>
      <w:bookmarkStart w:id="7" w:name="_Toc497242351"/>
      <w:bookmarkStart w:id="8" w:name="_Toc524628632"/>
      <w:bookmarkStart w:id="9" w:name="_Toc527727225"/>
      <w:r w:rsidRPr="00A50449">
        <w:rPr>
          <w:rFonts w:asciiTheme="minorEastAsia" w:eastAsiaTheme="minorEastAsia" w:hAnsiTheme="minorEastAsia" w:hint="eastAsia"/>
          <w:sz w:val="24"/>
          <w:szCs w:val="24"/>
        </w:rPr>
        <w:t>6、其他说明事项</w:t>
      </w:r>
      <w:bookmarkEnd w:id="7"/>
      <w:bookmarkEnd w:id="8"/>
      <w:bookmarkEnd w:id="9"/>
    </w:p>
    <w:p w:rsidR="00A50449" w:rsidRPr="00E20348" w:rsidRDefault="00A50449" w:rsidP="00E20348">
      <w:pPr>
        <w:autoSpaceDE w:val="0"/>
        <w:autoSpaceDN w:val="0"/>
        <w:adjustRightInd w:val="0"/>
        <w:spacing w:line="360" w:lineRule="auto"/>
        <w:ind w:leftChars="125" w:left="300"/>
        <w:jc w:val="both"/>
        <w:rPr>
          <w:rFonts w:asciiTheme="majorEastAsia" w:eastAsiaTheme="majorEastAsia" w:hAnsiTheme="majorEastAsia"/>
          <w:szCs w:val="24"/>
          <w:lang w:val="en-US"/>
        </w:rPr>
      </w:pPr>
      <w:r w:rsidRPr="00E20348">
        <w:rPr>
          <w:rFonts w:asciiTheme="majorEastAsia" w:eastAsiaTheme="majorEastAsia" w:hAnsiTheme="majorEastAsia" w:hint="eastAsia"/>
          <w:szCs w:val="24"/>
          <w:lang w:val="en-US"/>
        </w:rPr>
        <w:t>清算结束日至清算款划出日前一日的银行存款（包括活期存款、最低备付金、交易保证金）产生的利息亦属份额持有人所有，期间的应收利息以当前适用的利率按日计算。</w:t>
      </w:r>
    </w:p>
    <w:p w:rsidR="00A50449" w:rsidRDefault="00A50449" w:rsidP="00A50449">
      <w:pPr>
        <w:autoSpaceDE w:val="0"/>
        <w:autoSpaceDN w:val="0"/>
        <w:adjustRightInd w:val="0"/>
        <w:spacing w:line="360" w:lineRule="auto"/>
        <w:ind w:left="720"/>
        <w:jc w:val="both"/>
        <w:rPr>
          <w:rFonts w:ascii="宋体" w:hAnsi="宋体"/>
          <w:szCs w:val="24"/>
        </w:rPr>
      </w:pPr>
    </w:p>
    <w:p w:rsidR="00A50449" w:rsidRPr="00A50449" w:rsidRDefault="00A50449" w:rsidP="00A50449">
      <w:pPr>
        <w:pStyle w:val="2"/>
        <w:spacing w:before="0" w:after="0" w:line="360" w:lineRule="auto"/>
        <w:jc w:val="center"/>
        <w:rPr>
          <w:rFonts w:asciiTheme="minorEastAsia" w:eastAsiaTheme="minorEastAsia" w:hAnsiTheme="minorEastAsia"/>
          <w:sz w:val="24"/>
          <w:szCs w:val="24"/>
        </w:rPr>
      </w:pPr>
      <w:bookmarkStart w:id="10" w:name="_Toc497242352"/>
      <w:bookmarkStart w:id="11" w:name="_Toc524628633"/>
      <w:bookmarkStart w:id="12" w:name="_Toc527727226"/>
      <w:r>
        <w:rPr>
          <w:rFonts w:asciiTheme="minorEastAsia" w:eastAsiaTheme="minorEastAsia" w:hAnsiTheme="minorEastAsia" w:hint="eastAsia"/>
          <w:sz w:val="24"/>
          <w:szCs w:val="24"/>
        </w:rPr>
        <w:t>7、</w:t>
      </w:r>
      <w:r w:rsidRPr="00A50449">
        <w:rPr>
          <w:rFonts w:asciiTheme="minorEastAsia" w:eastAsiaTheme="minorEastAsia" w:hAnsiTheme="minorEastAsia" w:hint="eastAsia"/>
          <w:sz w:val="24"/>
          <w:szCs w:val="24"/>
        </w:rPr>
        <w:t>备查文件目录</w:t>
      </w:r>
      <w:bookmarkEnd w:id="10"/>
      <w:bookmarkEnd w:id="11"/>
      <w:bookmarkEnd w:id="12"/>
    </w:p>
    <w:p w:rsidR="00A50449" w:rsidRPr="00E20348" w:rsidRDefault="00A50449" w:rsidP="00E20348">
      <w:pPr>
        <w:autoSpaceDE w:val="0"/>
        <w:autoSpaceDN w:val="0"/>
        <w:adjustRightInd w:val="0"/>
        <w:spacing w:line="360" w:lineRule="auto"/>
        <w:ind w:leftChars="125" w:left="300"/>
        <w:jc w:val="both"/>
        <w:rPr>
          <w:rFonts w:asciiTheme="majorEastAsia" w:eastAsiaTheme="majorEastAsia" w:hAnsiTheme="majorEastAsia"/>
          <w:szCs w:val="24"/>
          <w:lang w:val="en-US"/>
        </w:rPr>
      </w:pPr>
      <w:r w:rsidRPr="00E20348">
        <w:rPr>
          <w:rFonts w:asciiTheme="majorEastAsia" w:eastAsiaTheme="majorEastAsia" w:hAnsiTheme="majorEastAsia" w:hint="eastAsia"/>
          <w:szCs w:val="24"/>
          <w:lang w:val="en-US"/>
        </w:rPr>
        <w:t>（1）《</w:t>
      </w:r>
      <w:r w:rsidRPr="00E20348">
        <w:rPr>
          <w:rFonts w:asciiTheme="majorEastAsia" w:eastAsiaTheme="majorEastAsia" w:hAnsiTheme="majorEastAsia"/>
          <w:szCs w:val="24"/>
          <w:lang w:val="en-US"/>
        </w:rPr>
        <w:t>审计报告</w:t>
      </w:r>
      <w:r w:rsidRPr="00E20348">
        <w:rPr>
          <w:rFonts w:asciiTheme="majorEastAsia" w:eastAsiaTheme="majorEastAsia" w:hAnsiTheme="majorEastAsia" w:hint="eastAsia"/>
          <w:szCs w:val="24"/>
          <w:lang w:val="en-US"/>
        </w:rPr>
        <w:t>》</w:t>
      </w:r>
    </w:p>
    <w:p w:rsidR="00A50449" w:rsidRPr="00E20348" w:rsidRDefault="00A50449" w:rsidP="00E20348">
      <w:pPr>
        <w:autoSpaceDE w:val="0"/>
        <w:autoSpaceDN w:val="0"/>
        <w:adjustRightInd w:val="0"/>
        <w:spacing w:line="360" w:lineRule="auto"/>
        <w:ind w:leftChars="125" w:left="300"/>
        <w:jc w:val="both"/>
        <w:rPr>
          <w:rFonts w:asciiTheme="majorEastAsia" w:eastAsiaTheme="majorEastAsia" w:hAnsiTheme="majorEastAsia"/>
          <w:szCs w:val="24"/>
          <w:lang w:val="en-US"/>
        </w:rPr>
      </w:pPr>
      <w:r w:rsidRPr="00E20348">
        <w:rPr>
          <w:rFonts w:asciiTheme="majorEastAsia" w:eastAsiaTheme="majorEastAsia" w:hAnsiTheme="majorEastAsia" w:hint="eastAsia"/>
          <w:szCs w:val="24"/>
          <w:lang w:val="en-US"/>
        </w:rPr>
        <w:t>（2）广东广信君达律师事务所《关于广发基金管理有限公司</w:t>
      </w:r>
      <w:r w:rsidR="00F00238">
        <w:rPr>
          <w:rFonts w:asciiTheme="majorEastAsia" w:eastAsiaTheme="majorEastAsia" w:hAnsiTheme="majorEastAsia" w:hint="eastAsia"/>
          <w:szCs w:val="24"/>
          <w:lang w:val="en-US"/>
        </w:rPr>
        <w:t>广发中证全指主要消费交易型开放式指数证券投资基金</w:t>
      </w:r>
      <w:r w:rsidRPr="00E20348">
        <w:rPr>
          <w:rFonts w:asciiTheme="majorEastAsia" w:eastAsiaTheme="majorEastAsia" w:hAnsiTheme="majorEastAsia" w:hint="eastAsia"/>
          <w:szCs w:val="24"/>
          <w:lang w:val="en-US"/>
        </w:rPr>
        <w:t>基金财产清算之</w:t>
      </w:r>
      <w:r w:rsidRPr="00E20348">
        <w:rPr>
          <w:rFonts w:asciiTheme="majorEastAsia" w:eastAsiaTheme="majorEastAsia" w:hAnsiTheme="majorEastAsia"/>
          <w:szCs w:val="24"/>
          <w:lang w:val="en-US"/>
        </w:rPr>
        <w:t>法律意见</w:t>
      </w:r>
      <w:r w:rsidRPr="00E20348">
        <w:rPr>
          <w:rFonts w:asciiTheme="majorEastAsia" w:eastAsiaTheme="majorEastAsia" w:hAnsiTheme="majorEastAsia" w:hint="eastAsia"/>
          <w:szCs w:val="24"/>
          <w:lang w:val="en-US"/>
        </w:rPr>
        <w:t xml:space="preserve">书》 </w:t>
      </w:r>
    </w:p>
    <w:p w:rsidR="00A50449" w:rsidRPr="00E20348" w:rsidRDefault="00A50449" w:rsidP="00E20348">
      <w:pPr>
        <w:autoSpaceDE w:val="0"/>
        <w:autoSpaceDN w:val="0"/>
        <w:adjustRightInd w:val="0"/>
        <w:spacing w:line="360" w:lineRule="auto"/>
        <w:ind w:leftChars="125" w:left="300"/>
        <w:jc w:val="both"/>
        <w:rPr>
          <w:rFonts w:asciiTheme="majorEastAsia" w:eastAsiaTheme="majorEastAsia" w:hAnsiTheme="majorEastAsia"/>
          <w:szCs w:val="24"/>
          <w:lang w:val="en-US"/>
        </w:rPr>
      </w:pPr>
      <w:r w:rsidRPr="00E20348">
        <w:rPr>
          <w:rFonts w:asciiTheme="majorEastAsia" w:eastAsiaTheme="majorEastAsia" w:hAnsiTheme="majorEastAsia" w:hint="eastAsia"/>
          <w:szCs w:val="24"/>
          <w:lang w:val="en-US"/>
        </w:rPr>
        <w:t>（3）</w:t>
      </w:r>
      <w:r w:rsidRPr="00E20348">
        <w:rPr>
          <w:rFonts w:asciiTheme="majorEastAsia" w:eastAsiaTheme="majorEastAsia" w:hAnsiTheme="majorEastAsia"/>
          <w:szCs w:val="24"/>
          <w:lang w:val="en-US"/>
        </w:rPr>
        <w:t>存放地点</w:t>
      </w:r>
      <w:r w:rsidRPr="00E20348">
        <w:rPr>
          <w:rFonts w:asciiTheme="majorEastAsia" w:eastAsiaTheme="majorEastAsia" w:hAnsiTheme="majorEastAsia" w:hint="eastAsia"/>
          <w:szCs w:val="24"/>
          <w:lang w:val="en-US"/>
        </w:rPr>
        <w:t>：</w:t>
      </w:r>
      <w:r w:rsidRPr="00E20348">
        <w:rPr>
          <w:rFonts w:asciiTheme="majorEastAsia" w:eastAsiaTheme="majorEastAsia" w:hAnsiTheme="majorEastAsia"/>
          <w:szCs w:val="24"/>
          <w:lang w:val="en-US"/>
        </w:rPr>
        <w:t>广州市海珠区琶洲大道东1号保利国际广场南塔31-33楼</w:t>
      </w:r>
    </w:p>
    <w:p w:rsidR="00A50449" w:rsidRPr="00E20348" w:rsidRDefault="00A50449" w:rsidP="00E20348">
      <w:pPr>
        <w:autoSpaceDE w:val="0"/>
        <w:autoSpaceDN w:val="0"/>
        <w:adjustRightInd w:val="0"/>
        <w:spacing w:line="360" w:lineRule="auto"/>
        <w:ind w:leftChars="125" w:left="300"/>
        <w:jc w:val="both"/>
        <w:rPr>
          <w:rFonts w:asciiTheme="majorEastAsia" w:eastAsiaTheme="majorEastAsia" w:hAnsiTheme="majorEastAsia"/>
          <w:szCs w:val="24"/>
          <w:lang w:val="en-US"/>
        </w:rPr>
      </w:pPr>
      <w:r w:rsidRPr="00E20348">
        <w:rPr>
          <w:rFonts w:asciiTheme="majorEastAsia" w:eastAsiaTheme="majorEastAsia" w:hAnsiTheme="majorEastAsia" w:hint="eastAsia"/>
          <w:szCs w:val="24"/>
          <w:lang w:val="en-US"/>
        </w:rPr>
        <w:t>（4）</w:t>
      </w:r>
      <w:r w:rsidRPr="00E20348">
        <w:rPr>
          <w:rFonts w:asciiTheme="majorEastAsia" w:eastAsiaTheme="majorEastAsia" w:hAnsiTheme="majorEastAsia"/>
          <w:szCs w:val="24"/>
          <w:lang w:val="en-US"/>
        </w:rPr>
        <w:t>查阅方式</w:t>
      </w:r>
      <w:r w:rsidRPr="00E20348">
        <w:rPr>
          <w:rFonts w:asciiTheme="majorEastAsia" w:eastAsiaTheme="majorEastAsia" w:hAnsiTheme="majorEastAsia" w:hint="eastAsia"/>
          <w:szCs w:val="24"/>
          <w:lang w:val="en-US"/>
        </w:rPr>
        <w:t>：</w:t>
      </w:r>
      <w:r w:rsidRPr="00E20348">
        <w:rPr>
          <w:rFonts w:asciiTheme="majorEastAsia" w:eastAsiaTheme="majorEastAsia" w:hAnsiTheme="majorEastAsia"/>
          <w:szCs w:val="24"/>
          <w:lang w:val="en-US"/>
        </w:rPr>
        <w:t>投资者可在营业时间内至基金管理人的办公场所免费查阅。</w:t>
      </w:r>
    </w:p>
    <w:p w:rsidR="00A50449" w:rsidRPr="005906E7" w:rsidRDefault="00A50449" w:rsidP="00A50449">
      <w:pPr>
        <w:autoSpaceDE w:val="0"/>
        <w:autoSpaceDN w:val="0"/>
        <w:adjustRightInd w:val="0"/>
        <w:spacing w:line="360" w:lineRule="auto"/>
        <w:ind w:left="720"/>
        <w:jc w:val="both"/>
        <w:rPr>
          <w:rFonts w:ascii="宋体" w:hAnsi="宋体"/>
          <w:color w:val="000000"/>
          <w:szCs w:val="24"/>
          <w:lang w:val="en-US"/>
        </w:rPr>
      </w:pPr>
    </w:p>
    <w:p w:rsidR="00A50449" w:rsidRPr="00804504" w:rsidRDefault="00F00238" w:rsidP="00B31E3D">
      <w:pPr>
        <w:autoSpaceDE w:val="0"/>
        <w:autoSpaceDN w:val="0"/>
        <w:adjustRightInd w:val="0"/>
        <w:spacing w:line="360" w:lineRule="auto"/>
        <w:ind w:left="720" w:right="40"/>
        <w:jc w:val="right"/>
        <w:rPr>
          <w:rFonts w:ascii="宋体" w:hAnsi="宋体"/>
          <w:color w:val="000000"/>
          <w:sz w:val="22"/>
          <w:szCs w:val="24"/>
          <w:lang w:val="en-US"/>
        </w:rPr>
      </w:pPr>
      <w:r w:rsidRPr="00804504">
        <w:rPr>
          <w:rFonts w:ascii="宋体" w:hAnsi="宋体" w:hint="eastAsia"/>
          <w:color w:val="000000"/>
          <w:sz w:val="22"/>
          <w:szCs w:val="24"/>
          <w:lang w:val="en-US"/>
        </w:rPr>
        <w:t>广发中证全指主要消费交易型开放式指数证券投资基金</w:t>
      </w:r>
      <w:r w:rsidR="00A50449" w:rsidRPr="00804504">
        <w:rPr>
          <w:rFonts w:ascii="宋体" w:hAnsi="宋体"/>
          <w:color w:val="000000"/>
          <w:sz w:val="22"/>
          <w:szCs w:val="24"/>
          <w:lang w:val="en-US"/>
        </w:rPr>
        <w:t>基金财产清算小组</w:t>
      </w:r>
    </w:p>
    <w:p w:rsidR="00030017" w:rsidRPr="00804504" w:rsidRDefault="00A50449" w:rsidP="001F752C">
      <w:pPr>
        <w:autoSpaceDE w:val="0"/>
        <w:autoSpaceDN w:val="0"/>
        <w:adjustRightInd w:val="0"/>
        <w:spacing w:line="360" w:lineRule="auto"/>
        <w:ind w:left="720"/>
        <w:jc w:val="right"/>
        <w:rPr>
          <w:rFonts w:ascii="宋体" w:hAnsi="宋体"/>
          <w:color w:val="000000"/>
          <w:szCs w:val="24"/>
          <w:lang w:val="en-US"/>
        </w:rPr>
      </w:pPr>
      <w:r w:rsidRPr="00804504">
        <w:rPr>
          <w:rFonts w:ascii="宋体" w:hAnsi="宋体"/>
          <w:color w:val="000000"/>
          <w:szCs w:val="24"/>
          <w:lang w:val="en-US"/>
        </w:rPr>
        <w:t>201</w:t>
      </w:r>
      <w:r w:rsidR="00146D7F" w:rsidRPr="00804504">
        <w:rPr>
          <w:rFonts w:ascii="宋体" w:hAnsi="宋体" w:hint="eastAsia"/>
          <w:color w:val="000000"/>
          <w:szCs w:val="24"/>
          <w:lang w:val="en-US"/>
        </w:rPr>
        <w:t>9</w:t>
      </w:r>
      <w:r w:rsidRPr="00804504">
        <w:rPr>
          <w:rFonts w:ascii="宋体" w:hAnsi="宋体"/>
          <w:color w:val="000000"/>
          <w:szCs w:val="24"/>
          <w:lang w:val="en-US"/>
        </w:rPr>
        <w:t>年</w:t>
      </w:r>
      <w:r w:rsidR="000E5D5E">
        <w:rPr>
          <w:rFonts w:ascii="宋体" w:hAnsi="宋体" w:hint="eastAsia"/>
          <w:color w:val="000000"/>
          <w:szCs w:val="24"/>
          <w:lang w:val="en-US"/>
        </w:rPr>
        <w:t>4</w:t>
      </w:r>
      <w:r w:rsidRPr="00804504">
        <w:rPr>
          <w:rFonts w:ascii="宋体" w:hAnsi="宋体"/>
          <w:color w:val="000000"/>
          <w:szCs w:val="24"/>
          <w:lang w:val="en-US"/>
        </w:rPr>
        <w:t>月</w:t>
      </w:r>
      <w:r w:rsidR="000E5D5E">
        <w:rPr>
          <w:rFonts w:ascii="宋体" w:hAnsi="宋体" w:hint="eastAsia"/>
          <w:color w:val="000000"/>
          <w:szCs w:val="24"/>
          <w:lang w:val="en-US"/>
        </w:rPr>
        <w:t>2</w:t>
      </w:r>
      <w:bookmarkStart w:id="13" w:name="_GoBack"/>
      <w:bookmarkEnd w:id="13"/>
      <w:r w:rsidRPr="00804504">
        <w:rPr>
          <w:rFonts w:ascii="宋体" w:hAnsi="宋体"/>
          <w:color w:val="000000"/>
          <w:szCs w:val="24"/>
          <w:lang w:val="en-US"/>
        </w:rPr>
        <w:t>日</w:t>
      </w:r>
    </w:p>
    <w:sectPr w:rsidR="00030017" w:rsidRPr="00804504" w:rsidSect="008E6BBF">
      <w:head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FF6" w:rsidRDefault="001B2FF6" w:rsidP="00030017">
      <w:r>
        <w:separator/>
      </w:r>
    </w:p>
  </w:endnote>
  <w:endnote w:type="continuationSeparator" w:id="1">
    <w:p w:rsidR="001B2FF6" w:rsidRDefault="001B2FF6" w:rsidP="00030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ED" w:rsidRDefault="008E6BBF">
    <w:pPr>
      <w:pStyle w:val="a5"/>
      <w:jc w:val="center"/>
      <w:rPr>
        <w:rFonts w:ascii="黑体" w:eastAsia="黑体" w:hAnsi="Arial" w:cs="Arial"/>
        <w:sz w:val="22"/>
        <w:szCs w:val="22"/>
      </w:rPr>
    </w:pPr>
    <w:r>
      <w:rPr>
        <w:rFonts w:ascii="黑体" w:eastAsia="黑体" w:hAnsi="Arial" w:cs="Arial" w:hint="eastAsia"/>
        <w:sz w:val="22"/>
        <w:szCs w:val="22"/>
      </w:rPr>
      <w:fldChar w:fldCharType="begin"/>
    </w:r>
    <w:r w:rsidR="006F43ED">
      <w:rPr>
        <w:rStyle w:val="a9"/>
        <w:rFonts w:ascii="黑体" w:eastAsia="黑体" w:hAnsi="Arial" w:cs="Arial" w:hint="eastAsia"/>
        <w:sz w:val="22"/>
        <w:szCs w:val="22"/>
      </w:rPr>
      <w:instrText xml:space="preserve"> PAGE </w:instrText>
    </w:r>
    <w:r>
      <w:rPr>
        <w:rFonts w:ascii="黑体" w:eastAsia="黑体" w:hAnsi="Arial" w:cs="Arial" w:hint="eastAsia"/>
        <w:sz w:val="22"/>
        <w:szCs w:val="22"/>
      </w:rPr>
      <w:fldChar w:fldCharType="separate"/>
    </w:r>
    <w:r w:rsidR="002A7DF6">
      <w:rPr>
        <w:rStyle w:val="a9"/>
        <w:rFonts w:ascii="黑体" w:eastAsia="黑体" w:hAnsi="Arial" w:cs="Arial"/>
        <w:noProof/>
        <w:sz w:val="22"/>
        <w:szCs w:val="22"/>
      </w:rPr>
      <w:t>1</w:t>
    </w:r>
    <w:r>
      <w:rPr>
        <w:rFonts w:ascii="黑体" w:eastAsia="黑体" w:hAnsi="Arial" w:cs="Arial" w:hint="eastAsia"/>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FF6" w:rsidRDefault="001B2FF6" w:rsidP="00030017">
      <w:r>
        <w:separator/>
      </w:r>
    </w:p>
  </w:footnote>
  <w:footnote w:type="continuationSeparator" w:id="1">
    <w:p w:rsidR="001B2FF6" w:rsidRDefault="001B2FF6" w:rsidP="00030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17" w:rsidRDefault="0003001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686" w:rsidRDefault="00380686" w:rsidP="00030017">
    <w:pPr>
      <w:pStyle w:val="a6"/>
      <w:tabs>
        <w:tab w:val="right" w:pos="10170"/>
      </w:tabs>
      <w:rPr>
        <w:szCs w:val="24"/>
        <w:lang w:val="en-US"/>
      </w:rPr>
    </w:pPr>
    <w:r w:rsidRPr="00380686">
      <w:rPr>
        <w:rFonts w:hint="eastAsia"/>
        <w:szCs w:val="24"/>
        <w:lang w:val="en-US"/>
      </w:rPr>
      <w:t>广发中证全指主要消费交易型开放式指数证券投资基金</w:t>
    </w:r>
  </w:p>
  <w:p w:rsidR="00030017" w:rsidRPr="000C5F1F" w:rsidRDefault="00030017" w:rsidP="00030017">
    <w:pPr>
      <w:pStyle w:val="a6"/>
      <w:tabs>
        <w:tab w:val="right" w:pos="10170"/>
      </w:tabs>
      <w:rPr>
        <w:szCs w:val="24"/>
      </w:rPr>
    </w:pPr>
    <w:r w:rsidRPr="000C5F1F">
      <w:rPr>
        <w:rFonts w:hint="eastAsia"/>
        <w:szCs w:val="24"/>
        <w:lang w:eastAsia="zh-CN"/>
      </w:rPr>
      <w:t>清算</w:t>
    </w:r>
    <w:r>
      <w:rPr>
        <w:rFonts w:hint="eastAsia"/>
        <w:szCs w:val="24"/>
        <w:lang w:eastAsia="zh-CN"/>
      </w:rPr>
      <w:t>资产</w:t>
    </w:r>
    <w:r>
      <w:rPr>
        <w:rFonts w:hint="eastAsia"/>
        <w:szCs w:val="24"/>
        <w:lang w:val="en-US" w:eastAsia="zh-CN"/>
      </w:rPr>
      <w:t>负债</w:t>
    </w:r>
    <w:r w:rsidRPr="000C5F1F">
      <w:rPr>
        <w:rFonts w:hint="eastAsia"/>
        <w:szCs w:val="24"/>
        <w:lang w:eastAsia="zh-CN"/>
      </w:rPr>
      <w:t>表</w:t>
    </w:r>
  </w:p>
  <w:p w:rsidR="00030017" w:rsidRPr="00043755" w:rsidRDefault="00030017" w:rsidP="00030017">
    <w:pPr>
      <w:pStyle w:val="a6"/>
      <w:tabs>
        <w:tab w:val="right" w:pos="10170"/>
      </w:tabs>
      <w:rPr>
        <w:szCs w:val="24"/>
      </w:rPr>
    </w:pPr>
    <w:r>
      <w:rPr>
        <w:szCs w:val="24"/>
        <w:u w:val="single"/>
      </w:rPr>
      <w:t>201</w:t>
    </w:r>
    <w:r w:rsidR="00380686">
      <w:rPr>
        <w:rFonts w:hint="eastAsia"/>
        <w:szCs w:val="24"/>
        <w:u w:val="single"/>
        <w:lang w:eastAsia="zh-CN"/>
      </w:rPr>
      <w:t>9</w:t>
    </w:r>
    <w:r>
      <w:rPr>
        <w:szCs w:val="24"/>
        <w:u w:val="single"/>
      </w:rPr>
      <w:t>年</w:t>
    </w:r>
    <w:r w:rsidR="00380686">
      <w:rPr>
        <w:szCs w:val="24"/>
        <w:u w:val="single"/>
        <w:lang w:eastAsia="zh-CN"/>
      </w:rPr>
      <w:t>1</w:t>
    </w:r>
    <w:r>
      <w:rPr>
        <w:rFonts w:hint="eastAsia"/>
        <w:szCs w:val="24"/>
        <w:u w:val="single"/>
        <w:lang w:eastAsia="zh-CN"/>
      </w:rPr>
      <w:t>月</w:t>
    </w:r>
    <w:r w:rsidR="00380686">
      <w:rPr>
        <w:szCs w:val="24"/>
        <w:u w:val="single"/>
        <w:lang w:eastAsia="zh-CN"/>
      </w:rPr>
      <w:t>15</w:t>
    </w:r>
    <w:r>
      <w:rPr>
        <w:rFonts w:hint="eastAsia"/>
        <w:szCs w:val="24"/>
        <w:u w:val="single"/>
        <w:lang w:eastAsia="zh-CN"/>
      </w:rPr>
      <w:t>日</w:t>
    </w:r>
    <w:r>
      <w:rPr>
        <w:u w:val="single"/>
        <w:lang w:val="en-US"/>
      </w:rPr>
      <w:t>(</w:t>
    </w:r>
    <w:r>
      <w:rPr>
        <w:rFonts w:hint="eastAsia"/>
        <w:u w:val="single"/>
        <w:lang w:val="en-US"/>
      </w:rPr>
      <w:t>清算结束日</w:t>
    </w:r>
    <w:r>
      <w:rPr>
        <w:u w:val="single"/>
        <w:lang w:val="en-US"/>
      </w:rPr>
      <w:t>)</w:t>
    </w:r>
    <w:r w:rsidRPr="001F04C9">
      <w:rPr>
        <w:szCs w:val="24"/>
        <w:u w:val="single"/>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17" w:rsidRDefault="00030017">
    <w:pPr>
      <w:pStyle w:val="a6"/>
    </w:pPr>
    <w:r>
      <w:rPr>
        <w:szCs w:val="24"/>
      </w:rPr>
      <w:t>heng</w:t>
    </w:r>
    <w:r>
      <w:t>Heng</w:t>
    </w:r>
  </w:p>
  <w:p w:rsidR="00030017" w:rsidRDefault="00030017">
    <w:r>
      <w:t>恒</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EA" w:rsidRDefault="007E22EA" w:rsidP="00322C20">
    <w:pPr>
      <w:pStyle w:val="a6"/>
      <w:tabs>
        <w:tab w:val="right" w:pos="10170"/>
      </w:tabs>
      <w:rPr>
        <w:szCs w:val="24"/>
        <w:lang w:val="en-US"/>
      </w:rPr>
    </w:pPr>
    <w:r w:rsidRPr="007E22EA">
      <w:rPr>
        <w:rFonts w:hint="eastAsia"/>
        <w:szCs w:val="24"/>
        <w:lang w:val="en-US"/>
      </w:rPr>
      <w:t>广发中证全指主要消费交易型开放式指数证券投资基金</w:t>
    </w:r>
  </w:p>
  <w:p w:rsidR="00322C20" w:rsidRPr="000C5F1F" w:rsidRDefault="00322C20" w:rsidP="00322C20">
    <w:pPr>
      <w:pStyle w:val="a6"/>
      <w:tabs>
        <w:tab w:val="right" w:pos="10170"/>
      </w:tabs>
      <w:rPr>
        <w:szCs w:val="24"/>
      </w:rPr>
    </w:pPr>
    <w:r w:rsidRPr="000C5F1F">
      <w:rPr>
        <w:rFonts w:hint="eastAsia"/>
        <w:szCs w:val="24"/>
        <w:lang w:eastAsia="zh-CN"/>
      </w:rPr>
      <w:t>清算</w:t>
    </w:r>
    <w:r>
      <w:rPr>
        <w:rFonts w:hint="eastAsia"/>
        <w:szCs w:val="24"/>
        <w:lang w:eastAsia="zh-CN"/>
      </w:rPr>
      <w:t>损益</w:t>
    </w:r>
    <w:r w:rsidRPr="000C5F1F">
      <w:rPr>
        <w:rFonts w:hint="eastAsia"/>
        <w:szCs w:val="24"/>
        <w:lang w:eastAsia="zh-CN"/>
      </w:rPr>
      <w:t>表</w:t>
    </w:r>
  </w:p>
  <w:p w:rsidR="00B51786" w:rsidRPr="00043755" w:rsidRDefault="00322C20" w:rsidP="00322C20">
    <w:pPr>
      <w:pStyle w:val="a6"/>
      <w:tabs>
        <w:tab w:val="right" w:pos="10170"/>
      </w:tabs>
      <w:rPr>
        <w:szCs w:val="24"/>
      </w:rPr>
    </w:pPr>
    <w:r w:rsidRPr="00D067B0">
      <w:rPr>
        <w:rFonts w:hint="eastAsia"/>
        <w:szCs w:val="24"/>
        <w:u w:val="single"/>
      </w:rPr>
      <w:t>2018</w:t>
    </w:r>
    <w:r w:rsidRPr="00D067B0">
      <w:rPr>
        <w:rFonts w:hint="eastAsia"/>
        <w:szCs w:val="24"/>
        <w:u w:val="single"/>
      </w:rPr>
      <w:t>年</w:t>
    </w:r>
    <w:r w:rsidR="007E22EA">
      <w:rPr>
        <w:rFonts w:hint="eastAsia"/>
        <w:szCs w:val="24"/>
        <w:u w:val="single"/>
        <w:lang w:eastAsia="zh-CN"/>
      </w:rPr>
      <w:t>12</w:t>
    </w:r>
    <w:r>
      <w:rPr>
        <w:rFonts w:hint="eastAsia"/>
        <w:szCs w:val="24"/>
        <w:u w:val="single"/>
      </w:rPr>
      <w:t>月</w:t>
    </w:r>
    <w:r w:rsidR="007E22EA">
      <w:rPr>
        <w:rFonts w:hint="eastAsia"/>
        <w:szCs w:val="24"/>
        <w:u w:val="single"/>
        <w:lang w:eastAsia="zh-CN"/>
      </w:rPr>
      <w:t>2</w:t>
    </w:r>
    <w:r w:rsidR="00F42B08">
      <w:rPr>
        <w:rFonts w:hint="eastAsia"/>
        <w:szCs w:val="24"/>
        <w:u w:val="single"/>
        <w:lang w:eastAsia="zh-CN"/>
      </w:rPr>
      <w:t>5</w:t>
    </w:r>
    <w:r>
      <w:rPr>
        <w:rFonts w:hint="eastAsia"/>
        <w:szCs w:val="24"/>
        <w:u w:val="single"/>
      </w:rPr>
      <w:t>日</w:t>
    </w:r>
    <w:r w:rsidRPr="00D067B0">
      <w:rPr>
        <w:rFonts w:hint="eastAsia"/>
        <w:szCs w:val="24"/>
        <w:u w:val="single"/>
      </w:rPr>
      <w:t>(</w:t>
    </w:r>
    <w:r w:rsidRPr="00D067B0">
      <w:rPr>
        <w:rFonts w:hint="eastAsia"/>
        <w:szCs w:val="24"/>
        <w:u w:val="single"/>
      </w:rPr>
      <w:t>清算开始日</w:t>
    </w:r>
    <w:r w:rsidRPr="00D067B0">
      <w:rPr>
        <w:rFonts w:hint="eastAsia"/>
        <w:szCs w:val="24"/>
        <w:u w:val="single"/>
      </w:rPr>
      <w:t>)</w:t>
    </w:r>
    <w:r w:rsidRPr="00D067B0">
      <w:rPr>
        <w:rFonts w:hint="eastAsia"/>
        <w:szCs w:val="24"/>
        <w:u w:val="single"/>
      </w:rPr>
      <w:t>至</w:t>
    </w:r>
    <w:r w:rsidR="007E22EA">
      <w:rPr>
        <w:rFonts w:hint="eastAsia"/>
        <w:szCs w:val="24"/>
        <w:u w:val="single"/>
      </w:rPr>
      <w:t>2019</w:t>
    </w:r>
    <w:r w:rsidRPr="00D067B0">
      <w:rPr>
        <w:rFonts w:hint="eastAsia"/>
        <w:szCs w:val="24"/>
        <w:u w:val="single"/>
      </w:rPr>
      <w:t>年</w:t>
    </w:r>
    <w:r w:rsidR="007E22EA">
      <w:rPr>
        <w:szCs w:val="24"/>
        <w:u w:val="single"/>
      </w:rPr>
      <w:t>1</w:t>
    </w:r>
    <w:r>
      <w:rPr>
        <w:rFonts w:hint="eastAsia"/>
        <w:szCs w:val="24"/>
        <w:u w:val="single"/>
      </w:rPr>
      <w:t>月</w:t>
    </w:r>
    <w:r w:rsidR="007E22EA">
      <w:rPr>
        <w:szCs w:val="24"/>
        <w:u w:val="single"/>
      </w:rPr>
      <w:t>15</w:t>
    </w:r>
    <w:r>
      <w:rPr>
        <w:rFonts w:hint="eastAsia"/>
        <w:szCs w:val="24"/>
        <w:u w:val="single"/>
      </w:rPr>
      <w:t>日</w:t>
    </w:r>
    <w:r w:rsidRPr="00D067B0">
      <w:rPr>
        <w:rFonts w:hint="eastAsia"/>
        <w:szCs w:val="24"/>
        <w:u w:val="single"/>
      </w:rPr>
      <w:t>(</w:t>
    </w:r>
    <w:r w:rsidRPr="00D067B0">
      <w:rPr>
        <w:rFonts w:hint="eastAsia"/>
        <w:szCs w:val="24"/>
        <w:u w:val="single"/>
      </w:rPr>
      <w:t>清算结束日</w:t>
    </w:r>
    <w:r w:rsidRPr="00D067B0">
      <w:rPr>
        <w:rFonts w:hint="eastAsia"/>
        <w:szCs w:val="24"/>
        <w:u w:val="single"/>
      </w:rPr>
      <w:t>)</w:t>
    </w:r>
    <w:r w:rsidRPr="00D067B0">
      <w:rPr>
        <w:rFonts w:hint="eastAsia"/>
        <w:szCs w:val="24"/>
        <w:u w:val="single"/>
      </w:rPr>
      <w:t>止期间</w:t>
    </w:r>
    <w:r w:rsidR="00B51786" w:rsidRPr="001F04C9">
      <w:rPr>
        <w:szCs w:val="24"/>
        <w:u w:val="single"/>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9E" w:rsidRDefault="0080759E">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9E" w:rsidRDefault="0080759E" w:rsidP="0080759E">
    <w:pPr>
      <w:pStyle w:val="a6"/>
      <w:tabs>
        <w:tab w:val="right" w:pos="10170"/>
      </w:tabs>
      <w:rPr>
        <w:szCs w:val="24"/>
        <w:lang w:val="en-US"/>
      </w:rPr>
    </w:pPr>
    <w:r w:rsidRPr="007E22EA">
      <w:rPr>
        <w:rFonts w:hint="eastAsia"/>
        <w:szCs w:val="24"/>
        <w:lang w:val="en-US"/>
      </w:rPr>
      <w:t>广发中证全指主要消费交易型开放式指数证券投资基金</w:t>
    </w:r>
  </w:p>
  <w:p w:rsidR="0080759E" w:rsidRDefault="0080759E" w:rsidP="0080759E">
    <w:pPr>
      <w:pStyle w:val="a6"/>
      <w:tabs>
        <w:tab w:val="right" w:pos="10170"/>
      </w:tabs>
      <w:rPr>
        <w:szCs w:val="24"/>
        <w:lang w:val="en-US" w:eastAsia="zh-CN"/>
      </w:rPr>
    </w:pPr>
    <w:r>
      <w:rPr>
        <w:szCs w:val="24"/>
        <w:lang w:val="en-US" w:eastAsia="zh-CN"/>
      </w:rPr>
      <w:t>清算</w:t>
    </w:r>
    <w:r>
      <w:rPr>
        <w:rFonts w:hint="eastAsia"/>
        <w:szCs w:val="24"/>
        <w:lang w:val="en-US" w:eastAsia="zh-CN"/>
      </w:rPr>
      <w:t>财务报表附注</w:t>
    </w:r>
  </w:p>
  <w:p w:rsidR="0080759E" w:rsidRPr="00836FB3" w:rsidRDefault="0080759E" w:rsidP="0080759E">
    <w:pPr>
      <w:pStyle w:val="a6"/>
      <w:rPr>
        <w:rFonts w:ascii="黑体" w:eastAsia="黑体" w:hAnsi="黑体"/>
        <w:b/>
        <w:sz w:val="22"/>
        <w:szCs w:val="22"/>
      </w:rPr>
    </w:pPr>
    <w:r w:rsidRPr="00D067B0">
      <w:rPr>
        <w:rFonts w:hint="eastAsia"/>
        <w:szCs w:val="24"/>
        <w:u w:val="single"/>
      </w:rPr>
      <w:t>2018</w:t>
    </w:r>
    <w:r w:rsidRPr="00D067B0">
      <w:rPr>
        <w:rFonts w:hint="eastAsia"/>
        <w:szCs w:val="24"/>
        <w:u w:val="single"/>
      </w:rPr>
      <w:t>年</w:t>
    </w:r>
    <w:r>
      <w:rPr>
        <w:rFonts w:hint="eastAsia"/>
        <w:szCs w:val="24"/>
        <w:u w:val="single"/>
        <w:lang w:eastAsia="zh-CN"/>
      </w:rPr>
      <w:t>12</w:t>
    </w:r>
    <w:r>
      <w:rPr>
        <w:rFonts w:hint="eastAsia"/>
        <w:szCs w:val="24"/>
        <w:u w:val="single"/>
      </w:rPr>
      <w:t>月</w:t>
    </w:r>
    <w:r>
      <w:rPr>
        <w:rFonts w:hint="eastAsia"/>
        <w:szCs w:val="24"/>
        <w:u w:val="single"/>
        <w:lang w:eastAsia="zh-CN"/>
      </w:rPr>
      <w:t>25</w:t>
    </w:r>
    <w:r>
      <w:rPr>
        <w:rFonts w:hint="eastAsia"/>
        <w:szCs w:val="24"/>
        <w:u w:val="single"/>
      </w:rPr>
      <w:t>日</w:t>
    </w:r>
    <w:r w:rsidRPr="00D067B0">
      <w:rPr>
        <w:rFonts w:hint="eastAsia"/>
        <w:szCs w:val="24"/>
        <w:u w:val="single"/>
      </w:rPr>
      <w:t>(</w:t>
    </w:r>
    <w:r w:rsidRPr="00D067B0">
      <w:rPr>
        <w:rFonts w:hint="eastAsia"/>
        <w:szCs w:val="24"/>
        <w:u w:val="single"/>
      </w:rPr>
      <w:t>清算开始日</w:t>
    </w:r>
    <w:r w:rsidRPr="00D067B0">
      <w:rPr>
        <w:rFonts w:hint="eastAsia"/>
        <w:szCs w:val="24"/>
        <w:u w:val="single"/>
      </w:rPr>
      <w:t>)</w:t>
    </w:r>
    <w:r w:rsidRPr="00D067B0">
      <w:rPr>
        <w:rFonts w:hint="eastAsia"/>
        <w:szCs w:val="24"/>
        <w:u w:val="single"/>
      </w:rPr>
      <w:t>至</w:t>
    </w:r>
    <w:r>
      <w:rPr>
        <w:rFonts w:hint="eastAsia"/>
        <w:szCs w:val="24"/>
        <w:u w:val="single"/>
      </w:rPr>
      <w:t>2019</w:t>
    </w:r>
    <w:r w:rsidRPr="00D067B0">
      <w:rPr>
        <w:rFonts w:hint="eastAsia"/>
        <w:szCs w:val="24"/>
        <w:u w:val="single"/>
      </w:rPr>
      <w:t>年</w:t>
    </w:r>
    <w:r>
      <w:rPr>
        <w:szCs w:val="24"/>
        <w:u w:val="single"/>
      </w:rPr>
      <w:t>1</w:t>
    </w:r>
    <w:r>
      <w:rPr>
        <w:rFonts w:hint="eastAsia"/>
        <w:szCs w:val="24"/>
        <w:u w:val="single"/>
      </w:rPr>
      <w:t>月</w:t>
    </w:r>
    <w:r>
      <w:rPr>
        <w:szCs w:val="24"/>
        <w:u w:val="single"/>
      </w:rPr>
      <w:t>15</w:t>
    </w:r>
    <w:r>
      <w:rPr>
        <w:rFonts w:hint="eastAsia"/>
        <w:szCs w:val="24"/>
        <w:u w:val="single"/>
      </w:rPr>
      <w:t>日</w:t>
    </w:r>
    <w:r w:rsidRPr="00D067B0">
      <w:rPr>
        <w:rFonts w:hint="eastAsia"/>
        <w:szCs w:val="24"/>
        <w:u w:val="single"/>
      </w:rPr>
      <w:t>(</w:t>
    </w:r>
    <w:r w:rsidRPr="00D067B0">
      <w:rPr>
        <w:rFonts w:hint="eastAsia"/>
        <w:szCs w:val="24"/>
        <w:u w:val="single"/>
      </w:rPr>
      <w:t>清算结束日</w:t>
    </w:r>
    <w:r w:rsidRPr="00D067B0">
      <w:rPr>
        <w:rFonts w:hint="eastAsia"/>
        <w:szCs w:val="24"/>
        <w:u w:val="single"/>
      </w:rPr>
      <w:t>)</w:t>
    </w:r>
    <w:r w:rsidRPr="00D067B0">
      <w:rPr>
        <w:rFonts w:hint="eastAsia"/>
        <w:szCs w:val="24"/>
        <w:u w:val="single"/>
      </w:rPr>
      <w:t>止期间</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9E" w:rsidRDefault="0080759E">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EA" w:rsidRDefault="007E22EA" w:rsidP="007E22EA">
    <w:pPr>
      <w:pStyle w:val="a6"/>
      <w:tabs>
        <w:tab w:val="right" w:pos="10170"/>
      </w:tabs>
      <w:rPr>
        <w:szCs w:val="24"/>
        <w:lang w:val="en-US"/>
      </w:rPr>
    </w:pPr>
    <w:r w:rsidRPr="007E22EA">
      <w:rPr>
        <w:rFonts w:hint="eastAsia"/>
        <w:szCs w:val="24"/>
        <w:lang w:val="en-US"/>
      </w:rPr>
      <w:t>广发中证全指主要消费交易型开放式指数证券投资基金</w:t>
    </w:r>
  </w:p>
  <w:p w:rsidR="00322C20" w:rsidRDefault="00322C20" w:rsidP="00322C20">
    <w:pPr>
      <w:pStyle w:val="a6"/>
      <w:tabs>
        <w:tab w:val="right" w:pos="10170"/>
      </w:tabs>
      <w:rPr>
        <w:szCs w:val="24"/>
        <w:lang w:val="en-US" w:eastAsia="zh-CN"/>
      </w:rPr>
    </w:pPr>
    <w:r>
      <w:rPr>
        <w:szCs w:val="24"/>
        <w:lang w:val="en-US" w:eastAsia="zh-CN"/>
      </w:rPr>
      <w:t>清算</w:t>
    </w:r>
    <w:r>
      <w:rPr>
        <w:rFonts w:hint="eastAsia"/>
        <w:szCs w:val="24"/>
        <w:lang w:val="en-US" w:eastAsia="zh-CN"/>
      </w:rPr>
      <w:t>财务报表附注</w:t>
    </w:r>
  </w:p>
  <w:p w:rsidR="00030017" w:rsidRPr="00C27C6E" w:rsidRDefault="007E22EA" w:rsidP="00322C20">
    <w:pPr>
      <w:pStyle w:val="a6"/>
      <w:tabs>
        <w:tab w:val="right" w:pos="10170"/>
      </w:tabs>
      <w:rPr>
        <w:szCs w:val="24"/>
        <w:u w:val="single"/>
      </w:rPr>
    </w:pPr>
    <w:r w:rsidRPr="00D067B0">
      <w:rPr>
        <w:rFonts w:hint="eastAsia"/>
        <w:szCs w:val="24"/>
        <w:u w:val="single"/>
      </w:rPr>
      <w:t>2018</w:t>
    </w:r>
    <w:r w:rsidRPr="00D067B0">
      <w:rPr>
        <w:rFonts w:hint="eastAsia"/>
        <w:szCs w:val="24"/>
        <w:u w:val="single"/>
      </w:rPr>
      <w:t>年</w:t>
    </w:r>
    <w:r>
      <w:rPr>
        <w:rFonts w:hint="eastAsia"/>
        <w:szCs w:val="24"/>
        <w:u w:val="single"/>
        <w:lang w:eastAsia="zh-CN"/>
      </w:rPr>
      <w:t>12</w:t>
    </w:r>
    <w:r>
      <w:rPr>
        <w:rFonts w:hint="eastAsia"/>
        <w:szCs w:val="24"/>
        <w:u w:val="single"/>
      </w:rPr>
      <w:t>月</w:t>
    </w:r>
    <w:r>
      <w:rPr>
        <w:rFonts w:hint="eastAsia"/>
        <w:szCs w:val="24"/>
        <w:u w:val="single"/>
        <w:lang w:eastAsia="zh-CN"/>
      </w:rPr>
      <w:t>25</w:t>
    </w:r>
    <w:r>
      <w:rPr>
        <w:rFonts w:hint="eastAsia"/>
        <w:szCs w:val="24"/>
        <w:u w:val="single"/>
      </w:rPr>
      <w:t>日</w:t>
    </w:r>
    <w:r w:rsidRPr="00D067B0">
      <w:rPr>
        <w:rFonts w:hint="eastAsia"/>
        <w:szCs w:val="24"/>
        <w:u w:val="single"/>
      </w:rPr>
      <w:t>(</w:t>
    </w:r>
    <w:r w:rsidRPr="00D067B0">
      <w:rPr>
        <w:rFonts w:hint="eastAsia"/>
        <w:szCs w:val="24"/>
        <w:u w:val="single"/>
      </w:rPr>
      <w:t>清算开始日</w:t>
    </w:r>
    <w:r w:rsidRPr="00D067B0">
      <w:rPr>
        <w:rFonts w:hint="eastAsia"/>
        <w:szCs w:val="24"/>
        <w:u w:val="single"/>
      </w:rPr>
      <w:t>)</w:t>
    </w:r>
    <w:r w:rsidRPr="00D067B0">
      <w:rPr>
        <w:rFonts w:hint="eastAsia"/>
        <w:szCs w:val="24"/>
        <w:u w:val="single"/>
      </w:rPr>
      <w:t>至</w:t>
    </w:r>
    <w:r>
      <w:rPr>
        <w:rFonts w:hint="eastAsia"/>
        <w:szCs w:val="24"/>
        <w:u w:val="single"/>
      </w:rPr>
      <w:t>2019</w:t>
    </w:r>
    <w:r w:rsidRPr="00D067B0">
      <w:rPr>
        <w:rFonts w:hint="eastAsia"/>
        <w:szCs w:val="24"/>
        <w:u w:val="single"/>
      </w:rPr>
      <w:t>年</w:t>
    </w:r>
    <w:r>
      <w:rPr>
        <w:szCs w:val="24"/>
        <w:u w:val="single"/>
      </w:rPr>
      <w:t>1</w:t>
    </w:r>
    <w:r>
      <w:rPr>
        <w:rFonts w:hint="eastAsia"/>
        <w:szCs w:val="24"/>
        <w:u w:val="single"/>
      </w:rPr>
      <w:t>月</w:t>
    </w:r>
    <w:r>
      <w:rPr>
        <w:szCs w:val="24"/>
        <w:u w:val="single"/>
      </w:rPr>
      <w:t>15</w:t>
    </w:r>
    <w:r>
      <w:rPr>
        <w:rFonts w:hint="eastAsia"/>
        <w:szCs w:val="24"/>
        <w:u w:val="single"/>
      </w:rPr>
      <w:t>日</w:t>
    </w:r>
    <w:r w:rsidRPr="00D067B0">
      <w:rPr>
        <w:rFonts w:hint="eastAsia"/>
        <w:szCs w:val="24"/>
        <w:u w:val="single"/>
      </w:rPr>
      <w:t>(</w:t>
    </w:r>
    <w:r w:rsidRPr="00D067B0">
      <w:rPr>
        <w:rFonts w:hint="eastAsia"/>
        <w:szCs w:val="24"/>
        <w:u w:val="single"/>
      </w:rPr>
      <w:t>清算结束日</w:t>
    </w:r>
    <w:r w:rsidRPr="00D067B0">
      <w:rPr>
        <w:rFonts w:hint="eastAsia"/>
        <w:szCs w:val="24"/>
        <w:u w:val="single"/>
      </w:rPr>
      <w:t>)</w:t>
    </w:r>
    <w:r w:rsidRPr="00D067B0">
      <w:rPr>
        <w:rFonts w:hint="eastAsia"/>
        <w:szCs w:val="24"/>
        <w:u w:val="single"/>
      </w:rPr>
      <w:t>止期间</w:t>
    </w:r>
    <w:r w:rsidR="00030017" w:rsidRPr="00C27C6E">
      <w:rPr>
        <w:szCs w:val="24"/>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1">
    <w:nsid w:val="7CC600F2"/>
    <w:multiLevelType w:val="hybridMultilevel"/>
    <w:tmpl w:val="B7E8C5CC"/>
    <w:lvl w:ilvl="0" w:tplc="B6DA7FC4">
      <w:start w:val="1"/>
      <w:numFmt w:val="decimal"/>
      <w:lvlText w:val="(%1)"/>
      <w:lvlJc w:val="left"/>
      <w:pPr>
        <w:ind w:left="720" w:hanging="360"/>
      </w:pPr>
      <w:rPr>
        <w:rFonts w:ascii="黑体" w:eastAsia="黑体"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204C"/>
    <w:rsid w:val="00001C4F"/>
    <w:rsid w:val="00013EBE"/>
    <w:rsid w:val="00016AD2"/>
    <w:rsid w:val="00020D96"/>
    <w:rsid w:val="00030017"/>
    <w:rsid w:val="00077D67"/>
    <w:rsid w:val="000A53BB"/>
    <w:rsid w:val="000B6299"/>
    <w:rsid w:val="000E5D5E"/>
    <w:rsid w:val="00124F91"/>
    <w:rsid w:val="00141738"/>
    <w:rsid w:val="00146D7F"/>
    <w:rsid w:val="001B2FF6"/>
    <w:rsid w:val="001F01B1"/>
    <w:rsid w:val="001F752C"/>
    <w:rsid w:val="00231963"/>
    <w:rsid w:val="00236543"/>
    <w:rsid w:val="00237533"/>
    <w:rsid w:val="00254F12"/>
    <w:rsid w:val="00255068"/>
    <w:rsid w:val="0026288B"/>
    <w:rsid w:val="002641B4"/>
    <w:rsid w:val="002916FB"/>
    <w:rsid w:val="002A0058"/>
    <w:rsid w:val="002A41F3"/>
    <w:rsid w:val="002A7DF6"/>
    <w:rsid w:val="00322C20"/>
    <w:rsid w:val="00380686"/>
    <w:rsid w:val="0038138B"/>
    <w:rsid w:val="003A46AC"/>
    <w:rsid w:val="003B484E"/>
    <w:rsid w:val="003B60A9"/>
    <w:rsid w:val="003B7FE9"/>
    <w:rsid w:val="003F34A5"/>
    <w:rsid w:val="004034D2"/>
    <w:rsid w:val="0045204C"/>
    <w:rsid w:val="00496E0D"/>
    <w:rsid w:val="004D714F"/>
    <w:rsid w:val="004E09E6"/>
    <w:rsid w:val="005165DF"/>
    <w:rsid w:val="00544DD4"/>
    <w:rsid w:val="005462B4"/>
    <w:rsid w:val="00566A84"/>
    <w:rsid w:val="005761D5"/>
    <w:rsid w:val="005855AC"/>
    <w:rsid w:val="005B1AD3"/>
    <w:rsid w:val="005C3C87"/>
    <w:rsid w:val="005D448C"/>
    <w:rsid w:val="005D69E2"/>
    <w:rsid w:val="005E43A5"/>
    <w:rsid w:val="00632D66"/>
    <w:rsid w:val="00637ABD"/>
    <w:rsid w:val="00650D47"/>
    <w:rsid w:val="00660B09"/>
    <w:rsid w:val="006A0932"/>
    <w:rsid w:val="006B2C5B"/>
    <w:rsid w:val="006D121B"/>
    <w:rsid w:val="006E657A"/>
    <w:rsid w:val="006F43ED"/>
    <w:rsid w:val="0070244E"/>
    <w:rsid w:val="007054CD"/>
    <w:rsid w:val="007122C4"/>
    <w:rsid w:val="00722D2D"/>
    <w:rsid w:val="007402C3"/>
    <w:rsid w:val="007621E2"/>
    <w:rsid w:val="00792CF1"/>
    <w:rsid w:val="007C6745"/>
    <w:rsid w:val="007E22EA"/>
    <w:rsid w:val="007F0266"/>
    <w:rsid w:val="00804504"/>
    <w:rsid w:val="0080759E"/>
    <w:rsid w:val="008351A3"/>
    <w:rsid w:val="008432AE"/>
    <w:rsid w:val="008450C9"/>
    <w:rsid w:val="008A5661"/>
    <w:rsid w:val="008E6BBF"/>
    <w:rsid w:val="008F05E0"/>
    <w:rsid w:val="00940458"/>
    <w:rsid w:val="00944B99"/>
    <w:rsid w:val="009A6C27"/>
    <w:rsid w:val="009B7969"/>
    <w:rsid w:val="009C2D36"/>
    <w:rsid w:val="009D67B9"/>
    <w:rsid w:val="009E36B0"/>
    <w:rsid w:val="009E6887"/>
    <w:rsid w:val="00A01ADD"/>
    <w:rsid w:val="00A50449"/>
    <w:rsid w:val="00A60622"/>
    <w:rsid w:val="00A971A3"/>
    <w:rsid w:val="00B03AAF"/>
    <w:rsid w:val="00B26AA7"/>
    <w:rsid w:val="00B31E3D"/>
    <w:rsid w:val="00B37048"/>
    <w:rsid w:val="00B40D55"/>
    <w:rsid w:val="00B41B01"/>
    <w:rsid w:val="00B42142"/>
    <w:rsid w:val="00B51786"/>
    <w:rsid w:val="00B51ECB"/>
    <w:rsid w:val="00B5678D"/>
    <w:rsid w:val="00B80225"/>
    <w:rsid w:val="00BC5981"/>
    <w:rsid w:val="00C27C6E"/>
    <w:rsid w:val="00C40273"/>
    <w:rsid w:val="00CB5CBF"/>
    <w:rsid w:val="00CC6FA7"/>
    <w:rsid w:val="00CD1412"/>
    <w:rsid w:val="00CE5808"/>
    <w:rsid w:val="00D16AD3"/>
    <w:rsid w:val="00D31057"/>
    <w:rsid w:val="00D37A7D"/>
    <w:rsid w:val="00D73470"/>
    <w:rsid w:val="00D91937"/>
    <w:rsid w:val="00D937DF"/>
    <w:rsid w:val="00DE003B"/>
    <w:rsid w:val="00DE2AA0"/>
    <w:rsid w:val="00DE3BCB"/>
    <w:rsid w:val="00DF3A7C"/>
    <w:rsid w:val="00E20348"/>
    <w:rsid w:val="00E46813"/>
    <w:rsid w:val="00E7234D"/>
    <w:rsid w:val="00EC0429"/>
    <w:rsid w:val="00F00238"/>
    <w:rsid w:val="00F22AEB"/>
    <w:rsid w:val="00F42B08"/>
    <w:rsid w:val="00F65DCE"/>
    <w:rsid w:val="00FC4D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04C"/>
    <w:rPr>
      <w:rFonts w:ascii="Times New Roman" w:eastAsia="宋体" w:hAnsi="Times New Roman" w:cs="Times New Roman"/>
      <w:kern w:val="0"/>
      <w:sz w:val="24"/>
      <w:szCs w:val="20"/>
      <w:lang w:val="en-GB"/>
    </w:rPr>
  </w:style>
  <w:style w:type="paragraph" w:styleId="1">
    <w:name w:val="heading 1"/>
    <w:basedOn w:val="a"/>
    <w:next w:val="a"/>
    <w:link w:val="1Char"/>
    <w:uiPriority w:val="9"/>
    <w:qFormat/>
    <w:rsid w:val="00124F9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24F9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204C"/>
    <w:pPr>
      <w:widowControl w:val="0"/>
      <w:autoSpaceDE w:val="0"/>
      <w:autoSpaceDN w:val="0"/>
      <w:adjustRightInd w:val="0"/>
    </w:pPr>
    <w:rPr>
      <w:rFonts w:ascii="宋体" w:eastAsia="宋体" w:hAnsi="Times New Roman" w:cs="宋体"/>
      <w:color w:val="000000"/>
      <w:kern w:val="0"/>
      <w:sz w:val="24"/>
      <w:szCs w:val="24"/>
    </w:rPr>
  </w:style>
  <w:style w:type="character" w:styleId="a3">
    <w:name w:val="Hyperlink"/>
    <w:uiPriority w:val="99"/>
    <w:rsid w:val="00124F91"/>
    <w:rPr>
      <w:color w:val="0000FF"/>
      <w:u w:val="single"/>
    </w:rPr>
  </w:style>
  <w:style w:type="character" w:customStyle="1" w:styleId="1Char">
    <w:name w:val="标题 1 Char"/>
    <w:basedOn w:val="a0"/>
    <w:link w:val="1"/>
    <w:uiPriority w:val="9"/>
    <w:rsid w:val="00124F91"/>
    <w:rPr>
      <w:rFonts w:ascii="Times New Roman" w:eastAsia="宋体" w:hAnsi="Times New Roman" w:cs="Times New Roman"/>
      <w:b/>
      <w:bCs/>
      <w:kern w:val="44"/>
      <w:sz w:val="44"/>
      <w:szCs w:val="44"/>
      <w:lang w:val="en-GB"/>
    </w:rPr>
  </w:style>
  <w:style w:type="paragraph" w:styleId="TOC">
    <w:name w:val="TOC Heading"/>
    <w:basedOn w:val="1"/>
    <w:next w:val="a"/>
    <w:uiPriority w:val="39"/>
    <w:semiHidden/>
    <w:unhideWhenUsed/>
    <w:qFormat/>
    <w:rsid w:val="00124F91"/>
    <w:p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rPr>
  </w:style>
  <w:style w:type="paragraph" w:styleId="10">
    <w:name w:val="toc 1"/>
    <w:basedOn w:val="a"/>
    <w:next w:val="a"/>
    <w:autoRedefine/>
    <w:uiPriority w:val="39"/>
    <w:unhideWhenUsed/>
    <w:qFormat/>
    <w:rsid w:val="00124F91"/>
    <w:pPr>
      <w:spacing w:after="100" w:line="276" w:lineRule="auto"/>
    </w:pPr>
    <w:rPr>
      <w:rFonts w:asciiTheme="minorHAnsi" w:eastAsiaTheme="minorEastAsia" w:hAnsiTheme="minorHAnsi" w:cstheme="minorBidi"/>
      <w:sz w:val="22"/>
      <w:szCs w:val="22"/>
      <w:lang w:val="en-US"/>
    </w:rPr>
  </w:style>
  <w:style w:type="character" w:styleId="a4">
    <w:name w:val="Strong"/>
    <w:uiPriority w:val="22"/>
    <w:qFormat/>
    <w:rsid w:val="00124F91"/>
    <w:rPr>
      <w:b/>
      <w:bCs/>
    </w:rPr>
  </w:style>
  <w:style w:type="character" w:customStyle="1" w:styleId="2Char">
    <w:name w:val="标题 2 Char"/>
    <w:basedOn w:val="a0"/>
    <w:link w:val="2"/>
    <w:uiPriority w:val="9"/>
    <w:rsid w:val="00124F91"/>
    <w:rPr>
      <w:rFonts w:asciiTheme="majorHAnsi" w:eastAsiaTheme="majorEastAsia" w:hAnsiTheme="majorHAnsi" w:cstheme="majorBidi"/>
      <w:b/>
      <w:bCs/>
      <w:kern w:val="0"/>
      <w:sz w:val="32"/>
      <w:szCs w:val="32"/>
      <w:lang w:val="en-GB"/>
    </w:rPr>
  </w:style>
  <w:style w:type="paragraph" w:styleId="a5">
    <w:name w:val="footer"/>
    <w:basedOn w:val="a"/>
    <w:link w:val="Char"/>
    <w:uiPriority w:val="99"/>
    <w:rsid w:val="00030017"/>
    <w:rPr>
      <w:lang/>
    </w:rPr>
  </w:style>
  <w:style w:type="character" w:customStyle="1" w:styleId="Char">
    <w:name w:val="页脚 Char"/>
    <w:basedOn w:val="a0"/>
    <w:link w:val="a5"/>
    <w:uiPriority w:val="99"/>
    <w:rsid w:val="00030017"/>
    <w:rPr>
      <w:rFonts w:ascii="Times New Roman" w:eastAsia="宋体" w:hAnsi="Times New Roman" w:cs="Times New Roman"/>
      <w:kern w:val="0"/>
      <w:sz w:val="24"/>
      <w:szCs w:val="20"/>
      <w:lang w:val="en-GB"/>
    </w:rPr>
  </w:style>
  <w:style w:type="paragraph" w:styleId="a6">
    <w:name w:val="header"/>
    <w:basedOn w:val="a"/>
    <w:link w:val="Char0"/>
    <w:uiPriority w:val="99"/>
    <w:rsid w:val="00030017"/>
    <w:rPr>
      <w:lang/>
    </w:rPr>
  </w:style>
  <w:style w:type="character" w:customStyle="1" w:styleId="Char0">
    <w:name w:val="页眉 Char"/>
    <w:basedOn w:val="a0"/>
    <w:link w:val="a6"/>
    <w:uiPriority w:val="99"/>
    <w:rsid w:val="00030017"/>
    <w:rPr>
      <w:rFonts w:ascii="Times New Roman" w:eastAsia="宋体" w:hAnsi="Times New Roman" w:cs="Times New Roman"/>
      <w:kern w:val="0"/>
      <w:sz w:val="24"/>
      <w:szCs w:val="20"/>
      <w:lang w:val="en-GB"/>
    </w:rPr>
  </w:style>
  <w:style w:type="paragraph" w:styleId="20">
    <w:name w:val="toc 2"/>
    <w:basedOn w:val="a"/>
    <w:next w:val="a"/>
    <w:autoRedefine/>
    <w:uiPriority w:val="39"/>
    <w:unhideWhenUsed/>
    <w:rsid w:val="00A50449"/>
    <w:pPr>
      <w:ind w:leftChars="200" w:left="420"/>
    </w:pPr>
  </w:style>
  <w:style w:type="paragraph" w:styleId="a7">
    <w:name w:val="Balloon Text"/>
    <w:basedOn w:val="a"/>
    <w:link w:val="Char1"/>
    <w:uiPriority w:val="99"/>
    <w:semiHidden/>
    <w:unhideWhenUsed/>
    <w:rsid w:val="00660B09"/>
    <w:rPr>
      <w:sz w:val="18"/>
      <w:szCs w:val="18"/>
    </w:rPr>
  </w:style>
  <w:style w:type="character" w:customStyle="1" w:styleId="Char1">
    <w:name w:val="批注框文本 Char"/>
    <w:basedOn w:val="a0"/>
    <w:link w:val="a7"/>
    <w:uiPriority w:val="99"/>
    <w:semiHidden/>
    <w:rsid w:val="00660B09"/>
    <w:rPr>
      <w:rFonts w:ascii="Times New Roman" w:eastAsia="宋体" w:hAnsi="Times New Roman" w:cs="Times New Roman"/>
      <w:kern w:val="0"/>
      <w:sz w:val="18"/>
      <w:szCs w:val="18"/>
      <w:lang w:val="en-GB"/>
    </w:rPr>
  </w:style>
  <w:style w:type="paragraph" w:styleId="a8">
    <w:name w:val="List Paragraph"/>
    <w:basedOn w:val="a"/>
    <w:uiPriority w:val="34"/>
    <w:qFormat/>
    <w:rsid w:val="00322C20"/>
    <w:pPr>
      <w:ind w:left="720"/>
      <w:contextualSpacing/>
    </w:pPr>
  </w:style>
  <w:style w:type="character" w:styleId="a9">
    <w:name w:val="page number"/>
    <w:uiPriority w:val="99"/>
    <w:rsid w:val="006F43ED"/>
    <w:rPr>
      <w:rFonts w:cs="Times New Roman"/>
    </w:rPr>
  </w:style>
  <w:style w:type="paragraph" w:styleId="aa">
    <w:name w:val="Normal (Web)"/>
    <w:basedOn w:val="a"/>
    <w:rsid w:val="00380686"/>
    <w:pPr>
      <w:spacing w:before="100" w:beforeAutospacing="1" w:after="100" w:afterAutospacing="1"/>
    </w:pPr>
    <w:rPr>
      <w:rFonts w:ascii="宋体" w:hAnsi="宋体" w:cs="宋体"/>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525AF-AB74-4CCC-AB91-D4043F4E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6826</Characters>
  <Application>Microsoft Office Word</Application>
  <DocSecurity>4</DocSecurity>
  <Lines>56</Lines>
  <Paragraphs>16</Paragraphs>
  <ScaleCrop>false</ScaleCrop>
  <Company>Microsoft</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崔茗</dc:creator>
  <cp:keywords/>
  <dc:description/>
  <cp:lastModifiedBy>ZHONGM</cp:lastModifiedBy>
  <cp:revision>2</cp:revision>
  <cp:lastPrinted>2018-11-08T06:38:00Z</cp:lastPrinted>
  <dcterms:created xsi:type="dcterms:W3CDTF">2019-04-01T16:02:00Z</dcterms:created>
  <dcterms:modified xsi:type="dcterms:W3CDTF">2019-04-01T16:02:00Z</dcterms:modified>
</cp:coreProperties>
</file>