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DFB" w:rsidRPr="006F35AF" w:rsidRDefault="00223DFB" w:rsidP="004B36C2">
      <w:pPr>
        <w:autoSpaceDE w:val="0"/>
        <w:autoSpaceDN w:val="0"/>
        <w:adjustRightInd w:val="0"/>
        <w:spacing w:line="360" w:lineRule="auto"/>
        <w:jc w:val="left"/>
        <w:rPr>
          <w:rFonts w:eastAsiaTheme="minorEastAsia"/>
          <w:color w:val="000000" w:themeColor="text1"/>
          <w:kern w:val="0"/>
          <w:szCs w:val="21"/>
        </w:rPr>
      </w:pPr>
    </w:p>
    <w:p w:rsidR="00FE2742" w:rsidRPr="006F35AF" w:rsidRDefault="00FE2742" w:rsidP="004B36C2">
      <w:pPr>
        <w:autoSpaceDE w:val="0"/>
        <w:autoSpaceDN w:val="0"/>
        <w:adjustRightInd w:val="0"/>
        <w:spacing w:line="360" w:lineRule="auto"/>
        <w:jc w:val="left"/>
        <w:rPr>
          <w:rStyle w:val="af8"/>
          <w:rFonts w:eastAsiaTheme="minorEastAsia"/>
          <w:color w:val="000000" w:themeColor="text1"/>
          <w:szCs w:val="21"/>
        </w:rPr>
      </w:pPr>
    </w:p>
    <w:p w:rsidR="00981242" w:rsidRPr="006F35AF" w:rsidRDefault="00981242" w:rsidP="004B36C2">
      <w:pPr>
        <w:autoSpaceDE w:val="0"/>
        <w:autoSpaceDN w:val="0"/>
        <w:adjustRightInd w:val="0"/>
        <w:spacing w:line="360" w:lineRule="auto"/>
        <w:jc w:val="left"/>
        <w:rPr>
          <w:rStyle w:val="af8"/>
          <w:rFonts w:eastAsiaTheme="minorEastAsia"/>
          <w:color w:val="000000" w:themeColor="text1"/>
          <w:szCs w:val="21"/>
        </w:rPr>
      </w:pPr>
    </w:p>
    <w:p w:rsidR="00981242" w:rsidRPr="006F35AF" w:rsidRDefault="00981242" w:rsidP="004B36C2">
      <w:pPr>
        <w:autoSpaceDE w:val="0"/>
        <w:autoSpaceDN w:val="0"/>
        <w:adjustRightInd w:val="0"/>
        <w:spacing w:line="360" w:lineRule="auto"/>
        <w:jc w:val="left"/>
        <w:rPr>
          <w:rStyle w:val="af8"/>
          <w:rFonts w:eastAsiaTheme="minorEastAsia"/>
          <w:color w:val="000000" w:themeColor="text1"/>
          <w:szCs w:val="21"/>
        </w:rPr>
      </w:pPr>
    </w:p>
    <w:p w:rsidR="00223DFB" w:rsidRPr="009A7486" w:rsidRDefault="00223DFB" w:rsidP="00CB1276">
      <w:pPr>
        <w:spacing w:line="360" w:lineRule="auto"/>
        <w:jc w:val="center"/>
        <w:rPr>
          <w:rFonts w:eastAsiaTheme="minorEastAsia"/>
          <w:b/>
          <w:color w:val="000000" w:themeColor="text1"/>
          <w:sz w:val="24"/>
        </w:rPr>
      </w:pPr>
      <w:r w:rsidRPr="009A7486">
        <w:rPr>
          <w:rFonts w:eastAsiaTheme="minorEastAsia"/>
          <w:b/>
          <w:color w:val="000000" w:themeColor="text1"/>
          <w:sz w:val="24"/>
        </w:rPr>
        <w:t>国投瑞银货币市场基金</w:t>
      </w:r>
    </w:p>
    <w:p w:rsidR="00223DFB" w:rsidRPr="009A7486" w:rsidRDefault="00223DFB" w:rsidP="00CB1276">
      <w:pPr>
        <w:spacing w:line="360" w:lineRule="auto"/>
        <w:jc w:val="center"/>
        <w:rPr>
          <w:rFonts w:eastAsiaTheme="minorEastAsia"/>
          <w:b/>
          <w:color w:val="000000" w:themeColor="text1"/>
          <w:sz w:val="24"/>
        </w:rPr>
      </w:pPr>
      <w:r w:rsidRPr="009A7486">
        <w:rPr>
          <w:rFonts w:eastAsiaTheme="minorEastAsia"/>
          <w:b/>
          <w:color w:val="000000" w:themeColor="text1"/>
          <w:sz w:val="24"/>
        </w:rPr>
        <w:t>2018</w:t>
      </w:r>
      <w:r w:rsidRPr="009A7486">
        <w:rPr>
          <w:rFonts w:eastAsiaTheme="minorEastAsia"/>
          <w:b/>
          <w:color w:val="000000" w:themeColor="text1"/>
          <w:sz w:val="24"/>
        </w:rPr>
        <w:t>年年度报告</w:t>
      </w:r>
      <w:r w:rsidR="000438D8" w:rsidRPr="009A7486">
        <w:rPr>
          <w:rFonts w:eastAsiaTheme="minorEastAsia"/>
          <w:b/>
          <w:color w:val="000000" w:themeColor="text1"/>
          <w:sz w:val="24"/>
        </w:rPr>
        <w:t>摘要</w:t>
      </w:r>
    </w:p>
    <w:p w:rsidR="00223DFB" w:rsidRPr="009A7486" w:rsidRDefault="00223DFB" w:rsidP="00CB1276">
      <w:pPr>
        <w:spacing w:line="360" w:lineRule="auto"/>
        <w:jc w:val="center"/>
        <w:rPr>
          <w:rFonts w:eastAsiaTheme="minorEastAsia"/>
          <w:b/>
          <w:color w:val="000000" w:themeColor="text1"/>
          <w:sz w:val="24"/>
        </w:rPr>
      </w:pPr>
      <w:r w:rsidRPr="009A7486">
        <w:rPr>
          <w:rFonts w:eastAsiaTheme="minorEastAsia"/>
          <w:b/>
          <w:color w:val="000000" w:themeColor="text1"/>
          <w:sz w:val="24"/>
        </w:rPr>
        <w:t>2018</w:t>
      </w:r>
      <w:r w:rsidRPr="009A7486">
        <w:rPr>
          <w:rFonts w:eastAsiaTheme="minorEastAsia"/>
          <w:b/>
          <w:color w:val="000000" w:themeColor="text1"/>
          <w:sz w:val="24"/>
        </w:rPr>
        <w:t>年</w:t>
      </w:r>
      <w:r w:rsidRPr="009A7486">
        <w:rPr>
          <w:rFonts w:eastAsiaTheme="minorEastAsia"/>
          <w:b/>
          <w:color w:val="000000" w:themeColor="text1"/>
          <w:sz w:val="24"/>
        </w:rPr>
        <w:t>12</w:t>
      </w:r>
      <w:r w:rsidRPr="009A7486">
        <w:rPr>
          <w:rFonts w:eastAsiaTheme="minorEastAsia"/>
          <w:b/>
          <w:color w:val="000000" w:themeColor="text1"/>
          <w:sz w:val="24"/>
        </w:rPr>
        <w:t>月</w:t>
      </w:r>
      <w:r w:rsidRPr="009A7486">
        <w:rPr>
          <w:rFonts w:eastAsiaTheme="minorEastAsia"/>
          <w:b/>
          <w:color w:val="000000" w:themeColor="text1"/>
          <w:sz w:val="24"/>
        </w:rPr>
        <w:t>31</w:t>
      </w:r>
      <w:r w:rsidRPr="009A7486">
        <w:rPr>
          <w:rFonts w:eastAsiaTheme="minorEastAsia"/>
          <w:b/>
          <w:color w:val="000000" w:themeColor="text1"/>
          <w:sz w:val="24"/>
        </w:rPr>
        <w:t>日</w:t>
      </w:r>
    </w:p>
    <w:p w:rsidR="00223DFB" w:rsidRPr="009A7486" w:rsidRDefault="00223DFB" w:rsidP="004B36C2">
      <w:pPr>
        <w:spacing w:line="360" w:lineRule="auto"/>
        <w:jc w:val="center"/>
        <w:rPr>
          <w:rStyle w:val="af8"/>
          <w:rFonts w:eastAsiaTheme="minorEastAsia"/>
          <w:color w:val="000000" w:themeColor="text1"/>
          <w:sz w:val="24"/>
        </w:rPr>
      </w:pPr>
    </w:p>
    <w:p w:rsidR="00223DFB" w:rsidRPr="009A7486" w:rsidRDefault="00223DFB" w:rsidP="004B36C2">
      <w:pPr>
        <w:spacing w:line="360" w:lineRule="auto"/>
        <w:jc w:val="center"/>
        <w:rPr>
          <w:rFonts w:eastAsiaTheme="minorEastAsia"/>
          <w:b/>
          <w:color w:val="000000" w:themeColor="text1"/>
          <w:sz w:val="24"/>
        </w:rPr>
      </w:pPr>
    </w:p>
    <w:p w:rsidR="00223DFB" w:rsidRPr="009A7486" w:rsidRDefault="00223DFB" w:rsidP="004B36C2">
      <w:pPr>
        <w:spacing w:line="360" w:lineRule="auto"/>
        <w:jc w:val="center"/>
        <w:rPr>
          <w:rFonts w:eastAsiaTheme="minorEastAsia"/>
          <w:b/>
          <w:color w:val="000000" w:themeColor="text1"/>
          <w:sz w:val="24"/>
        </w:rPr>
      </w:pPr>
    </w:p>
    <w:p w:rsidR="00223DFB" w:rsidRPr="009A7486" w:rsidRDefault="00223DFB" w:rsidP="004B36C2">
      <w:pPr>
        <w:spacing w:line="360" w:lineRule="auto"/>
        <w:rPr>
          <w:rFonts w:eastAsiaTheme="minorEastAsia"/>
          <w:b/>
          <w:color w:val="000000" w:themeColor="text1"/>
          <w:sz w:val="24"/>
        </w:rPr>
      </w:pPr>
    </w:p>
    <w:p w:rsidR="00223DFB" w:rsidRPr="009A7486" w:rsidRDefault="00223DFB" w:rsidP="004B36C2">
      <w:pPr>
        <w:spacing w:line="360" w:lineRule="auto"/>
        <w:jc w:val="center"/>
        <w:rPr>
          <w:rFonts w:eastAsiaTheme="minorEastAsia"/>
          <w:b/>
          <w:color w:val="000000" w:themeColor="text1"/>
          <w:sz w:val="24"/>
        </w:rPr>
      </w:pPr>
    </w:p>
    <w:p w:rsidR="00223DFB" w:rsidRPr="009A7486" w:rsidRDefault="00223DFB" w:rsidP="004B36C2">
      <w:pPr>
        <w:spacing w:line="360" w:lineRule="auto"/>
        <w:jc w:val="center"/>
        <w:rPr>
          <w:rFonts w:eastAsiaTheme="minorEastAsia"/>
          <w:b/>
          <w:color w:val="000000" w:themeColor="text1"/>
          <w:sz w:val="24"/>
        </w:rPr>
      </w:pPr>
    </w:p>
    <w:p w:rsidR="00223DFB" w:rsidRPr="009A7486" w:rsidRDefault="00223DFB" w:rsidP="004B36C2">
      <w:pPr>
        <w:spacing w:line="360" w:lineRule="auto"/>
        <w:jc w:val="center"/>
        <w:rPr>
          <w:rFonts w:eastAsiaTheme="minorEastAsia"/>
          <w:b/>
          <w:color w:val="000000" w:themeColor="text1"/>
          <w:sz w:val="24"/>
        </w:rPr>
      </w:pPr>
    </w:p>
    <w:p w:rsidR="00223DFB" w:rsidRPr="009A7486" w:rsidRDefault="00223DFB" w:rsidP="004B36C2">
      <w:pPr>
        <w:spacing w:line="360" w:lineRule="auto"/>
        <w:jc w:val="center"/>
        <w:rPr>
          <w:rFonts w:eastAsiaTheme="minorEastAsia"/>
          <w:b/>
          <w:color w:val="000000" w:themeColor="text1"/>
          <w:sz w:val="24"/>
        </w:rPr>
      </w:pPr>
    </w:p>
    <w:p w:rsidR="00223DFB" w:rsidRPr="009A7486" w:rsidRDefault="00223DFB" w:rsidP="004B36C2">
      <w:pPr>
        <w:spacing w:line="360" w:lineRule="auto"/>
        <w:jc w:val="center"/>
        <w:rPr>
          <w:rFonts w:eastAsiaTheme="minorEastAsia"/>
          <w:b/>
          <w:color w:val="000000" w:themeColor="text1"/>
          <w:sz w:val="24"/>
        </w:rPr>
      </w:pPr>
    </w:p>
    <w:p w:rsidR="00223DFB" w:rsidRPr="009A7486" w:rsidRDefault="00223DFB" w:rsidP="004B36C2">
      <w:pPr>
        <w:spacing w:line="360" w:lineRule="auto"/>
        <w:jc w:val="center"/>
        <w:rPr>
          <w:rFonts w:eastAsiaTheme="minorEastAsia"/>
          <w:b/>
          <w:color w:val="000000" w:themeColor="text1"/>
          <w:sz w:val="24"/>
        </w:rPr>
      </w:pPr>
    </w:p>
    <w:p w:rsidR="00223DFB" w:rsidRPr="009A7486" w:rsidRDefault="00223DFB" w:rsidP="004B36C2">
      <w:pPr>
        <w:spacing w:line="360" w:lineRule="auto"/>
        <w:jc w:val="center"/>
        <w:rPr>
          <w:rFonts w:eastAsiaTheme="minorEastAsia"/>
          <w:b/>
          <w:color w:val="000000" w:themeColor="text1"/>
          <w:sz w:val="24"/>
        </w:rPr>
      </w:pPr>
    </w:p>
    <w:p w:rsidR="00223DFB" w:rsidRPr="009A7486" w:rsidRDefault="00223DFB" w:rsidP="004B36C2">
      <w:pPr>
        <w:spacing w:line="360" w:lineRule="auto"/>
        <w:jc w:val="center"/>
        <w:rPr>
          <w:rFonts w:eastAsiaTheme="minorEastAsia"/>
          <w:b/>
          <w:color w:val="000000" w:themeColor="text1"/>
          <w:sz w:val="24"/>
        </w:rPr>
      </w:pPr>
    </w:p>
    <w:p w:rsidR="00223DFB" w:rsidRPr="009A7486" w:rsidRDefault="00223DFB" w:rsidP="004B36C2">
      <w:pPr>
        <w:spacing w:line="360" w:lineRule="auto"/>
        <w:jc w:val="center"/>
        <w:rPr>
          <w:rFonts w:eastAsiaTheme="minorEastAsia"/>
          <w:b/>
          <w:color w:val="000000" w:themeColor="text1"/>
          <w:sz w:val="24"/>
        </w:rPr>
      </w:pPr>
    </w:p>
    <w:p w:rsidR="00223DFB" w:rsidRPr="009A7486" w:rsidRDefault="00223DFB" w:rsidP="004B36C2">
      <w:pPr>
        <w:spacing w:line="360" w:lineRule="auto"/>
        <w:rPr>
          <w:rFonts w:eastAsiaTheme="minorEastAsia"/>
          <w:b/>
          <w:color w:val="000000" w:themeColor="text1"/>
          <w:sz w:val="24"/>
        </w:rPr>
      </w:pPr>
    </w:p>
    <w:p w:rsidR="00223DFB" w:rsidRPr="009A7486" w:rsidRDefault="00223DFB" w:rsidP="00CB1276">
      <w:pPr>
        <w:spacing w:line="360" w:lineRule="auto"/>
        <w:ind w:firstLineChars="900" w:firstLine="2168"/>
        <w:rPr>
          <w:rFonts w:eastAsiaTheme="minorEastAsia"/>
          <w:b/>
          <w:color w:val="000000" w:themeColor="text1"/>
          <w:sz w:val="24"/>
        </w:rPr>
      </w:pPr>
      <w:r w:rsidRPr="009A7486">
        <w:rPr>
          <w:rFonts w:eastAsiaTheme="minorEastAsia"/>
          <w:b/>
          <w:color w:val="000000" w:themeColor="text1"/>
          <w:sz w:val="24"/>
        </w:rPr>
        <w:t>基金管理人：国投瑞银基金管理有限公司</w:t>
      </w:r>
    </w:p>
    <w:p w:rsidR="00223DFB" w:rsidRPr="009A7486" w:rsidRDefault="00223DFB" w:rsidP="00CB1276">
      <w:pPr>
        <w:spacing w:line="360" w:lineRule="auto"/>
        <w:ind w:firstLineChars="900" w:firstLine="2168"/>
        <w:rPr>
          <w:rFonts w:eastAsiaTheme="minorEastAsia"/>
          <w:b/>
          <w:color w:val="000000" w:themeColor="text1"/>
          <w:sz w:val="24"/>
        </w:rPr>
      </w:pPr>
      <w:r w:rsidRPr="009A7486">
        <w:rPr>
          <w:rFonts w:eastAsiaTheme="minorEastAsia"/>
          <w:b/>
          <w:color w:val="000000" w:themeColor="text1"/>
          <w:sz w:val="24"/>
        </w:rPr>
        <w:t>基金托管人：中国工商银行股份有限公司</w:t>
      </w:r>
    </w:p>
    <w:p w:rsidR="00223DFB" w:rsidRPr="009A7486" w:rsidRDefault="00223DFB" w:rsidP="00CB1276">
      <w:pPr>
        <w:spacing w:line="360" w:lineRule="auto"/>
        <w:ind w:firstLineChars="900" w:firstLine="2168"/>
        <w:rPr>
          <w:rFonts w:eastAsiaTheme="minorEastAsia"/>
          <w:b/>
          <w:color w:val="000000" w:themeColor="text1"/>
          <w:sz w:val="24"/>
        </w:rPr>
      </w:pPr>
      <w:r w:rsidRPr="009A7486">
        <w:rPr>
          <w:rFonts w:eastAsiaTheme="minorEastAsia"/>
          <w:b/>
          <w:color w:val="000000" w:themeColor="text1"/>
          <w:sz w:val="24"/>
        </w:rPr>
        <w:t>报告送出日期：</w:t>
      </w:r>
      <w:r w:rsidR="00112BB2" w:rsidRPr="009A7486">
        <w:rPr>
          <w:rFonts w:eastAsiaTheme="minorEastAsia"/>
          <w:b/>
          <w:color w:val="000000" w:themeColor="text1"/>
          <w:sz w:val="24"/>
        </w:rPr>
        <w:t>二〇一九年三月三十日</w:t>
      </w:r>
    </w:p>
    <w:p w:rsidR="00223DFB" w:rsidRPr="006F35AF" w:rsidRDefault="00223DFB" w:rsidP="004B36C2">
      <w:pPr>
        <w:widowControl/>
        <w:spacing w:line="360" w:lineRule="auto"/>
        <w:jc w:val="left"/>
        <w:rPr>
          <w:rFonts w:eastAsiaTheme="minorEastAsia"/>
          <w:color w:val="000000" w:themeColor="text1"/>
          <w:szCs w:val="21"/>
        </w:rPr>
        <w:sectPr w:rsidR="00223DFB" w:rsidRPr="006F35AF">
          <w:headerReference w:type="default" r:id="rId8"/>
          <w:footerReference w:type="default" r:id="rId9"/>
          <w:pgSz w:w="11926" w:h="15840"/>
          <w:pgMar w:top="1418" w:right="1418" w:bottom="851" w:left="1418" w:header="851" w:footer="992" w:gutter="0"/>
          <w:cols w:space="720"/>
        </w:sectPr>
      </w:pPr>
    </w:p>
    <w:p w:rsidR="00223DFB" w:rsidRPr="009A7486" w:rsidRDefault="00223DFB" w:rsidP="002855D4">
      <w:pPr>
        <w:pStyle w:val="1"/>
        <w:keepNext/>
        <w:keepLines/>
        <w:widowControl w:val="0"/>
        <w:spacing w:beforeLines="100" w:afterLines="100" w:line="360" w:lineRule="auto"/>
        <w:jc w:val="center"/>
        <w:rPr>
          <w:rFonts w:eastAsiaTheme="minorEastAsia"/>
          <w:b/>
          <w:bCs/>
          <w:color w:val="000000" w:themeColor="text1"/>
          <w:szCs w:val="24"/>
          <w:lang w:val="en-US"/>
        </w:rPr>
      </w:pPr>
      <w:r w:rsidRPr="009A7486">
        <w:rPr>
          <w:rFonts w:eastAsiaTheme="minorEastAsia"/>
          <w:b/>
          <w:bCs/>
          <w:color w:val="000000" w:themeColor="text1"/>
          <w:szCs w:val="24"/>
          <w:lang w:val="en-US"/>
        </w:rPr>
        <w:lastRenderedPageBreak/>
        <w:t xml:space="preserve">§1  </w:t>
      </w:r>
      <w:r w:rsidR="00B42C09" w:rsidRPr="009A7486">
        <w:rPr>
          <w:rFonts w:eastAsiaTheme="minorEastAsia"/>
          <w:b/>
          <w:bCs/>
          <w:color w:val="000000" w:themeColor="text1"/>
          <w:szCs w:val="24"/>
          <w:lang w:val="en-US"/>
        </w:rPr>
        <w:t>重要提示</w:t>
      </w:r>
    </w:p>
    <w:p w:rsidR="00223DFB" w:rsidRPr="009A7486" w:rsidRDefault="00223DFB" w:rsidP="00CB1276">
      <w:pPr>
        <w:pStyle w:val="20"/>
        <w:spacing w:before="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 xml:space="preserve">1.1 </w:t>
      </w:r>
      <w:r w:rsidRPr="009A7486">
        <w:rPr>
          <w:rFonts w:ascii="Times New Roman" w:eastAsiaTheme="minorEastAsia" w:hAnsi="Times New Roman" w:cs="Times New Roman"/>
          <w:color w:val="000000" w:themeColor="text1"/>
          <w:kern w:val="0"/>
          <w:szCs w:val="24"/>
        </w:rPr>
        <w:t>重要提示</w:t>
      </w:r>
    </w:p>
    <w:tbl>
      <w:tblPr>
        <w:tblStyle w:val="af7"/>
        <w:tblW w:w="0" w:type="auto"/>
        <w:tblLook w:val="04A0"/>
      </w:tblPr>
      <w:tblGrid>
        <w:gridCol w:w="9286"/>
      </w:tblGrid>
      <w:tr w:rsidR="00884B3D" w:rsidTr="00884B3D">
        <w:tc>
          <w:tcPr>
            <w:tcW w:w="9286" w:type="dxa"/>
          </w:tcPr>
          <w:p w:rsidR="00884B3D" w:rsidRPr="009A7486" w:rsidRDefault="00884B3D" w:rsidP="00884B3D">
            <w:pPr>
              <w:spacing w:line="360" w:lineRule="auto"/>
              <w:ind w:firstLineChars="200" w:firstLine="480"/>
              <w:rPr>
                <w:rFonts w:eastAsiaTheme="minorEastAsia"/>
                <w:color w:val="000000" w:themeColor="text1"/>
                <w:kern w:val="0"/>
                <w:sz w:val="24"/>
              </w:rPr>
            </w:pPr>
            <w:r w:rsidRPr="009A7486">
              <w:rPr>
                <w:rFonts w:eastAsiaTheme="minorEastAsia"/>
                <w:color w:val="000000" w:themeColor="text1"/>
                <w:kern w:val="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884B3D" w:rsidRPr="009A7486" w:rsidRDefault="00884B3D" w:rsidP="00884B3D">
            <w:pPr>
              <w:spacing w:line="360" w:lineRule="auto"/>
              <w:ind w:firstLineChars="200" w:firstLine="480"/>
              <w:rPr>
                <w:rFonts w:eastAsiaTheme="minorEastAsia"/>
                <w:color w:val="000000" w:themeColor="text1"/>
                <w:kern w:val="0"/>
                <w:sz w:val="24"/>
              </w:rPr>
            </w:pPr>
            <w:r w:rsidRPr="009A7486">
              <w:rPr>
                <w:rFonts w:eastAsiaTheme="minorEastAsia"/>
                <w:color w:val="000000" w:themeColor="text1"/>
                <w:kern w:val="0"/>
                <w:sz w:val="24"/>
              </w:rPr>
              <w:t>基金托管人</w:t>
            </w:r>
            <w:r w:rsidRPr="009A7486">
              <w:rPr>
                <w:rFonts w:eastAsiaTheme="minorEastAsia"/>
                <w:color w:val="000000" w:themeColor="text1"/>
                <w:sz w:val="24"/>
              </w:rPr>
              <w:t>中国工商银行股份有限公司</w:t>
            </w:r>
            <w:r w:rsidRPr="009A7486">
              <w:rPr>
                <w:rFonts w:eastAsiaTheme="minorEastAsia"/>
                <w:color w:val="000000" w:themeColor="text1"/>
                <w:kern w:val="0"/>
                <w:sz w:val="24"/>
              </w:rPr>
              <w:t>根据本基金合同规定，于</w:t>
            </w:r>
            <w:r w:rsidRPr="009A7486">
              <w:rPr>
                <w:rFonts w:eastAsiaTheme="minorEastAsia"/>
                <w:color w:val="000000" w:themeColor="text1"/>
                <w:sz w:val="24"/>
              </w:rPr>
              <w:t>2019</w:t>
            </w:r>
            <w:r w:rsidRPr="009A7486">
              <w:rPr>
                <w:rFonts w:eastAsiaTheme="minorEastAsia"/>
                <w:color w:val="000000" w:themeColor="text1"/>
                <w:sz w:val="24"/>
              </w:rPr>
              <w:t>年</w:t>
            </w:r>
            <w:r w:rsidRPr="009A7486">
              <w:rPr>
                <w:rFonts w:eastAsiaTheme="minorEastAsia"/>
                <w:color w:val="000000" w:themeColor="text1"/>
                <w:sz w:val="24"/>
              </w:rPr>
              <w:t>3</w:t>
            </w:r>
            <w:r w:rsidRPr="009A7486">
              <w:rPr>
                <w:rFonts w:eastAsiaTheme="minorEastAsia"/>
                <w:color w:val="000000" w:themeColor="text1"/>
                <w:sz w:val="24"/>
              </w:rPr>
              <w:t>月</w:t>
            </w:r>
            <w:r w:rsidRPr="009A7486">
              <w:rPr>
                <w:rFonts w:eastAsiaTheme="minorEastAsia"/>
                <w:color w:val="000000" w:themeColor="text1"/>
                <w:sz w:val="24"/>
              </w:rPr>
              <w:t>29</w:t>
            </w:r>
            <w:r w:rsidRPr="009A7486">
              <w:rPr>
                <w:rFonts w:eastAsiaTheme="minorEastAsia"/>
                <w:color w:val="000000" w:themeColor="text1"/>
                <w:sz w:val="24"/>
              </w:rPr>
              <w:t>日</w:t>
            </w:r>
            <w:r w:rsidRPr="009A7486">
              <w:rPr>
                <w:rFonts w:eastAsiaTheme="minorEastAsia"/>
                <w:color w:val="000000" w:themeColor="text1"/>
                <w:kern w:val="0"/>
                <w:sz w:val="24"/>
              </w:rPr>
              <w:t>复核了本报告中的财务指标、净值表现、利润分配情况、财务会计报告、投资组合报告等内容，保证复核内容不存在虚假记载、误导性陈述或者重大遗漏。</w:t>
            </w:r>
          </w:p>
          <w:p w:rsidR="00884B3D" w:rsidRPr="009A7486" w:rsidRDefault="00884B3D" w:rsidP="00884B3D">
            <w:pPr>
              <w:spacing w:line="360" w:lineRule="auto"/>
              <w:ind w:firstLineChars="200" w:firstLine="480"/>
              <w:rPr>
                <w:rFonts w:eastAsiaTheme="minorEastAsia"/>
                <w:color w:val="000000" w:themeColor="text1"/>
                <w:kern w:val="0"/>
                <w:sz w:val="24"/>
              </w:rPr>
            </w:pPr>
            <w:r w:rsidRPr="009A7486">
              <w:rPr>
                <w:rFonts w:eastAsiaTheme="minorEastAsia"/>
                <w:color w:val="000000" w:themeColor="text1"/>
                <w:kern w:val="0"/>
                <w:sz w:val="24"/>
              </w:rPr>
              <w:t>基金管理人承诺以诚实信用、勤勉尽责的原则管理和运用基金资产，但不保证基金一定盈利。</w:t>
            </w:r>
          </w:p>
          <w:p w:rsidR="00884B3D" w:rsidRPr="009A7486" w:rsidRDefault="00884B3D" w:rsidP="00884B3D">
            <w:pPr>
              <w:spacing w:line="360" w:lineRule="auto"/>
              <w:ind w:firstLineChars="200" w:firstLine="480"/>
              <w:rPr>
                <w:rFonts w:eastAsiaTheme="minorEastAsia"/>
                <w:color w:val="000000" w:themeColor="text1"/>
                <w:kern w:val="0"/>
                <w:sz w:val="24"/>
              </w:rPr>
            </w:pPr>
            <w:r w:rsidRPr="009A7486">
              <w:rPr>
                <w:rFonts w:eastAsiaTheme="minorEastAsia"/>
                <w:color w:val="000000" w:themeColor="text1"/>
                <w:kern w:val="0"/>
                <w:sz w:val="24"/>
              </w:rPr>
              <w:t>基金的过往业绩并不代表其未来表现。投资有风险，投资者在作出投资决策前应仔细阅读本基金的招募说明书及其更新。</w:t>
            </w:r>
          </w:p>
          <w:p w:rsidR="00884B3D" w:rsidRPr="009A7486" w:rsidRDefault="00884B3D" w:rsidP="00884B3D">
            <w:pPr>
              <w:spacing w:line="360" w:lineRule="auto"/>
              <w:ind w:firstLineChars="200" w:firstLine="480"/>
              <w:rPr>
                <w:rFonts w:eastAsiaTheme="minorEastAsia"/>
                <w:color w:val="000000" w:themeColor="text1"/>
                <w:kern w:val="0"/>
                <w:sz w:val="24"/>
              </w:rPr>
            </w:pPr>
            <w:r w:rsidRPr="009A7486">
              <w:rPr>
                <w:rFonts w:eastAsiaTheme="minorEastAsia"/>
                <w:color w:val="000000" w:themeColor="text1"/>
                <w:kern w:val="0"/>
                <w:sz w:val="24"/>
              </w:rPr>
              <w:t>本年度报告摘要摘自年度报告正文，投资者欲了解详细内容，应阅读年度报告正文。</w:t>
            </w:r>
          </w:p>
          <w:p w:rsidR="00884B3D" w:rsidRDefault="00884B3D" w:rsidP="00884B3D">
            <w:pPr>
              <w:spacing w:line="360" w:lineRule="auto"/>
              <w:rPr>
                <w:rFonts w:eastAsiaTheme="minorEastAsia"/>
                <w:color w:val="000000" w:themeColor="text1"/>
                <w:kern w:val="0"/>
                <w:sz w:val="24"/>
              </w:rPr>
            </w:pPr>
            <w:r w:rsidRPr="009A7486">
              <w:rPr>
                <w:rFonts w:eastAsiaTheme="minorEastAsia"/>
                <w:color w:val="000000" w:themeColor="text1"/>
                <w:kern w:val="0"/>
                <w:sz w:val="24"/>
              </w:rPr>
              <w:t>本报告期自</w:t>
            </w:r>
            <w:r w:rsidRPr="009A7486">
              <w:rPr>
                <w:rFonts w:eastAsiaTheme="minorEastAsia"/>
                <w:color w:val="000000" w:themeColor="text1"/>
                <w:kern w:val="0"/>
                <w:sz w:val="24"/>
              </w:rPr>
              <w:t>2018</w:t>
            </w:r>
            <w:r w:rsidRPr="009A7486">
              <w:rPr>
                <w:rFonts w:eastAsiaTheme="minorEastAsia"/>
                <w:color w:val="000000" w:themeColor="text1"/>
                <w:kern w:val="0"/>
                <w:sz w:val="24"/>
              </w:rPr>
              <w:t>年</w:t>
            </w:r>
            <w:r w:rsidRPr="009A7486">
              <w:rPr>
                <w:rFonts w:eastAsiaTheme="minorEastAsia"/>
                <w:color w:val="000000" w:themeColor="text1"/>
                <w:kern w:val="0"/>
                <w:sz w:val="24"/>
              </w:rPr>
              <w:t>1</w:t>
            </w:r>
            <w:r w:rsidRPr="009A7486">
              <w:rPr>
                <w:rFonts w:eastAsiaTheme="minorEastAsia"/>
                <w:color w:val="000000" w:themeColor="text1"/>
                <w:kern w:val="0"/>
                <w:sz w:val="24"/>
              </w:rPr>
              <w:t>月</w:t>
            </w:r>
            <w:r w:rsidRPr="009A7486">
              <w:rPr>
                <w:rFonts w:eastAsiaTheme="minorEastAsia"/>
                <w:color w:val="000000" w:themeColor="text1"/>
                <w:kern w:val="0"/>
                <w:sz w:val="24"/>
              </w:rPr>
              <w:t>1</w:t>
            </w:r>
            <w:r w:rsidRPr="009A7486">
              <w:rPr>
                <w:rFonts w:eastAsiaTheme="minorEastAsia"/>
                <w:color w:val="000000" w:themeColor="text1"/>
                <w:kern w:val="0"/>
                <w:sz w:val="24"/>
              </w:rPr>
              <w:t>日起至</w:t>
            </w:r>
            <w:r w:rsidRPr="009A7486">
              <w:rPr>
                <w:rFonts w:eastAsiaTheme="minorEastAsia"/>
                <w:color w:val="000000" w:themeColor="text1"/>
                <w:kern w:val="0"/>
                <w:sz w:val="24"/>
              </w:rPr>
              <w:t>12</w:t>
            </w:r>
            <w:r w:rsidRPr="009A7486">
              <w:rPr>
                <w:rFonts w:eastAsiaTheme="minorEastAsia"/>
                <w:color w:val="000000" w:themeColor="text1"/>
                <w:kern w:val="0"/>
                <w:sz w:val="24"/>
              </w:rPr>
              <w:t>月</w:t>
            </w:r>
            <w:r w:rsidRPr="009A7486">
              <w:rPr>
                <w:rFonts w:eastAsiaTheme="minorEastAsia"/>
                <w:color w:val="000000" w:themeColor="text1"/>
                <w:kern w:val="0"/>
                <w:sz w:val="24"/>
              </w:rPr>
              <w:t>31</w:t>
            </w:r>
            <w:r w:rsidRPr="009A7486">
              <w:rPr>
                <w:rFonts w:eastAsiaTheme="minorEastAsia"/>
                <w:color w:val="000000" w:themeColor="text1"/>
                <w:kern w:val="0"/>
                <w:sz w:val="24"/>
              </w:rPr>
              <w:t>日止。</w:t>
            </w:r>
          </w:p>
        </w:tc>
      </w:tr>
    </w:tbl>
    <w:p w:rsidR="002D7CE0" w:rsidRPr="009A7486" w:rsidRDefault="002D7CE0" w:rsidP="009A7486">
      <w:pPr>
        <w:spacing w:line="360" w:lineRule="auto"/>
        <w:ind w:firstLineChars="200" w:firstLine="480"/>
        <w:rPr>
          <w:rFonts w:eastAsiaTheme="minorEastAsia"/>
          <w:color w:val="000000" w:themeColor="text1"/>
          <w:kern w:val="0"/>
          <w:sz w:val="24"/>
        </w:rPr>
      </w:pPr>
    </w:p>
    <w:p w:rsidR="001B416D" w:rsidRPr="009A7486" w:rsidRDefault="001B416D" w:rsidP="009A7486">
      <w:pPr>
        <w:spacing w:line="360" w:lineRule="auto"/>
        <w:ind w:firstLineChars="200" w:firstLine="480"/>
        <w:rPr>
          <w:rFonts w:eastAsiaTheme="minorEastAsia"/>
          <w:color w:val="000000" w:themeColor="text1"/>
          <w:kern w:val="0"/>
          <w:sz w:val="24"/>
        </w:rPr>
      </w:pPr>
    </w:p>
    <w:p w:rsidR="00B754E0" w:rsidRPr="009A7486" w:rsidRDefault="00223DFB" w:rsidP="009A7486">
      <w:pPr>
        <w:spacing w:line="360" w:lineRule="auto"/>
        <w:ind w:firstLineChars="200" w:firstLine="480"/>
        <w:rPr>
          <w:rFonts w:eastAsiaTheme="minorEastAsia"/>
          <w:b/>
          <w:color w:val="000000" w:themeColor="text1"/>
          <w:kern w:val="0"/>
          <w:sz w:val="24"/>
        </w:rPr>
      </w:pPr>
      <w:r w:rsidRPr="009A7486">
        <w:rPr>
          <w:rFonts w:eastAsiaTheme="minorEastAsia"/>
          <w:color w:val="000000" w:themeColor="text1"/>
          <w:sz w:val="24"/>
        </w:rPr>
        <w:br w:type="page"/>
      </w:r>
    </w:p>
    <w:p w:rsidR="00223DFB" w:rsidRPr="009A7486" w:rsidRDefault="00223DFB" w:rsidP="002855D4">
      <w:pPr>
        <w:pStyle w:val="1"/>
        <w:keepNext/>
        <w:keepLines/>
        <w:widowControl w:val="0"/>
        <w:spacing w:beforeLines="100" w:afterLines="100" w:line="360" w:lineRule="auto"/>
        <w:jc w:val="center"/>
        <w:rPr>
          <w:rFonts w:eastAsiaTheme="minorEastAsia"/>
          <w:color w:val="000000" w:themeColor="text1"/>
          <w:szCs w:val="24"/>
          <w:lang w:val="en-US"/>
        </w:rPr>
      </w:pPr>
      <w:r w:rsidRPr="009A7486">
        <w:rPr>
          <w:rFonts w:eastAsiaTheme="minorEastAsia"/>
          <w:b/>
          <w:bCs/>
          <w:color w:val="000000" w:themeColor="text1"/>
          <w:szCs w:val="24"/>
          <w:lang w:val="en-US"/>
        </w:rPr>
        <w:lastRenderedPageBreak/>
        <w:t xml:space="preserve">§2  </w:t>
      </w:r>
      <w:r w:rsidRPr="009A7486">
        <w:rPr>
          <w:rFonts w:eastAsiaTheme="minorEastAsia"/>
          <w:b/>
          <w:bCs/>
          <w:color w:val="000000" w:themeColor="text1"/>
          <w:szCs w:val="24"/>
          <w:lang w:val="en-US"/>
        </w:rPr>
        <w:t>基金简介</w:t>
      </w:r>
    </w:p>
    <w:p w:rsidR="00223DFB" w:rsidRPr="009A7486" w:rsidRDefault="00223DFB" w:rsidP="00CB1276">
      <w:pPr>
        <w:pStyle w:val="20"/>
        <w:spacing w:before="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2.1</w:t>
      </w:r>
      <w:r w:rsidRPr="009A7486">
        <w:rPr>
          <w:rFonts w:ascii="Times New Roman" w:eastAsiaTheme="minorEastAsia" w:hAnsi="Times New Roman" w:cs="Times New Roman"/>
          <w:color w:val="000000" w:themeColor="text1"/>
          <w:kern w:val="0"/>
          <w:szCs w:val="24"/>
        </w:rPr>
        <w:t>基金基本情况</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58"/>
        <w:gridCol w:w="2664"/>
        <w:gridCol w:w="2553"/>
      </w:tblGrid>
      <w:tr w:rsidR="006F35AF" w:rsidRPr="009A7486" w:rsidTr="004D5214">
        <w:tc>
          <w:tcPr>
            <w:tcW w:w="3258"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rPr>
                <w:rFonts w:eastAsiaTheme="minorEastAsia"/>
                <w:color w:val="000000" w:themeColor="text1"/>
                <w:kern w:val="0"/>
                <w:sz w:val="24"/>
              </w:rPr>
            </w:pPr>
            <w:r w:rsidRPr="009A7486">
              <w:rPr>
                <w:rFonts w:eastAsiaTheme="minorEastAsia"/>
                <w:color w:val="000000" w:themeColor="text1"/>
                <w:sz w:val="24"/>
              </w:rPr>
              <w:t>基金简称</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1B0432">
            <w:pPr>
              <w:spacing w:line="360" w:lineRule="auto"/>
              <w:jc w:val="right"/>
              <w:rPr>
                <w:rFonts w:eastAsiaTheme="minorEastAsia"/>
                <w:color w:val="000000" w:themeColor="text1"/>
                <w:sz w:val="24"/>
              </w:rPr>
            </w:pPr>
            <w:r w:rsidRPr="009A7486">
              <w:rPr>
                <w:rFonts w:eastAsiaTheme="minorEastAsia"/>
                <w:color w:val="000000" w:themeColor="text1"/>
                <w:sz w:val="24"/>
              </w:rPr>
              <w:t>国投瑞银货币</w:t>
            </w:r>
          </w:p>
        </w:tc>
      </w:tr>
      <w:tr w:rsidR="006F35AF" w:rsidRPr="009A7486" w:rsidTr="004D5214">
        <w:tc>
          <w:tcPr>
            <w:tcW w:w="3258"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rPr>
                <w:rFonts w:eastAsiaTheme="minorEastAsia"/>
                <w:color w:val="000000" w:themeColor="text1"/>
                <w:kern w:val="0"/>
                <w:sz w:val="24"/>
              </w:rPr>
            </w:pPr>
            <w:r w:rsidRPr="009A7486">
              <w:rPr>
                <w:rFonts w:eastAsiaTheme="minorEastAsia"/>
                <w:color w:val="000000" w:themeColor="text1"/>
                <w:sz w:val="24"/>
              </w:rPr>
              <w:t>基金主代码</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1B0432">
            <w:pPr>
              <w:spacing w:line="360" w:lineRule="auto"/>
              <w:jc w:val="right"/>
              <w:rPr>
                <w:rFonts w:eastAsiaTheme="minorEastAsia"/>
                <w:color w:val="000000" w:themeColor="text1"/>
                <w:sz w:val="24"/>
              </w:rPr>
            </w:pPr>
            <w:r w:rsidRPr="009A7486">
              <w:rPr>
                <w:rFonts w:eastAsiaTheme="minorEastAsia"/>
                <w:color w:val="000000" w:themeColor="text1"/>
                <w:sz w:val="24"/>
              </w:rPr>
              <w:t>121011</w:t>
            </w:r>
          </w:p>
        </w:tc>
      </w:tr>
      <w:tr w:rsidR="006F35AF" w:rsidRPr="009A7486" w:rsidTr="004D5214">
        <w:tc>
          <w:tcPr>
            <w:tcW w:w="3258" w:type="dxa"/>
            <w:tcBorders>
              <w:top w:val="single" w:sz="4" w:space="0" w:color="000000"/>
              <w:left w:val="single" w:sz="4" w:space="0" w:color="000000"/>
              <w:bottom w:val="single" w:sz="4" w:space="0" w:color="000000"/>
              <w:right w:val="single" w:sz="4" w:space="0" w:color="000000"/>
            </w:tcBorders>
            <w:hideMark/>
          </w:tcPr>
          <w:p w:rsidR="00BB5B85" w:rsidRPr="009A7486" w:rsidRDefault="00BB5B85" w:rsidP="004B36C2">
            <w:pPr>
              <w:spacing w:line="360" w:lineRule="auto"/>
              <w:rPr>
                <w:rFonts w:eastAsiaTheme="minorEastAsia"/>
                <w:color w:val="000000" w:themeColor="text1"/>
                <w:kern w:val="0"/>
                <w:sz w:val="24"/>
              </w:rPr>
            </w:pPr>
            <w:r w:rsidRPr="009A7486">
              <w:rPr>
                <w:rFonts w:eastAsiaTheme="minorEastAsia"/>
                <w:color w:val="000000" w:themeColor="text1"/>
                <w:sz w:val="24"/>
              </w:rPr>
              <w:t>基金运作方式</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BB5B85" w:rsidRPr="009A7486" w:rsidRDefault="00BB5B85" w:rsidP="001B0432">
            <w:pPr>
              <w:spacing w:line="360" w:lineRule="auto"/>
              <w:jc w:val="right"/>
              <w:rPr>
                <w:rFonts w:eastAsiaTheme="minorEastAsia"/>
                <w:color w:val="000000" w:themeColor="text1"/>
                <w:sz w:val="24"/>
              </w:rPr>
            </w:pPr>
            <w:r w:rsidRPr="009A7486">
              <w:rPr>
                <w:rFonts w:eastAsiaTheme="minorEastAsia"/>
                <w:color w:val="000000" w:themeColor="text1"/>
                <w:sz w:val="24"/>
              </w:rPr>
              <w:t>契约型开放式</w:t>
            </w:r>
          </w:p>
        </w:tc>
      </w:tr>
      <w:tr w:rsidR="006F35AF" w:rsidRPr="009A7486" w:rsidTr="004D5214">
        <w:tc>
          <w:tcPr>
            <w:tcW w:w="3258" w:type="dxa"/>
            <w:tcBorders>
              <w:top w:val="single" w:sz="4" w:space="0" w:color="000000"/>
              <w:left w:val="single" w:sz="4" w:space="0" w:color="000000"/>
              <w:bottom w:val="single" w:sz="4" w:space="0" w:color="000000"/>
              <w:right w:val="single" w:sz="4" w:space="0" w:color="000000"/>
            </w:tcBorders>
            <w:hideMark/>
          </w:tcPr>
          <w:p w:rsidR="00BB5B85" w:rsidRPr="009A7486" w:rsidRDefault="00BB5B85" w:rsidP="004B36C2">
            <w:pPr>
              <w:spacing w:line="360" w:lineRule="auto"/>
              <w:rPr>
                <w:rFonts w:eastAsiaTheme="minorEastAsia"/>
                <w:color w:val="000000" w:themeColor="text1"/>
                <w:kern w:val="0"/>
                <w:sz w:val="24"/>
              </w:rPr>
            </w:pPr>
            <w:r w:rsidRPr="009A7486">
              <w:rPr>
                <w:rFonts w:eastAsiaTheme="minorEastAsia"/>
                <w:color w:val="000000" w:themeColor="text1"/>
                <w:sz w:val="24"/>
              </w:rPr>
              <w:t>基金合同生效日</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BB5B85" w:rsidRPr="009A7486" w:rsidRDefault="00BB5B85" w:rsidP="001B0432">
            <w:pPr>
              <w:spacing w:line="360" w:lineRule="auto"/>
              <w:jc w:val="right"/>
              <w:rPr>
                <w:rFonts w:eastAsiaTheme="minorEastAsia"/>
                <w:color w:val="000000" w:themeColor="text1"/>
                <w:sz w:val="24"/>
              </w:rPr>
            </w:pPr>
            <w:r w:rsidRPr="009A7486">
              <w:rPr>
                <w:rFonts w:eastAsiaTheme="minorEastAsia"/>
                <w:color w:val="000000" w:themeColor="text1"/>
                <w:sz w:val="24"/>
              </w:rPr>
              <w:t>2009</w:t>
            </w:r>
            <w:r w:rsidRPr="009A7486">
              <w:rPr>
                <w:rFonts w:eastAsiaTheme="minorEastAsia"/>
                <w:color w:val="000000" w:themeColor="text1"/>
                <w:sz w:val="24"/>
              </w:rPr>
              <w:t>年</w:t>
            </w:r>
            <w:r w:rsidRPr="009A7486">
              <w:rPr>
                <w:rFonts w:eastAsiaTheme="minorEastAsia"/>
                <w:color w:val="000000" w:themeColor="text1"/>
                <w:sz w:val="24"/>
              </w:rPr>
              <w:t>1</w:t>
            </w:r>
            <w:r w:rsidRPr="009A7486">
              <w:rPr>
                <w:rFonts w:eastAsiaTheme="minorEastAsia"/>
                <w:color w:val="000000" w:themeColor="text1"/>
                <w:sz w:val="24"/>
              </w:rPr>
              <w:t>月</w:t>
            </w:r>
            <w:r w:rsidRPr="009A7486">
              <w:rPr>
                <w:rFonts w:eastAsiaTheme="minorEastAsia"/>
                <w:color w:val="000000" w:themeColor="text1"/>
                <w:sz w:val="24"/>
              </w:rPr>
              <w:t>19</w:t>
            </w:r>
            <w:r w:rsidRPr="009A7486">
              <w:rPr>
                <w:rFonts w:eastAsiaTheme="minorEastAsia"/>
                <w:color w:val="000000" w:themeColor="text1"/>
                <w:sz w:val="24"/>
              </w:rPr>
              <w:t>日</w:t>
            </w:r>
          </w:p>
        </w:tc>
      </w:tr>
      <w:tr w:rsidR="006F35AF" w:rsidRPr="009A7486" w:rsidTr="004D5214">
        <w:tc>
          <w:tcPr>
            <w:tcW w:w="3258" w:type="dxa"/>
            <w:tcBorders>
              <w:top w:val="single" w:sz="4" w:space="0" w:color="000000"/>
              <w:left w:val="single" w:sz="4" w:space="0" w:color="000000"/>
              <w:bottom w:val="single" w:sz="4" w:space="0" w:color="000000"/>
              <w:right w:val="single" w:sz="4" w:space="0" w:color="000000"/>
            </w:tcBorders>
            <w:hideMark/>
          </w:tcPr>
          <w:p w:rsidR="00BB5B85" w:rsidRPr="009A7486" w:rsidRDefault="00BB5B85" w:rsidP="004B36C2">
            <w:pPr>
              <w:spacing w:line="360" w:lineRule="auto"/>
              <w:rPr>
                <w:rFonts w:eastAsiaTheme="minorEastAsia"/>
                <w:color w:val="000000" w:themeColor="text1"/>
                <w:kern w:val="0"/>
                <w:sz w:val="24"/>
              </w:rPr>
            </w:pPr>
            <w:r w:rsidRPr="009A7486">
              <w:rPr>
                <w:rFonts w:eastAsiaTheme="minorEastAsia"/>
                <w:color w:val="000000" w:themeColor="text1"/>
                <w:sz w:val="24"/>
              </w:rPr>
              <w:t>基金管理人</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BB5B85" w:rsidRPr="009A7486" w:rsidRDefault="00BB5B85" w:rsidP="001B0432">
            <w:pPr>
              <w:spacing w:line="360" w:lineRule="auto"/>
              <w:jc w:val="right"/>
              <w:rPr>
                <w:rFonts w:eastAsiaTheme="minorEastAsia"/>
                <w:color w:val="000000" w:themeColor="text1"/>
                <w:sz w:val="24"/>
              </w:rPr>
            </w:pPr>
            <w:r w:rsidRPr="009A7486">
              <w:rPr>
                <w:rFonts w:eastAsiaTheme="minorEastAsia"/>
                <w:color w:val="000000" w:themeColor="text1"/>
                <w:sz w:val="24"/>
              </w:rPr>
              <w:t>国投瑞银基金管理有限公司</w:t>
            </w:r>
          </w:p>
        </w:tc>
      </w:tr>
      <w:tr w:rsidR="006F35AF" w:rsidRPr="009A7486" w:rsidTr="004D5214">
        <w:tc>
          <w:tcPr>
            <w:tcW w:w="3258" w:type="dxa"/>
            <w:tcBorders>
              <w:top w:val="single" w:sz="4" w:space="0" w:color="000000"/>
              <w:left w:val="single" w:sz="4" w:space="0" w:color="000000"/>
              <w:bottom w:val="single" w:sz="4" w:space="0" w:color="000000"/>
              <w:right w:val="single" w:sz="4" w:space="0" w:color="000000"/>
            </w:tcBorders>
            <w:hideMark/>
          </w:tcPr>
          <w:p w:rsidR="00BB5B85" w:rsidRPr="009A7486" w:rsidRDefault="00BB5B85" w:rsidP="004B36C2">
            <w:pPr>
              <w:spacing w:line="360" w:lineRule="auto"/>
              <w:rPr>
                <w:rFonts w:eastAsiaTheme="minorEastAsia"/>
                <w:color w:val="000000" w:themeColor="text1"/>
                <w:kern w:val="0"/>
                <w:sz w:val="24"/>
              </w:rPr>
            </w:pPr>
            <w:r w:rsidRPr="009A7486">
              <w:rPr>
                <w:rFonts w:eastAsiaTheme="minorEastAsia"/>
                <w:color w:val="000000" w:themeColor="text1"/>
                <w:sz w:val="24"/>
              </w:rPr>
              <w:t>基金托管人</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BB5B85" w:rsidRPr="009A7486" w:rsidRDefault="00BB5B85" w:rsidP="001B0432">
            <w:pPr>
              <w:spacing w:line="360" w:lineRule="auto"/>
              <w:jc w:val="right"/>
              <w:rPr>
                <w:rFonts w:eastAsiaTheme="minorEastAsia"/>
                <w:color w:val="000000" w:themeColor="text1"/>
                <w:sz w:val="24"/>
              </w:rPr>
            </w:pPr>
            <w:r w:rsidRPr="009A7486">
              <w:rPr>
                <w:rFonts w:eastAsiaTheme="minorEastAsia"/>
                <w:color w:val="000000" w:themeColor="text1"/>
                <w:sz w:val="24"/>
              </w:rPr>
              <w:t>中国工商银行股份有限公司</w:t>
            </w:r>
          </w:p>
        </w:tc>
      </w:tr>
      <w:tr w:rsidR="006F35AF" w:rsidRPr="009A7486" w:rsidTr="004D5214">
        <w:tc>
          <w:tcPr>
            <w:tcW w:w="3258" w:type="dxa"/>
            <w:tcBorders>
              <w:top w:val="single" w:sz="4" w:space="0" w:color="000000"/>
              <w:left w:val="single" w:sz="4" w:space="0" w:color="000000"/>
              <w:bottom w:val="single" w:sz="4" w:space="0" w:color="000000"/>
              <w:right w:val="single" w:sz="4" w:space="0" w:color="000000"/>
            </w:tcBorders>
            <w:hideMark/>
          </w:tcPr>
          <w:p w:rsidR="00BB5B85" w:rsidRPr="009A7486" w:rsidRDefault="00BB5B85" w:rsidP="004B36C2">
            <w:pPr>
              <w:spacing w:line="360" w:lineRule="auto"/>
              <w:rPr>
                <w:rFonts w:eastAsiaTheme="minorEastAsia"/>
                <w:color w:val="000000" w:themeColor="text1"/>
                <w:kern w:val="0"/>
                <w:sz w:val="24"/>
              </w:rPr>
            </w:pPr>
            <w:r w:rsidRPr="009A7486">
              <w:rPr>
                <w:rFonts w:eastAsiaTheme="minorEastAsia"/>
                <w:color w:val="000000" w:themeColor="text1"/>
                <w:sz w:val="24"/>
              </w:rPr>
              <w:t>报告期末基金份额总额</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BB5B85" w:rsidRPr="009A7486" w:rsidRDefault="00BB5B85" w:rsidP="001B0432">
            <w:pPr>
              <w:spacing w:line="360" w:lineRule="auto"/>
              <w:jc w:val="right"/>
              <w:rPr>
                <w:rFonts w:eastAsiaTheme="minorEastAsia"/>
                <w:color w:val="000000" w:themeColor="text1"/>
                <w:sz w:val="24"/>
              </w:rPr>
            </w:pPr>
            <w:r w:rsidRPr="009A7486">
              <w:rPr>
                <w:rFonts w:eastAsiaTheme="minorEastAsia"/>
                <w:color w:val="000000" w:themeColor="text1"/>
                <w:sz w:val="24"/>
              </w:rPr>
              <w:t>7,119,048,753.76</w:t>
            </w:r>
            <w:r w:rsidRPr="009A7486">
              <w:rPr>
                <w:rFonts w:eastAsiaTheme="minorEastAsia"/>
                <w:color w:val="000000" w:themeColor="text1"/>
                <w:sz w:val="24"/>
              </w:rPr>
              <w:t>份</w:t>
            </w:r>
          </w:p>
        </w:tc>
      </w:tr>
      <w:tr w:rsidR="006F35AF" w:rsidRPr="009A7486" w:rsidTr="004D5214">
        <w:tc>
          <w:tcPr>
            <w:tcW w:w="3258" w:type="dxa"/>
            <w:tcBorders>
              <w:top w:val="single" w:sz="4" w:space="0" w:color="000000"/>
              <w:left w:val="single" w:sz="4" w:space="0" w:color="000000"/>
              <w:bottom w:val="single" w:sz="4" w:space="0" w:color="000000"/>
              <w:right w:val="single" w:sz="4" w:space="0" w:color="000000"/>
            </w:tcBorders>
            <w:hideMark/>
          </w:tcPr>
          <w:p w:rsidR="00BB5B85" w:rsidRPr="009A7486" w:rsidRDefault="00BB5B85" w:rsidP="004B36C2">
            <w:pPr>
              <w:spacing w:line="360" w:lineRule="auto"/>
              <w:rPr>
                <w:rFonts w:eastAsiaTheme="minorEastAsia"/>
                <w:color w:val="000000" w:themeColor="text1"/>
                <w:kern w:val="0"/>
                <w:sz w:val="24"/>
              </w:rPr>
            </w:pPr>
            <w:r w:rsidRPr="009A7486">
              <w:rPr>
                <w:rFonts w:eastAsiaTheme="minorEastAsia"/>
                <w:color w:val="000000" w:themeColor="text1"/>
                <w:sz w:val="24"/>
              </w:rPr>
              <w:t>基金合同存续期</w:t>
            </w:r>
          </w:p>
        </w:tc>
        <w:tc>
          <w:tcPr>
            <w:tcW w:w="5217" w:type="dxa"/>
            <w:gridSpan w:val="2"/>
            <w:tcBorders>
              <w:top w:val="single" w:sz="4" w:space="0" w:color="000000"/>
              <w:left w:val="single" w:sz="4" w:space="0" w:color="000000"/>
              <w:bottom w:val="single" w:sz="4" w:space="0" w:color="000000"/>
              <w:right w:val="single" w:sz="4" w:space="0" w:color="000000"/>
            </w:tcBorders>
            <w:vAlign w:val="bottom"/>
            <w:hideMark/>
          </w:tcPr>
          <w:p w:rsidR="00BB5B85" w:rsidRPr="009A7486" w:rsidRDefault="00BB5B85" w:rsidP="001B0432">
            <w:pPr>
              <w:spacing w:line="360" w:lineRule="auto"/>
              <w:jc w:val="right"/>
              <w:rPr>
                <w:rFonts w:eastAsiaTheme="minorEastAsia"/>
                <w:color w:val="000000" w:themeColor="text1"/>
                <w:sz w:val="24"/>
              </w:rPr>
            </w:pPr>
            <w:r w:rsidRPr="009A7486">
              <w:rPr>
                <w:rFonts w:eastAsiaTheme="minorEastAsia"/>
                <w:color w:val="000000" w:themeColor="text1"/>
                <w:sz w:val="24"/>
              </w:rPr>
              <w:t>不定期</w:t>
            </w:r>
          </w:p>
        </w:tc>
      </w:tr>
      <w:tr w:rsidR="006F35AF" w:rsidRPr="009A7486" w:rsidTr="004D5214">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BB5B85" w:rsidRPr="009A7486" w:rsidRDefault="00BB5B85" w:rsidP="004B36C2">
            <w:pPr>
              <w:spacing w:line="360" w:lineRule="auto"/>
              <w:rPr>
                <w:rFonts w:eastAsiaTheme="minorEastAsia"/>
                <w:color w:val="000000" w:themeColor="text1"/>
                <w:sz w:val="24"/>
              </w:rPr>
            </w:pPr>
            <w:r w:rsidRPr="009A7486">
              <w:rPr>
                <w:rFonts w:eastAsiaTheme="minorEastAsia"/>
                <w:color w:val="000000" w:themeColor="text1"/>
                <w:sz w:val="24"/>
              </w:rPr>
              <w:t>下属分级基金的基金简称</w:t>
            </w: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BB5B85" w:rsidRPr="009A7486" w:rsidRDefault="00BB5B85" w:rsidP="001B0432">
            <w:pPr>
              <w:spacing w:line="360" w:lineRule="auto"/>
              <w:jc w:val="right"/>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A</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BB5B85" w:rsidRPr="009A7486" w:rsidRDefault="00BB5B85" w:rsidP="001B0432">
            <w:pPr>
              <w:spacing w:line="360" w:lineRule="auto"/>
              <w:jc w:val="right"/>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p>
        </w:tc>
      </w:tr>
      <w:tr w:rsidR="006F35AF" w:rsidRPr="009A7486" w:rsidTr="004D5214">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BB5B85" w:rsidRPr="009A7486" w:rsidRDefault="00BB5B85" w:rsidP="004B36C2">
            <w:pPr>
              <w:spacing w:line="360" w:lineRule="auto"/>
              <w:rPr>
                <w:rFonts w:eastAsiaTheme="minorEastAsia"/>
                <w:color w:val="000000" w:themeColor="text1"/>
                <w:sz w:val="24"/>
              </w:rPr>
            </w:pPr>
            <w:r w:rsidRPr="009A7486">
              <w:rPr>
                <w:rFonts w:eastAsiaTheme="minorEastAsia"/>
                <w:color w:val="000000" w:themeColor="text1"/>
                <w:sz w:val="24"/>
              </w:rPr>
              <w:t>下属分级基金的交易代码</w:t>
            </w: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BB5B85" w:rsidRPr="009A7486" w:rsidRDefault="00BB5B85" w:rsidP="001B0432">
            <w:pPr>
              <w:spacing w:line="360" w:lineRule="auto"/>
              <w:jc w:val="right"/>
              <w:rPr>
                <w:rFonts w:eastAsiaTheme="minorEastAsia"/>
                <w:color w:val="000000" w:themeColor="text1"/>
                <w:sz w:val="24"/>
              </w:rPr>
            </w:pPr>
            <w:r w:rsidRPr="009A7486">
              <w:rPr>
                <w:rFonts w:eastAsiaTheme="minorEastAsia"/>
                <w:color w:val="000000" w:themeColor="text1"/>
                <w:sz w:val="24"/>
              </w:rPr>
              <w:t>121011</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BB5B85" w:rsidRPr="009A7486" w:rsidRDefault="00BB5B85" w:rsidP="001B0432">
            <w:pPr>
              <w:spacing w:line="360" w:lineRule="auto"/>
              <w:jc w:val="right"/>
              <w:rPr>
                <w:rFonts w:eastAsiaTheme="minorEastAsia"/>
                <w:color w:val="000000" w:themeColor="text1"/>
                <w:sz w:val="24"/>
              </w:rPr>
            </w:pPr>
            <w:r w:rsidRPr="009A7486">
              <w:rPr>
                <w:rFonts w:eastAsiaTheme="minorEastAsia"/>
                <w:color w:val="000000" w:themeColor="text1"/>
                <w:sz w:val="24"/>
              </w:rPr>
              <w:t>128011</w:t>
            </w:r>
          </w:p>
        </w:tc>
      </w:tr>
      <w:tr w:rsidR="006F35AF" w:rsidRPr="009A7486" w:rsidTr="004D5214">
        <w:trPr>
          <w:trHeight w:val="369"/>
        </w:trPr>
        <w:tc>
          <w:tcPr>
            <w:tcW w:w="3258" w:type="dxa"/>
            <w:tcBorders>
              <w:top w:val="single" w:sz="4" w:space="0" w:color="000000"/>
              <w:left w:val="single" w:sz="4" w:space="0" w:color="000000"/>
              <w:bottom w:val="single" w:sz="4" w:space="0" w:color="000000"/>
              <w:right w:val="single" w:sz="4" w:space="0" w:color="000000"/>
            </w:tcBorders>
            <w:vAlign w:val="center"/>
            <w:hideMark/>
          </w:tcPr>
          <w:p w:rsidR="00BB5B85" w:rsidRPr="009A7486" w:rsidRDefault="00BB5B85" w:rsidP="004B36C2">
            <w:pPr>
              <w:spacing w:line="360" w:lineRule="auto"/>
              <w:rPr>
                <w:rFonts w:eastAsiaTheme="minorEastAsia"/>
                <w:color w:val="000000" w:themeColor="text1"/>
                <w:sz w:val="24"/>
              </w:rPr>
            </w:pPr>
            <w:r w:rsidRPr="009A7486">
              <w:rPr>
                <w:rFonts w:eastAsiaTheme="minorEastAsia"/>
                <w:color w:val="000000" w:themeColor="text1"/>
                <w:sz w:val="24"/>
              </w:rPr>
              <w:t>报告期末下属分级基金的份额总额</w:t>
            </w:r>
          </w:p>
        </w:tc>
        <w:tc>
          <w:tcPr>
            <w:tcW w:w="2664" w:type="dxa"/>
            <w:tcBorders>
              <w:top w:val="single" w:sz="4" w:space="0" w:color="000000"/>
              <w:left w:val="single" w:sz="4" w:space="0" w:color="000000"/>
              <w:bottom w:val="single" w:sz="4" w:space="0" w:color="000000"/>
              <w:right w:val="single" w:sz="4" w:space="0" w:color="000000"/>
            </w:tcBorders>
            <w:vAlign w:val="bottom"/>
            <w:hideMark/>
          </w:tcPr>
          <w:p w:rsidR="00BB5B85" w:rsidRPr="009A7486" w:rsidRDefault="00BB5B85" w:rsidP="001B0432">
            <w:pPr>
              <w:spacing w:line="360" w:lineRule="auto"/>
              <w:jc w:val="right"/>
              <w:rPr>
                <w:rFonts w:eastAsiaTheme="minorEastAsia"/>
                <w:color w:val="000000" w:themeColor="text1"/>
                <w:sz w:val="24"/>
              </w:rPr>
            </w:pPr>
            <w:r w:rsidRPr="009A7486">
              <w:rPr>
                <w:rFonts w:eastAsiaTheme="minorEastAsia"/>
                <w:color w:val="000000" w:themeColor="text1"/>
                <w:sz w:val="24"/>
              </w:rPr>
              <w:t>1,206,123,669.76</w:t>
            </w:r>
            <w:r w:rsidRPr="009A7486">
              <w:rPr>
                <w:rFonts w:eastAsiaTheme="minorEastAsia"/>
                <w:color w:val="000000" w:themeColor="text1"/>
                <w:sz w:val="24"/>
              </w:rPr>
              <w:t>份</w:t>
            </w:r>
          </w:p>
        </w:tc>
        <w:tc>
          <w:tcPr>
            <w:tcW w:w="2553" w:type="dxa"/>
            <w:tcBorders>
              <w:top w:val="single" w:sz="4" w:space="0" w:color="000000"/>
              <w:left w:val="single" w:sz="4" w:space="0" w:color="000000"/>
              <w:bottom w:val="single" w:sz="4" w:space="0" w:color="000000"/>
              <w:right w:val="single" w:sz="4" w:space="0" w:color="000000"/>
            </w:tcBorders>
            <w:vAlign w:val="bottom"/>
            <w:hideMark/>
          </w:tcPr>
          <w:p w:rsidR="00BB5B85" w:rsidRPr="009A7486" w:rsidRDefault="00BB5B85" w:rsidP="001B0432">
            <w:pPr>
              <w:spacing w:line="360" w:lineRule="auto"/>
              <w:jc w:val="right"/>
              <w:rPr>
                <w:rFonts w:eastAsiaTheme="minorEastAsia"/>
                <w:color w:val="000000" w:themeColor="text1"/>
                <w:sz w:val="24"/>
              </w:rPr>
            </w:pPr>
            <w:r w:rsidRPr="009A7486">
              <w:rPr>
                <w:rFonts w:eastAsiaTheme="minorEastAsia"/>
                <w:color w:val="000000" w:themeColor="text1"/>
                <w:sz w:val="24"/>
              </w:rPr>
              <w:t>5,912,925,084.00</w:t>
            </w:r>
            <w:r w:rsidRPr="009A7486">
              <w:rPr>
                <w:rFonts w:eastAsiaTheme="minorEastAsia"/>
                <w:color w:val="000000" w:themeColor="text1"/>
                <w:sz w:val="24"/>
              </w:rPr>
              <w:t>份</w:t>
            </w:r>
          </w:p>
        </w:tc>
      </w:tr>
    </w:tbl>
    <w:p w:rsidR="00223DFB" w:rsidRPr="009A7486" w:rsidRDefault="00223DFB" w:rsidP="002855D4">
      <w:pPr>
        <w:pStyle w:val="20"/>
        <w:spacing w:beforeLines="10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 xml:space="preserve">2.2 </w:t>
      </w:r>
      <w:r w:rsidRPr="009A7486">
        <w:rPr>
          <w:rFonts w:ascii="Times New Roman" w:eastAsiaTheme="minorEastAsia" w:hAnsi="Times New Roman" w:cs="Times New Roman"/>
          <w:color w:val="000000" w:themeColor="text1"/>
          <w:kern w:val="0"/>
          <w:szCs w:val="24"/>
        </w:rPr>
        <w:t>基金产品说明</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873"/>
      </w:tblGrid>
      <w:tr w:rsidR="002C233F" w:rsidRPr="009A7486"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投资目标</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在力求基金资产安全性和较高流动性的基础上，追求超越业绩比较基准的收益率。</w:t>
            </w:r>
          </w:p>
        </w:tc>
      </w:tr>
      <w:tr w:rsidR="002C233F" w:rsidRPr="009A7486"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投资策略</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本基金在追求流动性、低风险和稳定收益的前提下，依据宏观经济、货币政策、财政政策和短期利率变动预期，综合考虑各投资品种的流动性、收益性以及信用风险状况，进行积极的投资组合管理。</w:t>
            </w:r>
          </w:p>
        </w:tc>
      </w:tr>
      <w:tr w:rsidR="002C233F" w:rsidRPr="009A7486"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业绩比较基准</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七天通知存款的税后利率：（</w:t>
            </w:r>
            <w:r w:rsidRPr="009A7486">
              <w:rPr>
                <w:rFonts w:eastAsiaTheme="minorEastAsia"/>
                <w:color w:val="000000" w:themeColor="text1"/>
                <w:sz w:val="24"/>
              </w:rPr>
              <w:t>1</w:t>
            </w:r>
            <w:r w:rsidRPr="009A7486">
              <w:rPr>
                <w:rFonts w:eastAsiaTheme="minorEastAsia"/>
                <w:color w:val="000000" w:themeColor="text1"/>
                <w:sz w:val="24"/>
              </w:rPr>
              <w:t>－利息税率）</w:t>
            </w:r>
            <w:r w:rsidRPr="009A7486">
              <w:rPr>
                <w:rFonts w:eastAsiaTheme="minorEastAsia"/>
                <w:color w:val="000000" w:themeColor="text1"/>
                <w:sz w:val="24"/>
              </w:rPr>
              <w:t>×</w:t>
            </w:r>
            <w:r w:rsidRPr="009A7486">
              <w:rPr>
                <w:rFonts w:eastAsiaTheme="minorEastAsia"/>
                <w:color w:val="000000" w:themeColor="text1"/>
                <w:sz w:val="24"/>
              </w:rPr>
              <w:t>七天通知存款利率</w:t>
            </w:r>
          </w:p>
        </w:tc>
      </w:tr>
      <w:tr w:rsidR="002C233F" w:rsidRPr="009A7486" w:rsidTr="001D4934">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风险收益特征</w:t>
            </w:r>
          </w:p>
        </w:tc>
        <w:tc>
          <w:tcPr>
            <w:tcW w:w="6873"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本基金属于证券投资基金中高流动性、低风险的品种，其预期风险和预期收益率都低于股票基金、债券基金和混合基金。</w:t>
            </w:r>
          </w:p>
        </w:tc>
      </w:tr>
    </w:tbl>
    <w:p w:rsidR="00223DFB" w:rsidRPr="009A7486" w:rsidRDefault="00223DFB" w:rsidP="002855D4">
      <w:pPr>
        <w:pStyle w:val="20"/>
        <w:spacing w:beforeLines="10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 xml:space="preserve">2.3 </w:t>
      </w:r>
      <w:r w:rsidRPr="009A7486">
        <w:rPr>
          <w:rFonts w:ascii="Times New Roman" w:eastAsiaTheme="minorEastAsia" w:hAnsi="Times New Roman" w:cs="Times New Roman"/>
          <w:color w:val="000000" w:themeColor="text1"/>
          <w:kern w:val="0"/>
          <w:szCs w:val="24"/>
        </w:rPr>
        <w:t>基金管理人和基金托管人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60"/>
        <w:gridCol w:w="1371"/>
        <w:gridCol w:w="3060"/>
        <w:gridCol w:w="3060"/>
      </w:tblGrid>
      <w:tr w:rsidR="002C233F" w:rsidRPr="009A7486"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kern w:val="0"/>
                <w:sz w:val="24"/>
              </w:rPr>
              <w:t>项目</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基金管理人</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基金托管人</w:t>
            </w:r>
          </w:p>
        </w:tc>
      </w:tr>
      <w:tr w:rsidR="002C233F" w:rsidRPr="009A7486"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autoSpaceDE w:val="0"/>
              <w:autoSpaceDN w:val="0"/>
              <w:adjustRightInd w:val="0"/>
              <w:spacing w:before="29" w:line="360" w:lineRule="auto"/>
              <w:ind w:left="15"/>
              <w:rPr>
                <w:rFonts w:eastAsiaTheme="minorEastAsia"/>
                <w:color w:val="000000" w:themeColor="text1"/>
                <w:kern w:val="0"/>
                <w:sz w:val="24"/>
              </w:rPr>
            </w:pPr>
            <w:r w:rsidRPr="009A7486">
              <w:rPr>
                <w:rFonts w:eastAsiaTheme="minorEastAsia"/>
                <w:color w:val="000000" w:themeColor="text1"/>
                <w:kern w:val="0"/>
                <w:sz w:val="24"/>
              </w:rPr>
              <w:t>名称</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kern w:val="0"/>
                <w:sz w:val="24"/>
              </w:rPr>
              <w:t>国投瑞银基金管理有限公司</w:t>
            </w:r>
          </w:p>
        </w:tc>
        <w:tc>
          <w:tcPr>
            <w:tcW w:w="3060"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kern w:val="0"/>
                <w:sz w:val="24"/>
              </w:rPr>
              <w:t>中国工商银行股份有限公司</w:t>
            </w:r>
          </w:p>
        </w:tc>
      </w:tr>
      <w:tr w:rsidR="002C233F" w:rsidRPr="009A7486" w:rsidTr="001D4934">
        <w:tc>
          <w:tcPr>
            <w:tcW w:w="1260"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autoSpaceDE w:val="0"/>
              <w:autoSpaceDN w:val="0"/>
              <w:adjustRightInd w:val="0"/>
              <w:spacing w:before="29" w:line="360" w:lineRule="auto"/>
              <w:ind w:left="15"/>
              <w:rPr>
                <w:rFonts w:eastAsiaTheme="minorEastAsia"/>
                <w:color w:val="000000" w:themeColor="text1"/>
                <w:kern w:val="0"/>
                <w:sz w:val="24"/>
              </w:rPr>
            </w:pPr>
            <w:r w:rsidRPr="009A7486">
              <w:rPr>
                <w:rFonts w:eastAsiaTheme="minorEastAsia"/>
                <w:color w:val="000000" w:themeColor="text1"/>
                <w:sz w:val="24"/>
              </w:rPr>
              <w:t>信息披露负责人</w:t>
            </w: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姓名</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kern w:val="0"/>
                <w:sz w:val="24"/>
              </w:rPr>
              <w:t>刘凯</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kern w:val="0"/>
                <w:sz w:val="24"/>
              </w:rPr>
              <w:t>郭明</w:t>
            </w:r>
          </w:p>
        </w:tc>
      </w:tr>
      <w:tr w:rsidR="002C233F" w:rsidRPr="009A7486" w:rsidTr="00DF7E20">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widowControl/>
              <w:spacing w:line="360" w:lineRule="auto"/>
              <w:jc w:val="left"/>
              <w:rPr>
                <w:rFonts w:eastAsiaTheme="minorEastAsia"/>
                <w:color w:val="000000" w:themeColor="text1"/>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sz w:val="24"/>
              </w:rPr>
              <w:t>联系电话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kern w:val="0"/>
                <w:sz w:val="24"/>
              </w:rPr>
              <w:t>400-880-6868</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kern w:val="0"/>
                <w:sz w:val="24"/>
              </w:rPr>
              <w:t>010-66105798</w:t>
            </w:r>
          </w:p>
        </w:tc>
      </w:tr>
      <w:tr w:rsidR="002C233F" w:rsidRPr="009A7486" w:rsidTr="00DF7E20">
        <w:tc>
          <w:tcPr>
            <w:tcW w:w="1260" w:type="dxa"/>
            <w:vMerge/>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widowControl/>
              <w:spacing w:line="360" w:lineRule="auto"/>
              <w:jc w:val="left"/>
              <w:rPr>
                <w:rFonts w:eastAsiaTheme="minorEastAsia"/>
                <w:color w:val="000000" w:themeColor="text1"/>
                <w:kern w:val="0"/>
                <w:sz w:val="24"/>
              </w:rPr>
            </w:pPr>
          </w:p>
        </w:tc>
        <w:tc>
          <w:tcPr>
            <w:tcW w:w="1371"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sz w:val="24"/>
              </w:rPr>
              <w:t>电子邮箱</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kern w:val="0"/>
                <w:sz w:val="24"/>
              </w:rPr>
              <w:t>service@ubssdic.com</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kern w:val="0"/>
                <w:sz w:val="24"/>
              </w:rPr>
              <w:t>custody@icbc.com.cn</w:t>
            </w:r>
          </w:p>
        </w:tc>
      </w:tr>
      <w:tr w:rsidR="002C233F" w:rsidRPr="009A7486"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客户服务电话</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kern w:val="0"/>
                <w:sz w:val="24"/>
              </w:rPr>
              <w:t>400-880-6868</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kern w:val="0"/>
                <w:sz w:val="24"/>
              </w:rPr>
              <w:t>95588</w:t>
            </w:r>
          </w:p>
        </w:tc>
      </w:tr>
      <w:tr w:rsidR="002C233F" w:rsidRPr="009A7486" w:rsidTr="001D4934">
        <w:tc>
          <w:tcPr>
            <w:tcW w:w="2631" w:type="dxa"/>
            <w:gridSpan w:val="2"/>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传真</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kern w:val="0"/>
                <w:sz w:val="24"/>
              </w:rPr>
              <w:t>0755-82904048</w:t>
            </w:r>
          </w:p>
        </w:tc>
        <w:tc>
          <w:tcPr>
            <w:tcW w:w="3060"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autoSpaceDE w:val="0"/>
              <w:autoSpaceDN w:val="0"/>
              <w:adjustRightInd w:val="0"/>
              <w:spacing w:before="29" w:line="360" w:lineRule="auto"/>
              <w:ind w:left="15"/>
              <w:jc w:val="center"/>
              <w:rPr>
                <w:rFonts w:eastAsiaTheme="minorEastAsia"/>
                <w:color w:val="000000" w:themeColor="text1"/>
                <w:kern w:val="0"/>
                <w:sz w:val="24"/>
              </w:rPr>
            </w:pPr>
            <w:r w:rsidRPr="009A7486">
              <w:rPr>
                <w:rFonts w:eastAsiaTheme="minorEastAsia"/>
                <w:color w:val="000000" w:themeColor="text1"/>
                <w:kern w:val="0"/>
                <w:sz w:val="24"/>
              </w:rPr>
              <w:t>010-66105799</w:t>
            </w:r>
          </w:p>
        </w:tc>
      </w:tr>
    </w:tbl>
    <w:p w:rsidR="00223DFB" w:rsidRPr="009A7486" w:rsidRDefault="00223DFB" w:rsidP="002855D4">
      <w:pPr>
        <w:pStyle w:val="20"/>
        <w:spacing w:beforeLines="10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 xml:space="preserve">2.4 </w:t>
      </w:r>
      <w:r w:rsidRPr="009A7486">
        <w:rPr>
          <w:rFonts w:ascii="Times New Roman" w:eastAsiaTheme="minorEastAsia" w:hAnsi="Times New Roman" w:cs="Times New Roman"/>
          <w:color w:val="000000" w:themeColor="text1"/>
          <w:kern w:val="0"/>
          <w:szCs w:val="24"/>
        </w:rPr>
        <w:t>信息披露方式</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20"/>
        <w:gridCol w:w="4180"/>
      </w:tblGrid>
      <w:tr w:rsidR="002C233F" w:rsidRPr="009A7486" w:rsidTr="00167DE3">
        <w:tc>
          <w:tcPr>
            <w:tcW w:w="4820" w:type="dxa"/>
            <w:tcBorders>
              <w:top w:val="single" w:sz="4" w:space="0" w:color="000000"/>
              <w:left w:val="single" w:sz="4" w:space="0" w:color="000000"/>
              <w:bottom w:val="single" w:sz="4" w:space="0" w:color="000000"/>
              <w:right w:val="single" w:sz="4" w:space="0" w:color="000000"/>
            </w:tcBorders>
            <w:hideMark/>
          </w:tcPr>
          <w:p w:rsidR="00223DFB" w:rsidRPr="009A7486" w:rsidRDefault="00DF7E20" w:rsidP="004B36C2">
            <w:pPr>
              <w:tabs>
                <w:tab w:val="left" w:pos="1740"/>
              </w:tabs>
              <w:spacing w:line="360" w:lineRule="auto"/>
              <w:rPr>
                <w:rFonts w:eastAsiaTheme="minorEastAsia"/>
                <w:color w:val="000000" w:themeColor="text1"/>
                <w:sz w:val="24"/>
              </w:rPr>
            </w:pPr>
            <w:r w:rsidRPr="009A7486">
              <w:rPr>
                <w:rFonts w:eastAsiaTheme="minorEastAsia"/>
                <w:color w:val="000000" w:themeColor="text1"/>
                <w:sz w:val="24"/>
              </w:rPr>
              <w:t>登载基金年度报告摘要</w:t>
            </w:r>
            <w:r w:rsidR="00223DFB" w:rsidRPr="009A7486">
              <w:rPr>
                <w:rFonts w:eastAsiaTheme="minorEastAsia"/>
                <w:color w:val="000000" w:themeColor="text1"/>
                <w:sz w:val="24"/>
              </w:rPr>
              <w:t>的管理人互联网网址</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167DE3">
            <w:pPr>
              <w:tabs>
                <w:tab w:val="left" w:pos="1740"/>
              </w:tabs>
              <w:spacing w:line="360" w:lineRule="auto"/>
              <w:rPr>
                <w:rFonts w:eastAsiaTheme="minorEastAsia"/>
                <w:color w:val="000000" w:themeColor="text1"/>
                <w:sz w:val="24"/>
              </w:rPr>
            </w:pPr>
            <w:r w:rsidRPr="009A7486">
              <w:rPr>
                <w:rFonts w:eastAsiaTheme="minorEastAsia"/>
                <w:color w:val="000000" w:themeColor="text1"/>
                <w:sz w:val="24"/>
              </w:rPr>
              <w:t>http://www.ubssdic.com</w:t>
            </w:r>
          </w:p>
        </w:tc>
      </w:tr>
      <w:tr w:rsidR="002C233F" w:rsidRPr="009A7486" w:rsidTr="00167DE3">
        <w:tc>
          <w:tcPr>
            <w:tcW w:w="4820"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tabs>
                <w:tab w:val="left" w:pos="1740"/>
              </w:tabs>
              <w:spacing w:line="360" w:lineRule="auto"/>
              <w:rPr>
                <w:rFonts w:eastAsiaTheme="minorEastAsia"/>
                <w:color w:val="000000" w:themeColor="text1"/>
                <w:sz w:val="24"/>
              </w:rPr>
            </w:pPr>
            <w:r w:rsidRPr="009A7486">
              <w:rPr>
                <w:rFonts w:eastAsiaTheme="minorEastAsia"/>
                <w:color w:val="000000" w:themeColor="text1"/>
                <w:sz w:val="24"/>
              </w:rPr>
              <w:t>基金年度报告备置地点</w:t>
            </w:r>
          </w:p>
        </w:tc>
        <w:tc>
          <w:tcPr>
            <w:tcW w:w="4180"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167DE3">
            <w:pPr>
              <w:tabs>
                <w:tab w:val="left" w:pos="1740"/>
              </w:tabs>
              <w:spacing w:line="360" w:lineRule="auto"/>
              <w:rPr>
                <w:rFonts w:eastAsiaTheme="minorEastAsia"/>
                <w:color w:val="000000" w:themeColor="text1"/>
                <w:sz w:val="24"/>
              </w:rPr>
            </w:pPr>
            <w:r w:rsidRPr="009A7486">
              <w:rPr>
                <w:rFonts w:eastAsiaTheme="minorEastAsia"/>
                <w:color w:val="000000" w:themeColor="text1"/>
                <w:sz w:val="24"/>
              </w:rPr>
              <w:t>深圳市福田区金田路</w:t>
            </w:r>
            <w:r w:rsidRPr="009A7486">
              <w:rPr>
                <w:rFonts w:eastAsiaTheme="minorEastAsia"/>
                <w:color w:val="000000" w:themeColor="text1"/>
                <w:sz w:val="24"/>
              </w:rPr>
              <w:t>4028</w:t>
            </w:r>
            <w:r w:rsidRPr="009A7486">
              <w:rPr>
                <w:rFonts w:eastAsiaTheme="minorEastAsia"/>
                <w:color w:val="000000" w:themeColor="text1"/>
                <w:sz w:val="24"/>
              </w:rPr>
              <w:t>号荣超经贸中心</w:t>
            </w:r>
            <w:r w:rsidRPr="009A7486">
              <w:rPr>
                <w:rFonts w:eastAsiaTheme="minorEastAsia"/>
                <w:color w:val="000000" w:themeColor="text1"/>
                <w:sz w:val="24"/>
              </w:rPr>
              <w:t>46</w:t>
            </w:r>
            <w:r w:rsidRPr="009A7486">
              <w:rPr>
                <w:rFonts w:eastAsiaTheme="minorEastAsia"/>
                <w:color w:val="000000" w:themeColor="text1"/>
                <w:sz w:val="24"/>
              </w:rPr>
              <w:t>层</w:t>
            </w:r>
          </w:p>
        </w:tc>
      </w:tr>
    </w:tbl>
    <w:p w:rsidR="00223DFB" w:rsidRPr="009A7486" w:rsidRDefault="00223DFB" w:rsidP="002855D4">
      <w:pPr>
        <w:pStyle w:val="1"/>
        <w:keepNext/>
        <w:keepLines/>
        <w:widowControl w:val="0"/>
        <w:spacing w:beforeLines="100" w:afterLines="100" w:line="360" w:lineRule="auto"/>
        <w:jc w:val="center"/>
        <w:rPr>
          <w:rFonts w:eastAsiaTheme="minorEastAsia"/>
          <w:b/>
          <w:bCs/>
          <w:color w:val="000000" w:themeColor="text1"/>
          <w:szCs w:val="24"/>
          <w:lang w:val="en-US"/>
        </w:rPr>
      </w:pPr>
      <w:r w:rsidRPr="009A7486">
        <w:rPr>
          <w:rFonts w:eastAsiaTheme="minorEastAsia"/>
          <w:b/>
          <w:bCs/>
          <w:color w:val="000000" w:themeColor="text1"/>
          <w:szCs w:val="24"/>
          <w:lang w:val="en-US"/>
        </w:rPr>
        <w:t xml:space="preserve">§3 </w:t>
      </w:r>
      <w:r w:rsidRPr="009A7486">
        <w:rPr>
          <w:rFonts w:eastAsiaTheme="minorEastAsia"/>
          <w:b/>
          <w:bCs/>
          <w:color w:val="000000" w:themeColor="text1"/>
          <w:szCs w:val="24"/>
          <w:lang w:val="en-US"/>
        </w:rPr>
        <w:t>主要财务指标、基金净值表现及利润分配情况</w:t>
      </w:r>
    </w:p>
    <w:p w:rsidR="00223DFB" w:rsidRPr="009A7486" w:rsidRDefault="00223DFB" w:rsidP="00CB1276">
      <w:pPr>
        <w:pStyle w:val="20"/>
        <w:spacing w:before="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 xml:space="preserve">3.1 </w:t>
      </w:r>
      <w:r w:rsidRPr="009A7486">
        <w:rPr>
          <w:rFonts w:ascii="Times New Roman" w:eastAsiaTheme="minorEastAsia" w:hAnsi="Times New Roman" w:cs="Times New Roman"/>
          <w:color w:val="000000" w:themeColor="text1"/>
          <w:kern w:val="0"/>
          <w:szCs w:val="24"/>
        </w:rPr>
        <w:t>主要会计数据和财务指标</w:t>
      </w:r>
    </w:p>
    <w:p w:rsidR="00223DFB" w:rsidRPr="009A7486" w:rsidRDefault="00223DFB" w:rsidP="004B36C2">
      <w:pPr>
        <w:autoSpaceDE w:val="0"/>
        <w:autoSpaceDN w:val="0"/>
        <w:adjustRightInd w:val="0"/>
        <w:spacing w:before="29" w:line="360" w:lineRule="auto"/>
        <w:ind w:left="15"/>
        <w:jc w:val="right"/>
        <w:rPr>
          <w:rFonts w:eastAsiaTheme="minorEastAsia"/>
          <w:color w:val="000000" w:themeColor="text1"/>
          <w:kern w:val="0"/>
          <w:sz w:val="24"/>
        </w:rPr>
      </w:pPr>
      <w:r w:rsidRPr="009A7486">
        <w:rPr>
          <w:rFonts w:eastAsiaTheme="minorEastAsia"/>
          <w:color w:val="000000" w:themeColor="text1"/>
          <w:kern w:val="0"/>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8"/>
        <w:gridCol w:w="1434"/>
        <w:gridCol w:w="1434"/>
        <w:gridCol w:w="1428"/>
        <w:gridCol w:w="1520"/>
        <w:gridCol w:w="1434"/>
        <w:gridCol w:w="1520"/>
      </w:tblGrid>
      <w:tr w:rsidR="002C233F" w:rsidRPr="009A7486" w:rsidTr="004D5214">
        <w:trPr>
          <w:trHeight w:val="487"/>
        </w:trPr>
        <w:tc>
          <w:tcPr>
            <w:tcW w:w="716" w:type="pct"/>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ind w:leftChars="-51" w:left="-107" w:rightChars="-51" w:right="-107"/>
              <w:jc w:val="center"/>
              <w:rPr>
                <w:rFonts w:eastAsiaTheme="minorEastAsia"/>
                <w:b/>
                <w:color w:val="000000" w:themeColor="text1"/>
                <w:sz w:val="24"/>
              </w:rPr>
            </w:pPr>
            <w:r w:rsidRPr="009A7486">
              <w:rPr>
                <w:rFonts w:eastAsiaTheme="minorEastAsia"/>
                <w:b/>
                <w:color w:val="000000" w:themeColor="text1"/>
                <w:sz w:val="24"/>
              </w:rPr>
              <w:t>3.1.1</w:t>
            </w:r>
            <w:r w:rsidRPr="009A7486">
              <w:rPr>
                <w:rFonts w:eastAsiaTheme="minorEastAsia"/>
                <w:b/>
                <w:color w:val="000000" w:themeColor="text1"/>
                <w:sz w:val="24"/>
              </w:rPr>
              <w:t>期间数据和指标</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ind w:leftChars="-51" w:left="-107" w:rightChars="-51" w:right="-107"/>
              <w:jc w:val="center"/>
              <w:rPr>
                <w:rFonts w:eastAsiaTheme="minorEastAsia"/>
                <w:b/>
                <w:color w:val="000000" w:themeColor="text1"/>
                <w:sz w:val="24"/>
              </w:rPr>
            </w:pPr>
            <w:r w:rsidRPr="009A7486">
              <w:rPr>
                <w:rFonts w:eastAsiaTheme="minorEastAsia"/>
                <w:b/>
                <w:color w:val="000000" w:themeColor="text1"/>
                <w:sz w:val="24"/>
              </w:rPr>
              <w:t>2018</w:t>
            </w:r>
            <w:r w:rsidRPr="009A7486">
              <w:rPr>
                <w:rFonts w:eastAsiaTheme="minorEastAsia"/>
                <w:b/>
                <w:color w:val="000000" w:themeColor="text1"/>
                <w:sz w:val="24"/>
              </w:rPr>
              <w:t>年</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ind w:leftChars="-51" w:left="-107" w:rightChars="-51" w:right="-107"/>
              <w:jc w:val="center"/>
              <w:rPr>
                <w:rFonts w:eastAsiaTheme="minorEastAsia"/>
                <w:b/>
                <w:color w:val="000000" w:themeColor="text1"/>
                <w:sz w:val="24"/>
              </w:rPr>
            </w:pPr>
            <w:r w:rsidRPr="009A7486">
              <w:rPr>
                <w:rFonts w:eastAsiaTheme="minorEastAsia"/>
                <w:b/>
                <w:color w:val="000000" w:themeColor="text1"/>
                <w:sz w:val="24"/>
              </w:rPr>
              <w:t>2017</w:t>
            </w:r>
            <w:r w:rsidRPr="009A7486">
              <w:rPr>
                <w:rFonts w:eastAsiaTheme="minorEastAsia"/>
                <w:b/>
                <w:color w:val="000000" w:themeColor="text1"/>
                <w:sz w:val="24"/>
              </w:rPr>
              <w:t>年</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ind w:leftChars="-51" w:left="-107" w:rightChars="-51" w:right="-107"/>
              <w:jc w:val="center"/>
              <w:rPr>
                <w:rFonts w:eastAsiaTheme="minorEastAsia"/>
                <w:b/>
                <w:color w:val="000000" w:themeColor="text1"/>
                <w:sz w:val="24"/>
              </w:rPr>
            </w:pPr>
            <w:r w:rsidRPr="009A7486">
              <w:rPr>
                <w:rFonts w:eastAsiaTheme="minorEastAsia"/>
                <w:b/>
                <w:color w:val="000000" w:themeColor="text1"/>
                <w:sz w:val="24"/>
              </w:rPr>
              <w:t>2016</w:t>
            </w:r>
            <w:r w:rsidRPr="009A7486">
              <w:rPr>
                <w:rFonts w:eastAsiaTheme="minorEastAsia"/>
                <w:b/>
                <w:color w:val="000000" w:themeColor="text1"/>
                <w:sz w:val="24"/>
              </w:rPr>
              <w:t>年</w:t>
            </w:r>
          </w:p>
        </w:tc>
      </w:tr>
      <w:tr w:rsidR="002C233F" w:rsidRPr="009A7486" w:rsidTr="004D5214">
        <w:trPr>
          <w:trHeight w:val="487"/>
        </w:trPr>
        <w:tc>
          <w:tcPr>
            <w:tcW w:w="716" w:type="pct"/>
            <w:vMerge/>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widowControl/>
              <w:spacing w:line="360" w:lineRule="auto"/>
              <w:jc w:val="left"/>
              <w:rPr>
                <w:rFonts w:eastAsiaTheme="minorEastAsia"/>
                <w:b/>
                <w:color w:val="000000" w:themeColor="text1"/>
                <w:sz w:val="24"/>
              </w:rPr>
            </w:pP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A</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A</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A</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p>
        </w:tc>
      </w:tr>
      <w:tr w:rsidR="002C233F" w:rsidRPr="009A7486" w:rsidTr="004D5214">
        <w:tc>
          <w:tcPr>
            <w:tcW w:w="716"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本期已实现收益</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49,796,236.45</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571,035,810.07</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39,743,700.23</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622,085,116.07</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8,504,529.75</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511,925,258.60</w:t>
            </w:r>
          </w:p>
        </w:tc>
      </w:tr>
      <w:tr w:rsidR="002C233F" w:rsidRPr="009A7486" w:rsidTr="004D5214">
        <w:trPr>
          <w:trHeight w:val="754"/>
        </w:trPr>
        <w:tc>
          <w:tcPr>
            <w:tcW w:w="716"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本期利润</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49,796,236.45</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571,035,810.07</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39,743,700.23</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622,085,116.07</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8,504,529.75</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511,925,258.60</w:t>
            </w:r>
          </w:p>
        </w:tc>
      </w:tr>
      <w:tr w:rsidR="002C233F" w:rsidRPr="009A7486" w:rsidTr="004D5214">
        <w:tc>
          <w:tcPr>
            <w:tcW w:w="716"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本期净值收益率</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3.5366%</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3.7863%</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3.6413%</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3.8910%</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2.4169%</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2.6625%</w:t>
            </w:r>
          </w:p>
        </w:tc>
      </w:tr>
      <w:tr w:rsidR="008336E4" w:rsidRPr="009A7486" w:rsidTr="004D5214">
        <w:tc>
          <w:tcPr>
            <w:tcW w:w="716" w:type="pct"/>
            <w:vMerge w:val="restart"/>
            <w:tcBorders>
              <w:top w:val="single" w:sz="4" w:space="0" w:color="000000"/>
              <w:left w:val="single" w:sz="4" w:space="0" w:color="000000"/>
              <w:bottom w:val="single" w:sz="4" w:space="0" w:color="000000"/>
              <w:right w:val="single" w:sz="4" w:space="0" w:color="000000"/>
            </w:tcBorders>
            <w:vAlign w:val="center"/>
            <w:hideMark/>
          </w:tcPr>
          <w:p w:rsidR="008336E4" w:rsidRPr="009A7486" w:rsidRDefault="008336E4" w:rsidP="004B36C2">
            <w:pPr>
              <w:spacing w:line="360" w:lineRule="auto"/>
              <w:ind w:leftChars="-51" w:left="-107" w:rightChars="-51" w:right="-107"/>
              <w:rPr>
                <w:rFonts w:eastAsiaTheme="minorEastAsia"/>
                <w:b/>
                <w:color w:val="000000" w:themeColor="text1"/>
                <w:sz w:val="24"/>
              </w:rPr>
            </w:pPr>
            <w:r w:rsidRPr="009A7486">
              <w:rPr>
                <w:rFonts w:eastAsiaTheme="minorEastAsia"/>
                <w:b/>
                <w:color w:val="000000" w:themeColor="text1"/>
                <w:sz w:val="24"/>
              </w:rPr>
              <w:t>3.1.2</w:t>
            </w:r>
            <w:r w:rsidRPr="009A7486">
              <w:rPr>
                <w:rFonts w:eastAsiaTheme="minorEastAsia"/>
                <w:b/>
                <w:color w:val="000000" w:themeColor="text1"/>
                <w:sz w:val="24"/>
              </w:rPr>
              <w:t>期末数据和指标</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9A7486" w:rsidRDefault="008336E4" w:rsidP="004B36C2">
            <w:pPr>
              <w:spacing w:line="360" w:lineRule="auto"/>
              <w:ind w:leftChars="-51" w:left="-107" w:rightChars="-51" w:right="-107"/>
              <w:jc w:val="center"/>
              <w:rPr>
                <w:rFonts w:eastAsiaTheme="minorEastAsia"/>
                <w:b/>
                <w:color w:val="000000" w:themeColor="text1"/>
                <w:sz w:val="24"/>
              </w:rPr>
            </w:pPr>
            <w:r w:rsidRPr="009A7486">
              <w:rPr>
                <w:rFonts w:eastAsiaTheme="minorEastAsia"/>
                <w:b/>
                <w:color w:val="000000" w:themeColor="text1"/>
                <w:sz w:val="24"/>
              </w:rPr>
              <w:t>2018</w:t>
            </w:r>
            <w:r w:rsidR="009E4976" w:rsidRPr="009A7486">
              <w:rPr>
                <w:rFonts w:eastAsiaTheme="minorEastAsia"/>
                <w:b/>
                <w:color w:val="000000" w:themeColor="text1"/>
                <w:sz w:val="24"/>
              </w:rPr>
              <w:t>年</w:t>
            </w:r>
            <w:r w:rsidRPr="009A7486">
              <w:rPr>
                <w:rFonts w:eastAsiaTheme="minorEastAsia"/>
                <w:b/>
                <w:color w:val="000000" w:themeColor="text1"/>
                <w:sz w:val="24"/>
              </w:rPr>
              <w:t>末</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9A7486" w:rsidRDefault="008336E4" w:rsidP="004B36C2">
            <w:pPr>
              <w:spacing w:line="360" w:lineRule="auto"/>
              <w:jc w:val="center"/>
              <w:rPr>
                <w:rFonts w:eastAsiaTheme="minorEastAsia"/>
                <w:b/>
                <w:color w:val="000000" w:themeColor="text1"/>
                <w:sz w:val="24"/>
              </w:rPr>
            </w:pPr>
            <w:r w:rsidRPr="009A7486">
              <w:rPr>
                <w:rFonts w:eastAsiaTheme="minorEastAsia"/>
                <w:b/>
                <w:color w:val="000000" w:themeColor="text1"/>
                <w:sz w:val="24"/>
              </w:rPr>
              <w:t>2017</w:t>
            </w:r>
            <w:r w:rsidR="009E4976" w:rsidRPr="009A7486">
              <w:rPr>
                <w:rFonts w:eastAsiaTheme="minorEastAsia"/>
                <w:b/>
                <w:color w:val="000000" w:themeColor="text1"/>
                <w:sz w:val="24"/>
              </w:rPr>
              <w:t>年</w:t>
            </w:r>
            <w:r w:rsidRPr="009A7486">
              <w:rPr>
                <w:rFonts w:eastAsiaTheme="minorEastAsia"/>
                <w:b/>
                <w:color w:val="000000" w:themeColor="text1"/>
                <w:sz w:val="24"/>
              </w:rPr>
              <w:t>末</w:t>
            </w:r>
          </w:p>
        </w:tc>
        <w:tc>
          <w:tcPr>
            <w:tcW w:w="1428" w:type="pct"/>
            <w:gridSpan w:val="2"/>
            <w:tcBorders>
              <w:top w:val="single" w:sz="4" w:space="0" w:color="000000"/>
              <w:left w:val="single" w:sz="4" w:space="0" w:color="000000"/>
              <w:bottom w:val="single" w:sz="4" w:space="0" w:color="000000"/>
              <w:right w:val="single" w:sz="4" w:space="0" w:color="000000"/>
            </w:tcBorders>
            <w:vAlign w:val="center"/>
            <w:hideMark/>
          </w:tcPr>
          <w:p w:rsidR="008336E4" w:rsidRPr="009A7486" w:rsidRDefault="008336E4" w:rsidP="004B36C2">
            <w:pPr>
              <w:spacing w:line="360" w:lineRule="auto"/>
              <w:jc w:val="center"/>
              <w:rPr>
                <w:rFonts w:eastAsiaTheme="minorEastAsia"/>
                <w:b/>
                <w:color w:val="000000" w:themeColor="text1"/>
                <w:sz w:val="24"/>
              </w:rPr>
            </w:pPr>
            <w:r w:rsidRPr="009A7486">
              <w:rPr>
                <w:rFonts w:eastAsiaTheme="minorEastAsia"/>
                <w:b/>
                <w:color w:val="000000" w:themeColor="text1"/>
                <w:sz w:val="24"/>
              </w:rPr>
              <w:t>2016</w:t>
            </w:r>
            <w:r w:rsidR="009E4976" w:rsidRPr="009A7486">
              <w:rPr>
                <w:rFonts w:eastAsiaTheme="minorEastAsia"/>
                <w:b/>
                <w:color w:val="000000" w:themeColor="text1"/>
                <w:sz w:val="24"/>
              </w:rPr>
              <w:t>年</w:t>
            </w:r>
            <w:r w:rsidRPr="009A7486">
              <w:rPr>
                <w:rFonts w:eastAsiaTheme="minorEastAsia"/>
                <w:b/>
                <w:color w:val="000000" w:themeColor="text1"/>
                <w:sz w:val="24"/>
              </w:rPr>
              <w:t>末</w:t>
            </w:r>
          </w:p>
        </w:tc>
      </w:tr>
      <w:tr w:rsidR="002C233F" w:rsidRPr="009A7486" w:rsidTr="004D5214">
        <w:trPr>
          <w:trHeight w:val="373"/>
        </w:trPr>
        <w:tc>
          <w:tcPr>
            <w:tcW w:w="716" w:type="pct"/>
            <w:vMerge/>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widowControl/>
              <w:spacing w:line="360" w:lineRule="auto"/>
              <w:jc w:val="left"/>
              <w:rPr>
                <w:rFonts w:eastAsiaTheme="minorEastAsia"/>
                <w:b/>
                <w:color w:val="000000" w:themeColor="text1"/>
                <w:sz w:val="24"/>
              </w:rPr>
            </w:pP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0B54FD">
            <w:pPr>
              <w:spacing w:line="360" w:lineRule="auto"/>
              <w:ind w:leftChars="-51" w:left="-107" w:rightChars="-51" w:right="-107"/>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A</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0B54FD">
            <w:pPr>
              <w:spacing w:line="360" w:lineRule="auto"/>
              <w:ind w:leftChars="-51" w:left="-107" w:rightChars="-51" w:right="-107"/>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6538FD" w:rsidP="000B54FD">
            <w:pPr>
              <w:spacing w:line="360" w:lineRule="auto"/>
              <w:ind w:leftChars="-51" w:left="-107" w:rightChars="-51" w:right="-107"/>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A</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6538FD" w:rsidP="000B54FD">
            <w:pPr>
              <w:spacing w:line="360" w:lineRule="auto"/>
              <w:ind w:leftChars="-51" w:left="-107" w:rightChars="-51" w:right="-107"/>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6538FD" w:rsidP="000B54FD">
            <w:pPr>
              <w:spacing w:line="360" w:lineRule="auto"/>
              <w:ind w:leftChars="-51" w:left="-107" w:rightChars="-51" w:right="-107"/>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A</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6538FD" w:rsidP="000B54FD">
            <w:pPr>
              <w:spacing w:line="360" w:lineRule="auto"/>
              <w:ind w:leftChars="-51" w:left="-107" w:rightChars="-51" w:right="-107"/>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p>
        </w:tc>
      </w:tr>
      <w:tr w:rsidR="002C233F" w:rsidRPr="009A7486" w:rsidTr="004D5214">
        <w:tc>
          <w:tcPr>
            <w:tcW w:w="716"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期末基金资产净值</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1,206,123,669.76</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5,912,925,084.00</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1,916,197,118.51</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29,527,001,741.99</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2,368,943,213.77</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37,378,885,182.53</w:t>
            </w:r>
          </w:p>
        </w:tc>
      </w:tr>
      <w:tr w:rsidR="002C233F" w:rsidRPr="009A7486" w:rsidTr="004D5214">
        <w:tc>
          <w:tcPr>
            <w:tcW w:w="716" w:type="pc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期末基金份额净值</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1.0000</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1.0000</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1.0000</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1.0000</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1.0000</w:t>
            </w:r>
          </w:p>
        </w:tc>
        <w:tc>
          <w:tcPr>
            <w:tcW w:w="714" w:type="pct"/>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6538FD" w:rsidP="004B36C2">
            <w:pPr>
              <w:spacing w:line="360" w:lineRule="auto"/>
              <w:jc w:val="right"/>
              <w:rPr>
                <w:rFonts w:eastAsiaTheme="minorEastAsia"/>
                <w:color w:val="000000" w:themeColor="text1"/>
                <w:sz w:val="24"/>
              </w:rPr>
            </w:pPr>
            <w:r w:rsidRPr="009A7486">
              <w:rPr>
                <w:rFonts w:eastAsiaTheme="minorEastAsia"/>
                <w:color w:val="000000" w:themeColor="text1"/>
                <w:sz w:val="24"/>
              </w:rPr>
              <w:t>1.0000</w:t>
            </w:r>
          </w:p>
        </w:tc>
      </w:tr>
    </w:tbl>
    <w:p w:rsidR="005C48D6" w:rsidRDefault="008F0294">
      <w:pPr>
        <w:tabs>
          <w:tab w:val="left" w:pos="426"/>
        </w:tabs>
        <w:spacing w:line="360" w:lineRule="auto"/>
        <w:ind w:firstLineChars="200" w:firstLine="480"/>
        <w:jc w:val="left"/>
        <w:rPr>
          <w:rFonts w:eastAsiaTheme="minorEastAsia"/>
          <w:color w:val="000000" w:themeColor="text1"/>
          <w:kern w:val="0"/>
          <w:sz w:val="24"/>
        </w:rPr>
      </w:pPr>
      <w:r>
        <w:rPr>
          <w:rFonts w:eastAsiaTheme="minorEastAsia"/>
          <w:color w:val="000000" w:themeColor="text1"/>
          <w:kern w:val="0"/>
          <w:sz w:val="24"/>
        </w:rPr>
        <w:t>注：</w:t>
      </w:r>
      <w:r>
        <w:rPr>
          <w:rFonts w:eastAsiaTheme="minorEastAsia"/>
          <w:color w:val="000000" w:themeColor="text1"/>
          <w:kern w:val="0"/>
          <w:sz w:val="24"/>
        </w:rPr>
        <w:t>1</w:t>
      </w:r>
      <w:r>
        <w:rPr>
          <w:rFonts w:eastAsiaTheme="minorEastAsia"/>
          <w:color w:val="000000" w:themeColor="text1"/>
          <w:kern w:val="0"/>
          <w:sz w:val="24"/>
        </w:rPr>
        <w:t>、上述基金业绩指标不包括持有人交易基金的各项费用，计入费用后实际收益水平要低于所列数字。</w:t>
      </w:r>
    </w:p>
    <w:p w:rsidR="005C48D6" w:rsidRDefault="008F0294">
      <w:pPr>
        <w:tabs>
          <w:tab w:val="left" w:pos="426"/>
        </w:tabs>
        <w:spacing w:line="360" w:lineRule="auto"/>
        <w:ind w:firstLineChars="200" w:firstLine="480"/>
        <w:jc w:val="left"/>
        <w:rPr>
          <w:rFonts w:eastAsiaTheme="minorEastAsia"/>
          <w:color w:val="000000" w:themeColor="text1"/>
          <w:kern w:val="0"/>
          <w:sz w:val="24"/>
        </w:rPr>
      </w:pPr>
      <w:r>
        <w:rPr>
          <w:rFonts w:eastAsiaTheme="minorEastAsia"/>
          <w:color w:val="000000" w:themeColor="text1"/>
          <w:kern w:val="0"/>
          <w:sz w:val="24"/>
        </w:rPr>
        <w:t>2</w:t>
      </w:r>
      <w:r>
        <w:rPr>
          <w:rFonts w:eastAsiaTheme="minorEastAsia"/>
          <w:color w:val="000000" w:themeColor="text1"/>
          <w:kern w:val="0"/>
          <w:sz w:val="24"/>
        </w:rPr>
        <w:t>、本期已实现收益指基金本期利息收入、投资收益、其他收入（不含公允价值变动收益）扣除相关费用后的余额，本期利润为本期已实现收益加上本期公允价值变动收益，由于货币市场基金采用摊余成本法核算，因此，公允价值变动收益为零，本期已实现收益和本期利润的金额相等。</w:t>
      </w:r>
    </w:p>
    <w:p w:rsidR="00223DFB" w:rsidRPr="009A7486" w:rsidRDefault="00FF3081"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3</w:t>
      </w:r>
      <w:r w:rsidRPr="009A7486">
        <w:rPr>
          <w:rFonts w:eastAsiaTheme="minorEastAsia"/>
          <w:color w:val="000000" w:themeColor="text1"/>
          <w:kern w:val="0"/>
          <w:sz w:val="24"/>
        </w:rPr>
        <w:t>、本基金根据每日基金收益情况以每万份基金收益为基准，为投资者每日计算当日收益并分配，每月集中支付。</w:t>
      </w:r>
    </w:p>
    <w:p w:rsidR="00223DFB" w:rsidRPr="009A7486" w:rsidRDefault="00223DFB" w:rsidP="002855D4">
      <w:pPr>
        <w:pStyle w:val="20"/>
        <w:spacing w:beforeLines="10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 xml:space="preserve">3.2 </w:t>
      </w:r>
      <w:r w:rsidRPr="009A7486">
        <w:rPr>
          <w:rFonts w:ascii="Times New Roman" w:eastAsiaTheme="minorEastAsia" w:hAnsi="Times New Roman" w:cs="Times New Roman"/>
          <w:color w:val="000000" w:themeColor="text1"/>
          <w:kern w:val="0"/>
          <w:szCs w:val="24"/>
        </w:rPr>
        <w:t>基金净值表现</w:t>
      </w:r>
    </w:p>
    <w:p w:rsidR="00063497" w:rsidRPr="009A7486" w:rsidRDefault="00063497" w:rsidP="00CB1276">
      <w:pPr>
        <w:autoSpaceDE w:val="0"/>
        <w:autoSpaceDN w:val="0"/>
        <w:adjustRightInd w:val="0"/>
        <w:spacing w:line="360" w:lineRule="auto"/>
        <w:jc w:val="left"/>
        <w:rPr>
          <w:rFonts w:eastAsiaTheme="minorEastAsia"/>
          <w:b/>
          <w:color w:val="000000" w:themeColor="text1"/>
          <w:kern w:val="0"/>
          <w:sz w:val="24"/>
        </w:rPr>
      </w:pPr>
      <w:r w:rsidRPr="009A7486">
        <w:rPr>
          <w:rFonts w:eastAsiaTheme="minorEastAsia"/>
          <w:b/>
          <w:color w:val="000000" w:themeColor="text1"/>
          <w:kern w:val="0"/>
          <w:sz w:val="24"/>
        </w:rPr>
        <w:t xml:space="preserve">3.2.1 </w:t>
      </w:r>
      <w:r w:rsidRPr="009A7486">
        <w:rPr>
          <w:rFonts w:eastAsiaTheme="minorEastAsia"/>
          <w:b/>
          <w:color w:val="000000" w:themeColor="text1"/>
          <w:kern w:val="0"/>
          <w:sz w:val="24"/>
        </w:rPr>
        <w:t>基金份额净值收益率及其与同期业绩比较基准收益率的比较</w:t>
      </w:r>
    </w:p>
    <w:p w:rsidR="00063497" w:rsidRPr="009A7486" w:rsidRDefault="00063497" w:rsidP="004D5214">
      <w:pPr>
        <w:pStyle w:val="21"/>
        <w:spacing w:line="360" w:lineRule="auto"/>
        <w:ind w:firstLineChars="0" w:firstLine="0"/>
        <w:rPr>
          <w:rFonts w:ascii="Times New Roman" w:eastAsiaTheme="minorEastAsia" w:hAnsi="Times New Roman"/>
          <w:b/>
          <w:color w:val="000000" w:themeColor="text1"/>
        </w:rPr>
      </w:pPr>
      <w:r w:rsidRPr="009A7486">
        <w:rPr>
          <w:rFonts w:ascii="Times New Roman" w:eastAsiaTheme="minorEastAsia" w:hAnsi="Times New Roman"/>
          <w:b/>
          <w:color w:val="000000" w:themeColor="text1"/>
        </w:rPr>
        <w:t>1</w:t>
      </w:r>
      <w:r w:rsidRPr="009A7486">
        <w:rPr>
          <w:rFonts w:ascii="Times New Roman" w:eastAsiaTheme="minorEastAsia" w:hAnsi="Times New Roman"/>
          <w:b/>
          <w:color w:val="000000" w:themeColor="text1"/>
        </w:rPr>
        <w:t>．国投瑞银货币</w:t>
      </w:r>
      <w:r w:rsidRPr="009A7486">
        <w:rPr>
          <w:rFonts w:ascii="Times New Roman" w:eastAsiaTheme="minorEastAsia" w:hAnsi="Times New Roman"/>
          <w:b/>
          <w:color w:val="000000" w:themeColor="text1"/>
        </w:rPr>
        <w:t>A</w:t>
      </w:r>
      <w:r w:rsidRPr="009A7486">
        <w:rPr>
          <w:rFonts w:ascii="Times New Roman" w:eastAsiaTheme="minorEastAsia" w:hAnsi="Times New Roman"/>
          <w:b/>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326"/>
        <w:gridCol w:w="1327"/>
        <w:gridCol w:w="1327"/>
        <w:gridCol w:w="1327"/>
        <w:gridCol w:w="1327"/>
        <w:gridCol w:w="1327"/>
      </w:tblGrid>
      <w:tr w:rsidR="002C233F" w:rsidRPr="009A7486" w:rsidTr="004D5214">
        <w:tc>
          <w:tcPr>
            <w:tcW w:w="1727" w:type="dxa"/>
            <w:shd w:val="clear" w:color="auto" w:fill="auto"/>
            <w:vAlign w:val="center"/>
          </w:tcPr>
          <w:p w:rsidR="00063497" w:rsidRPr="009A7486"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ascii="Times New Roman" w:eastAsiaTheme="minorEastAsia" w:hAnsi="Times New Roman"/>
                <w:color w:val="000000" w:themeColor="text1"/>
                <w:kern w:val="2"/>
              </w:rPr>
              <w:t>阶段</w:t>
            </w:r>
          </w:p>
        </w:tc>
        <w:tc>
          <w:tcPr>
            <w:tcW w:w="1326" w:type="dxa"/>
            <w:shd w:val="clear" w:color="auto" w:fill="auto"/>
            <w:vAlign w:val="center"/>
          </w:tcPr>
          <w:p w:rsidR="00063497" w:rsidRPr="009A7486" w:rsidRDefault="009945D1"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ascii="Times New Roman" w:eastAsiaTheme="minorEastAsia" w:hAnsi="Times New Roman"/>
                <w:color w:val="000000" w:themeColor="text1"/>
              </w:rPr>
              <w:t>份额</w:t>
            </w:r>
            <w:r w:rsidR="00063497" w:rsidRPr="009A7486">
              <w:rPr>
                <w:rFonts w:ascii="Times New Roman" w:eastAsiaTheme="minorEastAsia" w:hAnsi="Times New Roman"/>
                <w:color w:val="000000" w:themeColor="text1"/>
                <w:kern w:val="2"/>
              </w:rPr>
              <w:t>净值收益率</w:t>
            </w:r>
            <w:r w:rsidR="00063497" w:rsidRPr="009A7486">
              <w:rPr>
                <w:rFonts w:cs="宋体" w:hint="eastAsia"/>
                <w:color w:val="000000" w:themeColor="text1"/>
                <w:kern w:val="2"/>
              </w:rPr>
              <w:t>①</w:t>
            </w:r>
          </w:p>
        </w:tc>
        <w:tc>
          <w:tcPr>
            <w:tcW w:w="1327" w:type="dxa"/>
            <w:shd w:val="clear" w:color="auto" w:fill="auto"/>
            <w:vAlign w:val="center"/>
          </w:tcPr>
          <w:p w:rsidR="00063497" w:rsidRPr="009A7486" w:rsidRDefault="007E5F72"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ascii="Times New Roman" w:eastAsiaTheme="minorEastAsia" w:hAnsi="Times New Roman"/>
                <w:color w:val="000000" w:themeColor="text1"/>
              </w:rPr>
              <w:t>份额</w:t>
            </w:r>
            <w:r w:rsidR="00063497" w:rsidRPr="009A7486">
              <w:rPr>
                <w:rFonts w:ascii="Times New Roman" w:eastAsiaTheme="minorEastAsia" w:hAnsi="Times New Roman"/>
                <w:color w:val="000000" w:themeColor="text1"/>
                <w:kern w:val="2"/>
              </w:rPr>
              <w:t>净值收益率标准差</w:t>
            </w:r>
            <w:r w:rsidR="00063497" w:rsidRPr="009A7486">
              <w:rPr>
                <w:rFonts w:cs="宋体" w:hint="eastAsia"/>
                <w:color w:val="000000" w:themeColor="text1"/>
                <w:kern w:val="2"/>
              </w:rPr>
              <w:t>②</w:t>
            </w:r>
          </w:p>
        </w:tc>
        <w:tc>
          <w:tcPr>
            <w:tcW w:w="1327" w:type="dxa"/>
            <w:shd w:val="clear" w:color="auto" w:fill="auto"/>
            <w:vAlign w:val="center"/>
          </w:tcPr>
          <w:p w:rsidR="00063497" w:rsidRPr="009A7486"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ascii="Times New Roman" w:eastAsiaTheme="minorEastAsia" w:hAnsi="Times New Roman"/>
                <w:color w:val="000000" w:themeColor="text1"/>
                <w:kern w:val="2"/>
              </w:rPr>
              <w:t>业绩比较基准收益率</w:t>
            </w:r>
            <w:r w:rsidRPr="009A7486">
              <w:rPr>
                <w:rFonts w:cs="宋体" w:hint="eastAsia"/>
                <w:color w:val="000000" w:themeColor="text1"/>
                <w:kern w:val="2"/>
              </w:rPr>
              <w:t>③</w:t>
            </w:r>
          </w:p>
        </w:tc>
        <w:tc>
          <w:tcPr>
            <w:tcW w:w="1327" w:type="dxa"/>
            <w:shd w:val="clear" w:color="auto" w:fill="auto"/>
            <w:vAlign w:val="center"/>
          </w:tcPr>
          <w:p w:rsidR="00063497" w:rsidRPr="009A7486"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ascii="Times New Roman" w:eastAsiaTheme="minorEastAsia" w:hAnsi="Times New Roman"/>
                <w:color w:val="000000" w:themeColor="text1"/>
                <w:kern w:val="2"/>
              </w:rPr>
              <w:t>业绩比较基准收益率标准差</w:t>
            </w:r>
            <w:r w:rsidRPr="009A7486">
              <w:rPr>
                <w:rFonts w:cs="宋体" w:hint="eastAsia"/>
                <w:color w:val="000000" w:themeColor="text1"/>
                <w:kern w:val="2"/>
              </w:rPr>
              <w:t>④</w:t>
            </w:r>
          </w:p>
        </w:tc>
        <w:tc>
          <w:tcPr>
            <w:tcW w:w="1327" w:type="dxa"/>
            <w:shd w:val="clear" w:color="auto" w:fill="auto"/>
            <w:vAlign w:val="center"/>
          </w:tcPr>
          <w:p w:rsidR="00063497" w:rsidRPr="009A7486"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cs="宋体" w:hint="eastAsia"/>
                <w:color w:val="000000" w:themeColor="text1"/>
                <w:kern w:val="2"/>
              </w:rPr>
              <w:t>①</w:t>
            </w:r>
            <w:r w:rsidRPr="009A7486">
              <w:rPr>
                <w:rFonts w:ascii="Times New Roman" w:eastAsiaTheme="minorEastAsia" w:hAnsi="Times New Roman"/>
                <w:color w:val="000000" w:themeColor="text1"/>
                <w:kern w:val="2"/>
              </w:rPr>
              <w:t>-</w:t>
            </w:r>
            <w:r w:rsidRPr="009A7486">
              <w:rPr>
                <w:rFonts w:cs="宋体" w:hint="eastAsia"/>
                <w:color w:val="000000" w:themeColor="text1"/>
                <w:kern w:val="2"/>
              </w:rPr>
              <w:t>③</w:t>
            </w:r>
          </w:p>
        </w:tc>
        <w:tc>
          <w:tcPr>
            <w:tcW w:w="1327" w:type="dxa"/>
            <w:shd w:val="clear" w:color="auto" w:fill="auto"/>
            <w:vAlign w:val="center"/>
          </w:tcPr>
          <w:p w:rsidR="00063497" w:rsidRPr="009A7486"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cs="宋体" w:hint="eastAsia"/>
                <w:color w:val="000000" w:themeColor="text1"/>
                <w:kern w:val="2"/>
              </w:rPr>
              <w:t>②</w:t>
            </w:r>
            <w:r w:rsidRPr="009A7486">
              <w:rPr>
                <w:rFonts w:ascii="Times New Roman" w:eastAsiaTheme="minorEastAsia" w:hAnsi="Times New Roman"/>
                <w:color w:val="000000" w:themeColor="text1"/>
                <w:kern w:val="2"/>
              </w:rPr>
              <w:t>-</w:t>
            </w:r>
            <w:r w:rsidRPr="009A7486">
              <w:rPr>
                <w:rFonts w:cs="宋体" w:hint="eastAsia"/>
                <w:color w:val="000000" w:themeColor="text1"/>
                <w:kern w:val="2"/>
              </w:rPr>
              <w:t>④</w:t>
            </w:r>
          </w:p>
        </w:tc>
      </w:tr>
      <w:tr w:rsidR="005C48D6">
        <w:tc>
          <w:tcPr>
            <w:tcW w:w="1727" w:type="dxa"/>
            <w:vAlign w:val="center"/>
          </w:tcPr>
          <w:p w:rsidR="005C48D6" w:rsidRDefault="008F0294">
            <w:pPr>
              <w:jc w:val="left"/>
            </w:pPr>
            <w:r>
              <w:rPr>
                <w:rFonts w:eastAsiaTheme="minorEastAsia"/>
                <w:color w:val="000000" w:themeColor="text1"/>
                <w:sz w:val="24"/>
              </w:rPr>
              <w:t>过去三个月</w:t>
            </w:r>
          </w:p>
        </w:tc>
        <w:tc>
          <w:tcPr>
            <w:tcW w:w="1326" w:type="dxa"/>
            <w:vAlign w:val="center"/>
          </w:tcPr>
          <w:p w:rsidR="005C48D6" w:rsidRDefault="008F0294">
            <w:pPr>
              <w:jc w:val="center"/>
            </w:pPr>
            <w:r>
              <w:rPr>
                <w:rFonts w:eastAsiaTheme="minorEastAsia"/>
                <w:color w:val="000000" w:themeColor="text1"/>
                <w:sz w:val="24"/>
              </w:rPr>
              <w:t>0.6840%</w:t>
            </w:r>
          </w:p>
        </w:tc>
        <w:tc>
          <w:tcPr>
            <w:tcW w:w="1327" w:type="dxa"/>
            <w:vAlign w:val="center"/>
          </w:tcPr>
          <w:p w:rsidR="005C48D6" w:rsidRDefault="008F0294">
            <w:pPr>
              <w:jc w:val="center"/>
            </w:pPr>
            <w:r>
              <w:rPr>
                <w:rFonts w:eastAsiaTheme="minorEastAsia"/>
                <w:color w:val="000000" w:themeColor="text1"/>
                <w:sz w:val="24"/>
              </w:rPr>
              <w:t>0.0023%</w:t>
            </w:r>
          </w:p>
        </w:tc>
        <w:tc>
          <w:tcPr>
            <w:tcW w:w="1327" w:type="dxa"/>
            <w:vAlign w:val="center"/>
          </w:tcPr>
          <w:p w:rsidR="005C48D6" w:rsidRDefault="008F0294">
            <w:pPr>
              <w:jc w:val="center"/>
            </w:pPr>
            <w:r>
              <w:rPr>
                <w:rFonts w:eastAsiaTheme="minorEastAsia"/>
                <w:color w:val="000000" w:themeColor="text1"/>
                <w:sz w:val="24"/>
              </w:rPr>
              <w:t>0.3456%</w:t>
            </w:r>
          </w:p>
        </w:tc>
        <w:tc>
          <w:tcPr>
            <w:tcW w:w="1327" w:type="dxa"/>
            <w:vAlign w:val="center"/>
          </w:tcPr>
          <w:p w:rsidR="005C48D6" w:rsidRDefault="008F0294">
            <w:pPr>
              <w:jc w:val="center"/>
            </w:pPr>
            <w:r>
              <w:rPr>
                <w:rFonts w:eastAsiaTheme="minorEastAsia"/>
                <w:color w:val="000000" w:themeColor="text1"/>
                <w:sz w:val="24"/>
              </w:rPr>
              <w:t>0.0000%</w:t>
            </w:r>
          </w:p>
        </w:tc>
        <w:tc>
          <w:tcPr>
            <w:tcW w:w="1327" w:type="dxa"/>
            <w:vAlign w:val="center"/>
          </w:tcPr>
          <w:p w:rsidR="005C48D6" w:rsidRDefault="008F0294">
            <w:pPr>
              <w:jc w:val="center"/>
            </w:pPr>
            <w:r>
              <w:rPr>
                <w:rFonts w:eastAsiaTheme="minorEastAsia"/>
                <w:color w:val="000000" w:themeColor="text1"/>
                <w:sz w:val="24"/>
              </w:rPr>
              <w:t>0.3384%</w:t>
            </w:r>
          </w:p>
        </w:tc>
        <w:tc>
          <w:tcPr>
            <w:tcW w:w="1327" w:type="dxa"/>
            <w:vAlign w:val="center"/>
          </w:tcPr>
          <w:p w:rsidR="005C48D6" w:rsidRDefault="008F0294">
            <w:pPr>
              <w:jc w:val="center"/>
            </w:pPr>
            <w:r>
              <w:rPr>
                <w:rFonts w:eastAsiaTheme="minorEastAsia"/>
                <w:color w:val="000000" w:themeColor="text1"/>
                <w:sz w:val="24"/>
              </w:rPr>
              <w:t>0.0023%</w:t>
            </w:r>
          </w:p>
        </w:tc>
      </w:tr>
      <w:tr w:rsidR="005C48D6">
        <w:tc>
          <w:tcPr>
            <w:tcW w:w="1727" w:type="dxa"/>
            <w:vAlign w:val="center"/>
          </w:tcPr>
          <w:p w:rsidR="005C48D6" w:rsidRDefault="008F0294">
            <w:pPr>
              <w:jc w:val="left"/>
            </w:pPr>
            <w:r>
              <w:rPr>
                <w:rFonts w:eastAsiaTheme="minorEastAsia"/>
                <w:color w:val="000000" w:themeColor="text1"/>
                <w:sz w:val="24"/>
              </w:rPr>
              <w:t>过去六个月</w:t>
            </w:r>
          </w:p>
        </w:tc>
        <w:tc>
          <w:tcPr>
            <w:tcW w:w="1326" w:type="dxa"/>
            <w:vAlign w:val="center"/>
          </w:tcPr>
          <w:p w:rsidR="005C48D6" w:rsidRDefault="008F0294">
            <w:pPr>
              <w:jc w:val="center"/>
            </w:pPr>
            <w:r>
              <w:rPr>
                <w:rFonts w:eastAsiaTheme="minorEastAsia"/>
                <w:color w:val="000000" w:themeColor="text1"/>
                <w:sz w:val="24"/>
              </w:rPr>
              <w:t>1.5079%</w:t>
            </w:r>
          </w:p>
        </w:tc>
        <w:tc>
          <w:tcPr>
            <w:tcW w:w="1327" w:type="dxa"/>
            <w:vAlign w:val="center"/>
          </w:tcPr>
          <w:p w:rsidR="005C48D6" w:rsidRDefault="008F0294">
            <w:pPr>
              <w:jc w:val="center"/>
            </w:pPr>
            <w:r>
              <w:rPr>
                <w:rFonts w:eastAsiaTheme="minorEastAsia"/>
                <w:color w:val="000000" w:themeColor="text1"/>
                <w:sz w:val="24"/>
              </w:rPr>
              <w:t>0.0046%</w:t>
            </w:r>
          </w:p>
        </w:tc>
        <w:tc>
          <w:tcPr>
            <w:tcW w:w="1327" w:type="dxa"/>
            <w:vAlign w:val="center"/>
          </w:tcPr>
          <w:p w:rsidR="005C48D6" w:rsidRDefault="008F0294">
            <w:pPr>
              <w:jc w:val="center"/>
            </w:pPr>
            <w:r>
              <w:rPr>
                <w:rFonts w:eastAsiaTheme="minorEastAsia"/>
                <w:color w:val="000000" w:themeColor="text1"/>
                <w:sz w:val="24"/>
              </w:rPr>
              <w:t>0.6924%</w:t>
            </w:r>
          </w:p>
        </w:tc>
        <w:tc>
          <w:tcPr>
            <w:tcW w:w="1327" w:type="dxa"/>
            <w:vAlign w:val="center"/>
          </w:tcPr>
          <w:p w:rsidR="005C48D6" w:rsidRDefault="008F0294">
            <w:pPr>
              <w:jc w:val="center"/>
            </w:pPr>
            <w:r>
              <w:rPr>
                <w:rFonts w:eastAsiaTheme="minorEastAsia"/>
                <w:color w:val="000000" w:themeColor="text1"/>
                <w:sz w:val="24"/>
              </w:rPr>
              <w:t>0.0000%</w:t>
            </w:r>
          </w:p>
        </w:tc>
        <w:tc>
          <w:tcPr>
            <w:tcW w:w="1327" w:type="dxa"/>
            <w:vAlign w:val="center"/>
          </w:tcPr>
          <w:p w:rsidR="005C48D6" w:rsidRDefault="008F0294">
            <w:pPr>
              <w:jc w:val="center"/>
            </w:pPr>
            <w:r>
              <w:rPr>
                <w:rFonts w:eastAsiaTheme="minorEastAsia"/>
                <w:color w:val="000000" w:themeColor="text1"/>
                <w:sz w:val="24"/>
              </w:rPr>
              <w:t>0.8155%</w:t>
            </w:r>
          </w:p>
        </w:tc>
        <w:tc>
          <w:tcPr>
            <w:tcW w:w="1327" w:type="dxa"/>
            <w:vAlign w:val="center"/>
          </w:tcPr>
          <w:p w:rsidR="005C48D6" w:rsidRDefault="008F0294">
            <w:pPr>
              <w:jc w:val="center"/>
            </w:pPr>
            <w:r>
              <w:rPr>
                <w:rFonts w:eastAsiaTheme="minorEastAsia"/>
                <w:color w:val="000000" w:themeColor="text1"/>
                <w:sz w:val="24"/>
              </w:rPr>
              <w:t>0.0046%</w:t>
            </w:r>
          </w:p>
        </w:tc>
      </w:tr>
      <w:tr w:rsidR="005C48D6">
        <w:tc>
          <w:tcPr>
            <w:tcW w:w="1727" w:type="dxa"/>
            <w:vAlign w:val="center"/>
          </w:tcPr>
          <w:p w:rsidR="005C48D6" w:rsidRDefault="008F0294">
            <w:pPr>
              <w:jc w:val="left"/>
            </w:pPr>
            <w:r>
              <w:rPr>
                <w:rFonts w:eastAsiaTheme="minorEastAsia"/>
                <w:color w:val="000000" w:themeColor="text1"/>
                <w:sz w:val="24"/>
              </w:rPr>
              <w:t>过去一年</w:t>
            </w:r>
          </w:p>
        </w:tc>
        <w:tc>
          <w:tcPr>
            <w:tcW w:w="1326" w:type="dxa"/>
            <w:vAlign w:val="center"/>
          </w:tcPr>
          <w:p w:rsidR="005C48D6" w:rsidRDefault="008F0294">
            <w:pPr>
              <w:jc w:val="center"/>
            </w:pPr>
            <w:r>
              <w:rPr>
                <w:rFonts w:eastAsiaTheme="minorEastAsia"/>
                <w:color w:val="000000" w:themeColor="text1"/>
                <w:sz w:val="24"/>
              </w:rPr>
              <w:t>3.5366%</w:t>
            </w:r>
          </w:p>
        </w:tc>
        <w:tc>
          <w:tcPr>
            <w:tcW w:w="1327" w:type="dxa"/>
            <w:vAlign w:val="center"/>
          </w:tcPr>
          <w:p w:rsidR="005C48D6" w:rsidRDefault="008F0294">
            <w:pPr>
              <w:jc w:val="center"/>
            </w:pPr>
            <w:r>
              <w:rPr>
                <w:rFonts w:eastAsiaTheme="minorEastAsia"/>
                <w:color w:val="000000" w:themeColor="text1"/>
                <w:sz w:val="24"/>
              </w:rPr>
              <w:t>0.0049%</w:t>
            </w:r>
          </w:p>
        </w:tc>
        <w:tc>
          <w:tcPr>
            <w:tcW w:w="1327" w:type="dxa"/>
            <w:vAlign w:val="center"/>
          </w:tcPr>
          <w:p w:rsidR="005C48D6" w:rsidRDefault="008F0294">
            <w:pPr>
              <w:jc w:val="center"/>
            </w:pPr>
            <w:r>
              <w:rPr>
                <w:rFonts w:eastAsiaTheme="minorEastAsia"/>
                <w:color w:val="000000" w:themeColor="text1"/>
                <w:sz w:val="24"/>
              </w:rPr>
              <w:t>1.3781%</w:t>
            </w:r>
          </w:p>
        </w:tc>
        <w:tc>
          <w:tcPr>
            <w:tcW w:w="1327" w:type="dxa"/>
            <w:vAlign w:val="center"/>
          </w:tcPr>
          <w:p w:rsidR="005C48D6" w:rsidRDefault="008F0294">
            <w:pPr>
              <w:jc w:val="center"/>
            </w:pPr>
            <w:r>
              <w:rPr>
                <w:rFonts w:eastAsiaTheme="minorEastAsia"/>
                <w:color w:val="000000" w:themeColor="text1"/>
                <w:sz w:val="24"/>
              </w:rPr>
              <w:t>0.0000%</w:t>
            </w:r>
          </w:p>
        </w:tc>
        <w:tc>
          <w:tcPr>
            <w:tcW w:w="1327" w:type="dxa"/>
            <w:vAlign w:val="center"/>
          </w:tcPr>
          <w:p w:rsidR="005C48D6" w:rsidRDefault="008F0294">
            <w:pPr>
              <w:jc w:val="center"/>
            </w:pPr>
            <w:r>
              <w:rPr>
                <w:rFonts w:eastAsiaTheme="minorEastAsia"/>
                <w:color w:val="000000" w:themeColor="text1"/>
                <w:sz w:val="24"/>
              </w:rPr>
              <w:t>2.1585%</w:t>
            </w:r>
          </w:p>
        </w:tc>
        <w:tc>
          <w:tcPr>
            <w:tcW w:w="1327" w:type="dxa"/>
            <w:vAlign w:val="center"/>
          </w:tcPr>
          <w:p w:rsidR="005C48D6" w:rsidRDefault="008F0294">
            <w:pPr>
              <w:jc w:val="center"/>
            </w:pPr>
            <w:r>
              <w:rPr>
                <w:rFonts w:eastAsiaTheme="minorEastAsia"/>
                <w:color w:val="000000" w:themeColor="text1"/>
                <w:sz w:val="24"/>
              </w:rPr>
              <w:t>0.0049%</w:t>
            </w:r>
          </w:p>
        </w:tc>
      </w:tr>
      <w:tr w:rsidR="005C48D6">
        <w:tc>
          <w:tcPr>
            <w:tcW w:w="1727" w:type="dxa"/>
            <w:vAlign w:val="center"/>
          </w:tcPr>
          <w:p w:rsidR="005C48D6" w:rsidRDefault="008F0294">
            <w:pPr>
              <w:jc w:val="left"/>
            </w:pPr>
            <w:r>
              <w:rPr>
                <w:rFonts w:eastAsiaTheme="minorEastAsia"/>
                <w:color w:val="000000" w:themeColor="text1"/>
                <w:sz w:val="24"/>
              </w:rPr>
              <w:t>过去三年</w:t>
            </w:r>
          </w:p>
        </w:tc>
        <w:tc>
          <w:tcPr>
            <w:tcW w:w="1326" w:type="dxa"/>
            <w:vAlign w:val="center"/>
          </w:tcPr>
          <w:p w:rsidR="005C48D6" w:rsidRDefault="008F0294">
            <w:pPr>
              <w:jc w:val="center"/>
            </w:pPr>
            <w:r>
              <w:rPr>
                <w:rFonts w:eastAsiaTheme="minorEastAsia"/>
                <w:color w:val="000000" w:themeColor="text1"/>
                <w:sz w:val="24"/>
              </w:rPr>
              <w:t>9.9002%</w:t>
            </w:r>
          </w:p>
        </w:tc>
        <w:tc>
          <w:tcPr>
            <w:tcW w:w="1327" w:type="dxa"/>
            <w:vAlign w:val="center"/>
          </w:tcPr>
          <w:p w:rsidR="005C48D6" w:rsidRDefault="008F0294">
            <w:pPr>
              <w:jc w:val="center"/>
            </w:pPr>
            <w:r>
              <w:rPr>
                <w:rFonts w:eastAsiaTheme="minorEastAsia"/>
                <w:color w:val="000000" w:themeColor="text1"/>
                <w:sz w:val="24"/>
              </w:rPr>
              <w:t>0.0037%</w:t>
            </w:r>
          </w:p>
        </w:tc>
        <w:tc>
          <w:tcPr>
            <w:tcW w:w="1327" w:type="dxa"/>
            <w:vAlign w:val="center"/>
          </w:tcPr>
          <w:p w:rsidR="005C48D6" w:rsidRDefault="008F0294">
            <w:pPr>
              <w:jc w:val="center"/>
            </w:pPr>
            <w:r>
              <w:rPr>
                <w:rFonts w:eastAsiaTheme="minorEastAsia"/>
                <w:color w:val="000000" w:themeColor="text1"/>
                <w:sz w:val="24"/>
              </w:rPr>
              <w:t>4.1955%</w:t>
            </w:r>
          </w:p>
        </w:tc>
        <w:tc>
          <w:tcPr>
            <w:tcW w:w="1327" w:type="dxa"/>
            <w:vAlign w:val="center"/>
          </w:tcPr>
          <w:p w:rsidR="005C48D6" w:rsidRDefault="008F0294">
            <w:pPr>
              <w:jc w:val="center"/>
            </w:pPr>
            <w:r>
              <w:rPr>
                <w:rFonts w:eastAsiaTheme="minorEastAsia"/>
                <w:color w:val="000000" w:themeColor="text1"/>
                <w:sz w:val="24"/>
              </w:rPr>
              <w:t>0.0000%</w:t>
            </w:r>
          </w:p>
        </w:tc>
        <w:tc>
          <w:tcPr>
            <w:tcW w:w="1327" w:type="dxa"/>
            <w:vAlign w:val="center"/>
          </w:tcPr>
          <w:p w:rsidR="005C48D6" w:rsidRDefault="008F0294">
            <w:pPr>
              <w:jc w:val="center"/>
            </w:pPr>
            <w:r>
              <w:rPr>
                <w:rFonts w:eastAsiaTheme="minorEastAsia"/>
                <w:color w:val="000000" w:themeColor="text1"/>
                <w:sz w:val="24"/>
              </w:rPr>
              <w:t>5.7047%</w:t>
            </w:r>
          </w:p>
        </w:tc>
        <w:tc>
          <w:tcPr>
            <w:tcW w:w="1327" w:type="dxa"/>
            <w:vAlign w:val="center"/>
          </w:tcPr>
          <w:p w:rsidR="005C48D6" w:rsidRDefault="008F0294">
            <w:pPr>
              <w:jc w:val="center"/>
            </w:pPr>
            <w:r>
              <w:rPr>
                <w:rFonts w:eastAsiaTheme="minorEastAsia"/>
                <w:color w:val="000000" w:themeColor="text1"/>
                <w:sz w:val="24"/>
              </w:rPr>
              <w:t>0.0037%</w:t>
            </w:r>
          </w:p>
        </w:tc>
      </w:tr>
      <w:tr w:rsidR="005C48D6">
        <w:tc>
          <w:tcPr>
            <w:tcW w:w="1727" w:type="dxa"/>
            <w:vAlign w:val="center"/>
          </w:tcPr>
          <w:p w:rsidR="005C48D6" w:rsidRDefault="008F0294">
            <w:pPr>
              <w:jc w:val="left"/>
            </w:pPr>
            <w:r>
              <w:rPr>
                <w:rFonts w:eastAsiaTheme="minorEastAsia"/>
                <w:color w:val="000000" w:themeColor="text1"/>
                <w:sz w:val="24"/>
              </w:rPr>
              <w:t>过去五年</w:t>
            </w:r>
          </w:p>
        </w:tc>
        <w:tc>
          <w:tcPr>
            <w:tcW w:w="1326" w:type="dxa"/>
            <w:vAlign w:val="center"/>
          </w:tcPr>
          <w:p w:rsidR="005C48D6" w:rsidRDefault="008F0294">
            <w:pPr>
              <w:jc w:val="center"/>
            </w:pPr>
            <w:r>
              <w:rPr>
                <w:rFonts w:eastAsiaTheme="minorEastAsia"/>
                <w:color w:val="000000" w:themeColor="text1"/>
                <w:sz w:val="24"/>
              </w:rPr>
              <w:t>18.4978%</w:t>
            </w:r>
          </w:p>
        </w:tc>
        <w:tc>
          <w:tcPr>
            <w:tcW w:w="1327" w:type="dxa"/>
            <w:vAlign w:val="center"/>
          </w:tcPr>
          <w:p w:rsidR="005C48D6" w:rsidRDefault="008F0294">
            <w:pPr>
              <w:jc w:val="center"/>
            </w:pPr>
            <w:r>
              <w:rPr>
                <w:rFonts w:eastAsiaTheme="minorEastAsia"/>
                <w:color w:val="000000" w:themeColor="text1"/>
                <w:sz w:val="24"/>
              </w:rPr>
              <w:t>0.0042%</w:t>
            </w:r>
          </w:p>
        </w:tc>
        <w:tc>
          <w:tcPr>
            <w:tcW w:w="1327" w:type="dxa"/>
            <w:vAlign w:val="center"/>
          </w:tcPr>
          <w:p w:rsidR="005C48D6" w:rsidRDefault="008F0294">
            <w:pPr>
              <w:jc w:val="center"/>
            </w:pPr>
            <w:r>
              <w:rPr>
                <w:rFonts w:eastAsiaTheme="minorEastAsia"/>
                <w:color w:val="000000" w:themeColor="text1"/>
                <w:sz w:val="24"/>
              </w:rPr>
              <w:t>7.0872%</w:t>
            </w:r>
          </w:p>
        </w:tc>
        <w:tc>
          <w:tcPr>
            <w:tcW w:w="1327" w:type="dxa"/>
            <w:vAlign w:val="center"/>
          </w:tcPr>
          <w:p w:rsidR="005C48D6" w:rsidRDefault="008F0294">
            <w:pPr>
              <w:jc w:val="center"/>
            </w:pPr>
            <w:r>
              <w:rPr>
                <w:rFonts w:eastAsiaTheme="minorEastAsia"/>
                <w:color w:val="000000" w:themeColor="text1"/>
                <w:sz w:val="24"/>
              </w:rPr>
              <w:t>0.0000%</w:t>
            </w:r>
          </w:p>
        </w:tc>
        <w:tc>
          <w:tcPr>
            <w:tcW w:w="1327" w:type="dxa"/>
            <w:vAlign w:val="center"/>
          </w:tcPr>
          <w:p w:rsidR="005C48D6" w:rsidRDefault="008F0294">
            <w:pPr>
              <w:jc w:val="center"/>
            </w:pPr>
            <w:r>
              <w:rPr>
                <w:rFonts w:eastAsiaTheme="minorEastAsia"/>
                <w:color w:val="000000" w:themeColor="text1"/>
                <w:sz w:val="24"/>
              </w:rPr>
              <w:t>11.4106%</w:t>
            </w:r>
          </w:p>
        </w:tc>
        <w:tc>
          <w:tcPr>
            <w:tcW w:w="1327" w:type="dxa"/>
            <w:vAlign w:val="center"/>
          </w:tcPr>
          <w:p w:rsidR="005C48D6" w:rsidRDefault="008F0294">
            <w:pPr>
              <w:jc w:val="center"/>
            </w:pPr>
            <w:r>
              <w:rPr>
                <w:rFonts w:eastAsiaTheme="minorEastAsia"/>
                <w:color w:val="000000" w:themeColor="text1"/>
                <w:sz w:val="24"/>
              </w:rPr>
              <w:t>0.0042%</w:t>
            </w:r>
          </w:p>
        </w:tc>
      </w:tr>
      <w:tr w:rsidR="005C48D6">
        <w:tc>
          <w:tcPr>
            <w:tcW w:w="1727" w:type="dxa"/>
            <w:vAlign w:val="center"/>
          </w:tcPr>
          <w:p w:rsidR="005C48D6" w:rsidRDefault="008F0294">
            <w:pPr>
              <w:jc w:val="left"/>
            </w:pPr>
            <w:r>
              <w:rPr>
                <w:rFonts w:eastAsiaTheme="minorEastAsia"/>
                <w:color w:val="000000" w:themeColor="text1"/>
                <w:sz w:val="24"/>
              </w:rPr>
              <w:t>自基金合同生效起至今</w:t>
            </w:r>
          </w:p>
        </w:tc>
        <w:tc>
          <w:tcPr>
            <w:tcW w:w="1326" w:type="dxa"/>
            <w:vAlign w:val="center"/>
          </w:tcPr>
          <w:p w:rsidR="005C48D6" w:rsidRDefault="008F0294">
            <w:pPr>
              <w:jc w:val="center"/>
            </w:pPr>
            <w:r>
              <w:rPr>
                <w:rFonts w:eastAsiaTheme="minorEastAsia"/>
                <w:color w:val="000000" w:themeColor="text1"/>
                <w:sz w:val="24"/>
              </w:rPr>
              <w:t>36.0980%</w:t>
            </w:r>
          </w:p>
        </w:tc>
        <w:tc>
          <w:tcPr>
            <w:tcW w:w="1327" w:type="dxa"/>
            <w:vAlign w:val="center"/>
          </w:tcPr>
          <w:p w:rsidR="005C48D6" w:rsidRDefault="008F0294">
            <w:pPr>
              <w:jc w:val="center"/>
            </w:pPr>
            <w:r>
              <w:rPr>
                <w:rFonts w:eastAsiaTheme="minorEastAsia"/>
                <w:color w:val="000000" w:themeColor="text1"/>
                <w:sz w:val="24"/>
              </w:rPr>
              <w:t>0.0048%</w:t>
            </w:r>
          </w:p>
        </w:tc>
        <w:tc>
          <w:tcPr>
            <w:tcW w:w="1327" w:type="dxa"/>
            <w:vAlign w:val="center"/>
          </w:tcPr>
          <w:p w:rsidR="005C48D6" w:rsidRDefault="008F0294">
            <w:pPr>
              <w:jc w:val="center"/>
            </w:pPr>
            <w:r>
              <w:rPr>
                <w:rFonts w:eastAsiaTheme="minorEastAsia"/>
                <w:color w:val="000000" w:themeColor="text1"/>
                <w:sz w:val="24"/>
              </w:rPr>
              <w:t>14.5994%</w:t>
            </w:r>
          </w:p>
        </w:tc>
        <w:tc>
          <w:tcPr>
            <w:tcW w:w="1327" w:type="dxa"/>
            <w:vAlign w:val="center"/>
          </w:tcPr>
          <w:p w:rsidR="005C48D6" w:rsidRDefault="008F0294">
            <w:pPr>
              <w:jc w:val="center"/>
            </w:pPr>
            <w:r>
              <w:rPr>
                <w:rFonts w:eastAsiaTheme="minorEastAsia"/>
                <w:color w:val="000000" w:themeColor="text1"/>
                <w:sz w:val="24"/>
              </w:rPr>
              <w:t>0.0000%</w:t>
            </w:r>
          </w:p>
        </w:tc>
        <w:tc>
          <w:tcPr>
            <w:tcW w:w="1327" w:type="dxa"/>
            <w:vAlign w:val="center"/>
          </w:tcPr>
          <w:p w:rsidR="005C48D6" w:rsidRDefault="008F0294">
            <w:pPr>
              <w:jc w:val="center"/>
            </w:pPr>
            <w:r>
              <w:rPr>
                <w:rFonts w:eastAsiaTheme="minorEastAsia"/>
                <w:color w:val="000000" w:themeColor="text1"/>
                <w:sz w:val="24"/>
              </w:rPr>
              <w:t>21.4986%</w:t>
            </w:r>
          </w:p>
        </w:tc>
        <w:tc>
          <w:tcPr>
            <w:tcW w:w="1327" w:type="dxa"/>
            <w:vAlign w:val="center"/>
          </w:tcPr>
          <w:p w:rsidR="005C48D6" w:rsidRDefault="008F0294">
            <w:pPr>
              <w:jc w:val="center"/>
            </w:pPr>
            <w:r>
              <w:rPr>
                <w:rFonts w:eastAsiaTheme="minorEastAsia"/>
                <w:color w:val="000000" w:themeColor="text1"/>
                <w:sz w:val="24"/>
              </w:rPr>
              <w:t>0.0048%</w:t>
            </w:r>
          </w:p>
        </w:tc>
      </w:tr>
    </w:tbl>
    <w:p w:rsidR="00063497" w:rsidRPr="009A7486" w:rsidRDefault="00063497" w:rsidP="004D5214">
      <w:pPr>
        <w:pStyle w:val="21"/>
        <w:spacing w:line="360" w:lineRule="auto"/>
        <w:ind w:firstLineChars="0" w:firstLine="0"/>
        <w:rPr>
          <w:rFonts w:ascii="Times New Roman" w:eastAsiaTheme="minorEastAsia" w:hAnsi="Times New Roman"/>
          <w:b/>
          <w:color w:val="000000" w:themeColor="text1"/>
        </w:rPr>
      </w:pPr>
      <w:r w:rsidRPr="009A7486">
        <w:rPr>
          <w:rFonts w:ascii="Times New Roman" w:eastAsiaTheme="minorEastAsia" w:hAnsi="Times New Roman"/>
          <w:b/>
          <w:color w:val="000000" w:themeColor="text1"/>
        </w:rPr>
        <w:t>2</w:t>
      </w:r>
      <w:r w:rsidRPr="009A7486">
        <w:rPr>
          <w:rFonts w:ascii="Times New Roman" w:eastAsiaTheme="minorEastAsia" w:hAnsi="Times New Roman"/>
          <w:b/>
          <w:color w:val="000000" w:themeColor="text1"/>
        </w:rPr>
        <w:t>．国投瑞银货币</w:t>
      </w:r>
      <w:r w:rsidRPr="009A7486">
        <w:rPr>
          <w:rFonts w:ascii="Times New Roman" w:eastAsiaTheme="minorEastAsia" w:hAnsi="Times New Roman"/>
          <w:b/>
          <w:color w:val="000000" w:themeColor="text1"/>
        </w:rPr>
        <w:t>B</w:t>
      </w:r>
      <w:r w:rsidRPr="009A7486">
        <w:rPr>
          <w:rFonts w:ascii="Times New Roman" w:eastAsiaTheme="minorEastAsia" w:hAnsi="Times New Roman"/>
          <w:b/>
          <w:color w:val="000000" w:themeColor="text1"/>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27"/>
        <w:gridCol w:w="1326"/>
        <w:gridCol w:w="1327"/>
        <w:gridCol w:w="1327"/>
        <w:gridCol w:w="1327"/>
        <w:gridCol w:w="1327"/>
        <w:gridCol w:w="1327"/>
      </w:tblGrid>
      <w:tr w:rsidR="002C233F" w:rsidRPr="009A7486" w:rsidTr="004D5214">
        <w:tc>
          <w:tcPr>
            <w:tcW w:w="1727" w:type="dxa"/>
            <w:shd w:val="clear" w:color="auto" w:fill="auto"/>
            <w:vAlign w:val="center"/>
          </w:tcPr>
          <w:p w:rsidR="00063497" w:rsidRPr="009A7486"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ascii="Times New Roman" w:eastAsiaTheme="minorEastAsia" w:hAnsi="Times New Roman"/>
                <w:color w:val="000000" w:themeColor="text1"/>
                <w:kern w:val="2"/>
              </w:rPr>
              <w:t>阶段</w:t>
            </w:r>
          </w:p>
        </w:tc>
        <w:tc>
          <w:tcPr>
            <w:tcW w:w="1326" w:type="dxa"/>
            <w:shd w:val="clear" w:color="auto" w:fill="auto"/>
            <w:vAlign w:val="center"/>
          </w:tcPr>
          <w:p w:rsidR="00063497" w:rsidRPr="009A7486" w:rsidRDefault="009945D1"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ascii="Times New Roman" w:eastAsiaTheme="minorEastAsia" w:hAnsi="Times New Roman"/>
                <w:color w:val="000000" w:themeColor="text1"/>
              </w:rPr>
              <w:t>份额</w:t>
            </w:r>
            <w:r w:rsidR="00063497" w:rsidRPr="009A7486">
              <w:rPr>
                <w:rFonts w:ascii="Times New Roman" w:eastAsiaTheme="minorEastAsia" w:hAnsi="Times New Roman"/>
                <w:color w:val="000000" w:themeColor="text1"/>
                <w:kern w:val="2"/>
              </w:rPr>
              <w:t>净值收益率</w:t>
            </w:r>
            <w:r w:rsidR="00063497" w:rsidRPr="009A7486">
              <w:rPr>
                <w:rFonts w:cs="宋体" w:hint="eastAsia"/>
                <w:color w:val="000000" w:themeColor="text1"/>
                <w:kern w:val="2"/>
              </w:rPr>
              <w:t>①</w:t>
            </w:r>
          </w:p>
        </w:tc>
        <w:tc>
          <w:tcPr>
            <w:tcW w:w="1327" w:type="dxa"/>
            <w:shd w:val="clear" w:color="auto" w:fill="auto"/>
            <w:vAlign w:val="center"/>
          </w:tcPr>
          <w:p w:rsidR="00063497" w:rsidRPr="009A7486" w:rsidRDefault="007E5F72"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ascii="Times New Roman" w:eastAsiaTheme="minorEastAsia" w:hAnsi="Times New Roman"/>
                <w:color w:val="000000" w:themeColor="text1"/>
              </w:rPr>
              <w:t>份额</w:t>
            </w:r>
            <w:r w:rsidR="00063497" w:rsidRPr="009A7486">
              <w:rPr>
                <w:rFonts w:ascii="Times New Roman" w:eastAsiaTheme="minorEastAsia" w:hAnsi="Times New Roman"/>
                <w:color w:val="000000" w:themeColor="text1"/>
                <w:kern w:val="2"/>
              </w:rPr>
              <w:t>净值收益率标准差</w:t>
            </w:r>
            <w:r w:rsidR="00063497" w:rsidRPr="009A7486">
              <w:rPr>
                <w:rFonts w:cs="宋体" w:hint="eastAsia"/>
                <w:color w:val="000000" w:themeColor="text1"/>
                <w:kern w:val="2"/>
              </w:rPr>
              <w:t>②</w:t>
            </w:r>
          </w:p>
        </w:tc>
        <w:tc>
          <w:tcPr>
            <w:tcW w:w="1327" w:type="dxa"/>
            <w:shd w:val="clear" w:color="auto" w:fill="auto"/>
            <w:vAlign w:val="center"/>
          </w:tcPr>
          <w:p w:rsidR="00063497" w:rsidRPr="009A7486"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ascii="Times New Roman" w:eastAsiaTheme="minorEastAsia" w:hAnsi="Times New Roman"/>
                <w:color w:val="000000" w:themeColor="text1"/>
                <w:kern w:val="2"/>
              </w:rPr>
              <w:t>业绩比较基准收益率</w:t>
            </w:r>
            <w:r w:rsidRPr="009A7486">
              <w:rPr>
                <w:rFonts w:cs="宋体" w:hint="eastAsia"/>
                <w:color w:val="000000" w:themeColor="text1"/>
                <w:kern w:val="2"/>
              </w:rPr>
              <w:t>③</w:t>
            </w:r>
          </w:p>
        </w:tc>
        <w:tc>
          <w:tcPr>
            <w:tcW w:w="1327" w:type="dxa"/>
            <w:shd w:val="clear" w:color="auto" w:fill="auto"/>
            <w:vAlign w:val="center"/>
          </w:tcPr>
          <w:p w:rsidR="00063497" w:rsidRPr="009A7486"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ascii="Times New Roman" w:eastAsiaTheme="minorEastAsia" w:hAnsi="Times New Roman"/>
                <w:color w:val="000000" w:themeColor="text1"/>
                <w:kern w:val="2"/>
              </w:rPr>
              <w:t>业绩比较基准收益率标准差</w:t>
            </w:r>
            <w:r w:rsidRPr="009A7486">
              <w:rPr>
                <w:rFonts w:cs="宋体" w:hint="eastAsia"/>
                <w:color w:val="000000" w:themeColor="text1"/>
                <w:kern w:val="2"/>
              </w:rPr>
              <w:t>④</w:t>
            </w:r>
          </w:p>
        </w:tc>
        <w:tc>
          <w:tcPr>
            <w:tcW w:w="1327" w:type="dxa"/>
            <w:shd w:val="clear" w:color="auto" w:fill="auto"/>
            <w:vAlign w:val="center"/>
          </w:tcPr>
          <w:p w:rsidR="00063497" w:rsidRPr="009A7486"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cs="宋体" w:hint="eastAsia"/>
                <w:color w:val="000000" w:themeColor="text1"/>
                <w:kern w:val="2"/>
              </w:rPr>
              <w:t>①</w:t>
            </w:r>
            <w:r w:rsidRPr="009A7486">
              <w:rPr>
                <w:rFonts w:ascii="Times New Roman" w:eastAsiaTheme="minorEastAsia" w:hAnsi="Times New Roman"/>
                <w:color w:val="000000" w:themeColor="text1"/>
                <w:kern w:val="2"/>
              </w:rPr>
              <w:t>-</w:t>
            </w:r>
            <w:r w:rsidRPr="009A7486">
              <w:rPr>
                <w:rFonts w:cs="宋体" w:hint="eastAsia"/>
                <w:color w:val="000000" w:themeColor="text1"/>
                <w:kern w:val="2"/>
              </w:rPr>
              <w:t>③</w:t>
            </w:r>
          </w:p>
        </w:tc>
        <w:tc>
          <w:tcPr>
            <w:tcW w:w="1327" w:type="dxa"/>
            <w:shd w:val="clear" w:color="auto" w:fill="auto"/>
            <w:vAlign w:val="center"/>
          </w:tcPr>
          <w:p w:rsidR="00063497" w:rsidRPr="009A7486" w:rsidRDefault="00063497" w:rsidP="004B36C2">
            <w:pPr>
              <w:pStyle w:val="af6"/>
              <w:adjustRightInd w:val="0"/>
              <w:snapToGrid w:val="0"/>
              <w:spacing w:before="0" w:beforeAutospacing="0" w:after="0" w:afterAutospacing="0" w:line="360" w:lineRule="auto"/>
              <w:jc w:val="center"/>
              <w:rPr>
                <w:rFonts w:ascii="Times New Roman" w:eastAsiaTheme="minorEastAsia" w:hAnsi="Times New Roman"/>
                <w:color w:val="000000" w:themeColor="text1"/>
                <w:kern w:val="2"/>
              </w:rPr>
            </w:pPr>
            <w:r w:rsidRPr="009A7486">
              <w:rPr>
                <w:rFonts w:cs="宋体" w:hint="eastAsia"/>
                <w:color w:val="000000" w:themeColor="text1"/>
                <w:kern w:val="2"/>
              </w:rPr>
              <w:t>②</w:t>
            </w:r>
            <w:r w:rsidRPr="009A7486">
              <w:rPr>
                <w:rFonts w:ascii="Times New Roman" w:eastAsiaTheme="minorEastAsia" w:hAnsi="Times New Roman"/>
                <w:color w:val="000000" w:themeColor="text1"/>
                <w:kern w:val="2"/>
              </w:rPr>
              <w:t>-</w:t>
            </w:r>
            <w:r w:rsidRPr="009A7486">
              <w:rPr>
                <w:rFonts w:cs="宋体" w:hint="eastAsia"/>
                <w:color w:val="000000" w:themeColor="text1"/>
                <w:kern w:val="2"/>
              </w:rPr>
              <w:t>④</w:t>
            </w:r>
          </w:p>
        </w:tc>
      </w:tr>
      <w:tr w:rsidR="005C48D6">
        <w:tc>
          <w:tcPr>
            <w:tcW w:w="1727" w:type="dxa"/>
            <w:vAlign w:val="center"/>
          </w:tcPr>
          <w:p w:rsidR="005C48D6" w:rsidRDefault="008F0294">
            <w:pPr>
              <w:jc w:val="left"/>
            </w:pPr>
            <w:r>
              <w:rPr>
                <w:rFonts w:eastAsiaTheme="minorEastAsia"/>
                <w:color w:val="000000" w:themeColor="text1"/>
                <w:sz w:val="24"/>
              </w:rPr>
              <w:t>过去三个月</w:t>
            </w:r>
          </w:p>
        </w:tc>
        <w:tc>
          <w:tcPr>
            <w:tcW w:w="1326" w:type="dxa"/>
            <w:vAlign w:val="center"/>
          </w:tcPr>
          <w:p w:rsidR="005C48D6" w:rsidRDefault="008F0294">
            <w:pPr>
              <w:jc w:val="center"/>
            </w:pPr>
            <w:r>
              <w:rPr>
                <w:rFonts w:eastAsiaTheme="minorEastAsia"/>
                <w:color w:val="000000" w:themeColor="text1"/>
                <w:sz w:val="24"/>
              </w:rPr>
              <w:t>0.7450%</w:t>
            </w:r>
          </w:p>
        </w:tc>
        <w:tc>
          <w:tcPr>
            <w:tcW w:w="1327" w:type="dxa"/>
            <w:vAlign w:val="center"/>
          </w:tcPr>
          <w:p w:rsidR="005C48D6" w:rsidRDefault="008F0294">
            <w:pPr>
              <w:jc w:val="center"/>
            </w:pPr>
            <w:r>
              <w:rPr>
                <w:rFonts w:eastAsiaTheme="minorEastAsia"/>
                <w:color w:val="000000" w:themeColor="text1"/>
                <w:sz w:val="24"/>
              </w:rPr>
              <w:t>0.0023%</w:t>
            </w:r>
          </w:p>
        </w:tc>
        <w:tc>
          <w:tcPr>
            <w:tcW w:w="1327" w:type="dxa"/>
            <w:vAlign w:val="center"/>
          </w:tcPr>
          <w:p w:rsidR="005C48D6" w:rsidRDefault="008F0294">
            <w:pPr>
              <w:jc w:val="center"/>
            </w:pPr>
            <w:r>
              <w:rPr>
                <w:rFonts w:eastAsiaTheme="minorEastAsia"/>
                <w:color w:val="000000" w:themeColor="text1"/>
                <w:sz w:val="24"/>
              </w:rPr>
              <w:t>0.3456%</w:t>
            </w:r>
          </w:p>
        </w:tc>
        <w:tc>
          <w:tcPr>
            <w:tcW w:w="1327" w:type="dxa"/>
            <w:vAlign w:val="center"/>
          </w:tcPr>
          <w:p w:rsidR="005C48D6" w:rsidRDefault="008F0294">
            <w:pPr>
              <w:jc w:val="center"/>
            </w:pPr>
            <w:r>
              <w:rPr>
                <w:rFonts w:eastAsiaTheme="minorEastAsia"/>
                <w:color w:val="000000" w:themeColor="text1"/>
                <w:sz w:val="24"/>
              </w:rPr>
              <w:t>0.0000%</w:t>
            </w:r>
          </w:p>
        </w:tc>
        <w:tc>
          <w:tcPr>
            <w:tcW w:w="1327" w:type="dxa"/>
            <w:vAlign w:val="center"/>
          </w:tcPr>
          <w:p w:rsidR="005C48D6" w:rsidRDefault="008F0294">
            <w:pPr>
              <w:jc w:val="center"/>
            </w:pPr>
            <w:r>
              <w:rPr>
                <w:rFonts w:eastAsiaTheme="minorEastAsia"/>
                <w:color w:val="000000" w:themeColor="text1"/>
                <w:sz w:val="24"/>
              </w:rPr>
              <w:t>0.3994%</w:t>
            </w:r>
          </w:p>
        </w:tc>
        <w:tc>
          <w:tcPr>
            <w:tcW w:w="1327" w:type="dxa"/>
            <w:vAlign w:val="center"/>
          </w:tcPr>
          <w:p w:rsidR="005C48D6" w:rsidRDefault="008F0294">
            <w:pPr>
              <w:jc w:val="center"/>
            </w:pPr>
            <w:r>
              <w:rPr>
                <w:rFonts w:eastAsiaTheme="minorEastAsia"/>
                <w:color w:val="000000" w:themeColor="text1"/>
                <w:sz w:val="24"/>
              </w:rPr>
              <w:t>0.0023%</w:t>
            </w:r>
          </w:p>
        </w:tc>
      </w:tr>
      <w:tr w:rsidR="005C48D6">
        <w:tc>
          <w:tcPr>
            <w:tcW w:w="1727" w:type="dxa"/>
            <w:vAlign w:val="center"/>
          </w:tcPr>
          <w:p w:rsidR="005C48D6" w:rsidRDefault="008F0294">
            <w:pPr>
              <w:jc w:val="left"/>
            </w:pPr>
            <w:r>
              <w:rPr>
                <w:rFonts w:eastAsiaTheme="minorEastAsia"/>
                <w:color w:val="000000" w:themeColor="text1"/>
                <w:sz w:val="24"/>
              </w:rPr>
              <w:t>过去六个月</w:t>
            </w:r>
          </w:p>
        </w:tc>
        <w:tc>
          <w:tcPr>
            <w:tcW w:w="1326" w:type="dxa"/>
            <w:vAlign w:val="center"/>
          </w:tcPr>
          <w:p w:rsidR="005C48D6" w:rsidRDefault="008F0294">
            <w:pPr>
              <w:jc w:val="center"/>
            </w:pPr>
            <w:r>
              <w:rPr>
                <w:rFonts w:eastAsiaTheme="minorEastAsia"/>
                <w:color w:val="000000" w:themeColor="text1"/>
                <w:sz w:val="24"/>
              </w:rPr>
              <w:t>1.6309%</w:t>
            </w:r>
          </w:p>
        </w:tc>
        <w:tc>
          <w:tcPr>
            <w:tcW w:w="1327" w:type="dxa"/>
            <w:vAlign w:val="center"/>
          </w:tcPr>
          <w:p w:rsidR="005C48D6" w:rsidRDefault="008F0294">
            <w:pPr>
              <w:jc w:val="center"/>
            </w:pPr>
            <w:r>
              <w:rPr>
                <w:rFonts w:eastAsiaTheme="minorEastAsia"/>
                <w:color w:val="000000" w:themeColor="text1"/>
                <w:sz w:val="24"/>
              </w:rPr>
              <w:t>0.0046%</w:t>
            </w:r>
          </w:p>
        </w:tc>
        <w:tc>
          <w:tcPr>
            <w:tcW w:w="1327" w:type="dxa"/>
            <w:vAlign w:val="center"/>
          </w:tcPr>
          <w:p w:rsidR="005C48D6" w:rsidRDefault="008F0294">
            <w:pPr>
              <w:jc w:val="center"/>
            </w:pPr>
            <w:r>
              <w:rPr>
                <w:rFonts w:eastAsiaTheme="minorEastAsia"/>
                <w:color w:val="000000" w:themeColor="text1"/>
                <w:sz w:val="24"/>
              </w:rPr>
              <w:t>0.6924%</w:t>
            </w:r>
          </w:p>
        </w:tc>
        <w:tc>
          <w:tcPr>
            <w:tcW w:w="1327" w:type="dxa"/>
            <w:vAlign w:val="center"/>
          </w:tcPr>
          <w:p w:rsidR="005C48D6" w:rsidRDefault="008F0294">
            <w:pPr>
              <w:jc w:val="center"/>
            </w:pPr>
            <w:r>
              <w:rPr>
                <w:rFonts w:eastAsiaTheme="minorEastAsia"/>
                <w:color w:val="000000" w:themeColor="text1"/>
                <w:sz w:val="24"/>
              </w:rPr>
              <w:t>0.0000%</w:t>
            </w:r>
          </w:p>
        </w:tc>
        <w:tc>
          <w:tcPr>
            <w:tcW w:w="1327" w:type="dxa"/>
            <w:vAlign w:val="center"/>
          </w:tcPr>
          <w:p w:rsidR="005C48D6" w:rsidRDefault="008F0294">
            <w:pPr>
              <w:jc w:val="center"/>
            </w:pPr>
            <w:r>
              <w:rPr>
                <w:rFonts w:eastAsiaTheme="minorEastAsia"/>
                <w:color w:val="000000" w:themeColor="text1"/>
                <w:sz w:val="24"/>
              </w:rPr>
              <w:t>0.9385%</w:t>
            </w:r>
          </w:p>
        </w:tc>
        <w:tc>
          <w:tcPr>
            <w:tcW w:w="1327" w:type="dxa"/>
            <w:vAlign w:val="center"/>
          </w:tcPr>
          <w:p w:rsidR="005C48D6" w:rsidRDefault="008F0294">
            <w:pPr>
              <w:jc w:val="center"/>
            </w:pPr>
            <w:r>
              <w:rPr>
                <w:rFonts w:eastAsiaTheme="minorEastAsia"/>
                <w:color w:val="000000" w:themeColor="text1"/>
                <w:sz w:val="24"/>
              </w:rPr>
              <w:t>0.0046%</w:t>
            </w:r>
          </w:p>
        </w:tc>
      </w:tr>
      <w:tr w:rsidR="005C48D6">
        <w:tc>
          <w:tcPr>
            <w:tcW w:w="1727" w:type="dxa"/>
            <w:vAlign w:val="center"/>
          </w:tcPr>
          <w:p w:rsidR="005C48D6" w:rsidRDefault="008F0294">
            <w:pPr>
              <w:jc w:val="left"/>
            </w:pPr>
            <w:r>
              <w:rPr>
                <w:rFonts w:eastAsiaTheme="minorEastAsia"/>
                <w:color w:val="000000" w:themeColor="text1"/>
                <w:sz w:val="24"/>
              </w:rPr>
              <w:t>过去一年</w:t>
            </w:r>
          </w:p>
        </w:tc>
        <w:tc>
          <w:tcPr>
            <w:tcW w:w="1326" w:type="dxa"/>
            <w:vAlign w:val="center"/>
          </w:tcPr>
          <w:p w:rsidR="005C48D6" w:rsidRDefault="008F0294">
            <w:pPr>
              <w:jc w:val="center"/>
            </w:pPr>
            <w:r>
              <w:rPr>
                <w:rFonts w:eastAsiaTheme="minorEastAsia"/>
                <w:color w:val="000000" w:themeColor="text1"/>
                <w:sz w:val="24"/>
              </w:rPr>
              <w:t>3.7863%</w:t>
            </w:r>
          </w:p>
        </w:tc>
        <w:tc>
          <w:tcPr>
            <w:tcW w:w="1327" w:type="dxa"/>
            <w:vAlign w:val="center"/>
          </w:tcPr>
          <w:p w:rsidR="005C48D6" w:rsidRDefault="008F0294">
            <w:pPr>
              <w:jc w:val="center"/>
            </w:pPr>
            <w:r>
              <w:rPr>
                <w:rFonts w:eastAsiaTheme="minorEastAsia"/>
                <w:color w:val="000000" w:themeColor="text1"/>
                <w:sz w:val="24"/>
              </w:rPr>
              <w:t>0.0048%</w:t>
            </w:r>
          </w:p>
        </w:tc>
        <w:tc>
          <w:tcPr>
            <w:tcW w:w="1327" w:type="dxa"/>
            <w:vAlign w:val="center"/>
          </w:tcPr>
          <w:p w:rsidR="005C48D6" w:rsidRDefault="008F0294">
            <w:pPr>
              <w:jc w:val="center"/>
            </w:pPr>
            <w:r>
              <w:rPr>
                <w:rFonts w:eastAsiaTheme="minorEastAsia"/>
                <w:color w:val="000000" w:themeColor="text1"/>
                <w:sz w:val="24"/>
              </w:rPr>
              <w:t>1.3781%</w:t>
            </w:r>
          </w:p>
        </w:tc>
        <w:tc>
          <w:tcPr>
            <w:tcW w:w="1327" w:type="dxa"/>
            <w:vAlign w:val="center"/>
          </w:tcPr>
          <w:p w:rsidR="005C48D6" w:rsidRDefault="008F0294">
            <w:pPr>
              <w:jc w:val="center"/>
            </w:pPr>
            <w:r>
              <w:rPr>
                <w:rFonts w:eastAsiaTheme="minorEastAsia"/>
                <w:color w:val="000000" w:themeColor="text1"/>
                <w:sz w:val="24"/>
              </w:rPr>
              <w:t>0.0000%</w:t>
            </w:r>
          </w:p>
        </w:tc>
        <w:tc>
          <w:tcPr>
            <w:tcW w:w="1327" w:type="dxa"/>
            <w:vAlign w:val="center"/>
          </w:tcPr>
          <w:p w:rsidR="005C48D6" w:rsidRDefault="008F0294">
            <w:pPr>
              <w:jc w:val="center"/>
            </w:pPr>
            <w:r>
              <w:rPr>
                <w:rFonts w:eastAsiaTheme="minorEastAsia"/>
                <w:color w:val="000000" w:themeColor="text1"/>
                <w:sz w:val="24"/>
              </w:rPr>
              <w:t>2.4082%</w:t>
            </w:r>
          </w:p>
        </w:tc>
        <w:tc>
          <w:tcPr>
            <w:tcW w:w="1327" w:type="dxa"/>
            <w:vAlign w:val="center"/>
          </w:tcPr>
          <w:p w:rsidR="005C48D6" w:rsidRDefault="008F0294">
            <w:pPr>
              <w:jc w:val="center"/>
            </w:pPr>
            <w:r>
              <w:rPr>
                <w:rFonts w:eastAsiaTheme="minorEastAsia"/>
                <w:color w:val="000000" w:themeColor="text1"/>
                <w:sz w:val="24"/>
              </w:rPr>
              <w:t>0.0048%</w:t>
            </w:r>
          </w:p>
        </w:tc>
      </w:tr>
      <w:tr w:rsidR="005C48D6">
        <w:tc>
          <w:tcPr>
            <w:tcW w:w="1727" w:type="dxa"/>
            <w:vAlign w:val="center"/>
          </w:tcPr>
          <w:p w:rsidR="005C48D6" w:rsidRDefault="008F0294">
            <w:pPr>
              <w:jc w:val="left"/>
            </w:pPr>
            <w:r>
              <w:rPr>
                <w:rFonts w:eastAsiaTheme="minorEastAsia"/>
                <w:color w:val="000000" w:themeColor="text1"/>
                <w:sz w:val="24"/>
              </w:rPr>
              <w:t>过去三年</w:t>
            </w:r>
          </w:p>
        </w:tc>
        <w:tc>
          <w:tcPr>
            <w:tcW w:w="1326" w:type="dxa"/>
            <w:vAlign w:val="center"/>
          </w:tcPr>
          <w:p w:rsidR="005C48D6" w:rsidRDefault="008F0294">
            <w:pPr>
              <w:jc w:val="center"/>
            </w:pPr>
            <w:r>
              <w:rPr>
                <w:rFonts w:eastAsiaTheme="minorEastAsia"/>
                <w:color w:val="000000" w:themeColor="text1"/>
                <w:sz w:val="24"/>
              </w:rPr>
              <w:t>10.6954%</w:t>
            </w:r>
          </w:p>
        </w:tc>
        <w:tc>
          <w:tcPr>
            <w:tcW w:w="1327" w:type="dxa"/>
            <w:vAlign w:val="center"/>
          </w:tcPr>
          <w:p w:rsidR="005C48D6" w:rsidRDefault="008F0294">
            <w:pPr>
              <w:jc w:val="center"/>
            </w:pPr>
            <w:r>
              <w:rPr>
                <w:rFonts w:eastAsiaTheme="minorEastAsia"/>
                <w:color w:val="000000" w:themeColor="text1"/>
                <w:sz w:val="24"/>
              </w:rPr>
              <w:t>0.0037%</w:t>
            </w:r>
          </w:p>
        </w:tc>
        <w:tc>
          <w:tcPr>
            <w:tcW w:w="1327" w:type="dxa"/>
            <w:vAlign w:val="center"/>
          </w:tcPr>
          <w:p w:rsidR="005C48D6" w:rsidRDefault="008F0294">
            <w:pPr>
              <w:jc w:val="center"/>
            </w:pPr>
            <w:r>
              <w:rPr>
                <w:rFonts w:eastAsiaTheme="minorEastAsia"/>
                <w:color w:val="000000" w:themeColor="text1"/>
                <w:sz w:val="24"/>
              </w:rPr>
              <w:t>4.1955%</w:t>
            </w:r>
          </w:p>
        </w:tc>
        <w:tc>
          <w:tcPr>
            <w:tcW w:w="1327" w:type="dxa"/>
            <w:vAlign w:val="center"/>
          </w:tcPr>
          <w:p w:rsidR="005C48D6" w:rsidRDefault="008F0294">
            <w:pPr>
              <w:jc w:val="center"/>
            </w:pPr>
            <w:r>
              <w:rPr>
                <w:rFonts w:eastAsiaTheme="minorEastAsia"/>
                <w:color w:val="000000" w:themeColor="text1"/>
                <w:sz w:val="24"/>
              </w:rPr>
              <w:t>0.0000%</w:t>
            </w:r>
          </w:p>
        </w:tc>
        <w:tc>
          <w:tcPr>
            <w:tcW w:w="1327" w:type="dxa"/>
            <w:vAlign w:val="center"/>
          </w:tcPr>
          <w:p w:rsidR="005C48D6" w:rsidRDefault="008F0294">
            <w:pPr>
              <w:jc w:val="center"/>
            </w:pPr>
            <w:r>
              <w:rPr>
                <w:rFonts w:eastAsiaTheme="minorEastAsia"/>
                <w:color w:val="000000" w:themeColor="text1"/>
                <w:sz w:val="24"/>
              </w:rPr>
              <w:t>6.4999%</w:t>
            </w:r>
          </w:p>
        </w:tc>
        <w:tc>
          <w:tcPr>
            <w:tcW w:w="1327" w:type="dxa"/>
            <w:vAlign w:val="center"/>
          </w:tcPr>
          <w:p w:rsidR="005C48D6" w:rsidRDefault="008F0294">
            <w:pPr>
              <w:jc w:val="center"/>
            </w:pPr>
            <w:r>
              <w:rPr>
                <w:rFonts w:eastAsiaTheme="minorEastAsia"/>
                <w:color w:val="000000" w:themeColor="text1"/>
                <w:sz w:val="24"/>
              </w:rPr>
              <w:t>0.0037%</w:t>
            </w:r>
          </w:p>
        </w:tc>
      </w:tr>
      <w:tr w:rsidR="005C48D6">
        <w:tc>
          <w:tcPr>
            <w:tcW w:w="1727" w:type="dxa"/>
            <w:vAlign w:val="center"/>
          </w:tcPr>
          <w:p w:rsidR="005C48D6" w:rsidRDefault="008F0294">
            <w:pPr>
              <w:jc w:val="left"/>
            </w:pPr>
            <w:r>
              <w:rPr>
                <w:rFonts w:eastAsiaTheme="minorEastAsia"/>
                <w:color w:val="000000" w:themeColor="text1"/>
                <w:sz w:val="24"/>
              </w:rPr>
              <w:t>过去五年</w:t>
            </w:r>
          </w:p>
        </w:tc>
        <w:tc>
          <w:tcPr>
            <w:tcW w:w="1326" w:type="dxa"/>
            <w:vAlign w:val="center"/>
          </w:tcPr>
          <w:p w:rsidR="005C48D6" w:rsidRDefault="008F0294">
            <w:pPr>
              <w:jc w:val="center"/>
            </w:pPr>
            <w:r>
              <w:rPr>
                <w:rFonts w:eastAsiaTheme="minorEastAsia"/>
                <w:color w:val="000000" w:themeColor="text1"/>
                <w:sz w:val="24"/>
              </w:rPr>
              <w:t>19.9308%</w:t>
            </w:r>
          </w:p>
        </w:tc>
        <w:tc>
          <w:tcPr>
            <w:tcW w:w="1327" w:type="dxa"/>
            <w:vAlign w:val="center"/>
          </w:tcPr>
          <w:p w:rsidR="005C48D6" w:rsidRDefault="008F0294">
            <w:pPr>
              <w:jc w:val="center"/>
            </w:pPr>
            <w:r>
              <w:rPr>
                <w:rFonts w:eastAsiaTheme="minorEastAsia"/>
                <w:color w:val="000000" w:themeColor="text1"/>
                <w:sz w:val="24"/>
              </w:rPr>
              <w:t>0.0042%</w:t>
            </w:r>
          </w:p>
        </w:tc>
        <w:tc>
          <w:tcPr>
            <w:tcW w:w="1327" w:type="dxa"/>
            <w:vAlign w:val="center"/>
          </w:tcPr>
          <w:p w:rsidR="005C48D6" w:rsidRDefault="008F0294">
            <w:pPr>
              <w:jc w:val="center"/>
            </w:pPr>
            <w:r>
              <w:rPr>
                <w:rFonts w:eastAsiaTheme="minorEastAsia"/>
                <w:color w:val="000000" w:themeColor="text1"/>
                <w:sz w:val="24"/>
              </w:rPr>
              <w:t>7.0872%</w:t>
            </w:r>
          </w:p>
        </w:tc>
        <w:tc>
          <w:tcPr>
            <w:tcW w:w="1327" w:type="dxa"/>
            <w:vAlign w:val="center"/>
          </w:tcPr>
          <w:p w:rsidR="005C48D6" w:rsidRDefault="008F0294">
            <w:pPr>
              <w:jc w:val="center"/>
            </w:pPr>
            <w:r>
              <w:rPr>
                <w:rFonts w:eastAsiaTheme="minorEastAsia"/>
                <w:color w:val="000000" w:themeColor="text1"/>
                <w:sz w:val="24"/>
              </w:rPr>
              <w:t>0.0000%</w:t>
            </w:r>
          </w:p>
        </w:tc>
        <w:tc>
          <w:tcPr>
            <w:tcW w:w="1327" w:type="dxa"/>
            <w:vAlign w:val="center"/>
          </w:tcPr>
          <w:p w:rsidR="005C48D6" w:rsidRDefault="008F0294">
            <w:pPr>
              <w:jc w:val="center"/>
            </w:pPr>
            <w:r>
              <w:rPr>
                <w:rFonts w:eastAsiaTheme="minorEastAsia"/>
                <w:color w:val="000000" w:themeColor="text1"/>
                <w:sz w:val="24"/>
              </w:rPr>
              <w:t>12.8436%</w:t>
            </w:r>
          </w:p>
        </w:tc>
        <w:tc>
          <w:tcPr>
            <w:tcW w:w="1327" w:type="dxa"/>
            <w:vAlign w:val="center"/>
          </w:tcPr>
          <w:p w:rsidR="005C48D6" w:rsidRDefault="008F0294">
            <w:pPr>
              <w:jc w:val="center"/>
            </w:pPr>
            <w:r>
              <w:rPr>
                <w:rFonts w:eastAsiaTheme="minorEastAsia"/>
                <w:color w:val="000000" w:themeColor="text1"/>
                <w:sz w:val="24"/>
              </w:rPr>
              <w:t>0.0042%</w:t>
            </w:r>
          </w:p>
        </w:tc>
      </w:tr>
      <w:tr w:rsidR="005C48D6">
        <w:tc>
          <w:tcPr>
            <w:tcW w:w="1727" w:type="dxa"/>
            <w:vAlign w:val="center"/>
          </w:tcPr>
          <w:p w:rsidR="005C48D6" w:rsidRDefault="008F0294">
            <w:pPr>
              <w:jc w:val="left"/>
            </w:pPr>
            <w:r>
              <w:rPr>
                <w:rFonts w:eastAsiaTheme="minorEastAsia"/>
                <w:color w:val="000000" w:themeColor="text1"/>
                <w:sz w:val="24"/>
              </w:rPr>
              <w:t>自基金合同生效起至今</w:t>
            </w:r>
          </w:p>
        </w:tc>
        <w:tc>
          <w:tcPr>
            <w:tcW w:w="1326" w:type="dxa"/>
            <w:vAlign w:val="center"/>
          </w:tcPr>
          <w:p w:rsidR="005C48D6" w:rsidRDefault="008F0294">
            <w:pPr>
              <w:jc w:val="center"/>
            </w:pPr>
            <w:r>
              <w:rPr>
                <w:rFonts w:eastAsiaTheme="minorEastAsia"/>
                <w:color w:val="000000" w:themeColor="text1"/>
                <w:sz w:val="24"/>
              </w:rPr>
              <w:t>39.3933%</w:t>
            </w:r>
          </w:p>
        </w:tc>
        <w:tc>
          <w:tcPr>
            <w:tcW w:w="1327" w:type="dxa"/>
            <w:vAlign w:val="center"/>
          </w:tcPr>
          <w:p w:rsidR="005C48D6" w:rsidRDefault="008F0294">
            <w:pPr>
              <w:jc w:val="center"/>
            </w:pPr>
            <w:r>
              <w:rPr>
                <w:rFonts w:eastAsiaTheme="minorEastAsia"/>
                <w:color w:val="000000" w:themeColor="text1"/>
                <w:sz w:val="24"/>
              </w:rPr>
              <w:t>0.0048%</w:t>
            </w:r>
          </w:p>
        </w:tc>
        <w:tc>
          <w:tcPr>
            <w:tcW w:w="1327" w:type="dxa"/>
            <w:vAlign w:val="center"/>
          </w:tcPr>
          <w:p w:rsidR="005C48D6" w:rsidRDefault="008F0294">
            <w:pPr>
              <w:jc w:val="center"/>
            </w:pPr>
            <w:r>
              <w:rPr>
                <w:rFonts w:eastAsiaTheme="minorEastAsia"/>
                <w:color w:val="000000" w:themeColor="text1"/>
                <w:sz w:val="24"/>
              </w:rPr>
              <w:t>14.5994%</w:t>
            </w:r>
          </w:p>
        </w:tc>
        <w:tc>
          <w:tcPr>
            <w:tcW w:w="1327" w:type="dxa"/>
            <w:vAlign w:val="center"/>
          </w:tcPr>
          <w:p w:rsidR="005C48D6" w:rsidRDefault="008F0294">
            <w:pPr>
              <w:jc w:val="center"/>
            </w:pPr>
            <w:r>
              <w:rPr>
                <w:rFonts w:eastAsiaTheme="minorEastAsia"/>
                <w:color w:val="000000" w:themeColor="text1"/>
                <w:sz w:val="24"/>
              </w:rPr>
              <w:t>0.0000%</w:t>
            </w:r>
          </w:p>
        </w:tc>
        <w:tc>
          <w:tcPr>
            <w:tcW w:w="1327" w:type="dxa"/>
            <w:vAlign w:val="center"/>
          </w:tcPr>
          <w:p w:rsidR="005C48D6" w:rsidRDefault="008F0294">
            <w:pPr>
              <w:jc w:val="center"/>
            </w:pPr>
            <w:r>
              <w:rPr>
                <w:rFonts w:eastAsiaTheme="minorEastAsia"/>
                <w:color w:val="000000" w:themeColor="text1"/>
                <w:sz w:val="24"/>
              </w:rPr>
              <w:t>24.7939%</w:t>
            </w:r>
          </w:p>
        </w:tc>
        <w:tc>
          <w:tcPr>
            <w:tcW w:w="1327" w:type="dxa"/>
            <w:vAlign w:val="center"/>
          </w:tcPr>
          <w:p w:rsidR="005C48D6" w:rsidRDefault="008F0294">
            <w:pPr>
              <w:jc w:val="center"/>
            </w:pPr>
            <w:r>
              <w:rPr>
                <w:rFonts w:eastAsiaTheme="minorEastAsia"/>
                <w:color w:val="000000" w:themeColor="text1"/>
                <w:sz w:val="24"/>
              </w:rPr>
              <w:t>0.0048%</w:t>
            </w:r>
          </w:p>
        </w:tc>
      </w:tr>
    </w:tbl>
    <w:p w:rsidR="00223DFB" w:rsidRPr="009A7486" w:rsidRDefault="00C63094"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注：本基金的业绩比较基准中，通知存款是一种不约定存期，支取时需提前通知银行，约定支取日期和金额方能支取的存款，具有存期灵活、存取方便的特征，同时可获得高于活期存款利息的收益。本基金为货币市场基金，具有低风险、高流动性的特征。根据基金的投资标的、投资目标及流动性特征，本基金选取同期</w:t>
      </w:r>
      <w:r w:rsidRPr="009A7486">
        <w:rPr>
          <w:rFonts w:eastAsiaTheme="minorEastAsia"/>
          <w:color w:val="000000" w:themeColor="text1"/>
          <w:kern w:val="0"/>
          <w:sz w:val="24"/>
        </w:rPr>
        <w:t>7</w:t>
      </w:r>
      <w:r w:rsidRPr="009A7486">
        <w:rPr>
          <w:rFonts w:eastAsiaTheme="minorEastAsia"/>
          <w:color w:val="000000" w:themeColor="text1"/>
          <w:kern w:val="0"/>
          <w:sz w:val="24"/>
        </w:rPr>
        <w:t>天通知存款利率（税后）作为本基金的业绩比较基准。根据财政部、国家税务总局关于储蓄存款利息所得有关个人所得税政策的通知（财税〔</w:t>
      </w:r>
      <w:r w:rsidRPr="009A7486">
        <w:rPr>
          <w:rFonts w:eastAsiaTheme="minorEastAsia"/>
          <w:color w:val="000000" w:themeColor="text1"/>
          <w:kern w:val="0"/>
          <w:sz w:val="24"/>
        </w:rPr>
        <w:t>2008</w:t>
      </w:r>
      <w:r w:rsidRPr="009A7486">
        <w:rPr>
          <w:rFonts w:eastAsiaTheme="minorEastAsia"/>
          <w:color w:val="000000" w:themeColor="text1"/>
          <w:kern w:val="0"/>
          <w:sz w:val="24"/>
        </w:rPr>
        <w:t>〕</w:t>
      </w:r>
      <w:r w:rsidRPr="009A7486">
        <w:rPr>
          <w:rFonts w:eastAsiaTheme="minorEastAsia"/>
          <w:color w:val="000000" w:themeColor="text1"/>
          <w:kern w:val="0"/>
          <w:sz w:val="24"/>
        </w:rPr>
        <w:t>132</w:t>
      </w:r>
      <w:r w:rsidRPr="009A7486">
        <w:rPr>
          <w:rFonts w:eastAsiaTheme="minorEastAsia"/>
          <w:color w:val="000000" w:themeColor="text1"/>
          <w:kern w:val="0"/>
          <w:sz w:val="24"/>
        </w:rPr>
        <w:t>号）文件规定，自</w:t>
      </w:r>
      <w:r w:rsidRPr="009A7486">
        <w:rPr>
          <w:rFonts w:eastAsiaTheme="minorEastAsia"/>
          <w:color w:val="000000" w:themeColor="text1"/>
          <w:kern w:val="0"/>
          <w:sz w:val="24"/>
        </w:rPr>
        <w:t>2008</w:t>
      </w:r>
      <w:r w:rsidRPr="009A7486">
        <w:rPr>
          <w:rFonts w:eastAsiaTheme="minorEastAsia"/>
          <w:color w:val="000000" w:themeColor="text1"/>
          <w:kern w:val="0"/>
          <w:sz w:val="24"/>
        </w:rPr>
        <w:t>年</w:t>
      </w:r>
      <w:r w:rsidRPr="009A7486">
        <w:rPr>
          <w:rFonts w:eastAsiaTheme="minorEastAsia"/>
          <w:color w:val="000000" w:themeColor="text1"/>
          <w:kern w:val="0"/>
          <w:sz w:val="24"/>
        </w:rPr>
        <w:t>10</w:t>
      </w:r>
      <w:r w:rsidRPr="009A7486">
        <w:rPr>
          <w:rFonts w:eastAsiaTheme="minorEastAsia"/>
          <w:color w:val="000000" w:themeColor="text1"/>
          <w:kern w:val="0"/>
          <w:sz w:val="24"/>
        </w:rPr>
        <w:t>月</w:t>
      </w:r>
      <w:r w:rsidRPr="009A7486">
        <w:rPr>
          <w:rFonts w:eastAsiaTheme="minorEastAsia"/>
          <w:color w:val="000000" w:themeColor="text1"/>
          <w:kern w:val="0"/>
          <w:sz w:val="24"/>
        </w:rPr>
        <w:t>9</w:t>
      </w:r>
      <w:r w:rsidRPr="009A7486">
        <w:rPr>
          <w:rFonts w:eastAsiaTheme="minorEastAsia"/>
          <w:color w:val="000000" w:themeColor="text1"/>
          <w:kern w:val="0"/>
          <w:sz w:val="24"/>
        </w:rPr>
        <w:t>日起，对储蓄存款利息所得暂免征收个人所得税。故本基金本报告期以税前七天通知存款利率为业绩比较基准。</w:t>
      </w:r>
    </w:p>
    <w:p w:rsidR="00C071A4" w:rsidRPr="009A7486" w:rsidRDefault="00C071A4" w:rsidP="002855D4">
      <w:pPr>
        <w:spacing w:beforeLines="100" w:line="360" w:lineRule="auto"/>
        <w:rPr>
          <w:rFonts w:eastAsiaTheme="minorEastAsia"/>
          <w:b/>
          <w:color w:val="000000" w:themeColor="text1"/>
          <w:kern w:val="0"/>
          <w:sz w:val="24"/>
        </w:rPr>
      </w:pPr>
      <w:r w:rsidRPr="009A7486">
        <w:rPr>
          <w:rFonts w:eastAsiaTheme="minorEastAsia"/>
          <w:b/>
          <w:color w:val="000000" w:themeColor="text1"/>
          <w:kern w:val="0"/>
          <w:sz w:val="24"/>
        </w:rPr>
        <w:t>3.2.2</w:t>
      </w:r>
      <w:r w:rsidR="00D4482C" w:rsidRPr="009A7486">
        <w:rPr>
          <w:rStyle w:val="af8"/>
          <w:rFonts w:eastAsiaTheme="minorEastAsia"/>
          <w:color w:val="000000" w:themeColor="text1"/>
          <w:sz w:val="24"/>
          <w:shd w:val="clear" w:color="auto" w:fill="FFFFFF"/>
        </w:rPr>
        <w:t>自基金合同生效以来</w:t>
      </w:r>
      <w:r w:rsidRPr="009A7486">
        <w:rPr>
          <w:rFonts w:eastAsiaTheme="minorEastAsia"/>
          <w:b/>
          <w:color w:val="000000" w:themeColor="text1"/>
          <w:kern w:val="0"/>
          <w:sz w:val="24"/>
        </w:rPr>
        <w:t>基金</w:t>
      </w:r>
      <w:r w:rsidR="009945D1" w:rsidRPr="009A7486">
        <w:rPr>
          <w:rFonts w:eastAsiaTheme="minorEastAsia"/>
          <w:b/>
          <w:color w:val="000000" w:themeColor="text1"/>
          <w:kern w:val="0"/>
          <w:sz w:val="24"/>
        </w:rPr>
        <w:t>份额</w:t>
      </w:r>
      <w:r w:rsidRPr="009A7486">
        <w:rPr>
          <w:rFonts w:eastAsiaTheme="minorEastAsia"/>
          <w:b/>
          <w:color w:val="000000" w:themeColor="text1"/>
          <w:kern w:val="0"/>
          <w:sz w:val="24"/>
        </w:rPr>
        <w:t>累计净值收益率变动及其与同期业绩比较基准收益率变动的比较</w:t>
      </w:r>
    </w:p>
    <w:p w:rsidR="004C58A9" w:rsidRPr="009A7486" w:rsidRDefault="004C58A9" w:rsidP="00CB1276">
      <w:pPr>
        <w:spacing w:line="360" w:lineRule="auto"/>
        <w:ind w:firstLine="420"/>
        <w:jc w:val="center"/>
        <w:rPr>
          <w:rFonts w:eastAsiaTheme="minorEastAsia"/>
          <w:b/>
          <w:color w:val="000000" w:themeColor="text1"/>
          <w:kern w:val="0"/>
          <w:sz w:val="24"/>
        </w:rPr>
      </w:pPr>
      <w:r w:rsidRPr="009A7486">
        <w:rPr>
          <w:rFonts w:eastAsiaTheme="minorEastAsia"/>
          <w:color w:val="000000" w:themeColor="text1"/>
          <w:sz w:val="24"/>
        </w:rPr>
        <w:t>国投瑞银货币市场基金</w:t>
      </w:r>
    </w:p>
    <w:p w:rsidR="004C58A9" w:rsidRPr="009A7486" w:rsidRDefault="004C58A9" w:rsidP="00CB1276">
      <w:pPr>
        <w:spacing w:line="360" w:lineRule="auto"/>
        <w:jc w:val="center"/>
        <w:rPr>
          <w:rFonts w:eastAsiaTheme="minorEastAsia"/>
          <w:color w:val="000000" w:themeColor="text1"/>
          <w:sz w:val="24"/>
        </w:rPr>
      </w:pPr>
      <w:r w:rsidRPr="009A7486">
        <w:rPr>
          <w:rFonts w:eastAsiaTheme="minorEastAsia"/>
          <w:color w:val="000000" w:themeColor="text1"/>
          <w:sz w:val="24"/>
        </w:rPr>
        <w:t>累计净值收益率与业绩比较基准收益率历史走势对比图</w:t>
      </w:r>
    </w:p>
    <w:p w:rsidR="004C58A9" w:rsidRPr="009A7486" w:rsidRDefault="004C58A9" w:rsidP="00CB1276">
      <w:pPr>
        <w:snapToGrid w:val="0"/>
        <w:spacing w:line="360" w:lineRule="auto"/>
        <w:jc w:val="center"/>
        <w:rPr>
          <w:rFonts w:eastAsiaTheme="minorEastAsia"/>
          <w:color w:val="000000" w:themeColor="text1"/>
          <w:sz w:val="24"/>
        </w:rPr>
      </w:pPr>
      <w:r w:rsidRPr="009A7486">
        <w:rPr>
          <w:rFonts w:eastAsiaTheme="minorEastAsia"/>
          <w:color w:val="000000" w:themeColor="text1"/>
          <w:sz w:val="24"/>
        </w:rPr>
        <w:t xml:space="preserve"> (2009</w:t>
      </w:r>
      <w:r w:rsidRPr="009A7486">
        <w:rPr>
          <w:rFonts w:eastAsiaTheme="minorEastAsia"/>
          <w:color w:val="000000" w:themeColor="text1"/>
          <w:sz w:val="24"/>
        </w:rPr>
        <w:t>年</w:t>
      </w:r>
      <w:r w:rsidRPr="009A7486">
        <w:rPr>
          <w:rFonts w:eastAsiaTheme="minorEastAsia"/>
          <w:color w:val="000000" w:themeColor="text1"/>
          <w:sz w:val="24"/>
        </w:rPr>
        <w:t>1</w:t>
      </w:r>
      <w:r w:rsidRPr="009A7486">
        <w:rPr>
          <w:rFonts w:eastAsiaTheme="minorEastAsia"/>
          <w:color w:val="000000" w:themeColor="text1"/>
          <w:sz w:val="24"/>
        </w:rPr>
        <w:t>月</w:t>
      </w:r>
      <w:r w:rsidRPr="009A7486">
        <w:rPr>
          <w:rFonts w:eastAsiaTheme="minorEastAsia"/>
          <w:color w:val="000000" w:themeColor="text1"/>
          <w:sz w:val="24"/>
        </w:rPr>
        <w:t>19</w:t>
      </w:r>
      <w:r w:rsidRPr="009A7486">
        <w:rPr>
          <w:rFonts w:eastAsiaTheme="minorEastAsia"/>
          <w:color w:val="000000" w:themeColor="text1"/>
          <w:sz w:val="24"/>
        </w:rPr>
        <w:t>日至</w:t>
      </w: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r w:rsidRPr="009A7486">
        <w:rPr>
          <w:rFonts w:eastAsiaTheme="minorEastAsia"/>
          <w:color w:val="000000" w:themeColor="text1"/>
          <w:sz w:val="24"/>
        </w:rPr>
        <w:t>)</w:t>
      </w:r>
    </w:p>
    <w:p w:rsidR="00223DFB" w:rsidRPr="009A7486" w:rsidRDefault="00223DFB" w:rsidP="004D5214">
      <w:pPr>
        <w:snapToGrid w:val="0"/>
        <w:spacing w:line="360" w:lineRule="auto"/>
        <w:rPr>
          <w:rFonts w:eastAsiaTheme="minorEastAsia"/>
          <w:b/>
          <w:color w:val="000000" w:themeColor="text1"/>
          <w:sz w:val="24"/>
        </w:rPr>
      </w:pPr>
      <w:r w:rsidRPr="009A7486">
        <w:rPr>
          <w:rFonts w:eastAsiaTheme="minorEastAsia"/>
          <w:b/>
          <w:color w:val="000000" w:themeColor="text1"/>
          <w:sz w:val="24"/>
        </w:rPr>
        <w:t>1</w:t>
      </w:r>
      <w:r w:rsidRPr="009A7486">
        <w:rPr>
          <w:rFonts w:eastAsiaTheme="minorEastAsia"/>
          <w:b/>
          <w:color w:val="000000" w:themeColor="text1"/>
          <w:sz w:val="24"/>
        </w:rPr>
        <w:t>、国投瑞银货币</w:t>
      </w:r>
      <w:r w:rsidRPr="009A7486">
        <w:rPr>
          <w:rFonts w:eastAsiaTheme="minorEastAsia"/>
          <w:b/>
          <w:color w:val="000000" w:themeColor="text1"/>
          <w:sz w:val="24"/>
        </w:rPr>
        <w:t>A</w:t>
      </w:r>
    </w:p>
    <w:p w:rsidR="00223DFB" w:rsidRPr="009A7486" w:rsidRDefault="00A81CA6" w:rsidP="004B36C2">
      <w:pPr>
        <w:pStyle w:val="21"/>
        <w:adjustRightInd w:val="0"/>
        <w:snapToGrid w:val="0"/>
        <w:spacing w:line="360" w:lineRule="auto"/>
        <w:ind w:firstLineChars="0" w:firstLine="0"/>
        <w:jc w:val="center"/>
        <w:rPr>
          <w:rFonts w:ascii="Times New Roman" w:eastAsiaTheme="minorEastAsia" w:hAnsi="Times New Roman"/>
          <w:color w:val="000000" w:themeColor="text1"/>
        </w:rPr>
      </w:pPr>
      <w:r w:rsidRPr="009A7486">
        <w:rPr>
          <w:rFonts w:ascii="Times New Roman" w:eastAsiaTheme="minorEastAsia" w:hAnsi="Times New Roman"/>
          <w:noProof/>
          <w:color w:val="000000" w:themeColor="text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9A7486" w:rsidRDefault="00223DFB" w:rsidP="004D5214">
      <w:pPr>
        <w:snapToGrid w:val="0"/>
        <w:spacing w:line="360" w:lineRule="auto"/>
        <w:rPr>
          <w:rFonts w:eastAsiaTheme="minorEastAsia"/>
          <w:b/>
          <w:color w:val="000000" w:themeColor="text1"/>
          <w:sz w:val="24"/>
        </w:rPr>
      </w:pPr>
      <w:r w:rsidRPr="009A7486">
        <w:rPr>
          <w:rFonts w:eastAsiaTheme="minorEastAsia"/>
          <w:b/>
          <w:color w:val="000000" w:themeColor="text1"/>
          <w:sz w:val="24"/>
        </w:rPr>
        <w:t>2</w:t>
      </w:r>
      <w:r w:rsidRPr="009A7486">
        <w:rPr>
          <w:rFonts w:eastAsiaTheme="minorEastAsia"/>
          <w:b/>
          <w:color w:val="000000" w:themeColor="text1"/>
          <w:sz w:val="24"/>
        </w:rPr>
        <w:t>、国投瑞银货币</w:t>
      </w:r>
      <w:r w:rsidRPr="009A7486">
        <w:rPr>
          <w:rFonts w:eastAsiaTheme="minorEastAsia"/>
          <w:b/>
          <w:color w:val="000000" w:themeColor="text1"/>
          <w:sz w:val="24"/>
        </w:rPr>
        <w:t>B</w:t>
      </w:r>
    </w:p>
    <w:p w:rsidR="00223DFB" w:rsidRPr="009A7486" w:rsidRDefault="00A81CA6" w:rsidP="004B36C2">
      <w:pPr>
        <w:pStyle w:val="21"/>
        <w:adjustRightInd w:val="0"/>
        <w:snapToGrid w:val="0"/>
        <w:spacing w:line="360" w:lineRule="auto"/>
        <w:ind w:firstLineChars="0" w:firstLine="0"/>
        <w:jc w:val="center"/>
        <w:rPr>
          <w:rFonts w:ascii="Times New Roman" w:eastAsiaTheme="minorEastAsia" w:hAnsi="Times New Roman"/>
          <w:color w:val="000000" w:themeColor="text1"/>
        </w:rPr>
      </w:pPr>
      <w:r w:rsidRPr="009A7486">
        <w:rPr>
          <w:rFonts w:ascii="Times New Roman" w:eastAsiaTheme="minorEastAsia" w:hAnsi="Times New Roman"/>
          <w:noProof/>
          <w:color w:val="000000" w:themeColor="text1"/>
        </w:rPr>
        <w:drawing>
          <wp:inline distT="0" distB="0" distL="0" distR="0">
            <wp:extent cx="5759450" cy="3372734"/>
            <wp:effectExtent l="0" t="0" r="0" b="0"/>
            <wp:docPr id="4" name="图片 4" descr="C:\Users\bonnieliu\Desktop\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9A7486" w:rsidRDefault="00223DFB" w:rsidP="009A7486">
      <w:pPr>
        <w:tabs>
          <w:tab w:val="left" w:pos="426"/>
        </w:tabs>
        <w:spacing w:line="360" w:lineRule="auto"/>
        <w:ind w:firstLineChars="200" w:firstLine="480"/>
        <w:jc w:val="left"/>
        <w:rPr>
          <w:rFonts w:eastAsiaTheme="minorEastAsia"/>
          <w:color w:val="000000" w:themeColor="text1"/>
          <w:kern w:val="0"/>
          <w:sz w:val="24"/>
        </w:rPr>
      </w:pPr>
    </w:p>
    <w:p w:rsidR="00223DFB" w:rsidRPr="009A7486" w:rsidRDefault="00223DFB" w:rsidP="002855D4">
      <w:pPr>
        <w:spacing w:beforeLines="100" w:line="360" w:lineRule="auto"/>
        <w:rPr>
          <w:rFonts w:eastAsiaTheme="minorEastAsia"/>
          <w:b/>
          <w:color w:val="000000" w:themeColor="text1"/>
          <w:sz w:val="24"/>
        </w:rPr>
      </w:pPr>
      <w:r w:rsidRPr="009A7486">
        <w:rPr>
          <w:rFonts w:eastAsiaTheme="minorEastAsia"/>
          <w:b/>
          <w:color w:val="000000" w:themeColor="text1"/>
          <w:sz w:val="24"/>
        </w:rPr>
        <w:t xml:space="preserve">3.2.3 </w:t>
      </w:r>
      <w:r w:rsidR="00161E5F" w:rsidRPr="009A7486">
        <w:rPr>
          <w:rFonts w:eastAsiaTheme="minorEastAsia"/>
          <w:b/>
          <w:color w:val="000000" w:themeColor="text1"/>
          <w:sz w:val="24"/>
        </w:rPr>
        <w:t>过去五年</w:t>
      </w:r>
      <w:r w:rsidR="005671B8" w:rsidRPr="009A7486">
        <w:rPr>
          <w:rFonts w:eastAsiaTheme="minorEastAsia"/>
          <w:b/>
          <w:color w:val="000000" w:themeColor="text1"/>
          <w:sz w:val="24"/>
        </w:rPr>
        <w:t>基金每年净值收益</w:t>
      </w:r>
      <w:r w:rsidRPr="009A7486">
        <w:rPr>
          <w:rFonts w:eastAsiaTheme="minorEastAsia"/>
          <w:b/>
          <w:color w:val="000000" w:themeColor="text1"/>
          <w:sz w:val="24"/>
        </w:rPr>
        <w:t>率及其与同期业绩比较基准收益率的比较</w:t>
      </w:r>
    </w:p>
    <w:p w:rsidR="001618D4" w:rsidRPr="009A7486" w:rsidRDefault="001618D4" w:rsidP="00CB1276">
      <w:pPr>
        <w:spacing w:line="360" w:lineRule="auto"/>
        <w:ind w:firstLine="420"/>
        <w:jc w:val="center"/>
        <w:rPr>
          <w:rFonts w:eastAsiaTheme="minorEastAsia"/>
          <w:b/>
          <w:color w:val="000000" w:themeColor="text1"/>
          <w:kern w:val="0"/>
          <w:sz w:val="24"/>
        </w:rPr>
      </w:pPr>
      <w:r w:rsidRPr="009A7486">
        <w:rPr>
          <w:rFonts w:eastAsiaTheme="minorEastAsia"/>
          <w:color w:val="000000" w:themeColor="text1"/>
          <w:sz w:val="24"/>
        </w:rPr>
        <w:t>国投瑞银货币市场基金</w:t>
      </w:r>
    </w:p>
    <w:p w:rsidR="001618D4" w:rsidRPr="009A7486" w:rsidRDefault="00161E5F" w:rsidP="00CB1276">
      <w:pPr>
        <w:spacing w:line="360" w:lineRule="auto"/>
        <w:jc w:val="center"/>
        <w:rPr>
          <w:rFonts w:eastAsiaTheme="minorEastAsia"/>
          <w:color w:val="000000" w:themeColor="text1"/>
          <w:sz w:val="24"/>
        </w:rPr>
      </w:pPr>
      <w:r w:rsidRPr="009A7486">
        <w:rPr>
          <w:rFonts w:eastAsiaTheme="minorEastAsia"/>
          <w:color w:val="000000" w:themeColor="text1"/>
          <w:sz w:val="24"/>
        </w:rPr>
        <w:t>过去五年</w:t>
      </w:r>
      <w:r w:rsidR="0052789E" w:rsidRPr="009A7486">
        <w:rPr>
          <w:rFonts w:eastAsiaTheme="minorEastAsia"/>
          <w:color w:val="000000" w:themeColor="text1"/>
          <w:sz w:val="24"/>
        </w:rPr>
        <w:t>基金净收益</w:t>
      </w:r>
      <w:r w:rsidR="000C2333" w:rsidRPr="009A7486">
        <w:rPr>
          <w:rFonts w:eastAsiaTheme="minorEastAsia"/>
          <w:color w:val="000000" w:themeColor="text1"/>
          <w:sz w:val="24"/>
        </w:rPr>
        <w:t>率与业绩比较基准收益率的对比图</w:t>
      </w:r>
    </w:p>
    <w:p w:rsidR="00223DFB" w:rsidRPr="009A7486" w:rsidRDefault="00912C8C" w:rsidP="004D5214">
      <w:pPr>
        <w:snapToGrid w:val="0"/>
        <w:spacing w:line="360" w:lineRule="auto"/>
        <w:rPr>
          <w:rFonts w:eastAsiaTheme="minorEastAsia"/>
          <w:b/>
          <w:color w:val="000000" w:themeColor="text1"/>
          <w:sz w:val="24"/>
        </w:rPr>
      </w:pPr>
      <w:r w:rsidRPr="009A7486">
        <w:rPr>
          <w:rFonts w:eastAsiaTheme="minorEastAsia"/>
          <w:b/>
          <w:color w:val="000000" w:themeColor="text1"/>
          <w:sz w:val="24"/>
        </w:rPr>
        <w:t>1</w:t>
      </w:r>
      <w:r w:rsidRPr="009A7486">
        <w:rPr>
          <w:rFonts w:eastAsiaTheme="minorEastAsia"/>
          <w:b/>
          <w:color w:val="000000" w:themeColor="text1"/>
          <w:sz w:val="24"/>
        </w:rPr>
        <w:t>、</w:t>
      </w:r>
      <w:r w:rsidR="00223DFB" w:rsidRPr="009A7486">
        <w:rPr>
          <w:rFonts w:eastAsiaTheme="minorEastAsia"/>
          <w:b/>
          <w:color w:val="000000" w:themeColor="text1"/>
          <w:sz w:val="24"/>
        </w:rPr>
        <w:t>国投瑞银货币</w:t>
      </w:r>
      <w:r w:rsidR="00223DFB" w:rsidRPr="009A7486">
        <w:rPr>
          <w:rFonts w:eastAsiaTheme="minorEastAsia"/>
          <w:b/>
          <w:color w:val="000000" w:themeColor="text1"/>
          <w:sz w:val="24"/>
        </w:rPr>
        <w:t>A</w:t>
      </w:r>
    </w:p>
    <w:p w:rsidR="00223DFB" w:rsidRPr="009A7486" w:rsidRDefault="00A81CA6" w:rsidP="009A7486">
      <w:pPr>
        <w:adjustRightInd w:val="0"/>
        <w:snapToGrid w:val="0"/>
        <w:spacing w:line="360" w:lineRule="auto"/>
        <w:ind w:firstLineChars="100" w:firstLine="240"/>
        <w:jc w:val="center"/>
        <w:rPr>
          <w:rFonts w:eastAsiaTheme="minorEastAsia"/>
          <w:color w:val="000000" w:themeColor="text1"/>
          <w:sz w:val="24"/>
        </w:rPr>
      </w:pPr>
      <w:r w:rsidRPr="009A7486">
        <w:rPr>
          <w:rFonts w:eastAsiaTheme="minorEastAsia"/>
          <w:noProof/>
          <w:color w:val="000000" w:themeColor="text1"/>
          <w:sz w:val="24"/>
        </w:rPr>
        <w:drawing>
          <wp:inline distT="0" distB="0" distL="0" distR="0">
            <wp:extent cx="5759450" cy="3372734"/>
            <wp:effectExtent l="0" t="0" r="0" b="0"/>
            <wp:docPr id="5" name="图片 5"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nnieliu\Desktop\走势图柱状图\柱状图1.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223DFB" w:rsidRPr="009A7486" w:rsidRDefault="00223DFB" w:rsidP="004D5214">
      <w:pPr>
        <w:snapToGrid w:val="0"/>
        <w:spacing w:line="360" w:lineRule="auto"/>
        <w:rPr>
          <w:rFonts w:eastAsiaTheme="minorEastAsia"/>
          <w:b/>
          <w:color w:val="000000" w:themeColor="text1"/>
          <w:sz w:val="24"/>
        </w:rPr>
      </w:pPr>
      <w:r w:rsidRPr="009A7486">
        <w:rPr>
          <w:rFonts w:eastAsiaTheme="minorEastAsia"/>
          <w:b/>
          <w:color w:val="000000" w:themeColor="text1"/>
          <w:sz w:val="24"/>
        </w:rPr>
        <w:t>2</w:t>
      </w:r>
      <w:r w:rsidRPr="009A7486">
        <w:rPr>
          <w:rFonts w:eastAsiaTheme="minorEastAsia"/>
          <w:b/>
          <w:color w:val="000000" w:themeColor="text1"/>
          <w:sz w:val="24"/>
        </w:rPr>
        <w:t>、国投瑞银货币</w:t>
      </w:r>
      <w:r w:rsidRPr="009A7486">
        <w:rPr>
          <w:rFonts w:eastAsiaTheme="minorEastAsia"/>
          <w:b/>
          <w:color w:val="000000" w:themeColor="text1"/>
          <w:sz w:val="24"/>
        </w:rPr>
        <w:t>B</w:t>
      </w:r>
    </w:p>
    <w:p w:rsidR="00223DFB" w:rsidRPr="009A7486" w:rsidRDefault="00A81CA6" w:rsidP="009A7486">
      <w:pPr>
        <w:adjustRightInd w:val="0"/>
        <w:snapToGrid w:val="0"/>
        <w:spacing w:line="360" w:lineRule="auto"/>
        <w:ind w:firstLineChars="100" w:firstLine="240"/>
        <w:jc w:val="center"/>
        <w:rPr>
          <w:rFonts w:eastAsiaTheme="minorEastAsia"/>
          <w:color w:val="000000" w:themeColor="text1"/>
          <w:sz w:val="24"/>
        </w:rPr>
      </w:pPr>
      <w:r w:rsidRPr="009A7486">
        <w:rPr>
          <w:rFonts w:eastAsiaTheme="minorEastAsia"/>
          <w:noProof/>
          <w:color w:val="000000" w:themeColor="text1"/>
          <w:sz w:val="24"/>
        </w:rPr>
        <w:drawing>
          <wp:inline distT="0" distB="0" distL="0" distR="0">
            <wp:extent cx="5759450" cy="3372734"/>
            <wp:effectExtent l="0" t="0" r="0" b="0"/>
            <wp:docPr id="8" name="图片 8" descr="C:\Users\bonnieliu\Desktop\走势图柱状图\柱状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onnieliu\Desktop\走势图柱状图\柱状图2.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59450" cy="3372734"/>
                    </a:xfrm>
                    <a:prstGeom prst="rect">
                      <a:avLst/>
                    </a:prstGeom>
                    <a:noFill/>
                    <a:ln>
                      <a:noFill/>
                    </a:ln>
                  </pic:spPr>
                </pic:pic>
              </a:graphicData>
            </a:graphic>
          </wp:inline>
        </w:drawing>
      </w:r>
    </w:p>
    <w:p w:rsidR="009A1191" w:rsidRPr="009A7486" w:rsidRDefault="009A1191" w:rsidP="009A7486">
      <w:pPr>
        <w:tabs>
          <w:tab w:val="left" w:pos="426"/>
        </w:tabs>
        <w:spacing w:line="360" w:lineRule="auto"/>
        <w:ind w:firstLineChars="200" w:firstLine="480"/>
        <w:jc w:val="left"/>
        <w:rPr>
          <w:rFonts w:eastAsiaTheme="minorEastAsia"/>
          <w:color w:val="000000" w:themeColor="text1"/>
          <w:kern w:val="0"/>
          <w:sz w:val="24"/>
        </w:rPr>
      </w:pPr>
    </w:p>
    <w:p w:rsidR="00223DFB" w:rsidRPr="009A7486" w:rsidRDefault="00223DFB" w:rsidP="00CB1276">
      <w:pPr>
        <w:spacing w:line="360" w:lineRule="auto"/>
        <w:rPr>
          <w:rFonts w:eastAsiaTheme="minorEastAsia"/>
          <w:b/>
          <w:bCs/>
          <w:color w:val="000000" w:themeColor="text1"/>
          <w:kern w:val="0"/>
          <w:sz w:val="24"/>
        </w:rPr>
      </w:pPr>
      <w:r w:rsidRPr="009A7486">
        <w:rPr>
          <w:rFonts w:eastAsiaTheme="minorEastAsia"/>
          <w:b/>
          <w:bCs/>
          <w:color w:val="000000" w:themeColor="text1"/>
          <w:kern w:val="0"/>
          <w:sz w:val="24"/>
        </w:rPr>
        <w:t>3.3</w:t>
      </w:r>
      <w:r w:rsidRPr="009A7486">
        <w:rPr>
          <w:rFonts w:eastAsiaTheme="minorEastAsia"/>
          <w:b/>
          <w:bCs/>
          <w:color w:val="000000" w:themeColor="text1"/>
          <w:kern w:val="0"/>
          <w:sz w:val="24"/>
        </w:rPr>
        <w:t>过去三年基金的利润分配情况</w:t>
      </w:r>
    </w:p>
    <w:p w:rsidR="00223DFB" w:rsidRPr="009A7486" w:rsidRDefault="00223DFB" w:rsidP="004D5214">
      <w:pPr>
        <w:adjustRightInd w:val="0"/>
        <w:snapToGrid w:val="0"/>
        <w:spacing w:line="360" w:lineRule="auto"/>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A</w:t>
      </w:r>
      <w:r w:rsidRPr="009A7486">
        <w:rPr>
          <w:rFonts w:eastAsiaTheme="minorEastAsia"/>
          <w:color w:val="000000" w:themeColor="text1"/>
          <w:sz w:val="24"/>
        </w:rPr>
        <w:t>：</w:t>
      </w:r>
    </w:p>
    <w:p w:rsidR="00223DFB" w:rsidRPr="009A7486" w:rsidRDefault="00223DFB" w:rsidP="004B36C2">
      <w:pPr>
        <w:adjustRightInd w:val="0"/>
        <w:snapToGrid w:val="0"/>
        <w:spacing w:line="360" w:lineRule="auto"/>
        <w:jc w:val="right"/>
        <w:rPr>
          <w:rFonts w:eastAsiaTheme="minorEastAsia"/>
          <w:color w:val="000000" w:themeColor="text1"/>
          <w:sz w:val="24"/>
        </w:rPr>
      </w:pPr>
      <w:r w:rsidRPr="009A7486">
        <w:rPr>
          <w:rFonts w:eastAsiaTheme="minorEastAsia"/>
          <w:color w:val="000000" w:themeColor="text1"/>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7"/>
        <w:gridCol w:w="1378"/>
        <w:gridCol w:w="1839"/>
        <w:gridCol w:w="1950"/>
        <w:gridCol w:w="1894"/>
        <w:gridCol w:w="1068"/>
      </w:tblGrid>
      <w:tr w:rsidR="002C233F" w:rsidRPr="009A7486" w:rsidTr="004D5214">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9A7486"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 w:val="24"/>
              </w:rPr>
            </w:pPr>
            <w:r w:rsidRPr="009A7486">
              <w:rPr>
                <w:rFonts w:eastAsiaTheme="minorEastAsia"/>
                <w:color w:val="000000" w:themeColor="text1"/>
                <w:sz w:val="24"/>
              </w:rPr>
              <w:t>年度</w:t>
            </w:r>
          </w:p>
        </w:tc>
        <w:tc>
          <w:tcPr>
            <w:tcW w:w="1378" w:type="dxa"/>
            <w:tcBorders>
              <w:top w:val="single" w:sz="4" w:space="0" w:color="auto"/>
              <w:left w:val="single" w:sz="4" w:space="0" w:color="auto"/>
              <w:bottom w:val="single" w:sz="4" w:space="0" w:color="auto"/>
              <w:right w:val="single" w:sz="4" w:space="0" w:color="auto"/>
            </w:tcBorders>
            <w:vAlign w:val="center"/>
            <w:hideMark/>
          </w:tcPr>
          <w:p w:rsidR="000D2491" w:rsidRPr="009A7486"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 w:val="24"/>
              </w:rPr>
            </w:pPr>
            <w:r w:rsidRPr="009A7486">
              <w:rPr>
                <w:rFonts w:eastAsiaTheme="minorEastAsia"/>
                <w:color w:val="000000" w:themeColor="text1"/>
                <w:sz w:val="24"/>
                <w:lang w:val="en-AU"/>
              </w:rPr>
              <w:t>已按再投资形式转实收基金</w:t>
            </w:r>
          </w:p>
        </w:tc>
        <w:tc>
          <w:tcPr>
            <w:tcW w:w="1839" w:type="dxa"/>
            <w:tcBorders>
              <w:top w:val="single" w:sz="4" w:space="0" w:color="auto"/>
              <w:left w:val="single" w:sz="4" w:space="0" w:color="auto"/>
              <w:bottom w:val="single" w:sz="4" w:space="0" w:color="auto"/>
              <w:right w:val="single" w:sz="4" w:space="0" w:color="auto"/>
            </w:tcBorders>
            <w:hideMark/>
          </w:tcPr>
          <w:p w:rsidR="000D2491" w:rsidRPr="009A7486"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 w:val="24"/>
              </w:rPr>
            </w:pPr>
            <w:r w:rsidRPr="009A7486">
              <w:rPr>
                <w:rFonts w:eastAsiaTheme="minorEastAsia"/>
                <w:color w:val="000000" w:themeColor="text1"/>
                <w:sz w:val="24"/>
              </w:rPr>
              <w:t>直接通过应付赎回款转出金额</w:t>
            </w:r>
          </w:p>
        </w:tc>
        <w:tc>
          <w:tcPr>
            <w:tcW w:w="1950" w:type="dxa"/>
            <w:tcBorders>
              <w:top w:val="single" w:sz="4" w:space="0" w:color="auto"/>
              <w:left w:val="single" w:sz="4" w:space="0" w:color="auto"/>
              <w:bottom w:val="single" w:sz="4" w:space="0" w:color="auto"/>
              <w:right w:val="single" w:sz="4" w:space="0" w:color="auto"/>
            </w:tcBorders>
            <w:vAlign w:val="center"/>
            <w:hideMark/>
          </w:tcPr>
          <w:p w:rsidR="000D2491" w:rsidRPr="009A7486"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 w:val="24"/>
              </w:rPr>
            </w:pPr>
            <w:r w:rsidRPr="009A7486">
              <w:rPr>
                <w:rFonts w:eastAsiaTheme="minorEastAsia"/>
                <w:color w:val="000000" w:themeColor="text1"/>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9A7486" w:rsidRDefault="000D2491" w:rsidP="004B36C2">
            <w:pPr>
              <w:spacing w:line="360" w:lineRule="auto"/>
              <w:jc w:val="center"/>
              <w:rPr>
                <w:rFonts w:eastAsiaTheme="minorEastAsia"/>
                <w:color w:val="000000" w:themeColor="text1"/>
                <w:sz w:val="24"/>
                <w:lang w:val="en-AU"/>
              </w:rPr>
            </w:pPr>
            <w:r w:rsidRPr="009A7486">
              <w:rPr>
                <w:rFonts w:eastAsiaTheme="minorEastAsia"/>
                <w:color w:val="000000" w:themeColor="text1"/>
                <w:sz w:val="24"/>
                <w:lang w:val="en-AU"/>
              </w:rPr>
              <w:t>年度利润分配合计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9A7486" w:rsidRDefault="000D2491" w:rsidP="004B36C2">
            <w:pPr>
              <w:spacing w:line="360" w:lineRule="auto"/>
              <w:jc w:val="center"/>
              <w:rPr>
                <w:rFonts w:eastAsiaTheme="minorEastAsia"/>
                <w:color w:val="000000" w:themeColor="text1"/>
                <w:sz w:val="24"/>
                <w:lang w:val="en-AU"/>
              </w:rPr>
            </w:pPr>
            <w:r w:rsidRPr="009A7486">
              <w:rPr>
                <w:rFonts w:eastAsiaTheme="minorEastAsia"/>
                <w:color w:val="000000" w:themeColor="text1"/>
                <w:sz w:val="24"/>
                <w:lang w:val="en-AU"/>
              </w:rPr>
              <w:t>备注</w:t>
            </w:r>
          </w:p>
        </w:tc>
      </w:tr>
      <w:tr w:rsidR="005C48D6">
        <w:tc>
          <w:tcPr>
            <w:tcW w:w="1157" w:type="dxa"/>
            <w:vAlign w:val="center"/>
          </w:tcPr>
          <w:p w:rsidR="005C48D6" w:rsidRDefault="008F0294">
            <w:pPr>
              <w:jc w:val="center"/>
            </w:pPr>
            <w:r>
              <w:rPr>
                <w:rFonts w:eastAsiaTheme="minorEastAsia"/>
                <w:color w:val="000000" w:themeColor="text1"/>
                <w:sz w:val="24"/>
              </w:rPr>
              <w:t>2018</w:t>
            </w:r>
            <w:r>
              <w:rPr>
                <w:rFonts w:eastAsiaTheme="minorEastAsia"/>
                <w:color w:val="000000" w:themeColor="text1"/>
                <w:sz w:val="24"/>
              </w:rPr>
              <w:t>年</w:t>
            </w:r>
          </w:p>
        </w:tc>
        <w:tc>
          <w:tcPr>
            <w:tcW w:w="1378" w:type="dxa"/>
            <w:vAlign w:val="center"/>
          </w:tcPr>
          <w:p w:rsidR="005C48D6" w:rsidRDefault="008F0294">
            <w:pPr>
              <w:jc w:val="right"/>
            </w:pPr>
            <w:r>
              <w:rPr>
                <w:rFonts w:eastAsiaTheme="minorEastAsia"/>
                <w:color w:val="000000" w:themeColor="text1"/>
                <w:sz w:val="24"/>
              </w:rPr>
              <w:t>49,796,236.45</w:t>
            </w:r>
          </w:p>
        </w:tc>
        <w:tc>
          <w:tcPr>
            <w:tcW w:w="1839" w:type="dxa"/>
            <w:vAlign w:val="center"/>
          </w:tcPr>
          <w:p w:rsidR="005C48D6" w:rsidRDefault="008F0294">
            <w:pPr>
              <w:jc w:val="right"/>
            </w:pPr>
            <w:r>
              <w:rPr>
                <w:rFonts w:eastAsiaTheme="minorEastAsia"/>
                <w:color w:val="000000" w:themeColor="text1"/>
                <w:sz w:val="24"/>
              </w:rPr>
              <w:t>-</w:t>
            </w:r>
          </w:p>
        </w:tc>
        <w:tc>
          <w:tcPr>
            <w:tcW w:w="1950" w:type="dxa"/>
            <w:vAlign w:val="center"/>
          </w:tcPr>
          <w:p w:rsidR="005C48D6" w:rsidRDefault="008F0294">
            <w:pPr>
              <w:jc w:val="center"/>
            </w:pPr>
            <w:r>
              <w:rPr>
                <w:rFonts w:eastAsiaTheme="minorEastAsia"/>
                <w:color w:val="000000" w:themeColor="text1"/>
                <w:sz w:val="24"/>
              </w:rPr>
              <w:t>-</w:t>
            </w:r>
          </w:p>
        </w:tc>
        <w:tc>
          <w:tcPr>
            <w:tcW w:w="1894" w:type="dxa"/>
            <w:vAlign w:val="center"/>
          </w:tcPr>
          <w:p w:rsidR="005C48D6" w:rsidRDefault="008F0294">
            <w:pPr>
              <w:jc w:val="right"/>
            </w:pPr>
            <w:r>
              <w:rPr>
                <w:rFonts w:eastAsiaTheme="minorEastAsia"/>
                <w:color w:val="000000" w:themeColor="text1"/>
                <w:sz w:val="24"/>
              </w:rPr>
              <w:t>49,796,236.45</w:t>
            </w:r>
          </w:p>
        </w:tc>
        <w:tc>
          <w:tcPr>
            <w:tcW w:w="1068" w:type="dxa"/>
            <w:vAlign w:val="center"/>
          </w:tcPr>
          <w:p w:rsidR="005C48D6" w:rsidRDefault="008F0294">
            <w:pPr>
              <w:jc w:val="left"/>
            </w:pPr>
            <w:r>
              <w:rPr>
                <w:rFonts w:eastAsiaTheme="minorEastAsia"/>
                <w:color w:val="000000" w:themeColor="text1"/>
                <w:sz w:val="24"/>
              </w:rPr>
              <w:t>-</w:t>
            </w:r>
          </w:p>
        </w:tc>
      </w:tr>
      <w:tr w:rsidR="005C48D6">
        <w:tc>
          <w:tcPr>
            <w:tcW w:w="1157" w:type="dxa"/>
            <w:vAlign w:val="center"/>
          </w:tcPr>
          <w:p w:rsidR="005C48D6" w:rsidRDefault="008F0294">
            <w:pPr>
              <w:jc w:val="center"/>
            </w:pPr>
            <w:r>
              <w:rPr>
                <w:rFonts w:eastAsiaTheme="minorEastAsia"/>
                <w:color w:val="000000" w:themeColor="text1"/>
                <w:sz w:val="24"/>
              </w:rPr>
              <w:t>2017</w:t>
            </w:r>
            <w:r>
              <w:rPr>
                <w:rFonts w:eastAsiaTheme="minorEastAsia"/>
                <w:color w:val="000000" w:themeColor="text1"/>
                <w:sz w:val="24"/>
              </w:rPr>
              <w:t>年</w:t>
            </w:r>
          </w:p>
        </w:tc>
        <w:tc>
          <w:tcPr>
            <w:tcW w:w="1378" w:type="dxa"/>
            <w:vAlign w:val="center"/>
          </w:tcPr>
          <w:p w:rsidR="005C48D6" w:rsidRDefault="008F0294">
            <w:pPr>
              <w:jc w:val="right"/>
            </w:pPr>
            <w:r>
              <w:rPr>
                <w:rFonts w:eastAsiaTheme="minorEastAsia"/>
                <w:color w:val="000000" w:themeColor="text1"/>
                <w:sz w:val="24"/>
              </w:rPr>
              <w:t>39,743,700.23</w:t>
            </w:r>
          </w:p>
        </w:tc>
        <w:tc>
          <w:tcPr>
            <w:tcW w:w="1839" w:type="dxa"/>
            <w:vAlign w:val="center"/>
          </w:tcPr>
          <w:p w:rsidR="005C48D6" w:rsidRDefault="008F0294">
            <w:pPr>
              <w:jc w:val="right"/>
            </w:pPr>
            <w:r>
              <w:rPr>
                <w:rFonts w:eastAsiaTheme="minorEastAsia"/>
                <w:color w:val="000000" w:themeColor="text1"/>
                <w:sz w:val="24"/>
              </w:rPr>
              <w:t>-</w:t>
            </w:r>
          </w:p>
        </w:tc>
        <w:tc>
          <w:tcPr>
            <w:tcW w:w="1950" w:type="dxa"/>
            <w:vAlign w:val="center"/>
          </w:tcPr>
          <w:p w:rsidR="005C48D6" w:rsidRDefault="008F0294">
            <w:pPr>
              <w:jc w:val="center"/>
            </w:pPr>
            <w:r>
              <w:rPr>
                <w:rFonts w:eastAsiaTheme="minorEastAsia"/>
                <w:color w:val="000000" w:themeColor="text1"/>
                <w:sz w:val="24"/>
              </w:rPr>
              <w:t>-</w:t>
            </w:r>
          </w:p>
        </w:tc>
        <w:tc>
          <w:tcPr>
            <w:tcW w:w="1894" w:type="dxa"/>
            <w:vAlign w:val="center"/>
          </w:tcPr>
          <w:p w:rsidR="005C48D6" w:rsidRDefault="008F0294">
            <w:pPr>
              <w:jc w:val="right"/>
            </w:pPr>
            <w:r>
              <w:rPr>
                <w:rFonts w:eastAsiaTheme="minorEastAsia"/>
                <w:color w:val="000000" w:themeColor="text1"/>
                <w:sz w:val="24"/>
              </w:rPr>
              <w:t>39,743,700.23</w:t>
            </w:r>
          </w:p>
        </w:tc>
        <w:tc>
          <w:tcPr>
            <w:tcW w:w="1068" w:type="dxa"/>
            <w:vAlign w:val="center"/>
          </w:tcPr>
          <w:p w:rsidR="005C48D6" w:rsidRDefault="008F0294">
            <w:pPr>
              <w:jc w:val="left"/>
            </w:pPr>
            <w:r>
              <w:rPr>
                <w:rFonts w:eastAsiaTheme="minorEastAsia"/>
                <w:color w:val="000000" w:themeColor="text1"/>
                <w:sz w:val="24"/>
              </w:rPr>
              <w:t>-</w:t>
            </w:r>
          </w:p>
        </w:tc>
      </w:tr>
      <w:tr w:rsidR="005C48D6">
        <w:tc>
          <w:tcPr>
            <w:tcW w:w="1157" w:type="dxa"/>
            <w:vAlign w:val="center"/>
          </w:tcPr>
          <w:p w:rsidR="005C48D6" w:rsidRDefault="008F0294">
            <w:pPr>
              <w:jc w:val="center"/>
            </w:pPr>
            <w:r>
              <w:rPr>
                <w:rFonts w:eastAsiaTheme="minorEastAsia"/>
                <w:color w:val="000000" w:themeColor="text1"/>
                <w:sz w:val="24"/>
              </w:rPr>
              <w:t>2016</w:t>
            </w:r>
            <w:r>
              <w:rPr>
                <w:rFonts w:eastAsiaTheme="minorEastAsia"/>
                <w:color w:val="000000" w:themeColor="text1"/>
                <w:sz w:val="24"/>
              </w:rPr>
              <w:t>年</w:t>
            </w:r>
          </w:p>
        </w:tc>
        <w:tc>
          <w:tcPr>
            <w:tcW w:w="1378" w:type="dxa"/>
            <w:vAlign w:val="center"/>
          </w:tcPr>
          <w:p w:rsidR="005C48D6" w:rsidRDefault="008F0294">
            <w:pPr>
              <w:jc w:val="right"/>
            </w:pPr>
            <w:r>
              <w:rPr>
                <w:rFonts w:eastAsiaTheme="minorEastAsia"/>
                <w:color w:val="000000" w:themeColor="text1"/>
                <w:sz w:val="24"/>
              </w:rPr>
              <w:t>8,504,529.75</w:t>
            </w:r>
          </w:p>
        </w:tc>
        <w:tc>
          <w:tcPr>
            <w:tcW w:w="1839" w:type="dxa"/>
            <w:vAlign w:val="center"/>
          </w:tcPr>
          <w:p w:rsidR="005C48D6" w:rsidRDefault="008F0294">
            <w:pPr>
              <w:jc w:val="right"/>
            </w:pPr>
            <w:r>
              <w:rPr>
                <w:rFonts w:eastAsiaTheme="minorEastAsia"/>
                <w:color w:val="000000" w:themeColor="text1"/>
                <w:sz w:val="24"/>
              </w:rPr>
              <w:t>-</w:t>
            </w:r>
          </w:p>
        </w:tc>
        <w:tc>
          <w:tcPr>
            <w:tcW w:w="1950" w:type="dxa"/>
            <w:vAlign w:val="center"/>
          </w:tcPr>
          <w:p w:rsidR="005C48D6" w:rsidRDefault="008F0294">
            <w:pPr>
              <w:jc w:val="center"/>
            </w:pPr>
            <w:r>
              <w:rPr>
                <w:rFonts w:eastAsiaTheme="minorEastAsia"/>
                <w:color w:val="000000" w:themeColor="text1"/>
                <w:sz w:val="24"/>
              </w:rPr>
              <w:t>-</w:t>
            </w:r>
          </w:p>
        </w:tc>
        <w:tc>
          <w:tcPr>
            <w:tcW w:w="1894" w:type="dxa"/>
            <w:vAlign w:val="center"/>
          </w:tcPr>
          <w:p w:rsidR="005C48D6" w:rsidRDefault="008F0294">
            <w:pPr>
              <w:jc w:val="right"/>
            </w:pPr>
            <w:r>
              <w:rPr>
                <w:rFonts w:eastAsiaTheme="minorEastAsia"/>
                <w:color w:val="000000" w:themeColor="text1"/>
                <w:sz w:val="24"/>
              </w:rPr>
              <w:t>8,504,529.75</w:t>
            </w:r>
          </w:p>
        </w:tc>
        <w:tc>
          <w:tcPr>
            <w:tcW w:w="1068" w:type="dxa"/>
            <w:vAlign w:val="center"/>
          </w:tcPr>
          <w:p w:rsidR="005C48D6" w:rsidRDefault="008F0294">
            <w:pPr>
              <w:jc w:val="left"/>
            </w:pPr>
            <w:r>
              <w:rPr>
                <w:rFonts w:eastAsiaTheme="minorEastAsia"/>
                <w:color w:val="000000" w:themeColor="text1"/>
                <w:sz w:val="24"/>
              </w:rPr>
              <w:t>-</w:t>
            </w:r>
          </w:p>
        </w:tc>
      </w:tr>
      <w:tr w:rsidR="002C233F" w:rsidRPr="009A7486" w:rsidTr="004D5214">
        <w:tc>
          <w:tcPr>
            <w:tcW w:w="1157" w:type="dxa"/>
            <w:tcBorders>
              <w:top w:val="single" w:sz="4" w:space="0" w:color="auto"/>
              <w:left w:val="single" w:sz="4" w:space="0" w:color="auto"/>
              <w:bottom w:val="single" w:sz="4" w:space="0" w:color="auto"/>
              <w:right w:val="single" w:sz="4" w:space="0" w:color="auto"/>
            </w:tcBorders>
            <w:hideMark/>
          </w:tcPr>
          <w:p w:rsidR="00223DFB" w:rsidRPr="009A7486" w:rsidRDefault="00223DFB" w:rsidP="004B36C2">
            <w:pPr>
              <w:widowControl/>
              <w:tabs>
                <w:tab w:val="left" w:pos="1680"/>
              </w:tabs>
              <w:autoSpaceDE w:val="0"/>
              <w:autoSpaceDN w:val="0"/>
              <w:spacing w:line="360" w:lineRule="auto"/>
              <w:jc w:val="center"/>
              <w:textAlignment w:val="bottom"/>
              <w:rPr>
                <w:rFonts w:eastAsiaTheme="minorEastAsia"/>
                <w:color w:val="000000" w:themeColor="text1"/>
                <w:sz w:val="24"/>
              </w:rPr>
            </w:pPr>
            <w:r w:rsidRPr="009A7486">
              <w:rPr>
                <w:rFonts w:eastAsiaTheme="minorEastAsia"/>
                <w:color w:val="000000" w:themeColor="text1"/>
                <w:sz w:val="24"/>
              </w:rPr>
              <w:t>合计</w:t>
            </w:r>
          </w:p>
        </w:tc>
        <w:tc>
          <w:tcPr>
            <w:tcW w:w="1378" w:type="dxa"/>
            <w:tcBorders>
              <w:top w:val="single" w:sz="4" w:space="0" w:color="auto"/>
              <w:left w:val="single" w:sz="4" w:space="0" w:color="auto"/>
              <w:bottom w:val="single" w:sz="4" w:space="0" w:color="auto"/>
              <w:right w:val="single" w:sz="4" w:space="0" w:color="auto"/>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98,044,466.43</w:t>
            </w:r>
          </w:p>
        </w:tc>
        <w:tc>
          <w:tcPr>
            <w:tcW w:w="1839" w:type="dxa"/>
            <w:tcBorders>
              <w:top w:val="single" w:sz="4" w:space="0" w:color="auto"/>
              <w:left w:val="single" w:sz="4" w:space="0" w:color="auto"/>
              <w:bottom w:val="single" w:sz="4" w:space="0" w:color="auto"/>
              <w:right w:val="single" w:sz="4" w:space="0" w:color="auto"/>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1950" w:type="dxa"/>
            <w:tcBorders>
              <w:top w:val="single" w:sz="4" w:space="0" w:color="auto"/>
              <w:left w:val="single" w:sz="4" w:space="0" w:color="auto"/>
              <w:bottom w:val="single" w:sz="4" w:space="0" w:color="auto"/>
              <w:right w:val="single" w:sz="4" w:space="0" w:color="auto"/>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1894" w:type="dxa"/>
            <w:tcBorders>
              <w:top w:val="single" w:sz="4" w:space="0" w:color="auto"/>
              <w:left w:val="single" w:sz="4" w:space="0" w:color="auto"/>
              <w:bottom w:val="single" w:sz="4" w:space="0" w:color="auto"/>
              <w:right w:val="single" w:sz="4" w:space="0" w:color="auto"/>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98,044,466.43</w:t>
            </w:r>
          </w:p>
        </w:tc>
        <w:tc>
          <w:tcPr>
            <w:tcW w:w="1068" w:type="dxa"/>
            <w:tcBorders>
              <w:top w:val="single" w:sz="4" w:space="0" w:color="auto"/>
              <w:left w:val="single" w:sz="4" w:space="0" w:color="auto"/>
              <w:bottom w:val="single" w:sz="4" w:space="0" w:color="auto"/>
              <w:right w:val="single" w:sz="4" w:space="0" w:color="auto"/>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bl>
    <w:p w:rsidR="00223DFB" w:rsidRPr="009A7486" w:rsidRDefault="00223DFB" w:rsidP="004D5214">
      <w:pPr>
        <w:adjustRightInd w:val="0"/>
        <w:snapToGrid w:val="0"/>
        <w:spacing w:line="360" w:lineRule="auto"/>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r w:rsidRPr="009A7486">
        <w:rPr>
          <w:rFonts w:eastAsiaTheme="minorEastAsia"/>
          <w:color w:val="000000" w:themeColor="text1"/>
          <w:sz w:val="24"/>
        </w:rPr>
        <w:t>：</w:t>
      </w:r>
    </w:p>
    <w:p w:rsidR="00223DFB" w:rsidRPr="009A7486" w:rsidRDefault="00223DFB" w:rsidP="004B36C2">
      <w:pPr>
        <w:adjustRightInd w:val="0"/>
        <w:snapToGrid w:val="0"/>
        <w:spacing w:line="360" w:lineRule="auto"/>
        <w:jc w:val="right"/>
        <w:rPr>
          <w:rFonts w:eastAsiaTheme="minorEastAsia"/>
          <w:color w:val="000000" w:themeColor="text1"/>
          <w:sz w:val="24"/>
        </w:rPr>
      </w:pPr>
      <w:r w:rsidRPr="009A7486">
        <w:rPr>
          <w:rFonts w:eastAsiaTheme="minorEastAsia"/>
          <w:color w:val="000000" w:themeColor="text1"/>
          <w:sz w:val="24"/>
        </w:rPr>
        <w:t>单位：人民币元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57"/>
        <w:gridCol w:w="1378"/>
        <w:gridCol w:w="1839"/>
        <w:gridCol w:w="1950"/>
        <w:gridCol w:w="1894"/>
        <w:gridCol w:w="1068"/>
      </w:tblGrid>
      <w:tr w:rsidR="002C233F" w:rsidRPr="009A7486" w:rsidTr="004D5214">
        <w:tc>
          <w:tcPr>
            <w:tcW w:w="1157" w:type="dxa"/>
            <w:tcBorders>
              <w:top w:val="single" w:sz="4" w:space="0" w:color="auto"/>
              <w:left w:val="single" w:sz="4" w:space="0" w:color="auto"/>
              <w:bottom w:val="single" w:sz="4" w:space="0" w:color="auto"/>
              <w:right w:val="single" w:sz="4" w:space="0" w:color="auto"/>
            </w:tcBorders>
            <w:vAlign w:val="center"/>
            <w:hideMark/>
          </w:tcPr>
          <w:p w:rsidR="000D2491" w:rsidRPr="009A7486" w:rsidRDefault="000D2491" w:rsidP="004B36C2">
            <w:pPr>
              <w:widowControl/>
              <w:tabs>
                <w:tab w:val="left" w:pos="1680"/>
              </w:tabs>
              <w:autoSpaceDE w:val="0"/>
              <w:autoSpaceDN w:val="0"/>
              <w:spacing w:line="360" w:lineRule="auto"/>
              <w:jc w:val="center"/>
              <w:textAlignment w:val="bottom"/>
              <w:rPr>
                <w:rFonts w:eastAsiaTheme="minorEastAsia"/>
                <w:b/>
                <w:color w:val="000000" w:themeColor="text1"/>
                <w:sz w:val="24"/>
              </w:rPr>
            </w:pPr>
            <w:r w:rsidRPr="009A7486">
              <w:rPr>
                <w:rFonts w:eastAsiaTheme="minorEastAsia"/>
                <w:color w:val="000000" w:themeColor="text1"/>
                <w:sz w:val="24"/>
              </w:rPr>
              <w:t>年度</w:t>
            </w:r>
          </w:p>
        </w:tc>
        <w:tc>
          <w:tcPr>
            <w:tcW w:w="1378" w:type="dxa"/>
            <w:tcBorders>
              <w:top w:val="single" w:sz="4" w:space="0" w:color="auto"/>
              <w:left w:val="single" w:sz="4" w:space="0" w:color="auto"/>
              <w:bottom w:val="single" w:sz="4" w:space="0" w:color="auto"/>
              <w:right w:val="single" w:sz="4" w:space="0" w:color="auto"/>
            </w:tcBorders>
            <w:vAlign w:val="center"/>
            <w:hideMark/>
          </w:tcPr>
          <w:p w:rsidR="000D2491" w:rsidRPr="009A7486"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 w:val="24"/>
              </w:rPr>
            </w:pPr>
            <w:r w:rsidRPr="009A7486">
              <w:rPr>
                <w:rFonts w:eastAsiaTheme="minorEastAsia"/>
                <w:color w:val="000000" w:themeColor="text1"/>
                <w:sz w:val="24"/>
                <w:lang w:val="en-AU"/>
              </w:rPr>
              <w:t>已按再投资形式转实收基金</w:t>
            </w:r>
          </w:p>
        </w:tc>
        <w:tc>
          <w:tcPr>
            <w:tcW w:w="1839" w:type="dxa"/>
            <w:tcBorders>
              <w:top w:val="single" w:sz="4" w:space="0" w:color="auto"/>
              <w:left w:val="single" w:sz="4" w:space="0" w:color="auto"/>
              <w:bottom w:val="single" w:sz="4" w:space="0" w:color="auto"/>
              <w:right w:val="single" w:sz="4" w:space="0" w:color="auto"/>
            </w:tcBorders>
            <w:hideMark/>
          </w:tcPr>
          <w:p w:rsidR="000D2491" w:rsidRPr="009A7486"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 w:val="24"/>
              </w:rPr>
            </w:pPr>
            <w:r w:rsidRPr="009A7486">
              <w:rPr>
                <w:rFonts w:eastAsiaTheme="minorEastAsia"/>
                <w:color w:val="000000" w:themeColor="text1"/>
                <w:sz w:val="24"/>
              </w:rPr>
              <w:t>直接通过应付赎回款转出金额</w:t>
            </w:r>
          </w:p>
        </w:tc>
        <w:tc>
          <w:tcPr>
            <w:tcW w:w="1950" w:type="dxa"/>
            <w:tcBorders>
              <w:top w:val="single" w:sz="4" w:space="0" w:color="auto"/>
              <w:left w:val="single" w:sz="4" w:space="0" w:color="auto"/>
              <w:bottom w:val="single" w:sz="4" w:space="0" w:color="auto"/>
              <w:right w:val="single" w:sz="4" w:space="0" w:color="auto"/>
            </w:tcBorders>
            <w:vAlign w:val="center"/>
            <w:hideMark/>
          </w:tcPr>
          <w:p w:rsidR="000D2491" w:rsidRPr="009A7486" w:rsidRDefault="000D2491" w:rsidP="004B36C2">
            <w:pPr>
              <w:widowControl/>
              <w:tabs>
                <w:tab w:val="left" w:pos="1680"/>
              </w:tabs>
              <w:autoSpaceDE w:val="0"/>
              <w:autoSpaceDN w:val="0"/>
              <w:spacing w:line="360" w:lineRule="auto"/>
              <w:jc w:val="center"/>
              <w:textAlignment w:val="bottom"/>
              <w:rPr>
                <w:rFonts w:eastAsiaTheme="minorEastAsia"/>
                <w:color w:val="000000" w:themeColor="text1"/>
                <w:sz w:val="24"/>
              </w:rPr>
            </w:pPr>
            <w:r w:rsidRPr="009A7486">
              <w:rPr>
                <w:rFonts w:eastAsiaTheme="minorEastAsia"/>
                <w:color w:val="000000" w:themeColor="text1"/>
                <w:sz w:val="24"/>
              </w:rPr>
              <w:t>应付利润本年变动</w:t>
            </w:r>
          </w:p>
        </w:tc>
        <w:tc>
          <w:tcPr>
            <w:tcW w:w="1894" w:type="dxa"/>
            <w:tcBorders>
              <w:top w:val="single" w:sz="4" w:space="0" w:color="auto"/>
              <w:left w:val="single" w:sz="4" w:space="0" w:color="auto"/>
              <w:bottom w:val="single" w:sz="4" w:space="0" w:color="auto"/>
              <w:right w:val="single" w:sz="4" w:space="0" w:color="auto"/>
            </w:tcBorders>
            <w:vAlign w:val="center"/>
            <w:hideMark/>
          </w:tcPr>
          <w:p w:rsidR="000D2491" w:rsidRPr="009A7486" w:rsidRDefault="000D2491" w:rsidP="004B36C2">
            <w:pPr>
              <w:spacing w:line="360" w:lineRule="auto"/>
              <w:jc w:val="center"/>
              <w:rPr>
                <w:rFonts w:eastAsiaTheme="minorEastAsia"/>
                <w:color w:val="000000" w:themeColor="text1"/>
                <w:sz w:val="24"/>
                <w:lang w:val="en-AU"/>
              </w:rPr>
            </w:pPr>
            <w:r w:rsidRPr="009A7486">
              <w:rPr>
                <w:rFonts w:eastAsiaTheme="minorEastAsia"/>
                <w:color w:val="000000" w:themeColor="text1"/>
                <w:sz w:val="24"/>
                <w:lang w:val="en-AU"/>
              </w:rPr>
              <w:t>年度利润分配合计</w:t>
            </w:r>
          </w:p>
        </w:tc>
        <w:tc>
          <w:tcPr>
            <w:tcW w:w="1068" w:type="dxa"/>
            <w:tcBorders>
              <w:top w:val="single" w:sz="4" w:space="0" w:color="auto"/>
              <w:left w:val="single" w:sz="4" w:space="0" w:color="auto"/>
              <w:bottom w:val="single" w:sz="4" w:space="0" w:color="auto"/>
              <w:right w:val="single" w:sz="4" w:space="0" w:color="auto"/>
            </w:tcBorders>
            <w:vAlign w:val="center"/>
            <w:hideMark/>
          </w:tcPr>
          <w:p w:rsidR="000D2491" w:rsidRPr="009A7486" w:rsidRDefault="000D2491" w:rsidP="004B36C2">
            <w:pPr>
              <w:spacing w:line="360" w:lineRule="auto"/>
              <w:jc w:val="center"/>
              <w:rPr>
                <w:rFonts w:eastAsiaTheme="minorEastAsia"/>
                <w:color w:val="000000" w:themeColor="text1"/>
                <w:sz w:val="24"/>
                <w:lang w:val="en-AU"/>
              </w:rPr>
            </w:pPr>
            <w:r w:rsidRPr="009A7486">
              <w:rPr>
                <w:rFonts w:eastAsiaTheme="minorEastAsia"/>
                <w:color w:val="000000" w:themeColor="text1"/>
                <w:sz w:val="24"/>
                <w:lang w:val="en-AU"/>
              </w:rPr>
              <w:t>备注</w:t>
            </w:r>
          </w:p>
        </w:tc>
      </w:tr>
      <w:tr w:rsidR="005C48D6">
        <w:tc>
          <w:tcPr>
            <w:tcW w:w="1157" w:type="dxa"/>
            <w:vAlign w:val="center"/>
          </w:tcPr>
          <w:p w:rsidR="005C48D6" w:rsidRDefault="008F0294">
            <w:pPr>
              <w:jc w:val="center"/>
            </w:pPr>
            <w:r>
              <w:rPr>
                <w:rFonts w:eastAsiaTheme="minorEastAsia"/>
                <w:color w:val="000000" w:themeColor="text1"/>
                <w:sz w:val="24"/>
              </w:rPr>
              <w:t>2018</w:t>
            </w:r>
            <w:r>
              <w:rPr>
                <w:rFonts w:eastAsiaTheme="minorEastAsia"/>
                <w:color w:val="000000" w:themeColor="text1"/>
                <w:sz w:val="24"/>
              </w:rPr>
              <w:t>年</w:t>
            </w:r>
          </w:p>
        </w:tc>
        <w:tc>
          <w:tcPr>
            <w:tcW w:w="1378" w:type="dxa"/>
            <w:vAlign w:val="center"/>
          </w:tcPr>
          <w:p w:rsidR="005C48D6" w:rsidRDefault="008F0294">
            <w:pPr>
              <w:jc w:val="right"/>
            </w:pPr>
            <w:r>
              <w:rPr>
                <w:rFonts w:eastAsiaTheme="minorEastAsia"/>
                <w:color w:val="000000" w:themeColor="text1"/>
                <w:sz w:val="24"/>
              </w:rPr>
              <w:t>571,035,810.07</w:t>
            </w:r>
          </w:p>
        </w:tc>
        <w:tc>
          <w:tcPr>
            <w:tcW w:w="1839" w:type="dxa"/>
            <w:vAlign w:val="center"/>
          </w:tcPr>
          <w:p w:rsidR="005C48D6" w:rsidRDefault="008F0294">
            <w:pPr>
              <w:jc w:val="right"/>
            </w:pPr>
            <w:r>
              <w:rPr>
                <w:rFonts w:eastAsiaTheme="minorEastAsia"/>
                <w:color w:val="000000" w:themeColor="text1"/>
                <w:sz w:val="24"/>
              </w:rPr>
              <w:t>-</w:t>
            </w:r>
          </w:p>
        </w:tc>
        <w:tc>
          <w:tcPr>
            <w:tcW w:w="1950" w:type="dxa"/>
            <w:vAlign w:val="center"/>
          </w:tcPr>
          <w:p w:rsidR="005C48D6" w:rsidRDefault="008F0294">
            <w:pPr>
              <w:jc w:val="center"/>
            </w:pPr>
            <w:r>
              <w:rPr>
                <w:rFonts w:eastAsiaTheme="minorEastAsia"/>
                <w:color w:val="000000" w:themeColor="text1"/>
                <w:sz w:val="24"/>
              </w:rPr>
              <w:t>-</w:t>
            </w:r>
          </w:p>
        </w:tc>
        <w:tc>
          <w:tcPr>
            <w:tcW w:w="1894" w:type="dxa"/>
            <w:vAlign w:val="center"/>
          </w:tcPr>
          <w:p w:rsidR="005C48D6" w:rsidRDefault="008F0294">
            <w:pPr>
              <w:jc w:val="right"/>
            </w:pPr>
            <w:r>
              <w:rPr>
                <w:rFonts w:eastAsiaTheme="minorEastAsia"/>
                <w:color w:val="000000" w:themeColor="text1"/>
                <w:sz w:val="24"/>
              </w:rPr>
              <w:t>571,035,810.07</w:t>
            </w:r>
          </w:p>
        </w:tc>
        <w:tc>
          <w:tcPr>
            <w:tcW w:w="1068" w:type="dxa"/>
            <w:vAlign w:val="center"/>
          </w:tcPr>
          <w:p w:rsidR="005C48D6" w:rsidRDefault="008F0294">
            <w:pPr>
              <w:jc w:val="left"/>
            </w:pPr>
            <w:r>
              <w:rPr>
                <w:rFonts w:eastAsiaTheme="minorEastAsia"/>
                <w:color w:val="000000" w:themeColor="text1"/>
                <w:sz w:val="24"/>
              </w:rPr>
              <w:t>-</w:t>
            </w:r>
          </w:p>
        </w:tc>
      </w:tr>
      <w:tr w:rsidR="005C48D6">
        <w:tc>
          <w:tcPr>
            <w:tcW w:w="1157" w:type="dxa"/>
            <w:vAlign w:val="center"/>
          </w:tcPr>
          <w:p w:rsidR="005C48D6" w:rsidRDefault="008F0294">
            <w:pPr>
              <w:jc w:val="center"/>
            </w:pPr>
            <w:r>
              <w:rPr>
                <w:rFonts w:eastAsiaTheme="minorEastAsia"/>
                <w:color w:val="000000" w:themeColor="text1"/>
                <w:sz w:val="24"/>
              </w:rPr>
              <w:t>2017</w:t>
            </w:r>
            <w:r>
              <w:rPr>
                <w:rFonts w:eastAsiaTheme="minorEastAsia"/>
                <w:color w:val="000000" w:themeColor="text1"/>
                <w:sz w:val="24"/>
              </w:rPr>
              <w:t>年</w:t>
            </w:r>
          </w:p>
        </w:tc>
        <w:tc>
          <w:tcPr>
            <w:tcW w:w="1378" w:type="dxa"/>
            <w:vAlign w:val="center"/>
          </w:tcPr>
          <w:p w:rsidR="005C48D6" w:rsidRDefault="008F0294">
            <w:pPr>
              <w:jc w:val="right"/>
            </w:pPr>
            <w:r>
              <w:rPr>
                <w:rFonts w:eastAsiaTheme="minorEastAsia"/>
                <w:color w:val="000000" w:themeColor="text1"/>
                <w:sz w:val="24"/>
              </w:rPr>
              <w:t>622,085,116.07</w:t>
            </w:r>
          </w:p>
        </w:tc>
        <w:tc>
          <w:tcPr>
            <w:tcW w:w="1839" w:type="dxa"/>
            <w:vAlign w:val="center"/>
          </w:tcPr>
          <w:p w:rsidR="005C48D6" w:rsidRDefault="008F0294">
            <w:pPr>
              <w:jc w:val="right"/>
            </w:pPr>
            <w:r>
              <w:rPr>
                <w:rFonts w:eastAsiaTheme="minorEastAsia"/>
                <w:color w:val="000000" w:themeColor="text1"/>
                <w:sz w:val="24"/>
              </w:rPr>
              <w:t>-</w:t>
            </w:r>
          </w:p>
        </w:tc>
        <w:tc>
          <w:tcPr>
            <w:tcW w:w="1950" w:type="dxa"/>
            <w:vAlign w:val="center"/>
          </w:tcPr>
          <w:p w:rsidR="005C48D6" w:rsidRDefault="008F0294">
            <w:pPr>
              <w:jc w:val="center"/>
            </w:pPr>
            <w:r>
              <w:rPr>
                <w:rFonts w:eastAsiaTheme="minorEastAsia"/>
                <w:color w:val="000000" w:themeColor="text1"/>
                <w:sz w:val="24"/>
              </w:rPr>
              <w:t>-</w:t>
            </w:r>
          </w:p>
        </w:tc>
        <w:tc>
          <w:tcPr>
            <w:tcW w:w="1894" w:type="dxa"/>
            <w:vAlign w:val="center"/>
          </w:tcPr>
          <w:p w:rsidR="005C48D6" w:rsidRDefault="008F0294">
            <w:pPr>
              <w:jc w:val="right"/>
            </w:pPr>
            <w:r>
              <w:rPr>
                <w:rFonts w:eastAsiaTheme="minorEastAsia"/>
                <w:color w:val="000000" w:themeColor="text1"/>
                <w:sz w:val="24"/>
              </w:rPr>
              <w:t>622,085,116.07</w:t>
            </w:r>
          </w:p>
        </w:tc>
        <w:tc>
          <w:tcPr>
            <w:tcW w:w="1068" w:type="dxa"/>
            <w:vAlign w:val="center"/>
          </w:tcPr>
          <w:p w:rsidR="005C48D6" w:rsidRDefault="008F0294">
            <w:pPr>
              <w:jc w:val="left"/>
            </w:pPr>
            <w:r>
              <w:rPr>
                <w:rFonts w:eastAsiaTheme="minorEastAsia"/>
                <w:color w:val="000000" w:themeColor="text1"/>
                <w:sz w:val="24"/>
              </w:rPr>
              <w:t>-</w:t>
            </w:r>
          </w:p>
        </w:tc>
      </w:tr>
      <w:tr w:rsidR="005C48D6">
        <w:tc>
          <w:tcPr>
            <w:tcW w:w="1157" w:type="dxa"/>
            <w:vAlign w:val="center"/>
          </w:tcPr>
          <w:p w:rsidR="005C48D6" w:rsidRDefault="008F0294">
            <w:pPr>
              <w:jc w:val="center"/>
            </w:pPr>
            <w:r>
              <w:rPr>
                <w:rFonts w:eastAsiaTheme="minorEastAsia"/>
                <w:color w:val="000000" w:themeColor="text1"/>
                <w:sz w:val="24"/>
              </w:rPr>
              <w:t>2016</w:t>
            </w:r>
            <w:r>
              <w:rPr>
                <w:rFonts w:eastAsiaTheme="minorEastAsia"/>
                <w:color w:val="000000" w:themeColor="text1"/>
                <w:sz w:val="24"/>
              </w:rPr>
              <w:t>年</w:t>
            </w:r>
          </w:p>
        </w:tc>
        <w:tc>
          <w:tcPr>
            <w:tcW w:w="1378" w:type="dxa"/>
            <w:vAlign w:val="center"/>
          </w:tcPr>
          <w:p w:rsidR="005C48D6" w:rsidRDefault="008F0294">
            <w:pPr>
              <w:jc w:val="right"/>
            </w:pPr>
            <w:r>
              <w:rPr>
                <w:rFonts w:eastAsiaTheme="minorEastAsia"/>
                <w:color w:val="000000" w:themeColor="text1"/>
                <w:sz w:val="24"/>
              </w:rPr>
              <w:t>511,925,258.60</w:t>
            </w:r>
          </w:p>
        </w:tc>
        <w:tc>
          <w:tcPr>
            <w:tcW w:w="1839" w:type="dxa"/>
            <w:vAlign w:val="center"/>
          </w:tcPr>
          <w:p w:rsidR="005C48D6" w:rsidRDefault="008F0294">
            <w:pPr>
              <w:jc w:val="right"/>
            </w:pPr>
            <w:r>
              <w:rPr>
                <w:rFonts w:eastAsiaTheme="minorEastAsia"/>
                <w:color w:val="000000" w:themeColor="text1"/>
                <w:sz w:val="24"/>
              </w:rPr>
              <w:t>-</w:t>
            </w:r>
          </w:p>
        </w:tc>
        <w:tc>
          <w:tcPr>
            <w:tcW w:w="1950" w:type="dxa"/>
            <w:vAlign w:val="center"/>
          </w:tcPr>
          <w:p w:rsidR="005C48D6" w:rsidRDefault="008F0294">
            <w:pPr>
              <w:jc w:val="center"/>
            </w:pPr>
            <w:r>
              <w:rPr>
                <w:rFonts w:eastAsiaTheme="minorEastAsia"/>
                <w:color w:val="000000" w:themeColor="text1"/>
                <w:sz w:val="24"/>
              </w:rPr>
              <w:t>-</w:t>
            </w:r>
          </w:p>
        </w:tc>
        <w:tc>
          <w:tcPr>
            <w:tcW w:w="1894" w:type="dxa"/>
            <w:vAlign w:val="center"/>
          </w:tcPr>
          <w:p w:rsidR="005C48D6" w:rsidRDefault="008F0294">
            <w:pPr>
              <w:jc w:val="right"/>
            </w:pPr>
            <w:r>
              <w:rPr>
                <w:rFonts w:eastAsiaTheme="minorEastAsia"/>
                <w:color w:val="000000" w:themeColor="text1"/>
                <w:sz w:val="24"/>
              </w:rPr>
              <w:t>511,925,258.60</w:t>
            </w:r>
          </w:p>
        </w:tc>
        <w:tc>
          <w:tcPr>
            <w:tcW w:w="1068" w:type="dxa"/>
            <w:vAlign w:val="center"/>
          </w:tcPr>
          <w:p w:rsidR="005C48D6" w:rsidRDefault="008F0294">
            <w:pPr>
              <w:jc w:val="left"/>
            </w:pPr>
            <w:r>
              <w:rPr>
                <w:rFonts w:eastAsiaTheme="minorEastAsia"/>
                <w:color w:val="000000" w:themeColor="text1"/>
                <w:sz w:val="24"/>
              </w:rPr>
              <w:t>-</w:t>
            </w:r>
          </w:p>
        </w:tc>
      </w:tr>
      <w:tr w:rsidR="002C233F" w:rsidRPr="009A7486" w:rsidTr="004D5214">
        <w:tc>
          <w:tcPr>
            <w:tcW w:w="1157" w:type="dxa"/>
            <w:tcBorders>
              <w:top w:val="single" w:sz="4" w:space="0" w:color="auto"/>
              <w:left w:val="single" w:sz="4" w:space="0" w:color="auto"/>
              <w:bottom w:val="single" w:sz="4" w:space="0" w:color="auto"/>
              <w:right w:val="single" w:sz="4" w:space="0" w:color="auto"/>
            </w:tcBorders>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合计</w:t>
            </w:r>
          </w:p>
        </w:tc>
        <w:tc>
          <w:tcPr>
            <w:tcW w:w="1378" w:type="dxa"/>
            <w:tcBorders>
              <w:top w:val="single" w:sz="4" w:space="0" w:color="auto"/>
              <w:left w:val="single" w:sz="4" w:space="0" w:color="auto"/>
              <w:bottom w:val="single" w:sz="4" w:space="0" w:color="auto"/>
              <w:right w:val="single" w:sz="4" w:space="0" w:color="auto"/>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1,705,046,184.74</w:t>
            </w:r>
          </w:p>
        </w:tc>
        <w:tc>
          <w:tcPr>
            <w:tcW w:w="1839" w:type="dxa"/>
            <w:tcBorders>
              <w:top w:val="single" w:sz="4" w:space="0" w:color="auto"/>
              <w:left w:val="single" w:sz="4" w:space="0" w:color="auto"/>
              <w:bottom w:val="single" w:sz="4" w:space="0" w:color="auto"/>
              <w:right w:val="single" w:sz="4" w:space="0" w:color="auto"/>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1950" w:type="dxa"/>
            <w:tcBorders>
              <w:top w:val="single" w:sz="4" w:space="0" w:color="auto"/>
              <w:left w:val="single" w:sz="4" w:space="0" w:color="auto"/>
              <w:bottom w:val="single" w:sz="4" w:space="0" w:color="auto"/>
              <w:right w:val="single" w:sz="4" w:space="0" w:color="auto"/>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1894" w:type="dxa"/>
            <w:tcBorders>
              <w:top w:val="single" w:sz="4" w:space="0" w:color="auto"/>
              <w:left w:val="single" w:sz="4" w:space="0" w:color="auto"/>
              <w:bottom w:val="single" w:sz="4" w:space="0" w:color="auto"/>
              <w:right w:val="single" w:sz="4" w:space="0" w:color="auto"/>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1,705,046,184.74</w:t>
            </w:r>
          </w:p>
        </w:tc>
        <w:tc>
          <w:tcPr>
            <w:tcW w:w="1068" w:type="dxa"/>
            <w:tcBorders>
              <w:top w:val="single" w:sz="4" w:space="0" w:color="auto"/>
              <w:left w:val="single" w:sz="4" w:space="0" w:color="auto"/>
              <w:bottom w:val="single" w:sz="4" w:space="0" w:color="auto"/>
              <w:right w:val="single" w:sz="4" w:space="0" w:color="auto"/>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bl>
    <w:p w:rsidR="00223DFB" w:rsidRPr="009A7486" w:rsidRDefault="00223DFB" w:rsidP="002855D4">
      <w:pPr>
        <w:pStyle w:val="1"/>
        <w:keepNext/>
        <w:keepLines/>
        <w:widowControl w:val="0"/>
        <w:spacing w:beforeLines="100" w:afterLines="100" w:line="360" w:lineRule="auto"/>
        <w:jc w:val="center"/>
        <w:rPr>
          <w:rFonts w:eastAsiaTheme="minorEastAsia"/>
          <w:b/>
          <w:bCs/>
          <w:color w:val="000000" w:themeColor="text1"/>
          <w:szCs w:val="24"/>
          <w:lang w:val="en-US"/>
        </w:rPr>
      </w:pPr>
      <w:r w:rsidRPr="009A7486">
        <w:rPr>
          <w:rFonts w:eastAsiaTheme="minorEastAsia"/>
          <w:b/>
          <w:bCs/>
          <w:color w:val="000000" w:themeColor="text1"/>
          <w:szCs w:val="24"/>
          <w:lang w:val="en-US"/>
        </w:rPr>
        <w:t xml:space="preserve">§4  </w:t>
      </w:r>
      <w:r w:rsidRPr="009A7486">
        <w:rPr>
          <w:rFonts w:eastAsiaTheme="minorEastAsia"/>
          <w:b/>
          <w:bCs/>
          <w:color w:val="000000" w:themeColor="text1"/>
          <w:szCs w:val="24"/>
          <w:lang w:val="en-US"/>
        </w:rPr>
        <w:t>管理人报告</w:t>
      </w:r>
    </w:p>
    <w:p w:rsidR="00223DFB" w:rsidRPr="009A7486" w:rsidRDefault="00223DFB" w:rsidP="00CB1276">
      <w:pPr>
        <w:spacing w:line="360" w:lineRule="auto"/>
        <w:rPr>
          <w:rFonts w:eastAsiaTheme="minorEastAsia"/>
          <w:b/>
          <w:bCs/>
          <w:color w:val="000000" w:themeColor="text1"/>
          <w:kern w:val="0"/>
          <w:sz w:val="24"/>
        </w:rPr>
      </w:pPr>
      <w:r w:rsidRPr="009A7486">
        <w:rPr>
          <w:rFonts w:eastAsiaTheme="minorEastAsia"/>
          <w:b/>
          <w:bCs/>
          <w:color w:val="000000" w:themeColor="text1"/>
          <w:kern w:val="0"/>
          <w:sz w:val="24"/>
        </w:rPr>
        <w:t xml:space="preserve">4.1 </w:t>
      </w:r>
      <w:r w:rsidRPr="009A7486">
        <w:rPr>
          <w:rFonts w:eastAsiaTheme="minorEastAsia"/>
          <w:b/>
          <w:bCs/>
          <w:color w:val="000000" w:themeColor="text1"/>
          <w:kern w:val="0"/>
          <w:sz w:val="24"/>
        </w:rPr>
        <w:t>基金管理人及基金经理情况</w:t>
      </w:r>
    </w:p>
    <w:p w:rsidR="00223DFB" w:rsidRPr="009A7486" w:rsidRDefault="00223DFB" w:rsidP="00CB1276">
      <w:pPr>
        <w:spacing w:line="360" w:lineRule="auto"/>
        <w:rPr>
          <w:rFonts w:eastAsiaTheme="minorEastAsia"/>
          <w:b/>
          <w:bCs/>
          <w:color w:val="000000" w:themeColor="text1"/>
          <w:kern w:val="0"/>
          <w:sz w:val="24"/>
        </w:rPr>
      </w:pPr>
      <w:r w:rsidRPr="009A7486">
        <w:rPr>
          <w:rFonts w:eastAsiaTheme="minorEastAsia"/>
          <w:b/>
          <w:bCs/>
          <w:color w:val="000000" w:themeColor="text1"/>
          <w:kern w:val="0"/>
          <w:sz w:val="24"/>
        </w:rPr>
        <w:t>4.1.1</w:t>
      </w:r>
      <w:r w:rsidRPr="009A7486">
        <w:rPr>
          <w:rFonts w:eastAsiaTheme="minorEastAsia"/>
          <w:b/>
          <w:bCs/>
          <w:color w:val="000000" w:themeColor="text1"/>
          <w:kern w:val="0"/>
          <w:sz w:val="24"/>
        </w:rPr>
        <w:t>基金管理人及其管理基金的经验</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国投瑞银基金管理有限公司（简称</w:t>
      </w:r>
      <w:r w:rsidRPr="009A7486">
        <w:rPr>
          <w:rFonts w:eastAsiaTheme="minorEastAsia"/>
          <w:color w:val="000000" w:themeColor="text1"/>
          <w:sz w:val="24"/>
        </w:rPr>
        <w:t>"</w:t>
      </w:r>
      <w:r w:rsidRPr="009A7486">
        <w:rPr>
          <w:rFonts w:eastAsiaTheme="minorEastAsia"/>
          <w:color w:val="000000" w:themeColor="text1"/>
          <w:sz w:val="24"/>
        </w:rPr>
        <w:t>公司</w:t>
      </w:r>
      <w:r w:rsidRPr="009A7486">
        <w:rPr>
          <w:rFonts w:eastAsiaTheme="minorEastAsia"/>
          <w:color w:val="000000" w:themeColor="text1"/>
          <w:sz w:val="24"/>
        </w:rPr>
        <w:t>"</w:t>
      </w:r>
      <w:r w:rsidRPr="009A7486">
        <w:rPr>
          <w:rFonts w:eastAsiaTheme="minorEastAsia"/>
          <w:color w:val="000000" w:themeColor="text1"/>
          <w:sz w:val="24"/>
        </w:rPr>
        <w:t>），原中融基金管理有限公司，经中国证券监督管理委员会批准，于</w:t>
      </w:r>
      <w:r w:rsidRPr="009A7486">
        <w:rPr>
          <w:rFonts w:eastAsiaTheme="minorEastAsia"/>
          <w:color w:val="000000" w:themeColor="text1"/>
          <w:sz w:val="24"/>
        </w:rPr>
        <w:t>2002</w:t>
      </w:r>
      <w:r w:rsidRPr="009A7486">
        <w:rPr>
          <w:rFonts w:eastAsiaTheme="minorEastAsia"/>
          <w:color w:val="000000" w:themeColor="text1"/>
          <w:sz w:val="24"/>
        </w:rPr>
        <w:t>年</w:t>
      </w:r>
      <w:r w:rsidRPr="009A7486">
        <w:rPr>
          <w:rFonts w:eastAsiaTheme="minorEastAsia"/>
          <w:color w:val="000000" w:themeColor="text1"/>
          <w:sz w:val="24"/>
        </w:rPr>
        <w:t>6</w:t>
      </w:r>
      <w:r w:rsidRPr="009A7486">
        <w:rPr>
          <w:rFonts w:eastAsiaTheme="minorEastAsia"/>
          <w:color w:val="000000" w:themeColor="text1"/>
          <w:sz w:val="24"/>
        </w:rPr>
        <w:t>月</w:t>
      </w:r>
      <w:r w:rsidRPr="009A7486">
        <w:rPr>
          <w:rFonts w:eastAsiaTheme="minorEastAsia"/>
          <w:color w:val="000000" w:themeColor="text1"/>
          <w:sz w:val="24"/>
        </w:rPr>
        <w:t>13</w:t>
      </w:r>
      <w:r w:rsidRPr="009A7486">
        <w:rPr>
          <w:rFonts w:eastAsiaTheme="minorEastAsia"/>
          <w:color w:val="000000" w:themeColor="text1"/>
          <w:sz w:val="24"/>
        </w:rPr>
        <w:t>日正式成立，注册资本</w:t>
      </w:r>
      <w:r w:rsidRPr="009A7486">
        <w:rPr>
          <w:rFonts w:eastAsiaTheme="minorEastAsia"/>
          <w:color w:val="000000" w:themeColor="text1"/>
          <w:sz w:val="24"/>
        </w:rPr>
        <w:t>1</w:t>
      </w:r>
      <w:r w:rsidRPr="009A7486">
        <w:rPr>
          <w:rFonts w:eastAsiaTheme="minorEastAsia"/>
          <w:color w:val="000000" w:themeColor="text1"/>
          <w:sz w:val="24"/>
        </w:rPr>
        <w:t>亿元人民币。公司是中国第一家外方持股比例达到</w:t>
      </w:r>
      <w:r w:rsidRPr="009A7486">
        <w:rPr>
          <w:rFonts w:eastAsiaTheme="minorEastAsia"/>
          <w:color w:val="000000" w:themeColor="text1"/>
          <w:sz w:val="24"/>
        </w:rPr>
        <w:t>49%</w:t>
      </w:r>
      <w:r w:rsidRPr="009A7486">
        <w:rPr>
          <w:rFonts w:eastAsiaTheme="minorEastAsia"/>
          <w:color w:val="000000" w:themeColor="text1"/>
          <w:sz w:val="24"/>
        </w:rPr>
        <w:t>的合资基金管理公司，公司股东为国投泰康信托有限公司（国家开发投资公司的控股子公司）及瑞士银行股份有限公司（</w:t>
      </w:r>
      <w:r w:rsidRPr="009A7486">
        <w:rPr>
          <w:rFonts w:eastAsiaTheme="minorEastAsia"/>
          <w:color w:val="000000" w:themeColor="text1"/>
          <w:sz w:val="24"/>
        </w:rPr>
        <w:t>UBS AG</w:t>
      </w:r>
      <w:r w:rsidRPr="009A7486">
        <w:rPr>
          <w:rFonts w:eastAsiaTheme="minorEastAsia"/>
          <w:color w:val="000000" w:themeColor="text1"/>
          <w:sz w:val="24"/>
        </w:rPr>
        <w:t>）。公司拥有完善的法人治理结构，建立了有效的风险管理及控制架构，以</w:t>
      </w:r>
      <w:r w:rsidRPr="009A7486">
        <w:rPr>
          <w:rFonts w:eastAsiaTheme="minorEastAsia"/>
          <w:color w:val="000000" w:themeColor="text1"/>
          <w:sz w:val="24"/>
        </w:rPr>
        <w:t>"</w:t>
      </w:r>
      <w:r w:rsidRPr="009A7486">
        <w:rPr>
          <w:rFonts w:eastAsiaTheme="minorEastAsia"/>
          <w:color w:val="000000" w:themeColor="text1"/>
          <w:sz w:val="24"/>
        </w:rPr>
        <w:t>诚信、创新、包容、客户关注</w:t>
      </w:r>
      <w:r w:rsidRPr="009A7486">
        <w:rPr>
          <w:rFonts w:eastAsiaTheme="minorEastAsia"/>
          <w:color w:val="000000" w:themeColor="text1"/>
          <w:sz w:val="24"/>
        </w:rPr>
        <w:t>"</w:t>
      </w:r>
      <w:r w:rsidRPr="009A7486">
        <w:rPr>
          <w:rFonts w:eastAsiaTheme="minorEastAsia"/>
          <w:color w:val="000000" w:themeColor="text1"/>
          <w:sz w:val="24"/>
        </w:rPr>
        <w:t>作为公司的企业文化。截止</w:t>
      </w: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月底，在公募基金方面，公司共管理</w:t>
      </w:r>
      <w:r w:rsidRPr="009A7486">
        <w:rPr>
          <w:rFonts w:eastAsiaTheme="minorEastAsia"/>
          <w:color w:val="000000" w:themeColor="text1"/>
          <w:sz w:val="24"/>
        </w:rPr>
        <w:t>70</w:t>
      </w:r>
      <w:r w:rsidRPr="009A7486">
        <w:rPr>
          <w:rFonts w:eastAsiaTheme="minorEastAsia"/>
          <w:color w:val="000000" w:themeColor="text1"/>
          <w:sz w:val="24"/>
        </w:rPr>
        <w:t>只基金，已建立起覆盖高、中、低风险等级的完整产品线；在专户理财业务方面，自</w:t>
      </w:r>
      <w:r w:rsidRPr="009A7486">
        <w:rPr>
          <w:rFonts w:eastAsiaTheme="minorEastAsia"/>
          <w:color w:val="000000" w:themeColor="text1"/>
          <w:sz w:val="24"/>
        </w:rPr>
        <w:t>2008</w:t>
      </w:r>
      <w:r w:rsidRPr="009A7486">
        <w:rPr>
          <w:rFonts w:eastAsiaTheme="minorEastAsia"/>
          <w:color w:val="000000" w:themeColor="text1"/>
          <w:sz w:val="24"/>
        </w:rPr>
        <w:t>年获得特定客户资产管理业务资格以来，已成功运作管理的专户产品涵盖了灵活配置型、稳健增利型等常规产品，还包括分级、期指套利、商品期货、</w:t>
      </w:r>
      <w:r w:rsidRPr="009A7486">
        <w:rPr>
          <w:rFonts w:eastAsiaTheme="minorEastAsia"/>
          <w:color w:val="000000" w:themeColor="text1"/>
          <w:sz w:val="24"/>
        </w:rPr>
        <w:t>QDII</w:t>
      </w:r>
      <w:r w:rsidRPr="009A7486">
        <w:rPr>
          <w:rFonts w:eastAsiaTheme="minorEastAsia"/>
          <w:color w:val="000000" w:themeColor="text1"/>
          <w:sz w:val="24"/>
        </w:rPr>
        <w:t>等创新品种；在境外资产管理业务方面，公司自</w:t>
      </w:r>
      <w:r w:rsidRPr="009A7486">
        <w:rPr>
          <w:rFonts w:eastAsiaTheme="minorEastAsia"/>
          <w:color w:val="000000" w:themeColor="text1"/>
          <w:sz w:val="24"/>
        </w:rPr>
        <w:t>2006</w:t>
      </w:r>
      <w:r w:rsidRPr="009A7486">
        <w:rPr>
          <w:rFonts w:eastAsiaTheme="minorEastAsia"/>
          <w:color w:val="000000" w:themeColor="text1"/>
          <w:sz w:val="24"/>
        </w:rPr>
        <w:t>年开始为</w:t>
      </w:r>
      <w:r w:rsidRPr="009A7486">
        <w:rPr>
          <w:rFonts w:eastAsiaTheme="minorEastAsia"/>
          <w:color w:val="000000" w:themeColor="text1"/>
          <w:sz w:val="24"/>
        </w:rPr>
        <w:t>QFII</w:t>
      </w:r>
      <w:r w:rsidRPr="009A7486">
        <w:rPr>
          <w:rFonts w:eastAsiaTheme="minorEastAsia"/>
          <w:color w:val="000000" w:themeColor="text1"/>
          <w:sz w:val="24"/>
        </w:rPr>
        <w:t>信托计划提供投资咨询服务，具有丰富经验，并于</w:t>
      </w:r>
      <w:r w:rsidRPr="009A7486">
        <w:rPr>
          <w:rFonts w:eastAsiaTheme="minorEastAsia"/>
          <w:color w:val="000000" w:themeColor="text1"/>
          <w:sz w:val="24"/>
        </w:rPr>
        <w:t>2007</w:t>
      </w:r>
      <w:r w:rsidRPr="009A7486">
        <w:rPr>
          <w:rFonts w:eastAsiaTheme="minorEastAsia"/>
          <w:color w:val="000000" w:themeColor="text1"/>
          <w:sz w:val="24"/>
        </w:rPr>
        <w:t>年获得</w:t>
      </w:r>
      <w:r w:rsidRPr="009A7486">
        <w:rPr>
          <w:rFonts w:eastAsiaTheme="minorEastAsia"/>
          <w:color w:val="000000" w:themeColor="text1"/>
          <w:sz w:val="24"/>
        </w:rPr>
        <w:t>QDII</w:t>
      </w:r>
      <w:r w:rsidRPr="009A7486">
        <w:rPr>
          <w:rFonts w:eastAsiaTheme="minorEastAsia"/>
          <w:color w:val="000000" w:themeColor="text1"/>
          <w:sz w:val="24"/>
        </w:rPr>
        <w:t>资格。</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4.1.2</w:t>
      </w:r>
      <w:r w:rsidRPr="009A7486">
        <w:rPr>
          <w:rFonts w:eastAsiaTheme="minorEastAsia"/>
          <w:b/>
          <w:bCs/>
          <w:color w:val="000000" w:themeColor="text1"/>
          <w:kern w:val="0"/>
          <w:sz w:val="24"/>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0"/>
        <w:gridCol w:w="1075"/>
        <w:gridCol w:w="1615"/>
        <w:gridCol w:w="1260"/>
        <w:gridCol w:w="1260"/>
        <w:gridCol w:w="3240"/>
      </w:tblGrid>
      <w:tr w:rsidR="002C233F" w:rsidRPr="009A7486" w:rsidTr="004D5214">
        <w:tc>
          <w:tcPr>
            <w:tcW w:w="109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姓名</w:t>
            </w:r>
          </w:p>
        </w:tc>
        <w:tc>
          <w:tcPr>
            <w:tcW w:w="1075"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职务</w:t>
            </w:r>
          </w:p>
        </w:tc>
        <w:tc>
          <w:tcPr>
            <w:tcW w:w="2875" w:type="dxa"/>
            <w:gridSpan w:val="2"/>
            <w:tcBorders>
              <w:top w:val="single" w:sz="4" w:space="0" w:color="auto"/>
              <w:left w:val="single" w:sz="4" w:space="0" w:color="auto"/>
              <w:bottom w:val="single" w:sz="4" w:space="0" w:color="auto"/>
              <w:right w:val="single" w:sz="4" w:space="0" w:color="auto"/>
            </w:tcBorders>
            <w:hideMark/>
          </w:tcPr>
          <w:p w:rsidR="00872DF5" w:rsidRPr="009A7486" w:rsidRDefault="00872DF5" w:rsidP="004B36C2">
            <w:pPr>
              <w:spacing w:line="360" w:lineRule="auto"/>
              <w:jc w:val="center"/>
              <w:rPr>
                <w:rFonts w:eastAsiaTheme="minorEastAsia"/>
                <w:color w:val="000000" w:themeColor="text1"/>
                <w:sz w:val="24"/>
              </w:rPr>
            </w:pPr>
            <w:r w:rsidRPr="009A7486">
              <w:rPr>
                <w:rFonts w:eastAsiaTheme="minorEastAsia"/>
                <w:color w:val="000000" w:themeColor="text1"/>
                <w:sz w:val="24"/>
              </w:rPr>
              <w:t>任本基金的基金经理</w:t>
            </w:r>
          </w:p>
          <w:p w:rsidR="00223DFB" w:rsidRPr="009A7486" w:rsidRDefault="00872DF5"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（助理）期限</w:t>
            </w:r>
          </w:p>
        </w:tc>
        <w:tc>
          <w:tcPr>
            <w:tcW w:w="126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证券从业年限</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说明</w:t>
            </w:r>
          </w:p>
        </w:tc>
      </w:tr>
      <w:tr w:rsidR="002C233F" w:rsidRPr="009A7486" w:rsidTr="004D5214">
        <w:tc>
          <w:tcPr>
            <w:tcW w:w="9540" w:type="dxa"/>
            <w:vMerge/>
            <w:tcBorders>
              <w:top w:val="single" w:sz="4" w:space="0" w:color="auto"/>
              <w:left w:val="single" w:sz="4" w:space="0" w:color="auto"/>
              <w:bottom w:val="single" w:sz="4" w:space="0" w:color="auto"/>
              <w:right w:val="single" w:sz="4" w:space="0" w:color="auto"/>
            </w:tcBorders>
            <w:vAlign w:val="center"/>
            <w:hideMark/>
          </w:tcPr>
          <w:p w:rsidR="00223DFB" w:rsidRPr="009A7486" w:rsidRDefault="00223DFB" w:rsidP="004B36C2">
            <w:pPr>
              <w:widowControl/>
              <w:spacing w:line="360" w:lineRule="auto"/>
              <w:jc w:val="left"/>
              <w:rPr>
                <w:rFonts w:eastAsiaTheme="minorEastAsia"/>
                <w:color w:val="000000" w:themeColor="text1"/>
                <w:sz w:val="24"/>
              </w:rPr>
            </w:pPr>
          </w:p>
        </w:tc>
        <w:tc>
          <w:tcPr>
            <w:tcW w:w="1075" w:type="dxa"/>
            <w:vMerge/>
            <w:tcBorders>
              <w:top w:val="single" w:sz="4" w:space="0" w:color="auto"/>
              <w:left w:val="single" w:sz="4" w:space="0" w:color="auto"/>
              <w:bottom w:val="single" w:sz="4" w:space="0" w:color="auto"/>
              <w:right w:val="single" w:sz="4" w:space="0" w:color="auto"/>
            </w:tcBorders>
            <w:vAlign w:val="center"/>
            <w:hideMark/>
          </w:tcPr>
          <w:p w:rsidR="00223DFB" w:rsidRPr="009A7486" w:rsidRDefault="00223DFB" w:rsidP="004B36C2">
            <w:pPr>
              <w:widowControl/>
              <w:spacing w:line="360" w:lineRule="auto"/>
              <w:jc w:val="left"/>
              <w:rPr>
                <w:rFonts w:eastAsiaTheme="minorEastAsia"/>
                <w:color w:val="000000" w:themeColor="text1"/>
                <w:sz w:val="24"/>
              </w:rPr>
            </w:pPr>
          </w:p>
        </w:tc>
        <w:tc>
          <w:tcPr>
            <w:tcW w:w="1615" w:type="dxa"/>
            <w:tcBorders>
              <w:top w:val="single" w:sz="4" w:space="0" w:color="auto"/>
              <w:left w:val="single" w:sz="4" w:space="0" w:color="auto"/>
              <w:bottom w:val="single" w:sz="4" w:space="0" w:color="auto"/>
              <w:right w:val="single" w:sz="4" w:space="0" w:color="auto"/>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任职日期</w:t>
            </w:r>
          </w:p>
        </w:tc>
        <w:tc>
          <w:tcPr>
            <w:tcW w:w="1260" w:type="dxa"/>
            <w:tcBorders>
              <w:top w:val="single" w:sz="4" w:space="0" w:color="auto"/>
              <w:left w:val="single" w:sz="4" w:space="0" w:color="auto"/>
              <w:bottom w:val="single" w:sz="4" w:space="0" w:color="auto"/>
              <w:right w:val="single" w:sz="4" w:space="0" w:color="auto"/>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color w:val="000000" w:themeColor="text1"/>
                <w:sz w:val="24"/>
              </w:rPr>
              <w:t>离任日期</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223DFB" w:rsidRPr="009A7486" w:rsidRDefault="00223DFB" w:rsidP="004B36C2">
            <w:pPr>
              <w:widowControl/>
              <w:spacing w:line="360" w:lineRule="auto"/>
              <w:jc w:val="left"/>
              <w:rPr>
                <w:rFonts w:eastAsiaTheme="minorEastAsia"/>
                <w:color w:val="000000" w:themeColor="text1"/>
                <w:sz w:val="24"/>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223DFB" w:rsidRPr="009A7486" w:rsidRDefault="00223DFB" w:rsidP="004B36C2">
            <w:pPr>
              <w:widowControl/>
              <w:spacing w:line="360" w:lineRule="auto"/>
              <w:jc w:val="left"/>
              <w:rPr>
                <w:rFonts w:eastAsiaTheme="minorEastAsia"/>
                <w:color w:val="000000" w:themeColor="text1"/>
                <w:sz w:val="24"/>
              </w:rPr>
            </w:pPr>
          </w:p>
        </w:tc>
      </w:tr>
      <w:tr w:rsidR="005C48D6">
        <w:tc>
          <w:tcPr>
            <w:tcW w:w="1090" w:type="dxa"/>
            <w:vAlign w:val="center"/>
          </w:tcPr>
          <w:p w:rsidR="005C48D6" w:rsidRDefault="008F0294">
            <w:pPr>
              <w:jc w:val="center"/>
            </w:pPr>
            <w:r>
              <w:rPr>
                <w:rFonts w:eastAsiaTheme="minorEastAsia"/>
                <w:color w:val="000000" w:themeColor="text1"/>
                <w:sz w:val="24"/>
              </w:rPr>
              <w:t>李达夫</w:t>
            </w:r>
          </w:p>
        </w:tc>
        <w:tc>
          <w:tcPr>
            <w:tcW w:w="1075" w:type="dxa"/>
            <w:vAlign w:val="center"/>
          </w:tcPr>
          <w:p w:rsidR="005C48D6" w:rsidRDefault="008F0294">
            <w:pPr>
              <w:jc w:val="center"/>
            </w:pPr>
            <w:r>
              <w:rPr>
                <w:rFonts w:eastAsiaTheme="minorEastAsia"/>
                <w:color w:val="000000" w:themeColor="text1"/>
                <w:sz w:val="24"/>
              </w:rPr>
              <w:t>本基金基金经理，固定收益部副总监</w:t>
            </w:r>
          </w:p>
        </w:tc>
        <w:tc>
          <w:tcPr>
            <w:tcW w:w="1615" w:type="dxa"/>
            <w:vAlign w:val="center"/>
          </w:tcPr>
          <w:p w:rsidR="005C48D6" w:rsidRDefault="008F0294">
            <w:pPr>
              <w:jc w:val="center"/>
            </w:pPr>
            <w:r>
              <w:rPr>
                <w:rFonts w:eastAsiaTheme="minorEastAsia"/>
                <w:color w:val="000000" w:themeColor="text1"/>
                <w:sz w:val="24"/>
              </w:rPr>
              <w:t>2017-05-12</w:t>
            </w:r>
          </w:p>
        </w:tc>
        <w:tc>
          <w:tcPr>
            <w:tcW w:w="1260" w:type="dxa"/>
            <w:vAlign w:val="center"/>
          </w:tcPr>
          <w:p w:rsidR="005C48D6" w:rsidRDefault="008F0294">
            <w:pPr>
              <w:jc w:val="center"/>
            </w:pPr>
            <w:r>
              <w:rPr>
                <w:rFonts w:eastAsiaTheme="minorEastAsia"/>
                <w:color w:val="000000" w:themeColor="text1"/>
                <w:sz w:val="24"/>
              </w:rPr>
              <w:t>-</w:t>
            </w:r>
          </w:p>
        </w:tc>
        <w:tc>
          <w:tcPr>
            <w:tcW w:w="1260" w:type="dxa"/>
            <w:vAlign w:val="center"/>
          </w:tcPr>
          <w:p w:rsidR="005C48D6" w:rsidRDefault="008F0294">
            <w:pPr>
              <w:jc w:val="center"/>
            </w:pPr>
            <w:r>
              <w:rPr>
                <w:rFonts w:eastAsiaTheme="minorEastAsia"/>
                <w:color w:val="000000" w:themeColor="text1"/>
                <w:sz w:val="24"/>
              </w:rPr>
              <w:t>12</w:t>
            </w:r>
          </w:p>
        </w:tc>
        <w:tc>
          <w:tcPr>
            <w:tcW w:w="3240" w:type="dxa"/>
            <w:vAlign w:val="center"/>
          </w:tcPr>
          <w:p w:rsidR="005C48D6" w:rsidRDefault="008F0294">
            <w:r>
              <w:rPr>
                <w:rFonts w:eastAsiaTheme="minorEastAsia"/>
                <w:color w:val="000000" w:themeColor="text1"/>
                <w:sz w:val="24"/>
              </w:rPr>
              <w:t>中国籍，硕士，具有基金从业资格，特许金融分析师协会（</w:t>
            </w:r>
            <w:r>
              <w:rPr>
                <w:rFonts w:eastAsiaTheme="minorEastAsia"/>
                <w:color w:val="000000" w:themeColor="text1"/>
                <w:sz w:val="24"/>
              </w:rPr>
              <w:t>CFA Institute</w:t>
            </w:r>
            <w:r>
              <w:rPr>
                <w:rFonts w:eastAsiaTheme="minorEastAsia"/>
                <w:color w:val="000000" w:themeColor="text1"/>
                <w:sz w:val="24"/>
              </w:rPr>
              <w:t>）和全球风险协会（</w:t>
            </w:r>
            <w:r>
              <w:rPr>
                <w:rFonts w:eastAsiaTheme="minorEastAsia"/>
                <w:color w:val="000000" w:themeColor="text1"/>
                <w:sz w:val="24"/>
              </w:rPr>
              <w:t>GARP</w:t>
            </w:r>
            <w:r>
              <w:rPr>
                <w:rFonts w:eastAsiaTheme="minorEastAsia"/>
                <w:color w:val="000000" w:themeColor="text1"/>
                <w:sz w:val="24"/>
              </w:rPr>
              <w:t>）会员，拥有特许金融分析师（</w:t>
            </w:r>
            <w:r>
              <w:rPr>
                <w:rFonts w:eastAsiaTheme="minorEastAsia"/>
                <w:color w:val="000000" w:themeColor="text1"/>
                <w:sz w:val="24"/>
              </w:rPr>
              <w:t>CFA</w:t>
            </w:r>
            <w:r>
              <w:rPr>
                <w:rFonts w:eastAsiaTheme="minorEastAsia"/>
                <w:color w:val="000000" w:themeColor="text1"/>
                <w:sz w:val="24"/>
              </w:rPr>
              <w:t>）和金融风险管理师（</w:t>
            </w:r>
            <w:r>
              <w:rPr>
                <w:rFonts w:eastAsiaTheme="minorEastAsia"/>
                <w:color w:val="000000" w:themeColor="text1"/>
                <w:sz w:val="24"/>
              </w:rPr>
              <w:t>FRM</w:t>
            </w:r>
            <w:r>
              <w:rPr>
                <w:rFonts w:eastAsiaTheme="minorEastAsia"/>
                <w:color w:val="000000" w:themeColor="text1"/>
                <w:sz w:val="24"/>
              </w:rPr>
              <w:t>）资格。曾任东莞农商银行资金营运中心交易员、研究员，国投瑞银基金管理有限公司交易员、研究员、基金经理，大成基金管理有限公司基金经理。曾任国投瑞银货币市场基金、大成货币市场证券投资基金、大成现金增利货币市场证券投资基金、大成景安短融债券型证券投资基金、大成信用增利一年定期开放债券型证券投资基金及大成恒丰宝货币市场基金基金经理。</w:t>
            </w:r>
            <w:r>
              <w:rPr>
                <w:rFonts w:eastAsiaTheme="minorEastAsia"/>
                <w:color w:val="000000" w:themeColor="text1"/>
                <w:sz w:val="24"/>
              </w:rPr>
              <w:t>2016</w:t>
            </w:r>
            <w:r>
              <w:rPr>
                <w:rFonts w:eastAsiaTheme="minorEastAsia"/>
                <w:color w:val="000000" w:themeColor="text1"/>
                <w:sz w:val="24"/>
              </w:rPr>
              <w:t>年</w:t>
            </w:r>
            <w:r>
              <w:rPr>
                <w:rFonts w:eastAsiaTheme="minorEastAsia"/>
                <w:color w:val="000000" w:themeColor="text1"/>
                <w:sz w:val="24"/>
              </w:rPr>
              <w:t>10</w:t>
            </w:r>
            <w:r>
              <w:rPr>
                <w:rFonts w:eastAsiaTheme="minorEastAsia"/>
                <w:color w:val="000000" w:themeColor="text1"/>
                <w:sz w:val="24"/>
              </w:rPr>
              <w:t>月加入国投瑞银基金管理有限公司，现任国投瑞银货币市场基金、国投瑞银钱多宝货币市场基金、国投瑞银增利宝货币市场基金、国投瑞银添利宝货币市场基金、国投瑞银岁添利一年期定期开放债券型证券投资基金、国投瑞银新活力定期开放混合型证券投资基金（原国投瑞银新活力灵活配置混合型证券投资基金）、国投瑞银顺达纯债债券型证券投资基金、国投瑞银顺昌纯债债券型证券投资基金、国投瑞银顺祥定期开放债券型发起式证券投资基金、国投瑞银恒泽中短债债券型证券投资基金及国投瑞银优选收益混合型证券投资基金经理。</w:t>
            </w:r>
          </w:p>
        </w:tc>
      </w:tr>
      <w:tr w:rsidR="005C48D6">
        <w:tc>
          <w:tcPr>
            <w:tcW w:w="1090" w:type="dxa"/>
            <w:vAlign w:val="center"/>
          </w:tcPr>
          <w:p w:rsidR="005C48D6" w:rsidRDefault="008F0294">
            <w:pPr>
              <w:jc w:val="center"/>
            </w:pPr>
            <w:r>
              <w:rPr>
                <w:rFonts w:eastAsiaTheme="minorEastAsia"/>
                <w:color w:val="000000" w:themeColor="text1"/>
                <w:sz w:val="24"/>
              </w:rPr>
              <w:t>颜文浩</w:t>
            </w:r>
          </w:p>
        </w:tc>
        <w:tc>
          <w:tcPr>
            <w:tcW w:w="1075" w:type="dxa"/>
            <w:vAlign w:val="center"/>
          </w:tcPr>
          <w:p w:rsidR="005C48D6" w:rsidRDefault="008F0294">
            <w:pPr>
              <w:jc w:val="center"/>
            </w:pPr>
            <w:r>
              <w:rPr>
                <w:rFonts w:eastAsiaTheme="minorEastAsia"/>
                <w:color w:val="000000" w:themeColor="text1"/>
                <w:sz w:val="24"/>
              </w:rPr>
              <w:t>本基金基金经理</w:t>
            </w:r>
          </w:p>
        </w:tc>
        <w:tc>
          <w:tcPr>
            <w:tcW w:w="1615" w:type="dxa"/>
            <w:vAlign w:val="center"/>
          </w:tcPr>
          <w:p w:rsidR="005C48D6" w:rsidRDefault="008F0294">
            <w:pPr>
              <w:jc w:val="center"/>
            </w:pPr>
            <w:r>
              <w:rPr>
                <w:rFonts w:eastAsiaTheme="minorEastAsia"/>
                <w:color w:val="000000" w:themeColor="text1"/>
                <w:sz w:val="24"/>
              </w:rPr>
              <w:t>2017-06-27</w:t>
            </w:r>
          </w:p>
        </w:tc>
        <w:tc>
          <w:tcPr>
            <w:tcW w:w="1260" w:type="dxa"/>
            <w:vAlign w:val="center"/>
          </w:tcPr>
          <w:p w:rsidR="005C48D6" w:rsidRDefault="008F0294">
            <w:pPr>
              <w:jc w:val="center"/>
            </w:pPr>
            <w:r>
              <w:rPr>
                <w:rFonts w:eastAsiaTheme="minorEastAsia"/>
                <w:color w:val="000000" w:themeColor="text1"/>
                <w:sz w:val="24"/>
              </w:rPr>
              <w:t>-</w:t>
            </w:r>
          </w:p>
        </w:tc>
        <w:tc>
          <w:tcPr>
            <w:tcW w:w="1260" w:type="dxa"/>
            <w:vAlign w:val="center"/>
          </w:tcPr>
          <w:p w:rsidR="005C48D6" w:rsidRDefault="008F0294">
            <w:pPr>
              <w:jc w:val="center"/>
            </w:pPr>
            <w:r>
              <w:rPr>
                <w:rFonts w:eastAsiaTheme="minorEastAsia"/>
                <w:color w:val="000000" w:themeColor="text1"/>
                <w:sz w:val="24"/>
              </w:rPr>
              <w:t>8</w:t>
            </w:r>
          </w:p>
        </w:tc>
        <w:tc>
          <w:tcPr>
            <w:tcW w:w="3240" w:type="dxa"/>
            <w:vAlign w:val="center"/>
          </w:tcPr>
          <w:p w:rsidR="005C48D6" w:rsidRDefault="008F0294">
            <w:r>
              <w:rPr>
                <w:rFonts w:eastAsiaTheme="minorEastAsia"/>
                <w:color w:val="000000" w:themeColor="text1"/>
                <w:sz w:val="24"/>
              </w:rPr>
              <w:t>中国籍，硕士，具有基金从业资格。</w:t>
            </w:r>
            <w:r>
              <w:rPr>
                <w:rFonts w:eastAsiaTheme="minorEastAsia"/>
                <w:color w:val="000000" w:themeColor="text1"/>
                <w:sz w:val="24"/>
              </w:rPr>
              <w:t>2010</w:t>
            </w:r>
            <w:r>
              <w:rPr>
                <w:rFonts w:eastAsiaTheme="minorEastAsia"/>
                <w:color w:val="000000" w:themeColor="text1"/>
                <w:sz w:val="24"/>
              </w:rPr>
              <w:t>年</w:t>
            </w:r>
            <w:r>
              <w:rPr>
                <w:rFonts w:eastAsiaTheme="minorEastAsia"/>
                <w:color w:val="000000" w:themeColor="text1"/>
                <w:sz w:val="24"/>
              </w:rPr>
              <w:t>10</w:t>
            </w:r>
            <w:r>
              <w:rPr>
                <w:rFonts w:eastAsiaTheme="minorEastAsia"/>
                <w:color w:val="000000" w:themeColor="text1"/>
                <w:sz w:val="24"/>
              </w:rPr>
              <w:t>月加入国投瑞银。曾任国投瑞银瑞易货币市场基金、国投瑞银瑞达混合型证券投资基金及国投瑞银全球债券精选证券投资基金基金经理。现任国投瑞银钱多宝货币市场基金、国投瑞银增利宝货币市场基金、国投瑞银添利宝货币市场基金、国投瑞银招财灵活配置混合型证券投资基金（原国投瑞银招财保本混合型证券投资基金）、国投瑞银顺鑫定期开放债券型发起式证券投资基金（原国投瑞银顺鑫一年期定期开放债券型证券投资基金）、国投瑞银融华债券型证券投资基金、国投瑞银策略精选灵活配置混合型证券投资基金、国投瑞银货币市场基金、国投瑞银顺泓定期开放债券型证券投资基金及国投瑞银顺祥定期开放债券型发起式证券投资基金基金经理。</w:t>
            </w:r>
          </w:p>
        </w:tc>
      </w:tr>
    </w:tbl>
    <w:p w:rsidR="00223DFB" w:rsidRPr="009A7486" w:rsidRDefault="00223DFB"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注：任职日期和离任日期均指公司作出决定后正式对外公告之日。证券从业的含义遵从行业协会《证券业从业人员资格管理办法》的相关规定。</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 xml:space="preserve">4.2 </w:t>
      </w:r>
      <w:r w:rsidRPr="009A7486">
        <w:rPr>
          <w:rFonts w:eastAsiaTheme="minorEastAsia"/>
          <w:b/>
          <w:bCs/>
          <w:color w:val="000000" w:themeColor="text1"/>
          <w:kern w:val="0"/>
          <w:sz w:val="24"/>
        </w:rPr>
        <w:t>管理人对报告期内本基金运作遵规守信情况的说明</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在报告期内，本基金管理人遵守《证券投资基金法》及其系列法规和《国投瑞银货币市场基金基金合同》等有关规定，本着恪守诚信、审慎勤勉，忠实尽职的原则，为基金份额持有人的利益管理和运用基金资产。在报告期内，基金的投资决策规范，基金运作合法合规，没有损害基金份额持有人利益的行为。</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 xml:space="preserve">4.3 </w:t>
      </w:r>
      <w:r w:rsidRPr="009A7486">
        <w:rPr>
          <w:rFonts w:eastAsiaTheme="minorEastAsia"/>
          <w:b/>
          <w:bCs/>
          <w:color w:val="000000" w:themeColor="text1"/>
          <w:kern w:val="0"/>
          <w:sz w:val="24"/>
        </w:rPr>
        <w:t>管理人对报告期内公平交易情况的专项说明</w:t>
      </w:r>
    </w:p>
    <w:p w:rsidR="00223DFB" w:rsidRPr="009A7486" w:rsidRDefault="00223DFB" w:rsidP="00CB1276">
      <w:pPr>
        <w:spacing w:line="360" w:lineRule="auto"/>
        <w:rPr>
          <w:rFonts w:eastAsiaTheme="minorEastAsia"/>
          <w:b/>
          <w:bCs/>
          <w:color w:val="000000" w:themeColor="text1"/>
          <w:kern w:val="0"/>
          <w:sz w:val="24"/>
        </w:rPr>
      </w:pPr>
      <w:r w:rsidRPr="009A7486">
        <w:rPr>
          <w:rFonts w:eastAsiaTheme="minorEastAsia"/>
          <w:b/>
          <w:bCs/>
          <w:color w:val="000000" w:themeColor="text1"/>
          <w:kern w:val="0"/>
          <w:sz w:val="24"/>
        </w:rPr>
        <w:t>4.3.1</w:t>
      </w:r>
      <w:r w:rsidRPr="009A7486">
        <w:rPr>
          <w:rFonts w:eastAsiaTheme="minorEastAsia"/>
          <w:b/>
          <w:bCs/>
          <w:color w:val="000000" w:themeColor="text1"/>
          <w:kern w:val="0"/>
          <w:sz w:val="24"/>
        </w:rPr>
        <w:t>公平交易制度和控制方法</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管理人依据证监会《证券投资基金管理公司公平交易制度指导意见》的要求，制定了公平交易管理相关的《公平交易管理规定》、《交易管理办法》、《异常交易管理规定》等系列制度，并建立和完善了相应的控制措施和业务流程。</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管理人公平交易管理坚持以下原则：</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、当管理人利益和基金持有人利益发生冲突时，坚持基金持有人利益优先；</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、当不同资产委托人利益发生冲突时，应公平的对待不同的资产委托人；</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3</w:t>
      </w:r>
      <w:r>
        <w:rPr>
          <w:rFonts w:eastAsiaTheme="minorEastAsia"/>
          <w:color w:val="000000" w:themeColor="text1"/>
          <w:sz w:val="24"/>
        </w:rPr>
        <w:t>、公平对待管理人旗下管理的不同投资组合；</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4</w:t>
      </w:r>
      <w:r>
        <w:rPr>
          <w:rFonts w:eastAsiaTheme="minorEastAsia"/>
          <w:color w:val="000000" w:themeColor="text1"/>
          <w:sz w:val="24"/>
        </w:rPr>
        <w:t>、严禁直接或者通过第三方的交易安排在不同投资组合之间进行利益输送。</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管理人有关公平交易控制制度的要点如下：</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、不断完善投资决策、研究支持、交易管理的制度和流程，提高投资管理的科学性和客观性，确保在公司内建立适用于所有投资组合的公平交易环境。</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、公平交易的范围覆盖所有投资品种，以及一级市场申购、二级市场交易和公司内部证券分配等所有投资管理活动，同时涵盖研究分析、授权、投资决策、交易执行、业绩评估等投资管理活动相关的各个环节。</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3</w:t>
      </w:r>
      <w:r>
        <w:rPr>
          <w:rFonts w:eastAsiaTheme="minorEastAsia"/>
          <w:color w:val="000000" w:themeColor="text1"/>
          <w:sz w:val="24"/>
        </w:rPr>
        <w:t>、合理设置各类资产管理业务之间以及各类资产管理业务内部的组织结构，在保证各投资组合投资决策相对独立性的同时，确保其在获得投资信息、投资建议和实施投资决策方面享有公平的机会。</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4</w:t>
      </w:r>
      <w:r>
        <w:rPr>
          <w:rFonts w:eastAsiaTheme="minorEastAsia"/>
          <w:color w:val="000000" w:themeColor="text1"/>
          <w:sz w:val="24"/>
        </w:rPr>
        <w:t>、建立科学的投资决策体系，加强交易分配的内部控制，通过严格的制度、流程、技术手段等保证公平交易原则的实现，同时通过监察稽核，事后分析及信息披露来加强对公平交易的监督。</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管理人有关公平交易控制方法的要点如下：</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以系统强制控制为优先措施。公司通过不断完善投资决策、研究支持、交易执行相关的信息管理系统，充分发挥系统的自动控制功能，根据公平交易管理的要求，在系统中设置相应业务流转顺序、控制阀值或者触发机制，对触及阀值的行为视情况分别采取警告、强制禁止等控制措施或对特定业务自动执行必要的后续流程。如：符合交易条件的不同投资组合的同向交易指令在交易系统中强制采用公平委托功能进行交易，内部研究报告在研究系统中一经发布会自动推送到所有基金经理、投资经理，控制阀值的修改必须经监察稽核部通过系统进行复核并点击同意才能生效等。</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以双人复核、集体决策为控制的辅助手段。对于无法通过系统进行强制控制的业务活动，通过建立明确的业务规则和流程，在关键控制点采取双人复核或集体决策等控制机制，通过分别对控制事项签署意见并顺序流转的要求，实现对关键业务风险的管理。如：以公司名义进行的一级市场申购结果分配，需要经过严格的公平性审核，由交易部负责人、运营部负责人、监察稽核部负责人以及投资组合经理共同确认对分配结果无异议并签署后才为有效。</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3</w:t>
      </w:r>
      <w:r>
        <w:rPr>
          <w:rFonts w:eastAsiaTheme="minorEastAsia"/>
          <w:color w:val="000000" w:themeColor="text1"/>
          <w:sz w:val="24"/>
        </w:rPr>
        <w:t>、以日常监控为督促手段。公司交易部、监察稽核部、运营部设置专门岗位，分别在交易过程中、日中、清算后对有关公平交易规则的执行情况进行监控，并按既定的报告要求及时揭示违反规定的情况，监督督促公平交易制度的执行。如：交易部对相同投资经理管理不同投资组合指令时间差的监督，监察稽核部对日中不同组合交易相同证券的价差分析以及运营部对银行间指令要素和签署情况的检查等。</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4</w:t>
      </w:r>
      <w:r>
        <w:rPr>
          <w:rFonts w:eastAsiaTheme="minorEastAsia"/>
          <w:color w:val="000000" w:themeColor="text1"/>
          <w:sz w:val="24"/>
        </w:rPr>
        <w:t>、以事后专项稽核和定期公平交易分析为完善措施。内部审计专员负责不定期对公司执行公平交易的情况进行专项稽核，监察稽核部分别于每季度和每年度对公司管理的不同投资组合的整体收益率差异、分投资类别（股票、债券）的收益率差异进行分析，对连续四个季度期间内、不同时间窗下（如日内、</w:t>
      </w:r>
      <w:r>
        <w:rPr>
          <w:rFonts w:eastAsiaTheme="minorEastAsia"/>
          <w:color w:val="000000" w:themeColor="text1"/>
          <w:sz w:val="24"/>
        </w:rPr>
        <w:t>3</w:t>
      </w:r>
      <w:r>
        <w:rPr>
          <w:rFonts w:eastAsiaTheme="minorEastAsia"/>
          <w:color w:val="000000" w:themeColor="text1"/>
          <w:sz w:val="24"/>
        </w:rPr>
        <w:t>日内、</w:t>
      </w:r>
      <w:r>
        <w:rPr>
          <w:rFonts w:eastAsiaTheme="minorEastAsia"/>
          <w:color w:val="000000" w:themeColor="text1"/>
          <w:sz w:val="24"/>
        </w:rPr>
        <w:t>5</w:t>
      </w:r>
      <w:r>
        <w:rPr>
          <w:rFonts w:eastAsiaTheme="minorEastAsia"/>
          <w:color w:val="000000" w:themeColor="text1"/>
          <w:sz w:val="24"/>
        </w:rPr>
        <w:t>日内）公司管理的不同投资组合同向交易的交易价差进行分析。通过事后的专项稽核和定期分析，发现控制薄弱环节或交易价差异常，将重新核查公司投资决策和交易执行环节的内部控制，针对潜在问题完善公平交易制度和流程。</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5</w:t>
      </w:r>
      <w:r w:rsidRPr="009A7486">
        <w:rPr>
          <w:rFonts w:eastAsiaTheme="minorEastAsia"/>
          <w:color w:val="000000" w:themeColor="text1"/>
          <w:sz w:val="24"/>
        </w:rPr>
        <w:t>、加强信息披露和接受外部监督。公司在各投资组合的定期报告中，披露公司整体公平交易制度执行情况以及异常交易行为专项说明，接受社会监督。公司定期接受外部审计的检查，公平交易管理一直是外部审计的重点之一。基金评价机构在开展基金评价业务时，将公平交易制度的完善程度、执行情况及信息披露作为评价内容之一。公司每季度会向证监会报告经投资组合经理、督察长、总经理签署后的公平交易制度执行情况，并对特定资产管理业务与证券投资基金之间的业绩比较、异常交易行为做专项说明。公司内部稽核或定期分析中发现公平交易管理中的异常问题，也将在向证监会报送的监察稽核季度报告和年度报告中做专项说明。证监会通过现场检查和非现场监管等方式，也会对公司公平交易制度的执行情况进行检查和分析，并会同证券交易所等对公司异常交易行为进行监控。对于发现的不公平交易和利益输送行为，将依法采取相关监管措施。</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4.3.2</w:t>
      </w:r>
      <w:r w:rsidRPr="009A7486">
        <w:rPr>
          <w:rFonts w:eastAsiaTheme="minorEastAsia"/>
          <w:b/>
          <w:bCs/>
          <w:color w:val="000000" w:themeColor="text1"/>
          <w:kern w:val="0"/>
          <w:sz w:val="24"/>
        </w:rPr>
        <w:t>公平交易制度的执行情况</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本报告期内，管理人通过制度、流程和技术手段保证了公平交易原则的实现，确保本基金管理人旗下各投资组合在研究、决策、交易执行等各方面均得到公平对待，通过对投资交易行为的监控、分析评估和信息披露来加强对公平交易过程和结果的监督，形成了有效地公平交易体系。本报告期，本基金管理人各项公平交易制度流程均得到良好地贯彻执行，未发现存在违反公平交易原则的现象。</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报告期内，管理人于每季度和年度对公司管理的不同投资组合的整体收益率差异、分投资类别（股票、债券）的收益率差异进行分析，对连续四个季度期间内、不同时间窗下（如日内、</w:t>
      </w:r>
      <w:r>
        <w:rPr>
          <w:rFonts w:eastAsiaTheme="minorEastAsia"/>
          <w:color w:val="000000" w:themeColor="text1"/>
          <w:sz w:val="24"/>
        </w:rPr>
        <w:t>3</w:t>
      </w:r>
      <w:r>
        <w:rPr>
          <w:rFonts w:eastAsiaTheme="minorEastAsia"/>
          <w:color w:val="000000" w:themeColor="text1"/>
          <w:sz w:val="24"/>
        </w:rPr>
        <w:t>日内、</w:t>
      </w:r>
      <w:r>
        <w:rPr>
          <w:rFonts w:eastAsiaTheme="minorEastAsia"/>
          <w:color w:val="000000" w:themeColor="text1"/>
          <w:sz w:val="24"/>
        </w:rPr>
        <w:t>5</w:t>
      </w:r>
      <w:r>
        <w:rPr>
          <w:rFonts w:eastAsiaTheme="minorEastAsia"/>
          <w:color w:val="000000" w:themeColor="text1"/>
          <w:sz w:val="24"/>
        </w:rPr>
        <w:t>日内）公司管理的不同投资组合同向交易的交易价差进行分析。本年度同向交易价差专项分析的情况如下：</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1</w:t>
      </w:r>
      <w:r>
        <w:rPr>
          <w:rFonts w:eastAsiaTheme="minorEastAsia"/>
          <w:color w:val="000000" w:themeColor="text1"/>
          <w:sz w:val="24"/>
        </w:rPr>
        <w:t>、管理人对所有投资组合在过去连续四个季度内同向交易相同证券的交易价差的溢价率进行分析，对两两组合同向交易成交价格均值的溢价率是否趋近于零进行</w:t>
      </w:r>
      <w:r>
        <w:rPr>
          <w:rFonts w:eastAsiaTheme="minorEastAsia"/>
          <w:color w:val="000000" w:themeColor="text1"/>
          <w:sz w:val="24"/>
        </w:rPr>
        <w:t>T</w:t>
      </w:r>
      <w:r>
        <w:rPr>
          <w:rFonts w:eastAsiaTheme="minorEastAsia"/>
          <w:color w:val="000000" w:themeColor="text1"/>
          <w:sz w:val="24"/>
        </w:rPr>
        <w:t>检验，检验在</w:t>
      </w:r>
      <w:r>
        <w:rPr>
          <w:rFonts w:eastAsiaTheme="minorEastAsia"/>
          <w:color w:val="000000" w:themeColor="text1"/>
          <w:sz w:val="24"/>
        </w:rPr>
        <w:t>95%</w:t>
      </w:r>
      <w:r>
        <w:rPr>
          <w:rFonts w:eastAsiaTheme="minorEastAsia"/>
          <w:color w:val="000000" w:themeColor="text1"/>
          <w:sz w:val="24"/>
        </w:rPr>
        <w:t>的可信水平下，价格均值的溢价率趋近于零是否存在检验不通过的情况。</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2</w:t>
      </w:r>
      <w:r>
        <w:rPr>
          <w:rFonts w:eastAsiaTheme="minorEastAsia"/>
          <w:color w:val="000000" w:themeColor="text1"/>
          <w:sz w:val="24"/>
        </w:rPr>
        <w:t>、管理人对所有投资组合在过去连续四个季度内同向交易相同证券的交易价差优劣进行比较，区分买优、卖优、买次、卖次等情况分别分析两两组合在期间内交易时是否存在显著优于另一方的异常情况，</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3</w:t>
      </w:r>
      <w:r>
        <w:rPr>
          <w:rFonts w:eastAsiaTheme="minorEastAsia"/>
          <w:color w:val="000000" w:themeColor="text1"/>
          <w:sz w:val="24"/>
        </w:rPr>
        <w:t>、管理人对所有投资组合在过去连续四个季度内同向交易相同证券的交易价差区分两两组合进行利益输送的模拟测算，检查在过去四个季度内，是否存在显著异常的情况。</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检验分析结果显示，公司管理的所有投资组合，在过去连续四个季度内未发现存在违反公平交易原则的情况。</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4.3.3</w:t>
      </w:r>
      <w:r w:rsidRPr="009A7486">
        <w:rPr>
          <w:rFonts w:eastAsiaTheme="minorEastAsia"/>
          <w:b/>
          <w:bCs/>
          <w:color w:val="000000" w:themeColor="text1"/>
          <w:kern w:val="0"/>
          <w:sz w:val="24"/>
        </w:rPr>
        <w:t>异常交易行为的专项说明</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本基金于本报告期内不存在异常交易行为。</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基金管理人管理的所有投资组合在本报告期内未出现参与交易所公开竞价同日反向交易成交较少的单边交易量超过该证券当日总成交量</w:t>
      </w:r>
      <w:r w:rsidRPr="009A7486">
        <w:rPr>
          <w:rFonts w:eastAsiaTheme="minorEastAsia"/>
          <w:color w:val="000000" w:themeColor="text1"/>
          <w:sz w:val="24"/>
        </w:rPr>
        <w:t>5%</w:t>
      </w:r>
      <w:r w:rsidRPr="009A7486">
        <w:rPr>
          <w:rFonts w:eastAsiaTheme="minorEastAsia"/>
          <w:color w:val="000000" w:themeColor="text1"/>
          <w:sz w:val="24"/>
        </w:rPr>
        <w:t>的交易情况。</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 xml:space="preserve">4.4 </w:t>
      </w:r>
      <w:r w:rsidRPr="009A7486">
        <w:rPr>
          <w:rFonts w:eastAsiaTheme="minorEastAsia"/>
          <w:b/>
          <w:bCs/>
          <w:color w:val="000000" w:themeColor="text1"/>
          <w:kern w:val="0"/>
          <w:sz w:val="24"/>
        </w:rPr>
        <w:t>管理人对报告期内基金的投资策略和业绩表现的说明</w:t>
      </w:r>
    </w:p>
    <w:p w:rsidR="00223DFB" w:rsidRPr="009A7486" w:rsidRDefault="00223DFB" w:rsidP="00CB1276">
      <w:pPr>
        <w:spacing w:line="360" w:lineRule="auto"/>
        <w:rPr>
          <w:rFonts w:eastAsiaTheme="minorEastAsia"/>
          <w:b/>
          <w:bCs/>
          <w:color w:val="000000" w:themeColor="text1"/>
          <w:kern w:val="0"/>
          <w:sz w:val="24"/>
        </w:rPr>
      </w:pPr>
      <w:r w:rsidRPr="009A7486">
        <w:rPr>
          <w:rFonts w:eastAsiaTheme="minorEastAsia"/>
          <w:b/>
          <w:bCs/>
          <w:color w:val="000000" w:themeColor="text1"/>
          <w:kern w:val="0"/>
          <w:sz w:val="24"/>
        </w:rPr>
        <w:t>4.4.1</w:t>
      </w:r>
      <w:r w:rsidRPr="009A7486">
        <w:rPr>
          <w:rFonts w:eastAsiaTheme="minorEastAsia"/>
          <w:b/>
          <w:bCs/>
          <w:color w:val="000000" w:themeColor="text1"/>
          <w:kern w:val="0"/>
          <w:sz w:val="24"/>
        </w:rPr>
        <w:t>报告期内基金投资策略和运作分析</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2018</w:t>
      </w:r>
      <w:r>
        <w:rPr>
          <w:rFonts w:eastAsiaTheme="minorEastAsia"/>
          <w:color w:val="000000" w:themeColor="text1"/>
          <w:sz w:val="24"/>
        </w:rPr>
        <w:t>年经济下行压力逐渐显现，四个季度实际</w:t>
      </w:r>
      <w:r>
        <w:rPr>
          <w:rFonts w:eastAsiaTheme="minorEastAsia"/>
          <w:color w:val="000000" w:themeColor="text1"/>
          <w:sz w:val="24"/>
        </w:rPr>
        <w:t>GDP</w:t>
      </w:r>
      <w:r>
        <w:rPr>
          <w:rFonts w:eastAsiaTheme="minorEastAsia"/>
          <w:color w:val="000000" w:themeColor="text1"/>
          <w:sz w:val="24"/>
        </w:rPr>
        <w:t>逐季下滑，依次为：</w:t>
      </w:r>
      <w:r>
        <w:rPr>
          <w:rFonts w:eastAsiaTheme="minorEastAsia"/>
          <w:color w:val="000000" w:themeColor="text1"/>
          <w:sz w:val="24"/>
        </w:rPr>
        <w:t>6.8%</w:t>
      </w:r>
      <w:r>
        <w:rPr>
          <w:rFonts w:eastAsiaTheme="minorEastAsia"/>
          <w:color w:val="000000" w:themeColor="text1"/>
          <w:sz w:val="24"/>
        </w:rPr>
        <w:t>、</w:t>
      </w:r>
      <w:r>
        <w:rPr>
          <w:rFonts w:eastAsiaTheme="minorEastAsia"/>
          <w:color w:val="000000" w:themeColor="text1"/>
          <w:sz w:val="24"/>
        </w:rPr>
        <w:t>6.7%</w:t>
      </w:r>
      <w:r>
        <w:rPr>
          <w:rFonts w:eastAsiaTheme="minorEastAsia"/>
          <w:color w:val="000000" w:themeColor="text1"/>
          <w:sz w:val="24"/>
        </w:rPr>
        <w:t>、</w:t>
      </w:r>
      <w:r>
        <w:rPr>
          <w:rFonts w:eastAsiaTheme="minorEastAsia"/>
          <w:color w:val="000000" w:themeColor="text1"/>
          <w:sz w:val="24"/>
        </w:rPr>
        <w:t>6.5%</w:t>
      </w:r>
      <w:r>
        <w:rPr>
          <w:rFonts w:eastAsiaTheme="minorEastAsia"/>
          <w:color w:val="000000" w:themeColor="text1"/>
          <w:sz w:val="24"/>
        </w:rPr>
        <w:t>、</w:t>
      </w:r>
      <w:r>
        <w:rPr>
          <w:rFonts w:eastAsiaTheme="minorEastAsia"/>
          <w:color w:val="000000" w:themeColor="text1"/>
          <w:sz w:val="24"/>
        </w:rPr>
        <w:t>6.4%</w:t>
      </w:r>
      <w:r>
        <w:rPr>
          <w:rFonts w:eastAsiaTheme="minorEastAsia"/>
          <w:color w:val="000000" w:themeColor="text1"/>
          <w:sz w:val="24"/>
        </w:rPr>
        <w:t>，全年</w:t>
      </w:r>
      <w:r>
        <w:rPr>
          <w:rFonts w:eastAsiaTheme="minorEastAsia"/>
          <w:color w:val="000000" w:themeColor="text1"/>
          <w:sz w:val="24"/>
        </w:rPr>
        <w:t>GDP6.6%</w:t>
      </w:r>
      <w:r>
        <w:rPr>
          <w:rFonts w:eastAsiaTheme="minorEastAsia"/>
          <w:color w:val="000000" w:themeColor="text1"/>
          <w:sz w:val="24"/>
        </w:rPr>
        <w:t>，较</w:t>
      </w:r>
      <w:r>
        <w:rPr>
          <w:rFonts w:eastAsiaTheme="minorEastAsia"/>
          <w:color w:val="000000" w:themeColor="text1"/>
          <w:sz w:val="24"/>
        </w:rPr>
        <w:t>2017</w:t>
      </w:r>
      <w:r>
        <w:rPr>
          <w:rFonts w:eastAsiaTheme="minorEastAsia"/>
          <w:color w:val="000000" w:themeColor="text1"/>
          <w:sz w:val="24"/>
        </w:rPr>
        <w:t>年下行</w:t>
      </w:r>
      <w:r>
        <w:rPr>
          <w:rFonts w:eastAsiaTheme="minorEastAsia"/>
          <w:color w:val="000000" w:themeColor="text1"/>
          <w:sz w:val="24"/>
        </w:rPr>
        <w:t>0.2</w:t>
      </w:r>
      <w:r>
        <w:rPr>
          <w:rFonts w:eastAsiaTheme="minorEastAsia"/>
          <w:color w:val="000000" w:themeColor="text1"/>
          <w:sz w:val="24"/>
        </w:rPr>
        <w:t>个百分点。具体来看，固定资产投资增速下行，主要是由于基建投资增速大幅下行，但同期制造业投资表现超预期，房地产投资也维持高位。社会消费品零售额增速下行反映居民消费端压力渐显。出口增速前三季度维持高位，四季度开始大幅下行。通胀方面，</w:t>
      </w:r>
      <w:r>
        <w:rPr>
          <w:rFonts w:eastAsiaTheme="minorEastAsia"/>
          <w:color w:val="000000" w:themeColor="text1"/>
          <w:sz w:val="24"/>
        </w:rPr>
        <w:t>CPI</w:t>
      </w:r>
      <w:r>
        <w:rPr>
          <w:rFonts w:eastAsiaTheme="minorEastAsia"/>
          <w:color w:val="000000" w:themeColor="text1"/>
          <w:sz w:val="24"/>
        </w:rPr>
        <w:t>涨势温和，全年同比</w:t>
      </w:r>
      <w:r>
        <w:rPr>
          <w:rFonts w:eastAsiaTheme="minorEastAsia"/>
          <w:color w:val="000000" w:themeColor="text1"/>
          <w:sz w:val="24"/>
        </w:rPr>
        <w:t>2.1%</w:t>
      </w:r>
      <w:r>
        <w:rPr>
          <w:rFonts w:eastAsiaTheme="minorEastAsia"/>
          <w:color w:val="000000" w:themeColor="text1"/>
          <w:sz w:val="24"/>
        </w:rPr>
        <w:t>，增速回升</w:t>
      </w:r>
      <w:r>
        <w:rPr>
          <w:rFonts w:eastAsiaTheme="minorEastAsia"/>
          <w:color w:val="000000" w:themeColor="text1"/>
          <w:sz w:val="24"/>
        </w:rPr>
        <w:t>0.5</w:t>
      </w:r>
      <w:r>
        <w:rPr>
          <w:rFonts w:eastAsiaTheme="minorEastAsia"/>
          <w:color w:val="000000" w:themeColor="text1"/>
          <w:sz w:val="24"/>
        </w:rPr>
        <w:t>个百分点；</w:t>
      </w:r>
      <w:r>
        <w:rPr>
          <w:rFonts w:eastAsiaTheme="minorEastAsia"/>
          <w:color w:val="000000" w:themeColor="text1"/>
          <w:sz w:val="24"/>
        </w:rPr>
        <w:t>PPI</w:t>
      </w:r>
      <w:r>
        <w:rPr>
          <w:rFonts w:eastAsiaTheme="minorEastAsia"/>
          <w:color w:val="000000" w:themeColor="text1"/>
          <w:sz w:val="24"/>
        </w:rPr>
        <w:t>二季度以来呈现下滑趋势，全年同比</w:t>
      </w:r>
      <w:r>
        <w:rPr>
          <w:rFonts w:eastAsiaTheme="minorEastAsia"/>
          <w:color w:val="000000" w:themeColor="text1"/>
          <w:sz w:val="24"/>
        </w:rPr>
        <w:t>3.5%</w:t>
      </w:r>
      <w:r>
        <w:rPr>
          <w:rFonts w:eastAsiaTheme="minorEastAsia"/>
          <w:color w:val="000000" w:themeColor="text1"/>
          <w:sz w:val="24"/>
        </w:rPr>
        <w:t>，增速回落</w:t>
      </w:r>
      <w:r>
        <w:rPr>
          <w:rFonts w:eastAsiaTheme="minorEastAsia"/>
          <w:color w:val="000000" w:themeColor="text1"/>
          <w:sz w:val="24"/>
        </w:rPr>
        <w:t>2.8</w:t>
      </w:r>
      <w:r>
        <w:rPr>
          <w:rFonts w:eastAsiaTheme="minorEastAsia"/>
          <w:color w:val="000000" w:themeColor="text1"/>
          <w:sz w:val="24"/>
        </w:rPr>
        <w:t>个百分点。债券市场方面，在经济悲观预期不断强化、央行货币政策逐渐宽松的背景下，全年债券收益率大幅下行，</w:t>
      </w:r>
      <w:r>
        <w:rPr>
          <w:rFonts w:eastAsiaTheme="minorEastAsia"/>
          <w:color w:val="000000" w:themeColor="text1"/>
          <w:sz w:val="24"/>
        </w:rPr>
        <w:t>10</w:t>
      </w:r>
      <w:r>
        <w:rPr>
          <w:rFonts w:eastAsiaTheme="minorEastAsia"/>
          <w:color w:val="000000" w:themeColor="text1"/>
          <w:sz w:val="24"/>
        </w:rPr>
        <w:t>年期国债收益率从</w:t>
      </w:r>
      <w:r>
        <w:rPr>
          <w:rFonts w:eastAsiaTheme="minorEastAsia"/>
          <w:color w:val="000000" w:themeColor="text1"/>
          <w:sz w:val="24"/>
        </w:rPr>
        <w:t>3.90</w:t>
      </w:r>
      <w:r>
        <w:rPr>
          <w:rFonts w:eastAsiaTheme="minorEastAsia"/>
          <w:color w:val="000000" w:themeColor="text1"/>
          <w:sz w:val="24"/>
        </w:rPr>
        <w:t>附近下行至</w:t>
      </w:r>
      <w:r>
        <w:rPr>
          <w:rFonts w:eastAsiaTheme="minorEastAsia"/>
          <w:color w:val="000000" w:themeColor="text1"/>
          <w:sz w:val="24"/>
        </w:rPr>
        <w:t>3.20</w:t>
      </w:r>
      <w:r>
        <w:rPr>
          <w:rFonts w:eastAsiaTheme="minorEastAsia"/>
          <w:color w:val="000000" w:themeColor="text1"/>
          <w:sz w:val="24"/>
        </w:rPr>
        <w:t>附近，</w:t>
      </w:r>
      <w:r>
        <w:rPr>
          <w:rFonts w:eastAsiaTheme="minorEastAsia"/>
          <w:color w:val="000000" w:themeColor="text1"/>
          <w:sz w:val="24"/>
        </w:rPr>
        <w:t>10</w:t>
      </w:r>
      <w:r>
        <w:rPr>
          <w:rFonts w:eastAsiaTheme="minorEastAsia"/>
          <w:color w:val="000000" w:themeColor="text1"/>
          <w:sz w:val="24"/>
        </w:rPr>
        <w:t>年期国开债收益率从</w:t>
      </w:r>
      <w:r>
        <w:rPr>
          <w:rFonts w:eastAsiaTheme="minorEastAsia"/>
          <w:color w:val="000000" w:themeColor="text1"/>
          <w:sz w:val="24"/>
        </w:rPr>
        <w:t>4.90</w:t>
      </w:r>
      <w:r>
        <w:rPr>
          <w:rFonts w:eastAsiaTheme="minorEastAsia"/>
          <w:color w:val="000000" w:themeColor="text1"/>
          <w:sz w:val="24"/>
        </w:rPr>
        <w:t>附近下降至</w:t>
      </w:r>
      <w:r>
        <w:rPr>
          <w:rFonts w:eastAsiaTheme="minorEastAsia"/>
          <w:color w:val="000000" w:themeColor="text1"/>
          <w:sz w:val="24"/>
        </w:rPr>
        <w:t>3.65</w:t>
      </w:r>
      <w:r>
        <w:rPr>
          <w:rFonts w:eastAsiaTheme="minorEastAsia"/>
          <w:color w:val="000000" w:themeColor="text1"/>
          <w:sz w:val="24"/>
        </w:rPr>
        <w:t>附近。全年信用风险频发，信用债表现分化，高等级信用利差基本走平而中低等级信用利差走扩。存单市场方面，</w:t>
      </w:r>
      <w:r>
        <w:rPr>
          <w:rFonts w:eastAsiaTheme="minorEastAsia"/>
          <w:color w:val="000000" w:themeColor="text1"/>
          <w:sz w:val="24"/>
        </w:rPr>
        <w:t>1m</w:t>
      </w:r>
      <w:r>
        <w:rPr>
          <w:rFonts w:eastAsiaTheme="minorEastAsia"/>
          <w:color w:val="000000" w:themeColor="text1"/>
          <w:sz w:val="24"/>
        </w:rPr>
        <w:t>和</w:t>
      </w:r>
      <w:r>
        <w:rPr>
          <w:rFonts w:eastAsiaTheme="minorEastAsia"/>
          <w:color w:val="000000" w:themeColor="text1"/>
          <w:sz w:val="24"/>
        </w:rPr>
        <w:t>3m</w:t>
      </w:r>
      <w:r>
        <w:rPr>
          <w:rFonts w:eastAsiaTheme="minorEastAsia"/>
          <w:color w:val="000000" w:themeColor="text1"/>
          <w:sz w:val="24"/>
        </w:rPr>
        <w:t>存单由年初</w:t>
      </w:r>
      <w:r>
        <w:rPr>
          <w:rFonts w:eastAsiaTheme="minorEastAsia"/>
          <w:color w:val="000000" w:themeColor="text1"/>
          <w:sz w:val="24"/>
        </w:rPr>
        <w:t>4%</w:t>
      </w:r>
      <w:r>
        <w:rPr>
          <w:rFonts w:eastAsiaTheme="minorEastAsia"/>
          <w:color w:val="000000" w:themeColor="text1"/>
          <w:sz w:val="24"/>
        </w:rPr>
        <w:t>和</w:t>
      </w:r>
      <w:r>
        <w:rPr>
          <w:rFonts w:eastAsiaTheme="minorEastAsia"/>
          <w:color w:val="000000" w:themeColor="text1"/>
          <w:sz w:val="24"/>
        </w:rPr>
        <w:t>4.7%</w:t>
      </w:r>
      <w:r>
        <w:rPr>
          <w:rFonts w:eastAsiaTheme="minorEastAsia"/>
          <w:color w:val="000000" w:themeColor="text1"/>
          <w:sz w:val="24"/>
        </w:rPr>
        <w:t>下滑至年末</w:t>
      </w:r>
      <w:r>
        <w:rPr>
          <w:rFonts w:eastAsiaTheme="minorEastAsia"/>
          <w:color w:val="000000" w:themeColor="text1"/>
          <w:sz w:val="24"/>
        </w:rPr>
        <w:t>3.6%</w:t>
      </w:r>
      <w:r>
        <w:rPr>
          <w:rFonts w:eastAsiaTheme="minorEastAsia"/>
          <w:color w:val="000000" w:themeColor="text1"/>
          <w:sz w:val="24"/>
        </w:rPr>
        <w:t>和</w:t>
      </w:r>
      <w:r>
        <w:rPr>
          <w:rFonts w:eastAsiaTheme="minorEastAsia"/>
          <w:color w:val="000000" w:themeColor="text1"/>
          <w:sz w:val="24"/>
        </w:rPr>
        <w:t>3.45%</w:t>
      </w:r>
      <w:r>
        <w:rPr>
          <w:rFonts w:eastAsiaTheme="minorEastAsia"/>
          <w:color w:val="000000" w:themeColor="text1"/>
          <w:sz w:val="24"/>
        </w:rPr>
        <w:t>；由于季节效应，存单市场收益率季内波动剧烈。</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报告期内，本基金在预判组合规模变动规律以及货币市场利率季节效应的基础上，择时拉长组合剩余期限，加配银行存单，增强组合收益。</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4.4.2</w:t>
      </w:r>
      <w:r w:rsidRPr="009A7486">
        <w:rPr>
          <w:rFonts w:eastAsiaTheme="minorEastAsia"/>
          <w:b/>
          <w:bCs/>
          <w:color w:val="000000" w:themeColor="text1"/>
          <w:kern w:val="0"/>
          <w:sz w:val="24"/>
        </w:rPr>
        <w:t>报告期内基金的业绩表现</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本报告期内，本基金</w:t>
      </w:r>
      <w:r w:rsidRPr="009A7486">
        <w:rPr>
          <w:rFonts w:eastAsiaTheme="minorEastAsia"/>
          <w:color w:val="000000" w:themeColor="text1"/>
          <w:sz w:val="24"/>
        </w:rPr>
        <w:t>A</w:t>
      </w:r>
      <w:r w:rsidRPr="009A7486">
        <w:rPr>
          <w:rFonts w:eastAsiaTheme="minorEastAsia"/>
          <w:color w:val="000000" w:themeColor="text1"/>
          <w:sz w:val="24"/>
        </w:rPr>
        <w:t>级份额净值增长率为</w:t>
      </w:r>
      <w:r w:rsidRPr="009A7486">
        <w:rPr>
          <w:rFonts w:eastAsiaTheme="minorEastAsia"/>
          <w:color w:val="000000" w:themeColor="text1"/>
          <w:sz w:val="24"/>
        </w:rPr>
        <w:t>3.5366%</w:t>
      </w:r>
      <w:r w:rsidRPr="009A7486">
        <w:rPr>
          <w:rFonts w:eastAsiaTheme="minorEastAsia"/>
          <w:color w:val="000000" w:themeColor="text1"/>
          <w:sz w:val="24"/>
        </w:rPr>
        <w:t>，</w:t>
      </w:r>
      <w:r w:rsidRPr="009A7486">
        <w:rPr>
          <w:rFonts w:eastAsiaTheme="minorEastAsia"/>
          <w:color w:val="000000" w:themeColor="text1"/>
          <w:sz w:val="24"/>
        </w:rPr>
        <w:t>B</w:t>
      </w:r>
      <w:r w:rsidRPr="009A7486">
        <w:rPr>
          <w:rFonts w:eastAsiaTheme="minorEastAsia"/>
          <w:color w:val="000000" w:themeColor="text1"/>
          <w:sz w:val="24"/>
        </w:rPr>
        <w:t>级份额净值增长率为</w:t>
      </w:r>
      <w:r w:rsidRPr="009A7486">
        <w:rPr>
          <w:rFonts w:eastAsiaTheme="minorEastAsia"/>
          <w:color w:val="000000" w:themeColor="text1"/>
          <w:sz w:val="24"/>
        </w:rPr>
        <w:t>3.7863%</w:t>
      </w:r>
      <w:r w:rsidRPr="009A7486">
        <w:rPr>
          <w:rFonts w:eastAsiaTheme="minorEastAsia"/>
          <w:color w:val="000000" w:themeColor="text1"/>
          <w:sz w:val="24"/>
        </w:rPr>
        <w:t>，同期业绩比较基准收益率为</w:t>
      </w:r>
      <w:r w:rsidRPr="009A7486">
        <w:rPr>
          <w:rFonts w:eastAsiaTheme="minorEastAsia"/>
          <w:color w:val="000000" w:themeColor="text1"/>
          <w:sz w:val="24"/>
        </w:rPr>
        <w:t>1.3781%</w:t>
      </w:r>
      <w:r w:rsidRPr="009A7486">
        <w:rPr>
          <w:rFonts w:eastAsiaTheme="minorEastAsia"/>
          <w:color w:val="000000" w:themeColor="text1"/>
          <w:sz w:val="24"/>
        </w:rPr>
        <w:t>。</w:t>
      </w:r>
    </w:p>
    <w:p w:rsidR="0016754F" w:rsidRPr="009A7486" w:rsidRDefault="0016754F" w:rsidP="002855D4">
      <w:pPr>
        <w:spacing w:beforeLines="100" w:line="360" w:lineRule="auto"/>
        <w:rPr>
          <w:rFonts w:eastAsiaTheme="minorEastAsia"/>
          <w:b/>
          <w:bCs/>
          <w:color w:val="000000" w:themeColor="text1"/>
          <w:kern w:val="0"/>
          <w:sz w:val="24"/>
        </w:rPr>
      </w:pPr>
      <w:bookmarkStart w:id="0" w:name="_Toc361324859"/>
      <w:bookmarkStart w:id="1" w:name="_Toc225498259"/>
      <w:r w:rsidRPr="009A7486">
        <w:rPr>
          <w:rFonts w:eastAsiaTheme="minorEastAsia"/>
          <w:b/>
          <w:bCs/>
          <w:color w:val="000000" w:themeColor="text1"/>
          <w:kern w:val="0"/>
          <w:sz w:val="24"/>
        </w:rPr>
        <w:t xml:space="preserve">4.5 </w:t>
      </w:r>
      <w:r w:rsidRPr="009A7486">
        <w:rPr>
          <w:rFonts w:eastAsiaTheme="minorEastAsia"/>
          <w:b/>
          <w:bCs/>
          <w:color w:val="000000" w:themeColor="text1"/>
          <w:kern w:val="0"/>
          <w:sz w:val="24"/>
        </w:rPr>
        <w:t>管理人对宏观经济、证券市场及行业走势的简要展望</w:t>
      </w:r>
      <w:bookmarkEnd w:id="0"/>
      <w:bookmarkEnd w:id="1"/>
    </w:p>
    <w:p w:rsidR="0016754F" w:rsidRPr="009A7486" w:rsidRDefault="0016754F"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展望</w:t>
      </w:r>
      <w:r w:rsidRPr="009A7486">
        <w:rPr>
          <w:rFonts w:eastAsiaTheme="minorEastAsia"/>
          <w:color w:val="000000" w:themeColor="text1"/>
          <w:sz w:val="24"/>
        </w:rPr>
        <w:t>2019</w:t>
      </w:r>
      <w:r w:rsidRPr="009A7486">
        <w:rPr>
          <w:rFonts w:eastAsiaTheme="minorEastAsia"/>
          <w:color w:val="000000" w:themeColor="text1"/>
          <w:sz w:val="24"/>
        </w:rPr>
        <w:t>年，我们认为经济仍面临一定下行压力。利率债方面，经济基本面对利率债的支撑仍在，但前期市场收益率下滑已对基本面反应较为充分，收益率进一步下滑需要后续触发因素。货币政策方面，维持中性偏松可能性较大。考虑到监管因素对月末季末资金面产生较大影响，本组合在评估基金稳定规模和短期流动性要求的基础上，在相应的时点逐步增加中长期限标的如大额存单和短融的配置比例，争取为持有人创造更好的收益。</w:t>
      </w:r>
    </w:p>
    <w:p w:rsidR="0016754F" w:rsidRPr="009A7486" w:rsidRDefault="0016754F" w:rsidP="002855D4">
      <w:pPr>
        <w:spacing w:beforeLines="100" w:line="360" w:lineRule="auto"/>
        <w:rPr>
          <w:rFonts w:eastAsiaTheme="minorEastAsia"/>
          <w:b/>
          <w:bCs/>
          <w:color w:val="000000" w:themeColor="text1"/>
          <w:kern w:val="0"/>
          <w:sz w:val="24"/>
        </w:rPr>
      </w:pPr>
      <w:bookmarkStart w:id="2" w:name="_Toc361324861"/>
      <w:bookmarkStart w:id="3" w:name="_Toc225570083"/>
      <w:bookmarkStart w:id="4" w:name="_Toc247959457"/>
      <w:r w:rsidRPr="009A7486">
        <w:rPr>
          <w:rFonts w:eastAsiaTheme="minorEastAsia"/>
          <w:b/>
          <w:bCs/>
          <w:color w:val="000000" w:themeColor="text1"/>
          <w:kern w:val="0"/>
          <w:sz w:val="24"/>
        </w:rPr>
        <w:t xml:space="preserve">4.6 </w:t>
      </w:r>
      <w:r w:rsidRPr="009A7486">
        <w:rPr>
          <w:rFonts w:eastAsiaTheme="minorEastAsia"/>
          <w:b/>
          <w:bCs/>
          <w:color w:val="000000" w:themeColor="text1"/>
          <w:kern w:val="0"/>
          <w:sz w:val="24"/>
        </w:rPr>
        <w:t>管理人对报告期内基金估值程序等事项的说明</w:t>
      </w:r>
      <w:bookmarkEnd w:id="2"/>
      <w:bookmarkEnd w:id="3"/>
      <w:bookmarkEnd w:id="4"/>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本基金管理人从事基金估值业务的组织机构主要包括估值委员会、运营部及相关部门。</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本基金的日常估值程序通常由运营部估值核算岗执行并由业务复核岗复核估值结果，最终由估值核算员与产品托管人的估值结果核对一致。</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本基金的特别估值程序由估值委员会秘书部门运营部在收到启动特殊估值程序的请求后，应通过估值核算人员及时与基金托管人沟通协商，必要时征求会计师事务所的专业意见，并将有关信息及材料一并报送全体估值委员会成员；估值委员会应综合考虑投资部门、研究部和运营部等各方面的意见和建议，并按照有关议事规则讨论审议，决定批准或不批准使用特殊估值调整；运营部应当根据经估值委员会审议通过的特别估值调整意见执行估值程序，准备特殊估值调整事项的临时公告，并发起信息披露审批流程；监察稽核部应当对特殊估值调整事项的相关信息披露进行合规审核。</w:t>
      </w:r>
    </w:p>
    <w:p w:rsidR="0016754F" w:rsidRPr="009A7486" w:rsidRDefault="0016754F"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截止报告期末，本基金管理人已与中债金融估值中心有限公司、中证指数有限公司建立业务合作关系，由其按约定提供相关债券品种、流通受限股票的估值参考数据。</w:t>
      </w:r>
    </w:p>
    <w:p w:rsidR="0016754F" w:rsidRPr="009A7486" w:rsidRDefault="0016754F" w:rsidP="002855D4">
      <w:pPr>
        <w:spacing w:beforeLines="100" w:line="360" w:lineRule="auto"/>
        <w:rPr>
          <w:rFonts w:eastAsiaTheme="minorEastAsia"/>
          <w:b/>
          <w:bCs/>
          <w:color w:val="000000" w:themeColor="text1"/>
          <w:kern w:val="0"/>
          <w:sz w:val="24"/>
        </w:rPr>
      </w:pPr>
      <w:bookmarkStart w:id="5" w:name="_Toc361324862"/>
      <w:bookmarkStart w:id="6" w:name="_Toc225570084"/>
      <w:bookmarkStart w:id="7" w:name="_Toc247959458"/>
      <w:r w:rsidRPr="009A7486">
        <w:rPr>
          <w:rFonts w:eastAsiaTheme="minorEastAsia"/>
          <w:b/>
          <w:bCs/>
          <w:color w:val="000000" w:themeColor="text1"/>
          <w:kern w:val="0"/>
          <w:sz w:val="24"/>
        </w:rPr>
        <w:t xml:space="preserve">4.7 </w:t>
      </w:r>
      <w:r w:rsidRPr="009A7486">
        <w:rPr>
          <w:rFonts w:eastAsiaTheme="minorEastAsia"/>
          <w:b/>
          <w:bCs/>
          <w:color w:val="000000" w:themeColor="text1"/>
          <w:kern w:val="0"/>
          <w:sz w:val="24"/>
        </w:rPr>
        <w:t>管理人对报告期内基金利润分配情况的说明</w:t>
      </w:r>
      <w:bookmarkEnd w:id="5"/>
      <w:bookmarkEnd w:id="6"/>
      <w:bookmarkEnd w:id="7"/>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根据本基金基金合同的约定，本基金根据每日基金收益情况，以每万份基金净收益为基准，为投资者每日计算当日收益并分配，每月集中支付。每月累计收益支付方式只采用红利再投资（即红利转基金份额）方式，投资者可通过赎回基金份额获得现金收益。</w:t>
      </w:r>
    </w:p>
    <w:p w:rsidR="0016754F" w:rsidRPr="009A7486" w:rsidRDefault="0016754F"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本基金国投瑞银货币</w:t>
      </w:r>
      <w:r w:rsidRPr="009A7486">
        <w:rPr>
          <w:rFonts w:eastAsiaTheme="minorEastAsia"/>
          <w:color w:val="000000" w:themeColor="text1"/>
          <w:sz w:val="24"/>
        </w:rPr>
        <w:t>A</w:t>
      </w:r>
      <w:r w:rsidRPr="009A7486">
        <w:rPr>
          <w:rFonts w:eastAsiaTheme="minorEastAsia"/>
          <w:color w:val="000000" w:themeColor="text1"/>
          <w:sz w:val="24"/>
        </w:rPr>
        <w:t>本期已实现收益为</w:t>
      </w:r>
      <w:r w:rsidRPr="009A7486">
        <w:rPr>
          <w:rFonts w:eastAsiaTheme="minorEastAsia"/>
          <w:color w:val="000000" w:themeColor="text1"/>
          <w:sz w:val="24"/>
        </w:rPr>
        <w:t>49,796,236.45</w:t>
      </w:r>
      <w:r w:rsidRPr="009A7486">
        <w:rPr>
          <w:rFonts w:eastAsiaTheme="minorEastAsia"/>
          <w:color w:val="000000" w:themeColor="text1"/>
          <w:sz w:val="24"/>
        </w:rPr>
        <w:t>元，国投瑞银货币</w:t>
      </w:r>
      <w:r w:rsidRPr="009A7486">
        <w:rPr>
          <w:rFonts w:eastAsiaTheme="minorEastAsia"/>
          <w:color w:val="000000" w:themeColor="text1"/>
          <w:sz w:val="24"/>
        </w:rPr>
        <w:t>B</w:t>
      </w:r>
      <w:r w:rsidRPr="009A7486">
        <w:rPr>
          <w:rFonts w:eastAsiaTheme="minorEastAsia"/>
          <w:color w:val="000000" w:themeColor="text1"/>
          <w:sz w:val="24"/>
        </w:rPr>
        <w:t>本期已实现收益为</w:t>
      </w:r>
      <w:r w:rsidRPr="009A7486">
        <w:rPr>
          <w:rFonts w:eastAsiaTheme="minorEastAsia"/>
          <w:color w:val="000000" w:themeColor="text1"/>
          <w:sz w:val="24"/>
        </w:rPr>
        <w:t>571,035,810.07</w:t>
      </w:r>
      <w:r w:rsidRPr="009A7486">
        <w:rPr>
          <w:rFonts w:eastAsiaTheme="minorEastAsia"/>
          <w:color w:val="000000" w:themeColor="text1"/>
          <w:sz w:val="24"/>
        </w:rPr>
        <w:t>元，已全部在每日通过利润分配方式分配完毕。</w:t>
      </w:r>
    </w:p>
    <w:p w:rsidR="00223DFB" w:rsidRPr="009A7486" w:rsidRDefault="00223DFB" w:rsidP="002855D4">
      <w:pPr>
        <w:pStyle w:val="1"/>
        <w:keepNext/>
        <w:keepLines/>
        <w:widowControl w:val="0"/>
        <w:spacing w:beforeLines="100" w:afterLines="100" w:line="360" w:lineRule="auto"/>
        <w:jc w:val="center"/>
        <w:rPr>
          <w:rFonts w:eastAsiaTheme="minorEastAsia"/>
          <w:b/>
          <w:bCs/>
          <w:color w:val="000000" w:themeColor="text1"/>
          <w:szCs w:val="24"/>
          <w:lang w:val="en-US"/>
        </w:rPr>
      </w:pPr>
      <w:r w:rsidRPr="009A7486">
        <w:rPr>
          <w:rFonts w:eastAsiaTheme="minorEastAsia"/>
          <w:b/>
          <w:bCs/>
          <w:color w:val="000000" w:themeColor="text1"/>
          <w:szCs w:val="24"/>
          <w:lang w:val="en-US"/>
        </w:rPr>
        <w:t xml:space="preserve">§5  </w:t>
      </w:r>
      <w:r w:rsidRPr="009A7486">
        <w:rPr>
          <w:rFonts w:eastAsiaTheme="minorEastAsia"/>
          <w:b/>
          <w:bCs/>
          <w:color w:val="000000" w:themeColor="text1"/>
          <w:szCs w:val="24"/>
          <w:lang w:val="en-US"/>
        </w:rPr>
        <w:t>托管人报告</w:t>
      </w:r>
    </w:p>
    <w:p w:rsidR="00223DFB" w:rsidRPr="009A7486" w:rsidRDefault="00223DFB" w:rsidP="00CB1276">
      <w:pPr>
        <w:spacing w:line="360" w:lineRule="auto"/>
        <w:rPr>
          <w:rFonts w:eastAsiaTheme="minorEastAsia"/>
          <w:b/>
          <w:bCs/>
          <w:color w:val="000000" w:themeColor="text1"/>
          <w:kern w:val="0"/>
          <w:sz w:val="24"/>
        </w:rPr>
      </w:pPr>
      <w:r w:rsidRPr="009A7486">
        <w:rPr>
          <w:rFonts w:eastAsiaTheme="minorEastAsia"/>
          <w:b/>
          <w:bCs/>
          <w:color w:val="000000" w:themeColor="text1"/>
          <w:kern w:val="0"/>
          <w:sz w:val="24"/>
        </w:rPr>
        <w:t xml:space="preserve">5.1 </w:t>
      </w:r>
      <w:r w:rsidRPr="009A7486">
        <w:rPr>
          <w:rFonts w:eastAsiaTheme="minorEastAsia"/>
          <w:b/>
          <w:bCs/>
          <w:color w:val="000000" w:themeColor="text1"/>
          <w:kern w:val="0"/>
          <w:sz w:val="24"/>
        </w:rPr>
        <w:t>报告期内本基金托管人遵规守信情况声明</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本报告期内，本基金托管人在对国投瑞银货币市场基金的托管过程中，严格遵守《证券投资基金法》、《货币市场基金信息披露特别规定》及其他有关法律法规和基金合同的有关规定，不存在任何损害基金份额持有人利益的行为，完全尽职尽责地履行了基金托管人应尽的义务。</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 xml:space="preserve">5.2 </w:t>
      </w:r>
      <w:r w:rsidRPr="009A7486">
        <w:rPr>
          <w:rFonts w:eastAsiaTheme="minorEastAsia"/>
          <w:b/>
          <w:bCs/>
          <w:color w:val="000000" w:themeColor="text1"/>
          <w:kern w:val="0"/>
          <w:sz w:val="24"/>
        </w:rPr>
        <w:t>托管人对报告期内本基金投资运作遵规守信、净值计算、利润分配等情况的说明</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本报告期内，国投瑞银货币市场基金的管理人</w:t>
      </w:r>
      <w:r w:rsidRPr="009A7486">
        <w:rPr>
          <w:rFonts w:eastAsiaTheme="minorEastAsia"/>
          <w:color w:val="000000" w:themeColor="text1"/>
          <w:sz w:val="24"/>
        </w:rPr>
        <w:t>——</w:t>
      </w:r>
      <w:r w:rsidRPr="009A7486">
        <w:rPr>
          <w:rFonts w:eastAsiaTheme="minorEastAsia"/>
          <w:color w:val="000000" w:themeColor="text1"/>
          <w:sz w:val="24"/>
        </w:rPr>
        <w:t>国投瑞银基金管理有限公司在国投瑞银货币市场基金的投资运作、每万份基金净收益和</w:t>
      </w:r>
      <w:r w:rsidRPr="009A7486">
        <w:rPr>
          <w:rFonts w:eastAsiaTheme="minorEastAsia"/>
          <w:color w:val="000000" w:themeColor="text1"/>
          <w:sz w:val="24"/>
        </w:rPr>
        <w:t>7</w:t>
      </w:r>
      <w:r w:rsidRPr="009A7486">
        <w:rPr>
          <w:rFonts w:eastAsiaTheme="minorEastAsia"/>
          <w:color w:val="000000" w:themeColor="text1"/>
          <w:sz w:val="24"/>
        </w:rPr>
        <w:t>日年化收益率、基金利润分配、基金费用开支等问题上，严格遵循《证券投资基金法》、《货币市场基金信息披露特别规定》等有关法律法规。</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 xml:space="preserve">5.3 </w:t>
      </w:r>
      <w:r w:rsidRPr="009A7486">
        <w:rPr>
          <w:rFonts w:eastAsiaTheme="minorEastAsia"/>
          <w:b/>
          <w:bCs/>
          <w:color w:val="000000" w:themeColor="text1"/>
          <w:kern w:val="0"/>
          <w:sz w:val="24"/>
        </w:rPr>
        <w:t>托管人对本年度报告中财务信息等内容的真实、准确和完整发表意见</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本托管人依法对国投瑞银基金管理有限公司编制和披露的国投瑞银货币市场基金</w:t>
      </w:r>
      <w:r w:rsidRPr="009A7486">
        <w:rPr>
          <w:rFonts w:eastAsiaTheme="minorEastAsia"/>
          <w:color w:val="000000" w:themeColor="text1"/>
          <w:sz w:val="24"/>
        </w:rPr>
        <w:t>2017</w:t>
      </w:r>
      <w:r w:rsidRPr="009A7486">
        <w:rPr>
          <w:rFonts w:eastAsiaTheme="minorEastAsia"/>
          <w:color w:val="000000" w:themeColor="text1"/>
          <w:sz w:val="24"/>
        </w:rPr>
        <w:t>年年度报告中财务指标、利润分配情况、财务会计报告、投资组合报告等内容进行了核查，以上内容真实、准确和完整。</w:t>
      </w:r>
    </w:p>
    <w:p w:rsidR="00223DFB" w:rsidRPr="009A7486" w:rsidRDefault="00223DFB" w:rsidP="002855D4">
      <w:pPr>
        <w:pStyle w:val="1"/>
        <w:keepNext/>
        <w:keepLines/>
        <w:widowControl w:val="0"/>
        <w:adjustRightInd w:val="0"/>
        <w:snapToGrid w:val="0"/>
        <w:spacing w:beforeLines="100" w:afterLines="100" w:line="360" w:lineRule="auto"/>
        <w:jc w:val="center"/>
        <w:rPr>
          <w:rFonts w:eastAsiaTheme="minorEastAsia"/>
          <w:b/>
          <w:bCs/>
          <w:color w:val="000000" w:themeColor="text1"/>
          <w:szCs w:val="24"/>
          <w:lang w:val="en-US"/>
        </w:rPr>
      </w:pPr>
      <w:r w:rsidRPr="009A7486">
        <w:rPr>
          <w:rFonts w:eastAsiaTheme="minorEastAsia"/>
          <w:b/>
          <w:bCs/>
          <w:color w:val="000000" w:themeColor="text1"/>
          <w:szCs w:val="24"/>
          <w:lang w:val="en-US"/>
        </w:rPr>
        <w:t xml:space="preserve">§6  </w:t>
      </w:r>
      <w:r w:rsidRPr="009A7486">
        <w:rPr>
          <w:rFonts w:eastAsiaTheme="minorEastAsia"/>
          <w:b/>
          <w:bCs/>
          <w:color w:val="000000" w:themeColor="text1"/>
          <w:szCs w:val="24"/>
          <w:lang w:val="en-US"/>
        </w:rPr>
        <w:t>审计报告</w:t>
      </w:r>
    </w:p>
    <w:p w:rsidR="00D737E9" w:rsidRPr="009A7486" w:rsidRDefault="00D737E9" w:rsidP="009A7486">
      <w:pPr>
        <w:spacing w:line="360" w:lineRule="auto"/>
        <w:ind w:firstLineChars="200" w:firstLine="480"/>
        <w:rPr>
          <w:rFonts w:eastAsiaTheme="minorEastAsia"/>
          <w:color w:val="000000" w:themeColor="text1"/>
          <w:kern w:val="0"/>
          <w:sz w:val="24"/>
        </w:rPr>
      </w:pPr>
      <w:r w:rsidRPr="009A7486">
        <w:rPr>
          <w:rFonts w:eastAsiaTheme="minorEastAsia"/>
          <w:color w:val="000000" w:themeColor="text1"/>
          <w:kern w:val="0"/>
          <w:sz w:val="24"/>
        </w:rPr>
        <w:t>本报告期的基金财务会计报告经普华永道中天会计师事务所（特殊普通合伙）审计，注册会计师薛竞施翊洲签字出具了普华永道中天审字</w:t>
      </w:r>
      <w:r w:rsidRPr="009A7486">
        <w:rPr>
          <w:rFonts w:eastAsiaTheme="minorEastAsia"/>
          <w:color w:val="000000" w:themeColor="text1"/>
          <w:kern w:val="0"/>
          <w:sz w:val="24"/>
        </w:rPr>
        <w:t>(2019)</w:t>
      </w:r>
      <w:r w:rsidRPr="009A7486">
        <w:rPr>
          <w:rFonts w:eastAsiaTheme="minorEastAsia"/>
          <w:color w:val="000000" w:themeColor="text1"/>
          <w:kern w:val="0"/>
          <w:sz w:val="24"/>
        </w:rPr>
        <w:t>第</w:t>
      </w:r>
      <w:r w:rsidRPr="009A7486">
        <w:rPr>
          <w:rFonts w:eastAsiaTheme="minorEastAsia"/>
          <w:color w:val="000000" w:themeColor="text1"/>
          <w:kern w:val="0"/>
          <w:sz w:val="24"/>
        </w:rPr>
        <w:t>22247</w:t>
      </w:r>
      <w:r w:rsidRPr="009A7486">
        <w:rPr>
          <w:rFonts w:eastAsiaTheme="minorEastAsia"/>
          <w:color w:val="000000" w:themeColor="text1"/>
          <w:kern w:val="0"/>
          <w:sz w:val="24"/>
        </w:rPr>
        <w:t>号标准无保留意见的审计报告。投资者可通过年度报告正文查看审计报告全文。</w:t>
      </w:r>
    </w:p>
    <w:p w:rsidR="00223DFB" w:rsidRPr="009A7486" w:rsidRDefault="00223DFB" w:rsidP="002855D4">
      <w:pPr>
        <w:pStyle w:val="1"/>
        <w:keepNext/>
        <w:keepLines/>
        <w:widowControl w:val="0"/>
        <w:spacing w:beforeLines="100" w:afterLines="100" w:line="360" w:lineRule="auto"/>
        <w:jc w:val="center"/>
        <w:rPr>
          <w:rFonts w:eastAsiaTheme="minorEastAsia"/>
          <w:b/>
          <w:bCs/>
          <w:color w:val="000000" w:themeColor="text1"/>
          <w:szCs w:val="24"/>
          <w:lang w:val="en-US"/>
        </w:rPr>
      </w:pPr>
      <w:r w:rsidRPr="009A7486">
        <w:rPr>
          <w:rFonts w:eastAsiaTheme="minorEastAsia"/>
          <w:b/>
          <w:bCs/>
          <w:color w:val="000000" w:themeColor="text1"/>
          <w:szCs w:val="24"/>
          <w:lang w:val="en-US"/>
        </w:rPr>
        <w:t>§7</w:t>
      </w:r>
      <w:r w:rsidRPr="009A7486">
        <w:rPr>
          <w:rFonts w:eastAsiaTheme="minorEastAsia"/>
          <w:b/>
          <w:bCs/>
          <w:color w:val="000000" w:themeColor="text1"/>
          <w:szCs w:val="24"/>
          <w:lang w:val="en-US"/>
        </w:rPr>
        <w:t>年度财务报表</w:t>
      </w:r>
    </w:p>
    <w:p w:rsidR="00223DFB" w:rsidRPr="009A7486" w:rsidRDefault="00223DFB" w:rsidP="00EC5841">
      <w:pPr>
        <w:autoSpaceDE w:val="0"/>
        <w:autoSpaceDN w:val="0"/>
        <w:adjustRightInd w:val="0"/>
        <w:spacing w:line="360" w:lineRule="auto"/>
        <w:jc w:val="left"/>
        <w:outlineLvl w:val="1"/>
        <w:rPr>
          <w:rFonts w:eastAsiaTheme="minorEastAsia"/>
          <w:b/>
          <w:bCs/>
          <w:color w:val="000000" w:themeColor="text1"/>
          <w:kern w:val="0"/>
          <w:sz w:val="24"/>
        </w:rPr>
      </w:pPr>
      <w:r w:rsidRPr="009A7486">
        <w:rPr>
          <w:rFonts w:eastAsiaTheme="minorEastAsia"/>
          <w:b/>
          <w:bCs/>
          <w:color w:val="000000" w:themeColor="text1"/>
          <w:kern w:val="0"/>
          <w:sz w:val="24"/>
        </w:rPr>
        <w:t xml:space="preserve">7.1 </w:t>
      </w:r>
      <w:r w:rsidRPr="009A7486">
        <w:rPr>
          <w:rFonts w:eastAsiaTheme="minorEastAsia"/>
          <w:b/>
          <w:bCs/>
          <w:color w:val="000000" w:themeColor="text1"/>
          <w:kern w:val="0"/>
          <w:sz w:val="24"/>
        </w:rPr>
        <w:t>资产负债表</w:t>
      </w:r>
    </w:p>
    <w:p w:rsidR="00223DFB" w:rsidRPr="009A7486" w:rsidRDefault="00223DFB" w:rsidP="00CB1276">
      <w:pPr>
        <w:spacing w:line="360" w:lineRule="auto"/>
        <w:rPr>
          <w:rFonts w:eastAsiaTheme="minorEastAsia"/>
          <w:color w:val="000000" w:themeColor="text1"/>
          <w:sz w:val="24"/>
        </w:rPr>
      </w:pPr>
      <w:r w:rsidRPr="009A7486">
        <w:rPr>
          <w:rFonts w:eastAsiaTheme="minorEastAsia"/>
          <w:color w:val="000000" w:themeColor="text1"/>
          <w:sz w:val="24"/>
        </w:rPr>
        <w:t>会计主体：国投瑞银货币市场基金</w:t>
      </w:r>
    </w:p>
    <w:p w:rsidR="00223DFB" w:rsidRPr="009A7486" w:rsidRDefault="00223DFB" w:rsidP="00CB1276">
      <w:pPr>
        <w:spacing w:line="360" w:lineRule="auto"/>
        <w:rPr>
          <w:rFonts w:eastAsiaTheme="minorEastAsia"/>
          <w:color w:val="000000" w:themeColor="text1"/>
          <w:sz w:val="24"/>
        </w:rPr>
      </w:pPr>
      <w:r w:rsidRPr="009A7486">
        <w:rPr>
          <w:rFonts w:eastAsiaTheme="minorEastAsia"/>
          <w:color w:val="000000" w:themeColor="text1"/>
          <w:sz w:val="24"/>
        </w:rPr>
        <w:t>报告截止日：</w:t>
      </w: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p>
    <w:p w:rsidR="00223DFB" w:rsidRPr="009A7486" w:rsidRDefault="00223DFB" w:rsidP="004F25EA">
      <w:pPr>
        <w:autoSpaceDE w:val="0"/>
        <w:autoSpaceDN w:val="0"/>
        <w:adjustRightInd w:val="0"/>
        <w:spacing w:before="29" w:line="360" w:lineRule="auto"/>
        <w:ind w:left="15" w:right="240"/>
        <w:jc w:val="right"/>
        <w:rPr>
          <w:rFonts w:eastAsiaTheme="minorEastAsia"/>
          <w:color w:val="000000" w:themeColor="text1"/>
          <w:kern w:val="0"/>
          <w:sz w:val="24"/>
        </w:rPr>
      </w:pPr>
      <w:r w:rsidRPr="009A7486">
        <w:rPr>
          <w:rFonts w:eastAsiaTheme="minorEastAsia"/>
          <w:color w:val="000000" w:themeColor="text1"/>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56"/>
        <w:gridCol w:w="30"/>
        <w:gridCol w:w="2937"/>
        <w:gridCol w:w="15"/>
        <w:gridCol w:w="2632"/>
        <w:gridCol w:w="30"/>
      </w:tblGrid>
      <w:tr w:rsidR="0060153A"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vAlign w:val="center"/>
            <w:hideMark/>
          </w:tcPr>
          <w:p w:rsidR="0060153A" w:rsidRPr="009A7486" w:rsidRDefault="0060153A" w:rsidP="004B36C2">
            <w:pPr>
              <w:pStyle w:val="af6"/>
              <w:spacing w:line="360" w:lineRule="auto"/>
              <w:jc w:val="center"/>
              <w:rPr>
                <w:rFonts w:ascii="Times New Roman" w:eastAsiaTheme="minorEastAsia" w:hAnsi="Times New Roman"/>
                <w:b/>
                <w:color w:val="000000" w:themeColor="text1"/>
              </w:rPr>
            </w:pPr>
            <w:r w:rsidRPr="009A7486">
              <w:rPr>
                <w:rFonts w:ascii="Times New Roman" w:eastAsiaTheme="minorEastAsia" w:hAnsi="Times New Roman"/>
                <w:b/>
                <w:color w:val="000000" w:themeColor="text1"/>
              </w:rPr>
              <w:t>资产</w:t>
            </w:r>
          </w:p>
        </w:tc>
        <w:tc>
          <w:tcPr>
            <w:tcW w:w="2977" w:type="dxa"/>
            <w:gridSpan w:val="2"/>
            <w:tcBorders>
              <w:top w:val="single" w:sz="4" w:space="0" w:color="000000"/>
              <w:left w:val="single" w:sz="4" w:space="0" w:color="000000"/>
              <w:bottom w:val="single" w:sz="4" w:space="0" w:color="000000"/>
              <w:right w:val="single" w:sz="4" w:space="0" w:color="000000"/>
            </w:tcBorders>
            <w:vAlign w:val="center"/>
            <w:hideMark/>
          </w:tcPr>
          <w:p w:rsidR="0060153A" w:rsidRPr="009A7486"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rPr>
            </w:pPr>
            <w:r w:rsidRPr="009A7486">
              <w:rPr>
                <w:rFonts w:ascii="Times New Roman" w:eastAsiaTheme="minorEastAsia" w:hAnsi="Times New Roman"/>
                <w:b/>
                <w:color w:val="000000" w:themeColor="text1"/>
              </w:rPr>
              <w:t>本期末</w:t>
            </w:r>
          </w:p>
          <w:p w:rsidR="0060153A" w:rsidRPr="009A7486"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rPr>
            </w:pPr>
            <w:r w:rsidRPr="009A7486">
              <w:rPr>
                <w:rFonts w:ascii="Times New Roman" w:eastAsiaTheme="minorEastAsia" w:hAnsi="Times New Roman"/>
                <w:b/>
                <w:color w:val="000000" w:themeColor="text1"/>
                <w:kern w:val="2"/>
              </w:rPr>
              <w:t>2018</w:t>
            </w:r>
            <w:r w:rsidRPr="009A7486">
              <w:rPr>
                <w:rFonts w:ascii="Times New Roman" w:eastAsiaTheme="minorEastAsia" w:hAnsi="Times New Roman"/>
                <w:b/>
                <w:color w:val="000000" w:themeColor="text1"/>
                <w:kern w:val="2"/>
              </w:rPr>
              <w:t>年</w:t>
            </w:r>
            <w:r w:rsidRPr="009A7486">
              <w:rPr>
                <w:rFonts w:ascii="Times New Roman" w:eastAsiaTheme="minorEastAsia" w:hAnsi="Times New Roman"/>
                <w:b/>
                <w:color w:val="000000" w:themeColor="text1"/>
                <w:kern w:val="2"/>
              </w:rPr>
              <w:t>12</w:t>
            </w:r>
            <w:r w:rsidRPr="009A7486">
              <w:rPr>
                <w:rFonts w:ascii="Times New Roman" w:eastAsiaTheme="minorEastAsia" w:hAnsi="Times New Roman"/>
                <w:b/>
                <w:color w:val="000000" w:themeColor="text1"/>
                <w:kern w:val="2"/>
              </w:rPr>
              <w:t>月</w:t>
            </w:r>
            <w:r w:rsidRPr="009A7486">
              <w:rPr>
                <w:rFonts w:ascii="Times New Roman" w:eastAsiaTheme="minorEastAsia" w:hAnsi="Times New Roman"/>
                <w:b/>
                <w:color w:val="000000" w:themeColor="text1"/>
                <w:kern w:val="2"/>
              </w:rPr>
              <w:t>31</w:t>
            </w:r>
            <w:r w:rsidRPr="009A7486">
              <w:rPr>
                <w:rFonts w:ascii="Times New Roman" w:eastAsiaTheme="minorEastAsia" w:hAnsi="Times New Roman"/>
                <w:b/>
                <w:color w:val="000000" w:themeColor="text1"/>
                <w:kern w:val="2"/>
              </w:rPr>
              <w:t>日</w:t>
            </w:r>
          </w:p>
        </w:tc>
        <w:tc>
          <w:tcPr>
            <w:tcW w:w="2656" w:type="dxa"/>
            <w:gridSpan w:val="2"/>
            <w:tcBorders>
              <w:top w:val="single" w:sz="4" w:space="0" w:color="000000"/>
              <w:left w:val="single" w:sz="4" w:space="0" w:color="000000"/>
              <w:bottom w:val="single" w:sz="4" w:space="0" w:color="000000"/>
              <w:right w:val="single" w:sz="4" w:space="0" w:color="000000"/>
            </w:tcBorders>
            <w:vAlign w:val="center"/>
            <w:hideMark/>
          </w:tcPr>
          <w:p w:rsidR="0060153A" w:rsidRPr="009A7486"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rPr>
            </w:pPr>
            <w:r w:rsidRPr="009A7486">
              <w:rPr>
                <w:rFonts w:ascii="Times New Roman" w:eastAsiaTheme="minorEastAsia" w:hAnsi="Times New Roman"/>
                <w:b/>
                <w:color w:val="000000" w:themeColor="text1"/>
              </w:rPr>
              <w:t>上年度末</w:t>
            </w:r>
          </w:p>
          <w:p w:rsidR="0060153A" w:rsidRPr="009A7486"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rPr>
            </w:pPr>
            <w:r w:rsidRPr="009A7486">
              <w:rPr>
                <w:rFonts w:ascii="Times New Roman" w:eastAsiaTheme="minorEastAsia" w:hAnsi="Times New Roman"/>
                <w:b/>
                <w:color w:val="000000" w:themeColor="text1"/>
              </w:rPr>
              <w:t>2017</w:t>
            </w:r>
            <w:r w:rsidRPr="009A7486">
              <w:rPr>
                <w:rFonts w:ascii="Times New Roman" w:eastAsiaTheme="minorEastAsia" w:hAnsi="Times New Roman"/>
                <w:b/>
                <w:color w:val="000000" w:themeColor="text1"/>
              </w:rPr>
              <w:t>年</w:t>
            </w:r>
            <w:r w:rsidRPr="009A7486">
              <w:rPr>
                <w:rFonts w:ascii="Times New Roman" w:eastAsiaTheme="minorEastAsia" w:hAnsi="Times New Roman"/>
                <w:b/>
                <w:color w:val="000000" w:themeColor="text1"/>
              </w:rPr>
              <w:t>12</w:t>
            </w:r>
            <w:r w:rsidRPr="009A7486">
              <w:rPr>
                <w:rFonts w:ascii="Times New Roman" w:eastAsiaTheme="minorEastAsia" w:hAnsi="Times New Roman"/>
                <w:b/>
                <w:color w:val="000000" w:themeColor="text1"/>
              </w:rPr>
              <w:t>月</w:t>
            </w:r>
            <w:r w:rsidRPr="009A7486">
              <w:rPr>
                <w:rFonts w:ascii="Times New Roman" w:eastAsiaTheme="minorEastAsia" w:hAnsi="Times New Roman"/>
                <w:b/>
                <w:color w:val="000000" w:themeColor="text1"/>
              </w:rPr>
              <w:t>31</w:t>
            </w:r>
            <w:r w:rsidRPr="009A7486">
              <w:rPr>
                <w:rFonts w:ascii="Times New Roman" w:eastAsiaTheme="minorEastAsia" w:hAnsi="Times New Roman"/>
                <w:b/>
                <w:color w:val="000000" w:themeColor="text1"/>
              </w:rPr>
              <w:t>日</w:t>
            </w:r>
          </w:p>
        </w:tc>
      </w:tr>
      <w:tr w:rsidR="0060153A"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资产：</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0153A"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银行存款</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651,884,925.87</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3,387,660,583.83</w:t>
            </w:r>
          </w:p>
        </w:tc>
      </w:tr>
      <w:tr w:rsidR="0060153A"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结算备付金</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90,909.09</w:t>
            </w:r>
          </w:p>
        </w:tc>
      </w:tr>
      <w:tr w:rsidR="0060153A"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存出保证金</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34,354.68</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94.04</w:t>
            </w:r>
          </w:p>
        </w:tc>
      </w:tr>
      <w:tr w:rsidR="0060153A"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交易性金融资产</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6,581,956,432.74</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16,380,944,070.23</w:t>
            </w:r>
          </w:p>
        </w:tc>
      </w:tr>
      <w:tr w:rsidR="0060153A"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其中：股票投资</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0153A"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vAlign w:val="center"/>
            <w:hideMark/>
          </w:tcPr>
          <w:p w:rsidR="0060153A" w:rsidRPr="009A7486" w:rsidRDefault="0060153A" w:rsidP="009A7486">
            <w:pPr>
              <w:pStyle w:val="af6"/>
              <w:spacing w:line="360" w:lineRule="auto"/>
              <w:ind w:firstLineChars="300" w:firstLine="720"/>
              <w:rPr>
                <w:rFonts w:ascii="Times New Roman" w:eastAsiaTheme="minorEastAsia" w:hAnsi="Times New Roman"/>
                <w:color w:val="000000" w:themeColor="text1"/>
              </w:rPr>
            </w:pPr>
            <w:r w:rsidRPr="009A7486">
              <w:rPr>
                <w:rFonts w:ascii="Times New Roman" w:eastAsiaTheme="minorEastAsia" w:hAnsi="Times New Roman"/>
                <w:color w:val="000000" w:themeColor="text1"/>
              </w:rPr>
              <w:t>基金投资</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0153A"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9A7486" w:rsidRDefault="0060153A" w:rsidP="009A7486">
            <w:pPr>
              <w:spacing w:line="360" w:lineRule="auto"/>
              <w:ind w:firstLineChars="300" w:firstLine="720"/>
              <w:rPr>
                <w:rFonts w:eastAsiaTheme="minorEastAsia"/>
                <w:color w:val="000000" w:themeColor="text1"/>
                <w:sz w:val="24"/>
              </w:rPr>
            </w:pPr>
            <w:r w:rsidRPr="009A7486">
              <w:rPr>
                <w:rFonts w:eastAsiaTheme="minorEastAsia"/>
                <w:color w:val="000000" w:themeColor="text1"/>
                <w:sz w:val="24"/>
              </w:rPr>
              <w:t>债券投资</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6,581,956,432.74</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16,380,944,070.23</w:t>
            </w:r>
          </w:p>
        </w:tc>
      </w:tr>
      <w:tr w:rsidR="0060153A"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0153A" w:rsidRPr="009A7486" w:rsidRDefault="0060153A" w:rsidP="009A7486">
            <w:pPr>
              <w:spacing w:line="360" w:lineRule="auto"/>
              <w:ind w:firstLineChars="300" w:firstLine="720"/>
              <w:rPr>
                <w:rFonts w:eastAsiaTheme="minorEastAsia"/>
                <w:color w:val="000000" w:themeColor="text1"/>
                <w:sz w:val="24"/>
              </w:rPr>
            </w:pPr>
            <w:r w:rsidRPr="009A7486">
              <w:rPr>
                <w:rFonts w:eastAsiaTheme="minorEastAsia"/>
                <w:color w:val="000000" w:themeColor="text1"/>
                <w:sz w:val="24"/>
              </w:rPr>
              <w:t>资产支持证券投资</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85E5B" w:rsidRPr="009A7486" w:rsidTr="00580DF7">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tcPr>
          <w:p w:rsidR="00685E5B" w:rsidRPr="00AD6FA2" w:rsidRDefault="00685E5B" w:rsidP="00685E5B">
            <w:pPr>
              <w:spacing w:line="360" w:lineRule="auto"/>
              <w:ind w:firstLineChars="300" w:firstLine="720"/>
              <w:rPr>
                <w:rFonts w:eastAsiaTheme="minorEastAsia"/>
                <w:color w:val="000000" w:themeColor="text1"/>
                <w:sz w:val="24"/>
              </w:rPr>
            </w:pPr>
            <w:r w:rsidRPr="002C1FFD">
              <w:rPr>
                <w:rFonts w:eastAsiaTheme="minorEastAsia"/>
                <w:color w:val="000000" w:themeColor="text1"/>
                <w:sz w:val="24"/>
              </w:rPr>
              <w:t>贵金属投资</w:t>
            </w:r>
          </w:p>
        </w:tc>
        <w:tc>
          <w:tcPr>
            <w:tcW w:w="2977" w:type="dxa"/>
            <w:gridSpan w:val="2"/>
            <w:tcBorders>
              <w:top w:val="single" w:sz="4" w:space="0" w:color="000000"/>
              <w:left w:val="single" w:sz="4" w:space="0" w:color="000000"/>
              <w:bottom w:val="single" w:sz="4" w:space="0" w:color="000000"/>
              <w:right w:val="single" w:sz="4" w:space="0" w:color="000000"/>
            </w:tcBorders>
            <w:vAlign w:val="center"/>
          </w:tcPr>
          <w:p w:rsidR="00685E5B" w:rsidRPr="002C1FFD" w:rsidRDefault="00685E5B" w:rsidP="00685E5B">
            <w:pPr>
              <w:spacing w:line="360" w:lineRule="auto"/>
              <w:jc w:val="right"/>
              <w:rPr>
                <w:rFonts w:eastAsiaTheme="minorEastAsia"/>
                <w:color w:val="000000" w:themeColor="text1"/>
                <w:sz w:val="24"/>
              </w:rPr>
            </w:pPr>
            <w:r w:rsidRPr="002C1FFD">
              <w:rPr>
                <w:rFonts w:eastAsiaTheme="minorEastAsia"/>
                <w:color w:val="000000" w:themeColor="text1"/>
                <w:sz w:val="24"/>
              </w:rPr>
              <w:t>-</w:t>
            </w:r>
          </w:p>
        </w:tc>
        <w:tc>
          <w:tcPr>
            <w:tcW w:w="2656" w:type="dxa"/>
            <w:gridSpan w:val="2"/>
            <w:tcBorders>
              <w:top w:val="single" w:sz="4" w:space="0" w:color="000000"/>
              <w:left w:val="single" w:sz="4" w:space="0" w:color="000000"/>
              <w:bottom w:val="single" w:sz="4" w:space="0" w:color="000000"/>
              <w:right w:val="single" w:sz="4" w:space="0" w:color="000000"/>
            </w:tcBorders>
            <w:vAlign w:val="center"/>
          </w:tcPr>
          <w:p w:rsidR="00685E5B" w:rsidRPr="002C1FFD" w:rsidRDefault="00685E5B" w:rsidP="00685E5B">
            <w:pPr>
              <w:spacing w:line="360" w:lineRule="auto"/>
              <w:jc w:val="right"/>
              <w:rPr>
                <w:rFonts w:eastAsiaTheme="minorEastAsia"/>
                <w:color w:val="000000" w:themeColor="text1"/>
                <w:sz w:val="24"/>
              </w:rPr>
            </w:pPr>
            <w:r w:rsidRPr="002C1FFD">
              <w:rPr>
                <w:rFonts w:eastAsiaTheme="minorEastAsia"/>
                <w:color w:val="000000" w:themeColor="text1"/>
                <w:sz w:val="24"/>
              </w:rPr>
              <w:t>-</w:t>
            </w:r>
          </w:p>
        </w:tc>
      </w:tr>
      <w:tr w:rsidR="00685E5B"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85E5B" w:rsidRPr="009A7486" w:rsidRDefault="00685E5B" w:rsidP="00685E5B">
            <w:pPr>
              <w:spacing w:line="360" w:lineRule="auto"/>
              <w:rPr>
                <w:rFonts w:eastAsiaTheme="minorEastAsia"/>
                <w:color w:val="000000" w:themeColor="text1"/>
                <w:sz w:val="24"/>
              </w:rPr>
            </w:pPr>
            <w:r w:rsidRPr="009A7486">
              <w:rPr>
                <w:rFonts w:eastAsiaTheme="minorEastAsia"/>
                <w:color w:val="000000" w:themeColor="text1"/>
                <w:sz w:val="24"/>
              </w:rPr>
              <w:t>衍生金融资产</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85E5B"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85E5B" w:rsidRPr="009A7486" w:rsidRDefault="00685E5B" w:rsidP="00685E5B">
            <w:pPr>
              <w:spacing w:line="360" w:lineRule="auto"/>
              <w:rPr>
                <w:rFonts w:eastAsiaTheme="minorEastAsia"/>
                <w:color w:val="000000" w:themeColor="text1"/>
                <w:sz w:val="24"/>
              </w:rPr>
            </w:pPr>
            <w:r w:rsidRPr="009A7486">
              <w:rPr>
                <w:rFonts w:eastAsiaTheme="minorEastAsia"/>
                <w:color w:val="000000" w:themeColor="text1"/>
                <w:sz w:val="24"/>
              </w:rPr>
              <w:t>买入返售金融资产</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974,095,621.14</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11,582,635,448.32</w:t>
            </w:r>
          </w:p>
        </w:tc>
      </w:tr>
      <w:tr w:rsidR="00685E5B"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85E5B" w:rsidRPr="009A7486" w:rsidRDefault="00685E5B" w:rsidP="00685E5B">
            <w:pPr>
              <w:spacing w:line="360" w:lineRule="auto"/>
              <w:rPr>
                <w:rFonts w:eastAsiaTheme="minorEastAsia"/>
                <w:color w:val="000000" w:themeColor="text1"/>
                <w:sz w:val="24"/>
              </w:rPr>
            </w:pPr>
            <w:r w:rsidRPr="009A7486">
              <w:rPr>
                <w:rFonts w:eastAsiaTheme="minorEastAsia"/>
                <w:color w:val="000000" w:themeColor="text1"/>
                <w:sz w:val="24"/>
              </w:rPr>
              <w:t>应收证券清算款</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85E5B"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85E5B" w:rsidRPr="009A7486" w:rsidRDefault="00685E5B" w:rsidP="00685E5B">
            <w:pPr>
              <w:spacing w:line="360" w:lineRule="auto"/>
              <w:rPr>
                <w:rFonts w:eastAsiaTheme="minorEastAsia"/>
                <w:color w:val="000000" w:themeColor="text1"/>
                <w:sz w:val="24"/>
              </w:rPr>
            </w:pPr>
            <w:r w:rsidRPr="009A7486">
              <w:rPr>
                <w:rFonts w:eastAsiaTheme="minorEastAsia"/>
                <w:color w:val="000000" w:themeColor="text1"/>
                <w:sz w:val="24"/>
              </w:rPr>
              <w:t>应收利息</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62,331,609.52</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131,856,016.04</w:t>
            </w:r>
          </w:p>
        </w:tc>
      </w:tr>
      <w:tr w:rsidR="00685E5B"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85E5B" w:rsidRPr="009A7486" w:rsidRDefault="00685E5B" w:rsidP="00685E5B">
            <w:pPr>
              <w:spacing w:line="360" w:lineRule="auto"/>
              <w:rPr>
                <w:rFonts w:eastAsiaTheme="minorEastAsia"/>
                <w:color w:val="000000" w:themeColor="text1"/>
                <w:sz w:val="24"/>
              </w:rPr>
            </w:pPr>
            <w:r w:rsidRPr="009A7486">
              <w:rPr>
                <w:rFonts w:eastAsiaTheme="minorEastAsia"/>
                <w:color w:val="000000" w:themeColor="text1"/>
                <w:sz w:val="24"/>
              </w:rPr>
              <w:t>应收股利</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85E5B"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85E5B" w:rsidRPr="009A7486" w:rsidRDefault="00685E5B" w:rsidP="00685E5B">
            <w:pPr>
              <w:spacing w:line="360" w:lineRule="auto"/>
              <w:rPr>
                <w:rFonts w:eastAsiaTheme="minorEastAsia"/>
                <w:color w:val="000000" w:themeColor="text1"/>
                <w:sz w:val="24"/>
              </w:rPr>
            </w:pPr>
            <w:r w:rsidRPr="009A7486">
              <w:rPr>
                <w:rFonts w:eastAsiaTheme="minorEastAsia"/>
                <w:color w:val="000000" w:themeColor="text1"/>
                <w:sz w:val="24"/>
              </w:rPr>
              <w:t>应收申购款</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2,511,646.17</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168,539,558.19</w:t>
            </w:r>
          </w:p>
        </w:tc>
      </w:tr>
      <w:tr w:rsidR="00685E5B"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85E5B" w:rsidRPr="009A7486" w:rsidRDefault="00685E5B" w:rsidP="00685E5B">
            <w:pPr>
              <w:spacing w:line="360" w:lineRule="auto"/>
              <w:rPr>
                <w:rFonts w:eastAsiaTheme="minorEastAsia"/>
                <w:color w:val="000000" w:themeColor="text1"/>
                <w:sz w:val="24"/>
              </w:rPr>
            </w:pPr>
            <w:r w:rsidRPr="009A7486">
              <w:rPr>
                <w:rFonts w:eastAsiaTheme="minorEastAsia"/>
                <w:color w:val="000000" w:themeColor="text1"/>
                <w:sz w:val="24"/>
              </w:rPr>
              <w:t>递延所得税资产</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85E5B"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85E5B" w:rsidRPr="009A7486" w:rsidRDefault="00685E5B" w:rsidP="00685E5B">
            <w:pPr>
              <w:spacing w:line="360" w:lineRule="auto"/>
              <w:rPr>
                <w:rFonts w:eastAsiaTheme="minorEastAsia"/>
                <w:color w:val="000000" w:themeColor="text1"/>
                <w:sz w:val="24"/>
              </w:rPr>
            </w:pPr>
            <w:r w:rsidRPr="009A7486">
              <w:rPr>
                <w:rFonts w:eastAsiaTheme="minorEastAsia"/>
                <w:color w:val="000000" w:themeColor="text1"/>
                <w:sz w:val="24"/>
              </w:rPr>
              <w:t>其他资产</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85E5B" w:rsidRPr="009A7486" w:rsidTr="004D5214">
        <w:trPr>
          <w:gridAfter w:val="1"/>
          <w:wAfter w:w="30" w:type="dxa"/>
        </w:trPr>
        <w:tc>
          <w:tcPr>
            <w:tcW w:w="3367" w:type="dxa"/>
            <w:tcBorders>
              <w:top w:val="single" w:sz="4" w:space="0" w:color="000000"/>
              <w:left w:val="single" w:sz="4" w:space="0" w:color="000000"/>
              <w:bottom w:val="single" w:sz="4" w:space="0" w:color="000000"/>
              <w:right w:val="single" w:sz="4" w:space="0" w:color="000000"/>
            </w:tcBorders>
            <w:hideMark/>
          </w:tcPr>
          <w:p w:rsidR="00685E5B" w:rsidRPr="009A7486" w:rsidRDefault="00685E5B" w:rsidP="00685E5B">
            <w:pPr>
              <w:spacing w:line="360" w:lineRule="auto"/>
              <w:rPr>
                <w:rFonts w:eastAsiaTheme="minorEastAsia"/>
                <w:b/>
                <w:color w:val="000000" w:themeColor="text1"/>
                <w:sz w:val="24"/>
              </w:rPr>
            </w:pPr>
            <w:r w:rsidRPr="009A7486">
              <w:rPr>
                <w:rFonts w:eastAsiaTheme="minorEastAsia"/>
                <w:b/>
                <w:color w:val="000000" w:themeColor="text1"/>
                <w:sz w:val="24"/>
              </w:rPr>
              <w:t>资产总计</w:t>
            </w:r>
          </w:p>
        </w:tc>
        <w:tc>
          <w:tcPr>
            <w:tcW w:w="2977"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8,272,814,590.12</w:t>
            </w:r>
          </w:p>
        </w:tc>
        <w:tc>
          <w:tcPr>
            <w:tcW w:w="2656" w:type="dxa"/>
            <w:gridSpan w:val="2"/>
            <w:tcBorders>
              <w:top w:val="single" w:sz="4" w:space="0" w:color="000000"/>
              <w:left w:val="single" w:sz="4" w:space="0" w:color="000000"/>
              <w:bottom w:val="single" w:sz="4" w:space="0" w:color="000000"/>
              <w:right w:val="single" w:sz="4" w:space="0" w:color="000000"/>
            </w:tcBorders>
            <w:vAlign w:val="bottom"/>
            <w:hideMark/>
          </w:tcPr>
          <w:p w:rsidR="00685E5B" w:rsidRPr="009A7486" w:rsidRDefault="00685E5B" w:rsidP="00685E5B">
            <w:pPr>
              <w:spacing w:line="360" w:lineRule="auto"/>
              <w:jc w:val="right"/>
              <w:rPr>
                <w:rFonts w:eastAsiaTheme="minorEastAsia"/>
                <w:color w:val="000000" w:themeColor="text1"/>
                <w:sz w:val="24"/>
              </w:rPr>
            </w:pPr>
            <w:r w:rsidRPr="009A7486">
              <w:rPr>
                <w:rFonts w:eastAsiaTheme="minorEastAsia"/>
                <w:color w:val="000000" w:themeColor="text1"/>
                <w:sz w:val="24"/>
              </w:rPr>
              <w:t>31,651,726,679.74</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vAlign w:val="center"/>
            <w:hideMark/>
          </w:tcPr>
          <w:p w:rsidR="0060153A" w:rsidRPr="009A7486" w:rsidRDefault="0060153A" w:rsidP="004B36C2">
            <w:pPr>
              <w:pStyle w:val="af6"/>
              <w:spacing w:line="360" w:lineRule="auto"/>
              <w:jc w:val="center"/>
              <w:rPr>
                <w:rFonts w:ascii="Times New Roman" w:eastAsiaTheme="minorEastAsia" w:hAnsi="Times New Roman"/>
                <w:b/>
                <w:color w:val="000000" w:themeColor="text1"/>
              </w:rPr>
            </w:pPr>
            <w:r w:rsidRPr="009A7486">
              <w:rPr>
                <w:rFonts w:ascii="Times New Roman" w:eastAsiaTheme="minorEastAsia" w:hAnsi="Times New Roman"/>
                <w:b/>
                <w:color w:val="000000" w:themeColor="text1"/>
              </w:rPr>
              <w:t>负债和所有者权益</w:t>
            </w:r>
          </w:p>
        </w:tc>
        <w:tc>
          <w:tcPr>
            <w:tcW w:w="2962" w:type="dxa"/>
            <w:gridSpan w:val="2"/>
            <w:tcBorders>
              <w:top w:val="single" w:sz="4" w:space="0" w:color="000000"/>
              <w:left w:val="single" w:sz="4" w:space="0" w:color="000000"/>
              <w:bottom w:val="single" w:sz="4" w:space="0" w:color="000000"/>
              <w:right w:val="single" w:sz="4" w:space="0" w:color="000000"/>
            </w:tcBorders>
            <w:vAlign w:val="center"/>
            <w:hideMark/>
          </w:tcPr>
          <w:p w:rsidR="0060153A" w:rsidRPr="009A7486"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rPr>
            </w:pPr>
            <w:r w:rsidRPr="009A7486">
              <w:rPr>
                <w:rFonts w:ascii="Times New Roman" w:eastAsiaTheme="minorEastAsia" w:hAnsi="Times New Roman"/>
                <w:b/>
                <w:color w:val="000000" w:themeColor="text1"/>
              </w:rPr>
              <w:t>本期末</w:t>
            </w:r>
          </w:p>
          <w:p w:rsidR="0060153A" w:rsidRPr="009A7486"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rPr>
            </w:pPr>
            <w:r w:rsidRPr="009A7486">
              <w:rPr>
                <w:rFonts w:ascii="Times New Roman" w:eastAsiaTheme="minorEastAsia" w:hAnsi="Times New Roman"/>
                <w:b/>
                <w:color w:val="000000" w:themeColor="text1"/>
                <w:kern w:val="2"/>
              </w:rPr>
              <w:t>2018</w:t>
            </w:r>
            <w:r w:rsidRPr="009A7486">
              <w:rPr>
                <w:rFonts w:ascii="Times New Roman" w:eastAsiaTheme="minorEastAsia" w:hAnsi="Times New Roman"/>
                <w:b/>
                <w:color w:val="000000" w:themeColor="text1"/>
                <w:kern w:val="2"/>
              </w:rPr>
              <w:t>年</w:t>
            </w:r>
            <w:r w:rsidRPr="009A7486">
              <w:rPr>
                <w:rFonts w:ascii="Times New Roman" w:eastAsiaTheme="minorEastAsia" w:hAnsi="Times New Roman"/>
                <w:b/>
                <w:color w:val="000000" w:themeColor="text1"/>
                <w:kern w:val="2"/>
              </w:rPr>
              <w:t>12</w:t>
            </w:r>
            <w:r w:rsidRPr="009A7486">
              <w:rPr>
                <w:rFonts w:ascii="Times New Roman" w:eastAsiaTheme="minorEastAsia" w:hAnsi="Times New Roman"/>
                <w:b/>
                <w:color w:val="000000" w:themeColor="text1"/>
                <w:kern w:val="2"/>
              </w:rPr>
              <w:t>月</w:t>
            </w:r>
            <w:r w:rsidRPr="009A7486">
              <w:rPr>
                <w:rFonts w:ascii="Times New Roman" w:eastAsiaTheme="minorEastAsia" w:hAnsi="Times New Roman"/>
                <w:b/>
                <w:color w:val="000000" w:themeColor="text1"/>
                <w:kern w:val="2"/>
              </w:rPr>
              <w:t>31</w:t>
            </w:r>
            <w:r w:rsidRPr="009A7486">
              <w:rPr>
                <w:rFonts w:ascii="Times New Roman" w:eastAsiaTheme="minorEastAsia" w:hAnsi="Times New Roman"/>
                <w:b/>
                <w:color w:val="000000" w:themeColor="text1"/>
                <w:kern w:val="2"/>
              </w:rPr>
              <w:t>日</w:t>
            </w:r>
          </w:p>
        </w:tc>
        <w:tc>
          <w:tcPr>
            <w:tcW w:w="2671" w:type="dxa"/>
            <w:gridSpan w:val="2"/>
            <w:tcBorders>
              <w:top w:val="single" w:sz="4" w:space="0" w:color="000000"/>
              <w:left w:val="single" w:sz="4" w:space="0" w:color="000000"/>
              <w:bottom w:val="single" w:sz="4" w:space="0" w:color="000000"/>
              <w:right w:val="single" w:sz="4" w:space="0" w:color="000000"/>
            </w:tcBorders>
            <w:vAlign w:val="center"/>
            <w:hideMark/>
          </w:tcPr>
          <w:p w:rsidR="0060153A" w:rsidRPr="009A7486"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rPr>
            </w:pPr>
            <w:r w:rsidRPr="009A7486">
              <w:rPr>
                <w:rFonts w:ascii="Times New Roman" w:eastAsiaTheme="minorEastAsia" w:hAnsi="Times New Roman"/>
                <w:b/>
                <w:color w:val="000000" w:themeColor="text1"/>
              </w:rPr>
              <w:t>上年度末</w:t>
            </w:r>
          </w:p>
          <w:p w:rsidR="0060153A" w:rsidRPr="009A7486" w:rsidRDefault="0060153A" w:rsidP="004B36C2">
            <w:pPr>
              <w:pStyle w:val="af6"/>
              <w:spacing w:before="0" w:beforeAutospacing="0" w:after="0" w:afterAutospacing="0" w:line="360" w:lineRule="auto"/>
              <w:jc w:val="center"/>
              <w:rPr>
                <w:rFonts w:ascii="Times New Roman" w:eastAsiaTheme="minorEastAsia" w:hAnsi="Times New Roman"/>
                <w:b/>
                <w:color w:val="000000" w:themeColor="text1"/>
              </w:rPr>
            </w:pPr>
            <w:r w:rsidRPr="009A7486">
              <w:rPr>
                <w:rFonts w:ascii="Times New Roman" w:eastAsiaTheme="minorEastAsia" w:hAnsi="Times New Roman"/>
                <w:b/>
                <w:color w:val="000000" w:themeColor="text1"/>
              </w:rPr>
              <w:t>2017</w:t>
            </w:r>
            <w:r w:rsidRPr="009A7486">
              <w:rPr>
                <w:rFonts w:ascii="Times New Roman" w:eastAsiaTheme="minorEastAsia" w:hAnsi="Times New Roman"/>
                <w:b/>
                <w:color w:val="000000" w:themeColor="text1"/>
              </w:rPr>
              <w:t>年</w:t>
            </w:r>
            <w:r w:rsidRPr="009A7486">
              <w:rPr>
                <w:rFonts w:ascii="Times New Roman" w:eastAsiaTheme="minorEastAsia" w:hAnsi="Times New Roman"/>
                <w:b/>
                <w:color w:val="000000" w:themeColor="text1"/>
              </w:rPr>
              <w:t>12</w:t>
            </w:r>
            <w:r w:rsidRPr="009A7486">
              <w:rPr>
                <w:rFonts w:ascii="Times New Roman" w:eastAsiaTheme="minorEastAsia" w:hAnsi="Times New Roman"/>
                <w:b/>
                <w:color w:val="000000" w:themeColor="text1"/>
              </w:rPr>
              <w:t>月</w:t>
            </w:r>
            <w:r w:rsidRPr="009A7486">
              <w:rPr>
                <w:rFonts w:ascii="Times New Roman" w:eastAsiaTheme="minorEastAsia" w:hAnsi="Times New Roman"/>
                <w:b/>
                <w:color w:val="000000" w:themeColor="text1"/>
              </w:rPr>
              <w:t>31</w:t>
            </w:r>
            <w:r w:rsidRPr="009A7486">
              <w:rPr>
                <w:rFonts w:ascii="Times New Roman" w:eastAsiaTheme="minorEastAsia" w:hAnsi="Times New Roman"/>
                <w:b/>
                <w:color w:val="000000" w:themeColor="text1"/>
              </w:rPr>
              <w:t>日</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负债：</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短期借款</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交易性金融负债</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衍生金融负债</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卖出回购金融资产款</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1,146,997,079.50</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199,999,580.00</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应付证券清算款</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应付赎回款</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985.22</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应付管理人报酬</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3,458,452.15</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5,501,155.35</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应付托管费</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1,048,015.80</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1,667,016.78</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应付销售服务费</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382,916.11</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435,453.63</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应付交易费用</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205,506.14</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163,236.08</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应交税费</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394,265.50</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206,000.00</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应付利息</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849,601.16</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126,377.40</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应付利润</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递延所得税负债</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其他负债</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429,014.78</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429,000.00</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vAlign w:val="center"/>
            <w:hideMark/>
          </w:tcPr>
          <w:p w:rsidR="0060153A" w:rsidRPr="009A7486" w:rsidRDefault="0060153A" w:rsidP="004B36C2">
            <w:pPr>
              <w:pStyle w:val="af6"/>
              <w:spacing w:line="360" w:lineRule="auto"/>
              <w:rPr>
                <w:rFonts w:ascii="Times New Roman" w:eastAsiaTheme="minorEastAsia" w:hAnsi="Times New Roman"/>
                <w:b/>
                <w:color w:val="000000" w:themeColor="text1"/>
              </w:rPr>
            </w:pPr>
            <w:r w:rsidRPr="009A7486">
              <w:rPr>
                <w:rFonts w:ascii="Times New Roman" w:eastAsiaTheme="minorEastAsia" w:hAnsi="Times New Roman"/>
                <w:b/>
                <w:color w:val="000000" w:themeColor="text1"/>
              </w:rPr>
              <w:t>负债合计</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b/>
                <w:color w:val="000000" w:themeColor="text1"/>
                <w:sz w:val="24"/>
              </w:rPr>
            </w:pPr>
            <w:r w:rsidRPr="009A7486">
              <w:rPr>
                <w:rFonts w:eastAsiaTheme="minorEastAsia"/>
                <w:b/>
                <w:color w:val="000000" w:themeColor="text1"/>
                <w:sz w:val="24"/>
              </w:rPr>
              <w:t>1,153,765,836.36</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b/>
                <w:color w:val="000000" w:themeColor="text1"/>
                <w:sz w:val="24"/>
              </w:rPr>
            </w:pPr>
            <w:r w:rsidRPr="009A7486">
              <w:rPr>
                <w:rFonts w:eastAsiaTheme="minorEastAsia"/>
                <w:b/>
                <w:color w:val="000000" w:themeColor="text1"/>
                <w:sz w:val="24"/>
              </w:rPr>
              <w:t>208,527,819.24</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b/>
                <w:color w:val="000000" w:themeColor="text1"/>
                <w:sz w:val="24"/>
              </w:rPr>
            </w:pPr>
            <w:r w:rsidRPr="009A7486">
              <w:rPr>
                <w:rFonts w:eastAsiaTheme="minorEastAsia"/>
                <w:b/>
                <w:color w:val="000000" w:themeColor="text1"/>
                <w:sz w:val="24"/>
              </w:rPr>
              <w:t>所有者权益：</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b/>
                <w:color w:val="000000" w:themeColor="text1"/>
                <w:sz w:val="24"/>
              </w:rPr>
            </w:pPr>
            <w:r w:rsidRPr="009A7486">
              <w:rPr>
                <w:rFonts w:eastAsiaTheme="minorEastAsia"/>
                <w:b/>
                <w:color w:val="000000" w:themeColor="text1"/>
                <w:sz w:val="24"/>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b/>
                <w:color w:val="000000" w:themeColor="text1"/>
                <w:sz w:val="24"/>
              </w:rPr>
            </w:pPr>
            <w:r w:rsidRPr="009A7486">
              <w:rPr>
                <w:rFonts w:eastAsiaTheme="minorEastAsia"/>
                <w:b/>
                <w:color w:val="000000" w:themeColor="text1"/>
                <w:sz w:val="24"/>
              </w:rPr>
              <w:t>-</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实收基金</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7,119,048,753.76</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31,443,198,860.50</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color w:val="000000" w:themeColor="text1"/>
                <w:sz w:val="24"/>
              </w:rPr>
            </w:pPr>
            <w:r w:rsidRPr="009A7486">
              <w:rPr>
                <w:rFonts w:eastAsiaTheme="minorEastAsia"/>
                <w:color w:val="000000" w:themeColor="text1"/>
                <w:sz w:val="24"/>
              </w:rPr>
              <w:t>未分配利润</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b/>
                <w:color w:val="000000" w:themeColor="text1"/>
                <w:sz w:val="24"/>
              </w:rPr>
            </w:pPr>
            <w:r w:rsidRPr="009A7486">
              <w:rPr>
                <w:rFonts w:eastAsiaTheme="minorEastAsia"/>
                <w:b/>
                <w:color w:val="000000" w:themeColor="text1"/>
                <w:sz w:val="24"/>
              </w:rPr>
              <w:t>所有者权益合计</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b/>
                <w:color w:val="000000" w:themeColor="text1"/>
                <w:sz w:val="24"/>
              </w:rPr>
            </w:pPr>
            <w:r w:rsidRPr="009A7486">
              <w:rPr>
                <w:rFonts w:eastAsiaTheme="minorEastAsia"/>
                <w:b/>
                <w:color w:val="000000" w:themeColor="text1"/>
                <w:sz w:val="24"/>
              </w:rPr>
              <w:t>7,119,048,753.76</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b/>
                <w:color w:val="000000" w:themeColor="text1"/>
                <w:sz w:val="24"/>
              </w:rPr>
            </w:pPr>
            <w:r w:rsidRPr="009A7486">
              <w:rPr>
                <w:rFonts w:eastAsiaTheme="minorEastAsia"/>
                <w:b/>
                <w:color w:val="000000" w:themeColor="text1"/>
                <w:sz w:val="24"/>
              </w:rPr>
              <w:t>31,443,198,860.50</w:t>
            </w:r>
          </w:p>
        </w:tc>
      </w:tr>
      <w:tr w:rsidR="0060153A" w:rsidRPr="009A7486" w:rsidTr="004D5214">
        <w:tc>
          <w:tcPr>
            <w:tcW w:w="3397" w:type="dxa"/>
            <w:gridSpan w:val="2"/>
            <w:tcBorders>
              <w:top w:val="single" w:sz="4" w:space="0" w:color="000000"/>
              <w:left w:val="single" w:sz="4" w:space="0" w:color="000000"/>
              <w:bottom w:val="single" w:sz="4" w:space="0" w:color="000000"/>
              <w:right w:val="single" w:sz="4" w:space="0" w:color="000000"/>
            </w:tcBorders>
            <w:hideMark/>
          </w:tcPr>
          <w:p w:rsidR="0060153A" w:rsidRPr="009A7486" w:rsidRDefault="0060153A" w:rsidP="004B36C2">
            <w:pPr>
              <w:spacing w:line="360" w:lineRule="auto"/>
              <w:rPr>
                <w:rFonts w:eastAsiaTheme="minorEastAsia"/>
                <w:b/>
                <w:color w:val="000000" w:themeColor="text1"/>
                <w:sz w:val="24"/>
              </w:rPr>
            </w:pPr>
            <w:r w:rsidRPr="009A7486">
              <w:rPr>
                <w:rFonts w:eastAsiaTheme="minorEastAsia"/>
                <w:b/>
                <w:color w:val="000000" w:themeColor="text1"/>
                <w:sz w:val="24"/>
              </w:rPr>
              <w:t>负债和所有者权益总计</w:t>
            </w:r>
          </w:p>
        </w:tc>
        <w:tc>
          <w:tcPr>
            <w:tcW w:w="2962"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b/>
                <w:color w:val="000000" w:themeColor="text1"/>
                <w:sz w:val="24"/>
              </w:rPr>
            </w:pPr>
            <w:r w:rsidRPr="009A7486">
              <w:rPr>
                <w:rFonts w:eastAsiaTheme="minorEastAsia"/>
                <w:b/>
                <w:color w:val="000000" w:themeColor="text1"/>
                <w:sz w:val="24"/>
              </w:rPr>
              <w:t>8,272,814,590.12</w:t>
            </w:r>
          </w:p>
        </w:tc>
        <w:tc>
          <w:tcPr>
            <w:tcW w:w="2671" w:type="dxa"/>
            <w:gridSpan w:val="2"/>
            <w:tcBorders>
              <w:top w:val="single" w:sz="4" w:space="0" w:color="000000"/>
              <w:left w:val="single" w:sz="4" w:space="0" w:color="000000"/>
              <w:bottom w:val="single" w:sz="4" w:space="0" w:color="000000"/>
              <w:right w:val="single" w:sz="4" w:space="0" w:color="000000"/>
            </w:tcBorders>
            <w:vAlign w:val="bottom"/>
            <w:hideMark/>
          </w:tcPr>
          <w:p w:rsidR="0060153A" w:rsidRPr="009A7486" w:rsidRDefault="0060153A" w:rsidP="004B36C2">
            <w:pPr>
              <w:spacing w:line="360" w:lineRule="auto"/>
              <w:jc w:val="right"/>
              <w:rPr>
                <w:rFonts w:eastAsiaTheme="minorEastAsia"/>
                <w:b/>
                <w:color w:val="000000" w:themeColor="text1"/>
                <w:sz w:val="24"/>
              </w:rPr>
            </w:pPr>
            <w:r w:rsidRPr="009A7486">
              <w:rPr>
                <w:rFonts w:eastAsiaTheme="minorEastAsia"/>
                <w:b/>
                <w:color w:val="000000" w:themeColor="text1"/>
                <w:sz w:val="24"/>
              </w:rPr>
              <w:t>31,651,726,679.74</w:t>
            </w:r>
          </w:p>
        </w:tc>
      </w:tr>
    </w:tbl>
    <w:p w:rsidR="00223DFB" w:rsidRPr="009A7486" w:rsidRDefault="00223DFB"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注：报告截止日</w:t>
      </w:r>
      <w:r w:rsidRPr="009A7486">
        <w:rPr>
          <w:rFonts w:eastAsiaTheme="minorEastAsia"/>
          <w:color w:val="000000" w:themeColor="text1"/>
          <w:kern w:val="0"/>
          <w:sz w:val="24"/>
        </w:rPr>
        <w:t>2018</w:t>
      </w:r>
      <w:r w:rsidRPr="009A7486">
        <w:rPr>
          <w:rFonts w:eastAsiaTheme="minorEastAsia"/>
          <w:color w:val="000000" w:themeColor="text1"/>
          <w:kern w:val="0"/>
          <w:sz w:val="24"/>
        </w:rPr>
        <w:t>年</w:t>
      </w:r>
      <w:r w:rsidRPr="009A7486">
        <w:rPr>
          <w:rFonts w:eastAsiaTheme="minorEastAsia"/>
          <w:color w:val="000000" w:themeColor="text1"/>
          <w:kern w:val="0"/>
          <w:sz w:val="24"/>
        </w:rPr>
        <w:t>12</w:t>
      </w:r>
      <w:r w:rsidRPr="009A7486">
        <w:rPr>
          <w:rFonts w:eastAsiaTheme="minorEastAsia"/>
          <w:color w:val="000000" w:themeColor="text1"/>
          <w:kern w:val="0"/>
          <w:sz w:val="24"/>
        </w:rPr>
        <w:t>月</w:t>
      </w:r>
      <w:r w:rsidRPr="009A7486">
        <w:rPr>
          <w:rFonts w:eastAsiaTheme="minorEastAsia"/>
          <w:color w:val="000000" w:themeColor="text1"/>
          <w:kern w:val="0"/>
          <w:sz w:val="24"/>
        </w:rPr>
        <w:t>31</w:t>
      </w:r>
      <w:r w:rsidRPr="009A7486">
        <w:rPr>
          <w:rFonts w:eastAsiaTheme="minorEastAsia"/>
          <w:color w:val="000000" w:themeColor="text1"/>
          <w:kern w:val="0"/>
          <w:sz w:val="24"/>
        </w:rPr>
        <w:t>日，国投瑞银货币</w:t>
      </w:r>
      <w:r w:rsidRPr="009A7486">
        <w:rPr>
          <w:rFonts w:eastAsiaTheme="minorEastAsia"/>
          <w:color w:val="000000" w:themeColor="text1"/>
          <w:kern w:val="0"/>
          <w:sz w:val="24"/>
        </w:rPr>
        <w:t>A</w:t>
      </w:r>
      <w:r w:rsidRPr="009A7486">
        <w:rPr>
          <w:rFonts w:eastAsiaTheme="minorEastAsia"/>
          <w:color w:val="000000" w:themeColor="text1"/>
          <w:kern w:val="0"/>
          <w:sz w:val="24"/>
        </w:rPr>
        <w:t>级和国投瑞银货币</w:t>
      </w:r>
      <w:r w:rsidRPr="009A7486">
        <w:rPr>
          <w:rFonts w:eastAsiaTheme="minorEastAsia"/>
          <w:color w:val="000000" w:themeColor="text1"/>
          <w:kern w:val="0"/>
          <w:sz w:val="24"/>
        </w:rPr>
        <w:t>B</w:t>
      </w:r>
      <w:r w:rsidRPr="009A7486">
        <w:rPr>
          <w:rFonts w:eastAsiaTheme="minorEastAsia"/>
          <w:color w:val="000000" w:themeColor="text1"/>
          <w:kern w:val="0"/>
          <w:sz w:val="24"/>
        </w:rPr>
        <w:t>级份额净值均为</w:t>
      </w:r>
      <w:r w:rsidRPr="009A7486">
        <w:rPr>
          <w:rFonts w:eastAsiaTheme="minorEastAsia"/>
          <w:color w:val="000000" w:themeColor="text1"/>
          <w:kern w:val="0"/>
          <w:sz w:val="24"/>
        </w:rPr>
        <w:t>1.000</w:t>
      </w:r>
      <w:r w:rsidRPr="009A7486">
        <w:rPr>
          <w:rFonts w:eastAsiaTheme="minorEastAsia"/>
          <w:color w:val="000000" w:themeColor="text1"/>
          <w:kern w:val="0"/>
          <w:sz w:val="24"/>
        </w:rPr>
        <w:t>元，基金份额总额</w:t>
      </w:r>
      <w:r w:rsidRPr="009A7486">
        <w:rPr>
          <w:rFonts w:eastAsiaTheme="minorEastAsia"/>
          <w:color w:val="000000" w:themeColor="text1"/>
          <w:kern w:val="0"/>
          <w:sz w:val="24"/>
        </w:rPr>
        <w:t>7,119,048,753.76</w:t>
      </w:r>
      <w:r w:rsidRPr="009A7486">
        <w:rPr>
          <w:rFonts w:eastAsiaTheme="minorEastAsia"/>
          <w:color w:val="000000" w:themeColor="text1"/>
          <w:kern w:val="0"/>
          <w:sz w:val="24"/>
        </w:rPr>
        <w:t>份，其中国投瑞银货币</w:t>
      </w:r>
      <w:r w:rsidRPr="009A7486">
        <w:rPr>
          <w:rFonts w:eastAsiaTheme="minorEastAsia"/>
          <w:color w:val="000000" w:themeColor="text1"/>
          <w:kern w:val="0"/>
          <w:sz w:val="24"/>
        </w:rPr>
        <w:t>A</w:t>
      </w:r>
      <w:r w:rsidRPr="009A7486">
        <w:rPr>
          <w:rFonts w:eastAsiaTheme="minorEastAsia"/>
          <w:color w:val="000000" w:themeColor="text1"/>
          <w:kern w:val="0"/>
          <w:sz w:val="24"/>
        </w:rPr>
        <w:t>级</w:t>
      </w:r>
      <w:r w:rsidRPr="009A7486">
        <w:rPr>
          <w:rFonts w:eastAsiaTheme="minorEastAsia"/>
          <w:color w:val="000000" w:themeColor="text1"/>
          <w:kern w:val="0"/>
          <w:sz w:val="24"/>
        </w:rPr>
        <w:t>1,206,123,669.76</w:t>
      </w:r>
      <w:r w:rsidRPr="009A7486">
        <w:rPr>
          <w:rFonts w:eastAsiaTheme="minorEastAsia"/>
          <w:color w:val="000000" w:themeColor="text1"/>
          <w:kern w:val="0"/>
          <w:sz w:val="24"/>
        </w:rPr>
        <w:t>份，国投瑞银货币</w:t>
      </w:r>
      <w:r w:rsidRPr="009A7486">
        <w:rPr>
          <w:rFonts w:eastAsiaTheme="minorEastAsia"/>
          <w:color w:val="000000" w:themeColor="text1"/>
          <w:kern w:val="0"/>
          <w:sz w:val="24"/>
        </w:rPr>
        <w:t>B</w:t>
      </w:r>
      <w:r w:rsidRPr="009A7486">
        <w:rPr>
          <w:rFonts w:eastAsiaTheme="minorEastAsia"/>
          <w:color w:val="000000" w:themeColor="text1"/>
          <w:kern w:val="0"/>
          <w:sz w:val="24"/>
        </w:rPr>
        <w:t>级</w:t>
      </w:r>
      <w:r w:rsidRPr="009A7486">
        <w:rPr>
          <w:rFonts w:eastAsiaTheme="minorEastAsia"/>
          <w:color w:val="000000" w:themeColor="text1"/>
          <w:kern w:val="0"/>
          <w:sz w:val="24"/>
        </w:rPr>
        <w:t>5,912,925,084.00</w:t>
      </w:r>
      <w:r w:rsidRPr="009A7486">
        <w:rPr>
          <w:rFonts w:eastAsiaTheme="minorEastAsia"/>
          <w:color w:val="000000" w:themeColor="text1"/>
          <w:kern w:val="0"/>
          <w:sz w:val="24"/>
        </w:rPr>
        <w:t>份。</w:t>
      </w:r>
    </w:p>
    <w:p w:rsidR="00223DFB" w:rsidRPr="009A7486" w:rsidRDefault="00223DFB" w:rsidP="00EC5841">
      <w:pPr>
        <w:autoSpaceDE w:val="0"/>
        <w:autoSpaceDN w:val="0"/>
        <w:adjustRightInd w:val="0"/>
        <w:spacing w:line="360" w:lineRule="auto"/>
        <w:jc w:val="left"/>
        <w:outlineLvl w:val="1"/>
        <w:rPr>
          <w:rFonts w:eastAsiaTheme="minorEastAsia"/>
          <w:b/>
          <w:bCs/>
          <w:color w:val="000000" w:themeColor="text1"/>
          <w:kern w:val="0"/>
          <w:sz w:val="24"/>
        </w:rPr>
      </w:pPr>
      <w:r w:rsidRPr="009A7486">
        <w:rPr>
          <w:rFonts w:eastAsiaTheme="minorEastAsia"/>
          <w:b/>
          <w:bCs/>
          <w:color w:val="000000" w:themeColor="text1"/>
          <w:kern w:val="0"/>
          <w:sz w:val="24"/>
        </w:rPr>
        <w:t xml:space="preserve">7.2 </w:t>
      </w:r>
      <w:r w:rsidRPr="009A7486">
        <w:rPr>
          <w:rFonts w:eastAsiaTheme="minorEastAsia"/>
          <w:b/>
          <w:bCs/>
          <w:color w:val="000000" w:themeColor="text1"/>
          <w:kern w:val="0"/>
          <w:sz w:val="24"/>
        </w:rPr>
        <w:t>利润表</w:t>
      </w:r>
    </w:p>
    <w:p w:rsidR="00223DFB" w:rsidRPr="009A7486" w:rsidRDefault="00223DFB" w:rsidP="00C71563">
      <w:pPr>
        <w:spacing w:line="360" w:lineRule="auto"/>
        <w:rPr>
          <w:rFonts w:eastAsiaTheme="minorEastAsia"/>
          <w:color w:val="000000" w:themeColor="text1"/>
          <w:kern w:val="0"/>
          <w:sz w:val="24"/>
        </w:rPr>
      </w:pPr>
      <w:r w:rsidRPr="009A7486">
        <w:rPr>
          <w:rFonts w:eastAsiaTheme="minorEastAsia"/>
          <w:color w:val="000000" w:themeColor="text1"/>
          <w:sz w:val="24"/>
        </w:rPr>
        <w:t>会计主体：</w:t>
      </w:r>
      <w:r w:rsidRPr="009A7486">
        <w:rPr>
          <w:rFonts w:eastAsiaTheme="minorEastAsia"/>
          <w:color w:val="000000" w:themeColor="text1"/>
          <w:kern w:val="0"/>
          <w:sz w:val="24"/>
        </w:rPr>
        <w:t>国投瑞银货币市场基金</w:t>
      </w:r>
    </w:p>
    <w:p w:rsidR="00223DFB" w:rsidRPr="009A7486" w:rsidRDefault="00223DFB" w:rsidP="00C71563">
      <w:pPr>
        <w:spacing w:line="360" w:lineRule="auto"/>
        <w:rPr>
          <w:rFonts w:eastAsiaTheme="minorEastAsia"/>
          <w:color w:val="000000" w:themeColor="text1"/>
          <w:kern w:val="0"/>
          <w:sz w:val="24"/>
        </w:rPr>
      </w:pPr>
      <w:r w:rsidRPr="009A7486">
        <w:rPr>
          <w:rFonts w:eastAsiaTheme="minorEastAsia"/>
          <w:color w:val="000000" w:themeColor="text1"/>
          <w:sz w:val="24"/>
        </w:rPr>
        <w:t>本报告期：</w:t>
      </w:r>
      <w:r w:rsidRPr="009A7486">
        <w:rPr>
          <w:rFonts w:eastAsiaTheme="minorEastAsia"/>
          <w:color w:val="000000" w:themeColor="text1"/>
          <w:kern w:val="0"/>
          <w:sz w:val="24"/>
        </w:rPr>
        <w:t>2018</w:t>
      </w:r>
      <w:r w:rsidRPr="009A7486">
        <w:rPr>
          <w:rFonts w:eastAsiaTheme="minorEastAsia"/>
          <w:color w:val="000000" w:themeColor="text1"/>
          <w:kern w:val="0"/>
          <w:sz w:val="24"/>
        </w:rPr>
        <w:t>年</w:t>
      </w:r>
      <w:r w:rsidRPr="009A7486">
        <w:rPr>
          <w:rFonts w:eastAsiaTheme="minorEastAsia"/>
          <w:color w:val="000000" w:themeColor="text1"/>
          <w:kern w:val="0"/>
          <w:sz w:val="24"/>
        </w:rPr>
        <w:t>1</w:t>
      </w:r>
      <w:r w:rsidRPr="009A7486">
        <w:rPr>
          <w:rFonts w:eastAsiaTheme="minorEastAsia"/>
          <w:color w:val="000000" w:themeColor="text1"/>
          <w:kern w:val="0"/>
          <w:sz w:val="24"/>
        </w:rPr>
        <w:t>月</w:t>
      </w:r>
      <w:r w:rsidRPr="009A7486">
        <w:rPr>
          <w:rFonts w:eastAsiaTheme="minorEastAsia"/>
          <w:color w:val="000000" w:themeColor="text1"/>
          <w:kern w:val="0"/>
          <w:sz w:val="24"/>
        </w:rPr>
        <w:t>1</w:t>
      </w:r>
      <w:r w:rsidRPr="009A7486">
        <w:rPr>
          <w:rFonts w:eastAsiaTheme="minorEastAsia"/>
          <w:color w:val="000000" w:themeColor="text1"/>
          <w:kern w:val="0"/>
          <w:sz w:val="24"/>
        </w:rPr>
        <w:t>日至</w:t>
      </w:r>
      <w:r w:rsidRPr="009A7486">
        <w:rPr>
          <w:rFonts w:eastAsiaTheme="minorEastAsia"/>
          <w:color w:val="000000" w:themeColor="text1"/>
          <w:kern w:val="0"/>
          <w:sz w:val="24"/>
        </w:rPr>
        <w:t>2018</w:t>
      </w:r>
      <w:r w:rsidRPr="009A7486">
        <w:rPr>
          <w:rFonts w:eastAsiaTheme="minorEastAsia"/>
          <w:color w:val="000000" w:themeColor="text1"/>
          <w:kern w:val="0"/>
          <w:sz w:val="24"/>
        </w:rPr>
        <w:t>年</w:t>
      </w:r>
      <w:r w:rsidRPr="009A7486">
        <w:rPr>
          <w:rFonts w:eastAsiaTheme="minorEastAsia"/>
          <w:color w:val="000000" w:themeColor="text1"/>
          <w:kern w:val="0"/>
          <w:sz w:val="24"/>
        </w:rPr>
        <w:t>12</w:t>
      </w:r>
      <w:r w:rsidRPr="009A7486">
        <w:rPr>
          <w:rFonts w:eastAsiaTheme="minorEastAsia"/>
          <w:color w:val="000000" w:themeColor="text1"/>
          <w:kern w:val="0"/>
          <w:sz w:val="24"/>
        </w:rPr>
        <w:t>月</w:t>
      </w:r>
      <w:r w:rsidRPr="009A7486">
        <w:rPr>
          <w:rFonts w:eastAsiaTheme="minorEastAsia"/>
          <w:color w:val="000000" w:themeColor="text1"/>
          <w:kern w:val="0"/>
          <w:sz w:val="24"/>
        </w:rPr>
        <w:t>31</w:t>
      </w:r>
      <w:r w:rsidRPr="009A7486">
        <w:rPr>
          <w:rFonts w:eastAsiaTheme="minorEastAsia"/>
          <w:color w:val="000000" w:themeColor="text1"/>
          <w:kern w:val="0"/>
          <w:sz w:val="24"/>
        </w:rPr>
        <w:t>日</w:t>
      </w:r>
    </w:p>
    <w:p w:rsidR="00095F8F" w:rsidRPr="00AF5CC1" w:rsidRDefault="00095F8F" w:rsidP="00095F8F">
      <w:pPr>
        <w:autoSpaceDE w:val="0"/>
        <w:autoSpaceDN w:val="0"/>
        <w:adjustRightInd w:val="0"/>
        <w:spacing w:before="29" w:line="360" w:lineRule="auto"/>
        <w:ind w:left="15"/>
        <w:jc w:val="right"/>
        <w:rPr>
          <w:rFonts w:asciiTheme="minorEastAsia" w:eastAsiaTheme="minorEastAsia" w:hAnsiTheme="minorEastAsia"/>
          <w:color w:val="000000"/>
          <w:kern w:val="0"/>
          <w:sz w:val="24"/>
        </w:rPr>
      </w:pPr>
      <w:r w:rsidRPr="00AF5CC1">
        <w:rPr>
          <w:rFonts w:asciiTheme="minorEastAsia" w:eastAsiaTheme="minorEastAsia" w:hAnsiTheme="minorEastAsia" w:hint="eastAsia"/>
          <w:color w:val="000000"/>
          <w:kern w:val="0"/>
          <w:sz w:val="24"/>
        </w:rPr>
        <w:t>单位：人民币元</w:t>
      </w:r>
    </w:p>
    <w:tbl>
      <w:tblPr>
        <w:tblW w:w="79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420"/>
        <w:gridCol w:w="2250"/>
        <w:gridCol w:w="2250"/>
      </w:tblGrid>
      <w:tr w:rsidR="008F0294" w:rsidRPr="00AF5CC1" w:rsidTr="008F0294">
        <w:tc>
          <w:tcPr>
            <w:tcW w:w="3420" w:type="dxa"/>
            <w:vAlign w:val="center"/>
          </w:tcPr>
          <w:p w:rsidR="008F0294" w:rsidRPr="00AF5CC1" w:rsidRDefault="008F0294" w:rsidP="00FC640F">
            <w:pPr>
              <w:pStyle w:val="af6"/>
              <w:spacing w:line="360" w:lineRule="auto"/>
              <w:jc w:val="center"/>
              <w:rPr>
                <w:rFonts w:ascii="Times New Roman" w:eastAsiaTheme="minorEastAsia" w:hAnsi="Times New Roman"/>
                <w:b/>
                <w:color w:val="000000"/>
              </w:rPr>
            </w:pPr>
            <w:r w:rsidRPr="00AF5CC1">
              <w:rPr>
                <w:rFonts w:ascii="Times New Roman" w:eastAsiaTheme="minorEastAsia" w:hAnsi="Times New Roman"/>
                <w:b/>
                <w:color w:val="000000"/>
              </w:rPr>
              <w:t>项目</w:t>
            </w:r>
          </w:p>
        </w:tc>
        <w:tc>
          <w:tcPr>
            <w:tcW w:w="2250" w:type="dxa"/>
            <w:vAlign w:val="center"/>
          </w:tcPr>
          <w:p w:rsidR="008F0294" w:rsidRPr="00AF5CC1" w:rsidRDefault="008F0294" w:rsidP="00FC640F">
            <w:pPr>
              <w:pStyle w:val="af6"/>
              <w:spacing w:before="0" w:beforeAutospacing="0" w:after="0" w:afterAutospacing="0" w:line="360" w:lineRule="auto"/>
              <w:jc w:val="center"/>
              <w:rPr>
                <w:rFonts w:ascii="Times New Roman" w:eastAsiaTheme="minorEastAsia" w:hAnsi="Times New Roman"/>
                <w:b/>
                <w:color w:val="000000"/>
              </w:rPr>
            </w:pPr>
            <w:r w:rsidRPr="00AF5CC1">
              <w:rPr>
                <w:rFonts w:ascii="Times New Roman" w:eastAsiaTheme="minorEastAsia" w:hAnsi="Times New Roman"/>
                <w:b/>
                <w:color w:val="000000"/>
              </w:rPr>
              <w:t>本期</w:t>
            </w:r>
          </w:p>
          <w:p w:rsidR="008F0294" w:rsidRPr="00AF5CC1" w:rsidRDefault="008F0294" w:rsidP="00FC640F">
            <w:pPr>
              <w:pStyle w:val="af6"/>
              <w:spacing w:before="0" w:beforeAutospacing="0" w:after="0" w:afterAutospacing="0" w:line="360" w:lineRule="auto"/>
              <w:jc w:val="center"/>
              <w:rPr>
                <w:rFonts w:ascii="Times New Roman" w:eastAsiaTheme="minorEastAsia" w:hAnsi="Times New Roman"/>
                <w:b/>
                <w:color w:val="000000"/>
              </w:rPr>
            </w:pPr>
            <w:r w:rsidRPr="00AF5CC1">
              <w:rPr>
                <w:rFonts w:ascii="Times New Roman" w:eastAsiaTheme="minorEastAsia" w:hAnsi="Times New Roman"/>
              </w:rPr>
              <w:t>2018</w:t>
            </w:r>
            <w:r w:rsidRPr="00AF5CC1">
              <w:rPr>
                <w:rFonts w:ascii="Times New Roman" w:eastAsiaTheme="minorEastAsia" w:hAnsi="Times New Roman"/>
              </w:rPr>
              <w:t>年</w:t>
            </w:r>
            <w:r w:rsidRPr="00AF5CC1">
              <w:rPr>
                <w:rFonts w:ascii="Times New Roman" w:eastAsiaTheme="minorEastAsia" w:hAnsi="Times New Roman"/>
              </w:rPr>
              <w:t>1</w:t>
            </w:r>
            <w:r w:rsidRPr="00AF5CC1">
              <w:rPr>
                <w:rFonts w:ascii="Times New Roman" w:eastAsiaTheme="minorEastAsia" w:hAnsi="Times New Roman"/>
              </w:rPr>
              <w:t>月</w:t>
            </w:r>
            <w:r w:rsidRPr="00AF5CC1">
              <w:rPr>
                <w:rFonts w:ascii="Times New Roman" w:eastAsiaTheme="minorEastAsia" w:hAnsi="Times New Roman"/>
              </w:rPr>
              <w:t>1</w:t>
            </w:r>
            <w:r w:rsidRPr="00AF5CC1">
              <w:rPr>
                <w:rFonts w:ascii="Times New Roman" w:eastAsiaTheme="minorEastAsia" w:hAnsi="Times New Roman"/>
              </w:rPr>
              <w:t>日至</w:t>
            </w:r>
            <w:r w:rsidRPr="00AF5CC1">
              <w:rPr>
                <w:rFonts w:ascii="Times New Roman" w:eastAsiaTheme="minorEastAsia" w:hAnsi="Times New Roman"/>
              </w:rPr>
              <w:t>2018</w:t>
            </w:r>
            <w:r w:rsidRPr="00AF5CC1">
              <w:rPr>
                <w:rFonts w:ascii="Times New Roman" w:eastAsiaTheme="minorEastAsia" w:hAnsi="Times New Roman"/>
              </w:rPr>
              <w:t>年</w:t>
            </w:r>
            <w:r w:rsidRPr="00AF5CC1">
              <w:rPr>
                <w:rFonts w:ascii="Times New Roman" w:eastAsiaTheme="minorEastAsia" w:hAnsi="Times New Roman"/>
              </w:rPr>
              <w:t>12</w:t>
            </w:r>
            <w:r w:rsidRPr="00AF5CC1">
              <w:rPr>
                <w:rFonts w:ascii="Times New Roman" w:eastAsiaTheme="minorEastAsia" w:hAnsi="Times New Roman"/>
              </w:rPr>
              <w:t>月</w:t>
            </w:r>
            <w:r w:rsidRPr="00AF5CC1">
              <w:rPr>
                <w:rFonts w:ascii="Times New Roman" w:eastAsiaTheme="minorEastAsia" w:hAnsi="Times New Roman"/>
              </w:rPr>
              <w:t>31</w:t>
            </w:r>
            <w:r w:rsidRPr="00AF5CC1">
              <w:rPr>
                <w:rFonts w:ascii="Times New Roman" w:eastAsiaTheme="minorEastAsia" w:hAnsi="Times New Roman"/>
              </w:rPr>
              <w:t>日</w:t>
            </w:r>
          </w:p>
        </w:tc>
        <w:tc>
          <w:tcPr>
            <w:tcW w:w="2250" w:type="dxa"/>
            <w:vAlign w:val="center"/>
          </w:tcPr>
          <w:p w:rsidR="008F0294" w:rsidRPr="00AF5CC1" w:rsidRDefault="008F0294" w:rsidP="00FC640F">
            <w:pPr>
              <w:pStyle w:val="af6"/>
              <w:spacing w:before="0" w:beforeAutospacing="0" w:after="0" w:afterAutospacing="0" w:line="360" w:lineRule="auto"/>
              <w:jc w:val="center"/>
              <w:rPr>
                <w:rFonts w:ascii="Times New Roman" w:eastAsiaTheme="minorEastAsia" w:hAnsi="Times New Roman"/>
                <w:b/>
                <w:color w:val="000000"/>
              </w:rPr>
            </w:pPr>
            <w:r w:rsidRPr="00AF5CC1">
              <w:rPr>
                <w:rFonts w:ascii="Times New Roman" w:eastAsiaTheme="minorEastAsia" w:hAnsi="Times New Roman"/>
                <w:b/>
                <w:color w:val="000000"/>
              </w:rPr>
              <w:t>上年度可比期间</w:t>
            </w:r>
          </w:p>
          <w:p w:rsidR="008F0294" w:rsidRPr="00AF5CC1" w:rsidRDefault="008F0294" w:rsidP="00FC640F">
            <w:pPr>
              <w:pStyle w:val="af6"/>
              <w:spacing w:before="0" w:beforeAutospacing="0" w:after="0" w:afterAutospacing="0" w:line="360" w:lineRule="auto"/>
              <w:jc w:val="center"/>
              <w:rPr>
                <w:rFonts w:ascii="Times New Roman" w:eastAsiaTheme="minorEastAsia" w:hAnsi="Times New Roman"/>
                <w:color w:val="000000"/>
              </w:rPr>
            </w:pPr>
            <w:r w:rsidRPr="00AF5CC1">
              <w:rPr>
                <w:rFonts w:ascii="Times New Roman" w:eastAsiaTheme="minorEastAsia" w:hAnsi="Times New Roman"/>
                <w:color w:val="000000"/>
              </w:rPr>
              <w:t>2017</w:t>
            </w:r>
            <w:r w:rsidRPr="00AF5CC1">
              <w:rPr>
                <w:rFonts w:ascii="Times New Roman" w:eastAsiaTheme="minorEastAsia" w:hAnsi="Times New Roman"/>
                <w:color w:val="000000"/>
              </w:rPr>
              <w:t>年</w:t>
            </w:r>
            <w:r w:rsidRPr="00AF5CC1">
              <w:rPr>
                <w:rFonts w:ascii="Times New Roman" w:eastAsiaTheme="minorEastAsia" w:hAnsi="Times New Roman"/>
                <w:color w:val="000000"/>
              </w:rPr>
              <w:t>1</w:t>
            </w:r>
            <w:r w:rsidRPr="00AF5CC1">
              <w:rPr>
                <w:rFonts w:ascii="Times New Roman" w:eastAsiaTheme="minorEastAsia" w:hAnsi="Times New Roman"/>
                <w:color w:val="000000"/>
              </w:rPr>
              <w:t>月</w:t>
            </w:r>
            <w:r w:rsidRPr="00AF5CC1">
              <w:rPr>
                <w:rFonts w:ascii="Times New Roman" w:eastAsiaTheme="minorEastAsia" w:hAnsi="Times New Roman"/>
                <w:color w:val="000000"/>
              </w:rPr>
              <w:t>1</w:t>
            </w:r>
            <w:r w:rsidRPr="00AF5CC1">
              <w:rPr>
                <w:rFonts w:ascii="Times New Roman" w:eastAsiaTheme="minorEastAsia" w:hAnsi="Times New Roman"/>
                <w:color w:val="000000"/>
              </w:rPr>
              <w:t>日至</w:t>
            </w:r>
            <w:r w:rsidRPr="00AF5CC1">
              <w:rPr>
                <w:rFonts w:ascii="Times New Roman" w:eastAsiaTheme="minorEastAsia" w:hAnsi="Times New Roman"/>
                <w:color w:val="000000"/>
              </w:rPr>
              <w:t>2017</w:t>
            </w:r>
            <w:r w:rsidRPr="00AF5CC1">
              <w:rPr>
                <w:rFonts w:ascii="Times New Roman" w:eastAsiaTheme="minorEastAsia" w:hAnsi="Times New Roman"/>
                <w:color w:val="000000"/>
              </w:rPr>
              <w:t>年</w:t>
            </w:r>
            <w:r w:rsidRPr="00AF5CC1">
              <w:rPr>
                <w:rFonts w:ascii="Times New Roman" w:eastAsiaTheme="minorEastAsia" w:hAnsi="Times New Roman"/>
                <w:color w:val="000000"/>
              </w:rPr>
              <w:t>12</w:t>
            </w:r>
            <w:r w:rsidRPr="00AF5CC1">
              <w:rPr>
                <w:rFonts w:ascii="Times New Roman" w:eastAsiaTheme="minorEastAsia" w:hAnsi="Times New Roman"/>
                <w:color w:val="000000"/>
              </w:rPr>
              <w:t>月</w:t>
            </w:r>
            <w:r w:rsidRPr="00AF5CC1">
              <w:rPr>
                <w:rFonts w:ascii="Times New Roman" w:eastAsiaTheme="minorEastAsia" w:hAnsi="Times New Roman"/>
                <w:color w:val="000000"/>
              </w:rPr>
              <w:t>31</w:t>
            </w:r>
            <w:r w:rsidRPr="00AF5CC1">
              <w:rPr>
                <w:rFonts w:ascii="Times New Roman" w:eastAsiaTheme="minorEastAsia" w:hAnsi="Times New Roman"/>
                <w:color w:val="000000"/>
              </w:rPr>
              <w:t>日</w:t>
            </w:r>
          </w:p>
        </w:tc>
      </w:tr>
      <w:tr w:rsidR="008F0294" w:rsidRPr="00AF5CC1" w:rsidTr="008F0294">
        <w:tc>
          <w:tcPr>
            <w:tcW w:w="3420" w:type="dxa"/>
            <w:vAlign w:val="center"/>
          </w:tcPr>
          <w:p w:rsidR="008F0294" w:rsidRPr="00AF5CC1" w:rsidRDefault="008F0294" w:rsidP="00FC640F">
            <w:pPr>
              <w:spacing w:line="360" w:lineRule="auto"/>
              <w:rPr>
                <w:rFonts w:eastAsiaTheme="minorEastAsia"/>
                <w:b/>
                <w:color w:val="000000"/>
                <w:sz w:val="24"/>
              </w:rPr>
            </w:pPr>
            <w:r w:rsidRPr="00AF5CC1">
              <w:rPr>
                <w:rFonts w:eastAsiaTheme="minorEastAsia"/>
                <w:b/>
                <w:color w:val="000000"/>
                <w:sz w:val="24"/>
              </w:rPr>
              <w:t>一、收入</w:t>
            </w:r>
          </w:p>
        </w:tc>
        <w:tc>
          <w:tcPr>
            <w:tcW w:w="2250" w:type="dxa"/>
            <w:vAlign w:val="center"/>
          </w:tcPr>
          <w:p w:rsidR="008F0294" w:rsidRPr="00AF5CC1" w:rsidRDefault="008F0294" w:rsidP="00FC640F">
            <w:pPr>
              <w:spacing w:line="360" w:lineRule="auto"/>
              <w:jc w:val="right"/>
              <w:rPr>
                <w:rFonts w:eastAsiaTheme="minorEastAsia"/>
                <w:b/>
                <w:color w:val="000000"/>
                <w:sz w:val="24"/>
              </w:rPr>
            </w:pPr>
            <w:r w:rsidRPr="00AF5CC1">
              <w:rPr>
                <w:rFonts w:eastAsiaTheme="minorEastAsia"/>
                <w:b/>
                <w:color w:val="000000"/>
                <w:sz w:val="24"/>
              </w:rPr>
              <w:t>715,601,966.78</w:t>
            </w:r>
          </w:p>
        </w:tc>
        <w:tc>
          <w:tcPr>
            <w:tcW w:w="2250" w:type="dxa"/>
            <w:vAlign w:val="center"/>
          </w:tcPr>
          <w:p w:rsidR="008F0294" w:rsidRPr="00AF5CC1" w:rsidRDefault="008F0294" w:rsidP="00FC640F">
            <w:pPr>
              <w:spacing w:line="360" w:lineRule="auto"/>
              <w:jc w:val="right"/>
              <w:rPr>
                <w:rFonts w:eastAsiaTheme="minorEastAsia"/>
                <w:b/>
                <w:color w:val="000000"/>
                <w:sz w:val="24"/>
              </w:rPr>
            </w:pPr>
            <w:r w:rsidRPr="00AF5CC1">
              <w:rPr>
                <w:rFonts w:eastAsiaTheme="minorEastAsia"/>
                <w:b/>
                <w:color w:val="000000"/>
                <w:sz w:val="24"/>
              </w:rPr>
              <w:t>754,576,341.00</w:t>
            </w:r>
          </w:p>
        </w:tc>
      </w:tr>
      <w:tr w:rsidR="008F0294" w:rsidRPr="00AF5CC1" w:rsidTr="008F0294">
        <w:tc>
          <w:tcPr>
            <w:tcW w:w="3420" w:type="dxa"/>
            <w:vAlign w:val="center"/>
          </w:tcPr>
          <w:p w:rsidR="008F0294" w:rsidRPr="00AF5CC1" w:rsidRDefault="008F0294" w:rsidP="00FC640F">
            <w:pPr>
              <w:spacing w:line="360" w:lineRule="auto"/>
              <w:rPr>
                <w:rFonts w:eastAsiaTheme="minorEastAsia"/>
                <w:color w:val="000000"/>
                <w:sz w:val="24"/>
              </w:rPr>
            </w:pPr>
            <w:r w:rsidRPr="00AF5CC1">
              <w:rPr>
                <w:rFonts w:eastAsiaTheme="minorEastAsia"/>
                <w:color w:val="000000"/>
                <w:sz w:val="24"/>
              </w:rPr>
              <w:t>1.</w:t>
            </w:r>
            <w:r w:rsidRPr="00AF5CC1">
              <w:rPr>
                <w:rFonts w:eastAsiaTheme="minorEastAsia"/>
                <w:color w:val="000000"/>
                <w:sz w:val="24"/>
              </w:rPr>
              <w:t>利息收入</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686,632,928.07</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743,674,092.65</w:t>
            </w:r>
          </w:p>
        </w:tc>
      </w:tr>
      <w:tr w:rsidR="008F0294" w:rsidRPr="00AF5CC1" w:rsidTr="008F0294">
        <w:tc>
          <w:tcPr>
            <w:tcW w:w="3420" w:type="dxa"/>
            <w:vAlign w:val="center"/>
          </w:tcPr>
          <w:p w:rsidR="008F0294" w:rsidRPr="00AF5CC1" w:rsidRDefault="008F0294" w:rsidP="00FC640F">
            <w:pPr>
              <w:spacing w:line="360" w:lineRule="auto"/>
              <w:rPr>
                <w:rFonts w:eastAsiaTheme="minorEastAsia"/>
                <w:color w:val="000000"/>
                <w:sz w:val="24"/>
              </w:rPr>
            </w:pPr>
            <w:r w:rsidRPr="00AF5CC1">
              <w:rPr>
                <w:rFonts w:eastAsiaTheme="minorEastAsia"/>
                <w:color w:val="000000"/>
                <w:sz w:val="24"/>
              </w:rPr>
              <w:t>其中：存款利息收入</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43,016,966.14</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167,079,354.62</w:t>
            </w:r>
          </w:p>
        </w:tc>
      </w:tr>
      <w:tr w:rsidR="008F0294" w:rsidRPr="00AF5CC1" w:rsidTr="008F0294">
        <w:tc>
          <w:tcPr>
            <w:tcW w:w="3420" w:type="dxa"/>
            <w:vAlign w:val="center"/>
          </w:tcPr>
          <w:p w:rsidR="008F0294" w:rsidRPr="00AF5CC1" w:rsidRDefault="008F0294" w:rsidP="00FC640F">
            <w:pPr>
              <w:spacing w:line="360" w:lineRule="auto"/>
              <w:ind w:firstLineChars="250" w:firstLine="600"/>
              <w:rPr>
                <w:rFonts w:eastAsiaTheme="minorEastAsia"/>
                <w:color w:val="000000"/>
                <w:sz w:val="24"/>
              </w:rPr>
            </w:pPr>
            <w:r w:rsidRPr="00AF5CC1">
              <w:rPr>
                <w:rFonts w:eastAsiaTheme="minorEastAsia"/>
                <w:color w:val="000000"/>
                <w:sz w:val="24"/>
              </w:rPr>
              <w:t>债券利息收入</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546,781,733.98</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435,242,148.06</w:t>
            </w:r>
          </w:p>
        </w:tc>
      </w:tr>
      <w:tr w:rsidR="008F0294" w:rsidRPr="00AF5CC1" w:rsidTr="008F0294">
        <w:tc>
          <w:tcPr>
            <w:tcW w:w="3420" w:type="dxa"/>
            <w:vAlign w:val="center"/>
          </w:tcPr>
          <w:p w:rsidR="008F0294" w:rsidRPr="00AF5CC1" w:rsidRDefault="008F0294" w:rsidP="00FC640F">
            <w:pPr>
              <w:spacing w:line="360" w:lineRule="auto"/>
              <w:ind w:firstLineChars="250" w:firstLine="600"/>
              <w:rPr>
                <w:rFonts w:eastAsiaTheme="minorEastAsia"/>
                <w:color w:val="000000"/>
                <w:sz w:val="24"/>
              </w:rPr>
            </w:pPr>
            <w:r w:rsidRPr="00AF5CC1">
              <w:rPr>
                <w:rFonts w:eastAsiaTheme="minorEastAsia"/>
                <w:color w:val="000000"/>
                <w:sz w:val="24"/>
              </w:rPr>
              <w:t>资产支持证券利息收入</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r>
      <w:tr w:rsidR="008F0294" w:rsidRPr="00AF5CC1" w:rsidTr="008F0294">
        <w:tc>
          <w:tcPr>
            <w:tcW w:w="3420" w:type="dxa"/>
            <w:vAlign w:val="center"/>
          </w:tcPr>
          <w:p w:rsidR="008F0294" w:rsidRPr="00AF5CC1" w:rsidRDefault="008F0294" w:rsidP="00FC640F">
            <w:pPr>
              <w:spacing w:line="360" w:lineRule="auto"/>
              <w:ind w:firstLineChars="250" w:firstLine="600"/>
              <w:rPr>
                <w:rFonts w:eastAsiaTheme="minorEastAsia"/>
                <w:color w:val="000000"/>
                <w:sz w:val="24"/>
              </w:rPr>
            </w:pPr>
            <w:r w:rsidRPr="00AF5CC1">
              <w:rPr>
                <w:rFonts w:eastAsiaTheme="minorEastAsia"/>
                <w:color w:val="000000"/>
                <w:sz w:val="24"/>
              </w:rPr>
              <w:t>买入返售金融资产收入</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96,834,227.95</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141,352,589.97</w:t>
            </w:r>
          </w:p>
        </w:tc>
      </w:tr>
      <w:tr w:rsidR="008F0294" w:rsidRPr="00AF5CC1" w:rsidTr="008F0294">
        <w:tc>
          <w:tcPr>
            <w:tcW w:w="3420" w:type="dxa"/>
            <w:vAlign w:val="center"/>
          </w:tcPr>
          <w:p w:rsidR="008F0294" w:rsidRPr="00AF5CC1" w:rsidRDefault="008F0294" w:rsidP="00FC640F">
            <w:pPr>
              <w:spacing w:line="360" w:lineRule="auto"/>
              <w:ind w:firstLineChars="250" w:firstLine="600"/>
              <w:rPr>
                <w:rFonts w:eastAsiaTheme="minorEastAsia"/>
                <w:color w:val="000000"/>
                <w:sz w:val="24"/>
              </w:rPr>
            </w:pPr>
            <w:r w:rsidRPr="00AF5CC1">
              <w:rPr>
                <w:rFonts w:eastAsiaTheme="minorEastAsia"/>
                <w:color w:val="000000"/>
                <w:sz w:val="24"/>
              </w:rPr>
              <w:t>其他利息收入</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r>
      <w:tr w:rsidR="008F0294" w:rsidRPr="00AF5CC1" w:rsidTr="008F0294">
        <w:tc>
          <w:tcPr>
            <w:tcW w:w="3420" w:type="dxa"/>
            <w:vAlign w:val="center"/>
          </w:tcPr>
          <w:p w:rsidR="008F0294" w:rsidRPr="00AF5CC1" w:rsidRDefault="008F0294" w:rsidP="00FC640F">
            <w:pPr>
              <w:spacing w:line="360" w:lineRule="auto"/>
              <w:rPr>
                <w:rFonts w:eastAsiaTheme="minorEastAsia"/>
                <w:color w:val="000000"/>
                <w:sz w:val="24"/>
              </w:rPr>
            </w:pPr>
            <w:r w:rsidRPr="00AF5CC1">
              <w:rPr>
                <w:rFonts w:eastAsiaTheme="minorEastAsia"/>
                <w:color w:val="000000"/>
                <w:sz w:val="24"/>
              </w:rPr>
              <w:t>2.</w:t>
            </w:r>
            <w:r w:rsidRPr="00AF5CC1">
              <w:rPr>
                <w:rFonts w:eastAsiaTheme="minorEastAsia"/>
                <w:color w:val="000000"/>
                <w:sz w:val="24"/>
              </w:rPr>
              <w:t>投资收益（损失以</w:t>
            </w:r>
            <w:r w:rsidRPr="00AF5CC1">
              <w:rPr>
                <w:rFonts w:eastAsiaTheme="minorEastAsia"/>
                <w:color w:val="000000"/>
                <w:sz w:val="24"/>
              </w:rPr>
              <w:t>“-”</w:t>
            </w:r>
            <w:r w:rsidRPr="00AF5CC1">
              <w:rPr>
                <w:rFonts w:eastAsiaTheme="minorEastAsia"/>
                <w:color w:val="000000"/>
                <w:sz w:val="24"/>
              </w:rPr>
              <w:t>填列）</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28,969,038.71</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10,892,048.35</w:t>
            </w:r>
          </w:p>
        </w:tc>
      </w:tr>
      <w:tr w:rsidR="008F0294" w:rsidRPr="00AF5CC1" w:rsidTr="008F0294">
        <w:tc>
          <w:tcPr>
            <w:tcW w:w="3420" w:type="dxa"/>
            <w:vAlign w:val="center"/>
          </w:tcPr>
          <w:p w:rsidR="008F0294" w:rsidRPr="00AF5CC1" w:rsidRDefault="008F0294" w:rsidP="00FC640F">
            <w:pPr>
              <w:spacing w:line="360" w:lineRule="auto"/>
              <w:rPr>
                <w:rFonts w:eastAsiaTheme="minorEastAsia"/>
                <w:color w:val="000000"/>
                <w:sz w:val="24"/>
              </w:rPr>
            </w:pPr>
            <w:r w:rsidRPr="00AF5CC1">
              <w:rPr>
                <w:rFonts w:eastAsiaTheme="minorEastAsia"/>
                <w:color w:val="000000"/>
                <w:sz w:val="24"/>
              </w:rPr>
              <w:t>其中：股票投资收益</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r>
      <w:tr w:rsidR="008F0294" w:rsidRPr="00AF5CC1" w:rsidTr="008F0294">
        <w:tc>
          <w:tcPr>
            <w:tcW w:w="3420" w:type="dxa"/>
            <w:vAlign w:val="center"/>
          </w:tcPr>
          <w:p w:rsidR="008F0294" w:rsidRPr="00AF5CC1" w:rsidRDefault="008F0294" w:rsidP="00FC640F">
            <w:pPr>
              <w:spacing w:line="360" w:lineRule="auto"/>
              <w:ind w:firstLineChars="300" w:firstLine="720"/>
              <w:rPr>
                <w:rFonts w:eastAsiaTheme="minorEastAsia"/>
                <w:color w:val="000000"/>
                <w:sz w:val="24"/>
              </w:rPr>
            </w:pPr>
            <w:r w:rsidRPr="00AF5CC1">
              <w:rPr>
                <w:rFonts w:eastAsiaTheme="minorEastAsia"/>
                <w:color w:val="000000"/>
                <w:sz w:val="24"/>
              </w:rPr>
              <w:t>基金投资收益</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r>
      <w:tr w:rsidR="008F0294" w:rsidRPr="00AF5CC1" w:rsidTr="008F0294">
        <w:tc>
          <w:tcPr>
            <w:tcW w:w="3420" w:type="dxa"/>
          </w:tcPr>
          <w:p w:rsidR="008F0294" w:rsidRPr="00AF5CC1" w:rsidRDefault="008F0294" w:rsidP="00FC640F">
            <w:pPr>
              <w:spacing w:line="360" w:lineRule="auto"/>
              <w:ind w:firstLineChars="300" w:firstLine="720"/>
              <w:rPr>
                <w:rFonts w:eastAsiaTheme="minorEastAsia"/>
                <w:color w:val="000000"/>
                <w:sz w:val="24"/>
              </w:rPr>
            </w:pPr>
            <w:r w:rsidRPr="00AF5CC1">
              <w:rPr>
                <w:rFonts w:eastAsiaTheme="minorEastAsia"/>
                <w:color w:val="000000"/>
                <w:sz w:val="24"/>
              </w:rPr>
              <w:t>债券投资收益</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28,969,038.71</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10,892,048.35</w:t>
            </w:r>
          </w:p>
        </w:tc>
      </w:tr>
      <w:tr w:rsidR="008F0294" w:rsidRPr="00AF5CC1" w:rsidTr="008F0294">
        <w:tc>
          <w:tcPr>
            <w:tcW w:w="3420" w:type="dxa"/>
          </w:tcPr>
          <w:p w:rsidR="008F0294" w:rsidRPr="00AF5CC1" w:rsidRDefault="008F0294" w:rsidP="00FC640F">
            <w:pPr>
              <w:spacing w:line="360" w:lineRule="auto"/>
              <w:ind w:firstLineChars="300" w:firstLine="720"/>
              <w:rPr>
                <w:rFonts w:eastAsiaTheme="minorEastAsia"/>
                <w:color w:val="000000"/>
                <w:sz w:val="24"/>
              </w:rPr>
            </w:pPr>
            <w:r w:rsidRPr="00AF5CC1">
              <w:rPr>
                <w:rFonts w:eastAsiaTheme="minorEastAsia"/>
                <w:color w:val="000000"/>
                <w:sz w:val="24"/>
              </w:rPr>
              <w:t>资产支持证券投资收益</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r>
      <w:tr w:rsidR="008F0294" w:rsidRPr="00AF5CC1" w:rsidTr="008F0294">
        <w:tc>
          <w:tcPr>
            <w:tcW w:w="3420" w:type="dxa"/>
          </w:tcPr>
          <w:p w:rsidR="008F0294" w:rsidRPr="00AF5CC1" w:rsidRDefault="008F0294" w:rsidP="00FC640F">
            <w:pPr>
              <w:spacing w:line="360" w:lineRule="auto"/>
              <w:ind w:firstLineChars="300" w:firstLine="720"/>
              <w:rPr>
                <w:rFonts w:eastAsiaTheme="minorEastAsia"/>
                <w:color w:val="000000"/>
                <w:sz w:val="24"/>
              </w:rPr>
            </w:pPr>
            <w:r w:rsidRPr="00AF5CC1">
              <w:rPr>
                <w:sz w:val="24"/>
              </w:rPr>
              <w:t>贵金属投资收益</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r>
      <w:tr w:rsidR="008F0294" w:rsidRPr="00AF5CC1" w:rsidTr="008F0294">
        <w:tc>
          <w:tcPr>
            <w:tcW w:w="3420" w:type="dxa"/>
            <w:vAlign w:val="center"/>
          </w:tcPr>
          <w:p w:rsidR="008F0294" w:rsidRPr="00AF5CC1" w:rsidRDefault="008F0294" w:rsidP="00FC640F">
            <w:pPr>
              <w:spacing w:line="360" w:lineRule="auto"/>
              <w:ind w:firstLineChars="300" w:firstLine="720"/>
              <w:rPr>
                <w:rFonts w:eastAsiaTheme="minorEastAsia"/>
                <w:color w:val="000000"/>
                <w:sz w:val="24"/>
              </w:rPr>
            </w:pPr>
            <w:r w:rsidRPr="00AF5CC1">
              <w:rPr>
                <w:rFonts w:eastAsiaTheme="minorEastAsia"/>
                <w:color w:val="000000"/>
                <w:sz w:val="24"/>
              </w:rPr>
              <w:t>衍生工具收益</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r>
      <w:tr w:rsidR="008F0294" w:rsidRPr="00AF5CC1" w:rsidTr="008F0294">
        <w:tc>
          <w:tcPr>
            <w:tcW w:w="3420" w:type="dxa"/>
            <w:vAlign w:val="center"/>
          </w:tcPr>
          <w:p w:rsidR="008F0294" w:rsidRPr="00AF5CC1" w:rsidRDefault="008F0294" w:rsidP="00FC640F">
            <w:pPr>
              <w:spacing w:line="360" w:lineRule="auto"/>
              <w:ind w:firstLineChars="300" w:firstLine="720"/>
              <w:rPr>
                <w:rFonts w:eastAsiaTheme="minorEastAsia"/>
                <w:color w:val="000000"/>
                <w:sz w:val="24"/>
              </w:rPr>
            </w:pPr>
            <w:r w:rsidRPr="00AF5CC1">
              <w:rPr>
                <w:rFonts w:eastAsiaTheme="minorEastAsia"/>
                <w:color w:val="000000"/>
                <w:sz w:val="24"/>
              </w:rPr>
              <w:t>股利收益</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r>
      <w:tr w:rsidR="008F0294" w:rsidRPr="00AF5CC1" w:rsidTr="008F0294">
        <w:tc>
          <w:tcPr>
            <w:tcW w:w="3420" w:type="dxa"/>
            <w:vAlign w:val="center"/>
          </w:tcPr>
          <w:p w:rsidR="008F0294" w:rsidRPr="00AF5CC1" w:rsidRDefault="008F0294" w:rsidP="00FC640F">
            <w:pPr>
              <w:spacing w:line="360" w:lineRule="auto"/>
              <w:rPr>
                <w:rFonts w:eastAsiaTheme="minorEastAsia"/>
                <w:color w:val="000000"/>
                <w:sz w:val="24"/>
              </w:rPr>
            </w:pPr>
            <w:r w:rsidRPr="00AF5CC1">
              <w:rPr>
                <w:rFonts w:eastAsiaTheme="minorEastAsia"/>
                <w:color w:val="000000"/>
                <w:sz w:val="24"/>
              </w:rPr>
              <w:t>3.</w:t>
            </w:r>
            <w:r w:rsidRPr="00AF5CC1">
              <w:rPr>
                <w:rFonts w:eastAsiaTheme="minorEastAsia"/>
                <w:color w:val="000000"/>
                <w:sz w:val="24"/>
              </w:rPr>
              <w:t>公允价值变动收益（损失以</w:t>
            </w:r>
            <w:r w:rsidRPr="00AF5CC1">
              <w:rPr>
                <w:rFonts w:eastAsiaTheme="minorEastAsia"/>
                <w:color w:val="000000"/>
                <w:sz w:val="24"/>
              </w:rPr>
              <w:t>“-”</w:t>
            </w:r>
            <w:r w:rsidRPr="00AF5CC1">
              <w:rPr>
                <w:rFonts w:eastAsiaTheme="minorEastAsia"/>
                <w:color w:val="000000"/>
                <w:sz w:val="24"/>
              </w:rPr>
              <w:t>号填列）</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r>
      <w:tr w:rsidR="008F0294" w:rsidRPr="00AF5CC1" w:rsidTr="008F0294">
        <w:tc>
          <w:tcPr>
            <w:tcW w:w="3420" w:type="dxa"/>
            <w:vAlign w:val="center"/>
          </w:tcPr>
          <w:p w:rsidR="008F0294" w:rsidRPr="00AF5CC1" w:rsidRDefault="008F0294" w:rsidP="00FC640F">
            <w:pPr>
              <w:pStyle w:val="af6"/>
              <w:spacing w:line="360" w:lineRule="auto"/>
              <w:jc w:val="both"/>
              <w:rPr>
                <w:rFonts w:ascii="Times New Roman" w:eastAsiaTheme="minorEastAsia" w:hAnsi="Times New Roman"/>
                <w:color w:val="000000"/>
              </w:rPr>
            </w:pPr>
            <w:r w:rsidRPr="00AF5CC1">
              <w:rPr>
                <w:rFonts w:ascii="Times New Roman" w:eastAsiaTheme="minorEastAsia" w:hAnsi="Times New Roman"/>
                <w:color w:val="000000"/>
              </w:rPr>
              <w:t>4.</w:t>
            </w:r>
            <w:r w:rsidRPr="00AF5CC1">
              <w:rPr>
                <w:rFonts w:ascii="Times New Roman" w:eastAsiaTheme="minorEastAsia" w:hAnsi="Times New Roman"/>
                <w:color w:val="000000"/>
              </w:rPr>
              <w:t>汇兑收益（损失以</w:t>
            </w:r>
            <w:r w:rsidRPr="00AF5CC1">
              <w:rPr>
                <w:rFonts w:ascii="Times New Roman" w:eastAsiaTheme="minorEastAsia" w:hAnsi="Times New Roman"/>
                <w:color w:val="000000"/>
              </w:rPr>
              <w:t>“</w:t>
            </w:r>
            <w:r w:rsidRPr="00AF5CC1">
              <w:rPr>
                <w:rFonts w:ascii="Times New Roman" w:eastAsiaTheme="minorEastAsia" w:hAnsi="Times New Roman"/>
                <w:color w:val="000000"/>
              </w:rPr>
              <w:t>－</w:t>
            </w:r>
            <w:r w:rsidRPr="00AF5CC1">
              <w:rPr>
                <w:rFonts w:ascii="Times New Roman" w:eastAsiaTheme="minorEastAsia" w:hAnsi="Times New Roman"/>
                <w:color w:val="000000"/>
              </w:rPr>
              <w:t>”</w:t>
            </w:r>
            <w:r w:rsidRPr="00AF5CC1">
              <w:rPr>
                <w:rFonts w:ascii="Times New Roman" w:eastAsiaTheme="minorEastAsia" w:hAnsi="Times New Roman"/>
                <w:color w:val="000000"/>
              </w:rPr>
              <w:t>号填列）</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r>
      <w:tr w:rsidR="008F0294" w:rsidRPr="00AF5CC1" w:rsidTr="008F0294">
        <w:tc>
          <w:tcPr>
            <w:tcW w:w="3420" w:type="dxa"/>
            <w:vAlign w:val="center"/>
          </w:tcPr>
          <w:p w:rsidR="008F0294" w:rsidRPr="00AF5CC1" w:rsidRDefault="008F0294" w:rsidP="00FC640F">
            <w:pPr>
              <w:spacing w:line="360" w:lineRule="auto"/>
              <w:rPr>
                <w:rFonts w:eastAsiaTheme="minorEastAsia"/>
                <w:color w:val="000000"/>
                <w:sz w:val="24"/>
              </w:rPr>
            </w:pPr>
            <w:r w:rsidRPr="00AF5CC1">
              <w:rPr>
                <w:rFonts w:eastAsiaTheme="minorEastAsia"/>
                <w:color w:val="000000"/>
                <w:sz w:val="24"/>
              </w:rPr>
              <w:t>5.</w:t>
            </w:r>
            <w:r w:rsidRPr="00AF5CC1">
              <w:rPr>
                <w:rFonts w:eastAsiaTheme="minorEastAsia"/>
                <w:color w:val="000000"/>
                <w:sz w:val="24"/>
              </w:rPr>
              <w:t>其他收入（损失以</w:t>
            </w:r>
            <w:r w:rsidRPr="00AF5CC1">
              <w:rPr>
                <w:rFonts w:eastAsiaTheme="minorEastAsia"/>
                <w:color w:val="000000"/>
                <w:sz w:val="24"/>
              </w:rPr>
              <w:t>“-”</w:t>
            </w:r>
            <w:r w:rsidRPr="00AF5CC1">
              <w:rPr>
                <w:rFonts w:eastAsiaTheme="minorEastAsia"/>
                <w:color w:val="000000"/>
                <w:sz w:val="24"/>
              </w:rPr>
              <w:t>号填列）</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10,200.00</w:t>
            </w:r>
          </w:p>
        </w:tc>
      </w:tr>
      <w:tr w:rsidR="008F0294" w:rsidRPr="00AF5CC1" w:rsidTr="008F0294">
        <w:tc>
          <w:tcPr>
            <w:tcW w:w="3420" w:type="dxa"/>
            <w:vAlign w:val="center"/>
          </w:tcPr>
          <w:p w:rsidR="008F0294" w:rsidRPr="00AF5CC1" w:rsidRDefault="008F0294" w:rsidP="00FC640F">
            <w:pPr>
              <w:spacing w:line="360" w:lineRule="auto"/>
              <w:rPr>
                <w:rFonts w:eastAsiaTheme="minorEastAsia"/>
                <w:b/>
                <w:color w:val="000000"/>
                <w:sz w:val="24"/>
              </w:rPr>
            </w:pPr>
            <w:r w:rsidRPr="00AF5CC1">
              <w:rPr>
                <w:rFonts w:eastAsiaTheme="minorEastAsia"/>
                <w:b/>
                <w:color w:val="000000"/>
                <w:sz w:val="24"/>
              </w:rPr>
              <w:t>减：二、费用</w:t>
            </w:r>
          </w:p>
        </w:tc>
        <w:tc>
          <w:tcPr>
            <w:tcW w:w="2250" w:type="dxa"/>
            <w:vAlign w:val="center"/>
          </w:tcPr>
          <w:p w:rsidR="008F0294" w:rsidRPr="00AF5CC1" w:rsidRDefault="008F0294" w:rsidP="00FC640F">
            <w:pPr>
              <w:spacing w:line="360" w:lineRule="auto"/>
              <w:jc w:val="right"/>
              <w:rPr>
                <w:rFonts w:eastAsiaTheme="minorEastAsia"/>
                <w:b/>
                <w:color w:val="000000"/>
                <w:sz w:val="24"/>
              </w:rPr>
            </w:pPr>
            <w:r w:rsidRPr="00AF5CC1">
              <w:rPr>
                <w:rFonts w:eastAsiaTheme="minorEastAsia"/>
                <w:b/>
                <w:color w:val="000000"/>
                <w:sz w:val="24"/>
              </w:rPr>
              <w:t>94,769,920.26</w:t>
            </w:r>
          </w:p>
        </w:tc>
        <w:tc>
          <w:tcPr>
            <w:tcW w:w="2250" w:type="dxa"/>
            <w:vAlign w:val="center"/>
          </w:tcPr>
          <w:p w:rsidR="008F0294" w:rsidRPr="00AF5CC1" w:rsidRDefault="008F0294" w:rsidP="00FC640F">
            <w:pPr>
              <w:spacing w:line="360" w:lineRule="auto"/>
              <w:jc w:val="right"/>
              <w:rPr>
                <w:rFonts w:eastAsiaTheme="minorEastAsia"/>
                <w:b/>
                <w:color w:val="000000"/>
                <w:sz w:val="24"/>
              </w:rPr>
            </w:pPr>
            <w:r w:rsidRPr="00AF5CC1">
              <w:rPr>
                <w:rFonts w:eastAsiaTheme="minorEastAsia"/>
                <w:b/>
                <w:color w:val="000000"/>
                <w:sz w:val="24"/>
              </w:rPr>
              <w:t>92,747,524.70</w:t>
            </w:r>
          </w:p>
        </w:tc>
      </w:tr>
      <w:tr w:rsidR="008F0294" w:rsidRPr="00AF5CC1" w:rsidTr="008F0294">
        <w:tc>
          <w:tcPr>
            <w:tcW w:w="3420" w:type="dxa"/>
            <w:vAlign w:val="center"/>
          </w:tcPr>
          <w:p w:rsidR="008F0294" w:rsidRPr="00AF5CC1" w:rsidRDefault="008F0294" w:rsidP="00FC640F">
            <w:pPr>
              <w:spacing w:line="360" w:lineRule="auto"/>
              <w:rPr>
                <w:rFonts w:eastAsiaTheme="minorEastAsia"/>
                <w:color w:val="000000"/>
                <w:sz w:val="24"/>
              </w:rPr>
            </w:pPr>
            <w:r w:rsidRPr="00AF5CC1">
              <w:rPr>
                <w:rFonts w:eastAsiaTheme="minorEastAsia"/>
                <w:color w:val="000000"/>
                <w:sz w:val="24"/>
              </w:rPr>
              <w:t>1</w:t>
            </w:r>
            <w:r w:rsidRPr="00AF5CC1">
              <w:rPr>
                <w:rFonts w:eastAsiaTheme="minorEastAsia"/>
                <w:color w:val="000000"/>
                <w:sz w:val="24"/>
              </w:rPr>
              <w:t>．管理人报酬</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55,554,463.03</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58,431,794.50</w:t>
            </w:r>
          </w:p>
        </w:tc>
      </w:tr>
      <w:tr w:rsidR="008F0294" w:rsidRPr="00AF5CC1" w:rsidTr="008F0294">
        <w:tc>
          <w:tcPr>
            <w:tcW w:w="3420" w:type="dxa"/>
            <w:vAlign w:val="center"/>
          </w:tcPr>
          <w:p w:rsidR="008F0294" w:rsidRPr="00AF5CC1" w:rsidRDefault="008F0294" w:rsidP="00FC640F">
            <w:pPr>
              <w:spacing w:line="360" w:lineRule="auto"/>
              <w:rPr>
                <w:rFonts w:eastAsiaTheme="minorEastAsia"/>
                <w:color w:val="000000"/>
                <w:sz w:val="24"/>
              </w:rPr>
            </w:pPr>
            <w:r w:rsidRPr="00AF5CC1">
              <w:rPr>
                <w:rFonts w:eastAsiaTheme="minorEastAsia"/>
                <w:color w:val="000000"/>
                <w:sz w:val="24"/>
              </w:rPr>
              <w:t>2</w:t>
            </w:r>
            <w:r w:rsidRPr="00AF5CC1">
              <w:rPr>
                <w:rFonts w:eastAsiaTheme="minorEastAsia"/>
                <w:color w:val="000000"/>
                <w:sz w:val="24"/>
              </w:rPr>
              <w:t>．托管费</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16,834,685.79</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17,706,604.40</w:t>
            </w:r>
          </w:p>
        </w:tc>
      </w:tr>
      <w:tr w:rsidR="008F0294" w:rsidRPr="00AF5CC1" w:rsidTr="008F0294">
        <w:tc>
          <w:tcPr>
            <w:tcW w:w="3420" w:type="dxa"/>
            <w:vAlign w:val="center"/>
          </w:tcPr>
          <w:p w:rsidR="008F0294" w:rsidRPr="00AF5CC1" w:rsidRDefault="008F0294" w:rsidP="00FC640F">
            <w:pPr>
              <w:spacing w:line="360" w:lineRule="auto"/>
              <w:rPr>
                <w:rFonts w:eastAsiaTheme="minorEastAsia"/>
                <w:color w:val="000000"/>
                <w:sz w:val="24"/>
              </w:rPr>
            </w:pPr>
            <w:r w:rsidRPr="00AF5CC1">
              <w:rPr>
                <w:rFonts w:eastAsiaTheme="minorEastAsia"/>
                <w:color w:val="000000"/>
                <w:sz w:val="24"/>
              </w:rPr>
              <w:t>3</w:t>
            </w:r>
            <w:r w:rsidRPr="00AF5CC1">
              <w:rPr>
                <w:rFonts w:eastAsiaTheme="minorEastAsia"/>
                <w:color w:val="000000"/>
                <w:sz w:val="24"/>
              </w:rPr>
              <w:t>．销售服务费</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5,270,935.76</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4,458,106.43</w:t>
            </w:r>
          </w:p>
        </w:tc>
      </w:tr>
      <w:tr w:rsidR="008F0294" w:rsidRPr="00AF5CC1" w:rsidTr="008F0294">
        <w:tc>
          <w:tcPr>
            <w:tcW w:w="3420" w:type="dxa"/>
            <w:vAlign w:val="center"/>
          </w:tcPr>
          <w:p w:rsidR="008F0294" w:rsidRPr="00AF5CC1" w:rsidRDefault="008F0294" w:rsidP="00FC640F">
            <w:pPr>
              <w:spacing w:line="360" w:lineRule="auto"/>
              <w:rPr>
                <w:rFonts w:eastAsiaTheme="minorEastAsia"/>
                <w:color w:val="000000"/>
                <w:sz w:val="24"/>
              </w:rPr>
            </w:pPr>
            <w:r w:rsidRPr="00AF5CC1">
              <w:rPr>
                <w:rFonts w:eastAsiaTheme="minorEastAsia"/>
                <w:color w:val="000000"/>
                <w:sz w:val="24"/>
              </w:rPr>
              <w:t>4</w:t>
            </w:r>
            <w:r w:rsidRPr="00AF5CC1">
              <w:rPr>
                <w:rFonts w:eastAsiaTheme="minorEastAsia"/>
                <w:color w:val="000000"/>
                <w:sz w:val="24"/>
              </w:rPr>
              <w:t>．交易费用</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350.00</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5,533.69</w:t>
            </w:r>
          </w:p>
        </w:tc>
      </w:tr>
      <w:tr w:rsidR="008F0294" w:rsidRPr="00AF5CC1" w:rsidTr="008F0294">
        <w:tc>
          <w:tcPr>
            <w:tcW w:w="3420" w:type="dxa"/>
            <w:vAlign w:val="center"/>
          </w:tcPr>
          <w:p w:rsidR="008F0294" w:rsidRPr="00AF5CC1" w:rsidRDefault="008F0294" w:rsidP="00FC640F">
            <w:pPr>
              <w:spacing w:line="360" w:lineRule="auto"/>
              <w:rPr>
                <w:rFonts w:eastAsiaTheme="minorEastAsia"/>
                <w:color w:val="000000"/>
                <w:sz w:val="24"/>
              </w:rPr>
            </w:pPr>
            <w:r w:rsidRPr="00AF5CC1">
              <w:rPr>
                <w:rFonts w:eastAsiaTheme="minorEastAsia"/>
                <w:color w:val="000000"/>
                <w:sz w:val="24"/>
              </w:rPr>
              <w:t>5</w:t>
            </w:r>
            <w:r w:rsidRPr="00AF5CC1">
              <w:rPr>
                <w:rFonts w:eastAsiaTheme="minorEastAsia"/>
                <w:color w:val="000000"/>
                <w:sz w:val="24"/>
              </w:rPr>
              <w:t>．利息支出</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15,975,122.11</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11,583,444.50</w:t>
            </w:r>
          </w:p>
        </w:tc>
      </w:tr>
      <w:tr w:rsidR="008F0294" w:rsidRPr="00AF5CC1" w:rsidTr="008F0294">
        <w:tc>
          <w:tcPr>
            <w:tcW w:w="3420" w:type="dxa"/>
            <w:vAlign w:val="center"/>
          </w:tcPr>
          <w:p w:rsidR="008F0294" w:rsidRPr="00AF5CC1" w:rsidRDefault="008F0294" w:rsidP="00FC640F">
            <w:pPr>
              <w:spacing w:line="360" w:lineRule="auto"/>
              <w:rPr>
                <w:rFonts w:eastAsiaTheme="minorEastAsia"/>
                <w:color w:val="000000"/>
                <w:sz w:val="24"/>
              </w:rPr>
            </w:pPr>
            <w:r w:rsidRPr="00AF5CC1">
              <w:rPr>
                <w:rFonts w:eastAsiaTheme="minorEastAsia"/>
                <w:color w:val="000000"/>
                <w:sz w:val="24"/>
              </w:rPr>
              <w:t>其中：卖出回购金融资产支出</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15,975,122.11</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11,583,444.50</w:t>
            </w:r>
          </w:p>
        </w:tc>
      </w:tr>
      <w:tr w:rsidR="008F0294" w:rsidRPr="00AF5CC1" w:rsidTr="008F0294">
        <w:tc>
          <w:tcPr>
            <w:tcW w:w="3420" w:type="dxa"/>
            <w:vAlign w:val="center"/>
          </w:tcPr>
          <w:p w:rsidR="008F0294" w:rsidRPr="00AF5CC1" w:rsidRDefault="008F0294" w:rsidP="00FC640F">
            <w:pPr>
              <w:rPr>
                <w:rFonts w:eastAsiaTheme="minorEastAsia"/>
                <w:color w:val="000000"/>
                <w:sz w:val="24"/>
              </w:rPr>
            </w:pPr>
            <w:r w:rsidRPr="00AF5CC1">
              <w:rPr>
                <w:rFonts w:eastAsiaTheme="minorEastAsia" w:hint="eastAsia"/>
                <w:color w:val="000000"/>
                <w:sz w:val="24"/>
              </w:rPr>
              <w:t>6</w:t>
            </w:r>
            <w:r w:rsidRPr="00AF5CC1">
              <w:rPr>
                <w:rFonts w:eastAsiaTheme="minorEastAsia"/>
                <w:color w:val="000000"/>
                <w:sz w:val="24"/>
              </w:rPr>
              <w:t>．</w:t>
            </w:r>
            <w:r w:rsidRPr="00AF5CC1">
              <w:rPr>
                <w:rFonts w:eastAsiaTheme="minorEastAsia" w:hint="eastAsia"/>
                <w:color w:val="000000"/>
                <w:sz w:val="24"/>
              </w:rPr>
              <w:t>税金及附加</w:t>
            </w:r>
          </w:p>
        </w:tc>
        <w:tc>
          <w:tcPr>
            <w:tcW w:w="2250" w:type="dxa"/>
            <w:vAlign w:val="bottom"/>
          </w:tcPr>
          <w:p w:rsidR="008F0294" w:rsidRPr="00AF5CC1" w:rsidRDefault="008F0294" w:rsidP="00FC640F">
            <w:pPr>
              <w:jc w:val="right"/>
              <w:rPr>
                <w:rFonts w:eastAsiaTheme="minorEastAsia"/>
                <w:color w:val="000000"/>
                <w:sz w:val="24"/>
              </w:rPr>
            </w:pPr>
            <w:r w:rsidRPr="00AF5CC1">
              <w:rPr>
                <w:rFonts w:eastAsiaTheme="minorEastAsia"/>
                <w:color w:val="000000"/>
                <w:sz w:val="24"/>
              </w:rPr>
              <w:t>599,784.59</w:t>
            </w:r>
          </w:p>
        </w:tc>
        <w:tc>
          <w:tcPr>
            <w:tcW w:w="2250" w:type="dxa"/>
            <w:vAlign w:val="bottom"/>
          </w:tcPr>
          <w:p w:rsidR="008F0294" w:rsidRPr="00AF5CC1" w:rsidRDefault="008F0294" w:rsidP="00FC640F">
            <w:pPr>
              <w:jc w:val="right"/>
              <w:rPr>
                <w:rFonts w:eastAsiaTheme="minorEastAsia"/>
                <w:color w:val="000000"/>
                <w:sz w:val="24"/>
              </w:rPr>
            </w:pPr>
            <w:r w:rsidRPr="00AF5CC1">
              <w:rPr>
                <w:rFonts w:eastAsiaTheme="minorEastAsia"/>
                <w:color w:val="000000"/>
                <w:sz w:val="24"/>
              </w:rPr>
              <w:t>-</w:t>
            </w:r>
          </w:p>
        </w:tc>
      </w:tr>
      <w:tr w:rsidR="008F0294" w:rsidRPr="00AF5CC1" w:rsidTr="008F0294">
        <w:tc>
          <w:tcPr>
            <w:tcW w:w="3420" w:type="dxa"/>
            <w:vAlign w:val="center"/>
          </w:tcPr>
          <w:p w:rsidR="008F0294" w:rsidRPr="00AF5CC1" w:rsidRDefault="008F0294" w:rsidP="00FC640F">
            <w:pPr>
              <w:spacing w:line="360" w:lineRule="auto"/>
              <w:rPr>
                <w:rFonts w:eastAsiaTheme="minorEastAsia"/>
                <w:color w:val="000000"/>
                <w:sz w:val="24"/>
              </w:rPr>
            </w:pPr>
            <w:r w:rsidRPr="00AF5CC1">
              <w:rPr>
                <w:rFonts w:eastAsiaTheme="minorEastAsia"/>
                <w:color w:val="000000"/>
                <w:sz w:val="24"/>
              </w:rPr>
              <w:t>7</w:t>
            </w:r>
            <w:r w:rsidRPr="00AF5CC1">
              <w:rPr>
                <w:rFonts w:eastAsiaTheme="minorEastAsia"/>
                <w:color w:val="000000"/>
                <w:sz w:val="24"/>
              </w:rPr>
              <w:t>．其他费用</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534,578.98</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562,041.18</w:t>
            </w:r>
          </w:p>
        </w:tc>
      </w:tr>
      <w:tr w:rsidR="008F0294" w:rsidRPr="00AF5CC1" w:rsidTr="008F0294">
        <w:tc>
          <w:tcPr>
            <w:tcW w:w="3420" w:type="dxa"/>
            <w:vAlign w:val="center"/>
          </w:tcPr>
          <w:p w:rsidR="008F0294" w:rsidRPr="00AF5CC1" w:rsidRDefault="008F0294" w:rsidP="00FC640F">
            <w:pPr>
              <w:spacing w:line="360" w:lineRule="auto"/>
              <w:rPr>
                <w:rFonts w:eastAsiaTheme="minorEastAsia"/>
                <w:b/>
                <w:color w:val="000000"/>
                <w:sz w:val="24"/>
              </w:rPr>
            </w:pPr>
            <w:r w:rsidRPr="00AF5CC1">
              <w:rPr>
                <w:rFonts w:eastAsiaTheme="minorEastAsia"/>
                <w:b/>
                <w:color w:val="000000"/>
                <w:sz w:val="24"/>
              </w:rPr>
              <w:t>三、利润总额（亏损总额以</w:t>
            </w:r>
            <w:r w:rsidRPr="00AF5CC1">
              <w:rPr>
                <w:rFonts w:eastAsiaTheme="minorEastAsia"/>
                <w:b/>
                <w:color w:val="000000"/>
                <w:sz w:val="24"/>
              </w:rPr>
              <w:t>“-”</w:t>
            </w:r>
            <w:r w:rsidRPr="00AF5CC1">
              <w:rPr>
                <w:rFonts w:eastAsiaTheme="minorEastAsia"/>
                <w:b/>
                <w:color w:val="000000"/>
                <w:sz w:val="24"/>
              </w:rPr>
              <w:t>号填列）</w:t>
            </w:r>
          </w:p>
        </w:tc>
        <w:tc>
          <w:tcPr>
            <w:tcW w:w="2250" w:type="dxa"/>
            <w:vAlign w:val="center"/>
          </w:tcPr>
          <w:p w:rsidR="008F0294" w:rsidRPr="00AF5CC1" w:rsidRDefault="008F0294" w:rsidP="00FC640F">
            <w:pPr>
              <w:spacing w:line="360" w:lineRule="auto"/>
              <w:jc w:val="right"/>
              <w:rPr>
                <w:rFonts w:eastAsiaTheme="minorEastAsia"/>
                <w:b/>
                <w:color w:val="000000"/>
                <w:sz w:val="24"/>
              </w:rPr>
            </w:pPr>
            <w:r w:rsidRPr="00AF5CC1">
              <w:rPr>
                <w:rFonts w:eastAsiaTheme="minorEastAsia"/>
                <w:b/>
                <w:color w:val="000000"/>
                <w:sz w:val="24"/>
              </w:rPr>
              <w:t>620,832,046.52</w:t>
            </w:r>
          </w:p>
        </w:tc>
        <w:tc>
          <w:tcPr>
            <w:tcW w:w="2250" w:type="dxa"/>
            <w:vAlign w:val="center"/>
          </w:tcPr>
          <w:p w:rsidR="008F0294" w:rsidRPr="00AF5CC1" w:rsidRDefault="008F0294" w:rsidP="00FC640F">
            <w:pPr>
              <w:spacing w:line="360" w:lineRule="auto"/>
              <w:jc w:val="right"/>
              <w:rPr>
                <w:rFonts w:eastAsiaTheme="minorEastAsia"/>
                <w:b/>
                <w:color w:val="000000"/>
                <w:sz w:val="24"/>
              </w:rPr>
            </w:pPr>
            <w:r w:rsidRPr="00AF5CC1">
              <w:rPr>
                <w:rFonts w:eastAsiaTheme="minorEastAsia"/>
                <w:b/>
                <w:color w:val="000000"/>
                <w:sz w:val="24"/>
              </w:rPr>
              <w:t>661,828,816.30</w:t>
            </w:r>
          </w:p>
        </w:tc>
      </w:tr>
      <w:tr w:rsidR="008F0294" w:rsidRPr="00AF5CC1" w:rsidTr="008F0294">
        <w:tc>
          <w:tcPr>
            <w:tcW w:w="3420" w:type="dxa"/>
            <w:vAlign w:val="center"/>
          </w:tcPr>
          <w:p w:rsidR="008F0294" w:rsidRPr="00AF5CC1" w:rsidRDefault="008F0294" w:rsidP="00FC640F">
            <w:pPr>
              <w:spacing w:line="360" w:lineRule="auto"/>
              <w:rPr>
                <w:rFonts w:eastAsiaTheme="minorEastAsia"/>
                <w:b/>
                <w:color w:val="000000"/>
                <w:sz w:val="24"/>
              </w:rPr>
            </w:pPr>
            <w:r w:rsidRPr="00AF5CC1">
              <w:rPr>
                <w:rFonts w:eastAsiaTheme="minorEastAsia"/>
                <w:sz w:val="24"/>
              </w:rPr>
              <w:t>减：所得税费用</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c>
          <w:tcPr>
            <w:tcW w:w="2250" w:type="dxa"/>
            <w:vAlign w:val="center"/>
          </w:tcPr>
          <w:p w:rsidR="008F0294" w:rsidRPr="00AF5CC1" w:rsidRDefault="008F0294" w:rsidP="00FC640F">
            <w:pPr>
              <w:spacing w:line="360" w:lineRule="auto"/>
              <w:jc w:val="right"/>
              <w:rPr>
                <w:rFonts w:eastAsiaTheme="minorEastAsia"/>
                <w:color w:val="000000"/>
                <w:sz w:val="24"/>
              </w:rPr>
            </w:pPr>
            <w:r w:rsidRPr="00AF5CC1">
              <w:rPr>
                <w:rFonts w:eastAsiaTheme="minorEastAsia"/>
                <w:color w:val="000000"/>
                <w:sz w:val="24"/>
              </w:rPr>
              <w:t>-</w:t>
            </w:r>
          </w:p>
        </w:tc>
      </w:tr>
      <w:tr w:rsidR="008F0294" w:rsidRPr="00AF5CC1" w:rsidTr="008F0294">
        <w:tc>
          <w:tcPr>
            <w:tcW w:w="3420" w:type="dxa"/>
            <w:vAlign w:val="center"/>
          </w:tcPr>
          <w:p w:rsidR="008F0294" w:rsidRPr="00AF5CC1" w:rsidRDefault="008F0294" w:rsidP="00FC640F">
            <w:pPr>
              <w:spacing w:line="360" w:lineRule="auto"/>
              <w:rPr>
                <w:rFonts w:eastAsiaTheme="minorEastAsia"/>
                <w:b/>
                <w:color w:val="000000"/>
                <w:sz w:val="24"/>
              </w:rPr>
            </w:pPr>
            <w:r w:rsidRPr="00AF5CC1">
              <w:rPr>
                <w:rFonts w:eastAsiaTheme="minorEastAsia"/>
                <w:b/>
                <w:color w:val="000000"/>
                <w:sz w:val="24"/>
              </w:rPr>
              <w:t>四、净利润（净亏损以</w:t>
            </w:r>
            <w:r w:rsidRPr="00AF5CC1">
              <w:rPr>
                <w:rFonts w:eastAsiaTheme="minorEastAsia"/>
                <w:b/>
                <w:color w:val="000000"/>
                <w:sz w:val="24"/>
              </w:rPr>
              <w:t>“-”</w:t>
            </w:r>
            <w:r w:rsidRPr="00AF5CC1">
              <w:rPr>
                <w:rFonts w:eastAsiaTheme="minorEastAsia"/>
                <w:b/>
                <w:color w:val="000000"/>
                <w:sz w:val="24"/>
              </w:rPr>
              <w:t>号填列）</w:t>
            </w:r>
          </w:p>
        </w:tc>
        <w:tc>
          <w:tcPr>
            <w:tcW w:w="2250" w:type="dxa"/>
            <w:vAlign w:val="center"/>
          </w:tcPr>
          <w:p w:rsidR="008F0294" w:rsidRPr="00AF5CC1" w:rsidRDefault="008F0294" w:rsidP="00FC640F">
            <w:pPr>
              <w:spacing w:line="360" w:lineRule="auto"/>
              <w:jc w:val="right"/>
              <w:rPr>
                <w:rFonts w:eastAsiaTheme="minorEastAsia"/>
                <w:b/>
                <w:color w:val="000000"/>
                <w:sz w:val="24"/>
              </w:rPr>
            </w:pPr>
            <w:r w:rsidRPr="00AF5CC1">
              <w:rPr>
                <w:rFonts w:eastAsiaTheme="minorEastAsia"/>
                <w:b/>
                <w:color w:val="000000"/>
                <w:sz w:val="24"/>
              </w:rPr>
              <w:t>620,832,046.52</w:t>
            </w:r>
          </w:p>
        </w:tc>
        <w:tc>
          <w:tcPr>
            <w:tcW w:w="2250" w:type="dxa"/>
            <w:vAlign w:val="center"/>
          </w:tcPr>
          <w:p w:rsidR="008F0294" w:rsidRPr="00AF5CC1" w:rsidRDefault="008F0294" w:rsidP="00FC640F">
            <w:pPr>
              <w:spacing w:line="360" w:lineRule="auto"/>
              <w:jc w:val="right"/>
              <w:rPr>
                <w:rFonts w:eastAsiaTheme="minorEastAsia"/>
                <w:b/>
                <w:color w:val="000000"/>
                <w:sz w:val="24"/>
              </w:rPr>
            </w:pPr>
            <w:r w:rsidRPr="00AF5CC1">
              <w:rPr>
                <w:rFonts w:eastAsiaTheme="minorEastAsia"/>
                <w:b/>
                <w:color w:val="000000"/>
                <w:sz w:val="24"/>
              </w:rPr>
              <w:t>661,828,816.30</w:t>
            </w:r>
          </w:p>
        </w:tc>
      </w:tr>
    </w:tbl>
    <w:p w:rsidR="00223DFB" w:rsidRPr="009A7486" w:rsidRDefault="00223DFB" w:rsidP="00EC5841">
      <w:pPr>
        <w:autoSpaceDE w:val="0"/>
        <w:autoSpaceDN w:val="0"/>
        <w:adjustRightInd w:val="0"/>
        <w:spacing w:line="360" w:lineRule="auto"/>
        <w:jc w:val="left"/>
        <w:outlineLvl w:val="1"/>
        <w:rPr>
          <w:rFonts w:eastAsiaTheme="minorEastAsia"/>
          <w:b/>
          <w:bCs/>
          <w:color w:val="000000" w:themeColor="text1"/>
          <w:kern w:val="0"/>
          <w:sz w:val="24"/>
        </w:rPr>
      </w:pPr>
      <w:r w:rsidRPr="009A7486">
        <w:rPr>
          <w:rFonts w:eastAsiaTheme="minorEastAsia"/>
          <w:b/>
          <w:bCs/>
          <w:color w:val="000000" w:themeColor="text1"/>
          <w:kern w:val="0"/>
          <w:sz w:val="24"/>
        </w:rPr>
        <w:t xml:space="preserve">7.3 </w:t>
      </w:r>
      <w:r w:rsidRPr="009A7486">
        <w:rPr>
          <w:rFonts w:eastAsiaTheme="minorEastAsia"/>
          <w:b/>
          <w:bCs/>
          <w:color w:val="000000" w:themeColor="text1"/>
          <w:kern w:val="0"/>
          <w:sz w:val="24"/>
        </w:rPr>
        <w:t>所有者权益（基金净值）变动表</w:t>
      </w:r>
    </w:p>
    <w:p w:rsidR="00223DFB" w:rsidRPr="009A7486" w:rsidRDefault="00223DFB" w:rsidP="00C71563">
      <w:pPr>
        <w:spacing w:line="360" w:lineRule="auto"/>
        <w:rPr>
          <w:rFonts w:eastAsiaTheme="minorEastAsia"/>
          <w:color w:val="000000" w:themeColor="text1"/>
          <w:kern w:val="0"/>
          <w:sz w:val="24"/>
        </w:rPr>
      </w:pPr>
      <w:r w:rsidRPr="009A7486">
        <w:rPr>
          <w:rFonts w:eastAsiaTheme="minorEastAsia"/>
          <w:color w:val="000000" w:themeColor="text1"/>
          <w:sz w:val="24"/>
        </w:rPr>
        <w:t>会计主体：</w:t>
      </w:r>
      <w:r w:rsidRPr="009A7486">
        <w:rPr>
          <w:rFonts w:eastAsiaTheme="minorEastAsia"/>
          <w:color w:val="000000" w:themeColor="text1"/>
          <w:kern w:val="0"/>
          <w:sz w:val="24"/>
        </w:rPr>
        <w:t>国投瑞银货币市场基金</w:t>
      </w:r>
    </w:p>
    <w:p w:rsidR="00223DFB" w:rsidRPr="009A7486" w:rsidRDefault="00223DFB" w:rsidP="00C71563">
      <w:pPr>
        <w:spacing w:line="360" w:lineRule="auto"/>
        <w:rPr>
          <w:rFonts w:eastAsiaTheme="minorEastAsia"/>
          <w:color w:val="000000" w:themeColor="text1"/>
          <w:kern w:val="0"/>
          <w:sz w:val="24"/>
        </w:rPr>
      </w:pPr>
      <w:r w:rsidRPr="009A7486">
        <w:rPr>
          <w:rFonts w:eastAsiaTheme="minorEastAsia"/>
          <w:color w:val="000000" w:themeColor="text1"/>
          <w:sz w:val="24"/>
        </w:rPr>
        <w:t>本报告期：</w:t>
      </w:r>
      <w:r w:rsidRPr="009A7486">
        <w:rPr>
          <w:rFonts w:eastAsiaTheme="minorEastAsia"/>
          <w:color w:val="000000" w:themeColor="text1"/>
          <w:kern w:val="0"/>
          <w:sz w:val="24"/>
        </w:rPr>
        <w:t>2018</w:t>
      </w:r>
      <w:r w:rsidRPr="009A7486">
        <w:rPr>
          <w:rFonts w:eastAsiaTheme="minorEastAsia"/>
          <w:color w:val="000000" w:themeColor="text1"/>
          <w:kern w:val="0"/>
          <w:sz w:val="24"/>
        </w:rPr>
        <w:t>年</w:t>
      </w:r>
      <w:r w:rsidRPr="009A7486">
        <w:rPr>
          <w:rFonts w:eastAsiaTheme="minorEastAsia"/>
          <w:color w:val="000000" w:themeColor="text1"/>
          <w:kern w:val="0"/>
          <w:sz w:val="24"/>
        </w:rPr>
        <w:t>1</w:t>
      </w:r>
      <w:r w:rsidRPr="009A7486">
        <w:rPr>
          <w:rFonts w:eastAsiaTheme="minorEastAsia"/>
          <w:color w:val="000000" w:themeColor="text1"/>
          <w:kern w:val="0"/>
          <w:sz w:val="24"/>
        </w:rPr>
        <w:t>月</w:t>
      </w:r>
      <w:r w:rsidRPr="009A7486">
        <w:rPr>
          <w:rFonts w:eastAsiaTheme="minorEastAsia"/>
          <w:color w:val="000000" w:themeColor="text1"/>
          <w:kern w:val="0"/>
          <w:sz w:val="24"/>
        </w:rPr>
        <w:t>1</w:t>
      </w:r>
      <w:r w:rsidRPr="009A7486">
        <w:rPr>
          <w:rFonts w:eastAsiaTheme="minorEastAsia"/>
          <w:color w:val="000000" w:themeColor="text1"/>
          <w:kern w:val="0"/>
          <w:sz w:val="24"/>
        </w:rPr>
        <w:t>日至</w:t>
      </w:r>
      <w:r w:rsidRPr="009A7486">
        <w:rPr>
          <w:rFonts w:eastAsiaTheme="minorEastAsia"/>
          <w:color w:val="000000" w:themeColor="text1"/>
          <w:kern w:val="0"/>
          <w:sz w:val="24"/>
        </w:rPr>
        <w:t>2018</w:t>
      </w:r>
      <w:r w:rsidRPr="009A7486">
        <w:rPr>
          <w:rFonts w:eastAsiaTheme="minorEastAsia"/>
          <w:color w:val="000000" w:themeColor="text1"/>
          <w:kern w:val="0"/>
          <w:sz w:val="24"/>
        </w:rPr>
        <w:t>年</w:t>
      </w:r>
      <w:r w:rsidRPr="009A7486">
        <w:rPr>
          <w:rFonts w:eastAsiaTheme="minorEastAsia"/>
          <w:color w:val="000000" w:themeColor="text1"/>
          <w:kern w:val="0"/>
          <w:sz w:val="24"/>
        </w:rPr>
        <w:t>12</w:t>
      </w:r>
      <w:r w:rsidRPr="009A7486">
        <w:rPr>
          <w:rFonts w:eastAsiaTheme="minorEastAsia"/>
          <w:color w:val="000000" w:themeColor="text1"/>
          <w:kern w:val="0"/>
          <w:sz w:val="24"/>
        </w:rPr>
        <w:t>月</w:t>
      </w:r>
      <w:r w:rsidRPr="009A7486">
        <w:rPr>
          <w:rFonts w:eastAsiaTheme="minorEastAsia"/>
          <w:color w:val="000000" w:themeColor="text1"/>
          <w:kern w:val="0"/>
          <w:sz w:val="24"/>
        </w:rPr>
        <w:t>31</w:t>
      </w:r>
      <w:r w:rsidRPr="009A7486">
        <w:rPr>
          <w:rFonts w:eastAsiaTheme="minorEastAsia"/>
          <w:color w:val="000000" w:themeColor="text1"/>
          <w:kern w:val="0"/>
          <w:sz w:val="24"/>
        </w:rPr>
        <w:t>日</w:t>
      </w:r>
    </w:p>
    <w:p w:rsidR="00223DFB" w:rsidRPr="009A7486" w:rsidRDefault="00223DFB" w:rsidP="004B36C2">
      <w:pPr>
        <w:autoSpaceDE w:val="0"/>
        <w:autoSpaceDN w:val="0"/>
        <w:adjustRightInd w:val="0"/>
        <w:spacing w:before="29" w:line="360" w:lineRule="auto"/>
        <w:ind w:left="15"/>
        <w:jc w:val="right"/>
        <w:rPr>
          <w:rFonts w:eastAsiaTheme="minorEastAsia"/>
          <w:color w:val="000000" w:themeColor="text1"/>
          <w:kern w:val="0"/>
          <w:sz w:val="24"/>
        </w:rPr>
      </w:pPr>
      <w:r w:rsidRPr="009A7486">
        <w:rPr>
          <w:rFonts w:eastAsiaTheme="minorEastAsia"/>
          <w:color w:val="000000" w:themeColor="text1"/>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5"/>
        <w:gridCol w:w="2127"/>
        <w:gridCol w:w="1984"/>
        <w:gridCol w:w="2054"/>
      </w:tblGrid>
      <w:tr w:rsidR="002C233F" w:rsidRPr="009A7486"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b/>
                <w:color w:val="000000" w:themeColor="text1"/>
                <w:sz w:val="24"/>
              </w:rPr>
            </w:pPr>
            <w:r w:rsidRPr="009A7486">
              <w:rPr>
                <w:rFonts w:eastAsiaTheme="minorEastAsia"/>
                <w:b/>
                <w:color w:val="000000" w:themeColor="text1"/>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b/>
                <w:color w:val="000000" w:themeColor="text1"/>
                <w:sz w:val="24"/>
              </w:rPr>
            </w:pPr>
            <w:r w:rsidRPr="009A7486">
              <w:rPr>
                <w:rFonts w:eastAsiaTheme="minorEastAsia"/>
                <w:b/>
                <w:color w:val="000000" w:themeColor="text1"/>
                <w:sz w:val="24"/>
              </w:rPr>
              <w:t>本期</w:t>
            </w:r>
          </w:p>
          <w:p w:rsidR="00223DFB" w:rsidRPr="009A7486" w:rsidRDefault="00223DFB" w:rsidP="004B36C2">
            <w:pPr>
              <w:pStyle w:val="af6"/>
              <w:spacing w:before="0" w:beforeAutospacing="0" w:after="0" w:afterAutospacing="0" w:line="360" w:lineRule="auto"/>
              <w:jc w:val="center"/>
              <w:rPr>
                <w:rFonts w:ascii="Times New Roman" w:eastAsiaTheme="minorEastAsia" w:hAnsi="Times New Roman"/>
                <w:b/>
                <w:color w:val="000000" w:themeColor="text1"/>
              </w:rPr>
            </w:pPr>
            <w:r w:rsidRPr="009A7486">
              <w:rPr>
                <w:rFonts w:ascii="Times New Roman" w:eastAsiaTheme="minorEastAsia" w:hAnsi="Times New Roman"/>
                <w:color w:val="000000" w:themeColor="text1"/>
              </w:rPr>
              <w:t>2018</w:t>
            </w:r>
            <w:r w:rsidRPr="009A7486">
              <w:rPr>
                <w:rFonts w:ascii="Times New Roman" w:eastAsiaTheme="minorEastAsia" w:hAnsi="Times New Roman"/>
                <w:color w:val="000000" w:themeColor="text1"/>
              </w:rPr>
              <w:t>年</w:t>
            </w:r>
            <w:r w:rsidRPr="009A7486">
              <w:rPr>
                <w:rFonts w:ascii="Times New Roman" w:eastAsiaTheme="minorEastAsia" w:hAnsi="Times New Roman"/>
                <w:color w:val="000000" w:themeColor="text1"/>
              </w:rPr>
              <w:t>1</w:t>
            </w:r>
            <w:r w:rsidRPr="009A7486">
              <w:rPr>
                <w:rFonts w:ascii="Times New Roman" w:eastAsiaTheme="minorEastAsia" w:hAnsi="Times New Roman"/>
                <w:color w:val="000000" w:themeColor="text1"/>
              </w:rPr>
              <w:t>月</w:t>
            </w:r>
            <w:r w:rsidRPr="009A7486">
              <w:rPr>
                <w:rFonts w:ascii="Times New Roman" w:eastAsiaTheme="minorEastAsia" w:hAnsi="Times New Roman"/>
                <w:color w:val="000000" w:themeColor="text1"/>
              </w:rPr>
              <w:t>1</w:t>
            </w:r>
            <w:r w:rsidRPr="009A7486">
              <w:rPr>
                <w:rFonts w:ascii="Times New Roman" w:eastAsiaTheme="minorEastAsia" w:hAnsi="Times New Roman"/>
                <w:color w:val="000000" w:themeColor="text1"/>
              </w:rPr>
              <w:t>日至</w:t>
            </w:r>
            <w:r w:rsidRPr="009A7486">
              <w:rPr>
                <w:rFonts w:ascii="Times New Roman" w:eastAsiaTheme="minorEastAsia" w:hAnsi="Times New Roman"/>
                <w:color w:val="000000" w:themeColor="text1"/>
              </w:rPr>
              <w:t>2018</w:t>
            </w:r>
            <w:r w:rsidRPr="009A7486">
              <w:rPr>
                <w:rFonts w:ascii="Times New Roman" w:eastAsiaTheme="minorEastAsia" w:hAnsi="Times New Roman"/>
                <w:color w:val="000000" w:themeColor="text1"/>
              </w:rPr>
              <w:t>年</w:t>
            </w:r>
            <w:r w:rsidRPr="009A7486">
              <w:rPr>
                <w:rFonts w:ascii="Times New Roman" w:eastAsiaTheme="minorEastAsia" w:hAnsi="Times New Roman"/>
                <w:color w:val="000000" w:themeColor="text1"/>
              </w:rPr>
              <w:t>12</w:t>
            </w:r>
            <w:r w:rsidRPr="009A7486">
              <w:rPr>
                <w:rFonts w:ascii="Times New Roman" w:eastAsiaTheme="minorEastAsia" w:hAnsi="Times New Roman"/>
                <w:color w:val="000000" w:themeColor="text1"/>
              </w:rPr>
              <w:t>月</w:t>
            </w:r>
            <w:r w:rsidRPr="009A7486">
              <w:rPr>
                <w:rFonts w:ascii="Times New Roman" w:eastAsiaTheme="minorEastAsia" w:hAnsi="Times New Roman"/>
                <w:color w:val="000000" w:themeColor="text1"/>
              </w:rPr>
              <w:t>31</w:t>
            </w:r>
            <w:r w:rsidRPr="009A7486">
              <w:rPr>
                <w:rFonts w:ascii="Times New Roman" w:eastAsiaTheme="minorEastAsia" w:hAnsi="Times New Roman"/>
                <w:color w:val="000000" w:themeColor="text1"/>
              </w:rPr>
              <w:t>日</w:t>
            </w:r>
          </w:p>
        </w:tc>
      </w:tr>
      <w:tr w:rsidR="002C233F" w:rsidRPr="009A7486"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widowControl/>
              <w:spacing w:line="360" w:lineRule="auto"/>
              <w:jc w:val="left"/>
              <w:rPr>
                <w:rFonts w:eastAsiaTheme="minorEastAsia"/>
                <w:b/>
                <w:color w:val="000000" w:themeColor="text1"/>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b/>
                <w:color w:val="000000" w:themeColor="text1"/>
                <w:sz w:val="24"/>
              </w:rPr>
            </w:pPr>
            <w:r w:rsidRPr="009A7486">
              <w:rPr>
                <w:rFonts w:eastAsiaTheme="minorEastAsia"/>
                <w:b/>
                <w:color w:val="000000" w:themeColor="text1"/>
                <w:sz w:val="24"/>
              </w:rPr>
              <w:t>实收基金</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b/>
                <w:color w:val="000000" w:themeColor="text1"/>
                <w:sz w:val="24"/>
              </w:rPr>
            </w:pPr>
            <w:r w:rsidRPr="009A7486">
              <w:rPr>
                <w:rFonts w:eastAsiaTheme="minorEastAsia"/>
                <w:b/>
                <w:color w:val="000000" w:themeColor="text1"/>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b/>
                <w:color w:val="000000" w:themeColor="text1"/>
                <w:sz w:val="24"/>
              </w:rPr>
              <w:t>所有者权益合计</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31,443,198,860.50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31,443,198,860.50</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620,832,046.52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620,832,046.52</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三、本期基金份额交易产生的基金净值变动数（净值减少以</w:t>
            </w:r>
            <w:r w:rsidRPr="009A7486">
              <w:rPr>
                <w:rFonts w:eastAsiaTheme="minorEastAsia"/>
                <w:color w:val="000000" w:themeColor="text1"/>
                <w:sz w:val="24"/>
              </w:rPr>
              <w:t>“-”</w:t>
            </w:r>
            <w:r w:rsidRPr="009A7486">
              <w:rPr>
                <w:rFonts w:eastAsiaTheme="minorEastAsia"/>
                <w:color w:val="000000" w:themeColor="text1"/>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-24,324,150,106.74</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-24,324,150,106.74</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其中：</w:t>
            </w:r>
            <w:r w:rsidRPr="009A7486">
              <w:rPr>
                <w:rFonts w:eastAsiaTheme="minorEastAsia"/>
                <w:color w:val="000000" w:themeColor="text1"/>
                <w:sz w:val="24"/>
              </w:rPr>
              <w:t>1.</w:t>
            </w:r>
            <w:r w:rsidRPr="009A7486">
              <w:rPr>
                <w:rFonts w:eastAsiaTheme="minorEastAsia"/>
                <w:color w:val="000000" w:themeColor="text1"/>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82,922,532,869.75</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82,922,532,869.75</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9A7486">
            <w:pPr>
              <w:spacing w:line="360" w:lineRule="auto"/>
              <w:ind w:firstLineChars="300" w:firstLine="720"/>
              <w:rPr>
                <w:rFonts w:eastAsiaTheme="minorEastAsia"/>
                <w:color w:val="000000" w:themeColor="text1"/>
                <w:sz w:val="24"/>
              </w:rPr>
            </w:pPr>
            <w:r w:rsidRPr="009A7486">
              <w:rPr>
                <w:rFonts w:eastAsiaTheme="minorEastAsia"/>
                <w:color w:val="000000" w:themeColor="text1"/>
                <w:sz w:val="24"/>
              </w:rPr>
              <w:t>2.</w:t>
            </w:r>
            <w:r w:rsidRPr="009A7486">
              <w:rPr>
                <w:rFonts w:eastAsiaTheme="minorEastAsia"/>
                <w:color w:val="000000" w:themeColor="text1"/>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-107,246,682,976.49</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-107,246,682,976.49</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四、本期向基金份额持有人分配利润产生的基金净值变动（净值减少以</w:t>
            </w:r>
            <w:r w:rsidRPr="009A7486">
              <w:rPr>
                <w:rFonts w:eastAsiaTheme="minorEastAsia"/>
                <w:color w:val="000000" w:themeColor="text1"/>
                <w:sz w:val="24"/>
              </w:rPr>
              <w:t>“-”</w:t>
            </w:r>
            <w:r w:rsidRPr="009A7486">
              <w:rPr>
                <w:rFonts w:eastAsiaTheme="minorEastAsia"/>
                <w:color w:val="000000" w:themeColor="text1"/>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-620,832,046.52</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-620,832,046.52</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7,119,048,753.76</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7,119,048,753.76</w:t>
            </w:r>
          </w:p>
        </w:tc>
      </w:tr>
      <w:tr w:rsidR="002C233F" w:rsidRPr="009A7486" w:rsidTr="001D4934">
        <w:tc>
          <w:tcPr>
            <w:tcW w:w="2835" w:type="dxa"/>
            <w:vMerge w:val="restart"/>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b/>
                <w:color w:val="000000" w:themeColor="text1"/>
                <w:sz w:val="24"/>
              </w:rPr>
              <w:t>项目</w:t>
            </w:r>
          </w:p>
        </w:tc>
        <w:tc>
          <w:tcPr>
            <w:tcW w:w="6165" w:type="dxa"/>
            <w:gridSpan w:val="3"/>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b/>
                <w:color w:val="000000" w:themeColor="text1"/>
                <w:sz w:val="24"/>
              </w:rPr>
            </w:pPr>
            <w:r w:rsidRPr="009A7486">
              <w:rPr>
                <w:rFonts w:eastAsiaTheme="minorEastAsia"/>
                <w:b/>
                <w:color w:val="000000" w:themeColor="text1"/>
                <w:sz w:val="24"/>
              </w:rPr>
              <w:t>上年度可比期间</w:t>
            </w:r>
          </w:p>
          <w:p w:rsidR="00223DFB" w:rsidRPr="009A7486" w:rsidRDefault="00D953F0" w:rsidP="004B36C2">
            <w:pPr>
              <w:pStyle w:val="af6"/>
              <w:spacing w:before="0" w:beforeAutospacing="0" w:after="0" w:afterAutospacing="0" w:line="360" w:lineRule="auto"/>
              <w:jc w:val="center"/>
              <w:rPr>
                <w:rFonts w:ascii="Times New Roman" w:eastAsiaTheme="minorEastAsia" w:hAnsi="Times New Roman"/>
                <w:color w:val="000000" w:themeColor="text1"/>
              </w:rPr>
            </w:pPr>
            <w:r w:rsidRPr="009A7486">
              <w:rPr>
                <w:rFonts w:ascii="Times New Roman" w:eastAsiaTheme="minorEastAsia" w:hAnsi="Times New Roman"/>
                <w:color w:val="000000" w:themeColor="text1"/>
              </w:rPr>
              <w:t>2017</w:t>
            </w:r>
            <w:r w:rsidRPr="009A7486">
              <w:rPr>
                <w:rFonts w:ascii="Times New Roman" w:eastAsiaTheme="minorEastAsia" w:hAnsi="Times New Roman"/>
                <w:color w:val="000000" w:themeColor="text1"/>
              </w:rPr>
              <w:t>年</w:t>
            </w:r>
            <w:r w:rsidRPr="009A7486">
              <w:rPr>
                <w:rFonts w:ascii="Times New Roman" w:eastAsiaTheme="minorEastAsia" w:hAnsi="Times New Roman"/>
                <w:color w:val="000000" w:themeColor="text1"/>
              </w:rPr>
              <w:t>1</w:t>
            </w:r>
            <w:r w:rsidRPr="009A7486">
              <w:rPr>
                <w:rFonts w:ascii="Times New Roman" w:eastAsiaTheme="minorEastAsia" w:hAnsi="Times New Roman"/>
                <w:color w:val="000000" w:themeColor="text1"/>
              </w:rPr>
              <w:t>月</w:t>
            </w:r>
            <w:r w:rsidRPr="009A7486">
              <w:rPr>
                <w:rFonts w:ascii="Times New Roman" w:eastAsiaTheme="minorEastAsia" w:hAnsi="Times New Roman"/>
                <w:color w:val="000000" w:themeColor="text1"/>
              </w:rPr>
              <w:t>1</w:t>
            </w:r>
            <w:r w:rsidRPr="009A7486">
              <w:rPr>
                <w:rFonts w:ascii="Times New Roman" w:eastAsiaTheme="minorEastAsia" w:hAnsi="Times New Roman"/>
                <w:color w:val="000000" w:themeColor="text1"/>
              </w:rPr>
              <w:t>日至</w:t>
            </w:r>
            <w:r w:rsidRPr="009A7486">
              <w:rPr>
                <w:rFonts w:ascii="Times New Roman" w:eastAsiaTheme="minorEastAsia" w:hAnsi="Times New Roman"/>
                <w:color w:val="000000" w:themeColor="text1"/>
              </w:rPr>
              <w:t>2017</w:t>
            </w:r>
            <w:r w:rsidRPr="009A7486">
              <w:rPr>
                <w:rFonts w:ascii="Times New Roman" w:eastAsiaTheme="minorEastAsia" w:hAnsi="Times New Roman"/>
                <w:color w:val="000000" w:themeColor="text1"/>
              </w:rPr>
              <w:t>年</w:t>
            </w:r>
            <w:r w:rsidRPr="009A7486">
              <w:rPr>
                <w:rFonts w:ascii="Times New Roman" w:eastAsiaTheme="minorEastAsia" w:hAnsi="Times New Roman"/>
                <w:color w:val="000000" w:themeColor="text1"/>
              </w:rPr>
              <w:t>12</w:t>
            </w:r>
            <w:r w:rsidRPr="009A7486">
              <w:rPr>
                <w:rFonts w:ascii="Times New Roman" w:eastAsiaTheme="minorEastAsia" w:hAnsi="Times New Roman"/>
                <w:color w:val="000000" w:themeColor="text1"/>
              </w:rPr>
              <w:t>月</w:t>
            </w:r>
            <w:r w:rsidRPr="009A7486">
              <w:rPr>
                <w:rFonts w:ascii="Times New Roman" w:eastAsiaTheme="minorEastAsia" w:hAnsi="Times New Roman"/>
                <w:color w:val="000000" w:themeColor="text1"/>
              </w:rPr>
              <w:t>31</w:t>
            </w:r>
            <w:r w:rsidRPr="009A7486">
              <w:rPr>
                <w:rFonts w:ascii="Times New Roman" w:eastAsiaTheme="minorEastAsia" w:hAnsi="Times New Roman"/>
                <w:color w:val="000000" w:themeColor="text1"/>
              </w:rPr>
              <w:t>日</w:t>
            </w:r>
          </w:p>
        </w:tc>
      </w:tr>
      <w:tr w:rsidR="002C233F" w:rsidRPr="009A7486" w:rsidTr="001D4934">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widowControl/>
              <w:spacing w:line="360" w:lineRule="auto"/>
              <w:jc w:val="left"/>
              <w:rPr>
                <w:rFonts w:eastAsiaTheme="minorEastAsia"/>
                <w:color w:val="000000" w:themeColor="text1"/>
                <w:sz w:val="24"/>
              </w:rPr>
            </w:pP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b/>
                <w:color w:val="000000" w:themeColor="text1"/>
                <w:sz w:val="24"/>
              </w:rPr>
              <w:t>实收基金</w:t>
            </w:r>
          </w:p>
        </w:tc>
        <w:tc>
          <w:tcPr>
            <w:tcW w:w="1984"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jc w:val="center"/>
              <w:rPr>
                <w:rFonts w:eastAsiaTheme="minorEastAsia"/>
                <w:color w:val="000000" w:themeColor="text1"/>
                <w:sz w:val="24"/>
              </w:rPr>
            </w:pPr>
            <w:r w:rsidRPr="009A7486">
              <w:rPr>
                <w:rFonts w:eastAsiaTheme="minorEastAsia"/>
                <w:b/>
                <w:color w:val="000000" w:themeColor="text1"/>
                <w:sz w:val="24"/>
              </w:rPr>
              <w:t>未分配利润</w:t>
            </w:r>
          </w:p>
        </w:tc>
        <w:tc>
          <w:tcPr>
            <w:tcW w:w="2054" w:type="dxa"/>
            <w:tcBorders>
              <w:top w:val="single" w:sz="4" w:space="0" w:color="000000"/>
              <w:left w:val="single" w:sz="4" w:space="0" w:color="000000"/>
              <w:bottom w:val="single" w:sz="4" w:space="0" w:color="000000"/>
              <w:right w:val="single" w:sz="4" w:space="0" w:color="000000"/>
            </w:tcBorders>
            <w:vAlign w:val="center"/>
            <w:hideMark/>
          </w:tcPr>
          <w:p w:rsidR="00223DFB" w:rsidRPr="009A7486" w:rsidRDefault="00223DFB" w:rsidP="004B36C2">
            <w:pPr>
              <w:spacing w:line="360" w:lineRule="auto"/>
              <w:jc w:val="center"/>
              <w:rPr>
                <w:rFonts w:eastAsiaTheme="minorEastAsia"/>
                <w:b/>
                <w:color w:val="000000" w:themeColor="text1"/>
                <w:sz w:val="24"/>
              </w:rPr>
            </w:pPr>
            <w:r w:rsidRPr="009A7486">
              <w:rPr>
                <w:rFonts w:eastAsiaTheme="minorEastAsia"/>
                <w:b/>
                <w:color w:val="000000" w:themeColor="text1"/>
                <w:sz w:val="24"/>
              </w:rPr>
              <w:t>所有者权益合计</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一、期初所有者权益（基金净值）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39,747,828,396.30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39,747,828,396.30</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二、本期经营活动产生的基金净值变动数（本期利润）</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661,828,816.30</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661,828,816.30</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三、本期基金份额交易产生的基金净值变动数（净值减少以</w:t>
            </w:r>
            <w:r w:rsidRPr="009A7486">
              <w:rPr>
                <w:rFonts w:eastAsiaTheme="minorEastAsia"/>
                <w:color w:val="000000" w:themeColor="text1"/>
                <w:sz w:val="24"/>
              </w:rPr>
              <w:t>“-”</w:t>
            </w:r>
            <w:r w:rsidRPr="009A7486">
              <w:rPr>
                <w:rFonts w:eastAsiaTheme="minorEastAsia"/>
                <w:color w:val="000000" w:themeColor="text1"/>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-8,304,629,535.80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-8,304,629,535.80</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其中：</w:t>
            </w:r>
            <w:r w:rsidR="006251B3" w:rsidRPr="009A7486">
              <w:rPr>
                <w:rFonts w:eastAsiaTheme="minorEastAsia"/>
                <w:color w:val="000000" w:themeColor="text1"/>
                <w:sz w:val="24"/>
              </w:rPr>
              <w:t>1</w:t>
            </w:r>
            <w:r w:rsidRPr="009A7486">
              <w:rPr>
                <w:rFonts w:eastAsiaTheme="minorEastAsia"/>
                <w:color w:val="000000" w:themeColor="text1"/>
                <w:sz w:val="24"/>
              </w:rPr>
              <w:t>.</w:t>
            </w:r>
            <w:r w:rsidRPr="009A7486">
              <w:rPr>
                <w:rFonts w:eastAsiaTheme="minorEastAsia"/>
                <w:color w:val="000000" w:themeColor="text1"/>
                <w:sz w:val="24"/>
              </w:rPr>
              <w:t>基金申购款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127,703,144,409.97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127,703,144,409.97</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9A7486">
            <w:pPr>
              <w:spacing w:line="360" w:lineRule="auto"/>
              <w:ind w:firstLineChars="300" w:firstLine="720"/>
              <w:rPr>
                <w:rFonts w:eastAsiaTheme="minorEastAsia"/>
                <w:color w:val="000000" w:themeColor="text1"/>
                <w:sz w:val="24"/>
              </w:rPr>
            </w:pPr>
            <w:r w:rsidRPr="009A7486">
              <w:rPr>
                <w:rFonts w:eastAsiaTheme="minorEastAsia"/>
                <w:color w:val="000000" w:themeColor="text1"/>
                <w:sz w:val="24"/>
              </w:rPr>
              <w:t>2.</w:t>
            </w:r>
            <w:r w:rsidRPr="009A7486">
              <w:rPr>
                <w:rFonts w:eastAsiaTheme="minorEastAsia"/>
                <w:color w:val="000000" w:themeColor="text1"/>
                <w:sz w:val="24"/>
              </w:rPr>
              <w:t>基金赎回款</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-136,007,773,945.77</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-136,007,773,945.77</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四、本期向基金份额持有人分配利润产生的基金净值变动（净值减少以</w:t>
            </w:r>
            <w:r w:rsidRPr="009A7486">
              <w:rPr>
                <w:rFonts w:eastAsiaTheme="minorEastAsia"/>
                <w:color w:val="000000" w:themeColor="text1"/>
                <w:sz w:val="24"/>
              </w:rPr>
              <w:t>“-”</w:t>
            </w:r>
            <w:r w:rsidRPr="009A7486">
              <w:rPr>
                <w:rFonts w:eastAsiaTheme="minorEastAsia"/>
                <w:color w:val="000000" w:themeColor="text1"/>
                <w:sz w:val="24"/>
              </w:rPr>
              <w:t>号填列）</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-661,828,816.30</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-661,828,816.30</w:t>
            </w:r>
          </w:p>
        </w:tc>
      </w:tr>
      <w:tr w:rsidR="002C233F" w:rsidRPr="009A7486" w:rsidTr="001D4934">
        <w:tc>
          <w:tcPr>
            <w:tcW w:w="2835" w:type="dxa"/>
            <w:tcBorders>
              <w:top w:val="single" w:sz="4" w:space="0" w:color="000000"/>
              <w:left w:val="single" w:sz="4" w:space="0" w:color="000000"/>
              <w:bottom w:val="single" w:sz="4" w:space="0" w:color="000000"/>
              <w:right w:val="single" w:sz="4" w:space="0" w:color="000000"/>
            </w:tcBorders>
            <w:hideMark/>
          </w:tcPr>
          <w:p w:rsidR="00223DFB" w:rsidRPr="009A7486" w:rsidRDefault="00223DFB" w:rsidP="004B36C2">
            <w:pPr>
              <w:spacing w:line="360" w:lineRule="auto"/>
              <w:rPr>
                <w:rFonts w:eastAsiaTheme="minorEastAsia"/>
                <w:color w:val="000000" w:themeColor="text1"/>
                <w:sz w:val="24"/>
              </w:rPr>
            </w:pPr>
            <w:r w:rsidRPr="009A7486">
              <w:rPr>
                <w:rFonts w:eastAsiaTheme="minorEastAsia"/>
                <w:color w:val="000000" w:themeColor="text1"/>
                <w:sz w:val="24"/>
              </w:rPr>
              <w:t>五、期末所有者权益（基金净值）</w:t>
            </w:r>
          </w:p>
        </w:tc>
        <w:tc>
          <w:tcPr>
            <w:tcW w:w="2127"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31,443,198,860.50</w:t>
            </w:r>
          </w:p>
        </w:tc>
        <w:tc>
          <w:tcPr>
            <w:tcW w:w="198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054" w:type="dxa"/>
            <w:tcBorders>
              <w:top w:val="single" w:sz="4" w:space="0" w:color="000000"/>
              <w:left w:val="single" w:sz="4" w:space="0" w:color="000000"/>
              <w:bottom w:val="single" w:sz="4" w:space="0" w:color="000000"/>
              <w:right w:val="single" w:sz="4" w:space="0" w:color="000000"/>
            </w:tcBorders>
            <w:vAlign w:val="bottom"/>
            <w:hideMark/>
          </w:tcPr>
          <w:p w:rsidR="00223DFB" w:rsidRPr="009A7486" w:rsidRDefault="00223DFB" w:rsidP="004B36C2">
            <w:pPr>
              <w:spacing w:line="360" w:lineRule="auto"/>
              <w:jc w:val="right"/>
              <w:rPr>
                <w:rFonts w:eastAsiaTheme="minorEastAsia"/>
                <w:color w:val="000000" w:themeColor="text1"/>
                <w:sz w:val="24"/>
              </w:rPr>
            </w:pPr>
            <w:r w:rsidRPr="009A7486">
              <w:rPr>
                <w:rFonts w:eastAsiaTheme="minorEastAsia"/>
                <w:color w:val="000000" w:themeColor="text1"/>
                <w:sz w:val="24"/>
              </w:rPr>
              <w:t>31,443,198,860.50</w:t>
            </w:r>
          </w:p>
        </w:tc>
      </w:tr>
    </w:tbl>
    <w:p w:rsidR="005D28AC" w:rsidRPr="009A7486" w:rsidRDefault="005D28AC" w:rsidP="002855D4">
      <w:pPr>
        <w:spacing w:beforeLines="100" w:line="360" w:lineRule="auto"/>
        <w:rPr>
          <w:rFonts w:eastAsiaTheme="minorEastAsia"/>
          <w:color w:val="000000" w:themeColor="text1"/>
          <w:sz w:val="24"/>
        </w:rPr>
      </w:pPr>
      <w:r w:rsidRPr="009A7486">
        <w:rPr>
          <w:rFonts w:eastAsiaTheme="minorEastAsia"/>
          <w:color w:val="000000" w:themeColor="text1"/>
          <w:sz w:val="24"/>
        </w:rPr>
        <w:t>报表附注为财务报表的组成部分。</w:t>
      </w:r>
    </w:p>
    <w:p w:rsidR="005D28AC" w:rsidRPr="009A7486" w:rsidRDefault="005D28AC" w:rsidP="00B321BE">
      <w:pPr>
        <w:spacing w:line="360" w:lineRule="auto"/>
        <w:rPr>
          <w:rFonts w:eastAsiaTheme="minorEastAsia"/>
          <w:color w:val="000000" w:themeColor="text1"/>
          <w:sz w:val="24"/>
        </w:rPr>
      </w:pPr>
      <w:r w:rsidRPr="009A7486">
        <w:rPr>
          <w:rFonts w:eastAsiaTheme="minorEastAsia"/>
          <w:color w:val="000000" w:themeColor="text1"/>
          <w:sz w:val="24"/>
        </w:rPr>
        <w:t>本报告</w:t>
      </w:r>
      <w:r w:rsidR="00235A62" w:rsidRPr="009A7486">
        <w:rPr>
          <w:rFonts w:eastAsiaTheme="minorEastAsia"/>
          <w:color w:val="000000" w:themeColor="text1"/>
          <w:sz w:val="24"/>
        </w:rPr>
        <w:t>页码（序号）从</w:t>
      </w:r>
      <w:r w:rsidRPr="009A7486">
        <w:rPr>
          <w:rFonts w:eastAsiaTheme="minorEastAsia"/>
          <w:color w:val="000000" w:themeColor="text1"/>
          <w:sz w:val="24"/>
        </w:rPr>
        <w:t>7.1</w:t>
      </w:r>
      <w:r w:rsidRPr="009A7486">
        <w:rPr>
          <w:rFonts w:eastAsiaTheme="minorEastAsia"/>
          <w:color w:val="000000" w:themeColor="text1"/>
          <w:sz w:val="24"/>
        </w:rPr>
        <w:t>至</w:t>
      </w:r>
      <w:r w:rsidRPr="009A7486">
        <w:rPr>
          <w:rFonts w:eastAsiaTheme="minorEastAsia"/>
          <w:color w:val="000000" w:themeColor="text1"/>
          <w:sz w:val="24"/>
        </w:rPr>
        <w:t>7.4</w:t>
      </w:r>
      <w:r w:rsidRPr="009A7486">
        <w:rPr>
          <w:rFonts w:eastAsiaTheme="minorEastAsia"/>
          <w:color w:val="000000" w:themeColor="text1"/>
          <w:sz w:val="24"/>
        </w:rPr>
        <w:t>，财务报表由下列负责人签署：</w:t>
      </w:r>
    </w:p>
    <w:p w:rsidR="00223DFB" w:rsidRPr="009A7486" w:rsidRDefault="00CC5100" w:rsidP="004D5214">
      <w:pPr>
        <w:spacing w:line="360" w:lineRule="auto"/>
        <w:rPr>
          <w:rFonts w:eastAsiaTheme="minorEastAsia"/>
          <w:color w:val="000000" w:themeColor="text1"/>
          <w:sz w:val="24"/>
        </w:rPr>
      </w:pPr>
      <w:r w:rsidRPr="009A7486">
        <w:rPr>
          <w:rFonts w:eastAsiaTheme="minorEastAsia"/>
          <w:color w:val="000000" w:themeColor="text1"/>
          <w:sz w:val="24"/>
        </w:rPr>
        <w:t>基金管理人</w:t>
      </w:r>
      <w:r w:rsidR="005D28AC" w:rsidRPr="009A7486">
        <w:rPr>
          <w:rFonts w:eastAsiaTheme="minorEastAsia"/>
          <w:color w:val="000000" w:themeColor="text1"/>
          <w:sz w:val="24"/>
        </w:rPr>
        <w:t>负责人：王彬，主管会计工作负责人：王彬，会计机构负责人：冯伟</w:t>
      </w:r>
    </w:p>
    <w:p w:rsidR="00223DFB" w:rsidRPr="009A7486" w:rsidRDefault="00223DFB" w:rsidP="002855D4">
      <w:pPr>
        <w:spacing w:beforeLines="100" w:line="360" w:lineRule="auto"/>
        <w:rPr>
          <w:rFonts w:eastAsiaTheme="minorEastAsia"/>
          <w:b/>
          <w:bCs/>
          <w:color w:val="000000" w:themeColor="text1"/>
          <w:kern w:val="0"/>
          <w:sz w:val="24"/>
        </w:rPr>
      </w:pPr>
      <w:bookmarkStart w:id="8" w:name="_Toc331410100"/>
      <w:bookmarkStart w:id="9" w:name="_Toc225498271"/>
      <w:r w:rsidRPr="009A7486">
        <w:rPr>
          <w:rFonts w:eastAsiaTheme="minorEastAsia"/>
          <w:b/>
          <w:bCs/>
          <w:color w:val="000000" w:themeColor="text1"/>
          <w:kern w:val="0"/>
          <w:sz w:val="24"/>
        </w:rPr>
        <w:t xml:space="preserve">7.4 </w:t>
      </w:r>
      <w:r w:rsidRPr="009A7486">
        <w:rPr>
          <w:rFonts w:eastAsiaTheme="minorEastAsia"/>
          <w:b/>
          <w:bCs/>
          <w:color w:val="000000" w:themeColor="text1"/>
          <w:kern w:val="0"/>
          <w:sz w:val="24"/>
        </w:rPr>
        <w:t>报表附注</w:t>
      </w:r>
      <w:bookmarkEnd w:id="8"/>
      <w:bookmarkEnd w:id="9"/>
    </w:p>
    <w:p w:rsidR="00223DFB" w:rsidRPr="009A7486" w:rsidRDefault="00223DFB" w:rsidP="00CB1276">
      <w:pPr>
        <w:spacing w:line="360" w:lineRule="auto"/>
        <w:rPr>
          <w:rFonts w:eastAsiaTheme="minorEastAsia"/>
          <w:b/>
          <w:bCs/>
          <w:color w:val="000000" w:themeColor="text1"/>
          <w:kern w:val="0"/>
          <w:sz w:val="24"/>
        </w:rPr>
      </w:pPr>
      <w:r w:rsidRPr="009A7486">
        <w:rPr>
          <w:rFonts w:eastAsiaTheme="minorEastAsia"/>
          <w:b/>
          <w:bCs/>
          <w:color w:val="000000" w:themeColor="text1"/>
          <w:kern w:val="0"/>
          <w:sz w:val="24"/>
        </w:rPr>
        <w:t>7.4.</w:t>
      </w:r>
      <w:r w:rsidR="008A28D4" w:rsidRPr="009A7486">
        <w:rPr>
          <w:rFonts w:eastAsiaTheme="minorEastAsia"/>
          <w:b/>
          <w:bCs/>
          <w:color w:val="000000" w:themeColor="text1"/>
          <w:kern w:val="0"/>
          <w:sz w:val="24"/>
        </w:rPr>
        <w:t>1</w:t>
      </w:r>
      <w:r w:rsidRPr="009A7486">
        <w:rPr>
          <w:rFonts w:eastAsiaTheme="minorEastAsia"/>
          <w:b/>
          <w:bCs/>
          <w:color w:val="000000" w:themeColor="text1"/>
          <w:kern w:val="0"/>
          <w:sz w:val="24"/>
        </w:rPr>
        <w:t>基金基本情况</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国投瑞银货币市场基金</w:t>
      </w:r>
      <w:r>
        <w:rPr>
          <w:rFonts w:eastAsiaTheme="minorEastAsia"/>
          <w:color w:val="000000" w:themeColor="text1"/>
          <w:sz w:val="24"/>
        </w:rPr>
        <w:t>(</w:t>
      </w:r>
      <w:r>
        <w:rPr>
          <w:rFonts w:eastAsiaTheme="minorEastAsia"/>
          <w:color w:val="000000" w:themeColor="text1"/>
          <w:sz w:val="24"/>
        </w:rPr>
        <w:t>以下简称</w:t>
      </w:r>
      <w:r>
        <w:rPr>
          <w:rFonts w:eastAsiaTheme="minorEastAsia"/>
          <w:color w:val="000000" w:themeColor="text1"/>
          <w:sz w:val="24"/>
        </w:rPr>
        <w:t>“</w:t>
      </w:r>
      <w:r>
        <w:rPr>
          <w:rFonts w:eastAsiaTheme="minorEastAsia"/>
          <w:color w:val="000000" w:themeColor="text1"/>
          <w:sz w:val="24"/>
        </w:rPr>
        <w:t>本基金</w:t>
      </w:r>
      <w:r>
        <w:rPr>
          <w:rFonts w:eastAsiaTheme="minorEastAsia"/>
          <w:color w:val="000000" w:themeColor="text1"/>
          <w:sz w:val="24"/>
        </w:rPr>
        <w:t>”)</w:t>
      </w:r>
      <w:r>
        <w:rPr>
          <w:rFonts w:eastAsiaTheme="minorEastAsia"/>
          <w:color w:val="000000" w:themeColor="text1"/>
          <w:sz w:val="24"/>
        </w:rPr>
        <w:t>经中国证券监督管理委员会</w:t>
      </w:r>
      <w:r>
        <w:rPr>
          <w:rFonts w:eastAsiaTheme="minorEastAsia"/>
          <w:color w:val="000000" w:themeColor="text1"/>
          <w:sz w:val="24"/>
        </w:rPr>
        <w:t>(</w:t>
      </w:r>
      <w:r>
        <w:rPr>
          <w:rFonts w:eastAsiaTheme="minorEastAsia"/>
          <w:color w:val="000000" w:themeColor="text1"/>
          <w:sz w:val="24"/>
        </w:rPr>
        <w:t>以下简称</w:t>
      </w:r>
      <w:r>
        <w:rPr>
          <w:rFonts w:eastAsiaTheme="minorEastAsia"/>
          <w:color w:val="000000" w:themeColor="text1"/>
          <w:sz w:val="24"/>
        </w:rPr>
        <w:t>“</w:t>
      </w:r>
      <w:r>
        <w:rPr>
          <w:rFonts w:eastAsiaTheme="minorEastAsia"/>
          <w:color w:val="000000" w:themeColor="text1"/>
          <w:sz w:val="24"/>
        </w:rPr>
        <w:t>中国证监会</w:t>
      </w:r>
      <w:r>
        <w:rPr>
          <w:rFonts w:eastAsiaTheme="minorEastAsia"/>
          <w:color w:val="000000" w:themeColor="text1"/>
          <w:sz w:val="24"/>
        </w:rPr>
        <w:t>”)</w:t>
      </w:r>
      <w:r>
        <w:rPr>
          <w:rFonts w:eastAsiaTheme="minorEastAsia"/>
          <w:color w:val="000000" w:themeColor="text1"/>
          <w:sz w:val="24"/>
        </w:rPr>
        <w:t>证监许可</w:t>
      </w:r>
      <w:r>
        <w:rPr>
          <w:rFonts w:eastAsiaTheme="minorEastAsia"/>
          <w:color w:val="000000" w:themeColor="text1"/>
          <w:sz w:val="24"/>
        </w:rPr>
        <w:t>[2008]1423</w:t>
      </w:r>
      <w:r>
        <w:rPr>
          <w:rFonts w:eastAsiaTheme="minorEastAsia"/>
          <w:color w:val="000000" w:themeColor="text1"/>
          <w:sz w:val="24"/>
        </w:rPr>
        <w:t>号《关于核准国投瑞银货币市场基金募集的批复》核准，由国投瑞银基金管理有限公司依照《中华人民共和国证券投资基金法》和《国投瑞银货币市场基金基金合同》负责公开募集。本基金为契约型开放式基金，存续期限不定，首次设立募集不包括认购资金利息共募集</w:t>
      </w:r>
      <w:r>
        <w:rPr>
          <w:rFonts w:eastAsiaTheme="minorEastAsia"/>
          <w:color w:val="000000" w:themeColor="text1"/>
          <w:sz w:val="24"/>
        </w:rPr>
        <w:t>3,832,846,202.83</w:t>
      </w:r>
      <w:r>
        <w:rPr>
          <w:rFonts w:eastAsiaTheme="minorEastAsia"/>
          <w:color w:val="000000" w:themeColor="text1"/>
          <w:sz w:val="24"/>
        </w:rPr>
        <w:t>元，业经普华永道中天会计师事务所有限公司普华永道中天验字</w:t>
      </w:r>
      <w:r>
        <w:rPr>
          <w:rFonts w:eastAsiaTheme="minorEastAsia"/>
          <w:color w:val="000000" w:themeColor="text1"/>
          <w:sz w:val="24"/>
        </w:rPr>
        <w:t>(2009)</w:t>
      </w:r>
      <w:r>
        <w:rPr>
          <w:rFonts w:eastAsiaTheme="minorEastAsia"/>
          <w:color w:val="000000" w:themeColor="text1"/>
          <w:sz w:val="24"/>
        </w:rPr>
        <w:t>第</w:t>
      </w:r>
      <w:r>
        <w:rPr>
          <w:rFonts w:eastAsiaTheme="minorEastAsia"/>
          <w:color w:val="000000" w:themeColor="text1"/>
          <w:sz w:val="24"/>
        </w:rPr>
        <w:t>002</w:t>
      </w:r>
      <w:r>
        <w:rPr>
          <w:rFonts w:eastAsiaTheme="minorEastAsia"/>
          <w:color w:val="000000" w:themeColor="text1"/>
          <w:sz w:val="24"/>
        </w:rPr>
        <w:t>号验资报告予以验证。经向中国证监会备案，《国投瑞银货币市场基金基金合同》于</w:t>
      </w:r>
      <w:r>
        <w:rPr>
          <w:rFonts w:eastAsiaTheme="minorEastAsia"/>
          <w:color w:val="000000" w:themeColor="text1"/>
          <w:sz w:val="24"/>
        </w:rPr>
        <w:t>2009</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w:t>
      </w:r>
      <w:r>
        <w:rPr>
          <w:rFonts w:eastAsiaTheme="minorEastAsia"/>
          <w:color w:val="000000" w:themeColor="text1"/>
          <w:sz w:val="24"/>
        </w:rPr>
        <w:t>19</w:t>
      </w:r>
      <w:r>
        <w:rPr>
          <w:rFonts w:eastAsiaTheme="minorEastAsia"/>
          <w:color w:val="000000" w:themeColor="text1"/>
          <w:sz w:val="24"/>
        </w:rPr>
        <w:t>日正式生效，基金合同生效日的基金份额总额为</w:t>
      </w:r>
      <w:r>
        <w:rPr>
          <w:rFonts w:eastAsiaTheme="minorEastAsia"/>
          <w:color w:val="000000" w:themeColor="text1"/>
          <w:sz w:val="24"/>
        </w:rPr>
        <w:t>3,832,962,892.61</w:t>
      </w:r>
      <w:r>
        <w:rPr>
          <w:rFonts w:eastAsiaTheme="minorEastAsia"/>
          <w:color w:val="000000" w:themeColor="text1"/>
          <w:sz w:val="24"/>
        </w:rPr>
        <w:t>份基金份额，其中认购资金利息折合</w:t>
      </w:r>
      <w:r>
        <w:rPr>
          <w:rFonts w:eastAsiaTheme="minorEastAsia"/>
          <w:color w:val="000000" w:themeColor="text1"/>
          <w:sz w:val="24"/>
        </w:rPr>
        <w:t>116,689.78</w:t>
      </w:r>
      <w:r>
        <w:rPr>
          <w:rFonts w:eastAsiaTheme="minorEastAsia"/>
          <w:color w:val="000000" w:themeColor="text1"/>
          <w:sz w:val="24"/>
        </w:rPr>
        <w:t>份基金份额。本基金的基金管理人为国投瑞银基金管理有限公司，基金托管人为中国工商银行股份有限公司。</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本基金根据投资者认</w:t>
      </w:r>
      <w:r>
        <w:rPr>
          <w:rFonts w:eastAsiaTheme="minorEastAsia"/>
          <w:color w:val="000000" w:themeColor="text1"/>
          <w:sz w:val="24"/>
        </w:rPr>
        <w:t>(</w:t>
      </w:r>
      <w:r>
        <w:rPr>
          <w:rFonts w:eastAsiaTheme="minorEastAsia"/>
          <w:color w:val="000000" w:themeColor="text1"/>
          <w:sz w:val="24"/>
        </w:rPr>
        <w:t>申</w:t>
      </w:r>
      <w:r>
        <w:rPr>
          <w:rFonts w:eastAsiaTheme="minorEastAsia"/>
          <w:color w:val="000000" w:themeColor="text1"/>
          <w:sz w:val="24"/>
        </w:rPr>
        <w:t>)</w:t>
      </w:r>
      <w:r>
        <w:rPr>
          <w:rFonts w:eastAsiaTheme="minorEastAsia"/>
          <w:color w:val="000000" w:themeColor="text1"/>
          <w:sz w:val="24"/>
        </w:rPr>
        <w:t>购本基金的金额等级，对投资者持有的基金份额按照不同的费率计提销售服务费用，因此形成不同的基金份额等级。本基金设国投瑞银货币</w:t>
      </w:r>
      <w:r>
        <w:rPr>
          <w:rFonts w:eastAsiaTheme="minorEastAsia"/>
          <w:color w:val="000000" w:themeColor="text1"/>
          <w:sz w:val="24"/>
        </w:rPr>
        <w:t>A</w:t>
      </w:r>
      <w:r>
        <w:rPr>
          <w:rFonts w:eastAsiaTheme="minorEastAsia"/>
          <w:color w:val="000000" w:themeColor="text1"/>
          <w:sz w:val="24"/>
        </w:rPr>
        <w:t>级和国投瑞银货币</w:t>
      </w:r>
      <w:r>
        <w:rPr>
          <w:rFonts w:eastAsiaTheme="minorEastAsia"/>
          <w:color w:val="000000" w:themeColor="text1"/>
          <w:sz w:val="24"/>
        </w:rPr>
        <w:t>B</w:t>
      </w:r>
      <w:r>
        <w:rPr>
          <w:rFonts w:eastAsiaTheme="minorEastAsia"/>
          <w:color w:val="000000" w:themeColor="text1"/>
          <w:sz w:val="24"/>
        </w:rPr>
        <w:t>级两级基金份额，两级基金份额单独设置基金代码，并单独公布每万份基金净收益和</w:t>
      </w:r>
      <w:r>
        <w:rPr>
          <w:rFonts w:eastAsiaTheme="minorEastAsia"/>
          <w:color w:val="000000" w:themeColor="text1"/>
          <w:sz w:val="24"/>
        </w:rPr>
        <w:t xml:space="preserve">7 </w:t>
      </w:r>
      <w:r>
        <w:rPr>
          <w:rFonts w:eastAsiaTheme="minorEastAsia"/>
          <w:color w:val="000000" w:themeColor="text1"/>
          <w:sz w:val="24"/>
        </w:rPr>
        <w:t>日年化收益率。投资者可自行选择认</w:t>
      </w:r>
      <w:r>
        <w:rPr>
          <w:rFonts w:eastAsiaTheme="minorEastAsia"/>
          <w:color w:val="000000" w:themeColor="text1"/>
          <w:sz w:val="24"/>
        </w:rPr>
        <w:t>(</w:t>
      </w:r>
      <w:r>
        <w:rPr>
          <w:rFonts w:eastAsiaTheme="minorEastAsia"/>
          <w:color w:val="000000" w:themeColor="text1"/>
          <w:sz w:val="24"/>
        </w:rPr>
        <w:t>申</w:t>
      </w:r>
      <w:r>
        <w:rPr>
          <w:rFonts w:eastAsiaTheme="minorEastAsia"/>
          <w:color w:val="000000" w:themeColor="text1"/>
          <w:sz w:val="24"/>
        </w:rPr>
        <w:t>)</w:t>
      </w:r>
      <w:r>
        <w:rPr>
          <w:rFonts w:eastAsiaTheme="minorEastAsia"/>
          <w:color w:val="000000" w:themeColor="text1"/>
          <w:sz w:val="24"/>
        </w:rPr>
        <w:t>购的基金份额等级，不同基金份额等级之间不得互相转换。</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根据《货币市场基金管理暂行规定》和《国投瑞银货币市场基金基金合同》的有关规定，本基金的投资范围为现金，通知存款，短期融资券，一年以内的银行定期存款、大额存单，剩余期限在</w:t>
      </w:r>
      <w:r w:rsidRPr="009A7486">
        <w:rPr>
          <w:rFonts w:eastAsiaTheme="minorEastAsia"/>
          <w:color w:val="000000" w:themeColor="text1"/>
          <w:sz w:val="24"/>
        </w:rPr>
        <w:t>397</w:t>
      </w:r>
      <w:r w:rsidRPr="009A7486">
        <w:rPr>
          <w:rFonts w:eastAsiaTheme="minorEastAsia"/>
          <w:color w:val="000000" w:themeColor="text1"/>
          <w:sz w:val="24"/>
        </w:rPr>
        <w:t>天以内的债券，期限在一年以内的债券回购，期限在一年以内的中央银行票据，剩余期限在</w:t>
      </w:r>
      <w:r w:rsidRPr="009A7486">
        <w:rPr>
          <w:rFonts w:eastAsiaTheme="minorEastAsia"/>
          <w:color w:val="000000" w:themeColor="text1"/>
          <w:sz w:val="24"/>
        </w:rPr>
        <w:t>397</w:t>
      </w:r>
      <w:r w:rsidRPr="009A7486">
        <w:rPr>
          <w:rFonts w:eastAsiaTheme="minorEastAsia"/>
          <w:color w:val="000000" w:themeColor="text1"/>
          <w:sz w:val="24"/>
        </w:rPr>
        <w:t>天以内的资产支持证券以及中国证监会、中国人民银行认可的其他具有良好流动性的货币市场工具。本基金的业绩比较基准为：同期七天通知存款利率</w:t>
      </w:r>
      <w:r w:rsidRPr="009A7486">
        <w:rPr>
          <w:rFonts w:eastAsiaTheme="minorEastAsia"/>
          <w:color w:val="000000" w:themeColor="text1"/>
          <w:sz w:val="24"/>
        </w:rPr>
        <w:t>(</w:t>
      </w:r>
      <w:r w:rsidRPr="009A7486">
        <w:rPr>
          <w:rFonts w:eastAsiaTheme="minorEastAsia"/>
          <w:color w:val="000000" w:themeColor="text1"/>
          <w:sz w:val="24"/>
        </w:rPr>
        <w:t>税后</w:t>
      </w:r>
      <w:r w:rsidRPr="009A7486">
        <w:rPr>
          <w:rFonts w:eastAsiaTheme="minorEastAsia"/>
          <w:color w:val="000000" w:themeColor="text1"/>
          <w:sz w:val="24"/>
        </w:rPr>
        <w:t>)</w:t>
      </w:r>
      <w:r w:rsidRPr="009A7486">
        <w:rPr>
          <w:rFonts w:eastAsiaTheme="minorEastAsia"/>
          <w:color w:val="000000" w:themeColor="text1"/>
          <w:sz w:val="24"/>
        </w:rPr>
        <w:t>。</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7.4.</w:t>
      </w:r>
      <w:r w:rsidR="008A28D4" w:rsidRPr="009A7486">
        <w:rPr>
          <w:rFonts w:eastAsiaTheme="minorEastAsia"/>
          <w:b/>
          <w:bCs/>
          <w:color w:val="000000" w:themeColor="text1"/>
          <w:kern w:val="0"/>
          <w:sz w:val="24"/>
        </w:rPr>
        <w:t>2</w:t>
      </w:r>
      <w:r w:rsidRPr="009A7486">
        <w:rPr>
          <w:rFonts w:eastAsiaTheme="minorEastAsia"/>
          <w:b/>
          <w:bCs/>
          <w:color w:val="000000" w:themeColor="text1"/>
          <w:kern w:val="0"/>
          <w:sz w:val="24"/>
        </w:rPr>
        <w:t>会计报表的编制基础</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本基金的财务报表按照财政部于</w:t>
      </w:r>
      <w:r>
        <w:rPr>
          <w:rFonts w:eastAsiaTheme="minorEastAsia"/>
          <w:color w:val="000000" w:themeColor="text1"/>
          <w:sz w:val="24"/>
        </w:rPr>
        <w:t>2006</w:t>
      </w:r>
      <w:r>
        <w:rPr>
          <w:rFonts w:eastAsiaTheme="minorEastAsia"/>
          <w:color w:val="000000" w:themeColor="text1"/>
          <w:sz w:val="24"/>
        </w:rPr>
        <w:t>年</w:t>
      </w:r>
      <w:r>
        <w:rPr>
          <w:rFonts w:eastAsiaTheme="minorEastAsia"/>
          <w:color w:val="000000" w:themeColor="text1"/>
          <w:sz w:val="24"/>
        </w:rPr>
        <w:t>2</w:t>
      </w:r>
      <w:r>
        <w:rPr>
          <w:rFonts w:eastAsiaTheme="minorEastAsia"/>
          <w:color w:val="000000" w:themeColor="text1"/>
          <w:sz w:val="24"/>
        </w:rPr>
        <w:t>月</w:t>
      </w:r>
      <w:r>
        <w:rPr>
          <w:rFonts w:eastAsiaTheme="minorEastAsia"/>
          <w:color w:val="000000" w:themeColor="text1"/>
          <w:sz w:val="24"/>
        </w:rPr>
        <w:t>15</w:t>
      </w:r>
      <w:r>
        <w:rPr>
          <w:rFonts w:eastAsiaTheme="minorEastAsia"/>
          <w:color w:val="000000" w:themeColor="text1"/>
          <w:sz w:val="24"/>
        </w:rPr>
        <w:t>日及以后期间颁布的《企业会计准则－基本准则》、各项具体会计准则及相关规定</w:t>
      </w:r>
      <w:r>
        <w:rPr>
          <w:rFonts w:eastAsiaTheme="minorEastAsia"/>
          <w:color w:val="000000" w:themeColor="text1"/>
          <w:sz w:val="24"/>
        </w:rPr>
        <w:t>(</w:t>
      </w:r>
      <w:r>
        <w:rPr>
          <w:rFonts w:eastAsiaTheme="minorEastAsia"/>
          <w:color w:val="000000" w:themeColor="text1"/>
          <w:sz w:val="24"/>
        </w:rPr>
        <w:t>以下合称</w:t>
      </w:r>
      <w:r>
        <w:rPr>
          <w:rFonts w:eastAsiaTheme="minorEastAsia"/>
          <w:color w:val="000000" w:themeColor="text1"/>
          <w:sz w:val="24"/>
        </w:rPr>
        <w:t>“</w:t>
      </w:r>
      <w:r>
        <w:rPr>
          <w:rFonts w:eastAsiaTheme="minorEastAsia"/>
          <w:color w:val="000000" w:themeColor="text1"/>
          <w:sz w:val="24"/>
        </w:rPr>
        <w:t>企业会计准则</w:t>
      </w:r>
      <w:r>
        <w:rPr>
          <w:rFonts w:eastAsiaTheme="minorEastAsia"/>
          <w:color w:val="000000" w:themeColor="text1"/>
          <w:sz w:val="24"/>
        </w:rPr>
        <w:t>”)</w:t>
      </w:r>
      <w:r>
        <w:rPr>
          <w:rFonts w:eastAsiaTheme="minorEastAsia"/>
          <w:color w:val="000000" w:themeColor="text1"/>
          <w:sz w:val="24"/>
        </w:rPr>
        <w:t>、中国证监会颁布的《证券投资基金信息披露</w:t>
      </w:r>
      <w:r>
        <w:rPr>
          <w:rFonts w:eastAsiaTheme="minorEastAsia"/>
          <w:color w:val="000000" w:themeColor="text1"/>
          <w:sz w:val="24"/>
        </w:rPr>
        <w:t>XBRL</w:t>
      </w:r>
      <w:r>
        <w:rPr>
          <w:rFonts w:eastAsiaTheme="minorEastAsia"/>
          <w:color w:val="000000" w:themeColor="text1"/>
          <w:sz w:val="24"/>
        </w:rPr>
        <w:t>模板第</w:t>
      </w:r>
      <w:r>
        <w:rPr>
          <w:rFonts w:eastAsiaTheme="minorEastAsia"/>
          <w:color w:val="000000" w:themeColor="text1"/>
          <w:sz w:val="24"/>
        </w:rPr>
        <w:t>3</w:t>
      </w:r>
      <w:r>
        <w:rPr>
          <w:rFonts w:eastAsiaTheme="minorEastAsia"/>
          <w:color w:val="000000" w:themeColor="text1"/>
          <w:sz w:val="24"/>
        </w:rPr>
        <w:t>号</w:t>
      </w:r>
      <w:r>
        <w:rPr>
          <w:rFonts w:eastAsiaTheme="minorEastAsia"/>
          <w:color w:val="000000" w:themeColor="text1"/>
          <w:sz w:val="24"/>
        </w:rPr>
        <w:t>&lt;</w:t>
      </w:r>
      <w:r>
        <w:rPr>
          <w:rFonts w:eastAsiaTheme="minorEastAsia"/>
          <w:color w:val="000000" w:themeColor="text1"/>
          <w:sz w:val="24"/>
        </w:rPr>
        <w:t>年度报告和半年度报告</w:t>
      </w:r>
      <w:r>
        <w:rPr>
          <w:rFonts w:eastAsiaTheme="minorEastAsia"/>
          <w:color w:val="000000" w:themeColor="text1"/>
          <w:sz w:val="24"/>
        </w:rPr>
        <w:t>&gt;</w:t>
      </w:r>
      <w:r>
        <w:rPr>
          <w:rFonts w:eastAsiaTheme="minorEastAsia"/>
          <w:color w:val="000000" w:themeColor="text1"/>
          <w:sz w:val="24"/>
        </w:rPr>
        <w:t>》、中国证券投资基金业协会</w:t>
      </w:r>
      <w:r>
        <w:rPr>
          <w:rFonts w:eastAsiaTheme="minorEastAsia"/>
          <w:color w:val="000000" w:themeColor="text1"/>
          <w:sz w:val="24"/>
        </w:rPr>
        <w:t>(</w:t>
      </w:r>
      <w:r>
        <w:rPr>
          <w:rFonts w:eastAsiaTheme="minorEastAsia"/>
          <w:color w:val="000000" w:themeColor="text1"/>
          <w:sz w:val="24"/>
        </w:rPr>
        <w:t>以下简称</w:t>
      </w:r>
      <w:r>
        <w:rPr>
          <w:rFonts w:eastAsiaTheme="minorEastAsia"/>
          <w:color w:val="000000" w:themeColor="text1"/>
          <w:sz w:val="24"/>
        </w:rPr>
        <w:t>“</w:t>
      </w:r>
      <w:r>
        <w:rPr>
          <w:rFonts w:eastAsiaTheme="minorEastAsia"/>
          <w:color w:val="000000" w:themeColor="text1"/>
          <w:sz w:val="24"/>
        </w:rPr>
        <w:t>中国基金业协会</w:t>
      </w:r>
      <w:r>
        <w:rPr>
          <w:rFonts w:eastAsiaTheme="minorEastAsia"/>
          <w:color w:val="000000" w:themeColor="text1"/>
          <w:sz w:val="24"/>
        </w:rPr>
        <w:t>”)</w:t>
      </w:r>
      <w:r>
        <w:rPr>
          <w:rFonts w:eastAsiaTheme="minorEastAsia"/>
          <w:color w:val="000000" w:themeColor="text1"/>
          <w:sz w:val="24"/>
        </w:rPr>
        <w:t>颁布的《证券投资基金会计核算业务指引》、《国投瑞银货币市场基金基金合同》和在财务报表附注</w:t>
      </w:r>
      <w:r>
        <w:rPr>
          <w:rFonts w:eastAsiaTheme="minorEastAsia"/>
          <w:color w:val="000000" w:themeColor="text1"/>
          <w:sz w:val="24"/>
        </w:rPr>
        <w:t>7.4.4</w:t>
      </w:r>
      <w:r>
        <w:rPr>
          <w:rFonts w:eastAsiaTheme="minorEastAsia"/>
          <w:color w:val="000000" w:themeColor="text1"/>
          <w:sz w:val="24"/>
        </w:rPr>
        <w:t>所列示的中国证监会、中国基金业协会发布的有关规定及允许的基金行业实务操作编制。</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本财务报表以持续经营为基础编制。</w:t>
      </w:r>
    </w:p>
    <w:p w:rsidR="00223DFB" w:rsidRPr="009A7486" w:rsidRDefault="00223DFB" w:rsidP="002855D4">
      <w:pPr>
        <w:spacing w:beforeLines="100" w:line="360" w:lineRule="auto"/>
        <w:rPr>
          <w:rFonts w:eastAsiaTheme="minorEastAsia"/>
          <w:b/>
          <w:color w:val="000000" w:themeColor="text1"/>
          <w:kern w:val="0"/>
          <w:sz w:val="24"/>
        </w:rPr>
      </w:pPr>
      <w:r w:rsidRPr="009A7486">
        <w:rPr>
          <w:rFonts w:eastAsiaTheme="minorEastAsia"/>
          <w:b/>
          <w:bCs/>
          <w:color w:val="000000" w:themeColor="text1"/>
          <w:kern w:val="0"/>
          <w:sz w:val="24"/>
        </w:rPr>
        <w:t>7.4.</w:t>
      </w:r>
      <w:r w:rsidR="008A28D4" w:rsidRPr="009A7486">
        <w:rPr>
          <w:rFonts w:eastAsiaTheme="minorEastAsia"/>
          <w:b/>
          <w:bCs/>
          <w:color w:val="000000" w:themeColor="text1"/>
          <w:kern w:val="0"/>
          <w:sz w:val="24"/>
        </w:rPr>
        <w:t>3</w:t>
      </w:r>
      <w:r w:rsidRPr="009A7486">
        <w:rPr>
          <w:rFonts w:eastAsiaTheme="minorEastAsia"/>
          <w:b/>
          <w:bCs/>
          <w:color w:val="000000" w:themeColor="text1"/>
          <w:kern w:val="0"/>
          <w:sz w:val="24"/>
        </w:rPr>
        <w:t>遵循企业会计准则及其他有关规定的声明</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本基金</w:t>
      </w:r>
      <w:r w:rsidRPr="009A7486">
        <w:rPr>
          <w:rFonts w:eastAsiaTheme="minorEastAsia"/>
          <w:color w:val="000000" w:themeColor="text1"/>
          <w:sz w:val="24"/>
        </w:rPr>
        <w:t>2018</w:t>
      </w:r>
      <w:r w:rsidRPr="009A7486">
        <w:rPr>
          <w:rFonts w:eastAsiaTheme="minorEastAsia"/>
          <w:color w:val="000000" w:themeColor="text1"/>
          <w:sz w:val="24"/>
        </w:rPr>
        <w:t>年度财务报表符合企业会计准则的要求，真实、完整地反映了本基金</w:t>
      </w: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日的财务状况以及</w:t>
      </w:r>
      <w:r w:rsidRPr="009A7486">
        <w:rPr>
          <w:rFonts w:eastAsiaTheme="minorEastAsia"/>
          <w:color w:val="000000" w:themeColor="text1"/>
          <w:sz w:val="24"/>
        </w:rPr>
        <w:t>2018</w:t>
      </w:r>
      <w:r w:rsidRPr="009A7486">
        <w:rPr>
          <w:rFonts w:eastAsiaTheme="minorEastAsia"/>
          <w:color w:val="000000" w:themeColor="text1"/>
          <w:sz w:val="24"/>
        </w:rPr>
        <w:t>年度的经营成果和基金净值变动情况等有关信息。</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7.4.</w:t>
      </w:r>
      <w:r w:rsidR="008A28D4" w:rsidRPr="009A7486">
        <w:rPr>
          <w:rFonts w:eastAsiaTheme="minorEastAsia"/>
          <w:b/>
          <w:bCs/>
          <w:color w:val="000000" w:themeColor="text1"/>
          <w:kern w:val="0"/>
          <w:sz w:val="24"/>
        </w:rPr>
        <w:t>4</w:t>
      </w:r>
      <w:r w:rsidR="00E459A8" w:rsidRPr="009A7486">
        <w:rPr>
          <w:rFonts w:eastAsiaTheme="minorEastAsia"/>
          <w:b/>
          <w:bCs/>
          <w:color w:val="000000" w:themeColor="text1"/>
          <w:kern w:val="0"/>
          <w:sz w:val="24"/>
        </w:rPr>
        <w:t>本报告期所采用的会计政策、会计估计与最近一期年度报告相一致的说明</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本报告期所采用的会计政策、会计估计与最近一期年度报告相一致。</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7.4.</w:t>
      </w:r>
      <w:r w:rsidR="008A28D4" w:rsidRPr="009A7486">
        <w:rPr>
          <w:rFonts w:eastAsiaTheme="minorEastAsia"/>
          <w:b/>
          <w:bCs/>
          <w:color w:val="000000" w:themeColor="text1"/>
          <w:kern w:val="0"/>
          <w:sz w:val="24"/>
        </w:rPr>
        <w:t>5</w:t>
      </w:r>
      <w:r w:rsidRPr="009A7486">
        <w:rPr>
          <w:rFonts w:eastAsiaTheme="minorEastAsia"/>
          <w:b/>
          <w:bCs/>
          <w:color w:val="000000" w:themeColor="text1"/>
          <w:kern w:val="0"/>
          <w:sz w:val="24"/>
        </w:rPr>
        <w:t>会计政策和会计估计变更以及差错更正的说明</w:t>
      </w:r>
    </w:p>
    <w:p w:rsidR="00223DFB" w:rsidRPr="009A7486" w:rsidRDefault="00223DFB" w:rsidP="00CB1276">
      <w:pPr>
        <w:spacing w:line="360" w:lineRule="auto"/>
        <w:rPr>
          <w:rFonts w:eastAsiaTheme="minorEastAsia"/>
          <w:b/>
          <w:bCs/>
          <w:color w:val="000000" w:themeColor="text1"/>
          <w:kern w:val="0"/>
          <w:sz w:val="24"/>
        </w:rPr>
      </w:pPr>
      <w:r w:rsidRPr="009A7486">
        <w:rPr>
          <w:rFonts w:eastAsiaTheme="minorEastAsia"/>
          <w:b/>
          <w:bCs/>
          <w:color w:val="000000" w:themeColor="text1"/>
          <w:kern w:val="0"/>
          <w:sz w:val="24"/>
        </w:rPr>
        <w:t>7.4.5.</w:t>
      </w:r>
      <w:r w:rsidR="008A28D4" w:rsidRPr="009A7486">
        <w:rPr>
          <w:rFonts w:eastAsiaTheme="minorEastAsia"/>
          <w:b/>
          <w:bCs/>
          <w:color w:val="000000" w:themeColor="text1"/>
          <w:kern w:val="0"/>
          <w:sz w:val="24"/>
        </w:rPr>
        <w:t>1</w:t>
      </w:r>
      <w:r w:rsidRPr="009A7486">
        <w:rPr>
          <w:rFonts w:eastAsiaTheme="minorEastAsia"/>
          <w:b/>
          <w:bCs/>
          <w:color w:val="000000" w:themeColor="text1"/>
          <w:kern w:val="0"/>
          <w:sz w:val="24"/>
        </w:rPr>
        <w:t>会计政策变更的说明</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本基金本报告期未发生会计政策变更。</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7.4.5.</w:t>
      </w:r>
      <w:r w:rsidR="008A28D4" w:rsidRPr="009A7486">
        <w:rPr>
          <w:rFonts w:eastAsiaTheme="minorEastAsia"/>
          <w:b/>
          <w:bCs/>
          <w:color w:val="000000" w:themeColor="text1"/>
          <w:kern w:val="0"/>
          <w:sz w:val="24"/>
        </w:rPr>
        <w:t>2</w:t>
      </w:r>
      <w:r w:rsidRPr="009A7486">
        <w:rPr>
          <w:rFonts w:eastAsiaTheme="minorEastAsia"/>
          <w:b/>
          <w:bCs/>
          <w:color w:val="000000" w:themeColor="text1"/>
          <w:kern w:val="0"/>
          <w:sz w:val="24"/>
        </w:rPr>
        <w:t>会计估计变更的说明</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本基金本报告期未发生会计估计变更。</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7.4.5.</w:t>
      </w:r>
      <w:r w:rsidR="008A28D4" w:rsidRPr="009A7486">
        <w:rPr>
          <w:rFonts w:eastAsiaTheme="minorEastAsia"/>
          <w:b/>
          <w:bCs/>
          <w:color w:val="000000" w:themeColor="text1"/>
          <w:kern w:val="0"/>
          <w:sz w:val="24"/>
        </w:rPr>
        <w:t>3</w:t>
      </w:r>
      <w:r w:rsidRPr="009A7486">
        <w:rPr>
          <w:rFonts w:eastAsiaTheme="minorEastAsia"/>
          <w:b/>
          <w:bCs/>
          <w:color w:val="000000" w:themeColor="text1"/>
          <w:kern w:val="0"/>
          <w:sz w:val="24"/>
        </w:rPr>
        <w:t>差错更正的说明</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本基金在本报告期无须说明的会计差错更正。</w:t>
      </w:r>
    </w:p>
    <w:p w:rsidR="00223DFB" w:rsidRPr="009A7486" w:rsidRDefault="00223DFB"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7.4.</w:t>
      </w:r>
      <w:r w:rsidR="008A28D4" w:rsidRPr="009A7486">
        <w:rPr>
          <w:rFonts w:eastAsiaTheme="minorEastAsia"/>
          <w:b/>
          <w:bCs/>
          <w:color w:val="000000" w:themeColor="text1"/>
          <w:kern w:val="0"/>
          <w:sz w:val="24"/>
        </w:rPr>
        <w:t>6</w:t>
      </w:r>
      <w:r w:rsidRPr="009A7486">
        <w:rPr>
          <w:rFonts w:eastAsiaTheme="minorEastAsia"/>
          <w:b/>
          <w:bCs/>
          <w:color w:val="000000" w:themeColor="text1"/>
          <w:kern w:val="0"/>
          <w:sz w:val="24"/>
        </w:rPr>
        <w:t>税项</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根据财政部、国家税务总局财税</w:t>
      </w:r>
      <w:r>
        <w:rPr>
          <w:rFonts w:eastAsiaTheme="minorEastAsia"/>
          <w:color w:val="000000" w:themeColor="text1"/>
          <w:sz w:val="24"/>
        </w:rPr>
        <w:t>[2008]1</w:t>
      </w:r>
      <w:r>
        <w:rPr>
          <w:rFonts w:eastAsiaTheme="minorEastAsia"/>
          <w:color w:val="000000" w:themeColor="text1"/>
          <w:sz w:val="24"/>
        </w:rPr>
        <w:t>号《关于企业所得税若干优惠政策的通知》、财税</w:t>
      </w:r>
      <w:r>
        <w:rPr>
          <w:rFonts w:eastAsiaTheme="minorEastAsia"/>
          <w:color w:val="000000" w:themeColor="text1"/>
          <w:sz w:val="24"/>
        </w:rPr>
        <w:t>[2016]36</w:t>
      </w:r>
      <w:r>
        <w:rPr>
          <w:rFonts w:eastAsiaTheme="minorEastAsia"/>
          <w:color w:val="000000" w:themeColor="text1"/>
          <w:sz w:val="24"/>
        </w:rPr>
        <w:t>号《关于全面推开营业税改征增值税试点的通知》、财税</w:t>
      </w:r>
      <w:r>
        <w:rPr>
          <w:rFonts w:eastAsiaTheme="minorEastAsia"/>
          <w:color w:val="000000" w:themeColor="text1"/>
          <w:sz w:val="24"/>
        </w:rPr>
        <w:t>[2016]46</w:t>
      </w:r>
      <w:r>
        <w:rPr>
          <w:rFonts w:eastAsiaTheme="minorEastAsia"/>
          <w:color w:val="000000" w:themeColor="text1"/>
          <w:sz w:val="24"/>
        </w:rPr>
        <w:t>号《关于进一步明确全面推开营改增试点金融业有关政策的通知》、财税</w:t>
      </w:r>
      <w:r>
        <w:rPr>
          <w:rFonts w:eastAsiaTheme="minorEastAsia"/>
          <w:color w:val="000000" w:themeColor="text1"/>
          <w:sz w:val="24"/>
        </w:rPr>
        <w:t>[2016]70</w:t>
      </w:r>
      <w:r>
        <w:rPr>
          <w:rFonts w:eastAsiaTheme="minorEastAsia"/>
          <w:color w:val="000000" w:themeColor="text1"/>
          <w:sz w:val="24"/>
        </w:rPr>
        <w:t>号《关于金融机构同业往来等增值税政策的补充通知》、财税</w:t>
      </w:r>
      <w:r>
        <w:rPr>
          <w:rFonts w:eastAsiaTheme="minorEastAsia"/>
          <w:color w:val="000000" w:themeColor="text1"/>
          <w:sz w:val="24"/>
        </w:rPr>
        <w:t>[2016]140</w:t>
      </w:r>
      <w:r>
        <w:rPr>
          <w:rFonts w:eastAsiaTheme="minorEastAsia"/>
          <w:color w:val="000000" w:themeColor="text1"/>
          <w:sz w:val="24"/>
        </w:rPr>
        <w:t>号《关于明确金融房地产开发教育辅助服务等增值税政策的通知》、财税</w:t>
      </w:r>
      <w:r>
        <w:rPr>
          <w:rFonts w:eastAsiaTheme="minorEastAsia"/>
          <w:color w:val="000000" w:themeColor="text1"/>
          <w:sz w:val="24"/>
        </w:rPr>
        <w:t>[2017]2</w:t>
      </w:r>
      <w:r>
        <w:rPr>
          <w:rFonts w:eastAsiaTheme="minorEastAsia"/>
          <w:color w:val="000000" w:themeColor="text1"/>
          <w:sz w:val="24"/>
        </w:rPr>
        <w:t>号《关于资管产品增值税政策有关问题的补充通知》、财税</w:t>
      </w:r>
      <w:r>
        <w:rPr>
          <w:rFonts w:eastAsiaTheme="minorEastAsia"/>
          <w:color w:val="000000" w:themeColor="text1"/>
          <w:sz w:val="24"/>
        </w:rPr>
        <w:t>[2017]56</w:t>
      </w:r>
      <w:r>
        <w:rPr>
          <w:rFonts w:eastAsiaTheme="minorEastAsia"/>
          <w:color w:val="000000" w:themeColor="text1"/>
          <w:sz w:val="24"/>
        </w:rPr>
        <w:t>号《关于资管产品增值税有关问题的通知》、财税</w:t>
      </w:r>
      <w:r>
        <w:rPr>
          <w:rFonts w:eastAsiaTheme="minorEastAsia"/>
          <w:color w:val="000000" w:themeColor="text1"/>
          <w:sz w:val="24"/>
        </w:rPr>
        <w:t>[2017]90</w:t>
      </w:r>
      <w:r>
        <w:rPr>
          <w:rFonts w:eastAsiaTheme="minorEastAsia"/>
          <w:color w:val="000000" w:themeColor="text1"/>
          <w:sz w:val="24"/>
        </w:rPr>
        <w:t>号《关于租入固定资产进项税额抵扣等增值税政策的通知》及其他相关财税法规和实务操作，主要税项列示如下：</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(1) </w:t>
      </w:r>
      <w:r>
        <w:rPr>
          <w:rFonts w:eastAsiaTheme="minorEastAsia"/>
          <w:color w:val="000000" w:themeColor="text1"/>
          <w:sz w:val="24"/>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themeColor="text1"/>
          <w:sz w:val="24"/>
        </w:rPr>
        <w:t>3%</w:t>
      </w:r>
      <w:r>
        <w:rPr>
          <w:rFonts w:eastAsiaTheme="minorEastAsia"/>
          <w:color w:val="000000" w:themeColor="text1"/>
          <w:sz w:val="24"/>
        </w:rPr>
        <w:t>的征收率缴纳增值税。对资管产品在</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w:t>
      </w:r>
      <w:r>
        <w:rPr>
          <w:rFonts w:eastAsiaTheme="minorEastAsia"/>
          <w:color w:val="000000" w:themeColor="text1"/>
          <w:sz w:val="24"/>
        </w:rPr>
        <w:t>1</w:t>
      </w:r>
      <w:r>
        <w:rPr>
          <w:rFonts w:eastAsiaTheme="minorEastAsia"/>
          <w:color w:val="000000" w:themeColor="text1"/>
          <w:sz w:val="24"/>
        </w:rPr>
        <w:t>日前运营过程中发生的增值税应税行为，未缴纳增值税的，不再缴纳；已缴纳增值税的，已纳税额从资管产品管理人以后月份的增值税应纳税额中抵减。</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对证券投资基金管理人运用基金买卖债券的转让收入免征增值税，对国债、地方政府债以及金融同业往来利息收入亦免征增值税。资管产品管理人运营资管产品提供的贷款服务，以</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1</w:t>
      </w:r>
      <w:r>
        <w:rPr>
          <w:rFonts w:eastAsiaTheme="minorEastAsia"/>
          <w:color w:val="000000" w:themeColor="text1"/>
          <w:sz w:val="24"/>
        </w:rPr>
        <w:t>月</w:t>
      </w:r>
      <w:r>
        <w:rPr>
          <w:rFonts w:eastAsiaTheme="minorEastAsia"/>
          <w:color w:val="000000" w:themeColor="text1"/>
          <w:sz w:val="24"/>
        </w:rPr>
        <w:t>1</w:t>
      </w:r>
      <w:r>
        <w:rPr>
          <w:rFonts w:eastAsiaTheme="minorEastAsia"/>
          <w:color w:val="000000" w:themeColor="text1"/>
          <w:sz w:val="24"/>
        </w:rPr>
        <w:t>日起产生的利息及利息性质的收入为销售额。</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(2) </w:t>
      </w:r>
      <w:r>
        <w:rPr>
          <w:rFonts w:eastAsiaTheme="minorEastAsia"/>
          <w:color w:val="000000" w:themeColor="text1"/>
          <w:sz w:val="24"/>
        </w:rPr>
        <w:t>对基金从证券市场中取得的收入，包括买卖债券的差价收入，债券的利息收入及其他收入，暂不征收企业所得税。</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(3) </w:t>
      </w:r>
      <w:r>
        <w:rPr>
          <w:rFonts w:eastAsiaTheme="minorEastAsia"/>
          <w:color w:val="000000" w:themeColor="text1"/>
          <w:sz w:val="24"/>
        </w:rPr>
        <w:t>对基金取得的企业债券利息收入，应由发行债券的企业在向基金支付利息时代扣代缴</w:t>
      </w:r>
      <w:r>
        <w:rPr>
          <w:rFonts w:eastAsiaTheme="minorEastAsia"/>
          <w:color w:val="000000" w:themeColor="text1"/>
          <w:sz w:val="24"/>
        </w:rPr>
        <w:t>20%</w:t>
      </w:r>
      <w:r>
        <w:rPr>
          <w:rFonts w:eastAsiaTheme="minorEastAsia"/>
          <w:color w:val="000000" w:themeColor="text1"/>
          <w:sz w:val="24"/>
        </w:rPr>
        <w:t>的个人所得税。</w:t>
      </w:r>
    </w:p>
    <w:p w:rsidR="00223DFB" w:rsidRPr="009A7486" w:rsidRDefault="00223DFB"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 xml:space="preserve">(4) </w:t>
      </w:r>
      <w:r w:rsidRPr="009A7486">
        <w:rPr>
          <w:rFonts w:eastAsiaTheme="minorEastAsia"/>
          <w:color w:val="000000" w:themeColor="text1"/>
          <w:sz w:val="24"/>
        </w:rPr>
        <w:t>本基金的城市维护建设税、教育费附加和地方教育费附加等税费按照实际缴纳增值税额的适用比例计算缴纳。</w:t>
      </w:r>
    </w:p>
    <w:p w:rsidR="00E571BC" w:rsidRPr="009A7486" w:rsidRDefault="00E571BC"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7.4.</w:t>
      </w:r>
      <w:r w:rsidR="008A28D4" w:rsidRPr="009A7486">
        <w:rPr>
          <w:rFonts w:eastAsiaTheme="minorEastAsia"/>
          <w:b/>
          <w:bCs/>
          <w:color w:val="000000" w:themeColor="text1"/>
          <w:kern w:val="0"/>
          <w:sz w:val="24"/>
        </w:rPr>
        <w:t>7</w:t>
      </w:r>
      <w:r w:rsidRPr="009A7486">
        <w:rPr>
          <w:rFonts w:eastAsiaTheme="minorEastAsia"/>
          <w:b/>
          <w:bCs/>
          <w:color w:val="000000" w:themeColor="text1"/>
          <w:kern w:val="0"/>
          <w:sz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20"/>
        <w:gridCol w:w="3780"/>
      </w:tblGrid>
      <w:tr w:rsidR="002C233F" w:rsidRPr="009A7486" w:rsidTr="006D141C">
        <w:tc>
          <w:tcPr>
            <w:tcW w:w="5220"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关联方名称</w:t>
            </w:r>
          </w:p>
        </w:tc>
        <w:tc>
          <w:tcPr>
            <w:tcW w:w="3780"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与本基金的关系</w:t>
            </w:r>
          </w:p>
        </w:tc>
      </w:tr>
      <w:tr w:rsidR="005C48D6">
        <w:tc>
          <w:tcPr>
            <w:tcW w:w="5220" w:type="dxa"/>
            <w:vAlign w:val="center"/>
          </w:tcPr>
          <w:p w:rsidR="005C48D6" w:rsidRDefault="008F0294">
            <w:pPr>
              <w:jc w:val="left"/>
            </w:pPr>
            <w:r>
              <w:rPr>
                <w:rFonts w:eastAsiaTheme="minorEastAsia"/>
                <w:color w:val="000000" w:themeColor="text1"/>
                <w:sz w:val="24"/>
              </w:rPr>
              <w:t>国投瑞银基金管理有限公司</w:t>
            </w:r>
            <w:r>
              <w:rPr>
                <w:rFonts w:eastAsiaTheme="minorEastAsia"/>
                <w:color w:val="000000" w:themeColor="text1"/>
                <w:sz w:val="24"/>
              </w:rPr>
              <w:t>(“</w:t>
            </w:r>
            <w:r>
              <w:rPr>
                <w:rFonts w:eastAsiaTheme="minorEastAsia"/>
                <w:color w:val="000000" w:themeColor="text1"/>
                <w:sz w:val="24"/>
              </w:rPr>
              <w:t>国投瑞银</w:t>
            </w:r>
            <w:r>
              <w:rPr>
                <w:rFonts w:eastAsiaTheme="minorEastAsia"/>
                <w:color w:val="000000" w:themeColor="text1"/>
                <w:sz w:val="24"/>
              </w:rPr>
              <w:t xml:space="preserve">”) </w:t>
            </w:r>
          </w:p>
        </w:tc>
        <w:tc>
          <w:tcPr>
            <w:tcW w:w="3780" w:type="dxa"/>
            <w:vAlign w:val="center"/>
          </w:tcPr>
          <w:p w:rsidR="005C48D6" w:rsidRDefault="008F0294">
            <w:pPr>
              <w:jc w:val="left"/>
            </w:pPr>
            <w:r>
              <w:rPr>
                <w:rFonts w:eastAsiaTheme="minorEastAsia"/>
                <w:color w:val="000000" w:themeColor="text1"/>
                <w:sz w:val="24"/>
              </w:rPr>
              <w:t>基金管理人、基金注册登记机构、基金销售机构</w:t>
            </w:r>
          </w:p>
        </w:tc>
      </w:tr>
      <w:tr w:rsidR="005C48D6">
        <w:tc>
          <w:tcPr>
            <w:tcW w:w="5220" w:type="dxa"/>
            <w:vAlign w:val="center"/>
          </w:tcPr>
          <w:p w:rsidR="005C48D6" w:rsidRDefault="008F0294">
            <w:pPr>
              <w:jc w:val="left"/>
            </w:pPr>
            <w:r>
              <w:rPr>
                <w:rFonts w:eastAsiaTheme="minorEastAsia"/>
                <w:color w:val="000000" w:themeColor="text1"/>
                <w:sz w:val="24"/>
              </w:rPr>
              <w:t>中国工商银行股份有限公司</w:t>
            </w:r>
            <w:r>
              <w:rPr>
                <w:rFonts w:eastAsiaTheme="minorEastAsia"/>
                <w:color w:val="000000" w:themeColor="text1"/>
                <w:sz w:val="24"/>
              </w:rPr>
              <w:t>(“</w:t>
            </w:r>
            <w:r>
              <w:rPr>
                <w:rFonts w:eastAsiaTheme="minorEastAsia"/>
                <w:color w:val="000000" w:themeColor="text1"/>
                <w:sz w:val="24"/>
              </w:rPr>
              <w:t>中国工商银行</w:t>
            </w:r>
            <w:r>
              <w:rPr>
                <w:rFonts w:eastAsiaTheme="minorEastAsia"/>
                <w:color w:val="000000" w:themeColor="text1"/>
                <w:sz w:val="24"/>
              </w:rPr>
              <w:t>”)</w:t>
            </w:r>
          </w:p>
        </w:tc>
        <w:tc>
          <w:tcPr>
            <w:tcW w:w="3780" w:type="dxa"/>
            <w:vAlign w:val="center"/>
          </w:tcPr>
          <w:p w:rsidR="005C48D6" w:rsidRDefault="008F0294">
            <w:pPr>
              <w:jc w:val="left"/>
            </w:pPr>
            <w:r>
              <w:rPr>
                <w:rFonts w:eastAsiaTheme="minorEastAsia"/>
                <w:color w:val="000000" w:themeColor="text1"/>
                <w:sz w:val="24"/>
              </w:rPr>
              <w:t>基金托管人、基金销售机构</w:t>
            </w:r>
          </w:p>
        </w:tc>
      </w:tr>
      <w:tr w:rsidR="005C48D6">
        <w:tc>
          <w:tcPr>
            <w:tcW w:w="5220" w:type="dxa"/>
            <w:vAlign w:val="center"/>
          </w:tcPr>
          <w:p w:rsidR="005C48D6" w:rsidRDefault="008F0294">
            <w:pPr>
              <w:jc w:val="left"/>
            </w:pPr>
            <w:r>
              <w:rPr>
                <w:rFonts w:eastAsiaTheme="minorEastAsia"/>
                <w:color w:val="000000" w:themeColor="text1"/>
                <w:sz w:val="24"/>
              </w:rPr>
              <w:t>国投泰康信托有限公司</w:t>
            </w:r>
          </w:p>
        </w:tc>
        <w:tc>
          <w:tcPr>
            <w:tcW w:w="3780" w:type="dxa"/>
            <w:vAlign w:val="center"/>
          </w:tcPr>
          <w:p w:rsidR="005C48D6" w:rsidRDefault="008F0294">
            <w:pPr>
              <w:jc w:val="left"/>
            </w:pPr>
            <w:r>
              <w:rPr>
                <w:rFonts w:eastAsiaTheme="minorEastAsia"/>
                <w:color w:val="000000" w:themeColor="text1"/>
                <w:sz w:val="24"/>
              </w:rPr>
              <w:t>基金管理人的股东</w:t>
            </w:r>
          </w:p>
        </w:tc>
      </w:tr>
      <w:tr w:rsidR="005C48D6">
        <w:tc>
          <w:tcPr>
            <w:tcW w:w="5220" w:type="dxa"/>
            <w:vAlign w:val="center"/>
          </w:tcPr>
          <w:p w:rsidR="005C48D6" w:rsidRDefault="008F0294">
            <w:pPr>
              <w:jc w:val="left"/>
            </w:pPr>
            <w:r>
              <w:rPr>
                <w:rFonts w:eastAsiaTheme="minorEastAsia"/>
                <w:color w:val="000000" w:themeColor="text1"/>
                <w:sz w:val="24"/>
              </w:rPr>
              <w:t>瑞士银行股份有限公司（</w:t>
            </w:r>
            <w:r>
              <w:rPr>
                <w:rFonts w:eastAsiaTheme="minorEastAsia"/>
                <w:color w:val="000000" w:themeColor="text1"/>
                <w:sz w:val="24"/>
              </w:rPr>
              <w:t>“UBS AG”)</w:t>
            </w:r>
          </w:p>
        </w:tc>
        <w:tc>
          <w:tcPr>
            <w:tcW w:w="3780" w:type="dxa"/>
            <w:vAlign w:val="center"/>
          </w:tcPr>
          <w:p w:rsidR="005C48D6" w:rsidRDefault="008F0294">
            <w:pPr>
              <w:jc w:val="left"/>
            </w:pPr>
            <w:r>
              <w:rPr>
                <w:rFonts w:eastAsiaTheme="minorEastAsia"/>
                <w:color w:val="000000" w:themeColor="text1"/>
                <w:sz w:val="24"/>
              </w:rPr>
              <w:t>基金管理人的股东</w:t>
            </w:r>
          </w:p>
        </w:tc>
      </w:tr>
      <w:tr w:rsidR="005C48D6">
        <w:tc>
          <w:tcPr>
            <w:tcW w:w="5220" w:type="dxa"/>
            <w:vAlign w:val="center"/>
          </w:tcPr>
          <w:p w:rsidR="005C48D6" w:rsidRDefault="008F0294">
            <w:pPr>
              <w:jc w:val="left"/>
            </w:pPr>
            <w:r>
              <w:rPr>
                <w:rFonts w:eastAsiaTheme="minorEastAsia"/>
                <w:color w:val="000000" w:themeColor="text1"/>
                <w:sz w:val="24"/>
              </w:rPr>
              <w:t>国投瑞银资产管理</w:t>
            </w:r>
            <w:r>
              <w:rPr>
                <w:rFonts w:eastAsiaTheme="minorEastAsia"/>
                <w:color w:val="000000" w:themeColor="text1"/>
                <w:sz w:val="24"/>
              </w:rPr>
              <w:t>(</w:t>
            </w:r>
            <w:r>
              <w:rPr>
                <w:rFonts w:eastAsiaTheme="minorEastAsia"/>
                <w:color w:val="000000" w:themeColor="text1"/>
                <w:sz w:val="24"/>
              </w:rPr>
              <w:t>香港</w:t>
            </w:r>
            <w:r>
              <w:rPr>
                <w:rFonts w:eastAsiaTheme="minorEastAsia"/>
                <w:color w:val="000000" w:themeColor="text1"/>
                <w:sz w:val="24"/>
              </w:rPr>
              <w:t>)</w:t>
            </w:r>
            <w:r>
              <w:rPr>
                <w:rFonts w:eastAsiaTheme="minorEastAsia"/>
                <w:color w:val="000000" w:themeColor="text1"/>
                <w:sz w:val="24"/>
              </w:rPr>
              <w:t>有限公司</w:t>
            </w:r>
          </w:p>
        </w:tc>
        <w:tc>
          <w:tcPr>
            <w:tcW w:w="3780" w:type="dxa"/>
            <w:vAlign w:val="center"/>
          </w:tcPr>
          <w:p w:rsidR="005C48D6" w:rsidRDefault="008F0294">
            <w:pPr>
              <w:jc w:val="left"/>
            </w:pPr>
            <w:r>
              <w:rPr>
                <w:rFonts w:eastAsiaTheme="minorEastAsia"/>
                <w:color w:val="000000" w:themeColor="text1"/>
                <w:sz w:val="24"/>
              </w:rPr>
              <w:t>基金管理人的子公司</w:t>
            </w:r>
          </w:p>
        </w:tc>
      </w:tr>
      <w:tr w:rsidR="005C48D6">
        <w:tc>
          <w:tcPr>
            <w:tcW w:w="5220" w:type="dxa"/>
            <w:vAlign w:val="center"/>
          </w:tcPr>
          <w:p w:rsidR="005C48D6" w:rsidRDefault="008F0294">
            <w:pPr>
              <w:jc w:val="left"/>
            </w:pPr>
            <w:r>
              <w:rPr>
                <w:rFonts w:eastAsiaTheme="minorEastAsia"/>
                <w:color w:val="000000" w:themeColor="text1"/>
                <w:sz w:val="24"/>
              </w:rPr>
              <w:t>国投瑞银资本管理有限公司</w:t>
            </w:r>
            <w:r>
              <w:rPr>
                <w:rFonts w:eastAsiaTheme="minorEastAsia"/>
                <w:color w:val="000000" w:themeColor="text1"/>
                <w:sz w:val="24"/>
              </w:rPr>
              <w:t>(“</w:t>
            </w:r>
            <w:r>
              <w:rPr>
                <w:rFonts w:eastAsiaTheme="minorEastAsia"/>
                <w:color w:val="000000" w:themeColor="text1"/>
                <w:sz w:val="24"/>
              </w:rPr>
              <w:t>国投瑞银资本</w:t>
            </w:r>
            <w:r>
              <w:rPr>
                <w:rFonts w:eastAsiaTheme="minorEastAsia"/>
                <w:color w:val="000000" w:themeColor="text1"/>
                <w:sz w:val="24"/>
              </w:rPr>
              <w:t>”)</w:t>
            </w:r>
          </w:p>
        </w:tc>
        <w:tc>
          <w:tcPr>
            <w:tcW w:w="3780" w:type="dxa"/>
            <w:vAlign w:val="center"/>
          </w:tcPr>
          <w:p w:rsidR="005C48D6" w:rsidRDefault="008F0294">
            <w:pPr>
              <w:jc w:val="left"/>
            </w:pPr>
            <w:r>
              <w:rPr>
                <w:rFonts w:eastAsiaTheme="minorEastAsia"/>
                <w:color w:val="000000" w:themeColor="text1"/>
                <w:sz w:val="24"/>
              </w:rPr>
              <w:t>基金管理人的子公司</w:t>
            </w:r>
          </w:p>
        </w:tc>
      </w:tr>
      <w:tr w:rsidR="005C48D6">
        <w:tc>
          <w:tcPr>
            <w:tcW w:w="5220" w:type="dxa"/>
            <w:vAlign w:val="center"/>
          </w:tcPr>
          <w:p w:rsidR="005C48D6" w:rsidRDefault="008F0294">
            <w:pPr>
              <w:jc w:val="left"/>
            </w:pPr>
            <w:r>
              <w:rPr>
                <w:rFonts w:eastAsiaTheme="minorEastAsia"/>
                <w:color w:val="000000" w:themeColor="text1"/>
                <w:sz w:val="24"/>
              </w:rPr>
              <w:t>安信证券股份有限公司（</w:t>
            </w:r>
            <w:r>
              <w:rPr>
                <w:rFonts w:eastAsiaTheme="minorEastAsia"/>
                <w:color w:val="000000" w:themeColor="text1"/>
                <w:sz w:val="24"/>
              </w:rPr>
              <w:t>“</w:t>
            </w:r>
            <w:r>
              <w:rPr>
                <w:rFonts w:eastAsiaTheme="minorEastAsia"/>
                <w:color w:val="000000" w:themeColor="text1"/>
                <w:sz w:val="24"/>
              </w:rPr>
              <w:t>安信证券</w:t>
            </w:r>
            <w:r>
              <w:rPr>
                <w:rFonts w:eastAsiaTheme="minorEastAsia"/>
                <w:color w:val="000000" w:themeColor="text1"/>
                <w:sz w:val="24"/>
              </w:rPr>
              <w:t>”</w:t>
            </w:r>
            <w:r>
              <w:rPr>
                <w:rFonts w:eastAsiaTheme="minorEastAsia"/>
                <w:color w:val="000000" w:themeColor="text1"/>
                <w:sz w:val="24"/>
              </w:rPr>
              <w:t>）</w:t>
            </w:r>
          </w:p>
        </w:tc>
        <w:tc>
          <w:tcPr>
            <w:tcW w:w="3780" w:type="dxa"/>
            <w:vAlign w:val="center"/>
          </w:tcPr>
          <w:p w:rsidR="005C48D6" w:rsidRDefault="008F0294">
            <w:pPr>
              <w:jc w:val="left"/>
            </w:pPr>
            <w:r>
              <w:rPr>
                <w:rFonts w:eastAsiaTheme="minorEastAsia"/>
                <w:color w:val="000000" w:themeColor="text1"/>
                <w:sz w:val="24"/>
              </w:rPr>
              <w:t>与基金管理人受同一实际控制的公司、基金销售机构</w:t>
            </w:r>
          </w:p>
        </w:tc>
      </w:tr>
    </w:tbl>
    <w:p w:rsidR="006D141C" w:rsidRPr="009A7486" w:rsidRDefault="006D141C"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注：以下关联交易均在正常业务范围内按一般商业条款订立。</w:t>
      </w:r>
    </w:p>
    <w:p w:rsidR="006D141C" w:rsidRPr="009A7486" w:rsidRDefault="006D141C"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7.4.</w:t>
      </w:r>
      <w:r w:rsidR="008A28D4" w:rsidRPr="009A7486">
        <w:rPr>
          <w:rFonts w:eastAsiaTheme="minorEastAsia"/>
          <w:b/>
          <w:bCs/>
          <w:color w:val="000000" w:themeColor="text1"/>
          <w:kern w:val="0"/>
          <w:sz w:val="24"/>
        </w:rPr>
        <w:t>8</w:t>
      </w:r>
      <w:r w:rsidRPr="009A7486">
        <w:rPr>
          <w:rFonts w:eastAsiaTheme="minorEastAsia"/>
          <w:b/>
          <w:bCs/>
          <w:color w:val="000000" w:themeColor="text1"/>
          <w:kern w:val="0"/>
          <w:sz w:val="24"/>
        </w:rPr>
        <w:t>本报告期及上年度可比期间的关联方交易</w:t>
      </w:r>
    </w:p>
    <w:p w:rsidR="006D141C" w:rsidRPr="009A7486" w:rsidRDefault="006D141C" w:rsidP="00CB1276">
      <w:pPr>
        <w:spacing w:line="360" w:lineRule="auto"/>
        <w:rPr>
          <w:rFonts w:eastAsiaTheme="minorEastAsia"/>
          <w:b/>
          <w:bCs/>
          <w:color w:val="000000" w:themeColor="text1"/>
          <w:kern w:val="0"/>
          <w:sz w:val="24"/>
        </w:rPr>
      </w:pPr>
      <w:r w:rsidRPr="009A7486">
        <w:rPr>
          <w:rFonts w:eastAsiaTheme="minorEastAsia"/>
          <w:b/>
          <w:bCs/>
          <w:color w:val="000000" w:themeColor="text1"/>
          <w:kern w:val="0"/>
          <w:sz w:val="24"/>
        </w:rPr>
        <w:t>7.4.8.</w:t>
      </w:r>
      <w:r w:rsidR="008A28D4" w:rsidRPr="009A7486">
        <w:rPr>
          <w:rFonts w:eastAsiaTheme="minorEastAsia"/>
          <w:b/>
          <w:bCs/>
          <w:color w:val="000000" w:themeColor="text1"/>
          <w:kern w:val="0"/>
          <w:sz w:val="24"/>
        </w:rPr>
        <w:t>1</w:t>
      </w:r>
      <w:r w:rsidRPr="009A7486">
        <w:rPr>
          <w:rFonts w:eastAsiaTheme="minorEastAsia"/>
          <w:b/>
          <w:bCs/>
          <w:color w:val="000000" w:themeColor="text1"/>
          <w:kern w:val="0"/>
          <w:sz w:val="24"/>
        </w:rPr>
        <w:t>通过关联方交易单元进行的交易</w:t>
      </w:r>
    </w:p>
    <w:p w:rsidR="006D141C" w:rsidRPr="009A7486" w:rsidRDefault="006D141C"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本基金本期及上年度可比期间无通过关联方交易单元进行的交易。</w:t>
      </w:r>
    </w:p>
    <w:p w:rsidR="006D141C" w:rsidRPr="009A7486" w:rsidRDefault="006D141C"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7.4.8.1.</w:t>
      </w:r>
      <w:r w:rsidR="008A28D4" w:rsidRPr="009A7486">
        <w:rPr>
          <w:rFonts w:eastAsiaTheme="minorEastAsia"/>
          <w:b/>
          <w:bCs/>
          <w:color w:val="000000" w:themeColor="text1"/>
          <w:kern w:val="0"/>
          <w:sz w:val="24"/>
        </w:rPr>
        <w:t>1</w:t>
      </w:r>
      <w:r w:rsidRPr="009A7486">
        <w:rPr>
          <w:rFonts w:eastAsiaTheme="minorEastAsia"/>
          <w:b/>
          <w:bCs/>
          <w:color w:val="000000" w:themeColor="text1"/>
          <w:kern w:val="0"/>
          <w:sz w:val="24"/>
        </w:rPr>
        <w:t>债券回购交易</w:t>
      </w:r>
    </w:p>
    <w:p w:rsidR="006D141C" w:rsidRPr="009A7486" w:rsidRDefault="00644AB5" w:rsidP="004B36C2">
      <w:pPr>
        <w:autoSpaceDE w:val="0"/>
        <w:autoSpaceDN w:val="0"/>
        <w:adjustRightInd w:val="0"/>
        <w:spacing w:before="29" w:line="360" w:lineRule="auto"/>
        <w:ind w:left="15"/>
        <w:jc w:val="right"/>
        <w:rPr>
          <w:rFonts w:eastAsiaTheme="minorEastAsia"/>
          <w:color w:val="000000" w:themeColor="text1"/>
          <w:kern w:val="0"/>
          <w:sz w:val="24"/>
        </w:rPr>
      </w:pPr>
      <w:r w:rsidRPr="009A7486">
        <w:rPr>
          <w:rFonts w:eastAsiaTheme="minorEastAsia"/>
          <w:color w:val="000000" w:themeColor="text1"/>
          <w:sz w:val="24"/>
        </w:rPr>
        <w:t>金额单位</w:t>
      </w:r>
      <w:r w:rsidR="006D141C" w:rsidRPr="009A7486">
        <w:rPr>
          <w:rFonts w:eastAsiaTheme="minorEastAsia"/>
          <w:bCs/>
          <w:color w:val="000000" w:themeColor="text1"/>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6"/>
        <w:gridCol w:w="2214"/>
        <w:gridCol w:w="1260"/>
        <w:gridCol w:w="2160"/>
        <w:gridCol w:w="1260"/>
      </w:tblGrid>
      <w:tr w:rsidR="002C233F" w:rsidRPr="009A7486" w:rsidTr="006D141C">
        <w:tc>
          <w:tcPr>
            <w:tcW w:w="2106"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autoSpaceDE w:val="0"/>
              <w:autoSpaceDN w:val="0"/>
              <w:spacing w:line="360" w:lineRule="auto"/>
              <w:jc w:val="center"/>
              <w:textAlignment w:val="bottom"/>
              <w:rPr>
                <w:rFonts w:eastAsiaTheme="minorEastAsia"/>
                <w:bCs/>
                <w:color w:val="000000" w:themeColor="text1"/>
                <w:sz w:val="24"/>
              </w:rPr>
            </w:pPr>
            <w:r w:rsidRPr="009A7486">
              <w:rPr>
                <w:rFonts w:eastAsiaTheme="minorEastAsia"/>
                <w:bCs/>
                <w:color w:val="000000" w:themeColor="text1"/>
                <w:sz w:val="24"/>
              </w:rPr>
              <w:t>关联方名称</w:t>
            </w:r>
          </w:p>
        </w:tc>
        <w:tc>
          <w:tcPr>
            <w:tcW w:w="3474" w:type="dxa"/>
            <w:gridSpan w:val="2"/>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本期</w:t>
            </w:r>
          </w:p>
          <w:p w:rsidR="006D141C" w:rsidRPr="009A7486" w:rsidRDefault="006D141C" w:rsidP="004B36C2">
            <w:pPr>
              <w:widowControl/>
              <w:autoSpaceDE w:val="0"/>
              <w:autoSpaceDN w:val="0"/>
              <w:spacing w:line="360" w:lineRule="auto"/>
              <w:ind w:right="-15"/>
              <w:jc w:val="center"/>
              <w:textAlignment w:val="bottom"/>
              <w:rPr>
                <w:rFonts w:eastAsiaTheme="minorEastAsia"/>
                <w:color w:val="000000" w:themeColor="text1"/>
                <w:sz w:val="24"/>
              </w:rPr>
            </w:pP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w:t>
            </w:r>
            <w:r w:rsidRPr="009A7486">
              <w:rPr>
                <w:rFonts w:eastAsiaTheme="minorEastAsia"/>
                <w:color w:val="000000" w:themeColor="text1"/>
                <w:sz w:val="24"/>
              </w:rPr>
              <w:t>月</w:t>
            </w:r>
            <w:r w:rsidRPr="009A7486">
              <w:rPr>
                <w:rFonts w:eastAsiaTheme="minorEastAsia"/>
                <w:color w:val="000000" w:themeColor="text1"/>
                <w:sz w:val="24"/>
              </w:rPr>
              <w:t>1</w:t>
            </w:r>
            <w:r w:rsidRPr="009A7486">
              <w:rPr>
                <w:rFonts w:eastAsiaTheme="minorEastAsia"/>
                <w:color w:val="000000" w:themeColor="text1"/>
                <w:sz w:val="24"/>
              </w:rPr>
              <w:t>日至</w:t>
            </w: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p>
        </w:tc>
        <w:tc>
          <w:tcPr>
            <w:tcW w:w="3420" w:type="dxa"/>
            <w:gridSpan w:val="2"/>
            <w:tcBorders>
              <w:top w:val="single" w:sz="4" w:space="0" w:color="000000"/>
              <w:left w:val="single" w:sz="4" w:space="0" w:color="000000"/>
              <w:bottom w:val="single" w:sz="4" w:space="0" w:color="000000"/>
              <w:right w:val="single" w:sz="4" w:space="0" w:color="000000"/>
            </w:tcBorders>
            <w:hideMark/>
          </w:tcPr>
          <w:p w:rsidR="006D141C" w:rsidRPr="009A7486" w:rsidRDefault="006D141C" w:rsidP="00CB6E70">
            <w:pPr>
              <w:tabs>
                <w:tab w:val="left" w:pos="555"/>
                <w:tab w:val="center" w:pos="1472"/>
              </w:tabs>
              <w:spacing w:line="360" w:lineRule="auto"/>
              <w:jc w:val="center"/>
              <w:rPr>
                <w:rFonts w:eastAsiaTheme="minorEastAsia"/>
                <w:color w:val="000000" w:themeColor="text1"/>
                <w:sz w:val="24"/>
              </w:rPr>
            </w:pPr>
            <w:r w:rsidRPr="009A7486">
              <w:rPr>
                <w:rFonts w:eastAsiaTheme="minorEastAsia"/>
                <w:color w:val="000000" w:themeColor="text1"/>
                <w:sz w:val="24"/>
              </w:rPr>
              <w:t>上年度可比期间</w:t>
            </w:r>
          </w:p>
          <w:p w:rsidR="006D141C" w:rsidRPr="009A7486" w:rsidRDefault="006D64C2" w:rsidP="004B36C2">
            <w:pPr>
              <w:widowControl/>
              <w:autoSpaceDE w:val="0"/>
              <w:autoSpaceDN w:val="0"/>
              <w:spacing w:line="360" w:lineRule="auto"/>
              <w:ind w:right="-15"/>
              <w:jc w:val="center"/>
              <w:textAlignment w:val="bottom"/>
              <w:rPr>
                <w:rFonts w:eastAsiaTheme="minorEastAsia"/>
                <w:color w:val="000000" w:themeColor="text1"/>
                <w:kern w:val="0"/>
                <w:sz w:val="24"/>
              </w:rPr>
            </w:pPr>
            <w:r w:rsidRPr="009A7486">
              <w:rPr>
                <w:rFonts w:eastAsiaTheme="minorEastAsia"/>
                <w:color w:val="000000" w:themeColor="text1"/>
                <w:sz w:val="24"/>
              </w:rPr>
              <w:t>2017</w:t>
            </w:r>
            <w:r w:rsidRPr="009A7486">
              <w:rPr>
                <w:rFonts w:eastAsiaTheme="minorEastAsia"/>
                <w:color w:val="000000" w:themeColor="text1"/>
                <w:sz w:val="24"/>
              </w:rPr>
              <w:t>年</w:t>
            </w:r>
            <w:r w:rsidRPr="009A7486">
              <w:rPr>
                <w:rFonts w:eastAsiaTheme="minorEastAsia"/>
                <w:color w:val="000000" w:themeColor="text1"/>
                <w:sz w:val="24"/>
              </w:rPr>
              <w:t>1</w:t>
            </w:r>
            <w:r w:rsidRPr="009A7486">
              <w:rPr>
                <w:rFonts w:eastAsiaTheme="minorEastAsia"/>
                <w:color w:val="000000" w:themeColor="text1"/>
                <w:sz w:val="24"/>
              </w:rPr>
              <w:t>月</w:t>
            </w:r>
            <w:r w:rsidRPr="009A7486">
              <w:rPr>
                <w:rFonts w:eastAsiaTheme="minorEastAsia"/>
                <w:color w:val="000000" w:themeColor="text1"/>
                <w:sz w:val="24"/>
              </w:rPr>
              <w:t>1</w:t>
            </w:r>
            <w:r w:rsidRPr="009A7486">
              <w:rPr>
                <w:rFonts w:eastAsiaTheme="minorEastAsia"/>
                <w:color w:val="000000" w:themeColor="text1"/>
                <w:sz w:val="24"/>
              </w:rPr>
              <w:t>日至</w:t>
            </w:r>
            <w:r w:rsidRPr="009A7486">
              <w:rPr>
                <w:rFonts w:eastAsiaTheme="minorEastAsia"/>
                <w:color w:val="000000" w:themeColor="text1"/>
                <w:sz w:val="24"/>
              </w:rPr>
              <w:t>2017</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p>
        </w:tc>
      </w:tr>
      <w:tr w:rsidR="002C233F" w:rsidRPr="009A7486"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widowControl/>
              <w:spacing w:line="360" w:lineRule="auto"/>
              <w:jc w:val="left"/>
              <w:rPr>
                <w:rFonts w:eastAsiaTheme="minorEastAsia"/>
                <w:bCs/>
                <w:color w:val="000000" w:themeColor="text1"/>
                <w:sz w:val="24"/>
              </w:rPr>
            </w:pPr>
          </w:p>
        </w:tc>
        <w:tc>
          <w:tcPr>
            <w:tcW w:w="2214"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CB6E70">
            <w:pPr>
              <w:spacing w:line="360" w:lineRule="auto"/>
              <w:jc w:val="center"/>
              <w:rPr>
                <w:rFonts w:eastAsiaTheme="minorEastAsia"/>
                <w:color w:val="000000" w:themeColor="text1"/>
                <w:sz w:val="24"/>
              </w:rPr>
            </w:pPr>
            <w:r w:rsidRPr="009A7486">
              <w:rPr>
                <w:rFonts w:eastAsiaTheme="minorEastAsia"/>
                <w:bCs/>
                <w:color w:val="000000" w:themeColor="text1"/>
                <w:sz w:val="24"/>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CB6E70">
            <w:pPr>
              <w:spacing w:line="360" w:lineRule="auto"/>
              <w:jc w:val="center"/>
              <w:rPr>
                <w:rFonts w:eastAsiaTheme="minorEastAsia"/>
                <w:color w:val="000000" w:themeColor="text1"/>
                <w:sz w:val="24"/>
              </w:rPr>
            </w:pPr>
            <w:r w:rsidRPr="009A7486">
              <w:rPr>
                <w:rFonts w:eastAsiaTheme="minorEastAsia"/>
                <w:color w:val="000000" w:themeColor="text1"/>
                <w:sz w:val="24"/>
              </w:rPr>
              <w:t>占当期债券回购成交总额的比例</w:t>
            </w:r>
          </w:p>
        </w:tc>
        <w:tc>
          <w:tcPr>
            <w:tcW w:w="216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CB6E70">
            <w:pPr>
              <w:pStyle w:val="a6"/>
              <w:widowControl/>
              <w:autoSpaceDE w:val="0"/>
              <w:autoSpaceDN w:val="0"/>
              <w:spacing w:line="360" w:lineRule="auto"/>
              <w:jc w:val="center"/>
              <w:textAlignment w:val="bottom"/>
              <w:rPr>
                <w:rFonts w:eastAsiaTheme="minorEastAsia"/>
                <w:bCs/>
                <w:color w:val="000000" w:themeColor="text1"/>
                <w:sz w:val="24"/>
                <w:szCs w:val="24"/>
              </w:rPr>
            </w:pPr>
            <w:r w:rsidRPr="009A7486">
              <w:rPr>
                <w:rFonts w:eastAsiaTheme="minorEastAsia"/>
                <w:bCs/>
                <w:color w:val="000000" w:themeColor="text1"/>
                <w:sz w:val="24"/>
                <w:szCs w:val="24"/>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CB6E70">
            <w:pPr>
              <w:autoSpaceDE w:val="0"/>
              <w:autoSpaceDN w:val="0"/>
              <w:spacing w:line="360" w:lineRule="auto"/>
              <w:jc w:val="center"/>
              <w:textAlignment w:val="bottom"/>
              <w:rPr>
                <w:rFonts w:eastAsiaTheme="minorEastAsia"/>
                <w:bCs/>
                <w:color w:val="000000" w:themeColor="text1"/>
                <w:sz w:val="24"/>
              </w:rPr>
            </w:pPr>
            <w:r w:rsidRPr="009A7486">
              <w:rPr>
                <w:rFonts w:eastAsiaTheme="minorEastAsia"/>
                <w:color w:val="000000" w:themeColor="text1"/>
                <w:sz w:val="24"/>
              </w:rPr>
              <w:t>占当期债券回购成交总额的比例</w:t>
            </w:r>
          </w:p>
        </w:tc>
      </w:tr>
      <w:tr w:rsidR="005C48D6">
        <w:tc>
          <w:tcPr>
            <w:tcW w:w="2106" w:type="dxa"/>
            <w:vAlign w:val="center"/>
          </w:tcPr>
          <w:p w:rsidR="005C48D6" w:rsidRDefault="008F0294">
            <w:pPr>
              <w:jc w:val="left"/>
            </w:pPr>
            <w:r>
              <w:rPr>
                <w:rFonts w:eastAsiaTheme="minorEastAsia"/>
                <w:color w:val="000000" w:themeColor="text1"/>
                <w:sz w:val="24"/>
              </w:rPr>
              <w:t>安信证券</w:t>
            </w:r>
          </w:p>
        </w:tc>
        <w:tc>
          <w:tcPr>
            <w:tcW w:w="2214" w:type="dxa"/>
            <w:vAlign w:val="center"/>
          </w:tcPr>
          <w:p w:rsidR="005C48D6" w:rsidRDefault="008F0294">
            <w:pPr>
              <w:jc w:val="right"/>
            </w:pPr>
            <w:r>
              <w:rPr>
                <w:rFonts w:eastAsiaTheme="minorEastAsia"/>
                <w:color w:val="000000" w:themeColor="text1"/>
                <w:sz w:val="24"/>
              </w:rPr>
              <w:t>6,000,000.00</w:t>
            </w:r>
          </w:p>
        </w:tc>
        <w:tc>
          <w:tcPr>
            <w:tcW w:w="1260" w:type="dxa"/>
            <w:vAlign w:val="center"/>
          </w:tcPr>
          <w:p w:rsidR="005C48D6" w:rsidRDefault="008F0294">
            <w:pPr>
              <w:jc w:val="right"/>
            </w:pPr>
            <w:r>
              <w:rPr>
                <w:rFonts w:eastAsiaTheme="minorEastAsia"/>
                <w:color w:val="000000" w:themeColor="text1"/>
                <w:sz w:val="24"/>
              </w:rPr>
              <w:t>1.90%</w:t>
            </w:r>
          </w:p>
        </w:tc>
        <w:tc>
          <w:tcPr>
            <w:tcW w:w="216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r>
    </w:tbl>
    <w:p w:rsidR="006D141C" w:rsidRPr="009A7486" w:rsidRDefault="006D141C" w:rsidP="002855D4">
      <w:pPr>
        <w:spacing w:beforeLines="100" w:line="360" w:lineRule="auto"/>
        <w:rPr>
          <w:rFonts w:eastAsiaTheme="minorEastAsia"/>
          <w:b/>
          <w:bCs/>
          <w:color w:val="000000" w:themeColor="text1"/>
          <w:kern w:val="0"/>
          <w:sz w:val="24"/>
        </w:rPr>
      </w:pPr>
      <w:r w:rsidRPr="009A7486">
        <w:rPr>
          <w:rFonts w:eastAsiaTheme="minorEastAsia"/>
          <w:b/>
          <w:bCs/>
          <w:color w:val="000000" w:themeColor="text1"/>
          <w:kern w:val="0"/>
          <w:sz w:val="24"/>
        </w:rPr>
        <w:t>7.4.8.</w:t>
      </w:r>
      <w:r w:rsidR="008A28D4" w:rsidRPr="009A7486">
        <w:rPr>
          <w:rFonts w:eastAsiaTheme="minorEastAsia"/>
          <w:b/>
          <w:bCs/>
          <w:color w:val="000000" w:themeColor="text1"/>
          <w:kern w:val="0"/>
          <w:sz w:val="24"/>
        </w:rPr>
        <w:t>2</w:t>
      </w:r>
      <w:r w:rsidRPr="009A7486">
        <w:rPr>
          <w:rFonts w:eastAsiaTheme="minorEastAsia"/>
          <w:b/>
          <w:bCs/>
          <w:color w:val="000000" w:themeColor="text1"/>
          <w:kern w:val="0"/>
          <w:sz w:val="24"/>
        </w:rPr>
        <w:t>关联方报酬</w:t>
      </w:r>
    </w:p>
    <w:p w:rsidR="006D141C" w:rsidRPr="009A7486" w:rsidRDefault="006D141C" w:rsidP="00CB1276">
      <w:pPr>
        <w:spacing w:line="360" w:lineRule="auto"/>
        <w:rPr>
          <w:rFonts w:eastAsiaTheme="minorEastAsia"/>
          <w:b/>
          <w:bCs/>
          <w:color w:val="000000" w:themeColor="text1"/>
          <w:kern w:val="0"/>
          <w:sz w:val="24"/>
        </w:rPr>
      </w:pPr>
      <w:r w:rsidRPr="009A7486">
        <w:rPr>
          <w:rFonts w:eastAsiaTheme="minorEastAsia"/>
          <w:b/>
          <w:bCs/>
          <w:color w:val="000000" w:themeColor="text1"/>
          <w:kern w:val="0"/>
          <w:sz w:val="24"/>
        </w:rPr>
        <w:t>7.4.8.2.</w:t>
      </w:r>
      <w:r w:rsidR="008A28D4" w:rsidRPr="009A7486">
        <w:rPr>
          <w:rFonts w:eastAsiaTheme="minorEastAsia"/>
          <w:b/>
          <w:bCs/>
          <w:color w:val="000000" w:themeColor="text1"/>
          <w:kern w:val="0"/>
          <w:sz w:val="24"/>
        </w:rPr>
        <w:t>1</w:t>
      </w:r>
      <w:r w:rsidRPr="009A7486">
        <w:rPr>
          <w:rFonts w:eastAsiaTheme="minorEastAsia"/>
          <w:b/>
          <w:bCs/>
          <w:color w:val="000000" w:themeColor="text1"/>
          <w:kern w:val="0"/>
          <w:sz w:val="24"/>
        </w:rPr>
        <w:t>基金管理费</w:t>
      </w:r>
    </w:p>
    <w:p w:rsidR="006D141C" w:rsidRPr="009A7486" w:rsidRDefault="005B4215" w:rsidP="004B36C2">
      <w:pPr>
        <w:autoSpaceDE w:val="0"/>
        <w:autoSpaceDN w:val="0"/>
        <w:adjustRightInd w:val="0"/>
        <w:spacing w:before="29" w:line="360" w:lineRule="auto"/>
        <w:ind w:left="15" w:right="210"/>
        <w:jc w:val="right"/>
        <w:rPr>
          <w:rFonts w:eastAsiaTheme="minorEastAsia"/>
          <w:color w:val="000000" w:themeColor="text1"/>
          <w:kern w:val="0"/>
          <w:sz w:val="24"/>
        </w:rPr>
      </w:pPr>
      <w:r w:rsidRPr="009A7486">
        <w:rPr>
          <w:rFonts w:eastAsiaTheme="minorEastAsia"/>
          <w:color w:val="000000" w:themeColor="text1"/>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77"/>
        <w:gridCol w:w="3111"/>
        <w:gridCol w:w="3112"/>
      </w:tblGrid>
      <w:tr w:rsidR="002C233F" w:rsidRPr="009A7486"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本期</w:t>
            </w:r>
          </w:p>
          <w:p w:rsidR="006D141C" w:rsidRPr="009A7486" w:rsidRDefault="006D141C" w:rsidP="004B36C2">
            <w:pPr>
              <w:widowControl/>
              <w:autoSpaceDE w:val="0"/>
              <w:autoSpaceDN w:val="0"/>
              <w:spacing w:line="360" w:lineRule="auto"/>
              <w:ind w:right="-15"/>
              <w:jc w:val="center"/>
              <w:textAlignment w:val="bottom"/>
              <w:rPr>
                <w:rFonts w:eastAsiaTheme="minorEastAsia"/>
                <w:color w:val="000000" w:themeColor="text1"/>
                <w:sz w:val="24"/>
              </w:rPr>
            </w:pP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w:t>
            </w:r>
            <w:r w:rsidRPr="009A7486">
              <w:rPr>
                <w:rFonts w:eastAsiaTheme="minorEastAsia"/>
                <w:color w:val="000000" w:themeColor="text1"/>
                <w:sz w:val="24"/>
              </w:rPr>
              <w:t>月</w:t>
            </w:r>
            <w:r w:rsidRPr="009A7486">
              <w:rPr>
                <w:rFonts w:eastAsiaTheme="minorEastAsia"/>
                <w:color w:val="000000" w:themeColor="text1"/>
                <w:sz w:val="24"/>
              </w:rPr>
              <w:t>1</w:t>
            </w:r>
            <w:r w:rsidRPr="009A7486">
              <w:rPr>
                <w:rFonts w:eastAsiaTheme="minorEastAsia"/>
                <w:color w:val="000000" w:themeColor="text1"/>
                <w:sz w:val="24"/>
              </w:rPr>
              <w:t>日至</w:t>
            </w: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上年度可比期间</w:t>
            </w:r>
          </w:p>
          <w:p w:rsidR="006D141C" w:rsidRPr="009A7486" w:rsidRDefault="006D64C2" w:rsidP="004B36C2">
            <w:pPr>
              <w:widowControl/>
              <w:autoSpaceDE w:val="0"/>
              <w:autoSpaceDN w:val="0"/>
              <w:spacing w:line="360" w:lineRule="auto"/>
              <w:ind w:right="-15"/>
              <w:jc w:val="center"/>
              <w:textAlignment w:val="bottom"/>
              <w:rPr>
                <w:rFonts w:eastAsiaTheme="minorEastAsia"/>
                <w:color w:val="000000" w:themeColor="text1"/>
                <w:kern w:val="0"/>
                <w:sz w:val="24"/>
              </w:rPr>
            </w:pPr>
            <w:r w:rsidRPr="009A7486">
              <w:rPr>
                <w:rFonts w:eastAsiaTheme="minorEastAsia"/>
                <w:color w:val="000000" w:themeColor="text1"/>
                <w:sz w:val="24"/>
              </w:rPr>
              <w:t>2017</w:t>
            </w:r>
            <w:r w:rsidRPr="009A7486">
              <w:rPr>
                <w:rFonts w:eastAsiaTheme="minorEastAsia"/>
                <w:color w:val="000000" w:themeColor="text1"/>
                <w:sz w:val="24"/>
              </w:rPr>
              <w:t>年</w:t>
            </w:r>
            <w:r w:rsidRPr="009A7486">
              <w:rPr>
                <w:rFonts w:eastAsiaTheme="minorEastAsia"/>
                <w:color w:val="000000" w:themeColor="text1"/>
                <w:sz w:val="24"/>
              </w:rPr>
              <w:t>1</w:t>
            </w:r>
            <w:r w:rsidRPr="009A7486">
              <w:rPr>
                <w:rFonts w:eastAsiaTheme="minorEastAsia"/>
                <w:color w:val="000000" w:themeColor="text1"/>
                <w:sz w:val="24"/>
              </w:rPr>
              <w:t>月</w:t>
            </w:r>
            <w:r w:rsidRPr="009A7486">
              <w:rPr>
                <w:rFonts w:eastAsiaTheme="minorEastAsia"/>
                <w:color w:val="000000" w:themeColor="text1"/>
                <w:sz w:val="24"/>
              </w:rPr>
              <w:t>1</w:t>
            </w:r>
            <w:r w:rsidRPr="009A7486">
              <w:rPr>
                <w:rFonts w:eastAsiaTheme="minorEastAsia"/>
                <w:color w:val="000000" w:themeColor="text1"/>
                <w:sz w:val="24"/>
              </w:rPr>
              <w:t>日至</w:t>
            </w:r>
            <w:r w:rsidRPr="009A7486">
              <w:rPr>
                <w:rFonts w:eastAsiaTheme="minorEastAsia"/>
                <w:color w:val="000000" w:themeColor="text1"/>
                <w:sz w:val="24"/>
              </w:rPr>
              <w:t>2017</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p>
        </w:tc>
      </w:tr>
      <w:tr w:rsidR="002C233F" w:rsidRPr="009A7486" w:rsidTr="006D141C">
        <w:tc>
          <w:tcPr>
            <w:tcW w:w="2777"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rPr>
                <w:rFonts w:eastAsiaTheme="minorEastAsia"/>
                <w:color w:val="000000" w:themeColor="text1"/>
                <w:sz w:val="24"/>
              </w:rPr>
            </w:pPr>
            <w:r w:rsidRPr="009A7486">
              <w:rPr>
                <w:rFonts w:eastAsiaTheme="minorEastAsia"/>
                <w:color w:val="000000" w:themeColor="text1"/>
                <w:sz w:val="24"/>
              </w:rPr>
              <w:t>当期发生的基金应支付的管理费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9A7486" w:rsidRDefault="006D141C" w:rsidP="004B36C2">
            <w:pPr>
              <w:spacing w:line="360" w:lineRule="auto"/>
              <w:jc w:val="right"/>
              <w:rPr>
                <w:rFonts w:eastAsiaTheme="minorEastAsia"/>
                <w:color w:val="000000" w:themeColor="text1"/>
                <w:sz w:val="24"/>
              </w:rPr>
            </w:pPr>
            <w:r w:rsidRPr="009A7486">
              <w:rPr>
                <w:rFonts w:eastAsiaTheme="minorEastAsia"/>
                <w:color w:val="000000" w:themeColor="text1"/>
                <w:sz w:val="24"/>
              </w:rPr>
              <w:t>55,554,463.03</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9A7486" w:rsidRDefault="006D141C" w:rsidP="004B36C2">
            <w:pPr>
              <w:spacing w:line="360" w:lineRule="auto"/>
              <w:jc w:val="right"/>
              <w:rPr>
                <w:rFonts w:eastAsiaTheme="minorEastAsia"/>
                <w:color w:val="000000" w:themeColor="text1"/>
                <w:sz w:val="24"/>
              </w:rPr>
            </w:pPr>
            <w:r w:rsidRPr="009A7486">
              <w:rPr>
                <w:rFonts w:eastAsiaTheme="minorEastAsia"/>
                <w:color w:val="000000" w:themeColor="text1"/>
                <w:sz w:val="24"/>
              </w:rPr>
              <w:t>58,431,794.50</w:t>
            </w:r>
          </w:p>
        </w:tc>
      </w:tr>
      <w:tr w:rsidR="002C233F" w:rsidRPr="009A7486" w:rsidTr="006D141C">
        <w:tc>
          <w:tcPr>
            <w:tcW w:w="2777"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rPr>
                <w:rFonts w:eastAsiaTheme="minorEastAsia"/>
                <w:color w:val="000000" w:themeColor="text1"/>
                <w:sz w:val="24"/>
              </w:rPr>
            </w:pPr>
            <w:r w:rsidRPr="009A7486">
              <w:rPr>
                <w:rFonts w:eastAsiaTheme="minorEastAsia"/>
                <w:color w:val="000000" w:themeColor="text1"/>
                <w:sz w:val="24"/>
              </w:rPr>
              <w:t>其中：支付销售机构的客户维护费</w:t>
            </w:r>
          </w:p>
        </w:tc>
        <w:tc>
          <w:tcPr>
            <w:tcW w:w="3111" w:type="dxa"/>
            <w:tcBorders>
              <w:top w:val="single" w:sz="4" w:space="0" w:color="000000"/>
              <w:left w:val="single" w:sz="4" w:space="0" w:color="000000"/>
              <w:bottom w:val="single" w:sz="4" w:space="0" w:color="000000"/>
              <w:right w:val="single" w:sz="4" w:space="0" w:color="000000"/>
            </w:tcBorders>
            <w:vAlign w:val="bottom"/>
            <w:hideMark/>
          </w:tcPr>
          <w:p w:rsidR="006D141C" w:rsidRPr="009A7486" w:rsidRDefault="006D141C" w:rsidP="004B36C2">
            <w:pPr>
              <w:spacing w:line="360" w:lineRule="auto"/>
              <w:jc w:val="right"/>
              <w:rPr>
                <w:rFonts w:eastAsiaTheme="minorEastAsia"/>
                <w:color w:val="000000" w:themeColor="text1"/>
                <w:sz w:val="24"/>
              </w:rPr>
            </w:pPr>
            <w:r w:rsidRPr="009A7486">
              <w:rPr>
                <w:rFonts w:eastAsiaTheme="minorEastAsia"/>
                <w:color w:val="000000" w:themeColor="text1"/>
                <w:sz w:val="24"/>
              </w:rPr>
              <w:t>4,217,228.70</w:t>
            </w:r>
          </w:p>
        </w:tc>
        <w:tc>
          <w:tcPr>
            <w:tcW w:w="3112" w:type="dxa"/>
            <w:tcBorders>
              <w:top w:val="single" w:sz="4" w:space="0" w:color="000000"/>
              <w:left w:val="single" w:sz="4" w:space="0" w:color="000000"/>
              <w:bottom w:val="single" w:sz="4" w:space="0" w:color="000000"/>
              <w:right w:val="single" w:sz="4" w:space="0" w:color="000000"/>
            </w:tcBorders>
            <w:vAlign w:val="bottom"/>
            <w:hideMark/>
          </w:tcPr>
          <w:p w:rsidR="006D141C" w:rsidRPr="009A7486" w:rsidRDefault="006D141C" w:rsidP="004B36C2">
            <w:pPr>
              <w:spacing w:line="360" w:lineRule="auto"/>
              <w:jc w:val="right"/>
              <w:rPr>
                <w:rFonts w:eastAsiaTheme="minorEastAsia"/>
                <w:color w:val="000000" w:themeColor="text1"/>
                <w:sz w:val="24"/>
              </w:rPr>
            </w:pPr>
            <w:r w:rsidRPr="009A7486">
              <w:rPr>
                <w:rFonts w:eastAsiaTheme="minorEastAsia"/>
                <w:color w:val="000000" w:themeColor="text1"/>
                <w:sz w:val="24"/>
              </w:rPr>
              <w:t>3,272,428.43</w:t>
            </w:r>
          </w:p>
        </w:tc>
      </w:tr>
    </w:tbl>
    <w:p w:rsidR="006D141C" w:rsidRPr="009A7486" w:rsidRDefault="006D141C"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注：支付基金管理人国投瑞银的管理人报酬按前一日基金资产净值</w:t>
      </w:r>
      <w:r w:rsidRPr="009A7486">
        <w:rPr>
          <w:rFonts w:eastAsiaTheme="minorEastAsia"/>
          <w:color w:val="000000" w:themeColor="text1"/>
          <w:kern w:val="0"/>
          <w:sz w:val="24"/>
        </w:rPr>
        <w:t>0.33%</w:t>
      </w:r>
      <w:r w:rsidRPr="009A7486">
        <w:rPr>
          <w:rFonts w:eastAsiaTheme="minorEastAsia"/>
          <w:color w:val="000000" w:themeColor="text1"/>
          <w:kern w:val="0"/>
          <w:sz w:val="24"/>
        </w:rPr>
        <w:t>的年费率计提，逐日累计至每月月底，按月支付。其计算公式为：日管理人报酬＝前一日基金资产净值</w:t>
      </w:r>
      <w:r w:rsidRPr="009A7486">
        <w:rPr>
          <w:rFonts w:eastAsiaTheme="minorEastAsia"/>
          <w:color w:val="000000" w:themeColor="text1"/>
          <w:kern w:val="0"/>
          <w:sz w:val="24"/>
        </w:rPr>
        <w:t xml:space="preserve">×0.33% / </w:t>
      </w:r>
      <w:r w:rsidRPr="009A7486">
        <w:rPr>
          <w:rFonts w:eastAsiaTheme="minorEastAsia"/>
          <w:color w:val="000000" w:themeColor="text1"/>
          <w:kern w:val="0"/>
          <w:sz w:val="24"/>
        </w:rPr>
        <w:t>当年天数。</w:t>
      </w:r>
    </w:p>
    <w:p w:rsidR="006D141C" w:rsidRPr="009A7486" w:rsidRDefault="006D141C" w:rsidP="002855D4">
      <w:pPr>
        <w:autoSpaceDE w:val="0"/>
        <w:autoSpaceDN w:val="0"/>
        <w:adjustRightInd w:val="0"/>
        <w:spacing w:beforeLines="100" w:line="360" w:lineRule="auto"/>
        <w:jc w:val="left"/>
        <w:rPr>
          <w:rFonts w:eastAsiaTheme="minorEastAsia"/>
          <w:b/>
          <w:color w:val="000000" w:themeColor="text1"/>
          <w:kern w:val="0"/>
          <w:sz w:val="24"/>
        </w:rPr>
      </w:pPr>
      <w:r w:rsidRPr="009A7486">
        <w:rPr>
          <w:rFonts w:eastAsiaTheme="minorEastAsia"/>
          <w:b/>
          <w:bCs/>
          <w:color w:val="000000" w:themeColor="text1"/>
          <w:kern w:val="0"/>
          <w:sz w:val="24"/>
        </w:rPr>
        <w:t>7.4.8.2.</w:t>
      </w:r>
      <w:r w:rsidR="008A28D4" w:rsidRPr="009A7486">
        <w:rPr>
          <w:rFonts w:eastAsiaTheme="minorEastAsia"/>
          <w:b/>
          <w:bCs/>
          <w:color w:val="000000" w:themeColor="text1"/>
          <w:kern w:val="0"/>
          <w:sz w:val="24"/>
        </w:rPr>
        <w:t>2</w:t>
      </w:r>
      <w:r w:rsidRPr="009A7486">
        <w:rPr>
          <w:rFonts w:eastAsiaTheme="minorEastAsia"/>
          <w:b/>
          <w:color w:val="000000" w:themeColor="text1"/>
          <w:kern w:val="0"/>
          <w:sz w:val="24"/>
        </w:rPr>
        <w:t>基金托管费</w:t>
      </w:r>
    </w:p>
    <w:p w:rsidR="006D141C" w:rsidRPr="009A7486" w:rsidRDefault="005B4215" w:rsidP="004B36C2">
      <w:pPr>
        <w:autoSpaceDE w:val="0"/>
        <w:autoSpaceDN w:val="0"/>
        <w:adjustRightInd w:val="0"/>
        <w:spacing w:before="29" w:line="360" w:lineRule="auto"/>
        <w:ind w:left="15" w:right="210"/>
        <w:jc w:val="right"/>
        <w:rPr>
          <w:rFonts w:eastAsiaTheme="minorEastAsia"/>
          <w:color w:val="000000" w:themeColor="text1"/>
          <w:kern w:val="0"/>
          <w:sz w:val="24"/>
        </w:rPr>
      </w:pPr>
      <w:r w:rsidRPr="009A7486">
        <w:rPr>
          <w:rFonts w:eastAsiaTheme="minorEastAsia"/>
          <w:color w:val="000000" w:themeColor="text1"/>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77"/>
        <w:gridCol w:w="3111"/>
        <w:gridCol w:w="3112"/>
      </w:tblGrid>
      <w:tr w:rsidR="002C233F" w:rsidRPr="009A7486"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项目</w:t>
            </w:r>
          </w:p>
        </w:tc>
        <w:tc>
          <w:tcPr>
            <w:tcW w:w="3111"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本期</w:t>
            </w:r>
          </w:p>
          <w:p w:rsidR="006D141C" w:rsidRPr="009A7486" w:rsidRDefault="006D141C" w:rsidP="004B36C2">
            <w:pPr>
              <w:widowControl/>
              <w:autoSpaceDE w:val="0"/>
              <w:autoSpaceDN w:val="0"/>
              <w:spacing w:line="360" w:lineRule="auto"/>
              <w:ind w:right="-15"/>
              <w:jc w:val="center"/>
              <w:textAlignment w:val="bottom"/>
              <w:rPr>
                <w:rFonts w:eastAsiaTheme="minorEastAsia"/>
                <w:color w:val="000000" w:themeColor="text1"/>
                <w:sz w:val="24"/>
              </w:rPr>
            </w:pP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w:t>
            </w:r>
            <w:r w:rsidRPr="009A7486">
              <w:rPr>
                <w:rFonts w:eastAsiaTheme="minorEastAsia"/>
                <w:color w:val="000000" w:themeColor="text1"/>
                <w:sz w:val="24"/>
              </w:rPr>
              <w:t>月</w:t>
            </w:r>
            <w:r w:rsidRPr="009A7486">
              <w:rPr>
                <w:rFonts w:eastAsiaTheme="minorEastAsia"/>
                <w:color w:val="000000" w:themeColor="text1"/>
                <w:sz w:val="24"/>
              </w:rPr>
              <w:t>1</w:t>
            </w:r>
            <w:r w:rsidRPr="009A7486">
              <w:rPr>
                <w:rFonts w:eastAsiaTheme="minorEastAsia"/>
                <w:color w:val="000000" w:themeColor="text1"/>
                <w:sz w:val="24"/>
              </w:rPr>
              <w:t>日至</w:t>
            </w: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p>
        </w:tc>
        <w:tc>
          <w:tcPr>
            <w:tcW w:w="3112"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上年度可比期间</w:t>
            </w:r>
          </w:p>
          <w:p w:rsidR="006D141C" w:rsidRPr="009A7486" w:rsidRDefault="006D64C2" w:rsidP="004B36C2">
            <w:pPr>
              <w:widowControl/>
              <w:autoSpaceDE w:val="0"/>
              <w:autoSpaceDN w:val="0"/>
              <w:spacing w:line="360" w:lineRule="auto"/>
              <w:ind w:right="-15"/>
              <w:jc w:val="center"/>
              <w:textAlignment w:val="bottom"/>
              <w:rPr>
                <w:rFonts w:eastAsiaTheme="minorEastAsia"/>
                <w:color w:val="000000" w:themeColor="text1"/>
                <w:kern w:val="0"/>
                <w:sz w:val="24"/>
              </w:rPr>
            </w:pPr>
            <w:r w:rsidRPr="009A7486">
              <w:rPr>
                <w:rFonts w:eastAsiaTheme="minorEastAsia"/>
                <w:color w:val="000000" w:themeColor="text1"/>
                <w:sz w:val="24"/>
              </w:rPr>
              <w:t>2017</w:t>
            </w:r>
            <w:r w:rsidRPr="009A7486">
              <w:rPr>
                <w:rFonts w:eastAsiaTheme="minorEastAsia"/>
                <w:color w:val="000000" w:themeColor="text1"/>
                <w:sz w:val="24"/>
              </w:rPr>
              <w:t>年</w:t>
            </w:r>
            <w:r w:rsidRPr="009A7486">
              <w:rPr>
                <w:rFonts w:eastAsiaTheme="minorEastAsia"/>
                <w:color w:val="000000" w:themeColor="text1"/>
                <w:sz w:val="24"/>
              </w:rPr>
              <w:t>1</w:t>
            </w:r>
            <w:r w:rsidRPr="009A7486">
              <w:rPr>
                <w:rFonts w:eastAsiaTheme="minorEastAsia"/>
                <w:color w:val="000000" w:themeColor="text1"/>
                <w:sz w:val="24"/>
              </w:rPr>
              <w:t>月</w:t>
            </w:r>
            <w:r w:rsidRPr="009A7486">
              <w:rPr>
                <w:rFonts w:eastAsiaTheme="minorEastAsia"/>
                <w:color w:val="000000" w:themeColor="text1"/>
                <w:sz w:val="24"/>
              </w:rPr>
              <w:t>1</w:t>
            </w:r>
            <w:r w:rsidRPr="009A7486">
              <w:rPr>
                <w:rFonts w:eastAsiaTheme="minorEastAsia"/>
                <w:color w:val="000000" w:themeColor="text1"/>
                <w:sz w:val="24"/>
              </w:rPr>
              <w:t>日至</w:t>
            </w:r>
            <w:r w:rsidRPr="009A7486">
              <w:rPr>
                <w:rFonts w:eastAsiaTheme="minorEastAsia"/>
                <w:color w:val="000000" w:themeColor="text1"/>
                <w:sz w:val="24"/>
              </w:rPr>
              <w:t>2017</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p>
        </w:tc>
      </w:tr>
      <w:tr w:rsidR="002C233F" w:rsidRPr="009A7486" w:rsidTr="006D141C">
        <w:tc>
          <w:tcPr>
            <w:tcW w:w="2777"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rPr>
                <w:rFonts w:eastAsiaTheme="minorEastAsia"/>
                <w:color w:val="000000" w:themeColor="text1"/>
                <w:sz w:val="24"/>
              </w:rPr>
            </w:pPr>
            <w:r w:rsidRPr="009A7486">
              <w:rPr>
                <w:rFonts w:eastAsiaTheme="minorEastAsia"/>
                <w:color w:val="000000" w:themeColor="text1"/>
                <w:sz w:val="24"/>
              </w:rPr>
              <w:t>当期发生的基金应支付的托管费</w:t>
            </w:r>
          </w:p>
        </w:tc>
        <w:tc>
          <w:tcPr>
            <w:tcW w:w="3111"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right"/>
              <w:rPr>
                <w:rFonts w:eastAsiaTheme="minorEastAsia"/>
                <w:color w:val="000000" w:themeColor="text1"/>
                <w:kern w:val="0"/>
                <w:sz w:val="24"/>
              </w:rPr>
            </w:pPr>
            <w:r w:rsidRPr="009A7486">
              <w:rPr>
                <w:rFonts w:eastAsiaTheme="minorEastAsia"/>
                <w:color w:val="000000" w:themeColor="text1"/>
                <w:sz w:val="24"/>
              </w:rPr>
              <w:t>16,834,685.79</w:t>
            </w:r>
          </w:p>
        </w:tc>
        <w:tc>
          <w:tcPr>
            <w:tcW w:w="3112"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right"/>
              <w:rPr>
                <w:rFonts w:eastAsiaTheme="minorEastAsia"/>
                <w:color w:val="000000" w:themeColor="text1"/>
                <w:sz w:val="24"/>
              </w:rPr>
            </w:pPr>
            <w:r w:rsidRPr="009A7486">
              <w:rPr>
                <w:rFonts w:eastAsiaTheme="minorEastAsia"/>
                <w:color w:val="000000" w:themeColor="text1"/>
                <w:sz w:val="24"/>
              </w:rPr>
              <w:t>17,706,604.40</w:t>
            </w:r>
          </w:p>
        </w:tc>
      </w:tr>
    </w:tbl>
    <w:p w:rsidR="006D141C" w:rsidRPr="009A7486" w:rsidRDefault="006D141C"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注：支付基金托管人中国工商银行的托管费按前一日基金资产净值</w:t>
      </w:r>
      <w:r w:rsidRPr="009A7486">
        <w:rPr>
          <w:rFonts w:eastAsiaTheme="minorEastAsia"/>
          <w:color w:val="000000" w:themeColor="text1"/>
          <w:kern w:val="0"/>
          <w:sz w:val="24"/>
        </w:rPr>
        <w:t>0.10%</w:t>
      </w:r>
      <w:r w:rsidRPr="009A7486">
        <w:rPr>
          <w:rFonts w:eastAsiaTheme="minorEastAsia"/>
          <w:color w:val="000000" w:themeColor="text1"/>
          <w:kern w:val="0"/>
          <w:sz w:val="24"/>
        </w:rPr>
        <w:t>的年费率计提，逐日累计至每月月底，按月支付。其计算公式为：日托管费＝前一日基金资产净值</w:t>
      </w:r>
      <w:r w:rsidRPr="009A7486">
        <w:rPr>
          <w:rFonts w:eastAsiaTheme="minorEastAsia"/>
          <w:color w:val="000000" w:themeColor="text1"/>
          <w:kern w:val="0"/>
          <w:sz w:val="24"/>
        </w:rPr>
        <w:t xml:space="preserve">×0.10% / </w:t>
      </w:r>
      <w:r w:rsidRPr="009A7486">
        <w:rPr>
          <w:rFonts w:eastAsiaTheme="minorEastAsia"/>
          <w:color w:val="000000" w:themeColor="text1"/>
          <w:kern w:val="0"/>
          <w:sz w:val="24"/>
        </w:rPr>
        <w:t>当年天数。</w:t>
      </w:r>
    </w:p>
    <w:p w:rsidR="006D141C" w:rsidRPr="009A7486" w:rsidRDefault="006D141C" w:rsidP="002855D4">
      <w:pPr>
        <w:autoSpaceDE w:val="0"/>
        <w:autoSpaceDN w:val="0"/>
        <w:adjustRightInd w:val="0"/>
        <w:spacing w:beforeLines="100"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7.4.8.2.</w:t>
      </w:r>
      <w:r w:rsidR="008A28D4" w:rsidRPr="009A7486">
        <w:rPr>
          <w:rFonts w:eastAsiaTheme="minorEastAsia"/>
          <w:b/>
          <w:bCs/>
          <w:color w:val="000000" w:themeColor="text1"/>
          <w:kern w:val="0"/>
          <w:sz w:val="24"/>
        </w:rPr>
        <w:t>3</w:t>
      </w:r>
      <w:r w:rsidRPr="009A7486">
        <w:rPr>
          <w:rFonts w:eastAsiaTheme="minorEastAsia"/>
          <w:b/>
          <w:bCs/>
          <w:color w:val="000000" w:themeColor="text1"/>
          <w:kern w:val="0"/>
          <w:sz w:val="24"/>
        </w:rPr>
        <w:t>销售服务费</w:t>
      </w:r>
    </w:p>
    <w:p w:rsidR="00A40448" w:rsidRPr="009A7486" w:rsidRDefault="00A40448" w:rsidP="00A40448">
      <w:pPr>
        <w:pStyle w:val="21"/>
        <w:tabs>
          <w:tab w:val="left" w:pos="4920"/>
        </w:tabs>
        <w:spacing w:line="360" w:lineRule="auto"/>
        <w:ind w:firstLineChars="0" w:firstLine="0"/>
        <w:jc w:val="right"/>
        <w:rPr>
          <w:rFonts w:ascii="Times New Roman" w:eastAsiaTheme="minorEastAsia" w:hAnsi="Times New Roman"/>
          <w:color w:val="000000" w:themeColor="text1"/>
        </w:rPr>
      </w:pPr>
      <w:r w:rsidRPr="009A7486">
        <w:rPr>
          <w:rFonts w:ascii="Times New Roman" w:eastAsiaTheme="minorEastAsia" w:hAnsi="Times New Roman"/>
          <w:color w:val="000000" w:themeColor="text1"/>
        </w:rPr>
        <w:t>单位：人民币元</w:t>
      </w:r>
    </w:p>
    <w:tbl>
      <w:tblPr>
        <w:tblW w:w="95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10"/>
        <w:gridCol w:w="1862"/>
        <w:gridCol w:w="2282"/>
        <w:gridCol w:w="3247"/>
      </w:tblGrid>
      <w:tr w:rsidR="00A40448" w:rsidRPr="009A7486" w:rsidTr="001376B9">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spacing w:line="360" w:lineRule="auto"/>
              <w:ind w:leftChars="-51" w:left="-107" w:rightChars="-51" w:right="-107"/>
              <w:jc w:val="center"/>
              <w:rPr>
                <w:rFonts w:eastAsiaTheme="minorEastAsia"/>
                <w:color w:val="000000" w:themeColor="text1"/>
                <w:sz w:val="24"/>
              </w:rPr>
            </w:pPr>
            <w:r w:rsidRPr="009A7486">
              <w:rPr>
                <w:rFonts w:eastAsiaTheme="minorEastAsia"/>
                <w:color w:val="000000" w:themeColor="text1"/>
                <w:sz w:val="24"/>
              </w:rPr>
              <w:t>获得销售服务费的各关联方名称</w:t>
            </w: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本期</w:t>
            </w:r>
          </w:p>
          <w:p w:rsidR="00A40448" w:rsidRPr="009A7486"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w:t>
            </w:r>
            <w:r w:rsidRPr="009A7486">
              <w:rPr>
                <w:rFonts w:eastAsiaTheme="minorEastAsia"/>
                <w:color w:val="000000" w:themeColor="text1"/>
                <w:sz w:val="24"/>
              </w:rPr>
              <w:t>月</w:t>
            </w:r>
            <w:r w:rsidRPr="009A7486">
              <w:rPr>
                <w:rFonts w:eastAsiaTheme="minorEastAsia"/>
                <w:color w:val="000000" w:themeColor="text1"/>
                <w:sz w:val="24"/>
              </w:rPr>
              <w:t>1</w:t>
            </w:r>
            <w:r w:rsidRPr="009A7486">
              <w:rPr>
                <w:rFonts w:eastAsiaTheme="minorEastAsia"/>
                <w:color w:val="000000" w:themeColor="text1"/>
                <w:sz w:val="24"/>
              </w:rPr>
              <w:t>日至</w:t>
            </w: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p>
        </w:tc>
      </w:tr>
      <w:tr w:rsidR="00A40448" w:rsidRPr="009A7486" w:rsidTr="001376B9">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spacing w:line="360" w:lineRule="auto"/>
              <w:jc w:val="left"/>
              <w:rPr>
                <w:rFonts w:eastAsiaTheme="minorEastAsia"/>
                <w:color w:val="000000" w:themeColor="text1"/>
                <w:sz w:val="24"/>
              </w:rPr>
            </w:pPr>
          </w:p>
        </w:tc>
        <w:tc>
          <w:tcPr>
            <w:tcW w:w="7391" w:type="dxa"/>
            <w:gridSpan w:val="3"/>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当期发生的基金应支付的销售服务费</w:t>
            </w:r>
          </w:p>
        </w:tc>
      </w:tr>
      <w:tr w:rsidR="00A40448" w:rsidRPr="009A7486" w:rsidTr="001376B9">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spacing w:line="360" w:lineRule="auto"/>
              <w:jc w:val="left"/>
              <w:rPr>
                <w:rFonts w:eastAsiaTheme="minorEastAsia"/>
                <w:color w:val="000000" w:themeColor="text1"/>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spacing w:line="360" w:lineRule="auto"/>
              <w:ind w:leftChars="-51" w:left="-107" w:rightChars="-51" w:right="-107"/>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spacing w:line="360" w:lineRule="auto"/>
              <w:ind w:leftChars="-51" w:left="-107" w:rightChars="-51" w:right="-107"/>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p>
        </w:tc>
        <w:tc>
          <w:tcPr>
            <w:tcW w:w="3247" w:type="dxa"/>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spacing w:line="360" w:lineRule="auto"/>
              <w:ind w:leftChars="-51" w:left="-107" w:rightChars="-51" w:right="-107"/>
              <w:jc w:val="center"/>
              <w:rPr>
                <w:rFonts w:eastAsiaTheme="minorEastAsia"/>
                <w:color w:val="000000" w:themeColor="text1"/>
                <w:sz w:val="24"/>
              </w:rPr>
            </w:pPr>
            <w:r w:rsidRPr="009A7486">
              <w:rPr>
                <w:rFonts w:eastAsiaTheme="minorEastAsia"/>
                <w:color w:val="000000" w:themeColor="text1"/>
                <w:sz w:val="24"/>
              </w:rPr>
              <w:t>合计</w:t>
            </w:r>
          </w:p>
        </w:tc>
      </w:tr>
      <w:tr w:rsidR="005C48D6">
        <w:tc>
          <w:tcPr>
            <w:tcW w:w="2110" w:type="dxa"/>
            <w:vAlign w:val="center"/>
          </w:tcPr>
          <w:p w:rsidR="005C48D6" w:rsidRDefault="008F0294">
            <w:pPr>
              <w:jc w:val="left"/>
            </w:pPr>
            <w:r>
              <w:rPr>
                <w:rFonts w:eastAsiaTheme="minorEastAsia"/>
                <w:color w:val="000000" w:themeColor="text1"/>
                <w:sz w:val="24"/>
              </w:rPr>
              <w:t>安信证券</w:t>
            </w:r>
          </w:p>
        </w:tc>
        <w:tc>
          <w:tcPr>
            <w:tcW w:w="1862" w:type="dxa"/>
            <w:vAlign w:val="center"/>
          </w:tcPr>
          <w:p w:rsidR="005C48D6" w:rsidRDefault="008F0294">
            <w:pPr>
              <w:jc w:val="right"/>
            </w:pPr>
            <w:r>
              <w:rPr>
                <w:rFonts w:eastAsiaTheme="minorEastAsia"/>
                <w:color w:val="000000" w:themeColor="text1"/>
                <w:sz w:val="24"/>
              </w:rPr>
              <w:t>6,885.65</w:t>
            </w:r>
          </w:p>
        </w:tc>
        <w:tc>
          <w:tcPr>
            <w:tcW w:w="2282" w:type="dxa"/>
            <w:vAlign w:val="center"/>
          </w:tcPr>
          <w:p w:rsidR="005C48D6" w:rsidRDefault="008F0294">
            <w:pPr>
              <w:jc w:val="right"/>
            </w:pPr>
            <w:r>
              <w:rPr>
                <w:rFonts w:eastAsiaTheme="minorEastAsia"/>
                <w:color w:val="000000" w:themeColor="text1"/>
                <w:sz w:val="24"/>
              </w:rPr>
              <w:t>5.76</w:t>
            </w:r>
          </w:p>
        </w:tc>
        <w:tc>
          <w:tcPr>
            <w:tcW w:w="3247" w:type="dxa"/>
            <w:vAlign w:val="center"/>
          </w:tcPr>
          <w:p w:rsidR="005C48D6" w:rsidRDefault="008F0294">
            <w:pPr>
              <w:jc w:val="right"/>
            </w:pPr>
            <w:r>
              <w:rPr>
                <w:rFonts w:eastAsiaTheme="minorEastAsia"/>
                <w:color w:val="000000" w:themeColor="text1"/>
                <w:sz w:val="24"/>
              </w:rPr>
              <w:t>6,891.41</w:t>
            </w:r>
          </w:p>
        </w:tc>
      </w:tr>
      <w:tr w:rsidR="005C48D6">
        <w:tc>
          <w:tcPr>
            <w:tcW w:w="2110" w:type="dxa"/>
            <w:vAlign w:val="center"/>
          </w:tcPr>
          <w:p w:rsidR="005C48D6" w:rsidRDefault="008F0294">
            <w:pPr>
              <w:jc w:val="left"/>
            </w:pPr>
            <w:r>
              <w:rPr>
                <w:rFonts w:eastAsiaTheme="minorEastAsia"/>
                <w:color w:val="000000" w:themeColor="text1"/>
                <w:sz w:val="24"/>
              </w:rPr>
              <w:t>中国工商银行</w:t>
            </w:r>
          </w:p>
        </w:tc>
        <w:tc>
          <w:tcPr>
            <w:tcW w:w="1862" w:type="dxa"/>
            <w:vAlign w:val="center"/>
          </w:tcPr>
          <w:p w:rsidR="005C48D6" w:rsidRDefault="008F0294">
            <w:pPr>
              <w:jc w:val="right"/>
            </w:pPr>
            <w:r>
              <w:rPr>
                <w:rFonts w:eastAsiaTheme="minorEastAsia"/>
                <w:color w:val="000000" w:themeColor="text1"/>
                <w:sz w:val="24"/>
              </w:rPr>
              <w:t>420,067.49</w:t>
            </w:r>
          </w:p>
        </w:tc>
        <w:tc>
          <w:tcPr>
            <w:tcW w:w="2282" w:type="dxa"/>
            <w:vAlign w:val="center"/>
          </w:tcPr>
          <w:p w:rsidR="005C48D6" w:rsidRDefault="008F0294">
            <w:pPr>
              <w:jc w:val="right"/>
            </w:pPr>
            <w:r>
              <w:rPr>
                <w:rFonts w:eastAsiaTheme="minorEastAsia"/>
                <w:color w:val="000000" w:themeColor="text1"/>
                <w:sz w:val="24"/>
              </w:rPr>
              <w:t>5,517.69</w:t>
            </w:r>
          </w:p>
        </w:tc>
        <w:tc>
          <w:tcPr>
            <w:tcW w:w="3247" w:type="dxa"/>
            <w:vAlign w:val="center"/>
          </w:tcPr>
          <w:p w:rsidR="005C48D6" w:rsidRDefault="008F0294">
            <w:pPr>
              <w:jc w:val="right"/>
            </w:pPr>
            <w:r>
              <w:rPr>
                <w:rFonts w:eastAsiaTheme="minorEastAsia"/>
                <w:color w:val="000000" w:themeColor="text1"/>
                <w:sz w:val="24"/>
              </w:rPr>
              <w:t>425,585.18</w:t>
            </w:r>
          </w:p>
        </w:tc>
      </w:tr>
      <w:tr w:rsidR="005C48D6">
        <w:tc>
          <w:tcPr>
            <w:tcW w:w="2110" w:type="dxa"/>
            <w:vAlign w:val="center"/>
          </w:tcPr>
          <w:p w:rsidR="005C48D6" w:rsidRDefault="008F0294">
            <w:pPr>
              <w:jc w:val="left"/>
            </w:pPr>
            <w:r>
              <w:rPr>
                <w:rFonts w:eastAsiaTheme="minorEastAsia"/>
                <w:color w:val="000000" w:themeColor="text1"/>
                <w:sz w:val="24"/>
              </w:rPr>
              <w:t>国投瑞银</w:t>
            </w:r>
          </w:p>
        </w:tc>
        <w:tc>
          <w:tcPr>
            <w:tcW w:w="1862" w:type="dxa"/>
            <w:vAlign w:val="center"/>
          </w:tcPr>
          <w:p w:rsidR="005C48D6" w:rsidRDefault="008F0294">
            <w:pPr>
              <w:jc w:val="right"/>
            </w:pPr>
            <w:r>
              <w:rPr>
                <w:rFonts w:eastAsiaTheme="minorEastAsia"/>
                <w:color w:val="000000" w:themeColor="text1"/>
                <w:sz w:val="24"/>
              </w:rPr>
              <w:t>103,158.62</w:t>
            </w:r>
          </w:p>
        </w:tc>
        <w:tc>
          <w:tcPr>
            <w:tcW w:w="2282" w:type="dxa"/>
            <w:vAlign w:val="center"/>
          </w:tcPr>
          <w:p w:rsidR="005C48D6" w:rsidRDefault="008F0294">
            <w:pPr>
              <w:jc w:val="right"/>
            </w:pPr>
            <w:r>
              <w:rPr>
                <w:rFonts w:eastAsiaTheme="minorEastAsia"/>
                <w:color w:val="000000" w:themeColor="text1"/>
                <w:sz w:val="24"/>
              </w:rPr>
              <w:t>1,415,105.22</w:t>
            </w:r>
          </w:p>
        </w:tc>
        <w:tc>
          <w:tcPr>
            <w:tcW w:w="3247" w:type="dxa"/>
            <w:vAlign w:val="center"/>
          </w:tcPr>
          <w:p w:rsidR="005C48D6" w:rsidRDefault="008F0294">
            <w:pPr>
              <w:jc w:val="right"/>
            </w:pPr>
            <w:r>
              <w:rPr>
                <w:rFonts w:eastAsiaTheme="minorEastAsia"/>
                <w:color w:val="000000" w:themeColor="text1"/>
                <w:sz w:val="24"/>
              </w:rPr>
              <w:t>1,518,263.84</w:t>
            </w:r>
          </w:p>
        </w:tc>
      </w:tr>
      <w:tr w:rsidR="00A40448" w:rsidRPr="009A7486" w:rsidTr="001376B9">
        <w:tc>
          <w:tcPr>
            <w:tcW w:w="2110" w:type="dxa"/>
            <w:tcBorders>
              <w:top w:val="single" w:sz="4" w:space="0" w:color="000000"/>
              <w:left w:val="single" w:sz="4" w:space="0" w:color="000000"/>
              <w:bottom w:val="single" w:sz="4" w:space="0" w:color="000000"/>
              <w:right w:val="single" w:sz="4" w:space="0" w:color="000000"/>
            </w:tcBorders>
            <w:vAlign w:val="center"/>
          </w:tcPr>
          <w:p w:rsidR="00A40448" w:rsidRPr="009A7486" w:rsidRDefault="00A40448" w:rsidP="001376B9">
            <w:pPr>
              <w:widowControl/>
              <w:spacing w:line="360" w:lineRule="auto"/>
              <w:jc w:val="left"/>
              <w:rPr>
                <w:rFonts w:eastAsiaTheme="minorEastAsia"/>
                <w:color w:val="000000" w:themeColor="text1"/>
                <w:sz w:val="24"/>
              </w:rPr>
            </w:pPr>
            <w:r w:rsidRPr="009A7486">
              <w:rPr>
                <w:rFonts w:eastAsiaTheme="minorEastAsia"/>
                <w:color w:val="000000" w:themeColor="text1"/>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A40448" w:rsidRPr="009A7486" w:rsidRDefault="00A40448" w:rsidP="001376B9">
            <w:pPr>
              <w:spacing w:line="360" w:lineRule="auto"/>
              <w:jc w:val="right"/>
              <w:rPr>
                <w:rFonts w:eastAsiaTheme="minorEastAsia"/>
                <w:color w:val="000000" w:themeColor="text1"/>
                <w:sz w:val="24"/>
              </w:rPr>
            </w:pPr>
            <w:r w:rsidRPr="009A7486">
              <w:rPr>
                <w:rFonts w:eastAsiaTheme="minorEastAsia"/>
                <w:color w:val="000000" w:themeColor="text1"/>
                <w:sz w:val="24"/>
              </w:rPr>
              <w:t>530,111.76</w:t>
            </w:r>
          </w:p>
        </w:tc>
        <w:tc>
          <w:tcPr>
            <w:tcW w:w="2282" w:type="dxa"/>
            <w:tcBorders>
              <w:top w:val="single" w:sz="4" w:space="0" w:color="000000"/>
              <w:left w:val="single" w:sz="4" w:space="0" w:color="000000"/>
              <w:bottom w:val="single" w:sz="4" w:space="0" w:color="000000"/>
              <w:right w:val="single" w:sz="4" w:space="0" w:color="000000"/>
            </w:tcBorders>
            <w:vAlign w:val="center"/>
          </w:tcPr>
          <w:p w:rsidR="00A40448" w:rsidRPr="009A7486" w:rsidRDefault="00A40448" w:rsidP="001376B9">
            <w:pPr>
              <w:spacing w:line="360" w:lineRule="auto"/>
              <w:jc w:val="right"/>
              <w:rPr>
                <w:rFonts w:eastAsiaTheme="minorEastAsia"/>
                <w:color w:val="000000" w:themeColor="text1"/>
                <w:sz w:val="24"/>
              </w:rPr>
            </w:pPr>
            <w:r w:rsidRPr="009A7486">
              <w:rPr>
                <w:rFonts w:eastAsiaTheme="minorEastAsia"/>
                <w:color w:val="000000" w:themeColor="text1"/>
                <w:sz w:val="24"/>
              </w:rPr>
              <w:t>1,420,628.67</w:t>
            </w:r>
          </w:p>
        </w:tc>
        <w:tc>
          <w:tcPr>
            <w:tcW w:w="3247" w:type="dxa"/>
            <w:tcBorders>
              <w:top w:val="single" w:sz="4" w:space="0" w:color="000000"/>
              <w:left w:val="single" w:sz="4" w:space="0" w:color="000000"/>
              <w:bottom w:val="single" w:sz="4" w:space="0" w:color="000000"/>
              <w:right w:val="single" w:sz="4" w:space="0" w:color="000000"/>
            </w:tcBorders>
            <w:vAlign w:val="center"/>
          </w:tcPr>
          <w:p w:rsidR="00A40448" w:rsidRPr="009A7486" w:rsidRDefault="00A40448" w:rsidP="001376B9">
            <w:pPr>
              <w:spacing w:line="360" w:lineRule="auto"/>
              <w:jc w:val="right"/>
              <w:rPr>
                <w:rFonts w:eastAsiaTheme="minorEastAsia"/>
                <w:color w:val="000000" w:themeColor="text1"/>
                <w:sz w:val="24"/>
              </w:rPr>
            </w:pPr>
            <w:r w:rsidRPr="009A7486">
              <w:rPr>
                <w:rFonts w:eastAsiaTheme="minorEastAsia"/>
                <w:color w:val="000000" w:themeColor="text1"/>
                <w:sz w:val="24"/>
              </w:rPr>
              <w:t>1,950,740.43</w:t>
            </w:r>
          </w:p>
        </w:tc>
      </w:tr>
      <w:tr w:rsidR="00A40448" w:rsidRPr="009A7486" w:rsidTr="001376B9">
        <w:trPr>
          <w:trHeight w:val="465"/>
        </w:trPr>
        <w:tc>
          <w:tcPr>
            <w:tcW w:w="2110" w:type="dxa"/>
            <w:vMerge w:val="restart"/>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spacing w:line="360" w:lineRule="auto"/>
              <w:ind w:leftChars="-51" w:left="-107" w:rightChars="-51" w:right="-107"/>
              <w:jc w:val="center"/>
              <w:rPr>
                <w:rFonts w:eastAsiaTheme="minorEastAsia"/>
                <w:color w:val="000000" w:themeColor="text1"/>
                <w:sz w:val="24"/>
              </w:rPr>
            </w:pPr>
            <w:r w:rsidRPr="009A7486">
              <w:rPr>
                <w:rFonts w:eastAsiaTheme="minorEastAsia"/>
                <w:color w:val="000000" w:themeColor="text1"/>
                <w:sz w:val="24"/>
              </w:rPr>
              <w:t>获得销售服务费的各关联方名称</w:t>
            </w: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上年度可比期间</w:t>
            </w:r>
          </w:p>
          <w:p w:rsidR="00A40448" w:rsidRPr="009A7486"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2017</w:t>
            </w:r>
            <w:r w:rsidRPr="009A7486">
              <w:rPr>
                <w:rFonts w:eastAsiaTheme="minorEastAsia"/>
                <w:color w:val="000000" w:themeColor="text1"/>
                <w:sz w:val="24"/>
              </w:rPr>
              <w:t>年</w:t>
            </w:r>
            <w:r w:rsidRPr="009A7486">
              <w:rPr>
                <w:rFonts w:eastAsiaTheme="minorEastAsia"/>
                <w:color w:val="000000" w:themeColor="text1"/>
                <w:sz w:val="24"/>
              </w:rPr>
              <w:t>1</w:t>
            </w:r>
            <w:r w:rsidRPr="009A7486">
              <w:rPr>
                <w:rFonts w:eastAsiaTheme="minorEastAsia"/>
                <w:color w:val="000000" w:themeColor="text1"/>
                <w:sz w:val="24"/>
              </w:rPr>
              <w:t>月</w:t>
            </w:r>
            <w:r w:rsidRPr="009A7486">
              <w:rPr>
                <w:rFonts w:eastAsiaTheme="minorEastAsia"/>
                <w:color w:val="000000" w:themeColor="text1"/>
                <w:sz w:val="24"/>
              </w:rPr>
              <w:t>1</w:t>
            </w:r>
            <w:r w:rsidRPr="009A7486">
              <w:rPr>
                <w:rFonts w:eastAsiaTheme="minorEastAsia"/>
                <w:color w:val="000000" w:themeColor="text1"/>
                <w:sz w:val="24"/>
              </w:rPr>
              <w:t>日至</w:t>
            </w:r>
            <w:r w:rsidRPr="009A7486">
              <w:rPr>
                <w:rFonts w:eastAsiaTheme="minorEastAsia"/>
                <w:color w:val="000000" w:themeColor="text1"/>
                <w:sz w:val="24"/>
              </w:rPr>
              <w:t>2017</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p>
        </w:tc>
      </w:tr>
      <w:tr w:rsidR="00A40448" w:rsidRPr="009A7486" w:rsidTr="001376B9">
        <w:trPr>
          <w:trHeight w:val="465"/>
        </w:trPr>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spacing w:line="360" w:lineRule="auto"/>
              <w:jc w:val="left"/>
              <w:rPr>
                <w:rFonts w:eastAsiaTheme="minorEastAsia"/>
                <w:color w:val="000000" w:themeColor="text1"/>
                <w:sz w:val="24"/>
              </w:rPr>
            </w:pPr>
          </w:p>
        </w:tc>
        <w:tc>
          <w:tcPr>
            <w:tcW w:w="7388" w:type="dxa"/>
            <w:gridSpan w:val="3"/>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当期发生的基金应支付的销售服务费</w:t>
            </w:r>
          </w:p>
        </w:tc>
      </w:tr>
      <w:tr w:rsidR="00A40448" w:rsidRPr="009A7486" w:rsidTr="001376B9">
        <w:tc>
          <w:tcPr>
            <w:tcW w:w="2110" w:type="dxa"/>
            <w:vMerge/>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spacing w:line="360" w:lineRule="auto"/>
              <w:jc w:val="left"/>
              <w:rPr>
                <w:rFonts w:eastAsiaTheme="minorEastAsia"/>
                <w:color w:val="000000" w:themeColor="text1"/>
                <w:sz w:val="24"/>
              </w:rPr>
            </w:pPr>
          </w:p>
        </w:tc>
        <w:tc>
          <w:tcPr>
            <w:tcW w:w="1862" w:type="dxa"/>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A</w:t>
            </w:r>
          </w:p>
        </w:tc>
        <w:tc>
          <w:tcPr>
            <w:tcW w:w="2282" w:type="dxa"/>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p>
        </w:tc>
        <w:tc>
          <w:tcPr>
            <w:tcW w:w="3244" w:type="dxa"/>
            <w:tcBorders>
              <w:top w:val="single" w:sz="4" w:space="0" w:color="000000"/>
              <w:left w:val="single" w:sz="4" w:space="0" w:color="000000"/>
              <w:bottom w:val="single" w:sz="4" w:space="0" w:color="000000"/>
              <w:right w:val="single" w:sz="4" w:space="0" w:color="000000"/>
            </w:tcBorders>
            <w:vAlign w:val="center"/>
            <w:hideMark/>
          </w:tcPr>
          <w:p w:rsidR="00A40448" w:rsidRPr="009A7486" w:rsidRDefault="00A40448" w:rsidP="001376B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合计</w:t>
            </w:r>
          </w:p>
        </w:tc>
      </w:tr>
      <w:tr w:rsidR="005C48D6">
        <w:tc>
          <w:tcPr>
            <w:tcW w:w="2110" w:type="dxa"/>
            <w:vAlign w:val="center"/>
          </w:tcPr>
          <w:p w:rsidR="005C48D6" w:rsidRDefault="008F0294">
            <w:pPr>
              <w:jc w:val="left"/>
            </w:pPr>
            <w:r>
              <w:rPr>
                <w:rFonts w:eastAsiaTheme="minorEastAsia"/>
                <w:color w:val="000000" w:themeColor="text1"/>
                <w:sz w:val="24"/>
              </w:rPr>
              <w:t>中国工商银行</w:t>
            </w:r>
          </w:p>
        </w:tc>
        <w:tc>
          <w:tcPr>
            <w:tcW w:w="1862" w:type="dxa"/>
            <w:vAlign w:val="center"/>
          </w:tcPr>
          <w:p w:rsidR="005C48D6" w:rsidRDefault="008F0294">
            <w:pPr>
              <w:jc w:val="right"/>
            </w:pPr>
            <w:r>
              <w:rPr>
                <w:rFonts w:eastAsiaTheme="minorEastAsia"/>
                <w:color w:val="000000" w:themeColor="text1"/>
                <w:sz w:val="24"/>
              </w:rPr>
              <w:t>261,921.03</w:t>
            </w:r>
          </w:p>
        </w:tc>
        <w:tc>
          <w:tcPr>
            <w:tcW w:w="2282" w:type="dxa"/>
            <w:vAlign w:val="center"/>
          </w:tcPr>
          <w:p w:rsidR="005C48D6" w:rsidRDefault="008F0294">
            <w:pPr>
              <w:jc w:val="right"/>
            </w:pPr>
            <w:r>
              <w:rPr>
                <w:rFonts w:eastAsiaTheme="minorEastAsia"/>
                <w:color w:val="000000" w:themeColor="text1"/>
                <w:sz w:val="24"/>
              </w:rPr>
              <w:t>3,061.52</w:t>
            </w:r>
          </w:p>
        </w:tc>
        <w:tc>
          <w:tcPr>
            <w:tcW w:w="3247" w:type="dxa"/>
            <w:vAlign w:val="center"/>
          </w:tcPr>
          <w:p w:rsidR="005C48D6" w:rsidRDefault="008F0294">
            <w:pPr>
              <w:jc w:val="right"/>
            </w:pPr>
            <w:r>
              <w:rPr>
                <w:rFonts w:eastAsiaTheme="minorEastAsia"/>
                <w:color w:val="000000" w:themeColor="text1"/>
                <w:sz w:val="24"/>
              </w:rPr>
              <w:t>264,982.55</w:t>
            </w:r>
          </w:p>
        </w:tc>
      </w:tr>
      <w:tr w:rsidR="005C48D6">
        <w:tc>
          <w:tcPr>
            <w:tcW w:w="2110" w:type="dxa"/>
            <w:vAlign w:val="center"/>
          </w:tcPr>
          <w:p w:rsidR="005C48D6" w:rsidRDefault="008F0294">
            <w:pPr>
              <w:jc w:val="left"/>
            </w:pPr>
            <w:r>
              <w:rPr>
                <w:rFonts w:eastAsiaTheme="minorEastAsia"/>
                <w:color w:val="000000" w:themeColor="text1"/>
                <w:sz w:val="24"/>
              </w:rPr>
              <w:t>国投瑞银</w:t>
            </w:r>
          </w:p>
        </w:tc>
        <w:tc>
          <w:tcPr>
            <w:tcW w:w="1862" w:type="dxa"/>
            <w:vAlign w:val="center"/>
          </w:tcPr>
          <w:p w:rsidR="005C48D6" w:rsidRDefault="008F0294">
            <w:pPr>
              <w:jc w:val="right"/>
            </w:pPr>
            <w:r>
              <w:rPr>
                <w:rFonts w:eastAsiaTheme="minorEastAsia"/>
                <w:color w:val="000000" w:themeColor="text1"/>
                <w:sz w:val="24"/>
              </w:rPr>
              <w:t>134,522.37</w:t>
            </w:r>
          </w:p>
        </w:tc>
        <w:tc>
          <w:tcPr>
            <w:tcW w:w="2282" w:type="dxa"/>
            <w:vAlign w:val="center"/>
          </w:tcPr>
          <w:p w:rsidR="005C48D6" w:rsidRDefault="008F0294">
            <w:pPr>
              <w:jc w:val="right"/>
            </w:pPr>
            <w:r>
              <w:rPr>
                <w:rFonts w:eastAsiaTheme="minorEastAsia"/>
                <w:color w:val="000000" w:themeColor="text1"/>
                <w:sz w:val="24"/>
              </w:rPr>
              <w:t>1,533,425.42</w:t>
            </w:r>
          </w:p>
        </w:tc>
        <w:tc>
          <w:tcPr>
            <w:tcW w:w="3247" w:type="dxa"/>
            <w:vAlign w:val="center"/>
          </w:tcPr>
          <w:p w:rsidR="005C48D6" w:rsidRDefault="008F0294">
            <w:pPr>
              <w:jc w:val="right"/>
            </w:pPr>
            <w:r>
              <w:rPr>
                <w:rFonts w:eastAsiaTheme="minorEastAsia"/>
                <w:color w:val="000000" w:themeColor="text1"/>
                <w:sz w:val="24"/>
              </w:rPr>
              <w:t>1,667,947.79</w:t>
            </w:r>
          </w:p>
        </w:tc>
      </w:tr>
      <w:tr w:rsidR="005C48D6">
        <w:tc>
          <w:tcPr>
            <w:tcW w:w="2110" w:type="dxa"/>
            <w:vAlign w:val="center"/>
          </w:tcPr>
          <w:p w:rsidR="005C48D6" w:rsidRDefault="008F0294">
            <w:pPr>
              <w:jc w:val="left"/>
            </w:pPr>
            <w:r>
              <w:rPr>
                <w:rFonts w:eastAsiaTheme="minorEastAsia"/>
                <w:color w:val="000000" w:themeColor="text1"/>
                <w:sz w:val="24"/>
              </w:rPr>
              <w:t>安信证券</w:t>
            </w:r>
          </w:p>
        </w:tc>
        <w:tc>
          <w:tcPr>
            <w:tcW w:w="1862" w:type="dxa"/>
            <w:vAlign w:val="center"/>
          </w:tcPr>
          <w:p w:rsidR="005C48D6" w:rsidRDefault="008F0294">
            <w:pPr>
              <w:jc w:val="right"/>
            </w:pPr>
            <w:r>
              <w:rPr>
                <w:rFonts w:eastAsiaTheme="minorEastAsia"/>
                <w:color w:val="000000" w:themeColor="text1"/>
                <w:sz w:val="24"/>
              </w:rPr>
              <w:t>7,094.07</w:t>
            </w:r>
          </w:p>
        </w:tc>
        <w:tc>
          <w:tcPr>
            <w:tcW w:w="2282" w:type="dxa"/>
            <w:vAlign w:val="center"/>
          </w:tcPr>
          <w:p w:rsidR="005C48D6" w:rsidRDefault="008F0294">
            <w:pPr>
              <w:jc w:val="right"/>
            </w:pPr>
            <w:r>
              <w:rPr>
                <w:rFonts w:eastAsiaTheme="minorEastAsia"/>
                <w:color w:val="000000" w:themeColor="text1"/>
                <w:sz w:val="24"/>
              </w:rPr>
              <w:t>204.69</w:t>
            </w:r>
          </w:p>
        </w:tc>
        <w:tc>
          <w:tcPr>
            <w:tcW w:w="3247" w:type="dxa"/>
            <w:vAlign w:val="center"/>
          </w:tcPr>
          <w:p w:rsidR="005C48D6" w:rsidRDefault="008F0294">
            <w:pPr>
              <w:jc w:val="right"/>
            </w:pPr>
            <w:r>
              <w:rPr>
                <w:rFonts w:eastAsiaTheme="minorEastAsia"/>
                <w:color w:val="000000" w:themeColor="text1"/>
                <w:sz w:val="24"/>
              </w:rPr>
              <w:t>7,298.76</w:t>
            </w:r>
          </w:p>
        </w:tc>
      </w:tr>
      <w:tr w:rsidR="00A40448" w:rsidRPr="009A7486" w:rsidTr="001376B9">
        <w:tc>
          <w:tcPr>
            <w:tcW w:w="2110" w:type="dxa"/>
            <w:tcBorders>
              <w:top w:val="single" w:sz="4" w:space="0" w:color="000000"/>
              <w:left w:val="single" w:sz="4" w:space="0" w:color="000000"/>
              <w:bottom w:val="single" w:sz="4" w:space="0" w:color="000000"/>
              <w:right w:val="single" w:sz="4" w:space="0" w:color="000000"/>
            </w:tcBorders>
            <w:vAlign w:val="center"/>
          </w:tcPr>
          <w:p w:rsidR="00A40448" w:rsidRPr="009A7486" w:rsidRDefault="00A40448" w:rsidP="001376B9">
            <w:pPr>
              <w:widowControl/>
              <w:spacing w:line="360" w:lineRule="auto"/>
              <w:jc w:val="left"/>
              <w:rPr>
                <w:rFonts w:eastAsiaTheme="minorEastAsia"/>
                <w:color w:val="000000" w:themeColor="text1"/>
                <w:sz w:val="24"/>
              </w:rPr>
            </w:pPr>
            <w:r w:rsidRPr="009A7486">
              <w:rPr>
                <w:rFonts w:eastAsiaTheme="minorEastAsia"/>
                <w:color w:val="000000" w:themeColor="text1"/>
                <w:sz w:val="24"/>
              </w:rPr>
              <w:t>合计</w:t>
            </w:r>
          </w:p>
        </w:tc>
        <w:tc>
          <w:tcPr>
            <w:tcW w:w="1862" w:type="dxa"/>
            <w:tcBorders>
              <w:top w:val="single" w:sz="4" w:space="0" w:color="000000"/>
              <w:left w:val="single" w:sz="4" w:space="0" w:color="000000"/>
              <w:bottom w:val="single" w:sz="4" w:space="0" w:color="000000"/>
              <w:right w:val="single" w:sz="4" w:space="0" w:color="000000"/>
            </w:tcBorders>
            <w:vAlign w:val="center"/>
          </w:tcPr>
          <w:p w:rsidR="00A40448" w:rsidRPr="009A7486" w:rsidRDefault="00A40448" w:rsidP="001376B9">
            <w:pPr>
              <w:spacing w:line="360" w:lineRule="auto"/>
              <w:jc w:val="right"/>
              <w:rPr>
                <w:rFonts w:eastAsiaTheme="minorEastAsia"/>
                <w:color w:val="000000" w:themeColor="text1"/>
                <w:sz w:val="24"/>
              </w:rPr>
            </w:pPr>
            <w:r w:rsidRPr="009A7486">
              <w:rPr>
                <w:rFonts w:eastAsiaTheme="minorEastAsia"/>
                <w:color w:val="000000" w:themeColor="text1"/>
                <w:sz w:val="24"/>
              </w:rPr>
              <w:t>403,537.47</w:t>
            </w:r>
          </w:p>
        </w:tc>
        <w:tc>
          <w:tcPr>
            <w:tcW w:w="2282" w:type="dxa"/>
            <w:tcBorders>
              <w:top w:val="single" w:sz="4" w:space="0" w:color="000000"/>
              <w:left w:val="single" w:sz="4" w:space="0" w:color="000000"/>
              <w:bottom w:val="single" w:sz="4" w:space="0" w:color="000000"/>
              <w:right w:val="single" w:sz="4" w:space="0" w:color="000000"/>
            </w:tcBorders>
            <w:vAlign w:val="center"/>
          </w:tcPr>
          <w:p w:rsidR="00A40448" w:rsidRPr="009A7486" w:rsidRDefault="00A40448" w:rsidP="001376B9">
            <w:pPr>
              <w:spacing w:line="360" w:lineRule="auto"/>
              <w:jc w:val="right"/>
              <w:rPr>
                <w:rFonts w:eastAsiaTheme="minorEastAsia"/>
                <w:color w:val="000000" w:themeColor="text1"/>
                <w:sz w:val="24"/>
              </w:rPr>
            </w:pPr>
            <w:r w:rsidRPr="009A7486">
              <w:rPr>
                <w:rFonts w:eastAsiaTheme="minorEastAsia"/>
                <w:color w:val="000000" w:themeColor="text1"/>
                <w:sz w:val="24"/>
              </w:rPr>
              <w:t>1,536,691.63</w:t>
            </w:r>
          </w:p>
        </w:tc>
        <w:tc>
          <w:tcPr>
            <w:tcW w:w="3244" w:type="dxa"/>
            <w:tcBorders>
              <w:top w:val="single" w:sz="4" w:space="0" w:color="000000"/>
              <w:left w:val="single" w:sz="4" w:space="0" w:color="000000"/>
              <w:bottom w:val="single" w:sz="4" w:space="0" w:color="000000"/>
              <w:right w:val="single" w:sz="4" w:space="0" w:color="000000"/>
            </w:tcBorders>
            <w:vAlign w:val="center"/>
          </w:tcPr>
          <w:p w:rsidR="00A40448" w:rsidRPr="009A7486" w:rsidRDefault="00A40448" w:rsidP="001376B9">
            <w:pPr>
              <w:spacing w:line="360" w:lineRule="auto"/>
              <w:jc w:val="right"/>
              <w:rPr>
                <w:rFonts w:eastAsiaTheme="minorEastAsia"/>
                <w:color w:val="000000" w:themeColor="text1"/>
                <w:sz w:val="24"/>
              </w:rPr>
            </w:pPr>
            <w:r w:rsidRPr="009A7486">
              <w:rPr>
                <w:rFonts w:eastAsiaTheme="minorEastAsia"/>
                <w:color w:val="000000" w:themeColor="text1"/>
                <w:sz w:val="24"/>
              </w:rPr>
              <w:t>1,940,229.10</w:t>
            </w:r>
          </w:p>
        </w:tc>
      </w:tr>
    </w:tbl>
    <w:p w:rsidR="00A40448" w:rsidRPr="009A7486" w:rsidRDefault="00A40448"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注：支付基金销售机构的国投瑞银货币</w:t>
      </w:r>
      <w:r w:rsidRPr="009A7486">
        <w:rPr>
          <w:rFonts w:eastAsiaTheme="minorEastAsia"/>
          <w:color w:val="000000" w:themeColor="text1"/>
          <w:kern w:val="0"/>
          <w:sz w:val="24"/>
        </w:rPr>
        <w:t>A</w:t>
      </w:r>
      <w:r w:rsidRPr="009A7486">
        <w:rPr>
          <w:rFonts w:eastAsiaTheme="minorEastAsia"/>
          <w:color w:val="000000" w:themeColor="text1"/>
          <w:kern w:val="0"/>
          <w:sz w:val="24"/>
        </w:rPr>
        <w:t>级和国投瑞银货币</w:t>
      </w:r>
      <w:r w:rsidRPr="009A7486">
        <w:rPr>
          <w:rFonts w:eastAsiaTheme="minorEastAsia"/>
          <w:color w:val="000000" w:themeColor="text1"/>
          <w:kern w:val="0"/>
          <w:sz w:val="24"/>
        </w:rPr>
        <w:t>B</w:t>
      </w:r>
      <w:r w:rsidRPr="009A7486">
        <w:rPr>
          <w:rFonts w:eastAsiaTheme="minorEastAsia"/>
          <w:color w:val="000000" w:themeColor="text1"/>
          <w:kern w:val="0"/>
          <w:sz w:val="24"/>
        </w:rPr>
        <w:t>级的销售服务费分别按前一日该类基金资产净值</w:t>
      </w:r>
      <w:r w:rsidRPr="009A7486">
        <w:rPr>
          <w:rFonts w:eastAsiaTheme="minorEastAsia"/>
          <w:color w:val="000000" w:themeColor="text1"/>
          <w:kern w:val="0"/>
          <w:sz w:val="24"/>
        </w:rPr>
        <w:t>0.25%</w:t>
      </w:r>
      <w:r w:rsidRPr="009A7486">
        <w:rPr>
          <w:rFonts w:eastAsiaTheme="minorEastAsia"/>
          <w:color w:val="000000" w:themeColor="text1"/>
          <w:kern w:val="0"/>
          <w:sz w:val="24"/>
        </w:rPr>
        <w:t>和</w:t>
      </w:r>
      <w:r w:rsidRPr="009A7486">
        <w:rPr>
          <w:rFonts w:eastAsiaTheme="minorEastAsia"/>
          <w:color w:val="000000" w:themeColor="text1"/>
          <w:kern w:val="0"/>
          <w:sz w:val="24"/>
        </w:rPr>
        <w:t>0.01%</w:t>
      </w:r>
      <w:r w:rsidRPr="009A7486">
        <w:rPr>
          <w:rFonts w:eastAsiaTheme="minorEastAsia"/>
          <w:color w:val="000000" w:themeColor="text1"/>
          <w:kern w:val="0"/>
          <w:sz w:val="24"/>
        </w:rPr>
        <w:t>的年费率计提。其计算公式为：日销售服务费＝前一日基金资产净值</w:t>
      </w:r>
      <w:r w:rsidRPr="009A7486">
        <w:rPr>
          <w:rFonts w:eastAsiaTheme="minorEastAsia"/>
          <w:color w:val="000000" w:themeColor="text1"/>
          <w:kern w:val="0"/>
          <w:sz w:val="24"/>
        </w:rPr>
        <w:t>×</w:t>
      </w:r>
      <w:r w:rsidRPr="009A7486">
        <w:rPr>
          <w:rFonts w:eastAsiaTheme="minorEastAsia"/>
          <w:color w:val="000000" w:themeColor="text1"/>
          <w:kern w:val="0"/>
          <w:sz w:val="24"/>
        </w:rPr>
        <w:t>约定年费率</w:t>
      </w:r>
      <w:r w:rsidRPr="009A7486">
        <w:rPr>
          <w:rFonts w:eastAsiaTheme="minorEastAsia"/>
          <w:color w:val="000000" w:themeColor="text1"/>
          <w:kern w:val="0"/>
          <w:sz w:val="24"/>
        </w:rPr>
        <w:t xml:space="preserve"> / </w:t>
      </w:r>
      <w:r w:rsidRPr="009A7486">
        <w:rPr>
          <w:rFonts w:eastAsiaTheme="minorEastAsia"/>
          <w:color w:val="000000" w:themeColor="text1"/>
          <w:kern w:val="0"/>
          <w:sz w:val="24"/>
        </w:rPr>
        <w:t>当年天数。</w:t>
      </w:r>
    </w:p>
    <w:p w:rsidR="006D141C" w:rsidRPr="009A7486" w:rsidRDefault="006D141C" w:rsidP="002855D4">
      <w:pPr>
        <w:autoSpaceDE w:val="0"/>
        <w:autoSpaceDN w:val="0"/>
        <w:adjustRightInd w:val="0"/>
        <w:spacing w:beforeLines="100"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7.4.8.</w:t>
      </w:r>
      <w:r w:rsidR="008A28D4" w:rsidRPr="009A7486">
        <w:rPr>
          <w:rFonts w:eastAsiaTheme="minorEastAsia"/>
          <w:b/>
          <w:bCs/>
          <w:color w:val="000000" w:themeColor="text1"/>
          <w:kern w:val="0"/>
          <w:sz w:val="24"/>
        </w:rPr>
        <w:t>3</w:t>
      </w:r>
      <w:r w:rsidRPr="009A7486">
        <w:rPr>
          <w:rFonts w:eastAsiaTheme="minorEastAsia"/>
          <w:b/>
          <w:bCs/>
          <w:color w:val="000000" w:themeColor="text1"/>
          <w:kern w:val="0"/>
          <w:sz w:val="24"/>
        </w:rPr>
        <w:t>与关联方进行银行间同业市场的债券</w:t>
      </w:r>
      <w:r w:rsidRPr="009A7486">
        <w:rPr>
          <w:rFonts w:eastAsiaTheme="minorEastAsia"/>
          <w:b/>
          <w:bCs/>
          <w:color w:val="000000" w:themeColor="text1"/>
          <w:kern w:val="0"/>
          <w:sz w:val="24"/>
        </w:rPr>
        <w:t>(</w:t>
      </w:r>
      <w:r w:rsidRPr="009A7486">
        <w:rPr>
          <w:rFonts w:eastAsiaTheme="minorEastAsia"/>
          <w:b/>
          <w:bCs/>
          <w:color w:val="000000" w:themeColor="text1"/>
          <w:kern w:val="0"/>
          <w:sz w:val="24"/>
        </w:rPr>
        <w:t>含回购</w:t>
      </w:r>
      <w:r w:rsidRPr="009A7486">
        <w:rPr>
          <w:rFonts w:eastAsiaTheme="minorEastAsia"/>
          <w:b/>
          <w:bCs/>
          <w:color w:val="000000" w:themeColor="text1"/>
          <w:kern w:val="0"/>
          <w:sz w:val="24"/>
        </w:rPr>
        <w:t>)</w:t>
      </w:r>
      <w:r w:rsidRPr="009A7486">
        <w:rPr>
          <w:rFonts w:eastAsiaTheme="minorEastAsia"/>
          <w:b/>
          <w:bCs/>
          <w:color w:val="000000" w:themeColor="text1"/>
          <w:kern w:val="0"/>
          <w:sz w:val="24"/>
        </w:rPr>
        <w:t>交易</w:t>
      </w:r>
    </w:p>
    <w:p w:rsidR="00F601C7" w:rsidRPr="009A7486" w:rsidRDefault="00F601C7" w:rsidP="00F601C7">
      <w:pPr>
        <w:autoSpaceDE w:val="0"/>
        <w:autoSpaceDN w:val="0"/>
        <w:adjustRightInd w:val="0"/>
        <w:spacing w:before="29" w:line="360" w:lineRule="auto"/>
        <w:ind w:left="15"/>
        <w:jc w:val="right"/>
        <w:rPr>
          <w:rFonts w:eastAsiaTheme="minorEastAsia"/>
          <w:color w:val="000000" w:themeColor="text1"/>
          <w:kern w:val="0"/>
          <w:sz w:val="24"/>
        </w:rPr>
      </w:pPr>
      <w:r w:rsidRPr="009A7486">
        <w:rPr>
          <w:rFonts w:eastAsiaTheme="minorEastAsia"/>
          <w:color w:val="000000" w:themeColor="text1"/>
          <w:sz w:val="24"/>
        </w:rPr>
        <w:t>单位：人民币元</w:t>
      </w:r>
    </w:p>
    <w:tbl>
      <w:tblPr>
        <w:tblW w:w="94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22"/>
        <w:gridCol w:w="1818"/>
        <w:gridCol w:w="1260"/>
        <w:gridCol w:w="1260"/>
        <w:gridCol w:w="1080"/>
        <w:gridCol w:w="1512"/>
        <w:gridCol w:w="1083"/>
      </w:tblGrid>
      <w:tr w:rsidR="00F601C7" w:rsidRPr="009A7486" w:rsidTr="00480D5A">
        <w:tc>
          <w:tcPr>
            <w:tcW w:w="9435" w:type="dxa"/>
            <w:gridSpan w:val="7"/>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本期</w:t>
            </w:r>
          </w:p>
          <w:p w:rsidR="00F601C7" w:rsidRPr="009A7486" w:rsidRDefault="00F601C7" w:rsidP="00480D5A">
            <w:pPr>
              <w:widowControl/>
              <w:autoSpaceDE w:val="0"/>
              <w:autoSpaceDN w:val="0"/>
              <w:spacing w:line="360" w:lineRule="auto"/>
              <w:ind w:right="-15"/>
              <w:jc w:val="center"/>
              <w:textAlignment w:val="bottom"/>
              <w:rPr>
                <w:rFonts w:eastAsiaTheme="minorEastAsia"/>
                <w:bCs/>
                <w:color w:val="000000" w:themeColor="text1"/>
                <w:sz w:val="24"/>
              </w:rPr>
            </w:pPr>
            <w:r w:rsidRPr="009A7486">
              <w:rPr>
                <w:rFonts w:eastAsiaTheme="minorEastAsia"/>
                <w:bCs/>
                <w:color w:val="000000" w:themeColor="text1"/>
                <w:sz w:val="24"/>
              </w:rPr>
              <w:t>2018</w:t>
            </w:r>
            <w:r w:rsidRPr="009A7486">
              <w:rPr>
                <w:rFonts w:eastAsiaTheme="minorEastAsia"/>
                <w:bCs/>
                <w:color w:val="000000" w:themeColor="text1"/>
                <w:sz w:val="24"/>
              </w:rPr>
              <w:t>年</w:t>
            </w:r>
            <w:r w:rsidRPr="009A7486">
              <w:rPr>
                <w:rFonts w:eastAsiaTheme="minorEastAsia"/>
                <w:bCs/>
                <w:color w:val="000000" w:themeColor="text1"/>
                <w:sz w:val="24"/>
              </w:rPr>
              <w:t>1</w:t>
            </w:r>
            <w:r w:rsidRPr="009A7486">
              <w:rPr>
                <w:rFonts w:eastAsiaTheme="minorEastAsia"/>
                <w:bCs/>
                <w:color w:val="000000" w:themeColor="text1"/>
                <w:sz w:val="24"/>
              </w:rPr>
              <w:t>月</w:t>
            </w:r>
            <w:r w:rsidRPr="009A7486">
              <w:rPr>
                <w:rFonts w:eastAsiaTheme="minorEastAsia"/>
                <w:bCs/>
                <w:color w:val="000000" w:themeColor="text1"/>
                <w:sz w:val="24"/>
              </w:rPr>
              <w:t>1</w:t>
            </w:r>
            <w:r w:rsidRPr="009A7486">
              <w:rPr>
                <w:rFonts w:eastAsiaTheme="minorEastAsia"/>
                <w:bCs/>
                <w:color w:val="000000" w:themeColor="text1"/>
                <w:sz w:val="24"/>
              </w:rPr>
              <w:t>日至</w:t>
            </w:r>
            <w:r w:rsidRPr="009A7486">
              <w:rPr>
                <w:rFonts w:eastAsiaTheme="minorEastAsia"/>
                <w:bCs/>
                <w:color w:val="000000" w:themeColor="text1"/>
                <w:sz w:val="24"/>
              </w:rPr>
              <w:t>2018</w:t>
            </w:r>
            <w:r w:rsidRPr="009A7486">
              <w:rPr>
                <w:rFonts w:eastAsiaTheme="minorEastAsia"/>
                <w:bCs/>
                <w:color w:val="000000" w:themeColor="text1"/>
                <w:sz w:val="24"/>
              </w:rPr>
              <w:t>年</w:t>
            </w:r>
            <w:r w:rsidRPr="009A7486">
              <w:rPr>
                <w:rFonts w:eastAsiaTheme="minorEastAsia"/>
                <w:bCs/>
                <w:color w:val="000000" w:themeColor="text1"/>
                <w:sz w:val="24"/>
              </w:rPr>
              <w:t>12</w:t>
            </w:r>
            <w:r w:rsidRPr="009A7486">
              <w:rPr>
                <w:rFonts w:eastAsiaTheme="minorEastAsia"/>
                <w:bCs/>
                <w:color w:val="000000" w:themeColor="text1"/>
                <w:sz w:val="24"/>
              </w:rPr>
              <w:t>月</w:t>
            </w:r>
            <w:r w:rsidRPr="009A7486">
              <w:rPr>
                <w:rFonts w:eastAsiaTheme="minorEastAsia"/>
                <w:bCs/>
                <w:color w:val="000000" w:themeColor="text1"/>
                <w:sz w:val="24"/>
              </w:rPr>
              <w:t>31</w:t>
            </w:r>
            <w:r w:rsidRPr="009A7486">
              <w:rPr>
                <w:rFonts w:eastAsiaTheme="minorEastAsia"/>
                <w:bCs/>
                <w:color w:val="000000" w:themeColor="text1"/>
                <w:sz w:val="24"/>
              </w:rPr>
              <w:t>日</w:t>
            </w:r>
          </w:p>
        </w:tc>
      </w:tr>
      <w:tr w:rsidR="00F601C7" w:rsidRPr="009A7486" w:rsidTr="00480D5A">
        <w:tc>
          <w:tcPr>
            <w:tcW w:w="1422" w:type="dxa"/>
            <w:vMerge w:val="restart"/>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银行间市场交易的各关联方名称</w:t>
            </w:r>
          </w:p>
        </w:tc>
        <w:tc>
          <w:tcPr>
            <w:tcW w:w="3078" w:type="dxa"/>
            <w:gridSpan w:val="2"/>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债券交易金额</w:t>
            </w:r>
          </w:p>
        </w:tc>
        <w:tc>
          <w:tcPr>
            <w:tcW w:w="2340" w:type="dxa"/>
            <w:gridSpan w:val="2"/>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基金逆回购</w:t>
            </w:r>
          </w:p>
        </w:tc>
        <w:tc>
          <w:tcPr>
            <w:tcW w:w="2595" w:type="dxa"/>
            <w:gridSpan w:val="2"/>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基金正回购</w:t>
            </w:r>
          </w:p>
        </w:tc>
      </w:tr>
      <w:tr w:rsidR="00F601C7" w:rsidRPr="009A7486" w:rsidTr="00480D5A">
        <w:tc>
          <w:tcPr>
            <w:tcW w:w="1422" w:type="dxa"/>
            <w:vMerge/>
            <w:vAlign w:val="center"/>
          </w:tcPr>
          <w:p w:rsidR="00F601C7" w:rsidRPr="009A7486" w:rsidRDefault="00F601C7" w:rsidP="00480D5A">
            <w:pPr>
              <w:widowControl/>
              <w:spacing w:line="360" w:lineRule="auto"/>
              <w:jc w:val="left"/>
              <w:rPr>
                <w:rFonts w:eastAsiaTheme="minorEastAsia"/>
                <w:bCs/>
                <w:color w:val="000000" w:themeColor="text1"/>
                <w:sz w:val="24"/>
              </w:rPr>
            </w:pPr>
          </w:p>
        </w:tc>
        <w:tc>
          <w:tcPr>
            <w:tcW w:w="1818" w:type="dxa"/>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基金买入</w:t>
            </w:r>
          </w:p>
        </w:tc>
        <w:tc>
          <w:tcPr>
            <w:tcW w:w="1260" w:type="dxa"/>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基金卖出</w:t>
            </w:r>
          </w:p>
        </w:tc>
        <w:tc>
          <w:tcPr>
            <w:tcW w:w="1260" w:type="dxa"/>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交易金额</w:t>
            </w:r>
          </w:p>
        </w:tc>
        <w:tc>
          <w:tcPr>
            <w:tcW w:w="1080" w:type="dxa"/>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利息收入</w:t>
            </w:r>
          </w:p>
        </w:tc>
        <w:tc>
          <w:tcPr>
            <w:tcW w:w="1512" w:type="dxa"/>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交易金额</w:t>
            </w:r>
          </w:p>
        </w:tc>
        <w:tc>
          <w:tcPr>
            <w:tcW w:w="1083" w:type="dxa"/>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利息支出</w:t>
            </w:r>
          </w:p>
        </w:tc>
      </w:tr>
      <w:tr w:rsidR="005C48D6">
        <w:tc>
          <w:tcPr>
            <w:tcW w:w="1422" w:type="dxa"/>
            <w:vAlign w:val="center"/>
          </w:tcPr>
          <w:p w:rsidR="005C48D6" w:rsidRDefault="008F0294">
            <w:pPr>
              <w:jc w:val="left"/>
            </w:pPr>
            <w:r>
              <w:rPr>
                <w:rFonts w:eastAsiaTheme="minorEastAsia"/>
                <w:bCs/>
                <w:color w:val="000000" w:themeColor="text1"/>
                <w:sz w:val="24"/>
              </w:rPr>
              <w:t>中国工商银行</w:t>
            </w:r>
          </w:p>
        </w:tc>
        <w:tc>
          <w:tcPr>
            <w:tcW w:w="1818" w:type="dxa"/>
            <w:vAlign w:val="center"/>
          </w:tcPr>
          <w:p w:rsidR="005C48D6" w:rsidRDefault="008F0294">
            <w:pPr>
              <w:jc w:val="right"/>
            </w:pPr>
            <w:r>
              <w:rPr>
                <w:rFonts w:eastAsiaTheme="minorEastAsia"/>
                <w:bCs/>
                <w:color w:val="000000" w:themeColor="text1"/>
                <w:sz w:val="24"/>
              </w:rPr>
              <w:t>180,403,833.70</w:t>
            </w:r>
          </w:p>
        </w:tc>
        <w:tc>
          <w:tcPr>
            <w:tcW w:w="1260" w:type="dxa"/>
            <w:vAlign w:val="center"/>
          </w:tcPr>
          <w:p w:rsidR="005C48D6" w:rsidRDefault="008F0294">
            <w:pPr>
              <w:jc w:val="right"/>
            </w:pPr>
            <w:r>
              <w:rPr>
                <w:rFonts w:eastAsiaTheme="minorEastAsia"/>
                <w:bCs/>
                <w:color w:val="000000" w:themeColor="text1"/>
                <w:sz w:val="24"/>
              </w:rPr>
              <w:t>-</w:t>
            </w:r>
          </w:p>
        </w:tc>
        <w:tc>
          <w:tcPr>
            <w:tcW w:w="1260" w:type="dxa"/>
            <w:vAlign w:val="center"/>
          </w:tcPr>
          <w:p w:rsidR="005C48D6" w:rsidRDefault="008F0294">
            <w:pPr>
              <w:jc w:val="right"/>
            </w:pPr>
            <w:r>
              <w:rPr>
                <w:rFonts w:eastAsiaTheme="minorEastAsia"/>
                <w:bCs/>
                <w:color w:val="000000" w:themeColor="text1"/>
                <w:sz w:val="24"/>
              </w:rPr>
              <w:t>-</w:t>
            </w:r>
          </w:p>
        </w:tc>
        <w:tc>
          <w:tcPr>
            <w:tcW w:w="1080" w:type="dxa"/>
            <w:vAlign w:val="center"/>
          </w:tcPr>
          <w:p w:rsidR="005C48D6" w:rsidRDefault="008F0294">
            <w:pPr>
              <w:jc w:val="right"/>
            </w:pPr>
            <w:r>
              <w:rPr>
                <w:rFonts w:eastAsiaTheme="minorEastAsia"/>
                <w:bCs/>
                <w:color w:val="000000" w:themeColor="text1"/>
                <w:sz w:val="24"/>
              </w:rPr>
              <w:t>-</w:t>
            </w:r>
          </w:p>
        </w:tc>
        <w:tc>
          <w:tcPr>
            <w:tcW w:w="1512" w:type="dxa"/>
            <w:vAlign w:val="center"/>
          </w:tcPr>
          <w:p w:rsidR="005C48D6" w:rsidRDefault="008F0294">
            <w:pPr>
              <w:jc w:val="right"/>
            </w:pPr>
            <w:r>
              <w:rPr>
                <w:rFonts w:eastAsiaTheme="minorEastAsia"/>
                <w:bCs/>
                <w:color w:val="000000" w:themeColor="text1"/>
                <w:sz w:val="24"/>
              </w:rPr>
              <w:t>5,344,720,000.00</w:t>
            </w:r>
          </w:p>
        </w:tc>
        <w:tc>
          <w:tcPr>
            <w:tcW w:w="1083" w:type="dxa"/>
            <w:vAlign w:val="center"/>
          </w:tcPr>
          <w:p w:rsidR="005C48D6" w:rsidRDefault="008F0294">
            <w:pPr>
              <w:jc w:val="right"/>
            </w:pPr>
            <w:r>
              <w:rPr>
                <w:rFonts w:eastAsiaTheme="minorEastAsia"/>
                <w:bCs/>
                <w:color w:val="000000" w:themeColor="text1"/>
                <w:sz w:val="24"/>
              </w:rPr>
              <w:t>529,906.69</w:t>
            </w:r>
          </w:p>
        </w:tc>
      </w:tr>
      <w:tr w:rsidR="00F601C7" w:rsidRPr="009A7486" w:rsidTr="00480D5A">
        <w:tc>
          <w:tcPr>
            <w:tcW w:w="9435" w:type="dxa"/>
            <w:gridSpan w:val="7"/>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上年度可比期间</w:t>
            </w:r>
          </w:p>
          <w:p w:rsidR="00F601C7" w:rsidRPr="009A7486" w:rsidRDefault="00F601C7" w:rsidP="00480D5A">
            <w:pPr>
              <w:widowControl/>
              <w:autoSpaceDE w:val="0"/>
              <w:autoSpaceDN w:val="0"/>
              <w:spacing w:line="360" w:lineRule="auto"/>
              <w:ind w:right="-15"/>
              <w:jc w:val="center"/>
              <w:textAlignment w:val="bottom"/>
              <w:rPr>
                <w:rFonts w:eastAsiaTheme="minorEastAsia"/>
                <w:bCs/>
                <w:color w:val="000000" w:themeColor="text1"/>
                <w:sz w:val="24"/>
              </w:rPr>
            </w:pPr>
            <w:r w:rsidRPr="009A7486">
              <w:rPr>
                <w:rFonts w:eastAsiaTheme="minorEastAsia"/>
                <w:bCs/>
                <w:color w:val="000000" w:themeColor="text1"/>
                <w:sz w:val="24"/>
              </w:rPr>
              <w:t>2017</w:t>
            </w:r>
            <w:r w:rsidRPr="009A7486">
              <w:rPr>
                <w:rFonts w:eastAsiaTheme="minorEastAsia"/>
                <w:bCs/>
                <w:color w:val="000000" w:themeColor="text1"/>
                <w:sz w:val="24"/>
              </w:rPr>
              <w:t>年</w:t>
            </w:r>
            <w:r w:rsidRPr="009A7486">
              <w:rPr>
                <w:rFonts w:eastAsiaTheme="minorEastAsia"/>
                <w:bCs/>
                <w:color w:val="000000" w:themeColor="text1"/>
                <w:sz w:val="24"/>
              </w:rPr>
              <w:t>1</w:t>
            </w:r>
            <w:r w:rsidRPr="009A7486">
              <w:rPr>
                <w:rFonts w:eastAsiaTheme="minorEastAsia"/>
                <w:bCs/>
                <w:color w:val="000000" w:themeColor="text1"/>
                <w:sz w:val="24"/>
              </w:rPr>
              <w:t>月</w:t>
            </w:r>
            <w:r w:rsidRPr="009A7486">
              <w:rPr>
                <w:rFonts w:eastAsiaTheme="minorEastAsia"/>
                <w:bCs/>
                <w:color w:val="000000" w:themeColor="text1"/>
                <w:sz w:val="24"/>
              </w:rPr>
              <w:t>1</w:t>
            </w:r>
            <w:r w:rsidRPr="009A7486">
              <w:rPr>
                <w:rFonts w:eastAsiaTheme="minorEastAsia"/>
                <w:bCs/>
                <w:color w:val="000000" w:themeColor="text1"/>
                <w:sz w:val="24"/>
              </w:rPr>
              <w:t>日至</w:t>
            </w:r>
            <w:r w:rsidRPr="009A7486">
              <w:rPr>
                <w:rFonts w:eastAsiaTheme="minorEastAsia"/>
                <w:bCs/>
                <w:color w:val="000000" w:themeColor="text1"/>
                <w:sz w:val="24"/>
              </w:rPr>
              <w:t>2017</w:t>
            </w:r>
            <w:r w:rsidRPr="009A7486">
              <w:rPr>
                <w:rFonts w:eastAsiaTheme="minorEastAsia"/>
                <w:bCs/>
                <w:color w:val="000000" w:themeColor="text1"/>
                <w:sz w:val="24"/>
              </w:rPr>
              <w:t>年</w:t>
            </w:r>
            <w:r w:rsidRPr="009A7486">
              <w:rPr>
                <w:rFonts w:eastAsiaTheme="minorEastAsia"/>
                <w:bCs/>
                <w:color w:val="000000" w:themeColor="text1"/>
                <w:sz w:val="24"/>
              </w:rPr>
              <w:t>12</w:t>
            </w:r>
            <w:r w:rsidRPr="009A7486">
              <w:rPr>
                <w:rFonts w:eastAsiaTheme="minorEastAsia"/>
                <w:bCs/>
                <w:color w:val="000000" w:themeColor="text1"/>
                <w:sz w:val="24"/>
              </w:rPr>
              <w:t>月</w:t>
            </w:r>
            <w:r w:rsidRPr="009A7486">
              <w:rPr>
                <w:rFonts w:eastAsiaTheme="minorEastAsia"/>
                <w:bCs/>
                <w:color w:val="000000" w:themeColor="text1"/>
                <w:sz w:val="24"/>
              </w:rPr>
              <w:t>31</w:t>
            </w:r>
            <w:r w:rsidRPr="009A7486">
              <w:rPr>
                <w:rFonts w:eastAsiaTheme="minorEastAsia"/>
                <w:bCs/>
                <w:color w:val="000000" w:themeColor="text1"/>
                <w:sz w:val="24"/>
              </w:rPr>
              <w:t>日</w:t>
            </w:r>
          </w:p>
        </w:tc>
      </w:tr>
      <w:tr w:rsidR="00F601C7" w:rsidRPr="009A7486" w:rsidTr="00480D5A">
        <w:tc>
          <w:tcPr>
            <w:tcW w:w="1422" w:type="dxa"/>
            <w:vMerge w:val="restart"/>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银行间市场交易的各关联方名称</w:t>
            </w:r>
          </w:p>
        </w:tc>
        <w:tc>
          <w:tcPr>
            <w:tcW w:w="3078" w:type="dxa"/>
            <w:gridSpan w:val="2"/>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债券交易金额</w:t>
            </w:r>
          </w:p>
        </w:tc>
        <w:tc>
          <w:tcPr>
            <w:tcW w:w="2340" w:type="dxa"/>
            <w:gridSpan w:val="2"/>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基金逆回购</w:t>
            </w:r>
          </w:p>
        </w:tc>
        <w:tc>
          <w:tcPr>
            <w:tcW w:w="2595" w:type="dxa"/>
            <w:gridSpan w:val="2"/>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基金正回购</w:t>
            </w:r>
          </w:p>
        </w:tc>
      </w:tr>
      <w:tr w:rsidR="00F601C7" w:rsidRPr="009A7486" w:rsidTr="00480D5A">
        <w:tc>
          <w:tcPr>
            <w:tcW w:w="1422" w:type="dxa"/>
            <w:vMerge/>
            <w:vAlign w:val="center"/>
          </w:tcPr>
          <w:p w:rsidR="00F601C7" w:rsidRPr="009A7486" w:rsidRDefault="00F601C7" w:rsidP="00480D5A">
            <w:pPr>
              <w:widowControl/>
              <w:spacing w:line="360" w:lineRule="auto"/>
              <w:jc w:val="left"/>
              <w:rPr>
                <w:rFonts w:eastAsiaTheme="minorEastAsia"/>
                <w:bCs/>
                <w:color w:val="000000" w:themeColor="text1"/>
                <w:sz w:val="24"/>
              </w:rPr>
            </w:pPr>
          </w:p>
        </w:tc>
        <w:tc>
          <w:tcPr>
            <w:tcW w:w="1818" w:type="dxa"/>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基金买入</w:t>
            </w:r>
          </w:p>
        </w:tc>
        <w:tc>
          <w:tcPr>
            <w:tcW w:w="1260" w:type="dxa"/>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基金卖出</w:t>
            </w:r>
          </w:p>
        </w:tc>
        <w:tc>
          <w:tcPr>
            <w:tcW w:w="1260" w:type="dxa"/>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交易金额</w:t>
            </w:r>
          </w:p>
        </w:tc>
        <w:tc>
          <w:tcPr>
            <w:tcW w:w="1080" w:type="dxa"/>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利息收入</w:t>
            </w:r>
          </w:p>
        </w:tc>
        <w:tc>
          <w:tcPr>
            <w:tcW w:w="1512" w:type="dxa"/>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交易金额</w:t>
            </w:r>
          </w:p>
        </w:tc>
        <w:tc>
          <w:tcPr>
            <w:tcW w:w="1083" w:type="dxa"/>
            <w:vAlign w:val="center"/>
          </w:tcPr>
          <w:p w:rsidR="00F601C7" w:rsidRPr="009A7486" w:rsidRDefault="00F601C7"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利息支出</w:t>
            </w:r>
          </w:p>
        </w:tc>
      </w:tr>
      <w:tr w:rsidR="005C48D6">
        <w:tc>
          <w:tcPr>
            <w:tcW w:w="1422" w:type="dxa"/>
            <w:vAlign w:val="center"/>
          </w:tcPr>
          <w:p w:rsidR="005C48D6" w:rsidRDefault="008F0294">
            <w:pPr>
              <w:jc w:val="left"/>
            </w:pPr>
            <w:r>
              <w:rPr>
                <w:rFonts w:eastAsiaTheme="minorEastAsia"/>
                <w:bCs/>
                <w:color w:val="000000" w:themeColor="text1"/>
                <w:sz w:val="24"/>
              </w:rPr>
              <w:t>中国工商银行</w:t>
            </w:r>
          </w:p>
        </w:tc>
        <w:tc>
          <w:tcPr>
            <w:tcW w:w="1818" w:type="dxa"/>
            <w:vAlign w:val="center"/>
          </w:tcPr>
          <w:p w:rsidR="005C48D6" w:rsidRDefault="008F0294">
            <w:pPr>
              <w:jc w:val="right"/>
            </w:pPr>
            <w:r>
              <w:rPr>
                <w:rFonts w:eastAsiaTheme="minorEastAsia"/>
                <w:bCs/>
                <w:color w:val="000000" w:themeColor="text1"/>
                <w:sz w:val="24"/>
              </w:rPr>
              <w:t>300,842,504.11</w:t>
            </w:r>
          </w:p>
        </w:tc>
        <w:tc>
          <w:tcPr>
            <w:tcW w:w="1260" w:type="dxa"/>
            <w:vAlign w:val="center"/>
          </w:tcPr>
          <w:p w:rsidR="005C48D6" w:rsidRDefault="008F0294">
            <w:pPr>
              <w:jc w:val="right"/>
            </w:pPr>
            <w:r>
              <w:rPr>
                <w:rFonts w:eastAsiaTheme="minorEastAsia"/>
                <w:bCs/>
                <w:color w:val="000000" w:themeColor="text1"/>
                <w:sz w:val="24"/>
              </w:rPr>
              <w:t>200,283,200.00</w:t>
            </w:r>
          </w:p>
        </w:tc>
        <w:tc>
          <w:tcPr>
            <w:tcW w:w="1260" w:type="dxa"/>
            <w:vAlign w:val="center"/>
          </w:tcPr>
          <w:p w:rsidR="005C48D6" w:rsidRDefault="008F0294">
            <w:pPr>
              <w:jc w:val="right"/>
            </w:pPr>
            <w:r>
              <w:rPr>
                <w:rFonts w:eastAsiaTheme="minorEastAsia"/>
                <w:bCs/>
                <w:color w:val="000000" w:themeColor="text1"/>
                <w:sz w:val="24"/>
              </w:rPr>
              <w:t>-</w:t>
            </w:r>
          </w:p>
        </w:tc>
        <w:tc>
          <w:tcPr>
            <w:tcW w:w="1080" w:type="dxa"/>
            <w:vAlign w:val="center"/>
          </w:tcPr>
          <w:p w:rsidR="005C48D6" w:rsidRDefault="008F0294">
            <w:pPr>
              <w:jc w:val="right"/>
            </w:pPr>
            <w:r>
              <w:rPr>
                <w:rFonts w:eastAsiaTheme="minorEastAsia"/>
                <w:bCs/>
                <w:color w:val="000000" w:themeColor="text1"/>
                <w:sz w:val="24"/>
              </w:rPr>
              <w:t>-</w:t>
            </w:r>
          </w:p>
        </w:tc>
        <w:tc>
          <w:tcPr>
            <w:tcW w:w="1512" w:type="dxa"/>
            <w:vAlign w:val="center"/>
          </w:tcPr>
          <w:p w:rsidR="005C48D6" w:rsidRDefault="008F0294">
            <w:pPr>
              <w:jc w:val="right"/>
            </w:pPr>
            <w:r>
              <w:rPr>
                <w:rFonts w:eastAsiaTheme="minorEastAsia"/>
                <w:bCs/>
                <w:color w:val="000000" w:themeColor="text1"/>
                <w:sz w:val="24"/>
              </w:rPr>
              <w:t>-</w:t>
            </w:r>
          </w:p>
        </w:tc>
        <w:tc>
          <w:tcPr>
            <w:tcW w:w="1083" w:type="dxa"/>
            <w:vAlign w:val="center"/>
          </w:tcPr>
          <w:p w:rsidR="005C48D6" w:rsidRDefault="008F0294">
            <w:pPr>
              <w:jc w:val="right"/>
            </w:pPr>
            <w:r>
              <w:rPr>
                <w:rFonts w:eastAsiaTheme="minorEastAsia"/>
                <w:bCs/>
                <w:color w:val="000000" w:themeColor="text1"/>
                <w:sz w:val="24"/>
              </w:rPr>
              <w:t>-</w:t>
            </w:r>
          </w:p>
        </w:tc>
      </w:tr>
    </w:tbl>
    <w:p w:rsidR="006D141C" w:rsidRPr="009A7486" w:rsidRDefault="006D141C" w:rsidP="002855D4">
      <w:pPr>
        <w:autoSpaceDE w:val="0"/>
        <w:autoSpaceDN w:val="0"/>
        <w:adjustRightInd w:val="0"/>
        <w:spacing w:beforeLines="100"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7.4.8.</w:t>
      </w:r>
      <w:r w:rsidR="008A28D4" w:rsidRPr="009A7486">
        <w:rPr>
          <w:rFonts w:eastAsiaTheme="minorEastAsia"/>
          <w:b/>
          <w:bCs/>
          <w:color w:val="000000" w:themeColor="text1"/>
          <w:kern w:val="0"/>
          <w:sz w:val="24"/>
        </w:rPr>
        <w:t>4</w:t>
      </w:r>
      <w:r w:rsidRPr="009A7486">
        <w:rPr>
          <w:rFonts w:eastAsiaTheme="minorEastAsia"/>
          <w:b/>
          <w:bCs/>
          <w:color w:val="000000" w:themeColor="text1"/>
          <w:kern w:val="0"/>
          <w:sz w:val="24"/>
        </w:rPr>
        <w:t>各关联方投资本基金的情况</w:t>
      </w:r>
    </w:p>
    <w:p w:rsidR="006D141C" w:rsidRPr="009A7486" w:rsidRDefault="006D141C" w:rsidP="00CB1276">
      <w:pPr>
        <w:autoSpaceDE w:val="0"/>
        <w:autoSpaceDN w:val="0"/>
        <w:adjustRightInd w:val="0"/>
        <w:spacing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7.4.8.4.</w:t>
      </w:r>
      <w:r w:rsidR="008A28D4" w:rsidRPr="009A7486">
        <w:rPr>
          <w:rFonts w:eastAsiaTheme="minorEastAsia"/>
          <w:b/>
          <w:bCs/>
          <w:color w:val="000000" w:themeColor="text1"/>
          <w:kern w:val="0"/>
          <w:sz w:val="24"/>
        </w:rPr>
        <w:t>1</w:t>
      </w:r>
      <w:r w:rsidRPr="009A7486">
        <w:rPr>
          <w:rFonts w:eastAsiaTheme="minorEastAsia"/>
          <w:b/>
          <w:bCs/>
          <w:color w:val="000000" w:themeColor="text1"/>
          <w:kern w:val="0"/>
          <w:sz w:val="24"/>
        </w:rPr>
        <w:t>报告期内基金管理人运用固有资金投资本基金的情况</w:t>
      </w:r>
    </w:p>
    <w:p w:rsidR="0027607F" w:rsidRPr="00643109" w:rsidRDefault="0027607F" w:rsidP="0027607F">
      <w:pPr>
        <w:autoSpaceDE w:val="0"/>
        <w:autoSpaceDN w:val="0"/>
        <w:adjustRightInd w:val="0"/>
        <w:spacing w:before="29" w:line="360" w:lineRule="auto"/>
        <w:ind w:left="15" w:right="90"/>
        <w:jc w:val="right"/>
        <w:rPr>
          <w:rFonts w:eastAsiaTheme="minorEastAsia"/>
          <w:color w:val="000000" w:themeColor="text1"/>
          <w:sz w:val="24"/>
        </w:rPr>
      </w:pPr>
      <w:r w:rsidRPr="00643109">
        <w:rPr>
          <w:rFonts w:eastAsiaTheme="minorEastAsia"/>
          <w:color w:val="000000" w:themeColor="text1"/>
          <w:sz w:val="24"/>
        </w:rPr>
        <w:t>份额单位：份</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41"/>
        <w:gridCol w:w="1703"/>
        <w:gridCol w:w="1872"/>
        <w:gridCol w:w="1872"/>
        <w:gridCol w:w="1872"/>
      </w:tblGrid>
      <w:tr w:rsidR="0027607F" w:rsidRPr="00643109" w:rsidTr="00277349">
        <w:trPr>
          <w:trHeight w:val="340"/>
        </w:trPr>
        <w:tc>
          <w:tcPr>
            <w:tcW w:w="2041" w:type="dxa"/>
            <w:vMerge w:val="restart"/>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643109">
              <w:rPr>
                <w:rFonts w:eastAsiaTheme="minorEastAsia"/>
                <w:color w:val="000000" w:themeColor="text1"/>
                <w:sz w:val="24"/>
              </w:rPr>
              <w:t>项目</w:t>
            </w:r>
          </w:p>
        </w:tc>
        <w:tc>
          <w:tcPr>
            <w:tcW w:w="3575" w:type="dxa"/>
            <w:gridSpan w:val="2"/>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643109">
              <w:rPr>
                <w:rFonts w:eastAsiaTheme="minorEastAsia"/>
                <w:color w:val="000000" w:themeColor="text1"/>
                <w:sz w:val="24"/>
              </w:rPr>
              <w:t>本期</w:t>
            </w:r>
          </w:p>
          <w:p w:rsidR="0027607F" w:rsidRPr="00643109" w:rsidRDefault="0027607F" w:rsidP="0027734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643109">
              <w:rPr>
                <w:rFonts w:eastAsiaTheme="minorEastAsia"/>
                <w:color w:val="000000" w:themeColor="text1"/>
                <w:sz w:val="24"/>
              </w:rPr>
              <w:t>2018</w:t>
            </w:r>
            <w:r w:rsidRPr="00643109">
              <w:rPr>
                <w:rFonts w:eastAsiaTheme="minorEastAsia"/>
                <w:color w:val="000000" w:themeColor="text1"/>
                <w:sz w:val="24"/>
              </w:rPr>
              <w:t>年</w:t>
            </w:r>
            <w:r w:rsidRPr="00643109">
              <w:rPr>
                <w:rFonts w:eastAsiaTheme="minorEastAsia"/>
                <w:color w:val="000000" w:themeColor="text1"/>
                <w:sz w:val="24"/>
              </w:rPr>
              <w:t>1</w:t>
            </w:r>
            <w:r w:rsidRPr="00643109">
              <w:rPr>
                <w:rFonts w:eastAsiaTheme="minorEastAsia"/>
                <w:color w:val="000000" w:themeColor="text1"/>
                <w:sz w:val="24"/>
              </w:rPr>
              <w:t>月</w:t>
            </w:r>
            <w:r w:rsidRPr="00643109">
              <w:rPr>
                <w:rFonts w:eastAsiaTheme="minorEastAsia"/>
                <w:color w:val="000000" w:themeColor="text1"/>
                <w:sz w:val="24"/>
              </w:rPr>
              <w:t>1</w:t>
            </w:r>
            <w:r w:rsidRPr="00643109">
              <w:rPr>
                <w:rFonts w:eastAsiaTheme="minorEastAsia"/>
                <w:color w:val="000000" w:themeColor="text1"/>
                <w:sz w:val="24"/>
              </w:rPr>
              <w:t>日至</w:t>
            </w:r>
            <w:r w:rsidRPr="00643109">
              <w:rPr>
                <w:rFonts w:eastAsiaTheme="minorEastAsia"/>
                <w:color w:val="000000" w:themeColor="text1"/>
                <w:sz w:val="24"/>
              </w:rPr>
              <w:t>2018</w:t>
            </w:r>
            <w:r w:rsidRPr="00643109">
              <w:rPr>
                <w:rFonts w:eastAsiaTheme="minorEastAsia"/>
                <w:color w:val="000000" w:themeColor="text1"/>
                <w:sz w:val="24"/>
              </w:rPr>
              <w:t>年</w:t>
            </w:r>
            <w:r w:rsidRPr="00643109">
              <w:rPr>
                <w:rFonts w:eastAsiaTheme="minorEastAsia"/>
                <w:color w:val="000000" w:themeColor="text1"/>
                <w:sz w:val="24"/>
              </w:rPr>
              <w:t>12</w:t>
            </w:r>
            <w:r w:rsidRPr="00643109">
              <w:rPr>
                <w:rFonts w:eastAsiaTheme="minorEastAsia"/>
                <w:color w:val="000000" w:themeColor="text1"/>
                <w:sz w:val="24"/>
              </w:rPr>
              <w:t>月</w:t>
            </w:r>
            <w:r w:rsidRPr="00643109">
              <w:rPr>
                <w:rFonts w:eastAsiaTheme="minorEastAsia"/>
                <w:color w:val="000000" w:themeColor="text1"/>
                <w:sz w:val="24"/>
              </w:rPr>
              <w:t>31</w:t>
            </w:r>
            <w:r w:rsidRPr="00643109">
              <w:rPr>
                <w:rFonts w:eastAsiaTheme="minorEastAsia"/>
                <w:color w:val="000000" w:themeColor="text1"/>
                <w:sz w:val="24"/>
              </w:rPr>
              <w:t>日</w:t>
            </w:r>
          </w:p>
        </w:tc>
        <w:tc>
          <w:tcPr>
            <w:tcW w:w="3744" w:type="dxa"/>
            <w:gridSpan w:val="2"/>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643109">
              <w:rPr>
                <w:rFonts w:eastAsiaTheme="minorEastAsia"/>
                <w:color w:val="000000" w:themeColor="text1"/>
                <w:sz w:val="24"/>
              </w:rPr>
              <w:t>上年度可比期间</w:t>
            </w:r>
          </w:p>
          <w:p w:rsidR="0027607F" w:rsidRPr="00643109" w:rsidRDefault="0027607F" w:rsidP="0027734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643109">
              <w:rPr>
                <w:rFonts w:eastAsiaTheme="minorEastAsia"/>
                <w:color w:val="000000" w:themeColor="text1"/>
                <w:sz w:val="24"/>
              </w:rPr>
              <w:t>2017</w:t>
            </w:r>
            <w:r w:rsidRPr="00643109">
              <w:rPr>
                <w:rFonts w:eastAsiaTheme="minorEastAsia"/>
                <w:color w:val="000000" w:themeColor="text1"/>
                <w:sz w:val="24"/>
              </w:rPr>
              <w:t>年</w:t>
            </w:r>
            <w:r w:rsidRPr="00643109">
              <w:rPr>
                <w:rFonts w:eastAsiaTheme="minorEastAsia"/>
                <w:color w:val="000000" w:themeColor="text1"/>
                <w:sz w:val="24"/>
              </w:rPr>
              <w:t>1</w:t>
            </w:r>
            <w:r w:rsidRPr="00643109">
              <w:rPr>
                <w:rFonts w:eastAsiaTheme="minorEastAsia"/>
                <w:color w:val="000000" w:themeColor="text1"/>
                <w:sz w:val="24"/>
              </w:rPr>
              <w:t>月</w:t>
            </w:r>
            <w:r w:rsidRPr="00643109">
              <w:rPr>
                <w:rFonts w:eastAsiaTheme="minorEastAsia"/>
                <w:color w:val="000000" w:themeColor="text1"/>
                <w:sz w:val="24"/>
              </w:rPr>
              <w:t>1</w:t>
            </w:r>
            <w:r w:rsidRPr="00643109">
              <w:rPr>
                <w:rFonts w:eastAsiaTheme="minorEastAsia"/>
                <w:color w:val="000000" w:themeColor="text1"/>
                <w:sz w:val="24"/>
              </w:rPr>
              <w:t>日至</w:t>
            </w:r>
            <w:r w:rsidRPr="00643109">
              <w:rPr>
                <w:rFonts w:eastAsiaTheme="minorEastAsia"/>
                <w:color w:val="000000" w:themeColor="text1"/>
                <w:sz w:val="24"/>
              </w:rPr>
              <w:t>2017</w:t>
            </w:r>
            <w:r w:rsidRPr="00643109">
              <w:rPr>
                <w:rFonts w:eastAsiaTheme="minorEastAsia"/>
                <w:color w:val="000000" w:themeColor="text1"/>
                <w:sz w:val="24"/>
              </w:rPr>
              <w:t>年</w:t>
            </w:r>
            <w:r w:rsidRPr="00643109">
              <w:rPr>
                <w:rFonts w:eastAsiaTheme="minorEastAsia"/>
                <w:color w:val="000000" w:themeColor="text1"/>
                <w:sz w:val="24"/>
              </w:rPr>
              <w:t>12</w:t>
            </w:r>
            <w:r w:rsidRPr="00643109">
              <w:rPr>
                <w:rFonts w:eastAsiaTheme="minorEastAsia"/>
                <w:color w:val="000000" w:themeColor="text1"/>
                <w:sz w:val="24"/>
              </w:rPr>
              <w:t>月</w:t>
            </w:r>
            <w:r w:rsidRPr="00643109">
              <w:rPr>
                <w:rFonts w:eastAsiaTheme="minorEastAsia"/>
                <w:color w:val="000000" w:themeColor="text1"/>
                <w:sz w:val="24"/>
              </w:rPr>
              <w:t>31</w:t>
            </w:r>
            <w:r w:rsidRPr="00643109">
              <w:rPr>
                <w:rFonts w:eastAsiaTheme="minorEastAsia"/>
                <w:color w:val="000000" w:themeColor="text1"/>
                <w:sz w:val="24"/>
              </w:rPr>
              <w:t>日</w:t>
            </w:r>
          </w:p>
        </w:tc>
      </w:tr>
      <w:tr w:rsidR="0027607F" w:rsidRPr="00643109" w:rsidTr="00277349">
        <w:trPr>
          <w:trHeight w:val="340"/>
        </w:trPr>
        <w:tc>
          <w:tcPr>
            <w:tcW w:w="2041" w:type="dxa"/>
            <w:vMerge/>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widowControl/>
              <w:spacing w:line="360" w:lineRule="auto"/>
              <w:jc w:val="left"/>
              <w:rPr>
                <w:rFonts w:eastAsiaTheme="minorEastAsia"/>
                <w:color w:val="000000" w:themeColor="text1"/>
                <w:sz w:val="24"/>
              </w:rPr>
            </w:pPr>
          </w:p>
        </w:tc>
        <w:tc>
          <w:tcPr>
            <w:tcW w:w="1703" w:type="dxa"/>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643109">
              <w:rPr>
                <w:rFonts w:eastAsiaTheme="minorEastAsia"/>
                <w:color w:val="000000" w:themeColor="text1"/>
                <w:sz w:val="24"/>
              </w:rPr>
              <w:t>国投瑞银货币</w:t>
            </w:r>
            <w:r w:rsidRPr="00643109">
              <w:rPr>
                <w:rFonts w:eastAsiaTheme="minorEastAsia"/>
                <w:color w:val="000000" w:themeColor="text1"/>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643109">
              <w:rPr>
                <w:rFonts w:eastAsiaTheme="minorEastAsia"/>
                <w:color w:val="000000" w:themeColor="text1"/>
                <w:sz w:val="24"/>
              </w:rPr>
              <w:t>国投瑞银货币</w:t>
            </w:r>
            <w:r w:rsidRPr="00643109">
              <w:rPr>
                <w:rFonts w:eastAsiaTheme="minorEastAsia"/>
                <w:color w:val="000000" w:themeColor="text1"/>
                <w:sz w:val="24"/>
              </w:rPr>
              <w:t>B</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643109">
              <w:rPr>
                <w:rFonts w:eastAsiaTheme="minorEastAsia"/>
                <w:color w:val="000000" w:themeColor="text1"/>
                <w:sz w:val="24"/>
              </w:rPr>
              <w:t>国投瑞银货币</w:t>
            </w:r>
            <w:r w:rsidRPr="00643109">
              <w:rPr>
                <w:rFonts w:eastAsiaTheme="minorEastAsia"/>
                <w:color w:val="000000" w:themeColor="text1"/>
                <w:sz w:val="24"/>
              </w:rPr>
              <w:t>A</w:t>
            </w:r>
          </w:p>
        </w:tc>
        <w:tc>
          <w:tcPr>
            <w:tcW w:w="1872" w:type="dxa"/>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643109">
              <w:rPr>
                <w:rFonts w:eastAsiaTheme="minorEastAsia"/>
                <w:color w:val="000000" w:themeColor="text1"/>
                <w:sz w:val="24"/>
              </w:rPr>
              <w:t>国投瑞银货币</w:t>
            </w:r>
            <w:r w:rsidRPr="00643109">
              <w:rPr>
                <w:rFonts w:eastAsiaTheme="minorEastAsia"/>
                <w:color w:val="000000" w:themeColor="text1"/>
                <w:sz w:val="24"/>
              </w:rPr>
              <w:t>B</w:t>
            </w:r>
          </w:p>
        </w:tc>
      </w:tr>
      <w:tr w:rsidR="0027607F" w:rsidRPr="00643109" w:rsidTr="00277349">
        <w:trPr>
          <w:trHeight w:val="340"/>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pStyle w:val="ad"/>
              <w:spacing w:line="360" w:lineRule="auto"/>
              <w:rPr>
                <w:rFonts w:eastAsiaTheme="minorEastAsia"/>
                <w:color w:val="000000" w:themeColor="text1"/>
                <w:szCs w:val="24"/>
              </w:rPr>
            </w:pPr>
            <w:r w:rsidRPr="00643109">
              <w:rPr>
                <w:rFonts w:eastAsiaTheme="minorEastAsia"/>
                <w:color w:val="000000" w:themeColor="text1"/>
                <w:szCs w:val="24"/>
              </w:rPr>
              <w:t>期初持有的基金份额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78,141,714.09</w:t>
            </w:r>
          </w:p>
        </w:tc>
      </w:tr>
      <w:tr w:rsidR="0027607F" w:rsidRPr="00643109" w:rsidTr="00277349">
        <w:trPr>
          <w:trHeight w:val="340"/>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spacing w:line="360" w:lineRule="auto"/>
              <w:rPr>
                <w:rFonts w:eastAsiaTheme="minorEastAsia"/>
                <w:color w:val="000000" w:themeColor="text1"/>
                <w:sz w:val="24"/>
              </w:rPr>
            </w:pPr>
            <w:r w:rsidRPr="00643109">
              <w:rPr>
                <w:rFonts w:eastAsiaTheme="minorEastAsia"/>
                <w:color w:val="000000" w:themeColor="text1"/>
                <w:sz w:val="24"/>
              </w:rPr>
              <w:t>期间申购</w:t>
            </w:r>
            <w:r w:rsidRPr="00643109">
              <w:rPr>
                <w:rFonts w:eastAsiaTheme="minorEastAsia"/>
                <w:color w:val="000000" w:themeColor="text1"/>
                <w:sz w:val="24"/>
              </w:rPr>
              <w:t>/</w:t>
            </w:r>
            <w:r w:rsidRPr="00643109">
              <w:rPr>
                <w:rFonts w:eastAsiaTheme="minorEastAsia"/>
                <w:color w:val="000000" w:themeColor="text1"/>
                <w:sz w:val="24"/>
              </w:rPr>
              <w:t>买入总份额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439,908,080.89</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813,745,270.04</w:t>
            </w:r>
          </w:p>
        </w:tc>
      </w:tr>
      <w:tr w:rsidR="0027607F" w:rsidRPr="00643109" w:rsidTr="00277349">
        <w:trPr>
          <w:trHeight w:val="340"/>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spacing w:line="360" w:lineRule="auto"/>
              <w:rPr>
                <w:rFonts w:eastAsiaTheme="minorEastAsia"/>
                <w:color w:val="000000" w:themeColor="text1"/>
                <w:sz w:val="24"/>
              </w:rPr>
            </w:pPr>
            <w:r w:rsidRPr="00643109">
              <w:rPr>
                <w:rFonts w:eastAsiaTheme="minorEastAsia"/>
                <w:color w:val="000000" w:themeColor="text1"/>
                <w:sz w:val="24"/>
              </w:rPr>
              <w:t>期间因拆分变动份额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r>
      <w:tr w:rsidR="0027607F" w:rsidRPr="00643109" w:rsidTr="00277349">
        <w:trPr>
          <w:trHeight w:val="340"/>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spacing w:line="360" w:lineRule="auto"/>
              <w:rPr>
                <w:rFonts w:eastAsiaTheme="minorEastAsia"/>
                <w:color w:val="000000" w:themeColor="text1"/>
                <w:sz w:val="24"/>
              </w:rPr>
            </w:pPr>
            <w:r w:rsidRPr="00643109">
              <w:rPr>
                <w:rFonts w:eastAsiaTheme="minorEastAsia"/>
                <w:color w:val="000000" w:themeColor="text1"/>
                <w:sz w:val="24"/>
              </w:rPr>
              <w:t>减：期间赎回</w:t>
            </w:r>
            <w:r w:rsidRPr="00643109">
              <w:rPr>
                <w:rFonts w:eastAsiaTheme="minorEastAsia"/>
                <w:color w:val="000000" w:themeColor="text1"/>
                <w:sz w:val="24"/>
              </w:rPr>
              <w:t>/</w:t>
            </w:r>
            <w:r w:rsidRPr="00643109">
              <w:rPr>
                <w:rFonts w:eastAsiaTheme="minorEastAsia"/>
                <w:color w:val="000000" w:themeColor="text1"/>
                <w:sz w:val="24"/>
              </w:rPr>
              <w:t>卖出总份额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388,702,802.05</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891,886,984.13</w:t>
            </w:r>
          </w:p>
        </w:tc>
      </w:tr>
      <w:tr w:rsidR="0027607F" w:rsidRPr="00643109" w:rsidTr="00277349">
        <w:trPr>
          <w:trHeight w:val="340"/>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spacing w:line="360" w:lineRule="auto"/>
              <w:rPr>
                <w:rFonts w:eastAsiaTheme="minorEastAsia"/>
                <w:color w:val="000000" w:themeColor="text1"/>
                <w:sz w:val="24"/>
              </w:rPr>
            </w:pPr>
            <w:r w:rsidRPr="00643109">
              <w:rPr>
                <w:rFonts w:eastAsiaTheme="minorEastAsia"/>
                <w:color w:val="000000" w:themeColor="text1"/>
                <w:sz w:val="24"/>
              </w:rPr>
              <w:t>期末持有的基金份额</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51,205,278.84</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r>
      <w:tr w:rsidR="0027607F" w:rsidRPr="00643109" w:rsidTr="00277349">
        <w:trPr>
          <w:trHeight w:val="340"/>
        </w:trPr>
        <w:tc>
          <w:tcPr>
            <w:tcW w:w="2041" w:type="dxa"/>
            <w:tcBorders>
              <w:top w:val="single" w:sz="4" w:space="0" w:color="000000"/>
              <w:left w:val="single" w:sz="4" w:space="0" w:color="000000"/>
              <w:bottom w:val="single" w:sz="4" w:space="0" w:color="000000"/>
              <w:right w:val="single" w:sz="4" w:space="0" w:color="000000"/>
            </w:tcBorders>
            <w:vAlign w:val="center"/>
            <w:hideMark/>
          </w:tcPr>
          <w:p w:rsidR="0027607F" w:rsidRPr="00643109" w:rsidRDefault="0027607F" w:rsidP="00277349">
            <w:pPr>
              <w:spacing w:line="360" w:lineRule="auto"/>
              <w:rPr>
                <w:rFonts w:eastAsiaTheme="minorEastAsia"/>
                <w:color w:val="000000" w:themeColor="text1"/>
                <w:sz w:val="24"/>
              </w:rPr>
            </w:pPr>
            <w:r w:rsidRPr="00643109">
              <w:rPr>
                <w:rFonts w:eastAsiaTheme="minorEastAsia"/>
                <w:color w:val="000000" w:themeColor="text1"/>
                <w:sz w:val="24"/>
              </w:rPr>
              <w:t>期末持有的基金份额占基金总份额比例</w:t>
            </w:r>
          </w:p>
        </w:tc>
        <w:tc>
          <w:tcPr>
            <w:tcW w:w="1703"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0.87%</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c>
          <w:tcPr>
            <w:tcW w:w="1872" w:type="dxa"/>
            <w:tcBorders>
              <w:top w:val="single" w:sz="4" w:space="0" w:color="000000"/>
              <w:left w:val="single" w:sz="4" w:space="0" w:color="000000"/>
              <w:bottom w:val="single" w:sz="4" w:space="0" w:color="000000"/>
              <w:right w:val="single" w:sz="4" w:space="0" w:color="000000"/>
            </w:tcBorders>
            <w:vAlign w:val="bottom"/>
            <w:hideMark/>
          </w:tcPr>
          <w:p w:rsidR="0027607F" w:rsidRPr="00643109" w:rsidRDefault="0027607F" w:rsidP="00277349">
            <w:pPr>
              <w:spacing w:line="360" w:lineRule="auto"/>
              <w:jc w:val="right"/>
              <w:rPr>
                <w:rFonts w:eastAsiaTheme="minorEastAsia"/>
                <w:color w:val="000000" w:themeColor="text1"/>
                <w:sz w:val="24"/>
              </w:rPr>
            </w:pPr>
            <w:r w:rsidRPr="00643109">
              <w:rPr>
                <w:rFonts w:eastAsiaTheme="minorEastAsia"/>
                <w:color w:val="000000" w:themeColor="text1"/>
                <w:sz w:val="24"/>
              </w:rPr>
              <w:t>-</w:t>
            </w:r>
          </w:p>
        </w:tc>
      </w:tr>
    </w:tbl>
    <w:p w:rsidR="005C48D6" w:rsidRDefault="008F0294">
      <w:pPr>
        <w:tabs>
          <w:tab w:val="left" w:pos="426"/>
        </w:tabs>
        <w:spacing w:line="360" w:lineRule="auto"/>
        <w:ind w:firstLineChars="200" w:firstLine="480"/>
        <w:jc w:val="left"/>
        <w:rPr>
          <w:rFonts w:eastAsiaTheme="minorEastAsia"/>
          <w:color w:val="000000" w:themeColor="text1"/>
          <w:kern w:val="0"/>
          <w:sz w:val="24"/>
        </w:rPr>
      </w:pPr>
      <w:r>
        <w:rPr>
          <w:rFonts w:eastAsiaTheme="minorEastAsia"/>
          <w:color w:val="000000" w:themeColor="text1"/>
          <w:kern w:val="0"/>
          <w:sz w:val="24"/>
        </w:rPr>
        <w:t>注：</w:t>
      </w:r>
      <w:r>
        <w:rPr>
          <w:rFonts w:eastAsiaTheme="minorEastAsia"/>
          <w:color w:val="000000" w:themeColor="text1"/>
          <w:kern w:val="0"/>
          <w:sz w:val="24"/>
        </w:rPr>
        <w:t xml:space="preserve">1. </w:t>
      </w:r>
      <w:r>
        <w:rPr>
          <w:rFonts w:eastAsiaTheme="minorEastAsia"/>
          <w:color w:val="000000" w:themeColor="text1"/>
          <w:kern w:val="0"/>
          <w:sz w:val="24"/>
        </w:rPr>
        <w:t>期间申购</w:t>
      </w:r>
      <w:r>
        <w:rPr>
          <w:rFonts w:eastAsiaTheme="minorEastAsia"/>
          <w:color w:val="000000" w:themeColor="text1"/>
          <w:kern w:val="0"/>
          <w:sz w:val="24"/>
        </w:rPr>
        <w:t>/</w:t>
      </w:r>
      <w:r>
        <w:rPr>
          <w:rFonts w:eastAsiaTheme="minorEastAsia"/>
          <w:color w:val="000000" w:themeColor="text1"/>
          <w:kern w:val="0"/>
          <w:sz w:val="24"/>
        </w:rPr>
        <w:t>买入含红利再投、转换入份额；赎回</w:t>
      </w:r>
      <w:r>
        <w:rPr>
          <w:rFonts w:eastAsiaTheme="minorEastAsia"/>
          <w:color w:val="000000" w:themeColor="text1"/>
          <w:kern w:val="0"/>
          <w:sz w:val="24"/>
        </w:rPr>
        <w:t>/</w:t>
      </w:r>
      <w:r>
        <w:rPr>
          <w:rFonts w:eastAsiaTheme="minorEastAsia"/>
          <w:color w:val="000000" w:themeColor="text1"/>
          <w:kern w:val="0"/>
          <w:sz w:val="24"/>
        </w:rPr>
        <w:t>卖出含转换出份额。</w:t>
      </w:r>
    </w:p>
    <w:p w:rsidR="006D141C" w:rsidRPr="009A7486" w:rsidRDefault="0027607F" w:rsidP="009A7486">
      <w:pPr>
        <w:tabs>
          <w:tab w:val="left" w:pos="426"/>
        </w:tabs>
        <w:spacing w:line="360" w:lineRule="auto"/>
        <w:ind w:firstLineChars="200" w:firstLine="480"/>
        <w:jc w:val="left"/>
        <w:rPr>
          <w:rFonts w:eastAsiaTheme="minorEastAsia"/>
          <w:color w:val="000000" w:themeColor="text1"/>
          <w:kern w:val="0"/>
          <w:sz w:val="24"/>
        </w:rPr>
      </w:pPr>
      <w:r w:rsidRPr="00643109">
        <w:rPr>
          <w:rFonts w:eastAsiaTheme="minorEastAsia"/>
          <w:color w:val="000000" w:themeColor="text1"/>
          <w:kern w:val="0"/>
          <w:sz w:val="24"/>
        </w:rPr>
        <w:t xml:space="preserve">2. </w:t>
      </w:r>
      <w:r w:rsidRPr="00643109">
        <w:rPr>
          <w:rFonts w:eastAsiaTheme="minorEastAsia"/>
          <w:color w:val="000000" w:themeColor="text1"/>
          <w:kern w:val="0"/>
          <w:sz w:val="24"/>
        </w:rPr>
        <w:t>基金管理人国投瑞银在本年度申购和赎回本基金的交易委托国投瑞银基金管理有限公司直销办理，适用费率为</w:t>
      </w:r>
      <w:r w:rsidRPr="00643109">
        <w:rPr>
          <w:rFonts w:eastAsiaTheme="minorEastAsia"/>
          <w:color w:val="000000" w:themeColor="text1"/>
          <w:kern w:val="0"/>
          <w:sz w:val="24"/>
        </w:rPr>
        <w:t>0.00%</w:t>
      </w:r>
      <w:r w:rsidRPr="00643109">
        <w:rPr>
          <w:rFonts w:eastAsiaTheme="minorEastAsia"/>
          <w:color w:val="000000" w:themeColor="text1"/>
          <w:kern w:val="0"/>
          <w:sz w:val="24"/>
        </w:rPr>
        <w:t>。</w:t>
      </w:r>
    </w:p>
    <w:p w:rsidR="006D141C" w:rsidRPr="009A7486" w:rsidRDefault="006D141C" w:rsidP="002855D4">
      <w:pPr>
        <w:autoSpaceDE w:val="0"/>
        <w:autoSpaceDN w:val="0"/>
        <w:adjustRightInd w:val="0"/>
        <w:spacing w:beforeLines="100"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7.4.8.4.</w:t>
      </w:r>
      <w:r w:rsidR="008A28D4" w:rsidRPr="009A7486">
        <w:rPr>
          <w:rFonts w:eastAsiaTheme="minorEastAsia"/>
          <w:b/>
          <w:bCs/>
          <w:color w:val="000000" w:themeColor="text1"/>
          <w:kern w:val="0"/>
          <w:sz w:val="24"/>
        </w:rPr>
        <w:t>2</w:t>
      </w:r>
      <w:r w:rsidRPr="009A7486">
        <w:rPr>
          <w:rFonts w:eastAsiaTheme="minorEastAsia"/>
          <w:b/>
          <w:bCs/>
          <w:color w:val="000000" w:themeColor="text1"/>
          <w:kern w:val="0"/>
          <w:sz w:val="24"/>
        </w:rPr>
        <w:t>报告期末除基金管理人之外的其他关联方投资本基金的情况</w:t>
      </w:r>
    </w:p>
    <w:p w:rsidR="006D5CCC" w:rsidRPr="009A7486" w:rsidRDefault="006D5CCC" w:rsidP="00480D5A">
      <w:pPr>
        <w:widowControl/>
        <w:spacing w:line="360" w:lineRule="auto"/>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p>
    <w:p w:rsidR="00487AB1" w:rsidRPr="009A7486" w:rsidRDefault="00487AB1" w:rsidP="004B36C2">
      <w:pPr>
        <w:adjustRightInd w:val="0"/>
        <w:snapToGrid w:val="0"/>
        <w:spacing w:line="360" w:lineRule="auto"/>
        <w:jc w:val="right"/>
        <w:rPr>
          <w:rFonts w:eastAsiaTheme="minorEastAsia"/>
          <w:color w:val="000000" w:themeColor="text1"/>
          <w:sz w:val="24"/>
        </w:rPr>
      </w:pPr>
      <w:r w:rsidRPr="009A7486">
        <w:rPr>
          <w:rFonts w:eastAsiaTheme="minorEastAsia"/>
          <w:color w:val="000000" w:themeColor="text1"/>
          <w:sz w:val="24"/>
        </w:rPr>
        <w:t>份额单位：份</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4"/>
        <w:gridCol w:w="2095"/>
        <w:gridCol w:w="1627"/>
        <w:gridCol w:w="1921"/>
        <w:gridCol w:w="1693"/>
      </w:tblGrid>
      <w:tr w:rsidR="00604AF1" w:rsidRPr="009A7486" w:rsidTr="00480D5A">
        <w:tc>
          <w:tcPr>
            <w:tcW w:w="2024" w:type="dxa"/>
            <w:vMerge w:val="restart"/>
            <w:tcBorders>
              <w:top w:val="single" w:sz="4" w:space="0" w:color="000000"/>
              <w:left w:val="single" w:sz="4" w:space="0" w:color="000000"/>
              <w:bottom w:val="single" w:sz="4" w:space="0" w:color="000000"/>
              <w:right w:val="single" w:sz="4" w:space="0" w:color="000000"/>
            </w:tcBorders>
            <w:vAlign w:val="center"/>
            <w:hideMark/>
          </w:tcPr>
          <w:p w:rsidR="00604AF1" w:rsidRPr="009A7486" w:rsidRDefault="00604AF1" w:rsidP="00480D5A">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关联方名称</w:t>
            </w:r>
          </w:p>
        </w:tc>
        <w:tc>
          <w:tcPr>
            <w:tcW w:w="3722"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9A7486" w:rsidRDefault="00604AF1" w:rsidP="00480D5A">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r w:rsidRPr="009A7486">
              <w:rPr>
                <w:rFonts w:eastAsiaTheme="minorEastAsia"/>
                <w:color w:val="000000" w:themeColor="text1"/>
                <w:sz w:val="24"/>
              </w:rPr>
              <w:t>本期末</w:t>
            </w:r>
          </w:p>
          <w:p w:rsidR="00604AF1" w:rsidRPr="009A7486" w:rsidRDefault="00604AF1" w:rsidP="00480D5A">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p>
        </w:tc>
        <w:tc>
          <w:tcPr>
            <w:tcW w:w="3614" w:type="dxa"/>
            <w:gridSpan w:val="2"/>
            <w:tcBorders>
              <w:top w:val="single" w:sz="4" w:space="0" w:color="000000"/>
              <w:left w:val="single" w:sz="4" w:space="0" w:color="000000"/>
              <w:bottom w:val="single" w:sz="4" w:space="0" w:color="000000"/>
              <w:right w:val="single" w:sz="4" w:space="0" w:color="000000"/>
            </w:tcBorders>
            <w:vAlign w:val="center"/>
            <w:hideMark/>
          </w:tcPr>
          <w:p w:rsidR="00604AF1" w:rsidRPr="009A7486" w:rsidRDefault="00604AF1" w:rsidP="00480D5A">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r w:rsidRPr="009A7486">
              <w:rPr>
                <w:rFonts w:eastAsiaTheme="minorEastAsia"/>
                <w:color w:val="000000" w:themeColor="text1"/>
                <w:sz w:val="24"/>
              </w:rPr>
              <w:t>上年度末</w:t>
            </w:r>
          </w:p>
          <w:p w:rsidR="00604AF1" w:rsidRPr="009A7486" w:rsidRDefault="00604AF1" w:rsidP="00480D5A">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2017</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p>
        </w:tc>
      </w:tr>
      <w:tr w:rsidR="00604AF1" w:rsidRPr="009A7486" w:rsidTr="00480D5A">
        <w:tc>
          <w:tcPr>
            <w:tcW w:w="2024" w:type="dxa"/>
            <w:vMerge/>
            <w:tcBorders>
              <w:top w:val="single" w:sz="4" w:space="0" w:color="000000"/>
              <w:left w:val="single" w:sz="4" w:space="0" w:color="000000"/>
              <w:bottom w:val="single" w:sz="4" w:space="0" w:color="000000"/>
              <w:right w:val="single" w:sz="4" w:space="0" w:color="000000"/>
            </w:tcBorders>
            <w:vAlign w:val="center"/>
            <w:hideMark/>
          </w:tcPr>
          <w:p w:rsidR="00604AF1" w:rsidRPr="009A7486" w:rsidRDefault="00604AF1" w:rsidP="00480D5A">
            <w:pPr>
              <w:widowControl/>
              <w:spacing w:line="360" w:lineRule="auto"/>
              <w:jc w:val="left"/>
              <w:rPr>
                <w:rFonts w:eastAsiaTheme="minorEastAsia"/>
                <w:color w:val="000000" w:themeColor="text1"/>
                <w:sz w:val="24"/>
              </w:rPr>
            </w:pPr>
          </w:p>
        </w:tc>
        <w:tc>
          <w:tcPr>
            <w:tcW w:w="2095" w:type="dxa"/>
            <w:tcBorders>
              <w:top w:val="single" w:sz="4" w:space="0" w:color="000000"/>
              <w:left w:val="single" w:sz="4" w:space="0" w:color="000000"/>
              <w:bottom w:val="single" w:sz="4" w:space="0" w:color="000000"/>
              <w:right w:val="single" w:sz="4" w:space="0" w:color="000000"/>
            </w:tcBorders>
            <w:vAlign w:val="center"/>
            <w:hideMark/>
          </w:tcPr>
          <w:p w:rsidR="00604AF1" w:rsidRPr="009A7486" w:rsidRDefault="00604AF1" w:rsidP="00480D5A">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持有的</w:t>
            </w:r>
          </w:p>
          <w:p w:rsidR="00604AF1" w:rsidRPr="009A7486" w:rsidRDefault="00604AF1" w:rsidP="00480D5A">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基金份额</w:t>
            </w:r>
          </w:p>
        </w:tc>
        <w:tc>
          <w:tcPr>
            <w:tcW w:w="1627" w:type="dxa"/>
            <w:tcBorders>
              <w:top w:val="single" w:sz="4" w:space="0" w:color="000000"/>
              <w:left w:val="single" w:sz="4" w:space="0" w:color="000000"/>
              <w:bottom w:val="single" w:sz="4" w:space="0" w:color="000000"/>
              <w:right w:val="single" w:sz="4" w:space="0" w:color="000000"/>
            </w:tcBorders>
            <w:vAlign w:val="center"/>
            <w:hideMark/>
          </w:tcPr>
          <w:p w:rsidR="00604AF1" w:rsidRPr="009A7486" w:rsidRDefault="00604AF1" w:rsidP="00480D5A">
            <w:pPr>
              <w:widowControl/>
              <w:autoSpaceDE w:val="0"/>
              <w:autoSpaceDN w:val="0"/>
              <w:spacing w:line="360" w:lineRule="auto"/>
              <w:ind w:leftChars="-51" w:left="-107" w:rightChars="-51" w:right="-107"/>
              <w:jc w:val="center"/>
              <w:textAlignment w:val="bottom"/>
              <w:rPr>
                <w:rFonts w:eastAsiaTheme="minorEastAsia"/>
                <w:color w:val="000000" w:themeColor="text1"/>
                <w:sz w:val="24"/>
              </w:rPr>
            </w:pPr>
            <w:r w:rsidRPr="009A7486">
              <w:rPr>
                <w:rFonts w:eastAsiaTheme="minorEastAsia"/>
                <w:color w:val="000000" w:themeColor="text1"/>
                <w:sz w:val="24"/>
              </w:rPr>
              <w:t>持有的基金份额占基金总份额的比例</w:t>
            </w:r>
          </w:p>
        </w:tc>
        <w:tc>
          <w:tcPr>
            <w:tcW w:w="1921" w:type="dxa"/>
            <w:tcBorders>
              <w:top w:val="single" w:sz="4" w:space="0" w:color="000000"/>
              <w:left w:val="single" w:sz="4" w:space="0" w:color="000000"/>
              <w:bottom w:val="single" w:sz="4" w:space="0" w:color="000000"/>
              <w:right w:val="single" w:sz="4" w:space="0" w:color="000000"/>
            </w:tcBorders>
            <w:vAlign w:val="center"/>
            <w:hideMark/>
          </w:tcPr>
          <w:p w:rsidR="00604AF1" w:rsidRPr="009A7486" w:rsidRDefault="00604AF1" w:rsidP="00480D5A">
            <w:pPr>
              <w:spacing w:line="360" w:lineRule="auto"/>
              <w:jc w:val="center"/>
              <w:rPr>
                <w:rFonts w:eastAsiaTheme="minorEastAsia"/>
                <w:color w:val="000000" w:themeColor="text1"/>
                <w:sz w:val="24"/>
              </w:rPr>
            </w:pPr>
            <w:r w:rsidRPr="009A7486">
              <w:rPr>
                <w:rFonts w:eastAsiaTheme="minorEastAsia"/>
                <w:color w:val="000000" w:themeColor="text1"/>
                <w:sz w:val="24"/>
              </w:rPr>
              <w:t>持有的</w:t>
            </w:r>
          </w:p>
          <w:p w:rsidR="00604AF1" w:rsidRPr="009A7486" w:rsidRDefault="00604AF1" w:rsidP="00480D5A">
            <w:pPr>
              <w:spacing w:line="360" w:lineRule="auto"/>
              <w:jc w:val="center"/>
              <w:rPr>
                <w:rFonts w:eastAsiaTheme="minorEastAsia"/>
                <w:color w:val="000000" w:themeColor="text1"/>
                <w:sz w:val="24"/>
              </w:rPr>
            </w:pPr>
            <w:r w:rsidRPr="009A7486">
              <w:rPr>
                <w:rFonts w:eastAsiaTheme="minorEastAsia"/>
                <w:color w:val="000000" w:themeColor="text1"/>
                <w:sz w:val="24"/>
              </w:rPr>
              <w:t>基金份额</w:t>
            </w:r>
          </w:p>
        </w:tc>
        <w:tc>
          <w:tcPr>
            <w:tcW w:w="1693" w:type="dxa"/>
            <w:tcBorders>
              <w:top w:val="single" w:sz="4" w:space="0" w:color="000000"/>
              <w:left w:val="single" w:sz="4" w:space="0" w:color="000000"/>
              <w:bottom w:val="single" w:sz="4" w:space="0" w:color="000000"/>
              <w:right w:val="single" w:sz="4" w:space="0" w:color="000000"/>
            </w:tcBorders>
            <w:vAlign w:val="center"/>
            <w:hideMark/>
          </w:tcPr>
          <w:p w:rsidR="00604AF1" w:rsidRPr="009A7486" w:rsidRDefault="00604AF1" w:rsidP="00480D5A">
            <w:pPr>
              <w:spacing w:line="360" w:lineRule="auto"/>
              <w:jc w:val="center"/>
              <w:rPr>
                <w:rFonts w:eastAsiaTheme="minorEastAsia"/>
                <w:color w:val="000000" w:themeColor="text1"/>
                <w:sz w:val="24"/>
              </w:rPr>
            </w:pPr>
            <w:r w:rsidRPr="009A7486">
              <w:rPr>
                <w:rFonts w:eastAsiaTheme="minorEastAsia"/>
                <w:color w:val="000000" w:themeColor="text1"/>
                <w:sz w:val="24"/>
              </w:rPr>
              <w:t>持有的基金份额占基金总份额的比例</w:t>
            </w:r>
          </w:p>
        </w:tc>
      </w:tr>
      <w:tr w:rsidR="005C48D6">
        <w:tc>
          <w:tcPr>
            <w:tcW w:w="2024" w:type="dxa"/>
            <w:vAlign w:val="center"/>
          </w:tcPr>
          <w:p w:rsidR="005C48D6" w:rsidRDefault="008F0294">
            <w:pPr>
              <w:jc w:val="left"/>
            </w:pPr>
            <w:r>
              <w:rPr>
                <w:rFonts w:eastAsiaTheme="minorEastAsia"/>
                <w:color w:val="000000" w:themeColor="text1"/>
                <w:sz w:val="24"/>
              </w:rPr>
              <w:t>国投瑞银资本</w:t>
            </w:r>
          </w:p>
        </w:tc>
        <w:tc>
          <w:tcPr>
            <w:tcW w:w="2095" w:type="dxa"/>
            <w:vAlign w:val="center"/>
          </w:tcPr>
          <w:p w:rsidR="005C48D6" w:rsidRDefault="008F0294">
            <w:pPr>
              <w:jc w:val="right"/>
            </w:pPr>
            <w:r>
              <w:rPr>
                <w:rFonts w:eastAsiaTheme="minorEastAsia"/>
                <w:color w:val="000000" w:themeColor="text1"/>
                <w:sz w:val="24"/>
              </w:rPr>
              <w:t>124,175,550.69</w:t>
            </w:r>
          </w:p>
        </w:tc>
        <w:tc>
          <w:tcPr>
            <w:tcW w:w="1627" w:type="dxa"/>
            <w:vAlign w:val="center"/>
          </w:tcPr>
          <w:p w:rsidR="005C48D6" w:rsidRDefault="008F0294">
            <w:pPr>
              <w:jc w:val="right"/>
            </w:pPr>
            <w:r>
              <w:rPr>
                <w:rFonts w:eastAsiaTheme="minorEastAsia"/>
                <w:color w:val="000000" w:themeColor="text1"/>
                <w:sz w:val="24"/>
              </w:rPr>
              <w:t>2.10%</w:t>
            </w:r>
          </w:p>
        </w:tc>
        <w:tc>
          <w:tcPr>
            <w:tcW w:w="1921" w:type="dxa"/>
            <w:vAlign w:val="center"/>
          </w:tcPr>
          <w:p w:rsidR="005C48D6" w:rsidRDefault="008F0294">
            <w:pPr>
              <w:jc w:val="right"/>
            </w:pPr>
            <w:r>
              <w:rPr>
                <w:rFonts w:eastAsiaTheme="minorEastAsia"/>
                <w:color w:val="000000" w:themeColor="text1"/>
                <w:sz w:val="24"/>
              </w:rPr>
              <w:t>-</w:t>
            </w:r>
          </w:p>
        </w:tc>
        <w:tc>
          <w:tcPr>
            <w:tcW w:w="1693" w:type="dxa"/>
            <w:vAlign w:val="center"/>
          </w:tcPr>
          <w:p w:rsidR="005C48D6" w:rsidRDefault="008F0294">
            <w:pPr>
              <w:jc w:val="right"/>
            </w:pPr>
            <w:r>
              <w:rPr>
                <w:rFonts w:eastAsiaTheme="minorEastAsia"/>
                <w:color w:val="000000" w:themeColor="text1"/>
                <w:sz w:val="24"/>
              </w:rPr>
              <w:t>-</w:t>
            </w:r>
          </w:p>
        </w:tc>
      </w:tr>
      <w:tr w:rsidR="005C48D6">
        <w:tc>
          <w:tcPr>
            <w:tcW w:w="2024" w:type="dxa"/>
            <w:vAlign w:val="center"/>
          </w:tcPr>
          <w:p w:rsidR="005C48D6" w:rsidRDefault="008F0294">
            <w:pPr>
              <w:jc w:val="left"/>
            </w:pPr>
            <w:r>
              <w:rPr>
                <w:rFonts w:eastAsiaTheme="minorEastAsia"/>
                <w:color w:val="000000" w:themeColor="text1"/>
                <w:sz w:val="24"/>
              </w:rPr>
              <w:t>UBS AG</w:t>
            </w:r>
          </w:p>
        </w:tc>
        <w:tc>
          <w:tcPr>
            <w:tcW w:w="2095" w:type="dxa"/>
            <w:vAlign w:val="center"/>
          </w:tcPr>
          <w:p w:rsidR="005C48D6" w:rsidRDefault="008F0294">
            <w:pPr>
              <w:jc w:val="right"/>
            </w:pPr>
            <w:r>
              <w:rPr>
                <w:rFonts w:eastAsiaTheme="minorEastAsia"/>
                <w:color w:val="000000" w:themeColor="text1"/>
                <w:sz w:val="24"/>
              </w:rPr>
              <w:t>-</w:t>
            </w:r>
          </w:p>
        </w:tc>
        <w:tc>
          <w:tcPr>
            <w:tcW w:w="1627" w:type="dxa"/>
            <w:vAlign w:val="center"/>
          </w:tcPr>
          <w:p w:rsidR="005C48D6" w:rsidRDefault="008F0294">
            <w:pPr>
              <w:jc w:val="right"/>
            </w:pPr>
            <w:r>
              <w:rPr>
                <w:rFonts w:eastAsiaTheme="minorEastAsia"/>
                <w:color w:val="000000" w:themeColor="text1"/>
                <w:sz w:val="24"/>
              </w:rPr>
              <w:t>-</w:t>
            </w:r>
          </w:p>
        </w:tc>
        <w:tc>
          <w:tcPr>
            <w:tcW w:w="1921" w:type="dxa"/>
            <w:vAlign w:val="center"/>
          </w:tcPr>
          <w:p w:rsidR="005C48D6" w:rsidRDefault="008F0294">
            <w:pPr>
              <w:jc w:val="right"/>
            </w:pPr>
            <w:r>
              <w:rPr>
                <w:rFonts w:eastAsiaTheme="minorEastAsia"/>
                <w:color w:val="000000" w:themeColor="text1"/>
                <w:sz w:val="24"/>
              </w:rPr>
              <w:t>-</w:t>
            </w:r>
          </w:p>
        </w:tc>
        <w:tc>
          <w:tcPr>
            <w:tcW w:w="1693" w:type="dxa"/>
            <w:vAlign w:val="center"/>
          </w:tcPr>
          <w:p w:rsidR="005C48D6" w:rsidRDefault="008F0294">
            <w:pPr>
              <w:jc w:val="right"/>
            </w:pPr>
            <w:r>
              <w:rPr>
                <w:rFonts w:eastAsiaTheme="minorEastAsia"/>
                <w:color w:val="000000" w:themeColor="text1"/>
                <w:sz w:val="24"/>
              </w:rPr>
              <w:t>-</w:t>
            </w:r>
          </w:p>
        </w:tc>
      </w:tr>
      <w:tr w:rsidR="005C48D6">
        <w:tc>
          <w:tcPr>
            <w:tcW w:w="2024" w:type="dxa"/>
            <w:vAlign w:val="center"/>
          </w:tcPr>
          <w:p w:rsidR="005C48D6" w:rsidRDefault="008F0294">
            <w:pPr>
              <w:jc w:val="left"/>
            </w:pPr>
            <w:r>
              <w:rPr>
                <w:rFonts w:eastAsiaTheme="minorEastAsia"/>
                <w:color w:val="000000" w:themeColor="text1"/>
                <w:sz w:val="24"/>
              </w:rPr>
              <w:t>安信证券</w:t>
            </w:r>
          </w:p>
        </w:tc>
        <w:tc>
          <w:tcPr>
            <w:tcW w:w="2095" w:type="dxa"/>
            <w:vAlign w:val="center"/>
          </w:tcPr>
          <w:p w:rsidR="005C48D6" w:rsidRDefault="008F0294">
            <w:pPr>
              <w:jc w:val="right"/>
            </w:pPr>
            <w:r>
              <w:rPr>
                <w:rFonts w:eastAsiaTheme="minorEastAsia"/>
                <w:color w:val="000000" w:themeColor="text1"/>
                <w:sz w:val="24"/>
              </w:rPr>
              <w:t>-</w:t>
            </w:r>
          </w:p>
        </w:tc>
        <w:tc>
          <w:tcPr>
            <w:tcW w:w="1627" w:type="dxa"/>
            <w:vAlign w:val="center"/>
          </w:tcPr>
          <w:p w:rsidR="005C48D6" w:rsidRDefault="008F0294">
            <w:pPr>
              <w:jc w:val="right"/>
            </w:pPr>
            <w:r>
              <w:rPr>
                <w:rFonts w:eastAsiaTheme="minorEastAsia"/>
                <w:color w:val="000000" w:themeColor="text1"/>
                <w:sz w:val="24"/>
              </w:rPr>
              <w:t>-</w:t>
            </w:r>
          </w:p>
        </w:tc>
        <w:tc>
          <w:tcPr>
            <w:tcW w:w="1921" w:type="dxa"/>
            <w:vAlign w:val="center"/>
          </w:tcPr>
          <w:p w:rsidR="005C48D6" w:rsidRDefault="008F0294">
            <w:pPr>
              <w:jc w:val="right"/>
            </w:pPr>
            <w:r>
              <w:rPr>
                <w:rFonts w:eastAsiaTheme="minorEastAsia"/>
                <w:color w:val="000000" w:themeColor="text1"/>
                <w:sz w:val="24"/>
              </w:rPr>
              <w:t>1,000,000,000.00</w:t>
            </w:r>
          </w:p>
        </w:tc>
        <w:tc>
          <w:tcPr>
            <w:tcW w:w="1693" w:type="dxa"/>
            <w:vAlign w:val="center"/>
          </w:tcPr>
          <w:p w:rsidR="005C48D6" w:rsidRDefault="008F0294">
            <w:pPr>
              <w:jc w:val="right"/>
            </w:pPr>
            <w:r>
              <w:rPr>
                <w:rFonts w:eastAsiaTheme="minorEastAsia"/>
                <w:color w:val="000000" w:themeColor="text1"/>
                <w:sz w:val="24"/>
              </w:rPr>
              <w:t>3.39%</w:t>
            </w:r>
          </w:p>
        </w:tc>
      </w:tr>
    </w:tbl>
    <w:p w:rsidR="006D141C" w:rsidRPr="009A7486" w:rsidRDefault="006D141C" w:rsidP="002855D4">
      <w:pPr>
        <w:autoSpaceDE w:val="0"/>
        <w:autoSpaceDN w:val="0"/>
        <w:adjustRightInd w:val="0"/>
        <w:spacing w:beforeLines="100"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7.4.8.</w:t>
      </w:r>
      <w:r w:rsidR="008A28D4" w:rsidRPr="009A7486">
        <w:rPr>
          <w:rFonts w:eastAsiaTheme="minorEastAsia"/>
          <w:b/>
          <w:bCs/>
          <w:color w:val="000000" w:themeColor="text1"/>
          <w:kern w:val="0"/>
          <w:sz w:val="24"/>
        </w:rPr>
        <w:t>5</w:t>
      </w:r>
      <w:r w:rsidRPr="009A7486">
        <w:rPr>
          <w:rFonts w:eastAsiaTheme="minorEastAsia"/>
          <w:b/>
          <w:bCs/>
          <w:color w:val="000000" w:themeColor="text1"/>
          <w:kern w:val="0"/>
          <w:sz w:val="24"/>
        </w:rPr>
        <w:t>由关联方保管的银行存款余额及当期产生的利息收入</w:t>
      </w:r>
    </w:p>
    <w:p w:rsidR="006D141C" w:rsidRPr="009A7486" w:rsidRDefault="005B4215" w:rsidP="004B36C2">
      <w:pPr>
        <w:autoSpaceDE w:val="0"/>
        <w:autoSpaceDN w:val="0"/>
        <w:adjustRightInd w:val="0"/>
        <w:spacing w:before="29" w:line="360" w:lineRule="auto"/>
        <w:ind w:left="15" w:right="210"/>
        <w:jc w:val="right"/>
        <w:rPr>
          <w:rFonts w:eastAsiaTheme="minorEastAsia"/>
          <w:color w:val="000000" w:themeColor="text1"/>
          <w:kern w:val="0"/>
          <w:sz w:val="24"/>
        </w:rPr>
      </w:pPr>
      <w:r w:rsidRPr="009A7486">
        <w:rPr>
          <w:rFonts w:eastAsiaTheme="minorEastAsia"/>
          <w:color w:val="000000" w:themeColor="text1"/>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0"/>
        <w:gridCol w:w="1800"/>
        <w:gridCol w:w="1800"/>
        <w:gridCol w:w="1800"/>
        <w:gridCol w:w="1800"/>
      </w:tblGrid>
      <w:tr w:rsidR="002C233F" w:rsidRPr="009A7486" w:rsidTr="006D141C">
        <w:tc>
          <w:tcPr>
            <w:tcW w:w="180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关联方名称</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本期</w:t>
            </w:r>
          </w:p>
          <w:p w:rsidR="006D141C" w:rsidRPr="009A7486" w:rsidRDefault="006D141C" w:rsidP="004B36C2">
            <w:pPr>
              <w:widowControl/>
              <w:autoSpaceDE w:val="0"/>
              <w:autoSpaceDN w:val="0"/>
              <w:spacing w:line="360" w:lineRule="auto"/>
              <w:ind w:right="-15"/>
              <w:jc w:val="center"/>
              <w:textAlignment w:val="bottom"/>
              <w:rPr>
                <w:rFonts w:eastAsiaTheme="minorEastAsia"/>
                <w:color w:val="000000" w:themeColor="text1"/>
                <w:sz w:val="24"/>
              </w:rPr>
            </w:pP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w:t>
            </w:r>
            <w:r w:rsidRPr="009A7486">
              <w:rPr>
                <w:rFonts w:eastAsiaTheme="minorEastAsia"/>
                <w:color w:val="000000" w:themeColor="text1"/>
                <w:sz w:val="24"/>
              </w:rPr>
              <w:t>月</w:t>
            </w:r>
            <w:r w:rsidRPr="009A7486">
              <w:rPr>
                <w:rFonts w:eastAsiaTheme="minorEastAsia"/>
                <w:color w:val="000000" w:themeColor="text1"/>
                <w:sz w:val="24"/>
              </w:rPr>
              <w:t>1</w:t>
            </w:r>
            <w:r w:rsidRPr="009A7486">
              <w:rPr>
                <w:rFonts w:eastAsiaTheme="minorEastAsia"/>
                <w:color w:val="000000" w:themeColor="text1"/>
                <w:sz w:val="24"/>
              </w:rPr>
              <w:t>日至</w:t>
            </w:r>
            <w:r w:rsidRPr="009A7486">
              <w:rPr>
                <w:rFonts w:eastAsiaTheme="minorEastAsia"/>
                <w:color w:val="000000" w:themeColor="text1"/>
                <w:sz w:val="24"/>
              </w:rPr>
              <w:t>2018</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p>
        </w:tc>
        <w:tc>
          <w:tcPr>
            <w:tcW w:w="3600" w:type="dxa"/>
            <w:gridSpan w:val="2"/>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上年度可比期间</w:t>
            </w:r>
          </w:p>
          <w:p w:rsidR="006D141C" w:rsidRPr="009A7486" w:rsidRDefault="006D64C2" w:rsidP="004B36C2">
            <w:pPr>
              <w:widowControl/>
              <w:autoSpaceDE w:val="0"/>
              <w:autoSpaceDN w:val="0"/>
              <w:spacing w:line="360" w:lineRule="auto"/>
              <w:ind w:right="-15"/>
              <w:jc w:val="center"/>
              <w:textAlignment w:val="bottom"/>
              <w:rPr>
                <w:rFonts w:eastAsiaTheme="minorEastAsia"/>
                <w:color w:val="000000" w:themeColor="text1"/>
                <w:kern w:val="0"/>
                <w:sz w:val="24"/>
              </w:rPr>
            </w:pPr>
            <w:r w:rsidRPr="009A7486">
              <w:rPr>
                <w:rFonts w:eastAsiaTheme="minorEastAsia"/>
                <w:color w:val="000000" w:themeColor="text1"/>
                <w:sz w:val="24"/>
              </w:rPr>
              <w:t>2017</w:t>
            </w:r>
            <w:r w:rsidRPr="009A7486">
              <w:rPr>
                <w:rFonts w:eastAsiaTheme="minorEastAsia"/>
                <w:color w:val="000000" w:themeColor="text1"/>
                <w:sz w:val="24"/>
              </w:rPr>
              <w:t>年</w:t>
            </w:r>
            <w:r w:rsidRPr="009A7486">
              <w:rPr>
                <w:rFonts w:eastAsiaTheme="minorEastAsia"/>
                <w:color w:val="000000" w:themeColor="text1"/>
                <w:sz w:val="24"/>
              </w:rPr>
              <w:t>1</w:t>
            </w:r>
            <w:r w:rsidRPr="009A7486">
              <w:rPr>
                <w:rFonts w:eastAsiaTheme="minorEastAsia"/>
                <w:color w:val="000000" w:themeColor="text1"/>
                <w:sz w:val="24"/>
              </w:rPr>
              <w:t>月</w:t>
            </w:r>
            <w:r w:rsidRPr="009A7486">
              <w:rPr>
                <w:rFonts w:eastAsiaTheme="minorEastAsia"/>
                <w:color w:val="000000" w:themeColor="text1"/>
                <w:sz w:val="24"/>
              </w:rPr>
              <w:t>1</w:t>
            </w:r>
            <w:r w:rsidRPr="009A7486">
              <w:rPr>
                <w:rFonts w:eastAsiaTheme="minorEastAsia"/>
                <w:color w:val="000000" w:themeColor="text1"/>
                <w:sz w:val="24"/>
              </w:rPr>
              <w:t>日至</w:t>
            </w:r>
            <w:r w:rsidRPr="009A7486">
              <w:rPr>
                <w:rFonts w:eastAsiaTheme="minorEastAsia"/>
                <w:color w:val="000000" w:themeColor="text1"/>
                <w:sz w:val="24"/>
              </w:rPr>
              <w:t>2017</w:t>
            </w:r>
            <w:r w:rsidRPr="009A7486">
              <w:rPr>
                <w:rFonts w:eastAsiaTheme="minorEastAsia"/>
                <w:color w:val="000000" w:themeColor="text1"/>
                <w:sz w:val="24"/>
              </w:rPr>
              <w:t>年</w:t>
            </w:r>
            <w:r w:rsidRPr="009A7486">
              <w:rPr>
                <w:rFonts w:eastAsiaTheme="minorEastAsia"/>
                <w:color w:val="000000" w:themeColor="text1"/>
                <w:sz w:val="24"/>
              </w:rPr>
              <w:t>12</w:t>
            </w:r>
            <w:r w:rsidRPr="009A7486">
              <w:rPr>
                <w:rFonts w:eastAsiaTheme="minorEastAsia"/>
                <w:color w:val="000000" w:themeColor="text1"/>
                <w:sz w:val="24"/>
              </w:rPr>
              <w:t>月</w:t>
            </w:r>
            <w:r w:rsidRPr="009A7486">
              <w:rPr>
                <w:rFonts w:eastAsiaTheme="minorEastAsia"/>
                <w:color w:val="000000" w:themeColor="text1"/>
                <w:sz w:val="24"/>
              </w:rPr>
              <w:t>31</w:t>
            </w:r>
            <w:r w:rsidRPr="009A7486">
              <w:rPr>
                <w:rFonts w:eastAsiaTheme="minorEastAsia"/>
                <w:color w:val="000000" w:themeColor="text1"/>
                <w:sz w:val="24"/>
              </w:rPr>
              <w:t>日</w:t>
            </w:r>
          </w:p>
        </w:tc>
      </w:tr>
      <w:tr w:rsidR="002C233F" w:rsidRPr="009A7486"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widowControl/>
              <w:spacing w:line="360" w:lineRule="auto"/>
              <w:jc w:val="left"/>
              <w:rPr>
                <w:rFonts w:eastAsiaTheme="minorEastAsia"/>
                <w:color w:val="000000" w:themeColor="text1"/>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当期利息收入</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期末余额</w:t>
            </w: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当期利息收入</w:t>
            </w:r>
          </w:p>
        </w:tc>
      </w:tr>
      <w:tr w:rsidR="005C48D6">
        <w:tc>
          <w:tcPr>
            <w:tcW w:w="1800" w:type="dxa"/>
            <w:vAlign w:val="center"/>
          </w:tcPr>
          <w:p w:rsidR="005C48D6" w:rsidRDefault="008F0294">
            <w:pPr>
              <w:jc w:val="left"/>
            </w:pPr>
            <w:r>
              <w:rPr>
                <w:rFonts w:eastAsiaTheme="minorEastAsia"/>
                <w:color w:val="000000" w:themeColor="text1"/>
                <w:sz w:val="24"/>
              </w:rPr>
              <w:t>中国工商银行</w:t>
            </w:r>
          </w:p>
        </w:tc>
        <w:tc>
          <w:tcPr>
            <w:tcW w:w="1800" w:type="dxa"/>
            <w:vAlign w:val="center"/>
          </w:tcPr>
          <w:p w:rsidR="005C48D6" w:rsidRDefault="008F0294">
            <w:pPr>
              <w:jc w:val="right"/>
            </w:pPr>
            <w:r>
              <w:rPr>
                <w:rFonts w:eastAsiaTheme="minorEastAsia"/>
                <w:color w:val="000000" w:themeColor="text1"/>
                <w:sz w:val="24"/>
              </w:rPr>
              <w:t>21,884,925.87</w:t>
            </w:r>
          </w:p>
        </w:tc>
        <w:tc>
          <w:tcPr>
            <w:tcW w:w="1800" w:type="dxa"/>
            <w:vAlign w:val="center"/>
          </w:tcPr>
          <w:p w:rsidR="005C48D6" w:rsidRDefault="008F0294">
            <w:pPr>
              <w:jc w:val="right"/>
            </w:pPr>
            <w:r>
              <w:rPr>
                <w:rFonts w:eastAsiaTheme="minorEastAsia"/>
                <w:color w:val="000000" w:themeColor="text1"/>
                <w:sz w:val="24"/>
              </w:rPr>
              <w:t>232,058.04</w:t>
            </w:r>
          </w:p>
        </w:tc>
        <w:tc>
          <w:tcPr>
            <w:tcW w:w="1800" w:type="dxa"/>
            <w:vAlign w:val="center"/>
          </w:tcPr>
          <w:p w:rsidR="005C48D6" w:rsidRDefault="008F0294">
            <w:pPr>
              <w:jc w:val="right"/>
            </w:pPr>
            <w:r>
              <w:rPr>
                <w:rFonts w:eastAsiaTheme="minorEastAsia"/>
                <w:color w:val="000000" w:themeColor="text1"/>
                <w:sz w:val="24"/>
              </w:rPr>
              <w:t>37,660,583.83</w:t>
            </w:r>
          </w:p>
        </w:tc>
        <w:tc>
          <w:tcPr>
            <w:tcW w:w="1800" w:type="dxa"/>
            <w:vAlign w:val="center"/>
          </w:tcPr>
          <w:p w:rsidR="005C48D6" w:rsidRDefault="008F0294">
            <w:pPr>
              <w:jc w:val="right"/>
            </w:pPr>
            <w:r>
              <w:rPr>
                <w:rFonts w:eastAsiaTheme="minorEastAsia"/>
                <w:color w:val="000000" w:themeColor="text1"/>
                <w:sz w:val="24"/>
              </w:rPr>
              <w:t>514,474.91</w:t>
            </w:r>
          </w:p>
        </w:tc>
      </w:tr>
    </w:tbl>
    <w:p w:rsidR="005C48D6" w:rsidRDefault="008F0294">
      <w:pPr>
        <w:tabs>
          <w:tab w:val="left" w:pos="426"/>
        </w:tabs>
        <w:spacing w:line="360" w:lineRule="auto"/>
        <w:ind w:firstLineChars="200" w:firstLine="480"/>
        <w:jc w:val="left"/>
        <w:rPr>
          <w:rFonts w:eastAsiaTheme="minorEastAsia"/>
          <w:color w:val="000000" w:themeColor="text1"/>
          <w:kern w:val="0"/>
          <w:sz w:val="24"/>
        </w:rPr>
      </w:pPr>
      <w:r>
        <w:rPr>
          <w:rFonts w:eastAsiaTheme="minorEastAsia"/>
          <w:color w:val="000000" w:themeColor="text1"/>
          <w:kern w:val="0"/>
          <w:sz w:val="24"/>
        </w:rPr>
        <w:t>注：本基金由基金托管人中国工商银行保管的银行存款，按银行约定利率计息。</w:t>
      </w:r>
    </w:p>
    <w:p w:rsidR="006D141C" w:rsidRPr="009A7486" w:rsidRDefault="006D141C" w:rsidP="009A7486">
      <w:pPr>
        <w:tabs>
          <w:tab w:val="left" w:pos="426"/>
        </w:tabs>
        <w:spacing w:line="360" w:lineRule="auto"/>
        <w:ind w:firstLineChars="200" w:firstLine="480"/>
        <w:jc w:val="left"/>
        <w:rPr>
          <w:rFonts w:eastAsiaTheme="minorEastAsia"/>
          <w:color w:val="000000" w:themeColor="text1"/>
          <w:kern w:val="0"/>
          <w:sz w:val="24"/>
        </w:rPr>
      </w:pPr>
    </w:p>
    <w:p w:rsidR="006D141C" w:rsidRPr="009A7486" w:rsidRDefault="006D141C" w:rsidP="002855D4">
      <w:pPr>
        <w:autoSpaceDE w:val="0"/>
        <w:autoSpaceDN w:val="0"/>
        <w:adjustRightInd w:val="0"/>
        <w:spacing w:beforeLines="100"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7.4.8.</w:t>
      </w:r>
      <w:r w:rsidR="008A28D4" w:rsidRPr="009A7486">
        <w:rPr>
          <w:rFonts w:eastAsiaTheme="minorEastAsia"/>
          <w:b/>
          <w:bCs/>
          <w:color w:val="000000" w:themeColor="text1"/>
          <w:kern w:val="0"/>
          <w:sz w:val="24"/>
        </w:rPr>
        <w:t>6</w:t>
      </w:r>
      <w:r w:rsidRPr="009A7486">
        <w:rPr>
          <w:rFonts w:eastAsiaTheme="minorEastAsia"/>
          <w:b/>
          <w:bCs/>
          <w:color w:val="000000" w:themeColor="text1"/>
          <w:kern w:val="0"/>
          <w:sz w:val="24"/>
        </w:rPr>
        <w:t>本基金在承销期内参与关联方承销证券的情况</w:t>
      </w:r>
    </w:p>
    <w:p w:rsidR="006D141C" w:rsidRPr="009A7486" w:rsidRDefault="007A4FCC" w:rsidP="009A7486">
      <w:pPr>
        <w:widowControl/>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本基金本期及上年度可比期间未在承销期内参与关联方承销证券。</w:t>
      </w:r>
    </w:p>
    <w:p w:rsidR="0022330F" w:rsidRPr="00EF2115" w:rsidRDefault="0022330F" w:rsidP="002855D4">
      <w:pPr>
        <w:adjustRightInd w:val="0"/>
        <w:snapToGrid w:val="0"/>
        <w:spacing w:beforeLines="100" w:line="360" w:lineRule="auto"/>
        <w:rPr>
          <w:rFonts w:eastAsiaTheme="minorEastAsia"/>
          <w:b/>
          <w:color w:val="000000" w:themeColor="text1"/>
          <w:sz w:val="24"/>
        </w:rPr>
      </w:pPr>
      <w:r w:rsidRPr="00EF2115">
        <w:rPr>
          <w:rFonts w:eastAsiaTheme="minorEastAsia"/>
          <w:b/>
          <w:bCs/>
          <w:color w:val="000000" w:themeColor="text1"/>
          <w:kern w:val="0"/>
          <w:sz w:val="24"/>
        </w:rPr>
        <w:t xml:space="preserve">7.4.8.7 </w:t>
      </w:r>
      <w:r w:rsidRPr="00EF2115">
        <w:rPr>
          <w:rFonts w:eastAsiaTheme="minorEastAsia"/>
          <w:b/>
          <w:color w:val="000000" w:themeColor="text1"/>
          <w:sz w:val="24"/>
        </w:rPr>
        <w:t>其他关联交易事项的说明</w:t>
      </w:r>
    </w:p>
    <w:p w:rsidR="0022330F" w:rsidRPr="00EF2115" w:rsidRDefault="0022330F" w:rsidP="008F0294">
      <w:pPr>
        <w:widowControl/>
        <w:spacing w:line="360" w:lineRule="auto"/>
        <w:rPr>
          <w:rFonts w:eastAsiaTheme="minorEastAsia"/>
          <w:color w:val="000000" w:themeColor="text1"/>
          <w:kern w:val="0"/>
          <w:sz w:val="24"/>
        </w:rPr>
      </w:pPr>
      <w:r w:rsidRPr="00EF2115">
        <w:rPr>
          <w:rFonts w:eastAsiaTheme="minorEastAsia"/>
          <w:color w:val="000000" w:themeColor="text1"/>
          <w:kern w:val="0"/>
          <w:sz w:val="24"/>
        </w:rPr>
        <w:t>本基金本期及上年度可比期间无其他关联交易事项。</w:t>
      </w:r>
    </w:p>
    <w:p w:rsidR="006D141C" w:rsidRPr="009A7486" w:rsidRDefault="006D141C" w:rsidP="002855D4">
      <w:pPr>
        <w:autoSpaceDE w:val="0"/>
        <w:autoSpaceDN w:val="0"/>
        <w:adjustRightInd w:val="0"/>
        <w:spacing w:beforeLines="100"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w:t>
      </w:r>
      <w:r w:rsidR="008A28D4" w:rsidRPr="009A7486">
        <w:rPr>
          <w:rFonts w:eastAsiaTheme="minorEastAsia"/>
          <w:b/>
          <w:bCs/>
          <w:color w:val="000000" w:themeColor="text1"/>
          <w:kern w:val="0"/>
          <w:sz w:val="24"/>
        </w:rPr>
        <w:t>9</w:t>
      </w:r>
      <w:r w:rsidRPr="009A7486">
        <w:rPr>
          <w:rFonts w:eastAsiaTheme="minorEastAsia"/>
          <w:b/>
          <w:bCs/>
          <w:color w:val="000000" w:themeColor="text1"/>
          <w:kern w:val="0"/>
          <w:sz w:val="24"/>
        </w:rPr>
        <w:t>期末（</w:t>
      </w:r>
      <w:r w:rsidRPr="009A7486">
        <w:rPr>
          <w:rFonts w:eastAsiaTheme="minorEastAsia"/>
          <w:b/>
          <w:bCs/>
          <w:color w:val="000000" w:themeColor="text1"/>
          <w:kern w:val="0"/>
          <w:sz w:val="24"/>
        </w:rPr>
        <w:t>2018</w:t>
      </w:r>
      <w:r w:rsidRPr="009A7486">
        <w:rPr>
          <w:rFonts w:eastAsiaTheme="minorEastAsia"/>
          <w:b/>
          <w:bCs/>
          <w:color w:val="000000" w:themeColor="text1"/>
          <w:kern w:val="0"/>
          <w:sz w:val="24"/>
        </w:rPr>
        <w:t>年</w:t>
      </w:r>
      <w:r w:rsidRPr="009A7486">
        <w:rPr>
          <w:rFonts w:eastAsiaTheme="minorEastAsia"/>
          <w:b/>
          <w:bCs/>
          <w:color w:val="000000" w:themeColor="text1"/>
          <w:kern w:val="0"/>
          <w:sz w:val="24"/>
        </w:rPr>
        <w:t>12</w:t>
      </w:r>
      <w:r w:rsidRPr="009A7486">
        <w:rPr>
          <w:rFonts w:eastAsiaTheme="minorEastAsia"/>
          <w:b/>
          <w:bCs/>
          <w:color w:val="000000" w:themeColor="text1"/>
          <w:kern w:val="0"/>
          <w:sz w:val="24"/>
        </w:rPr>
        <w:t>月</w:t>
      </w:r>
      <w:r w:rsidRPr="009A7486">
        <w:rPr>
          <w:rFonts w:eastAsiaTheme="minorEastAsia"/>
          <w:b/>
          <w:bCs/>
          <w:color w:val="000000" w:themeColor="text1"/>
          <w:kern w:val="0"/>
          <w:sz w:val="24"/>
        </w:rPr>
        <w:t>31</w:t>
      </w:r>
      <w:r w:rsidRPr="009A7486">
        <w:rPr>
          <w:rFonts w:eastAsiaTheme="minorEastAsia"/>
          <w:b/>
          <w:bCs/>
          <w:color w:val="000000" w:themeColor="text1"/>
          <w:kern w:val="0"/>
          <w:sz w:val="24"/>
        </w:rPr>
        <w:t>日）本基金持有的流通受限证券</w:t>
      </w:r>
    </w:p>
    <w:p w:rsidR="006D141C" w:rsidRPr="009A7486" w:rsidRDefault="006D141C" w:rsidP="00CB1276">
      <w:pPr>
        <w:autoSpaceDE w:val="0"/>
        <w:autoSpaceDN w:val="0"/>
        <w:adjustRightInd w:val="0"/>
        <w:spacing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7.4.9.</w:t>
      </w:r>
      <w:r w:rsidR="008A28D4" w:rsidRPr="009A7486">
        <w:rPr>
          <w:rFonts w:eastAsiaTheme="minorEastAsia"/>
          <w:b/>
          <w:bCs/>
          <w:color w:val="000000" w:themeColor="text1"/>
          <w:kern w:val="0"/>
          <w:sz w:val="24"/>
        </w:rPr>
        <w:t>1</w:t>
      </w:r>
      <w:r w:rsidRPr="009A7486">
        <w:rPr>
          <w:rFonts w:eastAsiaTheme="minorEastAsia"/>
          <w:b/>
          <w:bCs/>
          <w:color w:val="000000" w:themeColor="text1"/>
          <w:kern w:val="0"/>
          <w:sz w:val="24"/>
        </w:rPr>
        <w:t>因认购新发</w:t>
      </w:r>
      <w:r w:rsidRPr="009A7486">
        <w:rPr>
          <w:rFonts w:eastAsiaTheme="minorEastAsia"/>
          <w:b/>
          <w:bCs/>
          <w:color w:val="000000" w:themeColor="text1"/>
          <w:kern w:val="0"/>
          <w:sz w:val="24"/>
        </w:rPr>
        <w:t>/</w:t>
      </w:r>
      <w:r w:rsidRPr="009A7486">
        <w:rPr>
          <w:rFonts w:eastAsiaTheme="minorEastAsia"/>
          <w:b/>
          <w:bCs/>
          <w:color w:val="000000" w:themeColor="text1"/>
          <w:kern w:val="0"/>
          <w:sz w:val="24"/>
        </w:rPr>
        <w:t>增发证券而于期末持有的流通受限证券</w:t>
      </w:r>
      <w:bookmarkStart w:id="10" w:name="_GoBack"/>
      <w:bookmarkEnd w:id="10"/>
    </w:p>
    <w:p w:rsidR="006D141C" w:rsidRPr="009A7486" w:rsidRDefault="007A07D1"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本基金本期末无因认购新发</w:t>
      </w:r>
      <w:r w:rsidRPr="009A7486">
        <w:rPr>
          <w:rFonts w:eastAsiaTheme="minorEastAsia"/>
          <w:color w:val="000000" w:themeColor="text1"/>
          <w:kern w:val="0"/>
          <w:sz w:val="24"/>
        </w:rPr>
        <w:t>/</w:t>
      </w:r>
      <w:r w:rsidRPr="009A7486">
        <w:rPr>
          <w:rFonts w:eastAsiaTheme="minorEastAsia"/>
          <w:color w:val="000000" w:themeColor="text1"/>
          <w:kern w:val="0"/>
          <w:sz w:val="24"/>
        </w:rPr>
        <w:t>增发证券而流通受限的证券。</w:t>
      </w:r>
    </w:p>
    <w:p w:rsidR="006D141C" w:rsidRPr="009A7486" w:rsidRDefault="006D141C" w:rsidP="002855D4">
      <w:pPr>
        <w:autoSpaceDE w:val="0"/>
        <w:autoSpaceDN w:val="0"/>
        <w:adjustRightInd w:val="0"/>
        <w:spacing w:beforeLines="100"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7.4.9.</w:t>
      </w:r>
      <w:r w:rsidR="008A28D4" w:rsidRPr="009A7486">
        <w:rPr>
          <w:rFonts w:eastAsiaTheme="minorEastAsia"/>
          <w:b/>
          <w:bCs/>
          <w:color w:val="000000" w:themeColor="text1"/>
          <w:kern w:val="0"/>
          <w:sz w:val="24"/>
        </w:rPr>
        <w:t>2</w:t>
      </w:r>
      <w:r w:rsidRPr="009A7486">
        <w:rPr>
          <w:rFonts w:eastAsiaTheme="minorEastAsia"/>
          <w:b/>
          <w:bCs/>
          <w:color w:val="000000" w:themeColor="text1"/>
          <w:kern w:val="0"/>
          <w:sz w:val="24"/>
        </w:rPr>
        <w:t>期末持有的暂时停牌等流通受限股票</w:t>
      </w:r>
    </w:p>
    <w:p w:rsidR="006D141C" w:rsidRPr="009A7486" w:rsidRDefault="006D141C"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本基金本期末无暂时停牌等流通受限的股票。</w:t>
      </w:r>
    </w:p>
    <w:p w:rsidR="006D141C" w:rsidRPr="009A7486" w:rsidRDefault="006D141C" w:rsidP="002855D4">
      <w:pPr>
        <w:autoSpaceDE w:val="0"/>
        <w:autoSpaceDN w:val="0"/>
        <w:adjustRightInd w:val="0"/>
        <w:spacing w:beforeLines="100"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7.4.9.</w:t>
      </w:r>
      <w:r w:rsidR="008A28D4" w:rsidRPr="009A7486">
        <w:rPr>
          <w:rFonts w:eastAsiaTheme="minorEastAsia"/>
          <w:b/>
          <w:bCs/>
          <w:color w:val="000000" w:themeColor="text1"/>
          <w:kern w:val="0"/>
          <w:sz w:val="24"/>
        </w:rPr>
        <w:t>3</w:t>
      </w:r>
      <w:r w:rsidRPr="009A7486">
        <w:rPr>
          <w:rFonts w:eastAsiaTheme="minorEastAsia"/>
          <w:b/>
          <w:bCs/>
          <w:color w:val="000000" w:themeColor="text1"/>
          <w:kern w:val="0"/>
          <w:sz w:val="24"/>
        </w:rPr>
        <w:t>期末债券正回购交易中作为抵押的债券</w:t>
      </w:r>
    </w:p>
    <w:p w:rsidR="006D141C" w:rsidRPr="009A7486" w:rsidRDefault="006D141C" w:rsidP="00CB1276">
      <w:pPr>
        <w:autoSpaceDE w:val="0"/>
        <w:autoSpaceDN w:val="0"/>
        <w:adjustRightInd w:val="0"/>
        <w:spacing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7.4.9.3.</w:t>
      </w:r>
      <w:r w:rsidR="008A28D4" w:rsidRPr="009A7486">
        <w:rPr>
          <w:rFonts w:eastAsiaTheme="minorEastAsia"/>
          <w:b/>
          <w:bCs/>
          <w:color w:val="000000" w:themeColor="text1"/>
          <w:kern w:val="0"/>
          <w:sz w:val="24"/>
        </w:rPr>
        <w:t>1</w:t>
      </w:r>
      <w:r w:rsidRPr="009A7486">
        <w:rPr>
          <w:rFonts w:eastAsiaTheme="minorEastAsia"/>
          <w:b/>
          <w:bCs/>
          <w:color w:val="000000" w:themeColor="text1"/>
          <w:kern w:val="0"/>
          <w:sz w:val="24"/>
        </w:rPr>
        <w:t>银行间市场债券正回购</w:t>
      </w:r>
    </w:p>
    <w:p w:rsidR="006D141C" w:rsidRPr="009A7486" w:rsidRDefault="006D141C"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截至本报告期末，本基金从事银行间市场债券正回购交易形成的卖出回购证券款余额</w:t>
      </w:r>
      <w:r w:rsidRPr="009A7486">
        <w:rPr>
          <w:rFonts w:eastAsiaTheme="minorEastAsia"/>
          <w:color w:val="000000" w:themeColor="text1"/>
          <w:sz w:val="24"/>
        </w:rPr>
        <w:t>1,146,997,079.50</w:t>
      </w:r>
      <w:r w:rsidRPr="009A7486">
        <w:rPr>
          <w:rFonts w:eastAsiaTheme="minorEastAsia"/>
          <w:color w:val="000000" w:themeColor="text1"/>
          <w:sz w:val="24"/>
        </w:rPr>
        <w:t>元，是以如下债券作为抵押：</w:t>
      </w:r>
    </w:p>
    <w:p w:rsidR="006D141C" w:rsidRPr="009A7486" w:rsidRDefault="00644AB5" w:rsidP="004B36C2">
      <w:pPr>
        <w:autoSpaceDE w:val="0"/>
        <w:autoSpaceDN w:val="0"/>
        <w:adjustRightInd w:val="0"/>
        <w:spacing w:before="29" w:line="360" w:lineRule="auto"/>
        <w:ind w:left="15"/>
        <w:jc w:val="right"/>
        <w:rPr>
          <w:rFonts w:eastAsiaTheme="minorEastAsia"/>
          <w:color w:val="000000" w:themeColor="text1"/>
          <w:kern w:val="0"/>
          <w:sz w:val="24"/>
        </w:rPr>
      </w:pPr>
      <w:r w:rsidRPr="009A7486">
        <w:rPr>
          <w:rFonts w:eastAsiaTheme="minorEastAsia"/>
          <w:color w:val="000000" w:themeColor="text1"/>
          <w:sz w:val="24"/>
        </w:rPr>
        <w:t>金额单位</w:t>
      </w:r>
      <w:r w:rsidR="006D141C" w:rsidRPr="009A7486">
        <w:rPr>
          <w:rFonts w:eastAsiaTheme="minorEastAsia"/>
          <w:bCs/>
          <w:color w:val="000000" w:themeColor="text1"/>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00"/>
        <w:gridCol w:w="1500"/>
        <w:gridCol w:w="1500"/>
        <w:gridCol w:w="1260"/>
        <w:gridCol w:w="1440"/>
        <w:gridCol w:w="1836"/>
      </w:tblGrid>
      <w:tr w:rsidR="002C233F" w:rsidRPr="009A7486" w:rsidTr="006D141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债券代码</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债券名称</w:t>
            </w:r>
          </w:p>
        </w:tc>
        <w:tc>
          <w:tcPr>
            <w:tcW w:w="150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回购到期日</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期末估值单价</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数量（张）</w:t>
            </w:r>
          </w:p>
        </w:tc>
        <w:tc>
          <w:tcPr>
            <w:tcW w:w="1836"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期末估值总额</w:t>
            </w:r>
          </w:p>
        </w:tc>
      </w:tr>
      <w:tr w:rsidR="005C48D6">
        <w:tc>
          <w:tcPr>
            <w:tcW w:w="1500" w:type="dxa"/>
            <w:vAlign w:val="center"/>
          </w:tcPr>
          <w:p w:rsidR="005C48D6" w:rsidRDefault="008F0294">
            <w:pPr>
              <w:jc w:val="center"/>
            </w:pPr>
            <w:r>
              <w:rPr>
                <w:rFonts w:eastAsiaTheme="minorEastAsia"/>
                <w:color w:val="000000" w:themeColor="text1"/>
                <w:kern w:val="0"/>
                <w:sz w:val="24"/>
              </w:rPr>
              <w:t>111809077</w:t>
            </w:r>
          </w:p>
        </w:tc>
        <w:tc>
          <w:tcPr>
            <w:tcW w:w="1500" w:type="dxa"/>
            <w:vAlign w:val="center"/>
          </w:tcPr>
          <w:p w:rsidR="005C48D6" w:rsidRDefault="008F0294">
            <w:pPr>
              <w:jc w:val="center"/>
            </w:pPr>
            <w:r>
              <w:rPr>
                <w:rFonts w:eastAsiaTheme="minorEastAsia"/>
                <w:color w:val="000000" w:themeColor="text1"/>
                <w:kern w:val="0"/>
                <w:sz w:val="24"/>
              </w:rPr>
              <w:t>18</w:t>
            </w:r>
            <w:r>
              <w:rPr>
                <w:rFonts w:eastAsiaTheme="minorEastAsia"/>
                <w:color w:val="000000" w:themeColor="text1"/>
                <w:kern w:val="0"/>
                <w:sz w:val="24"/>
              </w:rPr>
              <w:t>浦发银行</w:t>
            </w:r>
            <w:r>
              <w:rPr>
                <w:rFonts w:eastAsiaTheme="minorEastAsia"/>
                <w:color w:val="000000" w:themeColor="text1"/>
                <w:kern w:val="0"/>
                <w:sz w:val="24"/>
              </w:rPr>
              <w:t>CD077</w:t>
            </w:r>
          </w:p>
        </w:tc>
        <w:tc>
          <w:tcPr>
            <w:tcW w:w="1500" w:type="dxa"/>
            <w:vAlign w:val="center"/>
          </w:tcPr>
          <w:p w:rsidR="005C48D6" w:rsidRDefault="008F0294">
            <w:pPr>
              <w:jc w:val="center"/>
            </w:pPr>
            <w:r>
              <w:rPr>
                <w:rFonts w:eastAsiaTheme="minorEastAsia"/>
                <w:color w:val="000000" w:themeColor="text1"/>
                <w:kern w:val="0"/>
                <w:sz w:val="24"/>
              </w:rPr>
              <w:t>2019-01-02</w:t>
            </w:r>
          </w:p>
        </w:tc>
        <w:tc>
          <w:tcPr>
            <w:tcW w:w="1260" w:type="dxa"/>
            <w:vAlign w:val="center"/>
          </w:tcPr>
          <w:p w:rsidR="005C48D6" w:rsidRDefault="008F0294">
            <w:pPr>
              <w:jc w:val="right"/>
            </w:pPr>
            <w:r>
              <w:rPr>
                <w:rFonts w:eastAsiaTheme="minorEastAsia"/>
                <w:color w:val="000000" w:themeColor="text1"/>
                <w:kern w:val="0"/>
                <w:sz w:val="24"/>
              </w:rPr>
              <w:t>100.00</w:t>
            </w:r>
          </w:p>
        </w:tc>
        <w:tc>
          <w:tcPr>
            <w:tcW w:w="1440" w:type="dxa"/>
            <w:vAlign w:val="center"/>
          </w:tcPr>
          <w:p w:rsidR="005C48D6" w:rsidRDefault="008F0294">
            <w:pPr>
              <w:jc w:val="right"/>
            </w:pPr>
            <w:r>
              <w:rPr>
                <w:rFonts w:eastAsiaTheme="minorEastAsia"/>
                <w:color w:val="000000" w:themeColor="text1"/>
                <w:kern w:val="0"/>
                <w:sz w:val="24"/>
              </w:rPr>
              <w:t>3,000,000.00</w:t>
            </w:r>
          </w:p>
        </w:tc>
        <w:tc>
          <w:tcPr>
            <w:tcW w:w="1836" w:type="dxa"/>
            <w:vAlign w:val="center"/>
          </w:tcPr>
          <w:p w:rsidR="005C48D6" w:rsidRDefault="008F0294">
            <w:pPr>
              <w:jc w:val="right"/>
            </w:pPr>
            <w:r>
              <w:rPr>
                <w:rFonts w:eastAsiaTheme="minorEastAsia"/>
                <w:color w:val="000000" w:themeColor="text1"/>
                <w:kern w:val="0"/>
                <w:sz w:val="24"/>
              </w:rPr>
              <w:t>300,000,000.00</w:t>
            </w:r>
          </w:p>
        </w:tc>
      </w:tr>
      <w:tr w:rsidR="005C48D6">
        <w:tc>
          <w:tcPr>
            <w:tcW w:w="1500" w:type="dxa"/>
            <w:vAlign w:val="center"/>
          </w:tcPr>
          <w:p w:rsidR="005C48D6" w:rsidRDefault="008F0294">
            <w:pPr>
              <w:jc w:val="center"/>
            </w:pPr>
            <w:r>
              <w:rPr>
                <w:rFonts w:eastAsiaTheme="minorEastAsia"/>
                <w:color w:val="000000" w:themeColor="text1"/>
                <w:kern w:val="0"/>
                <w:sz w:val="24"/>
              </w:rPr>
              <w:t>180404</w:t>
            </w:r>
          </w:p>
        </w:tc>
        <w:tc>
          <w:tcPr>
            <w:tcW w:w="1500" w:type="dxa"/>
            <w:vAlign w:val="center"/>
          </w:tcPr>
          <w:p w:rsidR="005C48D6" w:rsidRDefault="008F0294">
            <w:pPr>
              <w:jc w:val="center"/>
            </w:pPr>
            <w:r>
              <w:rPr>
                <w:rFonts w:eastAsiaTheme="minorEastAsia"/>
                <w:color w:val="000000" w:themeColor="text1"/>
                <w:kern w:val="0"/>
                <w:sz w:val="24"/>
              </w:rPr>
              <w:t>18</w:t>
            </w:r>
            <w:r>
              <w:rPr>
                <w:rFonts w:eastAsiaTheme="minorEastAsia"/>
                <w:color w:val="000000" w:themeColor="text1"/>
                <w:kern w:val="0"/>
                <w:sz w:val="24"/>
              </w:rPr>
              <w:t>农发</w:t>
            </w:r>
            <w:r>
              <w:rPr>
                <w:rFonts w:eastAsiaTheme="minorEastAsia"/>
                <w:color w:val="000000" w:themeColor="text1"/>
                <w:kern w:val="0"/>
                <w:sz w:val="24"/>
              </w:rPr>
              <w:t>04</w:t>
            </w:r>
          </w:p>
        </w:tc>
        <w:tc>
          <w:tcPr>
            <w:tcW w:w="1500" w:type="dxa"/>
            <w:vAlign w:val="center"/>
          </w:tcPr>
          <w:p w:rsidR="005C48D6" w:rsidRDefault="008F0294">
            <w:pPr>
              <w:jc w:val="center"/>
            </w:pPr>
            <w:r>
              <w:rPr>
                <w:rFonts w:eastAsiaTheme="minorEastAsia"/>
                <w:color w:val="000000" w:themeColor="text1"/>
                <w:kern w:val="0"/>
                <w:sz w:val="24"/>
              </w:rPr>
              <w:t>2019-01-08</w:t>
            </w:r>
          </w:p>
        </w:tc>
        <w:tc>
          <w:tcPr>
            <w:tcW w:w="1260" w:type="dxa"/>
            <w:vAlign w:val="center"/>
          </w:tcPr>
          <w:p w:rsidR="005C48D6" w:rsidRDefault="008F0294">
            <w:pPr>
              <w:jc w:val="right"/>
            </w:pPr>
            <w:r>
              <w:rPr>
                <w:rFonts w:eastAsiaTheme="minorEastAsia"/>
                <w:color w:val="000000" w:themeColor="text1"/>
                <w:kern w:val="0"/>
                <w:sz w:val="24"/>
              </w:rPr>
              <w:t>100.09</w:t>
            </w:r>
          </w:p>
        </w:tc>
        <w:tc>
          <w:tcPr>
            <w:tcW w:w="1440" w:type="dxa"/>
            <w:vAlign w:val="center"/>
          </w:tcPr>
          <w:p w:rsidR="005C48D6" w:rsidRDefault="008F0294">
            <w:pPr>
              <w:jc w:val="right"/>
            </w:pPr>
            <w:r>
              <w:rPr>
                <w:rFonts w:eastAsiaTheme="minorEastAsia"/>
                <w:color w:val="000000" w:themeColor="text1"/>
                <w:kern w:val="0"/>
                <w:sz w:val="24"/>
              </w:rPr>
              <w:t>2,000,000.00</w:t>
            </w:r>
          </w:p>
        </w:tc>
        <w:tc>
          <w:tcPr>
            <w:tcW w:w="1836" w:type="dxa"/>
            <w:vAlign w:val="center"/>
          </w:tcPr>
          <w:p w:rsidR="005C48D6" w:rsidRDefault="008F0294">
            <w:pPr>
              <w:jc w:val="right"/>
            </w:pPr>
            <w:r>
              <w:rPr>
                <w:rFonts w:eastAsiaTheme="minorEastAsia"/>
                <w:color w:val="000000" w:themeColor="text1"/>
                <w:kern w:val="0"/>
                <w:sz w:val="24"/>
              </w:rPr>
              <w:t>200,173,612.53</w:t>
            </w:r>
          </w:p>
        </w:tc>
      </w:tr>
      <w:tr w:rsidR="005C48D6">
        <w:tc>
          <w:tcPr>
            <w:tcW w:w="1500" w:type="dxa"/>
            <w:vAlign w:val="center"/>
          </w:tcPr>
          <w:p w:rsidR="005C48D6" w:rsidRDefault="008F0294">
            <w:pPr>
              <w:jc w:val="center"/>
            </w:pPr>
            <w:r>
              <w:rPr>
                <w:rFonts w:eastAsiaTheme="minorEastAsia"/>
                <w:color w:val="000000" w:themeColor="text1"/>
                <w:kern w:val="0"/>
                <w:sz w:val="24"/>
              </w:rPr>
              <w:t>160208</w:t>
            </w:r>
          </w:p>
        </w:tc>
        <w:tc>
          <w:tcPr>
            <w:tcW w:w="1500" w:type="dxa"/>
            <w:vAlign w:val="center"/>
          </w:tcPr>
          <w:p w:rsidR="005C48D6" w:rsidRDefault="008F0294">
            <w:pPr>
              <w:jc w:val="center"/>
            </w:pPr>
            <w:r>
              <w:rPr>
                <w:rFonts w:eastAsiaTheme="minorEastAsia"/>
                <w:color w:val="000000" w:themeColor="text1"/>
                <w:kern w:val="0"/>
                <w:sz w:val="24"/>
              </w:rPr>
              <w:t>16</w:t>
            </w:r>
            <w:r>
              <w:rPr>
                <w:rFonts w:eastAsiaTheme="minorEastAsia"/>
                <w:color w:val="000000" w:themeColor="text1"/>
                <w:kern w:val="0"/>
                <w:sz w:val="24"/>
              </w:rPr>
              <w:t>国开</w:t>
            </w:r>
            <w:r>
              <w:rPr>
                <w:rFonts w:eastAsiaTheme="minorEastAsia"/>
                <w:color w:val="000000" w:themeColor="text1"/>
                <w:kern w:val="0"/>
                <w:sz w:val="24"/>
              </w:rPr>
              <w:t>08</w:t>
            </w:r>
          </w:p>
        </w:tc>
        <w:tc>
          <w:tcPr>
            <w:tcW w:w="1500" w:type="dxa"/>
            <w:vAlign w:val="center"/>
          </w:tcPr>
          <w:p w:rsidR="005C48D6" w:rsidRDefault="008F0294">
            <w:pPr>
              <w:jc w:val="center"/>
            </w:pPr>
            <w:r>
              <w:rPr>
                <w:rFonts w:eastAsiaTheme="minorEastAsia"/>
                <w:color w:val="000000" w:themeColor="text1"/>
                <w:kern w:val="0"/>
                <w:sz w:val="24"/>
              </w:rPr>
              <w:t>2019-01-09</w:t>
            </w:r>
          </w:p>
        </w:tc>
        <w:tc>
          <w:tcPr>
            <w:tcW w:w="1260" w:type="dxa"/>
            <w:vAlign w:val="center"/>
          </w:tcPr>
          <w:p w:rsidR="005C48D6" w:rsidRDefault="008F0294">
            <w:pPr>
              <w:jc w:val="right"/>
            </w:pPr>
            <w:r>
              <w:rPr>
                <w:rFonts w:eastAsiaTheme="minorEastAsia"/>
                <w:color w:val="000000" w:themeColor="text1"/>
                <w:kern w:val="0"/>
                <w:sz w:val="24"/>
              </w:rPr>
              <w:t>99.98</w:t>
            </w:r>
          </w:p>
        </w:tc>
        <w:tc>
          <w:tcPr>
            <w:tcW w:w="1440" w:type="dxa"/>
            <w:vAlign w:val="center"/>
          </w:tcPr>
          <w:p w:rsidR="005C48D6" w:rsidRDefault="008F0294">
            <w:pPr>
              <w:jc w:val="right"/>
            </w:pPr>
            <w:r>
              <w:rPr>
                <w:rFonts w:eastAsiaTheme="minorEastAsia"/>
                <w:color w:val="000000" w:themeColor="text1"/>
                <w:kern w:val="0"/>
                <w:sz w:val="24"/>
              </w:rPr>
              <w:t>1,800,000.00</w:t>
            </w:r>
          </w:p>
        </w:tc>
        <w:tc>
          <w:tcPr>
            <w:tcW w:w="1836" w:type="dxa"/>
            <w:vAlign w:val="center"/>
          </w:tcPr>
          <w:p w:rsidR="005C48D6" w:rsidRDefault="008F0294">
            <w:pPr>
              <w:jc w:val="right"/>
            </w:pPr>
            <w:r>
              <w:rPr>
                <w:rFonts w:eastAsiaTheme="minorEastAsia"/>
                <w:color w:val="000000" w:themeColor="text1"/>
                <w:kern w:val="0"/>
                <w:sz w:val="24"/>
              </w:rPr>
              <w:t>179,970,222.85</w:t>
            </w:r>
          </w:p>
        </w:tc>
      </w:tr>
      <w:tr w:rsidR="005C48D6">
        <w:tc>
          <w:tcPr>
            <w:tcW w:w="1500" w:type="dxa"/>
            <w:vAlign w:val="center"/>
          </w:tcPr>
          <w:p w:rsidR="005C48D6" w:rsidRDefault="008F0294">
            <w:pPr>
              <w:jc w:val="center"/>
            </w:pPr>
            <w:r>
              <w:rPr>
                <w:rFonts w:eastAsiaTheme="minorEastAsia"/>
                <w:color w:val="000000" w:themeColor="text1"/>
                <w:kern w:val="0"/>
                <w:sz w:val="24"/>
              </w:rPr>
              <w:t>180404</w:t>
            </w:r>
          </w:p>
        </w:tc>
        <w:tc>
          <w:tcPr>
            <w:tcW w:w="1500" w:type="dxa"/>
            <w:vAlign w:val="center"/>
          </w:tcPr>
          <w:p w:rsidR="005C48D6" w:rsidRDefault="008F0294">
            <w:pPr>
              <w:jc w:val="center"/>
            </w:pPr>
            <w:r>
              <w:rPr>
                <w:rFonts w:eastAsiaTheme="minorEastAsia"/>
                <w:color w:val="000000" w:themeColor="text1"/>
                <w:kern w:val="0"/>
                <w:sz w:val="24"/>
              </w:rPr>
              <w:t>18</w:t>
            </w:r>
            <w:r>
              <w:rPr>
                <w:rFonts w:eastAsiaTheme="minorEastAsia"/>
                <w:color w:val="000000" w:themeColor="text1"/>
                <w:kern w:val="0"/>
                <w:sz w:val="24"/>
              </w:rPr>
              <w:t>农发</w:t>
            </w:r>
            <w:r>
              <w:rPr>
                <w:rFonts w:eastAsiaTheme="minorEastAsia"/>
                <w:color w:val="000000" w:themeColor="text1"/>
                <w:kern w:val="0"/>
                <w:sz w:val="24"/>
              </w:rPr>
              <w:t>04</w:t>
            </w:r>
          </w:p>
        </w:tc>
        <w:tc>
          <w:tcPr>
            <w:tcW w:w="1500" w:type="dxa"/>
            <w:vAlign w:val="center"/>
          </w:tcPr>
          <w:p w:rsidR="005C48D6" w:rsidRDefault="008F0294">
            <w:pPr>
              <w:jc w:val="center"/>
            </w:pPr>
            <w:r>
              <w:rPr>
                <w:rFonts w:eastAsiaTheme="minorEastAsia"/>
                <w:color w:val="000000" w:themeColor="text1"/>
                <w:kern w:val="0"/>
                <w:sz w:val="24"/>
              </w:rPr>
              <w:t>2019-01-09</w:t>
            </w:r>
          </w:p>
        </w:tc>
        <w:tc>
          <w:tcPr>
            <w:tcW w:w="1260" w:type="dxa"/>
            <w:vAlign w:val="center"/>
          </w:tcPr>
          <w:p w:rsidR="005C48D6" w:rsidRDefault="008F0294">
            <w:pPr>
              <w:jc w:val="right"/>
            </w:pPr>
            <w:r>
              <w:rPr>
                <w:rFonts w:eastAsiaTheme="minorEastAsia"/>
                <w:color w:val="000000" w:themeColor="text1"/>
                <w:kern w:val="0"/>
                <w:sz w:val="24"/>
              </w:rPr>
              <w:t>100.09</w:t>
            </w:r>
          </w:p>
        </w:tc>
        <w:tc>
          <w:tcPr>
            <w:tcW w:w="1440" w:type="dxa"/>
            <w:vAlign w:val="center"/>
          </w:tcPr>
          <w:p w:rsidR="005C48D6" w:rsidRDefault="008F0294">
            <w:pPr>
              <w:jc w:val="right"/>
            </w:pPr>
            <w:r>
              <w:rPr>
                <w:rFonts w:eastAsiaTheme="minorEastAsia"/>
                <w:color w:val="000000" w:themeColor="text1"/>
                <w:kern w:val="0"/>
                <w:sz w:val="24"/>
              </w:rPr>
              <w:t>1,220,000.00</w:t>
            </w:r>
          </w:p>
        </w:tc>
        <w:tc>
          <w:tcPr>
            <w:tcW w:w="1836" w:type="dxa"/>
            <w:vAlign w:val="center"/>
          </w:tcPr>
          <w:p w:rsidR="005C48D6" w:rsidRDefault="008F0294">
            <w:pPr>
              <w:jc w:val="right"/>
            </w:pPr>
            <w:r>
              <w:rPr>
                <w:rFonts w:eastAsiaTheme="minorEastAsia"/>
                <w:color w:val="000000" w:themeColor="text1"/>
                <w:kern w:val="0"/>
                <w:sz w:val="24"/>
              </w:rPr>
              <w:t>122,105,903.64</w:t>
            </w:r>
          </w:p>
        </w:tc>
      </w:tr>
      <w:tr w:rsidR="005C48D6">
        <w:tc>
          <w:tcPr>
            <w:tcW w:w="1500" w:type="dxa"/>
            <w:vAlign w:val="center"/>
          </w:tcPr>
          <w:p w:rsidR="005C48D6" w:rsidRDefault="008F0294">
            <w:pPr>
              <w:jc w:val="center"/>
            </w:pPr>
            <w:r>
              <w:rPr>
                <w:rFonts w:eastAsiaTheme="minorEastAsia"/>
                <w:color w:val="000000" w:themeColor="text1"/>
                <w:kern w:val="0"/>
                <w:sz w:val="24"/>
              </w:rPr>
              <w:t>180407</w:t>
            </w:r>
          </w:p>
        </w:tc>
        <w:tc>
          <w:tcPr>
            <w:tcW w:w="1500" w:type="dxa"/>
            <w:vAlign w:val="center"/>
          </w:tcPr>
          <w:p w:rsidR="005C48D6" w:rsidRDefault="008F0294">
            <w:pPr>
              <w:jc w:val="center"/>
            </w:pPr>
            <w:r>
              <w:rPr>
                <w:rFonts w:eastAsiaTheme="minorEastAsia"/>
                <w:color w:val="000000" w:themeColor="text1"/>
                <w:kern w:val="0"/>
                <w:sz w:val="24"/>
              </w:rPr>
              <w:t>18</w:t>
            </w:r>
            <w:r>
              <w:rPr>
                <w:rFonts w:eastAsiaTheme="minorEastAsia"/>
                <w:color w:val="000000" w:themeColor="text1"/>
                <w:kern w:val="0"/>
                <w:sz w:val="24"/>
              </w:rPr>
              <w:t>农发</w:t>
            </w:r>
            <w:r>
              <w:rPr>
                <w:rFonts w:eastAsiaTheme="minorEastAsia"/>
                <w:color w:val="000000" w:themeColor="text1"/>
                <w:kern w:val="0"/>
                <w:sz w:val="24"/>
              </w:rPr>
              <w:t>07</w:t>
            </w:r>
          </w:p>
        </w:tc>
        <w:tc>
          <w:tcPr>
            <w:tcW w:w="1500" w:type="dxa"/>
            <w:vAlign w:val="center"/>
          </w:tcPr>
          <w:p w:rsidR="005C48D6" w:rsidRDefault="008F0294">
            <w:pPr>
              <w:jc w:val="center"/>
            </w:pPr>
            <w:r>
              <w:rPr>
                <w:rFonts w:eastAsiaTheme="minorEastAsia"/>
                <w:color w:val="000000" w:themeColor="text1"/>
                <w:kern w:val="0"/>
                <w:sz w:val="24"/>
              </w:rPr>
              <w:t>2019-01-03</w:t>
            </w:r>
          </w:p>
        </w:tc>
        <w:tc>
          <w:tcPr>
            <w:tcW w:w="1260" w:type="dxa"/>
            <w:vAlign w:val="center"/>
          </w:tcPr>
          <w:p w:rsidR="005C48D6" w:rsidRDefault="008F0294">
            <w:pPr>
              <w:jc w:val="right"/>
            </w:pPr>
            <w:r>
              <w:rPr>
                <w:rFonts w:eastAsiaTheme="minorEastAsia"/>
                <w:color w:val="000000" w:themeColor="text1"/>
                <w:kern w:val="0"/>
                <w:sz w:val="24"/>
              </w:rPr>
              <w:t>100.14</w:t>
            </w:r>
          </w:p>
        </w:tc>
        <w:tc>
          <w:tcPr>
            <w:tcW w:w="1440" w:type="dxa"/>
            <w:vAlign w:val="center"/>
          </w:tcPr>
          <w:p w:rsidR="005C48D6" w:rsidRDefault="008F0294">
            <w:pPr>
              <w:jc w:val="right"/>
            </w:pPr>
            <w:r>
              <w:rPr>
                <w:rFonts w:eastAsiaTheme="minorEastAsia"/>
                <w:color w:val="000000" w:themeColor="text1"/>
                <w:kern w:val="0"/>
                <w:sz w:val="24"/>
              </w:rPr>
              <w:t>1,000,000.00</w:t>
            </w:r>
          </w:p>
        </w:tc>
        <w:tc>
          <w:tcPr>
            <w:tcW w:w="1836" w:type="dxa"/>
            <w:vAlign w:val="center"/>
          </w:tcPr>
          <w:p w:rsidR="005C48D6" w:rsidRDefault="008F0294">
            <w:pPr>
              <w:jc w:val="right"/>
            </w:pPr>
            <w:r>
              <w:rPr>
                <w:rFonts w:eastAsiaTheme="minorEastAsia"/>
                <w:color w:val="000000" w:themeColor="text1"/>
                <w:kern w:val="0"/>
                <w:sz w:val="24"/>
              </w:rPr>
              <w:t>100,139,887.68</w:t>
            </w:r>
          </w:p>
        </w:tc>
      </w:tr>
      <w:tr w:rsidR="005C48D6">
        <w:tc>
          <w:tcPr>
            <w:tcW w:w="1500" w:type="dxa"/>
            <w:vAlign w:val="center"/>
          </w:tcPr>
          <w:p w:rsidR="005C48D6" w:rsidRDefault="008F0294">
            <w:pPr>
              <w:jc w:val="center"/>
            </w:pPr>
            <w:r>
              <w:rPr>
                <w:rFonts w:eastAsiaTheme="minorEastAsia"/>
                <w:color w:val="000000" w:themeColor="text1"/>
                <w:kern w:val="0"/>
                <w:sz w:val="24"/>
              </w:rPr>
              <w:t>111821252</w:t>
            </w:r>
          </w:p>
        </w:tc>
        <w:tc>
          <w:tcPr>
            <w:tcW w:w="1500" w:type="dxa"/>
            <w:vAlign w:val="center"/>
          </w:tcPr>
          <w:p w:rsidR="005C48D6" w:rsidRDefault="008F0294">
            <w:pPr>
              <w:jc w:val="center"/>
            </w:pPr>
            <w:r>
              <w:rPr>
                <w:rFonts w:eastAsiaTheme="minorEastAsia"/>
                <w:color w:val="000000" w:themeColor="text1"/>
                <w:kern w:val="0"/>
                <w:sz w:val="24"/>
              </w:rPr>
              <w:t>18</w:t>
            </w:r>
            <w:r>
              <w:rPr>
                <w:rFonts w:eastAsiaTheme="minorEastAsia"/>
                <w:color w:val="000000" w:themeColor="text1"/>
                <w:kern w:val="0"/>
                <w:sz w:val="24"/>
              </w:rPr>
              <w:t>渤海银行</w:t>
            </w:r>
            <w:r>
              <w:rPr>
                <w:rFonts w:eastAsiaTheme="minorEastAsia"/>
                <w:color w:val="000000" w:themeColor="text1"/>
                <w:kern w:val="0"/>
                <w:sz w:val="24"/>
              </w:rPr>
              <w:t>CD252</w:t>
            </w:r>
          </w:p>
        </w:tc>
        <w:tc>
          <w:tcPr>
            <w:tcW w:w="1500" w:type="dxa"/>
            <w:vAlign w:val="center"/>
          </w:tcPr>
          <w:p w:rsidR="005C48D6" w:rsidRDefault="008F0294">
            <w:pPr>
              <w:jc w:val="center"/>
            </w:pPr>
            <w:r>
              <w:rPr>
                <w:rFonts w:eastAsiaTheme="minorEastAsia"/>
                <w:color w:val="000000" w:themeColor="text1"/>
                <w:kern w:val="0"/>
                <w:sz w:val="24"/>
              </w:rPr>
              <w:t>2019-01-02</w:t>
            </w:r>
          </w:p>
        </w:tc>
        <w:tc>
          <w:tcPr>
            <w:tcW w:w="1260" w:type="dxa"/>
            <w:vAlign w:val="center"/>
          </w:tcPr>
          <w:p w:rsidR="005C48D6" w:rsidRDefault="008F0294">
            <w:pPr>
              <w:jc w:val="right"/>
            </w:pPr>
            <w:r>
              <w:rPr>
                <w:rFonts w:eastAsiaTheme="minorEastAsia"/>
                <w:color w:val="000000" w:themeColor="text1"/>
                <w:kern w:val="0"/>
                <w:sz w:val="24"/>
              </w:rPr>
              <w:t>97.75</w:t>
            </w:r>
          </w:p>
        </w:tc>
        <w:tc>
          <w:tcPr>
            <w:tcW w:w="1440" w:type="dxa"/>
            <w:vAlign w:val="center"/>
          </w:tcPr>
          <w:p w:rsidR="005C48D6" w:rsidRDefault="008F0294">
            <w:pPr>
              <w:jc w:val="right"/>
            </w:pPr>
            <w:r>
              <w:rPr>
                <w:rFonts w:eastAsiaTheme="minorEastAsia"/>
                <w:color w:val="000000" w:themeColor="text1"/>
                <w:kern w:val="0"/>
                <w:sz w:val="24"/>
              </w:rPr>
              <w:t>900,000.00</w:t>
            </w:r>
          </w:p>
        </w:tc>
        <w:tc>
          <w:tcPr>
            <w:tcW w:w="1836" w:type="dxa"/>
            <w:vAlign w:val="center"/>
          </w:tcPr>
          <w:p w:rsidR="005C48D6" w:rsidRDefault="008F0294">
            <w:pPr>
              <w:jc w:val="right"/>
            </w:pPr>
            <w:r>
              <w:rPr>
                <w:rFonts w:eastAsiaTheme="minorEastAsia"/>
                <w:color w:val="000000" w:themeColor="text1"/>
                <w:kern w:val="0"/>
                <w:sz w:val="24"/>
              </w:rPr>
              <w:t>87,974,387.94</w:t>
            </w:r>
          </w:p>
        </w:tc>
      </w:tr>
      <w:tr w:rsidR="005C48D6">
        <w:tc>
          <w:tcPr>
            <w:tcW w:w="1500" w:type="dxa"/>
            <w:vAlign w:val="center"/>
          </w:tcPr>
          <w:p w:rsidR="005C48D6" w:rsidRDefault="008F0294">
            <w:pPr>
              <w:jc w:val="center"/>
            </w:pPr>
            <w:r>
              <w:rPr>
                <w:rFonts w:eastAsiaTheme="minorEastAsia"/>
                <w:color w:val="000000" w:themeColor="text1"/>
                <w:kern w:val="0"/>
                <w:sz w:val="24"/>
              </w:rPr>
              <w:t>180201</w:t>
            </w:r>
          </w:p>
        </w:tc>
        <w:tc>
          <w:tcPr>
            <w:tcW w:w="1500" w:type="dxa"/>
            <w:vAlign w:val="center"/>
          </w:tcPr>
          <w:p w:rsidR="005C48D6" w:rsidRDefault="008F0294">
            <w:pPr>
              <w:jc w:val="center"/>
            </w:pPr>
            <w:r>
              <w:rPr>
                <w:rFonts w:eastAsiaTheme="minorEastAsia"/>
                <w:color w:val="000000" w:themeColor="text1"/>
                <w:kern w:val="0"/>
                <w:sz w:val="24"/>
              </w:rPr>
              <w:t>18</w:t>
            </w:r>
            <w:r>
              <w:rPr>
                <w:rFonts w:eastAsiaTheme="minorEastAsia"/>
                <w:color w:val="000000" w:themeColor="text1"/>
                <w:kern w:val="0"/>
                <w:sz w:val="24"/>
              </w:rPr>
              <w:t>国开</w:t>
            </w:r>
            <w:r>
              <w:rPr>
                <w:rFonts w:eastAsiaTheme="minorEastAsia"/>
                <w:color w:val="000000" w:themeColor="text1"/>
                <w:kern w:val="0"/>
                <w:sz w:val="24"/>
              </w:rPr>
              <w:t>01</w:t>
            </w:r>
          </w:p>
        </w:tc>
        <w:tc>
          <w:tcPr>
            <w:tcW w:w="1500" w:type="dxa"/>
            <w:vAlign w:val="center"/>
          </w:tcPr>
          <w:p w:rsidR="005C48D6" w:rsidRDefault="008F0294">
            <w:pPr>
              <w:jc w:val="center"/>
            </w:pPr>
            <w:r>
              <w:rPr>
                <w:rFonts w:eastAsiaTheme="minorEastAsia"/>
                <w:color w:val="000000" w:themeColor="text1"/>
                <w:kern w:val="0"/>
                <w:sz w:val="24"/>
              </w:rPr>
              <w:t>2019-01-02</w:t>
            </w:r>
          </w:p>
        </w:tc>
        <w:tc>
          <w:tcPr>
            <w:tcW w:w="1260" w:type="dxa"/>
            <w:vAlign w:val="center"/>
          </w:tcPr>
          <w:p w:rsidR="005C48D6" w:rsidRDefault="008F0294">
            <w:pPr>
              <w:jc w:val="right"/>
            </w:pPr>
            <w:r>
              <w:rPr>
                <w:rFonts w:eastAsiaTheme="minorEastAsia"/>
                <w:color w:val="000000" w:themeColor="text1"/>
                <w:kern w:val="0"/>
                <w:sz w:val="24"/>
              </w:rPr>
              <w:t>100.10</w:t>
            </w:r>
          </w:p>
        </w:tc>
        <w:tc>
          <w:tcPr>
            <w:tcW w:w="1440" w:type="dxa"/>
            <w:vAlign w:val="center"/>
          </w:tcPr>
          <w:p w:rsidR="005C48D6" w:rsidRDefault="008F0294">
            <w:pPr>
              <w:jc w:val="right"/>
            </w:pPr>
            <w:r>
              <w:rPr>
                <w:rFonts w:eastAsiaTheme="minorEastAsia"/>
                <w:color w:val="000000" w:themeColor="text1"/>
                <w:kern w:val="0"/>
                <w:sz w:val="24"/>
              </w:rPr>
              <w:t>800,000.00</w:t>
            </w:r>
          </w:p>
        </w:tc>
        <w:tc>
          <w:tcPr>
            <w:tcW w:w="1836" w:type="dxa"/>
            <w:vAlign w:val="center"/>
          </w:tcPr>
          <w:p w:rsidR="005C48D6" w:rsidRDefault="008F0294">
            <w:pPr>
              <w:jc w:val="right"/>
            </w:pPr>
            <w:r>
              <w:rPr>
                <w:rFonts w:eastAsiaTheme="minorEastAsia"/>
                <w:color w:val="000000" w:themeColor="text1"/>
                <w:kern w:val="0"/>
                <w:sz w:val="24"/>
              </w:rPr>
              <w:t>80,080,977.80</w:t>
            </w:r>
          </w:p>
        </w:tc>
      </w:tr>
      <w:tr w:rsidR="005C48D6">
        <w:tc>
          <w:tcPr>
            <w:tcW w:w="1500" w:type="dxa"/>
            <w:vAlign w:val="center"/>
          </w:tcPr>
          <w:p w:rsidR="005C48D6" w:rsidRDefault="008F0294">
            <w:pPr>
              <w:jc w:val="center"/>
            </w:pPr>
            <w:r>
              <w:rPr>
                <w:rFonts w:eastAsiaTheme="minorEastAsia"/>
                <w:color w:val="000000" w:themeColor="text1"/>
                <w:kern w:val="0"/>
                <w:sz w:val="24"/>
              </w:rPr>
              <w:t>111807114</w:t>
            </w:r>
          </w:p>
        </w:tc>
        <w:tc>
          <w:tcPr>
            <w:tcW w:w="1500" w:type="dxa"/>
            <w:vAlign w:val="center"/>
          </w:tcPr>
          <w:p w:rsidR="005C48D6" w:rsidRDefault="008F0294">
            <w:pPr>
              <w:jc w:val="center"/>
            </w:pPr>
            <w:r>
              <w:rPr>
                <w:rFonts w:eastAsiaTheme="minorEastAsia"/>
                <w:color w:val="000000" w:themeColor="text1"/>
                <w:kern w:val="0"/>
                <w:sz w:val="24"/>
              </w:rPr>
              <w:t>18</w:t>
            </w:r>
            <w:r>
              <w:rPr>
                <w:rFonts w:eastAsiaTheme="minorEastAsia"/>
                <w:color w:val="000000" w:themeColor="text1"/>
                <w:kern w:val="0"/>
                <w:sz w:val="24"/>
              </w:rPr>
              <w:t>招商银行</w:t>
            </w:r>
            <w:r>
              <w:rPr>
                <w:rFonts w:eastAsiaTheme="minorEastAsia"/>
                <w:color w:val="000000" w:themeColor="text1"/>
                <w:kern w:val="0"/>
                <w:sz w:val="24"/>
              </w:rPr>
              <w:t>CD114</w:t>
            </w:r>
          </w:p>
        </w:tc>
        <w:tc>
          <w:tcPr>
            <w:tcW w:w="1500" w:type="dxa"/>
            <w:vAlign w:val="center"/>
          </w:tcPr>
          <w:p w:rsidR="005C48D6" w:rsidRDefault="008F0294">
            <w:pPr>
              <w:jc w:val="center"/>
            </w:pPr>
            <w:r>
              <w:rPr>
                <w:rFonts w:eastAsiaTheme="minorEastAsia"/>
                <w:color w:val="000000" w:themeColor="text1"/>
                <w:kern w:val="0"/>
                <w:sz w:val="24"/>
              </w:rPr>
              <w:t>2019-01-02</w:t>
            </w:r>
          </w:p>
        </w:tc>
        <w:tc>
          <w:tcPr>
            <w:tcW w:w="1260" w:type="dxa"/>
            <w:vAlign w:val="center"/>
          </w:tcPr>
          <w:p w:rsidR="005C48D6" w:rsidRDefault="008F0294">
            <w:pPr>
              <w:jc w:val="right"/>
            </w:pPr>
            <w:r>
              <w:rPr>
                <w:rFonts w:eastAsiaTheme="minorEastAsia"/>
                <w:color w:val="000000" w:themeColor="text1"/>
                <w:kern w:val="0"/>
                <w:sz w:val="24"/>
              </w:rPr>
              <w:t>99.52</w:t>
            </w:r>
          </w:p>
        </w:tc>
        <w:tc>
          <w:tcPr>
            <w:tcW w:w="1440" w:type="dxa"/>
            <w:vAlign w:val="center"/>
          </w:tcPr>
          <w:p w:rsidR="005C48D6" w:rsidRDefault="008F0294">
            <w:pPr>
              <w:jc w:val="right"/>
            </w:pPr>
            <w:r>
              <w:rPr>
                <w:rFonts w:eastAsiaTheme="minorEastAsia"/>
                <w:color w:val="000000" w:themeColor="text1"/>
                <w:kern w:val="0"/>
                <w:sz w:val="24"/>
              </w:rPr>
              <w:t>700,000.00</w:t>
            </w:r>
          </w:p>
        </w:tc>
        <w:tc>
          <w:tcPr>
            <w:tcW w:w="1836" w:type="dxa"/>
            <w:vAlign w:val="center"/>
          </w:tcPr>
          <w:p w:rsidR="005C48D6" w:rsidRDefault="008F0294">
            <w:pPr>
              <w:jc w:val="right"/>
            </w:pPr>
            <w:r>
              <w:rPr>
                <w:rFonts w:eastAsiaTheme="minorEastAsia"/>
                <w:color w:val="000000" w:themeColor="text1"/>
                <w:kern w:val="0"/>
                <w:sz w:val="24"/>
              </w:rPr>
              <w:t>69,664,267.84</w:t>
            </w:r>
          </w:p>
        </w:tc>
      </w:tr>
      <w:tr w:rsidR="005C48D6">
        <w:tc>
          <w:tcPr>
            <w:tcW w:w="1500" w:type="dxa"/>
            <w:vAlign w:val="center"/>
          </w:tcPr>
          <w:p w:rsidR="005C48D6" w:rsidRDefault="008F0294">
            <w:pPr>
              <w:jc w:val="center"/>
            </w:pPr>
            <w:r>
              <w:rPr>
                <w:rFonts w:eastAsiaTheme="minorEastAsia"/>
                <w:color w:val="000000" w:themeColor="text1"/>
                <w:kern w:val="0"/>
                <w:sz w:val="24"/>
              </w:rPr>
              <w:t>180407</w:t>
            </w:r>
          </w:p>
        </w:tc>
        <w:tc>
          <w:tcPr>
            <w:tcW w:w="1500" w:type="dxa"/>
            <w:vAlign w:val="center"/>
          </w:tcPr>
          <w:p w:rsidR="005C48D6" w:rsidRDefault="008F0294">
            <w:pPr>
              <w:jc w:val="center"/>
            </w:pPr>
            <w:r>
              <w:rPr>
                <w:rFonts w:eastAsiaTheme="minorEastAsia"/>
                <w:color w:val="000000" w:themeColor="text1"/>
                <w:kern w:val="0"/>
                <w:sz w:val="24"/>
              </w:rPr>
              <w:t>18</w:t>
            </w:r>
            <w:r>
              <w:rPr>
                <w:rFonts w:eastAsiaTheme="minorEastAsia"/>
                <w:color w:val="000000" w:themeColor="text1"/>
                <w:kern w:val="0"/>
                <w:sz w:val="24"/>
              </w:rPr>
              <w:t>农发</w:t>
            </w:r>
            <w:r>
              <w:rPr>
                <w:rFonts w:eastAsiaTheme="minorEastAsia"/>
                <w:color w:val="000000" w:themeColor="text1"/>
                <w:kern w:val="0"/>
                <w:sz w:val="24"/>
              </w:rPr>
              <w:t>07</w:t>
            </w:r>
          </w:p>
        </w:tc>
        <w:tc>
          <w:tcPr>
            <w:tcW w:w="1500" w:type="dxa"/>
            <w:vAlign w:val="center"/>
          </w:tcPr>
          <w:p w:rsidR="005C48D6" w:rsidRDefault="008F0294">
            <w:pPr>
              <w:jc w:val="center"/>
            </w:pPr>
            <w:r>
              <w:rPr>
                <w:rFonts w:eastAsiaTheme="minorEastAsia"/>
                <w:color w:val="000000" w:themeColor="text1"/>
                <w:kern w:val="0"/>
                <w:sz w:val="24"/>
              </w:rPr>
              <w:t>2019-01-02</w:t>
            </w:r>
          </w:p>
        </w:tc>
        <w:tc>
          <w:tcPr>
            <w:tcW w:w="1260" w:type="dxa"/>
            <w:vAlign w:val="center"/>
          </w:tcPr>
          <w:p w:rsidR="005C48D6" w:rsidRDefault="008F0294">
            <w:pPr>
              <w:jc w:val="right"/>
            </w:pPr>
            <w:r>
              <w:rPr>
                <w:rFonts w:eastAsiaTheme="minorEastAsia"/>
                <w:color w:val="000000" w:themeColor="text1"/>
                <w:kern w:val="0"/>
                <w:sz w:val="24"/>
              </w:rPr>
              <w:t>100.14</w:t>
            </w:r>
          </w:p>
        </w:tc>
        <w:tc>
          <w:tcPr>
            <w:tcW w:w="1440" w:type="dxa"/>
            <w:vAlign w:val="center"/>
          </w:tcPr>
          <w:p w:rsidR="005C48D6" w:rsidRDefault="008F0294">
            <w:pPr>
              <w:jc w:val="right"/>
            </w:pPr>
            <w:r>
              <w:rPr>
                <w:rFonts w:eastAsiaTheme="minorEastAsia"/>
                <w:color w:val="000000" w:themeColor="text1"/>
                <w:kern w:val="0"/>
                <w:sz w:val="24"/>
              </w:rPr>
              <w:t>200,000.00</w:t>
            </w:r>
          </w:p>
        </w:tc>
        <w:tc>
          <w:tcPr>
            <w:tcW w:w="1836" w:type="dxa"/>
            <w:vAlign w:val="center"/>
          </w:tcPr>
          <w:p w:rsidR="005C48D6" w:rsidRDefault="008F0294">
            <w:pPr>
              <w:jc w:val="right"/>
            </w:pPr>
            <w:r>
              <w:rPr>
                <w:rFonts w:eastAsiaTheme="minorEastAsia"/>
                <w:color w:val="000000" w:themeColor="text1"/>
                <w:kern w:val="0"/>
                <w:sz w:val="24"/>
              </w:rPr>
              <w:t>20,027,977.54</w:t>
            </w:r>
          </w:p>
        </w:tc>
      </w:tr>
      <w:tr w:rsidR="005C48D6">
        <w:tc>
          <w:tcPr>
            <w:tcW w:w="1500" w:type="dxa"/>
            <w:vAlign w:val="center"/>
          </w:tcPr>
          <w:p w:rsidR="005C48D6" w:rsidRDefault="008F0294">
            <w:pPr>
              <w:jc w:val="center"/>
            </w:pPr>
            <w:r>
              <w:rPr>
                <w:rFonts w:eastAsiaTheme="minorEastAsia"/>
                <w:color w:val="000000" w:themeColor="text1"/>
                <w:kern w:val="0"/>
                <w:sz w:val="24"/>
              </w:rPr>
              <w:t>180404</w:t>
            </w:r>
          </w:p>
        </w:tc>
        <w:tc>
          <w:tcPr>
            <w:tcW w:w="1500" w:type="dxa"/>
            <w:vAlign w:val="center"/>
          </w:tcPr>
          <w:p w:rsidR="005C48D6" w:rsidRDefault="008F0294">
            <w:pPr>
              <w:jc w:val="center"/>
            </w:pPr>
            <w:r>
              <w:rPr>
                <w:rFonts w:eastAsiaTheme="minorEastAsia"/>
                <w:color w:val="000000" w:themeColor="text1"/>
                <w:kern w:val="0"/>
                <w:sz w:val="24"/>
              </w:rPr>
              <w:t>18</w:t>
            </w:r>
            <w:r>
              <w:rPr>
                <w:rFonts w:eastAsiaTheme="minorEastAsia"/>
                <w:color w:val="000000" w:themeColor="text1"/>
                <w:kern w:val="0"/>
                <w:sz w:val="24"/>
              </w:rPr>
              <w:t>农发</w:t>
            </w:r>
            <w:r>
              <w:rPr>
                <w:rFonts w:eastAsiaTheme="minorEastAsia"/>
                <w:color w:val="000000" w:themeColor="text1"/>
                <w:kern w:val="0"/>
                <w:sz w:val="24"/>
              </w:rPr>
              <w:t>04</w:t>
            </w:r>
          </w:p>
        </w:tc>
        <w:tc>
          <w:tcPr>
            <w:tcW w:w="1500" w:type="dxa"/>
            <w:vAlign w:val="center"/>
          </w:tcPr>
          <w:p w:rsidR="005C48D6" w:rsidRDefault="008F0294">
            <w:pPr>
              <w:jc w:val="center"/>
            </w:pPr>
            <w:r>
              <w:rPr>
                <w:rFonts w:eastAsiaTheme="minorEastAsia"/>
                <w:color w:val="000000" w:themeColor="text1"/>
                <w:kern w:val="0"/>
                <w:sz w:val="24"/>
              </w:rPr>
              <w:t>2019-01-02</w:t>
            </w:r>
          </w:p>
        </w:tc>
        <w:tc>
          <w:tcPr>
            <w:tcW w:w="1260" w:type="dxa"/>
            <w:vAlign w:val="center"/>
          </w:tcPr>
          <w:p w:rsidR="005C48D6" w:rsidRDefault="008F0294">
            <w:pPr>
              <w:jc w:val="right"/>
            </w:pPr>
            <w:r>
              <w:rPr>
                <w:rFonts w:eastAsiaTheme="minorEastAsia"/>
                <w:color w:val="000000" w:themeColor="text1"/>
                <w:kern w:val="0"/>
                <w:sz w:val="24"/>
              </w:rPr>
              <w:t>100.09</w:t>
            </w:r>
          </w:p>
        </w:tc>
        <w:tc>
          <w:tcPr>
            <w:tcW w:w="1440" w:type="dxa"/>
            <w:vAlign w:val="center"/>
          </w:tcPr>
          <w:p w:rsidR="005C48D6" w:rsidRDefault="008F0294">
            <w:pPr>
              <w:jc w:val="right"/>
            </w:pPr>
            <w:r>
              <w:rPr>
                <w:rFonts w:eastAsiaTheme="minorEastAsia"/>
                <w:color w:val="000000" w:themeColor="text1"/>
                <w:kern w:val="0"/>
                <w:sz w:val="24"/>
              </w:rPr>
              <w:t>200,000.00</w:t>
            </w:r>
          </w:p>
        </w:tc>
        <w:tc>
          <w:tcPr>
            <w:tcW w:w="1836" w:type="dxa"/>
            <w:vAlign w:val="center"/>
          </w:tcPr>
          <w:p w:rsidR="005C48D6" w:rsidRDefault="008F0294">
            <w:pPr>
              <w:jc w:val="right"/>
            </w:pPr>
            <w:r>
              <w:rPr>
                <w:rFonts w:eastAsiaTheme="minorEastAsia"/>
                <w:color w:val="000000" w:themeColor="text1"/>
                <w:kern w:val="0"/>
                <w:sz w:val="24"/>
              </w:rPr>
              <w:t>20,017,361.25</w:t>
            </w:r>
          </w:p>
        </w:tc>
      </w:tr>
      <w:tr w:rsidR="005C48D6">
        <w:tc>
          <w:tcPr>
            <w:tcW w:w="1500" w:type="dxa"/>
            <w:vAlign w:val="center"/>
          </w:tcPr>
          <w:p w:rsidR="005C48D6" w:rsidRDefault="008F0294">
            <w:pPr>
              <w:jc w:val="center"/>
            </w:pPr>
            <w:r>
              <w:rPr>
                <w:rFonts w:eastAsiaTheme="minorEastAsia"/>
                <w:color w:val="000000" w:themeColor="text1"/>
                <w:kern w:val="0"/>
                <w:sz w:val="24"/>
              </w:rPr>
              <w:t>111893578</w:t>
            </w:r>
          </w:p>
        </w:tc>
        <w:tc>
          <w:tcPr>
            <w:tcW w:w="1500" w:type="dxa"/>
            <w:vAlign w:val="center"/>
          </w:tcPr>
          <w:p w:rsidR="005C48D6" w:rsidRDefault="008F0294">
            <w:pPr>
              <w:jc w:val="center"/>
            </w:pPr>
            <w:r>
              <w:rPr>
                <w:rFonts w:eastAsiaTheme="minorEastAsia"/>
                <w:color w:val="000000" w:themeColor="text1"/>
                <w:kern w:val="0"/>
                <w:sz w:val="24"/>
              </w:rPr>
              <w:t>18</w:t>
            </w:r>
            <w:r>
              <w:rPr>
                <w:rFonts w:eastAsiaTheme="minorEastAsia"/>
                <w:color w:val="000000" w:themeColor="text1"/>
                <w:kern w:val="0"/>
                <w:sz w:val="24"/>
              </w:rPr>
              <w:t>杭州银行</w:t>
            </w:r>
            <w:r>
              <w:rPr>
                <w:rFonts w:eastAsiaTheme="minorEastAsia"/>
                <w:color w:val="000000" w:themeColor="text1"/>
                <w:kern w:val="0"/>
                <w:sz w:val="24"/>
              </w:rPr>
              <w:t>CD018</w:t>
            </w:r>
          </w:p>
        </w:tc>
        <w:tc>
          <w:tcPr>
            <w:tcW w:w="1500" w:type="dxa"/>
            <w:vAlign w:val="center"/>
          </w:tcPr>
          <w:p w:rsidR="005C48D6" w:rsidRDefault="008F0294">
            <w:pPr>
              <w:jc w:val="center"/>
            </w:pPr>
            <w:r>
              <w:rPr>
                <w:rFonts w:eastAsiaTheme="minorEastAsia"/>
                <w:color w:val="000000" w:themeColor="text1"/>
                <w:kern w:val="0"/>
                <w:sz w:val="24"/>
              </w:rPr>
              <w:t>2019-01-02</w:t>
            </w:r>
          </w:p>
        </w:tc>
        <w:tc>
          <w:tcPr>
            <w:tcW w:w="1260" w:type="dxa"/>
            <w:vAlign w:val="center"/>
          </w:tcPr>
          <w:p w:rsidR="005C48D6" w:rsidRDefault="008F0294">
            <w:pPr>
              <w:jc w:val="right"/>
            </w:pPr>
            <w:r>
              <w:rPr>
                <w:rFonts w:eastAsiaTheme="minorEastAsia"/>
                <w:color w:val="000000" w:themeColor="text1"/>
                <w:kern w:val="0"/>
                <w:sz w:val="24"/>
              </w:rPr>
              <w:t>99.37</w:t>
            </w:r>
          </w:p>
        </w:tc>
        <w:tc>
          <w:tcPr>
            <w:tcW w:w="1440" w:type="dxa"/>
            <w:vAlign w:val="center"/>
          </w:tcPr>
          <w:p w:rsidR="005C48D6" w:rsidRDefault="008F0294">
            <w:pPr>
              <w:jc w:val="right"/>
            </w:pPr>
            <w:r>
              <w:rPr>
                <w:rFonts w:eastAsiaTheme="minorEastAsia"/>
                <w:color w:val="000000" w:themeColor="text1"/>
                <w:kern w:val="0"/>
                <w:sz w:val="24"/>
              </w:rPr>
              <w:t>120,000.00</w:t>
            </w:r>
          </w:p>
        </w:tc>
        <w:tc>
          <w:tcPr>
            <w:tcW w:w="1836" w:type="dxa"/>
            <w:vAlign w:val="center"/>
          </w:tcPr>
          <w:p w:rsidR="005C48D6" w:rsidRDefault="008F0294">
            <w:pPr>
              <w:jc w:val="right"/>
            </w:pPr>
            <w:r>
              <w:rPr>
                <w:rFonts w:eastAsiaTheme="minorEastAsia"/>
                <w:color w:val="000000" w:themeColor="text1"/>
                <w:kern w:val="0"/>
                <w:sz w:val="24"/>
              </w:rPr>
              <w:t>11,924,429.08</w:t>
            </w:r>
          </w:p>
        </w:tc>
      </w:tr>
      <w:tr w:rsidR="005C48D6">
        <w:tc>
          <w:tcPr>
            <w:tcW w:w="1500" w:type="dxa"/>
            <w:vAlign w:val="center"/>
          </w:tcPr>
          <w:p w:rsidR="005C48D6" w:rsidRDefault="008F0294">
            <w:pPr>
              <w:jc w:val="center"/>
            </w:pPr>
            <w:r>
              <w:rPr>
                <w:rFonts w:eastAsiaTheme="minorEastAsia"/>
                <w:color w:val="000000" w:themeColor="text1"/>
                <w:kern w:val="0"/>
                <w:sz w:val="24"/>
              </w:rPr>
              <w:t>111883774</w:t>
            </w:r>
          </w:p>
        </w:tc>
        <w:tc>
          <w:tcPr>
            <w:tcW w:w="1500" w:type="dxa"/>
            <w:vAlign w:val="center"/>
          </w:tcPr>
          <w:p w:rsidR="005C48D6" w:rsidRDefault="008F0294">
            <w:pPr>
              <w:jc w:val="center"/>
            </w:pPr>
            <w:r>
              <w:rPr>
                <w:rFonts w:eastAsiaTheme="minorEastAsia"/>
                <w:color w:val="000000" w:themeColor="text1"/>
                <w:kern w:val="0"/>
                <w:sz w:val="24"/>
              </w:rPr>
              <w:t>18</w:t>
            </w:r>
            <w:r>
              <w:rPr>
                <w:rFonts w:eastAsiaTheme="minorEastAsia"/>
                <w:color w:val="000000" w:themeColor="text1"/>
                <w:kern w:val="0"/>
                <w:sz w:val="24"/>
              </w:rPr>
              <w:t>南京银行</w:t>
            </w:r>
            <w:r>
              <w:rPr>
                <w:rFonts w:eastAsiaTheme="minorEastAsia"/>
                <w:color w:val="000000" w:themeColor="text1"/>
                <w:kern w:val="0"/>
                <w:sz w:val="24"/>
              </w:rPr>
              <w:t>CD105</w:t>
            </w:r>
          </w:p>
        </w:tc>
        <w:tc>
          <w:tcPr>
            <w:tcW w:w="1500" w:type="dxa"/>
            <w:vAlign w:val="center"/>
          </w:tcPr>
          <w:p w:rsidR="005C48D6" w:rsidRDefault="008F0294">
            <w:pPr>
              <w:jc w:val="center"/>
            </w:pPr>
            <w:r>
              <w:rPr>
                <w:rFonts w:eastAsiaTheme="minorEastAsia"/>
                <w:color w:val="000000" w:themeColor="text1"/>
                <w:kern w:val="0"/>
                <w:sz w:val="24"/>
              </w:rPr>
              <w:t>2019-01-02</w:t>
            </w:r>
          </w:p>
        </w:tc>
        <w:tc>
          <w:tcPr>
            <w:tcW w:w="1260" w:type="dxa"/>
            <w:vAlign w:val="center"/>
          </w:tcPr>
          <w:p w:rsidR="005C48D6" w:rsidRDefault="008F0294">
            <w:pPr>
              <w:jc w:val="right"/>
            </w:pPr>
            <w:r>
              <w:rPr>
                <w:rFonts w:eastAsiaTheme="minorEastAsia"/>
                <w:color w:val="000000" w:themeColor="text1"/>
                <w:kern w:val="0"/>
                <w:sz w:val="24"/>
              </w:rPr>
              <w:t>98.64</w:t>
            </w:r>
          </w:p>
        </w:tc>
        <w:tc>
          <w:tcPr>
            <w:tcW w:w="1440" w:type="dxa"/>
            <w:vAlign w:val="center"/>
          </w:tcPr>
          <w:p w:rsidR="005C48D6" w:rsidRDefault="008F0294">
            <w:pPr>
              <w:jc w:val="right"/>
            </w:pPr>
            <w:r>
              <w:rPr>
                <w:rFonts w:eastAsiaTheme="minorEastAsia"/>
                <w:color w:val="000000" w:themeColor="text1"/>
                <w:kern w:val="0"/>
                <w:sz w:val="24"/>
              </w:rPr>
              <w:t>115,000.00</w:t>
            </w:r>
          </w:p>
        </w:tc>
        <w:tc>
          <w:tcPr>
            <w:tcW w:w="1836" w:type="dxa"/>
            <w:vAlign w:val="center"/>
          </w:tcPr>
          <w:p w:rsidR="005C48D6" w:rsidRDefault="008F0294">
            <w:pPr>
              <w:jc w:val="right"/>
            </w:pPr>
            <w:r>
              <w:rPr>
                <w:rFonts w:eastAsiaTheme="minorEastAsia"/>
                <w:color w:val="000000" w:themeColor="text1"/>
                <w:kern w:val="0"/>
                <w:sz w:val="24"/>
              </w:rPr>
              <w:t>11,343,858.04</w:t>
            </w:r>
          </w:p>
        </w:tc>
      </w:tr>
      <w:tr w:rsidR="002C233F" w:rsidRPr="009A7486" w:rsidTr="006D141C">
        <w:tc>
          <w:tcPr>
            <w:tcW w:w="1500"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rPr>
                <w:rFonts w:eastAsiaTheme="minorEastAsia"/>
                <w:color w:val="000000" w:themeColor="text1"/>
                <w:kern w:val="0"/>
                <w:sz w:val="24"/>
              </w:rPr>
            </w:pPr>
            <w:r w:rsidRPr="009A7486">
              <w:rPr>
                <w:rFonts w:eastAsiaTheme="minorEastAsia"/>
                <w:color w:val="000000" w:themeColor="text1"/>
                <w:sz w:val="24"/>
              </w:rPr>
              <w:t>合计</w:t>
            </w:r>
          </w:p>
        </w:tc>
        <w:tc>
          <w:tcPr>
            <w:tcW w:w="1500" w:type="dxa"/>
            <w:tcBorders>
              <w:top w:val="single" w:sz="4" w:space="0" w:color="000000"/>
              <w:left w:val="single" w:sz="4" w:space="0" w:color="000000"/>
              <w:bottom w:val="single" w:sz="4" w:space="0" w:color="000000"/>
              <w:right w:val="single" w:sz="4" w:space="0" w:color="000000"/>
            </w:tcBorders>
          </w:tcPr>
          <w:p w:rsidR="006D141C" w:rsidRPr="009A7486" w:rsidRDefault="006D141C" w:rsidP="004B36C2">
            <w:pPr>
              <w:autoSpaceDE w:val="0"/>
              <w:autoSpaceDN w:val="0"/>
              <w:adjustRightInd w:val="0"/>
              <w:spacing w:before="29" w:line="360" w:lineRule="auto"/>
              <w:ind w:left="15"/>
              <w:jc w:val="center"/>
              <w:rPr>
                <w:rFonts w:eastAsiaTheme="minorEastAsia"/>
                <w:color w:val="000000" w:themeColor="text1"/>
                <w:kern w:val="0"/>
                <w:sz w:val="24"/>
              </w:rPr>
            </w:pPr>
          </w:p>
        </w:tc>
        <w:tc>
          <w:tcPr>
            <w:tcW w:w="1500" w:type="dxa"/>
            <w:tcBorders>
              <w:top w:val="single" w:sz="4" w:space="0" w:color="000000"/>
              <w:left w:val="single" w:sz="4" w:space="0" w:color="000000"/>
              <w:bottom w:val="single" w:sz="4" w:space="0" w:color="000000"/>
              <w:right w:val="single" w:sz="4" w:space="0" w:color="000000"/>
            </w:tcBorders>
          </w:tcPr>
          <w:p w:rsidR="006D141C" w:rsidRPr="009A7486" w:rsidRDefault="006D141C" w:rsidP="004B36C2">
            <w:pPr>
              <w:autoSpaceDE w:val="0"/>
              <w:autoSpaceDN w:val="0"/>
              <w:adjustRightInd w:val="0"/>
              <w:spacing w:before="29" w:line="360" w:lineRule="auto"/>
              <w:ind w:left="15"/>
              <w:jc w:val="center"/>
              <w:rPr>
                <w:rFonts w:eastAsiaTheme="minorEastAsia"/>
                <w:color w:val="000000" w:themeColor="text1"/>
                <w:kern w:val="0"/>
                <w:sz w:val="24"/>
              </w:rPr>
            </w:pPr>
          </w:p>
        </w:tc>
        <w:tc>
          <w:tcPr>
            <w:tcW w:w="1260" w:type="dxa"/>
            <w:tcBorders>
              <w:top w:val="single" w:sz="4" w:space="0" w:color="000000"/>
              <w:left w:val="single" w:sz="4" w:space="0" w:color="000000"/>
              <w:bottom w:val="single" w:sz="4" w:space="0" w:color="000000"/>
              <w:right w:val="single" w:sz="4" w:space="0" w:color="000000"/>
            </w:tcBorders>
          </w:tcPr>
          <w:p w:rsidR="006D141C" w:rsidRPr="009A7486" w:rsidRDefault="006D141C" w:rsidP="004B36C2">
            <w:pPr>
              <w:autoSpaceDE w:val="0"/>
              <w:autoSpaceDN w:val="0"/>
              <w:adjustRightInd w:val="0"/>
              <w:spacing w:before="29" w:line="360" w:lineRule="auto"/>
              <w:ind w:left="15"/>
              <w:jc w:val="right"/>
              <w:rPr>
                <w:rFonts w:eastAsiaTheme="minorEastAsia"/>
                <w:color w:val="000000" w:themeColor="text1"/>
                <w:kern w:val="0"/>
                <w:sz w:val="24"/>
              </w:rPr>
            </w:pPr>
          </w:p>
        </w:tc>
        <w:tc>
          <w:tcPr>
            <w:tcW w:w="1440"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right"/>
              <w:rPr>
                <w:rFonts w:eastAsiaTheme="minorEastAsia"/>
                <w:color w:val="000000" w:themeColor="text1"/>
                <w:sz w:val="24"/>
              </w:rPr>
            </w:pPr>
            <w:r w:rsidRPr="009A7486">
              <w:rPr>
                <w:rFonts w:eastAsiaTheme="minorEastAsia"/>
                <w:color w:val="000000" w:themeColor="text1"/>
                <w:sz w:val="24"/>
              </w:rPr>
              <w:t>12,055,000.00</w:t>
            </w:r>
          </w:p>
        </w:tc>
        <w:tc>
          <w:tcPr>
            <w:tcW w:w="1836"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right"/>
              <w:rPr>
                <w:rFonts w:eastAsiaTheme="minorEastAsia"/>
                <w:color w:val="000000" w:themeColor="text1"/>
                <w:sz w:val="24"/>
              </w:rPr>
            </w:pPr>
            <w:r w:rsidRPr="009A7486">
              <w:rPr>
                <w:rFonts w:eastAsiaTheme="minorEastAsia"/>
                <w:color w:val="000000" w:themeColor="text1"/>
                <w:sz w:val="24"/>
              </w:rPr>
              <w:t>1,203,422,886.19</w:t>
            </w:r>
          </w:p>
        </w:tc>
      </w:tr>
    </w:tbl>
    <w:p w:rsidR="006D141C" w:rsidRPr="009A7486" w:rsidRDefault="006D141C" w:rsidP="002855D4">
      <w:pPr>
        <w:autoSpaceDE w:val="0"/>
        <w:autoSpaceDN w:val="0"/>
        <w:adjustRightInd w:val="0"/>
        <w:spacing w:beforeLines="100"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7.4.9.3.</w:t>
      </w:r>
      <w:r w:rsidR="008A28D4" w:rsidRPr="009A7486">
        <w:rPr>
          <w:rFonts w:eastAsiaTheme="minorEastAsia"/>
          <w:b/>
          <w:bCs/>
          <w:color w:val="000000" w:themeColor="text1"/>
          <w:kern w:val="0"/>
          <w:sz w:val="24"/>
        </w:rPr>
        <w:t>2</w:t>
      </w:r>
      <w:r w:rsidRPr="009A7486">
        <w:rPr>
          <w:rFonts w:eastAsiaTheme="minorEastAsia"/>
          <w:b/>
          <w:bCs/>
          <w:color w:val="000000" w:themeColor="text1"/>
          <w:kern w:val="0"/>
          <w:sz w:val="24"/>
        </w:rPr>
        <w:t>交易所市场债券正回购</w:t>
      </w:r>
    </w:p>
    <w:p w:rsidR="006D141C" w:rsidRPr="009A7486" w:rsidRDefault="006D141C"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本基金本期末无交易所市场债券正回购中作为抵押的债券。</w:t>
      </w:r>
    </w:p>
    <w:p w:rsidR="006D141C" w:rsidRPr="009A7486" w:rsidRDefault="006D141C" w:rsidP="002855D4">
      <w:pPr>
        <w:autoSpaceDE w:val="0"/>
        <w:autoSpaceDN w:val="0"/>
        <w:adjustRightInd w:val="0"/>
        <w:spacing w:beforeLines="100"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7.4.</w:t>
      </w:r>
      <w:r w:rsidR="008A28D4" w:rsidRPr="009A7486">
        <w:rPr>
          <w:rFonts w:eastAsiaTheme="minorEastAsia"/>
          <w:b/>
          <w:bCs/>
          <w:color w:val="000000" w:themeColor="text1"/>
          <w:kern w:val="0"/>
          <w:sz w:val="24"/>
        </w:rPr>
        <w:t>10</w:t>
      </w:r>
      <w:r w:rsidRPr="009A7486">
        <w:rPr>
          <w:rFonts w:eastAsiaTheme="minorEastAsia"/>
          <w:b/>
          <w:bCs/>
          <w:color w:val="000000" w:themeColor="text1"/>
          <w:kern w:val="0"/>
          <w:sz w:val="24"/>
        </w:rPr>
        <w:t>有助于理解和分析会计报表需要说明的其他事项</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(1)  </w:t>
      </w:r>
      <w:r>
        <w:rPr>
          <w:rFonts w:eastAsiaTheme="minorEastAsia"/>
          <w:color w:val="000000" w:themeColor="text1"/>
          <w:sz w:val="24"/>
        </w:rPr>
        <w:t>公允价值</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(a)</w:t>
      </w:r>
      <w:r>
        <w:rPr>
          <w:rFonts w:eastAsiaTheme="minorEastAsia"/>
          <w:color w:val="000000" w:themeColor="text1"/>
          <w:sz w:val="24"/>
        </w:rPr>
        <w:t>金融工具公允价值计量的方法</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公允价值计量结果所属的层次，由对公允价值计量整体而言具有重要意义的输入值所属的最低层次决定：</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第一层次：相同资产或负债在活跃市场上未经调整的报价。</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第二层次：除第一层次输入值外相关资产或负债直接或间接可观察的输入值。</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第三层次：相关资产或负债的不可观察输入值。</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(b)  </w:t>
      </w:r>
      <w:r>
        <w:rPr>
          <w:rFonts w:eastAsiaTheme="minorEastAsia"/>
          <w:color w:val="000000" w:themeColor="text1"/>
          <w:sz w:val="24"/>
        </w:rPr>
        <w:t>持续的以公允价值计量的金融工具</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(i)  </w:t>
      </w:r>
      <w:r>
        <w:rPr>
          <w:rFonts w:eastAsiaTheme="minorEastAsia"/>
          <w:color w:val="000000" w:themeColor="text1"/>
          <w:sz w:val="24"/>
        </w:rPr>
        <w:t>各层次金融工具公允价值</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于</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12</w:t>
      </w:r>
      <w:r>
        <w:rPr>
          <w:rFonts w:eastAsiaTheme="minorEastAsia"/>
          <w:color w:val="000000" w:themeColor="text1"/>
          <w:sz w:val="24"/>
        </w:rPr>
        <w:t>月</w:t>
      </w:r>
      <w:r>
        <w:rPr>
          <w:rFonts w:eastAsiaTheme="minorEastAsia"/>
          <w:color w:val="000000" w:themeColor="text1"/>
          <w:sz w:val="24"/>
        </w:rPr>
        <w:t>31</w:t>
      </w:r>
      <w:r>
        <w:rPr>
          <w:rFonts w:eastAsiaTheme="minorEastAsia"/>
          <w:color w:val="000000" w:themeColor="text1"/>
          <w:sz w:val="24"/>
        </w:rPr>
        <w:t>日，本基金持有的以公允价值计量且其变动计入当期损益的金融资产中属于第二层次的余额为</w:t>
      </w:r>
      <w:r>
        <w:rPr>
          <w:rFonts w:eastAsiaTheme="minorEastAsia"/>
          <w:color w:val="000000" w:themeColor="text1"/>
          <w:sz w:val="24"/>
        </w:rPr>
        <w:t>6,581,956,432.74</w:t>
      </w:r>
      <w:r>
        <w:rPr>
          <w:rFonts w:eastAsiaTheme="minorEastAsia"/>
          <w:color w:val="000000" w:themeColor="text1"/>
          <w:sz w:val="24"/>
        </w:rPr>
        <w:t>元，无属于第一或第三层次的余额</w:t>
      </w:r>
      <w:r>
        <w:rPr>
          <w:rFonts w:eastAsiaTheme="minorEastAsia"/>
          <w:color w:val="000000" w:themeColor="text1"/>
          <w:sz w:val="24"/>
        </w:rPr>
        <w:t>(2017</w:t>
      </w:r>
      <w:r>
        <w:rPr>
          <w:rFonts w:eastAsiaTheme="minorEastAsia"/>
          <w:color w:val="000000" w:themeColor="text1"/>
          <w:sz w:val="24"/>
        </w:rPr>
        <w:t>年</w:t>
      </w:r>
      <w:r>
        <w:rPr>
          <w:rFonts w:eastAsiaTheme="minorEastAsia"/>
          <w:color w:val="000000" w:themeColor="text1"/>
          <w:sz w:val="24"/>
        </w:rPr>
        <w:t>12</w:t>
      </w:r>
      <w:r>
        <w:rPr>
          <w:rFonts w:eastAsiaTheme="minorEastAsia"/>
          <w:color w:val="000000" w:themeColor="text1"/>
          <w:sz w:val="24"/>
        </w:rPr>
        <w:t>月</w:t>
      </w:r>
      <w:r>
        <w:rPr>
          <w:rFonts w:eastAsiaTheme="minorEastAsia"/>
          <w:color w:val="000000" w:themeColor="text1"/>
          <w:sz w:val="24"/>
        </w:rPr>
        <w:t>31</w:t>
      </w:r>
      <w:r>
        <w:rPr>
          <w:rFonts w:eastAsiaTheme="minorEastAsia"/>
          <w:color w:val="000000" w:themeColor="text1"/>
          <w:sz w:val="24"/>
        </w:rPr>
        <w:t>日：第二层次</w:t>
      </w:r>
      <w:r>
        <w:rPr>
          <w:rFonts w:eastAsiaTheme="minorEastAsia"/>
          <w:color w:val="000000" w:themeColor="text1"/>
          <w:sz w:val="24"/>
        </w:rPr>
        <w:t>16,380,944,070.23</w:t>
      </w:r>
      <w:r>
        <w:rPr>
          <w:rFonts w:eastAsiaTheme="minorEastAsia"/>
          <w:color w:val="000000" w:themeColor="text1"/>
          <w:sz w:val="24"/>
        </w:rPr>
        <w:t>元，无第一或第三层次</w:t>
      </w:r>
      <w:r>
        <w:rPr>
          <w:rFonts w:eastAsiaTheme="minorEastAsia"/>
          <w:color w:val="000000" w:themeColor="text1"/>
          <w:sz w:val="24"/>
        </w:rPr>
        <w:t>)</w:t>
      </w:r>
      <w:r>
        <w:rPr>
          <w:rFonts w:eastAsiaTheme="minorEastAsia"/>
          <w:color w:val="000000" w:themeColor="text1"/>
          <w:sz w:val="24"/>
        </w:rPr>
        <w:t>。</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(ii)  </w:t>
      </w:r>
      <w:r>
        <w:rPr>
          <w:rFonts w:eastAsiaTheme="minorEastAsia"/>
          <w:color w:val="000000" w:themeColor="text1"/>
          <w:sz w:val="24"/>
        </w:rPr>
        <w:t>公允价值所属层次间的重大变动</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本基金以导致各层次之间转换的事项发生日为确认各层次之间转换的时点。</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对于证券交易所上市的股票和债券，若出现重大事项停牌、交易不活跃</w:t>
      </w:r>
      <w:r>
        <w:rPr>
          <w:rFonts w:eastAsiaTheme="minorEastAsia"/>
          <w:color w:val="000000" w:themeColor="text1"/>
          <w:sz w:val="24"/>
        </w:rPr>
        <w:t>(</w:t>
      </w:r>
      <w:r>
        <w:rPr>
          <w:rFonts w:eastAsiaTheme="minorEastAsia"/>
          <w:color w:val="000000" w:themeColor="text1"/>
          <w:sz w:val="24"/>
        </w:rPr>
        <w:t>包括涨跌停时的交易不活跃</w:t>
      </w:r>
      <w:r>
        <w:rPr>
          <w:rFonts w:eastAsiaTheme="minorEastAsia"/>
          <w:color w:val="000000" w:themeColor="text1"/>
          <w:sz w:val="24"/>
        </w:rPr>
        <w:t>)</w:t>
      </w:r>
      <w:r>
        <w:rPr>
          <w:rFonts w:eastAsiaTheme="minorEastAsia"/>
          <w:color w:val="000000" w:themeColor="text1"/>
          <w:sz w:val="24"/>
        </w:rPr>
        <w:t>、或属于非公开发行等情况，本基金不会于停牌日至交易恢复活跃日期间、交易不活跃期间及限售期间将相关股票和债券的公允价值列入第一层次；并根据估值调整中采用的不可观察输入值对于公允价值的影响程度，确定相关股票和债券公允价值应属第二层次还是第三层次。</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(iii)  </w:t>
      </w:r>
      <w:r>
        <w:rPr>
          <w:rFonts w:eastAsiaTheme="minorEastAsia"/>
          <w:color w:val="000000" w:themeColor="text1"/>
          <w:sz w:val="24"/>
        </w:rPr>
        <w:t>第三层次公允价值余额和本期变动金额</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无。</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(c)  </w:t>
      </w:r>
      <w:r>
        <w:rPr>
          <w:rFonts w:eastAsiaTheme="minorEastAsia"/>
          <w:color w:val="000000" w:themeColor="text1"/>
          <w:sz w:val="24"/>
        </w:rPr>
        <w:t>非持续的以公允价值计量的金融工具</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于</w:t>
      </w:r>
      <w:r>
        <w:rPr>
          <w:rFonts w:eastAsiaTheme="minorEastAsia"/>
          <w:color w:val="000000" w:themeColor="text1"/>
          <w:sz w:val="24"/>
        </w:rPr>
        <w:t>2018</w:t>
      </w:r>
      <w:r>
        <w:rPr>
          <w:rFonts w:eastAsiaTheme="minorEastAsia"/>
          <w:color w:val="000000" w:themeColor="text1"/>
          <w:sz w:val="24"/>
        </w:rPr>
        <w:t>年</w:t>
      </w:r>
      <w:r>
        <w:rPr>
          <w:rFonts w:eastAsiaTheme="minorEastAsia"/>
          <w:color w:val="000000" w:themeColor="text1"/>
          <w:sz w:val="24"/>
        </w:rPr>
        <w:t>12</w:t>
      </w:r>
      <w:r>
        <w:rPr>
          <w:rFonts w:eastAsiaTheme="minorEastAsia"/>
          <w:color w:val="000000" w:themeColor="text1"/>
          <w:sz w:val="24"/>
        </w:rPr>
        <w:t>月</w:t>
      </w:r>
      <w:r>
        <w:rPr>
          <w:rFonts w:eastAsiaTheme="minorEastAsia"/>
          <w:color w:val="000000" w:themeColor="text1"/>
          <w:sz w:val="24"/>
        </w:rPr>
        <w:t>31</w:t>
      </w:r>
      <w:r>
        <w:rPr>
          <w:rFonts w:eastAsiaTheme="minorEastAsia"/>
          <w:color w:val="000000" w:themeColor="text1"/>
          <w:sz w:val="24"/>
        </w:rPr>
        <w:t>日，本基金未持有非持续的以公允价值计量的金融资产</w:t>
      </w:r>
      <w:r>
        <w:rPr>
          <w:rFonts w:eastAsiaTheme="minorEastAsia"/>
          <w:color w:val="000000" w:themeColor="text1"/>
          <w:sz w:val="24"/>
        </w:rPr>
        <w:t>(2017</w:t>
      </w:r>
      <w:r>
        <w:rPr>
          <w:rFonts w:eastAsiaTheme="minorEastAsia"/>
          <w:color w:val="000000" w:themeColor="text1"/>
          <w:sz w:val="24"/>
        </w:rPr>
        <w:t>年</w:t>
      </w:r>
      <w:r>
        <w:rPr>
          <w:rFonts w:eastAsiaTheme="minorEastAsia"/>
          <w:color w:val="000000" w:themeColor="text1"/>
          <w:sz w:val="24"/>
        </w:rPr>
        <w:t>12</w:t>
      </w:r>
      <w:r>
        <w:rPr>
          <w:rFonts w:eastAsiaTheme="minorEastAsia"/>
          <w:color w:val="000000" w:themeColor="text1"/>
          <w:sz w:val="24"/>
        </w:rPr>
        <w:t>月</w:t>
      </w:r>
      <w:r>
        <w:rPr>
          <w:rFonts w:eastAsiaTheme="minorEastAsia"/>
          <w:color w:val="000000" w:themeColor="text1"/>
          <w:sz w:val="24"/>
        </w:rPr>
        <w:t>31</w:t>
      </w:r>
      <w:r>
        <w:rPr>
          <w:rFonts w:eastAsiaTheme="minorEastAsia"/>
          <w:color w:val="000000" w:themeColor="text1"/>
          <w:sz w:val="24"/>
        </w:rPr>
        <w:t>日：同</w:t>
      </w:r>
      <w:r>
        <w:rPr>
          <w:rFonts w:eastAsiaTheme="minorEastAsia"/>
          <w:color w:val="000000" w:themeColor="text1"/>
          <w:sz w:val="24"/>
        </w:rPr>
        <w:t>)</w:t>
      </w:r>
      <w:r>
        <w:rPr>
          <w:rFonts w:eastAsiaTheme="minorEastAsia"/>
          <w:color w:val="000000" w:themeColor="text1"/>
          <w:sz w:val="24"/>
        </w:rPr>
        <w:t>。</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(d)  </w:t>
      </w:r>
      <w:r>
        <w:rPr>
          <w:rFonts w:eastAsiaTheme="minorEastAsia"/>
          <w:color w:val="000000" w:themeColor="text1"/>
          <w:sz w:val="24"/>
        </w:rPr>
        <w:t>不以公允价值计量的金融工具</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不以公允价值计量的金融资产和负债主要包括应收款项和其他金融负债，其账面价值与公允价值相差很小。</w:t>
      </w:r>
    </w:p>
    <w:p w:rsidR="005C48D6" w:rsidRDefault="008F0294">
      <w:pPr>
        <w:spacing w:line="360" w:lineRule="auto"/>
        <w:ind w:firstLineChars="200" w:firstLine="480"/>
        <w:rPr>
          <w:rFonts w:eastAsiaTheme="minorEastAsia"/>
          <w:color w:val="000000" w:themeColor="text1"/>
          <w:sz w:val="24"/>
        </w:rPr>
      </w:pPr>
      <w:r>
        <w:rPr>
          <w:rFonts w:eastAsiaTheme="minorEastAsia"/>
          <w:color w:val="000000" w:themeColor="text1"/>
          <w:sz w:val="24"/>
        </w:rPr>
        <w:t xml:space="preserve">(2)  </w:t>
      </w:r>
      <w:r>
        <w:rPr>
          <w:rFonts w:eastAsiaTheme="minorEastAsia"/>
          <w:color w:val="000000" w:themeColor="text1"/>
          <w:sz w:val="24"/>
        </w:rPr>
        <w:t>其他</w:t>
      </w:r>
    </w:p>
    <w:p w:rsidR="006D141C" w:rsidRPr="009A7486" w:rsidRDefault="006D141C"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除公允价值和增值税外，截至资产负债表日本基金无需要说明的其他重要事项。</w:t>
      </w:r>
    </w:p>
    <w:p w:rsidR="006D141C" w:rsidRPr="009A7486" w:rsidRDefault="006D141C" w:rsidP="002855D4">
      <w:pPr>
        <w:pStyle w:val="1"/>
        <w:keepNext/>
        <w:keepLines/>
        <w:widowControl w:val="0"/>
        <w:spacing w:beforeLines="100" w:afterLines="100" w:line="360" w:lineRule="auto"/>
        <w:jc w:val="center"/>
        <w:rPr>
          <w:rFonts w:eastAsiaTheme="minorEastAsia"/>
          <w:b/>
          <w:bCs/>
          <w:color w:val="000000" w:themeColor="text1"/>
          <w:szCs w:val="24"/>
          <w:lang w:val="en-US"/>
        </w:rPr>
      </w:pPr>
      <w:bookmarkStart w:id="11" w:name="_Toc331410101"/>
      <w:bookmarkStart w:id="12" w:name="_Toc225498272"/>
      <w:r w:rsidRPr="009A7486">
        <w:rPr>
          <w:rFonts w:eastAsiaTheme="minorEastAsia"/>
          <w:b/>
          <w:bCs/>
          <w:color w:val="000000" w:themeColor="text1"/>
          <w:szCs w:val="24"/>
          <w:lang w:val="en-US"/>
        </w:rPr>
        <w:t>§</w:t>
      </w:r>
      <w:r w:rsidR="008F51AA" w:rsidRPr="009A7486">
        <w:rPr>
          <w:rFonts w:eastAsiaTheme="minorEastAsia"/>
          <w:b/>
          <w:bCs/>
          <w:color w:val="000000" w:themeColor="text1"/>
          <w:szCs w:val="24"/>
          <w:lang w:val="en-US"/>
        </w:rPr>
        <w:t>8</w:t>
      </w:r>
      <w:r w:rsidRPr="009A7486">
        <w:rPr>
          <w:rFonts w:eastAsiaTheme="minorEastAsia"/>
          <w:b/>
          <w:bCs/>
          <w:color w:val="000000" w:themeColor="text1"/>
          <w:szCs w:val="24"/>
          <w:lang w:val="en-US"/>
        </w:rPr>
        <w:t>投资组合报告</w:t>
      </w:r>
      <w:bookmarkEnd w:id="11"/>
      <w:bookmarkEnd w:id="12"/>
    </w:p>
    <w:p w:rsidR="006D141C" w:rsidRPr="009A7486" w:rsidRDefault="006D141C" w:rsidP="00024D14">
      <w:pPr>
        <w:autoSpaceDE w:val="0"/>
        <w:autoSpaceDN w:val="0"/>
        <w:adjustRightInd w:val="0"/>
        <w:spacing w:line="360" w:lineRule="auto"/>
        <w:jc w:val="left"/>
        <w:outlineLvl w:val="1"/>
        <w:rPr>
          <w:rFonts w:eastAsiaTheme="minorEastAsia"/>
          <w:b/>
          <w:bCs/>
          <w:color w:val="000000" w:themeColor="text1"/>
          <w:kern w:val="0"/>
          <w:sz w:val="24"/>
        </w:rPr>
      </w:pPr>
      <w:bookmarkStart w:id="13" w:name="_Toc331410102"/>
      <w:bookmarkStart w:id="14" w:name="_Toc225498273"/>
      <w:r w:rsidRPr="009A7486">
        <w:rPr>
          <w:rFonts w:eastAsiaTheme="minorEastAsia"/>
          <w:b/>
          <w:bCs/>
          <w:color w:val="000000" w:themeColor="text1"/>
          <w:kern w:val="0"/>
          <w:sz w:val="24"/>
        </w:rPr>
        <w:t>8.1</w:t>
      </w:r>
      <w:r w:rsidRPr="009A7486">
        <w:rPr>
          <w:rFonts w:eastAsiaTheme="minorEastAsia"/>
          <w:b/>
          <w:bCs/>
          <w:color w:val="000000" w:themeColor="text1"/>
          <w:kern w:val="0"/>
          <w:sz w:val="24"/>
        </w:rPr>
        <w:t>期末基金资产组合情况</w:t>
      </w:r>
      <w:bookmarkEnd w:id="13"/>
      <w:bookmarkEnd w:id="14"/>
    </w:p>
    <w:p w:rsidR="006D141C" w:rsidRPr="009A7486" w:rsidRDefault="00644AB5" w:rsidP="004B36C2">
      <w:pPr>
        <w:autoSpaceDE w:val="0"/>
        <w:autoSpaceDN w:val="0"/>
        <w:adjustRightInd w:val="0"/>
        <w:spacing w:before="29" w:line="360" w:lineRule="auto"/>
        <w:ind w:left="15"/>
        <w:jc w:val="right"/>
        <w:rPr>
          <w:rFonts w:eastAsiaTheme="minorEastAsia"/>
          <w:color w:val="000000" w:themeColor="text1"/>
          <w:kern w:val="0"/>
          <w:sz w:val="24"/>
        </w:rPr>
      </w:pPr>
      <w:r w:rsidRPr="009A7486">
        <w:rPr>
          <w:rFonts w:eastAsiaTheme="minorEastAsia"/>
          <w:color w:val="000000" w:themeColor="text1"/>
          <w:sz w:val="24"/>
        </w:rPr>
        <w:t>金额单位</w:t>
      </w:r>
      <w:r w:rsidR="006D141C" w:rsidRPr="009A7486">
        <w:rPr>
          <w:rFonts w:eastAsiaTheme="minorEastAsia"/>
          <w:color w:val="000000" w:themeColor="text1"/>
          <w:sz w:val="24"/>
        </w:rPr>
        <w:t>：人民币元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0"/>
        <w:gridCol w:w="3420"/>
        <w:gridCol w:w="2520"/>
        <w:gridCol w:w="1980"/>
      </w:tblGrid>
      <w:tr w:rsidR="002C233F" w:rsidRPr="009A7486" w:rsidTr="006D141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序号</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项目</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金额</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占基金总资产的比例（</w:t>
            </w:r>
            <w:r w:rsidRPr="009A7486">
              <w:rPr>
                <w:rFonts w:eastAsiaTheme="minorEastAsia"/>
                <w:color w:val="000000" w:themeColor="text1"/>
                <w:sz w:val="24"/>
              </w:rPr>
              <w:t>%</w:t>
            </w:r>
            <w:r w:rsidRPr="009A7486">
              <w:rPr>
                <w:rFonts w:eastAsiaTheme="minorEastAsia"/>
                <w:color w:val="000000" w:themeColor="text1"/>
                <w:sz w:val="24"/>
              </w:rPr>
              <w:t>）</w:t>
            </w:r>
          </w:p>
        </w:tc>
      </w:tr>
      <w:tr w:rsidR="002C233F" w:rsidRPr="009A7486"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146CD7" w:rsidP="004B36C2">
            <w:pPr>
              <w:spacing w:line="360" w:lineRule="auto"/>
              <w:jc w:val="center"/>
              <w:rPr>
                <w:rFonts w:eastAsiaTheme="minorEastAsia"/>
                <w:color w:val="000000" w:themeColor="text1"/>
                <w:sz w:val="24"/>
              </w:rPr>
            </w:pPr>
            <w:r w:rsidRPr="009A7486">
              <w:rPr>
                <w:rFonts w:eastAsiaTheme="minorEastAsia"/>
                <w:color w:val="000000" w:themeColor="text1"/>
                <w:sz w:val="24"/>
              </w:rPr>
              <w:t>1</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8039DA"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固定收益投资</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6,581,956,432.74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79.56</w:t>
            </w:r>
          </w:p>
        </w:tc>
      </w:tr>
      <w:tr w:rsidR="002C233F" w:rsidRPr="009A7486"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9A7486" w:rsidRDefault="006D141C" w:rsidP="004B36C2">
            <w:pPr>
              <w:spacing w:line="360" w:lineRule="auto"/>
              <w:jc w:val="center"/>
              <w:rPr>
                <w:rFonts w:eastAsiaTheme="minorEastAsia"/>
                <w:color w:val="000000" w:themeColor="text1"/>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991A56"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其中：债券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6,581,956,432.74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79.56</w:t>
            </w:r>
          </w:p>
        </w:tc>
      </w:tr>
      <w:tr w:rsidR="002C233F" w:rsidRPr="009A7486"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460672" w:rsidRPr="009A7486" w:rsidRDefault="00460672" w:rsidP="004B36C2">
            <w:pPr>
              <w:spacing w:line="360" w:lineRule="auto"/>
              <w:jc w:val="center"/>
              <w:rPr>
                <w:rFonts w:eastAsiaTheme="minorEastAsia"/>
                <w:color w:val="000000" w:themeColor="text1"/>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460672" w:rsidRPr="009A7486" w:rsidRDefault="00460672"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资产支持证券</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460672" w:rsidRPr="009A7486" w:rsidRDefault="00460672" w:rsidP="004B36C2">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460672" w:rsidRPr="009A7486" w:rsidRDefault="00460672" w:rsidP="004B36C2">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w:t>
            </w:r>
          </w:p>
        </w:tc>
      </w:tr>
      <w:tr w:rsidR="002C233F" w:rsidRPr="009A7486"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9A7486" w:rsidRDefault="00460672" w:rsidP="004B36C2">
            <w:pPr>
              <w:spacing w:line="360" w:lineRule="auto"/>
              <w:jc w:val="center"/>
              <w:rPr>
                <w:rFonts w:eastAsiaTheme="minorEastAsia"/>
                <w:color w:val="000000" w:themeColor="text1"/>
                <w:sz w:val="24"/>
              </w:rPr>
            </w:pPr>
            <w:r w:rsidRPr="009A7486">
              <w:rPr>
                <w:rFonts w:eastAsiaTheme="minorEastAsia"/>
                <w:color w:val="000000" w:themeColor="text1"/>
                <w:sz w:val="24"/>
              </w:rPr>
              <w:t>2</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460672"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974,095,621.14</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11.77</w:t>
            </w:r>
          </w:p>
        </w:tc>
      </w:tr>
      <w:tr w:rsidR="002C233F" w:rsidRPr="009A7486" w:rsidTr="00146CD7">
        <w:tc>
          <w:tcPr>
            <w:tcW w:w="1080" w:type="dxa"/>
            <w:tcBorders>
              <w:top w:val="single" w:sz="4" w:space="0" w:color="000000"/>
              <w:left w:val="single" w:sz="4" w:space="0" w:color="000000"/>
              <w:bottom w:val="single" w:sz="4" w:space="0" w:color="000000"/>
              <w:right w:val="single" w:sz="4" w:space="0" w:color="000000"/>
            </w:tcBorders>
            <w:vAlign w:val="center"/>
          </w:tcPr>
          <w:p w:rsidR="006D141C" w:rsidRPr="009A7486" w:rsidRDefault="006D141C" w:rsidP="004B36C2">
            <w:pPr>
              <w:spacing w:line="360" w:lineRule="auto"/>
              <w:jc w:val="center"/>
              <w:rPr>
                <w:rFonts w:eastAsiaTheme="minorEastAsia"/>
                <w:color w:val="000000" w:themeColor="text1"/>
                <w:sz w:val="24"/>
              </w:rPr>
            </w:pP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DB354F"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其中：买断式回购的买入返售金融资产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w:t>
            </w:r>
          </w:p>
        </w:tc>
      </w:tr>
      <w:tr w:rsidR="002C233F" w:rsidRPr="009A7486"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3</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AF5FD2"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银行存款和结算备付金合计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651,884,925.87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7.88</w:t>
            </w:r>
          </w:p>
        </w:tc>
      </w:tr>
      <w:tr w:rsidR="002C233F" w:rsidRPr="009A7486"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before="29" w:line="360" w:lineRule="auto"/>
              <w:ind w:left="17"/>
              <w:jc w:val="center"/>
              <w:rPr>
                <w:rFonts w:eastAsiaTheme="minorEastAsia"/>
                <w:color w:val="000000" w:themeColor="text1"/>
                <w:sz w:val="24"/>
              </w:rPr>
            </w:pPr>
            <w:r w:rsidRPr="009A7486">
              <w:rPr>
                <w:rFonts w:eastAsiaTheme="minorEastAsia"/>
                <w:color w:val="000000" w:themeColor="text1"/>
                <w:sz w:val="24"/>
              </w:rPr>
              <w:t>4</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其他各项资产</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right"/>
              <w:rPr>
                <w:rFonts w:eastAsiaTheme="minorEastAsia"/>
                <w:color w:val="000000" w:themeColor="text1"/>
                <w:sz w:val="24"/>
              </w:rPr>
            </w:pPr>
            <w:r w:rsidRPr="009A7486">
              <w:rPr>
                <w:rFonts w:eastAsiaTheme="minorEastAsia"/>
                <w:color w:val="000000" w:themeColor="text1"/>
                <w:sz w:val="24"/>
              </w:rPr>
              <w:t>64,877,610.37</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right"/>
              <w:rPr>
                <w:rFonts w:eastAsiaTheme="minorEastAsia"/>
                <w:color w:val="000000" w:themeColor="text1"/>
                <w:sz w:val="24"/>
              </w:rPr>
            </w:pPr>
            <w:r w:rsidRPr="009A7486">
              <w:rPr>
                <w:rFonts w:eastAsiaTheme="minorEastAsia"/>
                <w:color w:val="000000" w:themeColor="text1"/>
                <w:sz w:val="24"/>
              </w:rPr>
              <w:t>0.78</w:t>
            </w:r>
          </w:p>
        </w:tc>
      </w:tr>
      <w:tr w:rsidR="002C233F" w:rsidRPr="009A7486" w:rsidTr="00146CD7">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before="29" w:line="360" w:lineRule="auto"/>
              <w:ind w:left="17"/>
              <w:jc w:val="center"/>
              <w:rPr>
                <w:rFonts w:eastAsiaTheme="minorEastAsia"/>
                <w:color w:val="000000" w:themeColor="text1"/>
                <w:sz w:val="24"/>
              </w:rPr>
            </w:pPr>
            <w:r w:rsidRPr="009A7486">
              <w:rPr>
                <w:rFonts w:eastAsiaTheme="minorEastAsia"/>
                <w:color w:val="000000" w:themeColor="text1"/>
                <w:sz w:val="24"/>
              </w:rPr>
              <w:t>5</w:t>
            </w:r>
          </w:p>
        </w:tc>
        <w:tc>
          <w:tcPr>
            <w:tcW w:w="34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合计</w:t>
            </w:r>
          </w:p>
        </w:tc>
        <w:tc>
          <w:tcPr>
            <w:tcW w:w="25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right"/>
              <w:rPr>
                <w:rFonts w:eastAsiaTheme="minorEastAsia"/>
                <w:color w:val="000000" w:themeColor="text1"/>
                <w:sz w:val="24"/>
              </w:rPr>
            </w:pPr>
            <w:r w:rsidRPr="009A7486">
              <w:rPr>
                <w:rFonts w:eastAsiaTheme="minorEastAsia"/>
                <w:color w:val="000000" w:themeColor="text1"/>
                <w:sz w:val="24"/>
              </w:rPr>
              <w:t>8,272,814,590.12</w:t>
            </w:r>
          </w:p>
        </w:tc>
        <w:tc>
          <w:tcPr>
            <w:tcW w:w="19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right"/>
              <w:rPr>
                <w:rFonts w:eastAsiaTheme="minorEastAsia"/>
                <w:color w:val="000000" w:themeColor="text1"/>
                <w:sz w:val="24"/>
              </w:rPr>
            </w:pPr>
            <w:r w:rsidRPr="009A7486">
              <w:rPr>
                <w:rFonts w:eastAsiaTheme="minorEastAsia"/>
                <w:color w:val="000000" w:themeColor="text1"/>
                <w:sz w:val="24"/>
              </w:rPr>
              <w:t>100.00</w:t>
            </w:r>
          </w:p>
        </w:tc>
      </w:tr>
    </w:tbl>
    <w:p w:rsidR="006D141C" w:rsidRPr="009A7486" w:rsidRDefault="006D141C" w:rsidP="002855D4">
      <w:pPr>
        <w:autoSpaceDE w:val="0"/>
        <w:autoSpaceDN w:val="0"/>
        <w:adjustRightInd w:val="0"/>
        <w:spacing w:beforeLines="100" w:line="360" w:lineRule="auto"/>
        <w:jc w:val="left"/>
        <w:outlineLvl w:val="1"/>
        <w:rPr>
          <w:rFonts w:eastAsiaTheme="minorEastAsia"/>
          <w:b/>
          <w:bCs/>
          <w:color w:val="000000" w:themeColor="text1"/>
          <w:kern w:val="0"/>
          <w:sz w:val="24"/>
        </w:rPr>
      </w:pPr>
      <w:bookmarkStart w:id="15" w:name="_Toc331410103"/>
      <w:bookmarkStart w:id="16" w:name="_Toc225498274"/>
      <w:r w:rsidRPr="009A7486">
        <w:rPr>
          <w:rFonts w:eastAsiaTheme="minorEastAsia"/>
          <w:b/>
          <w:bCs/>
          <w:color w:val="000000" w:themeColor="text1"/>
          <w:kern w:val="0"/>
          <w:sz w:val="24"/>
        </w:rPr>
        <w:t>8.2</w:t>
      </w:r>
      <w:bookmarkEnd w:id="15"/>
      <w:bookmarkEnd w:id="16"/>
      <w:r w:rsidR="00AF5FD2" w:rsidRPr="009A7486">
        <w:rPr>
          <w:rFonts w:eastAsiaTheme="minorEastAsia"/>
          <w:b/>
          <w:bCs/>
          <w:color w:val="000000" w:themeColor="text1"/>
          <w:kern w:val="0"/>
          <w:sz w:val="24"/>
        </w:rPr>
        <w:t>债券回购融资情况</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12"/>
        <w:gridCol w:w="3116"/>
        <w:gridCol w:w="3212"/>
        <w:gridCol w:w="2310"/>
        <w:gridCol w:w="10"/>
      </w:tblGrid>
      <w:tr w:rsidR="002C233F" w:rsidRPr="009A7486" w:rsidTr="00FF1898">
        <w:trPr>
          <w:trHeight w:val="390"/>
        </w:trPr>
        <w:tc>
          <w:tcPr>
            <w:tcW w:w="712" w:type="dxa"/>
            <w:vAlign w:val="center"/>
          </w:tcPr>
          <w:p w:rsidR="00A27C85" w:rsidRPr="009A7486" w:rsidRDefault="00A27C85"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序号</w:t>
            </w:r>
          </w:p>
        </w:tc>
        <w:tc>
          <w:tcPr>
            <w:tcW w:w="3116" w:type="dxa"/>
            <w:tcMar>
              <w:top w:w="15" w:type="dxa"/>
              <w:left w:w="15" w:type="dxa"/>
              <w:bottom w:w="0" w:type="dxa"/>
              <w:right w:w="15" w:type="dxa"/>
            </w:tcMar>
            <w:vAlign w:val="center"/>
          </w:tcPr>
          <w:p w:rsidR="00A27C85" w:rsidRPr="009A7486" w:rsidRDefault="00A27C85" w:rsidP="004B36C2">
            <w:pPr>
              <w:spacing w:line="360" w:lineRule="auto"/>
              <w:jc w:val="center"/>
              <w:rPr>
                <w:rFonts w:eastAsiaTheme="minorEastAsia"/>
                <w:color w:val="000000" w:themeColor="text1"/>
                <w:sz w:val="24"/>
              </w:rPr>
            </w:pPr>
            <w:r w:rsidRPr="009A7486">
              <w:rPr>
                <w:rFonts w:eastAsiaTheme="minorEastAsia"/>
                <w:color w:val="000000" w:themeColor="text1"/>
                <w:kern w:val="0"/>
                <w:sz w:val="24"/>
              </w:rPr>
              <w:t>项目</w:t>
            </w:r>
          </w:p>
        </w:tc>
        <w:tc>
          <w:tcPr>
            <w:tcW w:w="5532" w:type="dxa"/>
            <w:gridSpan w:val="3"/>
            <w:vAlign w:val="center"/>
          </w:tcPr>
          <w:p w:rsidR="00A27C85" w:rsidRPr="009A7486" w:rsidRDefault="00A27C85"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占基金资产净值比例（％）</w:t>
            </w:r>
          </w:p>
        </w:tc>
      </w:tr>
      <w:tr w:rsidR="002C233F" w:rsidRPr="009A7486" w:rsidTr="00FF1898">
        <w:trPr>
          <w:trHeight w:val="285"/>
        </w:trPr>
        <w:tc>
          <w:tcPr>
            <w:tcW w:w="712" w:type="dxa"/>
            <w:vMerge w:val="restart"/>
            <w:tcMar>
              <w:top w:w="15" w:type="dxa"/>
              <w:left w:w="15" w:type="dxa"/>
              <w:bottom w:w="0" w:type="dxa"/>
              <w:right w:w="15" w:type="dxa"/>
            </w:tcMar>
            <w:vAlign w:val="center"/>
          </w:tcPr>
          <w:p w:rsidR="00A27C85" w:rsidRPr="009A7486" w:rsidRDefault="00711C48" w:rsidP="004B36C2">
            <w:pPr>
              <w:spacing w:line="360" w:lineRule="auto"/>
              <w:jc w:val="center"/>
              <w:rPr>
                <w:rFonts w:eastAsiaTheme="minorEastAsia"/>
                <w:color w:val="000000" w:themeColor="text1"/>
                <w:sz w:val="24"/>
              </w:rPr>
            </w:pPr>
            <w:r w:rsidRPr="009A7486">
              <w:rPr>
                <w:rFonts w:eastAsiaTheme="minorEastAsia"/>
                <w:color w:val="000000" w:themeColor="text1"/>
                <w:sz w:val="24"/>
              </w:rPr>
              <w:t>1</w:t>
            </w:r>
          </w:p>
        </w:tc>
        <w:tc>
          <w:tcPr>
            <w:tcW w:w="3116" w:type="dxa"/>
            <w:tcMar>
              <w:top w:w="15" w:type="dxa"/>
              <w:left w:w="15" w:type="dxa"/>
              <w:bottom w:w="0" w:type="dxa"/>
              <w:right w:w="15" w:type="dxa"/>
            </w:tcMar>
            <w:vAlign w:val="center"/>
          </w:tcPr>
          <w:p w:rsidR="00A27C85" w:rsidRPr="009A7486" w:rsidRDefault="00A27C85" w:rsidP="004B36C2">
            <w:pPr>
              <w:spacing w:line="360" w:lineRule="auto"/>
              <w:ind w:leftChars="50" w:left="105"/>
              <w:jc w:val="center"/>
              <w:rPr>
                <w:rFonts w:eastAsiaTheme="minorEastAsia"/>
                <w:color w:val="000000" w:themeColor="text1"/>
                <w:sz w:val="24"/>
              </w:rPr>
            </w:pPr>
            <w:r w:rsidRPr="009A7486">
              <w:rPr>
                <w:rFonts w:eastAsiaTheme="minorEastAsia"/>
                <w:color w:val="000000" w:themeColor="text1"/>
                <w:sz w:val="24"/>
              </w:rPr>
              <w:t>报告期内债券回购融资余额</w:t>
            </w:r>
          </w:p>
        </w:tc>
        <w:tc>
          <w:tcPr>
            <w:tcW w:w="5532" w:type="dxa"/>
            <w:gridSpan w:val="3"/>
            <w:vAlign w:val="center"/>
          </w:tcPr>
          <w:p w:rsidR="00A27C85" w:rsidRPr="009A7486" w:rsidRDefault="00A27C85" w:rsidP="004B36C2">
            <w:pPr>
              <w:spacing w:line="360" w:lineRule="auto"/>
              <w:jc w:val="right"/>
              <w:rPr>
                <w:rFonts w:eastAsiaTheme="minorEastAsia"/>
                <w:color w:val="000000" w:themeColor="text1"/>
                <w:sz w:val="24"/>
              </w:rPr>
            </w:pPr>
            <w:r w:rsidRPr="009A7486">
              <w:rPr>
                <w:rFonts w:eastAsiaTheme="minorEastAsia"/>
                <w:color w:val="000000" w:themeColor="text1"/>
                <w:sz w:val="24"/>
              </w:rPr>
              <w:t>3.41</w:t>
            </w:r>
          </w:p>
        </w:tc>
      </w:tr>
      <w:tr w:rsidR="002C233F" w:rsidRPr="009A7486" w:rsidTr="00FF1898">
        <w:trPr>
          <w:trHeight w:val="285"/>
        </w:trPr>
        <w:tc>
          <w:tcPr>
            <w:tcW w:w="712" w:type="dxa"/>
            <w:vMerge/>
            <w:tcMar>
              <w:top w:w="15" w:type="dxa"/>
              <w:left w:w="15" w:type="dxa"/>
              <w:bottom w:w="0" w:type="dxa"/>
              <w:right w:w="15" w:type="dxa"/>
            </w:tcMar>
            <w:vAlign w:val="center"/>
          </w:tcPr>
          <w:p w:rsidR="00A27C85" w:rsidRPr="009A7486" w:rsidRDefault="00A27C85" w:rsidP="004B36C2">
            <w:pPr>
              <w:spacing w:line="360" w:lineRule="auto"/>
              <w:jc w:val="center"/>
              <w:rPr>
                <w:rFonts w:eastAsiaTheme="minorEastAsia"/>
                <w:color w:val="000000" w:themeColor="text1"/>
                <w:sz w:val="24"/>
              </w:rPr>
            </w:pPr>
          </w:p>
        </w:tc>
        <w:tc>
          <w:tcPr>
            <w:tcW w:w="3116" w:type="dxa"/>
            <w:tcMar>
              <w:top w:w="15" w:type="dxa"/>
              <w:left w:w="15" w:type="dxa"/>
              <w:bottom w:w="0" w:type="dxa"/>
              <w:right w:w="15" w:type="dxa"/>
            </w:tcMar>
            <w:vAlign w:val="center"/>
          </w:tcPr>
          <w:p w:rsidR="00A27C85" w:rsidRPr="009A7486" w:rsidRDefault="00A27C85" w:rsidP="009A7486">
            <w:pPr>
              <w:spacing w:line="360" w:lineRule="auto"/>
              <w:ind w:leftChars="50" w:left="105" w:firstLineChars="100" w:firstLine="240"/>
              <w:rPr>
                <w:rFonts w:eastAsiaTheme="minorEastAsia"/>
                <w:color w:val="000000" w:themeColor="text1"/>
                <w:sz w:val="24"/>
              </w:rPr>
            </w:pPr>
            <w:r w:rsidRPr="009A7486">
              <w:rPr>
                <w:rFonts w:eastAsiaTheme="minorEastAsia"/>
                <w:color w:val="000000" w:themeColor="text1"/>
                <w:sz w:val="24"/>
              </w:rPr>
              <w:t>其中：买断式回购融资</w:t>
            </w:r>
          </w:p>
        </w:tc>
        <w:tc>
          <w:tcPr>
            <w:tcW w:w="5532" w:type="dxa"/>
            <w:gridSpan w:val="3"/>
            <w:vAlign w:val="center"/>
          </w:tcPr>
          <w:p w:rsidR="00A27C85" w:rsidRPr="009A7486" w:rsidRDefault="00A27C85"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2C233F" w:rsidRPr="009A7486" w:rsidTr="00FF1898">
        <w:trPr>
          <w:gridAfter w:val="1"/>
          <w:wAfter w:w="10" w:type="dxa"/>
          <w:trHeight w:val="285"/>
        </w:trPr>
        <w:tc>
          <w:tcPr>
            <w:tcW w:w="712" w:type="dxa"/>
            <w:tcMar>
              <w:top w:w="15" w:type="dxa"/>
              <w:left w:w="15" w:type="dxa"/>
              <w:bottom w:w="0" w:type="dxa"/>
              <w:right w:w="15" w:type="dxa"/>
            </w:tcMar>
            <w:vAlign w:val="center"/>
          </w:tcPr>
          <w:p w:rsidR="00C86197" w:rsidRPr="009A7486" w:rsidRDefault="00C86197"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序号</w:t>
            </w:r>
          </w:p>
        </w:tc>
        <w:tc>
          <w:tcPr>
            <w:tcW w:w="3116" w:type="dxa"/>
            <w:tcMar>
              <w:top w:w="15" w:type="dxa"/>
              <w:left w:w="15" w:type="dxa"/>
              <w:bottom w:w="0" w:type="dxa"/>
              <w:right w:w="15" w:type="dxa"/>
            </w:tcMar>
            <w:vAlign w:val="center"/>
          </w:tcPr>
          <w:p w:rsidR="00C86197" w:rsidRPr="009A7486" w:rsidRDefault="00C86197" w:rsidP="004B36C2">
            <w:pPr>
              <w:spacing w:line="360" w:lineRule="auto"/>
              <w:jc w:val="center"/>
              <w:rPr>
                <w:rFonts w:eastAsiaTheme="minorEastAsia"/>
                <w:color w:val="000000" w:themeColor="text1"/>
                <w:sz w:val="24"/>
              </w:rPr>
            </w:pPr>
            <w:r w:rsidRPr="009A7486">
              <w:rPr>
                <w:rFonts w:eastAsiaTheme="minorEastAsia"/>
                <w:color w:val="000000" w:themeColor="text1"/>
                <w:kern w:val="0"/>
                <w:sz w:val="24"/>
              </w:rPr>
              <w:t>项目</w:t>
            </w:r>
          </w:p>
        </w:tc>
        <w:tc>
          <w:tcPr>
            <w:tcW w:w="3212" w:type="dxa"/>
            <w:vAlign w:val="center"/>
          </w:tcPr>
          <w:p w:rsidR="00C86197" w:rsidRPr="009A7486" w:rsidRDefault="00C86197" w:rsidP="004B36C2">
            <w:pPr>
              <w:spacing w:line="360" w:lineRule="auto"/>
              <w:jc w:val="center"/>
              <w:rPr>
                <w:rFonts w:eastAsiaTheme="minorEastAsia"/>
                <w:color w:val="000000" w:themeColor="text1"/>
                <w:sz w:val="24"/>
              </w:rPr>
            </w:pPr>
            <w:r w:rsidRPr="009A7486">
              <w:rPr>
                <w:rFonts w:eastAsiaTheme="minorEastAsia"/>
                <w:color w:val="000000" w:themeColor="text1"/>
                <w:kern w:val="0"/>
                <w:sz w:val="24"/>
              </w:rPr>
              <w:t>金额</w:t>
            </w:r>
          </w:p>
        </w:tc>
        <w:tc>
          <w:tcPr>
            <w:tcW w:w="2310" w:type="dxa"/>
            <w:tcMar>
              <w:top w:w="15" w:type="dxa"/>
              <w:left w:w="15" w:type="dxa"/>
              <w:bottom w:w="0" w:type="dxa"/>
              <w:right w:w="15" w:type="dxa"/>
            </w:tcMar>
            <w:vAlign w:val="center"/>
          </w:tcPr>
          <w:p w:rsidR="00C86197" w:rsidRPr="009A7486" w:rsidRDefault="00C86197" w:rsidP="004B36C2">
            <w:pPr>
              <w:spacing w:line="360" w:lineRule="auto"/>
              <w:jc w:val="center"/>
              <w:rPr>
                <w:rFonts w:eastAsiaTheme="minorEastAsia"/>
                <w:color w:val="000000" w:themeColor="text1"/>
                <w:sz w:val="24"/>
              </w:rPr>
            </w:pPr>
            <w:r w:rsidRPr="009A7486">
              <w:rPr>
                <w:rFonts w:eastAsiaTheme="minorEastAsia"/>
                <w:color w:val="000000" w:themeColor="text1"/>
                <w:kern w:val="0"/>
                <w:sz w:val="24"/>
              </w:rPr>
              <w:t>占基金资产净值的比例（％）</w:t>
            </w:r>
          </w:p>
        </w:tc>
      </w:tr>
      <w:tr w:rsidR="002C233F" w:rsidRPr="009A7486" w:rsidTr="00FF1898">
        <w:trPr>
          <w:gridAfter w:val="1"/>
          <w:wAfter w:w="10" w:type="dxa"/>
          <w:trHeight w:val="285"/>
        </w:trPr>
        <w:tc>
          <w:tcPr>
            <w:tcW w:w="712" w:type="dxa"/>
            <w:vMerge w:val="restart"/>
            <w:tcMar>
              <w:top w:w="15" w:type="dxa"/>
              <w:left w:w="15" w:type="dxa"/>
              <w:bottom w:w="0" w:type="dxa"/>
              <w:right w:w="15" w:type="dxa"/>
            </w:tcMar>
            <w:vAlign w:val="center"/>
          </w:tcPr>
          <w:p w:rsidR="00C86197" w:rsidRPr="009A7486" w:rsidRDefault="00C86197" w:rsidP="004B36C2">
            <w:pPr>
              <w:spacing w:line="360" w:lineRule="auto"/>
              <w:jc w:val="center"/>
              <w:rPr>
                <w:rFonts w:eastAsiaTheme="minorEastAsia"/>
                <w:color w:val="000000" w:themeColor="text1"/>
                <w:sz w:val="24"/>
              </w:rPr>
            </w:pPr>
            <w:r w:rsidRPr="009A7486">
              <w:rPr>
                <w:rFonts w:eastAsiaTheme="minorEastAsia"/>
                <w:color w:val="000000" w:themeColor="text1"/>
                <w:sz w:val="24"/>
              </w:rPr>
              <w:t>2</w:t>
            </w:r>
          </w:p>
        </w:tc>
        <w:tc>
          <w:tcPr>
            <w:tcW w:w="3116" w:type="dxa"/>
            <w:tcMar>
              <w:top w:w="15" w:type="dxa"/>
              <w:left w:w="15" w:type="dxa"/>
              <w:bottom w:w="0" w:type="dxa"/>
              <w:right w:w="15" w:type="dxa"/>
            </w:tcMar>
            <w:vAlign w:val="center"/>
          </w:tcPr>
          <w:p w:rsidR="00C86197" w:rsidRPr="009A7486" w:rsidRDefault="00C86197"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报告期末债券回购融资余额</w:t>
            </w:r>
          </w:p>
        </w:tc>
        <w:tc>
          <w:tcPr>
            <w:tcW w:w="3212" w:type="dxa"/>
            <w:vAlign w:val="center"/>
          </w:tcPr>
          <w:p w:rsidR="00C86197" w:rsidRPr="009A7486" w:rsidRDefault="00C86197" w:rsidP="004B36C2">
            <w:pPr>
              <w:spacing w:line="360" w:lineRule="auto"/>
              <w:jc w:val="right"/>
              <w:rPr>
                <w:rFonts w:eastAsiaTheme="minorEastAsia"/>
                <w:color w:val="000000" w:themeColor="text1"/>
                <w:sz w:val="24"/>
              </w:rPr>
            </w:pPr>
            <w:r w:rsidRPr="009A7486">
              <w:rPr>
                <w:rFonts w:eastAsiaTheme="minorEastAsia"/>
                <w:color w:val="000000" w:themeColor="text1"/>
                <w:sz w:val="24"/>
              </w:rPr>
              <w:t>1,146,997,079.50</w:t>
            </w:r>
          </w:p>
        </w:tc>
        <w:tc>
          <w:tcPr>
            <w:tcW w:w="2310" w:type="dxa"/>
            <w:tcMar>
              <w:top w:w="15" w:type="dxa"/>
              <w:left w:w="15" w:type="dxa"/>
              <w:bottom w:w="0" w:type="dxa"/>
              <w:right w:w="15" w:type="dxa"/>
            </w:tcMar>
            <w:vAlign w:val="center"/>
          </w:tcPr>
          <w:p w:rsidR="00C86197" w:rsidRPr="009A7486" w:rsidRDefault="00D13184" w:rsidP="004B36C2">
            <w:pPr>
              <w:spacing w:line="360" w:lineRule="auto"/>
              <w:jc w:val="right"/>
              <w:rPr>
                <w:rFonts w:eastAsiaTheme="minorEastAsia"/>
                <w:color w:val="000000" w:themeColor="text1"/>
                <w:sz w:val="24"/>
              </w:rPr>
            </w:pPr>
            <w:r w:rsidRPr="009A7486">
              <w:rPr>
                <w:rFonts w:eastAsiaTheme="minorEastAsia"/>
                <w:color w:val="000000" w:themeColor="text1"/>
                <w:sz w:val="24"/>
              </w:rPr>
              <w:t>16.11</w:t>
            </w:r>
          </w:p>
        </w:tc>
      </w:tr>
      <w:tr w:rsidR="002C233F" w:rsidRPr="009A7486" w:rsidTr="00FF1898">
        <w:trPr>
          <w:gridAfter w:val="1"/>
          <w:wAfter w:w="10" w:type="dxa"/>
          <w:trHeight w:val="285"/>
        </w:trPr>
        <w:tc>
          <w:tcPr>
            <w:tcW w:w="712" w:type="dxa"/>
            <w:vMerge/>
            <w:tcMar>
              <w:top w:w="15" w:type="dxa"/>
              <w:left w:w="15" w:type="dxa"/>
              <w:bottom w:w="0" w:type="dxa"/>
              <w:right w:w="15" w:type="dxa"/>
            </w:tcMar>
            <w:vAlign w:val="center"/>
          </w:tcPr>
          <w:p w:rsidR="00C86197" w:rsidRPr="009A7486" w:rsidRDefault="00C86197" w:rsidP="004B36C2">
            <w:pPr>
              <w:spacing w:line="360" w:lineRule="auto"/>
              <w:jc w:val="center"/>
              <w:rPr>
                <w:rFonts w:eastAsiaTheme="minorEastAsia"/>
                <w:color w:val="000000" w:themeColor="text1"/>
                <w:sz w:val="24"/>
              </w:rPr>
            </w:pPr>
          </w:p>
        </w:tc>
        <w:tc>
          <w:tcPr>
            <w:tcW w:w="3116" w:type="dxa"/>
            <w:tcMar>
              <w:top w:w="15" w:type="dxa"/>
              <w:left w:w="15" w:type="dxa"/>
              <w:bottom w:w="0" w:type="dxa"/>
              <w:right w:w="15" w:type="dxa"/>
            </w:tcMar>
            <w:vAlign w:val="center"/>
          </w:tcPr>
          <w:p w:rsidR="00C86197" w:rsidRPr="009A7486" w:rsidRDefault="00C86197" w:rsidP="009A7486">
            <w:pPr>
              <w:spacing w:line="360" w:lineRule="auto"/>
              <w:ind w:firstLineChars="150" w:firstLine="360"/>
              <w:rPr>
                <w:rFonts w:eastAsiaTheme="minorEastAsia"/>
                <w:color w:val="000000" w:themeColor="text1"/>
                <w:sz w:val="24"/>
              </w:rPr>
            </w:pPr>
            <w:r w:rsidRPr="009A7486">
              <w:rPr>
                <w:rFonts w:eastAsiaTheme="minorEastAsia"/>
                <w:color w:val="000000" w:themeColor="text1"/>
                <w:sz w:val="24"/>
              </w:rPr>
              <w:t>其中：买断式回购融资</w:t>
            </w:r>
          </w:p>
        </w:tc>
        <w:tc>
          <w:tcPr>
            <w:tcW w:w="3212" w:type="dxa"/>
            <w:vAlign w:val="center"/>
          </w:tcPr>
          <w:p w:rsidR="00C86197" w:rsidRPr="009A7486" w:rsidRDefault="00D13184"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2310" w:type="dxa"/>
            <w:tcMar>
              <w:top w:w="15" w:type="dxa"/>
              <w:left w:w="15" w:type="dxa"/>
              <w:bottom w:w="0" w:type="dxa"/>
              <w:right w:w="15" w:type="dxa"/>
            </w:tcMar>
            <w:vAlign w:val="center"/>
          </w:tcPr>
          <w:p w:rsidR="00C86197" w:rsidRPr="009A7486" w:rsidRDefault="00D13184"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bl>
    <w:p w:rsidR="006D141C" w:rsidRPr="009A7486" w:rsidRDefault="006D141C"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注：报告期内债券回购融资余额占基金资产净值的比例为报告期内每日融资余额占基金资产净值比例的简单平均值。</w:t>
      </w:r>
    </w:p>
    <w:p w:rsidR="002313DE" w:rsidRPr="009A7486" w:rsidRDefault="002313DE" w:rsidP="002855D4">
      <w:pPr>
        <w:autoSpaceDE w:val="0"/>
        <w:autoSpaceDN w:val="0"/>
        <w:adjustRightInd w:val="0"/>
        <w:spacing w:beforeLines="100" w:line="360" w:lineRule="auto"/>
        <w:jc w:val="left"/>
        <w:rPr>
          <w:rFonts w:eastAsiaTheme="minorEastAsia"/>
          <w:b/>
          <w:bCs/>
          <w:color w:val="000000" w:themeColor="text1"/>
          <w:kern w:val="0"/>
          <w:sz w:val="24"/>
        </w:rPr>
      </w:pPr>
      <w:bookmarkStart w:id="17" w:name="_Toc247957040"/>
      <w:bookmarkStart w:id="18" w:name="_Toc255486552"/>
      <w:r w:rsidRPr="009A7486">
        <w:rPr>
          <w:rFonts w:eastAsiaTheme="minorEastAsia"/>
          <w:b/>
          <w:bCs/>
          <w:color w:val="000000" w:themeColor="text1"/>
          <w:kern w:val="0"/>
          <w:sz w:val="24"/>
        </w:rPr>
        <w:t>债券正回购的资金余额超过基金资产净值的</w:t>
      </w:r>
      <w:r w:rsidRPr="009A7486">
        <w:rPr>
          <w:rFonts w:eastAsiaTheme="minorEastAsia"/>
          <w:b/>
          <w:bCs/>
          <w:color w:val="000000" w:themeColor="text1"/>
          <w:kern w:val="0"/>
          <w:sz w:val="24"/>
        </w:rPr>
        <w:t>20%</w:t>
      </w:r>
      <w:r w:rsidRPr="009A7486">
        <w:rPr>
          <w:rFonts w:eastAsiaTheme="minorEastAsia"/>
          <w:b/>
          <w:bCs/>
          <w:color w:val="000000" w:themeColor="text1"/>
          <w:kern w:val="0"/>
          <w:sz w:val="24"/>
        </w:rPr>
        <w:t>的说明</w:t>
      </w:r>
      <w:bookmarkEnd w:id="17"/>
      <w:bookmarkEnd w:id="18"/>
    </w:p>
    <w:p w:rsidR="002313DE" w:rsidRPr="009A7486" w:rsidRDefault="00985B68"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本报告期内债券正回购的资金余额未超过基金资产净值的</w:t>
      </w:r>
      <w:r w:rsidRPr="009A7486">
        <w:rPr>
          <w:rFonts w:eastAsiaTheme="minorEastAsia"/>
          <w:color w:val="000000" w:themeColor="text1"/>
          <w:kern w:val="0"/>
          <w:sz w:val="24"/>
        </w:rPr>
        <w:t>20</w:t>
      </w:r>
      <w:r w:rsidRPr="009A7486">
        <w:rPr>
          <w:rFonts w:eastAsiaTheme="minorEastAsia"/>
          <w:color w:val="000000" w:themeColor="text1"/>
          <w:kern w:val="0"/>
          <w:sz w:val="24"/>
        </w:rPr>
        <w:t>％。</w:t>
      </w:r>
    </w:p>
    <w:p w:rsidR="006D141C" w:rsidRPr="009A7486" w:rsidRDefault="006D141C" w:rsidP="002855D4">
      <w:pPr>
        <w:autoSpaceDE w:val="0"/>
        <w:autoSpaceDN w:val="0"/>
        <w:adjustRightInd w:val="0"/>
        <w:spacing w:beforeLines="100" w:line="360" w:lineRule="auto"/>
        <w:jc w:val="left"/>
        <w:outlineLvl w:val="1"/>
        <w:rPr>
          <w:rFonts w:eastAsiaTheme="minorEastAsia"/>
          <w:b/>
          <w:bCs/>
          <w:color w:val="000000" w:themeColor="text1"/>
          <w:kern w:val="0"/>
          <w:sz w:val="24"/>
        </w:rPr>
      </w:pPr>
      <w:bookmarkStart w:id="19" w:name="_Toc275523745"/>
      <w:r w:rsidRPr="009A7486">
        <w:rPr>
          <w:rFonts w:eastAsiaTheme="minorEastAsia"/>
          <w:b/>
          <w:bCs/>
          <w:color w:val="000000" w:themeColor="text1"/>
          <w:kern w:val="0"/>
          <w:sz w:val="24"/>
        </w:rPr>
        <w:t>8.3</w:t>
      </w:r>
      <w:bookmarkEnd w:id="19"/>
      <w:r w:rsidR="00344CF8" w:rsidRPr="009A7486">
        <w:rPr>
          <w:rFonts w:eastAsiaTheme="minorEastAsia"/>
          <w:b/>
          <w:bCs/>
          <w:color w:val="000000" w:themeColor="text1"/>
          <w:kern w:val="0"/>
          <w:sz w:val="24"/>
        </w:rPr>
        <w:t>基金投资组合平均剩余期限</w:t>
      </w:r>
    </w:p>
    <w:p w:rsidR="00F15C96" w:rsidRPr="009A7486" w:rsidRDefault="00F15C96" w:rsidP="00CB1276">
      <w:pPr>
        <w:autoSpaceDE w:val="0"/>
        <w:autoSpaceDN w:val="0"/>
        <w:adjustRightInd w:val="0"/>
        <w:spacing w:line="360" w:lineRule="auto"/>
        <w:jc w:val="left"/>
        <w:rPr>
          <w:rFonts w:eastAsiaTheme="minorEastAsia"/>
          <w:b/>
          <w:bCs/>
          <w:color w:val="000000" w:themeColor="text1"/>
          <w:kern w:val="0"/>
          <w:sz w:val="24"/>
        </w:rPr>
      </w:pPr>
      <w:r w:rsidRPr="009A7486">
        <w:rPr>
          <w:rFonts w:eastAsiaTheme="minorEastAsia"/>
          <w:b/>
          <w:bCs/>
          <w:color w:val="000000" w:themeColor="text1"/>
          <w:kern w:val="0"/>
          <w:sz w:val="24"/>
        </w:rPr>
        <w:t>8.3.</w:t>
      </w:r>
      <w:r w:rsidR="008A28D4" w:rsidRPr="009A7486">
        <w:rPr>
          <w:rFonts w:eastAsiaTheme="minorEastAsia"/>
          <w:b/>
          <w:bCs/>
          <w:color w:val="000000" w:themeColor="text1"/>
          <w:kern w:val="0"/>
          <w:sz w:val="24"/>
        </w:rPr>
        <w:t>1</w:t>
      </w:r>
      <w:r w:rsidRPr="009A7486">
        <w:rPr>
          <w:rFonts w:eastAsiaTheme="minorEastAsia"/>
          <w:b/>
          <w:bCs/>
          <w:color w:val="000000" w:themeColor="text1"/>
          <w:kern w:val="0"/>
          <w:sz w:val="24"/>
        </w:rPr>
        <w:t>投资组合平均剩余期限基本情况</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tblPr>
      <w:tblGrid>
        <w:gridCol w:w="5062"/>
        <w:gridCol w:w="4294"/>
      </w:tblGrid>
      <w:tr w:rsidR="002C233F" w:rsidRPr="009A7486" w:rsidTr="00FF1898">
        <w:trPr>
          <w:trHeight w:val="375"/>
        </w:trPr>
        <w:tc>
          <w:tcPr>
            <w:tcW w:w="5062" w:type="dxa"/>
            <w:vAlign w:val="center"/>
          </w:tcPr>
          <w:p w:rsidR="00F15C96" w:rsidRPr="009A7486" w:rsidRDefault="00F15C96" w:rsidP="004B36C2">
            <w:pPr>
              <w:widowControl/>
              <w:spacing w:line="360" w:lineRule="auto"/>
              <w:jc w:val="center"/>
              <w:rPr>
                <w:rFonts w:eastAsiaTheme="minorEastAsia"/>
                <w:color w:val="000000" w:themeColor="text1"/>
                <w:kern w:val="0"/>
                <w:sz w:val="24"/>
              </w:rPr>
            </w:pPr>
            <w:r w:rsidRPr="009A7486">
              <w:rPr>
                <w:rFonts w:eastAsiaTheme="minorEastAsia"/>
                <w:color w:val="000000" w:themeColor="text1"/>
                <w:kern w:val="0"/>
                <w:sz w:val="24"/>
              </w:rPr>
              <w:t>项目</w:t>
            </w:r>
          </w:p>
        </w:tc>
        <w:tc>
          <w:tcPr>
            <w:tcW w:w="4294" w:type="dxa"/>
            <w:vAlign w:val="center"/>
          </w:tcPr>
          <w:p w:rsidR="00F15C96" w:rsidRPr="009A7486" w:rsidRDefault="00F15C96" w:rsidP="004B36C2">
            <w:pPr>
              <w:widowControl/>
              <w:spacing w:line="360" w:lineRule="auto"/>
              <w:jc w:val="center"/>
              <w:rPr>
                <w:rFonts w:eastAsiaTheme="minorEastAsia"/>
                <w:color w:val="000000" w:themeColor="text1"/>
                <w:kern w:val="0"/>
                <w:sz w:val="24"/>
              </w:rPr>
            </w:pPr>
            <w:r w:rsidRPr="009A7486">
              <w:rPr>
                <w:rFonts w:eastAsiaTheme="minorEastAsia"/>
                <w:color w:val="000000" w:themeColor="text1"/>
                <w:kern w:val="0"/>
                <w:sz w:val="24"/>
              </w:rPr>
              <w:t>天数</w:t>
            </w:r>
          </w:p>
        </w:tc>
      </w:tr>
      <w:tr w:rsidR="002C233F" w:rsidRPr="009A7486" w:rsidTr="00FF1898">
        <w:trPr>
          <w:trHeight w:val="295"/>
        </w:trPr>
        <w:tc>
          <w:tcPr>
            <w:tcW w:w="5062" w:type="dxa"/>
          </w:tcPr>
          <w:p w:rsidR="00F15C96" w:rsidRPr="009A7486" w:rsidRDefault="00F15C96" w:rsidP="004B36C2">
            <w:pPr>
              <w:spacing w:line="360" w:lineRule="auto"/>
              <w:rPr>
                <w:rFonts w:eastAsiaTheme="minorEastAsia"/>
                <w:color w:val="000000" w:themeColor="text1"/>
                <w:sz w:val="24"/>
              </w:rPr>
            </w:pPr>
            <w:r w:rsidRPr="009A7486">
              <w:rPr>
                <w:rFonts w:eastAsiaTheme="minorEastAsia"/>
                <w:color w:val="000000" w:themeColor="text1"/>
                <w:sz w:val="24"/>
              </w:rPr>
              <w:t>报告期末投资组合平均剩余期限</w:t>
            </w:r>
          </w:p>
        </w:tc>
        <w:tc>
          <w:tcPr>
            <w:tcW w:w="4294" w:type="dxa"/>
            <w:vAlign w:val="center"/>
          </w:tcPr>
          <w:p w:rsidR="00F15C96" w:rsidRPr="009A7486" w:rsidRDefault="00F15C96" w:rsidP="004B36C2">
            <w:pPr>
              <w:spacing w:line="360" w:lineRule="auto"/>
              <w:jc w:val="center"/>
              <w:rPr>
                <w:rFonts w:eastAsiaTheme="minorEastAsia"/>
                <w:color w:val="000000" w:themeColor="text1"/>
                <w:sz w:val="24"/>
              </w:rPr>
            </w:pPr>
            <w:r w:rsidRPr="009A7486">
              <w:rPr>
                <w:rFonts w:eastAsiaTheme="minorEastAsia"/>
                <w:color w:val="000000" w:themeColor="text1"/>
                <w:sz w:val="24"/>
              </w:rPr>
              <w:t>80</w:t>
            </w:r>
          </w:p>
        </w:tc>
      </w:tr>
      <w:tr w:rsidR="002C233F" w:rsidRPr="009A7486" w:rsidTr="00FF1898">
        <w:trPr>
          <w:trHeight w:val="295"/>
        </w:trPr>
        <w:tc>
          <w:tcPr>
            <w:tcW w:w="5062" w:type="dxa"/>
          </w:tcPr>
          <w:p w:rsidR="00F15C96" w:rsidRPr="009A7486" w:rsidRDefault="00F15C96" w:rsidP="004B36C2">
            <w:pPr>
              <w:spacing w:line="360" w:lineRule="auto"/>
              <w:rPr>
                <w:rFonts w:eastAsiaTheme="minorEastAsia"/>
                <w:color w:val="000000" w:themeColor="text1"/>
                <w:sz w:val="24"/>
              </w:rPr>
            </w:pPr>
            <w:r w:rsidRPr="009A7486">
              <w:rPr>
                <w:rFonts w:eastAsiaTheme="minorEastAsia"/>
                <w:color w:val="000000" w:themeColor="text1"/>
                <w:sz w:val="24"/>
              </w:rPr>
              <w:t>报告期内投资组合平均剩余期限最高值</w:t>
            </w:r>
          </w:p>
        </w:tc>
        <w:tc>
          <w:tcPr>
            <w:tcW w:w="4294" w:type="dxa"/>
            <w:vAlign w:val="center"/>
          </w:tcPr>
          <w:p w:rsidR="00F15C96" w:rsidRPr="009A7486" w:rsidRDefault="00F15C96" w:rsidP="004B36C2">
            <w:pPr>
              <w:spacing w:line="360" w:lineRule="auto"/>
              <w:ind w:right="120"/>
              <w:jc w:val="center"/>
              <w:rPr>
                <w:rFonts w:eastAsiaTheme="minorEastAsia"/>
                <w:color w:val="000000" w:themeColor="text1"/>
                <w:sz w:val="24"/>
              </w:rPr>
            </w:pPr>
            <w:r w:rsidRPr="009A7486">
              <w:rPr>
                <w:rFonts w:eastAsiaTheme="minorEastAsia"/>
                <w:color w:val="000000" w:themeColor="text1"/>
                <w:sz w:val="24"/>
              </w:rPr>
              <w:t>91</w:t>
            </w:r>
          </w:p>
        </w:tc>
      </w:tr>
      <w:tr w:rsidR="002C233F" w:rsidRPr="009A7486" w:rsidTr="00FF1898">
        <w:trPr>
          <w:trHeight w:val="295"/>
        </w:trPr>
        <w:tc>
          <w:tcPr>
            <w:tcW w:w="5062" w:type="dxa"/>
          </w:tcPr>
          <w:p w:rsidR="00F15C96" w:rsidRPr="009A7486" w:rsidRDefault="00F15C96" w:rsidP="004B36C2">
            <w:pPr>
              <w:spacing w:line="360" w:lineRule="auto"/>
              <w:rPr>
                <w:rFonts w:eastAsiaTheme="minorEastAsia"/>
                <w:color w:val="000000" w:themeColor="text1"/>
                <w:sz w:val="24"/>
              </w:rPr>
            </w:pPr>
            <w:r w:rsidRPr="009A7486">
              <w:rPr>
                <w:rFonts w:eastAsiaTheme="minorEastAsia"/>
                <w:color w:val="000000" w:themeColor="text1"/>
                <w:sz w:val="24"/>
              </w:rPr>
              <w:t>报告期内投资组合平均剩余期限最低值</w:t>
            </w:r>
          </w:p>
        </w:tc>
        <w:tc>
          <w:tcPr>
            <w:tcW w:w="4294" w:type="dxa"/>
            <w:vAlign w:val="center"/>
          </w:tcPr>
          <w:p w:rsidR="00F15C96" w:rsidRPr="009A7486" w:rsidRDefault="00F15C96" w:rsidP="004B36C2">
            <w:pPr>
              <w:spacing w:line="360" w:lineRule="auto"/>
              <w:ind w:right="120"/>
              <w:jc w:val="center"/>
              <w:rPr>
                <w:rFonts w:eastAsiaTheme="minorEastAsia"/>
                <w:color w:val="000000" w:themeColor="text1"/>
                <w:sz w:val="24"/>
              </w:rPr>
            </w:pPr>
            <w:r w:rsidRPr="009A7486">
              <w:rPr>
                <w:rFonts w:eastAsiaTheme="minorEastAsia"/>
                <w:color w:val="000000" w:themeColor="text1"/>
                <w:sz w:val="24"/>
              </w:rPr>
              <w:t>51</w:t>
            </w:r>
          </w:p>
        </w:tc>
      </w:tr>
    </w:tbl>
    <w:p w:rsidR="00CA0179" w:rsidRPr="009A7486" w:rsidRDefault="00CA0179" w:rsidP="002855D4">
      <w:pPr>
        <w:spacing w:beforeLines="100" w:line="360" w:lineRule="auto"/>
        <w:rPr>
          <w:rFonts w:eastAsiaTheme="minorEastAsia"/>
          <w:b/>
          <w:sz w:val="24"/>
        </w:rPr>
      </w:pPr>
      <w:r w:rsidRPr="009A7486">
        <w:rPr>
          <w:rFonts w:eastAsiaTheme="minorEastAsia"/>
          <w:b/>
          <w:sz w:val="24"/>
        </w:rPr>
        <w:t>报告期内投资组合平均剩余期限超过</w:t>
      </w:r>
      <w:r w:rsidRPr="009A7486">
        <w:rPr>
          <w:rFonts w:eastAsiaTheme="minorEastAsia"/>
          <w:b/>
          <w:sz w:val="24"/>
        </w:rPr>
        <w:t>120</w:t>
      </w:r>
      <w:r w:rsidRPr="009A7486">
        <w:rPr>
          <w:rFonts w:eastAsiaTheme="minorEastAsia"/>
          <w:b/>
          <w:sz w:val="24"/>
        </w:rPr>
        <w:t>天情况说明</w:t>
      </w:r>
    </w:p>
    <w:p w:rsidR="00CA0179" w:rsidRPr="009A7486" w:rsidRDefault="00CA0179" w:rsidP="009A7486">
      <w:pPr>
        <w:tabs>
          <w:tab w:val="left" w:pos="426"/>
        </w:tabs>
        <w:spacing w:line="360" w:lineRule="auto"/>
        <w:ind w:firstLineChars="200" w:firstLine="480"/>
        <w:jc w:val="left"/>
        <w:rPr>
          <w:rFonts w:eastAsiaTheme="minorEastAsia"/>
          <w:sz w:val="24"/>
        </w:rPr>
      </w:pPr>
      <w:r w:rsidRPr="009A7486">
        <w:rPr>
          <w:rFonts w:eastAsiaTheme="minorEastAsia"/>
          <w:sz w:val="24"/>
        </w:rPr>
        <w:t>本基金本报告期内投资组合的平均剩余期限不存在超过</w:t>
      </w:r>
      <w:r w:rsidRPr="009A7486">
        <w:rPr>
          <w:rFonts w:eastAsiaTheme="minorEastAsia"/>
          <w:sz w:val="24"/>
        </w:rPr>
        <w:t>120</w:t>
      </w:r>
      <w:r w:rsidRPr="009A7486">
        <w:rPr>
          <w:rFonts w:eastAsiaTheme="minorEastAsia"/>
          <w:sz w:val="24"/>
        </w:rPr>
        <w:t>天的情况。</w:t>
      </w:r>
    </w:p>
    <w:p w:rsidR="00CA0179" w:rsidRPr="009A7486" w:rsidRDefault="00CA0179" w:rsidP="002855D4">
      <w:pPr>
        <w:spacing w:beforeLines="100" w:line="360" w:lineRule="auto"/>
        <w:rPr>
          <w:rFonts w:eastAsiaTheme="minorEastAsia"/>
          <w:b/>
          <w:bCs/>
          <w:sz w:val="24"/>
        </w:rPr>
      </w:pPr>
      <w:r w:rsidRPr="009A7486">
        <w:rPr>
          <w:rFonts w:eastAsiaTheme="minorEastAsia"/>
          <w:b/>
          <w:bCs/>
          <w:sz w:val="24"/>
        </w:rPr>
        <w:t>8.3.2</w:t>
      </w:r>
      <w:r w:rsidRPr="009A7486">
        <w:rPr>
          <w:rFonts w:eastAsiaTheme="minorEastAsia"/>
          <w:b/>
          <w:bCs/>
          <w:sz w:val="24"/>
        </w:rPr>
        <w:t>期末投资组合平均剩余期限分布比例</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93"/>
        <w:gridCol w:w="3187"/>
        <w:gridCol w:w="2588"/>
        <w:gridCol w:w="2588"/>
      </w:tblGrid>
      <w:tr w:rsidR="00CA0179" w:rsidRPr="009A7486" w:rsidTr="00C52176">
        <w:tc>
          <w:tcPr>
            <w:tcW w:w="993" w:type="dxa"/>
            <w:vAlign w:val="center"/>
          </w:tcPr>
          <w:p w:rsidR="00CA0179" w:rsidRPr="009A7486" w:rsidRDefault="00CA0179" w:rsidP="00C52176">
            <w:pPr>
              <w:jc w:val="center"/>
              <w:rPr>
                <w:rFonts w:eastAsiaTheme="minorEastAsia"/>
                <w:sz w:val="24"/>
              </w:rPr>
            </w:pPr>
            <w:r w:rsidRPr="009A7486">
              <w:rPr>
                <w:rFonts w:eastAsiaTheme="minorEastAsia"/>
                <w:sz w:val="24"/>
              </w:rPr>
              <w:t>序号</w:t>
            </w:r>
          </w:p>
        </w:tc>
        <w:tc>
          <w:tcPr>
            <w:tcW w:w="3187" w:type="dxa"/>
            <w:vAlign w:val="center"/>
          </w:tcPr>
          <w:p w:rsidR="00CA0179" w:rsidRPr="009A7486" w:rsidRDefault="00CA0179" w:rsidP="00C52176">
            <w:pPr>
              <w:jc w:val="center"/>
              <w:rPr>
                <w:rFonts w:eastAsiaTheme="minorEastAsia"/>
                <w:sz w:val="24"/>
              </w:rPr>
            </w:pPr>
            <w:r w:rsidRPr="009A7486">
              <w:rPr>
                <w:rFonts w:eastAsiaTheme="minorEastAsia"/>
                <w:sz w:val="24"/>
              </w:rPr>
              <w:t>平均剩余期限</w:t>
            </w:r>
          </w:p>
        </w:tc>
        <w:tc>
          <w:tcPr>
            <w:tcW w:w="2588" w:type="dxa"/>
            <w:vAlign w:val="center"/>
          </w:tcPr>
          <w:p w:rsidR="00CA0179" w:rsidRPr="009A7486" w:rsidRDefault="00CA0179" w:rsidP="00C52176">
            <w:pPr>
              <w:jc w:val="center"/>
              <w:rPr>
                <w:rFonts w:eastAsiaTheme="minorEastAsia"/>
                <w:sz w:val="24"/>
              </w:rPr>
            </w:pPr>
            <w:r w:rsidRPr="009A7486">
              <w:rPr>
                <w:rFonts w:eastAsiaTheme="minorEastAsia"/>
                <w:sz w:val="24"/>
              </w:rPr>
              <w:t>各期限资产占基金资产净值的比例（％）</w:t>
            </w:r>
          </w:p>
        </w:tc>
        <w:tc>
          <w:tcPr>
            <w:tcW w:w="2588" w:type="dxa"/>
            <w:vAlign w:val="center"/>
          </w:tcPr>
          <w:p w:rsidR="00CA0179" w:rsidRPr="009A7486" w:rsidRDefault="00CA0179" w:rsidP="00C52176">
            <w:pPr>
              <w:jc w:val="center"/>
              <w:rPr>
                <w:rFonts w:eastAsiaTheme="minorEastAsia"/>
                <w:sz w:val="24"/>
              </w:rPr>
            </w:pPr>
            <w:r w:rsidRPr="009A7486">
              <w:rPr>
                <w:rFonts w:eastAsiaTheme="minorEastAsia"/>
                <w:sz w:val="24"/>
              </w:rPr>
              <w:t>各期限负债占基金资产净值的比例（％）</w:t>
            </w:r>
          </w:p>
        </w:tc>
      </w:tr>
      <w:tr w:rsidR="00CA0179" w:rsidRPr="009A7486" w:rsidTr="00C52176">
        <w:tc>
          <w:tcPr>
            <w:tcW w:w="993" w:type="dxa"/>
          </w:tcPr>
          <w:p w:rsidR="00CA0179" w:rsidRPr="009A7486" w:rsidRDefault="00CA0179" w:rsidP="00C52176">
            <w:pPr>
              <w:jc w:val="center"/>
              <w:rPr>
                <w:rFonts w:eastAsiaTheme="minorEastAsia"/>
                <w:sz w:val="24"/>
              </w:rPr>
            </w:pPr>
            <w:r w:rsidRPr="009A7486">
              <w:rPr>
                <w:rFonts w:eastAsiaTheme="minorEastAsia"/>
                <w:sz w:val="24"/>
              </w:rPr>
              <w:t>1</w:t>
            </w:r>
          </w:p>
        </w:tc>
        <w:tc>
          <w:tcPr>
            <w:tcW w:w="3187" w:type="dxa"/>
          </w:tcPr>
          <w:p w:rsidR="00CA0179" w:rsidRPr="009A7486" w:rsidRDefault="00CA0179" w:rsidP="00C52176">
            <w:pPr>
              <w:rPr>
                <w:rFonts w:eastAsiaTheme="minorEastAsia"/>
                <w:sz w:val="24"/>
              </w:rPr>
            </w:pPr>
            <w:r w:rsidRPr="009A7486">
              <w:rPr>
                <w:rFonts w:eastAsiaTheme="minorEastAsia"/>
                <w:sz w:val="24"/>
              </w:rPr>
              <w:t>30</w:t>
            </w:r>
            <w:r w:rsidRPr="009A7486">
              <w:rPr>
                <w:rFonts w:eastAsiaTheme="minorEastAsia"/>
                <w:sz w:val="24"/>
              </w:rPr>
              <w:t>天以内</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21.37</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16.11</w:t>
            </w:r>
          </w:p>
        </w:tc>
      </w:tr>
      <w:tr w:rsidR="00CA0179" w:rsidRPr="009A7486" w:rsidTr="00C52176">
        <w:tc>
          <w:tcPr>
            <w:tcW w:w="993" w:type="dxa"/>
          </w:tcPr>
          <w:p w:rsidR="00CA0179" w:rsidRPr="009A7486" w:rsidRDefault="00CA0179" w:rsidP="00C52176">
            <w:pPr>
              <w:jc w:val="center"/>
              <w:rPr>
                <w:rFonts w:eastAsiaTheme="minorEastAsia"/>
                <w:sz w:val="24"/>
              </w:rPr>
            </w:pPr>
          </w:p>
        </w:tc>
        <w:tc>
          <w:tcPr>
            <w:tcW w:w="3187" w:type="dxa"/>
          </w:tcPr>
          <w:p w:rsidR="00CA0179" w:rsidRPr="009A7486" w:rsidRDefault="00CA0179" w:rsidP="00C52176">
            <w:pPr>
              <w:rPr>
                <w:rFonts w:eastAsiaTheme="minorEastAsia"/>
                <w:sz w:val="24"/>
              </w:rPr>
            </w:pPr>
            <w:r w:rsidRPr="009A7486">
              <w:rPr>
                <w:rFonts w:eastAsiaTheme="minorEastAsia"/>
                <w:sz w:val="24"/>
              </w:rPr>
              <w:t>其中：剩余存续期超过</w:t>
            </w:r>
            <w:r w:rsidRPr="009A7486">
              <w:rPr>
                <w:rFonts w:eastAsiaTheme="minorEastAsia"/>
                <w:sz w:val="24"/>
              </w:rPr>
              <w:t>397</w:t>
            </w:r>
            <w:r w:rsidRPr="009A7486">
              <w:rPr>
                <w:rFonts w:eastAsiaTheme="minorEastAsia"/>
                <w:sz w:val="24"/>
              </w:rPr>
              <w:t>天的浮动利率债</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w:t>
            </w:r>
          </w:p>
        </w:tc>
      </w:tr>
      <w:tr w:rsidR="00CA0179" w:rsidRPr="009A7486" w:rsidTr="00C52176">
        <w:tc>
          <w:tcPr>
            <w:tcW w:w="993" w:type="dxa"/>
          </w:tcPr>
          <w:p w:rsidR="00CA0179" w:rsidRPr="009A7486" w:rsidRDefault="00CA0179" w:rsidP="00C52176">
            <w:pPr>
              <w:jc w:val="center"/>
              <w:rPr>
                <w:rFonts w:eastAsiaTheme="minorEastAsia"/>
                <w:sz w:val="24"/>
              </w:rPr>
            </w:pPr>
            <w:r w:rsidRPr="009A7486">
              <w:rPr>
                <w:rFonts w:eastAsiaTheme="minorEastAsia"/>
                <w:sz w:val="24"/>
              </w:rPr>
              <w:t>2</w:t>
            </w:r>
          </w:p>
        </w:tc>
        <w:tc>
          <w:tcPr>
            <w:tcW w:w="3187" w:type="dxa"/>
          </w:tcPr>
          <w:p w:rsidR="00CA0179" w:rsidRPr="009A7486" w:rsidRDefault="00CA0179" w:rsidP="00C52176">
            <w:pPr>
              <w:rPr>
                <w:rFonts w:eastAsiaTheme="minorEastAsia"/>
                <w:sz w:val="24"/>
              </w:rPr>
            </w:pPr>
            <w:r w:rsidRPr="009A7486">
              <w:rPr>
                <w:rFonts w:eastAsiaTheme="minorEastAsia"/>
                <w:sz w:val="24"/>
              </w:rPr>
              <w:t>30</w:t>
            </w:r>
            <w:r w:rsidRPr="009A7486">
              <w:rPr>
                <w:rFonts w:eastAsiaTheme="minorEastAsia"/>
                <w:sz w:val="24"/>
              </w:rPr>
              <w:t>天（含）</w:t>
            </w:r>
            <w:r w:rsidRPr="009A7486">
              <w:rPr>
                <w:rFonts w:eastAsiaTheme="minorEastAsia"/>
                <w:sz w:val="24"/>
              </w:rPr>
              <w:t>—60</w:t>
            </w:r>
            <w:r w:rsidRPr="009A7486">
              <w:rPr>
                <w:rFonts w:eastAsiaTheme="minorEastAsia"/>
                <w:sz w:val="24"/>
              </w:rPr>
              <w:t>天</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16.08</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w:t>
            </w:r>
          </w:p>
        </w:tc>
      </w:tr>
      <w:tr w:rsidR="00CA0179" w:rsidRPr="009A7486" w:rsidTr="00C52176">
        <w:tc>
          <w:tcPr>
            <w:tcW w:w="993" w:type="dxa"/>
          </w:tcPr>
          <w:p w:rsidR="00CA0179" w:rsidRPr="009A7486" w:rsidRDefault="00CA0179" w:rsidP="00C52176">
            <w:pPr>
              <w:jc w:val="center"/>
              <w:rPr>
                <w:rFonts w:eastAsiaTheme="minorEastAsia"/>
                <w:sz w:val="24"/>
              </w:rPr>
            </w:pPr>
          </w:p>
        </w:tc>
        <w:tc>
          <w:tcPr>
            <w:tcW w:w="3187" w:type="dxa"/>
          </w:tcPr>
          <w:p w:rsidR="00CA0179" w:rsidRPr="009A7486" w:rsidRDefault="00CA0179" w:rsidP="00C52176">
            <w:pPr>
              <w:rPr>
                <w:rFonts w:eastAsiaTheme="minorEastAsia"/>
                <w:sz w:val="24"/>
              </w:rPr>
            </w:pPr>
            <w:r w:rsidRPr="009A7486">
              <w:rPr>
                <w:rFonts w:eastAsiaTheme="minorEastAsia"/>
                <w:sz w:val="24"/>
              </w:rPr>
              <w:t>其中：剩余存续期超过</w:t>
            </w:r>
            <w:r w:rsidRPr="009A7486">
              <w:rPr>
                <w:rFonts w:eastAsiaTheme="minorEastAsia"/>
                <w:sz w:val="24"/>
              </w:rPr>
              <w:t>397</w:t>
            </w:r>
            <w:r w:rsidRPr="009A7486">
              <w:rPr>
                <w:rFonts w:eastAsiaTheme="minorEastAsia"/>
                <w:sz w:val="24"/>
              </w:rPr>
              <w:t>天的浮动利率债</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w:t>
            </w:r>
          </w:p>
        </w:tc>
      </w:tr>
      <w:tr w:rsidR="00CA0179" w:rsidRPr="009A7486" w:rsidTr="00C52176">
        <w:tc>
          <w:tcPr>
            <w:tcW w:w="993" w:type="dxa"/>
          </w:tcPr>
          <w:p w:rsidR="00CA0179" w:rsidRPr="009A7486" w:rsidRDefault="00CA0179" w:rsidP="00C52176">
            <w:pPr>
              <w:jc w:val="center"/>
              <w:rPr>
                <w:rFonts w:eastAsiaTheme="minorEastAsia"/>
                <w:sz w:val="24"/>
              </w:rPr>
            </w:pPr>
            <w:r w:rsidRPr="009A7486">
              <w:rPr>
                <w:rFonts w:eastAsiaTheme="minorEastAsia"/>
                <w:sz w:val="24"/>
              </w:rPr>
              <w:t>3</w:t>
            </w:r>
          </w:p>
        </w:tc>
        <w:tc>
          <w:tcPr>
            <w:tcW w:w="3187" w:type="dxa"/>
          </w:tcPr>
          <w:p w:rsidR="00CA0179" w:rsidRPr="009A7486" w:rsidRDefault="00CA0179" w:rsidP="00C52176">
            <w:pPr>
              <w:rPr>
                <w:rFonts w:eastAsiaTheme="minorEastAsia"/>
                <w:sz w:val="24"/>
              </w:rPr>
            </w:pPr>
            <w:r w:rsidRPr="009A7486">
              <w:rPr>
                <w:rFonts w:eastAsiaTheme="minorEastAsia"/>
                <w:sz w:val="24"/>
              </w:rPr>
              <w:t>60</w:t>
            </w:r>
            <w:r w:rsidRPr="009A7486">
              <w:rPr>
                <w:rFonts w:eastAsiaTheme="minorEastAsia"/>
                <w:sz w:val="24"/>
              </w:rPr>
              <w:t>天（含）</w:t>
            </w:r>
            <w:r w:rsidRPr="009A7486">
              <w:rPr>
                <w:rFonts w:eastAsiaTheme="minorEastAsia"/>
                <w:sz w:val="24"/>
              </w:rPr>
              <w:t>—90</w:t>
            </w:r>
            <w:r w:rsidRPr="009A7486">
              <w:rPr>
                <w:rFonts w:eastAsiaTheme="minorEastAsia"/>
                <w:sz w:val="24"/>
              </w:rPr>
              <w:t>天</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41.38</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w:t>
            </w:r>
          </w:p>
        </w:tc>
      </w:tr>
      <w:tr w:rsidR="00CA0179" w:rsidRPr="009A7486" w:rsidTr="00C52176">
        <w:tc>
          <w:tcPr>
            <w:tcW w:w="993" w:type="dxa"/>
          </w:tcPr>
          <w:p w:rsidR="00CA0179" w:rsidRPr="009A7486" w:rsidRDefault="00CA0179" w:rsidP="00C52176">
            <w:pPr>
              <w:jc w:val="center"/>
              <w:rPr>
                <w:rFonts w:eastAsiaTheme="minorEastAsia"/>
                <w:sz w:val="24"/>
              </w:rPr>
            </w:pPr>
          </w:p>
        </w:tc>
        <w:tc>
          <w:tcPr>
            <w:tcW w:w="3187" w:type="dxa"/>
          </w:tcPr>
          <w:p w:rsidR="00CA0179" w:rsidRPr="009A7486" w:rsidRDefault="00CA0179" w:rsidP="00C52176">
            <w:pPr>
              <w:rPr>
                <w:rFonts w:eastAsiaTheme="minorEastAsia"/>
                <w:sz w:val="24"/>
              </w:rPr>
            </w:pPr>
            <w:r w:rsidRPr="009A7486">
              <w:rPr>
                <w:rFonts w:eastAsiaTheme="minorEastAsia"/>
                <w:sz w:val="24"/>
              </w:rPr>
              <w:t>其中：剩余存续期超过</w:t>
            </w:r>
            <w:r w:rsidRPr="009A7486">
              <w:rPr>
                <w:rFonts w:eastAsiaTheme="minorEastAsia"/>
                <w:sz w:val="24"/>
              </w:rPr>
              <w:t>397</w:t>
            </w:r>
            <w:r w:rsidRPr="009A7486">
              <w:rPr>
                <w:rFonts w:eastAsiaTheme="minorEastAsia"/>
                <w:sz w:val="24"/>
              </w:rPr>
              <w:t>天的浮动利率债</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w:t>
            </w:r>
          </w:p>
        </w:tc>
      </w:tr>
      <w:tr w:rsidR="00CA0179" w:rsidRPr="009A7486" w:rsidTr="00C52176">
        <w:tc>
          <w:tcPr>
            <w:tcW w:w="993" w:type="dxa"/>
          </w:tcPr>
          <w:p w:rsidR="00CA0179" w:rsidRPr="009A7486" w:rsidRDefault="00CA0179" w:rsidP="00C52176">
            <w:pPr>
              <w:jc w:val="center"/>
              <w:rPr>
                <w:rFonts w:eastAsiaTheme="minorEastAsia"/>
                <w:sz w:val="24"/>
              </w:rPr>
            </w:pPr>
            <w:r w:rsidRPr="009A7486">
              <w:rPr>
                <w:rFonts w:eastAsiaTheme="minorEastAsia"/>
                <w:sz w:val="24"/>
              </w:rPr>
              <w:t>4</w:t>
            </w:r>
          </w:p>
        </w:tc>
        <w:tc>
          <w:tcPr>
            <w:tcW w:w="3187" w:type="dxa"/>
          </w:tcPr>
          <w:p w:rsidR="00CA0179" w:rsidRPr="009A7486" w:rsidRDefault="00CA0179" w:rsidP="00C52176">
            <w:pPr>
              <w:rPr>
                <w:rFonts w:eastAsiaTheme="minorEastAsia"/>
                <w:sz w:val="24"/>
              </w:rPr>
            </w:pPr>
            <w:r w:rsidRPr="009A7486">
              <w:rPr>
                <w:rFonts w:eastAsiaTheme="minorEastAsia"/>
                <w:sz w:val="24"/>
              </w:rPr>
              <w:t>90</w:t>
            </w:r>
            <w:r w:rsidRPr="009A7486">
              <w:rPr>
                <w:rFonts w:eastAsiaTheme="minorEastAsia"/>
                <w:sz w:val="24"/>
              </w:rPr>
              <w:t>天（含）</w:t>
            </w:r>
            <w:r w:rsidRPr="009A7486">
              <w:rPr>
                <w:rFonts w:eastAsiaTheme="minorEastAsia"/>
                <w:sz w:val="24"/>
              </w:rPr>
              <w:t>—120</w:t>
            </w:r>
            <w:r w:rsidRPr="009A7486">
              <w:rPr>
                <w:rFonts w:eastAsiaTheme="minorEastAsia"/>
                <w:sz w:val="24"/>
              </w:rPr>
              <w:t>天</w:t>
            </w:r>
          </w:p>
        </w:tc>
        <w:tc>
          <w:tcPr>
            <w:tcW w:w="2588" w:type="dxa"/>
            <w:vAlign w:val="center"/>
          </w:tcPr>
          <w:p w:rsidR="00CA0179" w:rsidRPr="009A7486" w:rsidRDefault="00CA0179" w:rsidP="00C52176">
            <w:pPr>
              <w:autoSpaceDE w:val="0"/>
              <w:autoSpaceDN w:val="0"/>
              <w:adjustRightInd w:val="0"/>
              <w:spacing w:before="29" w:line="360" w:lineRule="auto"/>
              <w:ind w:left="15"/>
              <w:jc w:val="right"/>
              <w:rPr>
                <w:rFonts w:eastAsiaTheme="minorEastAsia"/>
                <w:sz w:val="24"/>
              </w:rPr>
            </w:pPr>
            <w:r w:rsidRPr="009A7486">
              <w:rPr>
                <w:rFonts w:eastAsiaTheme="minorEastAsia"/>
                <w:sz w:val="24"/>
              </w:rPr>
              <w:t>18.03</w:t>
            </w:r>
          </w:p>
        </w:tc>
        <w:tc>
          <w:tcPr>
            <w:tcW w:w="2588" w:type="dxa"/>
            <w:vAlign w:val="center"/>
          </w:tcPr>
          <w:p w:rsidR="00CA0179" w:rsidRPr="009A7486" w:rsidRDefault="00CA0179" w:rsidP="00C52176">
            <w:pPr>
              <w:autoSpaceDE w:val="0"/>
              <w:autoSpaceDN w:val="0"/>
              <w:adjustRightInd w:val="0"/>
              <w:spacing w:before="29" w:line="360" w:lineRule="auto"/>
              <w:ind w:left="15"/>
              <w:jc w:val="right"/>
              <w:rPr>
                <w:rFonts w:eastAsiaTheme="minorEastAsia"/>
                <w:sz w:val="24"/>
              </w:rPr>
            </w:pPr>
            <w:r w:rsidRPr="009A7486">
              <w:rPr>
                <w:rFonts w:eastAsiaTheme="minorEastAsia"/>
                <w:sz w:val="24"/>
              </w:rPr>
              <w:t>-</w:t>
            </w:r>
          </w:p>
        </w:tc>
      </w:tr>
      <w:tr w:rsidR="00CA0179" w:rsidRPr="009A7486" w:rsidTr="00C52176">
        <w:tc>
          <w:tcPr>
            <w:tcW w:w="993" w:type="dxa"/>
          </w:tcPr>
          <w:p w:rsidR="00CA0179" w:rsidRPr="009A7486" w:rsidRDefault="00CA0179" w:rsidP="00C52176">
            <w:pPr>
              <w:jc w:val="center"/>
              <w:rPr>
                <w:rFonts w:eastAsiaTheme="minorEastAsia"/>
                <w:sz w:val="24"/>
              </w:rPr>
            </w:pPr>
          </w:p>
        </w:tc>
        <w:tc>
          <w:tcPr>
            <w:tcW w:w="3187" w:type="dxa"/>
          </w:tcPr>
          <w:p w:rsidR="00CA0179" w:rsidRPr="009A7486" w:rsidRDefault="00CA0179" w:rsidP="00C52176">
            <w:pPr>
              <w:rPr>
                <w:rFonts w:eastAsiaTheme="minorEastAsia"/>
                <w:sz w:val="24"/>
              </w:rPr>
            </w:pPr>
            <w:r w:rsidRPr="009A7486">
              <w:rPr>
                <w:rFonts w:eastAsiaTheme="minorEastAsia"/>
                <w:sz w:val="24"/>
              </w:rPr>
              <w:t>其中：剩余存续期超过</w:t>
            </w:r>
            <w:r w:rsidRPr="009A7486">
              <w:rPr>
                <w:rFonts w:eastAsiaTheme="minorEastAsia"/>
                <w:sz w:val="24"/>
              </w:rPr>
              <w:t>397</w:t>
            </w:r>
            <w:r w:rsidRPr="009A7486">
              <w:rPr>
                <w:rFonts w:eastAsiaTheme="minorEastAsia"/>
                <w:sz w:val="24"/>
              </w:rPr>
              <w:t>天的浮动利率债</w:t>
            </w:r>
          </w:p>
        </w:tc>
        <w:tc>
          <w:tcPr>
            <w:tcW w:w="2588" w:type="dxa"/>
            <w:vAlign w:val="center"/>
          </w:tcPr>
          <w:p w:rsidR="00CA0179" w:rsidRPr="009A7486" w:rsidRDefault="00CA0179" w:rsidP="00C52176">
            <w:pPr>
              <w:autoSpaceDE w:val="0"/>
              <w:autoSpaceDN w:val="0"/>
              <w:adjustRightInd w:val="0"/>
              <w:spacing w:before="29" w:line="360" w:lineRule="auto"/>
              <w:ind w:left="15"/>
              <w:jc w:val="right"/>
              <w:rPr>
                <w:rFonts w:eastAsiaTheme="minorEastAsia"/>
                <w:sz w:val="24"/>
              </w:rPr>
            </w:pPr>
            <w:r w:rsidRPr="009A7486">
              <w:rPr>
                <w:rFonts w:eastAsiaTheme="minorEastAsia"/>
                <w:sz w:val="24"/>
              </w:rPr>
              <w:t>-</w:t>
            </w:r>
          </w:p>
        </w:tc>
        <w:tc>
          <w:tcPr>
            <w:tcW w:w="2588" w:type="dxa"/>
            <w:vAlign w:val="center"/>
          </w:tcPr>
          <w:p w:rsidR="00CA0179" w:rsidRPr="009A7486" w:rsidRDefault="00CA0179" w:rsidP="00C52176">
            <w:pPr>
              <w:autoSpaceDE w:val="0"/>
              <w:autoSpaceDN w:val="0"/>
              <w:adjustRightInd w:val="0"/>
              <w:spacing w:before="29" w:line="360" w:lineRule="auto"/>
              <w:ind w:left="15"/>
              <w:jc w:val="right"/>
              <w:rPr>
                <w:rFonts w:eastAsiaTheme="minorEastAsia"/>
                <w:sz w:val="24"/>
              </w:rPr>
            </w:pPr>
            <w:r w:rsidRPr="009A7486">
              <w:rPr>
                <w:rFonts w:eastAsiaTheme="minorEastAsia"/>
                <w:sz w:val="24"/>
              </w:rPr>
              <w:t>-</w:t>
            </w:r>
          </w:p>
        </w:tc>
      </w:tr>
      <w:tr w:rsidR="00CA0179" w:rsidRPr="009A7486" w:rsidTr="00C52176">
        <w:tc>
          <w:tcPr>
            <w:tcW w:w="993" w:type="dxa"/>
          </w:tcPr>
          <w:p w:rsidR="00CA0179" w:rsidRPr="009A7486" w:rsidRDefault="00CA0179" w:rsidP="00C52176">
            <w:pPr>
              <w:jc w:val="center"/>
              <w:rPr>
                <w:rFonts w:eastAsiaTheme="minorEastAsia"/>
                <w:sz w:val="24"/>
              </w:rPr>
            </w:pPr>
            <w:r w:rsidRPr="009A7486">
              <w:rPr>
                <w:rFonts w:eastAsiaTheme="minorEastAsia"/>
                <w:sz w:val="24"/>
              </w:rPr>
              <w:t>5</w:t>
            </w:r>
          </w:p>
        </w:tc>
        <w:tc>
          <w:tcPr>
            <w:tcW w:w="3187" w:type="dxa"/>
          </w:tcPr>
          <w:p w:rsidR="00CA0179" w:rsidRPr="009A7486" w:rsidRDefault="00CA0179" w:rsidP="00C52176">
            <w:pPr>
              <w:rPr>
                <w:rFonts w:eastAsiaTheme="minorEastAsia"/>
                <w:sz w:val="24"/>
              </w:rPr>
            </w:pPr>
            <w:r w:rsidRPr="009A7486">
              <w:rPr>
                <w:rFonts w:eastAsiaTheme="minorEastAsia"/>
                <w:sz w:val="24"/>
              </w:rPr>
              <w:t>120</w:t>
            </w:r>
            <w:r w:rsidRPr="009A7486">
              <w:rPr>
                <w:rFonts w:eastAsiaTheme="minorEastAsia"/>
                <w:sz w:val="24"/>
              </w:rPr>
              <w:t>天（含）</w:t>
            </w:r>
            <w:r w:rsidRPr="009A7486">
              <w:rPr>
                <w:rFonts w:eastAsiaTheme="minorEastAsia"/>
                <w:sz w:val="24"/>
              </w:rPr>
              <w:t>—397</w:t>
            </w:r>
            <w:r w:rsidRPr="009A7486">
              <w:rPr>
                <w:rFonts w:eastAsiaTheme="minorEastAsia"/>
                <w:sz w:val="24"/>
              </w:rPr>
              <w:t>天（含）</w:t>
            </w:r>
          </w:p>
        </w:tc>
        <w:tc>
          <w:tcPr>
            <w:tcW w:w="2588" w:type="dxa"/>
            <w:vAlign w:val="center"/>
          </w:tcPr>
          <w:p w:rsidR="00CA0179" w:rsidRPr="009A7486" w:rsidRDefault="00CA0179" w:rsidP="00C52176">
            <w:pPr>
              <w:autoSpaceDE w:val="0"/>
              <w:autoSpaceDN w:val="0"/>
              <w:adjustRightInd w:val="0"/>
              <w:spacing w:before="29" w:line="360" w:lineRule="auto"/>
              <w:ind w:left="15"/>
              <w:jc w:val="right"/>
              <w:rPr>
                <w:rFonts w:eastAsiaTheme="minorEastAsia"/>
                <w:sz w:val="24"/>
              </w:rPr>
            </w:pPr>
            <w:r w:rsidRPr="009A7486">
              <w:rPr>
                <w:rFonts w:eastAsiaTheme="minorEastAsia"/>
                <w:sz w:val="24"/>
              </w:rPr>
              <w:t>18.44</w:t>
            </w:r>
          </w:p>
        </w:tc>
        <w:tc>
          <w:tcPr>
            <w:tcW w:w="2588" w:type="dxa"/>
            <w:vAlign w:val="center"/>
          </w:tcPr>
          <w:p w:rsidR="00CA0179" w:rsidRPr="009A7486" w:rsidRDefault="00CA0179" w:rsidP="00C52176">
            <w:pPr>
              <w:autoSpaceDE w:val="0"/>
              <w:autoSpaceDN w:val="0"/>
              <w:adjustRightInd w:val="0"/>
              <w:spacing w:before="29" w:line="360" w:lineRule="auto"/>
              <w:ind w:left="15"/>
              <w:jc w:val="right"/>
              <w:rPr>
                <w:rFonts w:eastAsiaTheme="minorEastAsia"/>
                <w:sz w:val="24"/>
              </w:rPr>
            </w:pPr>
            <w:r w:rsidRPr="009A7486">
              <w:rPr>
                <w:rFonts w:eastAsiaTheme="minorEastAsia"/>
                <w:sz w:val="24"/>
              </w:rPr>
              <w:t>-</w:t>
            </w:r>
          </w:p>
        </w:tc>
      </w:tr>
      <w:tr w:rsidR="00CA0179" w:rsidRPr="009A7486" w:rsidTr="00C52176">
        <w:tc>
          <w:tcPr>
            <w:tcW w:w="993" w:type="dxa"/>
          </w:tcPr>
          <w:p w:rsidR="00CA0179" w:rsidRPr="009A7486" w:rsidRDefault="00CA0179" w:rsidP="00C52176">
            <w:pPr>
              <w:jc w:val="center"/>
              <w:rPr>
                <w:rFonts w:eastAsiaTheme="minorEastAsia"/>
                <w:sz w:val="24"/>
              </w:rPr>
            </w:pPr>
          </w:p>
        </w:tc>
        <w:tc>
          <w:tcPr>
            <w:tcW w:w="3187" w:type="dxa"/>
          </w:tcPr>
          <w:p w:rsidR="00CA0179" w:rsidRPr="009A7486" w:rsidRDefault="00CA0179" w:rsidP="00C52176">
            <w:pPr>
              <w:rPr>
                <w:rFonts w:eastAsiaTheme="minorEastAsia"/>
                <w:sz w:val="24"/>
              </w:rPr>
            </w:pPr>
            <w:r w:rsidRPr="009A7486">
              <w:rPr>
                <w:rFonts w:eastAsiaTheme="minorEastAsia"/>
                <w:sz w:val="24"/>
              </w:rPr>
              <w:t>其中：剩余存续期超过</w:t>
            </w:r>
            <w:r w:rsidRPr="009A7486">
              <w:rPr>
                <w:rFonts w:eastAsiaTheme="minorEastAsia"/>
                <w:sz w:val="24"/>
              </w:rPr>
              <w:t>397</w:t>
            </w:r>
            <w:r w:rsidRPr="009A7486">
              <w:rPr>
                <w:rFonts w:eastAsiaTheme="minorEastAsia"/>
                <w:sz w:val="24"/>
              </w:rPr>
              <w:t>天的浮动利率债</w:t>
            </w:r>
          </w:p>
        </w:tc>
        <w:tc>
          <w:tcPr>
            <w:tcW w:w="2588" w:type="dxa"/>
            <w:vAlign w:val="center"/>
          </w:tcPr>
          <w:p w:rsidR="00CA0179" w:rsidRPr="009A7486" w:rsidRDefault="00CA0179" w:rsidP="00C52176">
            <w:pPr>
              <w:autoSpaceDE w:val="0"/>
              <w:autoSpaceDN w:val="0"/>
              <w:adjustRightInd w:val="0"/>
              <w:spacing w:before="29" w:line="360" w:lineRule="auto"/>
              <w:ind w:left="15"/>
              <w:jc w:val="right"/>
              <w:rPr>
                <w:rFonts w:eastAsiaTheme="minorEastAsia"/>
                <w:sz w:val="24"/>
              </w:rPr>
            </w:pPr>
            <w:r w:rsidRPr="009A7486">
              <w:rPr>
                <w:rFonts w:eastAsiaTheme="minorEastAsia"/>
                <w:sz w:val="24"/>
              </w:rPr>
              <w:t>-</w:t>
            </w:r>
          </w:p>
        </w:tc>
        <w:tc>
          <w:tcPr>
            <w:tcW w:w="2588" w:type="dxa"/>
            <w:vAlign w:val="center"/>
          </w:tcPr>
          <w:p w:rsidR="00CA0179" w:rsidRPr="009A7486" w:rsidRDefault="00CA0179" w:rsidP="00C52176">
            <w:pPr>
              <w:autoSpaceDE w:val="0"/>
              <w:autoSpaceDN w:val="0"/>
              <w:adjustRightInd w:val="0"/>
              <w:spacing w:before="29" w:line="360" w:lineRule="auto"/>
              <w:ind w:left="15"/>
              <w:jc w:val="right"/>
              <w:rPr>
                <w:rFonts w:eastAsiaTheme="minorEastAsia"/>
                <w:sz w:val="24"/>
              </w:rPr>
            </w:pPr>
            <w:r w:rsidRPr="009A7486">
              <w:rPr>
                <w:rFonts w:eastAsiaTheme="minorEastAsia"/>
                <w:sz w:val="24"/>
              </w:rPr>
              <w:t>-</w:t>
            </w:r>
          </w:p>
        </w:tc>
      </w:tr>
      <w:tr w:rsidR="00CA0179" w:rsidRPr="009A7486" w:rsidTr="00C52176">
        <w:tc>
          <w:tcPr>
            <w:tcW w:w="4180" w:type="dxa"/>
            <w:gridSpan w:val="2"/>
          </w:tcPr>
          <w:p w:rsidR="00CA0179" w:rsidRPr="009A7486" w:rsidRDefault="00CA0179" w:rsidP="00C52176">
            <w:pPr>
              <w:jc w:val="center"/>
              <w:rPr>
                <w:rFonts w:eastAsiaTheme="minorEastAsia"/>
                <w:sz w:val="24"/>
              </w:rPr>
            </w:pPr>
            <w:r w:rsidRPr="009A7486">
              <w:rPr>
                <w:rFonts w:eastAsiaTheme="minorEastAsia"/>
                <w:sz w:val="24"/>
              </w:rPr>
              <w:t>合计</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115.30</w:t>
            </w:r>
          </w:p>
        </w:tc>
        <w:tc>
          <w:tcPr>
            <w:tcW w:w="2588" w:type="dxa"/>
            <w:vAlign w:val="center"/>
          </w:tcPr>
          <w:p w:rsidR="00CA0179" w:rsidRPr="009A7486" w:rsidRDefault="00CA0179" w:rsidP="00C52176">
            <w:pPr>
              <w:jc w:val="right"/>
              <w:rPr>
                <w:rFonts w:eastAsiaTheme="minorEastAsia"/>
                <w:sz w:val="24"/>
              </w:rPr>
            </w:pPr>
            <w:r w:rsidRPr="009A7486">
              <w:rPr>
                <w:rFonts w:eastAsiaTheme="minorEastAsia"/>
                <w:sz w:val="24"/>
              </w:rPr>
              <w:t>16.11</w:t>
            </w:r>
          </w:p>
        </w:tc>
      </w:tr>
    </w:tbl>
    <w:p w:rsidR="00CA0179" w:rsidRPr="009A7486" w:rsidRDefault="00CA0179" w:rsidP="002855D4">
      <w:pPr>
        <w:pStyle w:val="20"/>
        <w:spacing w:beforeLines="100" w:after="0"/>
        <w:rPr>
          <w:rFonts w:ascii="Times New Roman" w:eastAsiaTheme="minorEastAsia" w:hAnsi="Times New Roman" w:cs="Times New Roman"/>
          <w:kern w:val="0"/>
          <w:szCs w:val="24"/>
        </w:rPr>
      </w:pPr>
      <w:r w:rsidRPr="009A7486">
        <w:rPr>
          <w:rFonts w:ascii="Times New Roman" w:eastAsiaTheme="minorEastAsia" w:hAnsi="Times New Roman" w:cs="Times New Roman"/>
          <w:kern w:val="0"/>
          <w:szCs w:val="24"/>
        </w:rPr>
        <w:t>8.4</w:t>
      </w:r>
      <w:r w:rsidRPr="009A7486">
        <w:rPr>
          <w:rFonts w:ascii="Times New Roman" w:eastAsiaTheme="minorEastAsia" w:hAnsi="Times New Roman" w:cs="Times New Roman"/>
          <w:kern w:val="0"/>
          <w:szCs w:val="24"/>
        </w:rPr>
        <w:t>报告期内投资组合平均剩余存续期超过</w:t>
      </w:r>
      <w:r w:rsidRPr="009A7486">
        <w:rPr>
          <w:rFonts w:ascii="Times New Roman" w:eastAsiaTheme="minorEastAsia" w:hAnsi="Times New Roman" w:cs="Times New Roman"/>
          <w:kern w:val="0"/>
          <w:szCs w:val="24"/>
        </w:rPr>
        <w:t>240</w:t>
      </w:r>
      <w:r w:rsidRPr="009A7486">
        <w:rPr>
          <w:rFonts w:ascii="Times New Roman" w:eastAsiaTheme="minorEastAsia" w:hAnsi="Times New Roman" w:cs="Times New Roman"/>
          <w:kern w:val="0"/>
          <w:szCs w:val="24"/>
        </w:rPr>
        <w:t>天情况说明</w:t>
      </w:r>
    </w:p>
    <w:p w:rsidR="00CA0179" w:rsidRPr="009A7486" w:rsidRDefault="00CA0179" w:rsidP="009A7486">
      <w:pPr>
        <w:tabs>
          <w:tab w:val="left" w:pos="426"/>
        </w:tabs>
        <w:spacing w:line="360" w:lineRule="auto"/>
        <w:ind w:firstLineChars="200" w:firstLine="480"/>
        <w:jc w:val="left"/>
        <w:rPr>
          <w:rFonts w:eastAsiaTheme="minorEastAsia"/>
          <w:sz w:val="24"/>
        </w:rPr>
      </w:pPr>
      <w:r w:rsidRPr="009A7486">
        <w:rPr>
          <w:rFonts w:eastAsiaTheme="minorEastAsia"/>
          <w:sz w:val="24"/>
        </w:rPr>
        <w:t>本基金本报告期内投资组合的平均剩余存续期不存在超过</w:t>
      </w:r>
      <w:r w:rsidRPr="009A7486">
        <w:rPr>
          <w:rFonts w:eastAsiaTheme="minorEastAsia"/>
          <w:sz w:val="24"/>
        </w:rPr>
        <w:t>240</w:t>
      </w:r>
      <w:r w:rsidRPr="009A7486">
        <w:rPr>
          <w:rFonts w:eastAsiaTheme="minorEastAsia"/>
          <w:sz w:val="24"/>
        </w:rPr>
        <w:t>天的情况。</w:t>
      </w:r>
    </w:p>
    <w:p w:rsidR="00CA0179" w:rsidRPr="009A7486" w:rsidRDefault="00CA0179" w:rsidP="002855D4">
      <w:pPr>
        <w:pStyle w:val="20"/>
        <w:spacing w:beforeLines="100" w:after="0"/>
        <w:rPr>
          <w:rFonts w:ascii="Times New Roman" w:eastAsiaTheme="minorEastAsia" w:hAnsi="Times New Roman" w:cs="Times New Roman"/>
          <w:kern w:val="0"/>
          <w:szCs w:val="24"/>
        </w:rPr>
      </w:pPr>
      <w:bookmarkStart w:id="20" w:name="_Toc331410106"/>
      <w:bookmarkStart w:id="21" w:name="_Toc234814104"/>
      <w:bookmarkStart w:id="22" w:name="_Toc374603926"/>
      <w:r w:rsidRPr="009A7486">
        <w:rPr>
          <w:rFonts w:ascii="Times New Roman" w:eastAsiaTheme="minorEastAsia" w:hAnsi="Times New Roman" w:cs="Times New Roman"/>
          <w:kern w:val="0"/>
          <w:szCs w:val="24"/>
        </w:rPr>
        <w:t>8.5</w:t>
      </w:r>
      <w:r w:rsidRPr="009A7486">
        <w:rPr>
          <w:rFonts w:ascii="Times New Roman" w:eastAsiaTheme="minorEastAsia" w:hAnsi="Times New Roman" w:cs="Times New Roman"/>
          <w:kern w:val="0"/>
          <w:szCs w:val="24"/>
        </w:rPr>
        <w:t>期末按债券品种分类的债券投资组合</w:t>
      </w:r>
      <w:bookmarkEnd w:id="20"/>
      <w:bookmarkEnd w:id="21"/>
      <w:bookmarkEnd w:id="22"/>
    </w:p>
    <w:p w:rsidR="00CA0179" w:rsidRPr="009A7486" w:rsidRDefault="00CA0179" w:rsidP="00CA0179">
      <w:pPr>
        <w:autoSpaceDE w:val="0"/>
        <w:autoSpaceDN w:val="0"/>
        <w:adjustRightInd w:val="0"/>
        <w:spacing w:before="29" w:line="288" w:lineRule="auto"/>
        <w:ind w:left="15"/>
        <w:jc w:val="right"/>
        <w:rPr>
          <w:rFonts w:eastAsiaTheme="minorEastAsia"/>
          <w:kern w:val="0"/>
          <w:sz w:val="24"/>
        </w:rPr>
      </w:pPr>
      <w:r w:rsidRPr="009A7486">
        <w:rPr>
          <w:rFonts w:eastAsiaTheme="minorEastAsia"/>
          <w:sz w:val="24"/>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30" w:type="dxa"/>
          <w:right w:w="30" w:type="dxa"/>
        </w:tblCellMar>
        <w:tblLook w:val="0000"/>
      </w:tblPr>
      <w:tblGrid>
        <w:gridCol w:w="1277"/>
        <w:gridCol w:w="2977"/>
        <w:gridCol w:w="2693"/>
        <w:gridCol w:w="2409"/>
      </w:tblGrid>
      <w:tr w:rsidR="00CA0179" w:rsidRPr="009A7486" w:rsidTr="00C52176">
        <w:trPr>
          <w:trHeight w:val="315"/>
        </w:trPr>
        <w:tc>
          <w:tcPr>
            <w:tcW w:w="1277" w:type="dxa"/>
            <w:vAlign w:val="center"/>
          </w:tcPr>
          <w:p w:rsidR="00CA0179" w:rsidRPr="009A7486" w:rsidRDefault="00CA0179" w:rsidP="00C52176">
            <w:pPr>
              <w:spacing w:before="29" w:line="360" w:lineRule="auto"/>
              <w:ind w:left="17"/>
              <w:jc w:val="center"/>
              <w:rPr>
                <w:rFonts w:eastAsiaTheme="minorEastAsia"/>
                <w:sz w:val="24"/>
              </w:rPr>
            </w:pPr>
            <w:r w:rsidRPr="009A7486">
              <w:rPr>
                <w:rFonts w:eastAsiaTheme="minorEastAsia"/>
                <w:sz w:val="24"/>
              </w:rPr>
              <w:t>序号</w:t>
            </w:r>
          </w:p>
        </w:tc>
        <w:tc>
          <w:tcPr>
            <w:tcW w:w="2977" w:type="dxa"/>
            <w:vAlign w:val="center"/>
          </w:tcPr>
          <w:p w:rsidR="00CA0179" w:rsidRPr="009A7486" w:rsidRDefault="00CA0179" w:rsidP="00C52176">
            <w:pPr>
              <w:spacing w:before="29" w:line="360" w:lineRule="auto"/>
              <w:ind w:left="17"/>
              <w:jc w:val="center"/>
              <w:rPr>
                <w:rFonts w:eastAsiaTheme="minorEastAsia"/>
                <w:sz w:val="24"/>
              </w:rPr>
            </w:pPr>
            <w:r w:rsidRPr="009A7486">
              <w:rPr>
                <w:rFonts w:eastAsiaTheme="minorEastAsia"/>
                <w:sz w:val="24"/>
              </w:rPr>
              <w:t>债券品种</w:t>
            </w:r>
          </w:p>
        </w:tc>
        <w:tc>
          <w:tcPr>
            <w:tcW w:w="2693" w:type="dxa"/>
            <w:vAlign w:val="center"/>
          </w:tcPr>
          <w:p w:rsidR="00CA0179" w:rsidRPr="009A7486" w:rsidRDefault="00CA0179" w:rsidP="00C52176">
            <w:pPr>
              <w:spacing w:before="29" w:line="360" w:lineRule="auto"/>
              <w:ind w:left="17"/>
              <w:jc w:val="center"/>
              <w:rPr>
                <w:rFonts w:eastAsiaTheme="minorEastAsia"/>
                <w:sz w:val="24"/>
              </w:rPr>
            </w:pPr>
            <w:r w:rsidRPr="009A7486">
              <w:rPr>
                <w:rFonts w:eastAsiaTheme="minorEastAsia"/>
                <w:sz w:val="24"/>
              </w:rPr>
              <w:t>摊余成本</w:t>
            </w:r>
          </w:p>
        </w:tc>
        <w:tc>
          <w:tcPr>
            <w:tcW w:w="2409" w:type="dxa"/>
            <w:vAlign w:val="center"/>
          </w:tcPr>
          <w:p w:rsidR="00CA0179" w:rsidRPr="009A7486" w:rsidRDefault="00CA0179" w:rsidP="00C52176">
            <w:pPr>
              <w:spacing w:before="29" w:line="360" w:lineRule="auto"/>
              <w:ind w:left="17"/>
              <w:jc w:val="center"/>
              <w:rPr>
                <w:rFonts w:eastAsiaTheme="minorEastAsia"/>
                <w:sz w:val="24"/>
              </w:rPr>
            </w:pPr>
            <w:r w:rsidRPr="009A7486">
              <w:rPr>
                <w:rFonts w:eastAsiaTheme="minorEastAsia"/>
                <w:sz w:val="24"/>
              </w:rPr>
              <w:t>占基金资产净值比例</w:t>
            </w:r>
            <w:r w:rsidRPr="009A7486">
              <w:rPr>
                <w:rFonts w:eastAsiaTheme="minorEastAsia"/>
                <w:sz w:val="24"/>
              </w:rPr>
              <w:t>(</w:t>
            </w:r>
            <w:r w:rsidRPr="009A7486">
              <w:rPr>
                <w:rFonts w:eastAsiaTheme="minorEastAsia"/>
                <w:sz w:val="24"/>
              </w:rPr>
              <w:t>％</w:t>
            </w:r>
            <w:r w:rsidRPr="009A7486">
              <w:rPr>
                <w:rFonts w:eastAsiaTheme="minorEastAsia"/>
                <w:sz w:val="24"/>
              </w:rPr>
              <w:t>)</w:t>
            </w:r>
          </w:p>
        </w:tc>
      </w:tr>
      <w:tr w:rsidR="00CA0179" w:rsidRPr="009A7486" w:rsidTr="00C52176">
        <w:trPr>
          <w:trHeight w:val="315"/>
        </w:trPr>
        <w:tc>
          <w:tcPr>
            <w:tcW w:w="1277" w:type="dxa"/>
            <w:vAlign w:val="center"/>
          </w:tcPr>
          <w:p w:rsidR="00CA0179" w:rsidRPr="009A7486" w:rsidRDefault="00CA0179" w:rsidP="00C52176">
            <w:pPr>
              <w:spacing w:before="29" w:line="360" w:lineRule="auto"/>
              <w:ind w:left="17"/>
              <w:jc w:val="center"/>
              <w:rPr>
                <w:rFonts w:eastAsiaTheme="minorEastAsia"/>
                <w:sz w:val="24"/>
              </w:rPr>
            </w:pPr>
            <w:r w:rsidRPr="009A7486">
              <w:rPr>
                <w:rFonts w:eastAsiaTheme="minorEastAsia"/>
                <w:sz w:val="24"/>
              </w:rPr>
              <w:t>1</w:t>
            </w:r>
          </w:p>
        </w:tc>
        <w:tc>
          <w:tcPr>
            <w:tcW w:w="2977" w:type="dxa"/>
            <w:vAlign w:val="center"/>
          </w:tcPr>
          <w:p w:rsidR="00CA0179" w:rsidRPr="009A7486" w:rsidRDefault="00CA0179" w:rsidP="00C52176">
            <w:pPr>
              <w:spacing w:before="29" w:line="360" w:lineRule="auto"/>
              <w:ind w:left="17"/>
              <w:jc w:val="left"/>
              <w:rPr>
                <w:rFonts w:eastAsiaTheme="minorEastAsia"/>
                <w:sz w:val="24"/>
              </w:rPr>
            </w:pPr>
            <w:r w:rsidRPr="009A7486">
              <w:rPr>
                <w:rFonts w:eastAsiaTheme="minorEastAsia"/>
                <w:sz w:val="24"/>
              </w:rPr>
              <w:t>国家债券</w:t>
            </w:r>
          </w:p>
        </w:tc>
        <w:tc>
          <w:tcPr>
            <w:tcW w:w="2693"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w:t>
            </w:r>
          </w:p>
        </w:tc>
        <w:tc>
          <w:tcPr>
            <w:tcW w:w="2409"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w:t>
            </w:r>
          </w:p>
        </w:tc>
      </w:tr>
      <w:tr w:rsidR="00CA0179" w:rsidRPr="009A7486" w:rsidTr="00C52176">
        <w:trPr>
          <w:trHeight w:val="315"/>
        </w:trPr>
        <w:tc>
          <w:tcPr>
            <w:tcW w:w="1277" w:type="dxa"/>
            <w:vAlign w:val="center"/>
          </w:tcPr>
          <w:p w:rsidR="00CA0179" w:rsidRPr="009A7486" w:rsidRDefault="00CA0179" w:rsidP="00C52176">
            <w:pPr>
              <w:spacing w:before="29" w:line="360" w:lineRule="auto"/>
              <w:ind w:left="17"/>
              <w:jc w:val="center"/>
              <w:rPr>
                <w:rFonts w:eastAsiaTheme="minorEastAsia"/>
                <w:sz w:val="24"/>
              </w:rPr>
            </w:pPr>
            <w:r w:rsidRPr="009A7486">
              <w:rPr>
                <w:rFonts w:eastAsiaTheme="minorEastAsia"/>
                <w:sz w:val="24"/>
              </w:rPr>
              <w:t>2</w:t>
            </w:r>
          </w:p>
        </w:tc>
        <w:tc>
          <w:tcPr>
            <w:tcW w:w="2977" w:type="dxa"/>
            <w:vAlign w:val="center"/>
          </w:tcPr>
          <w:p w:rsidR="00CA0179" w:rsidRPr="009A7486" w:rsidRDefault="00CA0179" w:rsidP="00C52176">
            <w:pPr>
              <w:spacing w:before="29" w:line="360" w:lineRule="auto"/>
              <w:ind w:left="17"/>
              <w:jc w:val="left"/>
              <w:rPr>
                <w:rFonts w:eastAsiaTheme="minorEastAsia"/>
                <w:sz w:val="24"/>
              </w:rPr>
            </w:pPr>
            <w:r w:rsidRPr="009A7486">
              <w:rPr>
                <w:rFonts w:eastAsiaTheme="minorEastAsia"/>
                <w:sz w:val="24"/>
              </w:rPr>
              <w:t>央行票据</w:t>
            </w:r>
          </w:p>
        </w:tc>
        <w:tc>
          <w:tcPr>
            <w:tcW w:w="2693"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w:t>
            </w:r>
          </w:p>
        </w:tc>
        <w:tc>
          <w:tcPr>
            <w:tcW w:w="2409"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w:t>
            </w:r>
          </w:p>
        </w:tc>
      </w:tr>
      <w:tr w:rsidR="00CA0179" w:rsidRPr="009A7486" w:rsidTr="00C52176">
        <w:trPr>
          <w:trHeight w:val="315"/>
        </w:trPr>
        <w:tc>
          <w:tcPr>
            <w:tcW w:w="1277" w:type="dxa"/>
            <w:vAlign w:val="center"/>
          </w:tcPr>
          <w:p w:rsidR="00CA0179" w:rsidRPr="009A7486" w:rsidRDefault="00CA0179" w:rsidP="00C52176">
            <w:pPr>
              <w:spacing w:before="29" w:line="360" w:lineRule="auto"/>
              <w:ind w:left="17"/>
              <w:jc w:val="center"/>
              <w:rPr>
                <w:rFonts w:eastAsiaTheme="minorEastAsia"/>
                <w:sz w:val="24"/>
              </w:rPr>
            </w:pPr>
            <w:r w:rsidRPr="009A7486">
              <w:rPr>
                <w:rFonts w:eastAsiaTheme="minorEastAsia"/>
                <w:sz w:val="24"/>
              </w:rPr>
              <w:t>3</w:t>
            </w:r>
          </w:p>
        </w:tc>
        <w:tc>
          <w:tcPr>
            <w:tcW w:w="2977" w:type="dxa"/>
            <w:vAlign w:val="center"/>
          </w:tcPr>
          <w:p w:rsidR="00CA0179" w:rsidRPr="009A7486" w:rsidRDefault="00CA0179" w:rsidP="00C52176">
            <w:pPr>
              <w:spacing w:before="29" w:line="360" w:lineRule="auto"/>
              <w:ind w:left="17"/>
              <w:jc w:val="left"/>
              <w:rPr>
                <w:rFonts w:eastAsiaTheme="minorEastAsia"/>
                <w:sz w:val="24"/>
              </w:rPr>
            </w:pPr>
            <w:r w:rsidRPr="009A7486">
              <w:rPr>
                <w:rFonts w:eastAsiaTheme="minorEastAsia"/>
                <w:sz w:val="24"/>
              </w:rPr>
              <w:t>金融债券</w:t>
            </w:r>
          </w:p>
        </w:tc>
        <w:tc>
          <w:tcPr>
            <w:tcW w:w="2693"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810,532,958.19</w:t>
            </w:r>
          </w:p>
        </w:tc>
        <w:tc>
          <w:tcPr>
            <w:tcW w:w="2409"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11.39</w:t>
            </w:r>
          </w:p>
        </w:tc>
      </w:tr>
      <w:tr w:rsidR="00CA0179" w:rsidRPr="009A7486" w:rsidTr="00C52176">
        <w:trPr>
          <w:trHeight w:val="315"/>
        </w:trPr>
        <w:tc>
          <w:tcPr>
            <w:tcW w:w="1277" w:type="dxa"/>
            <w:vAlign w:val="center"/>
          </w:tcPr>
          <w:p w:rsidR="00CA0179" w:rsidRPr="009A7486" w:rsidRDefault="00CA0179" w:rsidP="00C52176">
            <w:pPr>
              <w:spacing w:before="29" w:line="360" w:lineRule="auto"/>
              <w:ind w:left="17"/>
              <w:jc w:val="center"/>
              <w:rPr>
                <w:rFonts w:eastAsiaTheme="minorEastAsia"/>
                <w:sz w:val="24"/>
              </w:rPr>
            </w:pPr>
          </w:p>
        </w:tc>
        <w:tc>
          <w:tcPr>
            <w:tcW w:w="2977" w:type="dxa"/>
            <w:vAlign w:val="center"/>
          </w:tcPr>
          <w:p w:rsidR="00CA0179" w:rsidRPr="009A7486" w:rsidRDefault="00CA0179" w:rsidP="00C52176">
            <w:pPr>
              <w:spacing w:before="29" w:line="360" w:lineRule="auto"/>
              <w:ind w:left="17"/>
              <w:jc w:val="left"/>
              <w:rPr>
                <w:rFonts w:eastAsiaTheme="minorEastAsia"/>
                <w:sz w:val="24"/>
              </w:rPr>
            </w:pPr>
            <w:r w:rsidRPr="009A7486">
              <w:rPr>
                <w:rFonts w:eastAsiaTheme="minorEastAsia"/>
                <w:sz w:val="24"/>
              </w:rPr>
              <w:t>其中：政策性金融债</w:t>
            </w:r>
          </w:p>
        </w:tc>
        <w:tc>
          <w:tcPr>
            <w:tcW w:w="2693"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810,532,958.19</w:t>
            </w:r>
          </w:p>
        </w:tc>
        <w:tc>
          <w:tcPr>
            <w:tcW w:w="2409"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11.39</w:t>
            </w:r>
          </w:p>
        </w:tc>
      </w:tr>
      <w:tr w:rsidR="00CA0179" w:rsidRPr="009A7486" w:rsidTr="00C52176">
        <w:trPr>
          <w:trHeight w:val="315"/>
        </w:trPr>
        <w:tc>
          <w:tcPr>
            <w:tcW w:w="1277" w:type="dxa"/>
            <w:vAlign w:val="center"/>
          </w:tcPr>
          <w:p w:rsidR="00CA0179" w:rsidRPr="009A7486" w:rsidRDefault="00CA0179" w:rsidP="00C52176">
            <w:pPr>
              <w:spacing w:before="29" w:line="360" w:lineRule="auto"/>
              <w:ind w:left="17"/>
              <w:jc w:val="center"/>
              <w:rPr>
                <w:rFonts w:eastAsiaTheme="minorEastAsia"/>
                <w:sz w:val="24"/>
              </w:rPr>
            </w:pPr>
            <w:r w:rsidRPr="009A7486">
              <w:rPr>
                <w:rFonts w:eastAsiaTheme="minorEastAsia"/>
                <w:sz w:val="24"/>
              </w:rPr>
              <w:t>4</w:t>
            </w:r>
          </w:p>
        </w:tc>
        <w:tc>
          <w:tcPr>
            <w:tcW w:w="2977" w:type="dxa"/>
            <w:vAlign w:val="center"/>
          </w:tcPr>
          <w:p w:rsidR="00CA0179" w:rsidRPr="009A7486" w:rsidRDefault="00CA0179" w:rsidP="00C52176">
            <w:pPr>
              <w:spacing w:before="29" w:line="360" w:lineRule="auto"/>
              <w:ind w:left="17"/>
              <w:jc w:val="left"/>
              <w:rPr>
                <w:rFonts w:eastAsiaTheme="minorEastAsia"/>
                <w:sz w:val="24"/>
              </w:rPr>
            </w:pPr>
            <w:r w:rsidRPr="009A7486">
              <w:rPr>
                <w:rFonts w:eastAsiaTheme="minorEastAsia"/>
                <w:sz w:val="24"/>
              </w:rPr>
              <w:t>企业债券</w:t>
            </w:r>
          </w:p>
        </w:tc>
        <w:tc>
          <w:tcPr>
            <w:tcW w:w="2693"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w:t>
            </w:r>
          </w:p>
        </w:tc>
        <w:tc>
          <w:tcPr>
            <w:tcW w:w="2409"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w:t>
            </w:r>
          </w:p>
        </w:tc>
      </w:tr>
      <w:tr w:rsidR="00CA0179" w:rsidRPr="009A7486" w:rsidTr="00C52176">
        <w:trPr>
          <w:trHeight w:val="315"/>
        </w:trPr>
        <w:tc>
          <w:tcPr>
            <w:tcW w:w="1277" w:type="dxa"/>
            <w:vAlign w:val="center"/>
          </w:tcPr>
          <w:p w:rsidR="00CA0179" w:rsidRPr="009A7486" w:rsidRDefault="00CA0179" w:rsidP="00C52176">
            <w:pPr>
              <w:spacing w:before="29" w:line="360" w:lineRule="auto"/>
              <w:ind w:left="17"/>
              <w:jc w:val="center"/>
              <w:rPr>
                <w:rFonts w:eastAsiaTheme="minorEastAsia"/>
                <w:sz w:val="24"/>
              </w:rPr>
            </w:pPr>
            <w:r w:rsidRPr="009A7486">
              <w:rPr>
                <w:rFonts w:eastAsiaTheme="minorEastAsia"/>
                <w:sz w:val="24"/>
              </w:rPr>
              <w:t>5</w:t>
            </w:r>
          </w:p>
        </w:tc>
        <w:tc>
          <w:tcPr>
            <w:tcW w:w="2977" w:type="dxa"/>
            <w:vAlign w:val="center"/>
          </w:tcPr>
          <w:p w:rsidR="00CA0179" w:rsidRPr="009A7486" w:rsidRDefault="00CA0179" w:rsidP="00C52176">
            <w:pPr>
              <w:spacing w:before="29" w:line="360" w:lineRule="auto"/>
              <w:ind w:left="17"/>
              <w:jc w:val="left"/>
              <w:rPr>
                <w:rFonts w:eastAsiaTheme="minorEastAsia"/>
                <w:sz w:val="24"/>
              </w:rPr>
            </w:pPr>
            <w:r w:rsidRPr="009A7486">
              <w:rPr>
                <w:rFonts w:eastAsiaTheme="minorEastAsia"/>
                <w:sz w:val="24"/>
              </w:rPr>
              <w:t>企业短期融资券</w:t>
            </w:r>
          </w:p>
        </w:tc>
        <w:tc>
          <w:tcPr>
            <w:tcW w:w="2693"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2,035,696,243.33</w:t>
            </w:r>
          </w:p>
        </w:tc>
        <w:tc>
          <w:tcPr>
            <w:tcW w:w="2409"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28.60</w:t>
            </w:r>
          </w:p>
        </w:tc>
      </w:tr>
      <w:tr w:rsidR="00CA0179" w:rsidRPr="009A7486" w:rsidTr="00C52176">
        <w:trPr>
          <w:trHeight w:val="315"/>
        </w:trPr>
        <w:tc>
          <w:tcPr>
            <w:tcW w:w="1277" w:type="dxa"/>
            <w:shd w:val="clear" w:color="auto" w:fill="auto"/>
            <w:vAlign w:val="center"/>
          </w:tcPr>
          <w:p w:rsidR="00CA0179" w:rsidRPr="009A7486" w:rsidRDefault="00CA0179" w:rsidP="00C52176">
            <w:pPr>
              <w:spacing w:before="29" w:line="360" w:lineRule="auto"/>
              <w:ind w:left="17"/>
              <w:jc w:val="center"/>
              <w:rPr>
                <w:rFonts w:eastAsiaTheme="minorEastAsia"/>
                <w:sz w:val="24"/>
              </w:rPr>
            </w:pPr>
            <w:r w:rsidRPr="009A7486">
              <w:rPr>
                <w:rFonts w:eastAsiaTheme="minorEastAsia"/>
                <w:sz w:val="24"/>
              </w:rPr>
              <w:t>6</w:t>
            </w:r>
          </w:p>
        </w:tc>
        <w:tc>
          <w:tcPr>
            <w:tcW w:w="2977" w:type="dxa"/>
            <w:shd w:val="clear" w:color="auto" w:fill="auto"/>
            <w:vAlign w:val="center"/>
          </w:tcPr>
          <w:p w:rsidR="00CA0179" w:rsidRPr="009A7486" w:rsidRDefault="00CA0179" w:rsidP="00C52176">
            <w:pPr>
              <w:spacing w:before="29" w:line="360" w:lineRule="auto"/>
              <w:ind w:left="17"/>
              <w:jc w:val="left"/>
              <w:rPr>
                <w:rFonts w:eastAsiaTheme="minorEastAsia"/>
                <w:sz w:val="24"/>
              </w:rPr>
            </w:pPr>
            <w:r w:rsidRPr="009A7486">
              <w:rPr>
                <w:rFonts w:eastAsiaTheme="minorEastAsia"/>
                <w:sz w:val="24"/>
              </w:rPr>
              <w:t>中期票据</w:t>
            </w:r>
          </w:p>
        </w:tc>
        <w:tc>
          <w:tcPr>
            <w:tcW w:w="2693"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w:t>
            </w:r>
          </w:p>
        </w:tc>
        <w:tc>
          <w:tcPr>
            <w:tcW w:w="2409"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w:t>
            </w:r>
          </w:p>
        </w:tc>
      </w:tr>
      <w:tr w:rsidR="00CA0179" w:rsidRPr="009A7486" w:rsidTr="00C52176">
        <w:trPr>
          <w:trHeight w:val="315"/>
        </w:trPr>
        <w:tc>
          <w:tcPr>
            <w:tcW w:w="1277" w:type="dxa"/>
            <w:shd w:val="clear" w:color="auto" w:fill="auto"/>
            <w:vAlign w:val="center"/>
          </w:tcPr>
          <w:p w:rsidR="00CA0179" w:rsidRPr="009A7486" w:rsidRDefault="00CA0179" w:rsidP="00C52176">
            <w:pPr>
              <w:spacing w:before="29" w:line="360" w:lineRule="auto"/>
              <w:ind w:left="17"/>
              <w:jc w:val="center"/>
              <w:rPr>
                <w:rFonts w:eastAsiaTheme="minorEastAsia"/>
                <w:color w:val="000000" w:themeColor="text1"/>
                <w:sz w:val="24"/>
              </w:rPr>
            </w:pPr>
            <w:r w:rsidRPr="009A7486">
              <w:rPr>
                <w:rFonts w:eastAsiaTheme="minorEastAsia"/>
                <w:color w:val="000000" w:themeColor="text1"/>
                <w:sz w:val="24"/>
              </w:rPr>
              <w:t>7</w:t>
            </w:r>
          </w:p>
        </w:tc>
        <w:tc>
          <w:tcPr>
            <w:tcW w:w="2977" w:type="dxa"/>
            <w:shd w:val="clear" w:color="auto" w:fill="auto"/>
            <w:vAlign w:val="center"/>
          </w:tcPr>
          <w:p w:rsidR="00CA0179" w:rsidRPr="009A7486" w:rsidRDefault="00CA0179" w:rsidP="00C52176">
            <w:pPr>
              <w:spacing w:before="29" w:line="360" w:lineRule="auto"/>
              <w:ind w:left="17"/>
              <w:jc w:val="left"/>
              <w:rPr>
                <w:rFonts w:eastAsiaTheme="minorEastAsia"/>
                <w:color w:val="000000" w:themeColor="text1"/>
                <w:sz w:val="24"/>
              </w:rPr>
            </w:pPr>
            <w:r w:rsidRPr="009A7486">
              <w:rPr>
                <w:rFonts w:eastAsiaTheme="minorEastAsia"/>
                <w:color w:val="000000" w:themeColor="text1"/>
                <w:sz w:val="24"/>
              </w:rPr>
              <w:t>同业存单</w:t>
            </w:r>
          </w:p>
        </w:tc>
        <w:tc>
          <w:tcPr>
            <w:tcW w:w="2693" w:type="dxa"/>
            <w:vAlign w:val="center"/>
          </w:tcPr>
          <w:p w:rsidR="00CA0179" w:rsidRPr="009A7486" w:rsidRDefault="00CA0179" w:rsidP="00C52176">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3,735,727,231.22</w:t>
            </w:r>
          </w:p>
        </w:tc>
        <w:tc>
          <w:tcPr>
            <w:tcW w:w="2409" w:type="dxa"/>
            <w:vAlign w:val="center"/>
          </w:tcPr>
          <w:p w:rsidR="00CA0179" w:rsidRPr="009A7486" w:rsidRDefault="00CA0179" w:rsidP="00C52176">
            <w:pPr>
              <w:spacing w:before="29" w:line="360" w:lineRule="auto"/>
              <w:ind w:left="17"/>
              <w:jc w:val="right"/>
              <w:rPr>
                <w:rFonts w:eastAsiaTheme="minorEastAsia"/>
                <w:color w:val="000000" w:themeColor="text1"/>
                <w:sz w:val="24"/>
              </w:rPr>
            </w:pPr>
            <w:r w:rsidRPr="009A7486">
              <w:rPr>
                <w:rFonts w:eastAsiaTheme="minorEastAsia"/>
                <w:color w:val="000000" w:themeColor="text1"/>
                <w:sz w:val="24"/>
              </w:rPr>
              <w:t>52.48</w:t>
            </w:r>
          </w:p>
        </w:tc>
      </w:tr>
      <w:tr w:rsidR="00CA0179" w:rsidRPr="009A7486" w:rsidTr="00C52176">
        <w:trPr>
          <w:trHeight w:val="315"/>
        </w:trPr>
        <w:tc>
          <w:tcPr>
            <w:tcW w:w="1277" w:type="dxa"/>
            <w:vAlign w:val="center"/>
          </w:tcPr>
          <w:p w:rsidR="00CA0179" w:rsidRPr="009A7486" w:rsidRDefault="00CA0179" w:rsidP="00C52176">
            <w:pPr>
              <w:spacing w:before="29" w:line="360" w:lineRule="auto"/>
              <w:ind w:left="17"/>
              <w:jc w:val="center"/>
              <w:rPr>
                <w:rFonts w:eastAsiaTheme="minorEastAsia"/>
                <w:sz w:val="24"/>
              </w:rPr>
            </w:pPr>
            <w:r w:rsidRPr="009A7486">
              <w:rPr>
                <w:rFonts w:eastAsiaTheme="minorEastAsia"/>
                <w:sz w:val="24"/>
              </w:rPr>
              <w:t>8</w:t>
            </w:r>
          </w:p>
        </w:tc>
        <w:tc>
          <w:tcPr>
            <w:tcW w:w="2977" w:type="dxa"/>
            <w:vAlign w:val="center"/>
          </w:tcPr>
          <w:p w:rsidR="00CA0179" w:rsidRPr="009A7486" w:rsidRDefault="00CA0179" w:rsidP="00C52176">
            <w:pPr>
              <w:spacing w:before="29" w:line="360" w:lineRule="auto"/>
              <w:ind w:left="17"/>
              <w:jc w:val="left"/>
              <w:rPr>
                <w:rFonts w:eastAsiaTheme="minorEastAsia"/>
                <w:sz w:val="24"/>
              </w:rPr>
            </w:pPr>
            <w:r w:rsidRPr="009A7486">
              <w:rPr>
                <w:rFonts w:eastAsiaTheme="minorEastAsia"/>
                <w:sz w:val="24"/>
              </w:rPr>
              <w:t>其他</w:t>
            </w:r>
          </w:p>
        </w:tc>
        <w:tc>
          <w:tcPr>
            <w:tcW w:w="2693"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w:t>
            </w:r>
          </w:p>
        </w:tc>
        <w:tc>
          <w:tcPr>
            <w:tcW w:w="2409"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w:t>
            </w:r>
          </w:p>
        </w:tc>
      </w:tr>
      <w:tr w:rsidR="00CA0179" w:rsidRPr="009A7486" w:rsidTr="00C52176">
        <w:trPr>
          <w:trHeight w:val="315"/>
        </w:trPr>
        <w:tc>
          <w:tcPr>
            <w:tcW w:w="1277" w:type="dxa"/>
            <w:vAlign w:val="center"/>
          </w:tcPr>
          <w:p w:rsidR="00CA0179" w:rsidRPr="009A7486" w:rsidRDefault="00CA0179" w:rsidP="00C52176">
            <w:pPr>
              <w:spacing w:before="29" w:line="360" w:lineRule="auto"/>
              <w:ind w:left="17"/>
              <w:jc w:val="center"/>
              <w:rPr>
                <w:rFonts w:eastAsiaTheme="minorEastAsia"/>
                <w:sz w:val="24"/>
              </w:rPr>
            </w:pPr>
            <w:r w:rsidRPr="009A7486">
              <w:rPr>
                <w:rFonts w:eastAsiaTheme="minorEastAsia"/>
                <w:sz w:val="24"/>
              </w:rPr>
              <w:t>9</w:t>
            </w:r>
          </w:p>
        </w:tc>
        <w:tc>
          <w:tcPr>
            <w:tcW w:w="2977" w:type="dxa"/>
            <w:vAlign w:val="center"/>
          </w:tcPr>
          <w:p w:rsidR="00CA0179" w:rsidRPr="009A7486" w:rsidRDefault="00CA0179" w:rsidP="00C52176">
            <w:pPr>
              <w:spacing w:before="29" w:line="360" w:lineRule="auto"/>
              <w:ind w:left="17"/>
              <w:jc w:val="left"/>
              <w:rPr>
                <w:rFonts w:eastAsiaTheme="minorEastAsia"/>
                <w:sz w:val="24"/>
              </w:rPr>
            </w:pPr>
            <w:r w:rsidRPr="009A7486">
              <w:rPr>
                <w:rFonts w:eastAsiaTheme="minorEastAsia"/>
                <w:sz w:val="24"/>
              </w:rPr>
              <w:t>合计</w:t>
            </w:r>
          </w:p>
        </w:tc>
        <w:tc>
          <w:tcPr>
            <w:tcW w:w="2693"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6,581,956,432.74</w:t>
            </w:r>
          </w:p>
        </w:tc>
        <w:tc>
          <w:tcPr>
            <w:tcW w:w="2409" w:type="dxa"/>
            <w:vAlign w:val="center"/>
          </w:tcPr>
          <w:p w:rsidR="00CA0179" w:rsidRPr="009A7486" w:rsidRDefault="00CA0179" w:rsidP="00C52176">
            <w:pPr>
              <w:spacing w:before="29" w:line="360" w:lineRule="auto"/>
              <w:ind w:left="17"/>
              <w:jc w:val="right"/>
              <w:rPr>
                <w:rFonts w:eastAsiaTheme="minorEastAsia"/>
                <w:sz w:val="24"/>
              </w:rPr>
            </w:pPr>
            <w:r w:rsidRPr="009A7486">
              <w:rPr>
                <w:rFonts w:eastAsiaTheme="minorEastAsia"/>
                <w:sz w:val="24"/>
              </w:rPr>
              <w:t>92.46</w:t>
            </w:r>
          </w:p>
        </w:tc>
      </w:tr>
      <w:tr w:rsidR="00CA0179" w:rsidRPr="009A7486" w:rsidTr="00C52176">
        <w:trPr>
          <w:trHeight w:val="315"/>
        </w:trPr>
        <w:tc>
          <w:tcPr>
            <w:tcW w:w="1277" w:type="dxa"/>
            <w:vAlign w:val="center"/>
          </w:tcPr>
          <w:p w:rsidR="00CA0179" w:rsidRPr="009A7486" w:rsidRDefault="00CA0179" w:rsidP="00C52176">
            <w:pPr>
              <w:jc w:val="center"/>
              <w:rPr>
                <w:rFonts w:eastAsiaTheme="minorEastAsia"/>
                <w:sz w:val="24"/>
              </w:rPr>
            </w:pPr>
            <w:r w:rsidRPr="009A7486">
              <w:rPr>
                <w:rFonts w:eastAsiaTheme="minorEastAsia"/>
                <w:sz w:val="24"/>
              </w:rPr>
              <w:t>10</w:t>
            </w:r>
          </w:p>
        </w:tc>
        <w:tc>
          <w:tcPr>
            <w:tcW w:w="2977" w:type="dxa"/>
            <w:vAlign w:val="center"/>
          </w:tcPr>
          <w:p w:rsidR="00CA0179" w:rsidRPr="009A7486" w:rsidRDefault="00CA0179" w:rsidP="00C52176">
            <w:pPr>
              <w:rPr>
                <w:rFonts w:eastAsiaTheme="minorEastAsia"/>
                <w:sz w:val="24"/>
              </w:rPr>
            </w:pPr>
            <w:r w:rsidRPr="009A7486">
              <w:rPr>
                <w:rFonts w:eastAsiaTheme="minorEastAsia"/>
                <w:sz w:val="24"/>
              </w:rPr>
              <w:t>剩余存续期超过</w:t>
            </w:r>
            <w:r w:rsidRPr="009A7486">
              <w:rPr>
                <w:rFonts w:eastAsiaTheme="minorEastAsia"/>
                <w:sz w:val="24"/>
              </w:rPr>
              <w:t>397</w:t>
            </w:r>
            <w:r w:rsidRPr="009A7486">
              <w:rPr>
                <w:rFonts w:eastAsiaTheme="minorEastAsia"/>
                <w:sz w:val="24"/>
              </w:rPr>
              <w:t>天的浮动利率债券</w:t>
            </w:r>
          </w:p>
        </w:tc>
        <w:tc>
          <w:tcPr>
            <w:tcW w:w="2693" w:type="dxa"/>
            <w:vAlign w:val="center"/>
          </w:tcPr>
          <w:p w:rsidR="00CA0179" w:rsidRPr="009A7486" w:rsidRDefault="00CA0179" w:rsidP="00C52176">
            <w:pPr>
              <w:jc w:val="right"/>
              <w:rPr>
                <w:rFonts w:eastAsiaTheme="minorEastAsia"/>
                <w:sz w:val="24"/>
              </w:rPr>
            </w:pPr>
            <w:r w:rsidRPr="009A7486">
              <w:rPr>
                <w:rFonts w:eastAsiaTheme="minorEastAsia"/>
                <w:sz w:val="24"/>
              </w:rPr>
              <w:t>-</w:t>
            </w:r>
          </w:p>
        </w:tc>
        <w:tc>
          <w:tcPr>
            <w:tcW w:w="2409" w:type="dxa"/>
            <w:vAlign w:val="center"/>
          </w:tcPr>
          <w:p w:rsidR="00CA0179" w:rsidRPr="009A7486" w:rsidRDefault="00CA0179" w:rsidP="00C52176">
            <w:pPr>
              <w:jc w:val="right"/>
              <w:rPr>
                <w:rFonts w:eastAsiaTheme="minorEastAsia"/>
                <w:sz w:val="24"/>
              </w:rPr>
            </w:pPr>
            <w:r w:rsidRPr="009A7486">
              <w:rPr>
                <w:rFonts w:eastAsiaTheme="minorEastAsia"/>
                <w:sz w:val="24"/>
              </w:rPr>
              <w:t>-</w:t>
            </w:r>
          </w:p>
        </w:tc>
      </w:tr>
    </w:tbl>
    <w:p w:rsidR="00CA0179" w:rsidRPr="009A7486" w:rsidRDefault="00CA0179" w:rsidP="002855D4">
      <w:pPr>
        <w:pStyle w:val="20"/>
        <w:spacing w:beforeLines="100" w:after="0"/>
        <w:rPr>
          <w:rFonts w:ascii="Times New Roman" w:eastAsiaTheme="minorEastAsia" w:hAnsi="Times New Roman" w:cs="Times New Roman"/>
          <w:kern w:val="0"/>
          <w:szCs w:val="24"/>
        </w:rPr>
      </w:pPr>
      <w:bookmarkStart w:id="23" w:name="_Toc331410107"/>
      <w:bookmarkStart w:id="24" w:name="_Toc374603927"/>
      <w:r w:rsidRPr="009A7486">
        <w:rPr>
          <w:rFonts w:ascii="Times New Roman" w:eastAsiaTheme="minorEastAsia" w:hAnsi="Times New Roman" w:cs="Times New Roman"/>
          <w:kern w:val="0"/>
          <w:szCs w:val="24"/>
        </w:rPr>
        <w:t>8.6</w:t>
      </w:r>
      <w:bookmarkEnd w:id="23"/>
      <w:r w:rsidRPr="009A7486">
        <w:rPr>
          <w:rFonts w:ascii="Times New Roman" w:eastAsiaTheme="minorEastAsia" w:hAnsi="Times New Roman" w:cs="Times New Roman"/>
          <w:kern w:val="0"/>
          <w:szCs w:val="24"/>
        </w:rPr>
        <w:t>期末按摊余成本占基金资产净值比例大小排名的前十名债券投资明细</w:t>
      </w:r>
      <w:bookmarkEnd w:id="24"/>
    </w:p>
    <w:p w:rsidR="00CA0179" w:rsidRPr="009A7486" w:rsidRDefault="00CA0179" w:rsidP="00CA0179">
      <w:pPr>
        <w:autoSpaceDE w:val="0"/>
        <w:autoSpaceDN w:val="0"/>
        <w:adjustRightInd w:val="0"/>
        <w:spacing w:before="29" w:line="288" w:lineRule="auto"/>
        <w:ind w:left="15"/>
        <w:jc w:val="right"/>
        <w:rPr>
          <w:rFonts w:eastAsiaTheme="minorEastAsia"/>
          <w:sz w:val="24"/>
        </w:rPr>
      </w:pPr>
      <w:r w:rsidRPr="009A7486">
        <w:rPr>
          <w:rFonts w:eastAsiaTheme="minorEastAsia"/>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768"/>
        <w:gridCol w:w="1329"/>
        <w:gridCol w:w="1762"/>
        <w:gridCol w:w="1731"/>
        <w:gridCol w:w="1980"/>
        <w:gridCol w:w="1520"/>
      </w:tblGrid>
      <w:tr w:rsidR="00CA0179" w:rsidRPr="009A7486" w:rsidTr="00C52176">
        <w:trPr>
          <w:trHeight w:val="286"/>
        </w:trPr>
        <w:tc>
          <w:tcPr>
            <w:tcW w:w="768" w:type="dxa"/>
            <w:vAlign w:val="center"/>
          </w:tcPr>
          <w:p w:rsidR="00CA0179" w:rsidRPr="009A7486" w:rsidRDefault="00CA0179" w:rsidP="00C52176">
            <w:pPr>
              <w:jc w:val="center"/>
              <w:rPr>
                <w:rFonts w:eastAsiaTheme="minorEastAsia"/>
                <w:sz w:val="24"/>
              </w:rPr>
            </w:pPr>
            <w:r w:rsidRPr="009A7486">
              <w:rPr>
                <w:rFonts w:eastAsiaTheme="minorEastAsia"/>
                <w:sz w:val="24"/>
              </w:rPr>
              <w:t>序号</w:t>
            </w:r>
          </w:p>
        </w:tc>
        <w:tc>
          <w:tcPr>
            <w:tcW w:w="1329" w:type="dxa"/>
            <w:vAlign w:val="center"/>
          </w:tcPr>
          <w:p w:rsidR="00CA0179" w:rsidRPr="009A7486" w:rsidRDefault="00CA0179" w:rsidP="00C52176">
            <w:pPr>
              <w:jc w:val="center"/>
              <w:rPr>
                <w:rFonts w:eastAsiaTheme="minorEastAsia"/>
                <w:sz w:val="24"/>
              </w:rPr>
            </w:pPr>
            <w:r w:rsidRPr="009A7486">
              <w:rPr>
                <w:rFonts w:eastAsiaTheme="minorEastAsia"/>
                <w:sz w:val="24"/>
              </w:rPr>
              <w:t>债券代码</w:t>
            </w:r>
          </w:p>
        </w:tc>
        <w:tc>
          <w:tcPr>
            <w:tcW w:w="1762" w:type="dxa"/>
            <w:tcMar>
              <w:top w:w="15" w:type="dxa"/>
              <w:left w:w="15" w:type="dxa"/>
              <w:bottom w:w="0" w:type="dxa"/>
              <w:right w:w="15" w:type="dxa"/>
            </w:tcMar>
            <w:vAlign w:val="center"/>
          </w:tcPr>
          <w:p w:rsidR="00CA0179" w:rsidRPr="009A7486" w:rsidRDefault="00CA0179" w:rsidP="00C52176">
            <w:pPr>
              <w:jc w:val="center"/>
              <w:rPr>
                <w:rFonts w:eastAsiaTheme="minorEastAsia"/>
                <w:sz w:val="24"/>
              </w:rPr>
            </w:pPr>
            <w:r w:rsidRPr="009A7486">
              <w:rPr>
                <w:rFonts w:eastAsiaTheme="minorEastAsia"/>
                <w:sz w:val="24"/>
              </w:rPr>
              <w:t>债券名称</w:t>
            </w:r>
          </w:p>
        </w:tc>
        <w:tc>
          <w:tcPr>
            <w:tcW w:w="1731" w:type="dxa"/>
            <w:tcMar>
              <w:top w:w="15" w:type="dxa"/>
              <w:left w:w="15" w:type="dxa"/>
              <w:bottom w:w="0" w:type="dxa"/>
              <w:right w:w="15" w:type="dxa"/>
            </w:tcMar>
            <w:vAlign w:val="center"/>
          </w:tcPr>
          <w:p w:rsidR="00CA0179" w:rsidRPr="009A7486" w:rsidRDefault="00CA0179" w:rsidP="00C52176">
            <w:pPr>
              <w:jc w:val="center"/>
              <w:rPr>
                <w:rFonts w:eastAsiaTheme="minorEastAsia"/>
                <w:sz w:val="24"/>
              </w:rPr>
            </w:pPr>
            <w:r w:rsidRPr="009A7486">
              <w:rPr>
                <w:rFonts w:eastAsiaTheme="minorEastAsia"/>
                <w:kern w:val="0"/>
                <w:sz w:val="24"/>
              </w:rPr>
              <w:t>债券数量</w:t>
            </w:r>
            <w:r w:rsidRPr="009A7486">
              <w:rPr>
                <w:rFonts w:eastAsiaTheme="minorEastAsia"/>
                <w:kern w:val="0"/>
                <w:sz w:val="24"/>
              </w:rPr>
              <w:t>(</w:t>
            </w:r>
            <w:r w:rsidRPr="009A7486">
              <w:rPr>
                <w:rFonts w:eastAsiaTheme="minorEastAsia"/>
                <w:kern w:val="0"/>
                <w:sz w:val="24"/>
              </w:rPr>
              <w:t>张</w:t>
            </w:r>
            <w:r w:rsidRPr="009A7486">
              <w:rPr>
                <w:rFonts w:eastAsiaTheme="minorEastAsia"/>
                <w:kern w:val="0"/>
                <w:sz w:val="24"/>
              </w:rPr>
              <w:t>)</w:t>
            </w:r>
          </w:p>
        </w:tc>
        <w:tc>
          <w:tcPr>
            <w:tcW w:w="1980" w:type="dxa"/>
            <w:tcMar>
              <w:top w:w="15" w:type="dxa"/>
              <w:left w:w="15" w:type="dxa"/>
              <w:bottom w:w="0" w:type="dxa"/>
              <w:right w:w="15" w:type="dxa"/>
            </w:tcMar>
            <w:vAlign w:val="center"/>
          </w:tcPr>
          <w:p w:rsidR="00CA0179" w:rsidRPr="009A7486" w:rsidRDefault="00CA0179" w:rsidP="00C52176">
            <w:pPr>
              <w:jc w:val="center"/>
              <w:rPr>
                <w:rFonts w:eastAsiaTheme="minorEastAsia"/>
                <w:sz w:val="24"/>
              </w:rPr>
            </w:pPr>
            <w:r w:rsidRPr="009A7486">
              <w:rPr>
                <w:rFonts w:eastAsiaTheme="minorEastAsia"/>
                <w:sz w:val="24"/>
              </w:rPr>
              <w:t>摊余成本</w:t>
            </w:r>
          </w:p>
        </w:tc>
        <w:tc>
          <w:tcPr>
            <w:tcW w:w="1520" w:type="dxa"/>
            <w:tcMar>
              <w:top w:w="15" w:type="dxa"/>
              <w:left w:w="15" w:type="dxa"/>
              <w:bottom w:w="0" w:type="dxa"/>
              <w:right w:w="15" w:type="dxa"/>
            </w:tcMar>
            <w:vAlign w:val="center"/>
          </w:tcPr>
          <w:p w:rsidR="00CA0179" w:rsidRPr="009A7486" w:rsidRDefault="00CA0179" w:rsidP="00C52176">
            <w:pPr>
              <w:jc w:val="center"/>
              <w:rPr>
                <w:rFonts w:eastAsiaTheme="minorEastAsia"/>
                <w:sz w:val="24"/>
              </w:rPr>
            </w:pPr>
            <w:r w:rsidRPr="009A7486">
              <w:rPr>
                <w:rFonts w:eastAsiaTheme="minorEastAsia"/>
                <w:sz w:val="24"/>
              </w:rPr>
              <w:t>占基金资产净</w:t>
            </w:r>
          </w:p>
          <w:p w:rsidR="00CA0179" w:rsidRPr="009A7486" w:rsidRDefault="00CA0179" w:rsidP="00C52176">
            <w:pPr>
              <w:jc w:val="center"/>
              <w:rPr>
                <w:rFonts w:eastAsiaTheme="minorEastAsia"/>
                <w:sz w:val="24"/>
              </w:rPr>
            </w:pPr>
            <w:r w:rsidRPr="009A7486">
              <w:rPr>
                <w:rFonts w:eastAsiaTheme="minorEastAsia"/>
                <w:sz w:val="24"/>
              </w:rPr>
              <w:t>值比例（％）</w:t>
            </w:r>
          </w:p>
        </w:tc>
      </w:tr>
      <w:tr w:rsidR="005C48D6">
        <w:tc>
          <w:tcPr>
            <w:tcW w:w="768" w:type="dxa"/>
            <w:vAlign w:val="center"/>
          </w:tcPr>
          <w:p w:rsidR="005C48D6" w:rsidRDefault="008F0294">
            <w:pPr>
              <w:jc w:val="center"/>
            </w:pPr>
            <w:r>
              <w:rPr>
                <w:rFonts w:eastAsiaTheme="minorEastAsia"/>
                <w:sz w:val="24"/>
              </w:rPr>
              <w:t>1</w:t>
            </w:r>
          </w:p>
        </w:tc>
        <w:tc>
          <w:tcPr>
            <w:tcW w:w="1329" w:type="dxa"/>
            <w:vAlign w:val="center"/>
          </w:tcPr>
          <w:p w:rsidR="005C48D6" w:rsidRDefault="008F0294">
            <w:pPr>
              <w:jc w:val="center"/>
            </w:pPr>
            <w:r>
              <w:rPr>
                <w:rFonts w:eastAsiaTheme="minorEastAsia"/>
                <w:sz w:val="24"/>
              </w:rPr>
              <w:t>111804086</w:t>
            </w:r>
          </w:p>
        </w:tc>
        <w:tc>
          <w:tcPr>
            <w:tcW w:w="1762" w:type="dxa"/>
            <w:vAlign w:val="center"/>
          </w:tcPr>
          <w:p w:rsidR="005C48D6" w:rsidRDefault="008F0294">
            <w:pPr>
              <w:jc w:val="center"/>
            </w:pPr>
            <w:r>
              <w:rPr>
                <w:rFonts w:eastAsiaTheme="minorEastAsia"/>
                <w:sz w:val="24"/>
              </w:rPr>
              <w:t>18</w:t>
            </w:r>
            <w:r>
              <w:rPr>
                <w:rFonts w:eastAsiaTheme="minorEastAsia"/>
                <w:sz w:val="24"/>
              </w:rPr>
              <w:t>中国银行</w:t>
            </w:r>
            <w:r>
              <w:rPr>
                <w:rFonts w:eastAsiaTheme="minorEastAsia"/>
                <w:sz w:val="24"/>
              </w:rPr>
              <w:t>CD086</w:t>
            </w:r>
          </w:p>
        </w:tc>
        <w:tc>
          <w:tcPr>
            <w:tcW w:w="1731" w:type="dxa"/>
            <w:vAlign w:val="center"/>
          </w:tcPr>
          <w:p w:rsidR="005C48D6" w:rsidRDefault="008F0294">
            <w:pPr>
              <w:jc w:val="right"/>
            </w:pPr>
            <w:r>
              <w:rPr>
                <w:rFonts w:eastAsiaTheme="minorEastAsia"/>
                <w:sz w:val="24"/>
              </w:rPr>
              <w:t>5,000,000.00</w:t>
            </w:r>
          </w:p>
        </w:tc>
        <w:tc>
          <w:tcPr>
            <w:tcW w:w="1980" w:type="dxa"/>
            <w:vAlign w:val="center"/>
          </w:tcPr>
          <w:p w:rsidR="005C48D6" w:rsidRDefault="008F0294">
            <w:pPr>
              <w:jc w:val="right"/>
            </w:pPr>
            <w:r>
              <w:rPr>
                <w:rFonts w:eastAsiaTheme="minorEastAsia"/>
                <w:sz w:val="24"/>
              </w:rPr>
              <w:t>497,323,376.83</w:t>
            </w:r>
          </w:p>
        </w:tc>
        <w:tc>
          <w:tcPr>
            <w:tcW w:w="1520" w:type="dxa"/>
            <w:vAlign w:val="center"/>
          </w:tcPr>
          <w:p w:rsidR="005C48D6" w:rsidRDefault="008F0294">
            <w:pPr>
              <w:jc w:val="right"/>
            </w:pPr>
            <w:r>
              <w:rPr>
                <w:rFonts w:eastAsiaTheme="minorEastAsia"/>
                <w:sz w:val="24"/>
              </w:rPr>
              <w:t>6.99</w:t>
            </w:r>
          </w:p>
        </w:tc>
      </w:tr>
      <w:tr w:rsidR="005C48D6">
        <w:tc>
          <w:tcPr>
            <w:tcW w:w="768" w:type="dxa"/>
            <w:vAlign w:val="center"/>
          </w:tcPr>
          <w:p w:rsidR="005C48D6" w:rsidRDefault="008F0294">
            <w:pPr>
              <w:jc w:val="center"/>
            </w:pPr>
            <w:r>
              <w:rPr>
                <w:rFonts w:eastAsiaTheme="minorEastAsia"/>
                <w:sz w:val="24"/>
              </w:rPr>
              <w:t>2</w:t>
            </w:r>
          </w:p>
        </w:tc>
        <w:tc>
          <w:tcPr>
            <w:tcW w:w="1329" w:type="dxa"/>
            <w:vAlign w:val="center"/>
          </w:tcPr>
          <w:p w:rsidR="005C48D6" w:rsidRDefault="008F0294">
            <w:pPr>
              <w:jc w:val="center"/>
            </w:pPr>
            <w:r>
              <w:rPr>
                <w:rFonts w:eastAsiaTheme="minorEastAsia"/>
                <w:sz w:val="24"/>
              </w:rPr>
              <w:t>180404</w:t>
            </w:r>
          </w:p>
        </w:tc>
        <w:tc>
          <w:tcPr>
            <w:tcW w:w="1762" w:type="dxa"/>
            <w:vAlign w:val="center"/>
          </w:tcPr>
          <w:p w:rsidR="005C48D6" w:rsidRDefault="008F0294">
            <w:pPr>
              <w:jc w:val="center"/>
            </w:pPr>
            <w:r>
              <w:rPr>
                <w:rFonts w:eastAsiaTheme="minorEastAsia"/>
                <w:sz w:val="24"/>
              </w:rPr>
              <w:t>18</w:t>
            </w:r>
            <w:r>
              <w:rPr>
                <w:rFonts w:eastAsiaTheme="minorEastAsia"/>
                <w:sz w:val="24"/>
              </w:rPr>
              <w:t>农发</w:t>
            </w:r>
            <w:r>
              <w:rPr>
                <w:rFonts w:eastAsiaTheme="minorEastAsia"/>
                <w:sz w:val="24"/>
              </w:rPr>
              <w:t>04</w:t>
            </w:r>
          </w:p>
        </w:tc>
        <w:tc>
          <w:tcPr>
            <w:tcW w:w="1731" w:type="dxa"/>
            <w:vAlign w:val="center"/>
          </w:tcPr>
          <w:p w:rsidR="005C48D6" w:rsidRDefault="008F0294">
            <w:pPr>
              <w:jc w:val="right"/>
            </w:pPr>
            <w:r>
              <w:rPr>
                <w:rFonts w:eastAsiaTheme="minorEastAsia"/>
                <w:sz w:val="24"/>
              </w:rPr>
              <w:t>3,500,000.00</w:t>
            </w:r>
          </w:p>
        </w:tc>
        <w:tc>
          <w:tcPr>
            <w:tcW w:w="1980" w:type="dxa"/>
            <w:vAlign w:val="center"/>
          </w:tcPr>
          <w:p w:rsidR="005C48D6" w:rsidRDefault="008F0294">
            <w:pPr>
              <w:jc w:val="right"/>
            </w:pPr>
            <w:r>
              <w:rPr>
                <w:rFonts w:eastAsiaTheme="minorEastAsia"/>
                <w:sz w:val="24"/>
              </w:rPr>
              <w:t>350,303,821.93</w:t>
            </w:r>
          </w:p>
        </w:tc>
        <w:tc>
          <w:tcPr>
            <w:tcW w:w="1520" w:type="dxa"/>
            <w:vAlign w:val="center"/>
          </w:tcPr>
          <w:p w:rsidR="005C48D6" w:rsidRDefault="008F0294">
            <w:pPr>
              <w:jc w:val="right"/>
            </w:pPr>
            <w:r>
              <w:rPr>
                <w:rFonts w:eastAsiaTheme="minorEastAsia"/>
                <w:sz w:val="24"/>
              </w:rPr>
              <w:t>4.92</w:t>
            </w:r>
          </w:p>
        </w:tc>
      </w:tr>
      <w:tr w:rsidR="005C48D6">
        <w:tc>
          <w:tcPr>
            <w:tcW w:w="768" w:type="dxa"/>
            <w:vAlign w:val="center"/>
          </w:tcPr>
          <w:p w:rsidR="005C48D6" w:rsidRDefault="008F0294">
            <w:pPr>
              <w:jc w:val="center"/>
            </w:pPr>
            <w:r>
              <w:rPr>
                <w:rFonts w:eastAsiaTheme="minorEastAsia"/>
                <w:sz w:val="24"/>
              </w:rPr>
              <w:t>3</w:t>
            </w:r>
          </w:p>
        </w:tc>
        <w:tc>
          <w:tcPr>
            <w:tcW w:w="1329" w:type="dxa"/>
            <w:vAlign w:val="center"/>
          </w:tcPr>
          <w:p w:rsidR="005C48D6" w:rsidRDefault="008F0294">
            <w:pPr>
              <w:jc w:val="center"/>
            </w:pPr>
            <w:r>
              <w:rPr>
                <w:rFonts w:eastAsiaTheme="minorEastAsia"/>
                <w:sz w:val="24"/>
              </w:rPr>
              <w:t>111809077</w:t>
            </w:r>
          </w:p>
        </w:tc>
        <w:tc>
          <w:tcPr>
            <w:tcW w:w="1762" w:type="dxa"/>
            <w:vAlign w:val="center"/>
          </w:tcPr>
          <w:p w:rsidR="005C48D6" w:rsidRDefault="008F0294">
            <w:pPr>
              <w:jc w:val="center"/>
            </w:pPr>
            <w:r>
              <w:rPr>
                <w:rFonts w:eastAsiaTheme="minorEastAsia"/>
                <w:sz w:val="24"/>
              </w:rPr>
              <w:t>18</w:t>
            </w:r>
            <w:r>
              <w:rPr>
                <w:rFonts w:eastAsiaTheme="minorEastAsia"/>
                <w:sz w:val="24"/>
              </w:rPr>
              <w:t>浦发银行</w:t>
            </w:r>
            <w:r>
              <w:rPr>
                <w:rFonts w:eastAsiaTheme="minorEastAsia"/>
                <w:sz w:val="24"/>
              </w:rPr>
              <w:t>CD077</w:t>
            </w:r>
          </w:p>
        </w:tc>
        <w:tc>
          <w:tcPr>
            <w:tcW w:w="1731" w:type="dxa"/>
            <w:vAlign w:val="center"/>
          </w:tcPr>
          <w:p w:rsidR="005C48D6" w:rsidRDefault="008F0294">
            <w:pPr>
              <w:jc w:val="right"/>
            </w:pPr>
            <w:r>
              <w:rPr>
                <w:rFonts w:eastAsiaTheme="minorEastAsia"/>
                <w:sz w:val="24"/>
              </w:rPr>
              <w:t>3,000,000.00</w:t>
            </w:r>
          </w:p>
        </w:tc>
        <w:tc>
          <w:tcPr>
            <w:tcW w:w="1980" w:type="dxa"/>
            <w:vAlign w:val="center"/>
          </w:tcPr>
          <w:p w:rsidR="005C48D6" w:rsidRDefault="008F0294">
            <w:pPr>
              <w:jc w:val="right"/>
            </w:pPr>
            <w:r>
              <w:rPr>
                <w:rFonts w:eastAsiaTheme="minorEastAsia"/>
                <w:sz w:val="24"/>
              </w:rPr>
              <w:t>300,000,000.00</w:t>
            </w:r>
          </w:p>
        </w:tc>
        <w:tc>
          <w:tcPr>
            <w:tcW w:w="1520" w:type="dxa"/>
            <w:vAlign w:val="center"/>
          </w:tcPr>
          <w:p w:rsidR="005C48D6" w:rsidRDefault="008F0294">
            <w:pPr>
              <w:jc w:val="right"/>
            </w:pPr>
            <w:r>
              <w:rPr>
                <w:rFonts w:eastAsiaTheme="minorEastAsia"/>
                <w:sz w:val="24"/>
              </w:rPr>
              <w:t>4.21</w:t>
            </w:r>
          </w:p>
        </w:tc>
      </w:tr>
      <w:tr w:rsidR="005C48D6">
        <w:tc>
          <w:tcPr>
            <w:tcW w:w="768" w:type="dxa"/>
            <w:vAlign w:val="center"/>
          </w:tcPr>
          <w:p w:rsidR="005C48D6" w:rsidRDefault="008F0294">
            <w:pPr>
              <w:jc w:val="center"/>
            </w:pPr>
            <w:r>
              <w:rPr>
                <w:rFonts w:eastAsiaTheme="minorEastAsia"/>
                <w:sz w:val="24"/>
              </w:rPr>
              <w:t>4</w:t>
            </w:r>
          </w:p>
        </w:tc>
        <w:tc>
          <w:tcPr>
            <w:tcW w:w="1329" w:type="dxa"/>
            <w:vAlign w:val="center"/>
          </w:tcPr>
          <w:p w:rsidR="005C48D6" w:rsidRDefault="008F0294">
            <w:pPr>
              <w:jc w:val="center"/>
            </w:pPr>
            <w:r>
              <w:rPr>
                <w:rFonts w:eastAsiaTheme="minorEastAsia"/>
                <w:sz w:val="24"/>
              </w:rPr>
              <w:t>111806216</w:t>
            </w:r>
          </w:p>
        </w:tc>
        <w:tc>
          <w:tcPr>
            <w:tcW w:w="1762" w:type="dxa"/>
            <w:vAlign w:val="center"/>
          </w:tcPr>
          <w:p w:rsidR="005C48D6" w:rsidRDefault="008F0294">
            <w:pPr>
              <w:jc w:val="center"/>
            </w:pPr>
            <w:r>
              <w:rPr>
                <w:rFonts w:eastAsiaTheme="minorEastAsia"/>
                <w:sz w:val="24"/>
              </w:rPr>
              <w:t>18</w:t>
            </w:r>
            <w:r>
              <w:rPr>
                <w:rFonts w:eastAsiaTheme="minorEastAsia"/>
                <w:sz w:val="24"/>
              </w:rPr>
              <w:t>交通银行</w:t>
            </w:r>
            <w:r>
              <w:rPr>
                <w:rFonts w:eastAsiaTheme="minorEastAsia"/>
                <w:sz w:val="24"/>
              </w:rPr>
              <w:t>CD216</w:t>
            </w:r>
          </w:p>
        </w:tc>
        <w:tc>
          <w:tcPr>
            <w:tcW w:w="1731" w:type="dxa"/>
            <w:vAlign w:val="center"/>
          </w:tcPr>
          <w:p w:rsidR="005C48D6" w:rsidRDefault="008F0294">
            <w:pPr>
              <w:jc w:val="right"/>
            </w:pPr>
            <w:r>
              <w:rPr>
                <w:rFonts w:eastAsiaTheme="minorEastAsia"/>
                <w:sz w:val="24"/>
              </w:rPr>
              <w:t>3,000,000.00</w:t>
            </w:r>
          </w:p>
        </w:tc>
        <w:tc>
          <w:tcPr>
            <w:tcW w:w="1980" w:type="dxa"/>
            <w:vAlign w:val="center"/>
          </w:tcPr>
          <w:p w:rsidR="005C48D6" w:rsidRDefault="008F0294">
            <w:pPr>
              <w:jc w:val="right"/>
            </w:pPr>
            <w:r>
              <w:rPr>
                <w:rFonts w:eastAsiaTheme="minorEastAsia"/>
                <w:sz w:val="24"/>
              </w:rPr>
              <w:t>297,799,687.96</w:t>
            </w:r>
          </w:p>
        </w:tc>
        <w:tc>
          <w:tcPr>
            <w:tcW w:w="1520" w:type="dxa"/>
            <w:vAlign w:val="center"/>
          </w:tcPr>
          <w:p w:rsidR="005C48D6" w:rsidRDefault="008F0294">
            <w:pPr>
              <w:jc w:val="right"/>
            </w:pPr>
            <w:r>
              <w:rPr>
                <w:rFonts w:eastAsiaTheme="minorEastAsia"/>
                <w:sz w:val="24"/>
              </w:rPr>
              <w:t>4.18</w:t>
            </w:r>
          </w:p>
        </w:tc>
      </w:tr>
      <w:tr w:rsidR="005C48D6">
        <w:tc>
          <w:tcPr>
            <w:tcW w:w="768" w:type="dxa"/>
            <w:vAlign w:val="center"/>
          </w:tcPr>
          <w:p w:rsidR="005C48D6" w:rsidRDefault="008F0294">
            <w:pPr>
              <w:jc w:val="center"/>
            </w:pPr>
            <w:r>
              <w:rPr>
                <w:rFonts w:eastAsiaTheme="minorEastAsia"/>
                <w:sz w:val="24"/>
              </w:rPr>
              <w:t>5</w:t>
            </w:r>
          </w:p>
        </w:tc>
        <w:tc>
          <w:tcPr>
            <w:tcW w:w="1329" w:type="dxa"/>
            <w:vAlign w:val="center"/>
          </w:tcPr>
          <w:p w:rsidR="005C48D6" w:rsidRDefault="008F0294">
            <w:pPr>
              <w:jc w:val="center"/>
            </w:pPr>
            <w:r>
              <w:rPr>
                <w:rFonts w:eastAsiaTheme="minorEastAsia"/>
                <w:sz w:val="24"/>
              </w:rPr>
              <w:t>011801096</w:t>
            </w:r>
          </w:p>
        </w:tc>
        <w:tc>
          <w:tcPr>
            <w:tcW w:w="1762" w:type="dxa"/>
            <w:vAlign w:val="center"/>
          </w:tcPr>
          <w:p w:rsidR="005C48D6" w:rsidRDefault="008F0294">
            <w:pPr>
              <w:jc w:val="center"/>
            </w:pPr>
            <w:r>
              <w:rPr>
                <w:rFonts w:eastAsiaTheme="minorEastAsia"/>
                <w:sz w:val="24"/>
              </w:rPr>
              <w:t>18</w:t>
            </w:r>
            <w:r>
              <w:rPr>
                <w:rFonts w:eastAsiaTheme="minorEastAsia"/>
                <w:sz w:val="24"/>
              </w:rPr>
              <w:t>大唐发电</w:t>
            </w:r>
            <w:r>
              <w:rPr>
                <w:rFonts w:eastAsiaTheme="minorEastAsia"/>
                <w:sz w:val="24"/>
              </w:rPr>
              <w:t>SCP002</w:t>
            </w:r>
          </w:p>
        </w:tc>
        <w:tc>
          <w:tcPr>
            <w:tcW w:w="1731" w:type="dxa"/>
            <w:vAlign w:val="center"/>
          </w:tcPr>
          <w:p w:rsidR="005C48D6" w:rsidRDefault="008F0294">
            <w:pPr>
              <w:jc w:val="right"/>
            </w:pPr>
            <w:r>
              <w:rPr>
                <w:rFonts w:eastAsiaTheme="minorEastAsia"/>
                <w:sz w:val="24"/>
              </w:rPr>
              <w:t>2,000,000.00</w:t>
            </w:r>
          </w:p>
        </w:tc>
        <w:tc>
          <w:tcPr>
            <w:tcW w:w="1980" w:type="dxa"/>
            <w:vAlign w:val="center"/>
          </w:tcPr>
          <w:p w:rsidR="005C48D6" w:rsidRDefault="008F0294">
            <w:pPr>
              <w:jc w:val="right"/>
            </w:pPr>
            <w:r>
              <w:rPr>
                <w:rFonts w:eastAsiaTheme="minorEastAsia"/>
                <w:sz w:val="24"/>
              </w:rPr>
              <w:t>200,045,767.19</w:t>
            </w:r>
          </w:p>
        </w:tc>
        <w:tc>
          <w:tcPr>
            <w:tcW w:w="1520" w:type="dxa"/>
            <w:vAlign w:val="center"/>
          </w:tcPr>
          <w:p w:rsidR="005C48D6" w:rsidRDefault="008F0294">
            <w:pPr>
              <w:jc w:val="right"/>
            </w:pPr>
            <w:r>
              <w:rPr>
                <w:rFonts w:eastAsiaTheme="minorEastAsia"/>
                <w:sz w:val="24"/>
              </w:rPr>
              <w:t>2.81</w:t>
            </w:r>
          </w:p>
        </w:tc>
      </w:tr>
      <w:tr w:rsidR="005C48D6">
        <w:tc>
          <w:tcPr>
            <w:tcW w:w="768" w:type="dxa"/>
            <w:vAlign w:val="center"/>
          </w:tcPr>
          <w:p w:rsidR="005C48D6" w:rsidRDefault="008F0294">
            <w:pPr>
              <w:jc w:val="center"/>
            </w:pPr>
            <w:r>
              <w:rPr>
                <w:rFonts w:eastAsiaTheme="minorEastAsia"/>
                <w:sz w:val="24"/>
              </w:rPr>
              <w:t>6</w:t>
            </w:r>
          </w:p>
        </w:tc>
        <w:tc>
          <w:tcPr>
            <w:tcW w:w="1329" w:type="dxa"/>
            <w:vAlign w:val="center"/>
          </w:tcPr>
          <w:p w:rsidR="005C48D6" w:rsidRDefault="008F0294">
            <w:pPr>
              <w:jc w:val="center"/>
            </w:pPr>
            <w:r>
              <w:rPr>
                <w:rFonts w:eastAsiaTheme="minorEastAsia"/>
                <w:sz w:val="24"/>
              </w:rPr>
              <w:t>011801767</w:t>
            </w:r>
          </w:p>
        </w:tc>
        <w:tc>
          <w:tcPr>
            <w:tcW w:w="1762" w:type="dxa"/>
            <w:vAlign w:val="center"/>
          </w:tcPr>
          <w:p w:rsidR="005C48D6" w:rsidRDefault="008F0294">
            <w:pPr>
              <w:jc w:val="center"/>
            </w:pPr>
            <w:r>
              <w:rPr>
                <w:rFonts w:eastAsiaTheme="minorEastAsia"/>
                <w:sz w:val="24"/>
              </w:rPr>
              <w:t>18</w:t>
            </w:r>
            <w:r>
              <w:rPr>
                <w:rFonts w:eastAsiaTheme="minorEastAsia"/>
                <w:sz w:val="24"/>
              </w:rPr>
              <w:t>陕延油</w:t>
            </w:r>
            <w:r>
              <w:rPr>
                <w:rFonts w:eastAsiaTheme="minorEastAsia"/>
                <w:sz w:val="24"/>
              </w:rPr>
              <w:t>SCP008</w:t>
            </w:r>
          </w:p>
        </w:tc>
        <w:tc>
          <w:tcPr>
            <w:tcW w:w="1731" w:type="dxa"/>
            <w:vAlign w:val="center"/>
          </w:tcPr>
          <w:p w:rsidR="005C48D6" w:rsidRDefault="008F0294">
            <w:pPr>
              <w:jc w:val="right"/>
            </w:pPr>
            <w:r>
              <w:rPr>
                <w:rFonts w:eastAsiaTheme="minorEastAsia"/>
                <w:sz w:val="24"/>
              </w:rPr>
              <w:t>2,000,000.00</w:t>
            </w:r>
          </w:p>
        </w:tc>
        <w:tc>
          <w:tcPr>
            <w:tcW w:w="1980" w:type="dxa"/>
            <w:vAlign w:val="center"/>
          </w:tcPr>
          <w:p w:rsidR="005C48D6" w:rsidRDefault="008F0294">
            <w:pPr>
              <w:jc w:val="right"/>
            </w:pPr>
            <w:r>
              <w:rPr>
                <w:rFonts w:eastAsiaTheme="minorEastAsia"/>
                <w:sz w:val="24"/>
              </w:rPr>
              <w:t>200,004,114.93</w:t>
            </w:r>
          </w:p>
        </w:tc>
        <w:tc>
          <w:tcPr>
            <w:tcW w:w="1520" w:type="dxa"/>
            <w:vAlign w:val="center"/>
          </w:tcPr>
          <w:p w:rsidR="005C48D6" w:rsidRDefault="008F0294">
            <w:pPr>
              <w:jc w:val="right"/>
            </w:pPr>
            <w:r>
              <w:rPr>
                <w:rFonts w:eastAsiaTheme="minorEastAsia"/>
                <w:sz w:val="24"/>
              </w:rPr>
              <w:t>2.81</w:t>
            </w:r>
          </w:p>
        </w:tc>
      </w:tr>
      <w:tr w:rsidR="005C48D6">
        <w:tc>
          <w:tcPr>
            <w:tcW w:w="768" w:type="dxa"/>
            <w:vAlign w:val="center"/>
          </w:tcPr>
          <w:p w:rsidR="005C48D6" w:rsidRDefault="008F0294">
            <w:pPr>
              <w:jc w:val="center"/>
            </w:pPr>
            <w:r>
              <w:rPr>
                <w:rFonts w:eastAsiaTheme="minorEastAsia"/>
                <w:sz w:val="24"/>
              </w:rPr>
              <w:t>7</w:t>
            </w:r>
          </w:p>
        </w:tc>
        <w:tc>
          <w:tcPr>
            <w:tcW w:w="1329" w:type="dxa"/>
            <w:vAlign w:val="center"/>
          </w:tcPr>
          <w:p w:rsidR="005C48D6" w:rsidRDefault="008F0294">
            <w:pPr>
              <w:jc w:val="center"/>
            </w:pPr>
            <w:r>
              <w:rPr>
                <w:rFonts w:eastAsiaTheme="minorEastAsia"/>
                <w:sz w:val="24"/>
              </w:rPr>
              <w:t>011801327</w:t>
            </w:r>
          </w:p>
        </w:tc>
        <w:tc>
          <w:tcPr>
            <w:tcW w:w="1762" w:type="dxa"/>
            <w:vAlign w:val="center"/>
          </w:tcPr>
          <w:p w:rsidR="005C48D6" w:rsidRDefault="008F0294">
            <w:pPr>
              <w:jc w:val="center"/>
            </w:pPr>
            <w:r>
              <w:rPr>
                <w:rFonts w:eastAsiaTheme="minorEastAsia"/>
                <w:sz w:val="24"/>
              </w:rPr>
              <w:t>18</w:t>
            </w:r>
            <w:r>
              <w:rPr>
                <w:rFonts w:eastAsiaTheme="minorEastAsia"/>
                <w:sz w:val="24"/>
              </w:rPr>
              <w:t>南电</w:t>
            </w:r>
            <w:r>
              <w:rPr>
                <w:rFonts w:eastAsiaTheme="minorEastAsia"/>
                <w:sz w:val="24"/>
              </w:rPr>
              <w:t>SCP009</w:t>
            </w:r>
          </w:p>
        </w:tc>
        <w:tc>
          <w:tcPr>
            <w:tcW w:w="1731" w:type="dxa"/>
            <w:vAlign w:val="center"/>
          </w:tcPr>
          <w:p w:rsidR="005C48D6" w:rsidRDefault="008F0294">
            <w:pPr>
              <w:jc w:val="right"/>
            </w:pPr>
            <w:r>
              <w:rPr>
                <w:rFonts w:eastAsiaTheme="minorEastAsia"/>
                <w:sz w:val="24"/>
              </w:rPr>
              <w:t>2,000,000.00</w:t>
            </w:r>
          </w:p>
        </w:tc>
        <w:tc>
          <w:tcPr>
            <w:tcW w:w="1980" w:type="dxa"/>
            <w:vAlign w:val="center"/>
          </w:tcPr>
          <w:p w:rsidR="005C48D6" w:rsidRDefault="008F0294">
            <w:pPr>
              <w:jc w:val="right"/>
            </w:pPr>
            <w:r>
              <w:rPr>
                <w:rFonts w:eastAsiaTheme="minorEastAsia"/>
                <w:sz w:val="24"/>
              </w:rPr>
              <w:t>200,000,011.68</w:t>
            </w:r>
          </w:p>
        </w:tc>
        <w:tc>
          <w:tcPr>
            <w:tcW w:w="1520" w:type="dxa"/>
            <w:vAlign w:val="center"/>
          </w:tcPr>
          <w:p w:rsidR="005C48D6" w:rsidRDefault="008F0294">
            <w:pPr>
              <w:jc w:val="right"/>
            </w:pPr>
            <w:r>
              <w:rPr>
                <w:rFonts w:eastAsiaTheme="minorEastAsia"/>
                <w:sz w:val="24"/>
              </w:rPr>
              <w:t>2.81</w:t>
            </w:r>
          </w:p>
        </w:tc>
      </w:tr>
      <w:tr w:rsidR="005C48D6">
        <w:tc>
          <w:tcPr>
            <w:tcW w:w="768" w:type="dxa"/>
            <w:vAlign w:val="center"/>
          </w:tcPr>
          <w:p w:rsidR="005C48D6" w:rsidRDefault="008F0294">
            <w:pPr>
              <w:jc w:val="center"/>
            </w:pPr>
            <w:r>
              <w:rPr>
                <w:rFonts w:eastAsiaTheme="minorEastAsia"/>
                <w:sz w:val="24"/>
              </w:rPr>
              <w:t>8</w:t>
            </w:r>
          </w:p>
        </w:tc>
        <w:tc>
          <w:tcPr>
            <w:tcW w:w="1329" w:type="dxa"/>
            <w:vAlign w:val="center"/>
          </w:tcPr>
          <w:p w:rsidR="005C48D6" w:rsidRDefault="008F0294">
            <w:pPr>
              <w:jc w:val="center"/>
            </w:pPr>
            <w:r>
              <w:rPr>
                <w:rFonts w:eastAsiaTheme="minorEastAsia"/>
                <w:sz w:val="24"/>
              </w:rPr>
              <w:t>111807114</w:t>
            </w:r>
          </w:p>
        </w:tc>
        <w:tc>
          <w:tcPr>
            <w:tcW w:w="1762" w:type="dxa"/>
            <w:vAlign w:val="center"/>
          </w:tcPr>
          <w:p w:rsidR="005C48D6" w:rsidRDefault="008F0294">
            <w:pPr>
              <w:jc w:val="center"/>
            </w:pPr>
            <w:r>
              <w:rPr>
                <w:rFonts w:eastAsiaTheme="minorEastAsia"/>
                <w:sz w:val="24"/>
              </w:rPr>
              <w:t>18</w:t>
            </w:r>
            <w:r>
              <w:rPr>
                <w:rFonts w:eastAsiaTheme="minorEastAsia"/>
                <w:sz w:val="24"/>
              </w:rPr>
              <w:t>招商银行</w:t>
            </w:r>
            <w:r>
              <w:rPr>
                <w:rFonts w:eastAsiaTheme="minorEastAsia"/>
                <w:sz w:val="24"/>
              </w:rPr>
              <w:t>CD114</w:t>
            </w:r>
          </w:p>
        </w:tc>
        <w:tc>
          <w:tcPr>
            <w:tcW w:w="1731" w:type="dxa"/>
            <w:vAlign w:val="center"/>
          </w:tcPr>
          <w:p w:rsidR="005C48D6" w:rsidRDefault="008F0294">
            <w:pPr>
              <w:jc w:val="right"/>
            </w:pPr>
            <w:r>
              <w:rPr>
                <w:rFonts w:eastAsiaTheme="minorEastAsia"/>
                <w:sz w:val="24"/>
              </w:rPr>
              <w:t>2,000,000.00</w:t>
            </w:r>
          </w:p>
        </w:tc>
        <w:tc>
          <w:tcPr>
            <w:tcW w:w="1980" w:type="dxa"/>
            <w:vAlign w:val="center"/>
          </w:tcPr>
          <w:p w:rsidR="005C48D6" w:rsidRDefault="008F0294">
            <w:pPr>
              <w:jc w:val="right"/>
            </w:pPr>
            <w:r>
              <w:rPr>
                <w:rFonts w:eastAsiaTheme="minorEastAsia"/>
                <w:sz w:val="24"/>
              </w:rPr>
              <w:t>199,040,765.25</w:t>
            </w:r>
          </w:p>
        </w:tc>
        <w:tc>
          <w:tcPr>
            <w:tcW w:w="1520" w:type="dxa"/>
            <w:vAlign w:val="center"/>
          </w:tcPr>
          <w:p w:rsidR="005C48D6" w:rsidRDefault="008F0294">
            <w:pPr>
              <w:jc w:val="right"/>
            </w:pPr>
            <w:r>
              <w:rPr>
                <w:rFonts w:eastAsiaTheme="minorEastAsia"/>
                <w:sz w:val="24"/>
              </w:rPr>
              <w:t>2.80</w:t>
            </w:r>
          </w:p>
        </w:tc>
      </w:tr>
      <w:tr w:rsidR="005C48D6">
        <w:tc>
          <w:tcPr>
            <w:tcW w:w="768" w:type="dxa"/>
            <w:vAlign w:val="center"/>
          </w:tcPr>
          <w:p w:rsidR="005C48D6" w:rsidRDefault="008F0294">
            <w:pPr>
              <w:jc w:val="center"/>
            </w:pPr>
            <w:r>
              <w:rPr>
                <w:rFonts w:eastAsiaTheme="minorEastAsia"/>
                <w:sz w:val="24"/>
              </w:rPr>
              <w:t>9</w:t>
            </w:r>
          </w:p>
        </w:tc>
        <w:tc>
          <w:tcPr>
            <w:tcW w:w="1329" w:type="dxa"/>
            <w:vAlign w:val="center"/>
          </w:tcPr>
          <w:p w:rsidR="005C48D6" w:rsidRDefault="008F0294">
            <w:pPr>
              <w:jc w:val="center"/>
            </w:pPr>
            <w:r>
              <w:rPr>
                <w:rFonts w:eastAsiaTheme="minorEastAsia"/>
                <w:sz w:val="24"/>
              </w:rPr>
              <w:t>111803141</w:t>
            </w:r>
          </w:p>
        </w:tc>
        <w:tc>
          <w:tcPr>
            <w:tcW w:w="1762" w:type="dxa"/>
            <w:vAlign w:val="center"/>
          </w:tcPr>
          <w:p w:rsidR="005C48D6" w:rsidRDefault="008F0294">
            <w:pPr>
              <w:jc w:val="center"/>
            </w:pPr>
            <w:r>
              <w:rPr>
                <w:rFonts w:eastAsiaTheme="minorEastAsia"/>
                <w:sz w:val="24"/>
              </w:rPr>
              <w:t>18</w:t>
            </w:r>
            <w:r>
              <w:rPr>
                <w:rFonts w:eastAsiaTheme="minorEastAsia"/>
                <w:sz w:val="24"/>
              </w:rPr>
              <w:t>农业银行</w:t>
            </w:r>
            <w:r>
              <w:rPr>
                <w:rFonts w:eastAsiaTheme="minorEastAsia"/>
                <w:sz w:val="24"/>
              </w:rPr>
              <w:t>CD141</w:t>
            </w:r>
          </w:p>
        </w:tc>
        <w:tc>
          <w:tcPr>
            <w:tcW w:w="1731" w:type="dxa"/>
            <w:vAlign w:val="center"/>
          </w:tcPr>
          <w:p w:rsidR="005C48D6" w:rsidRDefault="008F0294">
            <w:pPr>
              <w:jc w:val="right"/>
            </w:pPr>
            <w:r>
              <w:rPr>
                <w:rFonts w:eastAsiaTheme="minorEastAsia"/>
                <w:sz w:val="24"/>
              </w:rPr>
              <w:t>2,000,000.00</w:t>
            </w:r>
          </w:p>
        </w:tc>
        <w:tc>
          <w:tcPr>
            <w:tcW w:w="1980" w:type="dxa"/>
            <w:vAlign w:val="center"/>
          </w:tcPr>
          <w:p w:rsidR="005C48D6" w:rsidRDefault="008F0294">
            <w:pPr>
              <w:jc w:val="right"/>
            </w:pPr>
            <w:r>
              <w:rPr>
                <w:rFonts w:eastAsiaTheme="minorEastAsia"/>
                <w:sz w:val="24"/>
              </w:rPr>
              <w:t>198,991,593.03</w:t>
            </w:r>
          </w:p>
        </w:tc>
        <w:tc>
          <w:tcPr>
            <w:tcW w:w="1520" w:type="dxa"/>
            <w:vAlign w:val="center"/>
          </w:tcPr>
          <w:p w:rsidR="005C48D6" w:rsidRDefault="008F0294">
            <w:pPr>
              <w:jc w:val="right"/>
            </w:pPr>
            <w:r>
              <w:rPr>
                <w:rFonts w:eastAsiaTheme="minorEastAsia"/>
                <w:sz w:val="24"/>
              </w:rPr>
              <w:t>2.80</w:t>
            </w:r>
          </w:p>
        </w:tc>
      </w:tr>
      <w:tr w:rsidR="005C48D6">
        <w:tc>
          <w:tcPr>
            <w:tcW w:w="768" w:type="dxa"/>
            <w:vAlign w:val="center"/>
          </w:tcPr>
          <w:p w:rsidR="005C48D6" w:rsidRDefault="008F0294">
            <w:pPr>
              <w:jc w:val="center"/>
            </w:pPr>
            <w:r>
              <w:rPr>
                <w:rFonts w:eastAsiaTheme="minorEastAsia"/>
                <w:sz w:val="24"/>
              </w:rPr>
              <w:t>10</w:t>
            </w:r>
          </w:p>
        </w:tc>
        <w:tc>
          <w:tcPr>
            <w:tcW w:w="1329" w:type="dxa"/>
            <w:vAlign w:val="center"/>
          </w:tcPr>
          <w:p w:rsidR="005C48D6" w:rsidRDefault="008F0294">
            <w:pPr>
              <w:jc w:val="center"/>
            </w:pPr>
            <w:r>
              <w:rPr>
                <w:rFonts w:eastAsiaTheme="minorEastAsia"/>
                <w:sz w:val="24"/>
              </w:rPr>
              <w:t>111814128</w:t>
            </w:r>
          </w:p>
        </w:tc>
        <w:tc>
          <w:tcPr>
            <w:tcW w:w="1762" w:type="dxa"/>
            <w:vAlign w:val="center"/>
          </w:tcPr>
          <w:p w:rsidR="005C48D6" w:rsidRDefault="008F0294">
            <w:pPr>
              <w:jc w:val="center"/>
            </w:pPr>
            <w:r>
              <w:rPr>
                <w:rFonts w:eastAsiaTheme="minorEastAsia"/>
                <w:sz w:val="24"/>
              </w:rPr>
              <w:t>18</w:t>
            </w:r>
            <w:r>
              <w:rPr>
                <w:rFonts w:eastAsiaTheme="minorEastAsia"/>
                <w:sz w:val="24"/>
              </w:rPr>
              <w:t>江苏银行</w:t>
            </w:r>
            <w:r>
              <w:rPr>
                <w:rFonts w:eastAsiaTheme="minorEastAsia"/>
                <w:sz w:val="24"/>
              </w:rPr>
              <w:t>CD128</w:t>
            </w:r>
          </w:p>
        </w:tc>
        <w:tc>
          <w:tcPr>
            <w:tcW w:w="1731" w:type="dxa"/>
            <w:vAlign w:val="center"/>
          </w:tcPr>
          <w:p w:rsidR="005C48D6" w:rsidRDefault="008F0294">
            <w:pPr>
              <w:jc w:val="right"/>
            </w:pPr>
            <w:r>
              <w:rPr>
                <w:rFonts w:eastAsiaTheme="minorEastAsia"/>
                <w:sz w:val="24"/>
              </w:rPr>
              <w:t>2,000,000.00</w:t>
            </w:r>
          </w:p>
        </w:tc>
        <w:tc>
          <w:tcPr>
            <w:tcW w:w="1980" w:type="dxa"/>
            <w:vAlign w:val="center"/>
          </w:tcPr>
          <w:p w:rsidR="005C48D6" w:rsidRDefault="008F0294">
            <w:pPr>
              <w:jc w:val="right"/>
            </w:pPr>
            <w:r>
              <w:rPr>
                <w:rFonts w:eastAsiaTheme="minorEastAsia"/>
                <w:sz w:val="24"/>
              </w:rPr>
              <w:t>197,908,316.56</w:t>
            </w:r>
          </w:p>
        </w:tc>
        <w:tc>
          <w:tcPr>
            <w:tcW w:w="1520" w:type="dxa"/>
            <w:vAlign w:val="center"/>
          </w:tcPr>
          <w:p w:rsidR="005C48D6" w:rsidRDefault="008F0294">
            <w:pPr>
              <w:jc w:val="right"/>
            </w:pPr>
            <w:r>
              <w:rPr>
                <w:rFonts w:eastAsiaTheme="minorEastAsia"/>
                <w:sz w:val="24"/>
              </w:rPr>
              <w:t>2.78</w:t>
            </w:r>
          </w:p>
        </w:tc>
      </w:tr>
    </w:tbl>
    <w:p w:rsidR="00CA0179" w:rsidRPr="009A7486" w:rsidRDefault="00CA0179" w:rsidP="002855D4">
      <w:pPr>
        <w:pStyle w:val="20"/>
        <w:spacing w:beforeLines="100" w:after="0"/>
        <w:rPr>
          <w:rFonts w:ascii="Times New Roman" w:eastAsiaTheme="minorEastAsia" w:hAnsi="Times New Roman" w:cs="Times New Roman"/>
          <w:kern w:val="0"/>
          <w:szCs w:val="24"/>
        </w:rPr>
      </w:pPr>
      <w:bookmarkStart w:id="25" w:name="_Toc331410108"/>
      <w:bookmarkStart w:id="26" w:name="_Toc374603928"/>
      <w:r w:rsidRPr="009A7486">
        <w:rPr>
          <w:rFonts w:ascii="Times New Roman" w:eastAsiaTheme="minorEastAsia" w:hAnsi="Times New Roman" w:cs="Times New Roman"/>
          <w:kern w:val="0"/>
          <w:szCs w:val="24"/>
        </w:rPr>
        <w:t>8.7</w:t>
      </w:r>
      <w:bookmarkEnd w:id="25"/>
      <w:r w:rsidRPr="009A7486">
        <w:rPr>
          <w:rFonts w:ascii="Times New Roman" w:eastAsiaTheme="minorEastAsia" w:hAnsi="Times New Roman" w:cs="Times New Roman"/>
          <w:kern w:val="0"/>
          <w:szCs w:val="24"/>
        </w:rPr>
        <w:t>“</w:t>
      </w:r>
      <w:r w:rsidRPr="009A7486">
        <w:rPr>
          <w:rFonts w:ascii="Times New Roman" w:eastAsiaTheme="minorEastAsia" w:hAnsi="Times New Roman" w:cs="Times New Roman"/>
          <w:kern w:val="0"/>
          <w:szCs w:val="24"/>
        </w:rPr>
        <w:t>影子定价</w:t>
      </w:r>
      <w:r w:rsidRPr="009A7486">
        <w:rPr>
          <w:rFonts w:ascii="Times New Roman" w:eastAsiaTheme="minorEastAsia" w:hAnsi="Times New Roman" w:cs="Times New Roman"/>
          <w:kern w:val="0"/>
          <w:szCs w:val="24"/>
        </w:rPr>
        <w:t>”</w:t>
      </w:r>
      <w:r w:rsidRPr="009A7486">
        <w:rPr>
          <w:rFonts w:ascii="Times New Roman" w:eastAsiaTheme="minorEastAsia" w:hAnsi="Times New Roman" w:cs="Times New Roman"/>
          <w:kern w:val="0"/>
          <w:szCs w:val="24"/>
        </w:rPr>
        <w:t>与</w:t>
      </w:r>
      <w:r w:rsidRPr="009A7486">
        <w:rPr>
          <w:rFonts w:ascii="Times New Roman" w:eastAsiaTheme="minorEastAsia" w:hAnsi="Times New Roman" w:cs="Times New Roman"/>
          <w:kern w:val="0"/>
          <w:szCs w:val="24"/>
        </w:rPr>
        <w:t>“</w:t>
      </w:r>
      <w:r w:rsidRPr="009A7486">
        <w:rPr>
          <w:rFonts w:ascii="Times New Roman" w:eastAsiaTheme="minorEastAsia" w:hAnsi="Times New Roman" w:cs="Times New Roman"/>
          <w:kern w:val="0"/>
          <w:szCs w:val="24"/>
        </w:rPr>
        <w:t>摊余成本法</w:t>
      </w:r>
      <w:r w:rsidRPr="009A7486">
        <w:rPr>
          <w:rFonts w:ascii="Times New Roman" w:eastAsiaTheme="minorEastAsia" w:hAnsi="Times New Roman" w:cs="Times New Roman"/>
          <w:kern w:val="0"/>
          <w:szCs w:val="24"/>
        </w:rPr>
        <w:t>”</w:t>
      </w:r>
      <w:r w:rsidRPr="009A7486">
        <w:rPr>
          <w:rFonts w:ascii="Times New Roman" w:eastAsiaTheme="minorEastAsia" w:hAnsi="Times New Roman" w:cs="Times New Roman"/>
          <w:kern w:val="0"/>
          <w:szCs w:val="24"/>
        </w:rPr>
        <w:t>确定的基金资产净值的偏离</w:t>
      </w:r>
      <w:bookmarkEnd w:id="26"/>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6042"/>
        <w:gridCol w:w="3314"/>
      </w:tblGrid>
      <w:tr w:rsidR="00CA0179" w:rsidRPr="009A7486" w:rsidTr="00C52176">
        <w:trPr>
          <w:trHeight w:val="285"/>
        </w:trPr>
        <w:tc>
          <w:tcPr>
            <w:tcW w:w="6042" w:type="dxa"/>
            <w:tcMar>
              <w:top w:w="15" w:type="dxa"/>
              <w:left w:w="15" w:type="dxa"/>
              <w:bottom w:w="0" w:type="dxa"/>
              <w:right w:w="15" w:type="dxa"/>
            </w:tcMar>
          </w:tcPr>
          <w:p w:rsidR="00CA0179" w:rsidRPr="009A7486" w:rsidRDefault="00CA0179" w:rsidP="00C52176">
            <w:pPr>
              <w:jc w:val="center"/>
              <w:rPr>
                <w:rFonts w:eastAsiaTheme="minorEastAsia"/>
                <w:sz w:val="24"/>
              </w:rPr>
            </w:pPr>
            <w:r w:rsidRPr="009A7486">
              <w:rPr>
                <w:rFonts w:eastAsiaTheme="minorEastAsia"/>
                <w:sz w:val="24"/>
              </w:rPr>
              <w:t>项目</w:t>
            </w:r>
          </w:p>
        </w:tc>
        <w:tc>
          <w:tcPr>
            <w:tcW w:w="3314" w:type="dxa"/>
            <w:tcMar>
              <w:top w:w="15" w:type="dxa"/>
              <w:left w:w="15" w:type="dxa"/>
              <w:bottom w:w="0" w:type="dxa"/>
              <w:right w:w="15" w:type="dxa"/>
            </w:tcMar>
          </w:tcPr>
          <w:p w:rsidR="00CA0179" w:rsidRPr="009A7486" w:rsidRDefault="00CA0179" w:rsidP="00C52176">
            <w:pPr>
              <w:jc w:val="center"/>
              <w:rPr>
                <w:rFonts w:eastAsiaTheme="minorEastAsia"/>
                <w:sz w:val="24"/>
              </w:rPr>
            </w:pPr>
            <w:r w:rsidRPr="009A7486">
              <w:rPr>
                <w:rFonts w:eastAsiaTheme="minorEastAsia"/>
                <w:sz w:val="24"/>
              </w:rPr>
              <w:t>偏离情况</w:t>
            </w:r>
          </w:p>
        </w:tc>
      </w:tr>
      <w:tr w:rsidR="00CA0179" w:rsidRPr="009A7486" w:rsidTr="00C52176">
        <w:trPr>
          <w:trHeight w:val="312"/>
        </w:trPr>
        <w:tc>
          <w:tcPr>
            <w:tcW w:w="6042" w:type="dxa"/>
            <w:tcMar>
              <w:top w:w="15" w:type="dxa"/>
              <w:left w:w="15" w:type="dxa"/>
              <w:bottom w:w="0" w:type="dxa"/>
              <w:right w:w="15" w:type="dxa"/>
            </w:tcMar>
          </w:tcPr>
          <w:p w:rsidR="00CA0179" w:rsidRPr="009A7486" w:rsidRDefault="00CA0179" w:rsidP="00C52176">
            <w:pPr>
              <w:rPr>
                <w:rFonts w:eastAsiaTheme="minorEastAsia"/>
                <w:sz w:val="24"/>
              </w:rPr>
            </w:pPr>
            <w:r w:rsidRPr="009A7486">
              <w:rPr>
                <w:rFonts w:eastAsiaTheme="minorEastAsia"/>
                <w:sz w:val="24"/>
              </w:rPr>
              <w:t>报告期内偏离度的绝对值在</w:t>
            </w:r>
            <w:r w:rsidRPr="009A7486">
              <w:rPr>
                <w:rFonts w:eastAsiaTheme="minorEastAsia"/>
                <w:sz w:val="24"/>
              </w:rPr>
              <w:t>0.25(</w:t>
            </w:r>
            <w:r w:rsidRPr="009A7486">
              <w:rPr>
                <w:rFonts w:eastAsiaTheme="minorEastAsia"/>
                <w:sz w:val="24"/>
              </w:rPr>
              <w:t>含</w:t>
            </w:r>
            <w:r w:rsidRPr="009A7486">
              <w:rPr>
                <w:rFonts w:eastAsiaTheme="minorEastAsia"/>
                <w:sz w:val="24"/>
              </w:rPr>
              <w:t>)-0.5%</w:t>
            </w:r>
            <w:r w:rsidRPr="009A7486">
              <w:rPr>
                <w:rFonts w:eastAsiaTheme="minorEastAsia"/>
                <w:sz w:val="24"/>
              </w:rPr>
              <w:t>间的次数</w:t>
            </w:r>
          </w:p>
        </w:tc>
        <w:tc>
          <w:tcPr>
            <w:tcW w:w="3314" w:type="dxa"/>
            <w:tcMar>
              <w:top w:w="15" w:type="dxa"/>
              <w:left w:w="15" w:type="dxa"/>
              <w:bottom w:w="0" w:type="dxa"/>
              <w:right w:w="15" w:type="dxa"/>
            </w:tcMar>
            <w:vAlign w:val="center"/>
          </w:tcPr>
          <w:p w:rsidR="00CA0179" w:rsidRPr="009A7486" w:rsidRDefault="00CA0179" w:rsidP="00C52176">
            <w:pPr>
              <w:jc w:val="right"/>
              <w:rPr>
                <w:rFonts w:eastAsiaTheme="minorEastAsia"/>
                <w:sz w:val="24"/>
              </w:rPr>
            </w:pPr>
            <w:r w:rsidRPr="009A7486">
              <w:rPr>
                <w:rFonts w:eastAsiaTheme="minorEastAsia"/>
                <w:sz w:val="24"/>
              </w:rPr>
              <w:t>17</w:t>
            </w:r>
          </w:p>
        </w:tc>
      </w:tr>
      <w:tr w:rsidR="00CA0179" w:rsidRPr="009A7486" w:rsidTr="00C52176">
        <w:trPr>
          <w:trHeight w:val="285"/>
        </w:trPr>
        <w:tc>
          <w:tcPr>
            <w:tcW w:w="6042" w:type="dxa"/>
            <w:tcMar>
              <w:top w:w="15" w:type="dxa"/>
              <w:left w:w="15" w:type="dxa"/>
              <w:bottom w:w="0" w:type="dxa"/>
              <w:right w:w="15" w:type="dxa"/>
            </w:tcMar>
          </w:tcPr>
          <w:p w:rsidR="00CA0179" w:rsidRPr="009A7486" w:rsidRDefault="00CA0179" w:rsidP="00C52176">
            <w:pPr>
              <w:rPr>
                <w:rFonts w:eastAsiaTheme="minorEastAsia"/>
                <w:sz w:val="24"/>
              </w:rPr>
            </w:pPr>
            <w:r w:rsidRPr="009A7486">
              <w:rPr>
                <w:rFonts w:eastAsiaTheme="minorEastAsia"/>
                <w:sz w:val="24"/>
              </w:rPr>
              <w:t>报告期内偏离度的最高值</w:t>
            </w:r>
          </w:p>
        </w:tc>
        <w:tc>
          <w:tcPr>
            <w:tcW w:w="3314" w:type="dxa"/>
            <w:tcMar>
              <w:top w:w="15" w:type="dxa"/>
              <w:left w:w="15" w:type="dxa"/>
              <w:bottom w:w="0" w:type="dxa"/>
              <w:right w:w="15" w:type="dxa"/>
            </w:tcMar>
            <w:vAlign w:val="center"/>
          </w:tcPr>
          <w:p w:rsidR="00CA0179" w:rsidRPr="009A7486" w:rsidRDefault="00CA0179" w:rsidP="00C52176">
            <w:pPr>
              <w:jc w:val="right"/>
              <w:rPr>
                <w:rFonts w:eastAsiaTheme="minorEastAsia"/>
                <w:sz w:val="24"/>
              </w:rPr>
            </w:pPr>
            <w:r w:rsidRPr="009A7486">
              <w:rPr>
                <w:rFonts w:eastAsiaTheme="minorEastAsia"/>
                <w:sz w:val="24"/>
              </w:rPr>
              <w:t>0.3070%</w:t>
            </w:r>
          </w:p>
        </w:tc>
      </w:tr>
      <w:tr w:rsidR="00CA0179" w:rsidRPr="009A7486" w:rsidTr="00C52176">
        <w:trPr>
          <w:trHeight w:val="285"/>
        </w:trPr>
        <w:tc>
          <w:tcPr>
            <w:tcW w:w="6042" w:type="dxa"/>
            <w:tcMar>
              <w:top w:w="15" w:type="dxa"/>
              <w:left w:w="15" w:type="dxa"/>
              <w:bottom w:w="0" w:type="dxa"/>
              <w:right w:w="15" w:type="dxa"/>
            </w:tcMar>
          </w:tcPr>
          <w:p w:rsidR="00CA0179" w:rsidRPr="009A7486" w:rsidRDefault="00CA0179" w:rsidP="00C52176">
            <w:pPr>
              <w:rPr>
                <w:rFonts w:eastAsiaTheme="minorEastAsia"/>
                <w:sz w:val="24"/>
              </w:rPr>
            </w:pPr>
            <w:r w:rsidRPr="009A7486">
              <w:rPr>
                <w:rFonts w:eastAsiaTheme="minorEastAsia"/>
                <w:sz w:val="24"/>
              </w:rPr>
              <w:t>报告期内偏离度的最低值</w:t>
            </w:r>
          </w:p>
        </w:tc>
        <w:tc>
          <w:tcPr>
            <w:tcW w:w="3314" w:type="dxa"/>
            <w:tcMar>
              <w:top w:w="15" w:type="dxa"/>
              <w:left w:w="15" w:type="dxa"/>
              <w:bottom w:w="0" w:type="dxa"/>
              <w:right w:w="15" w:type="dxa"/>
            </w:tcMar>
            <w:vAlign w:val="center"/>
          </w:tcPr>
          <w:p w:rsidR="00CA0179" w:rsidRPr="009A7486" w:rsidRDefault="00CA0179" w:rsidP="00C52176">
            <w:pPr>
              <w:jc w:val="right"/>
              <w:rPr>
                <w:rFonts w:eastAsiaTheme="minorEastAsia"/>
                <w:sz w:val="24"/>
              </w:rPr>
            </w:pPr>
            <w:r w:rsidRPr="009A7486">
              <w:rPr>
                <w:rFonts w:eastAsiaTheme="minorEastAsia"/>
                <w:sz w:val="24"/>
              </w:rPr>
              <w:t>0.0628%</w:t>
            </w:r>
          </w:p>
        </w:tc>
      </w:tr>
      <w:tr w:rsidR="00CA0179" w:rsidRPr="009A7486" w:rsidTr="00C52176">
        <w:trPr>
          <w:trHeight w:val="314"/>
        </w:trPr>
        <w:tc>
          <w:tcPr>
            <w:tcW w:w="6042" w:type="dxa"/>
            <w:tcMar>
              <w:top w:w="15" w:type="dxa"/>
              <w:left w:w="15" w:type="dxa"/>
              <w:bottom w:w="0" w:type="dxa"/>
              <w:right w:w="15" w:type="dxa"/>
            </w:tcMar>
          </w:tcPr>
          <w:p w:rsidR="00CA0179" w:rsidRPr="009A7486" w:rsidRDefault="00CA0179" w:rsidP="00C52176">
            <w:pPr>
              <w:rPr>
                <w:rFonts w:eastAsiaTheme="minorEastAsia"/>
                <w:sz w:val="24"/>
              </w:rPr>
            </w:pPr>
            <w:r w:rsidRPr="009A7486">
              <w:rPr>
                <w:rFonts w:eastAsiaTheme="minorEastAsia"/>
                <w:sz w:val="24"/>
              </w:rPr>
              <w:t>报告期内每个交易日偏离度的绝对值的简单平均值</w:t>
            </w:r>
          </w:p>
        </w:tc>
        <w:tc>
          <w:tcPr>
            <w:tcW w:w="3314" w:type="dxa"/>
            <w:tcMar>
              <w:top w:w="15" w:type="dxa"/>
              <w:left w:w="15" w:type="dxa"/>
              <w:bottom w:w="0" w:type="dxa"/>
              <w:right w:w="15" w:type="dxa"/>
            </w:tcMar>
            <w:vAlign w:val="center"/>
          </w:tcPr>
          <w:p w:rsidR="00CA0179" w:rsidRPr="009A7486" w:rsidRDefault="00CA0179" w:rsidP="00C52176">
            <w:pPr>
              <w:jc w:val="right"/>
              <w:rPr>
                <w:rFonts w:eastAsiaTheme="minorEastAsia"/>
                <w:sz w:val="24"/>
              </w:rPr>
            </w:pPr>
            <w:r w:rsidRPr="009A7486">
              <w:rPr>
                <w:rFonts w:eastAsiaTheme="minorEastAsia"/>
                <w:sz w:val="24"/>
              </w:rPr>
              <w:t>0.1507%</w:t>
            </w:r>
          </w:p>
        </w:tc>
      </w:tr>
    </w:tbl>
    <w:p w:rsidR="00CA0179" w:rsidRPr="009A7486" w:rsidRDefault="00CA0179" w:rsidP="00CA0179">
      <w:pPr>
        <w:spacing w:line="360" w:lineRule="auto"/>
        <w:rPr>
          <w:rFonts w:eastAsiaTheme="minorEastAsia"/>
          <w:b/>
          <w:color w:val="000000" w:themeColor="text1"/>
          <w:kern w:val="0"/>
          <w:sz w:val="24"/>
        </w:rPr>
      </w:pPr>
      <w:r w:rsidRPr="009A7486">
        <w:rPr>
          <w:rFonts w:eastAsiaTheme="minorEastAsia"/>
          <w:b/>
          <w:color w:val="000000"/>
          <w:sz w:val="24"/>
        </w:rPr>
        <w:t>报告期内负偏离度的绝对值达到</w:t>
      </w:r>
      <w:r w:rsidRPr="009A7486">
        <w:rPr>
          <w:rFonts w:eastAsiaTheme="minorEastAsia"/>
          <w:b/>
          <w:color w:val="000000"/>
          <w:sz w:val="24"/>
        </w:rPr>
        <w:t>0.25%</w:t>
      </w:r>
      <w:r w:rsidRPr="009A7486">
        <w:rPr>
          <w:rFonts w:eastAsiaTheme="minorEastAsia"/>
          <w:b/>
          <w:color w:val="000000"/>
          <w:sz w:val="24"/>
        </w:rPr>
        <w:t>情况说明</w:t>
      </w:r>
    </w:p>
    <w:p w:rsidR="00CA0179" w:rsidRPr="009A7486" w:rsidRDefault="00CA0179" w:rsidP="009A7486">
      <w:pPr>
        <w:autoSpaceDE w:val="0"/>
        <w:autoSpaceDN w:val="0"/>
        <w:adjustRightInd w:val="0"/>
        <w:spacing w:line="360" w:lineRule="auto"/>
        <w:ind w:firstLineChars="100" w:firstLine="240"/>
        <w:jc w:val="left"/>
        <w:rPr>
          <w:rFonts w:eastAsiaTheme="minorEastAsia"/>
          <w:sz w:val="24"/>
        </w:rPr>
      </w:pPr>
      <w:r w:rsidRPr="009A7486">
        <w:rPr>
          <w:rFonts w:eastAsiaTheme="minorEastAsia"/>
          <w:sz w:val="24"/>
        </w:rPr>
        <w:t>本基金本报告期内不存在负偏离度的绝对值达到</w:t>
      </w:r>
      <w:r w:rsidRPr="009A7486">
        <w:rPr>
          <w:rFonts w:eastAsiaTheme="minorEastAsia"/>
          <w:sz w:val="24"/>
        </w:rPr>
        <w:t>0.25%</w:t>
      </w:r>
      <w:r w:rsidRPr="009A7486">
        <w:rPr>
          <w:rFonts w:eastAsiaTheme="minorEastAsia"/>
          <w:sz w:val="24"/>
        </w:rPr>
        <w:t>的情况。</w:t>
      </w:r>
    </w:p>
    <w:p w:rsidR="00CA0179" w:rsidRPr="009A7486" w:rsidRDefault="00CA0179" w:rsidP="00CA0179">
      <w:pPr>
        <w:spacing w:line="360" w:lineRule="auto"/>
        <w:rPr>
          <w:rFonts w:eastAsiaTheme="minorEastAsia"/>
          <w:b/>
          <w:color w:val="000000" w:themeColor="text1"/>
          <w:kern w:val="0"/>
          <w:sz w:val="24"/>
        </w:rPr>
      </w:pPr>
      <w:r w:rsidRPr="009A7486">
        <w:rPr>
          <w:rFonts w:eastAsiaTheme="minorEastAsia"/>
          <w:b/>
          <w:color w:val="000000"/>
          <w:sz w:val="24"/>
        </w:rPr>
        <w:t>报告期内正偏离度的绝对值达到</w:t>
      </w:r>
      <w:r w:rsidRPr="009A7486">
        <w:rPr>
          <w:rFonts w:eastAsiaTheme="minorEastAsia"/>
          <w:b/>
          <w:color w:val="000000"/>
          <w:sz w:val="24"/>
        </w:rPr>
        <w:t>0.5%</w:t>
      </w:r>
      <w:r w:rsidRPr="009A7486">
        <w:rPr>
          <w:rFonts w:eastAsiaTheme="minorEastAsia"/>
          <w:b/>
          <w:color w:val="000000"/>
          <w:sz w:val="24"/>
        </w:rPr>
        <w:t>情况说明</w:t>
      </w:r>
    </w:p>
    <w:p w:rsidR="00CA0179" w:rsidRPr="009A7486" w:rsidRDefault="00CA0179" w:rsidP="009A7486">
      <w:pPr>
        <w:autoSpaceDE w:val="0"/>
        <w:autoSpaceDN w:val="0"/>
        <w:adjustRightInd w:val="0"/>
        <w:spacing w:line="360" w:lineRule="auto"/>
        <w:ind w:firstLineChars="100" w:firstLine="240"/>
        <w:jc w:val="left"/>
        <w:rPr>
          <w:rFonts w:eastAsiaTheme="minorEastAsia"/>
          <w:sz w:val="24"/>
        </w:rPr>
      </w:pPr>
      <w:r w:rsidRPr="009A7486">
        <w:rPr>
          <w:rFonts w:eastAsiaTheme="minorEastAsia"/>
          <w:sz w:val="24"/>
        </w:rPr>
        <w:t>本基金本报告期内不存在正偏离度的绝对值达到</w:t>
      </w:r>
      <w:r w:rsidRPr="009A7486">
        <w:rPr>
          <w:rFonts w:eastAsiaTheme="minorEastAsia"/>
          <w:sz w:val="24"/>
        </w:rPr>
        <w:t>0.5%</w:t>
      </w:r>
      <w:r w:rsidRPr="009A7486">
        <w:rPr>
          <w:rFonts w:eastAsiaTheme="minorEastAsia"/>
          <w:sz w:val="24"/>
        </w:rPr>
        <w:t>的情况。</w:t>
      </w:r>
    </w:p>
    <w:p w:rsidR="00CA0179" w:rsidRPr="009A7486" w:rsidRDefault="00CA0179" w:rsidP="002855D4">
      <w:pPr>
        <w:pStyle w:val="20"/>
        <w:spacing w:beforeLines="100" w:after="0"/>
        <w:rPr>
          <w:rFonts w:ascii="Times New Roman" w:eastAsiaTheme="minorEastAsia" w:hAnsi="Times New Roman" w:cs="Times New Roman"/>
          <w:kern w:val="0"/>
          <w:szCs w:val="24"/>
        </w:rPr>
      </w:pPr>
      <w:bookmarkStart w:id="27" w:name="_Toc331410109"/>
      <w:bookmarkStart w:id="28" w:name="_Toc374603929"/>
      <w:r w:rsidRPr="009A7486">
        <w:rPr>
          <w:rFonts w:ascii="Times New Roman" w:eastAsiaTheme="minorEastAsia" w:hAnsi="Times New Roman" w:cs="Times New Roman"/>
          <w:kern w:val="0"/>
          <w:szCs w:val="24"/>
        </w:rPr>
        <w:t>8.8</w:t>
      </w:r>
      <w:bookmarkEnd w:id="27"/>
      <w:r w:rsidRPr="009A7486">
        <w:rPr>
          <w:rFonts w:ascii="Times New Roman" w:eastAsiaTheme="minorEastAsia" w:hAnsi="Times New Roman" w:cs="Times New Roman"/>
          <w:szCs w:val="24"/>
        </w:rPr>
        <w:t>期末按公允价值占基金资产净值比例大小排名的所有资产支持证券投资明细</w:t>
      </w:r>
      <w:bookmarkEnd w:id="28"/>
    </w:p>
    <w:p w:rsidR="00CA0179" w:rsidRPr="009A7486" w:rsidRDefault="00CA0179" w:rsidP="009A7486">
      <w:pPr>
        <w:tabs>
          <w:tab w:val="left" w:pos="426"/>
        </w:tabs>
        <w:spacing w:line="360" w:lineRule="auto"/>
        <w:ind w:firstLineChars="200" w:firstLine="480"/>
        <w:jc w:val="left"/>
        <w:rPr>
          <w:rFonts w:eastAsiaTheme="minorEastAsia"/>
          <w:kern w:val="0"/>
          <w:sz w:val="24"/>
        </w:rPr>
      </w:pPr>
      <w:r w:rsidRPr="009A7486">
        <w:rPr>
          <w:rFonts w:eastAsiaTheme="minorEastAsia"/>
          <w:kern w:val="0"/>
          <w:sz w:val="24"/>
        </w:rPr>
        <w:t>本基金本报告期末未持有资产支持证券。</w:t>
      </w:r>
    </w:p>
    <w:p w:rsidR="00CA0179" w:rsidRPr="009A7486" w:rsidRDefault="00CA0179" w:rsidP="002855D4">
      <w:pPr>
        <w:pStyle w:val="20"/>
        <w:spacing w:beforeLines="100" w:after="0"/>
        <w:rPr>
          <w:rFonts w:ascii="Times New Roman" w:eastAsiaTheme="minorEastAsia" w:hAnsi="Times New Roman" w:cs="Times New Roman"/>
          <w:kern w:val="0"/>
          <w:szCs w:val="24"/>
        </w:rPr>
      </w:pPr>
      <w:bookmarkStart w:id="29" w:name="_Toc331410110"/>
      <w:bookmarkStart w:id="30" w:name="_Toc374603930"/>
      <w:r w:rsidRPr="009A7486">
        <w:rPr>
          <w:rFonts w:ascii="Times New Roman" w:eastAsiaTheme="minorEastAsia" w:hAnsi="Times New Roman" w:cs="Times New Roman"/>
          <w:kern w:val="0"/>
          <w:szCs w:val="24"/>
        </w:rPr>
        <w:t xml:space="preserve">8.9 </w:t>
      </w:r>
      <w:r w:rsidRPr="009A7486">
        <w:rPr>
          <w:rFonts w:ascii="Times New Roman" w:eastAsiaTheme="minorEastAsia" w:hAnsi="Times New Roman" w:cs="Times New Roman"/>
          <w:kern w:val="0"/>
          <w:szCs w:val="24"/>
        </w:rPr>
        <w:t>投资组合报告附注</w:t>
      </w:r>
      <w:bookmarkEnd w:id="29"/>
      <w:bookmarkEnd w:id="30"/>
    </w:p>
    <w:p w:rsidR="00CA0179" w:rsidRPr="009A7486" w:rsidRDefault="00CA0179" w:rsidP="00CA0179">
      <w:pPr>
        <w:spacing w:line="360" w:lineRule="auto"/>
        <w:rPr>
          <w:rFonts w:eastAsiaTheme="minorEastAsia"/>
          <w:b/>
          <w:bCs/>
          <w:sz w:val="24"/>
        </w:rPr>
      </w:pPr>
      <w:r w:rsidRPr="009A7486">
        <w:rPr>
          <w:rFonts w:eastAsiaTheme="minorEastAsia"/>
          <w:b/>
          <w:sz w:val="24"/>
        </w:rPr>
        <w:t>8.9.1</w:t>
      </w:r>
      <w:r w:rsidRPr="009A7486">
        <w:rPr>
          <w:rFonts w:eastAsiaTheme="minorEastAsia"/>
          <w:b/>
          <w:bCs/>
          <w:sz w:val="24"/>
        </w:rPr>
        <w:t>基金计价方法说明</w:t>
      </w:r>
    </w:p>
    <w:p w:rsidR="005C48D6" w:rsidRDefault="008F0294">
      <w:pPr>
        <w:tabs>
          <w:tab w:val="left" w:pos="426"/>
        </w:tabs>
        <w:spacing w:line="360" w:lineRule="auto"/>
        <w:ind w:firstLineChars="200" w:firstLine="480"/>
        <w:rPr>
          <w:rFonts w:eastAsiaTheme="minorEastAsia"/>
          <w:kern w:val="0"/>
          <w:sz w:val="24"/>
        </w:rPr>
      </w:pPr>
      <w:r>
        <w:rPr>
          <w:rFonts w:eastAsiaTheme="minorEastAsia"/>
          <w:kern w:val="0"/>
          <w:sz w:val="24"/>
        </w:rPr>
        <w:t>本基金通过每日计算基金收益并分配的方式，使基金份额净值保持在人民币</w:t>
      </w:r>
      <w:r>
        <w:rPr>
          <w:rFonts w:eastAsiaTheme="minorEastAsia"/>
          <w:kern w:val="0"/>
          <w:sz w:val="24"/>
        </w:rPr>
        <w:t xml:space="preserve">1.00 </w:t>
      </w:r>
      <w:r>
        <w:rPr>
          <w:rFonts w:eastAsiaTheme="minorEastAsia"/>
          <w:kern w:val="0"/>
          <w:sz w:val="24"/>
        </w:rPr>
        <w:t>元。</w:t>
      </w:r>
    </w:p>
    <w:p w:rsidR="00CA0179" w:rsidRPr="009A7486" w:rsidRDefault="00CA0179" w:rsidP="009A7486">
      <w:pPr>
        <w:tabs>
          <w:tab w:val="left" w:pos="426"/>
        </w:tabs>
        <w:spacing w:line="360" w:lineRule="auto"/>
        <w:ind w:firstLineChars="200" w:firstLine="480"/>
        <w:rPr>
          <w:rFonts w:eastAsiaTheme="minorEastAsia"/>
          <w:kern w:val="0"/>
          <w:sz w:val="24"/>
        </w:rPr>
      </w:pPr>
      <w:r w:rsidRPr="009A7486">
        <w:rPr>
          <w:rFonts w:eastAsiaTheme="minorEastAsia"/>
          <w:kern w:val="0"/>
          <w:sz w:val="24"/>
        </w:rPr>
        <w:t>本基金估值采用摊余成本法</w:t>
      </w:r>
      <w:r w:rsidRPr="009A7486">
        <w:rPr>
          <w:rFonts w:eastAsiaTheme="minorEastAsia"/>
          <w:kern w:val="0"/>
          <w:sz w:val="24"/>
        </w:rPr>
        <w:t>,</w:t>
      </w:r>
      <w:r w:rsidRPr="009A7486">
        <w:rPr>
          <w:rFonts w:eastAsiaTheme="minorEastAsia"/>
          <w:kern w:val="0"/>
          <w:sz w:val="24"/>
        </w:rPr>
        <w:t>即估值对象以买入成本列示，按票面利率或商定利率并考虑其买入时的溢价与折价，在其剩余期限内按照实际利率法每日计提收益。</w:t>
      </w:r>
    </w:p>
    <w:p w:rsidR="00CE77DD" w:rsidRPr="009A7486" w:rsidRDefault="00CA0179" w:rsidP="00CA0179">
      <w:pPr>
        <w:spacing w:line="360" w:lineRule="auto"/>
        <w:rPr>
          <w:rFonts w:eastAsiaTheme="minorEastAsia"/>
          <w:bCs/>
          <w:color w:val="000000" w:themeColor="text1"/>
          <w:sz w:val="24"/>
        </w:rPr>
      </w:pPr>
      <w:r w:rsidRPr="009A7486">
        <w:rPr>
          <w:rFonts w:eastAsiaTheme="minorEastAsia"/>
          <w:b/>
          <w:sz w:val="24"/>
        </w:rPr>
        <w:t>8.9.2</w:t>
      </w:r>
      <w:r w:rsidRPr="009A7486">
        <w:rPr>
          <w:rFonts w:eastAsiaTheme="minorEastAsia"/>
          <w:b/>
          <w:bCs/>
          <w:sz w:val="24"/>
        </w:rPr>
        <w:t>本基金投资的前十名证券中，持有</w:t>
      </w:r>
      <w:r w:rsidRPr="009A7486">
        <w:rPr>
          <w:rFonts w:eastAsiaTheme="minorEastAsia"/>
          <w:b/>
          <w:bCs/>
          <w:sz w:val="24"/>
        </w:rPr>
        <w:t>“18</w:t>
      </w:r>
      <w:r w:rsidRPr="009A7486">
        <w:rPr>
          <w:rFonts w:eastAsiaTheme="minorEastAsia"/>
          <w:b/>
          <w:bCs/>
          <w:sz w:val="24"/>
        </w:rPr>
        <w:t>浦发银行</w:t>
      </w:r>
      <w:r w:rsidRPr="009A7486">
        <w:rPr>
          <w:rFonts w:eastAsiaTheme="minorEastAsia"/>
          <w:b/>
          <w:bCs/>
          <w:sz w:val="24"/>
        </w:rPr>
        <w:t>CD077”</w:t>
      </w:r>
      <w:r w:rsidRPr="009A7486">
        <w:rPr>
          <w:rFonts w:eastAsiaTheme="minorEastAsia"/>
          <w:b/>
          <w:bCs/>
          <w:sz w:val="24"/>
        </w:rPr>
        <w:t>市值</w:t>
      </w:r>
      <w:r w:rsidRPr="009A7486">
        <w:rPr>
          <w:rFonts w:eastAsiaTheme="minorEastAsia"/>
          <w:b/>
          <w:bCs/>
          <w:sz w:val="24"/>
        </w:rPr>
        <w:t>300,180,000</w:t>
      </w:r>
      <w:r w:rsidRPr="009A7486">
        <w:rPr>
          <w:rFonts w:eastAsiaTheme="minorEastAsia"/>
          <w:b/>
          <w:bCs/>
          <w:sz w:val="24"/>
        </w:rPr>
        <w:t>元，占基金资产净值</w:t>
      </w:r>
      <w:r w:rsidRPr="009A7486">
        <w:rPr>
          <w:rFonts w:eastAsiaTheme="minorEastAsia"/>
          <w:b/>
          <w:bCs/>
          <w:sz w:val="24"/>
        </w:rPr>
        <w:t>4.21%</w:t>
      </w:r>
      <w:r w:rsidRPr="009A7486">
        <w:rPr>
          <w:rFonts w:eastAsiaTheme="minorEastAsia"/>
          <w:b/>
          <w:bCs/>
          <w:sz w:val="24"/>
        </w:rPr>
        <w:t>。根据上海浦东发展银行股份有限公司</w:t>
      </w:r>
      <w:r w:rsidRPr="009A7486">
        <w:rPr>
          <w:rFonts w:eastAsiaTheme="minorEastAsia"/>
          <w:b/>
          <w:bCs/>
          <w:sz w:val="24"/>
        </w:rPr>
        <w:t>2018</w:t>
      </w:r>
      <w:r w:rsidRPr="009A7486">
        <w:rPr>
          <w:rFonts w:eastAsiaTheme="minorEastAsia"/>
          <w:b/>
          <w:bCs/>
          <w:sz w:val="24"/>
        </w:rPr>
        <w:t>年</w:t>
      </w:r>
      <w:r w:rsidRPr="009A7486">
        <w:rPr>
          <w:rFonts w:eastAsiaTheme="minorEastAsia"/>
          <w:b/>
          <w:bCs/>
          <w:sz w:val="24"/>
        </w:rPr>
        <w:t>1</w:t>
      </w:r>
      <w:r w:rsidRPr="009A7486">
        <w:rPr>
          <w:rFonts w:eastAsiaTheme="minorEastAsia"/>
          <w:b/>
          <w:bCs/>
          <w:sz w:val="24"/>
        </w:rPr>
        <w:t>月</w:t>
      </w:r>
      <w:r w:rsidRPr="009A7486">
        <w:rPr>
          <w:rFonts w:eastAsiaTheme="minorEastAsia"/>
          <w:b/>
          <w:bCs/>
          <w:sz w:val="24"/>
        </w:rPr>
        <w:t>19</w:t>
      </w:r>
      <w:r w:rsidRPr="009A7486">
        <w:rPr>
          <w:rFonts w:eastAsiaTheme="minorEastAsia"/>
          <w:b/>
          <w:bCs/>
          <w:sz w:val="24"/>
        </w:rPr>
        <w:t>日公告，该公司成都分行因内控管理严重失效，授信管理违规，违规办理信贷业务等严重违反审慎经营规则的违规行为收到中国银行业监督管理委员会四川监管局（以下简称</w:t>
      </w:r>
      <w:r w:rsidRPr="009A7486">
        <w:rPr>
          <w:rFonts w:eastAsiaTheme="minorEastAsia"/>
          <w:b/>
          <w:bCs/>
          <w:sz w:val="24"/>
        </w:rPr>
        <w:t>“</w:t>
      </w:r>
      <w:r w:rsidRPr="009A7486">
        <w:rPr>
          <w:rFonts w:eastAsiaTheme="minorEastAsia"/>
          <w:b/>
          <w:bCs/>
          <w:sz w:val="24"/>
        </w:rPr>
        <w:t>银监会四川监管局</w:t>
      </w:r>
      <w:r w:rsidRPr="009A7486">
        <w:rPr>
          <w:rFonts w:eastAsiaTheme="minorEastAsia"/>
          <w:b/>
          <w:bCs/>
          <w:sz w:val="24"/>
        </w:rPr>
        <w:t>”</w:t>
      </w:r>
      <w:r w:rsidRPr="009A7486">
        <w:rPr>
          <w:rFonts w:eastAsiaTheme="minorEastAsia"/>
          <w:b/>
          <w:bCs/>
          <w:sz w:val="24"/>
        </w:rPr>
        <w:t>）行政处罚决定书（川银监罚字【</w:t>
      </w:r>
      <w:r w:rsidRPr="009A7486">
        <w:rPr>
          <w:rFonts w:eastAsiaTheme="minorEastAsia"/>
          <w:b/>
          <w:bCs/>
          <w:sz w:val="24"/>
        </w:rPr>
        <w:t>2018</w:t>
      </w:r>
      <w:r w:rsidRPr="009A7486">
        <w:rPr>
          <w:rFonts w:eastAsiaTheme="minorEastAsia"/>
          <w:b/>
          <w:bCs/>
          <w:sz w:val="24"/>
        </w:rPr>
        <w:t>】</w:t>
      </w:r>
      <w:r w:rsidRPr="009A7486">
        <w:rPr>
          <w:rFonts w:eastAsiaTheme="minorEastAsia"/>
          <w:b/>
          <w:bCs/>
          <w:sz w:val="24"/>
        </w:rPr>
        <w:t>2</w:t>
      </w:r>
      <w:r w:rsidRPr="009A7486">
        <w:rPr>
          <w:rFonts w:eastAsiaTheme="minorEastAsia"/>
          <w:b/>
          <w:bCs/>
          <w:sz w:val="24"/>
        </w:rPr>
        <w:t>号），银监会四川监管局对成都分行执行罚款</w:t>
      </w:r>
      <w:r w:rsidRPr="009A7486">
        <w:rPr>
          <w:rFonts w:eastAsiaTheme="minorEastAsia"/>
          <w:b/>
          <w:bCs/>
          <w:sz w:val="24"/>
        </w:rPr>
        <w:t>46,175</w:t>
      </w:r>
      <w:r w:rsidRPr="009A7486">
        <w:rPr>
          <w:rFonts w:eastAsiaTheme="minorEastAsia"/>
          <w:b/>
          <w:bCs/>
          <w:sz w:val="24"/>
        </w:rPr>
        <w:t>万元人民币；另根据中国银行保险监督管理委员会行政处罚信息公开表（银监罚决字〔</w:t>
      </w:r>
      <w:r w:rsidRPr="009A7486">
        <w:rPr>
          <w:rFonts w:eastAsiaTheme="minorEastAsia"/>
          <w:b/>
          <w:bCs/>
          <w:sz w:val="24"/>
        </w:rPr>
        <w:t>2018</w:t>
      </w:r>
      <w:r w:rsidRPr="009A7486">
        <w:rPr>
          <w:rFonts w:eastAsiaTheme="minorEastAsia"/>
          <w:b/>
          <w:bCs/>
          <w:sz w:val="24"/>
        </w:rPr>
        <w:t>〕</w:t>
      </w:r>
      <w:r w:rsidRPr="009A7486">
        <w:rPr>
          <w:rFonts w:eastAsiaTheme="minorEastAsia"/>
          <w:b/>
          <w:bCs/>
          <w:sz w:val="24"/>
        </w:rPr>
        <w:t>4</w:t>
      </w:r>
      <w:r w:rsidRPr="009A7486">
        <w:rPr>
          <w:rFonts w:eastAsiaTheme="minorEastAsia"/>
          <w:b/>
          <w:bCs/>
          <w:sz w:val="24"/>
        </w:rPr>
        <w:t>号），上海浦东发展银行股份有限公司因内控管理严重违反审慎经营规则；通过资管计划投资分行协议存款，虚增一般存款；通过基础资产在理财产品之间的非公允交易进行收益调节等违反商业银行监管规定的违规行为受到中国银行保险监督管理委员会行政处罚，对该公司罚款</w:t>
      </w:r>
      <w:r w:rsidRPr="009A7486">
        <w:rPr>
          <w:rFonts w:eastAsiaTheme="minorEastAsia"/>
          <w:b/>
          <w:bCs/>
          <w:sz w:val="24"/>
        </w:rPr>
        <w:t>5845</w:t>
      </w:r>
      <w:r w:rsidRPr="009A7486">
        <w:rPr>
          <w:rFonts w:eastAsiaTheme="minorEastAsia"/>
          <w:b/>
          <w:bCs/>
          <w:sz w:val="24"/>
        </w:rPr>
        <w:t>万元，没收违法所得</w:t>
      </w:r>
      <w:r w:rsidRPr="009A7486">
        <w:rPr>
          <w:rFonts w:eastAsiaTheme="minorEastAsia"/>
          <w:b/>
          <w:bCs/>
          <w:sz w:val="24"/>
        </w:rPr>
        <w:t>10.927</w:t>
      </w:r>
      <w:r w:rsidRPr="009A7486">
        <w:rPr>
          <w:rFonts w:eastAsiaTheme="minorEastAsia"/>
          <w:b/>
          <w:bCs/>
          <w:sz w:val="24"/>
        </w:rPr>
        <w:t>万元，罚没合计</w:t>
      </w:r>
      <w:r w:rsidRPr="009A7486">
        <w:rPr>
          <w:rFonts w:eastAsiaTheme="minorEastAsia"/>
          <w:b/>
          <w:bCs/>
          <w:sz w:val="24"/>
        </w:rPr>
        <w:t>5855.927</w:t>
      </w:r>
      <w:r w:rsidRPr="009A7486">
        <w:rPr>
          <w:rFonts w:eastAsiaTheme="minorEastAsia"/>
          <w:b/>
          <w:bCs/>
          <w:sz w:val="24"/>
        </w:rPr>
        <w:t>万元。</w:t>
      </w:r>
    </w:p>
    <w:p w:rsidR="005C48D6" w:rsidRDefault="008F0294">
      <w:pPr>
        <w:spacing w:line="360" w:lineRule="auto"/>
        <w:rPr>
          <w:rFonts w:eastAsiaTheme="minorEastAsia"/>
          <w:bCs/>
          <w:color w:val="000000" w:themeColor="text1"/>
          <w:sz w:val="24"/>
        </w:rPr>
      </w:pPr>
      <w:r>
        <w:rPr>
          <w:rFonts w:eastAsiaTheme="minorEastAsia"/>
          <w:b/>
          <w:bCs/>
          <w:sz w:val="24"/>
        </w:rPr>
        <w:t>基金管理人认为，该银行上述被处罚事项有利于该银行加强内部管理，该银行当前总体生产经营和财务状况保持稳定，事件对该银行经营活动未产生实质性影响，不改变该银行基本面。</w:t>
      </w:r>
    </w:p>
    <w:p w:rsidR="005C48D6" w:rsidRDefault="008F0294">
      <w:pPr>
        <w:spacing w:line="360" w:lineRule="auto"/>
        <w:rPr>
          <w:rFonts w:eastAsiaTheme="minorEastAsia"/>
          <w:bCs/>
          <w:color w:val="000000" w:themeColor="text1"/>
          <w:sz w:val="24"/>
        </w:rPr>
      </w:pPr>
      <w:r>
        <w:rPr>
          <w:rFonts w:eastAsiaTheme="minorEastAsia"/>
          <w:b/>
          <w:bCs/>
          <w:sz w:val="24"/>
        </w:rPr>
        <w:t>本基金投资的前十名证券中，持有</w:t>
      </w:r>
      <w:r>
        <w:rPr>
          <w:rFonts w:eastAsiaTheme="minorEastAsia"/>
          <w:b/>
          <w:bCs/>
          <w:sz w:val="24"/>
        </w:rPr>
        <w:t>“18</w:t>
      </w:r>
      <w:r>
        <w:rPr>
          <w:rFonts w:eastAsiaTheme="minorEastAsia"/>
          <w:b/>
          <w:bCs/>
          <w:sz w:val="24"/>
        </w:rPr>
        <w:t>招商银行</w:t>
      </w:r>
      <w:r>
        <w:rPr>
          <w:rFonts w:eastAsiaTheme="minorEastAsia"/>
          <w:b/>
          <w:bCs/>
          <w:sz w:val="24"/>
        </w:rPr>
        <w:t>CD 114”</w:t>
      </w:r>
      <w:r>
        <w:rPr>
          <w:rFonts w:eastAsiaTheme="minorEastAsia"/>
          <w:b/>
          <w:bCs/>
          <w:sz w:val="24"/>
        </w:rPr>
        <w:t>市值</w:t>
      </w:r>
      <w:r>
        <w:rPr>
          <w:rFonts w:eastAsiaTheme="minorEastAsia"/>
          <w:b/>
          <w:bCs/>
          <w:sz w:val="24"/>
        </w:rPr>
        <w:t>199,340,000</w:t>
      </w:r>
      <w:r>
        <w:rPr>
          <w:rFonts w:eastAsiaTheme="minorEastAsia"/>
          <w:b/>
          <w:bCs/>
          <w:sz w:val="24"/>
        </w:rPr>
        <w:t>元，占基金资产净值</w:t>
      </w:r>
      <w:r>
        <w:rPr>
          <w:rFonts w:eastAsiaTheme="minorEastAsia"/>
          <w:b/>
          <w:bCs/>
          <w:sz w:val="24"/>
        </w:rPr>
        <w:t>2.79%</w:t>
      </w:r>
      <w:r>
        <w:rPr>
          <w:rFonts w:eastAsiaTheme="minorEastAsia"/>
          <w:b/>
          <w:bCs/>
          <w:sz w:val="24"/>
        </w:rPr>
        <w:t>。根据中国银行保险监督管理委员会行政处罚信息公开表（银监罚决字〔</w:t>
      </w:r>
      <w:r>
        <w:rPr>
          <w:rFonts w:eastAsiaTheme="minorEastAsia"/>
          <w:b/>
          <w:bCs/>
          <w:sz w:val="24"/>
        </w:rPr>
        <w:t>2018</w:t>
      </w:r>
      <w:r>
        <w:rPr>
          <w:rFonts w:eastAsiaTheme="minorEastAsia"/>
          <w:b/>
          <w:bCs/>
          <w:sz w:val="24"/>
        </w:rPr>
        <w:t>〕</w:t>
      </w:r>
      <w:r>
        <w:rPr>
          <w:rFonts w:eastAsiaTheme="minorEastAsia"/>
          <w:b/>
          <w:bCs/>
          <w:sz w:val="24"/>
        </w:rPr>
        <w:t>1</w:t>
      </w:r>
      <w:r>
        <w:rPr>
          <w:rFonts w:eastAsiaTheme="minorEastAsia"/>
          <w:b/>
          <w:bCs/>
          <w:sz w:val="24"/>
        </w:rPr>
        <w:t>号）</w:t>
      </w:r>
      <w:r>
        <w:rPr>
          <w:rFonts w:eastAsiaTheme="minorEastAsia"/>
          <w:b/>
          <w:bCs/>
          <w:sz w:val="24"/>
        </w:rPr>
        <w:t>,</w:t>
      </w:r>
      <w:r>
        <w:rPr>
          <w:rFonts w:eastAsiaTheme="minorEastAsia"/>
          <w:b/>
          <w:bCs/>
          <w:sz w:val="24"/>
        </w:rPr>
        <w:t>招商银行股份有限公司因内控管理严重违反审慎经营规则，违规批量转让以个人为借款主体的不良贷款，同业投资业务违规接受第三方金融机构信用担保等违反商业银行监管法规的违规行为受到中国银行保险监督管理委员会行政处罚，对该公司罚款</w:t>
      </w:r>
      <w:r>
        <w:rPr>
          <w:rFonts w:eastAsiaTheme="minorEastAsia"/>
          <w:b/>
          <w:bCs/>
          <w:sz w:val="24"/>
        </w:rPr>
        <w:t>6570</w:t>
      </w:r>
      <w:r>
        <w:rPr>
          <w:rFonts w:eastAsiaTheme="minorEastAsia"/>
          <w:b/>
          <w:bCs/>
          <w:sz w:val="24"/>
        </w:rPr>
        <w:t>万元，没收违法所得</w:t>
      </w:r>
      <w:r>
        <w:rPr>
          <w:rFonts w:eastAsiaTheme="minorEastAsia"/>
          <w:b/>
          <w:bCs/>
          <w:sz w:val="24"/>
        </w:rPr>
        <w:t>3.024</w:t>
      </w:r>
      <w:r>
        <w:rPr>
          <w:rFonts w:eastAsiaTheme="minorEastAsia"/>
          <w:b/>
          <w:bCs/>
          <w:sz w:val="24"/>
        </w:rPr>
        <w:t>万元，罚没合计</w:t>
      </w:r>
      <w:r>
        <w:rPr>
          <w:rFonts w:eastAsiaTheme="minorEastAsia"/>
          <w:b/>
          <w:bCs/>
          <w:sz w:val="24"/>
        </w:rPr>
        <w:t>6573.024</w:t>
      </w:r>
      <w:r>
        <w:rPr>
          <w:rFonts w:eastAsiaTheme="minorEastAsia"/>
          <w:b/>
          <w:bCs/>
          <w:sz w:val="24"/>
        </w:rPr>
        <w:t>万元。</w:t>
      </w:r>
    </w:p>
    <w:p w:rsidR="005C48D6" w:rsidRDefault="008F0294">
      <w:pPr>
        <w:spacing w:line="360" w:lineRule="auto"/>
        <w:rPr>
          <w:rFonts w:eastAsiaTheme="minorEastAsia"/>
          <w:bCs/>
          <w:color w:val="000000" w:themeColor="text1"/>
          <w:sz w:val="24"/>
        </w:rPr>
      </w:pPr>
      <w:r>
        <w:rPr>
          <w:rFonts w:eastAsiaTheme="minorEastAsia"/>
          <w:b/>
          <w:bCs/>
          <w:sz w:val="24"/>
        </w:rPr>
        <w:t>基金管理人认为，该银行上述被处罚事项有利于公司加强内部管理，银行当前总体生产经营和财务状况保持稳定，事件对该银行经营活动未产生实质性影响，不改变该银行基本面。</w:t>
      </w:r>
    </w:p>
    <w:p w:rsidR="005C48D6" w:rsidRDefault="008F0294">
      <w:pPr>
        <w:spacing w:line="360" w:lineRule="auto"/>
        <w:rPr>
          <w:rFonts w:eastAsiaTheme="minorEastAsia"/>
          <w:bCs/>
          <w:color w:val="000000" w:themeColor="text1"/>
          <w:sz w:val="24"/>
        </w:rPr>
      </w:pPr>
      <w:r>
        <w:rPr>
          <w:rFonts w:eastAsiaTheme="minorEastAsia"/>
          <w:b/>
          <w:bCs/>
          <w:sz w:val="24"/>
        </w:rPr>
        <w:t>本基金投资的前十名证券中，持有</w:t>
      </w:r>
      <w:r>
        <w:rPr>
          <w:rFonts w:eastAsiaTheme="minorEastAsia"/>
          <w:b/>
          <w:bCs/>
          <w:sz w:val="24"/>
        </w:rPr>
        <w:t>“18</w:t>
      </w:r>
      <w:r>
        <w:rPr>
          <w:rFonts w:eastAsiaTheme="minorEastAsia"/>
          <w:b/>
          <w:bCs/>
          <w:sz w:val="24"/>
        </w:rPr>
        <w:t>交通银行</w:t>
      </w:r>
      <w:r>
        <w:rPr>
          <w:rFonts w:eastAsiaTheme="minorEastAsia"/>
          <w:b/>
          <w:bCs/>
          <w:sz w:val="24"/>
        </w:rPr>
        <w:t>CD216”</w:t>
      </w:r>
      <w:r>
        <w:rPr>
          <w:rFonts w:eastAsiaTheme="minorEastAsia"/>
          <w:b/>
          <w:bCs/>
          <w:sz w:val="24"/>
        </w:rPr>
        <w:t>市值</w:t>
      </w:r>
      <w:r>
        <w:rPr>
          <w:rFonts w:eastAsiaTheme="minorEastAsia"/>
          <w:b/>
          <w:bCs/>
          <w:sz w:val="24"/>
        </w:rPr>
        <w:t>297,900,000</w:t>
      </w:r>
      <w:r>
        <w:rPr>
          <w:rFonts w:eastAsiaTheme="minorEastAsia"/>
          <w:b/>
          <w:bCs/>
          <w:sz w:val="24"/>
        </w:rPr>
        <w:t>元，占基金资产净值</w:t>
      </w:r>
      <w:r>
        <w:rPr>
          <w:rFonts w:eastAsiaTheme="minorEastAsia"/>
          <w:b/>
          <w:bCs/>
          <w:sz w:val="24"/>
        </w:rPr>
        <w:t>4.18%</w:t>
      </w:r>
      <w:r>
        <w:rPr>
          <w:rFonts w:eastAsiaTheme="minorEastAsia"/>
          <w:b/>
          <w:bCs/>
          <w:sz w:val="24"/>
        </w:rPr>
        <w:t>。根据中国银行保险监督管理委员会行政处罚信息公开表（银保监银罚决字〔</w:t>
      </w:r>
      <w:r>
        <w:rPr>
          <w:rFonts w:eastAsiaTheme="minorEastAsia"/>
          <w:b/>
          <w:bCs/>
          <w:sz w:val="24"/>
        </w:rPr>
        <w:t>2018</w:t>
      </w:r>
      <w:r>
        <w:rPr>
          <w:rFonts w:eastAsiaTheme="minorEastAsia"/>
          <w:b/>
          <w:bCs/>
          <w:sz w:val="24"/>
        </w:rPr>
        <w:t>〕</w:t>
      </w:r>
      <w:r>
        <w:rPr>
          <w:rFonts w:eastAsiaTheme="minorEastAsia"/>
          <w:b/>
          <w:bCs/>
          <w:sz w:val="24"/>
        </w:rPr>
        <w:t>12</w:t>
      </w:r>
      <w:r>
        <w:rPr>
          <w:rFonts w:eastAsiaTheme="minorEastAsia"/>
          <w:b/>
          <w:bCs/>
          <w:sz w:val="24"/>
        </w:rPr>
        <w:t>号和银保监银罚决字〔</w:t>
      </w:r>
      <w:r>
        <w:rPr>
          <w:rFonts w:eastAsiaTheme="minorEastAsia"/>
          <w:b/>
          <w:bCs/>
          <w:sz w:val="24"/>
        </w:rPr>
        <w:t>2018</w:t>
      </w:r>
      <w:r>
        <w:rPr>
          <w:rFonts w:eastAsiaTheme="minorEastAsia"/>
          <w:b/>
          <w:bCs/>
          <w:sz w:val="24"/>
        </w:rPr>
        <w:t>〕</w:t>
      </w:r>
      <w:r>
        <w:rPr>
          <w:rFonts w:eastAsiaTheme="minorEastAsia"/>
          <w:b/>
          <w:bCs/>
          <w:sz w:val="24"/>
        </w:rPr>
        <w:t>13</w:t>
      </w:r>
      <w:r>
        <w:rPr>
          <w:rFonts w:eastAsiaTheme="minorEastAsia"/>
          <w:b/>
          <w:bCs/>
          <w:sz w:val="24"/>
        </w:rPr>
        <w:t>号），交通银行股份有限公司因不良信贷资产未洁净转让、理财资金投资本行不良信贷资产收益权等违规行为受到中国银行保险监督管理委员会行政处罚，对其罚款</w:t>
      </w:r>
      <w:r>
        <w:rPr>
          <w:rFonts w:eastAsiaTheme="minorEastAsia"/>
          <w:b/>
          <w:bCs/>
          <w:sz w:val="24"/>
        </w:rPr>
        <w:t>690</w:t>
      </w:r>
      <w:r>
        <w:rPr>
          <w:rFonts w:eastAsiaTheme="minorEastAsia"/>
          <w:b/>
          <w:bCs/>
          <w:sz w:val="24"/>
        </w:rPr>
        <w:t>万元，因并购贷款占并购交易价款比例不合规、并购贷款尽职调查和风险评估不到位违规行为受到中国银行保险监督管理委员会行政处罚，对其罚款</w:t>
      </w:r>
      <w:r>
        <w:rPr>
          <w:rFonts w:eastAsiaTheme="minorEastAsia"/>
          <w:b/>
          <w:bCs/>
          <w:sz w:val="24"/>
        </w:rPr>
        <w:t>50</w:t>
      </w:r>
      <w:r>
        <w:rPr>
          <w:rFonts w:eastAsiaTheme="minorEastAsia"/>
          <w:b/>
          <w:bCs/>
          <w:sz w:val="24"/>
        </w:rPr>
        <w:t>万元。</w:t>
      </w:r>
    </w:p>
    <w:p w:rsidR="005C48D6" w:rsidRDefault="008F0294">
      <w:pPr>
        <w:spacing w:line="360" w:lineRule="auto"/>
        <w:rPr>
          <w:rFonts w:eastAsiaTheme="minorEastAsia"/>
          <w:bCs/>
          <w:color w:val="000000" w:themeColor="text1"/>
          <w:sz w:val="24"/>
        </w:rPr>
      </w:pPr>
      <w:r>
        <w:rPr>
          <w:rFonts w:eastAsiaTheme="minorEastAsia"/>
          <w:b/>
          <w:bCs/>
          <w:sz w:val="24"/>
        </w:rPr>
        <w:t>基金管理人认为，该银行上述被处罚事项有利于该银行加强内部管理，该银行当前总体生产经营和财务状况保持稳定，事件对该银行经营活动未产生实质性影响，不改变该银行基本面。</w:t>
      </w:r>
    </w:p>
    <w:p w:rsidR="005C48D6" w:rsidRDefault="008F0294">
      <w:pPr>
        <w:spacing w:line="360" w:lineRule="auto"/>
        <w:rPr>
          <w:rFonts w:eastAsiaTheme="minorEastAsia"/>
          <w:bCs/>
          <w:color w:val="000000" w:themeColor="text1"/>
          <w:sz w:val="24"/>
        </w:rPr>
      </w:pPr>
      <w:r>
        <w:rPr>
          <w:rFonts w:eastAsiaTheme="minorEastAsia"/>
          <w:b/>
          <w:bCs/>
          <w:sz w:val="24"/>
        </w:rPr>
        <w:t>本基金对上述证券的投资严格执行了基金管理人规定的投资决策程序。</w:t>
      </w:r>
    </w:p>
    <w:p w:rsidR="005C48D6" w:rsidRDefault="008F0294">
      <w:pPr>
        <w:spacing w:line="360" w:lineRule="auto"/>
        <w:rPr>
          <w:rFonts w:eastAsiaTheme="minorEastAsia"/>
          <w:bCs/>
          <w:color w:val="000000" w:themeColor="text1"/>
          <w:sz w:val="24"/>
        </w:rPr>
      </w:pPr>
      <w:r>
        <w:rPr>
          <w:rFonts w:eastAsiaTheme="minorEastAsia"/>
          <w:b/>
          <w:bCs/>
          <w:sz w:val="24"/>
        </w:rPr>
        <w:t>除上述情况外，本基金投资的前十名证券的发行主体本期没有被监管部门立案调查的，在报告编制日前一年内未受到公开谴责、处罚。</w:t>
      </w:r>
    </w:p>
    <w:p w:rsidR="001C2813" w:rsidRPr="009A7486" w:rsidRDefault="001C2813" w:rsidP="002855D4">
      <w:pPr>
        <w:pStyle w:val="20"/>
        <w:spacing w:beforeLines="10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8.9.</w:t>
      </w:r>
      <w:r w:rsidR="008A28D4" w:rsidRPr="009A7486">
        <w:rPr>
          <w:rFonts w:ascii="Times New Roman" w:eastAsiaTheme="minorEastAsia" w:hAnsi="Times New Roman" w:cs="Times New Roman"/>
          <w:color w:val="000000" w:themeColor="text1"/>
          <w:kern w:val="0"/>
          <w:szCs w:val="24"/>
        </w:rPr>
        <w:t>3</w:t>
      </w:r>
      <w:r w:rsidRPr="009A7486">
        <w:rPr>
          <w:rFonts w:ascii="Times New Roman" w:eastAsiaTheme="minorEastAsia" w:hAnsi="Times New Roman" w:cs="Times New Roman"/>
          <w:color w:val="000000" w:themeColor="text1"/>
          <w:kern w:val="0"/>
          <w:szCs w:val="24"/>
        </w:rPr>
        <w:t>期末其他各项资产构成</w:t>
      </w:r>
    </w:p>
    <w:p w:rsidR="006D141C" w:rsidRPr="009A7486" w:rsidRDefault="005B4215" w:rsidP="004B36C2">
      <w:pPr>
        <w:autoSpaceDE w:val="0"/>
        <w:autoSpaceDN w:val="0"/>
        <w:adjustRightInd w:val="0"/>
        <w:spacing w:before="29" w:line="360" w:lineRule="auto"/>
        <w:ind w:left="15"/>
        <w:jc w:val="right"/>
        <w:rPr>
          <w:rFonts w:eastAsiaTheme="minorEastAsia"/>
          <w:color w:val="000000" w:themeColor="text1"/>
          <w:kern w:val="0"/>
          <w:sz w:val="24"/>
        </w:rPr>
      </w:pPr>
      <w:r w:rsidRPr="009A7486">
        <w:rPr>
          <w:rFonts w:eastAsiaTheme="minorEastAsia"/>
          <w:color w:val="000000" w:themeColor="text1"/>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65"/>
        <w:gridCol w:w="4117"/>
        <w:gridCol w:w="4118"/>
      </w:tblGrid>
      <w:tr w:rsidR="00226A6C" w:rsidRPr="009A7486"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序号</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名称</w:t>
            </w:r>
          </w:p>
        </w:tc>
        <w:tc>
          <w:tcPr>
            <w:tcW w:w="4118"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金额</w:t>
            </w:r>
          </w:p>
        </w:tc>
      </w:tr>
      <w:tr w:rsidR="00226A6C" w:rsidRPr="009A7486"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9A7486" w:rsidRDefault="008A2C8A" w:rsidP="004B36C2">
            <w:pPr>
              <w:spacing w:line="360" w:lineRule="auto"/>
              <w:jc w:val="center"/>
              <w:rPr>
                <w:rFonts w:eastAsiaTheme="minorEastAsia"/>
                <w:color w:val="000000" w:themeColor="text1"/>
                <w:sz w:val="24"/>
              </w:rPr>
            </w:pPr>
            <w:r w:rsidRPr="009A7486">
              <w:rPr>
                <w:rFonts w:eastAsiaTheme="minorEastAsia"/>
                <w:color w:val="000000" w:themeColor="text1"/>
                <w:sz w:val="24"/>
              </w:rPr>
              <w:t>1</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存出保证金</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autoSpaceDE w:val="0"/>
              <w:autoSpaceDN w:val="0"/>
              <w:adjustRightInd w:val="0"/>
              <w:spacing w:before="29" w:line="360" w:lineRule="auto"/>
              <w:ind w:left="15"/>
              <w:jc w:val="right"/>
              <w:rPr>
                <w:rFonts w:eastAsiaTheme="minorEastAsia"/>
                <w:color w:val="000000" w:themeColor="text1"/>
                <w:sz w:val="24"/>
              </w:rPr>
            </w:pPr>
            <w:r w:rsidRPr="009A7486">
              <w:rPr>
                <w:rFonts w:eastAsiaTheme="minorEastAsia"/>
                <w:color w:val="000000" w:themeColor="text1"/>
                <w:sz w:val="24"/>
              </w:rPr>
              <w:t>34,354.68</w:t>
            </w:r>
          </w:p>
        </w:tc>
      </w:tr>
      <w:tr w:rsidR="00226A6C" w:rsidRPr="009A7486"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2</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应收证券清算款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autoSpaceDE w:val="0"/>
              <w:autoSpaceDN w:val="0"/>
              <w:adjustRightInd w:val="0"/>
              <w:spacing w:before="29" w:line="360" w:lineRule="auto"/>
              <w:ind w:left="15"/>
              <w:jc w:val="right"/>
              <w:rPr>
                <w:rFonts w:eastAsiaTheme="minorEastAsia"/>
                <w:color w:val="000000" w:themeColor="text1"/>
                <w:sz w:val="24"/>
              </w:rPr>
            </w:pPr>
            <w:r w:rsidRPr="009A7486">
              <w:rPr>
                <w:rFonts w:eastAsiaTheme="minorEastAsia"/>
                <w:color w:val="000000" w:themeColor="text1"/>
                <w:sz w:val="24"/>
              </w:rPr>
              <w:t>-</w:t>
            </w:r>
          </w:p>
        </w:tc>
      </w:tr>
      <w:tr w:rsidR="00226A6C" w:rsidRPr="009A7486"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9A7486" w:rsidRDefault="001C2813" w:rsidP="004B36C2">
            <w:pPr>
              <w:spacing w:line="360" w:lineRule="auto"/>
              <w:jc w:val="center"/>
              <w:rPr>
                <w:rFonts w:eastAsiaTheme="minorEastAsia"/>
                <w:color w:val="000000" w:themeColor="text1"/>
                <w:sz w:val="24"/>
              </w:rPr>
            </w:pPr>
            <w:r w:rsidRPr="009A7486">
              <w:rPr>
                <w:rFonts w:eastAsiaTheme="minorEastAsia"/>
                <w:color w:val="000000" w:themeColor="text1"/>
                <w:sz w:val="24"/>
              </w:rPr>
              <w:t>3</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应收利息</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autoSpaceDE w:val="0"/>
              <w:autoSpaceDN w:val="0"/>
              <w:adjustRightInd w:val="0"/>
              <w:spacing w:before="29" w:line="360" w:lineRule="auto"/>
              <w:ind w:left="15"/>
              <w:jc w:val="right"/>
              <w:rPr>
                <w:rFonts w:eastAsiaTheme="minorEastAsia"/>
                <w:color w:val="000000" w:themeColor="text1"/>
                <w:sz w:val="24"/>
              </w:rPr>
            </w:pPr>
            <w:r w:rsidRPr="009A7486">
              <w:rPr>
                <w:rFonts w:eastAsiaTheme="minorEastAsia"/>
                <w:color w:val="000000" w:themeColor="text1"/>
                <w:sz w:val="24"/>
              </w:rPr>
              <w:t>62,331,609.52</w:t>
            </w:r>
          </w:p>
        </w:tc>
      </w:tr>
      <w:tr w:rsidR="00226A6C" w:rsidRPr="009A7486"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9A7486" w:rsidRDefault="001C2813" w:rsidP="004B36C2">
            <w:pPr>
              <w:spacing w:line="360" w:lineRule="auto"/>
              <w:jc w:val="center"/>
              <w:rPr>
                <w:rFonts w:eastAsiaTheme="minorEastAsia"/>
                <w:color w:val="000000" w:themeColor="text1"/>
                <w:sz w:val="24"/>
              </w:rPr>
            </w:pPr>
            <w:r w:rsidRPr="009A7486">
              <w:rPr>
                <w:rFonts w:eastAsiaTheme="minorEastAsia"/>
                <w:color w:val="000000" w:themeColor="text1"/>
                <w:sz w:val="24"/>
              </w:rPr>
              <w:t>4</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应收申购款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autoSpaceDE w:val="0"/>
              <w:autoSpaceDN w:val="0"/>
              <w:adjustRightInd w:val="0"/>
              <w:spacing w:before="29" w:line="360" w:lineRule="auto"/>
              <w:ind w:left="15"/>
              <w:jc w:val="right"/>
              <w:rPr>
                <w:rFonts w:eastAsiaTheme="minorEastAsia"/>
                <w:color w:val="000000" w:themeColor="text1"/>
                <w:sz w:val="24"/>
              </w:rPr>
            </w:pPr>
            <w:r w:rsidRPr="009A7486">
              <w:rPr>
                <w:rFonts w:eastAsiaTheme="minorEastAsia"/>
                <w:color w:val="000000" w:themeColor="text1"/>
                <w:sz w:val="24"/>
              </w:rPr>
              <w:t>2,511,646.17</w:t>
            </w:r>
          </w:p>
        </w:tc>
      </w:tr>
      <w:tr w:rsidR="00226A6C" w:rsidRPr="009A7486"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9A7486" w:rsidRDefault="001C2813" w:rsidP="004B36C2">
            <w:pPr>
              <w:spacing w:line="360" w:lineRule="auto"/>
              <w:jc w:val="center"/>
              <w:rPr>
                <w:rFonts w:eastAsiaTheme="minorEastAsia"/>
                <w:color w:val="000000" w:themeColor="text1"/>
                <w:sz w:val="24"/>
              </w:rPr>
            </w:pPr>
            <w:r w:rsidRPr="009A7486">
              <w:rPr>
                <w:rFonts w:eastAsiaTheme="minorEastAsia"/>
                <w:color w:val="000000" w:themeColor="text1"/>
                <w:sz w:val="24"/>
              </w:rPr>
              <w:t>5</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其他应收款</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autoSpaceDE w:val="0"/>
              <w:autoSpaceDN w:val="0"/>
              <w:adjustRightInd w:val="0"/>
              <w:spacing w:before="29" w:line="360" w:lineRule="auto"/>
              <w:ind w:left="15"/>
              <w:jc w:val="right"/>
              <w:rPr>
                <w:rFonts w:eastAsiaTheme="minorEastAsia"/>
                <w:color w:val="000000" w:themeColor="text1"/>
                <w:sz w:val="24"/>
              </w:rPr>
            </w:pPr>
            <w:r w:rsidRPr="009A7486">
              <w:rPr>
                <w:rFonts w:eastAsiaTheme="minorEastAsia"/>
                <w:color w:val="000000" w:themeColor="text1"/>
                <w:sz w:val="24"/>
              </w:rPr>
              <w:t>-</w:t>
            </w:r>
          </w:p>
        </w:tc>
      </w:tr>
      <w:tr w:rsidR="00226A6C" w:rsidRPr="009A7486" w:rsidTr="006D141C">
        <w:tc>
          <w:tcPr>
            <w:tcW w:w="765" w:type="dxa"/>
            <w:tcBorders>
              <w:top w:val="single" w:sz="4" w:space="0" w:color="000000"/>
              <w:left w:val="single" w:sz="4" w:space="0" w:color="000000"/>
              <w:bottom w:val="single" w:sz="4" w:space="0" w:color="000000"/>
              <w:right w:val="single" w:sz="4" w:space="0" w:color="000000"/>
            </w:tcBorders>
            <w:hideMark/>
          </w:tcPr>
          <w:p w:rsidR="006D141C" w:rsidRPr="009A7486" w:rsidRDefault="001C2813" w:rsidP="004B36C2">
            <w:pPr>
              <w:spacing w:line="360" w:lineRule="auto"/>
              <w:jc w:val="center"/>
              <w:rPr>
                <w:rFonts w:eastAsiaTheme="minorEastAsia"/>
                <w:color w:val="000000" w:themeColor="text1"/>
                <w:sz w:val="24"/>
              </w:rPr>
            </w:pPr>
            <w:r w:rsidRPr="009A7486">
              <w:rPr>
                <w:rFonts w:eastAsiaTheme="minorEastAsia"/>
                <w:color w:val="000000" w:themeColor="text1"/>
                <w:sz w:val="24"/>
              </w:rPr>
              <w:t>6</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待摊费用</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autoSpaceDE w:val="0"/>
              <w:autoSpaceDN w:val="0"/>
              <w:adjustRightInd w:val="0"/>
              <w:spacing w:before="29" w:line="360" w:lineRule="auto"/>
              <w:ind w:left="15"/>
              <w:jc w:val="right"/>
              <w:rPr>
                <w:rFonts w:eastAsiaTheme="minorEastAsia"/>
                <w:color w:val="000000" w:themeColor="text1"/>
                <w:sz w:val="24"/>
              </w:rPr>
            </w:pPr>
            <w:r w:rsidRPr="009A7486">
              <w:rPr>
                <w:rFonts w:eastAsiaTheme="minorEastAsia"/>
                <w:color w:val="000000" w:themeColor="text1"/>
                <w:sz w:val="24"/>
              </w:rPr>
              <w:t>-</w:t>
            </w:r>
          </w:p>
        </w:tc>
      </w:tr>
      <w:tr w:rsidR="00226A6C" w:rsidRPr="009A7486"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autoSpaceDE w:val="0"/>
              <w:autoSpaceDN w:val="0"/>
              <w:adjustRightInd w:val="0"/>
              <w:spacing w:before="29" w:line="360" w:lineRule="auto"/>
              <w:ind w:left="15"/>
              <w:jc w:val="center"/>
              <w:rPr>
                <w:rFonts w:eastAsiaTheme="minorEastAsia"/>
                <w:color w:val="000000" w:themeColor="text1"/>
                <w:sz w:val="24"/>
              </w:rPr>
            </w:pPr>
            <w:r w:rsidRPr="009A7486">
              <w:rPr>
                <w:rFonts w:eastAsiaTheme="minorEastAsia"/>
                <w:color w:val="000000" w:themeColor="text1"/>
                <w:sz w:val="24"/>
              </w:rPr>
              <w:t>7</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其他</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autoSpaceDE w:val="0"/>
              <w:autoSpaceDN w:val="0"/>
              <w:adjustRightInd w:val="0"/>
              <w:spacing w:before="29" w:line="360" w:lineRule="auto"/>
              <w:ind w:left="15"/>
              <w:jc w:val="right"/>
              <w:rPr>
                <w:rFonts w:eastAsiaTheme="minorEastAsia"/>
                <w:color w:val="000000" w:themeColor="text1"/>
                <w:sz w:val="24"/>
              </w:rPr>
            </w:pPr>
            <w:r w:rsidRPr="009A7486">
              <w:rPr>
                <w:rFonts w:eastAsiaTheme="minorEastAsia"/>
                <w:color w:val="000000" w:themeColor="text1"/>
                <w:sz w:val="24"/>
              </w:rPr>
              <w:t>-</w:t>
            </w:r>
          </w:p>
        </w:tc>
      </w:tr>
      <w:tr w:rsidR="00226A6C" w:rsidRPr="009A7486" w:rsidTr="006D141C">
        <w:tc>
          <w:tcPr>
            <w:tcW w:w="765"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autoSpaceDE w:val="0"/>
              <w:autoSpaceDN w:val="0"/>
              <w:adjustRightInd w:val="0"/>
              <w:spacing w:before="29" w:line="360" w:lineRule="auto"/>
              <w:ind w:left="15"/>
              <w:jc w:val="center"/>
              <w:rPr>
                <w:rFonts w:eastAsiaTheme="minorEastAsia"/>
                <w:color w:val="000000" w:themeColor="text1"/>
                <w:sz w:val="24"/>
              </w:rPr>
            </w:pPr>
            <w:r w:rsidRPr="009A7486">
              <w:rPr>
                <w:rFonts w:eastAsiaTheme="minorEastAsia"/>
                <w:color w:val="000000" w:themeColor="text1"/>
                <w:sz w:val="24"/>
              </w:rPr>
              <w:t>8</w:t>
            </w:r>
          </w:p>
        </w:tc>
        <w:tc>
          <w:tcPr>
            <w:tcW w:w="4117" w:type="dxa"/>
            <w:tcBorders>
              <w:top w:val="single" w:sz="4" w:space="0" w:color="000000"/>
              <w:left w:val="single" w:sz="4" w:space="0" w:color="000000"/>
              <w:bottom w:val="single" w:sz="4" w:space="0" w:color="000000"/>
              <w:right w:val="single" w:sz="4" w:space="0" w:color="000000"/>
            </w:tcBorders>
            <w:hideMark/>
          </w:tcPr>
          <w:p w:rsidR="006D141C" w:rsidRPr="009A7486" w:rsidRDefault="006D141C" w:rsidP="004B36C2">
            <w:pPr>
              <w:spacing w:line="360" w:lineRule="auto"/>
              <w:ind w:leftChars="50" w:left="105"/>
              <w:rPr>
                <w:rFonts w:eastAsiaTheme="minorEastAsia"/>
                <w:color w:val="000000" w:themeColor="text1"/>
                <w:sz w:val="24"/>
              </w:rPr>
            </w:pPr>
            <w:r w:rsidRPr="009A7486">
              <w:rPr>
                <w:rFonts w:eastAsiaTheme="minorEastAsia"/>
                <w:color w:val="000000" w:themeColor="text1"/>
                <w:sz w:val="24"/>
              </w:rPr>
              <w:t>合计</w:t>
            </w:r>
          </w:p>
        </w:tc>
        <w:tc>
          <w:tcPr>
            <w:tcW w:w="4118"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autoSpaceDE w:val="0"/>
              <w:autoSpaceDN w:val="0"/>
              <w:adjustRightInd w:val="0"/>
              <w:spacing w:before="29" w:line="360" w:lineRule="auto"/>
              <w:ind w:left="15"/>
              <w:jc w:val="right"/>
              <w:rPr>
                <w:rFonts w:eastAsiaTheme="minorEastAsia"/>
                <w:color w:val="000000" w:themeColor="text1"/>
                <w:sz w:val="24"/>
              </w:rPr>
            </w:pPr>
            <w:r w:rsidRPr="009A7486">
              <w:rPr>
                <w:rFonts w:eastAsiaTheme="minorEastAsia"/>
                <w:color w:val="000000" w:themeColor="text1"/>
                <w:sz w:val="24"/>
              </w:rPr>
              <w:t>64,877,610.37</w:t>
            </w:r>
          </w:p>
        </w:tc>
      </w:tr>
    </w:tbl>
    <w:p w:rsidR="006D141C" w:rsidRPr="009A7486" w:rsidRDefault="006D141C" w:rsidP="002855D4">
      <w:pPr>
        <w:pStyle w:val="20"/>
        <w:spacing w:beforeLines="10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8.9.</w:t>
      </w:r>
      <w:r w:rsidR="008A28D4" w:rsidRPr="009A7486">
        <w:rPr>
          <w:rFonts w:ascii="Times New Roman" w:eastAsiaTheme="minorEastAsia" w:hAnsi="Times New Roman" w:cs="Times New Roman"/>
          <w:color w:val="000000" w:themeColor="text1"/>
          <w:kern w:val="0"/>
          <w:szCs w:val="24"/>
        </w:rPr>
        <w:t>4</w:t>
      </w:r>
      <w:r w:rsidR="00EC034B" w:rsidRPr="009A7486">
        <w:rPr>
          <w:rFonts w:ascii="Times New Roman" w:eastAsiaTheme="minorEastAsia" w:hAnsi="Times New Roman" w:cs="Times New Roman"/>
          <w:color w:val="000000" w:themeColor="text1"/>
          <w:kern w:val="0"/>
          <w:szCs w:val="24"/>
        </w:rPr>
        <w:t>其他需说明的重要事项标题</w:t>
      </w:r>
    </w:p>
    <w:p w:rsidR="006D141C" w:rsidRPr="009A7486" w:rsidRDefault="006D141C"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sz w:val="24"/>
        </w:rPr>
        <w:t>由于四舍五入的原因，分项之和与合计项之间可能存在尾差。</w:t>
      </w:r>
    </w:p>
    <w:p w:rsidR="006D141C" w:rsidRPr="009A7486" w:rsidRDefault="006D141C" w:rsidP="002855D4">
      <w:pPr>
        <w:pStyle w:val="1"/>
        <w:keepNext/>
        <w:keepLines/>
        <w:widowControl w:val="0"/>
        <w:spacing w:beforeLines="100" w:afterLines="100" w:line="360" w:lineRule="auto"/>
        <w:jc w:val="center"/>
        <w:rPr>
          <w:rFonts w:eastAsiaTheme="minorEastAsia"/>
          <w:b/>
          <w:bCs/>
          <w:color w:val="000000" w:themeColor="text1"/>
          <w:szCs w:val="24"/>
          <w:lang w:val="en-US"/>
        </w:rPr>
      </w:pPr>
      <w:bookmarkStart w:id="31" w:name="_Toc331410111"/>
      <w:bookmarkStart w:id="32" w:name="_Toc225500050"/>
      <w:r w:rsidRPr="009A7486">
        <w:rPr>
          <w:rFonts w:eastAsiaTheme="minorEastAsia"/>
          <w:b/>
          <w:bCs/>
          <w:color w:val="000000" w:themeColor="text1"/>
          <w:szCs w:val="24"/>
          <w:lang w:val="en-US"/>
        </w:rPr>
        <w:t>§</w:t>
      </w:r>
      <w:r w:rsidR="00AA0467" w:rsidRPr="009A7486">
        <w:rPr>
          <w:rFonts w:eastAsiaTheme="minorEastAsia"/>
          <w:b/>
          <w:bCs/>
          <w:color w:val="000000" w:themeColor="text1"/>
          <w:szCs w:val="24"/>
          <w:lang w:val="en-US"/>
        </w:rPr>
        <w:t>9</w:t>
      </w:r>
      <w:r w:rsidRPr="009A7486">
        <w:rPr>
          <w:rFonts w:eastAsiaTheme="minorEastAsia"/>
          <w:b/>
          <w:bCs/>
          <w:color w:val="000000" w:themeColor="text1"/>
          <w:szCs w:val="24"/>
          <w:lang w:val="en-US"/>
        </w:rPr>
        <w:t>基金份额持有人信息</w:t>
      </w:r>
      <w:bookmarkEnd w:id="31"/>
      <w:bookmarkEnd w:id="32"/>
    </w:p>
    <w:p w:rsidR="00A66BB5" w:rsidRPr="009A7486" w:rsidRDefault="00A66BB5" w:rsidP="00CB1276">
      <w:pPr>
        <w:pStyle w:val="20"/>
        <w:spacing w:before="0" w:after="0"/>
        <w:rPr>
          <w:rFonts w:ascii="Times New Roman" w:eastAsiaTheme="minorEastAsia" w:hAnsi="Times New Roman" w:cs="Times New Roman"/>
          <w:color w:val="000000" w:themeColor="text1"/>
          <w:kern w:val="0"/>
          <w:szCs w:val="24"/>
        </w:rPr>
      </w:pPr>
      <w:bookmarkStart w:id="33" w:name="_Toc331410112"/>
      <w:bookmarkStart w:id="34" w:name="_Toc225500051"/>
      <w:r w:rsidRPr="009A7486">
        <w:rPr>
          <w:rFonts w:ascii="Times New Roman" w:eastAsiaTheme="minorEastAsia" w:hAnsi="Times New Roman" w:cs="Times New Roman"/>
          <w:color w:val="000000" w:themeColor="text1"/>
          <w:kern w:val="0"/>
          <w:szCs w:val="24"/>
        </w:rPr>
        <w:t xml:space="preserve">9.1 </w:t>
      </w:r>
      <w:r w:rsidRPr="009A7486">
        <w:rPr>
          <w:rFonts w:ascii="Times New Roman" w:eastAsiaTheme="minorEastAsia" w:hAnsi="Times New Roman" w:cs="Times New Roman"/>
          <w:color w:val="000000" w:themeColor="text1"/>
          <w:kern w:val="0"/>
          <w:szCs w:val="24"/>
        </w:rPr>
        <w:t>期末基金份额持有人户数及持有人结构</w:t>
      </w:r>
      <w:bookmarkEnd w:id="33"/>
      <w:bookmarkEnd w:id="34"/>
    </w:p>
    <w:p w:rsidR="00A85DBF" w:rsidRPr="009A7486" w:rsidRDefault="00A85DBF" w:rsidP="00A85DBF">
      <w:pPr>
        <w:autoSpaceDE w:val="0"/>
        <w:autoSpaceDN w:val="0"/>
        <w:adjustRightInd w:val="0"/>
        <w:spacing w:before="29" w:line="360" w:lineRule="auto"/>
        <w:ind w:left="15"/>
        <w:jc w:val="right"/>
        <w:rPr>
          <w:rFonts w:eastAsiaTheme="minorEastAsia"/>
          <w:color w:val="000000" w:themeColor="text1"/>
          <w:sz w:val="24"/>
        </w:rPr>
      </w:pPr>
      <w:r w:rsidRPr="009A7486">
        <w:rPr>
          <w:rFonts w:eastAsiaTheme="minorEastAsia"/>
          <w:color w:val="000000" w:themeColor="text1"/>
          <w:sz w:val="24"/>
        </w:rPr>
        <w:t>份额单位：份</w:t>
      </w:r>
    </w:p>
    <w:p w:rsidR="00A85DBF" w:rsidRPr="009A7486" w:rsidRDefault="00A85DBF" w:rsidP="00A85DBF">
      <w:pPr>
        <w:autoSpaceDE w:val="0"/>
        <w:autoSpaceDN w:val="0"/>
        <w:adjustRightInd w:val="0"/>
        <w:spacing w:line="360" w:lineRule="auto"/>
        <w:jc w:val="left"/>
        <w:rPr>
          <w:rFonts w:eastAsiaTheme="minorEastAsia"/>
          <w:color w:val="000000" w:themeColor="text1"/>
          <w:sz w:val="24"/>
        </w:rPr>
      </w:pPr>
    </w:p>
    <w:tbl>
      <w:tblPr>
        <w:tblW w:w="5000" w:type="pct"/>
        <w:tblInd w:w="108" w:type="dxa"/>
        <w:tblLayout w:type="fixed"/>
        <w:tblLook w:val="00A0"/>
      </w:tblPr>
      <w:tblGrid>
        <w:gridCol w:w="1790"/>
        <w:gridCol w:w="1176"/>
        <w:gridCol w:w="1278"/>
        <w:gridCol w:w="1534"/>
        <w:gridCol w:w="986"/>
        <w:gridCol w:w="1566"/>
        <w:gridCol w:w="956"/>
      </w:tblGrid>
      <w:tr w:rsidR="00226A6C" w:rsidRPr="009A7486" w:rsidTr="00FF1898">
        <w:tc>
          <w:tcPr>
            <w:tcW w:w="964" w:type="pct"/>
            <w:vMerge w:val="restart"/>
            <w:tcBorders>
              <w:top w:val="single" w:sz="8" w:space="0" w:color="000000"/>
              <w:left w:val="single" w:sz="8" w:space="0" w:color="000000"/>
              <w:right w:val="single" w:sz="8" w:space="0" w:color="000000"/>
            </w:tcBorders>
            <w:vAlign w:val="center"/>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color w:val="000000" w:themeColor="text1"/>
                <w:sz w:val="24"/>
              </w:rPr>
              <w:t>份额级别</w:t>
            </w:r>
          </w:p>
        </w:tc>
        <w:tc>
          <w:tcPr>
            <w:tcW w:w="633" w:type="pct"/>
            <w:vMerge w:val="restar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持有人户数</w:t>
            </w:r>
            <w:r w:rsidRPr="009A7486">
              <w:rPr>
                <w:rFonts w:eastAsiaTheme="minorEastAsia"/>
                <w:bCs/>
                <w:color w:val="000000" w:themeColor="text1"/>
                <w:sz w:val="24"/>
              </w:rPr>
              <w:t>(</w:t>
            </w:r>
            <w:r w:rsidRPr="009A7486">
              <w:rPr>
                <w:rFonts w:eastAsiaTheme="minorEastAsia"/>
                <w:bCs/>
                <w:color w:val="000000" w:themeColor="text1"/>
                <w:sz w:val="24"/>
              </w:rPr>
              <w:t>户</w:t>
            </w:r>
            <w:r w:rsidRPr="009A7486">
              <w:rPr>
                <w:rFonts w:eastAsiaTheme="minorEastAsia"/>
                <w:bCs/>
                <w:color w:val="000000" w:themeColor="text1"/>
                <w:sz w:val="24"/>
              </w:rP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持有人结构</w:t>
            </w:r>
          </w:p>
        </w:tc>
      </w:tr>
      <w:tr w:rsidR="00226A6C" w:rsidRPr="009A7486" w:rsidTr="00FF1898">
        <w:tc>
          <w:tcPr>
            <w:tcW w:w="964" w:type="pct"/>
            <w:vMerge/>
            <w:tcBorders>
              <w:left w:val="single" w:sz="8" w:space="0" w:color="000000"/>
              <w:right w:val="single" w:sz="8" w:space="0" w:color="000000"/>
            </w:tcBorders>
          </w:tcPr>
          <w:p w:rsidR="00A85DBF" w:rsidRPr="009A7486" w:rsidRDefault="00A85DBF" w:rsidP="00480D5A">
            <w:pPr>
              <w:widowControl/>
              <w:spacing w:line="360" w:lineRule="auto"/>
              <w:jc w:val="left"/>
              <w:rPr>
                <w:rFonts w:eastAsiaTheme="minorEastAsia"/>
                <w:bCs/>
                <w:color w:val="000000" w:themeColor="text1"/>
                <w:sz w:val="24"/>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widowControl/>
              <w:spacing w:line="360" w:lineRule="auto"/>
              <w:jc w:val="left"/>
              <w:rPr>
                <w:rFonts w:eastAsiaTheme="minorEastAsia"/>
                <w:bCs/>
                <w:color w:val="000000" w:themeColor="text1"/>
                <w:sz w:val="24"/>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widowControl/>
              <w:spacing w:line="360" w:lineRule="auto"/>
              <w:jc w:val="left"/>
              <w:rPr>
                <w:rFonts w:eastAsiaTheme="minorEastAsia"/>
                <w:bCs/>
                <w:color w:val="000000" w:themeColor="text1"/>
                <w:sz w:val="24"/>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个人投资者</w:t>
            </w:r>
          </w:p>
        </w:tc>
      </w:tr>
      <w:tr w:rsidR="00226A6C" w:rsidRPr="009A7486" w:rsidTr="00FF1898">
        <w:tc>
          <w:tcPr>
            <w:tcW w:w="964" w:type="pct"/>
            <w:vMerge/>
            <w:tcBorders>
              <w:left w:val="single" w:sz="8" w:space="0" w:color="000000"/>
              <w:bottom w:val="single" w:sz="8" w:space="0" w:color="000000"/>
              <w:right w:val="single" w:sz="8" w:space="0" w:color="000000"/>
            </w:tcBorders>
          </w:tcPr>
          <w:p w:rsidR="00A85DBF" w:rsidRPr="009A7486" w:rsidRDefault="00A85DBF" w:rsidP="00480D5A">
            <w:pPr>
              <w:widowControl/>
              <w:spacing w:line="360" w:lineRule="auto"/>
              <w:jc w:val="left"/>
              <w:rPr>
                <w:rFonts w:eastAsiaTheme="minorEastAsia"/>
                <w:bCs/>
                <w:color w:val="000000" w:themeColor="text1"/>
                <w:sz w:val="24"/>
              </w:rPr>
            </w:pPr>
          </w:p>
        </w:tc>
        <w:tc>
          <w:tcPr>
            <w:tcW w:w="633" w:type="pct"/>
            <w:vMerge/>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widowControl/>
              <w:spacing w:line="360" w:lineRule="auto"/>
              <w:jc w:val="left"/>
              <w:rPr>
                <w:rFonts w:eastAsiaTheme="minorEastAsia"/>
                <w:bCs/>
                <w:color w:val="000000" w:themeColor="text1"/>
                <w:sz w:val="24"/>
              </w:rP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widowControl/>
              <w:spacing w:line="360" w:lineRule="auto"/>
              <w:jc w:val="left"/>
              <w:rPr>
                <w:rFonts w:eastAsiaTheme="minorEastAsia"/>
                <w:bCs/>
                <w:color w:val="000000" w:themeColor="text1"/>
                <w:sz w:val="24"/>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占总份额比例</w:t>
            </w:r>
          </w:p>
        </w:tc>
      </w:tr>
      <w:tr w:rsidR="00226A6C" w:rsidRPr="009A7486" w:rsidTr="00FF1898">
        <w:tc>
          <w:tcPr>
            <w:tcW w:w="964" w:type="pct"/>
            <w:tcBorders>
              <w:left w:val="single" w:sz="8" w:space="0" w:color="000000"/>
              <w:bottom w:val="single" w:sz="8" w:space="0" w:color="000000"/>
              <w:right w:val="single" w:sz="8" w:space="0" w:color="000000"/>
            </w:tcBorders>
          </w:tcPr>
          <w:p w:rsidR="00A85DBF" w:rsidRPr="009A7486" w:rsidRDefault="00A85DBF" w:rsidP="00480D5A">
            <w:pPr>
              <w:widowControl/>
              <w:spacing w:line="360" w:lineRule="auto"/>
              <w:jc w:val="center"/>
              <w:rPr>
                <w:rFonts w:eastAsiaTheme="minorEastAsia"/>
                <w:bCs/>
                <w:color w:val="000000" w:themeColor="text1"/>
                <w:sz w:val="24"/>
              </w:rPr>
            </w:pPr>
            <w:r w:rsidRPr="009A7486">
              <w:rPr>
                <w:rFonts w:eastAsiaTheme="minorEastAsia"/>
                <w:bCs/>
                <w:color w:val="000000" w:themeColor="text1"/>
                <w:sz w:val="24"/>
              </w:rPr>
              <w:t>国投瑞银货币</w:t>
            </w:r>
            <w:r w:rsidRPr="009A7486">
              <w:rPr>
                <w:rFonts w:eastAsiaTheme="minorEastAsia"/>
                <w:bCs/>
                <w:color w:val="000000" w:themeColor="text1"/>
                <w:sz w:val="24"/>
              </w:rPr>
              <w:t>A</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136,413</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8,841.71</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51,699,320.27</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4.29%</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1,154,424,349.49</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95.71%</w:t>
            </w:r>
          </w:p>
        </w:tc>
      </w:tr>
      <w:tr w:rsidR="00226A6C" w:rsidRPr="009A7486" w:rsidTr="00FF1898">
        <w:tc>
          <w:tcPr>
            <w:tcW w:w="964" w:type="pct"/>
            <w:tcBorders>
              <w:left w:val="single" w:sz="8" w:space="0" w:color="000000"/>
              <w:bottom w:val="single" w:sz="8" w:space="0" w:color="000000"/>
              <w:right w:val="single" w:sz="8" w:space="0" w:color="000000"/>
            </w:tcBorders>
          </w:tcPr>
          <w:p w:rsidR="00A85DBF" w:rsidRPr="009A7486" w:rsidRDefault="00A85DBF" w:rsidP="00480D5A">
            <w:pPr>
              <w:widowControl/>
              <w:spacing w:line="360" w:lineRule="auto"/>
              <w:jc w:val="center"/>
              <w:rPr>
                <w:rFonts w:eastAsiaTheme="minorEastAsia"/>
                <w:bCs/>
                <w:color w:val="000000" w:themeColor="text1"/>
                <w:sz w:val="24"/>
              </w:rPr>
            </w:pPr>
            <w:r w:rsidRPr="009A7486">
              <w:rPr>
                <w:rFonts w:eastAsiaTheme="minorEastAsia"/>
                <w:bCs/>
                <w:color w:val="000000" w:themeColor="text1"/>
                <w:sz w:val="24"/>
              </w:rPr>
              <w:t>国投瑞银货币</w:t>
            </w:r>
            <w:r w:rsidRPr="009A7486">
              <w:rPr>
                <w:rFonts w:eastAsiaTheme="minorEastAsia"/>
                <w:bCs/>
                <w:color w:val="000000" w:themeColor="text1"/>
                <w:sz w:val="24"/>
              </w:rPr>
              <w:t>B</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73</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80,998,973.75</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5,807,068,104.12</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98.21%</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105,856,979.88</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1.79%</w:t>
            </w:r>
          </w:p>
        </w:tc>
      </w:tr>
      <w:tr w:rsidR="00226A6C" w:rsidRPr="009A7486" w:rsidTr="00FF1898">
        <w:tc>
          <w:tcPr>
            <w:tcW w:w="964" w:type="pct"/>
            <w:tcBorders>
              <w:top w:val="single" w:sz="8" w:space="0" w:color="000000"/>
              <w:left w:val="single" w:sz="8" w:space="0" w:color="000000"/>
              <w:bottom w:val="single" w:sz="8" w:space="0" w:color="000000"/>
              <w:right w:val="single" w:sz="8" w:space="0" w:color="000000"/>
            </w:tcBorders>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合计</w:t>
            </w:r>
          </w:p>
        </w:tc>
        <w:tc>
          <w:tcPr>
            <w:tcW w:w="633"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center"/>
              <w:rPr>
                <w:rFonts w:eastAsiaTheme="minorEastAsia"/>
                <w:bCs/>
                <w:color w:val="000000" w:themeColor="text1"/>
                <w:sz w:val="24"/>
              </w:rPr>
            </w:pPr>
            <w:r w:rsidRPr="009A7486">
              <w:rPr>
                <w:rFonts w:eastAsiaTheme="minorEastAsia"/>
                <w:bCs/>
                <w:color w:val="000000" w:themeColor="text1"/>
                <w:sz w:val="24"/>
              </w:rPr>
              <w:t>136,486</w:t>
            </w:r>
          </w:p>
        </w:tc>
        <w:tc>
          <w:tcPr>
            <w:tcW w:w="688"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52,159.55</w:t>
            </w:r>
          </w:p>
        </w:tc>
        <w:tc>
          <w:tcPr>
            <w:tcW w:w="826"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5,858,767,424.39</w:t>
            </w:r>
          </w:p>
        </w:tc>
        <w:tc>
          <w:tcPr>
            <w:tcW w:w="531"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82.30%</w:t>
            </w:r>
          </w:p>
        </w:tc>
        <w:tc>
          <w:tcPr>
            <w:tcW w:w="843" w:type="pct"/>
            <w:tcBorders>
              <w:top w:val="single" w:sz="8" w:space="0" w:color="000000"/>
              <w:left w:val="single" w:sz="8" w:space="0" w:color="000000"/>
              <w:bottom w:val="single" w:sz="8" w:space="0" w:color="000000"/>
              <w:right w:val="single" w:sz="8" w:space="0" w:color="000000"/>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1,260,281,329.37</w:t>
            </w:r>
          </w:p>
        </w:tc>
        <w:tc>
          <w:tcPr>
            <w:tcW w:w="515" w:type="pct"/>
            <w:tcBorders>
              <w:top w:val="single" w:sz="8" w:space="0" w:color="000000"/>
              <w:left w:val="single" w:sz="8" w:space="0" w:color="000000"/>
              <w:bottom w:val="single" w:sz="8" w:space="0" w:color="000000"/>
              <w:right w:val="single" w:sz="4" w:space="0" w:color="auto"/>
            </w:tcBorders>
            <w:vAlign w:val="center"/>
          </w:tcPr>
          <w:p w:rsidR="00A85DBF" w:rsidRPr="009A7486" w:rsidRDefault="00A85DBF" w:rsidP="00480D5A">
            <w:pPr>
              <w:spacing w:line="360" w:lineRule="auto"/>
              <w:jc w:val="right"/>
              <w:rPr>
                <w:rFonts w:eastAsiaTheme="minorEastAsia"/>
                <w:bCs/>
                <w:color w:val="000000" w:themeColor="text1"/>
                <w:sz w:val="24"/>
              </w:rPr>
            </w:pPr>
            <w:r w:rsidRPr="009A7486">
              <w:rPr>
                <w:rFonts w:eastAsiaTheme="minorEastAsia"/>
                <w:bCs/>
                <w:color w:val="000000" w:themeColor="text1"/>
                <w:sz w:val="24"/>
              </w:rPr>
              <w:t>17.70%</w:t>
            </w:r>
          </w:p>
        </w:tc>
      </w:tr>
    </w:tbl>
    <w:p w:rsidR="00790022" w:rsidRPr="00C70DED" w:rsidRDefault="00790022" w:rsidP="002855D4">
      <w:pPr>
        <w:pStyle w:val="20"/>
        <w:spacing w:beforeLines="100" w:after="0"/>
        <w:rPr>
          <w:rFonts w:ascii="Times New Roman" w:eastAsiaTheme="minorEastAsia" w:hAnsi="Times New Roman" w:cs="Times New Roman"/>
          <w:color w:val="000000" w:themeColor="text1"/>
          <w:kern w:val="0"/>
          <w:szCs w:val="24"/>
        </w:rPr>
      </w:pPr>
      <w:r w:rsidRPr="00C70DED">
        <w:rPr>
          <w:rFonts w:ascii="Times New Roman" w:eastAsiaTheme="minorEastAsia" w:hAnsi="Times New Roman" w:cs="Times New Roman"/>
          <w:color w:val="000000" w:themeColor="text1"/>
          <w:kern w:val="0"/>
          <w:szCs w:val="24"/>
        </w:rPr>
        <w:t>9.2</w:t>
      </w:r>
      <w:r w:rsidRPr="00C70DED">
        <w:rPr>
          <w:rFonts w:ascii="Times New Roman" w:eastAsiaTheme="minorEastAsia" w:hAnsi="Times New Roman" w:cs="Times New Roman" w:hint="eastAsia"/>
          <w:color w:val="000000" w:themeColor="text1"/>
          <w:kern w:val="0"/>
          <w:szCs w:val="24"/>
        </w:rPr>
        <w:t>期末货币市场基金前十名份额持有人情况</w:t>
      </w:r>
    </w:p>
    <w:tbl>
      <w:tblPr>
        <w:tblStyle w:val="af7"/>
        <w:tblW w:w="9393" w:type="dxa"/>
        <w:tblInd w:w="-34" w:type="dxa"/>
        <w:tblLayout w:type="fixed"/>
        <w:tblLook w:val="04A0"/>
      </w:tblPr>
      <w:tblGrid>
        <w:gridCol w:w="1314"/>
        <w:gridCol w:w="2835"/>
        <w:gridCol w:w="2551"/>
        <w:gridCol w:w="2693"/>
      </w:tblGrid>
      <w:tr w:rsidR="00790022" w:rsidRPr="002F18DE" w:rsidTr="00716B55">
        <w:tc>
          <w:tcPr>
            <w:tcW w:w="1314" w:type="dxa"/>
            <w:vAlign w:val="center"/>
          </w:tcPr>
          <w:p w:rsidR="00790022" w:rsidRPr="002F18DE" w:rsidRDefault="00790022" w:rsidP="00716B55">
            <w:pPr>
              <w:spacing w:line="276" w:lineRule="auto"/>
              <w:jc w:val="center"/>
              <w:rPr>
                <w:rFonts w:eastAsiaTheme="minorEastAsia"/>
                <w:sz w:val="24"/>
              </w:rPr>
            </w:pPr>
            <w:r w:rsidRPr="002F18DE">
              <w:rPr>
                <w:rFonts w:eastAsiaTheme="minorEastAsia"/>
                <w:sz w:val="24"/>
              </w:rPr>
              <w:t>序号</w:t>
            </w:r>
          </w:p>
        </w:tc>
        <w:tc>
          <w:tcPr>
            <w:tcW w:w="2835" w:type="dxa"/>
            <w:vAlign w:val="center"/>
          </w:tcPr>
          <w:p w:rsidR="00790022" w:rsidRPr="002F18DE" w:rsidRDefault="00790022" w:rsidP="00716B55">
            <w:pPr>
              <w:spacing w:line="276" w:lineRule="auto"/>
              <w:jc w:val="center"/>
              <w:rPr>
                <w:rFonts w:eastAsiaTheme="minorEastAsia"/>
                <w:sz w:val="24"/>
              </w:rPr>
            </w:pPr>
            <w:r w:rsidRPr="002F18DE">
              <w:rPr>
                <w:rFonts w:eastAsiaTheme="minorEastAsia"/>
                <w:sz w:val="24"/>
              </w:rPr>
              <w:t>持有人类别</w:t>
            </w:r>
          </w:p>
        </w:tc>
        <w:tc>
          <w:tcPr>
            <w:tcW w:w="2551" w:type="dxa"/>
            <w:vAlign w:val="center"/>
          </w:tcPr>
          <w:p w:rsidR="00790022" w:rsidRPr="002F18DE" w:rsidRDefault="00790022" w:rsidP="00716B55">
            <w:pPr>
              <w:spacing w:line="276" w:lineRule="auto"/>
              <w:jc w:val="center"/>
              <w:rPr>
                <w:rFonts w:asciiTheme="minorEastAsia" w:eastAsiaTheme="minorEastAsia" w:hAnsiTheme="minorEastAsia"/>
                <w:sz w:val="24"/>
              </w:rPr>
            </w:pPr>
            <w:r w:rsidRPr="002F18DE">
              <w:rPr>
                <w:rFonts w:asciiTheme="minorEastAsia" w:eastAsiaTheme="minorEastAsia" w:hAnsiTheme="minorEastAsia"/>
                <w:sz w:val="24"/>
              </w:rPr>
              <w:t>持有份额（份）</w:t>
            </w:r>
          </w:p>
        </w:tc>
        <w:tc>
          <w:tcPr>
            <w:tcW w:w="2693" w:type="dxa"/>
            <w:vAlign w:val="center"/>
          </w:tcPr>
          <w:p w:rsidR="00790022" w:rsidRPr="002F18DE" w:rsidRDefault="00790022" w:rsidP="00716B55">
            <w:pPr>
              <w:spacing w:line="276" w:lineRule="auto"/>
              <w:jc w:val="center"/>
              <w:rPr>
                <w:rFonts w:asciiTheme="minorEastAsia" w:eastAsiaTheme="minorEastAsia" w:hAnsiTheme="minorEastAsia"/>
                <w:sz w:val="24"/>
              </w:rPr>
            </w:pPr>
            <w:r w:rsidRPr="002F18DE">
              <w:rPr>
                <w:rFonts w:asciiTheme="minorEastAsia" w:eastAsiaTheme="minorEastAsia" w:hAnsiTheme="minorEastAsia"/>
                <w:sz w:val="24"/>
              </w:rPr>
              <w:t>占总份额比例</w:t>
            </w:r>
          </w:p>
        </w:tc>
      </w:tr>
      <w:tr w:rsidR="005C48D6">
        <w:tc>
          <w:tcPr>
            <w:tcW w:w="1314" w:type="dxa"/>
            <w:vAlign w:val="center"/>
          </w:tcPr>
          <w:p w:rsidR="005C48D6" w:rsidRDefault="008F0294">
            <w:pPr>
              <w:jc w:val="center"/>
            </w:pPr>
            <w:r>
              <w:rPr>
                <w:rFonts w:eastAsiaTheme="minorEastAsia"/>
                <w:color w:val="000000" w:themeColor="text1"/>
                <w:sz w:val="24"/>
              </w:rPr>
              <w:t>1</w:t>
            </w:r>
          </w:p>
        </w:tc>
        <w:tc>
          <w:tcPr>
            <w:tcW w:w="2835" w:type="dxa"/>
            <w:vAlign w:val="center"/>
          </w:tcPr>
          <w:p w:rsidR="005C48D6" w:rsidRDefault="008F0294">
            <w:pPr>
              <w:jc w:val="right"/>
            </w:pPr>
            <w:r>
              <w:rPr>
                <w:rFonts w:eastAsiaTheme="minorEastAsia"/>
                <w:color w:val="000000" w:themeColor="text1"/>
                <w:sz w:val="24"/>
              </w:rPr>
              <w:t>信托类机构</w:t>
            </w:r>
          </w:p>
        </w:tc>
        <w:tc>
          <w:tcPr>
            <w:tcW w:w="2551" w:type="dxa"/>
            <w:vAlign w:val="center"/>
          </w:tcPr>
          <w:p w:rsidR="005C48D6" w:rsidRDefault="008F0294">
            <w:pPr>
              <w:jc w:val="right"/>
            </w:pPr>
            <w:r>
              <w:rPr>
                <w:rFonts w:eastAsiaTheme="minorEastAsia"/>
                <w:color w:val="000000" w:themeColor="text1"/>
                <w:sz w:val="24"/>
              </w:rPr>
              <w:t>567,508,081.33</w:t>
            </w:r>
          </w:p>
        </w:tc>
        <w:tc>
          <w:tcPr>
            <w:tcW w:w="2693" w:type="dxa"/>
            <w:vAlign w:val="center"/>
          </w:tcPr>
          <w:p w:rsidR="005C48D6" w:rsidRDefault="008F0294">
            <w:pPr>
              <w:jc w:val="right"/>
            </w:pPr>
            <w:r>
              <w:rPr>
                <w:rFonts w:eastAsiaTheme="minorEastAsia"/>
                <w:color w:val="000000" w:themeColor="text1"/>
                <w:sz w:val="24"/>
              </w:rPr>
              <w:t>7.98%</w:t>
            </w:r>
          </w:p>
        </w:tc>
      </w:tr>
      <w:tr w:rsidR="005C48D6">
        <w:tc>
          <w:tcPr>
            <w:tcW w:w="1314" w:type="dxa"/>
            <w:vAlign w:val="center"/>
          </w:tcPr>
          <w:p w:rsidR="005C48D6" w:rsidRDefault="008F0294">
            <w:pPr>
              <w:jc w:val="center"/>
            </w:pPr>
            <w:r>
              <w:rPr>
                <w:rFonts w:eastAsiaTheme="minorEastAsia"/>
                <w:color w:val="000000" w:themeColor="text1"/>
                <w:sz w:val="24"/>
              </w:rPr>
              <w:t>2</w:t>
            </w:r>
          </w:p>
        </w:tc>
        <w:tc>
          <w:tcPr>
            <w:tcW w:w="2835" w:type="dxa"/>
            <w:vAlign w:val="center"/>
          </w:tcPr>
          <w:p w:rsidR="005C48D6" w:rsidRDefault="008F0294">
            <w:pPr>
              <w:jc w:val="right"/>
            </w:pPr>
            <w:r>
              <w:rPr>
                <w:rFonts w:eastAsiaTheme="minorEastAsia"/>
                <w:color w:val="000000" w:themeColor="text1"/>
                <w:sz w:val="24"/>
              </w:rPr>
              <w:t>银行类机构</w:t>
            </w:r>
          </w:p>
        </w:tc>
        <w:tc>
          <w:tcPr>
            <w:tcW w:w="2551" w:type="dxa"/>
            <w:vAlign w:val="center"/>
          </w:tcPr>
          <w:p w:rsidR="005C48D6" w:rsidRDefault="008F0294">
            <w:pPr>
              <w:jc w:val="right"/>
            </w:pPr>
            <w:r>
              <w:rPr>
                <w:rFonts w:eastAsiaTheme="minorEastAsia"/>
                <w:color w:val="000000" w:themeColor="text1"/>
                <w:sz w:val="24"/>
              </w:rPr>
              <w:t>500,000,000.00</w:t>
            </w:r>
          </w:p>
        </w:tc>
        <w:tc>
          <w:tcPr>
            <w:tcW w:w="2693" w:type="dxa"/>
            <w:vAlign w:val="center"/>
          </w:tcPr>
          <w:p w:rsidR="005C48D6" w:rsidRDefault="008F0294">
            <w:pPr>
              <w:jc w:val="right"/>
            </w:pPr>
            <w:r>
              <w:rPr>
                <w:rFonts w:eastAsiaTheme="minorEastAsia"/>
                <w:color w:val="000000" w:themeColor="text1"/>
                <w:sz w:val="24"/>
              </w:rPr>
              <w:t>7.03%</w:t>
            </w:r>
          </w:p>
        </w:tc>
      </w:tr>
      <w:tr w:rsidR="005C48D6">
        <w:tc>
          <w:tcPr>
            <w:tcW w:w="1314" w:type="dxa"/>
            <w:vAlign w:val="center"/>
          </w:tcPr>
          <w:p w:rsidR="005C48D6" w:rsidRDefault="008F0294">
            <w:pPr>
              <w:jc w:val="center"/>
            </w:pPr>
            <w:r>
              <w:rPr>
                <w:rFonts w:eastAsiaTheme="minorEastAsia"/>
                <w:color w:val="000000" w:themeColor="text1"/>
                <w:sz w:val="24"/>
              </w:rPr>
              <w:t>3</w:t>
            </w:r>
          </w:p>
        </w:tc>
        <w:tc>
          <w:tcPr>
            <w:tcW w:w="2835" w:type="dxa"/>
            <w:vAlign w:val="center"/>
          </w:tcPr>
          <w:p w:rsidR="005C48D6" w:rsidRDefault="008F0294">
            <w:pPr>
              <w:jc w:val="right"/>
            </w:pPr>
            <w:r>
              <w:rPr>
                <w:rFonts w:eastAsiaTheme="minorEastAsia"/>
                <w:color w:val="000000" w:themeColor="text1"/>
                <w:sz w:val="24"/>
              </w:rPr>
              <w:t>银行类机构</w:t>
            </w:r>
          </w:p>
        </w:tc>
        <w:tc>
          <w:tcPr>
            <w:tcW w:w="2551" w:type="dxa"/>
            <w:vAlign w:val="center"/>
          </w:tcPr>
          <w:p w:rsidR="005C48D6" w:rsidRDefault="008F0294">
            <w:pPr>
              <w:jc w:val="right"/>
            </w:pPr>
            <w:r>
              <w:rPr>
                <w:rFonts w:eastAsiaTheme="minorEastAsia"/>
                <w:color w:val="000000" w:themeColor="text1"/>
                <w:sz w:val="24"/>
              </w:rPr>
              <w:t>438,801,765.64</w:t>
            </w:r>
          </w:p>
        </w:tc>
        <w:tc>
          <w:tcPr>
            <w:tcW w:w="2693" w:type="dxa"/>
            <w:vAlign w:val="center"/>
          </w:tcPr>
          <w:p w:rsidR="005C48D6" w:rsidRDefault="008F0294">
            <w:pPr>
              <w:jc w:val="right"/>
            </w:pPr>
            <w:r>
              <w:rPr>
                <w:rFonts w:eastAsiaTheme="minorEastAsia"/>
                <w:color w:val="000000" w:themeColor="text1"/>
                <w:sz w:val="24"/>
              </w:rPr>
              <w:t>6.17%</w:t>
            </w:r>
          </w:p>
        </w:tc>
      </w:tr>
      <w:tr w:rsidR="005C48D6">
        <w:tc>
          <w:tcPr>
            <w:tcW w:w="1314" w:type="dxa"/>
            <w:vAlign w:val="center"/>
          </w:tcPr>
          <w:p w:rsidR="005C48D6" w:rsidRDefault="008F0294">
            <w:pPr>
              <w:jc w:val="center"/>
            </w:pPr>
            <w:r>
              <w:rPr>
                <w:rFonts w:eastAsiaTheme="minorEastAsia"/>
                <w:color w:val="000000" w:themeColor="text1"/>
                <w:sz w:val="24"/>
              </w:rPr>
              <w:t>4</w:t>
            </w:r>
          </w:p>
        </w:tc>
        <w:tc>
          <w:tcPr>
            <w:tcW w:w="2835" w:type="dxa"/>
            <w:vAlign w:val="center"/>
          </w:tcPr>
          <w:p w:rsidR="005C48D6" w:rsidRDefault="008F0294">
            <w:pPr>
              <w:jc w:val="right"/>
            </w:pPr>
            <w:r>
              <w:rPr>
                <w:rFonts w:eastAsiaTheme="minorEastAsia"/>
                <w:color w:val="000000" w:themeColor="text1"/>
                <w:sz w:val="24"/>
              </w:rPr>
              <w:t>其他机构</w:t>
            </w:r>
          </w:p>
        </w:tc>
        <w:tc>
          <w:tcPr>
            <w:tcW w:w="2551" w:type="dxa"/>
            <w:vAlign w:val="center"/>
          </w:tcPr>
          <w:p w:rsidR="005C48D6" w:rsidRDefault="008F0294">
            <w:pPr>
              <w:jc w:val="right"/>
            </w:pPr>
            <w:r>
              <w:rPr>
                <w:rFonts w:eastAsiaTheme="minorEastAsia"/>
                <w:color w:val="000000" w:themeColor="text1"/>
                <w:sz w:val="24"/>
              </w:rPr>
              <w:t>411,362,062.63</w:t>
            </w:r>
          </w:p>
        </w:tc>
        <w:tc>
          <w:tcPr>
            <w:tcW w:w="2693" w:type="dxa"/>
            <w:vAlign w:val="center"/>
          </w:tcPr>
          <w:p w:rsidR="005C48D6" w:rsidRDefault="008F0294">
            <w:pPr>
              <w:jc w:val="right"/>
            </w:pPr>
            <w:r>
              <w:rPr>
                <w:rFonts w:eastAsiaTheme="minorEastAsia"/>
                <w:color w:val="000000" w:themeColor="text1"/>
                <w:sz w:val="24"/>
              </w:rPr>
              <w:t>5.78%</w:t>
            </w:r>
          </w:p>
        </w:tc>
      </w:tr>
      <w:tr w:rsidR="005C48D6">
        <w:tc>
          <w:tcPr>
            <w:tcW w:w="1314" w:type="dxa"/>
            <w:vAlign w:val="center"/>
          </w:tcPr>
          <w:p w:rsidR="005C48D6" w:rsidRDefault="008F0294">
            <w:pPr>
              <w:jc w:val="center"/>
            </w:pPr>
            <w:r>
              <w:rPr>
                <w:rFonts w:eastAsiaTheme="minorEastAsia"/>
                <w:color w:val="000000" w:themeColor="text1"/>
                <w:sz w:val="24"/>
              </w:rPr>
              <w:t>5</w:t>
            </w:r>
          </w:p>
        </w:tc>
        <w:tc>
          <w:tcPr>
            <w:tcW w:w="2835" w:type="dxa"/>
            <w:vAlign w:val="center"/>
          </w:tcPr>
          <w:p w:rsidR="005C48D6" w:rsidRDefault="008F0294">
            <w:pPr>
              <w:jc w:val="right"/>
            </w:pPr>
            <w:r>
              <w:rPr>
                <w:rFonts w:eastAsiaTheme="minorEastAsia"/>
                <w:color w:val="000000" w:themeColor="text1"/>
                <w:sz w:val="24"/>
              </w:rPr>
              <w:t>银行类机构</w:t>
            </w:r>
          </w:p>
        </w:tc>
        <w:tc>
          <w:tcPr>
            <w:tcW w:w="2551" w:type="dxa"/>
            <w:vAlign w:val="center"/>
          </w:tcPr>
          <w:p w:rsidR="005C48D6" w:rsidRDefault="008F0294">
            <w:pPr>
              <w:jc w:val="right"/>
            </w:pPr>
            <w:r>
              <w:rPr>
                <w:rFonts w:eastAsiaTheme="minorEastAsia"/>
                <w:color w:val="000000" w:themeColor="text1"/>
                <w:sz w:val="24"/>
              </w:rPr>
              <w:t>305,757,335.72</w:t>
            </w:r>
          </w:p>
        </w:tc>
        <w:tc>
          <w:tcPr>
            <w:tcW w:w="2693" w:type="dxa"/>
            <w:vAlign w:val="center"/>
          </w:tcPr>
          <w:p w:rsidR="005C48D6" w:rsidRDefault="008F0294">
            <w:pPr>
              <w:jc w:val="right"/>
            </w:pPr>
            <w:r>
              <w:rPr>
                <w:rFonts w:eastAsiaTheme="minorEastAsia"/>
                <w:color w:val="000000" w:themeColor="text1"/>
                <w:sz w:val="24"/>
              </w:rPr>
              <w:t>4.30%</w:t>
            </w:r>
          </w:p>
        </w:tc>
      </w:tr>
      <w:tr w:rsidR="005C48D6">
        <w:tc>
          <w:tcPr>
            <w:tcW w:w="1314" w:type="dxa"/>
            <w:vAlign w:val="center"/>
          </w:tcPr>
          <w:p w:rsidR="005C48D6" w:rsidRDefault="008F0294">
            <w:pPr>
              <w:jc w:val="center"/>
            </w:pPr>
            <w:r>
              <w:rPr>
                <w:rFonts w:eastAsiaTheme="minorEastAsia"/>
                <w:color w:val="000000" w:themeColor="text1"/>
                <w:sz w:val="24"/>
              </w:rPr>
              <w:t>6</w:t>
            </w:r>
          </w:p>
        </w:tc>
        <w:tc>
          <w:tcPr>
            <w:tcW w:w="2835" w:type="dxa"/>
            <w:vAlign w:val="center"/>
          </w:tcPr>
          <w:p w:rsidR="005C48D6" w:rsidRDefault="008F0294">
            <w:pPr>
              <w:jc w:val="right"/>
            </w:pPr>
            <w:r>
              <w:rPr>
                <w:rFonts w:eastAsiaTheme="minorEastAsia"/>
                <w:color w:val="000000" w:themeColor="text1"/>
                <w:sz w:val="24"/>
              </w:rPr>
              <w:t>保险类机构</w:t>
            </w:r>
          </w:p>
        </w:tc>
        <w:tc>
          <w:tcPr>
            <w:tcW w:w="2551" w:type="dxa"/>
            <w:vAlign w:val="center"/>
          </w:tcPr>
          <w:p w:rsidR="005C48D6" w:rsidRDefault="008F0294">
            <w:pPr>
              <w:jc w:val="right"/>
            </w:pPr>
            <w:r>
              <w:rPr>
                <w:rFonts w:eastAsiaTheme="minorEastAsia"/>
                <w:color w:val="000000" w:themeColor="text1"/>
                <w:sz w:val="24"/>
              </w:rPr>
              <w:t>301,673,416.02</w:t>
            </w:r>
          </w:p>
        </w:tc>
        <w:tc>
          <w:tcPr>
            <w:tcW w:w="2693" w:type="dxa"/>
            <w:vAlign w:val="center"/>
          </w:tcPr>
          <w:p w:rsidR="005C48D6" w:rsidRDefault="008F0294">
            <w:pPr>
              <w:jc w:val="right"/>
            </w:pPr>
            <w:r>
              <w:rPr>
                <w:rFonts w:eastAsiaTheme="minorEastAsia"/>
                <w:color w:val="000000" w:themeColor="text1"/>
                <w:sz w:val="24"/>
              </w:rPr>
              <w:t>4.24%</w:t>
            </w:r>
          </w:p>
        </w:tc>
      </w:tr>
      <w:tr w:rsidR="005C48D6">
        <w:tc>
          <w:tcPr>
            <w:tcW w:w="1314" w:type="dxa"/>
            <w:vAlign w:val="center"/>
          </w:tcPr>
          <w:p w:rsidR="005C48D6" w:rsidRDefault="008F0294">
            <w:pPr>
              <w:jc w:val="center"/>
            </w:pPr>
            <w:r>
              <w:rPr>
                <w:rFonts w:eastAsiaTheme="minorEastAsia"/>
                <w:color w:val="000000" w:themeColor="text1"/>
                <w:sz w:val="24"/>
              </w:rPr>
              <w:t>7</w:t>
            </w:r>
          </w:p>
        </w:tc>
        <w:tc>
          <w:tcPr>
            <w:tcW w:w="2835" w:type="dxa"/>
            <w:vAlign w:val="center"/>
          </w:tcPr>
          <w:p w:rsidR="005C48D6" w:rsidRDefault="008F0294">
            <w:pPr>
              <w:jc w:val="right"/>
            </w:pPr>
            <w:r>
              <w:rPr>
                <w:rFonts w:eastAsiaTheme="minorEastAsia"/>
                <w:color w:val="000000" w:themeColor="text1"/>
                <w:sz w:val="24"/>
              </w:rPr>
              <w:t>其他机构</w:t>
            </w:r>
          </w:p>
        </w:tc>
        <w:tc>
          <w:tcPr>
            <w:tcW w:w="2551" w:type="dxa"/>
            <w:vAlign w:val="center"/>
          </w:tcPr>
          <w:p w:rsidR="005C48D6" w:rsidRDefault="008F0294">
            <w:pPr>
              <w:jc w:val="right"/>
            </w:pPr>
            <w:r>
              <w:rPr>
                <w:rFonts w:eastAsiaTheme="minorEastAsia"/>
                <w:color w:val="000000" w:themeColor="text1"/>
                <w:sz w:val="24"/>
              </w:rPr>
              <w:t>300,000,000.00</w:t>
            </w:r>
          </w:p>
        </w:tc>
        <w:tc>
          <w:tcPr>
            <w:tcW w:w="2693" w:type="dxa"/>
            <w:vAlign w:val="center"/>
          </w:tcPr>
          <w:p w:rsidR="005C48D6" w:rsidRDefault="008F0294">
            <w:pPr>
              <w:jc w:val="right"/>
            </w:pPr>
            <w:r>
              <w:rPr>
                <w:rFonts w:eastAsiaTheme="minorEastAsia"/>
                <w:color w:val="000000" w:themeColor="text1"/>
                <w:sz w:val="24"/>
              </w:rPr>
              <w:t>4.22%</w:t>
            </w:r>
          </w:p>
        </w:tc>
      </w:tr>
      <w:tr w:rsidR="005C48D6">
        <w:tc>
          <w:tcPr>
            <w:tcW w:w="1314" w:type="dxa"/>
            <w:vAlign w:val="center"/>
          </w:tcPr>
          <w:p w:rsidR="005C48D6" w:rsidRDefault="008F0294">
            <w:pPr>
              <w:jc w:val="center"/>
            </w:pPr>
            <w:r>
              <w:rPr>
                <w:rFonts w:eastAsiaTheme="minorEastAsia"/>
                <w:color w:val="000000" w:themeColor="text1"/>
                <w:sz w:val="24"/>
              </w:rPr>
              <w:t>8</w:t>
            </w:r>
          </w:p>
        </w:tc>
        <w:tc>
          <w:tcPr>
            <w:tcW w:w="2835" w:type="dxa"/>
            <w:vAlign w:val="center"/>
          </w:tcPr>
          <w:p w:rsidR="005C48D6" w:rsidRDefault="008F0294">
            <w:pPr>
              <w:jc w:val="right"/>
            </w:pPr>
            <w:r>
              <w:rPr>
                <w:rFonts w:eastAsiaTheme="minorEastAsia"/>
                <w:color w:val="000000" w:themeColor="text1"/>
                <w:sz w:val="24"/>
              </w:rPr>
              <w:t>信托类机构</w:t>
            </w:r>
          </w:p>
        </w:tc>
        <w:tc>
          <w:tcPr>
            <w:tcW w:w="2551" w:type="dxa"/>
            <w:vAlign w:val="center"/>
          </w:tcPr>
          <w:p w:rsidR="005C48D6" w:rsidRDefault="008F0294">
            <w:pPr>
              <w:jc w:val="right"/>
            </w:pPr>
            <w:r>
              <w:rPr>
                <w:rFonts w:eastAsiaTheme="minorEastAsia"/>
                <w:color w:val="000000" w:themeColor="text1"/>
                <w:sz w:val="24"/>
              </w:rPr>
              <w:t>202,523,018.89</w:t>
            </w:r>
          </w:p>
        </w:tc>
        <w:tc>
          <w:tcPr>
            <w:tcW w:w="2693" w:type="dxa"/>
            <w:vAlign w:val="center"/>
          </w:tcPr>
          <w:p w:rsidR="005C48D6" w:rsidRDefault="008F0294">
            <w:pPr>
              <w:jc w:val="right"/>
            </w:pPr>
            <w:r>
              <w:rPr>
                <w:rFonts w:eastAsiaTheme="minorEastAsia"/>
                <w:color w:val="000000" w:themeColor="text1"/>
                <w:sz w:val="24"/>
              </w:rPr>
              <w:t>2.85%</w:t>
            </w:r>
          </w:p>
        </w:tc>
      </w:tr>
      <w:tr w:rsidR="005C48D6">
        <w:tc>
          <w:tcPr>
            <w:tcW w:w="1314" w:type="dxa"/>
            <w:vAlign w:val="center"/>
          </w:tcPr>
          <w:p w:rsidR="005C48D6" w:rsidRDefault="008F0294">
            <w:pPr>
              <w:jc w:val="center"/>
            </w:pPr>
            <w:r>
              <w:rPr>
                <w:rFonts w:eastAsiaTheme="minorEastAsia"/>
                <w:color w:val="000000" w:themeColor="text1"/>
                <w:sz w:val="24"/>
              </w:rPr>
              <w:t>9</w:t>
            </w:r>
          </w:p>
        </w:tc>
        <w:tc>
          <w:tcPr>
            <w:tcW w:w="2835" w:type="dxa"/>
            <w:vAlign w:val="center"/>
          </w:tcPr>
          <w:p w:rsidR="005C48D6" w:rsidRDefault="008F0294">
            <w:pPr>
              <w:jc w:val="right"/>
            </w:pPr>
            <w:r>
              <w:rPr>
                <w:rFonts w:eastAsiaTheme="minorEastAsia"/>
                <w:color w:val="000000" w:themeColor="text1"/>
                <w:sz w:val="24"/>
              </w:rPr>
              <w:t>银行类机构</w:t>
            </w:r>
          </w:p>
        </w:tc>
        <w:tc>
          <w:tcPr>
            <w:tcW w:w="2551" w:type="dxa"/>
            <w:vAlign w:val="center"/>
          </w:tcPr>
          <w:p w:rsidR="005C48D6" w:rsidRDefault="008F0294">
            <w:pPr>
              <w:jc w:val="right"/>
            </w:pPr>
            <w:r>
              <w:rPr>
                <w:rFonts w:eastAsiaTheme="minorEastAsia"/>
                <w:color w:val="000000" w:themeColor="text1"/>
                <w:sz w:val="24"/>
              </w:rPr>
              <w:t>201,860,892.69</w:t>
            </w:r>
          </w:p>
        </w:tc>
        <w:tc>
          <w:tcPr>
            <w:tcW w:w="2693" w:type="dxa"/>
            <w:vAlign w:val="center"/>
          </w:tcPr>
          <w:p w:rsidR="005C48D6" w:rsidRDefault="008F0294">
            <w:pPr>
              <w:jc w:val="right"/>
            </w:pPr>
            <w:r>
              <w:rPr>
                <w:rFonts w:eastAsiaTheme="minorEastAsia"/>
                <w:color w:val="000000" w:themeColor="text1"/>
                <w:sz w:val="24"/>
              </w:rPr>
              <w:t>2.84%</w:t>
            </w:r>
          </w:p>
        </w:tc>
      </w:tr>
      <w:tr w:rsidR="005C48D6">
        <w:tc>
          <w:tcPr>
            <w:tcW w:w="1314" w:type="dxa"/>
            <w:vAlign w:val="center"/>
          </w:tcPr>
          <w:p w:rsidR="005C48D6" w:rsidRDefault="008F0294">
            <w:pPr>
              <w:jc w:val="center"/>
            </w:pPr>
            <w:r>
              <w:rPr>
                <w:rFonts w:eastAsiaTheme="minorEastAsia"/>
                <w:color w:val="000000" w:themeColor="text1"/>
                <w:sz w:val="24"/>
              </w:rPr>
              <w:t>10</w:t>
            </w:r>
          </w:p>
        </w:tc>
        <w:tc>
          <w:tcPr>
            <w:tcW w:w="2835" w:type="dxa"/>
            <w:vAlign w:val="center"/>
          </w:tcPr>
          <w:p w:rsidR="005C48D6" w:rsidRDefault="008F0294">
            <w:pPr>
              <w:jc w:val="right"/>
            </w:pPr>
            <w:r>
              <w:rPr>
                <w:rFonts w:eastAsiaTheme="minorEastAsia"/>
                <w:color w:val="000000" w:themeColor="text1"/>
                <w:sz w:val="24"/>
              </w:rPr>
              <w:t>银行类机构</w:t>
            </w:r>
          </w:p>
        </w:tc>
        <w:tc>
          <w:tcPr>
            <w:tcW w:w="2551" w:type="dxa"/>
            <w:vAlign w:val="center"/>
          </w:tcPr>
          <w:p w:rsidR="005C48D6" w:rsidRDefault="008F0294">
            <w:pPr>
              <w:jc w:val="right"/>
            </w:pPr>
            <w:r>
              <w:rPr>
                <w:rFonts w:eastAsiaTheme="minorEastAsia"/>
                <w:color w:val="000000" w:themeColor="text1"/>
                <w:sz w:val="24"/>
              </w:rPr>
              <w:t>200,761,601.66</w:t>
            </w:r>
          </w:p>
        </w:tc>
        <w:tc>
          <w:tcPr>
            <w:tcW w:w="2693" w:type="dxa"/>
            <w:vAlign w:val="center"/>
          </w:tcPr>
          <w:p w:rsidR="005C48D6" w:rsidRDefault="008F0294">
            <w:pPr>
              <w:jc w:val="right"/>
            </w:pPr>
            <w:r>
              <w:rPr>
                <w:rFonts w:eastAsiaTheme="minorEastAsia"/>
                <w:color w:val="000000" w:themeColor="text1"/>
                <w:sz w:val="24"/>
              </w:rPr>
              <w:t>2.82%</w:t>
            </w:r>
          </w:p>
        </w:tc>
      </w:tr>
    </w:tbl>
    <w:p w:rsidR="00A66BB5" w:rsidRPr="009A7486" w:rsidRDefault="00A66BB5" w:rsidP="002855D4">
      <w:pPr>
        <w:pStyle w:val="20"/>
        <w:spacing w:beforeLines="100" w:after="0"/>
        <w:rPr>
          <w:rFonts w:ascii="Times New Roman" w:eastAsiaTheme="minorEastAsia" w:hAnsi="Times New Roman" w:cs="Times New Roman"/>
          <w:color w:val="000000" w:themeColor="text1"/>
          <w:szCs w:val="24"/>
        </w:rPr>
      </w:pPr>
      <w:bookmarkStart w:id="35" w:name="_Toc331410113"/>
      <w:r w:rsidRPr="009A7486">
        <w:rPr>
          <w:rFonts w:ascii="Times New Roman" w:eastAsiaTheme="minorEastAsia" w:hAnsi="Times New Roman" w:cs="Times New Roman"/>
          <w:color w:val="000000" w:themeColor="text1"/>
          <w:kern w:val="0"/>
          <w:szCs w:val="24"/>
        </w:rPr>
        <w:t>9.3</w:t>
      </w:r>
      <w:r w:rsidRPr="009A7486">
        <w:rPr>
          <w:rFonts w:ascii="Times New Roman" w:eastAsiaTheme="minorEastAsia" w:hAnsi="Times New Roman" w:cs="Times New Roman"/>
          <w:color w:val="000000" w:themeColor="text1"/>
          <w:kern w:val="0"/>
          <w:szCs w:val="24"/>
        </w:rPr>
        <w:t>期末基金管理人的从业人员持有本基金的情况</w:t>
      </w:r>
      <w:bookmarkEnd w:id="35"/>
    </w:p>
    <w:tbl>
      <w:tblPr>
        <w:tblW w:w="96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39"/>
        <w:gridCol w:w="2421"/>
        <w:gridCol w:w="2161"/>
        <w:gridCol w:w="2194"/>
      </w:tblGrid>
      <w:tr w:rsidR="00226A6C" w:rsidRPr="009A7486" w:rsidTr="000D509C">
        <w:trPr>
          <w:trHeight w:val="285"/>
        </w:trPr>
        <w:tc>
          <w:tcPr>
            <w:tcW w:w="2837" w:type="dxa"/>
            <w:tcBorders>
              <w:top w:val="single" w:sz="4" w:space="0" w:color="000000"/>
              <w:left w:val="single" w:sz="4" w:space="0" w:color="000000"/>
              <w:bottom w:val="single" w:sz="4" w:space="0" w:color="000000"/>
              <w:right w:val="single" w:sz="4" w:space="0" w:color="000000"/>
            </w:tcBorders>
            <w:noWrap/>
            <w:vAlign w:val="center"/>
            <w:hideMark/>
          </w:tcPr>
          <w:p w:rsidR="00A66BB5" w:rsidRPr="009A7486" w:rsidRDefault="00A66BB5" w:rsidP="004B36C2">
            <w:pPr>
              <w:widowControl/>
              <w:pBdr>
                <w:top w:val="single" w:sz="4" w:space="0" w:color="000000"/>
              </w:pBdr>
              <w:spacing w:line="360" w:lineRule="auto"/>
              <w:jc w:val="center"/>
              <w:rPr>
                <w:rFonts w:eastAsiaTheme="minorEastAsia"/>
                <w:color w:val="000000" w:themeColor="text1"/>
                <w:kern w:val="0"/>
                <w:sz w:val="24"/>
              </w:rPr>
            </w:pPr>
            <w:r w:rsidRPr="009A7486">
              <w:rPr>
                <w:rFonts w:eastAsiaTheme="minorEastAsia"/>
                <w:color w:val="000000" w:themeColor="text1"/>
                <w:kern w:val="0"/>
                <w:sz w:val="24"/>
              </w:rPr>
              <w:t>项目</w:t>
            </w:r>
          </w:p>
        </w:tc>
        <w:tc>
          <w:tcPr>
            <w:tcW w:w="2419" w:type="dxa"/>
            <w:tcBorders>
              <w:top w:val="single" w:sz="4" w:space="0" w:color="000000"/>
              <w:left w:val="single" w:sz="4" w:space="0" w:color="000000"/>
              <w:bottom w:val="single" w:sz="4" w:space="0" w:color="000000"/>
              <w:right w:val="single" w:sz="4" w:space="0" w:color="000000"/>
            </w:tcBorders>
            <w:vAlign w:val="center"/>
            <w:hideMark/>
          </w:tcPr>
          <w:p w:rsidR="00A66BB5" w:rsidRPr="009A7486" w:rsidRDefault="00A66BB5" w:rsidP="004B36C2">
            <w:pPr>
              <w:widowControl/>
              <w:pBdr>
                <w:top w:val="single" w:sz="4" w:space="0" w:color="000000"/>
              </w:pBdr>
              <w:spacing w:line="360" w:lineRule="auto"/>
              <w:jc w:val="center"/>
              <w:rPr>
                <w:rFonts w:eastAsiaTheme="minorEastAsia"/>
                <w:color w:val="000000" w:themeColor="text1"/>
                <w:kern w:val="0"/>
                <w:sz w:val="24"/>
              </w:rPr>
            </w:pPr>
            <w:r w:rsidRPr="009A7486">
              <w:rPr>
                <w:rFonts w:eastAsiaTheme="minorEastAsia"/>
                <w:color w:val="000000" w:themeColor="text1"/>
                <w:kern w:val="0"/>
                <w:sz w:val="24"/>
              </w:rPr>
              <w:t>份额级别</w:t>
            </w:r>
          </w:p>
        </w:tc>
        <w:tc>
          <w:tcPr>
            <w:tcW w:w="2160" w:type="dxa"/>
            <w:tcBorders>
              <w:top w:val="single" w:sz="4" w:space="0" w:color="000000"/>
              <w:left w:val="single" w:sz="4" w:space="0" w:color="000000"/>
              <w:bottom w:val="single" w:sz="4" w:space="0" w:color="000000"/>
              <w:right w:val="single" w:sz="4" w:space="0" w:color="000000"/>
            </w:tcBorders>
            <w:noWrap/>
            <w:vAlign w:val="center"/>
            <w:hideMark/>
          </w:tcPr>
          <w:p w:rsidR="00A66BB5" w:rsidRPr="009A7486" w:rsidRDefault="00A66BB5" w:rsidP="004B36C2">
            <w:pPr>
              <w:widowControl/>
              <w:pBdr>
                <w:top w:val="single" w:sz="4" w:space="0" w:color="000000"/>
              </w:pBdr>
              <w:spacing w:line="360" w:lineRule="auto"/>
              <w:jc w:val="center"/>
              <w:rPr>
                <w:rFonts w:eastAsiaTheme="minorEastAsia"/>
                <w:color w:val="000000" w:themeColor="text1"/>
                <w:kern w:val="0"/>
                <w:sz w:val="24"/>
              </w:rPr>
            </w:pPr>
            <w:r w:rsidRPr="009A7486">
              <w:rPr>
                <w:rFonts w:eastAsiaTheme="minorEastAsia"/>
                <w:color w:val="000000" w:themeColor="text1"/>
                <w:kern w:val="0"/>
                <w:sz w:val="24"/>
              </w:rPr>
              <w:t>持有份额总数（份）</w:t>
            </w:r>
          </w:p>
        </w:tc>
        <w:tc>
          <w:tcPr>
            <w:tcW w:w="2193" w:type="dxa"/>
            <w:tcBorders>
              <w:top w:val="single" w:sz="4" w:space="0" w:color="000000"/>
              <w:left w:val="single" w:sz="4" w:space="0" w:color="000000"/>
              <w:bottom w:val="single" w:sz="4" w:space="0" w:color="000000"/>
              <w:right w:val="single" w:sz="4" w:space="0" w:color="000000"/>
            </w:tcBorders>
            <w:noWrap/>
            <w:vAlign w:val="center"/>
            <w:hideMark/>
          </w:tcPr>
          <w:p w:rsidR="00A66BB5" w:rsidRPr="009A7486" w:rsidRDefault="00A66BB5" w:rsidP="004B36C2">
            <w:pPr>
              <w:widowControl/>
              <w:pBdr>
                <w:top w:val="single" w:sz="4" w:space="0" w:color="000000"/>
              </w:pBdr>
              <w:spacing w:line="360" w:lineRule="auto"/>
              <w:jc w:val="center"/>
              <w:rPr>
                <w:rFonts w:eastAsiaTheme="minorEastAsia"/>
                <w:color w:val="000000" w:themeColor="text1"/>
                <w:kern w:val="0"/>
                <w:sz w:val="24"/>
              </w:rPr>
            </w:pPr>
            <w:r w:rsidRPr="009A7486">
              <w:rPr>
                <w:rFonts w:eastAsiaTheme="minorEastAsia"/>
                <w:color w:val="000000" w:themeColor="text1"/>
                <w:kern w:val="0"/>
                <w:sz w:val="24"/>
              </w:rPr>
              <w:t>占基金总份额比例</w:t>
            </w:r>
          </w:p>
        </w:tc>
      </w:tr>
      <w:tr w:rsidR="00226A6C" w:rsidRPr="009A7486" w:rsidTr="000D509C">
        <w:trPr>
          <w:trHeight w:val="285"/>
        </w:trPr>
        <w:tc>
          <w:tcPr>
            <w:tcW w:w="2837" w:type="dxa"/>
            <w:vMerge w:val="restart"/>
            <w:tcBorders>
              <w:top w:val="single" w:sz="4" w:space="0" w:color="000000"/>
              <w:left w:val="single" w:sz="4" w:space="0" w:color="000000"/>
              <w:bottom w:val="single" w:sz="4" w:space="0" w:color="000000"/>
              <w:right w:val="single" w:sz="4" w:space="0" w:color="000000"/>
            </w:tcBorders>
            <w:noWrap/>
            <w:vAlign w:val="center"/>
            <w:hideMark/>
          </w:tcPr>
          <w:p w:rsidR="00A66BB5" w:rsidRPr="009A7486" w:rsidRDefault="00A66BB5" w:rsidP="004B36C2">
            <w:pPr>
              <w:spacing w:line="360" w:lineRule="auto"/>
              <w:rPr>
                <w:rFonts w:eastAsiaTheme="minorEastAsia"/>
                <w:color w:val="000000" w:themeColor="text1"/>
                <w:sz w:val="24"/>
              </w:rPr>
            </w:pPr>
            <w:r w:rsidRPr="009A7486">
              <w:rPr>
                <w:rFonts w:eastAsiaTheme="minorEastAsia"/>
                <w:color w:val="000000" w:themeColor="text1"/>
                <w:sz w:val="24"/>
              </w:rPr>
              <w:t>基金管理</w:t>
            </w:r>
            <w:r w:rsidR="004737DE" w:rsidRPr="009A7486">
              <w:rPr>
                <w:rFonts w:eastAsiaTheme="minorEastAsia"/>
                <w:color w:val="000000" w:themeColor="text1"/>
                <w:sz w:val="24"/>
              </w:rPr>
              <w:t>人</w:t>
            </w:r>
            <w:r w:rsidRPr="009A7486">
              <w:rPr>
                <w:rFonts w:eastAsiaTheme="minorEastAsia"/>
                <w:color w:val="000000" w:themeColor="text1"/>
                <w:sz w:val="24"/>
              </w:rPr>
              <w:t>所有从业人员持有本基金</w:t>
            </w:r>
          </w:p>
        </w:tc>
        <w:tc>
          <w:tcPr>
            <w:tcW w:w="2419" w:type="dxa"/>
            <w:tcBorders>
              <w:top w:val="single" w:sz="4" w:space="0" w:color="000000"/>
              <w:left w:val="single" w:sz="4" w:space="0" w:color="000000"/>
              <w:bottom w:val="single" w:sz="4" w:space="0" w:color="000000"/>
              <w:right w:val="single" w:sz="4" w:space="0" w:color="000000"/>
            </w:tcBorders>
            <w:vAlign w:val="center"/>
            <w:hideMark/>
          </w:tcPr>
          <w:p w:rsidR="00A66BB5" w:rsidRPr="009A7486" w:rsidRDefault="00A66BB5" w:rsidP="004B36C2">
            <w:pPr>
              <w:spacing w:line="360" w:lineRule="auto"/>
              <w:jc w:val="right"/>
              <w:rPr>
                <w:rFonts w:eastAsiaTheme="minorEastAsia"/>
                <w:color w:val="000000" w:themeColor="text1"/>
                <w:kern w:val="0"/>
                <w:sz w:val="24"/>
              </w:rPr>
            </w:pPr>
            <w:r w:rsidRPr="009A7486">
              <w:rPr>
                <w:rFonts w:eastAsiaTheme="minorEastAsia"/>
                <w:color w:val="000000" w:themeColor="text1"/>
                <w:sz w:val="24"/>
              </w:rPr>
              <w:t>国投瑞银货币</w:t>
            </w:r>
            <w:r w:rsidRPr="009A7486">
              <w:rPr>
                <w:rFonts w:eastAsiaTheme="minorEastAsia"/>
                <w:color w:val="000000" w:themeColor="text1"/>
                <w:sz w:val="24"/>
              </w:rPr>
              <w:t>A</w:t>
            </w:r>
          </w:p>
        </w:tc>
        <w:tc>
          <w:tcPr>
            <w:tcW w:w="2160" w:type="dxa"/>
            <w:tcBorders>
              <w:top w:val="single" w:sz="4" w:space="0" w:color="000000"/>
              <w:left w:val="single" w:sz="4" w:space="0" w:color="000000"/>
              <w:bottom w:val="single" w:sz="4" w:space="0" w:color="000000"/>
              <w:right w:val="single" w:sz="4" w:space="0" w:color="000000"/>
            </w:tcBorders>
            <w:noWrap/>
            <w:vAlign w:val="center"/>
            <w:hideMark/>
          </w:tcPr>
          <w:p w:rsidR="00A66BB5" w:rsidRPr="009A7486" w:rsidRDefault="00A66BB5" w:rsidP="004B36C2">
            <w:pPr>
              <w:widowControl/>
              <w:spacing w:line="360" w:lineRule="auto"/>
              <w:jc w:val="right"/>
              <w:rPr>
                <w:rFonts w:eastAsiaTheme="minorEastAsia"/>
                <w:color w:val="000000" w:themeColor="text1"/>
                <w:kern w:val="0"/>
                <w:sz w:val="24"/>
              </w:rPr>
            </w:pPr>
            <w:r w:rsidRPr="009A7486">
              <w:rPr>
                <w:rFonts w:eastAsiaTheme="minorEastAsia"/>
                <w:color w:val="000000" w:themeColor="text1"/>
                <w:kern w:val="0"/>
                <w:sz w:val="24"/>
              </w:rPr>
              <w:t>585,006.41</w:t>
            </w:r>
          </w:p>
        </w:tc>
        <w:tc>
          <w:tcPr>
            <w:tcW w:w="2193" w:type="dxa"/>
            <w:tcBorders>
              <w:top w:val="single" w:sz="4" w:space="0" w:color="000000"/>
              <w:left w:val="single" w:sz="4" w:space="0" w:color="000000"/>
              <w:bottom w:val="single" w:sz="4" w:space="0" w:color="000000"/>
              <w:right w:val="single" w:sz="4" w:space="0" w:color="000000"/>
            </w:tcBorders>
            <w:noWrap/>
            <w:vAlign w:val="center"/>
            <w:hideMark/>
          </w:tcPr>
          <w:p w:rsidR="00A66BB5" w:rsidRPr="009A7486" w:rsidRDefault="00A66BB5" w:rsidP="004B36C2">
            <w:pPr>
              <w:widowControl/>
              <w:spacing w:line="360" w:lineRule="auto"/>
              <w:jc w:val="right"/>
              <w:rPr>
                <w:rFonts w:eastAsiaTheme="minorEastAsia"/>
                <w:color w:val="000000" w:themeColor="text1"/>
                <w:kern w:val="0"/>
                <w:sz w:val="24"/>
              </w:rPr>
            </w:pPr>
            <w:r w:rsidRPr="009A7486">
              <w:rPr>
                <w:rFonts w:eastAsiaTheme="minorEastAsia"/>
                <w:color w:val="000000" w:themeColor="text1"/>
                <w:kern w:val="0"/>
                <w:sz w:val="24"/>
              </w:rPr>
              <w:t>0.05%</w:t>
            </w:r>
          </w:p>
        </w:tc>
      </w:tr>
      <w:tr w:rsidR="00226A6C" w:rsidRPr="009A7486" w:rsidTr="000D509C">
        <w:trPr>
          <w:trHeight w:val="285"/>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A66BB5" w:rsidRPr="009A7486" w:rsidRDefault="00A66BB5" w:rsidP="004B36C2">
            <w:pPr>
              <w:widowControl/>
              <w:spacing w:line="360" w:lineRule="auto"/>
              <w:jc w:val="left"/>
              <w:rPr>
                <w:rFonts w:eastAsiaTheme="minorEastAsia"/>
                <w:color w:val="000000" w:themeColor="text1"/>
                <w:sz w:val="24"/>
              </w:rPr>
            </w:pPr>
          </w:p>
        </w:tc>
        <w:tc>
          <w:tcPr>
            <w:tcW w:w="2419" w:type="dxa"/>
            <w:tcBorders>
              <w:top w:val="single" w:sz="4" w:space="0" w:color="000000"/>
              <w:left w:val="single" w:sz="4" w:space="0" w:color="000000"/>
              <w:bottom w:val="single" w:sz="4" w:space="0" w:color="000000"/>
              <w:right w:val="single" w:sz="4" w:space="0" w:color="000000"/>
            </w:tcBorders>
            <w:vAlign w:val="center"/>
            <w:hideMark/>
          </w:tcPr>
          <w:p w:rsidR="00A66BB5" w:rsidRPr="009A7486" w:rsidRDefault="00A66BB5" w:rsidP="004B36C2">
            <w:pPr>
              <w:spacing w:line="360" w:lineRule="auto"/>
              <w:jc w:val="right"/>
              <w:rPr>
                <w:rFonts w:eastAsiaTheme="minorEastAsia"/>
                <w:color w:val="000000" w:themeColor="text1"/>
                <w:kern w:val="0"/>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p>
        </w:tc>
        <w:tc>
          <w:tcPr>
            <w:tcW w:w="2160" w:type="dxa"/>
            <w:tcBorders>
              <w:top w:val="single" w:sz="4" w:space="0" w:color="000000"/>
              <w:left w:val="single" w:sz="4" w:space="0" w:color="000000"/>
              <w:bottom w:val="single" w:sz="4" w:space="0" w:color="000000"/>
              <w:right w:val="single" w:sz="4" w:space="0" w:color="000000"/>
            </w:tcBorders>
            <w:noWrap/>
            <w:vAlign w:val="center"/>
            <w:hideMark/>
          </w:tcPr>
          <w:p w:rsidR="00A66BB5" w:rsidRPr="009A7486" w:rsidRDefault="00A66BB5" w:rsidP="004B36C2">
            <w:pPr>
              <w:widowControl/>
              <w:spacing w:line="360" w:lineRule="auto"/>
              <w:jc w:val="right"/>
              <w:rPr>
                <w:rFonts w:eastAsiaTheme="minorEastAsia"/>
                <w:color w:val="000000" w:themeColor="text1"/>
                <w:kern w:val="0"/>
                <w:sz w:val="24"/>
              </w:rPr>
            </w:pPr>
            <w:r w:rsidRPr="009A7486">
              <w:rPr>
                <w:rFonts w:eastAsiaTheme="minorEastAsia"/>
                <w:color w:val="000000" w:themeColor="text1"/>
                <w:kern w:val="0"/>
                <w:sz w:val="24"/>
              </w:rPr>
              <w:t>0.00</w:t>
            </w:r>
          </w:p>
        </w:tc>
        <w:tc>
          <w:tcPr>
            <w:tcW w:w="2193" w:type="dxa"/>
            <w:tcBorders>
              <w:top w:val="single" w:sz="4" w:space="0" w:color="000000"/>
              <w:left w:val="single" w:sz="4" w:space="0" w:color="000000"/>
              <w:bottom w:val="single" w:sz="4" w:space="0" w:color="000000"/>
              <w:right w:val="single" w:sz="4" w:space="0" w:color="000000"/>
            </w:tcBorders>
            <w:noWrap/>
            <w:vAlign w:val="center"/>
            <w:hideMark/>
          </w:tcPr>
          <w:p w:rsidR="00A66BB5" w:rsidRPr="009A7486" w:rsidRDefault="00A66BB5" w:rsidP="004B36C2">
            <w:pPr>
              <w:widowControl/>
              <w:spacing w:line="360" w:lineRule="auto"/>
              <w:jc w:val="right"/>
              <w:rPr>
                <w:rFonts w:eastAsiaTheme="minorEastAsia"/>
                <w:color w:val="000000" w:themeColor="text1"/>
                <w:kern w:val="0"/>
                <w:sz w:val="24"/>
              </w:rPr>
            </w:pPr>
            <w:r w:rsidRPr="009A7486">
              <w:rPr>
                <w:rFonts w:eastAsiaTheme="minorEastAsia"/>
                <w:color w:val="000000" w:themeColor="text1"/>
                <w:kern w:val="0"/>
                <w:sz w:val="24"/>
              </w:rPr>
              <w:t>0.00%</w:t>
            </w:r>
          </w:p>
        </w:tc>
      </w:tr>
      <w:tr w:rsidR="00226A6C" w:rsidRPr="009A7486" w:rsidTr="000D509C">
        <w:trPr>
          <w:trHeight w:val="285"/>
        </w:trPr>
        <w:tc>
          <w:tcPr>
            <w:tcW w:w="2837" w:type="dxa"/>
            <w:vMerge/>
            <w:tcBorders>
              <w:top w:val="single" w:sz="4" w:space="0" w:color="000000"/>
              <w:left w:val="single" w:sz="4" w:space="0" w:color="000000"/>
              <w:bottom w:val="single" w:sz="4" w:space="0" w:color="000000"/>
              <w:right w:val="single" w:sz="4" w:space="0" w:color="000000"/>
            </w:tcBorders>
            <w:vAlign w:val="center"/>
            <w:hideMark/>
          </w:tcPr>
          <w:p w:rsidR="00A66BB5" w:rsidRPr="009A7486" w:rsidRDefault="00A66BB5" w:rsidP="004B36C2">
            <w:pPr>
              <w:widowControl/>
              <w:spacing w:line="360" w:lineRule="auto"/>
              <w:jc w:val="left"/>
              <w:rPr>
                <w:rFonts w:eastAsiaTheme="minorEastAsia"/>
                <w:color w:val="000000" w:themeColor="text1"/>
                <w:sz w:val="24"/>
              </w:rPr>
            </w:pPr>
          </w:p>
        </w:tc>
        <w:tc>
          <w:tcPr>
            <w:tcW w:w="2419" w:type="dxa"/>
            <w:tcBorders>
              <w:top w:val="single" w:sz="4" w:space="0" w:color="000000"/>
              <w:left w:val="single" w:sz="4" w:space="0" w:color="000000"/>
              <w:bottom w:val="single" w:sz="4" w:space="0" w:color="000000"/>
              <w:right w:val="single" w:sz="4" w:space="0" w:color="000000"/>
            </w:tcBorders>
            <w:vAlign w:val="center"/>
            <w:hideMark/>
          </w:tcPr>
          <w:p w:rsidR="00A66BB5" w:rsidRPr="009A7486" w:rsidRDefault="00A66BB5" w:rsidP="004B36C2">
            <w:pPr>
              <w:widowControl/>
              <w:spacing w:line="360" w:lineRule="auto"/>
              <w:jc w:val="center"/>
              <w:rPr>
                <w:rFonts w:eastAsiaTheme="minorEastAsia"/>
                <w:color w:val="000000" w:themeColor="text1"/>
                <w:kern w:val="0"/>
                <w:sz w:val="24"/>
              </w:rPr>
            </w:pPr>
            <w:r w:rsidRPr="009A7486">
              <w:rPr>
                <w:rFonts w:eastAsiaTheme="minorEastAsia"/>
                <w:color w:val="000000" w:themeColor="text1"/>
                <w:kern w:val="0"/>
                <w:sz w:val="24"/>
              </w:rPr>
              <w:t>合计</w:t>
            </w:r>
          </w:p>
        </w:tc>
        <w:tc>
          <w:tcPr>
            <w:tcW w:w="2160" w:type="dxa"/>
            <w:tcBorders>
              <w:top w:val="single" w:sz="4" w:space="0" w:color="000000"/>
              <w:left w:val="single" w:sz="4" w:space="0" w:color="000000"/>
              <w:bottom w:val="single" w:sz="4" w:space="0" w:color="000000"/>
              <w:right w:val="single" w:sz="4" w:space="0" w:color="000000"/>
            </w:tcBorders>
            <w:noWrap/>
            <w:vAlign w:val="center"/>
            <w:hideMark/>
          </w:tcPr>
          <w:p w:rsidR="00A66BB5" w:rsidRPr="009A7486" w:rsidRDefault="00A66BB5" w:rsidP="004B36C2">
            <w:pPr>
              <w:widowControl/>
              <w:spacing w:line="360" w:lineRule="auto"/>
              <w:jc w:val="right"/>
              <w:rPr>
                <w:rFonts w:eastAsiaTheme="minorEastAsia"/>
                <w:color w:val="000000" w:themeColor="text1"/>
                <w:kern w:val="0"/>
                <w:sz w:val="24"/>
              </w:rPr>
            </w:pPr>
            <w:r w:rsidRPr="009A7486">
              <w:rPr>
                <w:rFonts w:eastAsiaTheme="minorEastAsia"/>
                <w:color w:val="000000" w:themeColor="text1"/>
                <w:kern w:val="0"/>
                <w:sz w:val="24"/>
              </w:rPr>
              <w:t>585,006.41</w:t>
            </w:r>
          </w:p>
        </w:tc>
        <w:tc>
          <w:tcPr>
            <w:tcW w:w="2193" w:type="dxa"/>
            <w:tcBorders>
              <w:top w:val="single" w:sz="4" w:space="0" w:color="000000"/>
              <w:left w:val="single" w:sz="4" w:space="0" w:color="000000"/>
              <w:bottom w:val="single" w:sz="4" w:space="0" w:color="000000"/>
              <w:right w:val="single" w:sz="4" w:space="0" w:color="000000"/>
            </w:tcBorders>
            <w:noWrap/>
            <w:vAlign w:val="center"/>
            <w:hideMark/>
          </w:tcPr>
          <w:p w:rsidR="00A66BB5" w:rsidRPr="009A7486" w:rsidRDefault="00A66BB5" w:rsidP="004B36C2">
            <w:pPr>
              <w:widowControl/>
              <w:spacing w:line="360" w:lineRule="auto"/>
              <w:jc w:val="right"/>
              <w:rPr>
                <w:rFonts w:eastAsiaTheme="minorEastAsia"/>
                <w:color w:val="000000" w:themeColor="text1"/>
                <w:kern w:val="0"/>
                <w:sz w:val="24"/>
              </w:rPr>
            </w:pPr>
            <w:r w:rsidRPr="009A7486">
              <w:rPr>
                <w:rFonts w:eastAsiaTheme="minorEastAsia"/>
                <w:color w:val="000000" w:themeColor="text1"/>
                <w:kern w:val="0"/>
                <w:sz w:val="24"/>
              </w:rPr>
              <w:t>0.01%</w:t>
            </w:r>
          </w:p>
        </w:tc>
      </w:tr>
    </w:tbl>
    <w:p w:rsidR="00CD1658" w:rsidRPr="009A7486" w:rsidRDefault="00CD1658" w:rsidP="002855D4">
      <w:pPr>
        <w:pStyle w:val="20"/>
        <w:spacing w:beforeLines="100" w:after="0" w:line="240" w:lineRule="auto"/>
        <w:rPr>
          <w:rFonts w:ascii="Times New Roman" w:eastAsiaTheme="minorEastAsia" w:hAnsi="Times New Roman" w:cs="Times New Roman"/>
          <w:color w:val="000000" w:themeColor="text1"/>
          <w:szCs w:val="24"/>
        </w:rPr>
      </w:pPr>
      <w:r w:rsidRPr="009A7486">
        <w:rPr>
          <w:rFonts w:ascii="Times New Roman" w:eastAsiaTheme="minorEastAsia" w:hAnsi="Times New Roman" w:cs="Times New Roman"/>
          <w:color w:val="000000" w:themeColor="text1"/>
          <w:kern w:val="0"/>
          <w:szCs w:val="24"/>
        </w:rPr>
        <w:t>9.4</w:t>
      </w:r>
      <w:r w:rsidRPr="009A7486">
        <w:rPr>
          <w:rFonts w:ascii="Times New Roman" w:eastAsiaTheme="minorEastAsia" w:hAnsi="Times New Roman" w:cs="Times New Roman"/>
          <w:color w:val="000000" w:themeColor="text1"/>
          <w:szCs w:val="24"/>
        </w:rPr>
        <w:t>期末基金管理人的从业人员持有本开放式基金份额总量区间的情况</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2548"/>
        <w:gridCol w:w="2424"/>
        <w:gridCol w:w="4526"/>
      </w:tblGrid>
      <w:tr w:rsidR="00226A6C" w:rsidRPr="009A7486" w:rsidTr="000D509C">
        <w:trPr>
          <w:trHeight w:val="285"/>
        </w:trPr>
        <w:tc>
          <w:tcPr>
            <w:tcW w:w="2548"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项目</w:t>
            </w:r>
          </w:p>
        </w:tc>
        <w:tc>
          <w:tcPr>
            <w:tcW w:w="2424"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份额级别</w:t>
            </w:r>
          </w:p>
        </w:tc>
        <w:tc>
          <w:tcPr>
            <w:tcW w:w="4526"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持有基金份额总量的数量区间（万份）</w:t>
            </w:r>
          </w:p>
        </w:tc>
      </w:tr>
      <w:tr w:rsidR="00226A6C" w:rsidRPr="009A7486" w:rsidTr="000D509C">
        <w:trPr>
          <w:trHeight w:val="285"/>
        </w:trPr>
        <w:tc>
          <w:tcPr>
            <w:tcW w:w="2548" w:type="dxa"/>
            <w:vMerge w:val="restart"/>
            <w:shd w:val="clear" w:color="auto" w:fill="auto"/>
            <w:tcMar>
              <w:top w:w="0" w:type="dxa"/>
              <w:left w:w="108" w:type="dxa"/>
              <w:bottom w:w="0" w:type="dxa"/>
              <w:right w:w="108" w:type="dxa"/>
            </w:tcMar>
            <w:vAlign w:val="center"/>
            <w:hideMark/>
          </w:tcPr>
          <w:p w:rsidR="00CD1658" w:rsidRPr="009A7486" w:rsidRDefault="00CD1658" w:rsidP="00480D5A">
            <w:pPr>
              <w:widowControl/>
              <w:jc w:val="left"/>
              <w:rPr>
                <w:rFonts w:eastAsiaTheme="minorEastAsia"/>
                <w:color w:val="000000" w:themeColor="text1"/>
                <w:kern w:val="0"/>
                <w:sz w:val="24"/>
              </w:rPr>
            </w:pPr>
            <w:r w:rsidRPr="009A7486">
              <w:rPr>
                <w:rFonts w:eastAsiaTheme="minorEastAsia"/>
                <w:color w:val="000000" w:themeColor="text1"/>
                <w:kern w:val="0"/>
                <w:sz w:val="24"/>
              </w:rPr>
              <w:t>本公司高级管理人员、基金投资和研究部门负责人持有本开放式基金</w:t>
            </w:r>
          </w:p>
        </w:tc>
        <w:tc>
          <w:tcPr>
            <w:tcW w:w="2424"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国投瑞银货币</w:t>
            </w:r>
            <w:r w:rsidRPr="009A7486">
              <w:rPr>
                <w:rFonts w:eastAsiaTheme="minorEastAsia"/>
                <w:color w:val="000000" w:themeColor="text1"/>
                <w:kern w:val="0"/>
                <w:sz w:val="24"/>
              </w:rPr>
              <w:t>A</w:t>
            </w:r>
          </w:p>
        </w:tc>
        <w:tc>
          <w:tcPr>
            <w:tcW w:w="4526"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0</w:t>
            </w:r>
          </w:p>
        </w:tc>
      </w:tr>
      <w:tr w:rsidR="00226A6C" w:rsidRPr="009A7486" w:rsidTr="000D509C">
        <w:trPr>
          <w:trHeight w:val="285"/>
        </w:trPr>
        <w:tc>
          <w:tcPr>
            <w:tcW w:w="2548" w:type="dxa"/>
            <w:vMerge/>
            <w:shd w:val="clear" w:color="auto" w:fill="auto"/>
            <w:vAlign w:val="center"/>
            <w:hideMark/>
          </w:tcPr>
          <w:p w:rsidR="00CD1658" w:rsidRPr="009A7486" w:rsidRDefault="00CD1658" w:rsidP="00480D5A">
            <w:pPr>
              <w:widowControl/>
              <w:jc w:val="left"/>
              <w:rPr>
                <w:rFonts w:eastAsiaTheme="minorEastAsia"/>
                <w:color w:val="000000" w:themeColor="text1"/>
                <w:kern w:val="0"/>
                <w:sz w:val="24"/>
              </w:rPr>
            </w:pPr>
          </w:p>
        </w:tc>
        <w:tc>
          <w:tcPr>
            <w:tcW w:w="2424"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国投瑞银货币</w:t>
            </w:r>
            <w:r w:rsidRPr="009A7486">
              <w:rPr>
                <w:rFonts w:eastAsiaTheme="minorEastAsia"/>
                <w:color w:val="000000" w:themeColor="text1"/>
                <w:kern w:val="0"/>
                <w:sz w:val="24"/>
              </w:rPr>
              <w:t>B</w:t>
            </w:r>
          </w:p>
        </w:tc>
        <w:tc>
          <w:tcPr>
            <w:tcW w:w="4526"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0</w:t>
            </w:r>
          </w:p>
        </w:tc>
      </w:tr>
      <w:tr w:rsidR="00226A6C" w:rsidRPr="009A7486" w:rsidTr="000D509C">
        <w:trPr>
          <w:trHeight w:val="285"/>
        </w:trPr>
        <w:tc>
          <w:tcPr>
            <w:tcW w:w="2548" w:type="dxa"/>
            <w:vMerge/>
            <w:shd w:val="clear" w:color="auto" w:fill="auto"/>
            <w:vAlign w:val="center"/>
            <w:hideMark/>
          </w:tcPr>
          <w:p w:rsidR="00CD1658" w:rsidRPr="009A7486" w:rsidRDefault="00CD1658" w:rsidP="00480D5A">
            <w:pPr>
              <w:widowControl/>
              <w:jc w:val="left"/>
              <w:rPr>
                <w:rFonts w:eastAsiaTheme="minorEastAsia"/>
                <w:color w:val="000000" w:themeColor="text1"/>
                <w:kern w:val="0"/>
                <w:sz w:val="24"/>
              </w:rPr>
            </w:pPr>
          </w:p>
        </w:tc>
        <w:tc>
          <w:tcPr>
            <w:tcW w:w="2424"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合计</w:t>
            </w:r>
          </w:p>
        </w:tc>
        <w:tc>
          <w:tcPr>
            <w:tcW w:w="4526"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0</w:t>
            </w:r>
          </w:p>
        </w:tc>
      </w:tr>
      <w:tr w:rsidR="00226A6C" w:rsidRPr="009A7486" w:rsidTr="000D509C">
        <w:trPr>
          <w:trHeight w:val="285"/>
        </w:trPr>
        <w:tc>
          <w:tcPr>
            <w:tcW w:w="2548" w:type="dxa"/>
            <w:vMerge w:val="restart"/>
            <w:shd w:val="clear" w:color="auto" w:fill="auto"/>
            <w:tcMar>
              <w:top w:w="0" w:type="dxa"/>
              <w:left w:w="108" w:type="dxa"/>
              <w:bottom w:w="0" w:type="dxa"/>
              <w:right w:w="108" w:type="dxa"/>
            </w:tcMar>
            <w:vAlign w:val="center"/>
            <w:hideMark/>
          </w:tcPr>
          <w:p w:rsidR="00CD1658" w:rsidRPr="009A7486" w:rsidRDefault="00CD1658" w:rsidP="00480D5A">
            <w:pPr>
              <w:widowControl/>
              <w:jc w:val="left"/>
              <w:rPr>
                <w:rFonts w:eastAsiaTheme="minorEastAsia"/>
                <w:color w:val="000000" w:themeColor="text1"/>
                <w:kern w:val="0"/>
                <w:sz w:val="24"/>
              </w:rPr>
            </w:pPr>
            <w:r w:rsidRPr="009A7486">
              <w:rPr>
                <w:rFonts w:eastAsiaTheme="minorEastAsia"/>
                <w:color w:val="000000" w:themeColor="text1"/>
                <w:kern w:val="0"/>
                <w:sz w:val="24"/>
              </w:rPr>
              <w:t>本基金基金经理持有本开放式基金</w:t>
            </w:r>
          </w:p>
        </w:tc>
        <w:tc>
          <w:tcPr>
            <w:tcW w:w="2424"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国投瑞银货币</w:t>
            </w:r>
            <w:r w:rsidRPr="009A7486">
              <w:rPr>
                <w:rFonts w:eastAsiaTheme="minorEastAsia"/>
                <w:color w:val="000000" w:themeColor="text1"/>
                <w:kern w:val="0"/>
                <w:sz w:val="24"/>
              </w:rPr>
              <w:t>A</w:t>
            </w:r>
          </w:p>
        </w:tc>
        <w:tc>
          <w:tcPr>
            <w:tcW w:w="4526"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0</w:t>
            </w:r>
          </w:p>
        </w:tc>
      </w:tr>
      <w:tr w:rsidR="00226A6C" w:rsidRPr="009A7486" w:rsidTr="000D509C">
        <w:trPr>
          <w:trHeight w:val="525"/>
        </w:trPr>
        <w:tc>
          <w:tcPr>
            <w:tcW w:w="2548" w:type="dxa"/>
            <w:vMerge/>
            <w:shd w:val="clear" w:color="auto" w:fill="auto"/>
            <w:vAlign w:val="center"/>
            <w:hideMark/>
          </w:tcPr>
          <w:p w:rsidR="00CD1658" w:rsidRPr="009A7486" w:rsidRDefault="00CD1658" w:rsidP="00480D5A">
            <w:pPr>
              <w:widowControl/>
              <w:jc w:val="left"/>
              <w:rPr>
                <w:rFonts w:eastAsiaTheme="minorEastAsia"/>
                <w:color w:val="000000" w:themeColor="text1"/>
                <w:kern w:val="0"/>
                <w:sz w:val="24"/>
              </w:rPr>
            </w:pPr>
          </w:p>
        </w:tc>
        <w:tc>
          <w:tcPr>
            <w:tcW w:w="2424"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国投瑞银货币</w:t>
            </w:r>
            <w:r w:rsidRPr="009A7486">
              <w:rPr>
                <w:rFonts w:eastAsiaTheme="minorEastAsia"/>
                <w:color w:val="000000" w:themeColor="text1"/>
                <w:kern w:val="0"/>
                <w:sz w:val="24"/>
              </w:rPr>
              <w:t>B</w:t>
            </w:r>
          </w:p>
        </w:tc>
        <w:tc>
          <w:tcPr>
            <w:tcW w:w="4526"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0</w:t>
            </w:r>
          </w:p>
        </w:tc>
      </w:tr>
      <w:tr w:rsidR="00226A6C" w:rsidRPr="009A7486" w:rsidTr="000D509C">
        <w:trPr>
          <w:trHeight w:val="653"/>
        </w:trPr>
        <w:tc>
          <w:tcPr>
            <w:tcW w:w="2548" w:type="dxa"/>
            <w:vMerge/>
            <w:shd w:val="clear" w:color="auto" w:fill="auto"/>
            <w:vAlign w:val="center"/>
            <w:hideMark/>
          </w:tcPr>
          <w:p w:rsidR="00CD1658" w:rsidRPr="009A7486" w:rsidRDefault="00CD1658" w:rsidP="00480D5A">
            <w:pPr>
              <w:widowControl/>
              <w:jc w:val="left"/>
              <w:rPr>
                <w:rFonts w:eastAsiaTheme="minorEastAsia"/>
                <w:color w:val="000000" w:themeColor="text1"/>
                <w:kern w:val="0"/>
                <w:sz w:val="24"/>
              </w:rPr>
            </w:pPr>
          </w:p>
        </w:tc>
        <w:tc>
          <w:tcPr>
            <w:tcW w:w="2424"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合计</w:t>
            </w:r>
          </w:p>
        </w:tc>
        <w:tc>
          <w:tcPr>
            <w:tcW w:w="4526" w:type="dxa"/>
            <w:shd w:val="clear" w:color="auto" w:fill="auto"/>
            <w:tcMar>
              <w:top w:w="0" w:type="dxa"/>
              <w:left w:w="108" w:type="dxa"/>
              <w:bottom w:w="0" w:type="dxa"/>
              <w:right w:w="108" w:type="dxa"/>
            </w:tcMar>
            <w:vAlign w:val="center"/>
            <w:hideMark/>
          </w:tcPr>
          <w:p w:rsidR="00CD1658" w:rsidRPr="009A7486" w:rsidRDefault="00CD1658" w:rsidP="00480D5A">
            <w:pPr>
              <w:widowControl/>
              <w:jc w:val="center"/>
              <w:rPr>
                <w:rFonts w:eastAsiaTheme="minorEastAsia"/>
                <w:color w:val="000000" w:themeColor="text1"/>
                <w:kern w:val="0"/>
                <w:sz w:val="24"/>
              </w:rPr>
            </w:pPr>
            <w:r w:rsidRPr="009A7486">
              <w:rPr>
                <w:rFonts w:eastAsiaTheme="minorEastAsia"/>
                <w:color w:val="000000" w:themeColor="text1"/>
                <w:kern w:val="0"/>
                <w:sz w:val="24"/>
              </w:rPr>
              <w:t>0</w:t>
            </w:r>
          </w:p>
        </w:tc>
      </w:tr>
    </w:tbl>
    <w:p w:rsidR="00CD1658" w:rsidRPr="009A7486" w:rsidRDefault="00CD1658" w:rsidP="009A7486">
      <w:pPr>
        <w:spacing w:line="360" w:lineRule="auto"/>
        <w:ind w:firstLineChars="200" w:firstLine="480"/>
        <w:rPr>
          <w:rFonts w:eastAsiaTheme="minorEastAsia"/>
          <w:color w:val="000000" w:themeColor="text1"/>
          <w:sz w:val="24"/>
        </w:rPr>
      </w:pPr>
      <w:r w:rsidRPr="009A7486">
        <w:rPr>
          <w:rFonts w:eastAsiaTheme="minorEastAsia"/>
          <w:color w:val="000000" w:themeColor="text1"/>
          <w:kern w:val="0"/>
          <w:sz w:val="24"/>
        </w:rPr>
        <w:t>注：本公司高级管理人员、基金投资和研究部门负责人，本基金基金经理于本报告期末均未持有本基金份额。</w:t>
      </w:r>
    </w:p>
    <w:p w:rsidR="006D141C" w:rsidRPr="009A7486" w:rsidRDefault="006D141C" w:rsidP="002855D4">
      <w:pPr>
        <w:pStyle w:val="1"/>
        <w:keepNext/>
        <w:keepLines/>
        <w:widowControl w:val="0"/>
        <w:spacing w:beforeLines="100" w:afterLines="100" w:line="360" w:lineRule="auto"/>
        <w:jc w:val="center"/>
        <w:rPr>
          <w:rFonts w:eastAsiaTheme="minorEastAsia"/>
          <w:b/>
          <w:bCs/>
          <w:color w:val="000000" w:themeColor="text1"/>
          <w:szCs w:val="24"/>
          <w:lang w:val="en-US"/>
        </w:rPr>
      </w:pPr>
      <w:bookmarkStart w:id="36" w:name="_Toc331410115"/>
      <w:bookmarkStart w:id="37" w:name="_Toc225500053"/>
      <w:r w:rsidRPr="009A7486">
        <w:rPr>
          <w:rFonts w:eastAsiaTheme="minorEastAsia"/>
          <w:b/>
          <w:bCs/>
          <w:color w:val="000000" w:themeColor="text1"/>
          <w:szCs w:val="24"/>
          <w:lang w:val="en-US"/>
        </w:rPr>
        <w:t>§</w:t>
      </w:r>
      <w:r w:rsidR="008B7031" w:rsidRPr="009A7486">
        <w:rPr>
          <w:rFonts w:eastAsiaTheme="minorEastAsia"/>
          <w:b/>
          <w:bCs/>
          <w:color w:val="000000" w:themeColor="text1"/>
          <w:szCs w:val="24"/>
          <w:lang w:val="en-US"/>
        </w:rPr>
        <w:t>10</w:t>
      </w:r>
      <w:r w:rsidRPr="009A7486">
        <w:rPr>
          <w:rFonts w:eastAsiaTheme="minorEastAsia"/>
          <w:b/>
          <w:bCs/>
          <w:color w:val="000000" w:themeColor="text1"/>
          <w:szCs w:val="24"/>
          <w:lang w:val="en-US"/>
        </w:rPr>
        <w:t>开放式基金份额变动</w:t>
      </w:r>
      <w:bookmarkEnd w:id="36"/>
      <w:bookmarkEnd w:id="37"/>
    </w:p>
    <w:p w:rsidR="00D03082" w:rsidRPr="009A7486" w:rsidRDefault="00D03082" w:rsidP="004B36C2">
      <w:pPr>
        <w:spacing w:line="360" w:lineRule="auto"/>
        <w:jc w:val="right"/>
        <w:rPr>
          <w:rFonts w:eastAsiaTheme="minorEastAsia"/>
          <w:color w:val="000000" w:themeColor="text1"/>
          <w:sz w:val="24"/>
        </w:rPr>
      </w:pPr>
      <w:r w:rsidRPr="009A7486">
        <w:rPr>
          <w:rFonts w:eastAsiaTheme="minorEastAsia"/>
          <w:color w:val="000000" w:themeColor="text1"/>
          <w:sz w:val="24"/>
        </w:rPr>
        <w:t>单位：份</w:t>
      </w:r>
    </w:p>
    <w:tbl>
      <w:tblPr>
        <w:tblStyle w:val="af7"/>
        <w:tblW w:w="5000" w:type="pct"/>
        <w:tblInd w:w="108" w:type="dxa"/>
        <w:tblLayout w:type="fixed"/>
        <w:tblLook w:val="04A0"/>
      </w:tblPr>
      <w:tblGrid>
        <w:gridCol w:w="3794"/>
        <w:gridCol w:w="2745"/>
        <w:gridCol w:w="2747"/>
      </w:tblGrid>
      <w:tr w:rsidR="00226A6C" w:rsidRPr="009A7486" w:rsidTr="000D509C">
        <w:tc>
          <w:tcPr>
            <w:tcW w:w="2043" w:type="pct"/>
            <w:tcBorders>
              <w:top w:val="single" w:sz="4" w:space="0" w:color="auto"/>
              <w:left w:val="single" w:sz="4" w:space="0" w:color="auto"/>
              <w:bottom w:val="single" w:sz="4" w:space="0" w:color="auto"/>
              <w:right w:val="single" w:sz="4" w:space="0" w:color="auto"/>
            </w:tcBorders>
            <w:vAlign w:val="center"/>
          </w:tcPr>
          <w:p w:rsidR="004C2C8A" w:rsidRPr="009A7486" w:rsidRDefault="004C2C8A" w:rsidP="004B36C2">
            <w:pPr>
              <w:spacing w:line="360" w:lineRule="auto"/>
              <w:jc w:val="center"/>
              <w:rPr>
                <w:rFonts w:eastAsiaTheme="minorEastAsia"/>
                <w:color w:val="000000" w:themeColor="text1"/>
                <w:sz w:val="24"/>
              </w:rPr>
            </w:pPr>
            <w:r w:rsidRPr="009A7486">
              <w:rPr>
                <w:rFonts w:eastAsiaTheme="minorEastAsia"/>
                <w:color w:val="000000" w:themeColor="text1"/>
                <w:sz w:val="24"/>
              </w:rPr>
              <w:t>项目</w:t>
            </w:r>
          </w:p>
        </w:tc>
        <w:tc>
          <w:tcPr>
            <w:tcW w:w="1478" w:type="pct"/>
            <w:tcBorders>
              <w:top w:val="single" w:sz="4" w:space="0" w:color="auto"/>
              <w:left w:val="single" w:sz="4" w:space="0" w:color="auto"/>
              <w:bottom w:val="single" w:sz="4" w:space="0" w:color="auto"/>
              <w:right w:val="single" w:sz="4" w:space="0" w:color="auto"/>
            </w:tcBorders>
            <w:vAlign w:val="center"/>
          </w:tcPr>
          <w:p w:rsidR="004C2C8A" w:rsidRPr="009A7486" w:rsidRDefault="004C2C8A"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A</w:t>
            </w:r>
          </w:p>
        </w:tc>
        <w:tc>
          <w:tcPr>
            <w:tcW w:w="1479" w:type="pct"/>
            <w:tcBorders>
              <w:top w:val="single" w:sz="4" w:space="0" w:color="auto"/>
              <w:left w:val="single" w:sz="4" w:space="0" w:color="auto"/>
              <w:bottom w:val="single" w:sz="4" w:space="0" w:color="auto"/>
              <w:right w:val="single" w:sz="4" w:space="0" w:color="auto"/>
            </w:tcBorders>
            <w:vAlign w:val="center"/>
          </w:tcPr>
          <w:p w:rsidR="004C2C8A" w:rsidRPr="009A7486" w:rsidRDefault="004C2C8A"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国投瑞银货币</w:t>
            </w:r>
            <w:r w:rsidRPr="009A7486">
              <w:rPr>
                <w:rFonts w:eastAsiaTheme="minorEastAsia"/>
                <w:color w:val="000000" w:themeColor="text1"/>
                <w:sz w:val="24"/>
              </w:rPr>
              <w:t>B</w:t>
            </w:r>
          </w:p>
        </w:tc>
      </w:tr>
      <w:tr w:rsidR="00226A6C" w:rsidRPr="009A7486" w:rsidTr="000D509C">
        <w:tc>
          <w:tcPr>
            <w:tcW w:w="2043" w:type="pct"/>
            <w:tcBorders>
              <w:top w:val="single" w:sz="4" w:space="0" w:color="auto"/>
              <w:left w:val="single" w:sz="4" w:space="0" w:color="auto"/>
              <w:bottom w:val="single" w:sz="4" w:space="0" w:color="auto"/>
              <w:right w:val="single" w:sz="4" w:space="0" w:color="auto"/>
            </w:tcBorders>
            <w:hideMark/>
          </w:tcPr>
          <w:p w:rsidR="00D03082" w:rsidRPr="009A7486" w:rsidRDefault="00D03082" w:rsidP="004B36C2">
            <w:pPr>
              <w:spacing w:line="360" w:lineRule="auto"/>
              <w:rPr>
                <w:rFonts w:eastAsiaTheme="minorEastAsia"/>
                <w:color w:val="000000" w:themeColor="text1"/>
                <w:sz w:val="24"/>
              </w:rPr>
            </w:pPr>
            <w:r w:rsidRPr="009A7486">
              <w:rPr>
                <w:rFonts w:eastAsiaTheme="minorEastAsia"/>
                <w:color w:val="000000" w:themeColor="text1"/>
                <w:sz w:val="24"/>
              </w:rPr>
              <w:t>基金合同生效日（</w:t>
            </w:r>
            <w:r w:rsidRPr="009A7486">
              <w:rPr>
                <w:rFonts w:eastAsiaTheme="minorEastAsia"/>
                <w:color w:val="000000" w:themeColor="text1"/>
                <w:sz w:val="24"/>
              </w:rPr>
              <w:t>2009</w:t>
            </w:r>
            <w:r w:rsidRPr="009A7486">
              <w:rPr>
                <w:rFonts w:eastAsiaTheme="minorEastAsia"/>
                <w:color w:val="000000" w:themeColor="text1"/>
                <w:sz w:val="24"/>
              </w:rPr>
              <w:t>年</w:t>
            </w:r>
            <w:r w:rsidRPr="009A7486">
              <w:rPr>
                <w:rFonts w:eastAsiaTheme="minorEastAsia"/>
                <w:color w:val="000000" w:themeColor="text1"/>
                <w:sz w:val="24"/>
              </w:rPr>
              <w:t>1</w:t>
            </w:r>
            <w:r w:rsidRPr="009A7486">
              <w:rPr>
                <w:rFonts w:eastAsiaTheme="minorEastAsia"/>
                <w:color w:val="000000" w:themeColor="text1"/>
                <w:sz w:val="24"/>
              </w:rPr>
              <w:t>月</w:t>
            </w:r>
            <w:r w:rsidRPr="009A7486">
              <w:rPr>
                <w:rFonts w:eastAsiaTheme="minorEastAsia"/>
                <w:color w:val="000000" w:themeColor="text1"/>
                <w:sz w:val="24"/>
              </w:rPr>
              <w:t>19</w:t>
            </w:r>
            <w:r w:rsidRPr="009A7486">
              <w:rPr>
                <w:rFonts w:eastAsiaTheme="minorEastAsia"/>
                <w:color w:val="000000" w:themeColor="text1"/>
                <w:sz w:val="24"/>
              </w:rPr>
              <w:t>日）基金份额总额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9A7486" w:rsidRDefault="00D03082" w:rsidP="004B36C2">
            <w:pPr>
              <w:spacing w:line="360" w:lineRule="auto"/>
              <w:jc w:val="right"/>
              <w:rPr>
                <w:rFonts w:eastAsiaTheme="minorEastAsia"/>
                <w:color w:val="000000" w:themeColor="text1"/>
                <w:sz w:val="24"/>
              </w:rPr>
            </w:pPr>
            <w:r w:rsidRPr="009A7486">
              <w:rPr>
                <w:rFonts w:eastAsiaTheme="minorEastAsia"/>
                <w:color w:val="000000" w:themeColor="text1"/>
                <w:sz w:val="24"/>
              </w:rPr>
              <w:t>1,425,014,004.60</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9A7486" w:rsidRDefault="00D03082" w:rsidP="004B36C2">
            <w:pPr>
              <w:spacing w:line="360" w:lineRule="auto"/>
              <w:jc w:val="right"/>
              <w:rPr>
                <w:rFonts w:eastAsiaTheme="minorEastAsia"/>
                <w:color w:val="000000" w:themeColor="text1"/>
                <w:sz w:val="24"/>
              </w:rPr>
            </w:pPr>
            <w:r w:rsidRPr="009A7486">
              <w:rPr>
                <w:rFonts w:eastAsiaTheme="minorEastAsia"/>
                <w:color w:val="000000" w:themeColor="text1"/>
                <w:sz w:val="24"/>
              </w:rPr>
              <w:t>2,407,948,888.01</w:t>
            </w:r>
          </w:p>
        </w:tc>
      </w:tr>
      <w:tr w:rsidR="00226A6C" w:rsidRPr="009A7486" w:rsidTr="000D509C">
        <w:tc>
          <w:tcPr>
            <w:tcW w:w="2043" w:type="pct"/>
            <w:tcBorders>
              <w:top w:val="single" w:sz="4" w:space="0" w:color="auto"/>
              <w:left w:val="single" w:sz="4" w:space="0" w:color="auto"/>
              <w:bottom w:val="single" w:sz="4" w:space="0" w:color="auto"/>
              <w:right w:val="single" w:sz="4" w:space="0" w:color="auto"/>
            </w:tcBorders>
            <w:hideMark/>
          </w:tcPr>
          <w:p w:rsidR="00D03082" w:rsidRPr="009A7486" w:rsidRDefault="00FF7A31" w:rsidP="004B36C2">
            <w:pPr>
              <w:spacing w:line="360" w:lineRule="auto"/>
              <w:rPr>
                <w:rFonts w:eastAsiaTheme="minorEastAsia"/>
                <w:color w:val="000000" w:themeColor="text1"/>
                <w:sz w:val="24"/>
              </w:rPr>
            </w:pPr>
            <w:r w:rsidRPr="009A7486">
              <w:rPr>
                <w:rFonts w:eastAsiaTheme="minorEastAsia"/>
                <w:color w:val="000000" w:themeColor="text1"/>
                <w:sz w:val="24"/>
              </w:rPr>
              <w:t>本报告期</w:t>
            </w:r>
            <w:r w:rsidR="00D03082" w:rsidRPr="009A7486">
              <w:rPr>
                <w:rFonts w:eastAsiaTheme="minorEastAsia"/>
                <w:color w:val="000000" w:themeColor="text1"/>
                <w:sz w:val="24"/>
              </w:rPr>
              <w:t>期初基金份额总额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9A7486" w:rsidRDefault="00D03082" w:rsidP="004B36C2">
            <w:pPr>
              <w:spacing w:line="360" w:lineRule="auto"/>
              <w:jc w:val="right"/>
              <w:rPr>
                <w:rFonts w:eastAsiaTheme="minorEastAsia"/>
                <w:color w:val="000000" w:themeColor="text1"/>
                <w:sz w:val="24"/>
              </w:rPr>
            </w:pPr>
            <w:r w:rsidRPr="009A7486">
              <w:rPr>
                <w:rFonts w:eastAsiaTheme="minorEastAsia"/>
                <w:color w:val="000000" w:themeColor="text1"/>
                <w:sz w:val="24"/>
              </w:rPr>
              <w:t>1,916,197,118.51</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9A7486" w:rsidRDefault="00D03082" w:rsidP="004B36C2">
            <w:pPr>
              <w:spacing w:line="360" w:lineRule="auto"/>
              <w:jc w:val="right"/>
              <w:rPr>
                <w:rFonts w:eastAsiaTheme="minorEastAsia"/>
                <w:color w:val="000000" w:themeColor="text1"/>
                <w:sz w:val="24"/>
              </w:rPr>
            </w:pPr>
            <w:r w:rsidRPr="009A7486">
              <w:rPr>
                <w:rFonts w:eastAsiaTheme="minorEastAsia"/>
                <w:color w:val="000000" w:themeColor="text1"/>
                <w:sz w:val="24"/>
              </w:rPr>
              <w:t>29,527,001,741.99</w:t>
            </w:r>
          </w:p>
        </w:tc>
      </w:tr>
      <w:tr w:rsidR="00226A6C" w:rsidRPr="009A7486" w:rsidTr="000D509C">
        <w:tc>
          <w:tcPr>
            <w:tcW w:w="2043" w:type="pct"/>
            <w:tcBorders>
              <w:top w:val="single" w:sz="4" w:space="0" w:color="auto"/>
              <w:left w:val="single" w:sz="4" w:space="0" w:color="auto"/>
              <w:bottom w:val="single" w:sz="4" w:space="0" w:color="auto"/>
              <w:right w:val="single" w:sz="4" w:space="0" w:color="auto"/>
            </w:tcBorders>
            <w:hideMark/>
          </w:tcPr>
          <w:p w:rsidR="00D03082" w:rsidRPr="009A7486" w:rsidRDefault="00FF7A31" w:rsidP="004B36C2">
            <w:pPr>
              <w:spacing w:line="360" w:lineRule="auto"/>
              <w:rPr>
                <w:rFonts w:eastAsiaTheme="minorEastAsia"/>
                <w:color w:val="000000" w:themeColor="text1"/>
                <w:sz w:val="24"/>
              </w:rPr>
            </w:pPr>
            <w:r w:rsidRPr="009A7486">
              <w:rPr>
                <w:rFonts w:eastAsiaTheme="minorEastAsia"/>
                <w:color w:val="000000" w:themeColor="text1"/>
                <w:sz w:val="24"/>
              </w:rPr>
              <w:t>本报告期</w:t>
            </w:r>
            <w:r w:rsidR="00D03082" w:rsidRPr="009A7486">
              <w:rPr>
                <w:rFonts w:eastAsiaTheme="minorEastAsia"/>
                <w:color w:val="000000" w:themeColor="text1"/>
                <w:sz w:val="24"/>
              </w:rPr>
              <w:t>基金总申购份额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9A7486" w:rsidRDefault="00D03082" w:rsidP="004B36C2">
            <w:pPr>
              <w:spacing w:line="360" w:lineRule="auto"/>
              <w:jc w:val="right"/>
              <w:rPr>
                <w:rFonts w:eastAsiaTheme="minorEastAsia"/>
                <w:color w:val="000000" w:themeColor="text1"/>
                <w:sz w:val="24"/>
              </w:rPr>
            </w:pPr>
            <w:r w:rsidRPr="009A7486">
              <w:rPr>
                <w:rFonts w:eastAsiaTheme="minorEastAsia"/>
                <w:color w:val="000000" w:themeColor="text1"/>
                <w:sz w:val="24"/>
              </w:rPr>
              <w:t>13,060,139,356.00</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9A7486" w:rsidRDefault="00D03082" w:rsidP="004B36C2">
            <w:pPr>
              <w:spacing w:line="360" w:lineRule="auto"/>
              <w:jc w:val="right"/>
              <w:rPr>
                <w:rFonts w:eastAsiaTheme="minorEastAsia"/>
                <w:color w:val="000000" w:themeColor="text1"/>
                <w:sz w:val="24"/>
              </w:rPr>
            </w:pPr>
            <w:r w:rsidRPr="009A7486">
              <w:rPr>
                <w:rFonts w:eastAsiaTheme="minorEastAsia"/>
                <w:color w:val="000000" w:themeColor="text1"/>
                <w:sz w:val="24"/>
              </w:rPr>
              <w:t>69,862,393,513.75</w:t>
            </w:r>
          </w:p>
        </w:tc>
      </w:tr>
      <w:tr w:rsidR="00226A6C" w:rsidRPr="009A7486" w:rsidTr="000D509C">
        <w:tc>
          <w:tcPr>
            <w:tcW w:w="2043" w:type="pct"/>
            <w:tcBorders>
              <w:top w:val="single" w:sz="4" w:space="0" w:color="auto"/>
              <w:left w:val="single" w:sz="4" w:space="0" w:color="auto"/>
              <w:bottom w:val="single" w:sz="4" w:space="0" w:color="auto"/>
              <w:right w:val="single" w:sz="4" w:space="0" w:color="auto"/>
            </w:tcBorders>
            <w:hideMark/>
          </w:tcPr>
          <w:p w:rsidR="00D03082" w:rsidRPr="009A7486" w:rsidRDefault="00D03082" w:rsidP="004B36C2">
            <w:pPr>
              <w:spacing w:line="360" w:lineRule="auto"/>
              <w:rPr>
                <w:rFonts w:eastAsiaTheme="minorEastAsia"/>
                <w:color w:val="000000" w:themeColor="text1"/>
                <w:sz w:val="24"/>
              </w:rPr>
            </w:pPr>
            <w:r w:rsidRPr="009A7486">
              <w:rPr>
                <w:rFonts w:eastAsiaTheme="minorEastAsia"/>
                <w:color w:val="000000" w:themeColor="text1"/>
                <w:sz w:val="24"/>
              </w:rPr>
              <w:t>减：</w:t>
            </w:r>
            <w:r w:rsidR="00FF7A31" w:rsidRPr="009A7486">
              <w:rPr>
                <w:rFonts w:eastAsiaTheme="minorEastAsia"/>
                <w:color w:val="000000" w:themeColor="text1"/>
                <w:sz w:val="24"/>
              </w:rPr>
              <w:t>本报告期</w:t>
            </w:r>
            <w:r w:rsidRPr="009A7486">
              <w:rPr>
                <w:rFonts w:eastAsiaTheme="minorEastAsia"/>
                <w:color w:val="000000" w:themeColor="text1"/>
                <w:sz w:val="24"/>
              </w:rPr>
              <w:t>基金总赎回份额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9A7486" w:rsidRDefault="00D03082" w:rsidP="004B36C2">
            <w:pPr>
              <w:spacing w:line="360" w:lineRule="auto"/>
              <w:jc w:val="right"/>
              <w:rPr>
                <w:rFonts w:eastAsiaTheme="minorEastAsia"/>
                <w:color w:val="000000" w:themeColor="text1"/>
                <w:sz w:val="24"/>
              </w:rPr>
            </w:pPr>
            <w:r w:rsidRPr="009A7486">
              <w:rPr>
                <w:rFonts w:eastAsiaTheme="minorEastAsia"/>
                <w:color w:val="000000" w:themeColor="text1"/>
                <w:sz w:val="24"/>
              </w:rPr>
              <w:t>13,770,212,804.75</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9A7486" w:rsidRDefault="00D03082" w:rsidP="004B36C2">
            <w:pPr>
              <w:spacing w:line="360" w:lineRule="auto"/>
              <w:jc w:val="right"/>
              <w:rPr>
                <w:rFonts w:eastAsiaTheme="minorEastAsia"/>
                <w:color w:val="000000" w:themeColor="text1"/>
                <w:sz w:val="24"/>
              </w:rPr>
            </w:pPr>
            <w:r w:rsidRPr="009A7486">
              <w:rPr>
                <w:rFonts w:eastAsiaTheme="minorEastAsia"/>
                <w:color w:val="000000" w:themeColor="text1"/>
                <w:sz w:val="24"/>
              </w:rPr>
              <w:t>93,476,470,171.74</w:t>
            </w:r>
          </w:p>
        </w:tc>
      </w:tr>
      <w:tr w:rsidR="00226A6C" w:rsidRPr="009A7486" w:rsidTr="000D509C">
        <w:tc>
          <w:tcPr>
            <w:tcW w:w="2043" w:type="pct"/>
            <w:tcBorders>
              <w:top w:val="single" w:sz="4" w:space="0" w:color="auto"/>
              <w:left w:val="single" w:sz="4" w:space="0" w:color="auto"/>
              <w:bottom w:val="single" w:sz="4" w:space="0" w:color="auto"/>
              <w:right w:val="single" w:sz="4" w:space="0" w:color="auto"/>
            </w:tcBorders>
            <w:hideMark/>
          </w:tcPr>
          <w:p w:rsidR="00D03082" w:rsidRPr="009A7486" w:rsidRDefault="00FF7A31" w:rsidP="004B36C2">
            <w:pPr>
              <w:spacing w:line="360" w:lineRule="auto"/>
              <w:rPr>
                <w:rFonts w:eastAsiaTheme="minorEastAsia"/>
                <w:color w:val="000000" w:themeColor="text1"/>
                <w:sz w:val="24"/>
              </w:rPr>
            </w:pPr>
            <w:r w:rsidRPr="009A7486">
              <w:rPr>
                <w:rFonts w:eastAsiaTheme="minorEastAsia"/>
                <w:color w:val="000000" w:themeColor="text1"/>
                <w:sz w:val="24"/>
              </w:rPr>
              <w:t>本报告期</w:t>
            </w:r>
            <w:r w:rsidR="00D03082" w:rsidRPr="009A7486">
              <w:rPr>
                <w:rFonts w:eastAsiaTheme="minorEastAsia"/>
                <w:color w:val="000000" w:themeColor="text1"/>
                <w:sz w:val="24"/>
              </w:rPr>
              <w:t>基金拆分变动份额</w:t>
            </w:r>
          </w:p>
        </w:tc>
        <w:tc>
          <w:tcPr>
            <w:tcW w:w="1478" w:type="pct"/>
            <w:tcBorders>
              <w:top w:val="single" w:sz="4" w:space="0" w:color="auto"/>
              <w:left w:val="single" w:sz="4" w:space="0" w:color="auto"/>
              <w:bottom w:val="single" w:sz="4" w:space="0" w:color="auto"/>
              <w:right w:val="single" w:sz="4" w:space="0" w:color="auto"/>
            </w:tcBorders>
            <w:vAlign w:val="bottom"/>
          </w:tcPr>
          <w:p w:rsidR="00D03082" w:rsidRPr="009A7486" w:rsidRDefault="00D03082"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c>
          <w:tcPr>
            <w:tcW w:w="1479" w:type="pct"/>
            <w:tcBorders>
              <w:top w:val="single" w:sz="4" w:space="0" w:color="auto"/>
              <w:left w:val="single" w:sz="4" w:space="0" w:color="auto"/>
              <w:bottom w:val="single" w:sz="4" w:space="0" w:color="auto"/>
              <w:right w:val="single" w:sz="4" w:space="0" w:color="auto"/>
            </w:tcBorders>
            <w:vAlign w:val="bottom"/>
          </w:tcPr>
          <w:p w:rsidR="00D03082" w:rsidRPr="009A7486" w:rsidRDefault="00D03082" w:rsidP="004B36C2">
            <w:pPr>
              <w:spacing w:line="360" w:lineRule="auto"/>
              <w:jc w:val="right"/>
              <w:rPr>
                <w:rFonts w:eastAsiaTheme="minorEastAsia"/>
                <w:color w:val="000000" w:themeColor="text1"/>
                <w:sz w:val="24"/>
              </w:rPr>
            </w:pPr>
            <w:r w:rsidRPr="009A7486">
              <w:rPr>
                <w:rFonts w:eastAsiaTheme="minorEastAsia"/>
                <w:color w:val="000000" w:themeColor="text1"/>
                <w:sz w:val="24"/>
              </w:rPr>
              <w:t>-</w:t>
            </w:r>
          </w:p>
        </w:tc>
      </w:tr>
      <w:tr w:rsidR="00226A6C" w:rsidRPr="009A7486" w:rsidTr="000D509C">
        <w:tc>
          <w:tcPr>
            <w:tcW w:w="2043" w:type="pct"/>
            <w:tcBorders>
              <w:top w:val="single" w:sz="4" w:space="0" w:color="auto"/>
              <w:left w:val="single" w:sz="4" w:space="0" w:color="auto"/>
              <w:bottom w:val="single" w:sz="4" w:space="0" w:color="auto"/>
              <w:right w:val="single" w:sz="4" w:space="0" w:color="auto"/>
            </w:tcBorders>
            <w:hideMark/>
          </w:tcPr>
          <w:p w:rsidR="00D03082" w:rsidRPr="009A7486" w:rsidRDefault="00AF6878" w:rsidP="004B36C2">
            <w:pPr>
              <w:spacing w:line="360" w:lineRule="auto"/>
              <w:rPr>
                <w:rFonts w:eastAsiaTheme="minorEastAsia"/>
                <w:color w:val="000000" w:themeColor="text1"/>
                <w:sz w:val="24"/>
              </w:rPr>
            </w:pPr>
            <w:r w:rsidRPr="009A7486">
              <w:rPr>
                <w:rFonts w:eastAsiaTheme="minorEastAsia"/>
                <w:sz w:val="24"/>
              </w:rPr>
              <w:t>本报告期期末基金份额总额</w:t>
            </w:r>
          </w:p>
        </w:tc>
        <w:tc>
          <w:tcPr>
            <w:tcW w:w="1478" w:type="pct"/>
            <w:tcBorders>
              <w:top w:val="single" w:sz="4" w:space="0" w:color="auto"/>
              <w:left w:val="single" w:sz="4" w:space="0" w:color="auto"/>
              <w:bottom w:val="single" w:sz="4" w:space="0" w:color="auto"/>
              <w:right w:val="single" w:sz="4" w:space="0" w:color="auto"/>
            </w:tcBorders>
            <w:vAlign w:val="center"/>
          </w:tcPr>
          <w:p w:rsidR="00D03082" w:rsidRPr="009A7486" w:rsidRDefault="00D03082" w:rsidP="004B36C2">
            <w:pPr>
              <w:spacing w:line="360" w:lineRule="auto"/>
              <w:jc w:val="right"/>
              <w:rPr>
                <w:rFonts w:eastAsiaTheme="minorEastAsia"/>
                <w:color w:val="000000" w:themeColor="text1"/>
                <w:sz w:val="24"/>
              </w:rPr>
            </w:pPr>
            <w:r w:rsidRPr="009A7486">
              <w:rPr>
                <w:rFonts w:eastAsiaTheme="minorEastAsia"/>
                <w:color w:val="000000" w:themeColor="text1"/>
                <w:sz w:val="24"/>
              </w:rPr>
              <w:t>1,206,123,669.76</w:t>
            </w:r>
          </w:p>
        </w:tc>
        <w:tc>
          <w:tcPr>
            <w:tcW w:w="1479" w:type="pct"/>
            <w:tcBorders>
              <w:top w:val="single" w:sz="4" w:space="0" w:color="auto"/>
              <w:left w:val="single" w:sz="4" w:space="0" w:color="auto"/>
              <w:bottom w:val="single" w:sz="4" w:space="0" w:color="auto"/>
              <w:right w:val="single" w:sz="4" w:space="0" w:color="auto"/>
            </w:tcBorders>
            <w:vAlign w:val="center"/>
          </w:tcPr>
          <w:p w:rsidR="00D03082" w:rsidRPr="009A7486" w:rsidRDefault="00D03082" w:rsidP="004B36C2">
            <w:pPr>
              <w:spacing w:line="360" w:lineRule="auto"/>
              <w:jc w:val="right"/>
              <w:rPr>
                <w:rFonts w:eastAsiaTheme="minorEastAsia"/>
                <w:color w:val="000000" w:themeColor="text1"/>
                <w:sz w:val="24"/>
              </w:rPr>
            </w:pPr>
            <w:r w:rsidRPr="009A7486">
              <w:rPr>
                <w:rFonts w:eastAsiaTheme="minorEastAsia"/>
                <w:color w:val="000000" w:themeColor="text1"/>
                <w:sz w:val="24"/>
              </w:rPr>
              <w:t>5,912,925,084.00</w:t>
            </w:r>
          </w:p>
        </w:tc>
      </w:tr>
    </w:tbl>
    <w:p w:rsidR="00D03082" w:rsidRPr="009A7486" w:rsidRDefault="00D03082"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注：总申购份额含红利再投、转换入份额和因份额升降级导致的强制调增份额，总赎回份额含转换出份额和因份额升降级导致的强制调减份额。</w:t>
      </w:r>
    </w:p>
    <w:p w:rsidR="006D141C" w:rsidRPr="009A7486" w:rsidRDefault="006D141C" w:rsidP="002855D4">
      <w:pPr>
        <w:pStyle w:val="1"/>
        <w:keepNext/>
        <w:keepLines/>
        <w:widowControl w:val="0"/>
        <w:spacing w:beforeLines="100" w:afterLines="100" w:line="360" w:lineRule="auto"/>
        <w:jc w:val="center"/>
        <w:rPr>
          <w:rFonts w:eastAsiaTheme="minorEastAsia"/>
          <w:b/>
          <w:bCs/>
          <w:color w:val="000000" w:themeColor="text1"/>
          <w:szCs w:val="24"/>
          <w:lang w:val="en-US"/>
        </w:rPr>
      </w:pPr>
      <w:bookmarkStart w:id="38" w:name="_Toc331410116"/>
      <w:bookmarkStart w:id="39" w:name="_Toc225500054"/>
      <w:r w:rsidRPr="009A7486">
        <w:rPr>
          <w:rFonts w:eastAsiaTheme="minorEastAsia"/>
          <w:b/>
          <w:bCs/>
          <w:color w:val="000000" w:themeColor="text1"/>
          <w:szCs w:val="24"/>
          <w:lang w:val="en-US"/>
        </w:rPr>
        <w:t>§11</w:t>
      </w:r>
      <w:r w:rsidRPr="009A7486">
        <w:rPr>
          <w:rFonts w:eastAsiaTheme="minorEastAsia"/>
          <w:b/>
          <w:bCs/>
          <w:color w:val="000000" w:themeColor="text1"/>
          <w:szCs w:val="24"/>
          <w:lang w:val="en-US"/>
        </w:rPr>
        <w:t>重大事件揭示</w:t>
      </w:r>
      <w:bookmarkEnd w:id="38"/>
      <w:bookmarkEnd w:id="39"/>
    </w:p>
    <w:p w:rsidR="006D141C" w:rsidRPr="009A7486" w:rsidRDefault="00EE1CF9" w:rsidP="00D17941">
      <w:pPr>
        <w:pStyle w:val="20"/>
        <w:spacing w:before="0" w:after="0"/>
        <w:rPr>
          <w:rFonts w:ascii="Times New Roman" w:eastAsiaTheme="minorEastAsia" w:hAnsi="Times New Roman" w:cs="Times New Roman"/>
          <w:color w:val="000000" w:themeColor="text1"/>
          <w:kern w:val="0"/>
          <w:szCs w:val="24"/>
        </w:rPr>
      </w:pPr>
      <w:bookmarkStart w:id="40" w:name="_Toc331410117"/>
      <w:r w:rsidRPr="009A7486">
        <w:rPr>
          <w:rFonts w:ascii="Times New Roman" w:eastAsiaTheme="minorEastAsia" w:hAnsi="Times New Roman" w:cs="Times New Roman"/>
          <w:color w:val="000000" w:themeColor="text1"/>
          <w:kern w:val="0"/>
          <w:szCs w:val="24"/>
        </w:rPr>
        <w:t>11</w:t>
      </w:r>
      <w:r w:rsidR="006D141C" w:rsidRPr="009A7486">
        <w:rPr>
          <w:rFonts w:ascii="Times New Roman" w:eastAsiaTheme="minorEastAsia" w:hAnsi="Times New Roman" w:cs="Times New Roman"/>
          <w:color w:val="000000" w:themeColor="text1"/>
          <w:kern w:val="0"/>
          <w:szCs w:val="24"/>
        </w:rPr>
        <w:t>.</w:t>
      </w:r>
      <w:r w:rsidR="001928E4" w:rsidRPr="009A7486">
        <w:rPr>
          <w:rFonts w:ascii="Times New Roman" w:eastAsiaTheme="minorEastAsia" w:hAnsi="Times New Roman" w:cs="Times New Roman"/>
          <w:color w:val="000000" w:themeColor="text1"/>
          <w:kern w:val="0"/>
          <w:szCs w:val="24"/>
        </w:rPr>
        <w:t>1</w:t>
      </w:r>
      <w:r w:rsidR="006D141C" w:rsidRPr="009A7486">
        <w:rPr>
          <w:rFonts w:ascii="Times New Roman" w:eastAsiaTheme="minorEastAsia" w:hAnsi="Times New Roman" w:cs="Times New Roman"/>
          <w:color w:val="000000" w:themeColor="text1"/>
          <w:kern w:val="0"/>
          <w:szCs w:val="24"/>
        </w:rPr>
        <w:t>基金份额持有人大会决议</w:t>
      </w:r>
      <w:bookmarkEnd w:id="40"/>
    </w:p>
    <w:p w:rsidR="006D141C" w:rsidRPr="009A7486" w:rsidRDefault="006D141C" w:rsidP="009A7486">
      <w:pPr>
        <w:spacing w:line="360" w:lineRule="auto"/>
        <w:ind w:firstLineChars="200" w:firstLine="480"/>
        <w:rPr>
          <w:rFonts w:eastAsiaTheme="minorEastAsia"/>
          <w:color w:val="000000" w:themeColor="text1"/>
          <w:sz w:val="24"/>
        </w:rPr>
      </w:pPr>
      <w:bookmarkStart w:id="41" w:name="_Toc331410118"/>
      <w:r w:rsidRPr="009A7486">
        <w:rPr>
          <w:rFonts w:eastAsiaTheme="minorEastAsia"/>
          <w:color w:val="000000" w:themeColor="text1"/>
          <w:sz w:val="24"/>
        </w:rPr>
        <w:t>报告期内无基金份额持有人大会决议。</w:t>
      </w:r>
    </w:p>
    <w:p w:rsidR="006D141C" w:rsidRPr="009A7486" w:rsidRDefault="00EE1CF9" w:rsidP="00D17941">
      <w:pPr>
        <w:pStyle w:val="20"/>
        <w:spacing w:before="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11</w:t>
      </w:r>
      <w:r w:rsidR="001928E4" w:rsidRPr="009A7486">
        <w:rPr>
          <w:rFonts w:ascii="Times New Roman" w:eastAsiaTheme="minorEastAsia" w:hAnsi="Times New Roman" w:cs="Times New Roman"/>
          <w:color w:val="000000" w:themeColor="text1"/>
          <w:kern w:val="0"/>
          <w:szCs w:val="24"/>
        </w:rPr>
        <w:t>.2</w:t>
      </w:r>
      <w:r w:rsidR="006D141C" w:rsidRPr="009A7486">
        <w:rPr>
          <w:rFonts w:ascii="Times New Roman" w:eastAsiaTheme="minorEastAsia" w:hAnsi="Times New Roman" w:cs="Times New Roman"/>
          <w:color w:val="000000" w:themeColor="text1"/>
          <w:kern w:val="0"/>
          <w:szCs w:val="24"/>
        </w:rPr>
        <w:t>基金管理人、基金托管人的专门基金托管部门的重大人事变动</w:t>
      </w:r>
      <w:bookmarkEnd w:id="41"/>
    </w:p>
    <w:p w:rsidR="006D141C" w:rsidRPr="009A7486" w:rsidRDefault="006D141C" w:rsidP="009A7486">
      <w:pPr>
        <w:spacing w:line="360" w:lineRule="auto"/>
        <w:ind w:firstLineChars="200" w:firstLine="480"/>
        <w:rPr>
          <w:rFonts w:eastAsiaTheme="minorEastAsia"/>
          <w:color w:val="000000" w:themeColor="text1"/>
          <w:sz w:val="24"/>
        </w:rPr>
      </w:pPr>
      <w:bookmarkStart w:id="42" w:name="_Toc331410119"/>
      <w:r w:rsidRPr="009A7486">
        <w:rPr>
          <w:rFonts w:eastAsiaTheme="minorEastAsia"/>
          <w:color w:val="000000" w:themeColor="text1"/>
          <w:sz w:val="24"/>
        </w:rPr>
        <w:t>报告期内基金管理人、基金托管人的专门基金托管部门无重大人事变动。</w:t>
      </w:r>
    </w:p>
    <w:p w:rsidR="006D141C" w:rsidRPr="009A7486" w:rsidRDefault="00EE1CF9" w:rsidP="00D17941">
      <w:pPr>
        <w:pStyle w:val="20"/>
        <w:spacing w:before="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11</w:t>
      </w:r>
      <w:r w:rsidR="006D141C" w:rsidRPr="009A7486">
        <w:rPr>
          <w:rFonts w:ascii="Times New Roman" w:eastAsiaTheme="minorEastAsia" w:hAnsi="Times New Roman" w:cs="Times New Roman"/>
          <w:color w:val="000000" w:themeColor="text1"/>
          <w:kern w:val="0"/>
          <w:szCs w:val="24"/>
        </w:rPr>
        <w:t xml:space="preserve">.3 </w:t>
      </w:r>
      <w:r w:rsidR="006D141C" w:rsidRPr="009A7486">
        <w:rPr>
          <w:rFonts w:ascii="Times New Roman" w:eastAsiaTheme="minorEastAsia" w:hAnsi="Times New Roman" w:cs="Times New Roman"/>
          <w:color w:val="000000" w:themeColor="text1"/>
          <w:kern w:val="0"/>
          <w:szCs w:val="24"/>
        </w:rPr>
        <w:t>涉及基金管理人、基金财产、基金托管业务的诉讼</w:t>
      </w:r>
      <w:bookmarkEnd w:id="42"/>
    </w:p>
    <w:p w:rsidR="006D141C" w:rsidRPr="009A7486" w:rsidRDefault="006D141C" w:rsidP="009A7486">
      <w:pPr>
        <w:spacing w:line="360" w:lineRule="auto"/>
        <w:ind w:firstLineChars="200" w:firstLine="480"/>
        <w:rPr>
          <w:rFonts w:eastAsiaTheme="minorEastAsia"/>
          <w:color w:val="000000" w:themeColor="text1"/>
          <w:sz w:val="24"/>
        </w:rPr>
      </w:pPr>
      <w:bookmarkStart w:id="43" w:name="_Toc331410120"/>
      <w:r w:rsidRPr="009A7486">
        <w:rPr>
          <w:rFonts w:eastAsiaTheme="minorEastAsia"/>
          <w:color w:val="000000" w:themeColor="text1"/>
          <w:sz w:val="24"/>
        </w:rPr>
        <w:t>报告期内无涉及对公司运营管理及基金运作产生重大影响的，与本基金管理人、基金财产、基金托管业务相关的诉讼。</w:t>
      </w:r>
    </w:p>
    <w:p w:rsidR="006D141C" w:rsidRPr="009A7486" w:rsidRDefault="00EE1CF9" w:rsidP="00D17941">
      <w:pPr>
        <w:pStyle w:val="20"/>
        <w:spacing w:before="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11</w:t>
      </w:r>
      <w:r w:rsidR="006D141C" w:rsidRPr="009A7486">
        <w:rPr>
          <w:rFonts w:ascii="Times New Roman" w:eastAsiaTheme="minorEastAsia" w:hAnsi="Times New Roman" w:cs="Times New Roman"/>
          <w:color w:val="000000" w:themeColor="text1"/>
          <w:kern w:val="0"/>
          <w:szCs w:val="24"/>
        </w:rPr>
        <w:t xml:space="preserve">.4 </w:t>
      </w:r>
      <w:r w:rsidR="006D141C" w:rsidRPr="009A7486">
        <w:rPr>
          <w:rFonts w:ascii="Times New Roman" w:eastAsiaTheme="minorEastAsia" w:hAnsi="Times New Roman" w:cs="Times New Roman"/>
          <w:color w:val="000000" w:themeColor="text1"/>
          <w:kern w:val="0"/>
          <w:szCs w:val="24"/>
        </w:rPr>
        <w:t>基金投资策略的改变</w:t>
      </w:r>
      <w:bookmarkEnd w:id="43"/>
    </w:p>
    <w:p w:rsidR="00E67BB5" w:rsidRPr="00726A88" w:rsidRDefault="006D141C" w:rsidP="00E67BB5">
      <w:pPr>
        <w:tabs>
          <w:tab w:val="left" w:pos="426"/>
        </w:tabs>
        <w:spacing w:line="360" w:lineRule="auto"/>
        <w:ind w:firstLineChars="200" w:firstLine="480"/>
        <w:jc w:val="left"/>
        <w:rPr>
          <w:rFonts w:eastAsiaTheme="minorEastAsia"/>
          <w:kern w:val="0"/>
          <w:sz w:val="24"/>
        </w:rPr>
      </w:pPr>
      <w:bookmarkStart w:id="44" w:name="_Toc331410121"/>
      <w:r w:rsidRPr="009A7486">
        <w:rPr>
          <w:rFonts w:eastAsiaTheme="minorEastAsia"/>
          <w:color w:val="000000" w:themeColor="text1"/>
          <w:sz w:val="24"/>
        </w:rPr>
        <w:t>报告期内基金投资策略未发生变化。</w:t>
      </w:r>
    </w:p>
    <w:p w:rsidR="00E67BB5" w:rsidRPr="00726A88" w:rsidRDefault="00E67BB5" w:rsidP="00E67BB5">
      <w:pPr>
        <w:pStyle w:val="20"/>
        <w:spacing w:before="0" w:after="0"/>
        <w:rPr>
          <w:rFonts w:ascii="Times New Roman" w:eastAsiaTheme="minorEastAsia" w:hAnsi="Times New Roman"/>
          <w:color w:val="000000" w:themeColor="text1"/>
          <w:kern w:val="0"/>
          <w:szCs w:val="24"/>
        </w:rPr>
      </w:pPr>
      <w:r w:rsidRPr="00726A88">
        <w:rPr>
          <w:rFonts w:ascii="Times New Roman" w:eastAsiaTheme="minorEastAsia" w:hAnsi="Times New Roman"/>
          <w:color w:val="000000" w:themeColor="text1"/>
          <w:kern w:val="0"/>
          <w:szCs w:val="24"/>
        </w:rPr>
        <w:t>11.5</w:t>
      </w:r>
      <w:r w:rsidRPr="00726A88">
        <w:rPr>
          <w:rFonts w:ascii="Times New Roman" w:eastAsiaTheme="minorEastAsia" w:hAnsi="Times New Roman" w:hint="eastAsia"/>
          <w:color w:val="000000" w:themeColor="text1"/>
          <w:kern w:val="0"/>
          <w:szCs w:val="24"/>
        </w:rPr>
        <w:t>本报告期持有的基金发生的重大影响事件</w:t>
      </w:r>
    </w:p>
    <w:p w:rsidR="006D141C" w:rsidRPr="009A7486" w:rsidRDefault="00E67BB5" w:rsidP="00E67BB5">
      <w:pPr>
        <w:spacing w:line="360" w:lineRule="auto"/>
        <w:ind w:firstLineChars="200" w:firstLine="480"/>
        <w:rPr>
          <w:rFonts w:eastAsiaTheme="minorEastAsia"/>
          <w:color w:val="000000" w:themeColor="text1"/>
          <w:sz w:val="24"/>
        </w:rPr>
      </w:pPr>
      <w:r w:rsidRPr="00726A88">
        <w:rPr>
          <w:rFonts w:eastAsiaTheme="minorEastAsia"/>
          <w:kern w:val="0"/>
          <w:sz w:val="24"/>
        </w:rPr>
        <w:t>本基金本报告期内未持有基金。</w:t>
      </w:r>
    </w:p>
    <w:p w:rsidR="006D141C" w:rsidRPr="009A7486" w:rsidRDefault="00EE1CF9" w:rsidP="00D17941">
      <w:pPr>
        <w:pStyle w:val="20"/>
        <w:spacing w:before="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11</w:t>
      </w:r>
      <w:r w:rsidR="006D141C" w:rsidRPr="009A7486">
        <w:rPr>
          <w:rFonts w:ascii="Times New Roman" w:eastAsiaTheme="minorEastAsia" w:hAnsi="Times New Roman" w:cs="Times New Roman"/>
          <w:color w:val="000000" w:themeColor="text1"/>
          <w:kern w:val="0"/>
          <w:szCs w:val="24"/>
        </w:rPr>
        <w:t>.</w:t>
      </w:r>
      <w:bookmarkEnd w:id="44"/>
      <w:r w:rsidR="00583397">
        <w:rPr>
          <w:rFonts w:ascii="Times New Roman" w:eastAsiaTheme="minorEastAsia" w:hAnsi="Times New Roman" w:cs="Times New Roman"/>
          <w:color w:val="000000" w:themeColor="text1"/>
          <w:kern w:val="0"/>
          <w:szCs w:val="24"/>
        </w:rPr>
        <w:t>6</w:t>
      </w:r>
      <w:r w:rsidR="001B0432" w:rsidRPr="001B0432">
        <w:rPr>
          <w:rFonts w:ascii="Times New Roman" w:eastAsiaTheme="minorEastAsia" w:hAnsi="Times New Roman" w:cs="Times New Roman" w:hint="eastAsia"/>
          <w:color w:val="000000" w:themeColor="text1"/>
          <w:kern w:val="0"/>
          <w:szCs w:val="24"/>
        </w:rPr>
        <w:t>为基金进行审计的会计师事务所情况</w:t>
      </w:r>
    </w:p>
    <w:p w:rsidR="006D141C" w:rsidRPr="009A7486" w:rsidRDefault="006D141C" w:rsidP="009A7486">
      <w:pPr>
        <w:spacing w:line="360" w:lineRule="auto"/>
        <w:ind w:firstLineChars="200" w:firstLine="480"/>
        <w:rPr>
          <w:rFonts w:eastAsiaTheme="minorEastAsia"/>
          <w:color w:val="000000" w:themeColor="text1"/>
          <w:sz w:val="24"/>
        </w:rPr>
      </w:pPr>
      <w:bookmarkStart w:id="45" w:name="OLE_LINK3"/>
      <w:bookmarkStart w:id="46" w:name="_Toc331410122"/>
      <w:r w:rsidRPr="009A7486">
        <w:rPr>
          <w:rFonts w:eastAsiaTheme="minorEastAsia"/>
          <w:color w:val="000000" w:themeColor="text1"/>
          <w:sz w:val="24"/>
        </w:rPr>
        <w:t>报告期内基金未更换会计师事务所，普华永道中天会计师事务所有限公司已为本基金连续提供审计服务</w:t>
      </w:r>
      <w:r w:rsidRPr="009A7486">
        <w:rPr>
          <w:rFonts w:eastAsiaTheme="minorEastAsia"/>
          <w:color w:val="000000" w:themeColor="text1"/>
          <w:sz w:val="24"/>
        </w:rPr>
        <w:t>9</w:t>
      </w:r>
      <w:r w:rsidRPr="009A7486">
        <w:rPr>
          <w:rFonts w:eastAsiaTheme="minorEastAsia"/>
          <w:color w:val="000000" w:themeColor="text1"/>
          <w:sz w:val="24"/>
        </w:rPr>
        <w:t>年。报告期内应支付给该事务所的报酬为</w:t>
      </w:r>
      <w:r w:rsidRPr="009A7486">
        <w:rPr>
          <w:rFonts w:eastAsiaTheme="minorEastAsia"/>
          <w:color w:val="000000" w:themeColor="text1"/>
          <w:sz w:val="24"/>
        </w:rPr>
        <w:t>120,000.00</w:t>
      </w:r>
      <w:r w:rsidRPr="009A7486">
        <w:rPr>
          <w:rFonts w:eastAsiaTheme="minorEastAsia"/>
          <w:color w:val="000000" w:themeColor="text1"/>
          <w:sz w:val="24"/>
        </w:rPr>
        <w:t>元。</w:t>
      </w:r>
    </w:p>
    <w:bookmarkEnd w:id="45"/>
    <w:p w:rsidR="006D141C" w:rsidRPr="009A7486" w:rsidRDefault="00EE1CF9" w:rsidP="00D17941">
      <w:pPr>
        <w:pStyle w:val="20"/>
        <w:spacing w:before="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11</w:t>
      </w:r>
      <w:r w:rsidR="006D141C" w:rsidRPr="009A7486">
        <w:rPr>
          <w:rFonts w:ascii="Times New Roman" w:eastAsiaTheme="minorEastAsia" w:hAnsi="Times New Roman" w:cs="Times New Roman"/>
          <w:color w:val="000000" w:themeColor="text1"/>
          <w:kern w:val="0"/>
          <w:szCs w:val="24"/>
        </w:rPr>
        <w:t>.</w:t>
      </w:r>
      <w:r w:rsidR="00583397">
        <w:rPr>
          <w:rFonts w:ascii="Times New Roman" w:eastAsiaTheme="minorEastAsia" w:hAnsi="Times New Roman" w:cs="Times New Roman"/>
          <w:color w:val="000000" w:themeColor="text1"/>
          <w:kern w:val="0"/>
          <w:szCs w:val="24"/>
        </w:rPr>
        <w:t>7</w:t>
      </w:r>
      <w:r w:rsidR="006D141C" w:rsidRPr="009A7486">
        <w:rPr>
          <w:rFonts w:ascii="Times New Roman" w:eastAsiaTheme="minorEastAsia" w:hAnsi="Times New Roman" w:cs="Times New Roman"/>
          <w:color w:val="000000" w:themeColor="text1"/>
          <w:kern w:val="0"/>
          <w:szCs w:val="24"/>
        </w:rPr>
        <w:t>管理人、托管人及其高级管理人员受稽查或处罚等情况</w:t>
      </w:r>
      <w:bookmarkEnd w:id="46"/>
    </w:p>
    <w:p w:rsidR="006D141C" w:rsidRPr="009A7486" w:rsidRDefault="006D141C" w:rsidP="009A7486">
      <w:pPr>
        <w:spacing w:line="360" w:lineRule="auto"/>
        <w:ind w:firstLineChars="200" w:firstLine="480"/>
        <w:rPr>
          <w:rFonts w:eastAsiaTheme="minorEastAsia"/>
          <w:color w:val="000000" w:themeColor="text1"/>
          <w:sz w:val="24"/>
        </w:rPr>
      </w:pPr>
      <w:bookmarkStart w:id="47" w:name="_Toc331410123"/>
      <w:r w:rsidRPr="009A7486">
        <w:rPr>
          <w:rFonts w:eastAsiaTheme="minorEastAsia"/>
          <w:color w:val="000000" w:themeColor="text1"/>
          <w:sz w:val="24"/>
        </w:rPr>
        <w:t>报告期内基金管理人、基金托管人及其高级管理人员未受监管部门稽查或处罚。</w:t>
      </w:r>
    </w:p>
    <w:p w:rsidR="006D141C" w:rsidRPr="009A7486" w:rsidRDefault="00EE1CF9" w:rsidP="00D17941">
      <w:pPr>
        <w:pStyle w:val="20"/>
        <w:spacing w:before="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11</w:t>
      </w:r>
      <w:r w:rsidR="006D141C" w:rsidRPr="009A7486">
        <w:rPr>
          <w:rFonts w:ascii="Times New Roman" w:eastAsiaTheme="minorEastAsia" w:hAnsi="Times New Roman" w:cs="Times New Roman"/>
          <w:color w:val="000000" w:themeColor="text1"/>
          <w:kern w:val="0"/>
          <w:szCs w:val="24"/>
        </w:rPr>
        <w:t>.</w:t>
      </w:r>
      <w:r w:rsidR="00EF62D0" w:rsidRPr="009A7486">
        <w:rPr>
          <w:rFonts w:ascii="Times New Roman" w:eastAsiaTheme="minorEastAsia" w:hAnsi="Times New Roman" w:cs="Times New Roman"/>
          <w:color w:val="000000" w:themeColor="text1"/>
          <w:kern w:val="0"/>
          <w:szCs w:val="24"/>
        </w:rPr>
        <w:t>8</w:t>
      </w:r>
      <w:r w:rsidR="006D141C" w:rsidRPr="009A7486">
        <w:rPr>
          <w:rFonts w:ascii="Times New Roman" w:eastAsiaTheme="minorEastAsia" w:hAnsi="Times New Roman" w:cs="Times New Roman"/>
          <w:color w:val="000000" w:themeColor="text1"/>
          <w:kern w:val="0"/>
          <w:szCs w:val="24"/>
        </w:rPr>
        <w:t>基金租用证券公司交易单元的有关情况</w:t>
      </w:r>
      <w:bookmarkEnd w:id="47"/>
    </w:p>
    <w:p w:rsidR="006D141C" w:rsidRPr="009A7486" w:rsidRDefault="00EE1CF9" w:rsidP="00D17941">
      <w:pPr>
        <w:pStyle w:val="20"/>
        <w:spacing w:before="0" w:after="0"/>
        <w:rPr>
          <w:rFonts w:ascii="Times New Roman" w:eastAsiaTheme="minorEastAsia" w:hAnsi="Times New Roman" w:cs="Times New Roman"/>
          <w:color w:val="000000" w:themeColor="text1"/>
          <w:kern w:val="0"/>
          <w:szCs w:val="24"/>
        </w:rPr>
      </w:pPr>
      <w:bookmarkStart w:id="48" w:name="_Toc249760070"/>
      <w:r w:rsidRPr="009A7486">
        <w:rPr>
          <w:rFonts w:ascii="Times New Roman" w:eastAsiaTheme="minorEastAsia" w:hAnsi="Times New Roman" w:cs="Times New Roman"/>
          <w:color w:val="000000" w:themeColor="text1"/>
          <w:kern w:val="0"/>
          <w:szCs w:val="24"/>
        </w:rPr>
        <w:t>11</w:t>
      </w:r>
      <w:r w:rsidR="006D141C" w:rsidRPr="009A7486">
        <w:rPr>
          <w:rFonts w:ascii="Times New Roman" w:eastAsiaTheme="minorEastAsia" w:hAnsi="Times New Roman" w:cs="Times New Roman"/>
          <w:color w:val="000000" w:themeColor="text1"/>
          <w:kern w:val="0"/>
          <w:szCs w:val="24"/>
        </w:rPr>
        <w:t>.</w:t>
      </w:r>
      <w:r w:rsidR="00EF62D0" w:rsidRPr="009A7486">
        <w:rPr>
          <w:rFonts w:ascii="Times New Roman" w:eastAsiaTheme="minorEastAsia" w:hAnsi="Times New Roman" w:cs="Times New Roman"/>
          <w:color w:val="000000" w:themeColor="text1"/>
          <w:kern w:val="0"/>
          <w:szCs w:val="24"/>
        </w:rPr>
        <w:t>8</w:t>
      </w:r>
      <w:r w:rsidR="006D141C" w:rsidRPr="009A7486">
        <w:rPr>
          <w:rFonts w:ascii="Times New Roman" w:eastAsiaTheme="minorEastAsia" w:hAnsi="Times New Roman" w:cs="Times New Roman"/>
          <w:color w:val="000000" w:themeColor="text1"/>
          <w:kern w:val="0"/>
          <w:szCs w:val="24"/>
        </w:rPr>
        <w:t>.</w:t>
      </w:r>
      <w:r w:rsidR="001928E4" w:rsidRPr="009A7486">
        <w:rPr>
          <w:rFonts w:ascii="Times New Roman" w:eastAsiaTheme="minorEastAsia" w:hAnsi="Times New Roman" w:cs="Times New Roman"/>
          <w:color w:val="000000" w:themeColor="text1"/>
          <w:kern w:val="0"/>
          <w:szCs w:val="24"/>
        </w:rPr>
        <w:t>1</w:t>
      </w:r>
      <w:r w:rsidR="006D141C" w:rsidRPr="009A7486">
        <w:rPr>
          <w:rFonts w:ascii="Times New Roman" w:eastAsiaTheme="minorEastAsia" w:hAnsi="Times New Roman" w:cs="Times New Roman"/>
          <w:color w:val="000000" w:themeColor="text1"/>
          <w:kern w:val="0"/>
          <w:szCs w:val="24"/>
        </w:rPr>
        <w:t>基金租用证券公司交易单元进行股票投资及佣金支付情况</w:t>
      </w:r>
      <w:bookmarkEnd w:id="48"/>
    </w:p>
    <w:p w:rsidR="006D141C" w:rsidRPr="009A7486" w:rsidRDefault="006D141C" w:rsidP="009A7486">
      <w:pPr>
        <w:pStyle w:val="a0"/>
        <w:spacing w:line="360" w:lineRule="auto"/>
        <w:ind w:firstLineChars="2600" w:firstLine="6240"/>
        <w:jc w:val="right"/>
        <w:rPr>
          <w:rFonts w:eastAsiaTheme="minorEastAsia"/>
          <w:color w:val="000000" w:themeColor="text1"/>
          <w:sz w:val="24"/>
        </w:rPr>
      </w:pPr>
      <w:r w:rsidRPr="009A7486">
        <w:rPr>
          <w:rFonts w:eastAsiaTheme="minorEastAsia"/>
          <w:color w:val="000000" w:themeColor="text1"/>
          <w:sz w:val="24"/>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780"/>
        <w:gridCol w:w="1800"/>
        <w:gridCol w:w="1080"/>
        <w:gridCol w:w="1620"/>
        <w:gridCol w:w="1080"/>
        <w:gridCol w:w="1080"/>
      </w:tblGrid>
      <w:tr w:rsidR="00226A6C" w:rsidRPr="009A7486"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bookmarkStart w:id="49" w:name="_Toc249760071"/>
            <w:r w:rsidRPr="009A7486">
              <w:rPr>
                <w:rFonts w:eastAsiaTheme="minorEastAsia"/>
                <w:color w:val="000000" w:themeColor="text1"/>
                <w:sz w:val="24"/>
              </w:rPr>
              <w:t>券商名称</w:t>
            </w:r>
          </w:p>
        </w:tc>
        <w:tc>
          <w:tcPr>
            <w:tcW w:w="7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交易单元数量</w:t>
            </w:r>
          </w:p>
        </w:tc>
        <w:tc>
          <w:tcPr>
            <w:tcW w:w="288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股票交易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应支付该券商的佣金</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kern w:val="0"/>
                <w:sz w:val="24"/>
              </w:rPr>
            </w:pPr>
            <w:r w:rsidRPr="009A7486">
              <w:rPr>
                <w:rFonts w:eastAsiaTheme="minorEastAsia"/>
                <w:color w:val="000000" w:themeColor="text1"/>
                <w:kern w:val="0"/>
                <w:sz w:val="24"/>
              </w:rPr>
              <w:t>备注</w:t>
            </w:r>
          </w:p>
        </w:tc>
      </w:tr>
      <w:tr w:rsidR="00226A6C" w:rsidRPr="009A7486"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widowControl/>
              <w:spacing w:line="360" w:lineRule="auto"/>
              <w:jc w:val="left"/>
              <w:rPr>
                <w:rFonts w:eastAsiaTheme="minorEastAsia"/>
                <w:color w:val="000000" w:themeColor="text1"/>
                <w:sz w:val="24"/>
              </w:rPr>
            </w:pPr>
          </w:p>
        </w:tc>
        <w:tc>
          <w:tcPr>
            <w:tcW w:w="780" w:type="dxa"/>
            <w:vMerge/>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widowControl/>
              <w:spacing w:line="360" w:lineRule="auto"/>
              <w:jc w:val="left"/>
              <w:rPr>
                <w:rFonts w:eastAsiaTheme="minorEastAsia"/>
                <w:color w:val="000000" w:themeColor="text1"/>
                <w:sz w:val="24"/>
              </w:rPr>
            </w:pPr>
          </w:p>
        </w:tc>
        <w:tc>
          <w:tcPr>
            <w:tcW w:w="180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占当期股票成交总额的比例</w:t>
            </w:r>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kern w:val="0"/>
                <w:sz w:val="24"/>
              </w:rPr>
            </w:pPr>
            <w:r w:rsidRPr="009A7486">
              <w:rPr>
                <w:rFonts w:eastAsiaTheme="minorEastAsia"/>
                <w:color w:val="000000" w:themeColor="text1"/>
                <w:kern w:val="0"/>
                <w:sz w:val="24"/>
              </w:rPr>
              <w:t>佣金</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占当期佣金总量的比例</w:t>
            </w:r>
          </w:p>
        </w:tc>
        <w:tc>
          <w:tcPr>
            <w:tcW w:w="1080" w:type="dxa"/>
            <w:vMerge/>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widowControl/>
              <w:spacing w:line="360" w:lineRule="auto"/>
              <w:jc w:val="left"/>
              <w:rPr>
                <w:rFonts w:eastAsiaTheme="minorEastAsia"/>
                <w:color w:val="000000" w:themeColor="text1"/>
                <w:kern w:val="0"/>
                <w:sz w:val="24"/>
              </w:rPr>
            </w:pPr>
          </w:p>
        </w:tc>
      </w:tr>
      <w:tr w:rsidR="005C48D6">
        <w:tc>
          <w:tcPr>
            <w:tcW w:w="1560" w:type="dxa"/>
            <w:vAlign w:val="center"/>
          </w:tcPr>
          <w:p w:rsidR="005C48D6" w:rsidRDefault="008F0294">
            <w:pPr>
              <w:jc w:val="left"/>
            </w:pPr>
            <w:r>
              <w:rPr>
                <w:rFonts w:eastAsiaTheme="minorEastAsia"/>
                <w:color w:val="000000" w:themeColor="text1"/>
                <w:sz w:val="24"/>
              </w:rPr>
              <w:t>东方证券</w:t>
            </w:r>
          </w:p>
        </w:tc>
        <w:tc>
          <w:tcPr>
            <w:tcW w:w="780" w:type="dxa"/>
            <w:vAlign w:val="center"/>
          </w:tcPr>
          <w:p w:rsidR="005C48D6" w:rsidRDefault="008F0294">
            <w:pPr>
              <w:jc w:val="right"/>
            </w:pPr>
            <w:r>
              <w:rPr>
                <w:rFonts w:eastAsiaTheme="minorEastAsia"/>
                <w:color w:val="000000" w:themeColor="text1"/>
                <w:sz w:val="24"/>
              </w:rPr>
              <w:t>1</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兴业证券</w:t>
            </w:r>
          </w:p>
        </w:tc>
        <w:tc>
          <w:tcPr>
            <w:tcW w:w="780" w:type="dxa"/>
            <w:vAlign w:val="center"/>
          </w:tcPr>
          <w:p w:rsidR="005C48D6" w:rsidRDefault="008F0294">
            <w:pPr>
              <w:jc w:val="right"/>
            </w:pPr>
            <w:r>
              <w:rPr>
                <w:rFonts w:eastAsiaTheme="minorEastAsia"/>
                <w:color w:val="000000" w:themeColor="text1"/>
                <w:sz w:val="24"/>
              </w:rPr>
              <w:t>1</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国元证券</w:t>
            </w:r>
          </w:p>
        </w:tc>
        <w:tc>
          <w:tcPr>
            <w:tcW w:w="780" w:type="dxa"/>
            <w:vAlign w:val="center"/>
          </w:tcPr>
          <w:p w:rsidR="005C48D6" w:rsidRDefault="008F0294">
            <w:pPr>
              <w:jc w:val="right"/>
            </w:pPr>
            <w:r>
              <w:rPr>
                <w:rFonts w:eastAsiaTheme="minorEastAsia"/>
                <w:color w:val="000000" w:themeColor="text1"/>
                <w:sz w:val="24"/>
              </w:rPr>
              <w:t>2</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东兴证券</w:t>
            </w:r>
          </w:p>
        </w:tc>
        <w:tc>
          <w:tcPr>
            <w:tcW w:w="780" w:type="dxa"/>
            <w:vAlign w:val="center"/>
          </w:tcPr>
          <w:p w:rsidR="005C48D6" w:rsidRDefault="008F0294">
            <w:pPr>
              <w:jc w:val="right"/>
            </w:pPr>
            <w:r>
              <w:rPr>
                <w:rFonts w:eastAsiaTheme="minorEastAsia"/>
                <w:color w:val="000000" w:themeColor="text1"/>
                <w:sz w:val="24"/>
              </w:rPr>
              <w:t>1</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广发证券</w:t>
            </w:r>
          </w:p>
        </w:tc>
        <w:tc>
          <w:tcPr>
            <w:tcW w:w="780" w:type="dxa"/>
            <w:vAlign w:val="center"/>
          </w:tcPr>
          <w:p w:rsidR="005C48D6" w:rsidRDefault="008F0294">
            <w:pPr>
              <w:jc w:val="right"/>
            </w:pPr>
            <w:r>
              <w:rPr>
                <w:rFonts w:eastAsiaTheme="minorEastAsia"/>
                <w:color w:val="000000" w:themeColor="text1"/>
                <w:sz w:val="24"/>
              </w:rPr>
              <w:t>1</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中信证券</w:t>
            </w:r>
          </w:p>
        </w:tc>
        <w:tc>
          <w:tcPr>
            <w:tcW w:w="780" w:type="dxa"/>
            <w:vAlign w:val="center"/>
          </w:tcPr>
          <w:p w:rsidR="005C48D6" w:rsidRDefault="008F0294">
            <w:pPr>
              <w:jc w:val="right"/>
            </w:pPr>
            <w:r>
              <w:rPr>
                <w:rFonts w:eastAsiaTheme="minorEastAsia"/>
                <w:color w:val="000000" w:themeColor="text1"/>
                <w:sz w:val="24"/>
              </w:rPr>
              <w:t>2</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方正证券</w:t>
            </w:r>
          </w:p>
        </w:tc>
        <w:tc>
          <w:tcPr>
            <w:tcW w:w="780" w:type="dxa"/>
            <w:vAlign w:val="center"/>
          </w:tcPr>
          <w:p w:rsidR="005C48D6" w:rsidRDefault="008F0294">
            <w:pPr>
              <w:jc w:val="right"/>
            </w:pPr>
            <w:r>
              <w:rPr>
                <w:rFonts w:eastAsiaTheme="minorEastAsia"/>
                <w:color w:val="000000" w:themeColor="text1"/>
                <w:sz w:val="24"/>
              </w:rPr>
              <w:t>1</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华泰证券</w:t>
            </w:r>
          </w:p>
        </w:tc>
        <w:tc>
          <w:tcPr>
            <w:tcW w:w="780" w:type="dxa"/>
            <w:vAlign w:val="center"/>
          </w:tcPr>
          <w:p w:rsidR="005C48D6" w:rsidRDefault="008F0294">
            <w:pPr>
              <w:jc w:val="right"/>
            </w:pPr>
            <w:r>
              <w:rPr>
                <w:rFonts w:eastAsiaTheme="minorEastAsia"/>
                <w:color w:val="000000" w:themeColor="text1"/>
                <w:sz w:val="24"/>
              </w:rPr>
              <w:t>2</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海通证券</w:t>
            </w:r>
          </w:p>
        </w:tc>
        <w:tc>
          <w:tcPr>
            <w:tcW w:w="780" w:type="dxa"/>
            <w:vAlign w:val="center"/>
          </w:tcPr>
          <w:p w:rsidR="005C48D6" w:rsidRDefault="008F0294">
            <w:pPr>
              <w:jc w:val="right"/>
            </w:pPr>
            <w:r>
              <w:rPr>
                <w:rFonts w:eastAsiaTheme="minorEastAsia"/>
                <w:color w:val="000000" w:themeColor="text1"/>
                <w:sz w:val="24"/>
              </w:rPr>
              <w:t>2</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东吴证券</w:t>
            </w:r>
          </w:p>
        </w:tc>
        <w:tc>
          <w:tcPr>
            <w:tcW w:w="780" w:type="dxa"/>
            <w:vAlign w:val="center"/>
          </w:tcPr>
          <w:p w:rsidR="005C48D6" w:rsidRDefault="008F0294">
            <w:pPr>
              <w:jc w:val="right"/>
            </w:pPr>
            <w:r>
              <w:rPr>
                <w:rFonts w:eastAsiaTheme="minorEastAsia"/>
                <w:color w:val="000000" w:themeColor="text1"/>
                <w:sz w:val="24"/>
              </w:rPr>
              <w:t>1</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中金公司</w:t>
            </w:r>
          </w:p>
        </w:tc>
        <w:tc>
          <w:tcPr>
            <w:tcW w:w="780" w:type="dxa"/>
            <w:vAlign w:val="center"/>
          </w:tcPr>
          <w:p w:rsidR="005C48D6" w:rsidRDefault="008F0294">
            <w:pPr>
              <w:jc w:val="right"/>
            </w:pPr>
            <w:r>
              <w:rPr>
                <w:rFonts w:eastAsiaTheme="minorEastAsia"/>
                <w:color w:val="000000" w:themeColor="text1"/>
                <w:sz w:val="24"/>
              </w:rPr>
              <w:t>2</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长城证券</w:t>
            </w:r>
          </w:p>
        </w:tc>
        <w:tc>
          <w:tcPr>
            <w:tcW w:w="780" w:type="dxa"/>
            <w:vAlign w:val="center"/>
          </w:tcPr>
          <w:p w:rsidR="005C48D6" w:rsidRDefault="008F0294">
            <w:pPr>
              <w:jc w:val="right"/>
            </w:pPr>
            <w:r>
              <w:rPr>
                <w:rFonts w:eastAsiaTheme="minorEastAsia"/>
                <w:color w:val="000000" w:themeColor="text1"/>
                <w:sz w:val="24"/>
              </w:rPr>
              <w:t>1</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银河证券</w:t>
            </w:r>
          </w:p>
        </w:tc>
        <w:tc>
          <w:tcPr>
            <w:tcW w:w="780" w:type="dxa"/>
            <w:vAlign w:val="center"/>
          </w:tcPr>
          <w:p w:rsidR="005C48D6" w:rsidRDefault="008F0294">
            <w:pPr>
              <w:jc w:val="right"/>
            </w:pPr>
            <w:r>
              <w:rPr>
                <w:rFonts w:eastAsiaTheme="minorEastAsia"/>
                <w:color w:val="000000" w:themeColor="text1"/>
                <w:sz w:val="24"/>
              </w:rPr>
              <w:t>2</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国金证券</w:t>
            </w:r>
          </w:p>
        </w:tc>
        <w:tc>
          <w:tcPr>
            <w:tcW w:w="780" w:type="dxa"/>
            <w:vAlign w:val="center"/>
          </w:tcPr>
          <w:p w:rsidR="005C48D6" w:rsidRDefault="008F0294">
            <w:pPr>
              <w:jc w:val="right"/>
            </w:pPr>
            <w:r>
              <w:rPr>
                <w:rFonts w:eastAsiaTheme="minorEastAsia"/>
                <w:color w:val="000000" w:themeColor="text1"/>
                <w:sz w:val="24"/>
              </w:rPr>
              <w:t>1</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民生证券</w:t>
            </w:r>
          </w:p>
        </w:tc>
        <w:tc>
          <w:tcPr>
            <w:tcW w:w="780" w:type="dxa"/>
            <w:vAlign w:val="center"/>
          </w:tcPr>
          <w:p w:rsidR="005C48D6" w:rsidRDefault="008F0294">
            <w:pPr>
              <w:jc w:val="right"/>
            </w:pPr>
            <w:r>
              <w:rPr>
                <w:rFonts w:eastAsiaTheme="minorEastAsia"/>
                <w:color w:val="000000" w:themeColor="text1"/>
                <w:sz w:val="24"/>
              </w:rPr>
              <w:t>1</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齐鲁证券</w:t>
            </w:r>
          </w:p>
        </w:tc>
        <w:tc>
          <w:tcPr>
            <w:tcW w:w="780" w:type="dxa"/>
            <w:vAlign w:val="center"/>
          </w:tcPr>
          <w:p w:rsidR="005C48D6" w:rsidRDefault="008F0294">
            <w:pPr>
              <w:jc w:val="right"/>
            </w:pPr>
            <w:r>
              <w:rPr>
                <w:rFonts w:eastAsiaTheme="minorEastAsia"/>
                <w:color w:val="000000" w:themeColor="text1"/>
                <w:sz w:val="24"/>
              </w:rPr>
              <w:t>1</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安信证券</w:t>
            </w:r>
          </w:p>
        </w:tc>
        <w:tc>
          <w:tcPr>
            <w:tcW w:w="780" w:type="dxa"/>
            <w:vAlign w:val="center"/>
          </w:tcPr>
          <w:p w:rsidR="005C48D6" w:rsidRDefault="008F0294">
            <w:pPr>
              <w:jc w:val="right"/>
            </w:pPr>
            <w:r>
              <w:rPr>
                <w:rFonts w:eastAsiaTheme="minorEastAsia"/>
                <w:color w:val="000000" w:themeColor="text1"/>
                <w:sz w:val="24"/>
              </w:rPr>
              <w:t>3</w:t>
            </w:r>
          </w:p>
        </w:tc>
        <w:tc>
          <w:tcPr>
            <w:tcW w:w="180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6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left"/>
            </w:pPr>
            <w:r>
              <w:rPr>
                <w:rFonts w:eastAsiaTheme="minorEastAsia"/>
                <w:color w:val="000000" w:themeColor="text1"/>
                <w:sz w:val="24"/>
              </w:rPr>
              <w:t>-</w:t>
            </w:r>
          </w:p>
        </w:tc>
      </w:tr>
    </w:tbl>
    <w:p w:rsidR="006D141C" w:rsidRPr="009A7486" w:rsidRDefault="00EF62D0" w:rsidP="002855D4">
      <w:pPr>
        <w:pStyle w:val="20"/>
        <w:spacing w:beforeLines="10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11.</w:t>
      </w:r>
      <w:r w:rsidR="006D141C" w:rsidRPr="009A7486">
        <w:rPr>
          <w:rFonts w:ascii="Times New Roman" w:eastAsiaTheme="minorEastAsia" w:hAnsi="Times New Roman" w:cs="Times New Roman"/>
          <w:color w:val="000000" w:themeColor="text1"/>
          <w:kern w:val="0"/>
          <w:szCs w:val="24"/>
        </w:rPr>
        <w:t>8.</w:t>
      </w:r>
      <w:r w:rsidR="008A28D4" w:rsidRPr="009A7486">
        <w:rPr>
          <w:rFonts w:ascii="Times New Roman" w:eastAsiaTheme="minorEastAsia" w:hAnsi="Times New Roman" w:cs="Times New Roman"/>
          <w:color w:val="000000" w:themeColor="text1"/>
          <w:kern w:val="0"/>
          <w:szCs w:val="24"/>
        </w:rPr>
        <w:t>2</w:t>
      </w:r>
      <w:r w:rsidR="006D141C" w:rsidRPr="009A7486">
        <w:rPr>
          <w:rFonts w:ascii="Times New Roman" w:eastAsiaTheme="minorEastAsia" w:hAnsi="Times New Roman" w:cs="Times New Roman"/>
          <w:color w:val="000000" w:themeColor="text1"/>
          <w:kern w:val="0"/>
          <w:szCs w:val="24"/>
        </w:rPr>
        <w:t>基金租用证券公司交易单元进行其他证券投资的情况</w:t>
      </w:r>
      <w:bookmarkEnd w:id="49"/>
    </w:p>
    <w:p w:rsidR="006D141C" w:rsidRPr="009A7486" w:rsidRDefault="00644AB5" w:rsidP="004B36C2">
      <w:pPr>
        <w:spacing w:line="360" w:lineRule="auto"/>
        <w:ind w:firstLine="420"/>
        <w:jc w:val="right"/>
        <w:rPr>
          <w:rFonts w:eastAsiaTheme="minorEastAsia"/>
          <w:color w:val="000000" w:themeColor="text1"/>
          <w:sz w:val="24"/>
        </w:rPr>
      </w:pPr>
      <w:bookmarkStart w:id="50" w:name="_Toc249707408"/>
      <w:r w:rsidRPr="009A7486">
        <w:rPr>
          <w:rFonts w:eastAsiaTheme="minorEastAsia"/>
          <w:color w:val="000000" w:themeColor="text1"/>
          <w:sz w:val="24"/>
        </w:rPr>
        <w:t>金额单位</w:t>
      </w:r>
      <w:r w:rsidR="006D141C" w:rsidRPr="009A7486">
        <w:rPr>
          <w:rFonts w:eastAsiaTheme="minorEastAsia"/>
          <w:color w:val="000000" w:themeColor="text1"/>
          <w:kern w:val="0"/>
          <w:sz w:val="24"/>
        </w:rPr>
        <w:t>：</w:t>
      </w:r>
      <w:r w:rsidR="006D141C" w:rsidRPr="009A7486">
        <w:rPr>
          <w:rFonts w:eastAsiaTheme="minorEastAsia"/>
          <w:color w:val="000000" w:themeColor="text1"/>
          <w:kern w:val="0"/>
          <w:sz w:val="24"/>
          <w:lang w:val="zh-CN"/>
        </w:rPr>
        <w:t>人民币元</w:t>
      </w:r>
      <w:bookmarkEnd w:id="5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320"/>
        <w:gridCol w:w="1080"/>
        <w:gridCol w:w="1080"/>
        <w:gridCol w:w="1260"/>
        <w:gridCol w:w="1260"/>
        <w:gridCol w:w="1440"/>
      </w:tblGrid>
      <w:tr w:rsidR="00226A6C" w:rsidRPr="009A7486" w:rsidTr="006D141C">
        <w:tc>
          <w:tcPr>
            <w:tcW w:w="1560" w:type="dxa"/>
            <w:vMerge w:val="restart"/>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kern w:val="0"/>
                <w:sz w:val="24"/>
              </w:rPr>
            </w:pPr>
            <w:r w:rsidRPr="009A7486">
              <w:rPr>
                <w:rFonts w:eastAsiaTheme="minorEastAsia"/>
                <w:color w:val="000000" w:themeColor="text1"/>
                <w:sz w:val="24"/>
              </w:rPr>
              <w:t>券商名称</w:t>
            </w:r>
          </w:p>
        </w:tc>
        <w:tc>
          <w:tcPr>
            <w:tcW w:w="24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债券交易</w:t>
            </w:r>
          </w:p>
        </w:tc>
        <w:tc>
          <w:tcPr>
            <w:tcW w:w="234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回购交易</w:t>
            </w:r>
          </w:p>
        </w:tc>
        <w:tc>
          <w:tcPr>
            <w:tcW w:w="2700" w:type="dxa"/>
            <w:gridSpan w:val="2"/>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权证交易</w:t>
            </w:r>
          </w:p>
        </w:tc>
      </w:tr>
      <w:tr w:rsidR="00226A6C" w:rsidRPr="009A7486" w:rsidTr="006D141C">
        <w:tc>
          <w:tcPr>
            <w:tcW w:w="9000" w:type="dxa"/>
            <w:vMerge/>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widowControl/>
              <w:spacing w:line="360" w:lineRule="auto"/>
              <w:jc w:val="left"/>
              <w:rPr>
                <w:rFonts w:eastAsiaTheme="minorEastAsia"/>
                <w:color w:val="000000" w:themeColor="text1"/>
                <w:kern w:val="0"/>
                <w:sz w:val="24"/>
              </w:rPr>
            </w:pPr>
          </w:p>
        </w:tc>
        <w:tc>
          <w:tcPr>
            <w:tcW w:w="132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成交金额</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占当期债券成交总额的比例</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成交金额</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占当期回购成交总额的比例</w:t>
            </w:r>
          </w:p>
        </w:tc>
        <w:tc>
          <w:tcPr>
            <w:tcW w:w="126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成交金额</w:t>
            </w:r>
          </w:p>
        </w:tc>
        <w:tc>
          <w:tcPr>
            <w:tcW w:w="1440" w:type="dxa"/>
            <w:tcBorders>
              <w:top w:val="single" w:sz="4" w:space="0" w:color="000000"/>
              <w:left w:val="single" w:sz="4" w:space="0" w:color="000000"/>
              <w:bottom w:val="single" w:sz="4" w:space="0" w:color="000000"/>
              <w:right w:val="single" w:sz="4" w:space="0" w:color="000000"/>
            </w:tcBorders>
            <w:vAlign w:val="center"/>
            <w:hideMark/>
          </w:tcPr>
          <w:p w:rsidR="006D141C" w:rsidRPr="009A7486" w:rsidRDefault="006D141C" w:rsidP="004B36C2">
            <w:pPr>
              <w:spacing w:line="360" w:lineRule="auto"/>
              <w:jc w:val="center"/>
              <w:rPr>
                <w:rFonts w:eastAsiaTheme="minorEastAsia"/>
                <w:color w:val="000000" w:themeColor="text1"/>
                <w:sz w:val="24"/>
              </w:rPr>
            </w:pPr>
            <w:r w:rsidRPr="009A7486">
              <w:rPr>
                <w:rFonts w:eastAsiaTheme="minorEastAsia"/>
                <w:color w:val="000000" w:themeColor="text1"/>
                <w:sz w:val="24"/>
              </w:rPr>
              <w:t>占当期权证成交总额的比例</w:t>
            </w:r>
          </w:p>
        </w:tc>
      </w:tr>
      <w:tr w:rsidR="005C48D6">
        <w:tc>
          <w:tcPr>
            <w:tcW w:w="1560" w:type="dxa"/>
            <w:vAlign w:val="center"/>
          </w:tcPr>
          <w:p w:rsidR="005C48D6" w:rsidRDefault="008F0294">
            <w:pPr>
              <w:jc w:val="left"/>
            </w:pPr>
            <w:r>
              <w:rPr>
                <w:rFonts w:eastAsiaTheme="minorEastAsia"/>
                <w:color w:val="000000" w:themeColor="text1"/>
                <w:sz w:val="24"/>
              </w:rPr>
              <w:t>东方证券</w:t>
            </w:r>
          </w:p>
        </w:tc>
        <w:tc>
          <w:tcPr>
            <w:tcW w:w="1320" w:type="dxa"/>
            <w:vAlign w:val="center"/>
          </w:tcPr>
          <w:p w:rsidR="005C48D6" w:rsidRDefault="008F0294">
            <w:pPr>
              <w:jc w:val="right"/>
            </w:pPr>
            <w:r>
              <w:rPr>
                <w:rFonts w:eastAsiaTheme="minorEastAsia"/>
                <w:color w:val="000000" w:themeColor="text1"/>
                <w:sz w:val="24"/>
              </w:rPr>
              <w:t>131,886,716.10</w:t>
            </w:r>
          </w:p>
        </w:tc>
        <w:tc>
          <w:tcPr>
            <w:tcW w:w="1080" w:type="dxa"/>
            <w:vAlign w:val="center"/>
          </w:tcPr>
          <w:p w:rsidR="005C48D6" w:rsidRDefault="008F0294">
            <w:pPr>
              <w:jc w:val="right"/>
            </w:pPr>
            <w:r>
              <w:rPr>
                <w:rFonts w:eastAsiaTheme="minorEastAsia"/>
                <w:color w:val="000000" w:themeColor="text1"/>
                <w:sz w:val="24"/>
              </w:rPr>
              <w:t>18.39%</w:t>
            </w:r>
          </w:p>
        </w:tc>
        <w:tc>
          <w:tcPr>
            <w:tcW w:w="1080" w:type="dxa"/>
            <w:vAlign w:val="center"/>
          </w:tcPr>
          <w:p w:rsidR="005C48D6" w:rsidRDefault="008F0294">
            <w:pPr>
              <w:jc w:val="right"/>
            </w:pPr>
            <w:r>
              <w:rPr>
                <w:rFonts w:eastAsiaTheme="minorEastAsia"/>
                <w:color w:val="000000" w:themeColor="text1"/>
                <w:sz w:val="24"/>
              </w:rPr>
              <w:t>122,000,000.00</w:t>
            </w:r>
          </w:p>
        </w:tc>
        <w:tc>
          <w:tcPr>
            <w:tcW w:w="1260" w:type="dxa"/>
            <w:vAlign w:val="center"/>
          </w:tcPr>
          <w:p w:rsidR="005C48D6" w:rsidRDefault="008F0294">
            <w:pPr>
              <w:jc w:val="right"/>
            </w:pPr>
            <w:r>
              <w:rPr>
                <w:rFonts w:eastAsiaTheme="minorEastAsia"/>
                <w:color w:val="000000" w:themeColor="text1"/>
                <w:sz w:val="24"/>
              </w:rPr>
              <w:t>38.61%</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兴业证券</w:t>
            </w:r>
          </w:p>
        </w:tc>
        <w:tc>
          <w:tcPr>
            <w:tcW w:w="1320" w:type="dxa"/>
            <w:vAlign w:val="center"/>
          </w:tcPr>
          <w:p w:rsidR="005C48D6" w:rsidRDefault="008F0294">
            <w:pPr>
              <w:jc w:val="right"/>
            </w:pPr>
            <w:r>
              <w:rPr>
                <w:rFonts w:eastAsiaTheme="minorEastAsia"/>
                <w:color w:val="000000" w:themeColor="text1"/>
                <w:sz w:val="24"/>
              </w:rPr>
              <w:t>123,787,559.50</w:t>
            </w:r>
          </w:p>
        </w:tc>
        <w:tc>
          <w:tcPr>
            <w:tcW w:w="1080" w:type="dxa"/>
            <w:vAlign w:val="center"/>
          </w:tcPr>
          <w:p w:rsidR="005C48D6" w:rsidRDefault="008F0294">
            <w:pPr>
              <w:jc w:val="right"/>
            </w:pPr>
            <w:r>
              <w:rPr>
                <w:rFonts w:eastAsiaTheme="minorEastAsia"/>
                <w:color w:val="000000" w:themeColor="text1"/>
                <w:sz w:val="24"/>
              </w:rPr>
              <w:t>17.26%</w:t>
            </w:r>
          </w:p>
        </w:tc>
        <w:tc>
          <w:tcPr>
            <w:tcW w:w="1080" w:type="dxa"/>
            <w:vAlign w:val="center"/>
          </w:tcPr>
          <w:p w:rsidR="005C48D6" w:rsidRDefault="008F0294">
            <w:pPr>
              <w:jc w:val="right"/>
            </w:pPr>
            <w:r>
              <w:rPr>
                <w:rFonts w:eastAsiaTheme="minorEastAsia"/>
                <w:color w:val="000000" w:themeColor="text1"/>
                <w:sz w:val="24"/>
              </w:rPr>
              <w:t>6,000,000.00</w:t>
            </w:r>
          </w:p>
        </w:tc>
        <w:tc>
          <w:tcPr>
            <w:tcW w:w="1260" w:type="dxa"/>
            <w:vAlign w:val="center"/>
          </w:tcPr>
          <w:p w:rsidR="005C48D6" w:rsidRDefault="008F0294">
            <w:pPr>
              <w:jc w:val="right"/>
            </w:pPr>
            <w:r>
              <w:rPr>
                <w:rFonts w:eastAsiaTheme="minorEastAsia"/>
                <w:color w:val="000000" w:themeColor="text1"/>
                <w:sz w:val="24"/>
              </w:rPr>
              <w:t>1.90%</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国元证券</w:t>
            </w:r>
          </w:p>
        </w:tc>
        <w:tc>
          <w:tcPr>
            <w:tcW w:w="1320" w:type="dxa"/>
            <w:vAlign w:val="center"/>
          </w:tcPr>
          <w:p w:rsidR="005C48D6" w:rsidRDefault="008F0294">
            <w:pPr>
              <w:jc w:val="right"/>
            </w:pPr>
            <w:r>
              <w:rPr>
                <w:rFonts w:eastAsiaTheme="minorEastAsia"/>
                <w:color w:val="000000" w:themeColor="text1"/>
                <w:sz w:val="24"/>
              </w:rPr>
              <w:t>114,473,282.50</w:t>
            </w:r>
          </w:p>
        </w:tc>
        <w:tc>
          <w:tcPr>
            <w:tcW w:w="1080" w:type="dxa"/>
            <w:vAlign w:val="center"/>
          </w:tcPr>
          <w:p w:rsidR="005C48D6" w:rsidRDefault="008F0294">
            <w:pPr>
              <w:jc w:val="right"/>
            </w:pPr>
            <w:r>
              <w:rPr>
                <w:rFonts w:eastAsiaTheme="minorEastAsia"/>
                <w:color w:val="000000" w:themeColor="text1"/>
                <w:sz w:val="24"/>
              </w:rPr>
              <w:t>15.96%</w:t>
            </w:r>
          </w:p>
        </w:tc>
        <w:tc>
          <w:tcPr>
            <w:tcW w:w="108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东兴证券</w:t>
            </w:r>
          </w:p>
        </w:tc>
        <w:tc>
          <w:tcPr>
            <w:tcW w:w="1320" w:type="dxa"/>
            <w:vAlign w:val="center"/>
          </w:tcPr>
          <w:p w:rsidR="005C48D6" w:rsidRDefault="008F0294">
            <w:pPr>
              <w:jc w:val="right"/>
            </w:pPr>
            <w:r>
              <w:rPr>
                <w:rFonts w:eastAsiaTheme="minorEastAsia"/>
                <w:color w:val="000000" w:themeColor="text1"/>
                <w:sz w:val="24"/>
              </w:rPr>
              <w:t>82,881,767.40</w:t>
            </w:r>
          </w:p>
        </w:tc>
        <w:tc>
          <w:tcPr>
            <w:tcW w:w="1080" w:type="dxa"/>
            <w:vAlign w:val="center"/>
          </w:tcPr>
          <w:p w:rsidR="005C48D6" w:rsidRDefault="008F0294">
            <w:pPr>
              <w:jc w:val="right"/>
            </w:pPr>
            <w:r>
              <w:rPr>
                <w:rFonts w:eastAsiaTheme="minorEastAsia"/>
                <w:color w:val="000000" w:themeColor="text1"/>
                <w:sz w:val="24"/>
              </w:rPr>
              <w:t>11.56%</w:t>
            </w:r>
          </w:p>
        </w:tc>
        <w:tc>
          <w:tcPr>
            <w:tcW w:w="108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广发证券</w:t>
            </w:r>
          </w:p>
        </w:tc>
        <w:tc>
          <w:tcPr>
            <w:tcW w:w="1320" w:type="dxa"/>
            <w:vAlign w:val="center"/>
          </w:tcPr>
          <w:p w:rsidR="005C48D6" w:rsidRDefault="008F0294">
            <w:pPr>
              <w:jc w:val="right"/>
            </w:pPr>
            <w:r>
              <w:rPr>
                <w:rFonts w:eastAsiaTheme="minorEastAsia"/>
                <w:color w:val="000000" w:themeColor="text1"/>
                <w:sz w:val="24"/>
              </w:rPr>
              <w:t>60,147,371.70</w:t>
            </w:r>
          </w:p>
        </w:tc>
        <w:tc>
          <w:tcPr>
            <w:tcW w:w="1080" w:type="dxa"/>
            <w:vAlign w:val="center"/>
          </w:tcPr>
          <w:p w:rsidR="005C48D6" w:rsidRDefault="008F0294">
            <w:pPr>
              <w:jc w:val="right"/>
            </w:pPr>
            <w:r>
              <w:rPr>
                <w:rFonts w:eastAsiaTheme="minorEastAsia"/>
                <w:color w:val="000000" w:themeColor="text1"/>
                <w:sz w:val="24"/>
              </w:rPr>
              <w:t>8.39%</w:t>
            </w:r>
          </w:p>
        </w:tc>
        <w:tc>
          <w:tcPr>
            <w:tcW w:w="108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中信证券</w:t>
            </w:r>
          </w:p>
        </w:tc>
        <w:tc>
          <w:tcPr>
            <w:tcW w:w="1320" w:type="dxa"/>
            <w:vAlign w:val="center"/>
          </w:tcPr>
          <w:p w:rsidR="005C48D6" w:rsidRDefault="008F0294">
            <w:pPr>
              <w:jc w:val="right"/>
            </w:pPr>
            <w:r>
              <w:rPr>
                <w:rFonts w:eastAsiaTheme="minorEastAsia"/>
                <w:color w:val="000000" w:themeColor="text1"/>
                <w:sz w:val="24"/>
              </w:rPr>
              <w:t>56,398,273.50</w:t>
            </w:r>
          </w:p>
        </w:tc>
        <w:tc>
          <w:tcPr>
            <w:tcW w:w="1080" w:type="dxa"/>
            <w:vAlign w:val="center"/>
          </w:tcPr>
          <w:p w:rsidR="005C48D6" w:rsidRDefault="008F0294">
            <w:pPr>
              <w:jc w:val="right"/>
            </w:pPr>
            <w:r>
              <w:rPr>
                <w:rFonts w:eastAsiaTheme="minorEastAsia"/>
                <w:color w:val="000000" w:themeColor="text1"/>
                <w:sz w:val="24"/>
              </w:rPr>
              <w:t>7.86%</w:t>
            </w:r>
          </w:p>
        </w:tc>
        <w:tc>
          <w:tcPr>
            <w:tcW w:w="1080" w:type="dxa"/>
            <w:vAlign w:val="center"/>
          </w:tcPr>
          <w:p w:rsidR="005C48D6" w:rsidRDefault="008F0294">
            <w:pPr>
              <w:jc w:val="right"/>
            </w:pPr>
            <w:r>
              <w:rPr>
                <w:rFonts w:eastAsiaTheme="minorEastAsia"/>
                <w:color w:val="000000" w:themeColor="text1"/>
                <w:sz w:val="24"/>
              </w:rPr>
              <w:t>40,000,000.00</w:t>
            </w:r>
          </w:p>
        </w:tc>
        <w:tc>
          <w:tcPr>
            <w:tcW w:w="1260" w:type="dxa"/>
            <w:vAlign w:val="center"/>
          </w:tcPr>
          <w:p w:rsidR="005C48D6" w:rsidRDefault="008F0294">
            <w:pPr>
              <w:jc w:val="right"/>
            </w:pPr>
            <w:r>
              <w:rPr>
                <w:rFonts w:eastAsiaTheme="minorEastAsia"/>
                <w:color w:val="000000" w:themeColor="text1"/>
                <w:sz w:val="24"/>
              </w:rPr>
              <w:t>12.66%</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方正证券</w:t>
            </w:r>
          </w:p>
        </w:tc>
        <w:tc>
          <w:tcPr>
            <w:tcW w:w="1320" w:type="dxa"/>
            <w:vAlign w:val="center"/>
          </w:tcPr>
          <w:p w:rsidR="005C48D6" w:rsidRDefault="008F0294">
            <w:pPr>
              <w:jc w:val="right"/>
            </w:pPr>
            <w:r>
              <w:rPr>
                <w:rFonts w:eastAsiaTheme="minorEastAsia"/>
                <w:color w:val="000000" w:themeColor="text1"/>
                <w:sz w:val="24"/>
              </w:rPr>
              <w:t>50,559,489.60</w:t>
            </w:r>
          </w:p>
        </w:tc>
        <w:tc>
          <w:tcPr>
            <w:tcW w:w="1080" w:type="dxa"/>
            <w:vAlign w:val="center"/>
          </w:tcPr>
          <w:p w:rsidR="005C48D6" w:rsidRDefault="008F0294">
            <w:pPr>
              <w:jc w:val="right"/>
            </w:pPr>
            <w:r>
              <w:rPr>
                <w:rFonts w:eastAsiaTheme="minorEastAsia"/>
                <w:color w:val="000000" w:themeColor="text1"/>
                <w:sz w:val="24"/>
              </w:rPr>
              <w:t>7.05%</w:t>
            </w:r>
          </w:p>
        </w:tc>
        <w:tc>
          <w:tcPr>
            <w:tcW w:w="1080" w:type="dxa"/>
            <w:vAlign w:val="center"/>
          </w:tcPr>
          <w:p w:rsidR="005C48D6" w:rsidRDefault="008F0294">
            <w:pPr>
              <w:jc w:val="right"/>
            </w:pPr>
            <w:r>
              <w:rPr>
                <w:rFonts w:eastAsiaTheme="minorEastAsia"/>
                <w:color w:val="000000" w:themeColor="text1"/>
                <w:sz w:val="24"/>
              </w:rPr>
              <w:t>14,000,000.00</w:t>
            </w:r>
          </w:p>
        </w:tc>
        <w:tc>
          <w:tcPr>
            <w:tcW w:w="1260" w:type="dxa"/>
            <w:vAlign w:val="center"/>
          </w:tcPr>
          <w:p w:rsidR="005C48D6" w:rsidRDefault="008F0294">
            <w:pPr>
              <w:jc w:val="right"/>
            </w:pPr>
            <w:r>
              <w:rPr>
                <w:rFonts w:eastAsiaTheme="minorEastAsia"/>
                <w:color w:val="000000" w:themeColor="text1"/>
                <w:sz w:val="24"/>
              </w:rPr>
              <w:t>4.43%</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华泰证券</w:t>
            </w:r>
          </w:p>
        </w:tc>
        <w:tc>
          <w:tcPr>
            <w:tcW w:w="1320" w:type="dxa"/>
            <w:vAlign w:val="center"/>
          </w:tcPr>
          <w:p w:rsidR="005C48D6" w:rsidRDefault="008F0294">
            <w:pPr>
              <w:jc w:val="right"/>
            </w:pPr>
            <w:r>
              <w:rPr>
                <w:rFonts w:eastAsiaTheme="minorEastAsia"/>
                <w:color w:val="000000" w:themeColor="text1"/>
                <w:sz w:val="24"/>
              </w:rPr>
              <w:t>30,140,811.60</w:t>
            </w:r>
          </w:p>
        </w:tc>
        <w:tc>
          <w:tcPr>
            <w:tcW w:w="1080" w:type="dxa"/>
            <w:vAlign w:val="center"/>
          </w:tcPr>
          <w:p w:rsidR="005C48D6" w:rsidRDefault="008F0294">
            <w:pPr>
              <w:jc w:val="right"/>
            </w:pPr>
            <w:r>
              <w:rPr>
                <w:rFonts w:eastAsiaTheme="minorEastAsia"/>
                <w:color w:val="000000" w:themeColor="text1"/>
                <w:sz w:val="24"/>
              </w:rPr>
              <w:t>4.20%</w:t>
            </w:r>
          </w:p>
        </w:tc>
        <w:tc>
          <w:tcPr>
            <w:tcW w:w="108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海通证券</w:t>
            </w:r>
          </w:p>
        </w:tc>
        <w:tc>
          <w:tcPr>
            <w:tcW w:w="1320" w:type="dxa"/>
            <w:vAlign w:val="center"/>
          </w:tcPr>
          <w:p w:rsidR="005C48D6" w:rsidRDefault="008F0294">
            <w:pPr>
              <w:jc w:val="right"/>
            </w:pPr>
            <w:r>
              <w:rPr>
                <w:rFonts w:eastAsiaTheme="minorEastAsia"/>
                <w:color w:val="000000" w:themeColor="text1"/>
                <w:sz w:val="24"/>
              </w:rPr>
              <w:t>22,810,340.60</w:t>
            </w:r>
          </w:p>
        </w:tc>
        <w:tc>
          <w:tcPr>
            <w:tcW w:w="1080" w:type="dxa"/>
            <w:vAlign w:val="center"/>
          </w:tcPr>
          <w:p w:rsidR="005C48D6" w:rsidRDefault="008F0294">
            <w:pPr>
              <w:jc w:val="right"/>
            </w:pPr>
            <w:r>
              <w:rPr>
                <w:rFonts w:eastAsiaTheme="minorEastAsia"/>
                <w:color w:val="000000" w:themeColor="text1"/>
                <w:sz w:val="24"/>
              </w:rPr>
              <w:t>3.18%</w:t>
            </w:r>
          </w:p>
        </w:tc>
        <w:tc>
          <w:tcPr>
            <w:tcW w:w="108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东吴证券</w:t>
            </w:r>
          </w:p>
        </w:tc>
        <w:tc>
          <w:tcPr>
            <w:tcW w:w="1320" w:type="dxa"/>
            <w:vAlign w:val="center"/>
          </w:tcPr>
          <w:p w:rsidR="005C48D6" w:rsidRDefault="008F0294">
            <w:pPr>
              <w:jc w:val="right"/>
            </w:pPr>
            <w:r>
              <w:rPr>
                <w:rFonts w:eastAsiaTheme="minorEastAsia"/>
                <w:color w:val="000000" w:themeColor="text1"/>
                <w:sz w:val="24"/>
              </w:rPr>
              <w:t>19,498,869.60</w:t>
            </w:r>
          </w:p>
        </w:tc>
        <w:tc>
          <w:tcPr>
            <w:tcW w:w="1080" w:type="dxa"/>
            <w:vAlign w:val="center"/>
          </w:tcPr>
          <w:p w:rsidR="005C48D6" w:rsidRDefault="008F0294">
            <w:pPr>
              <w:jc w:val="right"/>
            </w:pPr>
            <w:r>
              <w:rPr>
                <w:rFonts w:eastAsiaTheme="minorEastAsia"/>
                <w:color w:val="000000" w:themeColor="text1"/>
                <w:sz w:val="24"/>
              </w:rPr>
              <w:t>2.72%</w:t>
            </w:r>
          </w:p>
        </w:tc>
        <w:tc>
          <w:tcPr>
            <w:tcW w:w="108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中金公司</w:t>
            </w:r>
          </w:p>
        </w:tc>
        <w:tc>
          <w:tcPr>
            <w:tcW w:w="1320" w:type="dxa"/>
            <w:vAlign w:val="center"/>
          </w:tcPr>
          <w:p w:rsidR="005C48D6" w:rsidRDefault="008F0294">
            <w:pPr>
              <w:jc w:val="right"/>
            </w:pPr>
            <w:r>
              <w:rPr>
                <w:rFonts w:eastAsiaTheme="minorEastAsia"/>
                <w:color w:val="000000" w:themeColor="text1"/>
                <w:sz w:val="24"/>
              </w:rPr>
              <w:t>13,819,592.00</w:t>
            </w:r>
          </w:p>
        </w:tc>
        <w:tc>
          <w:tcPr>
            <w:tcW w:w="1080" w:type="dxa"/>
            <w:vAlign w:val="center"/>
          </w:tcPr>
          <w:p w:rsidR="005C48D6" w:rsidRDefault="008F0294">
            <w:pPr>
              <w:jc w:val="right"/>
            </w:pPr>
            <w:r>
              <w:rPr>
                <w:rFonts w:eastAsiaTheme="minorEastAsia"/>
                <w:color w:val="000000" w:themeColor="text1"/>
                <w:sz w:val="24"/>
              </w:rPr>
              <w:t>1.93%</w:t>
            </w:r>
          </w:p>
        </w:tc>
        <w:tc>
          <w:tcPr>
            <w:tcW w:w="1080" w:type="dxa"/>
            <w:vAlign w:val="center"/>
          </w:tcPr>
          <w:p w:rsidR="005C48D6" w:rsidRDefault="008F0294">
            <w:pPr>
              <w:jc w:val="right"/>
            </w:pPr>
            <w:r>
              <w:rPr>
                <w:rFonts w:eastAsiaTheme="minorEastAsia"/>
                <w:color w:val="000000" w:themeColor="text1"/>
                <w:sz w:val="24"/>
              </w:rPr>
              <w:t>13,000,000.00</w:t>
            </w:r>
          </w:p>
        </w:tc>
        <w:tc>
          <w:tcPr>
            <w:tcW w:w="1260" w:type="dxa"/>
            <w:vAlign w:val="center"/>
          </w:tcPr>
          <w:p w:rsidR="005C48D6" w:rsidRDefault="008F0294">
            <w:pPr>
              <w:jc w:val="right"/>
            </w:pPr>
            <w:r>
              <w:rPr>
                <w:rFonts w:eastAsiaTheme="minorEastAsia"/>
                <w:color w:val="000000" w:themeColor="text1"/>
                <w:sz w:val="24"/>
              </w:rPr>
              <w:t>4.11%</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长城证券</w:t>
            </w:r>
          </w:p>
        </w:tc>
        <w:tc>
          <w:tcPr>
            <w:tcW w:w="1320" w:type="dxa"/>
            <w:vAlign w:val="center"/>
          </w:tcPr>
          <w:p w:rsidR="005C48D6" w:rsidRDefault="008F0294">
            <w:pPr>
              <w:jc w:val="right"/>
            </w:pPr>
            <w:r>
              <w:rPr>
                <w:rFonts w:eastAsiaTheme="minorEastAsia"/>
                <w:color w:val="000000" w:themeColor="text1"/>
                <w:sz w:val="24"/>
              </w:rPr>
              <w:t>10,202,789.70</w:t>
            </w:r>
          </w:p>
        </w:tc>
        <w:tc>
          <w:tcPr>
            <w:tcW w:w="1080" w:type="dxa"/>
            <w:vAlign w:val="center"/>
          </w:tcPr>
          <w:p w:rsidR="005C48D6" w:rsidRDefault="008F0294">
            <w:pPr>
              <w:jc w:val="right"/>
            </w:pPr>
            <w:r>
              <w:rPr>
                <w:rFonts w:eastAsiaTheme="minorEastAsia"/>
                <w:color w:val="000000" w:themeColor="text1"/>
                <w:sz w:val="24"/>
              </w:rPr>
              <w:t>1.42%</w:t>
            </w:r>
          </w:p>
        </w:tc>
        <w:tc>
          <w:tcPr>
            <w:tcW w:w="108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银河证券</w:t>
            </w:r>
          </w:p>
        </w:tc>
        <w:tc>
          <w:tcPr>
            <w:tcW w:w="1320" w:type="dxa"/>
            <w:vAlign w:val="center"/>
          </w:tcPr>
          <w:p w:rsidR="005C48D6" w:rsidRDefault="008F0294">
            <w:pPr>
              <w:jc w:val="right"/>
            </w:pPr>
            <w:r>
              <w:rPr>
                <w:rFonts w:eastAsiaTheme="minorEastAsia"/>
                <w:color w:val="000000" w:themeColor="text1"/>
                <w:sz w:val="24"/>
              </w:rPr>
              <w:t>564,135.60</w:t>
            </w:r>
          </w:p>
        </w:tc>
        <w:tc>
          <w:tcPr>
            <w:tcW w:w="1080" w:type="dxa"/>
            <w:vAlign w:val="center"/>
          </w:tcPr>
          <w:p w:rsidR="005C48D6" w:rsidRDefault="008F0294">
            <w:pPr>
              <w:jc w:val="right"/>
            </w:pPr>
            <w:r>
              <w:rPr>
                <w:rFonts w:eastAsiaTheme="minorEastAsia"/>
                <w:color w:val="000000" w:themeColor="text1"/>
                <w:sz w:val="24"/>
              </w:rPr>
              <w:t>0.08%</w:t>
            </w:r>
          </w:p>
        </w:tc>
        <w:tc>
          <w:tcPr>
            <w:tcW w:w="108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国金证券</w:t>
            </w:r>
          </w:p>
        </w:tc>
        <w:tc>
          <w:tcPr>
            <w:tcW w:w="13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80,000,000.00</w:t>
            </w:r>
          </w:p>
        </w:tc>
        <w:tc>
          <w:tcPr>
            <w:tcW w:w="1260" w:type="dxa"/>
            <w:vAlign w:val="center"/>
          </w:tcPr>
          <w:p w:rsidR="005C48D6" w:rsidRDefault="008F0294">
            <w:pPr>
              <w:jc w:val="right"/>
            </w:pPr>
            <w:r>
              <w:rPr>
                <w:rFonts w:eastAsiaTheme="minorEastAsia"/>
                <w:color w:val="000000" w:themeColor="text1"/>
                <w:sz w:val="24"/>
              </w:rPr>
              <w:t>25.32%</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民生证券</w:t>
            </w:r>
          </w:p>
        </w:tc>
        <w:tc>
          <w:tcPr>
            <w:tcW w:w="13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20,000,000.00</w:t>
            </w:r>
          </w:p>
        </w:tc>
        <w:tc>
          <w:tcPr>
            <w:tcW w:w="1260" w:type="dxa"/>
            <w:vAlign w:val="center"/>
          </w:tcPr>
          <w:p w:rsidR="005C48D6" w:rsidRDefault="008F0294">
            <w:pPr>
              <w:jc w:val="right"/>
            </w:pPr>
            <w:r>
              <w:rPr>
                <w:rFonts w:eastAsiaTheme="minorEastAsia"/>
                <w:color w:val="000000" w:themeColor="text1"/>
                <w:sz w:val="24"/>
              </w:rPr>
              <w:t>6.33%</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齐鲁证券</w:t>
            </w:r>
          </w:p>
        </w:tc>
        <w:tc>
          <w:tcPr>
            <w:tcW w:w="13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15,000,000.00</w:t>
            </w:r>
          </w:p>
        </w:tc>
        <w:tc>
          <w:tcPr>
            <w:tcW w:w="1260" w:type="dxa"/>
            <w:vAlign w:val="center"/>
          </w:tcPr>
          <w:p w:rsidR="005C48D6" w:rsidRDefault="008F0294">
            <w:pPr>
              <w:jc w:val="right"/>
            </w:pPr>
            <w:r>
              <w:rPr>
                <w:rFonts w:eastAsiaTheme="minorEastAsia"/>
                <w:color w:val="000000" w:themeColor="text1"/>
                <w:sz w:val="24"/>
              </w:rPr>
              <w:t>4.75%</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r w:rsidR="005C48D6">
        <w:tc>
          <w:tcPr>
            <w:tcW w:w="1560" w:type="dxa"/>
            <w:vAlign w:val="center"/>
          </w:tcPr>
          <w:p w:rsidR="005C48D6" w:rsidRDefault="008F0294">
            <w:pPr>
              <w:jc w:val="left"/>
            </w:pPr>
            <w:r>
              <w:rPr>
                <w:rFonts w:eastAsiaTheme="minorEastAsia"/>
                <w:color w:val="000000" w:themeColor="text1"/>
                <w:sz w:val="24"/>
              </w:rPr>
              <w:t>安信证券</w:t>
            </w:r>
          </w:p>
        </w:tc>
        <w:tc>
          <w:tcPr>
            <w:tcW w:w="132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w:t>
            </w:r>
          </w:p>
        </w:tc>
        <w:tc>
          <w:tcPr>
            <w:tcW w:w="1080" w:type="dxa"/>
            <w:vAlign w:val="center"/>
          </w:tcPr>
          <w:p w:rsidR="005C48D6" w:rsidRDefault="008F0294">
            <w:pPr>
              <w:jc w:val="right"/>
            </w:pPr>
            <w:r>
              <w:rPr>
                <w:rFonts w:eastAsiaTheme="minorEastAsia"/>
                <w:color w:val="000000" w:themeColor="text1"/>
                <w:sz w:val="24"/>
              </w:rPr>
              <w:t>6,000,000.00</w:t>
            </w:r>
          </w:p>
        </w:tc>
        <w:tc>
          <w:tcPr>
            <w:tcW w:w="1260" w:type="dxa"/>
            <w:vAlign w:val="center"/>
          </w:tcPr>
          <w:p w:rsidR="005C48D6" w:rsidRDefault="008F0294">
            <w:pPr>
              <w:jc w:val="right"/>
            </w:pPr>
            <w:r>
              <w:rPr>
                <w:rFonts w:eastAsiaTheme="minorEastAsia"/>
                <w:color w:val="000000" w:themeColor="text1"/>
                <w:sz w:val="24"/>
              </w:rPr>
              <w:t>1.90%</w:t>
            </w:r>
          </w:p>
        </w:tc>
        <w:tc>
          <w:tcPr>
            <w:tcW w:w="1260" w:type="dxa"/>
            <w:vAlign w:val="center"/>
          </w:tcPr>
          <w:p w:rsidR="005C48D6" w:rsidRDefault="008F0294">
            <w:pPr>
              <w:jc w:val="right"/>
            </w:pPr>
            <w:r>
              <w:rPr>
                <w:rFonts w:eastAsiaTheme="minorEastAsia"/>
                <w:color w:val="000000" w:themeColor="text1"/>
                <w:sz w:val="24"/>
              </w:rPr>
              <w:t>-</w:t>
            </w:r>
          </w:p>
        </w:tc>
        <w:tc>
          <w:tcPr>
            <w:tcW w:w="1440" w:type="dxa"/>
            <w:vAlign w:val="center"/>
          </w:tcPr>
          <w:p w:rsidR="005C48D6" w:rsidRDefault="008F0294">
            <w:pPr>
              <w:jc w:val="right"/>
            </w:pPr>
            <w:r>
              <w:rPr>
                <w:rFonts w:eastAsiaTheme="minorEastAsia"/>
                <w:color w:val="000000" w:themeColor="text1"/>
                <w:sz w:val="24"/>
              </w:rPr>
              <w:t>-</w:t>
            </w:r>
          </w:p>
        </w:tc>
      </w:tr>
    </w:tbl>
    <w:p w:rsidR="005C48D6" w:rsidRDefault="008F0294">
      <w:pPr>
        <w:tabs>
          <w:tab w:val="left" w:pos="426"/>
        </w:tabs>
        <w:spacing w:line="360" w:lineRule="auto"/>
        <w:ind w:firstLineChars="200" w:firstLine="480"/>
        <w:jc w:val="left"/>
        <w:rPr>
          <w:rFonts w:eastAsiaTheme="minorEastAsia"/>
          <w:color w:val="000000" w:themeColor="text1"/>
          <w:kern w:val="0"/>
          <w:sz w:val="24"/>
        </w:rPr>
      </w:pPr>
      <w:r>
        <w:rPr>
          <w:rFonts w:eastAsiaTheme="minorEastAsia"/>
          <w:color w:val="000000" w:themeColor="text1"/>
          <w:kern w:val="0"/>
          <w:sz w:val="24"/>
        </w:rPr>
        <w:t>注：</w:t>
      </w:r>
      <w:r>
        <w:rPr>
          <w:rFonts w:eastAsiaTheme="minorEastAsia"/>
          <w:color w:val="000000" w:themeColor="text1"/>
          <w:kern w:val="0"/>
          <w:sz w:val="24"/>
        </w:rPr>
        <w:t>1</w:t>
      </w:r>
      <w:r>
        <w:rPr>
          <w:rFonts w:eastAsiaTheme="minorEastAsia"/>
          <w:color w:val="000000" w:themeColor="text1"/>
          <w:kern w:val="0"/>
          <w:sz w:val="24"/>
        </w:rPr>
        <w:t>、本基金管理人在租用证券机构交易单元上符合中国证监会的有关规定。本基金管理人将证券经营机构的注册资本、研究水平、财务状况、经营状况、经营行为以及通讯交易条件作为基金专用交易单元的选择标准，由研究部、投资部及交易部对券商进行考评并提出交易单元租用及更换方案。根据董事会授权，由公司执行委员会批准。</w:t>
      </w:r>
    </w:p>
    <w:p w:rsidR="005C48D6" w:rsidRDefault="008F0294">
      <w:pPr>
        <w:tabs>
          <w:tab w:val="left" w:pos="426"/>
        </w:tabs>
        <w:spacing w:line="360" w:lineRule="auto"/>
        <w:ind w:firstLineChars="200" w:firstLine="480"/>
        <w:jc w:val="left"/>
        <w:rPr>
          <w:rFonts w:eastAsiaTheme="minorEastAsia"/>
          <w:color w:val="000000" w:themeColor="text1"/>
          <w:kern w:val="0"/>
          <w:sz w:val="24"/>
        </w:rPr>
      </w:pPr>
      <w:r>
        <w:rPr>
          <w:rFonts w:eastAsiaTheme="minorEastAsia"/>
          <w:color w:val="000000" w:themeColor="text1"/>
          <w:kern w:val="0"/>
          <w:sz w:val="24"/>
        </w:rPr>
        <w:t>2</w:t>
      </w:r>
      <w:r>
        <w:rPr>
          <w:rFonts w:eastAsiaTheme="minorEastAsia"/>
          <w:color w:val="000000" w:themeColor="text1"/>
          <w:kern w:val="0"/>
          <w:sz w:val="24"/>
        </w:rPr>
        <w:t>、本报告期本基金未发生交易所股票和权证交易。</w:t>
      </w:r>
    </w:p>
    <w:p w:rsidR="006D141C" w:rsidRPr="009A7486" w:rsidRDefault="006D141C"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3</w:t>
      </w:r>
      <w:r w:rsidRPr="009A7486">
        <w:rPr>
          <w:rFonts w:eastAsiaTheme="minorEastAsia"/>
          <w:color w:val="000000" w:themeColor="text1"/>
          <w:kern w:val="0"/>
          <w:sz w:val="24"/>
        </w:rPr>
        <w:t>、本基金本报告期退租德邦证券</w:t>
      </w:r>
      <w:r w:rsidRPr="009A7486">
        <w:rPr>
          <w:rFonts w:eastAsiaTheme="minorEastAsia"/>
          <w:color w:val="000000" w:themeColor="text1"/>
          <w:kern w:val="0"/>
          <w:sz w:val="24"/>
        </w:rPr>
        <w:t>1</w:t>
      </w:r>
      <w:r w:rsidRPr="009A7486">
        <w:rPr>
          <w:rFonts w:eastAsiaTheme="minorEastAsia"/>
          <w:color w:val="000000" w:themeColor="text1"/>
          <w:kern w:val="0"/>
          <w:sz w:val="24"/>
        </w:rPr>
        <w:t>个交易单元。</w:t>
      </w:r>
    </w:p>
    <w:p w:rsidR="0065332B" w:rsidRPr="009A7486" w:rsidRDefault="0065332B" w:rsidP="002855D4">
      <w:pPr>
        <w:pStyle w:val="20"/>
        <w:spacing w:beforeLines="100" w:after="0"/>
        <w:rPr>
          <w:rFonts w:ascii="Times New Roman" w:eastAsiaTheme="minorEastAsia" w:hAnsi="Times New Roman" w:cs="Times New Roman"/>
          <w:color w:val="000000" w:themeColor="text1"/>
          <w:kern w:val="0"/>
          <w:szCs w:val="24"/>
        </w:rPr>
      </w:pPr>
      <w:r w:rsidRPr="009A7486">
        <w:rPr>
          <w:rFonts w:ascii="Times New Roman" w:eastAsiaTheme="minorEastAsia" w:hAnsi="Times New Roman" w:cs="Times New Roman"/>
          <w:color w:val="000000" w:themeColor="text1"/>
          <w:kern w:val="0"/>
          <w:szCs w:val="24"/>
        </w:rPr>
        <w:t>11.9</w:t>
      </w:r>
      <w:r w:rsidRPr="009A7486">
        <w:rPr>
          <w:rFonts w:ascii="Times New Roman" w:eastAsiaTheme="minorEastAsia" w:hAnsi="Times New Roman" w:cs="Times New Roman"/>
          <w:color w:val="000000" w:themeColor="text1"/>
          <w:kern w:val="0"/>
          <w:szCs w:val="24"/>
        </w:rPr>
        <w:t>偏离度绝对值超过</w:t>
      </w:r>
      <w:r w:rsidRPr="009A7486">
        <w:rPr>
          <w:rFonts w:ascii="Times New Roman" w:eastAsiaTheme="minorEastAsia" w:hAnsi="Times New Roman" w:cs="Times New Roman"/>
          <w:color w:val="000000" w:themeColor="text1"/>
          <w:kern w:val="0"/>
          <w:szCs w:val="24"/>
        </w:rPr>
        <w:t>0.5%</w:t>
      </w:r>
      <w:r w:rsidRPr="009A7486">
        <w:rPr>
          <w:rFonts w:ascii="Times New Roman" w:eastAsiaTheme="minorEastAsia" w:hAnsi="Times New Roman" w:cs="Times New Roman"/>
          <w:color w:val="000000" w:themeColor="text1"/>
          <w:kern w:val="0"/>
          <w:szCs w:val="24"/>
        </w:rPr>
        <w:t>的情况</w:t>
      </w:r>
    </w:p>
    <w:p w:rsidR="0065332B" w:rsidRPr="009A7486" w:rsidRDefault="00ED3706" w:rsidP="009A7486">
      <w:pPr>
        <w:tabs>
          <w:tab w:val="left" w:pos="426"/>
        </w:tabs>
        <w:spacing w:line="360" w:lineRule="auto"/>
        <w:ind w:firstLineChars="200" w:firstLine="480"/>
        <w:jc w:val="left"/>
        <w:rPr>
          <w:rFonts w:eastAsiaTheme="minorEastAsia"/>
          <w:color w:val="000000" w:themeColor="text1"/>
          <w:kern w:val="0"/>
          <w:sz w:val="24"/>
        </w:rPr>
      </w:pPr>
      <w:r w:rsidRPr="009A7486">
        <w:rPr>
          <w:rFonts w:eastAsiaTheme="minorEastAsia"/>
          <w:color w:val="000000" w:themeColor="text1"/>
          <w:kern w:val="0"/>
          <w:sz w:val="24"/>
        </w:rPr>
        <w:t>报告期内基金无偏离度绝对值超过</w:t>
      </w:r>
      <w:r w:rsidRPr="009A7486">
        <w:rPr>
          <w:rFonts w:eastAsiaTheme="minorEastAsia"/>
          <w:color w:val="000000" w:themeColor="text1"/>
          <w:kern w:val="0"/>
          <w:sz w:val="24"/>
        </w:rPr>
        <w:t>0.5%</w:t>
      </w:r>
      <w:r w:rsidRPr="009A7486">
        <w:rPr>
          <w:rFonts w:eastAsiaTheme="minorEastAsia"/>
          <w:color w:val="000000" w:themeColor="text1"/>
          <w:kern w:val="0"/>
          <w:sz w:val="24"/>
        </w:rPr>
        <w:t>的情况。</w:t>
      </w:r>
    </w:p>
    <w:p w:rsidR="006D141C" w:rsidRPr="009A7486" w:rsidRDefault="006D141C" w:rsidP="002855D4">
      <w:pPr>
        <w:pStyle w:val="1"/>
        <w:keepNext/>
        <w:keepLines/>
        <w:widowControl w:val="0"/>
        <w:spacing w:beforeLines="100" w:afterLines="100" w:line="360" w:lineRule="auto"/>
        <w:jc w:val="center"/>
        <w:rPr>
          <w:rFonts w:eastAsiaTheme="minorEastAsia"/>
          <w:b/>
          <w:bCs/>
          <w:color w:val="000000" w:themeColor="text1"/>
          <w:szCs w:val="24"/>
          <w:lang w:val="en-US"/>
        </w:rPr>
      </w:pPr>
      <w:bookmarkStart w:id="51" w:name="_Toc331410125"/>
      <w:r w:rsidRPr="009A7486">
        <w:rPr>
          <w:rFonts w:eastAsiaTheme="minorEastAsia"/>
          <w:b/>
          <w:bCs/>
          <w:color w:val="000000" w:themeColor="text1"/>
          <w:szCs w:val="24"/>
          <w:lang w:val="en-US"/>
        </w:rPr>
        <w:t>§12</w:t>
      </w:r>
      <w:r w:rsidRPr="009A7486">
        <w:rPr>
          <w:rFonts w:eastAsiaTheme="minorEastAsia"/>
          <w:b/>
          <w:bCs/>
          <w:color w:val="000000" w:themeColor="text1"/>
          <w:szCs w:val="24"/>
          <w:lang w:val="en-US"/>
        </w:rPr>
        <w:t>影响投资者决策的其他重要信息</w:t>
      </w:r>
      <w:bookmarkEnd w:id="51"/>
    </w:p>
    <w:p w:rsidR="00DC6088" w:rsidRPr="0089637B" w:rsidRDefault="00DC6088" w:rsidP="002855D4">
      <w:pPr>
        <w:pStyle w:val="20"/>
        <w:spacing w:beforeLines="100" w:afterLines="100" w:line="240" w:lineRule="auto"/>
        <w:rPr>
          <w:rFonts w:ascii="Times New Roman" w:eastAsiaTheme="minorEastAsia" w:hAnsi="Times New Roman"/>
          <w:bCs w:val="0"/>
          <w:kern w:val="0"/>
          <w:szCs w:val="24"/>
        </w:rPr>
      </w:pPr>
      <w:r w:rsidRPr="0089637B">
        <w:rPr>
          <w:rFonts w:ascii="Times New Roman" w:eastAsiaTheme="minorEastAsia" w:hAnsi="Times New Roman"/>
          <w:bCs w:val="0"/>
          <w:kern w:val="0"/>
          <w:szCs w:val="24"/>
        </w:rPr>
        <w:t xml:space="preserve">12.1 </w:t>
      </w:r>
      <w:r w:rsidRPr="0089637B">
        <w:rPr>
          <w:rFonts w:ascii="Times New Roman" w:eastAsiaTheme="minorEastAsia" w:hAnsi="Times New Roman"/>
          <w:bCs w:val="0"/>
          <w:kern w:val="0"/>
          <w:szCs w:val="24"/>
        </w:rPr>
        <w:t>报告期内单一投资者持有基金份额比例达到或超过</w:t>
      </w:r>
      <w:r w:rsidRPr="0089637B">
        <w:rPr>
          <w:rFonts w:ascii="Times New Roman" w:eastAsiaTheme="minorEastAsia" w:hAnsi="Times New Roman"/>
          <w:bCs w:val="0"/>
          <w:kern w:val="0"/>
          <w:szCs w:val="24"/>
        </w:rPr>
        <w:t>20%</w:t>
      </w:r>
      <w:r w:rsidRPr="0089637B">
        <w:rPr>
          <w:rFonts w:ascii="Times New Roman" w:eastAsiaTheme="minorEastAsia" w:hAnsi="Times New Roman"/>
          <w:bCs w:val="0"/>
          <w:kern w:val="0"/>
          <w:szCs w:val="24"/>
        </w:rPr>
        <w:t>的情况</w:t>
      </w:r>
    </w:p>
    <w:tbl>
      <w:tblPr>
        <w:tblStyle w:val="af7"/>
        <w:tblW w:w="9637" w:type="dxa"/>
        <w:jc w:val="center"/>
        <w:tblLayout w:type="fixed"/>
        <w:tblLook w:val="04A0"/>
      </w:tblPr>
      <w:tblGrid>
        <w:gridCol w:w="9637"/>
      </w:tblGrid>
      <w:tr w:rsidR="00DC6088" w:rsidRPr="00FC0759" w:rsidTr="00350318">
        <w:trPr>
          <w:jc w:val="center"/>
        </w:trPr>
        <w:tc>
          <w:tcPr>
            <w:tcW w:w="9637" w:type="dxa"/>
            <w:vAlign w:val="center"/>
          </w:tcPr>
          <w:p w:rsidR="00DC6088" w:rsidRPr="00FC0759" w:rsidRDefault="00DC6088" w:rsidP="00350318">
            <w:pPr>
              <w:autoSpaceDE w:val="0"/>
              <w:autoSpaceDN w:val="0"/>
              <w:adjustRightInd w:val="0"/>
              <w:ind w:firstLine="480"/>
              <w:jc w:val="center"/>
              <w:rPr>
                <w:sz w:val="24"/>
              </w:rPr>
            </w:pPr>
            <w:r w:rsidRPr="00FC0759">
              <w:rPr>
                <w:color w:val="000000"/>
                <w:sz w:val="24"/>
              </w:rPr>
              <w:t>产品特有风险</w:t>
            </w:r>
          </w:p>
        </w:tc>
      </w:tr>
      <w:tr w:rsidR="00DC6088" w:rsidRPr="00FC0759" w:rsidTr="00350318">
        <w:trPr>
          <w:jc w:val="center"/>
        </w:trPr>
        <w:tc>
          <w:tcPr>
            <w:tcW w:w="9637" w:type="dxa"/>
            <w:vAlign w:val="center"/>
          </w:tcPr>
          <w:p w:rsidR="005C48D6" w:rsidRDefault="008F0294">
            <w:pPr>
              <w:autoSpaceDE w:val="0"/>
              <w:autoSpaceDN w:val="0"/>
              <w:adjustRightInd w:val="0"/>
              <w:jc w:val="left"/>
              <w:rPr>
                <w:sz w:val="24"/>
              </w:rPr>
            </w:pPr>
            <w:r>
              <w:rPr>
                <w:sz w:val="24"/>
              </w:rPr>
              <w:t>投资者应关注本基金单一投资者持有份额比例过高时，可能出现以下风险：</w:t>
            </w:r>
          </w:p>
          <w:p w:rsidR="005C48D6" w:rsidRDefault="008F0294">
            <w:pPr>
              <w:autoSpaceDE w:val="0"/>
              <w:autoSpaceDN w:val="0"/>
              <w:adjustRightInd w:val="0"/>
              <w:jc w:val="left"/>
              <w:rPr>
                <w:sz w:val="24"/>
              </w:rPr>
            </w:pPr>
            <w:r>
              <w:rPr>
                <w:sz w:val="24"/>
              </w:rPr>
              <w:t>1</w:t>
            </w:r>
            <w:r>
              <w:rPr>
                <w:sz w:val="24"/>
              </w:rPr>
              <w:t>、赎回申请延期办理的风险</w:t>
            </w:r>
          </w:p>
          <w:p w:rsidR="005C48D6" w:rsidRDefault="008F0294">
            <w:pPr>
              <w:autoSpaceDE w:val="0"/>
              <w:autoSpaceDN w:val="0"/>
              <w:adjustRightInd w:val="0"/>
              <w:jc w:val="left"/>
              <w:rPr>
                <w:sz w:val="24"/>
              </w:rPr>
            </w:pPr>
            <w:r>
              <w:rPr>
                <w:sz w:val="24"/>
              </w:rPr>
              <w:t>单一投资者大额赎回时易触发本基金巨额赎回的条件，中小投资者可能面临小额赎回申请也需要部分延期办理的风险。</w:t>
            </w:r>
          </w:p>
          <w:p w:rsidR="005C48D6" w:rsidRDefault="008F0294">
            <w:pPr>
              <w:autoSpaceDE w:val="0"/>
              <w:autoSpaceDN w:val="0"/>
              <w:adjustRightInd w:val="0"/>
              <w:jc w:val="left"/>
              <w:rPr>
                <w:sz w:val="24"/>
              </w:rPr>
            </w:pPr>
            <w:r>
              <w:rPr>
                <w:sz w:val="24"/>
              </w:rPr>
              <w:t>2</w:t>
            </w:r>
            <w:r>
              <w:rPr>
                <w:sz w:val="24"/>
              </w:rPr>
              <w:t>、基金净值大幅波动的风险</w:t>
            </w:r>
          </w:p>
          <w:p w:rsidR="005C48D6" w:rsidRDefault="008F0294">
            <w:pPr>
              <w:autoSpaceDE w:val="0"/>
              <w:autoSpaceDN w:val="0"/>
              <w:adjustRightInd w:val="0"/>
              <w:jc w:val="left"/>
              <w:rPr>
                <w:sz w:val="24"/>
              </w:rPr>
            </w:pPr>
            <w:r>
              <w:rPr>
                <w:sz w:val="24"/>
              </w:rPr>
              <w:t>单一投资者大额赎回时，基金管理人进行基金财产变现可能会对基金资产净值造成较大波动；单一投资者大额赎回时，相应的赎回费归入基金资产以及赎回时的份额净值的精度问题均可能引起基金份额净值出现较大波动。</w:t>
            </w:r>
          </w:p>
          <w:p w:rsidR="005C48D6" w:rsidRDefault="008F0294">
            <w:pPr>
              <w:autoSpaceDE w:val="0"/>
              <w:autoSpaceDN w:val="0"/>
              <w:adjustRightInd w:val="0"/>
              <w:jc w:val="left"/>
              <w:rPr>
                <w:sz w:val="24"/>
              </w:rPr>
            </w:pPr>
            <w:r>
              <w:rPr>
                <w:sz w:val="24"/>
              </w:rPr>
              <w:t>3</w:t>
            </w:r>
            <w:r>
              <w:rPr>
                <w:sz w:val="24"/>
              </w:rPr>
              <w:t>、基金投资策略难以实现的风险</w:t>
            </w:r>
          </w:p>
          <w:p w:rsidR="005C48D6" w:rsidRDefault="008F0294">
            <w:pPr>
              <w:autoSpaceDE w:val="0"/>
              <w:autoSpaceDN w:val="0"/>
              <w:adjustRightInd w:val="0"/>
              <w:jc w:val="left"/>
              <w:rPr>
                <w:sz w:val="24"/>
              </w:rPr>
            </w:pPr>
            <w:r>
              <w:rPr>
                <w:sz w:val="24"/>
              </w:rPr>
              <w:t>单一投资者大额赎回后，可能使基金资产净值显著降低，从而使基金在拟参与银行间市场交易等投资时受到限制，导致基金投资策略难以实现。</w:t>
            </w:r>
          </w:p>
          <w:p w:rsidR="005C48D6" w:rsidRDefault="008F0294">
            <w:pPr>
              <w:autoSpaceDE w:val="0"/>
              <w:autoSpaceDN w:val="0"/>
              <w:adjustRightInd w:val="0"/>
              <w:jc w:val="left"/>
              <w:rPr>
                <w:sz w:val="24"/>
              </w:rPr>
            </w:pPr>
            <w:r>
              <w:rPr>
                <w:sz w:val="24"/>
              </w:rPr>
              <w:t>4</w:t>
            </w:r>
            <w:r>
              <w:rPr>
                <w:sz w:val="24"/>
              </w:rPr>
              <w:t>、基金财产清算（或转型）的风险</w:t>
            </w:r>
          </w:p>
          <w:p w:rsidR="005C48D6" w:rsidRDefault="008F0294">
            <w:pPr>
              <w:autoSpaceDE w:val="0"/>
              <w:autoSpaceDN w:val="0"/>
              <w:adjustRightInd w:val="0"/>
              <w:jc w:val="left"/>
              <w:rPr>
                <w:sz w:val="24"/>
              </w:rPr>
            </w:pPr>
            <w:r>
              <w:rPr>
                <w:sz w:val="24"/>
              </w:rPr>
              <w:t>根据本基金基金合同的约定，基金合同生效后的存续期内，若连续</w:t>
            </w:r>
            <w:r>
              <w:rPr>
                <w:sz w:val="24"/>
              </w:rPr>
              <w:t>60</w:t>
            </w:r>
            <w:r>
              <w:rPr>
                <w:sz w:val="24"/>
              </w:rPr>
              <w:t>个工作日出现基金份额持有人数量不满</w:t>
            </w:r>
            <w:r>
              <w:rPr>
                <w:sz w:val="24"/>
              </w:rPr>
              <w:t>200</w:t>
            </w:r>
            <w:r>
              <w:rPr>
                <w:sz w:val="24"/>
              </w:rPr>
              <w:t>人或者基金资产净值低于</w:t>
            </w:r>
            <w:r>
              <w:rPr>
                <w:sz w:val="24"/>
              </w:rPr>
              <w:t>5000</w:t>
            </w:r>
            <w:r>
              <w:rPr>
                <w:sz w:val="24"/>
              </w:rPr>
              <w:t>万元情形的，基金管理人应当向中国证监会报告并提出解决方案，如转换运作方式、与其他基金合并或者终止基金合同等，并召开基金份额持有人大会进行表决。单一投资者大额赎回后，可能造成基金资产净值大幅缩减而导致本基金转换运作方式、与其他基金合并或基金合同终止等情形。</w:t>
            </w:r>
          </w:p>
          <w:p w:rsidR="005C48D6" w:rsidRDefault="008F0294">
            <w:pPr>
              <w:autoSpaceDE w:val="0"/>
              <w:autoSpaceDN w:val="0"/>
              <w:adjustRightInd w:val="0"/>
              <w:jc w:val="left"/>
              <w:rPr>
                <w:sz w:val="24"/>
              </w:rPr>
            </w:pPr>
            <w:r>
              <w:rPr>
                <w:sz w:val="24"/>
              </w:rPr>
              <w:t>5</w:t>
            </w:r>
            <w:r>
              <w:rPr>
                <w:sz w:val="24"/>
              </w:rPr>
              <w:t>、召开基金份额持有人大会及表决时可能存在的风险</w:t>
            </w:r>
          </w:p>
          <w:p w:rsidR="00DC6088" w:rsidRPr="00FC0759" w:rsidRDefault="00DC6088" w:rsidP="00E21D56">
            <w:pPr>
              <w:autoSpaceDE w:val="0"/>
              <w:autoSpaceDN w:val="0"/>
              <w:adjustRightInd w:val="0"/>
              <w:jc w:val="left"/>
              <w:rPr>
                <w:sz w:val="24"/>
              </w:rPr>
            </w:pPr>
            <w:r w:rsidRPr="00FC0759">
              <w:rPr>
                <w:sz w:val="24"/>
              </w:rPr>
              <w:t>由于单一机构投资者所持有的基金份额占比较高，在召开持有人大会并对重大事项进行投票表决时，单一机构投资者将拥有高的投票权重。</w:t>
            </w:r>
          </w:p>
        </w:tc>
      </w:tr>
    </w:tbl>
    <w:p w:rsidR="00DC6088" w:rsidRPr="00FC0759" w:rsidRDefault="00DC6088" w:rsidP="00DC6088">
      <w:pPr>
        <w:autoSpaceDE w:val="0"/>
        <w:autoSpaceDN w:val="0"/>
        <w:adjustRightInd w:val="0"/>
        <w:spacing w:line="360" w:lineRule="auto"/>
        <w:ind w:firstLineChars="200" w:firstLine="480"/>
        <w:jc w:val="left"/>
        <w:rPr>
          <w:rFonts w:eastAsiaTheme="minorEastAsia"/>
          <w:bCs/>
          <w:color w:val="000000" w:themeColor="text1"/>
          <w:kern w:val="0"/>
          <w:sz w:val="24"/>
        </w:rPr>
      </w:pPr>
      <w:r w:rsidRPr="00FC0759">
        <w:rPr>
          <w:bCs/>
          <w:color w:val="000000" w:themeColor="text1"/>
          <w:kern w:val="0"/>
          <w:sz w:val="24"/>
        </w:rPr>
        <w:t>注：本基金本报告期无单一投资者持有基金份额比例达到或超过</w:t>
      </w:r>
      <w:r w:rsidRPr="00FC0759">
        <w:rPr>
          <w:bCs/>
          <w:color w:val="000000" w:themeColor="text1"/>
          <w:kern w:val="0"/>
          <w:sz w:val="24"/>
        </w:rPr>
        <w:t>20%</w:t>
      </w:r>
      <w:r w:rsidRPr="00FC0759">
        <w:rPr>
          <w:bCs/>
          <w:color w:val="000000" w:themeColor="text1"/>
          <w:kern w:val="0"/>
          <w:sz w:val="24"/>
        </w:rPr>
        <w:t>的情况。</w:t>
      </w:r>
    </w:p>
    <w:p w:rsidR="00DC6088" w:rsidRPr="002F6268" w:rsidRDefault="00DC6088" w:rsidP="002855D4">
      <w:pPr>
        <w:pStyle w:val="20"/>
        <w:spacing w:beforeLines="100" w:afterLines="100" w:line="240" w:lineRule="auto"/>
        <w:rPr>
          <w:rFonts w:ascii="Times New Roman" w:eastAsiaTheme="minorEastAsia" w:hAnsi="Times New Roman"/>
          <w:b w:val="0"/>
          <w:bCs w:val="0"/>
          <w:color w:val="000000" w:themeColor="text1"/>
          <w:kern w:val="0"/>
          <w:szCs w:val="24"/>
        </w:rPr>
      </w:pPr>
      <w:r w:rsidRPr="0089637B">
        <w:rPr>
          <w:rFonts w:ascii="Times New Roman" w:eastAsiaTheme="minorEastAsia" w:hAnsi="Times New Roman"/>
          <w:bCs w:val="0"/>
          <w:kern w:val="0"/>
          <w:szCs w:val="24"/>
        </w:rPr>
        <w:t xml:space="preserve">12.2 </w:t>
      </w:r>
      <w:r w:rsidRPr="0089637B">
        <w:rPr>
          <w:rFonts w:ascii="Times New Roman" w:eastAsiaTheme="minorEastAsia" w:hAnsi="Times New Roman"/>
          <w:bCs w:val="0"/>
          <w:kern w:val="0"/>
          <w:szCs w:val="24"/>
        </w:rPr>
        <w:t>影响投资者决策的其他重要信息</w:t>
      </w:r>
    </w:p>
    <w:p w:rsidR="006D141C" w:rsidRPr="009A7486" w:rsidRDefault="00DC6088" w:rsidP="00DC6088">
      <w:pPr>
        <w:spacing w:line="360" w:lineRule="auto"/>
        <w:ind w:firstLineChars="200" w:firstLine="480"/>
        <w:rPr>
          <w:rFonts w:eastAsiaTheme="minorEastAsia"/>
          <w:color w:val="000000" w:themeColor="text1"/>
          <w:sz w:val="24"/>
        </w:rPr>
      </w:pPr>
      <w:r w:rsidRPr="00FC0759">
        <w:rPr>
          <w:rFonts w:eastAsiaTheme="minorEastAsia"/>
          <w:color w:val="000000" w:themeColor="text1"/>
          <w:sz w:val="24"/>
        </w:rPr>
        <w:t>根据中国证监会</w:t>
      </w:r>
      <w:r w:rsidRPr="00FC0759">
        <w:rPr>
          <w:rFonts w:eastAsiaTheme="minorEastAsia"/>
          <w:color w:val="000000" w:themeColor="text1"/>
          <w:sz w:val="24"/>
        </w:rPr>
        <w:t>2017</w:t>
      </w:r>
      <w:r w:rsidRPr="00FC0759">
        <w:rPr>
          <w:rFonts w:eastAsiaTheme="minorEastAsia"/>
          <w:color w:val="000000" w:themeColor="text1"/>
          <w:sz w:val="24"/>
        </w:rPr>
        <w:t>年</w:t>
      </w:r>
      <w:r w:rsidRPr="00FC0759">
        <w:rPr>
          <w:rFonts w:eastAsiaTheme="minorEastAsia"/>
          <w:color w:val="000000" w:themeColor="text1"/>
          <w:sz w:val="24"/>
        </w:rPr>
        <w:t>8</w:t>
      </w:r>
      <w:r w:rsidRPr="00FC0759">
        <w:rPr>
          <w:rFonts w:eastAsiaTheme="minorEastAsia"/>
          <w:color w:val="000000" w:themeColor="text1"/>
          <w:sz w:val="24"/>
        </w:rPr>
        <w:t>月</w:t>
      </w:r>
      <w:r w:rsidRPr="00FC0759">
        <w:rPr>
          <w:rFonts w:eastAsiaTheme="minorEastAsia"/>
          <w:color w:val="000000" w:themeColor="text1"/>
          <w:sz w:val="24"/>
        </w:rPr>
        <w:t>31</w:t>
      </w:r>
      <w:r w:rsidRPr="00FC0759">
        <w:rPr>
          <w:rFonts w:eastAsiaTheme="minorEastAsia"/>
          <w:color w:val="000000" w:themeColor="text1"/>
          <w:sz w:val="24"/>
        </w:rPr>
        <w:t>日发布的《公开募集开放式证券投资基金流动性风险管理规定》（以下简称</w:t>
      </w:r>
      <w:r w:rsidRPr="00FC0759">
        <w:rPr>
          <w:rFonts w:eastAsiaTheme="minorEastAsia"/>
          <w:color w:val="000000" w:themeColor="text1"/>
          <w:sz w:val="24"/>
        </w:rPr>
        <w:t>“</w:t>
      </w:r>
      <w:r w:rsidRPr="00FC0759">
        <w:rPr>
          <w:rFonts w:eastAsiaTheme="minorEastAsia"/>
          <w:color w:val="000000" w:themeColor="text1"/>
          <w:sz w:val="24"/>
        </w:rPr>
        <w:t>《流动性风险规定》</w:t>
      </w:r>
      <w:r w:rsidRPr="00FC0759">
        <w:rPr>
          <w:rFonts w:eastAsiaTheme="minorEastAsia"/>
          <w:color w:val="000000" w:themeColor="text1"/>
          <w:sz w:val="24"/>
        </w:rPr>
        <w:t>”</w:t>
      </w:r>
      <w:r w:rsidRPr="00FC0759">
        <w:rPr>
          <w:rFonts w:eastAsiaTheme="minorEastAsia"/>
          <w:color w:val="000000" w:themeColor="text1"/>
          <w:sz w:val="24"/>
        </w:rPr>
        <w:t>），经与基金托管人协商一致，基金管理人对本基金的基金合同有关条款进行修订。本次基金合同的修订内容包括前言、释义、基金份额的申购与赎回、基金的投资、基金的暂停估值和信息披露等条款，具体修订内容详见本基金于</w:t>
      </w:r>
      <w:r w:rsidRPr="00FC0759">
        <w:rPr>
          <w:rFonts w:eastAsiaTheme="minorEastAsia"/>
          <w:color w:val="000000" w:themeColor="text1"/>
          <w:sz w:val="24"/>
        </w:rPr>
        <w:t>2018</w:t>
      </w:r>
      <w:r w:rsidRPr="00FC0759">
        <w:rPr>
          <w:rFonts w:eastAsiaTheme="minorEastAsia"/>
          <w:color w:val="000000" w:themeColor="text1"/>
          <w:sz w:val="24"/>
        </w:rPr>
        <w:t>年</w:t>
      </w:r>
      <w:r w:rsidRPr="00FC0759">
        <w:rPr>
          <w:rFonts w:eastAsiaTheme="minorEastAsia"/>
          <w:color w:val="000000" w:themeColor="text1"/>
          <w:sz w:val="24"/>
        </w:rPr>
        <w:t>3</w:t>
      </w:r>
      <w:r w:rsidRPr="00FC0759">
        <w:rPr>
          <w:rFonts w:eastAsiaTheme="minorEastAsia"/>
          <w:color w:val="000000" w:themeColor="text1"/>
          <w:sz w:val="24"/>
        </w:rPr>
        <w:t>月</w:t>
      </w:r>
      <w:r w:rsidRPr="00FC0759">
        <w:rPr>
          <w:rFonts w:eastAsiaTheme="minorEastAsia"/>
          <w:color w:val="000000" w:themeColor="text1"/>
          <w:sz w:val="24"/>
        </w:rPr>
        <w:t>23</w:t>
      </w:r>
      <w:r w:rsidRPr="00FC0759">
        <w:rPr>
          <w:rFonts w:eastAsiaTheme="minorEastAsia"/>
          <w:color w:val="000000" w:themeColor="text1"/>
          <w:sz w:val="24"/>
        </w:rPr>
        <w:t>日发布的有关公告。</w:t>
      </w:r>
    </w:p>
    <w:p w:rsidR="006D141C" w:rsidRPr="009A7486" w:rsidRDefault="006D141C" w:rsidP="009A7486">
      <w:pPr>
        <w:spacing w:line="360" w:lineRule="auto"/>
        <w:ind w:firstLineChars="150" w:firstLine="360"/>
        <w:rPr>
          <w:rFonts w:eastAsiaTheme="minorEastAsia"/>
          <w:bCs/>
          <w:color w:val="000000" w:themeColor="text1"/>
          <w:sz w:val="24"/>
        </w:rPr>
      </w:pPr>
    </w:p>
    <w:p w:rsidR="006D141C" w:rsidRPr="009A7486" w:rsidRDefault="006D141C" w:rsidP="005742E4">
      <w:pPr>
        <w:spacing w:line="360" w:lineRule="auto"/>
        <w:rPr>
          <w:rFonts w:eastAsiaTheme="minorEastAsia"/>
          <w:bCs/>
          <w:color w:val="000000" w:themeColor="text1"/>
          <w:sz w:val="24"/>
        </w:rPr>
      </w:pPr>
    </w:p>
    <w:p w:rsidR="006D141C" w:rsidRPr="009A7486" w:rsidRDefault="006D141C" w:rsidP="004B36C2">
      <w:pPr>
        <w:spacing w:line="360" w:lineRule="auto"/>
        <w:ind w:left="840"/>
        <w:jc w:val="right"/>
        <w:rPr>
          <w:rFonts w:eastAsiaTheme="minorEastAsia"/>
          <w:b/>
          <w:bCs/>
          <w:color w:val="000000" w:themeColor="text1"/>
          <w:sz w:val="24"/>
        </w:rPr>
      </w:pPr>
      <w:r w:rsidRPr="009A7486">
        <w:rPr>
          <w:rFonts w:eastAsiaTheme="minorEastAsia"/>
          <w:b/>
          <w:bCs/>
          <w:color w:val="000000" w:themeColor="text1"/>
          <w:sz w:val="24"/>
        </w:rPr>
        <w:t>国投瑞银基金管理有限公司</w:t>
      </w:r>
    </w:p>
    <w:p w:rsidR="004D5214" w:rsidRPr="009A7486" w:rsidRDefault="00A51502" w:rsidP="005742E4">
      <w:pPr>
        <w:spacing w:line="360" w:lineRule="auto"/>
        <w:ind w:left="840"/>
        <w:jc w:val="right"/>
        <w:rPr>
          <w:rFonts w:eastAsiaTheme="minorEastAsia"/>
          <w:b/>
          <w:bCs/>
          <w:color w:val="000000" w:themeColor="text1"/>
          <w:sz w:val="24"/>
        </w:rPr>
      </w:pPr>
      <w:r w:rsidRPr="009A7486">
        <w:rPr>
          <w:rFonts w:eastAsiaTheme="minorEastAsia"/>
          <w:b/>
          <w:bCs/>
          <w:color w:val="000000" w:themeColor="text1"/>
          <w:sz w:val="24"/>
        </w:rPr>
        <w:t>二〇一九年三月三十日</w:t>
      </w:r>
    </w:p>
    <w:sectPr w:rsidR="004D5214" w:rsidRPr="009A7486" w:rsidSect="00937AC9">
      <w:footerReference w:type="even" r:id="rId14"/>
      <w:pgSz w:w="11906" w:h="16838" w:code="9"/>
      <w:pgMar w:top="1418" w:right="1418" w:bottom="851"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53C" w:rsidRDefault="005F653C">
      <w:r>
        <w:separator/>
      </w:r>
    </w:p>
  </w:endnote>
  <w:endnote w:type="continuationSeparator" w:id="1">
    <w:p w:rsidR="005F653C" w:rsidRDefault="005F65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3278" w:rsidRPr="00863278" w:rsidRDefault="00863278" w:rsidP="00863278">
    <w:pPr>
      <w:pStyle w:val="a6"/>
      <w:ind w:right="360"/>
      <w:jc w:val="center"/>
      <w:rPr>
        <w:sz w:val="21"/>
        <w:szCs w:val="21"/>
      </w:rPr>
    </w:pPr>
    <w:r w:rsidRPr="00863278">
      <w:rPr>
        <w:rFonts w:hint="eastAsia"/>
        <w:kern w:val="0"/>
        <w:sz w:val="21"/>
        <w:szCs w:val="21"/>
      </w:rPr>
      <w:t>第</w:t>
    </w:r>
    <w:r w:rsidR="003E1484" w:rsidRPr="00863278">
      <w:rPr>
        <w:kern w:val="0"/>
        <w:sz w:val="21"/>
        <w:szCs w:val="21"/>
      </w:rPr>
      <w:fldChar w:fldCharType="begin"/>
    </w:r>
    <w:r w:rsidRPr="00863278">
      <w:rPr>
        <w:kern w:val="0"/>
        <w:sz w:val="21"/>
        <w:szCs w:val="21"/>
      </w:rPr>
      <w:instrText xml:space="preserve"> PAGE </w:instrText>
    </w:r>
    <w:r w:rsidR="003E1484" w:rsidRPr="00863278">
      <w:rPr>
        <w:kern w:val="0"/>
        <w:sz w:val="21"/>
        <w:szCs w:val="21"/>
      </w:rPr>
      <w:fldChar w:fldCharType="separate"/>
    </w:r>
    <w:r w:rsidR="002855D4">
      <w:rPr>
        <w:noProof/>
        <w:kern w:val="0"/>
        <w:sz w:val="21"/>
        <w:szCs w:val="21"/>
      </w:rPr>
      <w:t>1</w:t>
    </w:r>
    <w:r w:rsidR="003E1484" w:rsidRPr="00863278">
      <w:rPr>
        <w:kern w:val="0"/>
        <w:sz w:val="21"/>
        <w:szCs w:val="21"/>
      </w:rPr>
      <w:fldChar w:fldCharType="end"/>
    </w:r>
    <w:r w:rsidRPr="00863278">
      <w:rPr>
        <w:rFonts w:hint="eastAsia"/>
        <w:kern w:val="0"/>
        <w:sz w:val="21"/>
        <w:szCs w:val="21"/>
      </w:rPr>
      <w:t>页，共</w:t>
    </w:r>
    <w:r w:rsidR="003E1484" w:rsidRPr="00863278">
      <w:rPr>
        <w:kern w:val="0"/>
        <w:sz w:val="21"/>
        <w:szCs w:val="21"/>
      </w:rPr>
      <w:fldChar w:fldCharType="begin"/>
    </w:r>
    <w:r w:rsidRPr="00863278">
      <w:rPr>
        <w:kern w:val="0"/>
        <w:sz w:val="21"/>
        <w:szCs w:val="21"/>
      </w:rPr>
      <w:instrText xml:space="preserve"> NUMPAGES </w:instrText>
    </w:r>
    <w:r w:rsidR="003E1484" w:rsidRPr="00863278">
      <w:rPr>
        <w:kern w:val="0"/>
        <w:sz w:val="21"/>
        <w:szCs w:val="21"/>
      </w:rPr>
      <w:fldChar w:fldCharType="separate"/>
    </w:r>
    <w:r w:rsidR="002855D4">
      <w:rPr>
        <w:noProof/>
        <w:kern w:val="0"/>
        <w:sz w:val="21"/>
        <w:szCs w:val="21"/>
      </w:rPr>
      <w:t>3</w:t>
    </w:r>
    <w:r w:rsidR="003E1484" w:rsidRPr="00863278">
      <w:rPr>
        <w:kern w:val="0"/>
        <w:sz w:val="21"/>
        <w:szCs w:val="21"/>
      </w:rPr>
      <w:fldChar w:fldCharType="end"/>
    </w:r>
    <w:r w:rsidRPr="00863278">
      <w:rPr>
        <w:rFonts w:hint="eastAsia"/>
        <w:kern w:val="0"/>
        <w:sz w:val="21"/>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70" w:rsidRDefault="003E1484" w:rsidP="00C03B3A">
    <w:pPr>
      <w:pStyle w:val="a6"/>
      <w:framePr w:wrap="around" w:vAnchor="text" w:hAnchor="margin" w:xAlign="right" w:y="1"/>
      <w:rPr>
        <w:rStyle w:val="a7"/>
      </w:rPr>
    </w:pPr>
    <w:r>
      <w:rPr>
        <w:rStyle w:val="a7"/>
      </w:rPr>
      <w:fldChar w:fldCharType="begin"/>
    </w:r>
    <w:r w:rsidR="00CB6E70">
      <w:rPr>
        <w:rStyle w:val="a7"/>
      </w:rPr>
      <w:instrText xml:space="preserve">PAGE  </w:instrText>
    </w:r>
    <w:r>
      <w:rPr>
        <w:rStyle w:val="a7"/>
      </w:rPr>
      <w:fldChar w:fldCharType="end"/>
    </w:r>
  </w:p>
  <w:p w:rsidR="00CB6E70" w:rsidRDefault="00CB6E70" w:rsidP="00C03B3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53C" w:rsidRDefault="005F653C">
      <w:r>
        <w:separator/>
      </w:r>
    </w:p>
  </w:footnote>
  <w:footnote w:type="continuationSeparator" w:id="1">
    <w:p w:rsidR="005F653C" w:rsidRDefault="005F65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70" w:rsidRPr="009A7486" w:rsidRDefault="00CB6E70" w:rsidP="00B56BD2">
    <w:pPr>
      <w:pStyle w:val="a9"/>
      <w:pBdr>
        <w:bottom w:val="single" w:sz="6" w:space="0" w:color="auto"/>
      </w:pBdr>
      <w:jc w:val="right"/>
    </w:pPr>
    <w:r w:rsidRPr="009A7486">
      <w:rPr>
        <w:sz w:val="21"/>
        <w:szCs w:val="21"/>
      </w:rPr>
      <w:t>国投瑞银货币市场基金</w:t>
    </w:r>
    <w:r w:rsidRPr="009A7486">
      <w:rPr>
        <w:sz w:val="21"/>
        <w:szCs w:val="21"/>
      </w:rPr>
      <w:t>2018</w:t>
    </w:r>
    <w:r w:rsidRPr="009A7486">
      <w:rPr>
        <w:sz w:val="21"/>
        <w:szCs w:val="21"/>
      </w:rPr>
      <w:t>年年度报告摘要</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nsid w:val="1DF74DBA"/>
    <w:multiLevelType w:val="multilevel"/>
    <w:tmpl w:val="B7D01BBA"/>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211D1A1B"/>
    <w:multiLevelType w:val="multilevel"/>
    <w:tmpl w:val="6E2E530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793D9F"/>
    <w:multiLevelType w:val="multilevel"/>
    <w:tmpl w:val="0409001D"/>
    <w:numStyleLink w:val="3"/>
  </w:abstractNum>
  <w:abstractNum w:abstractNumId="4">
    <w:nsid w:val="42C9614F"/>
    <w:multiLevelType w:val="multilevel"/>
    <w:tmpl w:val="1A94FD26"/>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45342383"/>
    <w:multiLevelType w:val="multilevel"/>
    <w:tmpl w:val="0409001D"/>
    <w:styleLink w:val="5"/>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
    <w:nsid w:val="52D86888"/>
    <w:multiLevelType w:val="multilevel"/>
    <w:tmpl w:val="DD2C7036"/>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57E8240C"/>
    <w:multiLevelType w:val="hybridMultilevel"/>
    <w:tmpl w:val="300A7112"/>
    <w:lvl w:ilvl="0" w:tplc="3782FDB8">
      <w:start w:val="1"/>
      <w:numFmt w:val="decimal"/>
      <w:lvlText w:val="（%1）"/>
      <w:lvlJc w:val="left"/>
      <w:pPr>
        <w:tabs>
          <w:tab w:val="num" w:pos="1200"/>
        </w:tabs>
        <w:ind w:left="1200" w:hanging="720"/>
      </w:pPr>
      <w:rPr>
        <w:rFonts w:hint="eastAsia"/>
        <w:sz w:val="24"/>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8">
    <w:nsid w:val="64C22724"/>
    <w:multiLevelType w:val="multilevel"/>
    <w:tmpl w:val="0409001D"/>
    <w:numStyleLink w:val="5"/>
  </w:abstractNum>
  <w:abstractNum w:abstractNumId="9">
    <w:nsid w:val="651823B1"/>
    <w:multiLevelType w:val="multilevel"/>
    <w:tmpl w:val="0409001D"/>
    <w:styleLink w:val="3"/>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rPr>
        <w:rFonts w:eastAsia="宋体" w:hint="eastAsia"/>
      </w:rPr>
    </w:lvl>
    <w:lvl w:ilvl="3">
      <w:start w:val="1"/>
      <w:numFmt w:val="decimal"/>
      <w:lvlText w:val="%1.%2.%3.%4"/>
      <w:lvlJc w:val="left"/>
      <w:pPr>
        <w:tabs>
          <w:tab w:val="num" w:pos="2356"/>
        </w:tabs>
        <w:ind w:left="1984" w:hanging="708"/>
      </w:pPr>
    </w:lvl>
    <w:lvl w:ilvl="4">
      <w:start w:val="1"/>
      <w:numFmt w:val="decimal"/>
      <w:lvlText w:val="%1.%2.%3.%4.%5"/>
      <w:lvlJc w:val="left"/>
      <w:pPr>
        <w:tabs>
          <w:tab w:val="num" w:pos="278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6E5C03DC"/>
    <w:multiLevelType w:val="multilevel"/>
    <w:tmpl w:val="0409001D"/>
    <w:styleLink w:val="4"/>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nsid w:val="730968E3"/>
    <w:multiLevelType w:val="multilevel"/>
    <w:tmpl w:val="C72EB838"/>
    <w:styleLink w:val="2"/>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rPr>
    </w:lvl>
    <w:lvl w:ilvl="3">
      <w:start w:val="1"/>
      <w:numFmt w:val="decimal"/>
      <w:lvlText w:val="%1.%2.%3.%4"/>
      <w:lvlJc w:val="left"/>
      <w:pPr>
        <w:tabs>
          <w:tab w:val="num" w:pos="2356"/>
        </w:tabs>
        <w:ind w:left="1984" w:hanging="708"/>
      </w:pPr>
      <w:rPr>
        <w:rFonts w:hint="eastAsia"/>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56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562"/>
        </w:tabs>
        <w:ind w:left="5102" w:hanging="1700"/>
      </w:pPr>
      <w:rPr>
        <w:rFonts w:hint="eastAsia"/>
      </w:rPr>
    </w:lvl>
  </w:abstractNum>
  <w:abstractNum w:abstractNumId="12">
    <w:nsid w:val="7C2F7AB8"/>
    <w:multiLevelType w:val="multilevel"/>
    <w:tmpl w:val="7F5C4A20"/>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7EC34207"/>
    <w:multiLevelType w:val="hybridMultilevel"/>
    <w:tmpl w:val="58FC50DE"/>
    <w:lvl w:ilvl="0" w:tplc="788C0680">
      <w:start w:val="1"/>
      <w:numFmt w:val="japaneseCounting"/>
      <w:lvlText w:val="%1、"/>
      <w:lvlJc w:val="left"/>
      <w:pPr>
        <w:tabs>
          <w:tab w:val="num" w:pos="480"/>
        </w:tabs>
        <w:ind w:left="480" w:hanging="480"/>
      </w:pPr>
      <w:rPr>
        <w:rFonts w:eastAsia="宋体" w:hint="eastAsia"/>
        <w:color w:val="auto"/>
      </w:rPr>
    </w:lvl>
    <w:lvl w:ilvl="1" w:tplc="D5ACC954">
      <w:start w:val="1"/>
      <w:numFmt w:val="japaneseCounting"/>
      <w:lvlText w:val="(%2)"/>
      <w:lvlJc w:val="left"/>
      <w:pPr>
        <w:tabs>
          <w:tab w:val="num" w:pos="810"/>
        </w:tabs>
        <w:ind w:left="810" w:hanging="390"/>
      </w:pPr>
      <w:rPr>
        <w:rFonts w:hint="eastAsia"/>
      </w:rPr>
    </w:lvl>
    <w:lvl w:ilvl="2" w:tplc="E2F6B948">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lvl>
    </w:lvlOverride>
    <w:lvlOverride w:ilvl="1">
      <w:lvl w:ilvl="1">
        <w:start w:val="1"/>
        <w:numFmt w:val="decimal"/>
        <w:lvlText w:val="%1.%2"/>
        <w:lvlJc w:val="left"/>
        <w:pPr>
          <w:tabs>
            <w:tab w:val="num" w:pos="1107"/>
          </w:tabs>
          <w:ind w:left="1107" w:hanging="567"/>
        </w:p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lvl>
    </w:lvlOverride>
    <w:lvlOverride w:ilvl="1">
      <w:lvl w:ilvl="1">
        <w:start w:val="1"/>
        <w:numFmt w:val="decimal"/>
        <w:lvlText w:val="%1.%2"/>
        <w:lvlJc w:val="left"/>
        <w:pPr>
          <w:tabs>
            <w:tab w:val="num" w:pos="992"/>
          </w:tabs>
          <w:ind w:left="992" w:hanging="567"/>
        </w:p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hideSpellingErrors/>
  <w:hideGrammaticalErrors/>
  <w:stylePaneFormatFilter w:val="3F01"/>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53929"/>
    <w:rsid w:val="00000EBD"/>
    <w:rsid w:val="000019B6"/>
    <w:rsid w:val="00001B39"/>
    <w:rsid w:val="00001F77"/>
    <w:rsid w:val="00002644"/>
    <w:rsid w:val="00003577"/>
    <w:rsid w:val="00003C43"/>
    <w:rsid w:val="0000403B"/>
    <w:rsid w:val="00004337"/>
    <w:rsid w:val="00005172"/>
    <w:rsid w:val="0000551D"/>
    <w:rsid w:val="000057BC"/>
    <w:rsid w:val="00005911"/>
    <w:rsid w:val="00005BA1"/>
    <w:rsid w:val="000068FA"/>
    <w:rsid w:val="000102A7"/>
    <w:rsid w:val="00010918"/>
    <w:rsid w:val="00010A83"/>
    <w:rsid w:val="00010A8E"/>
    <w:rsid w:val="00010AC3"/>
    <w:rsid w:val="00010C1F"/>
    <w:rsid w:val="00010F11"/>
    <w:rsid w:val="00011081"/>
    <w:rsid w:val="00011EB5"/>
    <w:rsid w:val="0001280C"/>
    <w:rsid w:val="00013CAE"/>
    <w:rsid w:val="00013DC3"/>
    <w:rsid w:val="000162AF"/>
    <w:rsid w:val="00017581"/>
    <w:rsid w:val="0001767C"/>
    <w:rsid w:val="000176E8"/>
    <w:rsid w:val="00020583"/>
    <w:rsid w:val="00021813"/>
    <w:rsid w:val="00021DD4"/>
    <w:rsid w:val="000221FE"/>
    <w:rsid w:val="00023BE7"/>
    <w:rsid w:val="000243EA"/>
    <w:rsid w:val="0002453B"/>
    <w:rsid w:val="00024C15"/>
    <w:rsid w:val="00024C62"/>
    <w:rsid w:val="00024CA0"/>
    <w:rsid w:val="00024D14"/>
    <w:rsid w:val="00024F04"/>
    <w:rsid w:val="00025828"/>
    <w:rsid w:val="000272EE"/>
    <w:rsid w:val="000274FE"/>
    <w:rsid w:val="000276C9"/>
    <w:rsid w:val="00031987"/>
    <w:rsid w:val="0003228A"/>
    <w:rsid w:val="000322D5"/>
    <w:rsid w:val="0003271C"/>
    <w:rsid w:val="000327EB"/>
    <w:rsid w:val="00032853"/>
    <w:rsid w:val="00032ADD"/>
    <w:rsid w:val="00032FE1"/>
    <w:rsid w:val="000331EA"/>
    <w:rsid w:val="00033EC1"/>
    <w:rsid w:val="0003401E"/>
    <w:rsid w:val="00034BA5"/>
    <w:rsid w:val="000358FE"/>
    <w:rsid w:val="00035C12"/>
    <w:rsid w:val="00037267"/>
    <w:rsid w:val="00037741"/>
    <w:rsid w:val="000378BC"/>
    <w:rsid w:val="00037CF2"/>
    <w:rsid w:val="00037FCF"/>
    <w:rsid w:val="000415E6"/>
    <w:rsid w:val="00041BC8"/>
    <w:rsid w:val="00041CE7"/>
    <w:rsid w:val="000421B8"/>
    <w:rsid w:val="000429DF"/>
    <w:rsid w:val="00042AAD"/>
    <w:rsid w:val="000430CA"/>
    <w:rsid w:val="0004381B"/>
    <w:rsid w:val="000438D8"/>
    <w:rsid w:val="00043ABF"/>
    <w:rsid w:val="00044158"/>
    <w:rsid w:val="000445E4"/>
    <w:rsid w:val="000471B4"/>
    <w:rsid w:val="0004789C"/>
    <w:rsid w:val="00050260"/>
    <w:rsid w:val="000510AB"/>
    <w:rsid w:val="000514E0"/>
    <w:rsid w:val="0005168D"/>
    <w:rsid w:val="00052395"/>
    <w:rsid w:val="00053164"/>
    <w:rsid w:val="0005346A"/>
    <w:rsid w:val="000534CD"/>
    <w:rsid w:val="00053EED"/>
    <w:rsid w:val="00054067"/>
    <w:rsid w:val="0005448A"/>
    <w:rsid w:val="00055AF1"/>
    <w:rsid w:val="000573B5"/>
    <w:rsid w:val="00057EB5"/>
    <w:rsid w:val="00060597"/>
    <w:rsid w:val="00060A2C"/>
    <w:rsid w:val="00060CB4"/>
    <w:rsid w:val="00061167"/>
    <w:rsid w:val="00061CA4"/>
    <w:rsid w:val="00062997"/>
    <w:rsid w:val="00062BDA"/>
    <w:rsid w:val="00063497"/>
    <w:rsid w:val="00063D34"/>
    <w:rsid w:val="00063FAB"/>
    <w:rsid w:val="0006475F"/>
    <w:rsid w:val="00064AE3"/>
    <w:rsid w:val="00064F4B"/>
    <w:rsid w:val="00064FC8"/>
    <w:rsid w:val="000653CB"/>
    <w:rsid w:val="00066524"/>
    <w:rsid w:val="000671A3"/>
    <w:rsid w:val="00070CD1"/>
    <w:rsid w:val="00071022"/>
    <w:rsid w:val="000716BB"/>
    <w:rsid w:val="0007171B"/>
    <w:rsid w:val="000717A1"/>
    <w:rsid w:val="000718C5"/>
    <w:rsid w:val="000725AB"/>
    <w:rsid w:val="00072DE0"/>
    <w:rsid w:val="00073DB1"/>
    <w:rsid w:val="00073F87"/>
    <w:rsid w:val="00076397"/>
    <w:rsid w:val="000764CB"/>
    <w:rsid w:val="00076CC5"/>
    <w:rsid w:val="000801F4"/>
    <w:rsid w:val="00080423"/>
    <w:rsid w:val="0008141B"/>
    <w:rsid w:val="00081A3D"/>
    <w:rsid w:val="00081D05"/>
    <w:rsid w:val="00081F3F"/>
    <w:rsid w:val="0008226A"/>
    <w:rsid w:val="00083BAF"/>
    <w:rsid w:val="00084ADE"/>
    <w:rsid w:val="0008506D"/>
    <w:rsid w:val="00085F3E"/>
    <w:rsid w:val="000861D6"/>
    <w:rsid w:val="0008624A"/>
    <w:rsid w:val="000863CA"/>
    <w:rsid w:val="00086622"/>
    <w:rsid w:val="000866EC"/>
    <w:rsid w:val="00087011"/>
    <w:rsid w:val="000874BC"/>
    <w:rsid w:val="00087CF7"/>
    <w:rsid w:val="00087D8D"/>
    <w:rsid w:val="0009000C"/>
    <w:rsid w:val="000908ED"/>
    <w:rsid w:val="0009091B"/>
    <w:rsid w:val="0009142E"/>
    <w:rsid w:val="000917D5"/>
    <w:rsid w:val="000919B7"/>
    <w:rsid w:val="00094876"/>
    <w:rsid w:val="000951F7"/>
    <w:rsid w:val="00095912"/>
    <w:rsid w:val="00095CE0"/>
    <w:rsid w:val="00095F8F"/>
    <w:rsid w:val="00096933"/>
    <w:rsid w:val="00096995"/>
    <w:rsid w:val="00096B18"/>
    <w:rsid w:val="00097230"/>
    <w:rsid w:val="000A1448"/>
    <w:rsid w:val="000A1B30"/>
    <w:rsid w:val="000A1BD6"/>
    <w:rsid w:val="000A1BFB"/>
    <w:rsid w:val="000A3022"/>
    <w:rsid w:val="000A31FC"/>
    <w:rsid w:val="000A38DE"/>
    <w:rsid w:val="000A457E"/>
    <w:rsid w:val="000A4672"/>
    <w:rsid w:val="000A4F15"/>
    <w:rsid w:val="000A4FEF"/>
    <w:rsid w:val="000A53FD"/>
    <w:rsid w:val="000A549A"/>
    <w:rsid w:val="000A578A"/>
    <w:rsid w:val="000A7226"/>
    <w:rsid w:val="000A72F2"/>
    <w:rsid w:val="000B0C56"/>
    <w:rsid w:val="000B27A8"/>
    <w:rsid w:val="000B2B57"/>
    <w:rsid w:val="000B2C8D"/>
    <w:rsid w:val="000B36CC"/>
    <w:rsid w:val="000B37B4"/>
    <w:rsid w:val="000B3E43"/>
    <w:rsid w:val="000B3F61"/>
    <w:rsid w:val="000B417C"/>
    <w:rsid w:val="000B4365"/>
    <w:rsid w:val="000B54FD"/>
    <w:rsid w:val="000B5CC0"/>
    <w:rsid w:val="000C01F9"/>
    <w:rsid w:val="000C0871"/>
    <w:rsid w:val="000C0CA5"/>
    <w:rsid w:val="000C0F55"/>
    <w:rsid w:val="000C127D"/>
    <w:rsid w:val="000C15BE"/>
    <w:rsid w:val="000C1723"/>
    <w:rsid w:val="000C1B20"/>
    <w:rsid w:val="000C224F"/>
    <w:rsid w:val="000C2333"/>
    <w:rsid w:val="000C3FD9"/>
    <w:rsid w:val="000C4107"/>
    <w:rsid w:val="000C45E7"/>
    <w:rsid w:val="000C45F5"/>
    <w:rsid w:val="000C5E98"/>
    <w:rsid w:val="000C698D"/>
    <w:rsid w:val="000C705C"/>
    <w:rsid w:val="000C7AE4"/>
    <w:rsid w:val="000D01F4"/>
    <w:rsid w:val="000D0B89"/>
    <w:rsid w:val="000D1519"/>
    <w:rsid w:val="000D187F"/>
    <w:rsid w:val="000D2491"/>
    <w:rsid w:val="000D3145"/>
    <w:rsid w:val="000D36D1"/>
    <w:rsid w:val="000D4AAD"/>
    <w:rsid w:val="000D509C"/>
    <w:rsid w:val="000D52DC"/>
    <w:rsid w:val="000D5971"/>
    <w:rsid w:val="000D6054"/>
    <w:rsid w:val="000D619B"/>
    <w:rsid w:val="000D788B"/>
    <w:rsid w:val="000E34ED"/>
    <w:rsid w:val="000E4456"/>
    <w:rsid w:val="000E6184"/>
    <w:rsid w:val="000E67FE"/>
    <w:rsid w:val="000F0927"/>
    <w:rsid w:val="000F0C0A"/>
    <w:rsid w:val="000F14E1"/>
    <w:rsid w:val="000F175F"/>
    <w:rsid w:val="000F17D1"/>
    <w:rsid w:val="000F27B9"/>
    <w:rsid w:val="000F2C75"/>
    <w:rsid w:val="000F3506"/>
    <w:rsid w:val="000F440F"/>
    <w:rsid w:val="000F593E"/>
    <w:rsid w:val="000F60F3"/>
    <w:rsid w:val="000F60FF"/>
    <w:rsid w:val="000F635F"/>
    <w:rsid w:val="000F6C61"/>
    <w:rsid w:val="00100A59"/>
    <w:rsid w:val="00100C12"/>
    <w:rsid w:val="001013A8"/>
    <w:rsid w:val="00102CC8"/>
    <w:rsid w:val="001030B5"/>
    <w:rsid w:val="0010352B"/>
    <w:rsid w:val="001049B6"/>
    <w:rsid w:val="00104DE3"/>
    <w:rsid w:val="001051C6"/>
    <w:rsid w:val="0010577B"/>
    <w:rsid w:val="00105C9C"/>
    <w:rsid w:val="001069ED"/>
    <w:rsid w:val="00106C1F"/>
    <w:rsid w:val="00107CA8"/>
    <w:rsid w:val="001116BA"/>
    <w:rsid w:val="0011177A"/>
    <w:rsid w:val="0011179E"/>
    <w:rsid w:val="00111C71"/>
    <w:rsid w:val="00112BB2"/>
    <w:rsid w:val="001141C0"/>
    <w:rsid w:val="00114CF6"/>
    <w:rsid w:val="00114E25"/>
    <w:rsid w:val="00115520"/>
    <w:rsid w:val="001169C1"/>
    <w:rsid w:val="00116E31"/>
    <w:rsid w:val="00120825"/>
    <w:rsid w:val="0012088C"/>
    <w:rsid w:val="00120993"/>
    <w:rsid w:val="00120E14"/>
    <w:rsid w:val="00120EED"/>
    <w:rsid w:val="00120F47"/>
    <w:rsid w:val="0012104D"/>
    <w:rsid w:val="001212B4"/>
    <w:rsid w:val="0012304E"/>
    <w:rsid w:val="001239C8"/>
    <w:rsid w:val="00123A56"/>
    <w:rsid w:val="00124420"/>
    <w:rsid w:val="001248EF"/>
    <w:rsid w:val="001257C7"/>
    <w:rsid w:val="00126502"/>
    <w:rsid w:val="00126AF2"/>
    <w:rsid w:val="00126DDF"/>
    <w:rsid w:val="001270BF"/>
    <w:rsid w:val="00127BAC"/>
    <w:rsid w:val="00127FF5"/>
    <w:rsid w:val="00131D38"/>
    <w:rsid w:val="00131EC2"/>
    <w:rsid w:val="00132E82"/>
    <w:rsid w:val="0013374F"/>
    <w:rsid w:val="00135467"/>
    <w:rsid w:val="0013548F"/>
    <w:rsid w:val="001364D3"/>
    <w:rsid w:val="001366C4"/>
    <w:rsid w:val="0013686A"/>
    <w:rsid w:val="0013718B"/>
    <w:rsid w:val="00137703"/>
    <w:rsid w:val="00137BB5"/>
    <w:rsid w:val="00137BB9"/>
    <w:rsid w:val="00137D50"/>
    <w:rsid w:val="00140036"/>
    <w:rsid w:val="00140038"/>
    <w:rsid w:val="00140517"/>
    <w:rsid w:val="00142280"/>
    <w:rsid w:val="0014241E"/>
    <w:rsid w:val="001424C6"/>
    <w:rsid w:val="00142A56"/>
    <w:rsid w:val="001432A7"/>
    <w:rsid w:val="00143BE5"/>
    <w:rsid w:val="00143C1C"/>
    <w:rsid w:val="00144AAD"/>
    <w:rsid w:val="00144DF5"/>
    <w:rsid w:val="001455C7"/>
    <w:rsid w:val="00145A97"/>
    <w:rsid w:val="00146485"/>
    <w:rsid w:val="00146A28"/>
    <w:rsid w:val="00146CD7"/>
    <w:rsid w:val="00147492"/>
    <w:rsid w:val="00147D41"/>
    <w:rsid w:val="0015080E"/>
    <w:rsid w:val="00150AD6"/>
    <w:rsid w:val="0015173F"/>
    <w:rsid w:val="00151B23"/>
    <w:rsid w:val="00152B88"/>
    <w:rsid w:val="001535AE"/>
    <w:rsid w:val="00153B40"/>
    <w:rsid w:val="00153BCF"/>
    <w:rsid w:val="00154ADA"/>
    <w:rsid w:val="00154B08"/>
    <w:rsid w:val="0015531A"/>
    <w:rsid w:val="00156170"/>
    <w:rsid w:val="00157418"/>
    <w:rsid w:val="00157B5A"/>
    <w:rsid w:val="0016050B"/>
    <w:rsid w:val="001618D4"/>
    <w:rsid w:val="00161E5F"/>
    <w:rsid w:val="0016380C"/>
    <w:rsid w:val="00163816"/>
    <w:rsid w:val="00163B27"/>
    <w:rsid w:val="00163C3F"/>
    <w:rsid w:val="0016425E"/>
    <w:rsid w:val="00164BF7"/>
    <w:rsid w:val="00165317"/>
    <w:rsid w:val="001657AB"/>
    <w:rsid w:val="0016754F"/>
    <w:rsid w:val="00167D35"/>
    <w:rsid w:val="00167DE3"/>
    <w:rsid w:val="0017073D"/>
    <w:rsid w:val="00170D38"/>
    <w:rsid w:val="00171484"/>
    <w:rsid w:val="00171BAD"/>
    <w:rsid w:val="00171F2C"/>
    <w:rsid w:val="00173151"/>
    <w:rsid w:val="00173AF1"/>
    <w:rsid w:val="001744B4"/>
    <w:rsid w:val="001751EF"/>
    <w:rsid w:val="001756A1"/>
    <w:rsid w:val="00175D56"/>
    <w:rsid w:val="001761EE"/>
    <w:rsid w:val="00176EAA"/>
    <w:rsid w:val="00177030"/>
    <w:rsid w:val="0017725A"/>
    <w:rsid w:val="00177C4B"/>
    <w:rsid w:val="00177CD0"/>
    <w:rsid w:val="00177F6A"/>
    <w:rsid w:val="00182A38"/>
    <w:rsid w:val="001831DB"/>
    <w:rsid w:val="0018325A"/>
    <w:rsid w:val="00183D7A"/>
    <w:rsid w:val="00184CAE"/>
    <w:rsid w:val="00186199"/>
    <w:rsid w:val="00186F7A"/>
    <w:rsid w:val="00190AE2"/>
    <w:rsid w:val="00190E27"/>
    <w:rsid w:val="0019215E"/>
    <w:rsid w:val="0019272B"/>
    <w:rsid w:val="001928E4"/>
    <w:rsid w:val="001928F7"/>
    <w:rsid w:val="00193182"/>
    <w:rsid w:val="00193575"/>
    <w:rsid w:val="0019389D"/>
    <w:rsid w:val="001939E6"/>
    <w:rsid w:val="00193B62"/>
    <w:rsid w:val="00194537"/>
    <w:rsid w:val="0019563C"/>
    <w:rsid w:val="001956CA"/>
    <w:rsid w:val="00195B79"/>
    <w:rsid w:val="00196D7B"/>
    <w:rsid w:val="001A088E"/>
    <w:rsid w:val="001A0F4A"/>
    <w:rsid w:val="001A1B13"/>
    <w:rsid w:val="001A1D38"/>
    <w:rsid w:val="001A21A9"/>
    <w:rsid w:val="001A2A97"/>
    <w:rsid w:val="001A364F"/>
    <w:rsid w:val="001A375E"/>
    <w:rsid w:val="001A39B7"/>
    <w:rsid w:val="001A414F"/>
    <w:rsid w:val="001A42FA"/>
    <w:rsid w:val="001A4AEC"/>
    <w:rsid w:val="001A59D8"/>
    <w:rsid w:val="001A5FA6"/>
    <w:rsid w:val="001A668F"/>
    <w:rsid w:val="001A71CC"/>
    <w:rsid w:val="001A78F3"/>
    <w:rsid w:val="001A7F30"/>
    <w:rsid w:val="001B0432"/>
    <w:rsid w:val="001B2BF6"/>
    <w:rsid w:val="001B2F0C"/>
    <w:rsid w:val="001B30CA"/>
    <w:rsid w:val="001B3513"/>
    <w:rsid w:val="001B353A"/>
    <w:rsid w:val="001B3D3E"/>
    <w:rsid w:val="001B3EFA"/>
    <w:rsid w:val="001B416D"/>
    <w:rsid w:val="001B4EF2"/>
    <w:rsid w:val="001B50CD"/>
    <w:rsid w:val="001B52FE"/>
    <w:rsid w:val="001B7890"/>
    <w:rsid w:val="001C005A"/>
    <w:rsid w:val="001C00CF"/>
    <w:rsid w:val="001C0806"/>
    <w:rsid w:val="001C0D44"/>
    <w:rsid w:val="001C2813"/>
    <w:rsid w:val="001C2F9C"/>
    <w:rsid w:val="001C3399"/>
    <w:rsid w:val="001C37F6"/>
    <w:rsid w:val="001C45FF"/>
    <w:rsid w:val="001C4D9F"/>
    <w:rsid w:val="001C5289"/>
    <w:rsid w:val="001C6288"/>
    <w:rsid w:val="001C62CE"/>
    <w:rsid w:val="001C67A1"/>
    <w:rsid w:val="001C7C6D"/>
    <w:rsid w:val="001D0538"/>
    <w:rsid w:val="001D0634"/>
    <w:rsid w:val="001D0BD2"/>
    <w:rsid w:val="001D0F6A"/>
    <w:rsid w:val="001D21BC"/>
    <w:rsid w:val="001D24AB"/>
    <w:rsid w:val="001D2E47"/>
    <w:rsid w:val="001D2FA5"/>
    <w:rsid w:val="001D35E0"/>
    <w:rsid w:val="001D4934"/>
    <w:rsid w:val="001D5045"/>
    <w:rsid w:val="001D529C"/>
    <w:rsid w:val="001D5494"/>
    <w:rsid w:val="001D5A44"/>
    <w:rsid w:val="001D6213"/>
    <w:rsid w:val="001D724B"/>
    <w:rsid w:val="001E0159"/>
    <w:rsid w:val="001E0231"/>
    <w:rsid w:val="001E03BE"/>
    <w:rsid w:val="001E0AAA"/>
    <w:rsid w:val="001E0F28"/>
    <w:rsid w:val="001E11D3"/>
    <w:rsid w:val="001E15F1"/>
    <w:rsid w:val="001E1C4F"/>
    <w:rsid w:val="001E287E"/>
    <w:rsid w:val="001E2A6A"/>
    <w:rsid w:val="001E3DC2"/>
    <w:rsid w:val="001E418A"/>
    <w:rsid w:val="001E56FF"/>
    <w:rsid w:val="001E59B6"/>
    <w:rsid w:val="001E5C6B"/>
    <w:rsid w:val="001E6EBF"/>
    <w:rsid w:val="001E7988"/>
    <w:rsid w:val="001F0307"/>
    <w:rsid w:val="001F03E1"/>
    <w:rsid w:val="001F221F"/>
    <w:rsid w:val="001F2270"/>
    <w:rsid w:val="001F2EBE"/>
    <w:rsid w:val="001F3CC6"/>
    <w:rsid w:val="001F3F50"/>
    <w:rsid w:val="001F41C2"/>
    <w:rsid w:val="001F4530"/>
    <w:rsid w:val="001F5CE2"/>
    <w:rsid w:val="001F5DBA"/>
    <w:rsid w:val="001F5DE3"/>
    <w:rsid w:val="001F5F74"/>
    <w:rsid w:val="001F70EF"/>
    <w:rsid w:val="002009B6"/>
    <w:rsid w:val="002010DE"/>
    <w:rsid w:val="00201962"/>
    <w:rsid w:val="00201AB9"/>
    <w:rsid w:val="00201B58"/>
    <w:rsid w:val="00201F80"/>
    <w:rsid w:val="00202968"/>
    <w:rsid w:val="00202C32"/>
    <w:rsid w:val="00203973"/>
    <w:rsid w:val="00203AEF"/>
    <w:rsid w:val="00203E53"/>
    <w:rsid w:val="00206699"/>
    <w:rsid w:val="00206F2D"/>
    <w:rsid w:val="00211A26"/>
    <w:rsid w:val="00212249"/>
    <w:rsid w:val="002125F7"/>
    <w:rsid w:val="00212DEF"/>
    <w:rsid w:val="0021397C"/>
    <w:rsid w:val="00214463"/>
    <w:rsid w:val="00214756"/>
    <w:rsid w:val="002149C3"/>
    <w:rsid w:val="00215CF2"/>
    <w:rsid w:val="00215D9F"/>
    <w:rsid w:val="00216310"/>
    <w:rsid w:val="00216842"/>
    <w:rsid w:val="00216BCE"/>
    <w:rsid w:val="002176BB"/>
    <w:rsid w:val="00217867"/>
    <w:rsid w:val="002178A3"/>
    <w:rsid w:val="00220542"/>
    <w:rsid w:val="00220D7F"/>
    <w:rsid w:val="002210EB"/>
    <w:rsid w:val="00221174"/>
    <w:rsid w:val="00222DE3"/>
    <w:rsid w:val="0022330F"/>
    <w:rsid w:val="002233F0"/>
    <w:rsid w:val="00223541"/>
    <w:rsid w:val="00223DFB"/>
    <w:rsid w:val="0022498A"/>
    <w:rsid w:val="00224D34"/>
    <w:rsid w:val="0022512A"/>
    <w:rsid w:val="00225756"/>
    <w:rsid w:val="002257AE"/>
    <w:rsid w:val="00225ADC"/>
    <w:rsid w:val="00225CEB"/>
    <w:rsid w:val="00226774"/>
    <w:rsid w:val="0022692D"/>
    <w:rsid w:val="00226A6C"/>
    <w:rsid w:val="00227FC4"/>
    <w:rsid w:val="002313DE"/>
    <w:rsid w:val="002318F3"/>
    <w:rsid w:val="0023323F"/>
    <w:rsid w:val="00234202"/>
    <w:rsid w:val="00234675"/>
    <w:rsid w:val="002359EB"/>
    <w:rsid w:val="00235A62"/>
    <w:rsid w:val="002363AB"/>
    <w:rsid w:val="00236933"/>
    <w:rsid w:val="0023727B"/>
    <w:rsid w:val="00237579"/>
    <w:rsid w:val="00237675"/>
    <w:rsid w:val="00237C6D"/>
    <w:rsid w:val="0024096B"/>
    <w:rsid w:val="002413FC"/>
    <w:rsid w:val="00241582"/>
    <w:rsid w:val="00241B45"/>
    <w:rsid w:val="00241DD9"/>
    <w:rsid w:val="002424D7"/>
    <w:rsid w:val="0024260D"/>
    <w:rsid w:val="00242657"/>
    <w:rsid w:val="002428F6"/>
    <w:rsid w:val="00242FA2"/>
    <w:rsid w:val="00245012"/>
    <w:rsid w:val="0024504E"/>
    <w:rsid w:val="00245252"/>
    <w:rsid w:val="00245761"/>
    <w:rsid w:val="00245DD8"/>
    <w:rsid w:val="0024651F"/>
    <w:rsid w:val="00247729"/>
    <w:rsid w:val="00250A79"/>
    <w:rsid w:val="0025158D"/>
    <w:rsid w:val="00251C7E"/>
    <w:rsid w:val="00252697"/>
    <w:rsid w:val="00252778"/>
    <w:rsid w:val="0025281A"/>
    <w:rsid w:val="002530A0"/>
    <w:rsid w:val="00253D3C"/>
    <w:rsid w:val="002544D7"/>
    <w:rsid w:val="002548EC"/>
    <w:rsid w:val="00254DA8"/>
    <w:rsid w:val="00255292"/>
    <w:rsid w:val="00257578"/>
    <w:rsid w:val="00260200"/>
    <w:rsid w:val="00260867"/>
    <w:rsid w:val="00260B06"/>
    <w:rsid w:val="0026106D"/>
    <w:rsid w:val="00261B3A"/>
    <w:rsid w:val="00261D93"/>
    <w:rsid w:val="00262029"/>
    <w:rsid w:val="002628CE"/>
    <w:rsid w:val="00262D4E"/>
    <w:rsid w:val="00263BBD"/>
    <w:rsid w:val="002648D8"/>
    <w:rsid w:val="00265AFB"/>
    <w:rsid w:val="00267EE3"/>
    <w:rsid w:val="00267F59"/>
    <w:rsid w:val="002700E9"/>
    <w:rsid w:val="00270CE9"/>
    <w:rsid w:val="00271A5F"/>
    <w:rsid w:val="0027235A"/>
    <w:rsid w:val="00273F86"/>
    <w:rsid w:val="002741BE"/>
    <w:rsid w:val="00274E00"/>
    <w:rsid w:val="002752EA"/>
    <w:rsid w:val="00275EAD"/>
    <w:rsid w:val="0027607F"/>
    <w:rsid w:val="00276B03"/>
    <w:rsid w:val="002773FB"/>
    <w:rsid w:val="002774F0"/>
    <w:rsid w:val="00277722"/>
    <w:rsid w:val="002813C5"/>
    <w:rsid w:val="00282C23"/>
    <w:rsid w:val="0028315D"/>
    <w:rsid w:val="00283885"/>
    <w:rsid w:val="002839A4"/>
    <w:rsid w:val="00284139"/>
    <w:rsid w:val="0028459B"/>
    <w:rsid w:val="00284C5F"/>
    <w:rsid w:val="0028507E"/>
    <w:rsid w:val="00285242"/>
    <w:rsid w:val="002855D4"/>
    <w:rsid w:val="00285B34"/>
    <w:rsid w:val="00286183"/>
    <w:rsid w:val="002873F0"/>
    <w:rsid w:val="00287762"/>
    <w:rsid w:val="00290793"/>
    <w:rsid w:val="002916E3"/>
    <w:rsid w:val="00291A70"/>
    <w:rsid w:val="00291E25"/>
    <w:rsid w:val="00291F6F"/>
    <w:rsid w:val="0029379A"/>
    <w:rsid w:val="00293C97"/>
    <w:rsid w:val="002942CB"/>
    <w:rsid w:val="0029430E"/>
    <w:rsid w:val="00294CFA"/>
    <w:rsid w:val="00294D8F"/>
    <w:rsid w:val="00295D5A"/>
    <w:rsid w:val="00295E0F"/>
    <w:rsid w:val="002962F1"/>
    <w:rsid w:val="002964F9"/>
    <w:rsid w:val="0029690F"/>
    <w:rsid w:val="002969CC"/>
    <w:rsid w:val="00297572"/>
    <w:rsid w:val="00297BC2"/>
    <w:rsid w:val="00297D85"/>
    <w:rsid w:val="002A07F4"/>
    <w:rsid w:val="002A090A"/>
    <w:rsid w:val="002A094C"/>
    <w:rsid w:val="002A0B47"/>
    <w:rsid w:val="002A1381"/>
    <w:rsid w:val="002A1F14"/>
    <w:rsid w:val="002A23E8"/>
    <w:rsid w:val="002A2678"/>
    <w:rsid w:val="002A2E01"/>
    <w:rsid w:val="002A32E5"/>
    <w:rsid w:val="002A398F"/>
    <w:rsid w:val="002A3DFD"/>
    <w:rsid w:val="002A46A7"/>
    <w:rsid w:val="002A5C42"/>
    <w:rsid w:val="002A5C6B"/>
    <w:rsid w:val="002A5D31"/>
    <w:rsid w:val="002A714F"/>
    <w:rsid w:val="002A75D7"/>
    <w:rsid w:val="002B09C0"/>
    <w:rsid w:val="002B1329"/>
    <w:rsid w:val="002B1851"/>
    <w:rsid w:val="002B27FF"/>
    <w:rsid w:val="002B2F4E"/>
    <w:rsid w:val="002B4982"/>
    <w:rsid w:val="002B5C8E"/>
    <w:rsid w:val="002B6793"/>
    <w:rsid w:val="002B780B"/>
    <w:rsid w:val="002B7DC8"/>
    <w:rsid w:val="002C1260"/>
    <w:rsid w:val="002C1726"/>
    <w:rsid w:val="002C21A6"/>
    <w:rsid w:val="002C233F"/>
    <w:rsid w:val="002C26D5"/>
    <w:rsid w:val="002C375A"/>
    <w:rsid w:val="002C4E82"/>
    <w:rsid w:val="002C5777"/>
    <w:rsid w:val="002C5889"/>
    <w:rsid w:val="002C65FA"/>
    <w:rsid w:val="002C661D"/>
    <w:rsid w:val="002C7254"/>
    <w:rsid w:val="002C7C89"/>
    <w:rsid w:val="002D0054"/>
    <w:rsid w:val="002D1A0F"/>
    <w:rsid w:val="002D22BF"/>
    <w:rsid w:val="002D237C"/>
    <w:rsid w:val="002D32E3"/>
    <w:rsid w:val="002D33F1"/>
    <w:rsid w:val="002D353D"/>
    <w:rsid w:val="002D3BA0"/>
    <w:rsid w:val="002D52AD"/>
    <w:rsid w:val="002D58D8"/>
    <w:rsid w:val="002D5EB1"/>
    <w:rsid w:val="002D758D"/>
    <w:rsid w:val="002D7CE0"/>
    <w:rsid w:val="002E0394"/>
    <w:rsid w:val="002E0644"/>
    <w:rsid w:val="002E0FEB"/>
    <w:rsid w:val="002E171B"/>
    <w:rsid w:val="002E17D8"/>
    <w:rsid w:val="002E2E3E"/>
    <w:rsid w:val="002E319D"/>
    <w:rsid w:val="002E4AD5"/>
    <w:rsid w:val="002E4C2D"/>
    <w:rsid w:val="002F0F79"/>
    <w:rsid w:val="002F1C9E"/>
    <w:rsid w:val="002F1EB2"/>
    <w:rsid w:val="002F25C3"/>
    <w:rsid w:val="002F280E"/>
    <w:rsid w:val="002F2CBB"/>
    <w:rsid w:val="002F3470"/>
    <w:rsid w:val="002F3709"/>
    <w:rsid w:val="002F3A6C"/>
    <w:rsid w:val="002F4296"/>
    <w:rsid w:val="002F5777"/>
    <w:rsid w:val="002F60EA"/>
    <w:rsid w:val="002F680E"/>
    <w:rsid w:val="002F72F2"/>
    <w:rsid w:val="00300951"/>
    <w:rsid w:val="00300E8A"/>
    <w:rsid w:val="003023C9"/>
    <w:rsid w:val="00302CA8"/>
    <w:rsid w:val="00302DE9"/>
    <w:rsid w:val="00304860"/>
    <w:rsid w:val="00304E23"/>
    <w:rsid w:val="00305084"/>
    <w:rsid w:val="00306408"/>
    <w:rsid w:val="00306FD3"/>
    <w:rsid w:val="00307249"/>
    <w:rsid w:val="0030741A"/>
    <w:rsid w:val="003111B6"/>
    <w:rsid w:val="00312C47"/>
    <w:rsid w:val="00312DAE"/>
    <w:rsid w:val="003132DB"/>
    <w:rsid w:val="00313336"/>
    <w:rsid w:val="003137CA"/>
    <w:rsid w:val="00313918"/>
    <w:rsid w:val="00314D1A"/>
    <w:rsid w:val="00314FF8"/>
    <w:rsid w:val="00315263"/>
    <w:rsid w:val="003153CB"/>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2E66"/>
    <w:rsid w:val="00323041"/>
    <w:rsid w:val="00323AE8"/>
    <w:rsid w:val="00323B32"/>
    <w:rsid w:val="00324548"/>
    <w:rsid w:val="003251F4"/>
    <w:rsid w:val="00325408"/>
    <w:rsid w:val="00326927"/>
    <w:rsid w:val="003275D6"/>
    <w:rsid w:val="003303E3"/>
    <w:rsid w:val="00330651"/>
    <w:rsid w:val="00330E0F"/>
    <w:rsid w:val="00331178"/>
    <w:rsid w:val="003319A2"/>
    <w:rsid w:val="00331A88"/>
    <w:rsid w:val="003329EA"/>
    <w:rsid w:val="00332C6E"/>
    <w:rsid w:val="00332D73"/>
    <w:rsid w:val="003330E4"/>
    <w:rsid w:val="003338BE"/>
    <w:rsid w:val="00335147"/>
    <w:rsid w:val="00335196"/>
    <w:rsid w:val="00336AA2"/>
    <w:rsid w:val="00337B1B"/>
    <w:rsid w:val="00340414"/>
    <w:rsid w:val="00340436"/>
    <w:rsid w:val="003405DA"/>
    <w:rsid w:val="003407A5"/>
    <w:rsid w:val="00340863"/>
    <w:rsid w:val="0034096C"/>
    <w:rsid w:val="00340A1F"/>
    <w:rsid w:val="003410A1"/>
    <w:rsid w:val="00341188"/>
    <w:rsid w:val="0034147B"/>
    <w:rsid w:val="00341DC8"/>
    <w:rsid w:val="003424CB"/>
    <w:rsid w:val="0034399E"/>
    <w:rsid w:val="003439DB"/>
    <w:rsid w:val="00344CF8"/>
    <w:rsid w:val="00344FBE"/>
    <w:rsid w:val="00346759"/>
    <w:rsid w:val="00350238"/>
    <w:rsid w:val="003502AD"/>
    <w:rsid w:val="003504A4"/>
    <w:rsid w:val="0035109C"/>
    <w:rsid w:val="00351752"/>
    <w:rsid w:val="00351F0A"/>
    <w:rsid w:val="00351F35"/>
    <w:rsid w:val="00352648"/>
    <w:rsid w:val="00353AC6"/>
    <w:rsid w:val="003542B7"/>
    <w:rsid w:val="0035432B"/>
    <w:rsid w:val="00354765"/>
    <w:rsid w:val="00354E10"/>
    <w:rsid w:val="00357B15"/>
    <w:rsid w:val="00357BB3"/>
    <w:rsid w:val="0036005C"/>
    <w:rsid w:val="003602EA"/>
    <w:rsid w:val="00360F81"/>
    <w:rsid w:val="00361E48"/>
    <w:rsid w:val="00361E7E"/>
    <w:rsid w:val="00362519"/>
    <w:rsid w:val="003648F2"/>
    <w:rsid w:val="00364FA1"/>
    <w:rsid w:val="00366B02"/>
    <w:rsid w:val="003671F5"/>
    <w:rsid w:val="00370AA4"/>
    <w:rsid w:val="00370FA3"/>
    <w:rsid w:val="003711F2"/>
    <w:rsid w:val="003717FC"/>
    <w:rsid w:val="00371FF4"/>
    <w:rsid w:val="00372039"/>
    <w:rsid w:val="003723C2"/>
    <w:rsid w:val="0037275D"/>
    <w:rsid w:val="00372797"/>
    <w:rsid w:val="00373A87"/>
    <w:rsid w:val="0037470E"/>
    <w:rsid w:val="003755C5"/>
    <w:rsid w:val="00375CC4"/>
    <w:rsid w:val="00376103"/>
    <w:rsid w:val="00376673"/>
    <w:rsid w:val="003767B3"/>
    <w:rsid w:val="00376B49"/>
    <w:rsid w:val="00376FC5"/>
    <w:rsid w:val="003774E9"/>
    <w:rsid w:val="00377520"/>
    <w:rsid w:val="00377C7B"/>
    <w:rsid w:val="00380D36"/>
    <w:rsid w:val="00380F49"/>
    <w:rsid w:val="003822D3"/>
    <w:rsid w:val="0038425E"/>
    <w:rsid w:val="0038480C"/>
    <w:rsid w:val="00384DC9"/>
    <w:rsid w:val="0038566E"/>
    <w:rsid w:val="00385C66"/>
    <w:rsid w:val="00386630"/>
    <w:rsid w:val="00386A6C"/>
    <w:rsid w:val="00387876"/>
    <w:rsid w:val="003879B6"/>
    <w:rsid w:val="00390379"/>
    <w:rsid w:val="00390741"/>
    <w:rsid w:val="003909FB"/>
    <w:rsid w:val="00390B25"/>
    <w:rsid w:val="00390DD9"/>
    <w:rsid w:val="00391520"/>
    <w:rsid w:val="00391C57"/>
    <w:rsid w:val="00392958"/>
    <w:rsid w:val="00392AE5"/>
    <w:rsid w:val="0039335F"/>
    <w:rsid w:val="003936C5"/>
    <w:rsid w:val="00393E3D"/>
    <w:rsid w:val="00395CAA"/>
    <w:rsid w:val="00396588"/>
    <w:rsid w:val="00396863"/>
    <w:rsid w:val="00397156"/>
    <w:rsid w:val="00397960"/>
    <w:rsid w:val="003A0030"/>
    <w:rsid w:val="003A0663"/>
    <w:rsid w:val="003A0E36"/>
    <w:rsid w:val="003A12AE"/>
    <w:rsid w:val="003A1FE0"/>
    <w:rsid w:val="003A28C8"/>
    <w:rsid w:val="003A3BC4"/>
    <w:rsid w:val="003A458A"/>
    <w:rsid w:val="003A4FE2"/>
    <w:rsid w:val="003A551D"/>
    <w:rsid w:val="003A7E6F"/>
    <w:rsid w:val="003B05F2"/>
    <w:rsid w:val="003B1639"/>
    <w:rsid w:val="003B2F13"/>
    <w:rsid w:val="003B3353"/>
    <w:rsid w:val="003B405E"/>
    <w:rsid w:val="003B416D"/>
    <w:rsid w:val="003B4712"/>
    <w:rsid w:val="003B47EB"/>
    <w:rsid w:val="003B48BA"/>
    <w:rsid w:val="003B57D3"/>
    <w:rsid w:val="003B59CA"/>
    <w:rsid w:val="003B6067"/>
    <w:rsid w:val="003B7144"/>
    <w:rsid w:val="003B7204"/>
    <w:rsid w:val="003C0892"/>
    <w:rsid w:val="003C08E3"/>
    <w:rsid w:val="003C09B5"/>
    <w:rsid w:val="003C0F62"/>
    <w:rsid w:val="003C1126"/>
    <w:rsid w:val="003C1176"/>
    <w:rsid w:val="003C1D9A"/>
    <w:rsid w:val="003C1F58"/>
    <w:rsid w:val="003C3508"/>
    <w:rsid w:val="003C48B1"/>
    <w:rsid w:val="003C57A7"/>
    <w:rsid w:val="003C5C2B"/>
    <w:rsid w:val="003C6855"/>
    <w:rsid w:val="003C6943"/>
    <w:rsid w:val="003C6BD2"/>
    <w:rsid w:val="003C7294"/>
    <w:rsid w:val="003C792F"/>
    <w:rsid w:val="003C7ABD"/>
    <w:rsid w:val="003C7C3D"/>
    <w:rsid w:val="003D08F8"/>
    <w:rsid w:val="003D124B"/>
    <w:rsid w:val="003D18F3"/>
    <w:rsid w:val="003D2CC1"/>
    <w:rsid w:val="003D4FFC"/>
    <w:rsid w:val="003D51ED"/>
    <w:rsid w:val="003D569B"/>
    <w:rsid w:val="003D784E"/>
    <w:rsid w:val="003D78B5"/>
    <w:rsid w:val="003E099F"/>
    <w:rsid w:val="003E0EC8"/>
    <w:rsid w:val="003E1484"/>
    <w:rsid w:val="003E19FF"/>
    <w:rsid w:val="003E244F"/>
    <w:rsid w:val="003E37AE"/>
    <w:rsid w:val="003E5165"/>
    <w:rsid w:val="003E57D6"/>
    <w:rsid w:val="003E5CC8"/>
    <w:rsid w:val="003E62A6"/>
    <w:rsid w:val="003E695F"/>
    <w:rsid w:val="003E6C9B"/>
    <w:rsid w:val="003E6D39"/>
    <w:rsid w:val="003E709C"/>
    <w:rsid w:val="003E712E"/>
    <w:rsid w:val="003E726D"/>
    <w:rsid w:val="003E7B89"/>
    <w:rsid w:val="003F0B30"/>
    <w:rsid w:val="003F0FA3"/>
    <w:rsid w:val="003F276B"/>
    <w:rsid w:val="003F3205"/>
    <w:rsid w:val="003F4241"/>
    <w:rsid w:val="003F4B2E"/>
    <w:rsid w:val="003F4B8A"/>
    <w:rsid w:val="003F62BB"/>
    <w:rsid w:val="003F6FEC"/>
    <w:rsid w:val="003F7C45"/>
    <w:rsid w:val="00400241"/>
    <w:rsid w:val="0040132C"/>
    <w:rsid w:val="004019B7"/>
    <w:rsid w:val="00401A6A"/>
    <w:rsid w:val="0040231A"/>
    <w:rsid w:val="004049BD"/>
    <w:rsid w:val="00404EB5"/>
    <w:rsid w:val="00405085"/>
    <w:rsid w:val="00405D28"/>
    <w:rsid w:val="004066FC"/>
    <w:rsid w:val="00406C07"/>
    <w:rsid w:val="00406FD6"/>
    <w:rsid w:val="00407481"/>
    <w:rsid w:val="0040754A"/>
    <w:rsid w:val="00407C10"/>
    <w:rsid w:val="00407E90"/>
    <w:rsid w:val="004105D5"/>
    <w:rsid w:val="00410BEC"/>
    <w:rsid w:val="004113B4"/>
    <w:rsid w:val="00413323"/>
    <w:rsid w:val="00413BAE"/>
    <w:rsid w:val="00414503"/>
    <w:rsid w:val="00414827"/>
    <w:rsid w:val="004153B3"/>
    <w:rsid w:val="00415772"/>
    <w:rsid w:val="004163FD"/>
    <w:rsid w:val="0041649A"/>
    <w:rsid w:val="0041683D"/>
    <w:rsid w:val="00416C10"/>
    <w:rsid w:val="00417976"/>
    <w:rsid w:val="00417A0E"/>
    <w:rsid w:val="0042053A"/>
    <w:rsid w:val="004213D6"/>
    <w:rsid w:val="00421C75"/>
    <w:rsid w:val="00422440"/>
    <w:rsid w:val="00422916"/>
    <w:rsid w:val="00423BA3"/>
    <w:rsid w:val="00424213"/>
    <w:rsid w:val="00424EF3"/>
    <w:rsid w:val="004267DB"/>
    <w:rsid w:val="004268BB"/>
    <w:rsid w:val="00426A4B"/>
    <w:rsid w:val="00426D02"/>
    <w:rsid w:val="00430045"/>
    <w:rsid w:val="00430724"/>
    <w:rsid w:val="00431047"/>
    <w:rsid w:val="00431391"/>
    <w:rsid w:val="00431B86"/>
    <w:rsid w:val="004339AD"/>
    <w:rsid w:val="00433EED"/>
    <w:rsid w:val="00437C96"/>
    <w:rsid w:val="00437DD4"/>
    <w:rsid w:val="004408EC"/>
    <w:rsid w:val="004416A4"/>
    <w:rsid w:val="00441E6A"/>
    <w:rsid w:val="00442AEE"/>
    <w:rsid w:val="00443C8F"/>
    <w:rsid w:val="00444C60"/>
    <w:rsid w:val="00444E35"/>
    <w:rsid w:val="0044502D"/>
    <w:rsid w:val="00445F6B"/>
    <w:rsid w:val="00447CEF"/>
    <w:rsid w:val="00447E28"/>
    <w:rsid w:val="00450BA9"/>
    <w:rsid w:val="00452481"/>
    <w:rsid w:val="004528FA"/>
    <w:rsid w:val="00453042"/>
    <w:rsid w:val="00453477"/>
    <w:rsid w:val="00453DC8"/>
    <w:rsid w:val="00455165"/>
    <w:rsid w:val="00455F9A"/>
    <w:rsid w:val="00457804"/>
    <w:rsid w:val="00460672"/>
    <w:rsid w:val="00460AEF"/>
    <w:rsid w:val="00460C52"/>
    <w:rsid w:val="00460FCA"/>
    <w:rsid w:val="00462279"/>
    <w:rsid w:val="004646BF"/>
    <w:rsid w:val="00464744"/>
    <w:rsid w:val="004665E3"/>
    <w:rsid w:val="0046760F"/>
    <w:rsid w:val="0047237D"/>
    <w:rsid w:val="00472561"/>
    <w:rsid w:val="004731F1"/>
    <w:rsid w:val="004737DE"/>
    <w:rsid w:val="00473EB5"/>
    <w:rsid w:val="0047456B"/>
    <w:rsid w:val="00475251"/>
    <w:rsid w:val="00475D0F"/>
    <w:rsid w:val="00477400"/>
    <w:rsid w:val="00480BC8"/>
    <w:rsid w:val="00480D5A"/>
    <w:rsid w:val="00481265"/>
    <w:rsid w:val="0048141C"/>
    <w:rsid w:val="004814BF"/>
    <w:rsid w:val="00481742"/>
    <w:rsid w:val="00482649"/>
    <w:rsid w:val="00483630"/>
    <w:rsid w:val="004836EA"/>
    <w:rsid w:val="00483ECB"/>
    <w:rsid w:val="00483F72"/>
    <w:rsid w:val="00485215"/>
    <w:rsid w:val="00485340"/>
    <w:rsid w:val="00485680"/>
    <w:rsid w:val="0048587E"/>
    <w:rsid w:val="00487AB1"/>
    <w:rsid w:val="00487C2B"/>
    <w:rsid w:val="004900FF"/>
    <w:rsid w:val="0049125B"/>
    <w:rsid w:val="00491C58"/>
    <w:rsid w:val="00491FAB"/>
    <w:rsid w:val="00492081"/>
    <w:rsid w:val="0049227D"/>
    <w:rsid w:val="0049297D"/>
    <w:rsid w:val="004929F2"/>
    <w:rsid w:val="00492F5E"/>
    <w:rsid w:val="004946F2"/>
    <w:rsid w:val="00495A03"/>
    <w:rsid w:val="00495E28"/>
    <w:rsid w:val="00496B6C"/>
    <w:rsid w:val="00497079"/>
    <w:rsid w:val="00497450"/>
    <w:rsid w:val="00497F49"/>
    <w:rsid w:val="004A1BBA"/>
    <w:rsid w:val="004A23C2"/>
    <w:rsid w:val="004A3336"/>
    <w:rsid w:val="004A3E3C"/>
    <w:rsid w:val="004A4069"/>
    <w:rsid w:val="004A484E"/>
    <w:rsid w:val="004A6513"/>
    <w:rsid w:val="004A7DC0"/>
    <w:rsid w:val="004B0E6D"/>
    <w:rsid w:val="004B16E8"/>
    <w:rsid w:val="004B171B"/>
    <w:rsid w:val="004B2CA5"/>
    <w:rsid w:val="004B36C2"/>
    <w:rsid w:val="004B3D72"/>
    <w:rsid w:val="004B412E"/>
    <w:rsid w:val="004B585B"/>
    <w:rsid w:val="004B5B92"/>
    <w:rsid w:val="004B6250"/>
    <w:rsid w:val="004B625D"/>
    <w:rsid w:val="004B66F3"/>
    <w:rsid w:val="004B76B1"/>
    <w:rsid w:val="004B7800"/>
    <w:rsid w:val="004C0057"/>
    <w:rsid w:val="004C0541"/>
    <w:rsid w:val="004C0BBF"/>
    <w:rsid w:val="004C1362"/>
    <w:rsid w:val="004C1D08"/>
    <w:rsid w:val="004C1D1C"/>
    <w:rsid w:val="004C1D55"/>
    <w:rsid w:val="004C2836"/>
    <w:rsid w:val="004C2C46"/>
    <w:rsid w:val="004C2C8A"/>
    <w:rsid w:val="004C405B"/>
    <w:rsid w:val="004C4550"/>
    <w:rsid w:val="004C54CA"/>
    <w:rsid w:val="004C58A9"/>
    <w:rsid w:val="004C5943"/>
    <w:rsid w:val="004C7235"/>
    <w:rsid w:val="004C7955"/>
    <w:rsid w:val="004C7A02"/>
    <w:rsid w:val="004D0213"/>
    <w:rsid w:val="004D047F"/>
    <w:rsid w:val="004D1529"/>
    <w:rsid w:val="004D29F1"/>
    <w:rsid w:val="004D29F3"/>
    <w:rsid w:val="004D2E95"/>
    <w:rsid w:val="004D3D96"/>
    <w:rsid w:val="004D40BB"/>
    <w:rsid w:val="004D50DB"/>
    <w:rsid w:val="004D5214"/>
    <w:rsid w:val="004D5316"/>
    <w:rsid w:val="004D575C"/>
    <w:rsid w:val="004D606D"/>
    <w:rsid w:val="004D650F"/>
    <w:rsid w:val="004D7269"/>
    <w:rsid w:val="004D74EE"/>
    <w:rsid w:val="004D7F01"/>
    <w:rsid w:val="004E08FC"/>
    <w:rsid w:val="004E0B6E"/>
    <w:rsid w:val="004E0F74"/>
    <w:rsid w:val="004E2133"/>
    <w:rsid w:val="004E2BD2"/>
    <w:rsid w:val="004E358C"/>
    <w:rsid w:val="004E395B"/>
    <w:rsid w:val="004E5EDB"/>
    <w:rsid w:val="004E60FB"/>
    <w:rsid w:val="004E73A5"/>
    <w:rsid w:val="004E758A"/>
    <w:rsid w:val="004E7BA7"/>
    <w:rsid w:val="004F0066"/>
    <w:rsid w:val="004F1ABC"/>
    <w:rsid w:val="004F1C42"/>
    <w:rsid w:val="004F21B8"/>
    <w:rsid w:val="004F23CE"/>
    <w:rsid w:val="004F25EA"/>
    <w:rsid w:val="004F2C5A"/>
    <w:rsid w:val="004F31EA"/>
    <w:rsid w:val="004F38E3"/>
    <w:rsid w:val="004F3D47"/>
    <w:rsid w:val="004F4601"/>
    <w:rsid w:val="004F779C"/>
    <w:rsid w:val="004F7846"/>
    <w:rsid w:val="004F7EBF"/>
    <w:rsid w:val="005000A6"/>
    <w:rsid w:val="005000D4"/>
    <w:rsid w:val="005004EE"/>
    <w:rsid w:val="00500580"/>
    <w:rsid w:val="005007AB"/>
    <w:rsid w:val="00500B1E"/>
    <w:rsid w:val="00500B24"/>
    <w:rsid w:val="00500C17"/>
    <w:rsid w:val="00501AB3"/>
    <w:rsid w:val="00502416"/>
    <w:rsid w:val="005027F4"/>
    <w:rsid w:val="005036C2"/>
    <w:rsid w:val="0050492E"/>
    <w:rsid w:val="005051C9"/>
    <w:rsid w:val="00506389"/>
    <w:rsid w:val="00507000"/>
    <w:rsid w:val="00507FC5"/>
    <w:rsid w:val="00510A69"/>
    <w:rsid w:val="00510CAF"/>
    <w:rsid w:val="0051114C"/>
    <w:rsid w:val="00511597"/>
    <w:rsid w:val="00511915"/>
    <w:rsid w:val="00511ED9"/>
    <w:rsid w:val="005127BC"/>
    <w:rsid w:val="005128C5"/>
    <w:rsid w:val="00512905"/>
    <w:rsid w:val="00512D8B"/>
    <w:rsid w:val="00512DE2"/>
    <w:rsid w:val="00512E85"/>
    <w:rsid w:val="00513207"/>
    <w:rsid w:val="0051346B"/>
    <w:rsid w:val="005136C7"/>
    <w:rsid w:val="0051478B"/>
    <w:rsid w:val="00514C1C"/>
    <w:rsid w:val="00514D55"/>
    <w:rsid w:val="0051524F"/>
    <w:rsid w:val="0051566A"/>
    <w:rsid w:val="00515D7B"/>
    <w:rsid w:val="00515DD8"/>
    <w:rsid w:val="00516514"/>
    <w:rsid w:val="005166E9"/>
    <w:rsid w:val="00517917"/>
    <w:rsid w:val="0052009E"/>
    <w:rsid w:val="005200F7"/>
    <w:rsid w:val="00520AB5"/>
    <w:rsid w:val="00521596"/>
    <w:rsid w:val="00522066"/>
    <w:rsid w:val="005222FA"/>
    <w:rsid w:val="00525740"/>
    <w:rsid w:val="00525E59"/>
    <w:rsid w:val="0052789E"/>
    <w:rsid w:val="005278EE"/>
    <w:rsid w:val="00530A21"/>
    <w:rsid w:val="005310DD"/>
    <w:rsid w:val="00531851"/>
    <w:rsid w:val="005318CC"/>
    <w:rsid w:val="0053199E"/>
    <w:rsid w:val="00531D65"/>
    <w:rsid w:val="00532E2E"/>
    <w:rsid w:val="005334E4"/>
    <w:rsid w:val="005349B1"/>
    <w:rsid w:val="00535AA4"/>
    <w:rsid w:val="00535D59"/>
    <w:rsid w:val="00535DA3"/>
    <w:rsid w:val="00535F21"/>
    <w:rsid w:val="005364A6"/>
    <w:rsid w:val="005364AE"/>
    <w:rsid w:val="0053652C"/>
    <w:rsid w:val="0053659B"/>
    <w:rsid w:val="005368A0"/>
    <w:rsid w:val="005374BC"/>
    <w:rsid w:val="005427DC"/>
    <w:rsid w:val="00543188"/>
    <w:rsid w:val="005432F0"/>
    <w:rsid w:val="00543367"/>
    <w:rsid w:val="0054384E"/>
    <w:rsid w:val="00543BFA"/>
    <w:rsid w:val="00543EF8"/>
    <w:rsid w:val="00545CB7"/>
    <w:rsid w:val="005463CC"/>
    <w:rsid w:val="0054655E"/>
    <w:rsid w:val="00546601"/>
    <w:rsid w:val="00547D9C"/>
    <w:rsid w:val="00547DA1"/>
    <w:rsid w:val="005501BC"/>
    <w:rsid w:val="0055068D"/>
    <w:rsid w:val="00551BAB"/>
    <w:rsid w:val="00551C53"/>
    <w:rsid w:val="0055221B"/>
    <w:rsid w:val="005526DC"/>
    <w:rsid w:val="005535B7"/>
    <w:rsid w:val="00554CAC"/>
    <w:rsid w:val="0055513C"/>
    <w:rsid w:val="0055637C"/>
    <w:rsid w:val="00556B00"/>
    <w:rsid w:val="0055753F"/>
    <w:rsid w:val="00557618"/>
    <w:rsid w:val="00557782"/>
    <w:rsid w:val="00560AD0"/>
    <w:rsid w:val="00560C94"/>
    <w:rsid w:val="00560FD5"/>
    <w:rsid w:val="00561C0A"/>
    <w:rsid w:val="005620D3"/>
    <w:rsid w:val="00562765"/>
    <w:rsid w:val="0056283B"/>
    <w:rsid w:val="0056291C"/>
    <w:rsid w:val="00563516"/>
    <w:rsid w:val="00563A1F"/>
    <w:rsid w:val="00563E82"/>
    <w:rsid w:val="00563EA9"/>
    <w:rsid w:val="005646BB"/>
    <w:rsid w:val="005647F9"/>
    <w:rsid w:val="00564B19"/>
    <w:rsid w:val="00564C4B"/>
    <w:rsid w:val="00565A63"/>
    <w:rsid w:val="00565BAA"/>
    <w:rsid w:val="00566588"/>
    <w:rsid w:val="0056662E"/>
    <w:rsid w:val="00566A26"/>
    <w:rsid w:val="00566F6B"/>
    <w:rsid w:val="00567012"/>
    <w:rsid w:val="005671B8"/>
    <w:rsid w:val="005674BF"/>
    <w:rsid w:val="00567EA5"/>
    <w:rsid w:val="00570050"/>
    <w:rsid w:val="00570514"/>
    <w:rsid w:val="00571A41"/>
    <w:rsid w:val="005721D0"/>
    <w:rsid w:val="0057275D"/>
    <w:rsid w:val="00572919"/>
    <w:rsid w:val="00574103"/>
    <w:rsid w:val="005742E4"/>
    <w:rsid w:val="005742EB"/>
    <w:rsid w:val="00575B68"/>
    <w:rsid w:val="00575DA6"/>
    <w:rsid w:val="0057737F"/>
    <w:rsid w:val="005800A9"/>
    <w:rsid w:val="00580488"/>
    <w:rsid w:val="0058074D"/>
    <w:rsid w:val="00580FD1"/>
    <w:rsid w:val="00582FAD"/>
    <w:rsid w:val="00583397"/>
    <w:rsid w:val="00583489"/>
    <w:rsid w:val="0058391F"/>
    <w:rsid w:val="00583A80"/>
    <w:rsid w:val="00584188"/>
    <w:rsid w:val="00584E33"/>
    <w:rsid w:val="0058598D"/>
    <w:rsid w:val="00585AD4"/>
    <w:rsid w:val="00585E14"/>
    <w:rsid w:val="00586819"/>
    <w:rsid w:val="005868EC"/>
    <w:rsid w:val="00586E9A"/>
    <w:rsid w:val="00587419"/>
    <w:rsid w:val="00590FE4"/>
    <w:rsid w:val="00591D9C"/>
    <w:rsid w:val="0059282D"/>
    <w:rsid w:val="005932C1"/>
    <w:rsid w:val="00593440"/>
    <w:rsid w:val="005936BF"/>
    <w:rsid w:val="00593DE5"/>
    <w:rsid w:val="0059592B"/>
    <w:rsid w:val="00596617"/>
    <w:rsid w:val="00596CC4"/>
    <w:rsid w:val="00597057"/>
    <w:rsid w:val="005972B8"/>
    <w:rsid w:val="005973A6"/>
    <w:rsid w:val="00597AAB"/>
    <w:rsid w:val="00597D8B"/>
    <w:rsid w:val="005A0742"/>
    <w:rsid w:val="005A1C30"/>
    <w:rsid w:val="005A21D6"/>
    <w:rsid w:val="005A2893"/>
    <w:rsid w:val="005A31C9"/>
    <w:rsid w:val="005A3295"/>
    <w:rsid w:val="005A46FF"/>
    <w:rsid w:val="005A4AFF"/>
    <w:rsid w:val="005A5CC0"/>
    <w:rsid w:val="005A65F0"/>
    <w:rsid w:val="005A69CF"/>
    <w:rsid w:val="005A7758"/>
    <w:rsid w:val="005B011E"/>
    <w:rsid w:val="005B028B"/>
    <w:rsid w:val="005B2E84"/>
    <w:rsid w:val="005B352F"/>
    <w:rsid w:val="005B3E66"/>
    <w:rsid w:val="005B3FE8"/>
    <w:rsid w:val="005B4215"/>
    <w:rsid w:val="005B436C"/>
    <w:rsid w:val="005B47A5"/>
    <w:rsid w:val="005B4B67"/>
    <w:rsid w:val="005B4F97"/>
    <w:rsid w:val="005B52A4"/>
    <w:rsid w:val="005B5CA4"/>
    <w:rsid w:val="005B5E76"/>
    <w:rsid w:val="005B6E01"/>
    <w:rsid w:val="005B7476"/>
    <w:rsid w:val="005B7688"/>
    <w:rsid w:val="005B7849"/>
    <w:rsid w:val="005B7B0E"/>
    <w:rsid w:val="005C054E"/>
    <w:rsid w:val="005C0D2C"/>
    <w:rsid w:val="005C0DFA"/>
    <w:rsid w:val="005C0FF0"/>
    <w:rsid w:val="005C219B"/>
    <w:rsid w:val="005C2246"/>
    <w:rsid w:val="005C48D6"/>
    <w:rsid w:val="005C492F"/>
    <w:rsid w:val="005C4B4C"/>
    <w:rsid w:val="005C5409"/>
    <w:rsid w:val="005C55EF"/>
    <w:rsid w:val="005C628C"/>
    <w:rsid w:val="005C6765"/>
    <w:rsid w:val="005C69AC"/>
    <w:rsid w:val="005C6F14"/>
    <w:rsid w:val="005C722E"/>
    <w:rsid w:val="005C7576"/>
    <w:rsid w:val="005C7759"/>
    <w:rsid w:val="005D0197"/>
    <w:rsid w:val="005D01A4"/>
    <w:rsid w:val="005D11BE"/>
    <w:rsid w:val="005D15AE"/>
    <w:rsid w:val="005D1A7B"/>
    <w:rsid w:val="005D1EDD"/>
    <w:rsid w:val="005D28AC"/>
    <w:rsid w:val="005D456F"/>
    <w:rsid w:val="005D45B3"/>
    <w:rsid w:val="005D4AB3"/>
    <w:rsid w:val="005D4CEB"/>
    <w:rsid w:val="005D5344"/>
    <w:rsid w:val="005D5DA8"/>
    <w:rsid w:val="005D61EB"/>
    <w:rsid w:val="005E0AE0"/>
    <w:rsid w:val="005E4D67"/>
    <w:rsid w:val="005E6573"/>
    <w:rsid w:val="005E7A91"/>
    <w:rsid w:val="005F04E6"/>
    <w:rsid w:val="005F1667"/>
    <w:rsid w:val="005F17EC"/>
    <w:rsid w:val="005F1C2F"/>
    <w:rsid w:val="005F2D68"/>
    <w:rsid w:val="005F39D5"/>
    <w:rsid w:val="005F3AB5"/>
    <w:rsid w:val="005F3E05"/>
    <w:rsid w:val="005F43B9"/>
    <w:rsid w:val="005F4CE9"/>
    <w:rsid w:val="005F55D6"/>
    <w:rsid w:val="005F5CA9"/>
    <w:rsid w:val="005F653C"/>
    <w:rsid w:val="005F68CB"/>
    <w:rsid w:val="005F6BDE"/>
    <w:rsid w:val="00600242"/>
    <w:rsid w:val="0060153A"/>
    <w:rsid w:val="0060205D"/>
    <w:rsid w:val="006033E3"/>
    <w:rsid w:val="00604AF1"/>
    <w:rsid w:val="00605A44"/>
    <w:rsid w:val="00605FC7"/>
    <w:rsid w:val="00606218"/>
    <w:rsid w:val="0060631B"/>
    <w:rsid w:val="00606CA3"/>
    <w:rsid w:val="00606E91"/>
    <w:rsid w:val="00607018"/>
    <w:rsid w:val="006077ED"/>
    <w:rsid w:val="00610687"/>
    <w:rsid w:val="00610954"/>
    <w:rsid w:val="00610CBE"/>
    <w:rsid w:val="00610E1F"/>
    <w:rsid w:val="00611467"/>
    <w:rsid w:val="00612908"/>
    <w:rsid w:val="0061321C"/>
    <w:rsid w:val="00614CA1"/>
    <w:rsid w:val="0061513E"/>
    <w:rsid w:val="00615C2C"/>
    <w:rsid w:val="0062038A"/>
    <w:rsid w:val="006203A8"/>
    <w:rsid w:val="00620E59"/>
    <w:rsid w:val="00621132"/>
    <w:rsid w:val="00621821"/>
    <w:rsid w:val="0062203B"/>
    <w:rsid w:val="00622656"/>
    <w:rsid w:val="0062291D"/>
    <w:rsid w:val="0062386E"/>
    <w:rsid w:val="00623D9A"/>
    <w:rsid w:val="00623F01"/>
    <w:rsid w:val="006242FB"/>
    <w:rsid w:val="0062449D"/>
    <w:rsid w:val="00624738"/>
    <w:rsid w:val="006251B3"/>
    <w:rsid w:val="00626E2D"/>
    <w:rsid w:val="006272DE"/>
    <w:rsid w:val="00627D94"/>
    <w:rsid w:val="0063021D"/>
    <w:rsid w:val="0063033A"/>
    <w:rsid w:val="006304D3"/>
    <w:rsid w:val="00630AB9"/>
    <w:rsid w:val="00630B42"/>
    <w:rsid w:val="0063104D"/>
    <w:rsid w:val="006310FC"/>
    <w:rsid w:val="00631688"/>
    <w:rsid w:val="006320D8"/>
    <w:rsid w:val="00632540"/>
    <w:rsid w:val="00632E88"/>
    <w:rsid w:val="00634079"/>
    <w:rsid w:val="0063454C"/>
    <w:rsid w:val="00634DBB"/>
    <w:rsid w:val="00636D16"/>
    <w:rsid w:val="00637C26"/>
    <w:rsid w:val="006403B8"/>
    <w:rsid w:val="00640732"/>
    <w:rsid w:val="00640D3A"/>
    <w:rsid w:val="00642072"/>
    <w:rsid w:val="006440ED"/>
    <w:rsid w:val="0064467C"/>
    <w:rsid w:val="00644AB5"/>
    <w:rsid w:val="00645213"/>
    <w:rsid w:val="00645293"/>
    <w:rsid w:val="006468CB"/>
    <w:rsid w:val="00651B78"/>
    <w:rsid w:val="0065203B"/>
    <w:rsid w:val="00652263"/>
    <w:rsid w:val="0065238F"/>
    <w:rsid w:val="00652881"/>
    <w:rsid w:val="00652985"/>
    <w:rsid w:val="0065332B"/>
    <w:rsid w:val="006533AE"/>
    <w:rsid w:val="006538FD"/>
    <w:rsid w:val="0065472B"/>
    <w:rsid w:val="006551AE"/>
    <w:rsid w:val="00661974"/>
    <w:rsid w:val="00661E1F"/>
    <w:rsid w:val="006623E2"/>
    <w:rsid w:val="006624E3"/>
    <w:rsid w:val="006640F9"/>
    <w:rsid w:val="00664551"/>
    <w:rsid w:val="00664685"/>
    <w:rsid w:val="00664B95"/>
    <w:rsid w:val="00665591"/>
    <w:rsid w:val="00665D5F"/>
    <w:rsid w:val="00666B5B"/>
    <w:rsid w:val="006676A0"/>
    <w:rsid w:val="006704F3"/>
    <w:rsid w:val="00670857"/>
    <w:rsid w:val="00671124"/>
    <w:rsid w:val="006727B0"/>
    <w:rsid w:val="0067307E"/>
    <w:rsid w:val="006739C0"/>
    <w:rsid w:val="00673F6D"/>
    <w:rsid w:val="00674371"/>
    <w:rsid w:val="00674850"/>
    <w:rsid w:val="00675116"/>
    <w:rsid w:val="006751B4"/>
    <w:rsid w:val="00675D03"/>
    <w:rsid w:val="00676016"/>
    <w:rsid w:val="00676EA7"/>
    <w:rsid w:val="00677341"/>
    <w:rsid w:val="006811F3"/>
    <w:rsid w:val="006821D7"/>
    <w:rsid w:val="00682EFD"/>
    <w:rsid w:val="00683F61"/>
    <w:rsid w:val="00684316"/>
    <w:rsid w:val="00685E5B"/>
    <w:rsid w:val="00686A36"/>
    <w:rsid w:val="00686C8F"/>
    <w:rsid w:val="00687AD5"/>
    <w:rsid w:val="0069211A"/>
    <w:rsid w:val="00692B81"/>
    <w:rsid w:val="00692C4F"/>
    <w:rsid w:val="00694557"/>
    <w:rsid w:val="00694795"/>
    <w:rsid w:val="006949D2"/>
    <w:rsid w:val="00694C5F"/>
    <w:rsid w:val="00695251"/>
    <w:rsid w:val="006953EF"/>
    <w:rsid w:val="00695689"/>
    <w:rsid w:val="00695ADE"/>
    <w:rsid w:val="00695C0D"/>
    <w:rsid w:val="00695CAE"/>
    <w:rsid w:val="00696356"/>
    <w:rsid w:val="006968EA"/>
    <w:rsid w:val="006A015D"/>
    <w:rsid w:val="006A028E"/>
    <w:rsid w:val="006A2028"/>
    <w:rsid w:val="006A2EA3"/>
    <w:rsid w:val="006A3278"/>
    <w:rsid w:val="006A3CC1"/>
    <w:rsid w:val="006A4899"/>
    <w:rsid w:val="006A5A59"/>
    <w:rsid w:val="006A6192"/>
    <w:rsid w:val="006A62E1"/>
    <w:rsid w:val="006A6566"/>
    <w:rsid w:val="006A72C6"/>
    <w:rsid w:val="006A7310"/>
    <w:rsid w:val="006B02DA"/>
    <w:rsid w:val="006B08FB"/>
    <w:rsid w:val="006B0C48"/>
    <w:rsid w:val="006B121E"/>
    <w:rsid w:val="006B2065"/>
    <w:rsid w:val="006B275B"/>
    <w:rsid w:val="006B30BF"/>
    <w:rsid w:val="006B3155"/>
    <w:rsid w:val="006B38C6"/>
    <w:rsid w:val="006B3940"/>
    <w:rsid w:val="006B45A6"/>
    <w:rsid w:val="006B4E7B"/>
    <w:rsid w:val="006B62F0"/>
    <w:rsid w:val="006B6C6B"/>
    <w:rsid w:val="006C09B6"/>
    <w:rsid w:val="006C0B70"/>
    <w:rsid w:val="006C168D"/>
    <w:rsid w:val="006C2BF5"/>
    <w:rsid w:val="006C43D4"/>
    <w:rsid w:val="006C4A40"/>
    <w:rsid w:val="006C4E56"/>
    <w:rsid w:val="006C564F"/>
    <w:rsid w:val="006C61CD"/>
    <w:rsid w:val="006C642C"/>
    <w:rsid w:val="006C6FC6"/>
    <w:rsid w:val="006C7830"/>
    <w:rsid w:val="006C7BB9"/>
    <w:rsid w:val="006C7D50"/>
    <w:rsid w:val="006D141C"/>
    <w:rsid w:val="006D2425"/>
    <w:rsid w:val="006D2CF3"/>
    <w:rsid w:val="006D2D08"/>
    <w:rsid w:val="006D2F35"/>
    <w:rsid w:val="006D3228"/>
    <w:rsid w:val="006D349E"/>
    <w:rsid w:val="006D381A"/>
    <w:rsid w:val="006D3D2A"/>
    <w:rsid w:val="006D41EF"/>
    <w:rsid w:val="006D4A94"/>
    <w:rsid w:val="006D53AA"/>
    <w:rsid w:val="006D5CCC"/>
    <w:rsid w:val="006D64C2"/>
    <w:rsid w:val="006D6993"/>
    <w:rsid w:val="006D7DF8"/>
    <w:rsid w:val="006E0154"/>
    <w:rsid w:val="006E0D09"/>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F0BA7"/>
    <w:rsid w:val="006F0F01"/>
    <w:rsid w:val="006F1281"/>
    <w:rsid w:val="006F174D"/>
    <w:rsid w:val="006F1DA2"/>
    <w:rsid w:val="006F1F41"/>
    <w:rsid w:val="006F32EF"/>
    <w:rsid w:val="006F35AF"/>
    <w:rsid w:val="006F3615"/>
    <w:rsid w:val="006F3C54"/>
    <w:rsid w:val="006F4CD8"/>
    <w:rsid w:val="006F53D9"/>
    <w:rsid w:val="006F5812"/>
    <w:rsid w:val="006F609A"/>
    <w:rsid w:val="007004DC"/>
    <w:rsid w:val="00700970"/>
    <w:rsid w:val="00701093"/>
    <w:rsid w:val="007022C4"/>
    <w:rsid w:val="007026E9"/>
    <w:rsid w:val="007031AF"/>
    <w:rsid w:val="00703C8B"/>
    <w:rsid w:val="00703E8A"/>
    <w:rsid w:val="00703F06"/>
    <w:rsid w:val="00704A57"/>
    <w:rsid w:val="00704F60"/>
    <w:rsid w:val="00706C1F"/>
    <w:rsid w:val="00706EA3"/>
    <w:rsid w:val="007078BE"/>
    <w:rsid w:val="00710BF6"/>
    <w:rsid w:val="007112BE"/>
    <w:rsid w:val="00711522"/>
    <w:rsid w:val="007118A6"/>
    <w:rsid w:val="00711C48"/>
    <w:rsid w:val="007124FE"/>
    <w:rsid w:val="00712533"/>
    <w:rsid w:val="0071300D"/>
    <w:rsid w:val="00713186"/>
    <w:rsid w:val="00713757"/>
    <w:rsid w:val="00713758"/>
    <w:rsid w:val="007137D8"/>
    <w:rsid w:val="00714064"/>
    <w:rsid w:val="0071409E"/>
    <w:rsid w:val="00716B1B"/>
    <w:rsid w:val="00717772"/>
    <w:rsid w:val="007200E5"/>
    <w:rsid w:val="00720C17"/>
    <w:rsid w:val="007215EC"/>
    <w:rsid w:val="00721AF1"/>
    <w:rsid w:val="0072280F"/>
    <w:rsid w:val="00722B5E"/>
    <w:rsid w:val="007235F5"/>
    <w:rsid w:val="00723B2C"/>
    <w:rsid w:val="00724F7C"/>
    <w:rsid w:val="007253CC"/>
    <w:rsid w:val="00726F5A"/>
    <w:rsid w:val="0072708F"/>
    <w:rsid w:val="00730E81"/>
    <w:rsid w:val="00731000"/>
    <w:rsid w:val="00731204"/>
    <w:rsid w:val="007319BC"/>
    <w:rsid w:val="0073222B"/>
    <w:rsid w:val="00732582"/>
    <w:rsid w:val="00732D1D"/>
    <w:rsid w:val="007332C4"/>
    <w:rsid w:val="00734381"/>
    <w:rsid w:val="00734B0E"/>
    <w:rsid w:val="00736034"/>
    <w:rsid w:val="0073681C"/>
    <w:rsid w:val="0073725B"/>
    <w:rsid w:val="0074033C"/>
    <w:rsid w:val="0074050E"/>
    <w:rsid w:val="00740B66"/>
    <w:rsid w:val="00741AF8"/>
    <w:rsid w:val="00741EBE"/>
    <w:rsid w:val="00742181"/>
    <w:rsid w:val="007424EC"/>
    <w:rsid w:val="00742B8F"/>
    <w:rsid w:val="00742EDA"/>
    <w:rsid w:val="007440FA"/>
    <w:rsid w:val="00744201"/>
    <w:rsid w:val="00745604"/>
    <w:rsid w:val="00745FCE"/>
    <w:rsid w:val="00746130"/>
    <w:rsid w:val="00746A40"/>
    <w:rsid w:val="00746E6A"/>
    <w:rsid w:val="00747598"/>
    <w:rsid w:val="00750358"/>
    <w:rsid w:val="007520A3"/>
    <w:rsid w:val="007526F5"/>
    <w:rsid w:val="00754717"/>
    <w:rsid w:val="00754836"/>
    <w:rsid w:val="00754FB9"/>
    <w:rsid w:val="007550EC"/>
    <w:rsid w:val="0075587B"/>
    <w:rsid w:val="00755CDF"/>
    <w:rsid w:val="00757042"/>
    <w:rsid w:val="007578C3"/>
    <w:rsid w:val="00757A4C"/>
    <w:rsid w:val="00760895"/>
    <w:rsid w:val="0076114E"/>
    <w:rsid w:val="0076225A"/>
    <w:rsid w:val="00762ABF"/>
    <w:rsid w:val="0076353E"/>
    <w:rsid w:val="00764A94"/>
    <w:rsid w:val="00764B26"/>
    <w:rsid w:val="00764EA6"/>
    <w:rsid w:val="007651A9"/>
    <w:rsid w:val="007651E5"/>
    <w:rsid w:val="0076524F"/>
    <w:rsid w:val="0076544B"/>
    <w:rsid w:val="00765477"/>
    <w:rsid w:val="00765584"/>
    <w:rsid w:val="007665B2"/>
    <w:rsid w:val="007665F2"/>
    <w:rsid w:val="00766BA0"/>
    <w:rsid w:val="007670DC"/>
    <w:rsid w:val="00767356"/>
    <w:rsid w:val="007700C0"/>
    <w:rsid w:val="00770F2A"/>
    <w:rsid w:val="0077111A"/>
    <w:rsid w:val="0077213A"/>
    <w:rsid w:val="00772272"/>
    <w:rsid w:val="00772823"/>
    <w:rsid w:val="0077369F"/>
    <w:rsid w:val="0077463A"/>
    <w:rsid w:val="00774AB3"/>
    <w:rsid w:val="00774D0F"/>
    <w:rsid w:val="00774D7B"/>
    <w:rsid w:val="007756ED"/>
    <w:rsid w:val="0077589D"/>
    <w:rsid w:val="0077617F"/>
    <w:rsid w:val="00776A3D"/>
    <w:rsid w:val="0077707A"/>
    <w:rsid w:val="00777629"/>
    <w:rsid w:val="007776BF"/>
    <w:rsid w:val="00777789"/>
    <w:rsid w:val="007819A1"/>
    <w:rsid w:val="00782E5A"/>
    <w:rsid w:val="00783599"/>
    <w:rsid w:val="00783BA5"/>
    <w:rsid w:val="0078497B"/>
    <w:rsid w:val="00784F9E"/>
    <w:rsid w:val="0078533C"/>
    <w:rsid w:val="007856FE"/>
    <w:rsid w:val="007857FB"/>
    <w:rsid w:val="00786053"/>
    <w:rsid w:val="00786799"/>
    <w:rsid w:val="007870FC"/>
    <w:rsid w:val="0078717D"/>
    <w:rsid w:val="00787CD0"/>
    <w:rsid w:val="00790022"/>
    <w:rsid w:val="007905A2"/>
    <w:rsid w:val="00791053"/>
    <w:rsid w:val="00791261"/>
    <w:rsid w:val="007917ED"/>
    <w:rsid w:val="007918FE"/>
    <w:rsid w:val="00791A3A"/>
    <w:rsid w:val="0079262D"/>
    <w:rsid w:val="00792A53"/>
    <w:rsid w:val="00794196"/>
    <w:rsid w:val="00794C47"/>
    <w:rsid w:val="00794FFF"/>
    <w:rsid w:val="00795DE1"/>
    <w:rsid w:val="00796D4D"/>
    <w:rsid w:val="007971B8"/>
    <w:rsid w:val="00797637"/>
    <w:rsid w:val="007A0018"/>
    <w:rsid w:val="007A07D1"/>
    <w:rsid w:val="007A0ADE"/>
    <w:rsid w:val="007A1B35"/>
    <w:rsid w:val="007A2EA0"/>
    <w:rsid w:val="007A3680"/>
    <w:rsid w:val="007A380E"/>
    <w:rsid w:val="007A3BCD"/>
    <w:rsid w:val="007A4FCC"/>
    <w:rsid w:val="007A5214"/>
    <w:rsid w:val="007A59B8"/>
    <w:rsid w:val="007A65AF"/>
    <w:rsid w:val="007A6682"/>
    <w:rsid w:val="007A7682"/>
    <w:rsid w:val="007A7957"/>
    <w:rsid w:val="007A7F42"/>
    <w:rsid w:val="007B2862"/>
    <w:rsid w:val="007B2FD8"/>
    <w:rsid w:val="007B33E3"/>
    <w:rsid w:val="007B3968"/>
    <w:rsid w:val="007B45AF"/>
    <w:rsid w:val="007B4DD0"/>
    <w:rsid w:val="007B611E"/>
    <w:rsid w:val="007B662A"/>
    <w:rsid w:val="007B71DC"/>
    <w:rsid w:val="007B7343"/>
    <w:rsid w:val="007B7743"/>
    <w:rsid w:val="007C04F4"/>
    <w:rsid w:val="007C0FCB"/>
    <w:rsid w:val="007C2139"/>
    <w:rsid w:val="007C27A1"/>
    <w:rsid w:val="007C27DE"/>
    <w:rsid w:val="007C299E"/>
    <w:rsid w:val="007C525F"/>
    <w:rsid w:val="007C5321"/>
    <w:rsid w:val="007C53BC"/>
    <w:rsid w:val="007C5E8A"/>
    <w:rsid w:val="007C5F4B"/>
    <w:rsid w:val="007C6AAB"/>
    <w:rsid w:val="007C7B84"/>
    <w:rsid w:val="007D0549"/>
    <w:rsid w:val="007D0C4D"/>
    <w:rsid w:val="007D1FE9"/>
    <w:rsid w:val="007D28C9"/>
    <w:rsid w:val="007D326B"/>
    <w:rsid w:val="007D38F0"/>
    <w:rsid w:val="007D3CC8"/>
    <w:rsid w:val="007D430A"/>
    <w:rsid w:val="007D47FB"/>
    <w:rsid w:val="007D4DD3"/>
    <w:rsid w:val="007D576A"/>
    <w:rsid w:val="007D62F9"/>
    <w:rsid w:val="007D63A4"/>
    <w:rsid w:val="007D6542"/>
    <w:rsid w:val="007D663C"/>
    <w:rsid w:val="007E06E7"/>
    <w:rsid w:val="007E1AA2"/>
    <w:rsid w:val="007E1F2C"/>
    <w:rsid w:val="007E279D"/>
    <w:rsid w:val="007E2D69"/>
    <w:rsid w:val="007E3B9A"/>
    <w:rsid w:val="007E3EEF"/>
    <w:rsid w:val="007E46E8"/>
    <w:rsid w:val="007E470F"/>
    <w:rsid w:val="007E4C1F"/>
    <w:rsid w:val="007E5F72"/>
    <w:rsid w:val="007E77ED"/>
    <w:rsid w:val="007E7DD2"/>
    <w:rsid w:val="007F01DE"/>
    <w:rsid w:val="007F0759"/>
    <w:rsid w:val="007F0BCC"/>
    <w:rsid w:val="007F156E"/>
    <w:rsid w:val="007F1CF3"/>
    <w:rsid w:val="007F25C0"/>
    <w:rsid w:val="007F30BB"/>
    <w:rsid w:val="007F564B"/>
    <w:rsid w:val="007F5F52"/>
    <w:rsid w:val="007F672A"/>
    <w:rsid w:val="007F6A1D"/>
    <w:rsid w:val="007F77C6"/>
    <w:rsid w:val="007F79D4"/>
    <w:rsid w:val="008003A1"/>
    <w:rsid w:val="008006B7"/>
    <w:rsid w:val="00800FDB"/>
    <w:rsid w:val="00802081"/>
    <w:rsid w:val="008020F6"/>
    <w:rsid w:val="0080298E"/>
    <w:rsid w:val="00803833"/>
    <w:rsid w:val="008039DA"/>
    <w:rsid w:val="00804316"/>
    <w:rsid w:val="008044F8"/>
    <w:rsid w:val="00805852"/>
    <w:rsid w:val="00806461"/>
    <w:rsid w:val="008064C1"/>
    <w:rsid w:val="00810919"/>
    <w:rsid w:val="0081096D"/>
    <w:rsid w:val="00810EAD"/>
    <w:rsid w:val="00811833"/>
    <w:rsid w:val="008128AE"/>
    <w:rsid w:val="00814BDE"/>
    <w:rsid w:val="00814DBC"/>
    <w:rsid w:val="00815197"/>
    <w:rsid w:val="00816FAD"/>
    <w:rsid w:val="008174D4"/>
    <w:rsid w:val="0082002E"/>
    <w:rsid w:val="0082083C"/>
    <w:rsid w:val="00820C54"/>
    <w:rsid w:val="00820F37"/>
    <w:rsid w:val="00820FE6"/>
    <w:rsid w:val="00821A66"/>
    <w:rsid w:val="00821DBF"/>
    <w:rsid w:val="00822476"/>
    <w:rsid w:val="00822882"/>
    <w:rsid w:val="00822A1E"/>
    <w:rsid w:val="008238C7"/>
    <w:rsid w:val="00825268"/>
    <w:rsid w:val="00825698"/>
    <w:rsid w:val="0082571C"/>
    <w:rsid w:val="00825A7F"/>
    <w:rsid w:val="00825B94"/>
    <w:rsid w:val="00825BB4"/>
    <w:rsid w:val="00825F68"/>
    <w:rsid w:val="00826686"/>
    <w:rsid w:val="008273D2"/>
    <w:rsid w:val="00827EC3"/>
    <w:rsid w:val="00830E92"/>
    <w:rsid w:val="008315BB"/>
    <w:rsid w:val="008320ED"/>
    <w:rsid w:val="00832A0F"/>
    <w:rsid w:val="00832E59"/>
    <w:rsid w:val="008336E4"/>
    <w:rsid w:val="0083386E"/>
    <w:rsid w:val="008353D5"/>
    <w:rsid w:val="00835408"/>
    <w:rsid w:val="008358A2"/>
    <w:rsid w:val="008359DA"/>
    <w:rsid w:val="00836CB8"/>
    <w:rsid w:val="00837CEF"/>
    <w:rsid w:val="00837E2F"/>
    <w:rsid w:val="00840035"/>
    <w:rsid w:val="00842661"/>
    <w:rsid w:val="008428A9"/>
    <w:rsid w:val="00844112"/>
    <w:rsid w:val="00844911"/>
    <w:rsid w:val="00844D3D"/>
    <w:rsid w:val="008456C9"/>
    <w:rsid w:val="008456DB"/>
    <w:rsid w:val="0084611D"/>
    <w:rsid w:val="00846177"/>
    <w:rsid w:val="00846182"/>
    <w:rsid w:val="0084654D"/>
    <w:rsid w:val="00846C9F"/>
    <w:rsid w:val="00846D60"/>
    <w:rsid w:val="008474FB"/>
    <w:rsid w:val="00847BD6"/>
    <w:rsid w:val="00850137"/>
    <w:rsid w:val="00850C62"/>
    <w:rsid w:val="00850D60"/>
    <w:rsid w:val="00851284"/>
    <w:rsid w:val="008527D2"/>
    <w:rsid w:val="00852B48"/>
    <w:rsid w:val="0085474D"/>
    <w:rsid w:val="00856481"/>
    <w:rsid w:val="008567A2"/>
    <w:rsid w:val="00856E6C"/>
    <w:rsid w:val="00857DE1"/>
    <w:rsid w:val="00860793"/>
    <w:rsid w:val="00862319"/>
    <w:rsid w:val="00862510"/>
    <w:rsid w:val="0086274D"/>
    <w:rsid w:val="00863011"/>
    <w:rsid w:val="00863278"/>
    <w:rsid w:val="0086334C"/>
    <w:rsid w:val="00863C5B"/>
    <w:rsid w:val="00863D2E"/>
    <w:rsid w:val="00864E32"/>
    <w:rsid w:val="00865075"/>
    <w:rsid w:val="0086615F"/>
    <w:rsid w:val="0086748F"/>
    <w:rsid w:val="008677A6"/>
    <w:rsid w:val="00872757"/>
    <w:rsid w:val="00872CE4"/>
    <w:rsid w:val="00872DF5"/>
    <w:rsid w:val="008732D2"/>
    <w:rsid w:val="00873AA4"/>
    <w:rsid w:val="00873CA8"/>
    <w:rsid w:val="00873D14"/>
    <w:rsid w:val="00873F5D"/>
    <w:rsid w:val="0087494A"/>
    <w:rsid w:val="0087570C"/>
    <w:rsid w:val="008773BA"/>
    <w:rsid w:val="00877B62"/>
    <w:rsid w:val="00881015"/>
    <w:rsid w:val="008810B0"/>
    <w:rsid w:val="00881665"/>
    <w:rsid w:val="008819B6"/>
    <w:rsid w:val="00881AAC"/>
    <w:rsid w:val="008836B7"/>
    <w:rsid w:val="00883F7C"/>
    <w:rsid w:val="008841D3"/>
    <w:rsid w:val="0088458A"/>
    <w:rsid w:val="00884987"/>
    <w:rsid w:val="00884B3D"/>
    <w:rsid w:val="00884BE0"/>
    <w:rsid w:val="00887BF9"/>
    <w:rsid w:val="00887DE6"/>
    <w:rsid w:val="008907FF"/>
    <w:rsid w:val="00891979"/>
    <w:rsid w:val="00891C12"/>
    <w:rsid w:val="00891E80"/>
    <w:rsid w:val="0089214A"/>
    <w:rsid w:val="00892226"/>
    <w:rsid w:val="008922FA"/>
    <w:rsid w:val="00892D3E"/>
    <w:rsid w:val="008936DC"/>
    <w:rsid w:val="00893E53"/>
    <w:rsid w:val="008945EB"/>
    <w:rsid w:val="00894C2A"/>
    <w:rsid w:val="00895389"/>
    <w:rsid w:val="0089690B"/>
    <w:rsid w:val="00896A5F"/>
    <w:rsid w:val="0089728F"/>
    <w:rsid w:val="008976C0"/>
    <w:rsid w:val="00897708"/>
    <w:rsid w:val="008977DD"/>
    <w:rsid w:val="00897C59"/>
    <w:rsid w:val="00897D88"/>
    <w:rsid w:val="008A09A8"/>
    <w:rsid w:val="008A0BBC"/>
    <w:rsid w:val="008A17AF"/>
    <w:rsid w:val="008A1ED9"/>
    <w:rsid w:val="008A28D4"/>
    <w:rsid w:val="008A2C65"/>
    <w:rsid w:val="008A2C8A"/>
    <w:rsid w:val="008A2F16"/>
    <w:rsid w:val="008A3285"/>
    <w:rsid w:val="008A36AE"/>
    <w:rsid w:val="008A48C3"/>
    <w:rsid w:val="008A4E18"/>
    <w:rsid w:val="008A520C"/>
    <w:rsid w:val="008A5493"/>
    <w:rsid w:val="008A596C"/>
    <w:rsid w:val="008A5BC0"/>
    <w:rsid w:val="008A64C4"/>
    <w:rsid w:val="008A6BF7"/>
    <w:rsid w:val="008A6C54"/>
    <w:rsid w:val="008A6CC1"/>
    <w:rsid w:val="008A72FB"/>
    <w:rsid w:val="008A7F03"/>
    <w:rsid w:val="008B0EA9"/>
    <w:rsid w:val="008B1823"/>
    <w:rsid w:val="008B1B4E"/>
    <w:rsid w:val="008B2451"/>
    <w:rsid w:val="008B2BDF"/>
    <w:rsid w:val="008B4198"/>
    <w:rsid w:val="008B586A"/>
    <w:rsid w:val="008B64AC"/>
    <w:rsid w:val="008B6651"/>
    <w:rsid w:val="008B6E16"/>
    <w:rsid w:val="008B7031"/>
    <w:rsid w:val="008B7110"/>
    <w:rsid w:val="008B783B"/>
    <w:rsid w:val="008B7A20"/>
    <w:rsid w:val="008C0DF9"/>
    <w:rsid w:val="008C2029"/>
    <w:rsid w:val="008C267C"/>
    <w:rsid w:val="008C2E44"/>
    <w:rsid w:val="008C3427"/>
    <w:rsid w:val="008C3BC2"/>
    <w:rsid w:val="008C40A4"/>
    <w:rsid w:val="008C4F76"/>
    <w:rsid w:val="008C55AD"/>
    <w:rsid w:val="008C5774"/>
    <w:rsid w:val="008C61D6"/>
    <w:rsid w:val="008C649D"/>
    <w:rsid w:val="008C64F1"/>
    <w:rsid w:val="008C739A"/>
    <w:rsid w:val="008C7C1A"/>
    <w:rsid w:val="008D0DC1"/>
    <w:rsid w:val="008D1BB0"/>
    <w:rsid w:val="008D20FF"/>
    <w:rsid w:val="008D2B9A"/>
    <w:rsid w:val="008D35D1"/>
    <w:rsid w:val="008D3DE6"/>
    <w:rsid w:val="008D4223"/>
    <w:rsid w:val="008D44CC"/>
    <w:rsid w:val="008D46E3"/>
    <w:rsid w:val="008D4CED"/>
    <w:rsid w:val="008D50F9"/>
    <w:rsid w:val="008D5CAF"/>
    <w:rsid w:val="008D6709"/>
    <w:rsid w:val="008D77FB"/>
    <w:rsid w:val="008E083A"/>
    <w:rsid w:val="008E12AD"/>
    <w:rsid w:val="008E1760"/>
    <w:rsid w:val="008E2152"/>
    <w:rsid w:val="008E22FF"/>
    <w:rsid w:val="008E2450"/>
    <w:rsid w:val="008E2C23"/>
    <w:rsid w:val="008E379C"/>
    <w:rsid w:val="008E3F27"/>
    <w:rsid w:val="008E47EF"/>
    <w:rsid w:val="008E4E6E"/>
    <w:rsid w:val="008E5DB7"/>
    <w:rsid w:val="008E61EB"/>
    <w:rsid w:val="008E7896"/>
    <w:rsid w:val="008E79C7"/>
    <w:rsid w:val="008E7B6F"/>
    <w:rsid w:val="008E7C9D"/>
    <w:rsid w:val="008E7D8A"/>
    <w:rsid w:val="008F0294"/>
    <w:rsid w:val="008F14C7"/>
    <w:rsid w:val="008F18CE"/>
    <w:rsid w:val="008F1E9E"/>
    <w:rsid w:val="008F2165"/>
    <w:rsid w:val="008F2477"/>
    <w:rsid w:val="008F3879"/>
    <w:rsid w:val="008F3BAB"/>
    <w:rsid w:val="008F47B3"/>
    <w:rsid w:val="008F51AA"/>
    <w:rsid w:val="008F5442"/>
    <w:rsid w:val="008F619D"/>
    <w:rsid w:val="008F653E"/>
    <w:rsid w:val="008F7769"/>
    <w:rsid w:val="008F7F64"/>
    <w:rsid w:val="009004FE"/>
    <w:rsid w:val="00900EEF"/>
    <w:rsid w:val="00901014"/>
    <w:rsid w:val="009010F0"/>
    <w:rsid w:val="00901162"/>
    <w:rsid w:val="00901B53"/>
    <w:rsid w:val="0090223A"/>
    <w:rsid w:val="009028E2"/>
    <w:rsid w:val="009039FE"/>
    <w:rsid w:val="00903E9A"/>
    <w:rsid w:val="00904813"/>
    <w:rsid w:val="009048A5"/>
    <w:rsid w:val="00905404"/>
    <w:rsid w:val="00906478"/>
    <w:rsid w:val="00906753"/>
    <w:rsid w:val="00907264"/>
    <w:rsid w:val="0090765F"/>
    <w:rsid w:val="00907818"/>
    <w:rsid w:val="00911305"/>
    <w:rsid w:val="00912590"/>
    <w:rsid w:val="00912C8C"/>
    <w:rsid w:val="00913200"/>
    <w:rsid w:val="00914AD9"/>
    <w:rsid w:val="00914EAB"/>
    <w:rsid w:val="009151AE"/>
    <w:rsid w:val="009152D8"/>
    <w:rsid w:val="00915A1D"/>
    <w:rsid w:val="00920125"/>
    <w:rsid w:val="009206E8"/>
    <w:rsid w:val="0092083C"/>
    <w:rsid w:val="00922567"/>
    <w:rsid w:val="009228DB"/>
    <w:rsid w:val="00922D49"/>
    <w:rsid w:val="009236B9"/>
    <w:rsid w:val="00925E37"/>
    <w:rsid w:val="00925EDD"/>
    <w:rsid w:val="00925F20"/>
    <w:rsid w:val="0092733D"/>
    <w:rsid w:val="009275AC"/>
    <w:rsid w:val="00927899"/>
    <w:rsid w:val="00927D0E"/>
    <w:rsid w:val="00927E26"/>
    <w:rsid w:val="009309DA"/>
    <w:rsid w:val="00931040"/>
    <w:rsid w:val="00931663"/>
    <w:rsid w:val="00931D22"/>
    <w:rsid w:val="0093246E"/>
    <w:rsid w:val="00932CC7"/>
    <w:rsid w:val="00933FB7"/>
    <w:rsid w:val="00935306"/>
    <w:rsid w:val="00936688"/>
    <w:rsid w:val="009367F5"/>
    <w:rsid w:val="00936D8E"/>
    <w:rsid w:val="00937683"/>
    <w:rsid w:val="00937AC9"/>
    <w:rsid w:val="00937CFA"/>
    <w:rsid w:val="00940291"/>
    <w:rsid w:val="009403A6"/>
    <w:rsid w:val="009406B3"/>
    <w:rsid w:val="00942286"/>
    <w:rsid w:val="00943748"/>
    <w:rsid w:val="00943CEE"/>
    <w:rsid w:val="009444F4"/>
    <w:rsid w:val="00944674"/>
    <w:rsid w:val="00945CC4"/>
    <w:rsid w:val="00945CF5"/>
    <w:rsid w:val="0094691C"/>
    <w:rsid w:val="00947C95"/>
    <w:rsid w:val="00947EED"/>
    <w:rsid w:val="009500A1"/>
    <w:rsid w:val="0095037E"/>
    <w:rsid w:val="009510D0"/>
    <w:rsid w:val="009511C9"/>
    <w:rsid w:val="00951D97"/>
    <w:rsid w:val="00952230"/>
    <w:rsid w:val="00952266"/>
    <w:rsid w:val="009523F7"/>
    <w:rsid w:val="00952AAD"/>
    <w:rsid w:val="00953B2B"/>
    <w:rsid w:val="00954567"/>
    <w:rsid w:val="009547B3"/>
    <w:rsid w:val="00954A89"/>
    <w:rsid w:val="00956671"/>
    <w:rsid w:val="00957466"/>
    <w:rsid w:val="009576F7"/>
    <w:rsid w:val="00960722"/>
    <w:rsid w:val="00961356"/>
    <w:rsid w:val="00962401"/>
    <w:rsid w:val="00962510"/>
    <w:rsid w:val="0096260B"/>
    <w:rsid w:val="0096275C"/>
    <w:rsid w:val="009627FF"/>
    <w:rsid w:val="00962A27"/>
    <w:rsid w:val="00962B9D"/>
    <w:rsid w:val="00962EDC"/>
    <w:rsid w:val="009631D5"/>
    <w:rsid w:val="00964E3D"/>
    <w:rsid w:val="009664D5"/>
    <w:rsid w:val="0096705C"/>
    <w:rsid w:val="00967070"/>
    <w:rsid w:val="009670B3"/>
    <w:rsid w:val="009670C1"/>
    <w:rsid w:val="00967657"/>
    <w:rsid w:val="00970C69"/>
    <w:rsid w:val="00971F1C"/>
    <w:rsid w:val="0097211D"/>
    <w:rsid w:val="00972217"/>
    <w:rsid w:val="009724F9"/>
    <w:rsid w:val="0097263C"/>
    <w:rsid w:val="00972DF9"/>
    <w:rsid w:val="00972E10"/>
    <w:rsid w:val="009738AD"/>
    <w:rsid w:val="0097408E"/>
    <w:rsid w:val="00974694"/>
    <w:rsid w:val="009746CA"/>
    <w:rsid w:val="00974847"/>
    <w:rsid w:val="00974E7C"/>
    <w:rsid w:val="00977134"/>
    <w:rsid w:val="00980013"/>
    <w:rsid w:val="00980E65"/>
    <w:rsid w:val="00981242"/>
    <w:rsid w:val="00981963"/>
    <w:rsid w:val="009831B9"/>
    <w:rsid w:val="00983C82"/>
    <w:rsid w:val="009844D6"/>
    <w:rsid w:val="00984520"/>
    <w:rsid w:val="0098521C"/>
    <w:rsid w:val="0098545C"/>
    <w:rsid w:val="00985B68"/>
    <w:rsid w:val="009862F1"/>
    <w:rsid w:val="00987160"/>
    <w:rsid w:val="009871EA"/>
    <w:rsid w:val="00991675"/>
    <w:rsid w:val="00991A56"/>
    <w:rsid w:val="00992BA2"/>
    <w:rsid w:val="00992F83"/>
    <w:rsid w:val="0099344F"/>
    <w:rsid w:val="00993A3C"/>
    <w:rsid w:val="009945D1"/>
    <w:rsid w:val="0099508A"/>
    <w:rsid w:val="009974EB"/>
    <w:rsid w:val="00997A12"/>
    <w:rsid w:val="00997C5A"/>
    <w:rsid w:val="009A1126"/>
    <w:rsid w:val="009A1191"/>
    <w:rsid w:val="009A12C1"/>
    <w:rsid w:val="009A22B5"/>
    <w:rsid w:val="009A3662"/>
    <w:rsid w:val="009A5564"/>
    <w:rsid w:val="009A7469"/>
    <w:rsid w:val="009A7486"/>
    <w:rsid w:val="009A7E97"/>
    <w:rsid w:val="009B07EE"/>
    <w:rsid w:val="009B1584"/>
    <w:rsid w:val="009B1B32"/>
    <w:rsid w:val="009B21CA"/>
    <w:rsid w:val="009B2648"/>
    <w:rsid w:val="009B424E"/>
    <w:rsid w:val="009B4317"/>
    <w:rsid w:val="009B4EBB"/>
    <w:rsid w:val="009B529C"/>
    <w:rsid w:val="009B69A9"/>
    <w:rsid w:val="009B6EC4"/>
    <w:rsid w:val="009B7332"/>
    <w:rsid w:val="009B7420"/>
    <w:rsid w:val="009B7B46"/>
    <w:rsid w:val="009C0294"/>
    <w:rsid w:val="009C03E5"/>
    <w:rsid w:val="009C08B6"/>
    <w:rsid w:val="009C0920"/>
    <w:rsid w:val="009C12C3"/>
    <w:rsid w:val="009C196C"/>
    <w:rsid w:val="009C1B5C"/>
    <w:rsid w:val="009C36E6"/>
    <w:rsid w:val="009C3730"/>
    <w:rsid w:val="009C37BD"/>
    <w:rsid w:val="009C3888"/>
    <w:rsid w:val="009C3AAC"/>
    <w:rsid w:val="009C4664"/>
    <w:rsid w:val="009C4D19"/>
    <w:rsid w:val="009C5A4C"/>
    <w:rsid w:val="009C5F6C"/>
    <w:rsid w:val="009C5FDB"/>
    <w:rsid w:val="009C693E"/>
    <w:rsid w:val="009C6B2C"/>
    <w:rsid w:val="009C6ED6"/>
    <w:rsid w:val="009C7012"/>
    <w:rsid w:val="009C70CB"/>
    <w:rsid w:val="009C7623"/>
    <w:rsid w:val="009D14EB"/>
    <w:rsid w:val="009D16DB"/>
    <w:rsid w:val="009D1B18"/>
    <w:rsid w:val="009D1E70"/>
    <w:rsid w:val="009D1EA4"/>
    <w:rsid w:val="009D27AA"/>
    <w:rsid w:val="009D2B99"/>
    <w:rsid w:val="009D2BFD"/>
    <w:rsid w:val="009D2FF8"/>
    <w:rsid w:val="009D33DF"/>
    <w:rsid w:val="009D3F20"/>
    <w:rsid w:val="009D428F"/>
    <w:rsid w:val="009D4991"/>
    <w:rsid w:val="009D5222"/>
    <w:rsid w:val="009D52F9"/>
    <w:rsid w:val="009D597B"/>
    <w:rsid w:val="009D5BB5"/>
    <w:rsid w:val="009D683D"/>
    <w:rsid w:val="009D696D"/>
    <w:rsid w:val="009D6993"/>
    <w:rsid w:val="009D6D63"/>
    <w:rsid w:val="009D6ED2"/>
    <w:rsid w:val="009D742A"/>
    <w:rsid w:val="009D7B7B"/>
    <w:rsid w:val="009D7C40"/>
    <w:rsid w:val="009E08B3"/>
    <w:rsid w:val="009E0F1A"/>
    <w:rsid w:val="009E1248"/>
    <w:rsid w:val="009E140D"/>
    <w:rsid w:val="009E43DD"/>
    <w:rsid w:val="009E4465"/>
    <w:rsid w:val="009E4976"/>
    <w:rsid w:val="009E5318"/>
    <w:rsid w:val="009E5ABE"/>
    <w:rsid w:val="009E6401"/>
    <w:rsid w:val="009E6C54"/>
    <w:rsid w:val="009F04C8"/>
    <w:rsid w:val="009F0812"/>
    <w:rsid w:val="009F0E02"/>
    <w:rsid w:val="009F248B"/>
    <w:rsid w:val="009F2952"/>
    <w:rsid w:val="009F2A25"/>
    <w:rsid w:val="009F3A1A"/>
    <w:rsid w:val="009F4C7D"/>
    <w:rsid w:val="009F5235"/>
    <w:rsid w:val="009F531A"/>
    <w:rsid w:val="009F6344"/>
    <w:rsid w:val="009F6550"/>
    <w:rsid w:val="009F6B65"/>
    <w:rsid w:val="009F7021"/>
    <w:rsid w:val="009F786E"/>
    <w:rsid w:val="00A00034"/>
    <w:rsid w:val="00A00902"/>
    <w:rsid w:val="00A0098B"/>
    <w:rsid w:val="00A0294E"/>
    <w:rsid w:val="00A039FF"/>
    <w:rsid w:val="00A03EFB"/>
    <w:rsid w:val="00A04524"/>
    <w:rsid w:val="00A05365"/>
    <w:rsid w:val="00A05ACE"/>
    <w:rsid w:val="00A114B9"/>
    <w:rsid w:val="00A11C85"/>
    <w:rsid w:val="00A136E8"/>
    <w:rsid w:val="00A13A65"/>
    <w:rsid w:val="00A14589"/>
    <w:rsid w:val="00A14AE3"/>
    <w:rsid w:val="00A16675"/>
    <w:rsid w:val="00A17CC7"/>
    <w:rsid w:val="00A21955"/>
    <w:rsid w:val="00A22CD6"/>
    <w:rsid w:val="00A23105"/>
    <w:rsid w:val="00A234EC"/>
    <w:rsid w:val="00A23F83"/>
    <w:rsid w:val="00A24128"/>
    <w:rsid w:val="00A2417A"/>
    <w:rsid w:val="00A2469D"/>
    <w:rsid w:val="00A25642"/>
    <w:rsid w:val="00A26668"/>
    <w:rsid w:val="00A2681F"/>
    <w:rsid w:val="00A274F4"/>
    <w:rsid w:val="00A27804"/>
    <w:rsid w:val="00A27C85"/>
    <w:rsid w:val="00A3276D"/>
    <w:rsid w:val="00A334D1"/>
    <w:rsid w:val="00A336F1"/>
    <w:rsid w:val="00A34257"/>
    <w:rsid w:val="00A34ABB"/>
    <w:rsid w:val="00A35BF0"/>
    <w:rsid w:val="00A3655D"/>
    <w:rsid w:val="00A36822"/>
    <w:rsid w:val="00A36AB5"/>
    <w:rsid w:val="00A374FD"/>
    <w:rsid w:val="00A3754B"/>
    <w:rsid w:val="00A378AC"/>
    <w:rsid w:val="00A402DD"/>
    <w:rsid w:val="00A40448"/>
    <w:rsid w:val="00A4069E"/>
    <w:rsid w:val="00A40BBF"/>
    <w:rsid w:val="00A411D1"/>
    <w:rsid w:val="00A43389"/>
    <w:rsid w:val="00A434A7"/>
    <w:rsid w:val="00A43E71"/>
    <w:rsid w:val="00A45753"/>
    <w:rsid w:val="00A457B8"/>
    <w:rsid w:val="00A47B15"/>
    <w:rsid w:val="00A5094A"/>
    <w:rsid w:val="00A51502"/>
    <w:rsid w:val="00A5153D"/>
    <w:rsid w:val="00A51708"/>
    <w:rsid w:val="00A52F84"/>
    <w:rsid w:val="00A53135"/>
    <w:rsid w:val="00A533CC"/>
    <w:rsid w:val="00A5358C"/>
    <w:rsid w:val="00A54284"/>
    <w:rsid w:val="00A5465A"/>
    <w:rsid w:val="00A54FB5"/>
    <w:rsid w:val="00A56B05"/>
    <w:rsid w:val="00A56C06"/>
    <w:rsid w:val="00A56E50"/>
    <w:rsid w:val="00A5726C"/>
    <w:rsid w:val="00A57678"/>
    <w:rsid w:val="00A57972"/>
    <w:rsid w:val="00A579F5"/>
    <w:rsid w:val="00A57F83"/>
    <w:rsid w:val="00A60E2F"/>
    <w:rsid w:val="00A61372"/>
    <w:rsid w:val="00A627AD"/>
    <w:rsid w:val="00A63246"/>
    <w:rsid w:val="00A63284"/>
    <w:rsid w:val="00A63458"/>
    <w:rsid w:val="00A6372D"/>
    <w:rsid w:val="00A64CB8"/>
    <w:rsid w:val="00A64FF2"/>
    <w:rsid w:val="00A6576D"/>
    <w:rsid w:val="00A66065"/>
    <w:rsid w:val="00A66291"/>
    <w:rsid w:val="00A66BB5"/>
    <w:rsid w:val="00A66BDE"/>
    <w:rsid w:val="00A67018"/>
    <w:rsid w:val="00A671D2"/>
    <w:rsid w:val="00A67289"/>
    <w:rsid w:val="00A672F3"/>
    <w:rsid w:val="00A673DC"/>
    <w:rsid w:val="00A67E73"/>
    <w:rsid w:val="00A7076E"/>
    <w:rsid w:val="00A709BE"/>
    <w:rsid w:val="00A70D85"/>
    <w:rsid w:val="00A7162E"/>
    <w:rsid w:val="00A720A4"/>
    <w:rsid w:val="00A72D71"/>
    <w:rsid w:val="00A73112"/>
    <w:rsid w:val="00A73617"/>
    <w:rsid w:val="00A747D2"/>
    <w:rsid w:val="00A75123"/>
    <w:rsid w:val="00A75705"/>
    <w:rsid w:val="00A75F35"/>
    <w:rsid w:val="00A7638B"/>
    <w:rsid w:val="00A765A9"/>
    <w:rsid w:val="00A77C69"/>
    <w:rsid w:val="00A807D9"/>
    <w:rsid w:val="00A812B1"/>
    <w:rsid w:val="00A81CA6"/>
    <w:rsid w:val="00A82C61"/>
    <w:rsid w:val="00A8301B"/>
    <w:rsid w:val="00A83049"/>
    <w:rsid w:val="00A8368D"/>
    <w:rsid w:val="00A83945"/>
    <w:rsid w:val="00A83953"/>
    <w:rsid w:val="00A83CD7"/>
    <w:rsid w:val="00A8400B"/>
    <w:rsid w:val="00A8416A"/>
    <w:rsid w:val="00A846DA"/>
    <w:rsid w:val="00A853D8"/>
    <w:rsid w:val="00A855EC"/>
    <w:rsid w:val="00A85DBF"/>
    <w:rsid w:val="00A8661E"/>
    <w:rsid w:val="00A8695A"/>
    <w:rsid w:val="00A86ACF"/>
    <w:rsid w:val="00A8708E"/>
    <w:rsid w:val="00A903B6"/>
    <w:rsid w:val="00A90F4F"/>
    <w:rsid w:val="00A910B1"/>
    <w:rsid w:val="00A923DA"/>
    <w:rsid w:val="00A92579"/>
    <w:rsid w:val="00A936F9"/>
    <w:rsid w:val="00A947AA"/>
    <w:rsid w:val="00A94888"/>
    <w:rsid w:val="00A9645D"/>
    <w:rsid w:val="00A9681C"/>
    <w:rsid w:val="00A96867"/>
    <w:rsid w:val="00A96B3D"/>
    <w:rsid w:val="00AA0467"/>
    <w:rsid w:val="00AA1B53"/>
    <w:rsid w:val="00AA1DEA"/>
    <w:rsid w:val="00AA256D"/>
    <w:rsid w:val="00AA311D"/>
    <w:rsid w:val="00AA3556"/>
    <w:rsid w:val="00AA35FD"/>
    <w:rsid w:val="00AA3DB7"/>
    <w:rsid w:val="00AA41D3"/>
    <w:rsid w:val="00AB0039"/>
    <w:rsid w:val="00AB0D96"/>
    <w:rsid w:val="00AB15A3"/>
    <w:rsid w:val="00AB177A"/>
    <w:rsid w:val="00AB216D"/>
    <w:rsid w:val="00AB3012"/>
    <w:rsid w:val="00AB321C"/>
    <w:rsid w:val="00AB473F"/>
    <w:rsid w:val="00AB4C91"/>
    <w:rsid w:val="00AB4E3B"/>
    <w:rsid w:val="00AB5381"/>
    <w:rsid w:val="00AB6564"/>
    <w:rsid w:val="00AB688F"/>
    <w:rsid w:val="00AB75EA"/>
    <w:rsid w:val="00AB7AA2"/>
    <w:rsid w:val="00AC0A22"/>
    <w:rsid w:val="00AC0FAA"/>
    <w:rsid w:val="00AC1515"/>
    <w:rsid w:val="00AC2234"/>
    <w:rsid w:val="00AC3FF3"/>
    <w:rsid w:val="00AC4BC1"/>
    <w:rsid w:val="00AC5715"/>
    <w:rsid w:val="00AD04BD"/>
    <w:rsid w:val="00AD0765"/>
    <w:rsid w:val="00AD0F00"/>
    <w:rsid w:val="00AD40E8"/>
    <w:rsid w:val="00AD55A8"/>
    <w:rsid w:val="00AD5CA4"/>
    <w:rsid w:val="00AD5CCC"/>
    <w:rsid w:val="00AD5EB5"/>
    <w:rsid w:val="00AD6A91"/>
    <w:rsid w:val="00AD6B02"/>
    <w:rsid w:val="00AD6C25"/>
    <w:rsid w:val="00AD7214"/>
    <w:rsid w:val="00AE04DB"/>
    <w:rsid w:val="00AE1066"/>
    <w:rsid w:val="00AE14DD"/>
    <w:rsid w:val="00AE289A"/>
    <w:rsid w:val="00AE2FA5"/>
    <w:rsid w:val="00AE3A4F"/>
    <w:rsid w:val="00AE3E30"/>
    <w:rsid w:val="00AE4518"/>
    <w:rsid w:val="00AE5D7F"/>
    <w:rsid w:val="00AE79F0"/>
    <w:rsid w:val="00AF07B0"/>
    <w:rsid w:val="00AF0FAB"/>
    <w:rsid w:val="00AF109C"/>
    <w:rsid w:val="00AF130E"/>
    <w:rsid w:val="00AF14CE"/>
    <w:rsid w:val="00AF1752"/>
    <w:rsid w:val="00AF42FC"/>
    <w:rsid w:val="00AF4AC5"/>
    <w:rsid w:val="00AF4C2C"/>
    <w:rsid w:val="00AF53E5"/>
    <w:rsid w:val="00AF597D"/>
    <w:rsid w:val="00AF5FD2"/>
    <w:rsid w:val="00AF6878"/>
    <w:rsid w:val="00AF6EC1"/>
    <w:rsid w:val="00AF784D"/>
    <w:rsid w:val="00AF7CE9"/>
    <w:rsid w:val="00B00331"/>
    <w:rsid w:val="00B014A1"/>
    <w:rsid w:val="00B01A80"/>
    <w:rsid w:val="00B02F9C"/>
    <w:rsid w:val="00B046AF"/>
    <w:rsid w:val="00B052B4"/>
    <w:rsid w:val="00B06036"/>
    <w:rsid w:val="00B061B4"/>
    <w:rsid w:val="00B07C27"/>
    <w:rsid w:val="00B07DCF"/>
    <w:rsid w:val="00B07FB2"/>
    <w:rsid w:val="00B10017"/>
    <w:rsid w:val="00B1004A"/>
    <w:rsid w:val="00B101CE"/>
    <w:rsid w:val="00B109D0"/>
    <w:rsid w:val="00B10DE1"/>
    <w:rsid w:val="00B10FF8"/>
    <w:rsid w:val="00B11E02"/>
    <w:rsid w:val="00B12F0D"/>
    <w:rsid w:val="00B13A85"/>
    <w:rsid w:val="00B13BC7"/>
    <w:rsid w:val="00B13CD4"/>
    <w:rsid w:val="00B153D8"/>
    <w:rsid w:val="00B154DE"/>
    <w:rsid w:val="00B15814"/>
    <w:rsid w:val="00B15AA4"/>
    <w:rsid w:val="00B17B14"/>
    <w:rsid w:val="00B203C4"/>
    <w:rsid w:val="00B20643"/>
    <w:rsid w:val="00B20863"/>
    <w:rsid w:val="00B20BEC"/>
    <w:rsid w:val="00B20CDD"/>
    <w:rsid w:val="00B223EB"/>
    <w:rsid w:val="00B22683"/>
    <w:rsid w:val="00B22BC9"/>
    <w:rsid w:val="00B22E81"/>
    <w:rsid w:val="00B232FE"/>
    <w:rsid w:val="00B23996"/>
    <w:rsid w:val="00B23A8A"/>
    <w:rsid w:val="00B23CB2"/>
    <w:rsid w:val="00B240CC"/>
    <w:rsid w:val="00B24E14"/>
    <w:rsid w:val="00B2561A"/>
    <w:rsid w:val="00B256C1"/>
    <w:rsid w:val="00B25A64"/>
    <w:rsid w:val="00B25B94"/>
    <w:rsid w:val="00B271F2"/>
    <w:rsid w:val="00B31884"/>
    <w:rsid w:val="00B31D19"/>
    <w:rsid w:val="00B321BE"/>
    <w:rsid w:val="00B32AB3"/>
    <w:rsid w:val="00B32DAE"/>
    <w:rsid w:val="00B32F23"/>
    <w:rsid w:val="00B3351C"/>
    <w:rsid w:val="00B33825"/>
    <w:rsid w:val="00B34BB2"/>
    <w:rsid w:val="00B34E7C"/>
    <w:rsid w:val="00B35AF6"/>
    <w:rsid w:val="00B36228"/>
    <w:rsid w:val="00B366A3"/>
    <w:rsid w:val="00B368EA"/>
    <w:rsid w:val="00B37EEF"/>
    <w:rsid w:val="00B418AD"/>
    <w:rsid w:val="00B41C70"/>
    <w:rsid w:val="00B42C09"/>
    <w:rsid w:val="00B42F1A"/>
    <w:rsid w:val="00B43790"/>
    <w:rsid w:val="00B443D9"/>
    <w:rsid w:val="00B44531"/>
    <w:rsid w:val="00B449AC"/>
    <w:rsid w:val="00B45120"/>
    <w:rsid w:val="00B46521"/>
    <w:rsid w:val="00B46587"/>
    <w:rsid w:val="00B47AD2"/>
    <w:rsid w:val="00B47CF7"/>
    <w:rsid w:val="00B50686"/>
    <w:rsid w:val="00B50C50"/>
    <w:rsid w:val="00B5134D"/>
    <w:rsid w:val="00B513C0"/>
    <w:rsid w:val="00B517F2"/>
    <w:rsid w:val="00B53708"/>
    <w:rsid w:val="00B53DCB"/>
    <w:rsid w:val="00B5428F"/>
    <w:rsid w:val="00B54370"/>
    <w:rsid w:val="00B54DEA"/>
    <w:rsid w:val="00B55185"/>
    <w:rsid w:val="00B55C03"/>
    <w:rsid w:val="00B55F0B"/>
    <w:rsid w:val="00B56A70"/>
    <w:rsid w:val="00B56BD2"/>
    <w:rsid w:val="00B60638"/>
    <w:rsid w:val="00B606F8"/>
    <w:rsid w:val="00B61923"/>
    <w:rsid w:val="00B621D6"/>
    <w:rsid w:val="00B63AF2"/>
    <w:rsid w:val="00B65747"/>
    <w:rsid w:val="00B65D6F"/>
    <w:rsid w:val="00B65FAD"/>
    <w:rsid w:val="00B66063"/>
    <w:rsid w:val="00B66174"/>
    <w:rsid w:val="00B669ED"/>
    <w:rsid w:val="00B67B37"/>
    <w:rsid w:val="00B67C23"/>
    <w:rsid w:val="00B7079B"/>
    <w:rsid w:val="00B70DC7"/>
    <w:rsid w:val="00B71CB4"/>
    <w:rsid w:val="00B721A4"/>
    <w:rsid w:val="00B72B5B"/>
    <w:rsid w:val="00B72EFF"/>
    <w:rsid w:val="00B7354F"/>
    <w:rsid w:val="00B750C2"/>
    <w:rsid w:val="00B754E0"/>
    <w:rsid w:val="00B756CB"/>
    <w:rsid w:val="00B75735"/>
    <w:rsid w:val="00B759F3"/>
    <w:rsid w:val="00B75D07"/>
    <w:rsid w:val="00B77142"/>
    <w:rsid w:val="00B80879"/>
    <w:rsid w:val="00B80A2C"/>
    <w:rsid w:val="00B80D3B"/>
    <w:rsid w:val="00B8135C"/>
    <w:rsid w:val="00B814BB"/>
    <w:rsid w:val="00B81730"/>
    <w:rsid w:val="00B81F60"/>
    <w:rsid w:val="00B82123"/>
    <w:rsid w:val="00B823D4"/>
    <w:rsid w:val="00B82A9C"/>
    <w:rsid w:val="00B8314A"/>
    <w:rsid w:val="00B841AC"/>
    <w:rsid w:val="00B85873"/>
    <w:rsid w:val="00B85E95"/>
    <w:rsid w:val="00B865B0"/>
    <w:rsid w:val="00B865DC"/>
    <w:rsid w:val="00B870E8"/>
    <w:rsid w:val="00B875E3"/>
    <w:rsid w:val="00B87C29"/>
    <w:rsid w:val="00B90780"/>
    <w:rsid w:val="00B90968"/>
    <w:rsid w:val="00B91BC2"/>
    <w:rsid w:val="00B9240D"/>
    <w:rsid w:val="00B93CC5"/>
    <w:rsid w:val="00B94960"/>
    <w:rsid w:val="00B94D52"/>
    <w:rsid w:val="00B95EAF"/>
    <w:rsid w:val="00B96F6E"/>
    <w:rsid w:val="00B97D98"/>
    <w:rsid w:val="00BA22A8"/>
    <w:rsid w:val="00BA309F"/>
    <w:rsid w:val="00BA3E48"/>
    <w:rsid w:val="00BA4905"/>
    <w:rsid w:val="00BA4BD3"/>
    <w:rsid w:val="00BA6E49"/>
    <w:rsid w:val="00BA6F45"/>
    <w:rsid w:val="00BB0187"/>
    <w:rsid w:val="00BB0E56"/>
    <w:rsid w:val="00BB1EB3"/>
    <w:rsid w:val="00BB2678"/>
    <w:rsid w:val="00BB3077"/>
    <w:rsid w:val="00BB33A8"/>
    <w:rsid w:val="00BB3927"/>
    <w:rsid w:val="00BB3D8C"/>
    <w:rsid w:val="00BB4B39"/>
    <w:rsid w:val="00BB53AF"/>
    <w:rsid w:val="00BB5883"/>
    <w:rsid w:val="00BB5B85"/>
    <w:rsid w:val="00BB5C26"/>
    <w:rsid w:val="00BB6A40"/>
    <w:rsid w:val="00BC013A"/>
    <w:rsid w:val="00BC162A"/>
    <w:rsid w:val="00BC2343"/>
    <w:rsid w:val="00BC5824"/>
    <w:rsid w:val="00BC702F"/>
    <w:rsid w:val="00BD0A07"/>
    <w:rsid w:val="00BD0ECF"/>
    <w:rsid w:val="00BD2220"/>
    <w:rsid w:val="00BD30C8"/>
    <w:rsid w:val="00BD38F4"/>
    <w:rsid w:val="00BD3B22"/>
    <w:rsid w:val="00BD3EB4"/>
    <w:rsid w:val="00BD4C5B"/>
    <w:rsid w:val="00BD5359"/>
    <w:rsid w:val="00BD5C65"/>
    <w:rsid w:val="00BD7BCC"/>
    <w:rsid w:val="00BE034C"/>
    <w:rsid w:val="00BE0717"/>
    <w:rsid w:val="00BE16E9"/>
    <w:rsid w:val="00BE2730"/>
    <w:rsid w:val="00BE2A17"/>
    <w:rsid w:val="00BE31BE"/>
    <w:rsid w:val="00BE38C3"/>
    <w:rsid w:val="00BE3A1D"/>
    <w:rsid w:val="00BE3B92"/>
    <w:rsid w:val="00BE487E"/>
    <w:rsid w:val="00BE6018"/>
    <w:rsid w:val="00BE7086"/>
    <w:rsid w:val="00BE7278"/>
    <w:rsid w:val="00BF1F57"/>
    <w:rsid w:val="00BF20FD"/>
    <w:rsid w:val="00BF2239"/>
    <w:rsid w:val="00BF22C6"/>
    <w:rsid w:val="00BF2CD7"/>
    <w:rsid w:val="00BF34C2"/>
    <w:rsid w:val="00BF3804"/>
    <w:rsid w:val="00BF38AE"/>
    <w:rsid w:val="00BF3B4E"/>
    <w:rsid w:val="00BF4086"/>
    <w:rsid w:val="00BF426C"/>
    <w:rsid w:val="00BF4594"/>
    <w:rsid w:val="00BF58D0"/>
    <w:rsid w:val="00BF6027"/>
    <w:rsid w:val="00BF60A0"/>
    <w:rsid w:val="00BF6702"/>
    <w:rsid w:val="00BF72E9"/>
    <w:rsid w:val="00BF7952"/>
    <w:rsid w:val="00BF7D6A"/>
    <w:rsid w:val="00C0021D"/>
    <w:rsid w:val="00C00300"/>
    <w:rsid w:val="00C00A6C"/>
    <w:rsid w:val="00C00B8B"/>
    <w:rsid w:val="00C013E1"/>
    <w:rsid w:val="00C01611"/>
    <w:rsid w:val="00C01C60"/>
    <w:rsid w:val="00C02BDB"/>
    <w:rsid w:val="00C02D59"/>
    <w:rsid w:val="00C02FE3"/>
    <w:rsid w:val="00C030B6"/>
    <w:rsid w:val="00C03284"/>
    <w:rsid w:val="00C03B3A"/>
    <w:rsid w:val="00C03CD4"/>
    <w:rsid w:val="00C03EC5"/>
    <w:rsid w:val="00C04694"/>
    <w:rsid w:val="00C050C4"/>
    <w:rsid w:val="00C050D7"/>
    <w:rsid w:val="00C05B5F"/>
    <w:rsid w:val="00C071A4"/>
    <w:rsid w:val="00C10086"/>
    <w:rsid w:val="00C104CC"/>
    <w:rsid w:val="00C11521"/>
    <w:rsid w:val="00C14195"/>
    <w:rsid w:val="00C142AD"/>
    <w:rsid w:val="00C142C1"/>
    <w:rsid w:val="00C14A30"/>
    <w:rsid w:val="00C152FE"/>
    <w:rsid w:val="00C15744"/>
    <w:rsid w:val="00C15D1B"/>
    <w:rsid w:val="00C16739"/>
    <w:rsid w:val="00C168DD"/>
    <w:rsid w:val="00C176CC"/>
    <w:rsid w:val="00C21031"/>
    <w:rsid w:val="00C221B9"/>
    <w:rsid w:val="00C225EA"/>
    <w:rsid w:val="00C22CCE"/>
    <w:rsid w:val="00C232BC"/>
    <w:rsid w:val="00C23BA2"/>
    <w:rsid w:val="00C2485F"/>
    <w:rsid w:val="00C248B1"/>
    <w:rsid w:val="00C24B63"/>
    <w:rsid w:val="00C262A0"/>
    <w:rsid w:val="00C26A4E"/>
    <w:rsid w:val="00C27082"/>
    <w:rsid w:val="00C27387"/>
    <w:rsid w:val="00C31195"/>
    <w:rsid w:val="00C31774"/>
    <w:rsid w:val="00C3180E"/>
    <w:rsid w:val="00C32AF2"/>
    <w:rsid w:val="00C33051"/>
    <w:rsid w:val="00C33204"/>
    <w:rsid w:val="00C338EB"/>
    <w:rsid w:val="00C33C34"/>
    <w:rsid w:val="00C34389"/>
    <w:rsid w:val="00C3465D"/>
    <w:rsid w:val="00C347D5"/>
    <w:rsid w:val="00C371C9"/>
    <w:rsid w:val="00C37434"/>
    <w:rsid w:val="00C379E9"/>
    <w:rsid w:val="00C403CD"/>
    <w:rsid w:val="00C42041"/>
    <w:rsid w:val="00C43934"/>
    <w:rsid w:val="00C439FB"/>
    <w:rsid w:val="00C43AA8"/>
    <w:rsid w:val="00C43F23"/>
    <w:rsid w:val="00C441A4"/>
    <w:rsid w:val="00C44D1B"/>
    <w:rsid w:val="00C463C9"/>
    <w:rsid w:val="00C46A0B"/>
    <w:rsid w:val="00C47648"/>
    <w:rsid w:val="00C47852"/>
    <w:rsid w:val="00C47C29"/>
    <w:rsid w:val="00C50011"/>
    <w:rsid w:val="00C5254B"/>
    <w:rsid w:val="00C55D39"/>
    <w:rsid w:val="00C55FBF"/>
    <w:rsid w:val="00C57E68"/>
    <w:rsid w:val="00C601C9"/>
    <w:rsid w:val="00C61B3C"/>
    <w:rsid w:val="00C623C6"/>
    <w:rsid w:val="00C63094"/>
    <w:rsid w:val="00C631D3"/>
    <w:rsid w:val="00C645E6"/>
    <w:rsid w:val="00C64813"/>
    <w:rsid w:val="00C64D82"/>
    <w:rsid w:val="00C64FBC"/>
    <w:rsid w:val="00C65A83"/>
    <w:rsid w:val="00C66A00"/>
    <w:rsid w:val="00C66CBE"/>
    <w:rsid w:val="00C67118"/>
    <w:rsid w:val="00C67276"/>
    <w:rsid w:val="00C67DDD"/>
    <w:rsid w:val="00C70139"/>
    <w:rsid w:val="00C70DED"/>
    <w:rsid w:val="00C71563"/>
    <w:rsid w:val="00C7191D"/>
    <w:rsid w:val="00C72C6F"/>
    <w:rsid w:val="00C74453"/>
    <w:rsid w:val="00C7473A"/>
    <w:rsid w:val="00C75AB0"/>
    <w:rsid w:val="00C76166"/>
    <w:rsid w:val="00C76B7B"/>
    <w:rsid w:val="00C76BBD"/>
    <w:rsid w:val="00C76DE2"/>
    <w:rsid w:val="00C772BA"/>
    <w:rsid w:val="00C802D1"/>
    <w:rsid w:val="00C8036C"/>
    <w:rsid w:val="00C80CD8"/>
    <w:rsid w:val="00C80F23"/>
    <w:rsid w:val="00C81151"/>
    <w:rsid w:val="00C82CC6"/>
    <w:rsid w:val="00C839CB"/>
    <w:rsid w:val="00C84593"/>
    <w:rsid w:val="00C850A3"/>
    <w:rsid w:val="00C85C32"/>
    <w:rsid w:val="00C85F45"/>
    <w:rsid w:val="00C86197"/>
    <w:rsid w:val="00C86C8C"/>
    <w:rsid w:val="00C87568"/>
    <w:rsid w:val="00C875BE"/>
    <w:rsid w:val="00C87FD0"/>
    <w:rsid w:val="00C90DB6"/>
    <w:rsid w:val="00C92603"/>
    <w:rsid w:val="00C92652"/>
    <w:rsid w:val="00C928B9"/>
    <w:rsid w:val="00C92E31"/>
    <w:rsid w:val="00C9394F"/>
    <w:rsid w:val="00C93B1A"/>
    <w:rsid w:val="00C93F1F"/>
    <w:rsid w:val="00C9444E"/>
    <w:rsid w:val="00C96AB2"/>
    <w:rsid w:val="00C96F5F"/>
    <w:rsid w:val="00C97055"/>
    <w:rsid w:val="00CA0179"/>
    <w:rsid w:val="00CA165C"/>
    <w:rsid w:val="00CA194C"/>
    <w:rsid w:val="00CA2B4F"/>
    <w:rsid w:val="00CA305B"/>
    <w:rsid w:val="00CA30C3"/>
    <w:rsid w:val="00CA5876"/>
    <w:rsid w:val="00CA5927"/>
    <w:rsid w:val="00CA635E"/>
    <w:rsid w:val="00CA6BB0"/>
    <w:rsid w:val="00CA70CE"/>
    <w:rsid w:val="00CA79EC"/>
    <w:rsid w:val="00CB002C"/>
    <w:rsid w:val="00CB059E"/>
    <w:rsid w:val="00CB1276"/>
    <w:rsid w:val="00CB1E4B"/>
    <w:rsid w:val="00CB21C1"/>
    <w:rsid w:val="00CB259F"/>
    <w:rsid w:val="00CB3137"/>
    <w:rsid w:val="00CB39C2"/>
    <w:rsid w:val="00CB43D8"/>
    <w:rsid w:val="00CB44E4"/>
    <w:rsid w:val="00CB4C8C"/>
    <w:rsid w:val="00CB4E90"/>
    <w:rsid w:val="00CB5651"/>
    <w:rsid w:val="00CB5850"/>
    <w:rsid w:val="00CB5C99"/>
    <w:rsid w:val="00CB633B"/>
    <w:rsid w:val="00CB6782"/>
    <w:rsid w:val="00CB6E3E"/>
    <w:rsid w:val="00CB6E70"/>
    <w:rsid w:val="00CC080A"/>
    <w:rsid w:val="00CC0D0F"/>
    <w:rsid w:val="00CC1275"/>
    <w:rsid w:val="00CC12EE"/>
    <w:rsid w:val="00CC3767"/>
    <w:rsid w:val="00CC42B1"/>
    <w:rsid w:val="00CC5100"/>
    <w:rsid w:val="00CC5767"/>
    <w:rsid w:val="00CC5D2F"/>
    <w:rsid w:val="00CC68CC"/>
    <w:rsid w:val="00CC701E"/>
    <w:rsid w:val="00CC7735"/>
    <w:rsid w:val="00CD0310"/>
    <w:rsid w:val="00CD1658"/>
    <w:rsid w:val="00CD2E48"/>
    <w:rsid w:val="00CD4826"/>
    <w:rsid w:val="00CD4E19"/>
    <w:rsid w:val="00CD6219"/>
    <w:rsid w:val="00CD700F"/>
    <w:rsid w:val="00CD7319"/>
    <w:rsid w:val="00CD7706"/>
    <w:rsid w:val="00CE0837"/>
    <w:rsid w:val="00CE148E"/>
    <w:rsid w:val="00CE208D"/>
    <w:rsid w:val="00CE2453"/>
    <w:rsid w:val="00CE2A17"/>
    <w:rsid w:val="00CE32C9"/>
    <w:rsid w:val="00CE34AA"/>
    <w:rsid w:val="00CE356D"/>
    <w:rsid w:val="00CE3FA4"/>
    <w:rsid w:val="00CE44F8"/>
    <w:rsid w:val="00CE5277"/>
    <w:rsid w:val="00CE5A63"/>
    <w:rsid w:val="00CE5B4D"/>
    <w:rsid w:val="00CE6358"/>
    <w:rsid w:val="00CE6686"/>
    <w:rsid w:val="00CE6E97"/>
    <w:rsid w:val="00CE77DD"/>
    <w:rsid w:val="00CE7868"/>
    <w:rsid w:val="00CE796C"/>
    <w:rsid w:val="00CF0C7E"/>
    <w:rsid w:val="00CF1B70"/>
    <w:rsid w:val="00CF1DD1"/>
    <w:rsid w:val="00CF2161"/>
    <w:rsid w:val="00CF2307"/>
    <w:rsid w:val="00CF26AE"/>
    <w:rsid w:val="00CF2D41"/>
    <w:rsid w:val="00CF2D54"/>
    <w:rsid w:val="00CF311F"/>
    <w:rsid w:val="00CF5047"/>
    <w:rsid w:val="00CF512F"/>
    <w:rsid w:val="00CF55FB"/>
    <w:rsid w:val="00CF5616"/>
    <w:rsid w:val="00D01344"/>
    <w:rsid w:val="00D01B90"/>
    <w:rsid w:val="00D01E1B"/>
    <w:rsid w:val="00D024CD"/>
    <w:rsid w:val="00D03082"/>
    <w:rsid w:val="00D0328F"/>
    <w:rsid w:val="00D034DA"/>
    <w:rsid w:val="00D03538"/>
    <w:rsid w:val="00D03D28"/>
    <w:rsid w:val="00D0421D"/>
    <w:rsid w:val="00D046FD"/>
    <w:rsid w:val="00D047F7"/>
    <w:rsid w:val="00D049B8"/>
    <w:rsid w:val="00D04C8A"/>
    <w:rsid w:val="00D0516C"/>
    <w:rsid w:val="00D05B56"/>
    <w:rsid w:val="00D05C2F"/>
    <w:rsid w:val="00D05EE7"/>
    <w:rsid w:val="00D068D0"/>
    <w:rsid w:val="00D06FE0"/>
    <w:rsid w:val="00D07307"/>
    <w:rsid w:val="00D076A9"/>
    <w:rsid w:val="00D07754"/>
    <w:rsid w:val="00D078D1"/>
    <w:rsid w:val="00D101D6"/>
    <w:rsid w:val="00D11C5B"/>
    <w:rsid w:val="00D1293B"/>
    <w:rsid w:val="00D129A8"/>
    <w:rsid w:val="00D12FB9"/>
    <w:rsid w:val="00D13184"/>
    <w:rsid w:val="00D135F2"/>
    <w:rsid w:val="00D13D00"/>
    <w:rsid w:val="00D147C0"/>
    <w:rsid w:val="00D15696"/>
    <w:rsid w:val="00D15C51"/>
    <w:rsid w:val="00D16A42"/>
    <w:rsid w:val="00D16C68"/>
    <w:rsid w:val="00D17941"/>
    <w:rsid w:val="00D200BD"/>
    <w:rsid w:val="00D201AA"/>
    <w:rsid w:val="00D204A7"/>
    <w:rsid w:val="00D209A7"/>
    <w:rsid w:val="00D20AA5"/>
    <w:rsid w:val="00D2209B"/>
    <w:rsid w:val="00D22399"/>
    <w:rsid w:val="00D2662C"/>
    <w:rsid w:val="00D27FA3"/>
    <w:rsid w:val="00D3176C"/>
    <w:rsid w:val="00D31B3F"/>
    <w:rsid w:val="00D31F31"/>
    <w:rsid w:val="00D32CF3"/>
    <w:rsid w:val="00D33751"/>
    <w:rsid w:val="00D35D4A"/>
    <w:rsid w:val="00D36F6E"/>
    <w:rsid w:val="00D372B0"/>
    <w:rsid w:val="00D37343"/>
    <w:rsid w:val="00D37E75"/>
    <w:rsid w:val="00D4205E"/>
    <w:rsid w:val="00D4482C"/>
    <w:rsid w:val="00D47399"/>
    <w:rsid w:val="00D47BB2"/>
    <w:rsid w:val="00D47D04"/>
    <w:rsid w:val="00D504B9"/>
    <w:rsid w:val="00D5056A"/>
    <w:rsid w:val="00D50DCD"/>
    <w:rsid w:val="00D510A0"/>
    <w:rsid w:val="00D522CB"/>
    <w:rsid w:val="00D527EE"/>
    <w:rsid w:val="00D529C4"/>
    <w:rsid w:val="00D53929"/>
    <w:rsid w:val="00D539D0"/>
    <w:rsid w:val="00D540DC"/>
    <w:rsid w:val="00D54C0F"/>
    <w:rsid w:val="00D55616"/>
    <w:rsid w:val="00D5574C"/>
    <w:rsid w:val="00D55DAC"/>
    <w:rsid w:val="00D6153F"/>
    <w:rsid w:val="00D61982"/>
    <w:rsid w:val="00D61EA9"/>
    <w:rsid w:val="00D61EFF"/>
    <w:rsid w:val="00D62655"/>
    <w:rsid w:val="00D6267A"/>
    <w:rsid w:val="00D62998"/>
    <w:rsid w:val="00D631C2"/>
    <w:rsid w:val="00D647DE"/>
    <w:rsid w:val="00D6501F"/>
    <w:rsid w:val="00D65347"/>
    <w:rsid w:val="00D665F7"/>
    <w:rsid w:val="00D67062"/>
    <w:rsid w:val="00D67D12"/>
    <w:rsid w:val="00D701D7"/>
    <w:rsid w:val="00D705FF"/>
    <w:rsid w:val="00D70B0C"/>
    <w:rsid w:val="00D7145C"/>
    <w:rsid w:val="00D737E9"/>
    <w:rsid w:val="00D744BC"/>
    <w:rsid w:val="00D7585A"/>
    <w:rsid w:val="00D77605"/>
    <w:rsid w:val="00D77C53"/>
    <w:rsid w:val="00D77E96"/>
    <w:rsid w:val="00D80618"/>
    <w:rsid w:val="00D807DF"/>
    <w:rsid w:val="00D81DA0"/>
    <w:rsid w:val="00D82339"/>
    <w:rsid w:val="00D82494"/>
    <w:rsid w:val="00D82FF2"/>
    <w:rsid w:val="00D83774"/>
    <w:rsid w:val="00D84A4B"/>
    <w:rsid w:val="00D85976"/>
    <w:rsid w:val="00D8691B"/>
    <w:rsid w:val="00D878E1"/>
    <w:rsid w:val="00D90A81"/>
    <w:rsid w:val="00D90B7D"/>
    <w:rsid w:val="00D90DCE"/>
    <w:rsid w:val="00D91258"/>
    <w:rsid w:val="00D92168"/>
    <w:rsid w:val="00D9231C"/>
    <w:rsid w:val="00D92A5E"/>
    <w:rsid w:val="00D935BD"/>
    <w:rsid w:val="00D940B5"/>
    <w:rsid w:val="00D953F0"/>
    <w:rsid w:val="00D9582D"/>
    <w:rsid w:val="00D95CB0"/>
    <w:rsid w:val="00D960DF"/>
    <w:rsid w:val="00D9654F"/>
    <w:rsid w:val="00D966FE"/>
    <w:rsid w:val="00D968B9"/>
    <w:rsid w:val="00D9758C"/>
    <w:rsid w:val="00D977C0"/>
    <w:rsid w:val="00D97E14"/>
    <w:rsid w:val="00DA00A3"/>
    <w:rsid w:val="00DA0727"/>
    <w:rsid w:val="00DA13F3"/>
    <w:rsid w:val="00DA2353"/>
    <w:rsid w:val="00DA264A"/>
    <w:rsid w:val="00DA2DE3"/>
    <w:rsid w:val="00DA3633"/>
    <w:rsid w:val="00DA400B"/>
    <w:rsid w:val="00DA442F"/>
    <w:rsid w:val="00DA6443"/>
    <w:rsid w:val="00DA6B5E"/>
    <w:rsid w:val="00DA7068"/>
    <w:rsid w:val="00DA7146"/>
    <w:rsid w:val="00DA716A"/>
    <w:rsid w:val="00DA78ED"/>
    <w:rsid w:val="00DA7B82"/>
    <w:rsid w:val="00DB1F4F"/>
    <w:rsid w:val="00DB2CD0"/>
    <w:rsid w:val="00DB354F"/>
    <w:rsid w:val="00DB37EE"/>
    <w:rsid w:val="00DB401F"/>
    <w:rsid w:val="00DB4450"/>
    <w:rsid w:val="00DB4EE7"/>
    <w:rsid w:val="00DB521D"/>
    <w:rsid w:val="00DB5971"/>
    <w:rsid w:val="00DB5D51"/>
    <w:rsid w:val="00DB5F53"/>
    <w:rsid w:val="00DB6705"/>
    <w:rsid w:val="00DB6B6A"/>
    <w:rsid w:val="00DB7B69"/>
    <w:rsid w:val="00DB7F76"/>
    <w:rsid w:val="00DC0A2F"/>
    <w:rsid w:val="00DC0DBE"/>
    <w:rsid w:val="00DC234A"/>
    <w:rsid w:val="00DC41E4"/>
    <w:rsid w:val="00DC496E"/>
    <w:rsid w:val="00DC5116"/>
    <w:rsid w:val="00DC6088"/>
    <w:rsid w:val="00DC7C77"/>
    <w:rsid w:val="00DC7FD5"/>
    <w:rsid w:val="00DD02FF"/>
    <w:rsid w:val="00DD0581"/>
    <w:rsid w:val="00DD24F9"/>
    <w:rsid w:val="00DD26EC"/>
    <w:rsid w:val="00DD2DFB"/>
    <w:rsid w:val="00DD3604"/>
    <w:rsid w:val="00DD3F4D"/>
    <w:rsid w:val="00DD6F2E"/>
    <w:rsid w:val="00DD72E1"/>
    <w:rsid w:val="00DD7A65"/>
    <w:rsid w:val="00DD7EA2"/>
    <w:rsid w:val="00DE00F2"/>
    <w:rsid w:val="00DE117F"/>
    <w:rsid w:val="00DE1F4D"/>
    <w:rsid w:val="00DE2C4B"/>
    <w:rsid w:val="00DE2D17"/>
    <w:rsid w:val="00DE2F5F"/>
    <w:rsid w:val="00DE353C"/>
    <w:rsid w:val="00DE3783"/>
    <w:rsid w:val="00DE401C"/>
    <w:rsid w:val="00DE6E2F"/>
    <w:rsid w:val="00DE6F47"/>
    <w:rsid w:val="00DE7D13"/>
    <w:rsid w:val="00DE7E39"/>
    <w:rsid w:val="00DF007B"/>
    <w:rsid w:val="00DF1EAE"/>
    <w:rsid w:val="00DF380E"/>
    <w:rsid w:val="00DF3816"/>
    <w:rsid w:val="00DF3818"/>
    <w:rsid w:val="00DF3F94"/>
    <w:rsid w:val="00DF4369"/>
    <w:rsid w:val="00DF57EF"/>
    <w:rsid w:val="00DF5970"/>
    <w:rsid w:val="00DF5B14"/>
    <w:rsid w:val="00DF63FA"/>
    <w:rsid w:val="00DF66E2"/>
    <w:rsid w:val="00DF7E20"/>
    <w:rsid w:val="00E001FD"/>
    <w:rsid w:val="00E00A1C"/>
    <w:rsid w:val="00E00B95"/>
    <w:rsid w:val="00E00D60"/>
    <w:rsid w:val="00E012CC"/>
    <w:rsid w:val="00E0147A"/>
    <w:rsid w:val="00E01F22"/>
    <w:rsid w:val="00E0220A"/>
    <w:rsid w:val="00E0220E"/>
    <w:rsid w:val="00E02961"/>
    <w:rsid w:val="00E02A1E"/>
    <w:rsid w:val="00E02B71"/>
    <w:rsid w:val="00E02DEB"/>
    <w:rsid w:val="00E03999"/>
    <w:rsid w:val="00E0399E"/>
    <w:rsid w:val="00E042A1"/>
    <w:rsid w:val="00E05CF4"/>
    <w:rsid w:val="00E05E82"/>
    <w:rsid w:val="00E07425"/>
    <w:rsid w:val="00E1043E"/>
    <w:rsid w:val="00E104FA"/>
    <w:rsid w:val="00E1082A"/>
    <w:rsid w:val="00E10956"/>
    <w:rsid w:val="00E110B5"/>
    <w:rsid w:val="00E11166"/>
    <w:rsid w:val="00E12818"/>
    <w:rsid w:val="00E12D39"/>
    <w:rsid w:val="00E13182"/>
    <w:rsid w:val="00E14305"/>
    <w:rsid w:val="00E14523"/>
    <w:rsid w:val="00E14972"/>
    <w:rsid w:val="00E14CB9"/>
    <w:rsid w:val="00E151F2"/>
    <w:rsid w:val="00E15383"/>
    <w:rsid w:val="00E15C82"/>
    <w:rsid w:val="00E1738C"/>
    <w:rsid w:val="00E1773A"/>
    <w:rsid w:val="00E201C0"/>
    <w:rsid w:val="00E2033D"/>
    <w:rsid w:val="00E210A6"/>
    <w:rsid w:val="00E21ABD"/>
    <w:rsid w:val="00E21D56"/>
    <w:rsid w:val="00E22775"/>
    <w:rsid w:val="00E22D28"/>
    <w:rsid w:val="00E22F81"/>
    <w:rsid w:val="00E22F87"/>
    <w:rsid w:val="00E230E3"/>
    <w:rsid w:val="00E23C97"/>
    <w:rsid w:val="00E24727"/>
    <w:rsid w:val="00E262AD"/>
    <w:rsid w:val="00E265A7"/>
    <w:rsid w:val="00E267FF"/>
    <w:rsid w:val="00E270D5"/>
    <w:rsid w:val="00E27B80"/>
    <w:rsid w:val="00E30EDF"/>
    <w:rsid w:val="00E31B43"/>
    <w:rsid w:val="00E31FBA"/>
    <w:rsid w:val="00E33513"/>
    <w:rsid w:val="00E33A16"/>
    <w:rsid w:val="00E33A3E"/>
    <w:rsid w:val="00E33A4F"/>
    <w:rsid w:val="00E33B50"/>
    <w:rsid w:val="00E33D76"/>
    <w:rsid w:val="00E33F3E"/>
    <w:rsid w:val="00E341E5"/>
    <w:rsid w:val="00E34315"/>
    <w:rsid w:val="00E34347"/>
    <w:rsid w:val="00E35FBC"/>
    <w:rsid w:val="00E36A77"/>
    <w:rsid w:val="00E36AAE"/>
    <w:rsid w:val="00E37198"/>
    <w:rsid w:val="00E3774C"/>
    <w:rsid w:val="00E41313"/>
    <w:rsid w:val="00E41773"/>
    <w:rsid w:val="00E41ACD"/>
    <w:rsid w:val="00E42FE6"/>
    <w:rsid w:val="00E43327"/>
    <w:rsid w:val="00E44370"/>
    <w:rsid w:val="00E459A8"/>
    <w:rsid w:val="00E45E20"/>
    <w:rsid w:val="00E45E8E"/>
    <w:rsid w:val="00E45F19"/>
    <w:rsid w:val="00E460B6"/>
    <w:rsid w:val="00E46BD2"/>
    <w:rsid w:val="00E473D4"/>
    <w:rsid w:val="00E474CF"/>
    <w:rsid w:val="00E477BA"/>
    <w:rsid w:val="00E513F6"/>
    <w:rsid w:val="00E51EC6"/>
    <w:rsid w:val="00E52B4E"/>
    <w:rsid w:val="00E52F3B"/>
    <w:rsid w:val="00E52F80"/>
    <w:rsid w:val="00E53D94"/>
    <w:rsid w:val="00E53DEA"/>
    <w:rsid w:val="00E5424B"/>
    <w:rsid w:val="00E544BA"/>
    <w:rsid w:val="00E55B64"/>
    <w:rsid w:val="00E564F4"/>
    <w:rsid w:val="00E571BC"/>
    <w:rsid w:val="00E61088"/>
    <w:rsid w:val="00E616DB"/>
    <w:rsid w:val="00E62442"/>
    <w:rsid w:val="00E627A4"/>
    <w:rsid w:val="00E630ED"/>
    <w:rsid w:val="00E6437C"/>
    <w:rsid w:val="00E65237"/>
    <w:rsid w:val="00E66376"/>
    <w:rsid w:val="00E67862"/>
    <w:rsid w:val="00E67BB5"/>
    <w:rsid w:val="00E70ACF"/>
    <w:rsid w:val="00E70D46"/>
    <w:rsid w:val="00E712A9"/>
    <w:rsid w:val="00E713BC"/>
    <w:rsid w:val="00E72444"/>
    <w:rsid w:val="00E7410F"/>
    <w:rsid w:val="00E74EC5"/>
    <w:rsid w:val="00E75AD1"/>
    <w:rsid w:val="00E76B86"/>
    <w:rsid w:val="00E809F3"/>
    <w:rsid w:val="00E80C21"/>
    <w:rsid w:val="00E81796"/>
    <w:rsid w:val="00E820BD"/>
    <w:rsid w:val="00E8227B"/>
    <w:rsid w:val="00E825C0"/>
    <w:rsid w:val="00E8342F"/>
    <w:rsid w:val="00E84210"/>
    <w:rsid w:val="00E844CD"/>
    <w:rsid w:val="00E847A7"/>
    <w:rsid w:val="00E84FE5"/>
    <w:rsid w:val="00E86682"/>
    <w:rsid w:val="00E86E79"/>
    <w:rsid w:val="00E879B9"/>
    <w:rsid w:val="00E906B4"/>
    <w:rsid w:val="00E9095B"/>
    <w:rsid w:val="00E90D3D"/>
    <w:rsid w:val="00E9145E"/>
    <w:rsid w:val="00E91B24"/>
    <w:rsid w:val="00E91D07"/>
    <w:rsid w:val="00E926B8"/>
    <w:rsid w:val="00E927BF"/>
    <w:rsid w:val="00E936DA"/>
    <w:rsid w:val="00E9399B"/>
    <w:rsid w:val="00E939A7"/>
    <w:rsid w:val="00E94008"/>
    <w:rsid w:val="00E94762"/>
    <w:rsid w:val="00E956BA"/>
    <w:rsid w:val="00E96B52"/>
    <w:rsid w:val="00EA0018"/>
    <w:rsid w:val="00EA08BE"/>
    <w:rsid w:val="00EA0A85"/>
    <w:rsid w:val="00EA107F"/>
    <w:rsid w:val="00EA14B0"/>
    <w:rsid w:val="00EA2244"/>
    <w:rsid w:val="00EA4DDC"/>
    <w:rsid w:val="00EA6FA7"/>
    <w:rsid w:val="00EB067F"/>
    <w:rsid w:val="00EB17BE"/>
    <w:rsid w:val="00EB1A1B"/>
    <w:rsid w:val="00EB1F02"/>
    <w:rsid w:val="00EB2E64"/>
    <w:rsid w:val="00EB2FCA"/>
    <w:rsid w:val="00EB3290"/>
    <w:rsid w:val="00EB359C"/>
    <w:rsid w:val="00EB4483"/>
    <w:rsid w:val="00EB5BC5"/>
    <w:rsid w:val="00EB6097"/>
    <w:rsid w:val="00EB6212"/>
    <w:rsid w:val="00EB6BB5"/>
    <w:rsid w:val="00EB6E30"/>
    <w:rsid w:val="00EB7618"/>
    <w:rsid w:val="00EB7B51"/>
    <w:rsid w:val="00EB7F93"/>
    <w:rsid w:val="00EC034B"/>
    <w:rsid w:val="00EC086C"/>
    <w:rsid w:val="00EC1720"/>
    <w:rsid w:val="00EC2DB7"/>
    <w:rsid w:val="00EC337D"/>
    <w:rsid w:val="00EC3F10"/>
    <w:rsid w:val="00EC42D0"/>
    <w:rsid w:val="00EC5841"/>
    <w:rsid w:val="00EC638F"/>
    <w:rsid w:val="00EC7927"/>
    <w:rsid w:val="00ED095E"/>
    <w:rsid w:val="00ED0CB4"/>
    <w:rsid w:val="00ED1A0B"/>
    <w:rsid w:val="00ED1EF0"/>
    <w:rsid w:val="00ED27DD"/>
    <w:rsid w:val="00ED3706"/>
    <w:rsid w:val="00ED5162"/>
    <w:rsid w:val="00ED5669"/>
    <w:rsid w:val="00ED697C"/>
    <w:rsid w:val="00EE06CA"/>
    <w:rsid w:val="00EE1CF9"/>
    <w:rsid w:val="00EE2314"/>
    <w:rsid w:val="00EE3F69"/>
    <w:rsid w:val="00EE43AD"/>
    <w:rsid w:val="00EE4874"/>
    <w:rsid w:val="00EE48D6"/>
    <w:rsid w:val="00EE4A6E"/>
    <w:rsid w:val="00EE4BAB"/>
    <w:rsid w:val="00EE62F4"/>
    <w:rsid w:val="00EE7922"/>
    <w:rsid w:val="00EE79A6"/>
    <w:rsid w:val="00EF11DF"/>
    <w:rsid w:val="00EF130D"/>
    <w:rsid w:val="00EF30E0"/>
    <w:rsid w:val="00EF3D05"/>
    <w:rsid w:val="00EF42CF"/>
    <w:rsid w:val="00EF5403"/>
    <w:rsid w:val="00EF567D"/>
    <w:rsid w:val="00EF5F11"/>
    <w:rsid w:val="00EF6111"/>
    <w:rsid w:val="00EF62D0"/>
    <w:rsid w:val="00F005A0"/>
    <w:rsid w:val="00F01835"/>
    <w:rsid w:val="00F01DE9"/>
    <w:rsid w:val="00F0229D"/>
    <w:rsid w:val="00F02B1B"/>
    <w:rsid w:val="00F032BB"/>
    <w:rsid w:val="00F032C8"/>
    <w:rsid w:val="00F03567"/>
    <w:rsid w:val="00F03C8C"/>
    <w:rsid w:val="00F03DD3"/>
    <w:rsid w:val="00F044C6"/>
    <w:rsid w:val="00F04BBE"/>
    <w:rsid w:val="00F051AC"/>
    <w:rsid w:val="00F0646B"/>
    <w:rsid w:val="00F06616"/>
    <w:rsid w:val="00F07485"/>
    <w:rsid w:val="00F07622"/>
    <w:rsid w:val="00F10BC6"/>
    <w:rsid w:val="00F11352"/>
    <w:rsid w:val="00F11AD0"/>
    <w:rsid w:val="00F12313"/>
    <w:rsid w:val="00F1254C"/>
    <w:rsid w:val="00F13D34"/>
    <w:rsid w:val="00F13FD4"/>
    <w:rsid w:val="00F14602"/>
    <w:rsid w:val="00F1498D"/>
    <w:rsid w:val="00F14DDF"/>
    <w:rsid w:val="00F150F9"/>
    <w:rsid w:val="00F152AD"/>
    <w:rsid w:val="00F15BA3"/>
    <w:rsid w:val="00F15BB3"/>
    <w:rsid w:val="00F15C96"/>
    <w:rsid w:val="00F163BF"/>
    <w:rsid w:val="00F165B7"/>
    <w:rsid w:val="00F20C9C"/>
    <w:rsid w:val="00F21827"/>
    <w:rsid w:val="00F21999"/>
    <w:rsid w:val="00F21A00"/>
    <w:rsid w:val="00F2285F"/>
    <w:rsid w:val="00F22C7B"/>
    <w:rsid w:val="00F23155"/>
    <w:rsid w:val="00F23EE4"/>
    <w:rsid w:val="00F24236"/>
    <w:rsid w:val="00F24E0E"/>
    <w:rsid w:val="00F25707"/>
    <w:rsid w:val="00F25AE7"/>
    <w:rsid w:val="00F26693"/>
    <w:rsid w:val="00F26A13"/>
    <w:rsid w:val="00F27D3B"/>
    <w:rsid w:val="00F31261"/>
    <w:rsid w:val="00F31BB3"/>
    <w:rsid w:val="00F31C67"/>
    <w:rsid w:val="00F323C3"/>
    <w:rsid w:val="00F32A15"/>
    <w:rsid w:val="00F32EE6"/>
    <w:rsid w:val="00F32F3C"/>
    <w:rsid w:val="00F339EC"/>
    <w:rsid w:val="00F3443B"/>
    <w:rsid w:val="00F34FDD"/>
    <w:rsid w:val="00F35279"/>
    <w:rsid w:val="00F35CA1"/>
    <w:rsid w:val="00F35F1A"/>
    <w:rsid w:val="00F36130"/>
    <w:rsid w:val="00F3644F"/>
    <w:rsid w:val="00F36B71"/>
    <w:rsid w:val="00F373AE"/>
    <w:rsid w:val="00F4032F"/>
    <w:rsid w:val="00F40360"/>
    <w:rsid w:val="00F40444"/>
    <w:rsid w:val="00F40CE6"/>
    <w:rsid w:val="00F41B59"/>
    <w:rsid w:val="00F42099"/>
    <w:rsid w:val="00F423BD"/>
    <w:rsid w:val="00F431C5"/>
    <w:rsid w:val="00F432FF"/>
    <w:rsid w:val="00F4446C"/>
    <w:rsid w:val="00F456D2"/>
    <w:rsid w:val="00F45B08"/>
    <w:rsid w:val="00F46431"/>
    <w:rsid w:val="00F469AD"/>
    <w:rsid w:val="00F46F8B"/>
    <w:rsid w:val="00F4715C"/>
    <w:rsid w:val="00F473C6"/>
    <w:rsid w:val="00F47C9F"/>
    <w:rsid w:val="00F50CE8"/>
    <w:rsid w:val="00F51361"/>
    <w:rsid w:val="00F52330"/>
    <w:rsid w:val="00F5364B"/>
    <w:rsid w:val="00F54603"/>
    <w:rsid w:val="00F54772"/>
    <w:rsid w:val="00F54869"/>
    <w:rsid w:val="00F549DA"/>
    <w:rsid w:val="00F556B2"/>
    <w:rsid w:val="00F565E8"/>
    <w:rsid w:val="00F56CB4"/>
    <w:rsid w:val="00F5754B"/>
    <w:rsid w:val="00F576DE"/>
    <w:rsid w:val="00F57747"/>
    <w:rsid w:val="00F578BC"/>
    <w:rsid w:val="00F601C7"/>
    <w:rsid w:val="00F633F1"/>
    <w:rsid w:val="00F63BF7"/>
    <w:rsid w:val="00F6453E"/>
    <w:rsid w:val="00F65215"/>
    <w:rsid w:val="00F65617"/>
    <w:rsid w:val="00F65A88"/>
    <w:rsid w:val="00F66494"/>
    <w:rsid w:val="00F66544"/>
    <w:rsid w:val="00F67D12"/>
    <w:rsid w:val="00F708B2"/>
    <w:rsid w:val="00F710BE"/>
    <w:rsid w:val="00F71D7B"/>
    <w:rsid w:val="00F72016"/>
    <w:rsid w:val="00F724C9"/>
    <w:rsid w:val="00F72684"/>
    <w:rsid w:val="00F72DAD"/>
    <w:rsid w:val="00F736D2"/>
    <w:rsid w:val="00F7564C"/>
    <w:rsid w:val="00F76220"/>
    <w:rsid w:val="00F7660B"/>
    <w:rsid w:val="00F769BE"/>
    <w:rsid w:val="00F7735C"/>
    <w:rsid w:val="00F77BD5"/>
    <w:rsid w:val="00F77DF9"/>
    <w:rsid w:val="00F829D2"/>
    <w:rsid w:val="00F82E6B"/>
    <w:rsid w:val="00F83662"/>
    <w:rsid w:val="00F838C0"/>
    <w:rsid w:val="00F859FC"/>
    <w:rsid w:val="00F85F83"/>
    <w:rsid w:val="00F860BC"/>
    <w:rsid w:val="00F90A2C"/>
    <w:rsid w:val="00F9116C"/>
    <w:rsid w:val="00F912FD"/>
    <w:rsid w:val="00F91CBC"/>
    <w:rsid w:val="00F91D43"/>
    <w:rsid w:val="00F929E2"/>
    <w:rsid w:val="00F9367F"/>
    <w:rsid w:val="00F94318"/>
    <w:rsid w:val="00F95411"/>
    <w:rsid w:val="00F95642"/>
    <w:rsid w:val="00F96339"/>
    <w:rsid w:val="00F966EC"/>
    <w:rsid w:val="00F9759A"/>
    <w:rsid w:val="00F97859"/>
    <w:rsid w:val="00F97973"/>
    <w:rsid w:val="00F97B71"/>
    <w:rsid w:val="00FA06A3"/>
    <w:rsid w:val="00FA2CFC"/>
    <w:rsid w:val="00FA2DDA"/>
    <w:rsid w:val="00FA34CA"/>
    <w:rsid w:val="00FA3E3E"/>
    <w:rsid w:val="00FA4A55"/>
    <w:rsid w:val="00FA4D4F"/>
    <w:rsid w:val="00FA54E8"/>
    <w:rsid w:val="00FA5FE8"/>
    <w:rsid w:val="00FA668B"/>
    <w:rsid w:val="00FA67CF"/>
    <w:rsid w:val="00FA7EA7"/>
    <w:rsid w:val="00FB2D17"/>
    <w:rsid w:val="00FB2F69"/>
    <w:rsid w:val="00FB368B"/>
    <w:rsid w:val="00FB3A3A"/>
    <w:rsid w:val="00FB4217"/>
    <w:rsid w:val="00FB4379"/>
    <w:rsid w:val="00FB45FF"/>
    <w:rsid w:val="00FB5D97"/>
    <w:rsid w:val="00FB61EA"/>
    <w:rsid w:val="00FB62B6"/>
    <w:rsid w:val="00FB6C7A"/>
    <w:rsid w:val="00FB732E"/>
    <w:rsid w:val="00FB7760"/>
    <w:rsid w:val="00FB79F7"/>
    <w:rsid w:val="00FC09E7"/>
    <w:rsid w:val="00FC1CA5"/>
    <w:rsid w:val="00FC1D8E"/>
    <w:rsid w:val="00FC1EF1"/>
    <w:rsid w:val="00FC261C"/>
    <w:rsid w:val="00FC2733"/>
    <w:rsid w:val="00FC2979"/>
    <w:rsid w:val="00FC3963"/>
    <w:rsid w:val="00FC6013"/>
    <w:rsid w:val="00FC6D6C"/>
    <w:rsid w:val="00FD02F6"/>
    <w:rsid w:val="00FD1C3C"/>
    <w:rsid w:val="00FD24F6"/>
    <w:rsid w:val="00FD27FD"/>
    <w:rsid w:val="00FD2DB1"/>
    <w:rsid w:val="00FD38A8"/>
    <w:rsid w:val="00FD6AC8"/>
    <w:rsid w:val="00FE0A6C"/>
    <w:rsid w:val="00FE1727"/>
    <w:rsid w:val="00FE2742"/>
    <w:rsid w:val="00FE3638"/>
    <w:rsid w:val="00FE3A67"/>
    <w:rsid w:val="00FE3EA1"/>
    <w:rsid w:val="00FE4818"/>
    <w:rsid w:val="00FE4CA4"/>
    <w:rsid w:val="00FE5AE4"/>
    <w:rsid w:val="00FE5D80"/>
    <w:rsid w:val="00FE637F"/>
    <w:rsid w:val="00FE64EE"/>
    <w:rsid w:val="00FE73F7"/>
    <w:rsid w:val="00FE745E"/>
    <w:rsid w:val="00FE7865"/>
    <w:rsid w:val="00FF06A0"/>
    <w:rsid w:val="00FF0BB0"/>
    <w:rsid w:val="00FF1342"/>
    <w:rsid w:val="00FF1513"/>
    <w:rsid w:val="00FF1577"/>
    <w:rsid w:val="00FF1898"/>
    <w:rsid w:val="00FF200B"/>
    <w:rsid w:val="00FF2145"/>
    <w:rsid w:val="00FF3081"/>
    <w:rsid w:val="00FF3334"/>
    <w:rsid w:val="00FF3577"/>
    <w:rsid w:val="00FF59BB"/>
    <w:rsid w:val="00FF59BE"/>
    <w:rsid w:val="00FF68D9"/>
    <w:rsid w:val="00FF6ADB"/>
    <w:rsid w:val="00FF6C36"/>
    <w:rsid w:val="00FF7A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iPriority="99"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qFormat/>
    <w:rsid w:val="0089214A"/>
    <w:pPr>
      <w:widowControl/>
      <w:jc w:val="left"/>
      <w:outlineLvl w:val="0"/>
    </w:pPr>
    <w:rPr>
      <w:kern w:val="0"/>
      <w:sz w:val="24"/>
      <w:szCs w:val="20"/>
      <w:lang w:val="en-GB"/>
    </w:rPr>
  </w:style>
  <w:style w:type="paragraph" w:styleId="20">
    <w:name w:val="heading 2"/>
    <w:basedOn w:val="a"/>
    <w:next w:val="a0"/>
    <w:link w:val="2Char"/>
    <w:qFormat/>
    <w:rsid w:val="00FB732E"/>
    <w:pPr>
      <w:keepNext/>
      <w:keepLines/>
      <w:spacing w:before="260" w:after="260" w:line="360" w:lineRule="auto"/>
      <w:outlineLvl w:val="1"/>
    </w:pPr>
    <w:rPr>
      <w:rFonts w:ascii="Arial" w:hAnsi="Arial" w:cs="Arial"/>
      <w:b/>
      <w:bCs/>
      <w:sz w:val="24"/>
      <w:szCs w:val="28"/>
    </w:rPr>
  </w:style>
  <w:style w:type="paragraph" w:styleId="30">
    <w:name w:val="heading 3"/>
    <w:basedOn w:val="a"/>
    <w:next w:val="a"/>
    <w:link w:val="3Char"/>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rsid w:val="00FB732E"/>
    <w:pPr>
      <w:ind w:firstLineChars="200" w:firstLine="420"/>
    </w:pPr>
  </w:style>
  <w:style w:type="paragraph" w:styleId="a4">
    <w:name w:val="Body Text Indent"/>
    <w:basedOn w:val="a"/>
    <w:link w:val="Char"/>
    <w:rsid w:val="00FB732E"/>
    <w:pPr>
      <w:widowControl/>
      <w:spacing w:before="100" w:beforeAutospacing="1" w:after="100" w:afterAutospacing="1"/>
      <w:jc w:val="left"/>
    </w:pPr>
    <w:rPr>
      <w:rFonts w:ascii="Arial Unicode MS" w:eastAsia="Arial Unicode MS" w:hAnsi="Arial Unicode MS" w:cs="Arial Unicode MS"/>
      <w:kern w:val="0"/>
      <w:sz w:val="24"/>
    </w:rPr>
  </w:style>
  <w:style w:type="paragraph" w:styleId="a5">
    <w:name w:val="Plain Text"/>
    <w:basedOn w:val="a"/>
    <w:link w:val="Char0"/>
    <w:rsid w:val="00FB732E"/>
    <w:rPr>
      <w:rFonts w:ascii="宋体" w:hAnsi="Courier New"/>
      <w:szCs w:val="21"/>
    </w:rPr>
  </w:style>
  <w:style w:type="paragraph" w:styleId="21">
    <w:name w:val="Body Text Indent 2"/>
    <w:basedOn w:val="a"/>
    <w:link w:val="2Char0"/>
    <w:rsid w:val="00FB732E"/>
    <w:pPr>
      <w:spacing w:line="560" w:lineRule="exact"/>
      <w:ind w:firstLineChars="200" w:firstLine="480"/>
    </w:pPr>
    <w:rPr>
      <w:rFonts w:ascii="宋体" w:hAnsi="宋体"/>
      <w:color w:val="FF0000"/>
      <w:sz w:val="24"/>
    </w:rPr>
  </w:style>
  <w:style w:type="paragraph" w:styleId="a6">
    <w:name w:val="footer"/>
    <w:basedOn w:val="a"/>
    <w:link w:val="Char1"/>
    <w:uiPriority w:val="99"/>
    <w:rsid w:val="00FB732E"/>
    <w:pPr>
      <w:tabs>
        <w:tab w:val="center" w:pos="4153"/>
        <w:tab w:val="right" w:pos="8306"/>
      </w:tabs>
      <w:snapToGrid w:val="0"/>
      <w:jc w:val="left"/>
    </w:pPr>
    <w:rPr>
      <w:sz w:val="18"/>
      <w:szCs w:val="18"/>
    </w:rPr>
  </w:style>
  <w:style w:type="character" w:styleId="a7">
    <w:name w:val="page number"/>
    <w:basedOn w:val="a1"/>
    <w:rsid w:val="00FB732E"/>
  </w:style>
  <w:style w:type="character" w:styleId="a8">
    <w:name w:val="Hyperlink"/>
    <w:rsid w:val="00FB732E"/>
    <w:rPr>
      <w:color w:val="0000FF"/>
      <w:u w:val="single"/>
    </w:rPr>
  </w:style>
  <w:style w:type="paragraph" w:styleId="31">
    <w:name w:val="Body Text Indent 3"/>
    <w:basedOn w:val="a"/>
    <w:link w:val="3Char0"/>
    <w:rsid w:val="00FB732E"/>
    <w:pPr>
      <w:spacing w:line="560" w:lineRule="exact"/>
      <w:ind w:firstLineChars="200" w:firstLine="420"/>
    </w:pPr>
    <w:rPr>
      <w:rFonts w:ascii="Arial" w:hAnsi="Arial" w:cs="Arial"/>
      <w:color w:val="FF0000"/>
    </w:rPr>
  </w:style>
  <w:style w:type="paragraph" w:styleId="a9">
    <w:name w:val="header"/>
    <w:basedOn w:val="a"/>
    <w:link w:val="Char2"/>
    <w:uiPriority w:val="99"/>
    <w:rsid w:val="00FB732E"/>
    <w:pPr>
      <w:pBdr>
        <w:bottom w:val="single" w:sz="6" w:space="1" w:color="auto"/>
      </w:pBdr>
      <w:tabs>
        <w:tab w:val="center" w:pos="4153"/>
        <w:tab w:val="right" w:pos="8306"/>
      </w:tabs>
      <w:snapToGrid w:val="0"/>
      <w:jc w:val="center"/>
    </w:pPr>
    <w:rPr>
      <w:sz w:val="18"/>
      <w:szCs w:val="18"/>
    </w:rPr>
  </w:style>
  <w:style w:type="character" w:styleId="aa">
    <w:name w:val="FollowedHyperlink"/>
    <w:rsid w:val="00FB732E"/>
    <w:rPr>
      <w:color w:val="800080"/>
      <w:u w:val="single"/>
    </w:rPr>
  </w:style>
  <w:style w:type="paragraph" w:styleId="ab">
    <w:name w:val="List"/>
    <w:basedOn w:val="ac"/>
    <w:rsid w:val="00FB732E"/>
    <w:pPr>
      <w:spacing w:after="220" w:line="220" w:lineRule="atLeast"/>
      <w:ind w:left="1440" w:hanging="360"/>
    </w:pPr>
    <w:rPr>
      <w:szCs w:val="20"/>
    </w:rPr>
  </w:style>
  <w:style w:type="paragraph" w:styleId="ac">
    <w:name w:val="Body Text"/>
    <w:basedOn w:val="a"/>
    <w:link w:val="Char3"/>
    <w:rsid w:val="00FB732E"/>
    <w:pPr>
      <w:spacing w:after="120"/>
    </w:pPr>
  </w:style>
  <w:style w:type="paragraph" w:styleId="ad">
    <w:name w:val="Date"/>
    <w:basedOn w:val="a"/>
    <w:next w:val="a"/>
    <w:link w:val="Char4"/>
    <w:uiPriority w:val="99"/>
    <w:rsid w:val="00FB732E"/>
    <w:rPr>
      <w:sz w:val="24"/>
      <w:szCs w:val="20"/>
    </w:rPr>
  </w:style>
  <w:style w:type="character" w:customStyle="1" w:styleId="c1">
    <w:name w:val="c1"/>
    <w:rsid w:val="00FB732E"/>
    <w:rPr>
      <w:color w:val="000000"/>
      <w:spacing w:val="300"/>
      <w:sz w:val="18"/>
      <w:szCs w:val="18"/>
    </w:rPr>
  </w:style>
  <w:style w:type="paragraph" w:styleId="10">
    <w:name w:val="index 1"/>
    <w:basedOn w:val="a"/>
    <w:next w:val="a"/>
    <w:autoRedefine/>
    <w:semiHidden/>
    <w:rsid w:val="00FB732E"/>
    <w:pPr>
      <w:jc w:val="right"/>
    </w:pPr>
    <w:rPr>
      <w:color w:val="008000"/>
    </w:rPr>
  </w:style>
  <w:style w:type="paragraph" w:customStyle="1" w:styleId="font5">
    <w:name w:val="font5"/>
    <w:basedOn w:val="a"/>
    <w:rsid w:val="00FB732E"/>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styleId="ae">
    <w:name w:val="Balloon Text"/>
    <w:basedOn w:val="a"/>
    <w:link w:val="Char5"/>
    <w:semiHidden/>
    <w:rsid w:val="00FB732E"/>
    <w:rPr>
      <w:sz w:val="18"/>
      <w:szCs w:val="18"/>
    </w:rPr>
  </w:style>
  <w:style w:type="character" w:styleId="af">
    <w:name w:val="annotation reference"/>
    <w:semiHidden/>
    <w:rsid w:val="00FB732E"/>
    <w:rPr>
      <w:sz w:val="21"/>
      <w:szCs w:val="21"/>
    </w:rPr>
  </w:style>
  <w:style w:type="paragraph" w:styleId="af0">
    <w:name w:val="annotation text"/>
    <w:basedOn w:val="a"/>
    <w:link w:val="Char6"/>
    <w:semiHidden/>
    <w:rsid w:val="00FB732E"/>
    <w:pPr>
      <w:jc w:val="left"/>
    </w:pPr>
  </w:style>
  <w:style w:type="paragraph" w:styleId="af1">
    <w:name w:val="annotation subject"/>
    <w:basedOn w:val="af0"/>
    <w:next w:val="af0"/>
    <w:link w:val="Char7"/>
    <w:semiHidden/>
    <w:rsid w:val="00FB732E"/>
    <w:rPr>
      <w:b/>
      <w:bCs/>
    </w:rPr>
  </w:style>
  <w:style w:type="paragraph" w:customStyle="1" w:styleId="Char8">
    <w:name w:val="Char"/>
    <w:basedOn w:val="a"/>
    <w:rsid w:val="00FB732E"/>
  </w:style>
  <w:style w:type="paragraph" w:styleId="af2">
    <w:name w:val="Document Map"/>
    <w:basedOn w:val="a"/>
    <w:link w:val="Char9"/>
    <w:semiHidden/>
    <w:rsid w:val="000A549A"/>
    <w:pPr>
      <w:shd w:val="clear" w:color="auto" w:fill="000080"/>
    </w:pPr>
  </w:style>
  <w:style w:type="paragraph" w:customStyle="1" w:styleId="af3">
    <w:name w:val="正文 + (符号) 宋体"/>
    <w:aliases w:val="小四,紧缩量  0.2 磅"/>
    <w:basedOn w:val="a"/>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rsid w:val="00547D9C"/>
    <w:pPr>
      <w:snapToGrid w:val="0"/>
      <w:jc w:val="left"/>
    </w:pPr>
    <w:rPr>
      <w:sz w:val="18"/>
      <w:szCs w:val="18"/>
    </w:rPr>
  </w:style>
  <w:style w:type="character" w:styleId="af5">
    <w:name w:val="footnote reference"/>
    <w:rsid w:val="00547D9C"/>
    <w:rPr>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qFormat/>
    <w:rsid w:val="002A5D3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0">
    <w:name w:val="Char1"/>
    <w:basedOn w:val="a"/>
    <w:rsid w:val="00043ABF"/>
  </w:style>
  <w:style w:type="paragraph" w:customStyle="1" w:styleId="CharCharCharCharCharChar1CharCharChar">
    <w:name w:val="Char Char Char Char Char Char1 Char Char Char"/>
    <w:basedOn w:val="a"/>
    <w:rsid w:val="005166E9"/>
    <w:pPr>
      <w:autoSpaceDE w:val="0"/>
      <w:autoSpaceDN w:val="0"/>
      <w:adjustRightInd w:val="0"/>
      <w:jc w:val="left"/>
      <w:textAlignment w:val="baseline"/>
    </w:pPr>
    <w:rPr>
      <w:rFonts w:ascii="宋体"/>
      <w:kern w:val="0"/>
      <w:sz w:val="34"/>
      <w:szCs w:val="20"/>
    </w:rPr>
  </w:style>
  <w:style w:type="numbering" w:customStyle="1" w:styleId="3">
    <w:name w:val="样式3"/>
    <w:rsid w:val="001C0806"/>
    <w:pPr>
      <w:numPr>
        <w:numId w:val="7"/>
      </w:numPr>
    </w:pPr>
  </w:style>
  <w:style w:type="numbering" w:customStyle="1" w:styleId="5">
    <w:name w:val="样式5"/>
    <w:rsid w:val="001C0806"/>
    <w:pPr>
      <w:numPr>
        <w:numId w:val="8"/>
      </w:numPr>
    </w:pPr>
  </w:style>
  <w:style w:type="numbering" w:customStyle="1" w:styleId="4">
    <w:name w:val="样式4"/>
    <w:rsid w:val="001C0806"/>
    <w:pPr>
      <w:numPr>
        <w:numId w:val="9"/>
      </w:numPr>
    </w:p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semiHidden/>
    <w:rsid w:val="00BE2A17"/>
    <w:pPr>
      <w:tabs>
        <w:tab w:val="right" w:leader="dot" w:pos="9072"/>
      </w:tabs>
    </w:pPr>
  </w:style>
  <w:style w:type="paragraph" w:styleId="32">
    <w:name w:val="toc 3"/>
    <w:basedOn w:val="a"/>
    <w:next w:val="a"/>
    <w:autoRedefine/>
    <w:semiHidden/>
    <w:rsid w:val="00954A89"/>
    <w:pPr>
      <w:ind w:leftChars="400" w:left="840"/>
    </w:pPr>
  </w:style>
  <w:style w:type="character" w:customStyle="1" w:styleId="2Char">
    <w:name w:val="标题 2 Char"/>
    <w:link w:val="20"/>
    <w:rsid w:val="00A3655D"/>
    <w:rPr>
      <w:rFonts w:ascii="Arial" w:hAnsi="Arial" w:cs="Arial"/>
      <w:b/>
      <w:bCs/>
      <w:kern w:val="2"/>
      <w:sz w:val="24"/>
      <w:szCs w:val="28"/>
    </w:rPr>
  </w:style>
  <w:style w:type="numbering" w:customStyle="1" w:styleId="2">
    <w:name w:val="样式2"/>
    <w:rsid w:val="00CC5767"/>
    <w:pPr>
      <w:numPr>
        <w:numId w:val="16"/>
      </w:numPr>
    </w:pPr>
  </w:style>
  <w:style w:type="character" w:customStyle="1" w:styleId="Char0">
    <w:name w:val="纯文本 Char"/>
    <w:link w:val="a5"/>
    <w:rsid w:val="00586E9A"/>
    <w:rPr>
      <w:rFonts w:ascii="宋体" w:hAnsi="Courier New"/>
      <w:kern w:val="2"/>
      <w:sz w:val="21"/>
      <w:szCs w:val="21"/>
    </w:rPr>
  </w:style>
  <w:style w:type="paragraph" w:customStyle="1" w:styleId="CharCharCharCharCharChar1CharCharChar1">
    <w:name w:val="Char Char Char Char Char Char1 Char Char Char1"/>
    <w:basedOn w:val="a"/>
    <w:rsid w:val="005B7476"/>
    <w:pPr>
      <w:autoSpaceDE w:val="0"/>
      <w:autoSpaceDN w:val="0"/>
      <w:adjustRightInd w:val="0"/>
      <w:jc w:val="left"/>
      <w:textAlignment w:val="baseline"/>
    </w:pPr>
    <w:rPr>
      <w:rFonts w:ascii="宋体"/>
      <w:kern w:val="0"/>
      <w:sz w:val="34"/>
      <w:szCs w:val="20"/>
    </w:rPr>
  </w:style>
  <w:style w:type="character" w:customStyle="1" w:styleId="1Char">
    <w:name w:val="标题 1 Char"/>
    <w:basedOn w:val="a1"/>
    <w:link w:val="1"/>
    <w:rsid w:val="0003228A"/>
    <w:rPr>
      <w:sz w:val="24"/>
      <w:lang w:val="en-GB"/>
    </w:rPr>
  </w:style>
  <w:style w:type="character" w:customStyle="1" w:styleId="3Char">
    <w:name w:val="标题 3 Char"/>
    <w:basedOn w:val="a1"/>
    <w:link w:val="30"/>
    <w:rsid w:val="006D141C"/>
    <w:rPr>
      <w:b/>
      <w:bCs/>
      <w:kern w:val="2"/>
      <w:sz w:val="32"/>
      <w:szCs w:val="32"/>
    </w:rPr>
  </w:style>
  <w:style w:type="character" w:customStyle="1" w:styleId="Chara">
    <w:name w:val="脚注文本 Char"/>
    <w:basedOn w:val="a1"/>
    <w:link w:val="af4"/>
    <w:rsid w:val="006D141C"/>
    <w:rPr>
      <w:kern w:val="2"/>
      <w:sz w:val="18"/>
      <w:szCs w:val="18"/>
    </w:rPr>
  </w:style>
  <w:style w:type="character" w:customStyle="1" w:styleId="Char6">
    <w:name w:val="批注文字 Char"/>
    <w:basedOn w:val="a1"/>
    <w:link w:val="af0"/>
    <w:semiHidden/>
    <w:rsid w:val="006D141C"/>
    <w:rPr>
      <w:kern w:val="2"/>
      <w:sz w:val="21"/>
      <w:szCs w:val="24"/>
    </w:rPr>
  </w:style>
  <w:style w:type="character" w:customStyle="1" w:styleId="Char2">
    <w:name w:val="页眉 Char"/>
    <w:basedOn w:val="a1"/>
    <w:link w:val="a9"/>
    <w:uiPriority w:val="99"/>
    <w:rsid w:val="006D141C"/>
    <w:rPr>
      <w:kern w:val="2"/>
      <w:sz w:val="18"/>
      <w:szCs w:val="18"/>
    </w:rPr>
  </w:style>
  <w:style w:type="character" w:customStyle="1" w:styleId="Char1">
    <w:name w:val="页脚 Char"/>
    <w:basedOn w:val="a1"/>
    <w:link w:val="a6"/>
    <w:uiPriority w:val="99"/>
    <w:rsid w:val="006D141C"/>
    <w:rPr>
      <w:kern w:val="2"/>
      <w:sz w:val="18"/>
      <w:szCs w:val="18"/>
    </w:rPr>
  </w:style>
  <w:style w:type="character" w:customStyle="1" w:styleId="Char3">
    <w:name w:val="正文文本 Char"/>
    <w:basedOn w:val="a1"/>
    <w:link w:val="ac"/>
    <w:rsid w:val="006D141C"/>
    <w:rPr>
      <w:kern w:val="2"/>
      <w:sz w:val="21"/>
      <w:szCs w:val="24"/>
    </w:rPr>
  </w:style>
  <w:style w:type="character" w:customStyle="1" w:styleId="Char">
    <w:name w:val="正文文本缩进 Char"/>
    <w:basedOn w:val="a1"/>
    <w:link w:val="a4"/>
    <w:rsid w:val="006D141C"/>
    <w:rPr>
      <w:rFonts w:ascii="Arial Unicode MS" w:eastAsia="Arial Unicode MS" w:hAnsi="Arial Unicode MS" w:cs="Arial Unicode MS"/>
      <w:sz w:val="24"/>
      <w:szCs w:val="24"/>
    </w:rPr>
  </w:style>
  <w:style w:type="character" w:customStyle="1" w:styleId="Char4">
    <w:name w:val="日期 Char"/>
    <w:basedOn w:val="a1"/>
    <w:link w:val="ad"/>
    <w:uiPriority w:val="99"/>
    <w:rsid w:val="006D141C"/>
    <w:rPr>
      <w:kern w:val="2"/>
      <w:sz w:val="24"/>
    </w:rPr>
  </w:style>
  <w:style w:type="character" w:customStyle="1" w:styleId="2Char0">
    <w:name w:val="正文文本缩进 2 Char"/>
    <w:basedOn w:val="a1"/>
    <w:link w:val="21"/>
    <w:rsid w:val="006D141C"/>
    <w:rPr>
      <w:rFonts w:ascii="宋体" w:hAnsi="宋体"/>
      <w:color w:val="FF0000"/>
      <w:kern w:val="2"/>
      <w:sz w:val="24"/>
      <w:szCs w:val="24"/>
    </w:rPr>
  </w:style>
  <w:style w:type="character" w:customStyle="1" w:styleId="3Char0">
    <w:name w:val="正文文本缩进 3 Char"/>
    <w:basedOn w:val="a1"/>
    <w:link w:val="31"/>
    <w:rsid w:val="006D141C"/>
    <w:rPr>
      <w:rFonts w:ascii="Arial" w:hAnsi="Arial" w:cs="Arial"/>
      <w:color w:val="FF0000"/>
      <w:kern w:val="2"/>
      <w:sz w:val="21"/>
      <w:szCs w:val="24"/>
    </w:rPr>
  </w:style>
  <w:style w:type="character" w:customStyle="1" w:styleId="Char9">
    <w:name w:val="文档结构图 Char"/>
    <w:basedOn w:val="a1"/>
    <w:link w:val="af2"/>
    <w:semiHidden/>
    <w:rsid w:val="006D141C"/>
    <w:rPr>
      <w:kern w:val="2"/>
      <w:sz w:val="21"/>
      <w:szCs w:val="24"/>
      <w:shd w:val="clear" w:color="auto" w:fill="000080"/>
    </w:rPr>
  </w:style>
  <w:style w:type="character" w:customStyle="1" w:styleId="Char7">
    <w:name w:val="批注主题 Char"/>
    <w:basedOn w:val="Char6"/>
    <w:link w:val="af1"/>
    <w:semiHidden/>
    <w:rsid w:val="006D141C"/>
    <w:rPr>
      <w:b/>
      <w:bCs/>
      <w:kern w:val="2"/>
      <w:sz w:val="21"/>
      <w:szCs w:val="24"/>
    </w:rPr>
  </w:style>
  <w:style w:type="character" w:customStyle="1" w:styleId="Char5">
    <w:name w:val="批注框文本 Char"/>
    <w:basedOn w:val="a1"/>
    <w:link w:val="ae"/>
    <w:semiHidden/>
    <w:rsid w:val="006D141C"/>
    <w:rPr>
      <w:kern w:val="2"/>
      <w:sz w:val="18"/>
      <w:szCs w:val="18"/>
    </w:rPr>
  </w:style>
  <w:style w:type="character" w:styleId="af8">
    <w:name w:val="Strong"/>
    <w:basedOn w:val="a1"/>
    <w:uiPriority w:val="22"/>
    <w:qFormat/>
    <w:rsid w:val="00041C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0">
    <w:name w:val="5"/>
    <w:pPr>
      <w:numPr>
        <w:numId w:val="8"/>
      </w:numPr>
    </w:pPr>
  </w:style>
  <w:style w:type="numbering" w:customStyle="1" w:styleId="a4">
    <w:name w:val="3"/>
    <w:pPr>
      <w:numPr>
        <w:numId w:val="7"/>
      </w:numPr>
    </w:pPr>
  </w:style>
  <w:style w:type="numbering" w:customStyle="1" w:styleId="a5">
    <w:name w:val="4"/>
    <w:pPr>
      <w:numPr>
        <w:numId w:val="9"/>
      </w:numPr>
    </w:pPr>
  </w:style>
  <w:style w:type="numbering" w:customStyle="1" w:styleId="21">
    <w:name w:val="2"/>
    <w:pPr>
      <w:numPr>
        <w:numId w:val="16"/>
      </w:numPr>
    </w:pPr>
  </w:style>
</w:styles>
</file>

<file path=word/webSettings.xml><?xml version="1.0" encoding="utf-8"?>
<w:webSettings xmlns:r="http://schemas.openxmlformats.org/officeDocument/2006/relationships" xmlns:w="http://schemas.openxmlformats.org/wordprocessingml/2006/main">
  <w:divs>
    <w:div w:id="9722622">
      <w:bodyDiv w:val="1"/>
      <w:marLeft w:val="0"/>
      <w:marRight w:val="0"/>
      <w:marTop w:val="0"/>
      <w:marBottom w:val="0"/>
      <w:divBdr>
        <w:top w:val="none" w:sz="0" w:space="0" w:color="auto"/>
        <w:left w:val="none" w:sz="0" w:space="0" w:color="auto"/>
        <w:bottom w:val="none" w:sz="0" w:space="0" w:color="auto"/>
        <w:right w:val="none" w:sz="0" w:space="0" w:color="auto"/>
      </w:divBdr>
    </w:div>
    <w:div w:id="45183085">
      <w:bodyDiv w:val="1"/>
      <w:marLeft w:val="0"/>
      <w:marRight w:val="0"/>
      <w:marTop w:val="0"/>
      <w:marBottom w:val="0"/>
      <w:divBdr>
        <w:top w:val="none" w:sz="0" w:space="0" w:color="auto"/>
        <w:left w:val="none" w:sz="0" w:space="0" w:color="auto"/>
        <w:bottom w:val="none" w:sz="0" w:space="0" w:color="auto"/>
        <w:right w:val="none" w:sz="0" w:space="0" w:color="auto"/>
      </w:divBdr>
    </w:div>
    <w:div w:id="50738565">
      <w:bodyDiv w:val="1"/>
      <w:marLeft w:val="0"/>
      <w:marRight w:val="0"/>
      <w:marTop w:val="0"/>
      <w:marBottom w:val="0"/>
      <w:divBdr>
        <w:top w:val="none" w:sz="0" w:space="0" w:color="auto"/>
        <w:left w:val="none" w:sz="0" w:space="0" w:color="auto"/>
        <w:bottom w:val="none" w:sz="0" w:space="0" w:color="auto"/>
        <w:right w:val="none" w:sz="0" w:space="0" w:color="auto"/>
      </w:divBdr>
    </w:div>
    <w:div w:id="54134530">
      <w:bodyDiv w:val="1"/>
      <w:marLeft w:val="0"/>
      <w:marRight w:val="0"/>
      <w:marTop w:val="0"/>
      <w:marBottom w:val="0"/>
      <w:divBdr>
        <w:top w:val="none" w:sz="0" w:space="0" w:color="auto"/>
        <w:left w:val="none" w:sz="0" w:space="0" w:color="auto"/>
        <w:bottom w:val="none" w:sz="0" w:space="0" w:color="auto"/>
        <w:right w:val="none" w:sz="0" w:space="0" w:color="auto"/>
      </w:divBdr>
    </w:div>
    <w:div w:id="94372863">
      <w:bodyDiv w:val="1"/>
      <w:marLeft w:val="0"/>
      <w:marRight w:val="0"/>
      <w:marTop w:val="0"/>
      <w:marBottom w:val="0"/>
      <w:divBdr>
        <w:top w:val="none" w:sz="0" w:space="0" w:color="auto"/>
        <w:left w:val="none" w:sz="0" w:space="0" w:color="auto"/>
        <w:bottom w:val="none" w:sz="0" w:space="0" w:color="auto"/>
        <w:right w:val="none" w:sz="0" w:space="0" w:color="auto"/>
      </w:divBdr>
    </w:div>
    <w:div w:id="99029144">
      <w:bodyDiv w:val="1"/>
      <w:marLeft w:val="0"/>
      <w:marRight w:val="0"/>
      <w:marTop w:val="0"/>
      <w:marBottom w:val="0"/>
      <w:divBdr>
        <w:top w:val="none" w:sz="0" w:space="0" w:color="auto"/>
        <w:left w:val="none" w:sz="0" w:space="0" w:color="auto"/>
        <w:bottom w:val="none" w:sz="0" w:space="0" w:color="auto"/>
        <w:right w:val="none" w:sz="0" w:space="0" w:color="auto"/>
      </w:divBdr>
    </w:div>
    <w:div w:id="108280939">
      <w:bodyDiv w:val="1"/>
      <w:marLeft w:val="0"/>
      <w:marRight w:val="0"/>
      <w:marTop w:val="0"/>
      <w:marBottom w:val="0"/>
      <w:divBdr>
        <w:top w:val="none" w:sz="0" w:space="0" w:color="auto"/>
        <w:left w:val="none" w:sz="0" w:space="0" w:color="auto"/>
        <w:bottom w:val="none" w:sz="0" w:space="0" w:color="auto"/>
        <w:right w:val="none" w:sz="0" w:space="0" w:color="auto"/>
      </w:divBdr>
    </w:div>
    <w:div w:id="141851031">
      <w:bodyDiv w:val="1"/>
      <w:marLeft w:val="0"/>
      <w:marRight w:val="0"/>
      <w:marTop w:val="0"/>
      <w:marBottom w:val="0"/>
      <w:divBdr>
        <w:top w:val="none" w:sz="0" w:space="0" w:color="auto"/>
        <w:left w:val="none" w:sz="0" w:space="0" w:color="auto"/>
        <w:bottom w:val="none" w:sz="0" w:space="0" w:color="auto"/>
        <w:right w:val="none" w:sz="0" w:space="0" w:color="auto"/>
      </w:divBdr>
    </w:div>
    <w:div w:id="156919872">
      <w:bodyDiv w:val="1"/>
      <w:marLeft w:val="0"/>
      <w:marRight w:val="0"/>
      <w:marTop w:val="0"/>
      <w:marBottom w:val="0"/>
      <w:divBdr>
        <w:top w:val="none" w:sz="0" w:space="0" w:color="auto"/>
        <w:left w:val="none" w:sz="0" w:space="0" w:color="auto"/>
        <w:bottom w:val="none" w:sz="0" w:space="0" w:color="auto"/>
        <w:right w:val="none" w:sz="0" w:space="0" w:color="auto"/>
      </w:divBdr>
      <w:divsChild>
        <w:div w:id="1335063293">
          <w:marLeft w:val="0"/>
          <w:marRight w:val="0"/>
          <w:marTop w:val="0"/>
          <w:marBottom w:val="0"/>
          <w:divBdr>
            <w:top w:val="none" w:sz="0" w:space="0" w:color="auto"/>
            <w:left w:val="none" w:sz="0" w:space="0" w:color="auto"/>
            <w:bottom w:val="none" w:sz="0" w:space="0" w:color="auto"/>
            <w:right w:val="none" w:sz="0" w:space="0" w:color="auto"/>
          </w:divBdr>
        </w:div>
      </w:divsChild>
    </w:div>
    <w:div w:id="166556664">
      <w:bodyDiv w:val="1"/>
      <w:marLeft w:val="0"/>
      <w:marRight w:val="0"/>
      <w:marTop w:val="0"/>
      <w:marBottom w:val="0"/>
      <w:divBdr>
        <w:top w:val="none" w:sz="0" w:space="0" w:color="auto"/>
        <w:left w:val="none" w:sz="0" w:space="0" w:color="auto"/>
        <w:bottom w:val="none" w:sz="0" w:space="0" w:color="auto"/>
        <w:right w:val="none" w:sz="0" w:space="0" w:color="auto"/>
      </w:divBdr>
    </w:div>
    <w:div w:id="169023787">
      <w:bodyDiv w:val="1"/>
      <w:marLeft w:val="0"/>
      <w:marRight w:val="0"/>
      <w:marTop w:val="0"/>
      <w:marBottom w:val="0"/>
      <w:divBdr>
        <w:top w:val="none" w:sz="0" w:space="0" w:color="auto"/>
        <w:left w:val="none" w:sz="0" w:space="0" w:color="auto"/>
        <w:bottom w:val="none" w:sz="0" w:space="0" w:color="auto"/>
        <w:right w:val="none" w:sz="0" w:space="0" w:color="auto"/>
      </w:divBdr>
    </w:div>
    <w:div w:id="173806077">
      <w:bodyDiv w:val="1"/>
      <w:marLeft w:val="0"/>
      <w:marRight w:val="0"/>
      <w:marTop w:val="0"/>
      <w:marBottom w:val="0"/>
      <w:divBdr>
        <w:top w:val="none" w:sz="0" w:space="0" w:color="auto"/>
        <w:left w:val="none" w:sz="0" w:space="0" w:color="auto"/>
        <w:bottom w:val="none" w:sz="0" w:space="0" w:color="auto"/>
        <w:right w:val="none" w:sz="0" w:space="0" w:color="auto"/>
      </w:divBdr>
    </w:div>
    <w:div w:id="208492194">
      <w:bodyDiv w:val="1"/>
      <w:marLeft w:val="0"/>
      <w:marRight w:val="0"/>
      <w:marTop w:val="0"/>
      <w:marBottom w:val="0"/>
      <w:divBdr>
        <w:top w:val="none" w:sz="0" w:space="0" w:color="auto"/>
        <w:left w:val="none" w:sz="0" w:space="0" w:color="auto"/>
        <w:bottom w:val="none" w:sz="0" w:space="0" w:color="auto"/>
        <w:right w:val="none" w:sz="0" w:space="0" w:color="auto"/>
      </w:divBdr>
    </w:div>
    <w:div w:id="220488553">
      <w:bodyDiv w:val="1"/>
      <w:marLeft w:val="0"/>
      <w:marRight w:val="0"/>
      <w:marTop w:val="0"/>
      <w:marBottom w:val="0"/>
      <w:divBdr>
        <w:top w:val="none" w:sz="0" w:space="0" w:color="auto"/>
        <w:left w:val="none" w:sz="0" w:space="0" w:color="auto"/>
        <w:bottom w:val="none" w:sz="0" w:space="0" w:color="auto"/>
        <w:right w:val="none" w:sz="0" w:space="0" w:color="auto"/>
      </w:divBdr>
    </w:div>
    <w:div w:id="223833576">
      <w:bodyDiv w:val="1"/>
      <w:marLeft w:val="0"/>
      <w:marRight w:val="0"/>
      <w:marTop w:val="0"/>
      <w:marBottom w:val="0"/>
      <w:divBdr>
        <w:top w:val="none" w:sz="0" w:space="0" w:color="auto"/>
        <w:left w:val="none" w:sz="0" w:space="0" w:color="auto"/>
        <w:bottom w:val="none" w:sz="0" w:space="0" w:color="auto"/>
        <w:right w:val="none" w:sz="0" w:space="0" w:color="auto"/>
      </w:divBdr>
    </w:div>
    <w:div w:id="233514390">
      <w:bodyDiv w:val="1"/>
      <w:marLeft w:val="0"/>
      <w:marRight w:val="0"/>
      <w:marTop w:val="0"/>
      <w:marBottom w:val="0"/>
      <w:divBdr>
        <w:top w:val="none" w:sz="0" w:space="0" w:color="auto"/>
        <w:left w:val="none" w:sz="0" w:space="0" w:color="auto"/>
        <w:bottom w:val="none" w:sz="0" w:space="0" w:color="auto"/>
        <w:right w:val="none" w:sz="0" w:space="0" w:color="auto"/>
      </w:divBdr>
    </w:div>
    <w:div w:id="236982680">
      <w:bodyDiv w:val="1"/>
      <w:marLeft w:val="0"/>
      <w:marRight w:val="0"/>
      <w:marTop w:val="0"/>
      <w:marBottom w:val="0"/>
      <w:divBdr>
        <w:top w:val="none" w:sz="0" w:space="0" w:color="auto"/>
        <w:left w:val="none" w:sz="0" w:space="0" w:color="auto"/>
        <w:bottom w:val="none" w:sz="0" w:space="0" w:color="auto"/>
        <w:right w:val="none" w:sz="0" w:space="0" w:color="auto"/>
      </w:divBdr>
    </w:div>
    <w:div w:id="269166985">
      <w:bodyDiv w:val="1"/>
      <w:marLeft w:val="0"/>
      <w:marRight w:val="0"/>
      <w:marTop w:val="0"/>
      <w:marBottom w:val="0"/>
      <w:divBdr>
        <w:top w:val="none" w:sz="0" w:space="0" w:color="auto"/>
        <w:left w:val="none" w:sz="0" w:space="0" w:color="auto"/>
        <w:bottom w:val="none" w:sz="0" w:space="0" w:color="auto"/>
        <w:right w:val="none" w:sz="0" w:space="0" w:color="auto"/>
      </w:divBdr>
    </w:div>
    <w:div w:id="279532252">
      <w:bodyDiv w:val="1"/>
      <w:marLeft w:val="0"/>
      <w:marRight w:val="0"/>
      <w:marTop w:val="0"/>
      <w:marBottom w:val="0"/>
      <w:divBdr>
        <w:top w:val="none" w:sz="0" w:space="0" w:color="auto"/>
        <w:left w:val="none" w:sz="0" w:space="0" w:color="auto"/>
        <w:bottom w:val="none" w:sz="0" w:space="0" w:color="auto"/>
        <w:right w:val="none" w:sz="0" w:space="0" w:color="auto"/>
      </w:divBdr>
    </w:div>
    <w:div w:id="285429604">
      <w:bodyDiv w:val="1"/>
      <w:marLeft w:val="0"/>
      <w:marRight w:val="0"/>
      <w:marTop w:val="0"/>
      <w:marBottom w:val="0"/>
      <w:divBdr>
        <w:top w:val="none" w:sz="0" w:space="0" w:color="auto"/>
        <w:left w:val="none" w:sz="0" w:space="0" w:color="auto"/>
        <w:bottom w:val="none" w:sz="0" w:space="0" w:color="auto"/>
        <w:right w:val="none" w:sz="0" w:space="0" w:color="auto"/>
      </w:divBdr>
    </w:div>
    <w:div w:id="293371735">
      <w:bodyDiv w:val="1"/>
      <w:marLeft w:val="0"/>
      <w:marRight w:val="0"/>
      <w:marTop w:val="0"/>
      <w:marBottom w:val="0"/>
      <w:divBdr>
        <w:top w:val="none" w:sz="0" w:space="0" w:color="auto"/>
        <w:left w:val="none" w:sz="0" w:space="0" w:color="auto"/>
        <w:bottom w:val="none" w:sz="0" w:space="0" w:color="auto"/>
        <w:right w:val="none" w:sz="0" w:space="0" w:color="auto"/>
      </w:divBdr>
    </w:div>
    <w:div w:id="294021135">
      <w:bodyDiv w:val="1"/>
      <w:marLeft w:val="0"/>
      <w:marRight w:val="0"/>
      <w:marTop w:val="0"/>
      <w:marBottom w:val="0"/>
      <w:divBdr>
        <w:top w:val="none" w:sz="0" w:space="0" w:color="auto"/>
        <w:left w:val="none" w:sz="0" w:space="0" w:color="auto"/>
        <w:bottom w:val="none" w:sz="0" w:space="0" w:color="auto"/>
        <w:right w:val="none" w:sz="0" w:space="0" w:color="auto"/>
      </w:divBdr>
    </w:div>
    <w:div w:id="311104908">
      <w:bodyDiv w:val="1"/>
      <w:marLeft w:val="0"/>
      <w:marRight w:val="0"/>
      <w:marTop w:val="0"/>
      <w:marBottom w:val="0"/>
      <w:divBdr>
        <w:top w:val="none" w:sz="0" w:space="0" w:color="auto"/>
        <w:left w:val="none" w:sz="0" w:space="0" w:color="auto"/>
        <w:bottom w:val="none" w:sz="0" w:space="0" w:color="auto"/>
        <w:right w:val="none" w:sz="0" w:space="0" w:color="auto"/>
      </w:divBdr>
    </w:div>
    <w:div w:id="312492179">
      <w:bodyDiv w:val="1"/>
      <w:marLeft w:val="0"/>
      <w:marRight w:val="0"/>
      <w:marTop w:val="0"/>
      <w:marBottom w:val="0"/>
      <w:divBdr>
        <w:top w:val="none" w:sz="0" w:space="0" w:color="auto"/>
        <w:left w:val="none" w:sz="0" w:space="0" w:color="auto"/>
        <w:bottom w:val="none" w:sz="0" w:space="0" w:color="auto"/>
        <w:right w:val="none" w:sz="0" w:space="0" w:color="auto"/>
      </w:divBdr>
    </w:div>
    <w:div w:id="312754186">
      <w:bodyDiv w:val="1"/>
      <w:marLeft w:val="0"/>
      <w:marRight w:val="0"/>
      <w:marTop w:val="0"/>
      <w:marBottom w:val="0"/>
      <w:divBdr>
        <w:top w:val="none" w:sz="0" w:space="0" w:color="auto"/>
        <w:left w:val="none" w:sz="0" w:space="0" w:color="auto"/>
        <w:bottom w:val="none" w:sz="0" w:space="0" w:color="auto"/>
        <w:right w:val="none" w:sz="0" w:space="0" w:color="auto"/>
      </w:divBdr>
    </w:div>
    <w:div w:id="316032732">
      <w:bodyDiv w:val="1"/>
      <w:marLeft w:val="0"/>
      <w:marRight w:val="0"/>
      <w:marTop w:val="0"/>
      <w:marBottom w:val="0"/>
      <w:divBdr>
        <w:top w:val="none" w:sz="0" w:space="0" w:color="auto"/>
        <w:left w:val="none" w:sz="0" w:space="0" w:color="auto"/>
        <w:bottom w:val="none" w:sz="0" w:space="0" w:color="auto"/>
        <w:right w:val="none" w:sz="0" w:space="0" w:color="auto"/>
      </w:divBdr>
    </w:div>
    <w:div w:id="328019152">
      <w:bodyDiv w:val="1"/>
      <w:marLeft w:val="0"/>
      <w:marRight w:val="0"/>
      <w:marTop w:val="0"/>
      <w:marBottom w:val="0"/>
      <w:divBdr>
        <w:top w:val="none" w:sz="0" w:space="0" w:color="auto"/>
        <w:left w:val="none" w:sz="0" w:space="0" w:color="auto"/>
        <w:bottom w:val="none" w:sz="0" w:space="0" w:color="auto"/>
        <w:right w:val="none" w:sz="0" w:space="0" w:color="auto"/>
      </w:divBdr>
    </w:div>
    <w:div w:id="333647338">
      <w:bodyDiv w:val="1"/>
      <w:marLeft w:val="0"/>
      <w:marRight w:val="0"/>
      <w:marTop w:val="0"/>
      <w:marBottom w:val="0"/>
      <w:divBdr>
        <w:top w:val="none" w:sz="0" w:space="0" w:color="auto"/>
        <w:left w:val="none" w:sz="0" w:space="0" w:color="auto"/>
        <w:bottom w:val="none" w:sz="0" w:space="0" w:color="auto"/>
        <w:right w:val="none" w:sz="0" w:space="0" w:color="auto"/>
      </w:divBdr>
    </w:div>
    <w:div w:id="347565120">
      <w:bodyDiv w:val="1"/>
      <w:marLeft w:val="0"/>
      <w:marRight w:val="0"/>
      <w:marTop w:val="0"/>
      <w:marBottom w:val="0"/>
      <w:divBdr>
        <w:top w:val="none" w:sz="0" w:space="0" w:color="auto"/>
        <w:left w:val="none" w:sz="0" w:space="0" w:color="auto"/>
        <w:bottom w:val="none" w:sz="0" w:space="0" w:color="auto"/>
        <w:right w:val="none" w:sz="0" w:space="0" w:color="auto"/>
      </w:divBdr>
    </w:div>
    <w:div w:id="369846120">
      <w:bodyDiv w:val="1"/>
      <w:marLeft w:val="0"/>
      <w:marRight w:val="0"/>
      <w:marTop w:val="0"/>
      <w:marBottom w:val="0"/>
      <w:divBdr>
        <w:top w:val="none" w:sz="0" w:space="0" w:color="auto"/>
        <w:left w:val="none" w:sz="0" w:space="0" w:color="auto"/>
        <w:bottom w:val="none" w:sz="0" w:space="0" w:color="auto"/>
        <w:right w:val="none" w:sz="0" w:space="0" w:color="auto"/>
      </w:divBdr>
    </w:div>
    <w:div w:id="383526271">
      <w:bodyDiv w:val="1"/>
      <w:marLeft w:val="0"/>
      <w:marRight w:val="0"/>
      <w:marTop w:val="0"/>
      <w:marBottom w:val="0"/>
      <w:divBdr>
        <w:top w:val="none" w:sz="0" w:space="0" w:color="auto"/>
        <w:left w:val="none" w:sz="0" w:space="0" w:color="auto"/>
        <w:bottom w:val="none" w:sz="0" w:space="0" w:color="auto"/>
        <w:right w:val="none" w:sz="0" w:space="0" w:color="auto"/>
      </w:divBdr>
    </w:div>
    <w:div w:id="384649556">
      <w:bodyDiv w:val="1"/>
      <w:marLeft w:val="0"/>
      <w:marRight w:val="0"/>
      <w:marTop w:val="0"/>
      <w:marBottom w:val="0"/>
      <w:divBdr>
        <w:top w:val="none" w:sz="0" w:space="0" w:color="auto"/>
        <w:left w:val="none" w:sz="0" w:space="0" w:color="auto"/>
        <w:bottom w:val="none" w:sz="0" w:space="0" w:color="auto"/>
        <w:right w:val="none" w:sz="0" w:space="0" w:color="auto"/>
      </w:divBdr>
      <w:divsChild>
        <w:div w:id="2076392546">
          <w:marLeft w:val="0"/>
          <w:marRight w:val="0"/>
          <w:marTop w:val="0"/>
          <w:marBottom w:val="0"/>
          <w:divBdr>
            <w:top w:val="none" w:sz="0" w:space="0" w:color="auto"/>
            <w:left w:val="none" w:sz="0" w:space="0" w:color="auto"/>
            <w:bottom w:val="none" w:sz="0" w:space="0" w:color="auto"/>
            <w:right w:val="none" w:sz="0" w:space="0" w:color="auto"/>
          </w:divBdr>
        </w:div>
      </w:divsChild>
    </w:div>
    <w:div w:id="389500673">
      <w:bodyDiv w:val="1"/>
      <w:marLeft w:val="0"/>
      <w:marRight w:val="0"/>
      <w:marTop w:val="0"/>
      <w:marBottom w:val="0"/>
      <w:divBdr>
        <w:top w:val="none" w:sz="0" w:space="0" w:color="auto"/>
        <w:left w:val="none" w:sz="0" w:space="0" w:color="auto"/>
        <w:bottom w:val="none" w:sz="0" w:space="0" w:color="auto"/>
        <w:right w:val="none" w:sz="0" w:space="0" w:color="auto"/>
      </w:divBdr>
    </w:div>
    <w:div w:id="405954618">
      <w:bodyDiv w:val="1"/>
      <w:marLeft w:val="0"/>
      <w:marRight w:val="0"/>
      <w:marTop w:val="0"/>
      <w:marBottom w:val="0"/>
      <w:divBdr>
        <w:top w:val="none" w:sz="0" w:space="0" w:color="auto"/>
        <w:left w:val="none" w:sz="0" w:space="0" w:color="auto"/>
        <w:bottom w:val="none" w:sz="0" w:space="0" w:color="auto"/>
        <w:right w:val="none" w:sz="0" w:space="0" w:color="auto"/>
      </w:divBdr>
    </w:div>
    <w:div w:id="428426364">
      <w:bodyDiv w:val="1"/>
      <w:marLeft w:val="0"/>
      <w:marRight w:val="0"/>
      <w:marTop w:val="0"/>
      <w:marBottom w:val="0"/>
      <w:divBdr>
        <w:top w:val="none" w:sz="0" w:space="0" w:color="auto"/>
        <w:left w:val="none" w:sz="0" w:space="0" w:color="auto"/>
        <w:bottom w:val="none" w:sz="0" w:space="0" w:color="auto"/>
        <w:right w:val="none" w:sz="0" w:space="0" w:color="auto"/>
      </w:divBdr>
    </w:div>
    <w:div w:id="429666042">
      <w:bodyDiv w:val="1"/>
      <w:marLeft w:val="0"/>
      <w:marRight w:val="0"/>
      <w:marTop w:val="0"/>
      <w:marBottom w:val="0"/>
      <w:divBdr>
        <w:top w:val="none" w:sz="0" w:space="0" w:color="auto"/>
        <w:left w:val="none" w:sz="0" w:space="0" w:color="auto"/>
        <w:bottom w:val="none" w:sz="0" w:space="0" w:color="auto"/>
        <w:right w:val="none" w:sz="0" w:space="0" w:color="auto"/>
      </w:divBdr>
    </w:div>
    <w:div w:id="465241967">
      <w:bodyDiv w:val="1"/>
      <w:marLeft w:val="0"/>
      <w:marRight w:val="0"/>
      <w:marTop w:val="0"/>
      <w:marBottom w:val="0"/>
      <w:divBdr>
        <w:top w:val="none" w:sz="0" w:space="0" w:color="auto"/>
        <w:left w:val="none" w:sz="0" w:space="0" w:color="auto"/>
        <w:bottom w:val="none" w:sz="0" w:space="0" w:color="auto"/>
        <w:right w:val="none" w:sz="0" w:space="0" w:color="auto"/>
      </w:divBdr>
    </w:div>
    <w:div w:id="474765098">
      <w:bodyDiv w:val="1"/>
      <w:marLeft w:val="0"/>
      <w:marRight w:val="0"/>
      <w:marTop w:val="0"/>
      <w:marBottom w:val="0"/>
      <w:divBdr>
        <w:top w:val="none" w:sz="0" w:space="0" w:color="auto"/>
        <w:left w:val="none" w:sz="0" w:space="0" w:color="auto"/>
        <w:bottom w:val="none" w:sz="0" w:space="0" w:color="auto"/>
        <w:right w:val="none" w:sz="0" w:space="0" w:color="auto"/>
      </w:divBdr>
    </w:div>
    <w:div w:id="515463929">
      <w:bodyDiv w:val="1"/>
      <w:marLeft w:val="0"/>
      <w:marRight w:val="0"/>
      <w:marTop w:val="0"/>
      <w:marBottom w:val="0"/>
      <w:divBdr>
        <w:top w:val="none" w:sz="0" w:space="0" w:color="auto"/>
        <w:left w:val="none" w:sz="0" w:space="0" w:color="auto"/>
        <w:bottom w:val="none" w:sz="0" w:space="0" w:color="auto"/>
        <w:right w:val="none" w:sz="0" w:space="0" w:color="auto"/>
      </w:divBdr>
    </w:div>
    <w:div w:id="566572800">
      <w:bodyDiv w:val="1"/>
      <w:marLeft w:val="0"/>
      <w:marRight w:val="0"/>
      <w:marTop w:val="0"/>
      <w:marBottom w:val="0"/>
      <w:divBdr>
        <w:top w:val="none" w:sz="0" w:space="0" w:color="auto"/>
        <w:left w:val="none" w:sz="0" w:space="0" w:color="auto"/>
        <w:bottom w:val="none" w:sz="0" w:space="0" w:color="auto"/>
        <w:right w:val="none" w:sz="0" w:space="0" w:color="auto"/>
      </w:divBdr>
    </w:div>
    <w:div w:id="571811457">
      <w:bodyDiv w:val="1"/>
      <w:marLeft w:val="0"/>
      <w:marRight w:val="0"/>
      <w:marTop w:val="0"/>
      <w:marBottom w:val="0"/>
      <w:divBdr>
        <w:top w:val="none" w:sz="0" w:space="0" w:color="auto"/>
        <w:left w:val="none" w:sz="0" w:space="0" w:color="auto"/>
        <w:bottom w:val="none" w:sz="0" w:space="0" w:color="auto"/>
        <w:right w:val="none" w:sz="0" w:space="0" w:color="auto"/>
      </w:divBdr>
    </w:div>
    <w:div w:id="574632569">
      <w:bodyDiv w:val="1"/>
      <w:marLeft w:val="0"/>
      <w:marRight w:val="0"/>
      <w:marTop w:val="0"/>
      <w:marBottom w:val="0"/>
      <w:divBdr>
        <w:top w:val="none" w:sz="0" w:space="0" w:color="auto"/>
        <w:left w:val="none" w:sz="0" w:space="0" w:color="auto"/>
        <w:bottom w:val="none" w:sz="0" w:space="0" w:color="auto"/>
        <w:right w:val="none" w:sz="0" w:space="0" w:color="auto"/>
      </w:divBdr>
    </w:div>
    <w:div w:id="605427738">
      <w:bodyDiv w:val="1"/>
      <w:marLeft w:val="0"/>
      <w:marRight w:val="0"/>
      <w:marTop w:val="0"/>
      <w:marBottom w:val="0"/>
      <w:divBdr>
        <w:top w:val="none" w:sz="0" w:space="0" w:color="auto"/>
        <w:left w:val="none" w:sz="0" w:space="0" w:color="auto"/>
        <w:bottom w:val="none" w:sz="0" w:space="0" w:color="auto"/>
        <w:right w:val="none" w:sz="0" w:space="0" w:color="auto"/>
      </w:divBdr>
    </w:div>
    <w:div w:id="613636562">
      <w:bodyDiv w:val="1"/>
      <w:marLeft w:val="0"/>
      <w:marRight w:val="0"/>
      <w:marTop w:val="0"/>
      <w:marBottom w:val="0"/>
      <w:divBdr>
        <w:top w:val="none" w:sz="0" w:space="0" w:color="auto"/>
        <w:left w:val="none" w:sz="0" w:space="0" w:color="auto"/>
        <w:bottom w:val="none" w:sz="0" w:space="0" w:color="auto"/>
        <w:right w:val="none" w:sz="0" w:space="0" w:color="auto"/>
      </w:divBdr>
    </w:div>
    <w:div w:id="615989507">
      <w:bodyDiv w:val="1"/>
      <w:marLeft w:val="0"/>
      <w:marRight w:val="0"/>
      <w:marTop w:val="0"/>
      <w:marBottom w:val="0"/>
      <w:divBdr>
        <w:top w:val="none" w:sz="0" w:space="0" w:color="auto"/>
        <w:left w:val="none" w:sz="0" w:space="0" w:color="auto"/>
        <w:bottom w:val="none" w:sz="0" w:space="0" w:color="auto"/>
        <w:right w:val="none" w:sz="0" w:space="0" w:color="auto"/>
      </w:divBdr>
    </w:div>
    <w:div w:id="621307430">
      <w:bodyDiv w:val="1"/>
      <w:marLeft w:val="0"/>
      <w:marRight w:val="0"/>
      <w:marTop w:val="0"/>
      <w:marBottom w:val="0"/>
      <w:divBdr>
        <w:top w:val="none" w:sz="0" w:space="0" w:color="auto"/>
        <w:left w:val="none" w:sz="0" w:space="0" w:color="auto"/>
        <w:bottom w:val="none" w:sz="0" w:space="0" w:color="auto"/>
        <w:right w:val="none" w:sz="0" w:space="0" w:color="auto"/>
      </w:divBdr>
    </w:div>
    <w:div w:id="627471506">
      <w:bodyDiv w:val="1"/>
      <w:marLeft w:val="0"/>
      <w:marRight w:val="0"/>
      <w:marTop w:val="0"/>
      <w:marBottom w:val="0"/>
      <w:divBdr>
        <w:top w:val="none" w:sz="0" w:space="0" w:color="auto"/>
        <w:left w:val="none" w:sz="0" w:space="0" w:color="auto"/>
        <w:bottom w:val="none" w:sz="0" w:space="0" w:color="auto"/>
        <w:right w:val="none" w:sz="0" w:space="0" w:color="auto"/>
      </w:divBdr>
    </w:div>
    <w:div w:id="628631634">
      <w:bodyDiv w:val="1"/>
      <w:marLeft w:val="0"/>
      <w:marRight w:val="0"/>
      <w:marTop w:val="0"/>
      <w:marBottom w:val="0"/>
      <w:divBdr>
        <w:top w:val="none" w:sz="0" w:space="0" w:color="auto"/>
        <w:left w:val="none" w:sz="0" w:space="0" w:color="auto"/>
        <w:bottom w:val="none" w:sz="0" w:space="0" w:color="auto"/>
        <w:right w:val="none" w:sz="0" w:space="0" w:color="auto"/>
      </w:divBdr>
    </w:div>
    <w:div w:id="630595502">
      <w:bodyDiv w:val="1"/>
      <w:marLeft w:val="0"/>
      <w:marRight w:val="0"/>
      <w:marTop w:val="0"/>
      <w:marBottom w:val="0"/>
      <w:divBdr>
        <w:top w:val="none" w:sz="0" w:space="0" w:color="auto"/>
        <w:left w:val="none" w:sz="0" w:space="0" w:color="auto"/>
        <w:bottom w:val="none" w:sz="0" w:space="0" w:color="auto"/>
        <w:right w:val="none" w:sz="0" w:space="0" w:color="auto"/>
      </w:divBdr>
    </w:div>
    <w:div w:id="649871381">
      <w:bodyDiv w:val="1"/>
      <w:marLeft w:val="0"/>
      <w:marRight w:val="0"/>
      <w:marTop w:val="0"/>
      <w:marBottom w:val="0"/>
      <w:divBdr>
        <w:top w:val="none" w:sz="0" w:space="0" w:color="auto"/>
        <w:left w:val="none" w:sz="0" w:space="0" w:color="auto"/>
        <w:bottom w:val="none" w:sz="0" w:space="0" w:color="auto"/>
        <w:right w:val="none" w:sz="0" w:space="0" w:color="auto"/>
      </w:divBdr>
    </w:div>
    <w:div w:id="656880589">
      <w:bodyDiv w:val="1"/>
      <w:marLeft w:val="0"/>
      <w:marRight w:val="0"/>
      <w:marTop w:val="0"/>
      <w:marBottom w:val="0"/>
      <w:divBdr>
        <w:top w:val="none" w:sz="0" w:space="0" w:color="auto"/>
        <w:left w:val="none" w:sz="0" w:space="0" w:color="auto"/>
        <w:bottom w:val="none" w:sz="0" w:space="0" w:color="auto"/>
        <w:right w:val="none" w:sz="0" w:space="0" w:color="auto"/>
      </w:divBdr>
    </w:div>
    <w:div w:id="678000690">
      <w:bodyDiv w:val="1"/>
      <w:marLeft w:val="0"/>
      <w:marRight w:val="0"/>
      <w:marTop w:val="0"/>
      <w:marBottom w:val="0"/>
      <w:divBdr>
        <w:top w:val="none" w:sz="0" w:space="0" w:color="auto"/>
        <w:left w:val="none" w:sz="0" w:space="0" w:color="auto"/>
        <w:bottom w:val="none" w:sz="0" w:space="0" w:color="auto"/>
        <w:right w:val="none" w:sz="0" w:space="0" w:color="auto"/>
      </w:divBdr>
    </w:div>
    <w:div w:id="678435689">
      <w:bodyDiv w:val="1"/>
      <w:marLeft w:val="0"/>
      <w:marRight w:val="0"/>
      <w:marTop w:val="0"/>
      <w:marBottom w:val="0"/>
      <w:divBdr>
        <w:top w:val="none" w:sz="0" w:space="0" w:color="auto"/>
        <w:left w:val="none" w:sz="0" w:space="0" w:color="auto"/>
        <w:bottom w:val="none" w:sz="0" w:space="0" w:color="auto"/>
        <w:right w:val="none" w:sz="0" w:space="0" w:color="auto"/>
      </w:divBdr>
    </w:div>
    <w:div w:id="687023824">
      <w:bodyDiv w:val="1"/>
      <w:marLeft w:val="0"/>
      <w:marRight w:val="0"/>
      <w:marTop w:val="0"/>
      <w:marBottom w:val="0"/>
      <w:divBdr>
        <w:top w:val="none" w:sz="0" w:space="0" w:color="auto"/>
        <w:left w:val="none" w:sz="0" w:space="0" w:color="auto"/>
        <w:bottom w:val="none" w:sz="0" w:space="0" w:color="auto"/>
        <w:right w:val="none" w:sz="0" w:space="0" w:color="auto"/>
      </w:divBdr>
    </w:div>
    <w:div w:id="689768313">
      <w:bodyDiv w:val="1"/>
      <w:marLeft w:val="0"/>
      <w:marRight w:val="0"/>
      <w:marTop w:val="0"/>
      <w:marBottom w:val="0"/>
      <w:divBdr>
        <w:top w:val="none" w:sz="0" w:space="0" w:color="auto"/>
        <w:left w:val="none" w:sz="0" w:space="0" w:color="auto"/>
        <w:bottom w:val="none" w:sz="0" w:space="0" w:color="auto"/>
        <w:right w:val="none" w:sz="0" w:space="0" w:color="auto"/>
      </w:divBdr>
    </w:div>
    <w:div w:id="691229210">
      <w:bodyDiv w:val="1"/>
      <w:marLeft w:val="0"/>
      <w:marRight w:val="0"/>
      <w:marTop w:val="0"/>
      <w:marBottom w:val="0"/>
      <w:divBdr>
        <w:top w:val="none" w:sz="0" w:space="0" w:color="auto"/>
        <w:left w:val="none" w:sz="0" w:space="0" w:color="auto"/>
        <w:bottom w:val="none" w:sz="0" w:space="0" w:color="auto"/>
        <w:right w:val="none" w:sz="0" w:space="0" w:color="auto"/>
      </w:divBdr>
    </w:div>
    <w:div w:id="702287745">
      <w:bodyDiv w:val="1"/>
      <w:marLeft w:val="0"/>
      <w:marRight w:val="0"/>
      <w:marTop w:val="0"/>
      <w:marBottom w:val="0"/>
      <w:divBdr>
        <w:top w:val="none" w:sz="0" w:space="0" w:color="auto"/>
        <w:left w:val="none" w:sz="0" w:space="0" w:color="auto"/>
        <w:bottom w:val="none" w:sz="0" w:space="0" w:color="auto"/>
        <w:right w:val="none" w:sz="0" w:space="0" w:color="auto"/>
      </w:divBdr>
    </w:div>
    <w:div w:id="734932388">
      <w:bodyDiv w:val="1"/>
      <w:marLeft w:val="0"/>
      <w:marRight w:val="0"/>
      <w:marTop w:val="0"/>
      <w:marBottom w:val="0"/>
      <w:divBdr>
        <w:top w:val="none" w:sz="0" w:space="0" w:color="auto"/>
        <w:left w:val="none" w:sz="0" w:space="0" w:color="auto"/>
        <w:bottom w:val="none" w:sz="0" w:space="0" w:color="auto"/>
        <w:right w:val="none" w:sz="0" w:space="0" w:color="auto"/>
      </w:divBdr>
    </w:div>
    <w:div w:id="810564782">
      <w:bodyDiv w:val="1"/>
      <w:marLeft w:val="0"/>
      <w:marRight w:val="0"/>
      <w:marTop w:val="0"/>
      <w:marBottom w:val="0"/>
      <w:divBdr>
        <w:top w:val="none" w:sz="0" w:space="0" w:color="auto"/>
        <w:left w:val="none" w:sz="0" w:space="0" w:color="auto"/>
        <w:bottom w:val="none" w:sz="0" w:space="0" w:color="auto"/>
        <w:right w:val="none" w:sz="0" w:space="0" w:color="auto"/>
      </w:divBdr>
    </w:div>
    <w:div w:id="814370012">
      <w:bodyDiv w:val="1"/>
      <w:marLeft w:val="0"/>
      <w:marRight w:val="0"/>
      <w:marTop w:val="0"/>
      <w:marBottom w:val="0"/>
      <w:divBdr>
        <w:top w:val="none" w:sz="0" w:space="0" w:color="auto"/>
        <w:left w:val="none" w:sz="0" w:space="0" w:color="auto"/>
        <w:bottom w:val="none" w:sz="0" w:space="0" w:color="auto"/>
        <w:right w:val="none" w:sz="0" w:space="0" w:color="auto"/>
      </w:divBdr>
    </w:div>
    <w:div w:id="818765356">
      <w:bodyDiv w:val="1"/>
      <w:marLeft w:val="0"/>
      <w:marRight w:val="0"/>
      <w:marTop w:val="0"/>
      <w:marBottom w:val="0"/>
      <w:divBdr>
        <w:top w:val="none" w:sz="0" w:space="0" w:color="auto"/>
        <w:left w:val="none" w:sz="0" w:space="0" w:color="auto"/>
        <w:bottom w:val="none" w:sz="0" w:space="0" w:color="auto"/>
        <w:right w:val="none" w:sz="0" w:space="0" w:color="auto"/>
      </w:divBdr>
    </w:div>
    <w:div w:id="826170944">
      <w:bodyDiv w:val="1"/>
      <w:marLeft w:val="0"/>
      <w:marRight w:val="0"/>
      <w:marTop w:val="0"/>
      <w:marBottom w:val="0"/>
      <w:divBdr>
        <w:top w:val="none" w:sz="0" w:space="0" w:color="auto"/>
        <w:left w:val="none" w:sz="0" w:space="0" w:color="auto"/>
        <w:bottom w:val="none" w:sz="0" w:space="0" w:color="auto"/>
        <w:right w:val="none" w:sz="0" w:space="0" w:color="auto"/>
      </w:divBdr>
    </w:div>
    <w:div w:id="829715108">
      <w:bodyDiv w:val="1"/>
      <w:marLeft w:val="0"/>
      <w:marRight w:val="0"/>
      <w:marTop w:val="0"/>
      <w:marBottom w:val="0"/>
      <w:divBdr>
        <w:top w:val="none" w:sz="0" w:space="0" w:color="auto"/>
        <w:left w:val="none" w:sz="0" w:space="0" w:color="auto"/>
        <w:bottom w:val="none" w:sz="0" w:space="0" w:color="auto"/>
        <w:right w:val="none" w:sz="0" w:space="0" w:color="auto"/>
      </w:divBdr>
    </w:div>
    <w:div w:id="837235849">
      <w:bodyDiv w:val="1"/>
      <w:marLeft w:val="0"/>
      <w:marRight w:val="0"/>
      <w:marTop w:val="0"/>
      <w:marBottom w:val="0"/>
      <w:divBdr>
        <w:top w:val="none" w:sz="0" w:space="0" w:color="auto"/>
        <w:left w:val="none" w:sz="0" w:space="0" w:color="auto"/>
        <w:bottom w:val="none" w:sz="0" w:space="0" w:color="auto"/>
        <w:right w:val="none" w:sz="0" w:space="0" w:color="auto"/>
      </w:divBdr>
    </w:div>
    <w:div w:id="888611200">
      <w:bodyDiv w:val="1"/>
      <w:marLeft w:val="0"/>
      <w:marRight w:val="0"/>
      <w:marTop w:val="0"/>
      <w:marBottom w:val="0"/>
      <w:divBdr>
        <w:top w:val="none" w:sz="0" w:space="0" w:color="auto"/>
        <w:left w:val="none" w:sz="0" w:space="0" w:color="auto"/>
        <w:bottom w:val="none" w:sz="0" w:space="0" w:color="auto"/>
        <w:right w:val="none" w:sz="0" w:space="0" w:color="auto"/>
      </w:divBdr>
    </w:div>
    <w:div w:id="905651164">
      <w:bodyDiv w:val="1"/>
      <w:marLeft w:val="0"/>
      <w:marRight w:val="0"/>
      <w:marTop w:val="0"/>
      <w:marBottom w:val="0"/>
      <w:divBdr>
        <w:top w:val="none" w:sz="0" w:space="0" w:color="auto"/>
        <w:left w:val="none" w:sz="0" w:space="0" w:color="auto"/>
        <w:bottom w:val="none" w:sz="0" w:space="0" w:color="auto"/>
        <w:right w:val="none" w:sz="0" w:space="0" w:color="auto"/>
      </w:divBdr>
    </w:div>
    <w:div w:id="908927972">
      <w:bodyDiv w:val="1"/>
      <w:marLeft w:val="0"/>
      <w:marRight w:val="0"/>
      <w:marTop w:val="0"/>
      <w:marBottom w:val="0"/>
      <w:divBdr>
        <w:top w:val="none" w:sz="0" w:space="0" w:color="auto"/>
        <w:left w:val="none" w:sz="0" w:space="0" w:color="auto"/>
        <w:bottom w:val="none" w:sz="0" w:space="0" w:color="auto"/>
        <w:right w:val="none" w:sz="0" w:space="0" w:color="auto"/>
      </w:divBdr>
    </w:div>
    <w:div w:id="965088744">
      <w:bodyDiv w:val="1"/>
      <w:marLeft w:val="0"/>
      <w:marRight w:val="0"/>
      <w:marTop w:val="0"/>
      <w:marBottom w:val="0"/>
      <w:divBdr>
        <w:top w:val="none" w:sz="0" w:space="0" w:color="auto"/>
        <w:left w:val="none" w:sz="0" w:space="0" w:color="auto"/>
        <w:bottom w:val="none" w:sz="0" w:space="0" w:color="auto"/>
        <w:right w:val="none" w:sz="0" w:space="0" w:color="auto"/>
      </w:divBdr>
    </w:div>
    <w:div w:id="1012225626">
      <w:bodyDiv w:val="1"/>
      <w:marLeft w:val="0"/>
      <w:marRight w:val="0"/>
      <w:marTop w:val="0"/>
      <w:marBottom w:val="0"/>
      <w:divBdr>
        <w:top w:val="none" w:sz="0" w:space="0" w:color="auto"/>
        <w:left w:val="none" w:sz="0" w:space="0" w:color="auto"/>
        <w:bottom w:val="none" w:sz="0" w:space="0" w:color="auto"/>
        <w:right w:val="none" w:sz="0" w:space="0" w:color="auto"/>
      </w:divBdr>
    </w:div>
    <w:div w:id="1021669434">
      <w:bodyDiv w:val="1"/>
      <w:marLeft w:val="0"/>
      <w:marRight w:val="0"/>
      <w:marTop w:val="0"/>
      <w:marBottom w:val="0"/>
      <w:divBdr>
        <w:top w:val="none" w:sz="0" w:space="0" w:color="auto"/>
        <w:left w:val="none" w:sz="0" w:space="0" w:color="auto"/>
        <w:bottom w:val="none" w:sz="0" w:space="0" w:color="auto"/>
        <w:right w:val="none" w:sz="0" w:space="0" w:color="auto"/>
      </w:divBdr>
    </w:div>
    <w:div w:id="1056708486">
      <w:bodyDiv w:val="1"/>
      <w:marLeft w:val="0"/>
      <w:marRight w:val="0"/>
      <w:marTop w:val="0"/>
      <w:marBottom w:val="0"/>
      <w:divBdr>
        <w:top w:val="none" w:sz="0" w:space="0" w:color="auto"/>
        <w:left w:val="none" w:sz="0" w:space="0" w:color="auto"/>
        <w:bottom w:val="none" w:sz="0" w:space="0" w:color="auto"/>
        <w:right w:val="none" w:sz="0" w:space="0" w:color="auto"/>
      </w:divBdr>
    </w:div>
    <w:div w:id="1057969820">
      <w:bodyDiv w:val="1"/>
      <w:marLeft w:val="0"/>
      <w:marRight w:val="0"/>
      <w:marTop w:val="0"/>
      <w:marBottom w:val="0"/>
      <w:divBdr>
        <w:top w:val="none" w:sz="0" w:space="0" w:color="auto"/>
        <w:left w:val="none" w:sz="0" w:space="0" w:color="auto"/>
        <w:bottom w:val="none" w:sz="0" w:space="0" w:color="auto"/>
        <w:right w:val="none" w:sz="0" w:space="0" w:color="auto"/>
      </w:divBdr>
    </w:div>
    <w:div w:id="1058479555">
      <w:bodyDiv w:val="1"/>
      <w:marLeft w:val="0"/>
      <w:marRight w:val="0"/>
      <w:marTop w:val="0"/>
      <w:marBottom w:val="0"/>
      <w:divBdr>
        <w:top w:val="none" w:sz="0" w:space="0" w:color="auto"/>
        <w:left w:val="none" w:sz="0" w:space="0" w:color="auto"/>
        <w:bottom w:val="none" w:sz="0" w:space="0" w:color="auto"/>
        <w:right w:val="none" w:sz="0" w:space="0" w:color="auto"/>
      </w:divBdr>
    </w:div>
    <w:div w:id="1067189678">
      <w:bodyDiv w:val="1"/>
      <w:marLeft w:val="0"/>
      <w:marRight w:val="0"/>
      <w:marTop w:val="0"/>
      <w:marBottom w:val="0"/>
      <w:divBdr>
        <w:top w:val="none" w:sz="0" w:space="0" w:color="auto"/>
        <w:left w:val="none" w:sz="0" w:space="0" w:color="auto"/>
        <w:bottom w:val="none" w:sz="0" w:space="0" w:color="auto"/>
        <w:right w:val="none" w:sz="0" w:space="0" w:color="auto"/>
      </w:divBdr>
    </w:div>
    <w:div w:id="1086459633">
      <w:bodyDiv w:val="1"/>
      <w:marLeft w:val="0"/>
      <w:marRight w:val="0"/>
      <w:marTop w:val="0"/>
      <w:marBottom w:val="0"/>
      <w:divBdr>
        <w:top w:val="none" w:sz="0" w:space="0" w:color="auto"/>
        <w:left w:val="none" w:sz="0" w:space="0" w:color="auto"/>
        <w:bottom w:val="none" w:sz="0" w:space="0" w:color="auto"/>
        <w:right w:val="none" w:sz="0" w:space="0" w:color="auto"/>
      </w:divBdr>
    </w:div>
    <w:div w:id="1118795802">
      <w:bodyDiv w:val="1"/>
      <w:marLeft w:val="0"/>
      <w:marRight w:val="0"/>
      <w:marTop w:val="0"/>
      <w:marBottom w:val="0"/>
      <w:divBdr>
        <w:top w:val="none" w:sz="0" w:space="0" w:color="auto"/>
        <w:left w:val="none" w:sz="0" w:space="0" w:color="auto"/>
        <w:bottom w:val="none" w:sz="0" w:space="0" w:color="auto"/>
        <w:right w:val="none" w:sz="0" w:space="0" w:color="auto"/>
      </w:divBdr>
    </w:div>
    <w:div w:id="1153372292">
      <w:bodyDiv w:val="1"/>
      <w:marLeft w:val="0"/>
      <w:marRight w:val="0"/>
      <w:marTop w:val="0"/>
      <w:marBottom w:val="0"/>
      <w:divBdr>
        <w:top w:val="none" w:sz="0" w:space="0" w:color="auto"/>
        <w:left w:val="none" w:sz="0" w:space="0" w:color="auto"/>
        <w:bottom w:val="none" w:sz="0" w:space="0" w:color="auto"/>
        <w:right w:val="none" w:sz="0" w:space="0" w:color="auto"/>
      </w:divBdr>
    </w:div>
    <w:div w:id="1193302136">
      <w:bodyDiv w:val="1"/>
      <w:marLeft w:val="0"/>
      <w:marRight w:val="0"/>
      <w:marTop w:val="0"/>
      <w:marBottom w:val="0"/>
      <w:divBdr>
        <w:top w:val="none" w:sz="0" w:space="0" w:color="auto"/>
        <w:left w:val="none" w:sz="0" w:space="0" w:color="auto"/>
        <w:bottom w:val="none" w:sz="0" w:space="0" w:color="auto"/>
        <w:right w:val="none" w:sz="0" w:space="0" w:color="auto"/>
      </w:divBdr>
    </w:div>
    <w:div w:id="1205826425">
      <w:bodyDiv w:val="1"/>
      <w:marLeft w:val="0"/>
      <w:marRight w:val="0"/>
      <w:marTop w:val="0"/>
      <w:marBottom w:val="0"/>
      <w:divBdr>
        <w:top w:val="none" w:sz="0" w:space="0" w:color="auto"/>
        <w:left w:val="none" w:sz="0" w:space="0" w:color="auto"/>
        <w:bottom w:val="none" w:sz="0" w:space="0" w:color="auto"/>
        <w:right w:val="none" w:sz="0" w:space="0" w:color="auto"/>
      </w:divBdr>
    </w:div>
    <w:div w:id="1228689090">
      <w:bodyDiv w:val="1"/>
      <w:marLeft w:val="0"/>
      <w:marRight w:val="0"/>
      <w:marTop w:val="0"/>
      <w:marBottom w:val="0"/>
      <w:divBdr>
        <w:top w:val="none" w:sz="0" w:space="0" w:color="auto"/>
        <w:left w:val="none" w:sz="0" w:space="0" w:color="auto"/>
        <w:bottom w:val="none" w:sz="0" w:space="0" w:color="auto"/>
        <w:right w:val="none" w:sz="0" w:space="0" w:color="auto"/>
      </w:divBdr>
    </w:div>
    <w:div w:id="1244028070">
      <w:bodyDiv w:val="1"/>
      <w:marLeft w:val="0"/>
      <w:marRight w:val="0"/>
      <w:marTop w:val="0"/>
      <w:marBottom w:val="0"/>
      <w:divBdr>
        <w:top w:val="none" w:sz="0" w:space="0" w:color="auto"/>
        <w:left w:val="none" w:sz="0" w:space="0" w:color="auto"/>
        <w:bottom w:val="none" w:sz="0" w:space="0" w:color="auto"/>
        <w:right w:val="none" w:sz="0" w:space="0" w:color="auto"/>
      </w:divBdr>
    </w:div>
    <w:div w:id="1258979017">
      <w:bodyDiv w:val="1"/>
      <w:marLeft w:val="0"/>
      <w:marRight w:val="0"/>
      <w:marTop w:val="0"/>
      <w:marBottom w:val="0"/>
      <w:divBdr>
        <w:top w:val="none" w:sz="0" w:space="0" w:color="auto"/>
        <w:left w:val="none" w:sz="0" w:space="0" w:color="auto"/>
        <w:bottom w:val="none" w:sz="0" w:space="0" w:color="auto"/>
        <w:right w:val="none" w:sz="0" w:space="0" w:color="auto"/>
      </w:divBdr>
    </w:div>
    <w:div w:id="1279140165">
      <w:bodyDiv w:val="1"/>
      <w:marLeft w:val="0"/>
      <w:marRight w:val="0"/>
      <w:marTop w:val="0"/>
      <w:marBottom w:val="0"/>
      <w:divBdr>
        <w:top w:val="none" w:sz="0" w:space="0" w:color="auto"/>
        <w:left w:val="none" w:sz="0" w:space="0" w:color="auto"/>
        <w:bottom w:val="none" w:sz="0" w:space="0" w:color="auto"/>
        <w:right w:val="none" w:sz="0" w:space="0" w:color="auto"/>
      </w:divBdr>
    </w:div>
    <w:div w:id="1325668164">
      <w:bodyDiv w:val="1"/>
      <w:marLeft w:val="0"/>
      <w:marRight w:val="0"/>
      <w:marTop w:val="0"/>
      <w:marBottom w:val="0"/>
      <w:divBdr>
        <w:top w:val="none" w:sz="0" w:space="0" w:color="auto"/>
        <w:left w:val="none" w:sz="0" w:space="0" w:color="auto"/>
        <w:bottom w:val="none" w:sz="0" w:space="0" w:color="auto"/>
        <w:right w:val="none" w:sz="0" w:space="0" w:color="auto"/>
      </w:divBdr>
    </w:div>
    <w:div w:id="1348558297">
      <w:bodyDiv w:val="1"/>
      <w:marLeft w:val="0"/>
      <w:marRight w:val="0"/>
      <w:marTop w:val="0"/>
      <w:marBottom w:val="0"/>
      <w:divBdr>
        <w:top w:val="none" w:sz="0" w:space="0" w:color="auto"/>
        <w:left w:val="none" w:sz="0" w:space="0" w:color="auto"/>
        <w:bottom w:val="none" w:sz="0" w:space="0" w:color="auto"/>
        <w:right w:val="none" w:sz="0" w:space="0" w:color="auto"/>
      </w:divBdr>
    </w:div>
    <w:div w:id="1367482903">
      <w:bodyDiv w:val="1"/>
      <w:marLeft w:val="0"/>
      <w:marRight w:val="0"/>
      <w:marTop w:val="0"/>
      <w:marBottom w:val="0"/>
      <w:divBdr>
        <w:top w:val="none" w:sz="0" w:space="0" w:color="auto"/>
        <w:left w:val="none" w:sz="0" w:space="0" w:color="auto"/>
        <w:bottom w:val="none" w:sz="0" w:space="0" w:color="auto"/>
        <w:right w:val="none" w:sz="0" w:space="0" w:color="auto"/>
      </w:divBdr>
    </w:div>
    <w:div w:id="1373310577">
      <w:bodyDiv w:val="1"/>
      <w:marLeft w:val="0"/>
      <w:marRight w:val="0"/>
      <w:marTop w:val="0"/>
      <w:marBottom w:val="0"/>
      <w:divBdr>
        <w:top w:val="none" w:sz="0" w:space="0" w:color="auto"/>
        <w:left w:val="none" w:sz="0" w:space="0" w:color="auto"/>
        <w:bottom w:val="none" w:sz="0" w:space="0" w:color="auto"/>
        <w:right w:val="none" w:sz="0" w:space="0" w:color="auto"/>
      </w:divBdr>
    </w:div>
    <w:div w:id="1396465398">
      <w:bodyDiv w:val="1"/>
      <w:marLeft w:val="0"/>
      <w:marRight w:val="0"/>
      <w:marTop w:val="0"/>
      <w:marBottom w:val="0"/>
      <w:divBdr>
        <w:top w:val="none" w:sz="0" w:space="0" w:color="auto"/>
        <w:left w:val="none" w:sz="0" w:space="0" w:color="auto"/>
        <w:bottom w:val="none" w:sz="0" w:space="0" w:color="auto"/>
        <w:right w:val="none" w:sz="0" w:space="0" w:color="auto"/>
      </w:divBdr>
    </w:div>
    <w:div w:id="1408646931">
      <w:bodyDiv w:val="1"/>
      <w:marLeft w:val="0"/>
      <w:marRight w:val="0"/>
      <w:marTop w:val="0"/>
      <w:marBottom w:val="0"/>
      <w:divBdr>
        <w:top w:val="none" w:sz="0" w:space="0" w:color="auto"/>
        <w:left w:val="none" w:sz="0" w:space="0" w:color="auto"/>
        <w:bottom w:val="none" w:sz="0" w:space="0" w:color="auto"/>
        <w:right w:val="none" w:sz="0" w:space="0" w:color="auto"/>
      </w:divBdr>
    </w:div>
    <w:div w:id="1419062896">
      <w:bodyDiv w:val="1"/>
      <w:marLeft w:val="0"/>
      <w:marRight w:val="0"/>
      <w:marTop w:val="0"/>
      <w:marBottom w:val="0"/>
      <w:divBdr>
        <w:top w:val="none" w:sz="0" w:space="0" w:color="auto"/>
        <w:left w:val="none" w:sz="0" w:space="0" w:color="auto"/>
        <w:bottom w:val="none" w:sz="0" w:space="0" w:color="auto"/>
        <w:right w:val="none" w:sz="0" w:space="0" w:color="auto"/>
      </w:divBdr>
    </w:div>
    <w:div w:id="1424758902">
      <w:bodyDiv w:val="1"/>
      <w:marLeft w:val="0"/>
      <w:marRight w:val="0"/>
      <w:marTop w:val="0"/>
      <w:marBottom w:val="0"/>
      <w:divBdr>
        <w:top w:val="none" w:sz="0" w:space="0" w:color="auto"/>
        <w:left w:val="none" w:sz="0" w:space="0" w:color="auto"/>
        <w:bottom w:val="none" w:sz="0" w:space="0" w:color="auto"/>
        <w:right w:val="none" w:sz="0" w:space="0" w:color="auto"/>
      </w:divBdr>
    </w:div>
    <w:div w:id="1441680653">
      <w:bodyDiv w:val="1"/>
      <w:marLeft w:val="0"/>
      <w:marRight w:val="0"/>
      <w:marTop w:val="0"/>
      <w:marBottom w:val="0"/>
      <w:divBdr>
        <w:top w:val="none" w:sz="0" w:space="0" w:color="auto"/>
        <w:left w:val="none" w:sz="0" w:space="0" w:color="auto"/>
        <w:bottom w:val="none" w:sz="0" w:space="0" w:color="auto"/>
        <w:right w:val="none" w:sz="0" w:space="0" w:color="auto"/>
      </w:divBdr>
    </w:div>
    <w:div w:id="1445467467">
      <w:bodyDiv w:val="1"/>
      <w:marLeft w:val="0"/>
      <w:marRight w:val="0"/>
      <w:marTop w:val="0"/>
      <w:marBottom w:val="0"/>
      <w:divBdr>
        <w:top w:val="none" w:sz="0" w:space="0" w:color="auto"/>
        <w:left w:val="none" w:sz="0" w:space="0" w:color="auto"/>
        <w:bottom w:val="none" w:sz="0" w:space="0" w:color="auto"/>
        <w:right w:val="none" w:sz="0" w:space="0" w:color="auto"/>
      </w:divBdr>
    </w:div>
    <w:div w:id="1484858714">
      <w:bodyDiv w:val="1"/>
      <w:marLeft w:val="0"/>
      <w:marRight w:val="0"/>
      <w:marTop w:val="0"/>
      <w:marBottom w:val="0"/>
      <w:divBdr>
        <w:top w:val="none" w:sz="0" w:space="0" w:color="auto"/>
        <w:left w:val="none" w:sz="0" w:space="0" w:color="auto"/>
        <w:bottom w:val="none" w:sz="0" w:space="0" w:color="auto"/>
        <w:right w:val="none" w:sz="0" w:space="0" w:color="auto"/>
      </w:divBdr>
    </w:div>
    <w:div w:id="1490749290">
      <w:bodyDiv w:val="1"/>
      <w:marLeft w:val="0"/>
      <w:marRight w:val="0"/>
      <w:marTop w:val="0"/>
      <w:marBottom w:val="0"/>
      <w:divBdr>
        <w:top w:val="none" w:sz="0" w:space="0" w:color="auto"/>
        <w:left w:val="none" w:sz="0" w:space="0" w:color="auto"/>
        <w:bottom w:val="none" w:sz="0" w:space="0" w:color="auto"/>
        <w:right w:val="none" w:sz="0" w:space="0" w:color="auto"/>
      </w:divBdr>
    </w:div>
    <w:div w:id="1548372496">
      <w:bodyDiv w:val="1"/>
      <w:marLeft w:val="0"/>
      <w:marRight w:val="0"/>
      <w:marTop w:val="0"/>
      <w:marBottom w:val="0"/>
      <w:divBdr>
        <w:top w:val="none" w:sz="0" w:space="0" w:color="auto"/>
        <w:left w:val="none" w:sz="0" w:space="0" w:color="auto"/>
        <w:bottom w:val="none" w:sz="0" w:space="0" w:color="auto"/>
        <w:right w:val="none" w:sz="0" w:space="0" w:color="auto"/>
      </w:divBdr>
    </w:div>
    <w:div w:id="1559591797">
      <w:bodyDiv w:val="1"/>
      <w:marLeft w:val="0"/>
      <w:marRight w:val="0"/>
      <w:marTop w:val="0"/>
      <w:marBottom w:val="0"/>
      <w:divBdr>
        <w:top w:val="none" w:sz="0" w:space="0" w:color="auto"/>
        <w:left w:val="none" w:sz="0" w:space="0" w:color="auto"/>
        <w:bottom w:val="none" w:sz="0" w:space="0" w:color="auto"/>
        <w:right w:val="none" w:sz="0" w:space="0" w:color="auto"/>
      </w:divBdr>
    </w:div>
    <w:div w:id="1562599884">
      <w:bodyDiv w:val="1"/>
      <w:marLeft w:val="0"/>
      <w:marRight w:val="0"/>
      <w:marTop w:val="0"/>
      <w:marBottom w:val="0"/>
      <w:divBdr>
        <w:top w:val="none" w:sz="0" w:space="0" w:color="auto"/>
        <w:left w:val="none" w:sz="0" w:space="0" w:color="auto"/>
        <w:bottom w:val="none" w:sz="0" w:space="0" w:color="auto"/>
        <w:right w:val="none" w:sz="0" w:space="0" w:color="auto"/>
      </w:divBdr>
    </w:div>
    <w:div w:id="1582254543">
      <w:bodyDiv w:val="1"/>
      <w:marLeft w:val="0"/>
      <w:marRight w:val="0"/>
      <w:marTop w:val="0"/>
      <w:marBottom w:val="0"/>
      <w:divBdr>
        <w:top w:val="none" w:sz="0" w:space="0" w:color="auto"/>
        <w:left w:val="none" w:sz="0" w:space="0" w:color="auto"/>
        <w:bottom w:val="none" w:sz="0" w:space="0" w:color="auto"/>
        <w:right w:val="none" w:sz="0" w:space="0" w:color="auto"/>
      </w:divBdr>
    </w:div>
    <w:div w:id="1586263270">
      <w:bodyDiv w:val="1"/>
      <w:marLeft w:val="0"/>
      <w:marRight w:val="0"/>
      <w:marTop w:val="0"/>
      <w:marBottom w:val="0"/>
      <w:divBdr>
        <w:top w:val="none" w:sz="0" w:space="0" w:color="auto"/>
        <w:left w:val="none" w:sz="0" w:space="0" w:color="auto"/>
        <w:bottom w:val="none" w:sz="0" w:space="0" w:color="auto"/>
        <w:right w:val="none" w:sz="0" w:space="0" w:color="auto"/>
      </w:divBdr>
    </w:div>
    <w:div w:id="1623076841">
      <w:bodyDiv w:val="1"/>
      <w:marLeft w:val="0"/>
      <w:marRight w:val="0"/>
      <w:marTop w:val="0"/>
      <w:marBottom w:val="0"/>
      <w:divBdr>
        <w:top w:val="none" w:sz="0" w:space="0" w:color="auto"/>
        <w:left w:val="none" w:sz="0" w:space="0" w:color="auto"/>
        <w:bottom w:val="none" w:sz="0" w:space="0" w:color="auto"/>
        <w:right w:val="none" w:sz="0" w:space="0" w:color="auto"/>
      </w:divBdr>
    </w:div>
    <w:div w:id="1633093479">
      <w:bodyDiv w:val="1"/>
      <w:marLeft w:val="0"/>
      <w:marRight w:val="0"/>
      <w:marTop w:val="0"/>
      <w:marBottom w:val="0"/>
      <w:divBdr>
        <w:top w:val="none" w:sz="0" w:space="0" w:color="auto"/>
        <w:left w:val="none" w:sz="0" w:space="0" w:color="auto"/>
        <w:bottom w:val="none" w:sz="0" w:space="0" w:color="auto"/>
        <w:right w:val="none" w:sz="0" w:space="0" w:color="auto"/>
      </w:divBdr>
    </w:div>
    <w:div w:id="1636330644">
      <w:bodyDiv w:val="1"/>
      <w:marLeft w:val="0"/>
      <w:marRight w:val="0"/>
      <w:marTop w:val="0"/>
      <w:marBottom w:val="0"/>
      <w:divBdr>
        <w:top w:val="none" w:sz="0" w:space="0" w:color="auto"/>
        <w:left w:val="none" w:sz="0" w:space="0" w:color="auto"/>
        <w:bottom w:val="none" w:sz="0" w:space="0" w:color="auto"/>
        <w:right w:val="none" w:sz="0" w:space="0" w:color="auto"/>
      </w:divBdr>
    </w:div>
    <w:div w:id="1656258237">
      <w:bodyDiv w:val="1"/>
      <w:marLeft w:val="0"/>
      <w:marRight w:val="0"/>
      <w:marTop w:val="0"/>
      <w:marBottom w:val="0"/>
      <w:divBdr>
        <w:top w:val="none" w:sz="0" w:space="0" w:color="auto"/>
        <w:left w:val="none" w:sz="0" w:space="0" w:color="auto"/>
        <w:bottom w:val="none" w:sz="0" w:space="0" w:color="auto"/>
        <w:right w:val="none" w:sz="0" w:space="0" w:color="auto"/>
      </w:divBdr>
    </w:div>
    <w:div w:id="1660186749">
      <w:bodyDiv w:val="1"/>
      <w:marLeft w:val="0"/>
      <w:marRight w:val="0"/>
      <w:marTop w:val="0"/>
      <w:marBottom w:val="0"/>
      <w:divBdr>
        <w:top w:val="none" w:sz="0" w:space="0" w:color="auto"/>
        <w:left w:val="none" w:sz="0" w:space="0" w:color="auto"/>
        <w:bottom w:val="none" w:sz="0" w:space="0" w:color="auto"/>
        <w:right w:val="none" w:sz="0" w:space="0" w:color="auto"/>
      </w:divBdr>
    </w:div>
    <w:div w:id="1664815328">
      <w:bodyDiv w:val="1"/>
      <w:marLeft w:val="0"/>
      <w:marRight w:val="0"/>
      <w:marTop w:val="0"/>
      <w:marBottom w:val="0"/>
      <w:divBdr>
        <w:top w:val="none" w:sz="0" w:space="0" w:color="auto"/>
        <w:left w:val="none" w:sz="0" w:space="0" w:color="auto"/>
        <w:bottom w:val="none" w:sz="0" w:space="0" w:color="auto"/>
        <w:right w:val="none" w:sz="0" w:space="0" w:color="auto"/>
      </w:divBdr>
    </w:div>
    <w:div w:id="1676690913">
      <w:bodyDiv w:val="1"/>
      <w:marLeft w:val="0"/>
      <w:marRight w:val="0"/>
      <w:marTop w:val="0"/>
      <w:marBottom w:val="0"/>
      <w:divBdr>
        <w:top w:val="none" w:sz="0" w:space="0" w:color="auto"/>
        <w:left w:val="none" w:sz="0" w:space="0" w:color="auto"/>
        <w:bottom w:val="none" w:sz="0" w:space="0" w:color="auto"/>
        <w:right w:val="none" w:sz="0" w:space="0" w:color="auto"/>
      </w:divBdr>
    </w:div>
    <w:div w:id="1677347432">
      <w:bodyDiv w:val="1"/>
      <w:marLeft w:val="0"/>
      <w:marRight w:val="0"/>
      <w:marTop w:val="0"/>
      <w:marBottom w:val="0"/>
      <w:divBdr>
        <w:top w:val="none" w:sz="0" w:space="0" w:color="auto"/>
        <w:left w:val="none" w:sz="0" w:space="0" w:color="auto"/>
        <w:bottom w:val="none" w:sz="0" w:space="0" w:color="auto"/>
        <w:right w:val="none" w:sz="0" w:space="0" w:color="auto"/>
      </w:divBdr>
    </w:div>
    <w:div w:id="1678271793">
      <w:bodyDiv w:val="1"/>
      <w:marLeft w:val="0"/>
      <w:marRight w:val="0"/>
      <w:marTop w:val="0"/>
      <w:marBottom w:val="0"/>
      <w:divBdr>
        <w:top w:val="none" w:sz="0" w:space="0" w:color="auto"/>
        <w:left w:val="none" w:sz="0" w:space="0" w:color="auto"/>
        <w:bottom w:val="none" w:sz="0" w:space="0" w:color="auto"/>
        <w:right w:val="none" w:sz="0" w:space="0" w:color="auto"/>
      </w:divBdr>
    </w:div>
    <w:div w:id="1679193558">
      <w:bodyDiv w:val="1"/>
      <w:marLeft w:val="0"/>
      <w:marRight w:val="0"/>
      <w:marTop w:val="0"/>
      <w:marBottom w:val="0"/>
      <w:divBdr>
        <w:top w:val="none" w:sz="0" w:space="0" w:color="auto"/>
        <w:left w:val="none" w:sz="0" w:space="0" w:color="auto"/>
        <w:bottom w:val="none" w:sz="0" w:space="0" w:color="auto"/>
        <w:right w:val="none" w:sz="0" w:space="0" w:color="auto"/>
      </w:divBdr>
    </w:div>
    <w:div w:id="1708947905">
      <w:bodyDiv w:val="1"/>
      <w:marLeft w:val="0"/>
      <w:marRight w:val="0"/>
      <w:marTop w:val="0"/>
      <w:marBottom w:val="0"/>
      <w:divBdr>
        <w:top w:val="none" w:sz="0" w:space="0" w:color="auto"/>
        <w:left w:val="none" w:sz="0" w:space="0" w:color="auto"/>
        <w:bottom w:val="none" w:sz="0" w:space="0" w:color="auto"/>
        <w:right w:val="none" w:sz="0" w:space="0" w:color="auto"/>
      </w:divBdr>
    </w:div>
    <w:div w:id="1717388145">
      <w:bodyDiv w:val="1"/>
      <w:marLeft w:val="0"/>
      <w:marRight w:val="0"/>
      <w:marTop w:val="0"/>
      <w:marBottom w:val="0"/>
      <w:divBdr>
        <w:top w:val="none" w:sz="0" w:space="0" w:color="auto"/>
        <w:left w:val="none" w:sz="0" w:space="0" w:color="auto"/>
        <w:bottom w:val="none" w:sz="0" w:space="0" w:color="auto"/>
        <w:right w:val="none" w:sz="0" w:space="0" w:color="auto"/>
      </w:divBdr>
    </w:div>
    <w:div w:id="1741515438">
      <w:bodyDiv w:val="1"/>
      <w:marLeft w:val="0"/>
      <w:marRight w:val="0"/>
      <w:marTop w:val="0"/>
      <w:marBottom w:val="0"/>
      <w:divBdr>
        <w:top w:val="none" w:sz="0" w:space="0" w:color="auto"/>
        <w:left w:val="none" w:sz="0" w:space="0" w:color="auto"/>
        <w:bottom w:val="none" w:sz="0" w:space="0" w:color="auto"/>
        <w:right w:val="none" w:sz="0" w:space="0" w:color="auto"/>
      </w:divBdr>
    </w:div>
    <w:div w:id="1741517877">
      <w:bodyDiv w:val="1"/>
      <w:marLeft w:val="0"/>
      <w:marRight w:val="0"/>
      <w:marTop w:val="0"/>
      <w:marBottom w:val="0"/>
      <w:divBdr>
        <w:top w:val="none" w:sz="0" w:space="0" w:color="auto"/>
        <w:left w:val="none" w:sz="0" w:space="0" w:color="auto"/>
        <w:bottom w:val="none" w:sz="0" w:space="0" w:color="auto"/>
        <w:right w:val="none" w:sz="0" w:space="0" w:color="auto"/>
      </w:divBdr>
    </w:div>
    <w:div w:id="1742219378">
      <w:bodyDiv w:val="1"/>
      <w:marLeft w:val="0"/>
      <w:marRight w:val="0"/>
      <w:marTop w:val="0"/>
      <w:marBottom w:val="0"/>
      <w:divBdr>
        <w:top w:val="none" w:sz="0" w:space="0" w:color="auto"/>
        <w:left w:val="none" w:sz="0" w:space="0" w:color="auto"/>
        <w:bottom w:val="none" w:sz="0" w:space="0" w:color="auto"/>
        <w:right w:val="none" w:sz="0" w:space="0" w:color="auto"/>
      </w:divBdr>
    </w:div>
    <w:div w:id="1769958265">
      <w:bodyDiv w:val="1"/>
      <w:marLeft w:val="0"/>
      <w:marRight w:val="0"/>
      <w:marTop w:val="0"/>
      <w:marBottom w:val="0"/>
      <w:divBdr>
        <w:top w:val="none" w:sz="0" w:space="0" w:color="auto"/>
        <w:left w:val="none" w:sz="0" w:space="0" w:color="auto"/>
        <w:bottom w:val="none" w:sz="0" w:space="0" w:color="auto"/>
        <w:right w:val="none" w:sz="0" w:space="0" w:color="auto"/>
      </w:divBdr>
    </w:div>
    <w:div w:id="1777867077">
      <w:bodyDiv w:val="1"/>
      <w:marLeft w:val="0"/>
      <w:marRight w:val="0"/>
      <w:marTop w:val="0"/>
      <w:marBottom w:val="0"/>
      <w:divBdr>
        <w:top w:val="none" w:sz="0" w:space="0" w:color="auto"/>
        <w:left w:val="none" w:sz="0" w:space="0" w:color="auto"/>
        <w:bottom w:val="none" w:sz="0" w:space="0" w:color="auto"/>
        <w:right w:val="none" w:sz="0" w:space="0" w:color="auto"/>
      </w:divBdr>
    </w:div>
    <w:div w:id="1781759731">
      <w:bodyDiv w:val="1"/>
      <w:marLeft w:val="0"/>
      <w:marRight w:val="0"/>
      <w:marTop w:val="0"/>
      <w:marBottom w:val="0"/>
      <w:divBdr>
        <w:top w:val="none" w:sz="0" w:space="0" w:color="auto"/>
        <w:left w:val="none" w:sz="0" w:space="0" w:color="auto"/>
        <w:bottom w:val="none" w:sz="0" w:space="0" w:color="auto"/>
        <w:right w:val="none" w:sz="0" w:space="0" w:color="auto"/>
      </w:divBdr>
    </w:div>
    <w:div w:id="1789353422">
      <w:bodyDiv w:val="1"/>
      <w:marLeft w:val="0"/>
      <w:marRight w:val="0"/>
      <w:marTop w:val="0"/>
      <w:marBottom w:val="0"/>
      <w:divBdr>
        <w:top w:val="none" w:sz="0" w:space="0" w:color="auto"/>
        <w:left w:val="none" w:sz="0" w:space="0" w:color="auto"/>
        <w:bottom w:val="none" w:sz="0" w:space="0" w:color="auto"/>
        <w:right w:val="none" w:sz="0" w:space="0" w:color="auto"/>
      </w:divBdr>
    </w:div>
    <w:div w:id="1836871121">
      <w:bodyDiv w:val="1"/>
      <w:marLeft w:val="0"/>
      <w:marRight w:val="0"/>
      <w:marTop w:val="0"/>
      <w:marBottom w:val="0"/>
      <w:divBdr>
        <w:top w:val="none" w:sz="0" w:space="0" w:color="auto"/>
        <w:left w:val="none" w:sz="0" w:space="0" w:color="auto"/>
        <w:bottom w:val="none" w:sz="0" w:space="0" w:color="auto"/>
        <w:right w:val="none" w:sz="0" w:space="0" w:color="auto"/>
      </w:divBdr>
    </w:div>
    <w:div w:id="1842502687">
      <w:bodyDiv w:val="1"/>
      <w:marLeft w:val="0"/>
      <w:marRight w:val="0"/>
      <w:marTop w:val="0"/>
      <w:marBottom w:val="0"/>
      <w:divBdr>
        <w:top w:val="none" w:sz="0" w:space="0" w:color="auto"/>
        <w:left w:val="none" w:sz="0" w:space="0" w:color="auto"/>
        <w:bottom w:val="none" w:sz="0" w:space="0" w:color="auto"/>
        <w:right w:val="none" w:sz="0" w:space="0" w:color="auto"/>
      </w:divBdr>
    </w:div>
    <w:div w:id="1853639737">
      <w:bodyDiv w:val="1"/>
      <w:marLeft w:val="0"/>
      <w:marRight w:val="0"/>
      <w:marTop w:val="0"/>
      <w:marBottom w:val="0"/>
      <w:divBdr>
        <w:top w:val="none" w:sz="0" w:space="0" w:color="auto"/>
        <w:left w:val="none" w:sz="0" w:space="0" w:color="auto"/>
        <w:bottom w:val="none" w:sz="0" w:space="0" w:color="auto"/>
        <w:right w:val="none" w:sz="0" w:space="0" w:color="auto"/>
      </w:divBdr>
    </w:div>
    <w:div w:id="1857188612">
      <w:bodyDiv w:val="1"/>
      <w:marLeft w:val="0"/>
      <w:marRight w:val="0"/>
      <w:marTop w:val="0"/>
      <w:marBottom w:val="0"/>
      <w:divBdr>
        <w:top w:val="none" w:sz="0" w:space="0" w:color="auto"/>
        <w:left w:val="none" w:sz="0" w:space="0" w:color="auto"/>
        <w:bottom w:val="none" w:sz="0" w:space="0" w:color="auto"/>
        <w:right w:val="none" w:sz="0" w:space="0" w:color="auto"/>
      </w:divBdr>
    </w:div>
    <w:div w:id="1877425413">
      <w:bodyDiv w:val="1"/>
      <w:marLeft w:val="0"/>
      <w:marRight w:val="0"/>
      <w:marTop w:val="0"/>
      <w:marBottom w:val="0"/>
      <w:divBdr>
        <w:top w:val="none" w:sz="0" w:space="0" w:color="auto"/>
        <w:left w:val="none" w:sz="0" w:space="0" w:color="auto"/>
        <w:bottom w:val="none" w:sz="0" w:space="0" w:color="auto"/>
        <w:right w:val="none" w:sz="0" w:space="0" w:color="auto"/>
      </w:divBdr>
    </w:div>
    <w:div w:id="1878540952">
      <w:bodyDiv w:val="1"/>
      <w:marLeft w:val="0"/>
      <w:marRight w:val="0"/>
      <w:marTop w:val="0"/>
      <w:marBottom w:val="0"/>
      <w:divBdr>
        <w:top w:val="none" w:sz="0" w:space="0" w:color="auto"/>
        <w:left w:val="none" w:sz="0" w:space="0" w:color="auto"/>
        <w:bottom w:val="none" w:sz="0" w:space="0" w:color="auto"/>
        <w:right w:val="none" w:sz="0" w:space="0" w:color="auto"/>
      </w:divBdr>
    </w:div>
    <w:div w:id="1883974407">
      <w:bodyDiv w:val="1"/>
      <w:marLeft w:val="0"/>
      <w:marRight w:val="0"/>
      <w:marTop w:val="0"/>
      <w:marBottom w:val="0"/>
      <w:divBdr>
        <w:top w:val="none" w:sz="0" w:space="0" w:color="auto"/>
        <w:left w:val="none" w:sz="0" w:space="0" w:color="auto"/>
        <w:bottom w:val="none" w:sz="0" w:space="0" w:color="auto"/>
        <w:right w:val="none" w:sz="0" w:space="0" w:color="auto"/>
      </w:divBdr>
    </w:div>
    <w:div w:id="1896046239">
      <w:bodyDiv w:val="1"/>
      <w:marLeft w:val="0"/>
      <w:marRight w:val="0"/>
      <w:marTop w:val="0"/>
      <w:marBottom w:val="0"/>
      <w:divBdr>
        <w:top w:val="none" w:sz="0" w:space="0" w:color="auto"/>
        <w:left w:val="none" w:sz="0" w:space="0" w:color="auto"/>
        <w:bottom w:val="none" w:sz="0" w:space="0" w:color="auto"/>
        <w:right w:val="none" w:sz="0" w:space="0" w:color="auto"/>
      </w:divBdr>
    </w:div>
    <w:div w:id="1899048358">
      <w:bodyDiv w:val="1"/>
      <w:marLeft w:val="0"/>
      <w:marRight w:val="0"/>
      <w:marTop w:val="0"/>
      <w:marBottom w:val="0"/>
      <w:divBdr>
        <w:top w:val="none" w:sz="0" w:space="0" w:color="auto"/>
        <w:left w:val="none" w:sz="0" w:space="0" w:color="auto"/>
        <w:bottom w:val="none" w:sz="0" w:space="0" w:color="auto"/>
        <w:right w:val="none" w:sz="0" w:space="0" w:color="auto"/>
      </w:divBdr>
    </w:div>
    <w:div w:id="1908952835">
      <w:bodyDiv w:val="1"/>
      <w:marLeft w:val="0"/>
      <w:marRight w:val="0"/>
      <w:marTop w:val="0"/>
      <w:marBottom w:val="0"/>
      <w:divBdr>
        <w:top w:val="none" w:sz="0" w:space="0" w:color="auto"/>
        <w:left w:val="none" w:sz="0" w:space="0" w:color="auto"/>
        <w:bottom w:val="none" w:sz="0" w:space="0" w:color="auto"/>
        <w:right w:val="none" w:sz="0" w:space="0" w:color="auto"/>
      </w:divBdr>
    </w:div>
    <w:div w:id="1918051228">
      <w:bodyDiv w:val="1"/>
      <w:marLeft w:val="0"/>
      <w:marRight w:val="0"/>
      <w:marTop w:val="0"/>
      <w:marBottom w:val="0"/>
      <w:divBdr>
        <w:top w:val="none" w:sz="0" w:space="0" w:color="auto"/>
        <w:left w:val="none" w:sz="0" w:space="0" w:color="auto"/>
        <w:bottom w:val="none" w:sz="0" w:space="0" w:color="auto"/>
        <w:right w:val="none" w:sz="0" w:space="0" w:color="auto"/>
      </w:divBdr>
    </w:div>
    <w:div w:id="1919751590">
      <w:bodyDiv w:val="1"/>
      <w:marLeft w:val="0"/>
      <w:marRight w:val="0"/>
      <w:marTop w:val="0"/>
      <w:marBottom w:val="0"/>
      <w:divBdr>
        <w:top w:val="none" w:sz="0" w:space="0" w:color="auto"/>
        <w:left w:val="none" w:sz="0" w:space="0" w:color="auto"/>
        <w:bottom w:val="none" w:sz="0" w:space="0" w:color="auto"/>
        <w:right w:val="none" w:sz="0" w:space="0" w:color="auto"/>
      </w:divBdr>
    </w:div>
    <w:div w:id="1924603896">
      <w:bodyDiv w:val="1"/>
      <w:marLeft w:val="0"/>
      <w:marRight w:val="0"/>
      <w:marTop w:val="0"/>
      <w:marBottom w:val="0"/>
      <w:divBdr>
        <w:top w:val="none" w:sz="0" w:space="0" w:color="auto"/>
        <w:left w:val="none" w:sz="0" w:space="0" w:color="auto"/>
        <w:bottom w:val="none" w:sz="0" w:space="0" w:color="auto"/>
        <w:right w:val="none" w:sz="0" w:space="0" w:color="auto"/>
      </w:divBdr>
    </w:div>
    <w:div w:id="1931044871">
      <w:bodyDiv w:val="1"/>
      <w:marLeft w:val="0"/>
      <w:marRight w:val="0"/>
      <w:marTop w:val="0"/>
      <w:marBottom w:val="0"/>
      <w:divBdr>
        <w:top w:val="none" w:sz="0" w:space="0" w:color="auto"/>
        <w:left w:val="none" w:sz="0" w:space="0" w:color="auto"/>
        <w:bottom w:val="none" w:sz="0" w:space="0" w:color="auto"/>
        <w:right w:val="none" w:sz="0" w:space="0" w:color="auto"/>
      </w:divBdr>
    </w:div>
    <w:div w:id="1931623460">
      <w:bodyDiv w:val="1"/>
      <w:marLeft w:val="0"/>
      <w:marRight w:val="0"/>
      <w:marTop w:val="0"/>
      <w:marBottom w:val="0"/>
      <w:divBdr>
        <w:top w:val="none" w:sz="0" w:space="0" w:color="auto"/>
        <w:left w:val="none" w:sz="0" w:space="0" w:color="auto"/>
        <w:bottom w:val="none" w:sz="0" w:space="0" w:color="auto"/>
        <w:right w:val="none" w:sz="0" w:space="0" w:color="auto"/>
      </w:divBdr>
    </w:div>
    <w:div w:id="1959870460">
      <w:bodyDiv w:val="1"/>
      <w:marLeft w:val="0"/>
      <w:marRight w:val="0"/>
      <w:marTop w:val="0"/>
      <w:marBottom w:val="0"/>
      <w:divBdr>
        <w:top w:val="none" w:sz="0" w:space="0" w:color="auto"/>
        <w:left w:val="none" w:sz="0" w:space="0" w:color="auto"/>
        <w:bottom w:val="none" w:sz="0" w:space="0" w:color="auto"/>
        <w:right w:val="none" w:sz="0" w:space="0" w:color="auto"/>
      </w:divBdr>
    </w:div>
    <w:div w:id="1980845507">
      <w:bodyDiv w:val="1"/>
      <w:marLeft w:val="0"/>
      <w:marRight w:val="0"/>
      <w:marTop w:val="0"/>
      <w:marBottom w:val="0"/>
      <w:divBdr>
        <w:top w:val="none" w:sz="0" w:space="0" w:color="auto"/>
        <w:left w:val="none" w:sz="0" w:space="0" w:color="auto"/>
        <w:bottom w:val="none" w:sz="0" w:space="0" w:color="auto"/>
        <w:right w:val="none" w:sz="0" w:space="0" w:color="auto"/>
      </w:divBdr>
    </w:div>
    <w:div w:id="1985887053">
      <w:bodyDiv w:val="1"/>
      <w:marLeft w:val="0"/>
      <w:marRight w:val="0"/>
      <w:marTop w:val="0"/>
      <w:marBottom w:val="0"/>
      <w:divBdr>
        <w:top w:val="none" w:sz="0" w:space="0" w:color="auto"/>
        <w:left w:val="none" w:sz="0" w:space="0" w:color="auto"/>
        <w:bottom w:val="none" w:sz="0" w:space="0" w:color="auto"/>
        <w:right w:val="none" w:sz="0" w:space="0" w:color="auto"/>
      </w:divBdr>
    </w:div>
    <w:div w:id="2017537497">
      <w:bodyDiv w:val="1"/>
      <w:marLeft w:val="0"/>
      <w:marRight w:val="0"/>
      <w:marTop w:val="0"/>
      <w:marBottom w:val="0"/>
      <w:divBdr>
        <w:top w:val="none" w:sz="0" w:space="0" w:color="auto"/>
        <w:left w:val="none" w:sz="0" w:space="0" w:color="auto"/>
        <w:bottom w:val="none" w:sz="0" w:space="0" w:color="auto"/>
        <w:right w:val="none" w:sz="0" w:space="0" w:color="auto"/>
      </w:divBdr>
    </w:div>
    <w:div w:id="2026596646">
      <w:bodyDiv w:val="1"/>
      <w:marLeft w:val="0"/>
      <w:marRight w:val="0"/>
      <w:marTop w:val="0"/>
      <w:marBottom w:val="0"/>
      <w:divBdr>
        <w:top w:val="none" w:sz="0" w:space="0" w:color="auto"/>
        <w:left w:val="none" w:sz="0" w:space="0" w:color="auto"/>
        <w:bottom w:val="none" w:sz="0" w:space="0" w:color="auto"/>
        <w:right w:val="none" w:sz="0" w:space="0" w:color="auto"/>
      </w:divBdr>
    </w:div>
    <w:div w:id="2033797320">
      <w:bodyDiv w:val="1"/>
      <w:marLeft w:val="0"/>
      <w:marRight w:val="0"/>
      <w:marTop w:val="0"/>
      <w:marBottom w:val="0"/>
      <w:divBdr>
        <w:top w:val="none" w:sz="0" w:space="0" w:color="auto"/>
        <w:left w:val="none" w:sz="0" w:space="0" w:color="auto"/>
        <w:bottom w:val="none" w:sz="0" w:space="0" w:color="auto"/>
        <w:right w:val="none" w:sz="0" w:space="0" w:color="auto"/>
      </w:divBdr>
    </w:div>
    <w:div w:id="2072001841">
      <w:bodyDiv w:val="1"/>
      <w:marLeft w:val="0"/>
      <w:marRight w:val="0"/>
      <w:marTop w:val="0"/>
      <w:marBottom w:val="0"/>
      <w:divBdr>
        <w:top w:val="none" w:sz="0" w:space="0" w:color="auto"/>
        <w:left w:val="none" w:sz="0" w:space="0" w:color="auto"/>
        <w:bottom w:val="none" w:sz="0" w:space="0" w:color="auto"/>
        <w:right w:val="none" w:sz="0" w:space="0" w:color="auto"/>
      </w:divBdr>
    </w:div>
    <w:div w:id="2095320447">
      <w:bodyDiv w:val="1"/>
      <w:marLeft w:val="0"/>
      <w:marRight w:val="0"/>
      <w:marTop w:val="0"/>
      <w:marBottom w:val="0"/>
      <w:divBdr>
        <w:top w:val="none" w:sz="0" w:space="0" w:color="auto"/>
        <w:left w:val="none" w:sz="0" w:space="0" w:color="auto"/>
        <w:bottom w:val="none" w:sz="0" w:space="0" w:color="auto"/>
        <w:right w:val="none" w:sz="0" w:space="0" w:color="auto"/>
      </w:divBdr>
    </w:div>
    <w:div w:id="2110469724">
      <w:bodyDiv w:val="1"/>
      <w:marLeft w:val="0"/>
      <w:marRight w:val="0"/>
      <w:marTop w:val="0"/>
      <w:marBottom w:val="0"/>
      <w:divBdr>
        <w:top w:val="none" w:sz="0" w:space="0" w:color="auto"/>
        <w:left w:val="none" w:sz="0" w:space="0" w:color="auto"/>
        <w:bottom w:val="none" w:sz="0" w:space="0" w:color="auto"/>
        <w:right w:val="none" w:sz="0" w:space="0" w:color="auto"/>
      </w:divBdr>
    </w:div>
    <w:div w:id="2143493741">
      <w:bodyDiv w:val="1"/>
      <w:marLeft w:val="0"/>
      <w:marRight w:val="0"/>
      <w:marTop w:val="0"/>
      <w:marBottom w:val="0"/>
      <w:divBdr>
        <w:top w:val="none" w:sz="0" w:space="0" w:color="auto"/>
        <w:left w:val="none" w:sz="0" w:space="0" w:color="auto"/>
        <w:bottom w:val="none" w:sz="0" w:space="0" w:color="auto"/>
        <w:right w:val="none" w:sz="0" w:space="0" w:color="auto"/>
      </w:divBdr>
    </w:div>
    <w:div w:id="214449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B300D-20B5-4A0B-B339-3FBBEC23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4327</Words>
  <Characters>24666</Characters>
  <Application>Microsoft Office Word</Application>
  <DocSecurity>4</DocSecurity>
  <Lines>205</Lines>
  <Paragraphs>57</Paragraphs>
  <ScaleCrop>false</ScaleCrop>
  <Company/>
  <LinksUpToDate>false</LinksUpToDate>
  <CharactersWithSpaces>28936</CharactersWithSpaces>
  <SharedDoc>false</SharedDoc>
  <HLinks>
    <vt:vector size="384" baseType="variant">
      <vt:variant>
        <vt:i4>1179698</vt:i4>
      </vt:variant>
      <vt:variant>
        <vt:i4>380</vt:i4>
      </vt:variant>
      <vt:variant>
        <vt:i4>0</vt:i4>
      </vt:variant>
      <vt:variant>
        <vt:i4>5</vt:i4>
      </vt:variant>
      <vt:variant>
        <vt:lpwstr/>
      </vt:variant>
      <vt:variant>
        <vt:lpwstr>_Toc331410129</vt:lpwstr>
      </vt:variant>
      <vt:variant>
        <vt:i4>1179698</vt:i4>
      </vt:variant>
      <vt:variant>
        <vt:i4>374</vt:i4>
      </vt:variant>
      <vt:variant>
        <vt:i4>0</vt:i4>
      </vt:variant>
      <vt:variant>
        <vt:i4>5</vt:i4>
      </vt:variant>
      <vt:variant>
        <vt:lpwstr/>
      </vt:variant>
      <vt:variant>
        <vt:lpwstr>_Toc331410128</vt:lpwstr>
      </vt:variant>
      <vt:variant>
        <vt:i4>1179698</vt:i4>
      </vt:variant>
      <vt:variant>
        <vt:i4>368</vt:i4>
      </vt:variant>
      <vt:variant>
        <vt:i4>0</vt:i4>
      </vt:variant>
      <vt:variant>
        <vt:i4>5</vt:i4>
      </vt:variant>
      <vt:variant>
        <vt:lpwstr/>
      </vt:variant>
      <vt:variant>
        <vt:lpwstr>_Toc331410127</vt:lpwstr>
      </vt:variant>
      <vt:variant>
        <vt:i4>1179698</vt:i4>
      </vt:variant>
      <vt:variant>
        <vt:i4>362</vt:i4>
      </vt:variant>
      <vt:variant>
        <vt:i4>0</vt:i4>
      </vt:variant>
      <vt:variant>
        <vt:i4>5</vt:i4>
      </vt:variant>
      <vt:variant>
        <vt:lpwstr/>
      </vt:variant>
      <vt:variant>
        <vt:lpwstr>_Toc331410126</vt:lpwstr>
      </vt:variant>
      <vt:variant>
        <vt:i4>1179698</vt:i4>
      </vt:variant>
      <vt:variant>
        <vt:i4>356</vt:i4>
      </vt:variant>
      <vt:variant>
        <vt:i4>0</vt:i4>
      </vt:variant>
      <vt:variant>
        <vt:i4>5</vt:i4>
      </vt:variant>
      <vt:variant>
        <vt:lpwstr/>
      </vt:variant>
      <vt:variant>
        <vt:lpwstr>_Toc331410125</vt:lpwstr>
      </vt:variant>
      <vt:variant>
        <vt:i4>1179698</vt:i4>
      </vt:variant>
      <vt:variant>
        <vt:i4>350</vt:i4>
      </vt:variant>
      <vt:variant>
        <vt:i4>0</vt:i4>
      </vt:variant>
      <vt:variant>
        <vt:i4>5</vt:i4>
      </vt:variant>
      <vt:variant>
        <vt:lpwstr/>
      </vt:variant>
      <vt:variant>
        <vt:lpwstr>_Toc331410124</vt:lpwstr>
      </vt:variant>
      <vt:variant>
        <vt:i4>1179698</vt:i4>
      </vt:variant>
      <vt:variant>
        <vt:i4>344</vt:i4>
      </vt:variant>
      <vt:variant>
        <vt:i4>0</vt:i4>
      </vt:variant>
      <vt:variant>
        <vt:i4>5</vt:i4>
      </vt:variant>
      <vt:variant>
        <vt:lpwstr/>
      </vt:variant>
      <vt:variant>
        <vt:lpwstr>_Toc331410123</vt:lpwstr>
      </vt:variant>
      <vt:variant>
        <vt:i4>1179698</vt:i4>
      </vt:variant>
      <vt:variant>
        <vt:i4>338</vt:i4>
      </vt:variant>
      <vt:variant>
        <vt:i4>0</vt:i4>
      </vt:variant>
      <vt:variant>
        <vt:i4>5</vt:i4>
      </vt:variant>
      <vt:variant>
        <vt:lpwstr/>
      </vt:variant>
      <vt:variant>
        <vt:lpwstr>_Toc331410122</vt:lpwstr>
      </vt:variant>
      <vt:variant>
        <vt:i4>1179698</vt:i4>
      </vt:variant>
      <vt:variant>
        <vt:i4>332</vt:i4>
      </vt:variant>
      <vt:variant>
        <vt:i4>0</vt:i4>
      </vt:variant>
      <vt:variant>
        <vt:i4>5</vt:i4>
      </vt:variant>
      <vt:variant>
        <vt:lpwstr/>
      </vt:variant>
      <vt:variant>
        <vt:lpwstr>_Toc331410121</vt:lpwstr>
      </vt:variant>
      <vt:variant>
        <vt:i4>1179698</vt:i4>
      </vt:variant>
      <vt:variant>
        <vt:i4>326</vt:i4>
      </vt:variant>
      <vt:variant>
        <vt:i4>0</vt:i4>
      </vt:variant>
      <vt:variant>
        <vt:i4>5</vt:i4>
      </vt:variant>
      <vt:variant>
        <vt:lpwstr/>
      </vt:variant>
      <vt:variant>
        <vt:lpwstr>_Toc331410120</vt:lpwstr>
      </vt:variant>
      <vt:variant>
        <vt:i4>1114162</vt:i4>
      </vt:variant>
      <vt:variant>
        <vt:i4>320</vt:i4>
      </vt:variant>
      <vt:variant>
        <vt:i4>0</vt:i4>
      </vt:variant>
      <vt:variant>
        <vt:i4>5</vt:i4>
      </vt:variant>
      <vt:variant>
        <vt:lpwstr/>
      </vt:variant>
      <vt:variant>
        <vt:lpwstr>_Toc331410119</vt:lpwstr>
      </vt:variant>
      <vt:variant>
        <vt:i4>1114162</vt:i4>
      </vt:variant>
      <vt:variant>
        <vt:i4>314</vt:i4>
      </vt:variant>
      <vt:variant>
        <vt:i4>0</vt:i4>
      </vt:variant>
      <vt:variant>
        <vt:i4>5</vt:i4>
      </vt:variant>
      <vt:variant>
        <vt:lpwstr/>
      </vt:variant>
      <vt:variant>
        <vt:lpwstr>_Toc331410118</vt:lpwstr>
      </vt:variant>
      <vt:variant>
        <vt:i4>1114162</vt:i4>
      </vt:variant>
      <vt:variant>
        <vt:i4>308</vt:i4>
      </vt:variant>
      <vt:variant>
        <vt:i4>0</vt:i4>
      </vt:variant>
      <vt:variant>
        <vt:i4>5</vt:i4>
      </vt:variant>
      <vt:variant>
        <vt:lpwstr/>
      </vt:variant>
      <vt:variant>
        <vt:lpwstr>_Toc331410117</vt:lpwstr>
      </vt:variant>
      <vt:variant>
        <vt:i4>1114162</vt:i4>
      </vt:variant>
      <vt:variant>
        <vt:i4>302</vt:i4>
      </vt:variant>
      <vt:variant>
        <vt:i4>0</vt:i4>
      </vt:variant>
      <vt:variant>
        <vt:i4>5</vt:i4>
      </vt:variant>
      <vt:variant>
        <vt:lpwstr/>
      </vt:variant>
      <vt:variant>
        <vt:lpwstr>_Toc331410116</vt:lpwstr>
      </vt:variant>
      <vt:variant>
        <vt:i4>1114162</vt:i4>
      </vt:variant>
      <vt:variant>
        <vt:i4>296</vt:i4>
      </vt:variant>
      <vt:variant>
        <vt:i4>0</vt:i4>
      </vt:variant>
      <vt:variant>
        <vt:i4>5</vt:i4>
      </vt:variant>
      <vt:variant>
        <vt:lpwstr/>
      </vt:variant>
      <vt:variant>
        <vt:lpwstr>_Toc331410115</vt:lpwstr>
      </vt:variant>
      <vt:variant>
        <vt:i4>1114162</vt:i4>
      </vt:variant>
      <vt:variant>
        <vt:i4>290</vt:i4>
      </vt:variant>
      <vt:variant>
        <vt:i4>0</vt:i4>
      </vt:variant>
      <vt:variant>
        <vt:i4>5</vt:i4>
      </vt:variant>
      <vt:variant>
        <vt:lpwstr/>
      </vt:variant>
      <vt:variant>
        <vt:lpwstr>_Toc331410114</vt:lpwstr>
      </vt:variant>
      <vt:variant>
        <vt:i4>1114162</vt:i4>
      </vt:variant>
      <vt:variant>
        <vt:i4>284</vt:i4>
      </vt:variant>
      <vt:variant>
        <vt:i4>0</vt:i4>
      </vt:variant>
      <vt:variant>
        <vt:i4>5</vt:i4>
      </vt:variant>
      <vt:variant>
        <vt:lpwstr/>
      </vt:variant>
      <vt:variant>
        <vt:lpwstr>_Toc331410113</vt:lpwstr>
      </vt:variant>
      <vt:variant>
        <vt:i4>1114162</vt:i4>
      </vt:variant>
      <vt:variant>
        <vt:i4>278</vt:i4>
      </vt:variant>
      <vt:variant>
        <vt:i4>0</vt:i4>
      </vt:variant>
      <vt:variant>
        <vt:i4>5</vt:i4>
      </vt:variant>
      <vt:variant>
        <vt:lpwstr/>
      </vt:variant>
      <vt:variant>
        <vt:lpwstr>_Toc331410112</vt:lpwstr>
      </vt:variant>
      <vt:variant>
        <vt:i4>1114162</vt:i4>
      </vt:variant>
      <vt:variant>
        <vt:i4>272</vt:i4>
      </vt:variant>
      <vt:variant>
        <vt:i4>0</vt:i4>
      </vt:variant>
      <vt:variant>
        <vt:i4>5</vt:i4>
      </vt:variant>
      <vt:variant>
        <vt:lpwstr/>
      </vt:variant>
      <vt:variant>
        <vt:lpwstr>_Toc331410111</vt:lpwstr>
      </vt:variant>
      <vt:variant>
        <vt:i4>1114162</vt:i4>
      </vt:variant>
      <vt:variant>
        <vt:i4>266</vt:i4>
      </vt:variant>
      <vt:variant>
        <vt:i4>0</vt:i4>
      </vt:variant>
      <vt:variant>
        <vt:i4>5</vt:i4>
      </vt:variant>
      <vt:variant>
        <vt:lpwstr/>
      </vt:variant>
      <vt:variant>
        <vt:lpwstr>_Toc331410110</vt:lpwstr>
      </vt:variant>
      <vt:variant>
        <vt:i4>1048626</vt:i4>
      </vt:variant>
      <vt:variant>
        <vt:i4>260</vt:i4>
      </vt:variant>
      <vt:variant>
        <vt:i4>0</vt:i4>
      </vt:variant>
      <vt:variant>
        <vt:i4>5</vt:i4>
      </vt:variant>
      <vt:variant>
        <vt:lpwstr/>
      </vt:variant>
      <vt:variant>
        <vt:lpwstr>_Toc331410109</vt:lpwstr>
      </vt:variant>
      <vt:variant>
        <vt:i4>1048626</vt:i4>
      </vt:variant>
      <vt:variant>
        <vt:i4>254</vt:i4>
      </vt:variant>
      <vt:variant>
        <vt:i4>0</vt:i4>
      </vt:variant>
      <vt:variant>
        <vt:i4>5</vt:i4>
      </vt:variant>
      <vt:variant>
        <vt:lpwstr/>
      </vt:variant>
      <vt:variant>
        <vt:lpwstr>_Toc331410108</vt:lpwstr>
      </vt:variant>
      <vt:variant>
        <vt:i4>1048626</vt:i4>
      </vt:variant>
      <vt:variant>
        <vt:i4>248</vt:i4>
      </vt:variant>
      <vt:variant>
        <vt:i4>0</vt:i4>
      </vt:variant>
      <vt:variant>
        <vt:i4>5</vt:i4>
      </vt:variant>
      <vt:variant>
        <vt:lpwstr/>
      </vt:variant>
      <vt:variant>
        <vt:lpwstr>_Toc331410107</vt:lpwstr>
      </vt:variant>
      <vt:variant>
        <vt:i4>1048626</vt:i4>
      </vt:variant>
      <vt:variant>
        <vt:i4>242</vt:i4>
      </vt:variant>
      <vt:variant>
        <vt:i4>0</vt:i4>
      </vt:variant>
      <vt:variant>
        <vt:i4>5</vt:i4>
      </vt:variant>
      <vt:variant>
        <vt:lpwstr/>
      </vt:variant>
      <vt:variant>
        <vt:lpwstr>_Toc331410106</vt:lpwstr>
      </vt:variant>
      <vt:variant>
        <vt:i4>1048626</vt:i4>
      </vt:variant>
      <vt:variant>
        <vt:i4>236</vt:i4>
      </vt:variant>
      <vt:variant>
        <vt:i4>0</vt:i4>
      </vt:variant>
      <vt:variant>
        <vt:i4>5</vt:i4>
      </vt:variant>
      <vt:variant>
        <vt:lpwstr/>
      </vt:variant>
      <vt:variant>
        <vt:lpwstr>_Toc331410105</vt:lpwstr>
      </vt:variant>
      <vt:variant>
        <vt:i4>1048626</vt:i4>
      </vt:variant>
      <vt:variant>
        <vt:i4>230</vt:i4>
      </vt:variant>
      <vt:variant>
        <vt:i4>0</vt:i4>
      </vt:variant>
      <vt:variant>
        <vt:i4>5</vt:i4>
      </vt:variant>
      <vt:variant>
        <vt:lpwstr/>
      </vt:variant>
      <vt:variant>
        <vt:lpwstr>_Toc331410104</vt:lpwstr>
      </vt:variant>
      <vt:variant>
        <vt:i4>1048626</vt:i4>
      </vt:variant>
      <vt:variant>
        <vt:i4>224</vt:i4>
      </vt:variant>
      <vt:variant>
        <vt:i4>0</vt:i4>
      </vt:variant>
      <vt:variant>
        <vt:i4>5</vt:i4>
      </vt:variant>
      <vt:variant>
        <vt:lpwstr/>
      </vt:variant>
      <vt:variant>
        <vt:lpwstr>_Toc331410103</vt:lpwstr>
      </vt:variant>
      <vt:variant>
        <vt:i4>1048626</vt:i4>
      </vt:variant>
      <vt:variant>
        <vt:i4>218</vt:i4>
      </vt:variant>
      <vt:variant>
        <vt:i4>0</vt:i4>
      </vt:variant>
      <vt:variant>
        <vt:i4>5</vt:i4>
      </vt:variant>
      <vt:variant>
        <vt:lpwstr/>
      </vt:variant>
      <vt:variant>
        <vt:lpwstr>_Toc331410102</vt:lpwstr>
      </vt:variant>
      <vt:variant>
        <vt:i4>1048626</vt:i4>
      </vt:variant>
      <vt:variant>
        <vt:i4>212</vt:i4>
      </vt:variant>
      <vt:variant>
        <vt:i4>0</vt:i4>
      </vt:variant>
      <vt:variant>
        <vt:i4>5</vt:i4>
      </vt:variant>
      <vt:variant>
        <vt:lpwstr/>
      </vt:variant>
      <vt:variant>
        <vt:lpwstr>_Toc331410101</vt:lpwstr>
      </vt:variant>
      <vt:variant>
        <vt:i4>1048626</vt:i4>
      </vt:variant>
      <vt:variant>
        <vt:i4>206</vt:i4>
      </vt:variant>
      <vt:variant>
        <vt:i4>0</vt:i4>
      </vt:variant>
      <vt:variant>
        <vt:i4>5</vt:i4>
      </vt:variant>
      <vt:variant>
        <vt:lpwstr/>
      </vt:variant>
      <vt:variant>
        <vt:lpwstr>_Toc331410100</vt:lpwstr>
      </vt:variant>
      <vt:variant>
        <vt:i4>1638451</vt:i4>
      </vt:variant>
      <vt:variant>
        <vt:i4>200</vt:i4>
      </vt:variant>
      <vt:variant>
        <vt:i4>0</vt:i4>
      </vt:variant>
      <vt:variant>
        <vt:i4>5</vt:i4>
      </vt:variant>
      <vt:variant>
        <vt:lpwstr/>
      </vt:variant>
      <vt:variant>
        <vt:lpwstr>_Toc331410099</vt:lpwstr>
      </vt:variant>
      <vt:variant>
        <vt:i4>1638451</vt:i4>
      </vt:variant>
      <vt:variant>
        <vt:i4>194</vt:i4>
      </vt:variant>
      <vt:variant>
        <vt:i4>0</vt:i4>
      </vt:variant>
      <vt:variant>
        <vt:i4>5</vt:i4>
      </vt:variant>
      <vt:variant>
        <vt:lpwstr/>
      </vt:variant>
      <vt:variant>
        <vt:lpwstr>_Toc331410098</vt:lpwstr>
      </vt:variant>
      <vt:variant>
        <vt:i4>1638451</vt:i4>
      </vt:variant>
      <vt:variant>
        <vt:i4>188</vt:i4>
      </vt:variant>
      <vt:variant>
        <vt:i4>0</vt:i4>
      </vt:variant>
      <vt:variant>
        <vt:i4>5</vt:i4>
      </vt:variant>
      <vt:variant>
        <vt:lpwstr/>
      </vt:variant>
      <vt:variant>
        <vt:lpwstr>_Toc331410097</vt:lpwstr>
      </vt:variant>
      <vt:variant>
        <vt:i4>1638451</vt:i4>
      </vt:variant>
      <vt:variant>
        <vt:i4>182</vt:i4>
      </vt:variant>
      <vt:variant>
        <vt:i4>0</vt:i4>
      </vt:variant>
      <vt:variant>
        <vt:i4>5</vt:i4>
      </vt:variant>
      <vt:variant>
        <vt:lpwstr/>
      </vt:variant>
      <vt:variant>
        <vt:lpwstr>_Toc331410096</vt:lpwstr>
      </vt:variant>
      <vt:variant>
        <vt:i4>1638451</vt:i4>
      </vt:variant>
      <vt:variant>
        <vt:i4>176</vt:i4>
      </vt:variant>
      <vt:variant>
        <vt:i4>0</vt:i4>
      </vt:variant>
      <vt:variant>
        <vt:i4>5</vt:i4>
      </vt:variant>
      <vt:variant>
        <vt:lpwstr/>
      </vt:variant>
      <vt:variant>
        <vt:lpwstr>_Toc331410095</vt:lpwstr>
      </vt:variant>
      <vt:variant>
        <vt:i4>1638451</vt:i4>
      </vt:variant>
      <vt:variant>
        <vt:i4>170</vt:i4>
      </vt:variant>
      <vt:variant>
        <vt:i4>0</vt:i4>
      </vt:variant>
      <vt:variant>
        <vt:i4>5</vt:i4>
      </vt:variant>
      <vt:variant>
        <vt:lpwstr/>
      </vt:variant>
      <vt:variant>
        <vt:lpwstr>_Toc331410094</vt:lpwstr>
      </vt:variant>
      <vt:variant>
        <vt:i4>1638451</vt:i4>
      </vt:variant>
      <vt:variant>
        <vt:i4>164</vt:i4>
      </vt:variant>
      <vt:variant>
        <vt:i4>0</vt:i4>
      </vt:variant>
      <vt:variant>
        <vt:i4>5</vt:i4>
      </vt:variant>
      <vt:variant>
        <vt:lpwstr/>
      </vt:variant>
      <vt:variant>
        <vt:lpwstr>_Toc331410093</vt:lpwstr>
      </vt:variant>
      <vt:variant>
        <vt:i4>1638451</vt:i4>
      </vt:variant>
      <vt:variant>
        <vt:i4>158</vt:i4>
      </vt:variant>
      <vt:variant>
        <vt:i4>0</vt:i4>
      </vt:variant>
      <vt:variant>
        <vt:i4>5</vt:i4>
      </vt:variant>
      <vt:variant>
        <vt:lpwstr/>
      </vt:variant>
      <vt:variant>
        <vt:lpwstr>_Toc331410092</vt:lpwstr>
      </vt:variant>
      <vt:variant>
        <vt:i4>1638451</vt:i4>
      </vt:variant>
      <vt:variant>
        <vt:i4>152</vt:i4>
      </vt:variant>
      <vt:variant>
        <vt:i4>0</vt:i4>
      </vt:variant>
      <vt:variant>
        <vt:i4>5</vt:i4>
      </vt:variant>
      <vt:variant>
        <vt:lpwstr/>
      </vt:variant>
      <vt:variant>
        <vt:lpwstr>_Toc331410091</vt:lpwstr>
      </vt:variant>
      <vt:variant>
        <vt:i4>1638451</vt:i4>
      </vt:variant>
      <vt:variant>
        <vt:i4>146</vt:i4>
      </vt:variant>
      <vt:variant>
        <vt:i4>0</vt:i4>
      </vt:variant>
      <vt:variant>
        <vt:i4>5</vt:i4>
      </vt:variant>
      <vt:variant>
        <vt:lpwstr/>
      </vt:variant>
      <vt:variant>
        <vt:lpwstr>_Toc331410090</vt:lpwstr>
      </vt:variant>
      <vt:variant>
        <vt:i4>1572915</vt:i4>
      </vt:variant>
      <vt:variant>
        <vt:i4>140</vt:i4>
      </vt:variant>
      <vt:variant>
        <vt:i4>0</vt:i4>
      </vt:variant>
      <vt:variant>
        <vt:i4>5</vt:i4>
      </vt:variant>
      <vt:variant>
        <vt:lpwstr/>
      </vt:variant>
      <vt:variant>
        <vt:lpwstr>_Toc331410089</vt:lpwstr>
      </vt:variant>
      <vt:variant>
        <vt:i4>1572915</vt:i4>
      </vt:variant>
      <vt:variant>
        <vt:i4>134</vt:i4>
      </vt:variant>
      <vt:variant>
        <vt:i4>0</vt:i4>
      </vt:variant>
      <vt:variant>
        <vt:i4>5</vt:i4>
      </vt:variant>
      <vt:variant>
        <vt:lpwstr/>
      </vt:variant>
      <vt:variant>
        <vt:lpwstr>_Toc331410088</vt:lpwstr>
      </vt:variant>
      <vt:variant>
        <vt:i4>1572915</vt:i4>
      </vt:variant>
      <vt:variant>
        <vt:i4>128</vt:i4>
      </vt:variant>
      <vt:variant>
        <vt:i4>0</vt:i4>
      </vt:variant>
      <vt:variant>
        <vt:i4>5</vt:i4>
      </vt:variant>
      <vt:variant>
        <vt:lpwstr/>
      </vt:variant>
      <vt:variant>
        <vt:lpwstr>_Toc331410087</vt:lpwstr>
      </vt:variant>
      <vt:variant>
        <vt:i4>1572915</vt:i4>
      </vt:variant>
      <vt:variant>
        <vt:i4>122</vt:i4>
      </vt:variant>
      <vt:variant>
        <vt:i4>0</vt:i4>
      </vt:variant>
      <vt:variant>
        <vt:i4>5</vt:i4>
      </vt:variant>
      <vt:variant>
        <vt:lpwstr/>
      </vt:variant>
      <vt:variant>
        <vt:lpwstr>_Toc331410086</vt:lpwstr>
      </vt:variant>
      <vt:variant>
        <vt:i4>1572915</vt:i4>
      </vt:variant>
      <vt:variant>
        <vt:i4>116</vt:i4>
      </vt:variant>
      <vt:variant>
        <vt:i4>0</vt:i4>
      </vt:variant>
      <vt:variant>
        <vt:i4>5</vt:i4>
      </vt:variant>
      <vt:variant>
        <vt:lpwstr/>
      </vt:variant>
      <vt:variant>
        <vt:lpwstr>_Toc331410085</vt:lpwstr>
      </vt:variant>
      <vt:variant>
        <vt:i4>1572915</vt:i4>
      </vt:variant>
      <vt:variant>
        <vt:i4>110</vt:i4>
      </vt:variant>
      <vt:variant>
        <vt:i4>0</vt:i4>
      </vt:variant>
      <vt:variant>
        <vt:i4>5</vt:i4>
      </vt:variant>
      <vt:variant>
        <vt:lpwstr/>
      </vt:variant>
      <vt:variant>
        <vt:lpwstr>_Toc331410084</vt:lpwstr>
      </vt:variant>
      <vt:variant>
        <vt:i4>1572915</vt:i4>
      </vt:variant>
      <vt:variant>
        <vt:i4>104</vt:i4>
      </vt:variant>
      <vt:variant>
        <vt:i4>0</vt:i4>
      </vt:variant>
      <vt:variant>
        <vt:i4>5</vt:i4>
      </vt:variant>
      <vt:variant>
        <vt:lpwstr/>
      </vt:variant>
      <vt:variant>
        <vt:lpwstr>_Toc331410083</vt:lpwstr>
      </vt:variant>
      <vt:variant>
        <vt:i4>1572915</vt:i4>
      </vt:variant>
      <vt:variant>
        <vt:i4>98</vt:i4>
      </vt:variant>
      <vt:variant>
        <vt:i4>0</vt:i4>
      </vt:variant>
      <vt:variant>
        <vt:i4>5</vt:i4>
      </vt:variant>
      <vt:variant>
        <vt:lpwstr/>
      </vt:variant>
      <vt:variant>
        <vt:lpwstr>_Toc331410082</vt:lpwstr>
      </vt:variant>
      <vt:variant>
        <vt:i4>1572915</vt:i4>
      </vt:variant>
      <vt:variant>
        <vt:i4>92</vt:i4>
      </vt:variant>
      <vt:variant>
        <vt:i4>0</vt:i4>
      </vt:variant>
      <vt:variant>
        <vt:i4>5</vt:i4>
      </vt:variant>
      <vt:variant>
        <vt:lpwstr/>
      </vt:variant>
      <vt:variant>
        <vt:lpwstr>_Toc331410081</vt:lpwstr>
      </vt:variant>
      <vt:variant>
        <vt:i4>1572915</vt:i4>
      </vt:variant>
      <vt:variant>
        <vt:i4>86</vt:i4>
      </vt:variant>
      <vt:variant>
        <vt:i4>0</vt:i4>
      </vt:variant>
      <vt:variant>
        <vt:i4>5</vt:i4>
      </vt:variant>
      <vt:variant>
        <vt:lpwstr/>
      </vt:variant>
      <vt:variant>
        <vt:lpwstr>_Toc331410080</vt:lpwstr>
      </vt:variant>
      <vt:variant>
        <vt:i4>1507379</vt:i4>
      </vt:variant>
      <vt:variant>
        <vt:i4>80</vt:i4>
      </vt:variant>
      <vt:variant>
        <vt:i4>0</vt:i4>
      </vt:variant>
      <vt:variant>
        <vt:i4>5</vt:i4>
      </vt:variant>
      <vt:variant>
        <vt:lpwstr/>
      </vt:variant>
      <vt:variant>
        <vt:lpwstr>_Toc331410079</vt:lpwstr>
      </vt:variant>
      <vt:variant>
        <vt:i4>1507379</vt:i4>
      </vt:variant>
      <vt:variant>
        <vt:i4>74</vt:i4>
      </vt:variant>
      <vt:variant>
        <vt:i4>0</vt:i4>
      </vt:variant>
      <vt:variant>
        <vt:i4>5</vt:i4>
      </vt:variant>
      <vt:variant>
        <vt:lpwstr/>
      </vt:variant>
      <vt:variant>
        <vt:lpwstr>_Toc331410078</vt:lpwstr>
      </vt:variant>
      <vt:variant>
        <vt:i4>1507379</vt:i4>
      </vt:variant>
      <vt:variant>
        <vt:i4>68</vt:i4>
      </vt:variant>
      <vt:variant>
        <vt:i4>0</vt:i4>
      </vt:variant>
      <vt:variant>
        <vt:i4>5</vt:i4>
      </vt:variant>
      <vt:variant>
        <vt:lpwstr/>
      </vt:variant>
      <vt:variant>
        <vt:lpwstr>_Toc331410077</vt:lpwstr>
      </vt:variant>
      <vt:variant>
        <vt:i4>1507379</vt:i4>
      </vt:variant>
      <vt:variant>
        <vt:i4>62</vt:i4>
      </vt:variant>
      <vt:variant>
        <vt:i4>0</vt:i4>
      </vt:variant>
      <vt:variant>
        <vt:i4>5</vt:i4>
      </vt:variant>
      <vt:variant>
        <vt:lpwstr/>
      </vt:variant>
      <vt:variant>
        <vt:lpwstr>_Toc331410076</vt:lpwstr>
      </vt:variant>
      <vt:variant>
        <vt:i4>1507379</vt:i4>
      </vt:variant>
      <vt:variant>
        <vt:i4>56</vt:i4>
      </vt:variant>
      <vt:variant>
        <vt:i4>0</vt:i4>
      </vt:variant>
      <vt:variant>
        <vt:i4>5</vt:i4>
      </vt:variant>
      <vt:variant>
        <vt:lpwstr/>
      </vt:variant>
      <vt:variant>
        <vt:lpwstr>_Toc331410075</vt:lpwstr>
      </vt:variant>
      <vt:variant>
        <vt:i4>1507379</vt:i4>
      </vt:variant>
      <vt:variant>
        <vt:i4>50</vt:i4>
      </vt:variant>
      <vt:variant>
        <vt:i4>0</vt:i4>
      </vt:variant>
      <vt:variant>
        <vt:i4>5</vt:i4>
      </vt:variant>
      <vt:variant>
        <vt:lpwstr/>
      </vt:variant>
      <vt:variant>
        <vt:lpwstr>_Toc331410074</vt:lpwstr>
      </vt:variant>
      <vt:variant>
        <vt:i4>1507379</vt:i4>
      </vt:variant>
      <vt:variant>
        <vt:i4>44</vt:i4>
      </vt:variant>
      <vt:variant>
        <vt:i4>0</vt:i4>
      </vt:variant>
      <vt:variant>
        <vt:i4>5</vt:i4>
      </vt:variant>
      <vt:variant>
        <vt:lpwstr/>
      </vt:variant>
      <vt:variant>
        <vt:lpwstr>_Toc331410073</vt:lpwstr>
      </vt:variant>
      <vt:variant>
        <vt:i4>1507379</vt:i4>
      </vt:variant>
      <vt:variant>
        <vt:i4>38</vt:i4>
      </vt:variant>
      <vt:variant>
        <vt:i4>0</vt:i4>
      </vt:variant>
      <vt:variant>
        <vt:i4>5</vt:i4>
      </vt:variant>
      <vt:variant>
        <vt:lpwstr/>
      </vt:variant>
      <vt:variant>
        <vt:lpwstr>_Toc331410072</vt:lpwstr>
      </vt:variant>
      <vt:variant>
        <vt:i4>1507379</vt:i4>
      </vt:variant>
      <vt:variant>
        <vt:i4>32</vt:i4>
      </vt:variant>
      <vt:variant>
        <vt:i4>0</vt:i4>
      </vt:variant>
      <vt:variant>
        <vt:i4>5</vt:i4>
      </vt:variant>
      <vt:variant>
        <vt:lpwstr/>
      </vt:variant>
      <vt:variant>
        <vt:lpwstr>_Toc331410071</vt:lpwstr>
      </vt:variant>
      <vt:variant>
        <vt:i4>1507379</vt:i4>
      </vt:variant>
      <vt:variant>
        <vt:i4>26</vt:i4>
      </vt:variant>
      <vt:variant>
        <vt:i4>0</vt:i4>
      </vt:variant>
      <vt:variant>
        <vt:i4>5</vt:i4>
      </vt:variant>
      <vt:variant>
        <vt:lpwstr/>
      </vt:variant>
      <vt:variant>
        <vt:lpwstr>_Toc331410070</vt:lpwstr>
      </vt:variant>
      <vt:variant>
        <vt:i4>1441843</vt:i4>
      </vt:variant>
      <vt:variant>
        <vt:i4>20</vt:i4>
      </vt:variant>
      <vt:variant>
        <vt:i4>0</vt:i4>
      </vt:variant>
      <vt:variant>
        <vt:i4>5</vt:i4>
      </vt:variant>
      <vt:variant>
        <vt:lpwstr/>
      </vt:variant>
      <vt:variant>
        <vt:lpwstr>_Toc331410069</vt:lpwstr>
      </vt:variant>
      <vt:variant>
        <vt:i4>1441843</vt:i4>
      </vt:variant>
      <vt:variant>
        <vt:i4>14</vt:i4>
      </vt:variant>
      <vt:variant>
        <vt:i4>0</vt:i4>
      </vt:variant>
      <vt:variant>
        <vt:i4>5</vt:i4>
      </vt:variant>
      <vt:variant>
        <vt:lpwstr/>
      </vt:variant>
      <vt:variant>
        <vt:lpwstr>_Toc331410068</vt:lpwstr>
      </vt:variant>
      <vt:variant>
        <vt:i4>1441843</vt:i4>
      </vt:variant>
      <vt:variant>
        <vt:i4>8</vt:i4>
      </vt:variant>
      <vt:variant>
        <vt:i4>0</vt:i4>
      </vt:variant>
      <vt:variant>
        <vt:i4>5</vt:i4>
      </vt:variant>
      <vt:variant>
        <vt:lpwstr/>
      </vt:variant>
      <vt:variant>
        <vt:lpwstr>_Toc331410067</vt:lpwstr>
      </vt:variant>
      <vt:variant>
        <vt:i4>1441843</vt:i4>
      </vt:variant>
      <vt:variant>
        <vt:i4>2</vt:i4>
      </vt:variant>
      <vt:variant>
        <vt:i4>0</vt:i4>
      </vt:variant>
      <vt:variant>
        <vt:i4>5</vt:i4>
      </vt:variant>
      <vt:variant>
        <vt:lpwstr/>
      </vt:variant>
      <vt:variant>
        <vt:lpwstr>_Toc331410066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_____证券投资基金2004年第三季度报告</dc:title>
  <dc:creator>User</dc:creator>
  <cp:lastModifiedBy>ZHONGM</cp:lastModifiedBy>
  <cp:revision>2</cp:revision>
  <cp:lastPrinted>2007-07-19T00:46:00Z</cp:lastPrinted>
  <dcterms:created xsi:type="dcterms:W3CDTF">2019-03-29T16:07:00Z</dcterms:created>
  <dcterms:modified xsi:type="dcterms:W3CDTF">2019-03-29T16:07:00Z</dcterms:modified>
</cp:coreProperties>
</file>